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BBFC2">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default"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项目名称：</w:t>
      </w:r>
      <w:r>
        <w:rPr>
          <w:rFonts w:hint="eastAsia" w:ascii="宋体" w:hAnsi="宋体" w:cs="宋体"/>
          <w:b/>
          <w:snapToGrid w:val="0"/>
          <w:color w:val="auto"/>
          <w:w w:val="99"/>
          <w:sz w:val="32"/>
          <w:szCs w:val="32"/>
          <w:highlight w:val="none"/>
          <w:lang w:val="en-US" w:eastAsia="zh-CN"/>
        </w:rPr>
        <w:t>2025年博艺楼新初一教室改造工程</w:t>
      </w:r>
    </w:p>
    <w:p w14:paraId="0D7BC29F">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eastAsia="zh-CN"/>
        </w:rPr>
      </w:pPr>
      <w:r>
        <w:rPr>
          <w:rFonts w:hint="eastAsia" w:ascii="宋体" w:hAnsi="宋体" w:cs="宋体"/>
          <w:b/>
          <w:snapToGrid w:val="0"/>
          <w:color w:val="auto"/>
          <w:w w:val="99"/>
          <w:sz w:val="32"/>
          <w:szCs w:val="32"/>
          <w:highlight w:val="none"/>
        </w:rPr>
        <w:t>项目编号：</w:t>
      </w:r>
      <w:r>
        <w:rPr>
          <w:rFonts w:hint="eastAsia" w:ascii="宋体" w:hAnsi="宋体" w:cs="宋体"/>
          <w:b/>
          <w:snapToGrid w:val="0"/>
          <w:color w:val="auto"/>
          <w:w w:val="99"/>
          <w:sz w:val="32"/>
          <w:szCs w:val="32"/>
          <w:highlight w:val="none"/>
          <w:lang w:val="en-US" w:eastAsia="zh-CN"/>
        </w:rPr>
        <w:t>ACZB-ZXCG-2025213B</w:t>
      </w:r>
    </w:p>
    <w:p w14:paraId="01888DA3">
      <w:pPr>
        <w:pStyle w:val="9"/>
        <w:rPr>
          <w:rFonts w:ascii="宋体" w:hAnsi="宋体" w:eastAsia="宋体" w:cs="宋体"/>
          <w:color w:val="auto"/>
        </w:rPr>
      </w:pPr>
    </w:p>
    <w:p w14:paraId="78F2B6E6">
      <w:pPr>
        <w:autoSpaceDE w:val="0"/>
        <w:autoSpaceDN w:val="0"/>
        <w:adjustRightInd w:val="0"/>
        <w:snapToGrid w:val="0"/>
        <w:spacing w:line="360" w:lineRule="auto"/>
        <w:jc w:val="left"/>
        <w:rPr>
          <w:rFonts w:ascii="宋体" w:hAnsi="宋体" w:cs="宋体"/>
          <w:color w:val="auto"/>
          <w:kern w:val="0"/>
          <w:sz w:val="20"/>
        </w:rPr>
      </w:pPr>
    </w:p>
    <w:p w14:paraId="24BE96AE">
      <w:pPr>
        <w:rPr>
          <w:rFonts w:ascii="宋体" w:hAnsi="宋体" w:cs="宋体"/>
          <w:b/>
          <w:bCs/>
          <w:color w:val="auto"/>
          <w:sz w:val="32"/>
          <w:szCs w:val="32"/>
        </w:rPr>
      </w:pPr>
    </w:p>
    <w:p w14:paraId="650178D8">
      <w:pPr>
        <w:pStyle w:val="6"/>
        <w:rPr>
          <w:rFonts w:ascii="宋体" w:hAnsi="宋体" w:cs="宋体"/>
          <w:color w:val="auto"/>
        </w:rPr>
      </w:pPr>
    </w:p>
    <w:p w14:paraId="21C68620">
      <w:pPr>
        <w:jc w:val="center"/>
        <w:rPr>
          <w:rFonts w:ascii="宋体" w:hAnsi="宋体" w:cs="宋体"/>
          <w:b/>
          <w:color w:val="auto"/>
          <w:sz w:val="84"/>
          <w:szCs w:val="84"/>
        </w:rPr>
      </w:pPr>
    </w:p>
    <w:p w14:paraId="37E87054">
      <w:pPr>
        <w:jc w:val="center"/>
        <w:rPr>
          <w:rFonts w:ascii="宋体" w:hAnsi="宋体" w:cs="宋体"/>
          <w:b/>
          <w:color w:val="auto"/>
          <w:sz w:val="84"/>
          <w:szCs w:val="84"/>
        </w:rPr>
      </w:pPr>
      <w:r>
        <w:rPr>
          <w:rFonts w:hint="eastAsia" w:ascii="宋体" w:hAnsi="宋体" w:cs="宋体"/>
          <w:b/>
          <w:color w:val="auto"/>
          <w:sz w:val="84"/>
          <w:szCs w:val="84"/>
        </w:rPr>
        <w:t>竞争性比选文件</w:t>
      </w:r>
    </w:p>
    <w:p w14:paraId="26EF3066">
      <w:pPr>
        <w:rPr>
          <w:rFonts w:ascii="宋体" w:hAnsi="宋体" w:cs="宋体"/>
          <w:b/>
          <w:bCs/>
          <w:color w:val="auto"/>
          <w:sz w:val="28"/>
        </w:rPr>
      </w:pPr>
    </w:p>
    <w:p w14:paraId="139C8EC5">
      <w:pPr>
        <w:rPr>
          <w:rFonts w:ascii="宋体" w:hAnsi="宋体" w:cs="宋体"/>
          <w:b/>
          <w:bCs/>
          <w:color w:val="auto"/>
          <w:sz w:val="28"/>
        </w:rPr>
      </w:pPr>
    </w:p>
    <w:p w14:paraId="7F06C4C3">
      <w:pPr>
        <w:rPr>
          <w:rFonts w:ascii="宋体" w:hAnsi="宋体" w:cs="宋体"/>
          <w:color w:val="auto"/>
          <w:sz w:val="32"/>
        </w:rPr>
      </w:pPr>
    </w:p>
    <w:p w14:paraId="1C28E999">
      <w:pPr>
        <w:jc w:val="center"/>
        <w:rPr>
          <w:rFonts w:ascii="宋体" w:hAnsi="宋体" w:cs="宋体"/>
          <w:b/>
          <w:bCs/>
          <w:color w:val="auto"/>
          <w:sz w:val="28"/>
        </w:rPr>
      </w:pPr>
    </w:p>
    <w:p w14:paraId="01A82773">
      <w:pPr>
        <w:rPr>
          <w:rFonts w:ascii="宋体" w:hAnsi="宋体" w:cs="宋体"/>
          <w:b/>
          <w:bCs/>
          <w:color w:val="auto"/>
          <w:sz w:val="28"/>
        </w:rPr>
      </w:pPr>
    </w:p>
    <w:p w14:paraId="4ED7C7DC">
      <w:pPr>
        <w:jc w:val="center"/>
        <w:rPr>
          <w:rFonts w:ascii="宋体" w:hAnsi="宋体" w:cs="宋体"/>
          <w:color w:val="auto"/>
          <w:sz w:val="32"/>
        </w:rPr>
      </w:pPr>
    </w:p>
    <w:p w14:paraId="2DBA3580">
      <w:pPr>
        <w:rPr>
          <w:rFonts w:ascii="宋体" w:hAnsi="宋体" w:cs="宋体"/>
          <w:color w:val="auto"/>
          <w:sz w:val="32"/>
        </w:rPr>
      </w:pPr>
    </w:p>
    <w:p w14:paraId="1821BD27">
      <w:pPr>
        <w:pStyle w:val="48"/>
        <w:jc w:val="both"/>
        <w:rPr>
          <w:rFonts w:ascii="宋体" w:hAnsi="宋体" w:cs="宋体"/>
          <w:color w:val="auto"/>
          <w:sz w:val="32"/>
          <w:lang w:eastAsia="zh-CN"/>
        </w:rPr>
      </w:pPr>
    </w:p>
    <w:p w14:paraId="604D523B">
      <w:pPr>
        <w:pStyle w:val="48"/>
        <w:jc w:val="both"/>
        <w:rPr>
          <w:rFonts w:ascii="宋体" w:hAnsi="宋体" w:cs="宋体"/>
          <w:color w:val="auto"/>
          <w:sz w:val="32"/>
          <w:lang w:eastAsia="zh-CN"/>
        </w:rPr>
      </w:pPr>
    </w:p>
    <w:p w14:paraId="13EE2FBE">
      <w:pPr>
        <w:pStyle w:val="48"/>
        <w:jc w:val="both"/>
        <w:rPr>
          <w:rFonts w:ascii="宋体" w:hAnsi="宋体" w:cs="宋体"/>
          <w:color w:val="auto"/>
          <w:sz w:val="32"/>
          <w:lang w:eastAsia="zh-CN"/>
        </w:rPr>
      </w:pPr>
    </w:p>
    <w:p w14:paraId="7DED9888">
      <w:pPr>
        <w:rPr>
          <w:color w:val="auto"/>
          <w:lang w:eastAsia="zh-CN"/>
        </w:rPr>
      </w:pPr>
    </w:p>
    <w:p w14:paraId="4B4990AB">
      <w:pPr>
        <w:widowControl/>
        <w:ind w:firstLine="562" w:firstLineChars="200"/>
        <w:jc w:val="left"/>
        <w:rPr>
          <w:rFonts w:ascii="宋体" w:hAnsi="宋体" w:cs="宋体"/>
          <w:b/>
          <w:color w:val="auto"/>
          <w:sz w:val="28"/>
          <w:szCs w:val="22"/>
        </w:rPr>
      </w:pPr>
    </w:p>
    <w:p w14:paraId="3281127D">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ascii="宋体" w:hAnsi="宋体" w:cs="宋体"/>
          <w:b/>
          <w:color w:val="auto"/>
          <w:spacing w:val="8"/>
          <w:sz w:val="32"/>
          <w:szCs w:val="32"/>
        </w:rPr>
      </w:pPr>
      <w:r>
        <w:rPr>
          <w:rFonts w:hint="eastAsia" w:ascii="宋体" w:hAnsi="宋体" w:cs="宋体"/>
          <w:b/>
          <w:color w:val="auto"/>
          <w:spacing w:val="8"/>
          <w:sz w:val="32"/>
          <w:szCs w:val="32"/>
        </w:rPr>
        <w:t>比</w:t>
      </w:r>
      <w:r>
        <w:rPr>
          <w:rFonts w:hint="eastAsia" w:ascii="宋体" w:hAnsi="宋体" w:cs="宋体"/>
          <w:b/>
          <w:color w:val="auto"/>
          <w:spacing w:val="8"/>
          <w:sz w:val="32"/>
          <w:szCs w:val="32"/>
          <w:lang w:val="en-US" w:eastAsia="zh-CN"/>
        </w:rPr>
        <w:t xml:space="preserve">  </w:t>
      </w:r>
      <w:r>
        <w:rPr>
          <w:rFonts w:hint="eastAsia" w:ascii="宋体" w:hAnsi="宋体" w:cs="宋体"/>
          <w:b/>
          <w:color w:val="auto"/>
          <w:spacing w:val="8"/>
          <w:sz w:val="32"/>
          <w:szCs w:val="32"/>
        </w:rPr>
        <w:t>选</w:t>
      </w:r>
      <w:r>
        <w:rPr>
          <w:rFonts w:hint="eastAsia" w:ascii="宋体" w:hAnsi="宋体" w:cs="宋体"/>
          <w:b/>
          <w:color w:val="auto"/>
          <w:spacing w:val="8"/>
          <w:sz w:val="32"/>
          <w:szCs w:val="32"/>
          <w:lang w:val="en-US" w:eastAsia="zh-CN"/>
        </w:rPr>
        <w:t xml:space="preserve">  </w:t>
      </w:r>
      <w:r>
        <w:rPr>
          <w:rFonts w:hint="eastAsia" w:ascii="宋体" w:hAnsi="宋体" w:cs="宋体"/>
          <w:b/>
          <w:color w:val="auto"/>
          <w:spacing w:val="8"/>
          <w:sz w:val="32"/>
          <w:szCs w:val="32"/>
        </w:rPr>
        <w:t>人</w:t>
      </w:r>
      <w:r>
        <w:rPr>
          <w:rFonts w:hint="eastAsia" w:ascii="宋体" w:hAnsi="宋体" w:cs="宋体"/>
          <w:b/>
          <w:color w:val="auto"/>
          <w:spacing w:val="8"/>
          <w:sz w:val="32"/>
          <w:szCs w:val="32"/>
          <w:highlight w:val="none"/>
        </w:rPr>
        <w:t>：</w:t>
      </w:r>
      <w:r>
        <w:rPr>
          <w:rFonts w:hint="eastAsia" w:ascii="宋体" w:hAnsi="宋体" w:cs="宋体"/>
          <w:b/>
          <w:color w:val="auto"/>
          <w:spacing w:val="8"/>
          <w:sz w:val="32"/>
          <w:szCs w:val="32"/>
          <w:highlight w:val="none"/>
          <w:u w:val="single"/>
          <w:lang w:eastAsia="zh-CN"/>
        </w:rPr>
        <w:t>重庆市八中科学城中学校</w:t>
      </w:r>
    </w:p>
    <w:p w14:paraId="7D9F1A19">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cs="宋体"/>
          <w:b/>
          <w:color w:val="auto"/>
          <w:w w:val="99"/>
          <w:kern w:val="0"/>
          <w:sz w:val="32"/>
          <w:szCs w:val="32"/>
        </w:rPr>
      </w:pPr>
      <w:r>
        <w:rPr>
          <w:rFonts w:hint="eastAsia" w:ascii="宋体" w:hAnsi="宋体" w:cs="宋体"/>
          <w:b/>
          <w:color w:val="auto"/>
          <w:spacing w:val="8"/>
          <w:sz w:val="32"/>
          <w:szCs w:val="32"/>
        </w:rPr>
        <w:t>比选代理机构：</w:t>
      </w:r>
      <w:r>
        <w:rPr>
          <w:rFonts w:hint="eastAsia" w:ascii="宋体" w:hAnsi="宋体" w:cs="宋体"/>
          <w:b/>
          <w:color w:val="auto"/>
          <w:spacing w:val="8"/>
          <w:sz w:val="32"/>
          <w:szCs w:val="32"/>
          <w:u w:val="single"/>
          <w:lang w:eastAsia="zh-CN"/>
        </w:rPr>
        <w:t>重庆爱采招标代理有限公司</w:t>
      </w:r>
    </w:p>
    <w:p w14:paraId="7399FF66">
      <w:pPr>
        <w:pStyle w:val="6"/>
        <w:rPr>
          <w:color w:val="auto"/>
        </w:rPr>
      </w:pPr>
    </w:p>
    <w:p w14:paraId="3F891B12">
      <w:pPr>
        <w:rPr>
          <w:color w:val="auto"/>
        </w:rPr>
      </w:pPr>
    </w:p>
    <w:p w14:paraId="0654FEEE">
      <w:pPr>
        <w:pStyle w:val="6"/>
        <w:rPr>
          <w:color w:val="auto"/>
        </w:rPr>
      </w:pPr>
    </w:p>
    <w:p w14:paraId="6DD67FEE">
      <w:pPr>
        <w:autoSpaceDE w:val="0"/>
        <w:autoSpaceDN w:val="0"/>
        <w:spacing w:line="800" w:lineRule="exact"/>
        <w:jc w:val="center"/>
        <w:rPr>
          <w:rFonts w:ascii="宋体" w:hAnsi="宋体" w:cs="宋体"/>
          <w:b/>
          <w:color w:val="auto"/>
          <w:spacing w:val="8"/>
          <w:sz w:val="32"/>
          <w:szCs w:val="32"/>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start="0"/>
          <w:cols w:space="720" w:num="1"/>
          <w:docGrid w:linePitch="312" w:charSpace="0"/>
        </w:sectPr>
      </w:pPr>
      <w:r>
        <w:rPr>
          <w:rFonts w:hint="eastAsia" w:ascii="宋体" w:hAnsi="宋体" w:cs="宋体"/>
          <w:b/>
          <w:color w:val="auto"/>
          <w:spacing w:val="8"/>
          <w:sz w:val="32"/>
          <w:szCs w:val="32"/>
          <w:lang w:eastAsia="zh-CN"/>
        </w:rPr>
        <w:t>二〇二五</w:t>
      </w:r>
      <w:r>
        <w:rPr>
          <w:rFonts w:hint="eastAsia" w:ascii="宋体" w:hAnsi="宋体" w:cs="宋体"/>
          <w:b/>
          <w:color w:val="auto"/>
          <w:spacing w:val="8"/>
          <w:sz w:val="32"/>
          <w:szCs w:val="32"/>
          <w:highlight w:val="none"/>
        </w:rPr>
        <w:t>年</w:t>
      </w:r>
      <w:r>
        <w:rPr>
          <w:rFonts w:hint="eastAsia" w:ascii="宋体" w:hAnsi="宋体" w:cs="宋体"/>
          <w:b/>
          <w:color w:val="auto"/>
          <w:spacing w:val="8"/>
          <w:sz w:val="32"/>
          <w:szCs w:val="32"/>
          <w:highlight w:val="none"/>
          <w:u w:val="none"/>
          <w:lang w:val="en-US" w:eastAsia="zh-CN"/>
        </w:rPr>
        <w:t>六</w:t>
      </w:r>
      <w:r>
        <w:rPr>
          <w:rFonts w:hint="eastAsia" w:ascii="宋体" w:hAnsi="宋体" w:cs="宋体"/>
          <w:b/>
          <w:color w:val="auto"/>
          <w:spacing w:val="8"/>
          <w:sz w:val="32"/>
          <w:szCs w:val="32"/>
          <w:highlight w:val="none"/>
        </w:rPr>
        <w:t>月</w:t>
      </w:r>
    </w:p>
    <w:p w14:paraId="1F25202B">
      <w:pPr>
        <w:spacing w:line="800" w:lineRule="exact"/>
        <w:jc w:val="center"/>
        <w:rPr>
          <w:rFonts w:ascii="宋体" w:hAnsi="宋体" w:cs="宋体"/>
          <w:b/>
          <w:color w:val="auto"/>
          <w:kern w:val="0"/>
          <w:sz w:val="36"/>
          <w:szCs w:val="36"/>
        </w:rPr>
      </w:pPr>
      <w:r>
        <w:rPr>
          <w:rFonts w:hint="eastAsia" w:ascii="宋体" w:hAnsi="宋体" w:cs="宋体"/>
          <w:b/>
          <w:color w:val="auto"/>
          <w:kern w:val="0"/>
          <w:sz w:val="36"/>
          <w:szCs w:val="36"/>
        </w:rPr>
        <w:t>目 录</w:t>
      </w:r>
    </w:p>
    <w:p w14:paraId="4A0ED55F">
      <w:pPr>
        <w:pStyle w:val="37"/>
        <w:tabs>
          <w:tab w:val="right" w:leader="dot" w:pos="9638"/>
        </w:tabs>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kern w:val="0"/>
          <w:szCs w:val="24"/>
        </w:rPr>
        <w:instrText xml:space="preserve"> HYPERLINK \l _Toc22741 </w:instrText>
      </w:r>
      <w:r>
        <w:rPr>
          <w:rFonts w:hint="eastAsia" w:ascii="宋体" w:hAnsi="宋体" w:eastAsia="宋体" w:cs="宋体"/>
          <w:caps w:val="0"/>
          <w:smallCaps/>
          <w:kern w:val="0"/>
          <w:szCs w:val="24"/>
        </w:rPr>
        <w:fldChar w:fldCharType="separate"/>
      </w:r>
      <w:r>
        <w:rPr>
          <w:rFonts w:hint="eastAsia" w:ascii="宋体" w:hAnsi="宋体" w:eastAsia="宋体" w:cs="宋体"/>
          <w:kern w:val="0"/>
          <w:szCs w:val="36"/>
        </w:rPr>
        <w:t>第一章 比选公告</w:t>
      </w:r>
      <w:r>
        <w:tab/>
      </w:r>
      <w:r>
        <w:fldChar w:fldCharType="begin"/>
      </w:r>
      <w:r>
        <w:instrText xml:space="preserve"> PAGEREF _Toc22741 \h </w:instrText>
      </w:r>
      <w:r>
        <w:fldChar w:fldCharType="separate"/>
      </w:r>
      <w:r>
        <w:t>2</w:t>
      </w:r>
      <w:r>
        <w:fldChar w:fldCharType="end"/>
      </w:r>
      <w:r>
        <w:rPr>
          <w:rFonts w:hint="eastAsia" w:ascii="宋体" w:hAnsi="宋体" w:eastAsia="宋体" w:cs="宋体"/>
          <w:caps w:val="0"/>
          <w:smallCaps/>
          <w:color w:val="auto"/>
          <w:kern w:val="0"/>
          <w:szCs w:val="24"/>
        </w:rPr>
        <w:fldChar w:fldCharType="end"/>
      </w:r>
    </w:p>
    <w:p w14:paraId="025F1BB5">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_Toc15667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第二章 竞选人须知</w:t>
      </w:r>
      <w:r>
        <w:tab/>
      </w:r>
      <w:r>
        <w:fldChar w:fldCharType="begin"/>
      </w:r>
      <w:r>
        <w:instrText xml:space="preserve"> PAGEREF _Toc15667 \h </w:instrText>
      </w:r>
      <w:r>
        <w:fldChar w:fldCharType="separate"/>
      </w:r>
      <w:r>
        <w:t>5</w:t>
      </w:r>
      <w:r>
        <w:fldChar w:fldCharType="end"/>
      </w:r>
      <w:r>
        <w:rPr>
          <w:rFonts w:hint="eastAsia" w:ascii="宋体" w:hAnsi="宋体" w:eastAsia="宋体" w:cs="宋体"/>
          <w:caps/>
          <w:smallCaps w:val="0"/>
          <w:color w:val="auto"/>
          <w:kern w:val="0"/>
          <w:szCs w:val="24"/>
        </w:rPr>
        <w:fldChar w:fldCharType="end"/>
      </w:r>
    </w:p>
    <w:p w14:paraId="4DDD7543">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_Toc9816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第三章 评审办法（综合评审法）</w:t>
      </w:r>
      <w:r>
        <w:tab/>
      </w:r>
      <w:r>
        <w:fldChar w:fldCharType="begin"/>
      </w:r>
      <w:r>
        <w:instrText xml:space="preserve"> PAGEREF _Toc9816 \h </w:instrText>
      </w:r>
      <w:r>
        <w:fldChar w:fldCharType="separate"/>
      </w:r>
      <w:r>
        <w:t>21</w:t>
      </w:r>
      <w:r>
        <w:fldChar w:fldCharType="end"/>
      </w:r>
      <w:r>
        <w:rPr>
          <w:rFonts w:hint="eastAsia" w:ascii="宋体" w:hAnsi="宋体" w:eastAsia="宋体" w:cs="宋体"/>
          <w:caps/>
          <w:smallCaps w:val="0"/>
          <w:color w:val="auto"/>
          <w:kern w:val="0"/>
          <w:szCs w:val="24"/>
        </w:rPr>
        <w:fldChar w:fldCharType="end"/>
      </w:r>
    </w:p>
    <w:p w14:paraId="1642A724">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_Toc14941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第四章 合同条款</w:t>
      </w:r>
      <w:r>
        <w:rPr>
          <w:rFonts w:hint="eastAsia" w:ascii="宋体" w:hAnsi="宋体" w:eastAsia="宋体" w:cs="宋体"/>
          <w:kern w:val="0"/>
          <w:szCs w:val="36"/>
          <w:lang w:val="en-US" w:eastAsia="zh-CN"/>
        </w:rPr>
        <w:t>及格式</w:t>
      </w:r>
      <w:r>
        <w:tab/>
      </w:r>
      <w:r>
        <w:fldChar w:fldCharType="begin"/>
      </w:r>
      <w:r>
        <w:instrText xml:space="preserve"> PAGEREF _Toc14941 \h </w:instrText>
      </w:r>
      <w:r>
        <w:fldChar w:fldCharType="separate"/>
      </w:r>
      <w:r>
        <w:t>29</w:t>
      </w:r>
      <w:r>
        <w:fldChar w:fldCharType="end"/>
      </w:r>
      <w:r>
        <w:rPr>
          <w:rFonts w:hint="eastAsia" w:ascii="宋体" w:hAnsi="宋体" w:eastAsia="宋体" w:cs="宋体"/>
          <w:caps/>
          <w:smallCaps w:val="0"/>
          <w:color w:val="auto"/>
          <w:kern w:val="0"/>
          <w:szCs w:val="24"/>
        </w:rPr>
        <w:fldChar w:fldCharType="end"/>
      </w:r>
    </w:p>
    <w:p w14:paraId="6AE4D6E9">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_Toc6498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第五章 工程量清单</w:t>
      </w:r>
      <w:r>
        <w:tab/>
      </w:r>
      <w:r>
        <w:fldChar w:fldCharType="begin"/>
      </w:r>
      <w:r>
        <w:instrText xml:space="preserve"> PAGEREF _Toc6498 \h </w:instrText>
      </w:r>
      <w:r>
        <w:fldChar w:fldCharType="separate"/>
      </w:r>
      <w:r>
        <w:t>34</w:t>
      </w:r>
      <w:r>
        <w:fldChar w:fldCharType="end"/>
      </w:r>
      <w:r>
        <w:rPr>
          <w:rFonts w:hint="eastAsia" w:ascii="宋体" w:hAnsi="宋体" w:eastAsia="宋体" w:cs="宋体"/>
          <w:caps/>
          <w:smallCaps w:val="0"/>
          <w:color w:val="auto"/>
          <w:kern w:val="0"/>
          <w:szCs w:val="24"/>
        </w:rPr>
        <w:fldChar w:fldCharType="end"/>
      </w:r>
    </w:p>
    <w:p w14:paraId="6CFAFB34">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_Toc20165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lang w:val="en-US" w:eastAsia="zh-CN"/>
        </w:rPr>
        <w:t>第六章  图   纸</w:t>
      </w:r>
      <w:r>
        <w:tab/>
      </w:r>
      <w:r>
        <w:fldChar w:fldCharType="begin"/>
      </w:r>
      <w:r>
        <w:instrText xml:space="preserve"> PAGEREF _Toc20165 \h </w:instrText>
      </w:r>
      <w:r>
        <w:fldChar w:fldCharType="separate"/>
      </w:r>
      <w:r>
        <w:t>34</w:t>
      </w:r>
      <w:r>
        <w:fldChar w:fldCharType="end"/>
      </w:r>
      <w:r>
        <w:rPr>
          <w:rFonts w:hint="eastAsia" w:ascii="宋体" w:hAnsi="宋体" w:eastAsia="宋体" w:cs="宋体"/>
          <w:caps/>
          <w:smallCaps w:val="0"/>
          <w:color w:val="auto"/>
          <w:kern w:val="0"/>
          <w:szCs w:val="24"/>
        </w:rPr>
        <w:fldChar w:fldCharType="end"/>
      </w:r>
    </w:p>
    <w:p w14:paraId="7CB478FF">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_Toc3131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lang w:val="en-US" w:eastAsia="zh-CN"/>
        </w:rPr>
        <w:t>第七章  技术标准和要求</w:t>
      </w:r>
      <w:r>
        <w:tab/>
      </w:r>
      <w:r>
        <w:fldChar w:fldCharType="begin"/>
      </w:r>
      <w:r>
        <w:instrText xml:space="preserve"> PAGEREF _Toc3131 \h </w:instrText>
      </w:r>
      <w:r>
        <w:fldChar w:fldCharType="separate"/>
      </w:r>
      <w:r>
        <w:t>34</w:t>
      </w:r>
      <w:r>
        <w:fldChar w:fldCharType="end"/>
      </w:r>
      <w:r>
        <w:rPr>
          <w:rFonts w:hint="eastAsia" w:ascii="宋体" w:hAnsi="宋体" w:eastAsia="宋体" w:cs="宋体"/>
          <w:caps/>
          <w:smallCaps w:val="0"/>
          <w:color w:val="auto"/>
          <w:kern w:val="0"/>
          <w:szCs w:val="24"/>
        </w:rPr>
        <w:fldChar w:fldCharType="end"/>
      </w:r>
    </w:p>
    <w:p w14:paraId="2267D30A">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_Toc31789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w:t>
      </w:r>
      <w:r>
        <w:rPr>
          <w:rFonts w:hint="eastAsia" w:ascii="宋体" w:hAnsi="宋体" w:eastAsia="宋体" w:cs="宋体"/>
          <w:kern w:val="0"/>
          <w:szCs w:val="36"/>
          <w:lang w:val="en-US" w:eastAsia="zh-CN"/>
        </w:rPr>
        <w:t>八</w:t>
      </w:r>
      <w:r>
        <w:rPr>
          <w:rFonts w:hint="eastAsia" w:ascii="宋体" w:hAnsi="宋体" w:eastAsia="宋体" w:cs="宋体"/>
          <w:kern w:val="0"/>
          <w:szCs w:val="36"/>
        </w:rPr>
        <w:t>章  竞选文件格式</w:t>
      </w:r>
      <w:r>
        <w:tab/>
      </w:r>
      <w:r>
        <w:fldChar w:fldCharType="begin"/>
      </w:r>
      <w:r>
        <w:instrText xml:space="preserve"> PAGEREF _Toc31789 \h </w:instrText>
      </w:r>
      <w:r>
        <w:fldChar w:fldCharType="separate"/>
      </w:r>
      <w:r>
        <w:t>35</w:t>
      </w:r>
      <w:r>
        <w:fldChar w:fldCharType="end"/>
      </w:r>
      <w:r>
        <w:rPr>
          <w:rFonts w:hint="eastAsia" w:ascii="宋体" w:hAnsi="宋体" w:eastAsia="宋体" w:cs="宋体"/>
          <w:caps/>
          <w:smallCaps w:val="0"/>
          <w:color w:val="auto"/>
          <w:kern w:val="0"/>
          <w:szCs w:val="24"/>
        </w:rPr>
        <w:fldChar w:fldCharType="end"/>
      </w:r>
    </w:p>
    <w:p w14:paraId="48DACDA6">
      <w:pPr>
        <w:pStyle w:val="43"/>
        <w:tabs>
          <w:tab w:val="right" w:leader="dot" w:pos="9638"/>
          <w:tab w:val="clear" w:pos="8609"/>
        </w:tabs>
        <w:adjustRightInd w:val="0"/>
        <w:snapToGrid w:val="0"/>
        <w:spacing w:line="800" w:lineRule="exact"/>
        <w:ind w:left="0"/>
        <w:jc w:val="both"/>
        <w:rPr>
          <w:rFonts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14:paraId="768D0B8D">
      <w:pPr>
        <w:pStyle w:val="7"/>
        <w:numPr>
          <w:ilvl w:val="0"/>
          <w:numId w:val="0"/>
        </w:numPr>
        <w:spacing w:after="156" w:afterLines="50" w:line="500" w:lineRule="exact"/>
        <w:rPr>
          <w:rFonts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22741"/>
      <w:r>
        <w:rPr>
          <w:rFonts w:hint="eastAsia" w:ascii="宋体" w:hAnsi="宋体" w:eastAsia="宋体" w:cs="宋体"/>
          <w:b/>
          <w:color w:val="auto"/>
          <w:kern w:val="0"/>
          <w:sz w:val="36"/>
          <w:szCs w:val="36"/>
        </w:rPr>
        <w:t>第一章 比选公告</w:t>
      </w:r>
      <w:bookmarkEnd w:id="0"/>
    </w:p>
    <w:p w14:paraId="43D3E1CB">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1"/>
        <w:rPr>
          <w:rFonts w:ascii="宋体" w:hAnsi="宋体" w:cs="宋体"/>
          <w:color w:val="auto"/>
          <w:highlight w:val="none"/>
        </w:rPr>
      </w:pPr>
      <w:r>
        <w:rPr>
          <w:rFonts w:hint="eastAsia" w:ascii="宋体" w:hAnsi="宋体" w:cs="宋体"/>
          <w:b/>
          <w:snapToGrid w:val="0"/>
          <w:color w:val="auto"/>
          <w:w w:val="99"/>
          <w:kern w:val="0"/>
          <w:sz w:val="28"/>
          <w:szCs w:val="28"/>
          <w:highlight w:val="none"/>
          <w:lang w:eastAsia="zh-CN"/>
        </w:rPr>
        <w:t>2025年博艺楼新初一教室改造工程</w:t>
      </w:r>
      <w:r>
        <w:rPr>
          <w:rFonts w:hint="eastAsia" w:ascii="宋体" w:hAnsi="宋体" w:cs="宋体"/>
          <w:b/>
          <w:snapToGrid w:val="0"/>
          <w:color w:val="auto"/>
          <w:w w:val="99"/>
          <w:kern w:val="0"/>
          <w:sz w:val="28"/>
          <w:szCs w:val="28"/>
          <w:highlight w:val="none"/>
        </w:rPr>
        <w:t>比选公告</w:t>
      </w:r>
    </w:p>
    <w:p w14:paraId="0BB027A1">
      <w:pPr>
        <w:pStyle w:val="8"/>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1" w:name="_Toc16223"/>
      <w:r>
        <w:rPr>
          <w:rFonts w:hint="eastAsia" w:ascii="宋体" w:hAnsi="宋体" w:eastAsia="宋体" w:cs="宋体"/>
          <w:bCs/>
          <w:color w:val="auto"/>
          <w:spacing w:val="0"/>
          <w:w w:val="100"/>
          <w:kern w:val="0"/>
          <w:sz w:val="21"/>
          <w:szCs w:val="21"/>
          <w:highlight w:val="none"/>
        </w:rPr>
        <w:t>1.比选条件</w:t>
      </w:r>
      <w:bookmarkEnd w:id="1"/>
    </w:p>
    <w:p w14:paraId="4DCBACCB">
      <w:pPr>
        <w:widowControl/>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lang w:val="en-US" w:eastAsia="zh-CN"/>
        </w:rPr>
        <w:t>2025年博艺楼新初一教室改造工程</w:t>
      </w:r>
      <w:r>
        <w:rPr>
          <w:rFonts w:hint="eastAsia" w:ascii="宋体" w:hAnsi="宋体" w:cs="宋体"/>
          <w:color w:val="auto"/>
          <w:szCs w:val="21"/>
          <w:highlight w:val="none"/>
        </w:rPr>
        <w:t>项目资金</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u w:val="single"/>
          <w:lang w:val="en-US" w:eastAsia="zh-CN"/>
        </w:rPr>
        <w:t>财政预算资金</w:t>
      </w:r>
      <w:r>
        <w:rPr>
          <w:rFonts w:hint="eastAsia" w:ascii="宋体" w:hAnsi="宋体" w:cs="宋体"/>
          <w:color w:val="auto"/>
          <w:szCs w:val="21"/>
          <w:highlight w:val="none"/>
        </w:rPr>
        <w:t>，出资比例为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，比选人为</w:t>
      </w:r>
      <w:r>
        <w:rPr>
          <w:rFonts w:hint="eastAsia" w:ascii="宋体" w:hAnsi="宋体" w:cs="宋体"/>
          <w:color w:val="auto"/>
          <w:szCs w:val="21"/>
          <w:highlight w:val="none"/>
          <w:u w:val="single"/>
          <w:lang w:val="en-US" w:eastAsia="zh-CN"/>
        </w:rPr>
        <w:t>重庆市八中科学城中学校</w:t>
      </w:r>
      <w:r>
        <w:rPr>
          <w:rFonts w:hint="eastAsia" w:ascii="宋体" w:hAnsi="宋体" w:cs="宋体"/>
          <w:color w:val="auto"/>
          <w:szCs w:val="21"/>
          <w:highlight w:val="none"/>
        </w:rPr>
        <w:t>。项目已具备竞争性比选条件，现对该项目进行公开竞争性比选。</w:t>
      </w:r>
    </w:p>
    <w:p w14:paraId="459FEFAE">
      <w:pPr>
        <w:pStyle w:val="8"/>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2" w:name="_Toc24523"/>
      <w:r>
        <w:rPr>
          <w:rFonts w:hint="eastAsia" w:ascii="宋体" w:hAnsi="宋体" w:eastAsia="宋体" w:cs="宋体"/>
          <w:bCs/>
          <w:color w:val="auto"/>
          <w:spacing w:val="0"/>
          <w:w w:val="100"/>
          <w:kern w:val="0"/>
          <w:sz w:val="21"/>
          <w:szCs w:val="21"/>
          <w:highlight w:val="none"/>
        </w:rPr>
        <w:t>2.项目概况与比选范围</w:t>
      </w:r>
      <w:bookmarkEnd w:id="2"/>
    </w:p>
    <w:p w14:paraId="22E316EF">
      <w:pPr>
        <w:spacing w:line="440" w:lineRule="exact"/>
        <w:ind w:firstLine="420" w:firstLineChars="200"/>
        <w:rPr>
          <w:rFonts w:ascii="宋体" w:hAnsi="宋体" w:cs="宋体"/>
          <w:color w:val="auto"/>
          <w:szCs w:val="21"/>
          <w:highlight w:val="none"/>
        </w:rPr>
      </w:pPr>
      <w:bookmarkStart w:id="3" w:name="_Toc3086"/>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建设</w:t>
      </w:r>
      <w:r>
        <w:rPr>
          <w:rFonts w:hint="eastAsia" w:ascii="宋体" w:hAnsi="宋体" w:cs="宋体"/>
          <w:color w:val="auto"/>
          <w:szCs w:val="21"/>
          <w:highlight w:val="none"/>
        </w:rPr>
        <w:t>地点：重庆市八中科学城中学校。</w:t>
      </w:r>
    </w:p>
    <w:p w14:paraId="2662BEC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2.2项目概况：</w:t>
      </w:r>
      <w:r>
        <w:rPr>
          <w:rFonts w:hint="eastAsia" w:ascii="宋体" w:hAnsi="宋体" w:cs="宋体"/>
          <w:color w:val="auto"/>
          <w:szCs w:val="21"/>
          <w:highlight w:val="none"/>
          <w:lang w:val="en-US" w:eastAsia="zh-CN"/>
        </w:rPr>
        <w:t>包含不限于墙面地面拆除、零星砌砖、现浇构件钢筋、门窗安装、灯安装、屋面防水、楼地面装饰、余方弃置、配管配线、场内运输、垃圾清运等工程内容</w:t>
      </w:r>
      <w:r>
        <w:rPr>
          <w:rFonts w:hint="eastAsia" w:ascii="宋体" w:hAnsi="宋体" w:cs="宋体"/>
          <w:color w:val="auto"/>
          <w:szCs w:val="21"/>
          <w:highlight w:val="none"/>
        </w:rPr>
        <w:t>。</w:t>
      </w:r>
    </w:p>
    <w:p w14:paraId="3185638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392854.53</w:t>
      </w:r>
      <w:r>
        <w:rPr>
          <w:rFonts w:hint="eastAsia" w:ascii="宋体" w:hAnsi="宋体" w:cs="宋体"/>
          <w:color w:val="auto"/>
          <w:szCs w:val="21"/>
          <w:highlight w:val="none"/>
        </w:rPr>
        <w:t>元。</w:t>
      </w:r>
    </w:p>
    <w:p w14:paraId="3962E8F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2.4比选范围：按照</w:t>
      </w:r>
      <w:r>
        <w:rPr>
          <w:rFonts w:hint="eastAsia" w:ascii="宋体" w:hAnsi="宋体" w:cs="宋体"/>
          <w:color w:val="auto"/>
          <w:szCs w:val="21"/>
          <w:highlight w:val="none"/>
          <w:lang w:val="en-US" w:eastAsia="zh-CN"/>
        </w:rPr>
        <w:t>重庆市八中科学城中学校</w:t>
      </w:r>
      <w:r>
        <w:rPr>
          <w:rFonts w:hint="eastAsia" w:ascii="宋体" w:hAnsi="宋体" w:cs="宋体"/>
          <w:color w:val="auto"/>
          <w:szCs w:val="21"/>
          <w:highlight w:val="none"/>
        </w:rPr>
        <w:t>采购要求，</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u w:val="none"/>
          <w:lang w:val="en-US" w:eastAsia="zh-CN"/>
        </w:rPr>
        <w:t>拆除工程、电气安装工程、全费用工程及装饰工程</w:t>
      </w:r>
      <w:r>
        <w:rPr>
          <w:rFonts w:hint="eastAsia" w:ascii="宋体" w:hAnsi="宋体" w:cs="宋体"/>
          <w:color w:val="auto"/>
          <w:szCs w:val="21"/>
          <w:highlight w:val="none"/>
          <w:lang w:val="en-US" w:eastAsia="zh-CN"/>
        </w:rPr>
        <w:t>，工程量清单和图纸详见附件</w:t>
      </w:r>
      <w:r>
        <w:rPr>
          <w:rFonts w:hint="eastAsia" w:ascii="宋体" w:hAnsi="宋体" w:cs="宋体"/>
          <w:color w:val="auto"/>
          <w:szCs w:val="21"/>
          <w:highlight w:val="none"/>
        </w:rPr>
        <w:t>。</w:t>
      </w:r>
    </w:p>
    <w:p w14:paraId="210C7C5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snapToGrid w:val="0"/>
          <w:color w:val="auto"/>
          <w:kern w:val="0"/>
          <w:szCs w:val="21"/>
          <w:highlight w:val="none"/>
        </w:rPr>
        <w:t>工期</w:t>
      </w:r>
      <w:r>
        <w:rPr>
          <w:rFonts w:hint="eastAsia" w:ascii="宋体" w:hAnsi="宋体" w:cs="宋体"/>
          <w:color w:val="auto"/>
          <w:szCs w:val="21"/>
          <w:highlight w:val="none"/>
        </w:rPr>
        <w:t>：</w:t>
      </w:r>
      <w:bookmarkStart w:id="4" w:name="OLE_LINK6"/>
      <w:r>
        <w:rPr>
          <w:rFonts w:hint="eastAsia" w:ascii="宋体" w:hAnsi="宋体" w:cs="宋体"/>
          <w:snapToGrid w:val="0"/>
          <w:color w:val="auto"/>
          <w:kern w:val="0"/>
          <w:szCs w:val="21"/>
          <w:highlight w:val="none"/>
          <w:u w:val="none"/>
          <w:lang w:val="en-US" w:eastAsia="zh-CN"/>
        </w:rPr>
        <w:t>中选人应在合同签订之日起10个工作日内组织人员进场施工，合同签订之日起45个日历天内全部完成项目工程内容并达到验收标准。中选人若未按时完工，每延迟一天除扣1000元的违约金，因延迟完工给比选人造成的损失，由中选人全部承担并赔偿。</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none"/>
          <w:lang w:val="en-US" w:eastAsia="zh-CN"/>
        </w:rPr>
        <w:t>工程缺陷责任期为两年，其中防水工程部分为五年</w:t>
      </w:r>
      <w:r>
        <w:rPr>
          <w:rFonts w:hint="eastAsia" w:ascii="宋体" w:hAnsi="宋体" w:cs="宋体"/>
          <w:snapToGrid w:val="0"/>
          <w:color w:val="auto"/>
          <w:kern w:val="0"/>
          <w:szCs w:val="21"/>
          <w:highlight w:val="none"/>
          <w:u w:val="none"/>
          <w:lang w:val="en-US" w:eastAsia="zh-CN"/>
        </w:rPr>
        <w:t>。</w:t>
      </w:r>
      <w:bookmarkEnd w:id="4"/>
    </w:p>
    <w:p w14:paraId="766AEAE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2.6标段划分：</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697766BC">
      <w:pPr>
        <w:pStyle w:val="8"/>
        <w:keepNext/>
        <w:keepLines/>
        <w:autoSpaceDE/>
        <w:autoSpaceDN/>
        <w:spacing w:line="500" w:lineRule="exact"/>
        <w:jc w:val="both"/>
        <w:rPr>
          <w:rFonts w:ascii="宋体" w:hAnsi="宋体" w:eastAsia="宋体" w:cs="宋体"/>
          <w:bCs/>
          <w:color w:val="auto"/>
          <w:spacing w:val="0"/>
          <w:w w:val="100"/>
          <w:kern w:val="0"/>
          <w:sz w:val="21"/>
          <w:szCs w:val="21"/>
          <w:highlight w:val="none"/>
        </w:rPr>
      </w:pPr>
      <w:r>
        <w:rPr>
          <w:rFonts w:hint="eastAsia" w:ascii="宋体" w:hAnsi="宋体" w:eastAsia="宋体" w:cs="宋体"/>
          <w:bCs/>
          <w:color w:val="auto"/>
          <w:spacing w:val="0"/>
          <w:w w:val="100"/>
          <w:kern w:val="0"/>
          <w:sz w:val="21"/>
          <w:szCs w:val="21"/>
          <w:highlight w:val="none"/>
        </w:rPr>
        <w:t>3.竞选人资格要求</w:t>
      </w:r>
      <w:bookmarkEnd w:id="3"/>
    </w:p>
    <w:p w14:paraId="173D13F9">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highlight w:val="none"/>
        </w:rPr>
      </w:pPr>
      <w:r>
        <w:rPr>
          <w:rFonts w:hint="eastAsia" w:ascii="宋体" w:hAnsi="宋体" w:cs="宋体"/>
          <w:color w:val="auto"/>
          <w:szCs w:val="21"/>
          <w:highlight w:val="none"/>
        </w:rPr>
        <w:t>3.1本项目实行资格后审，竞选人应具备以下资格条件：</w:t>
      </w:r>
    </w:p>
    <w:p w14:paraId="47982D99">
      <w:pPr>
        <w:tabs>
          <w:tab w:val="left" w:pos="747"/>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3.1.1竞选人须具备独立法人资格，具有有效的营业执照。</w:t>
      </w:r>
    </w:p>
    <w:p w14:paraId="15688508">
      <w:pPr>
        <w:tabs>
          <w:tab w:val="left" w:pos="747"/>
        </w:tabs>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3.1.2</w:t>
      </w:r>
      <w:r>
        <w:rPr>
          <w:rFonts w:hint="eastAsia" w:ascii="宋体" w:hAnsi="宋体" w:cs="宋体"/>
          <w:color w:val="auto"/>
          <w:szCs w:val="21"/>
          <w:highlight w:val="none"/>
          <w:lang w:val="en-US" w:eastAsia="zh-CN"/>
        </w:rPr>
        <w:t>特定资格条件</w:t>
      </w:r>
    </w:p>
    <w:p w14:paraId="61258302">
      <w:pPr>
        <w:tabs>
          <w:tab w:val="left" w:pos="74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具体要求详见比选文件第二章竞选人须知前附表1.4.1项内容。</w:t>
      </w:r>
    </w:p>
    <w:p w14:paraId="73E43519">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highlight w:val="none"/>
        </w:rPr>
      </w:pPr>
      <w:r>
        <w:rPr>
          <w:rFonts w:hint="eastAsia" w:ascii="宋体" w:hAnsi="宋体" w:cs="宋体"/>
          <w:color w:val="auto"/>
          <w:szCs w:val="21"/>
          <w:highlight w:val="none"/>
        </w:rPr>
        <w:t>3.2本次比选不接受联合体竞选。</w:t>
      </w:r>
    </w:p>
    <w:p w14:paraId="61DDBAC2">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14:paraId="52180784">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4.1 本次比选公告的发布时间为：</w:t>
      </w:r>
      <w:r>
        <w:rPr>
          <w:rFonts w:hint="eastAsia" w:ascii="宋体" w:hAnsi="宋体" w:cs="宋体"/>
          <w:snapToGrid w:val="0"/>
          <w:color w:val="auto"/>
          <w:kern w:val="0"/>
          <w:szCs w:val="21"/>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日。</w:t>
      </w:r>
    </w:p>
    <w:p w14:paraId="5B09AAD9">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4.2竞争性比选公告、答疑等比选前的有关资料及相关事宜在</w:t>
      </w:r>
      <w:r>
        <w:rPr>
          <w:rFonts w:hint="eastAsia" w:ascii="宋体" w:hAnsi="宋体" w:cs="宋体"/>
          <w:snapToGrid w:val="0"/>
          <w:color w:val="auto"/>
          <w:kern w:val="0"/>
          <w:szCs w:val="21"/>
          <w:highlight w:val="none"/>
          <w:lang w:eastAsia="zh-CN"/>
        </w:rPr>
        <w:t>行采家（https://www.gec123.com/）</w:t>
      </w:r>
      <w:r>
        <w:rPr>
          <w:rFonts w:hint="eastAsia" w:ascii="宋体" w:hAnsi="宋体" w:cs="宋体"/>
          <w:snapToGrid w:val="0"/>
          <w:color w:val="auto"/>
          <w:kern w:val="0"/>
          <w:szCs w:val="21"/>
          <w:highlight w:val="none"/>
        </w:rPr>
        <w:t>网上下载。不管下载与否都视为竞选人全部知晓有关比选过程和事宜。在比选截止日前，各竞选人应随时关注网上发布的比选补遗通知。</w:t>
      </w:r>
    </w:p>
    <w:p w14:paraId="3B6FECDD">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比选文件获取时间：</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日（上午09:00-下午17:00工作时间）。</w:t>
      </w:r>
    </w:p>
    <w:p w14:paraId="7027728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4.4 比选文件获取方式：</w:t>
      </w:r>
    </w:p>
    <w:p w14:paraId="59FE245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）工本费：人民币300元/份（售后不退），竞选人须将工本费（公司账户）汇至以下账户内进行缴纳竞争性比选文件费用。</w:t>
      </w:r>
    </w:p>
    <w:p w14:paraId="451052E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户  名：重庆爱采招标代理有限公司</w:t>
      </w:r>
    </w:p>
    <w:p w14:paraId="310B0B5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开户行：交通银行重庆巴南支行</w:t>
      </w:r>
    </w:p>
    <w:p w14:paraId="4186C91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帐号：500122015018000012342。</w:t>
      </w:r>
    </w:p>
    <w:p w14:paraId="5D25553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获取方式：在竞争性比选文件获取期限内，竞选人将《</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》（加盖竞选人公章）、缴费凭证扫描后发送邮箱</w:t>
      </w:r>
      <w:r>
        <w:rPr>
          <w:rFonts w:hint="eastAsia" w:ascii="宋体" w:hAnsi="宋体" w:cs="宋体"/>
          <w:snapToGrid w:val="0"/>
          <w:color w:val="auto"/>
          <w:kern w:val="0"/>
          <w:szCs w:val="21"/>
          <w:highlight w:val="none"/>
          <w:shd w:val="clear" w:color="auto" w:fill="auto"/>
          <w:lang w:eastAsia="zh-CN"/>
        </w:rPr>
        <w:t>2136746604</w:t>
      </w:r>
      <w:r>
        <w:rPr>
          <w:rFonts w:hint="eastAsia" w:ascii="宋体" w:hAnsi="宋体" w:cs="宋体"/>
          <w:snapToGrid w:val="0"/>
          <w:color w:val="auto"/>
          <w:kern w:val="0"/>
          <w:szCs w:val="21"/>
          <w:highlight w:val="none"/>
        </w:rPr>
        <w:t>@qq.com（邮箱截止时间按邮箱显示邮件达到时间为准）。</w:t>
      </w:r>
    </w:p>
    <w:p w14:paraId="7855C5DC">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）在竞争性比选文件获取期限内缴纳了工本费</w:t>
      </w:r>
      <w:r>
        <w:rPr>
          <w:rFonts w:hint="eastAsia" w:ascii="宋体" w:hAnsi="宋体" w:cs="宋体"/>
          <w:snapToGrid w:val="0"/>
          <w:color w:val="auto"/>
          <w:kern w:val="0"/>
          <w:szCs w:val="21"/>
          <w:highlight w:val="none"/>
          <w:lang w:val="en-US" w:eastAsia="zh-CN"/>
        </w:rPr>
        <w:t>和</w:t>
      </w:r>
      <w:r>
        <w:rPr>
          <w:rFonts w:hint="eastAsia" w:ascii="宋体" w:hAnsi="宋体" w:cs="宋体"/>
          <w:snapToGrid w:val="0"/>
          <w:color w:val="auto"/>
          <w:kern w:val="0"/>
          <w:szCs w:val="21"/>
          <w:highlight w:val="none"/>
        </w:rPr>
        <w:t>回传《</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》的竞选人，其</w:t>
      </w:r>
      <w:r>
        <w:rPr>
          <w:rFonts w:hint="eastAsia" w:ascii="宋体" w:hAnsi="宋体" w:cs="宋体"/>
          <w:snapToGrid w:val="0"/>
          <w:color w:val="auto"/>
          <w:kern w:val="0"/>
          <w:szCs w:val="21"/>
          <w:highlight w:val="none"/>
          <w:lang w:eastAsia="zh-CN"/>
        </w:rPr>
        <w:t>竞选文件</w:t>
      </w:r>
      <w:r>
        <w:rPr>
          <w:rFonts w:hint="eastAsia" w:ascii="宋体" w:hAnsi="宋体" w:cs="宋体"/>
          <w:snapToGrid w:val="0"/>
          <w:color w:val="auto"/>
          <w:kern w:val="0"/>
          <w:szCs w:val="21"/>
          <w:highlight w:val="none"/>
        </w:rPr>
        <w:t>才能被接收。</w:t>
      </w:r>
    </w:p>
    <w:p w14:paraId="7715959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fldChar w:fldCharType="begin"/>
      </w:r>
      <w:r>
        <w:rPr>
          <w:rFonts w:hint="eastAsia" w:ascii="宋体" w:hAnsi="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cs="宋体"/>
          <w:snapToGrid w:val="0"/>
          <w:color w:val="auto"/>
          <w:kern w:val="0"/>
          <w:szCs w:val="21"/>
          <w:highlight w:val="none"/>
          <w:lang w:val="en-US" w:eastAsia="zh-CN"/>
        </w:rPr>
        <w:fldChar w:fldCharType="separate"/>
      </w:r>
      <w:r>
        <w:rPr>
          <w:rFonts w:hint="eastAsia" w:ascii="宋体" w:hAnsi="宋体" w:cs="宋体"/>
          <w:snapToGrid w:val="0"/>
          <w:color w:val="auto"/>
          <w:kern w:val="0"/>
          <w:szCs w:val="21"/>
          <w:highlight w:val="none"/>
          <w:lang w:val="en-US" w:eastAsia="zh-CN"/>
        </w:rPr>
        <w:t>4.5</w:t>
      </w:r>
      <w:r>
        <w:rPr>
          <w:rFonts w:hint="eastAsia" w:ascii="宋体" w:hAnsi="宋体" w:cs="宋体"/>
          <w:snapToGrid w:val="0"/>
          <w:color w:val="auto"/>
          <w:kern w:val="0"/>
          <w:szCs w:val="21"/>
          <w:highlight w:val="none"/>
        </w:rPr>
        <w:t>竞选人可向代理机构提问，提问时间从本公告发布至</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时00分（北京时间）前发送至电子邮箱（</w:t>
      </w:r>
      <w:r>
        <w:rPr>
          <w:rFonts w:hint="eastAsia" w:ascii="宋体" w:hAnsi="宋体" w:cs="宋体"/>
          <w:snapToGrid w:val="0"/>
          <w:color w:val="auto"/>
          <w:kern w:val="0"/>
          <w:szCs w:val="21"/>
          <w:highlight w:val="none"/>
          <w:lang w:eastAsia="zh-CN"/>
        </w:rPr>
        <w:t>2136746604</w:t>
      </w:r>
      <w:r>
        <w:rPr>
          <w:rFonts w:hint="eastAsia" w:ascii="宋体" w:hAnsi="宋体" w:cs="宋体"/>
          <w:snapToGrid w:val="0"/>
          <w:color w:val="auto"/>
          <w:kern w:val="0"/>
          <w:szCs w:val="21"/>
          <w:highlight w:val="none"/>
        </w:rPr>
        <w:t>@qq.com）。</w:t>
      </w:r>
      <w:r>
        <w:rPr>
          <w:rFonts w:hint="eastAsia" w:ascii="宋体" w:hAnsi="宋体" w:cs="宋体"/>
          <w:snapToGrid w:val="0"/>
          <w:color w:val="auto"/>
          <w:kern w:val="0"/>
          <w:szCs w:val="21"/>
          <w:highlight w:val="none"/>
          <w:lang w:val="en-US" w:eastAsia="zh-CN"/>
        </w:rPr>
        <w:fldChar w:fldCharType="end"/>
      </w:r>
    </w:p>
    <w:p w14:paraId="213A5BF7">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比选人应于</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23</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11</w:t>
      </w:r>
      <w:r>
        <w:rPr>
          <w:rFonts w:hint="eastAsia" w:ascii="宋体" w:hAnsi="宋体" w:cs="宋体"/>
          <w:snapToGrid w:val="0"/>
          <w:color w:val="auto"/>
          <w:kern w:val="0"/>
          <w:szCs w:val="21"/>
          <w:highlight w:val="none"/>
        </w:rPr>
        <w:t>时00分（北京时间）前在</w:t>
      </w:r>
      <w:r>
        <w:rPr>
          <w:rFonts w:hint="eastAsia" w:ascii="宋体" w:hAnsi="宋体" w:cs="宋体"/>
          <w:snapToGrid w:val="0"/>
          <w:color w:val="auto"/>
          <w:highlight w:val="none"/>
          <w:lang w:eastAsia="zh-CN"/>
        </w:rPr>
        <w:t>行采家（https://www.gec123.com/）</w:t>
      </w:r>
      <w:r>
        <w:rPr>
          <w:rFonts w:hint="eastAsia" w:ascii="宋体" w:hAnsi="宋体" w:cs="宋体"/>
          <w:snapToGrid w:val="0"/>
          <w:color w:val="auto"/>
          <w:highlight w:val="none"/>
        </w:rPr>
        <w:t>网上</w:t>
      </w:r>
      <w:r>
        <w:rPr>
          <w:rFonts w:hint="eastAsia" w:ascii="宋体" w:hAnsi="宋体" w:cs="宋体"/>
          <w:snapToGrid w:val="0"/>
          <w:color w:val="auto"/>
          <w:kern w:val="0"/>
          <w:szCs w:val="21"/>
          <w:highlight w:val="none"/>
        </w:rPr>
        <w:t>发布澄清及补遗文件</w:t>
      </w:r>
      <w:r>
        <w:rPr>
          <w:rFonts w:hint="eastAsia" w:ascii="宋体" w:hAnsi="宋体" w:cs="宋体"/>
          <w:snapToGrid w:val="0"/>
          <w:color w:val="auto"/>
          <w:kern w:val="0"/>
          <w:szCs w:val="21"/>
          <w:highlight w:val="none"/>
          <w:lang w:eastAsia="zh-CN"/>
        </w:rPr>
        <w:t>。</w:t>
      </w:r>
    </w:p>
    <w:p w14:paraId="22422311">
      <w:pPr>
        <w:pStyle w:val="8"/>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14:paraId="6DA8242F">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5.1竞选文件递交</w:t>
      </w:r>
      <w:r>
        <w:rPr>
          <w:rFonts w:hint="eastAsia" w:ascii="宋体" w:hAnsi="宋体" w:cs="宋体"/>
          <w:snapToGrid w:val="0"/>
          <w:color w:val="auto"/>
          <w:highlight w:val="none"/>
          <w:lang w:val="en-US" w:eastAsia="zh-CN"/>
        </w:rPr>
        <w:t>开始</w:t>
      </w:r>
      <w:r>
        <w:rPr>
          <w:rFonts w:hint="eastAsia" w:ascii="宋体" w:hAnsi="宋体" w:cs="宋体"/>
          <w:snapToGrid w:val="0"/>
          <w:color w:val="auto"/>
          <w:highlight w:val="none"/>
        </w:rPr>
        <w:t>时间为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snapToGrid w:val="0"/>
          <w:color w:val="auto"/>
          <w:kern w:val="0"/>
          <w:szCs w:val="21"/>
          <w:highlight w:val="none"/>
          <w:u w:val="single"/>
          <w:lang w:val="en-US" w:eastAsia="zh-CN"/>
        </w:rPr>
        <w:t>6</w:t>
      </w:r>
      <w:r>
        <w:rPr>
          <w:rFonts w:hint="eastAsia" w:ascii="宋体" w:hAnsi="宋体" w:cs="宋体"/>
          <w:color w:val="auto"/>
          <w:highlight w:val="none"/>
        </w:rPr>
        <w:t>月</w:t>
      </w:r>
      <w:r>
        <w:rPr>
          <w:rFonts w:hint="eastAsia" w:ascii="宋体" w:hAnsi="宋体" w:cs="宋体"/>
          <w:snapToGrid w:val="0"/>
          <w:color w:val="auto"/>
          <w:kern w:val="0"/>
          <w:szCs w:val="21"/>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snapToGrid w:val="0"/>
          <w:color w:val="auto"/>
          <w:highlight w:val="none"/>
        </w:rPr>
        <w:t>竞选文件递交截止时间（竞选截止时间，下同）为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snapToGrid w:val="0"/>
          <w:color w:val="auto"/>
          <w:kern w:val="0"/>
          <w:szCs w:val="21"/>
          <w:highlight w:val="none"/>
          <w:u w:val="single"/>
          <w:lang w:val="en-US" w:eastAsia="zh-CN"/>
        </w:rPr>
        <w:t>6</w:t>
      </w:r>
      <w:r>
        <w:rPr>
          <w:rFonts w:hint="eastAsia" w:ascii="宋体" w:hAnsi="宋体" w:cs="宋体"/>
          <w:color w:val="auto"/>
          <w:highlight w:val="none"/>
        </w:rPr>
        <w:t>月</w:t>
      </w:r>
      <w:r>
        <w:rPr>
          <w:rFonts w:hint="eastAsia" w:ascii="宋体" w:hAnsi="宋体" w:cs="宋体"/>
          <w:snapToGrid w:val="0"/>
          <w:color w:val="auto"/>
          <w:kern w:val="0"/>
          <w:szCs w:val="21"/>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rPr>
        <w:t>分</w:t>
      </w:r>
      <w:r>
        <w:rPr>
          <w:rFonts w:hint="eastAsia" w:ascii="宋体" w:hAnsi="宋体" w:cs="宋体"/>
          <w:snapToGrid w:val="0"/>
          <w:color w:val="auto"/>
          <w:highlight w:val="none"/>
        </w:rPr>
        <w:t>，地点为</w:t>
      </w:r>
      <w:r>
        <w:rPr>
          <w:rFonts w:hint="eastAsia" w:ascii="宋体" w:hAnsi="宋体" w:cs="宋体"/>
          <w:snapToGrid w:val="0"/>
          <w:color w:val="auto"/>
          <w:highlight w:val="none"/>
          <w:u w:val="single"/>
          <w:lang w:val="en-US" w:eastAsia="zh-CN"/>
        </w:rPr>
        <w:t>重庆爱采招标代理有限公司会议室（重庆市巴南区李渡路59号（李家沱大融城B4栋）2-1、2-2）</w:t>
      </w:r>
      <w:r>
        <w:rPr>
          <w:rFonts w:hint="eastAsia" w:ascii="宋体" w:hAnsi="宋体" w:cs="宋体"/>
          <w:snapToGrid w:val="0"/>
          <w:color w:val="auto"/>
          <w:highlight w:val="none"/>
        </w:rPr>
        <w:t>。</w:t>
      </w:r>
    </w:p>
    <w:p w14:paraId="42BB8657">
      <w:pPr>
        <w:tabs>
          <w:tab w:val="left" w:pos="4950"/>
        </w:tabs>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5.2竞选人需进行网上报价，需填报价格并上传营业执照复印件（网上报价须与纸质比选申请文件中报价一致，如不一致以网上报价为准）。网上报价开始</w:t>
      </w:r>
      <w:r>
        <w:rPr>
          <w:rFonts w:hint="eastAsia" w:ascii="宋体" w:hAnsi="宋体" w:cs="宋体"/>
          <w:snapToGrid w:val="0"/>
          <w:color w:val="auto"/>
          <w:kern w:val="0"/>
          <w:szCs w:val="21"/>
        </w:rPr>
        <w:t>时间</w:t>
      </w:r>
      <w:r>
        <w:rPr>
          <w:rFonts w:hint="eastAsia" w:ascii="宋体" w:hAnsi="宋体" w:cs="宋体"/>
          <w:snapToGrid w:val="0"/>
          <w:color w:val="auto"/>
          <w:kern w:val="0"/>
          <w:szCs w:val="21"/>
          <w:lang w:val="en-US" w:eastAsia="zh-CN"/>
        </w:rPr>
        <w:t>为</w:t>
      </w:r>
      <w:r>
        <w:rPr>
          <w:rFonts w:hint="eastAsia" w:ascii="宋体" w:hAnsi="宋体" w:cs="宋体"/>
          <w:snapToGrid w:val="0"/>
          <w:color w:val="auto"/>
          <w:kern w:val="0"/>
          <w:szCs w:val="21"/>
          <w:lang w:eastAsia="zh-CN"/>
        </w:rPr>
        <w:t>2025年</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lang w:eastAsia="zh-CN"/>
        </w:rPr>
        <w:t>月</w:t>
      </w:r>
      <w:r>
        <w:rPr>
          <w:rFonts w:hint="eastAsia" w:ascii="宋体" w:hAnsi="宋体" w:cs="宋体"/>
          <w:snapToGrid w:val="0"/>
          <w:color w:val="auto"/>
          <w:kern w:val="0"/>
          <w:szCs w:val="21"/>
          <w:lang w:val="en-US" w:eastAsia="zh-CN"/>
        </w:rPr>
        <w:t>23</w:t>
      </w:r>
      <w:r>
        <w:rPr>
          <w:rFonts w:hint="eastAsia" w:ascii="宋体" w:hAnsi="宋体" w:cs="宋体"/>
          <w:snapToGrid w:val="0"/>
          <w:color w:val="auto"/>
          <w:kern w:val="0"/>
          <w:szCs w:val="21"/>
          <w:lang w:eastAsia="zh-CN"/>
        </w:rPr>
        <w:t>日</w:t>
      </w:r>
      <w:r>
        <w:rPr>
          <w:rFonts w:hint="eastAsia" w:ascii="宋体" w:hAnsi="宋体" w:cs="宋体"/>
          <w:snapToGrid w:val="0"/>
          <w:color w:val="auto"/>
          <w:kern w:val="0"/>
          <w:szCs w:val="21"/>
          <w:lang w:val="en-US" w:eastAsia="zh-CN"/>
        </w:rPr>
        <w:t>9</w:t>
      </w:r>
      <w:r>
        <w:rPr>
          <w:rFonts w:hint="eastAsia" w:ascii="宋体" w:hAnsi="宋体" w:cs="宋体"/>
          <w:snapToGrid w:val="0"/>
          <w:color w:val="auto"/>
          <w:kern w:val="0"/>
          <w:szCs w:val="21"/>
        </w:rPr>
        <w:t>时</w:t>
      </w:r>
      <w:r>
        <w:rPr>
          <w:rFonts w:hint="eastAsia" w:ascii="宋体" w:hAnsi="宋体" w:cs="宋体"/>
          <w:snapToGrid w:val="0"/>
          <w:color w:val="auto"/>
          <w:kern w:val="0"/>
          <w:szCs w:val="21"/>
          <w:lang w:val="en-US" w:eastAsia="zh-CN"/>
        </w:rPr>
        <w:t>00</w:t>
      </w:r>
      <w:r>
        <w:rPr>
          <w:rFonts w:hint="eastAsia" w:ascii="宋体" w:hAnsi="宋体" w:cs="宋体"/>
          <w:snapToGrid w:val="0"/>
          <w:color w:val="auto"/>
          <w:kern w:val="0"/>
          <w:szCs w:val="21"/>
        </w:rPr>
        <w:t>分</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网上报价</w:t>
      </w:r>
      <w:r>
        <w:rPr>
          <w:rFonts w:hint="eastAsia" w:ascii="宋体" w:hAnsi="宋体" w:cs="宋体"/>
          <w:snapToGrid w:val="0"/>
          <w:color w:val="auto"/>
          <w:kern w:val="0"/>
          <w:szCs w:val="21"/>
        </w:rPr>
        <w:t>截止时间为</w:t>
      </w:r>
      <w:r>
        <w:rPr>
          <w:rFonts w:hint="eastAsia" w:ascii="宋体" w:hAnsi="宋体" w:cs="宋体"/>
          <w:snapToGrid w:val="0"/>
          <w:color w:val="auto"/>
          <w:kern w:val="0"/>
          <w:szCs w:val="21"/>
          <w:lang w:eastAsia="zh-CN"/>
        </w:rPr>
        <w:t>2025年</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lang w:eastAsia="zh-CN"/>
        </w:rPr>
        <w:t>月</w:t>
      </w:r>
      <w:r>
        <w:rPr>
          <w:rFonts w:hint="eastAsia" w:ascii="宋体" w:hAnsi="宋体" w:cs="宋体"/>
          <w:snapToGrid w:val="0"/>
          <w:color w:val="auto"/>
          <w:kern w:val="0"/>
          <w:szCs w:val="21"/>
          <w:lang w:val="en-US" w:eastAsia="zh-CN"/>
        </w:rPr>
        <w:t>23</w:t>
      </w:r>
      <w:r>
        <w:rPr>
          <w:rFonts w:hint="eastAsia" w:ascii="宋体" w:hAnsi="宋体" w:cs="宋体"/>
          <w:snapToGrid w:val="0"/>
          <w:color w:val="auto"/>
          <w:kern w:val="0"/>
          <w:szCs w:val="21"/>
          <w:lang w:eastAsia="zh-CN"/>
        </w:rPr>
        <w:t>日</w:t>
      </w:r>
      <w:r>
        <w:rPr>
          <w:rFonts w:hint="eastAsia" w:ascii="宋体" w:hAnsi="宋体" w:cs="宋体"/>
          <w:snapToGrid w:val="0"/>
          <w:color w:val="auto"/>
          <w:kern w:val="0"/>
          <w:szCs w:val="21"/>
          <w:lang w:val="en-US" w:eastAsia="zh-CN"/>
        </w:rPr>
        <w:t>11</w:t>
      </w:r>
      <w:r>
        <w:rPr>
          <w:rFonts w:hint="eastAsia" w:ascii="宋体" w:hAnsi="宋体" w:cs="宋体"/>
          <w:snapToGrid w:val="0"/>
          <w:color w:val="auto"/>
          <w:kern w:val="0"/>
          <w:szCs w:val="21"/>
        </w:rPr>
        <w:t>时</w:t>
      </w:r>
      <w:r>
        <w:rPr>
          <w:rFonts w:hint="eastAsia" w:ascii="宋体" w:hAnsi="宋体" w:cs="宋体"/>
          <w:snapToGrid w:val="0"/>
          <w:color w:val="auto"/>
          <w:kern w:val="0"/>
          <w:szCs w:val="21"/>
          <w:lang w:val="en-US" w:eastAsia="zh-CN"/>
        </w:rPr>
        <w:t>00</w:t>
      </w:r>
      <w:r>
        <w:rPr>
          <w:rFonts w:hint="eastAsia" w:ascii="宋体" w:hAnsi="宋体" w:cs="宋体"/>
          <w:snapToGrid w:val="0"/>
          <w:color w:val="auto"/>
          <w:kern w:val="0"/>
          <w:szCs w:val="21"/>
        </w:rPr>
        <w:t>分。</w:t>
      </w:r>
    </w:p>
    <w:p w14:paraId="585B4D65">
      <w:pPr>
        <w:tabs>
          <w:tab w:val="left" w:pos="4950"/>
        </w:tabs>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注：未进行网上报价的竞选人，按行采家管理平台规定，为无效响应。</w:t>
      </w:r>
    </w:p>
    <w:p w14:paraId="1ED9AE70">
      <w:pPr>
        <w:tabs>
          <w:tab w:val="left" w:pos="495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rPr>
        <w:t>逾期送达的或者未送达指定地点的竞选文件，比选人不予受理。</w:t>
      </w:r>
    </w:p>
    <w:p w14:paraId="1BF5F48E">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7" w:name="_Toc121128921"/>
      <w:bookmarkStart w:id="8" w:name="_Toc12359"/>
      <w:bookmarkStart w:id="9" w:name="_Toc23284"/>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14:paraId="2F8B5F18">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rPr>
        <w:t>本次比选公告</w:t>
      </w:r>
      <w:r>
        <w:rPr>
          <w:rFonts w:hint="eastAsia" w:ascii="宋体" w:hAnsi="宋体" w:cs="宋体"/>
          <w:snapToGrid w:val="0"/>
          <w:color w:val="auto"/>
          <w:highlight w:val="none"/>
        </w:rPr>
        <w:t>在</w:t>
      </w:r>
      <w:r>
        <w:rPr>
          <w:rFonts w:hint="eastAsia" w:ascii="宋体" w:hAnsi="宋体" w:cs="宋体"/>
          <w:snapToGrid w:val="0"/>
          <w:color w:val="auto"/>
          <w:highlight w:val="none"/>
          <w:lang w:eastAsia="zh-CN"/>
        </w:rPr>
        <w:t>行采家（https://www.gec123.com/）</w:t>
      </w:r>
      <w:r>
        <w:rPr>
          <w:rFonts w:hint="eastAsia" w:ascii="宋体" w:hAnsi="宋体" w:cs="宋体"/>
          <w:snapToGrid w:val="0"/>
          <w:color w:val="auto"/>
          <w:highlight w:val="none"/>
        </w:rPr>
        <w:t>网上发</w:t>
      </w:r>
      <w:r>
        <w:rPr>
          <w:rFonts w:hint="eastAsia" w:ascii="宋体" w:hAnsi="宋体" w:cs="宋体"/>
          <w:snapToGrid w:val="0"/>
          <w:color w:val="auto"/>
        </w:rPr>
        <w:t>布。</w:t>
      </w:r>
    </w:p>
    <w:p w14:paraId="23242006">
      <w:pPr>
        <w:pStyle w:val="8"/>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p>
    <w:p w14:paraId="680576EA">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w:t>
      </w:r>
      <w:r>
        <w:rPr>
          <w:rFonts w:hint="eastAsia" w:ascii="宋体" w:hAnsi="宋体" w:cs="宋体"/>
          <w:snapToGrid w:val="0"/>
          <w:color w:val="auto"/>
          <w:highlight w:val="none"/>
          <w:lang w:eastAsia="zh-CN"/>
        </w:rPr>
        <w:t>重庆市八中科学城中学校</w:t>
      </w:r>
    </w:p>
    <w:p w14:paraId="5186281A">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bookmarkStart w:id="11" w:name="OLE_LINK33"/>
      <w:r>
        <w:rPr>
          <w:rFonts w:hint="eastAsia" w:ascii="宋体" w:hAnsi="宋体" w:cs="宋体"/>
          <w:snapToGrid w:val="0"/>
          <w:color w:val="auto"/>
          <w:highlight w:val="none"/>
        </w:rPr>
        <w:t>地    址</w:t>
      </w:r>
      <w:bookmarkEnd w:id="11"/>
      <w:r>
        <w:rPr>
          <w:rFonts w:hint="eastAsia" w:ascii="宋体" w:hAnsi="宋体" w:cs="宋体"/>
          <w:snapToGrid w:val="0"/>
          <w:color w:val="auto"/>
          <w:highlight w:val="none"/>
        </w:rPr>
        <w:t>：重庆市九龙坡区含谷镇天赐路76号</w:t>
      </w:r>
    </w:p>
    <w:p w14:paraId="2D8E2C50">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联 系 人：张老师</w:t>
      </w:r>
    </w:p>
    <w:p w14:paraId="547A2886">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电    话：023-68073668</w:t>
      </w:r>
    </w:p>
    <w:p w14:paraId="364CF294">
      <w:pPr>
        <w:tabs>
          <w:tab w:val="left" w:pos="8520"/>
        </w:tabs>
        <w:autoSpaceDE w:val="0"/>
        <w:autoSpaceDN w:val="0"/>
        <w:adjustRightInd w:val="0"/>
        <w:snapToGrid w:val="0"/>
        <w:spacing w:line="500" w:lineRule="exact"/>
        <w:ind w:firstLine="420" w:firstLineChars="200"/>
        <w:jc w:val="left"/>
        <w:rPr>
          <w:rFonts w:ascii="宋体" w:hAnsi="宋体" w:cs="宋体"/>
          <w:snapToGrid w:val="0"/>
          <w:color w:val="auto"/>
        </w:rPr>
      </w:pPr>
    </w:p>
    <w:p w14:paraId="371A2D9B">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cs="宋体"/>
          <w:snapToGrid w:val="0"/>
          <w:color w:val="auto"/>
        </w:rPr>
        <w:t>比选代理机构：</w:t>
      </w:r>
      <w:r>
        <w:rPr>
          <w:rFonts w:hint="eastAsia" w:ascii="宋体" w:hAnsi="宋体" w:cs="宋体"/>
          <w:snapToGrid w:val="0"/>
          <w:color w:val="auto"/>
          <w:lang w:eastAsia="zh-CN"/>
        </w:rPr>
        <w:t>重庆爱采招标代理有限公司</w:t>
      </w:r>
    </w:p>
    <w:p w14:paraId="6C9CE637">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地址：重庆市巴南区李渡路59号（李家沱大融城B4栋）2-1、2-2</w:t>
      </w:r>
    </w:p>
    <w:p w14:paraId="7D946EB1">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cs="宋体"/>
          <w:snapToGrid w:val="0"/>
          <w:color w:val="auto"/>
        </w:rPr>
        <w:t xml:space="preserve">联系人：李老师 </w:t>
      </w:r>
    </w:p>
    <w:p w14:paraId="52E3ED35">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联系电话：023-62551600，17323966875</w:t>
      </w:r>
    </w:p>
    <w:p w14:paraId="63B83816">
      <w:pPr>
        <w:tabs>
          <w:tab w:val="left" w:pos="4950"/>
        </w:tabs>
        <w:autoSpaceDE w:val="0"/>
        <w:autoSpaceDN w:val="0"/>
        <w:adjustRightInd w:val="0"/>
        <w:snapToGrid w:val="0"/>
        <w:spacing w:line="360" w:lineRule="auto"/>
        <w:jc w:val="right"/>
        <w:rPr>
          <w:rFonts w:ascii="宋体" w:hAnsi="宋体" w:cs="宋体"/>
          <w:snapToGrid w:val="0"/>
          <w:color w:val="auto"/>
          <w:kern w:val="0"/>
          <w:szCs w:val="21"/>
        </w:rPr>
      </w:pPr>
    </w:p>
    <w:p w14:paraId="0EEED40B">
      <w:pPr>
        <w:pStyle w:val="7"/>
        <w:numPr>
          <w:ilvl w:val="0"/>
          <w:numId w:val="0"/>
        </w:numPr>
        <w:rPr>
          <w:rFonts w:ascii="宋体" w:hAnsi="宋体" w:eastAsia="宋体" w:cs="宋体"/>
          <w:b/>
          <w:color w:val="auto"/>
          <w:kern w:val="0"/>
          <w:szCs w:val="22"/>
        </w:rPr>
      </w:pPr>
      <w:r>
        <w:rPr>
          <w:rFonts w:hint="eastAsia" w:ascii="宋体" w:hAnsi="宋体" w:eastAsia="宋体" w:cs="宋体"/>
          <w:snapToGrid w:val="0"/>
          <w:color w:val="auto"/>
          <w:kern w:val="0"/>
          <w:szCs w:val="21"/>
        </w:rPr>
        <w:br w:type="page"/>
      </w:r>
      <w:bookmarkStart w:id="12" w:name="_Toc4239"/>
      <w:bookmarkStart w:id="13" w:name="_Toc25441"/>
      <w:bookmarkStart w:id="14" w:name="_Toc20583"/>
      <w:bookmarkStart w:id="15" w:name="_Toc16932"/>
      <w:bookmarkStart w:id="16" w:name="_Toc15667"/>
      <w:bookmarkStart w:id="17" w:name="_Toc444155909"/>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14:paraId="4A3B117D">
      <w:pPr>
        <w:pStyle w:val="8"/>
        <w:jc w:val="both"/>
        <w:rPr>
          <w:rFonts w:ascii="宋体" w:hAnsi="宋体" w:eastAsia="宋体" w:cs="宋体"/>
          <w:color w:val="auto"/>
          <w:w w:val="100"/>
          <w:sz w:val="21"/>
          <w:szCs w:val="21"/>
        </w:rPr>
      </w:pPr>
      <w:bookmarkStart w:id="18" w:name="_Toc19448"/>
      <w:bookmarkStart w:id="19" w:name="_Toc18771"/>
      <w:bookmarkStart w:id="20" w:name="_Toc22072"/>
      <w:bookmarkStart w:id="21" w:name="_Toc32029"/>
      <w:bookmarkStart w:id="22" w:name="_Toc13397"/>
      <w:bookmarkStart w:id="23" w:name="_Toc356243614"/>
      <w:bookmarkStart w:id="24" w:name="_Toc444155910"/>
      <w:bookmarkStart w:id="25" w:name="_Toc354386951"/>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14:paraId="5844B30F">
      <w:pPr>
        <w:spacing w:line="360" w:lineRule="auto"/>
        <w:ind w:firstLine="420" w:firstLineChars="200"/>
        <w:rPr>
          <w:rFonts w:ascii="宋体" w:hAnsi="宋体" w:cs="宋体"/>
          <w:color w:val="auto"/>
        </w:rPr>
      </w:pPr>
      <w:r>
        <w:rPr>
          <w:rFonts w:hint="eastAsia" w:ascii="宋体" w:hAnsi="宋体" w:cs="宋体"/>
          <w:color w:val="auto"/>
          <w:szCs w:val="21"/>
        </w:rPr>
        <w:t>正文内容不允许修改。若竞选人须知前附表与正文不一致的地方，以竞选人须知前附表为准。</w:t>
      </w:r>
    </w:p>
    <w:tbl>
      <w:tblPr>
        <w:tblStyle w:val="50"/>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14:paraId="66A0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14:paraId="6E0E6F0D">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条款号</w:t>
            </w:r>
          </w:p>
        </w:tc>
        <w:tc>
          <w:tcPr>
            <w:tcW w:w="1768" w:type="dxa"/>
            <w:vAlign w:val="center"/>
          </w:tcPr>
          <w:p w14:paraId="32B27C8E">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条款名称</w:t>
            </w:r>
          </w:p>
        </w:tc>
        <w:tc>
          <w:tcPr>
            <w:tcW w:w="6978" w:type="dxa"/>
            <w:vAlign w:val="center"/>
          </w:tcPr>
          <w:p w14:paraId="65DBEF36">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编  列  内  容</w:t>
            </w:r>
          </w:p>
        </w:tc>
      </w:tr>
      <w:tr w14:paraId="7C26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95C51A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1.1.2</w:t>
            </w:r>
          </w:p>
        </w:tc>
        <w:tc>
          <w:tcPr>
            <w:tcW w:w="1768" w:type="dxa"/>
            <w:vAlign w:val="center"/>
          </w:tcPr>
          <w:p w14:paraId="5470007D">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6978" w:type="dxa"/>
            <w:vAlign w:val="center"/>
          </w:tcPr>
          <w:p w14:paraId="13348613">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w:t>
            </w:r>
            <w:r>
              <w:rPr>
                <w:rFonts w:hint="eastAsia" w:ascii="宋体" w:hAnsi="宋体" w:cs="宋体"/>
                <w:snapToGrid w:val="0"/>
                <w:color w:val="auto"/>
                <w:highlight w:val="none"/>
                <w:lang w:eastAsia="zh-CN"/>
              </w:rPr>
              <w:t>重庆市八中科学城中学校</w:t>
            </w:r>
          </w:p>
          <w:p w14:paraId="013B0551">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地    址：重庆市九龙坡区含谷镇天赐路76号</w:t>
            </w:r>
          </w:p>
          <w:p w14:paraId="13C8C34E">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联 系 人：张老师</w:t>
            </w:r>
          </w:p>
          <w:p w14:paraId="4E133D80">
            <w:pPr>
              <w:tabs>
                <w:tab w:val="left" w:pos="8520"/>
              </w:tabs>
              <w:autoSpaceDE w:val="0"/>
              <w:autoSpaceDN w:val="0"/>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snapToGrid w:val="0"/>
                <w:color w:val="auto"/>
                <w:highlight w:val="none"/>
              </w:rPr>
              <w:t>电    话：023-68073668</w:t>
            </w:r>
          </w:p>
        </w:tc>
      </w:tr>
      <w:tr w14:paraId="32D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60165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1.1.3</w:t>
            </w:r>
          </w:p>
        </w:tc>
        <w:tc>
          <w:tcPr>
            <w:tcW w:w="1768" w:type="dxa"/>
            <w:vAlign w:val="center"/>
          </w:tcPr>
          <w:p w14:paraId="0BD70EC7">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6978" w:type="dxa"/>
            <w:vAlign w:val="center"/>
          </w:tcPr>
          <w:p w14:paraId="07AC161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比选代理机构：重庆爱采招标代理有限公司</w:t>
            </w:r>
          </w:p>
          <w:p w14:paraId="3919248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地址：重庆市巴南区李渡路59号（李家沱大融城B4栋）2-1、2-2</w:t>
            </w:r>
          </w:p>
          <w:p w14:paraId="2567485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联系人：李老师 </w:t>
            </w:r>
          </w:p>
          <w:p w14:paraId="559FE08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联系电话：023-62551600，17323966875</w:t>
            </w:r>
          </w:p>
        </w:tc>
      </w:tr>
      <w:tr w14:paraId="33DB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314E47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1.1.4</w:t>
            </w:r>
          </w:p>
        </w:tc>
        <w:tc>
          <w:tcPr>
            <w:tcW w:w="1768" w:type="dxa"/>
            <w:vAlign w:val="center"/>
          </w:tcPr>
          <w:p w14:paraId="0495212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项目名称</w:t>
            </w:r>
          </w:p>
        </w:tc>
        <w:tc>
          <w:tcPr>
            <w:tcW w:w="6978" w:type="dxa"/>
            <w:vAlign w:val="center"/>
          </w:tcPr>
          <w:p w14:paraId="041EA8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cs="宋体"/>
                <w:snapToGrid w:val="0"/>
                <w:color w:val="auto"/>
                <w:kern w:val="0"/>
                <w:szCs w:val="21"/>
                <w:lang w:eastAsia="zh-CN"/>
              </w:rPr>
              <w:t>2025年博艺楼新初一教室改造工程</w:t>
            </w:r>
          </w:p>
        </w:tc>
      </w:tr>
      <w:tr w14:paraId="6D3B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7627B98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1.1.5</w:t>
            </w:r>
          </w:p>
        </w:tc>
        <w:tc>
          <w:tcPr>
            <w:tcW w:w="1768" w:type="dxa"/>
            <w:vAlign w:val="center"/>
          </w:tcPr>
          <w:p w14:paraId="64D26E6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w:t>
            </w:r>
          </w:p>
        </w:tc>
        <w:tc>
          <w:tcPr>
            <w:tcW w:w="6978" w:type="dxa"/>
            <w:vAlign w:val="center"/>
          </w:tcPr>
          <w:p w14:paraId="5604CD2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lang w:val="en-US" w:eastAsia="zh-CN"/>
              </w:rPr>
              <w:t>重庆市八中科学城中学校</w:t>
            </w:r>
          </w:p>
        </w:tc>
      </w:tr>
      <w:tr w14:paraId="7E9D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AABD67A">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1.1.6</w:t>
            </w:r>
          </w:p>
        </w:tc>
        <w:tc>
          <w:tcPr>
            <w:tcW w:w="1768" w:type="dxa"/>
            <w:vAlign w:val="center"/>
          </w:tcPr>
          <w:p w14:paraId="09863DB9">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项目概况</w:t>
            </w:r>
          </w:p>
        </w:tc>
        <w:tc>
          <w:tcPr>
            <w:tcW w:w="6978" w:type="dxa"/>
            <w:vAlign w:val="center"/>
          </w:tcPr>
          <w:p w14:paraId="3368D9D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1"/>
                <w:highlight w:val="none"/>
                <w:lang w:val="en-US" w:eastAsia="zh-CN"/>
              </w:rPr>
              <w:t>包含不限于墙面地面拆除、零星砌砖、现浇构件钢筋、门窗安装、灯安装、屋面防水、楼地面装饰、余方弃置、配管配线、场内运输、垃圾清运等工程内容</w:t>
            </w:r>
            <w:r>
              <w:rPr>
                <w:rFonts w:hint="eastAsia" w:ascii="宋体" w:hAnsi="宋体" w:cs="宋体"/>
                <w:snapToGrid w:val="0"/>
                <w:color w:val="auto"/>
                <w:kern w:val="0"/>
                <w:szCs w:val="21"/>
                <w:highlight w:val="none"/>
                <w:lang w:eastAsia="zh-CN"/>
              </w:rPr>
              <w:t>。</w:t>
            </w:r>
          </w:p>
        </w:tc>
      </w:tr>
      <w:tr w14:paraId="33DA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C7BFA4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1.2.1</w:t>
            </w:r>
          </w:p>
        </w:tc>
        <w:tc>
          <w:tcPr>
            <w:tcW w:w="1768" w:type="dxa"/>
            <w:vAlign w:val="center"/>
          </w:tcPr>
          <w:p w14:paraId="2437DF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资金来源</w:t>
            </w:r>
          </w:p>
        </w:tc>
        <w:tc>
          <w:tcPr>
            <w:tcW w:w="6978" w:type="dxa"/>
            <w:vAlign w:val="center"/>
          </w:tcPr>
          <w:p w14:paraId="3FBFF66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highlight w:val="none"/>
              </w:rPr>
            </w:pPr>
            <w:r>
              <w:rPr>
                <w:rFonts w:hint="eastAsia" w:ascii="宋体" w:hAnsi="宋体" w:cs="宋体"/>
                <w:color w:val="auto"/>
                <w:szCs w:val="21"/>
                <w:highlight w:val="none"/>
                <w:shd w:val="solid" w:color="FFFFFF" w:fill="FFFFFF"/>
              </w:rPr>
              <w:t>财政预算资金</w:t>
            </w:r>
          </w:p>
        </w:tc>
      </w:tr>
      <w:tr w14:paraId="46F2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2CD351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1.2.2</w:t>
            </w:r>
          </w:p>
        </w:tc>
        <w:tc>
          <w:tcPr>
            <w:tcW w:w="1768" w:type="dxa"/>
            <w:vAlign w:val="center"/>
          </w:tcPr>
          <w:p w14:paraId="6C4D5D1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出资比例</w:t>
            </w:r>
          </w:p>
        </w:tc>
        <w:tc>
          <w:tcPr>
            <w:tcW w:w="6978" w:type="dxa"/>
            <w:vAlign w:val="center"/>
          </w:tcPr>
          <w:p w14:paraId="0ABEA55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3093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FF53B3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1.2.3</w:t>
            </w:r>
          </w:p>
        </w:tc>
        <w:tc>
          <w:tcPr>
            <w:tcW w:w="1768" w:type="dxa"/>
            <w:vAlign w:val="center"/>
          </w:tcPr>
          <w:p w14:paraId="6D53E1C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资金落实情况</w:t>
            </w:r>
          </w:p>
        </w:tc>
        <w:tc>
          <w:tcPr>
            <w:tcW w:w="6978" w:type="dxa"/>
            <w:vAlign w:val="center"/>
          </w:tcPr>
          <w:p w14:paraId="2DFD40D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77DB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0F1ABA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1.3.1</w:t>
            </w:r>
          </w:p>
        </w:tc>
        <w:tc>
          <w:tcPr>
            <w:tcW w:w="1768" w:type="dxa"/>
            <w:vAlign w:val="center"/>
          </w:tcPr>
          <w:p w14:paraId="169946E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6978" w:type="dxa"/>
            <w:vAlign w:val="center"/>
          </w:tcPr>
          <w:p w14:paraId="01F71791">
            <w:pPr>
              <w:keepNext w:val="0"/>
              <w:keepLines w:val="0"/>
              <w:pageBreakBefore w:val="0"/>
              <w:kinsoku/>
              <w:overflowPunct/>
              <w:topLinePunct w:val="0"/>
              <w:bidi w:val="0"/>
              <w:snapToGrid w:val="0"/>
              <w:spacing w:line="400" w:lineRule="exact"/>
              <w:ind w:firstLine="420" w:firstLineChars="200"/>
              <w:textAlignment w:val="auto"/>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rPr>
              <w:t>按照</w:t>
            </w:r>
            <w:r>
              <w:rPr>
                <w:rFonts w:hint="eastAsia" w:ascii="宋体" w:hAnsi="宋体" w:cs="宋体"/>
                <w:color w:val="auto"/>
                <w:szCs w:val="21"/>
                <w:highlight w:val="none"/>
                <w:lang w:val="en-US" w:eastAsia="zh-CN"/>
              </w:rPr>
              <w:t>重庆市八中科学城中学校</w:t>
            </w:r>
            <w:r>
              <w:rPr>
                <w:rFonts w:hint="eastAsia" w:ascii="宋体" w:hAnsi="宋体" w:cs="宋体"/>
                <w:color w:val="auto"/>
                <w:szCs w:val="21"/>
                <w:highlight w:val="none"/>
              </w:rPr>
              <w:t>采购要求，</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u w:val="none"/>
                <w:lang w:val="en-US" w:eastAsia="zh-CN"/>
              </w:rPr>
              <w:t>拆除工程、电气安装工程、全费用工程及装饰工程</w:t>
            </w:r>
            <w:r>
              <w:rPr>
                <w:rFonts w:hint="eastAsia" w:ascii="宋体" w:hAnsi="宋体" w:cs="宋体"/>
                <w:color w:val="auto"/>
                <w:szCs w:val="21"/>
                <w:highlight w:val="none"/>
                <w:lang w:val="en-US" w:eastAsia="zh-CN"/>
              </w:rPr>
              <w:t>，工程量清单和图纸详见附件</w:t>
            </w:r>
          </w:p>
        </w:tc>
      </w:tr>
      <w:tr w14:paraId="4FC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36B95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1.3.2</w:t>
            </w:r>
          </w:p>
        </w:tc>
        <w:tc>
          <w:tcPr>
            <w:tcW w:w="1768" w:type="dxa"/>
            <w:vAlign w:val="center"/>
          </w:tcPr>
          <w:p w14:paraId="626388D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工期</w:t>
            </w:r>
          </w:p>
        </w:tc>
        <w:tc>
          <w:tcPr>
            <w:tcW w:w="6978" w:type="dxa"/>
            <w:vAlign w:val="center"/>
          </w:tcPr>
          <w:p w14:paraId="48D0B6E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snapToGrid w:val="0"/>
                <w:color w:val="auto"/>
                <w:kern w:val="0"/>
                <w:szCs w:val="21"/>
                <w:highlight w:val="none"/>
                <w:u w:val="none"/>
                <w:lang w:val="en-US" w:eastAsia="zh-CN"/>
              </w:rPr>
            </w:pPr>
            <w:r>
              <w:rPr>
                <w:rFonts w:hint="eastAsia" w:ascii="宋体" w:hAnsi="宋体" w:cs="宋体"/>
                <w:snapToGrid w:val="0"/>
                <w:color w:val="auto"/>
                <w:kern w:val="0"/>
                <w:szCs w:val="21"/>
                <w:highlight w:val="none"/>
                <w:u w:val="none"/>
                <w:lang w:val="en-US" w:eastAsia="zh-CN"/>
              </w:rPr>
              <w:t>1.45个日历天内全部完成项目工程内容并达到验收标准。中选人若未按时完工，每延迟一天除扣1000元的违约金，因延迟完工给比选人造成的损失，由中选人全部承担并赔偿。</w:t>
            </w:r>
          </w:p>
          <w:p w14:paraId="50C83D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2"/>
                <w:lang w:val="en-US" w:eastAsia="zh-CN"/>
              </w:rPr>
              <w:t>2.</w:t>
            </w:r>
            <w:r>
              <w:rPr>
                <w:rFonts w:hint="eastAsia" w:ascii="宋体" w:hAnsi="宋体" w:cs="宋体"/>
                <w:snapToGrid w:val="0"/>
                <w:color w:val="auto"/>
                <w:kern w:val="0"/>
                <w:szCs w:val="22"/>
              </w:rPr>
              <w:t>中选人</w:t>
            </w:r>
            <w:r>
              <w:rPr>
                <w:rFonts w:hint="eastAsia" w:ascii="宋体" w:hAnsi="宋体" w:cs="宋体"/>
                <w:snapToGrid w:val="0"/>
                <w:color w:val="auto"/>
                <w:kern w:val="0"/>
                <w:szCs w:val="22"/>
                <w:lang w:val="en-US" w:eastAsia="zh-CN"/>
              </w:rPr>
              <w:t>完工后需</w:t>
            </w:r>
            <w:r>
              <w:rPr>
                <w:rFonts w:hint="eastAsia" w:ascii="宋体" w:hAnsi="宋体" w:cs="宋体"/>
                <w:snapToGrid w:val="0"/>
                <w:color w:val="auto"/>
                <w:kern w:val="0"/>
                <w:szCs w:val="22"/>
              </w:rPr>
              <w:t>向比选人提交完整工程竣工技术档案资料(共4份)</w:t>
            </w:r>
            <w:r>
              <w:rPr>
                <w:rFonts w:hint="eastAsia" w:ascii="宋体" w:hAnsi="宋体" w:cs="宋体"/>
                <w:snapToGrid w:val="0"/>
                <w:color w:val="auto"/>
                <w:kern w:val="0"/>
                <w:szCs w:val="22"/>
                <w:lang w:eastAsia="zh-CN"/>
              </w:rPr>
              <w:t>。</w:t>
            </w:r>
          </w:p>
        </w:tc>
      </w:tr>
      <w:tr w14:paraId="34CB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22B3F1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1.3.3</w:t>
            </w:r>
          </w:p>
        </w:tc>
        <w:tc>
          <w:tcPr>
            <w:tcW w:w="1768" w:type="dxa"/>
            <w:vAlign w:val="center"/>
          </w:tcPr>
          <w:p w14:paraId="6836BA9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质量要求</w:t>
            </w:r>
          </w:p>
        </w:tc>
        <w:tc>
          <w:tcPr>
            <w:tcW w:w="6978" w:type="dxa"/>
            <w:vAlign w:val="center"/>
          </w:tcPr>
          <w:p w14:paraId="05F41BA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u w:val="single"/>
              </w:rPr>
            </w:pPr>
            <w:r>
              <w:rPr>
                <w:rFonts w:hint="eastAsia" w:ascii="宋体" w:hAnsi="宋体" w:cs="宋体"/>
                <w:snapToGrid w:val="0"/>
                <w:color w:val="auto"/>
                <w:kern w:val="0"/>
                <w:szCs w:val="22"/>
              </w:rPr>
              <w:t>必须满足国家、重庆市现行相关规定和要求规范，符合比选人的质量要求。</w:t>
            </w:r>
          </w:p>
        </w:tc>
      </w:tr>
      <w:tr w14:paraId="62AE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880" w:type="dxa"/>
            <w:vAlign w:val="center"/>
          </w:tcPr>
          <w:p w14:paraId="2A56DC1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1.4.1</w:t>
            </w:r>
          </w:p>
        </w:tc>
        <w:tc>
          <w:tcPr>
            <w:tcW w:w="1768" w:type="dxa"/>
            <w:vAlign w:val="center"/>
          </w:tcPr>
          <w:p w14:paraId="1762A4D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6" w:name="OLE_LINK115"/>
            <w:bookmarkStart w:id="27" w:name="OLE_LINK117"/>
            <w:bookmarkStart w:id="28" w:name="OLE_LINK116"/>
            <w:r>
              <w:rPr>
                <w:rFonts w:hint="eastAsia" w:ascii="宋体" w:hAnsi="宋体" w:cs="宋体"/>
                <w:color w:val="auto"/>
                <w:kern w:val="0"/>
                <w:szCs w:val="21"/>
              </w:rPr>
              <w:t>竞选人资质条件、能力和信誉</w:t>
            </w:r>
            <w:bookmarkEnd w:id="26"/>
            <w:bookmarkEnd w:id="27"/>
            <w:bookmarkEnd w:id="28"/>
          </w:p>
        </w:tc>
        <w:tc>
          <w:tcPr>
            <w:tcW w:w="6978" w:type="dxa"/>
            <w:vAlign w:val="center"/>
          </w:tcPr>
          <w:p w14:paraId="000347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本比选项目实行资格后审，竞选人应具备以下资格条件：</w:t>
            </w:r>
          </w:p>
          <w:p w14:paraId="0A26B9A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1.营业执照</w:t>
            </w:r>
          </w:p>
          <w:p w14:paraId="3C803C7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竞选人须具备独立法人资格，具有有效的营业执照。</w:t>
            </w:r>
          </w:p>
          <w:p w14:paraId="5EC2759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竞选人须在竞选文件中提供营业执照复印件。</w:t>
            </w:r>
          </w:p>
          <w:p w14:paraId="274D69B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2.特定资格条件</w:t>
            </w:r>
          </w:p>
          <w:p w14:paraId="44ED44D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lang w:eastAsia="zh-CN"/>
              </w:rPr>
            </w:pPr>
            <w:r>
              <w:rPr>
                <w:rFonts w:hint="eastAsia" w:ascii="宋体" w:hAnsi="宋体" w:cs="宋体"/>
                <w:color w:val="auto"/>
                <w:szCs w:val="22"/>
                <w:lang w:val="en-US" w:eastAsia="zh-CN"/>
              </w:rPr>
              <w:t>（1）</w:t>
            </w:r>
            <w:r>
              <w:rPr>
                <w:rFonts w:hint="eastAsia" w:ascii="宋体" w:hAnsi="宋体" w:eastAsia="宋体" w:cs="宋体"/>
                <w:color w:val="auto"/>
                <w:szCs w:val="22"/>
                <w:lang w:val="en-US" w:eastAsia="zh-CN"/>
              </w:rPr>
              <w:t>竞选人</w:t>
            </w:r>
            <w:r>
              <w:rPr>
                <w:rFonts w:hint="eastAsia" w:ascii="宋体" w:hAnsi="宋体" w:eastAsia="宋体" w:cs="宋体"/>
                <w:color w:val="auto"/>
                <w:szCs w:val="22"/>
              </w:rPr>
              <w:t>须具有建设行政主管部门颁发的建筑工程施工总承包三级（含）及以上或者建筑装修装饰工程专业承包贰级（含）及以上资质</w:t>
            </w:r>
            <w:r>
              <w:rPr>
                <w:rFonts w:hint="eastAsia" w:ascii="宋体" w:hAnsi="宋体" w:eastAsia="宋体" w:cs="宋体"/>
                <w:color w:val="auto"/>
                <w:szCs w:val="22"/>
                <w:lang w:eastAsia="zh-CN"/>
              </w:rPr>
              <w:t>。</w:t>
            </w:r>
          </w:p>
          <w:p w14:paraId="061437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color w:val="auto"/>
                <w:szCs w:val="22"/>
                <w:lang w:val="en-US" w:eastAsia="zh-CN"/>
              </w:rPr>
            </w:pPr>
            <w:r>
              <w:rPr>
                <w:rFonts w:hint="eastAsia" w:ascii="宋体" w:hAnsi="宋体" w:cs="宋体"/>
                <w:color w:val="auto"/>
                <w:szCs w:val="22"/>
                <w:lang w:val="en-US" w:eastAsia="zh-CN"/>
              </w:rPr>
              <w:t>（2）</w:t>
            </w:r>
            <w:r>
              <w:rPr>
                <w:rFonts w:hint="eastAsia" w:ascii="宋体" w:hAnsi="宋体" w:eastAsia="宋体" w:cs="宋体"/>
                <w:color w:val="auto"/>
                <w:szCs w:val="22"/>
                <w:lang w:val="en-US" w:eastAsia="zh-CN"/>
              </w:rPr>
              <w:t>竞选人</w:t>
            </w:r>
            <w:r>
              <w:rPr>
                <w:rFonts w:hint="eastAsia" w:ascii="宋体" w:hAnsi="宋体" w:eastAsia="宋体" w:cs="宋体"/>
                <w:color w:val="auto"/>
                <w:szCs w:val="22"/>
              </w:rPr>
              <w:t>须</w:t>
            </w:r>
            <w:r>
              <w:rPr>
                <w:rFonts w:hint="eastAsia" w:ascii="宋体" w:hAnsi="宋体" w:eastAsia="宋体" w:cs="宋体"/>
                <w:color w:val="auto"/>
                <w:szCs w:val="22"/>
                <w:lang w:eastAsia="zh-CN"/>
              </w:rPr>
              <w:t>具备建设行政主管部门颁发的有效的安全生产许可证。</w:t>
            </w:r>
          </w:p>
          <w:p w14:paraId="3687C42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竞选人须在竞选文件中提供资质</w:t>
            </w:r>
            <w:r>
              <w:rPr>
                <w:rFonts w:hint="eastAsia" w:ascii="宋体" w:hAnsi="宋体" w:cs="宋体"/>
                <w:color w:val="auto"/>
                <w:szCs w:val="22"/>
                <w:lang w:val="en-US" w:eastAsia="zh-CN"/>
              </w:rPr>
              <w:t>证书</w:t>
            </w:r>
            <w:r>
              <w:rPr>
                <w:rFonts w:hint="eastAsia" w:ascii="宋体" w:hAnsi="宋体" w:cs="宋体"/>
                <w:color w:val="auto"/>
                <w:szCs w:val="22"/>
              </w:rPr>
              <w:t>复印件。</w:t>
            </w:r>
          </w:p>
          <w:p w14:paraId="069008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w:t>
            </w:r>
            <w:r>
              <w:rPr>
                <w:rFonts w:hint="eastAsia" w:ascii="宋体" w:hAnsi="宋体" w:cs="宋体"/>
                <w:color w:val="auto"/>
                <w:szCs w:val="22"/>
              </w:rPr>
              <w:t>竞选截止日竞选资格情况</w:t>
            </w:r>
          </w:p>
          <w:p w14:paraId="7C4C83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竞选人自行承诺不得存在下列情形之一（格式详见第</w:t>
            </w:r>
            <w:r>
              <w:rPr>
                <w:rFonts w:hint="eastAsia" w:ascii="宋体" w:hAnsi="宋体" w:cs="宋体"/>
                <w:color w:val="auto"/>
                <w:szCs w:val="22"/>
                <w:lang w:val="en-US" w:eastAsia="zh-CN"/>
              </w:rPr>
              <w:t>八</w:t>
            </w:r>
            <w:r>
              <w:rPr>
                <w:rFonts w:hint="eastAsia" w:ascii="宋体" w:hAnsi="宋体" w:cs="宋体"/>
                <w:color w:val="auto"/>
                <w:szCs w:val="22"/>
              </w:rPr>
              <w:t>章竞选文件格式）：</w:t>
            </w:r>
          </w:p>
          <w:p w14:paraId="136FA2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.1被人民法院列入失信被执行人名单且在被执行期内；</w:t>
            </w:r>
          </w:p>
          <w:p w14:paraId="15A126A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.2被国家、重庆市（含市或任意区县）有关行政部门处以暂停投标资格行政处罚，且在处罚期限内；</w:t>
            </w:r>
          </w:p>
          <w:p w14:paraId="38B1853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竞选人须在竞选文件中提供承诺。</w:t>
            </w:r>
          </w:p>
          <w:p w14:paraId="7EDB4C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特别说明：</w:t>
            </w:r>
          </w:p>
          <w:p w14:paraId="29FE99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⑴以上所有复印件均须加盖竞选人单位</w:t>
            </w:r>
            <w:r>
              <w:rPr>
                <w:rFonts w:hint="eastAsia" w:ascii="宋体" w:hAnsi="宋体" w:cs="宋体"/>
                <w:color w:val="auto"/>
                <w:szCs w:val="21"/>
                <w:lang w:val="en-US" w:eastAsia="zh-CN"/>
              </w:rPr>
              <w:t>公</w:t>
            </w:r>
            <w:r>
              <w:rPr>
                <w:rFonts w:hint="eastAsia" w:ascii="宋体" w:hAnsi="宋体" w:cs="宋体"/>
                <w:color w:val="auto"/>
                <w:szCs w:val="21"/>
              </w:rPr>
              <w:t>章。竞选人应对上述资料真实性负责，如提供虚假材料，比选人一经查实，将取消竞选资格或中选资格。</w:t>
            </w:r>
          </w:p>
          <w:p w14:paraId="3847987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⑵不满足上述条件的，评审小组作否决比选处理。</w:t>
            </w:r>
          </w:p>
          <w:p w14:paraId="264D23F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4.法律、行政法规规定的其他条件</w:t>
            </w:r>
          </w:p>
          <w:p w14:paraId="769609D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评审时将通过“国家企业信用信息公示系统”（www.gsxt.gov.cn）查询竞选人“股东及出资信息”，对单位负责人为同一人或者存在直接控股、管理关系的不同竞选人，参加同一合同项（分包）下的采购活动的，所涉竞选人均将被拒绝参与该合同项（分包）下的采购活动。</w:t>
            </w:r>
          </w:p>
          <w:p w14:paraId="114A582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1"/>
                <w:lang w:val="en-US" w:eastAsia="zh-CN"/>
              </w:rPr>
              <w:t>（2）法律、行政法规规定的其他条件。</w:t>
            </w:r>
          </w:p>
        </w:tc>
      </w:tr>
      <w:tr w14:paraId="2378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D84B26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1.4.2</w:t>
            </w:r>
          </w:p>
        </w:tc>
        <w:tc>
          <w:tcPr>
            <w:tcW w:w="1768" w:type="dxa"/>
            <w:vAlign w:val="center"/>
          </w:tcPr>
          <w:p w14:paraId="55AC91E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是否接受联合体参加</w:t>
            </w:r>
            <w:r>
              <w:rPr>
                <w:rFonts w:hint="eastAsia" w:ascii="宋体" w:hAnsi="宋体" w:cs="宋体"/>
                <w:color w:val="auto"/>
                <w:kern w:val="0"/>
                <w:szCs w:val="21"/>
                <w:lang w:val="en-US" w:eastAsia="zh-CN"/>
              </w:rPr>
              <w:t>竞</w:t>
            </w:r>
            <w:r>
              <w:rPr>
                <w:rFonts w:hint="eastAsia" w:ascii="宋体" w:hAnsi="宋体" w:cs="宋体"/>
                <w:color w:val="auto"/>
                <w:kern w:val="0"/>
                <w:szCs w:val="21"/>
              </w:rPr>
              <w:t>选</w:t>
            </w:r>
          </w:p>
        </w:tc>
        <w:tc>
          <w:tcPr>
            <w:tcW w:w="6978" w:type="dxa"/>
            <w:vAlign w:val="center"/>
          </w:tcPr>
          <w:p w14:paraId="7AB9992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不接受</w:t>
            </w:r>
          </w:p>
        </w:tc>
      </w:tr>
      <w:tr w14:paraId="113C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C86D6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1.9</w:t>
            </w:r>
          </w:p>
        </w:tc>
        <w:tc>
          <w:tcPr>
            <w:tcW w:w="1768" w:type="dxa"/>
            <w:vAlign w:val="center"/>
          </w:tcPr>
          <w:p w14:paraId="4732EBA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6978" w:type="dxa"/>
            <w:vAlign w:val="center"/>
          </w:tcPr>
          <w:p w14:paraId="6E9DE78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不召开</w:t>
            </w:r>
          </w:p>
        </w:tc>
      </w:tr>
      <w:tr w14:paraId="687D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0" w:type="dxa"/>
            <w:vAlign w:val="center"/>
          </w:tcPr>
          <w:p w14:paraId="3EF16A8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1.10</w:t>
            </w:r>
          </w:p>
        </w:tc>
        <w:tc>
          <w:tcPr>
            <w:tcW w:w="1768" w:type="dxa"/>
            <w:vAlign w:val="center"/>
          </w:tcPr>
          <w:p w14:paraId="2A291DE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分包</w:t>
            </w:r>
          </w:p>
        </w:tc>
        <w:tc>
          <w:tcPr>
            <w:tcW w:w="6978" w:type="dxa"/>
            <w:vAlign w:val="center"/>
          </w:tcPr>
          <w:p w14:paraId="6C8C0EC9">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不允许</w:t>
            </w:r>
          </w:p>
        </w:tc>
      </w:tr>
      <w:tr w14:paraId="36FB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80" w:type="dxa"/>
            <w:vAlign w:val="center"/>
          </w:tcPr>
          <w:p w14:paraId="77F798BB">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1.12</w:t>
            </w:r>
          </w:p>
        </w:tc>
        <w:tc>
          <w:tcPr>
            <w:tcW w:w="1768" w:type="dxa"/>
            <w:vAlign w:val="center"/>
          </w:tcPr>
          <w:p w14:paraId="3554B19C">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踏勘现场</w:t>
            </w:r>
          </w:p>
        </w:tc>
        <w:tc>
          <w:tcPr>
            <w:tcW w:w="6978" w:type="dxa"/>
            <w:vAlign w:val="center"/>
          </w:tcPr>
          <w:p w14:paraId="3A7F6A9F">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不组织，由竞选人自行踏勘。</w:t>
            </w:r>
          </w:p>
        </w:tc>
      </w:tr>
      <w:tr w14:paraId="15BD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A1828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2.1</w:t>
            </w:r>
          </w:p>
        </w:tc>
        <w:tc>
          <w:tcPr>
            <w:tcW w:w="1768" w:type="dxa"/>
            <w:vAlign w:val="center"/>
          </w:tcPr>
          <w:p w14:paraId="7A3BC1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6978" w:type="dxa"/>
            <w:vAlign w:val="center"/>
          </w:tcPr>
          <w:p w14:paraId="6CA9D66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前期资料及比选人发出的澄清与修改书或补充通知</w:t>
            </w:r>
          </w:p>
        </w:tc>
      </w:tr>
      <w:tr w14:paraId="4189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A245776">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2.2.1</w:t>
            </w:r>
          </w:p>
        </w:tc>
        <w:tc>
          <w:tcPr>
            <w:tcW w:w="1768" w:type="dxa"/>
            <w:vAlign w:val="center"/>
          </w:tcPr>
          <w:p w14:paraId="1BE00F49">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6978" w:type="dxa"/>
            <w:vAlign w:val="center"/>
          </w:tcPr>
          <w:p w14:paraId="5317D58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2"/>
              </w:rPr>
              <w:t>竞选人</w:t>
            </w:r>
            <w:r>
              <w:rPr>
                <w:rFonts w:hint="eastAsia" w:ascii="宋体" w:hAnsi="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cs="宋体"/>
                <w:color w:val="auto"/>
                <w:szCs w:val="22"/>
              </w:rPr>
              <w:t>以比选公告明确的方式在比选公告规定的时间前提交。</w:t>
            </w:r>
          </w:p>
        </w:tc>
      </w:tr>
      <w:tr w14:paraId="6E5A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024E7A5">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2.2.2</w:t>
            </w:r>
          </w:p>
        </w:tc>
        <w:tc>
          <w:tcPr>
            <w:tcW w:w="1768" w:type="dxa"/>
            <w:vAlign w:val="center"/>
          </w:tcPr>
          <w:p w14:paraId="028BB263">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比选人对竞争性比选文件答疑及对竞争性比选文件的澄清与修改</w:t>
            </w:r>
          </w:p>
        </w:tc>
        <w:tc>
          <w:tcPr>
            <w:tcW w:w="6978" w:type="dxa"/>
            <w:vAlign w:val="center"/>
          </w:tcPr>
          <w:p w14:paraId="009CFB00">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2"/>
                <w:highlight w:val="none"/>
              </w:rPr>
              <w:t>比选人应在比选公告规定的时间前，以比选公告明确的方式发布澄清。</w:t>
            </w:r>
          </w:p>
        </w:tc>
      </w:tr>
      <w:tr w14:paraId="560A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2FFBD0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2.3</w:t>
            </w:r>
          </w:p>
        </w:tc>
        <w:tc>
          <w:tcPr>
            <w:tcW w:w="1768" w:type="dxa"/>
            <w:vAlign w:val="center"/>
          </w:tcPr>
          <w:p w14:paraId="4CCDA01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竞选文件递交截止时间</w:t>
            </w:r>
          </w:p>
        </w:tc>
        <w:tc>
          <w:tcPr>
            <w:tcW w:w="6978" w:type="dxa"/>
            <w:vAlign w:val="center"/>
          </w:tcPr>
          <w:p w14:paraId="23FD5FD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详见比选公告规定的竞选</w:t>
            </w:r>
            <w:r>
              <w:rPr>
                <w:rFonts w:hint="eastAsia" w:ascii="宋体" w:hAnsi="宋体" w:cs="宋体"/>
                <w:color w:val="auto"/>
                <w:szCs w:val="21"/>
                <w:lang w:val="en-US" w:eastAsia="zh-CN"/>
              </w:rPr>
              <w:t>文件递交</w:t>
            </w:r>
            <w:r>
              <w:rPr>
                <w:rFonts w:hint="eastAsia" w:ascii="宋体" w:hAnsi="宋体" w:cs="宋体"/>
                <w:color w:val="auto"/>
                <w:szCs w:val="21"/>
              </w:rPr>
              <w:t>截止时间。</w:t>
            </w:r>
          </w:p>
        </w:tc>
      </w:tr>
      <w:tr w14:paraId="12F7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F9A2F6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3.1.1</w:t>
            </w:r>
          </w:p>
        </w:tc>
        <w:tc>
          <w:tcPr>
            <w:tcW w:w="1768" w:type="dxa"/>
            <w:vAlign w:val="center"/>
          </w:tcPr>
          <w:p w14:paraId="37C42BA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构成竞选文件的其他材料</w:t>
            </w:r>
          </w:p>
        </w:tc>
        <w:tc>
          <w:tcPr>
            <w:tcW w:w="6978" w:type="dxa"/>
            <w:vAlign w:val="center"/>
          </w:tcPr>
          <w:p w14:paraId="0F7C1E8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竞选人的书面澄清、说明和补正（但不得改变竞选文件的实质性内容）</w:t>
            </w:r>
          </w:p>
        </w:tc>
      </w:tr>
      <w:tr w14:paraId="5F83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1FD879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3.2</w:t>
            </w:r>
          </w:p>
        </w:tc>
        <w:tc>
          <w:tcPr>
            <w:tcW w:w="1768" w:type="dxa"/>
            <w:vAlign w:val="center"/>
          </w:tcPr>
          <w:p w14:paraId="5247A41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highlight w:val="none"/>
              </w:rPr>
              <w:t>竞选报价</w:t>
            </w:r>
          </w:p>
        </w:tc>
        <w:tc>
          <w:tcPr>
            <w:tcW w:w="6978" w:type="dxa"/>
            <w:vAlign w:val="center"/>
          </w:tcPr>
          <w:p w14:paraId="60F3DE4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工程计价方式：本工程采用工程量清单综合单价计价。</w:t>
            </w:r>
          </w:p>
          <w:p w14:paraId="0D061034">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清单依据：《建设工程工程量清单计价规范》（GB50500－2013）、《重庆市建设工程工程量计算规则》（CQJLGZ-2013）等其他相关配套文件。</w:t>
            </w:r>
          </w:p>
          <w:p w14:paraId="50ADD6E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定额依据</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房屋建筑与装饰工程计价定额》（CQJZZSDE-2018）、《重庆市通用安装工程计价定额》（CQAZDE-2018）、《重庆市房屋修缮工程计价定额》（CQXSDE-2018）、《重庆市建设工程费用定额》（CQFYDE-2018）及相关配套文件。</w:t>
            </w:r>
          </w:p>
          <w:p w14:paraId="67A66CA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人工和材料价格：本工程人工单价参照重庆市建设工程造价总站主办的《重庆工程造价信息》公布的市场人工指导价由各</w:t>
            </w:r>
            <w:r>
              <w:rPr>
                <w:rFonts w:hint="eastAsia" w:ascii="宋体" w:hAnsi="宋体" w:cs="宋体"/>
                <w:color w:val="auto"/>
                <w:szCs w:val="21"/>
                <w:highlight w:val="none"/>
                <w:lang w:val="en-US" w:eastAsia="zh-CN"/>
              </w:rPr>
              <w:t>竞选人</w:t>
            </w:r>
            <w:r>
              <w:rPr>
                <w:rFonts w:hint="eastAsia" w:ascii="宋体" w:hAnsi="宋体" w:cs="宋体"/>
                <w:color w:val="auto"/>
                <w:szCs w:val="21"/>
                <w:highlight w:val="none"/>
              </w:rPr>
              <w:t>结合市场行情自主测算计入各分部分项综合单价中，</w:t>
            </w:r>
            <w:r>
              <w:rPr>
                <w:rFonts w:hint="eastAsia" w:ascii="宋体" w:hAnsi="宋体" w:cs="宋体"/>
                <w:color w:val="auto"/>
                <w:szCs w:val="21"/>
                <w:highlight w:val="none"/>
                <w:lang w:val="en-US" w:eastAsia="zh-CN"/>
              </w:rPr>
              <w:t>中选后</w:t>
            </w:r>
            <w:r>
              <w:rPr>
                <w:rFonts w:hint="eastAsia" w:ascii="宋体" w:hAnsi="宋体" w:cs="宋体"/>
                <w:color w:val="auto"/>
                <w:szCs w:val="21"/>
                <w:highlight w:val="none"/>
              </w:rPr>
              <w:t>后若有涨跌，人工费不予调整；材料</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参照重庆市建设工程造价总站主办的《重庆工程造价信息》公布的信息价并结合市场行情以及</w:t>
            </w:r>
            <w:r>
              <w:rPr>
                <w:rFonts w:hint="eastAsia" w:ascii="宋体" w:hAnsi="宋体" w:cs="宋体"/>
                <w:color w:val="auto"/>
                <w:szCs w:val="21"/>
                <w:highlight w:val="none"/>
                <w:lang w:val="en-US" w:eastAsia="zh-CN"/>
              </w:rPr>
              <w:t>竞选人</w:t>
            </w:r>
            <w:r>
              <w:rPr>
                <w:rFonts w:hint="eastAsia" w:ascii="宋体" w:hAnsi="宋体" w:cs="宋体"/>
                <w:color w:val="auto"/>
                <w:szCs w:val="21"/>
                <w:highlight w:val="none"/>
              </w:rPr>
              <w:t>的自身实力自主报价，承担材料、设备价格涨跌风险，所采购的材料、设备必须符合国家规范标准及设计文件、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文件要求，同时符合同类材料产品中档次及以上要求，施工时须提供相应合格证明资料、质保书等。</w:t>
            </w:r>
            <w:r>
              <w:rPr>
                <w:rFonts w:hint="eastAsia" w:ascii="宋体" w:hAnsi="宋体" w:cs="宋体"/>
                <w:color w:val="auto"/>
                <w:szCs w:val="21"/>
                <w:highlight w:val="none"/>
                <w:lang w:val="en-US" w:eastAsia="zh-CN"/>
              </w:rPr>
              <w:t>竞选人</w:t>
            </w:r>
            <w:r>
              <w:rPr>
                <w:rFonts w:hint="eastAsia" w:ascii="宋体" w:hAnsi="宋体" w:cs="宋体"/>
                <w:color w:val="auto"/>
                <w:szCs w:val="21"/>
                <w:highlight w:val="none"/>
              </w:rPr>
              <w:t>应在</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前将本项目的主要材料的厂家、技术参数、品牌、质量等级等告之</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人，经</w:t>
            </w:r>
            <w:r>
              <w:rPr>
                <w:rFonts w:hint="eastAsia" w:ascii="宋体" w:hAnsi="宋体" w:cs="宋体"/>
                <w:color w:val="auto"/>
                <w:szCs w:val="21"/>
                <w:highlight w:val="none"/>
                <w:lang w:val="en-US" w:eastAsia="zh-CN"/>
              </w:rPr>
              <w:t>比选人</w:t>
            </w:r>
            <w:r>
              <w:rPr>
                <w:rFonts w:hint="eastAsia" w:ascii="宋体" w:hAnsi="宋体" w:cs="宋体"/>
                <w:color w:val="auto"/>
                <w:szCs w:val="21"/>
                <w:highlight w:val="none"/>
              </w:rPr>
              <w:t>确认后方可进场施工。</w:t>
            </w:r>
          </w:p>
          <w:p w14:paraId="086B1EE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报价应包括完成采购范围内工程项目的人工费、材料费、机械费、企业管理费、利润、风险费用、措施费（含安全文明施工措施费、易撒漏物资密闭运输的费用）、</w:t>
            </w:r>
            <w:r>
              <w:rPr>
                <w:rFonts w:hint="eastAsia" w:ascii="宋体" w:hAnsi="宋体" w:cs="宋体"/>
                <w:color w:val="auto"/>
                <w:szCs w:val="21"/>
                <w:highlight w:val="none"/>
                <w:lang w:eastAsia="zh-CN"/>
              </w:rPr>
              <w:t>建设工程竣工档案编制费、</w:t>
            </w:r>
            <w:r>
              <w:rPr>
                <w:rFonts w:hint="eastAsia" w:ascii="宋体" w:hAnsi="宋体" w:cs="宋体"/>
                <w:color w:val="auto"/>
                <w:szCs w:val="21"/>
                <w:highlight w:val="none"/>
              </w:rPr>
              <w:t>规费、税金、政策性文件规定、报建（如需）、验收、后期服务、保险、比选代理服务费等完成本项目所需的一切费用。</w:t>
            </w:r>
          </w:p>
          <w:p w14:paraId="7C2AD77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竞选人在编制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报价时不得擅自变改比选人提供的分部分项工程量清单中的序号、项目编码、项目名称、项目特征、计量单位</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工程量。</w:t>
            </w:r>
          </w:p>
          <w:p w14:paraId="25AD372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工程量清单里面的安全文明施工费，须按比选人提供的工程量清单里面的安全文明施工费填报，不得改变，否则按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354FB37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本项比选报价最高限价为</w:t>
            </w:r>
            <w:r>
              <w:rPr>
                <w:rFonts w:hint="eastAsia" w:ascii="宋体" w:hAnsi="宋体" w:cs="宋体"/>
                <w:color w:val="auto"/>
                <w:szCs w:val="21"/>
                <w:highlight w:val="none"/>
                <w:u w:val="single"/>
                <w:lang w:val="en-US" w:eastAsia="zh-CN"/>
              </w:rPr>
              <w:t>392854.53</w:t>
            </w:r>
            <w:r>
              <w:rPr>
                <w:rFonts w:hint="eastAsia" w:ascii="宋体" w:hAnsi="宋体" w:cs="宋体"/>
                <w:color w:val="auto"/>
                <w:szCs w:val="21"/>
                <w:highlight w:val="none"/>
              </w:rPr>
              <w:t>元，竞选人的</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总报价及工程量清单综合单价均不得超过最高限价，否则按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1D79625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9.结算原则：</w:t>
            </w:r>
          </w:p>
          <w:p w14:paraId="6DBDB74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合同价款采用固定综合单价合同，以供应商成交总报价作为暂定的合同总价，其最终合同价款以供应商实际完成工程量为依据。本合同含采购文件要求的全部风险。由于在招响应阶段采购人已充分提醒，并要求供应商按施工图中的所有项目内容以及给定的工程量清单充分测算，进行综合单价包干，结算时除本合同条款约定的可调内容外不得因任何原因（包括政策性文件调整）进行调整。</w:t>
            </w:r>
          </w:p>
          <w:p w14:paraId="3895670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结算总价=分部分项工程量清单综合单价×实际完成工程量＋措施项目费＋规费＋设计变更、招标工程量清单漏项或新增项目价款＋合同约定其它费用＋税金。</w:t>
            </w:r>
          </w:p>
          <w:p w14:paraId="322584F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注：分部分项综合单价和措施项目费，结算价格以明细报价为准。</w:t>
            </w:r>
          </w:p>
          <w:p w14:paraId="3461EA8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9.1施工图范围内分部分项工程量清单结算价：</w:t>
            </w:r>
          </w:p>
          <w:p w14:paraId="4816E59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结算原则：执行固定综合单价，中选人中标价中的工程量清单综合单价在整个施工过程以及结算中不因市场价格波动和政策变动因素的影响而调整，不因实际完成工程量的多少而调整。</w:t>
            </w:r>
          </w:p>
          <w:p w14:paraId="6E08D44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9.1.1分部分项工程量清单综合单价按中标报价结算，不因实际完成工程量的变化而调整；</w:t>
            </w:r>
          </w:p>
          <w:p w14:paraId="66771C0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9.1.2工程量按实计算；</w:t>
            </w:r>
          </w:p>
          <w:p w14:paraId="6D5154C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9.1.3暂定价材料价差：数量以工程结算量为准，工程量清单中明确以暂定价计入合同清单的材料，在施工使用前由中选人报价，经比选人审核同意后方可采购、施工。结算时只对比选人核定单价与暂定价的价差部分进行调整。</w:t>
            </w:r>
          </w:p>
          <w:p w14:paraId="0E66454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9.2.新增或工程变更、缺漏项部分的结算原则：</w:t>
            </w:r>
          </w:p>
          <w:p w14:paraId="2C3AFB0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设计变更、施工变更或施工过程中出现新增项目、合同范围外的零星项目等均属工程变更。工程变更价款计算方式如下：</w:t>
            </w:r>
          </w:p>
          <w:p w14:paraId="7F120CF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9.2.1变更（包括签证）工程与报价的工程量清单中有相同的子项，则按报价时的相同子项的综合单价报价执行；</w:t>
            </w:r>
          </w:p>
          <w:p w14:paraId="27DFE93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9.2.2变更（包括签证）工程内容与报价的工程量清单中有类似子项的，则按报价时的类似子项的综合单价报价执行（类似子项的综合单价由比选人审定）；</w:t>
            </w:r>
          </w:p>
          <w:p w14:paraId="66D9E9E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9.2.3已标价程量清单中无相同子项或类似子项，按采购文件、合同条款、设计图纸及相关说明、《建设工程工程量清单计价规范》（GB50500-2013）、《重庆市建设工程工程量清单计价规则》（CQJJGZ-2013）、《市政工程工程量计算规范》（GB50857-2013）、《重庆市建设工程工程量计算规则》（CQJLGZ-2013）、《重庆市住房和城乡建设委员会关于适用增值税新税率调整建设工程计价依据的通知》（渝建〔2019〕143号）、《重庆市房屋建筑与装饰工程计价定额》（CQJZZSDE-2018）、《重庆市仿古建筑工程计价定额》（CQFGDE 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以及相关配套文件为依据进行计算。计算后，再按中选人报价浮动率（中选人报价浮动率=（1-（投标价-安全文明施工费）/（最高限价-安全文明施工费））×100%）进行下浮后结算。</w:t>
            </w:r>
          </w:p>
          <w:p w14:paraId="728D1DB4">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9.2.4材料价格：中标清单中有的材料价格执行中标价，中标清单中没有的材料价格参照施工期间《重庆建设工程造价信息》公布的各期的算术平均价格的材料（品牌、规格、型号相同）价格执行，若施工期间各期公布的《重庆建设工程造价信息》中给出的材料中没有品牌、规格、型号相同，则由比选人和监理根据市场行情认质认价，并共同签章确认后计入结算，最终价格由比选人或主管部门委派的审计单位或区财政局审定的价格为准。</w:t>
            </w:r>
          </w:p>
          <w:p w14:paraId="557CEAC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9.2.5人工单价：使用《重庆市建设工程费用定额》（CQFYDE-2018）公布的定额基价。</w:t>
            </w:r>
          </w:p>
          <w:p w14:paraId="406C987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9.3.措施费</w:t>
            </w:r>
          </w:p>
          <w:p w14:paraId="7FA10D0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9.3.1施工组织措施项目费（除安全文明施工费外）：无论因设计变更或施工工艺变化等任何因素而引起实际措施费的变化，包干使用不作调整。</w:t>
            </w:r>
          </w:p>
          <w:p w14:paraId="0088739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9.3.2施工技术措施项目费：无论因设计变更或施工工艺变化等任何因素而引起实际措施费的变化，包干使用不作调整。</w:t>
            </w:r>
          </w:p>
          <w:p w14:paraId="7CA257B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9.3.3安全文明施工费：按渝建管〔2024〕38号文件及渝建〔2019〕143号文等规定进行结算，安全文明施工综合评定结果为不合格，则不计取。</w:t>
            </w:r>
          </w:p>
          <w:p w14:paraId="5D4CA1D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9.3.4其他项目费</w:t>
            </w:r>
          </w:p>
          <w:p w14:paraId="01A34A6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9.3.4.1有暂估材料价格或暂估综合单价的，由中选人向比选人、监理人报送材料规格尺寸及价格，由中选人、监理人、比选人三方参照施工期间《重庆建设工程造价信息》公布的各期的算术平均价格的材料（品牌、规格、型号相同）价格执行，若施工期间各期公布的《重庆建设工程造价信息》中给出的材料中没有品牌、规格、型号相同，则由比选人和监理根据市场行情认质认价，并共同签章确认后计入结算。</w:t>
            </w:r>
          </w:p>
          <w:p w14:paraId="6302F88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9.3.4.2比选人若列有暂列金额的，根据比选人核定的价格按实结算或按照工程变更或新增项目清单结算原则执行。</w:t>
            </w:r>
          </w:p>
          <w:p w14:paraId="621B7A4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9.3.4.3计日工：合同施工过程中若发生，根据双方协商的计日工单价和实际工程量按实结算。</w:t>
            </w:r>
          </w:p>
          <w:p w14:paraId="15E2FB3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9.4.调差材料</w:t>
            </w:r>
          </w:p>
          <w:p w14:paraId="1DAB839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不调差。</w:t>
            </w:r>
          </w:p>
          <w:p w14:paraId="79F61392">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9.5.规费</w:t>
            </w:r>
          </w:p>
          <w:p w14:paraId="586F550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按响应费率结算，若中选人的成交报价中规费费率高于规定费率，则以规定费率结算。</w:t>
            </w:r>
          </w:p>
          <w:p w14:paraId="1EC9DBC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9.6.税金</w:t>
            </w:r>
          </w:p>
          <w:p w14:paraId="7D537CD5">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2"/>
                <w:lang w:val="en-US" w:eastAsia="zh-CN"/>
              </w:rPr>
            </w:pPr>
            <w:r>
              <w:rPr>
                <w:rFonts w:hint="eastAsia" w:ascii="宋体" w:hAnsi="宋体" w:cs="宋体"/>
                <w:color w:val="auto"/>
                <w:szCs w:val="21"/>
                <w:highlight w:val="none"/>
                <w:lang w:val="en-US" w:eastAsia="zh-CN"/>
              </w:rPr>
              <w:t>按《重庆市建设工程费用定额》（CQFYDE-2018）规定并结合渝建〔2019〕143号文计取。环境保护税按税票按实计算，投标价高于实际纳税税率的，比选人有权修正其税率，竞选人产生的进项税额也不另行计算。</w:t>
            </w:r>
          </w:p>
        </w:tc>
      </w:tr>
      <w:tr w14:paraId="15B6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A5F1C5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9" w:name="OLE_LINK169" w:colFirst="1" w:colLast="2"/>
            <w:bookmarkStart w:id="30" w:name="_Hlk529015819"/>
            <w:bookmarkStart w:id="31" w:name="OLE_LINK163" w:colFirst="1" w:colLast="2"/>
            <w:bookmarkStart w:id="32" w:name="OLE_LINK165" w:colFirst="1" w:colLast="2"/>
            <w:bookmarkStart w:id="33" w:name="OLE_LINK162" w:colFirst="1" w:colLast="2"/>
            <w:bookmarkStart w:id="34" w:name="OLE_LINK167" w:colFirst="1" w:colLast="2"/>
            <w:bookmarkStart w:id="35" w:name="OLE_LINK164" w:colFirst="1" w:colLast="2"/>
            <w:bookmarkStart w:id="36" w:name="OLE_LINK168" w:colFirst="1" w:colLast="2"/>
            <w:bookmarkStart w:id="37" w:name="OLE_LINK166" w:colFirst="1" w:colLast="2"/>
            <w:r>
              <w:rPr>
                <w:rFonts w:hint="eastAsia" w:ascii="宋体" w:hAnsi="宋体" w:cs="宋体"/>
                <w:color w:val="auto"/>
                <w:kern w:val="0"/>
                <w:szCs w:val="21"/>
              </w:rPr>
              <w:t>3.3.1</w:t>
            </w:r>
          </w:p>
        </w:tc>
        <w:tc>
          <w:tcPr>
            <w:tcW w:w="1768" w:type="dxa"/>
            <w:vAlign w:val="center"/>
          </w:tcPr>
          <w:p w14:paraId="541390E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8" w:name="OLE_LINK160"/>
            <w:bookmarkStart w:id="39" w:name="OLE_LINK161"/>
            <w:r>
              <w:rPr>
                <w:rFonts w:hint="eastAsia" w:ascii="宋体" w:hAnsi="宋体" w:cs="宋体"/>
                <w:color w:val="auto"/>
                <w:kern w:val="0"/>
                <w:szCs w:val="21"/>
              </w:rPr>
              <w:t>竞选有效期</w:t>
            </w:r>
            <w:bookmarkEnd w:id="38"/>
            <w:bookmarkEnd w:id="39"/>
          </w:p>
        </w:tc>
        <w:tc>
          <w:tcPr>
            <w:tcW w:w="6978" w:type="dxa"/>
            <w:vAlign w:val="center"/>
          </w:tcPr>
          <w:p w14:paraId="53D808D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14:paraId="113B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68F6CC1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3.5</w:t>
            </w:r>
          </w:p>
        </w:tc>
        <w:tc>
          <w:tcPr>
            <w:tcW w:w="1768" w:type="dxa"/>
            <w:tcBorders>
              <w:top w:val="single" w:color="auto" w:sz="4" w:space="0"/>
            </w:tcBorders>
            <w:vAlign w:val="center"/>
          </w:tcPr>
          <w:p w14:paraId="4A5AC24A">
            <w:pPr>
              <w:pStyle w:val="165"/>
              <w:keepNext w:val="0"/>
              <w:keepLines w:val="0"/>
              <w:pageBreakBefore w:val="0"/>
              <w:kinsoku/>
              <w:wordWrap w:val="0"/>
              <w:overflowPunct/>
              <w:topLinePunct w:val="0"/>
              <w:bidi w:val="0"/>
              <w:snapToGrid w:val="0"/>
              <w:spacing w:line="400" w:lineRule="exact"/>
              <w:jc w:val="center"/>
              <w:textAlignment w:val="auto"/>
              <w:rPr>
                <w:rFonts w:cs="宋体"/>
                <w:color w:val="auto"/>
                <w:kern w:val="2"/>
                <w:sz w:val="21"/>
                <w:szCs w:val="21"/>
              </w:rPr>
            </w:pPr>
            <w:r>
              <w:rPr>
                <w:rFonts w:hint="eastAsia" w:cs="宋体"/>
                <w:color w:val="auto"/>
                <w:kern w:val="2"/>
                <w:sz w:val="21"/>
                <w:szCs w:val="21"/>
              </w:rPr>
              <w:t>资格审查资料</w:t>
            </w:r>
          </w:p>
        </w:tc>
        <w:tc>
          <w:tcPr>
            <w:tcW w:w="6978" w:type="dxa"/>
            <w:tcBorders>
              <w:top w:val="single" w:color="auto" w:sz="4" w:space="0"/>
            </w:tcBorders>
            <w:vAlign w:val="center"/>
          </w:tcPr>
          <w:p w14:paraId="4A430C3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bookmarkStart w:id="40" w:name="OLE_LINK105"/>
            <w:bookmarkStart w:id="41" w:name="OLE_LINK106"/>
            <w:r>
              <w:rPr>
                <w:rFonts w:hint="eastAsia" w:ascii="宋体" w:hAnsi="宋体" w:cs="宋体"/>
                <w:color w:val="auto"/>
                <w:szCs w:val="21"/>
              </w:rPr>
              <w:t>按本章须知1.4.1项规定提供。</w:t>
            </w:r>
            <w:bookmarkEnd w:id="40"/>
            <w:bookmarkEnd w:id="41"/>
          </w:p>
        </w:tc>
      </w:tr>
      <w:tr w14:paraId="62D7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B58D9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3.6</w:t>
            </w:r>
          </w:p>
        </w:tc>
        <w:tc>
          <w:tcPr>
            <w:tcW w:w="1768" w:type="dxa"/>
            <w:vAlign w:val="center"/>
          </w:tcPr>
          <w:p w14:paraId="4B759A9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6978" w:type="dxa"/>
            <w:vAlign w:val="center"/>
          </w:tcPr>
          <w:p w14:paraId="6EB116C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不允许</w:t>
            </w:r>
          </w:p>
        </w:tc>
      </w:tr>
      <w:tr w14:paraId="43CD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CAE935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rPr>
              <w:t>3.7.1</w:t>
            </w:r>
          </w:p>
        </w:tc>
        <w:tc>
          <w:tcPr>
            <w:tcW w:w="1768" w:type="dxa"/>
            <w:vAlign w:val="center"/>
          </w:tcPr>
          <w:p w14:paraId="510B15C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竞选文件的编制</w:t>
            </w:r>
          </w:p>
        </w:tc>
        <w:tc>
          <w:tcPr>
            <w:tcW w:w="6978" w:type="dxa"/>
            <w:vAlign w:val="center"/>
          </w:tcPr>
          <w:p w14:paraId="64412D24">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ascii="宋体" w:hAnsi="宋体" w:cs="宋体"/>
                <w:color w:val="auto"/>
                <w:szCs w:val="21"/>
              </w:rPr>
            </w:pPr>
            <w:r>
              <w:rPr>
                <w:rFonts w:hint="eastAsia" w:ascii="宋体" w:hAnsi="宋体" w:cs="宋体"/>
                <w:snapToGrid w:val="0"/>
                <w:color w:val="auto"/>
                <w:kern w:val="0"/>
                <w:szCs w:val="21"/>
              </w:rPr>
              <w:t>竞选文件应按</w:t>
            </w:r>
            <w:r>
              <w:rPr>
                <w:rFonts w:hint="eastAsia" w:ascii="宋体" w:hAnsi="宋体" w:cs="宋体"/>
                <w:snapToGrid w:val="0"/>
                <w:color w:val="auto"/>
                <w:kern w:val="0"/>
                <w:szCs w:val="21"/>
                <w:lang w:eastAsia="zh-CN"/>
              </w:rPr>
              <w:t>第八章“竞选文件格式”</w:t>
            </w:r>
            <w:r>
              <w:rPr>
                <w:rFonts w:hint="eastAsia" w:ascii="宋体" w:hAnsi="宋体" w:cs="宋体"/>
                <w:snapToGrid w:val="0"/>
                <w:color w:val="auto"/>
                <w:kern w:val="0"/>
                <w:szCs w:val="21"/>
              </w:rPr>
              <w:t>进行编写，其中技术部分</w:t>
            </w:r>
            <w:r>
              <w:rPr>
                <w:rFonts w:hint="eastAsia" w:ascii="宋体" w:hAnsi="宋体" w:cs="宋体"/>
                <w:snapToGrid w:val="0"/>
                <w:color w:val="auto"/>
                <w:kern w:val="0"/>
                <w:szCs w:val="21"/>
                <w:lang w:val="en-US" w:eastAsia="zh-CN"/>
              </w:rPr>
              <w:t>原则上</w:t>
            </w:r>
            <w:r>
              <w:rPr>
                <w:rFonts w:hint="eastAsia" w:ascii="宋体" w:hAnsi="宋体" w:cs="宋体"/>
                <w:snapToGrid w:val="0"/>
                <w:color w:val="auto"/>
                <w:kern w:val="0"/>
                <w:szCs w:val="21"/>
              </w:rPr>
              <w:t>单面不超过200页，竞选文件可双面打印。</w:t>
            </w:r>
          </w:p>
        </w:tc>
      </w:tr>
      <w:tr w14:paraId="216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901D4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3.7.3</w:t>
            </w:r>
          </w:p>
        </w:tc>
        <w:tc>
          <w:tcPr>
            <w:tcW w:w="1768" w:type="dxa"/>
            <w:vAlign w:val="center"/>
          </w:tcPr>
          <w:p w14:paraId="59D34F5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签字盖章要求</w:t>
            </w:r>
          </w:p>
        </w:tc>
        <w:tc>
          <w:tcPr>
            <w:tcW w:w="6978" w:type="dxa"/>
            <w:vAlign w:val="center"/>
          </w:tcPr>
          <w:p w14:paraId="173AAA6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按本章竞选人须知3.7.3款执行。</w:t>
            </w:r>
          </w:p>
        </w:tc>
      </w:tr>
      <w:tr w14:paraId="3023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4B9A36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3.7.4</w:t>
            </w:r>
          </w:p>
        </w:tc>
        <w:tc>
          <w:tcPr>
            <w:tcW w:w="1768" w:type="dxa"/>
            <w:vAlign w:val="center"/>
          </w:tcPr>
          <w:p w14:paraId="71BB9AD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竞选文件的份数</w:t>
            </w:r>
          </w:p>
        </w:tc>
        <w:tc>
          <w:tcPr>
            <w:tcW w:w="6978" w:type="dxa"/>
            <w:vAlign w:val="center"/>
          </w:tcPr>
          <w:p w14:paraId="1CF71B65">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default" w:ascii="宋体" w:hAnsi="宋体" w:cs="宋体"/>
                <w:color w:val="auto"/>
                <w:szCs w:val="21"/>
              </w:rPr>
              <w:t>1.</w:t>
            </w:r>
            <w:r>
              <w:rPr>
                <w:rFonts w:hint="eastAsia" w:ascii="宋体" w:hAnsi="宋体" w:cs="宋体"/>
                <w:color w:val="auto"/>
                <w:szCs w:val="21"/>
              </w:rPr>
              <w:t>竞选文件一式叁份（其中：正本</w:t>
            </w:r>
            <w:r>
              <w:rPr>
                <w:rFonts w:hint="default" w:ascii="宋体" w:hAnsi="宋体" w:cs="宋体"/>
                <w:color w:val="auto"/>
                <w:szCs w:val="21"/>
              </w:rPr>
              <w:t>1份；副本2份</w:t>
            </w:r>
            <w:r>
              <w:rPr>
                <w:rFonts w:hint="eastAsia" w:ascii="宋体" w:hAnsi="宋体" w:cs="宋体"/>
                <w:color w:val="auto"/>
                <w:szCs w:val="21"/>
              </w:rPr>
              <w:t>，当副本和正本不一致时，以正本为准）；</w:t>
            </w:r>
          </w:p>
          <w:p w14:paraId="007D181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default" w:ascii="宋体" w:hAnsi="宋体" w:cs="宋体"/>
                <w:color w:val="auto"/>
                <w:szCs w:val="21"/>
              </w:rPr>
              <w:t>2.</w:t>
            </w:r>
            <w:r>
              <w:rPr>
                <w:rFonts w:hint="eastAsia" w:ascii="宋体" w:hAnsi="宋体" w:cs="宋体"/>
                <w:color w:val="auto"/>
                <w:szCs w:val="21"/>
              </w:rPr>
              <w:t>电子文档（</w:t>
            </w:r>
            <w:r>
              <w:rPr>
                <w:rFonts w:hint="default" w:ascii="宋体" w:hAnsi="宋体" w:cs="宋体"/>
                <w:color w:val="auto"/>
                <w:szCs w:val="21"/>
              </w:rPr>
              <w:t>U盘）：</w:t>
            </w:r>
            <w:r>
              <w:rPr>
                <w:rFonts w:hint="eastAsia" w:ascii="宋体" w:hAnsi="宋体" w:cs="宋体"/>
                <w:color w:val="auto"/>
                <w:szCs w:val="21"/>
                <w:lang w:val="en-US" w:eastAsia="zh-CN"/>
              </w:rPr>
              <w:t>1</w:t>
            </w:r>
            <w:r>
              <w:rPr>
                <w:rFonts w:hint="default" w:ascii="宋体" w:hAnsi="宋体" w:cs="宋体"/>
                <w:color w:val="auto"/>
                <w:szCs w:val="21"/>
              </w:rPr>
              <w:t>份（包含竞选</w:t>
            </w:r>
            <w:r>
              <w:rPr>
                <w:rFonts w:hint="eastAsia" w:ascii="宋体" w:hAnsi="宋体" w:cs="宋体"/>
                <w:color w:val="auto"/>
                <w:szCs w:val="21"/>
              </w:rPr>
              <w:t>文件所有资料的电子版）。电子文档需标明项目名称、竞选人单位名称并加盖竞选单位法人章，电子文档标注和盖章的要求只是为了存档使用，不作为否决竞选条件，请各竞选人配合标注并盖章。</w:t>
            </w:r>
          </w:p>
        </w:tc>
      </w:tr>
      <w:tr w14:paraId="4B74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27B822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3.7.5</w:t>
            </w:r>
          </w:p>
        </w:tc>
        <w:tc>
          <w:tcPr>
            <w:tcW w:w="1768" w:type="dxa"/>
            <w:vAlign w:val="center"/>
          </w:tcPr>
          <w:p w14:paraId="5AFD1D8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装订要求</w:t>
            </w:r>
          </w:p>
        </w:tc>
        <w:tc>
          <w:tcPr>
            <w:tcW w:w="6978" w:type="dxa"/>
            <w:vAlign w:val="center"/>
          </w:tcPr>
          <w:p w14:paraId="145F1969">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1.</w:t>
            </w:r>
            <w:r>
              <w:rPr>
                <w:rFonts w:hint="eastAsia" w:ascii="宋体" w:hAnsi="宋体" w:cs="宋体"/>
                <w:color w:val="auto"/>
                <w:szCs w:val="22"/>
              </w:rPr>
              <w:t>竞选文件须装订成一册，并需编制目录，若装订过厚，也可分订成多册。竞选人应将竞选文件正副本分别装订成册。</w:t>
            </w:r>
          </w:p>
          <w:p w14:paraId="0FC9A00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2.</w:t>
            </w:r>
            <w:r>
              <w:rPr>
                <w:rFonts w:hint="eastAsia" w:ascii="宋体" w:hAnsi="宋体" w:cs="宋体"/>
                <w:color w:val="auto"/>
                <w:szCs w:val="22"/>
              </w:rPr>
              <w:t>竞选文件分为正本和副本，正本文件内签字和盖章须为原件。副本可为正本的复印件。</w:t>
            </w:r>
          </w:p>
          <w:p w14:paraId="68CAE84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default" w:ascii="宋体" w:hAnsi="宋体" w:cs="宋体"/>
                <w:color w:val="auto"/>
                <w:szCs w:val="22"/>
              </w:rPr>
              <w:t>3.</w:t>
            </w:r>
            <w:r>
              <w:rPr>
                <w:rFonts w:hint="eastAsia" w:ascii="宋体" w:hAnsi="宋体" w:cs="宋体"/>
                <w:color w:val="auto"/>
                <w:szCs w:val="22"/>
              </w:rPr>
              <w:t>竞争性比选文件中已提供了竞选文件格式的部分，须按其格式填写和提供。</w:t>
            </w:r>
          </w:p>
        </w:tc>
      </w:tr>
      <w:tr w14:paraId="471E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76CE5A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4.1.1</w:t>
            </w:r>
          </w:p>
        </w:tc>
        <w:tc>
          <w:tcPr>
            <w:tcW w:w="1768" w:type="dxa"/>
            <w:vAlign w:val="center"/>
          </w:tcPr>
          <w:p w14:paraId="16EBCF3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竞选文件的密封</w:t>
            </w:r>
          </w:p>
        </w:tc>
        <w:tc>
          <w:tcPr>
            <w:tcW w:w="6978" w:type="dxa"/>
            <w:vAlign w:val="center"/>
          </w:tcPr>
          <w:p w14:paraId="2D169834">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w:t>
            </w:r>
            <w:r>
              <w:rPr>
                <w:rFonts w:hint="eastAsia" w:ascii="宋体" w:hAnsi="宋体" w:cs="宋体"/>
                <w:color w:val="auto"/>
                <w:szCs w:val="21"/>
              </w:rPr>
              <w:t>竞选</w:t>
            </w:r>
            <w:r>
              <w:rPr>
                <w:rFonts w:hint="eastAsia" w:ascii="宋体" w:hAnsi="宋体" w:cs="宋体"/>
                <w:color w:val="auto"/>
                <w:szCs w:val="21"/>
                <w:lang w:val="en-GB"/>
              </w:rPr>
              <w:t>文件袋使用</w:t>
            </w:r>
            <w:r>
              <w:rPr>
                <w:rFonts w:hint="eastAsia" w:ascii="宋体" w:hAnsi="宋体" w:cs="宋体"/>
                <w:color w:val="auto"/>
                <w:szCs w:val="21"/>
              </w:rPr>
              <w:t>竞选人</w:t>
            </w:r>
            <w:r>
              <w:rPr>
                <w:rFonts w:hint="eastAsia" w:ascii="宋体" w:hAnsi="宋体" w:cs="宋体"/>
                <w:color w:val="auto"/>
                <w:szCs w:val="21"/>
                <w:lang w:val="en-GB"/>
              </w:rPr>
              <w:t>自备的“</w:t>
            </w:r>
            <w:r>
              <w:rPr>
                <w:rFonts w:hint="eastAsia" w:ascii="宋体" w:hAnsi="宋体" w:cs="宋体"/>
                <w:color w:val="auto"/>
                <w:szCs w:val="21"/>
              </w:rPr>
              <w:t>竞选</w:t>
            </w:r>
            <w:r>
              <w:rPr>
                <w:rFonts w:hint="eastAsia" w:ascii="宋体" w:hAnsi="宋体" w:cs="宋体"/>
                <w:color w:val="auto"/>
                <w:szCs w:val="21"/>
                <w:lang w:val="en-GB"/>
              </w:rPr>
              <w:t>文件”袋（箱）。</w:t>
            </w:r>
          </w:p>
          <w:p w14:paraId="197C18AF">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文件》与电子</w:t>
            </w:r>
            <w:r>
              <w:rPr>
                <w:rFonts w:hint="eastAsia" w:ascii="宋体" w:hAnsi="宋体" w:cs="宋体"/>
                <w:color w:val="auto"/>
                <w:szCs w:val="21"/>
              </w:rPr>
              <w:t>文档</w:t>
            </w:r>
            <w:r>
              <w:rPr>
                <w:rFonts w:hint="eastAsia" w:ascii="宋体" w:hAnsi="宋体" w:cs="宋体"/>
                <w:color w:val="auto"/>
                <w:szCs w:val="21"/>
                <w:lang w:val="en-GB"/>
              </w:rPr>
              <w:t>一起装入“</w:t>
            </w:r>
            <w:r>
              <w:rPr>
                <w:rFonts w:hint="eastAsia" w:ascii="宋体" w:hAnsi="宋体" w:cs="宋体"/>
                <w:color w:val="auto"/>
                <w:szCs w:val="21"/>
              </w:rPr>
              <w:t>竞选</w:t>
            </w:r>
            <w:r>
              <w:rPr>
                <w:rFonts w:hint="eastAsia" w:ascii="宋体" w:hAnsi="宋体" w:cs="宋体"/>
                <w:color w:val="auto"/>
                <w:szCs w:val="21"/>
                <w:lang w:val="en-GB"/>
              </w:rPr>
              <w:t>文件”袋（箱）中，密封并在袋上加盖</w:t>
            </w:r>
            <w:r>
              <w:rPr>
                <w:rFonts w:hint="eastAsia" w:ascii="宋体" w:hAnsi="宋体" w:cs="宋体"/>
                <w:color w:val="auto"/>
                <w:szCs w:val="21"/>
              </w:rPr>
              <w:t>竞选人</w:t>
            </w:r>
            <w:r>
              <w:rPr>
                <w:rFonts w:hint="eastAsia" w:ascii="宋体" w:hAnsi="宋体" w:cs="宋体"/>
                <w:color w:val="auto"/>
                <w:szCs w:val="21"/>
                <w:lang w:val="en-GB"/>
              </w:rPr>
              <w:t>单位</w:t>
            </w:r>
            <w:r>
              <w:rPr>
                <w:rFonts w:hint="eastAsia" w:ascii="宋体" w:hAnsi="宋体" w:cs="宋体"/>
                <w:color w:val="auto"/>
                <w:szCs w:val="21"/>
                <w:lang w:val="en-US" w:eastAsia="zh-CN"/>
              </w:rPr>
              <w:t>公</w:t>
            </w:r>
            <w:r>
              <w:rPr>
                <w:rFonts w:hint="eastAsia" w:ascii="宋体" w:hAnsi="宋体" w:cs="宋体"/>
                <w:color w:val="auto"/>
                <w:szCs w:val="21"/>
                <w:lang w:val="en-GB"/>
              </w:rPr>
              <w:t xml:space="preserve">章。 </w:t>
            </w:r>
          </w:p>
          <w:p w14:paraId="6BDFEDAC">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3.“</w:t>
            </w:r>
            <w:r>
              <w:rPr>
                <w:rFonts w:hint="eastAsia" w:ascii="宋体" w:hAnsi="宋体" w:cs="宋体"/>
                <w:color w:val="auto"/>
                <w:szCs w:val="21"/>
              </w:rPr>
              <w:t>竞选</w:t>
            </w:r>
            <w:r>
              <w:rPr>
                <w:rFonts w:hint="eastAsia" w:ascii="宋体" w:hAnsi="宋体" w:cs="宋体"/>
                <w:color w:val="auto"/>
                <w:szCs w:val="21"/>
                <w:lang w:val="en-GB"/>
              </w:rPr>
              <w:t>文件”袋（箱）应按本表第4.1.2项的规定写明相应内容。</w:t>
            </w:r>
          </w:p>
          <w:p w14:paraId="7476D128">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4.如果“</w:t>
            </w:r>
            <w:r>
              <w:rPr>
                <w:rFonts w:hint="eastAsia" w:ascii="宋体" w:hAnsi="宋体" w:cs="宋体"/>
                <w:color w:val="auto"/>
                <w:szCs w:val="21"/>
              </w:rPr>
              <w:t>竞选</w:t>
            </w:r>
            <w:r>
              <w:rPr>
                <w:rFonts w:hint="eastAsia" w:ascii="宋体" w:hAnsi="宋体" w:cs="宋体"/>
                <w:color w:val="auto"/>
                <w:szCs w:val="21"/>
                <w:lang w:val="en-GB"/>
              </w:rPr>
              <w:t>文件”袋</w:t>
            </w:r>
            <w:r>
              <w:rPr>
                <w:rFonts w:hint="eastAsia" w:ascii="宋体" w:hAnsi="宋体" w:cs="宋体"/>
                <w:color w:val="auto"/>
                <w:szCs w:val="21"/>
              </w:rPr>
              <w:t>未</w:t>
            </w:r>
            <w:r>
              <w:rPr>
                <w:rFonts w:hint="eastAsia" w:ascii="宋体" w:hAnsi="宋体" w:cs="宋体"/>
                <w:color w:val="auto"/>
                <w:szCs w:val="21"/>
                <w:lang w:val="en-GB"/>
              </w:rPr>
              <w:t>按本</w:t>
            </w:r>
            <w:r>
              <w:rPr>
                <w:rFonts w:hint="eastAsia" w:ascii="宋体" w:hAnsi="宋体" w:cs="宋体"/>
                <w:color w:val="auto"/>
                <w:szCs w:val="21"/>
              </w:rPr>
              <w:t>竞争性比选文件</w:t>
            </w:r>
            <w:r>
              <w:rPr>
                <w:rFonts w:hint="eastAsia" w:ascii="宋体" w:hAnsi="宋体" w:cs="宋体"/>
                <w:color w:val="auto"/>
                <w:szCs w:val="21"/>
                <w:lang w:val="en-GB"/>
              </w:rPr>
              <w:t>规定密封和盖章的，</w:t>
            </w:r>
            <w:r>
              <w:rPr>
                <w:rFonts w:hint="eastAsia" w:ascii="宋体" w:hAnsi="宋体" w:cs="宋体"/>
                <w:color w:val="auto"/>
                <w:szCs w:val="21"/>
              </w:rPr>
              <w:t>比选</w:t>
            </w:r>
            <w:r>
              <w:rPr>
                <w:rFonts w:hint="eastAsia" w:ascii="宋体" w:hAnsi="宋体" w:cs="宋体"/>
                <w:color w:val="auto"/>
                <w:szCs w:val="21"/>
                <w:lang w:val="en-GB"/>
              </w:rPr>
              <w:t>人或</w:t>
            </w:r>
            <w:r>
              <w:rPr>
                <w:rFonts w:hint="eastAsia" w:ascii="宋体" w:hAnsi="宋体" w:cs="宋体"/>
                <w:color w:val="auto"/>
                <w:szCs w:val="21"/>
              </w:rPr>
              <w:t>比选</w:t>
            </w:r>
            <w:r>
              <w:rPr>
                <w:rFonts w:hint="eastAsia" w:ascii="宋体" w:hAnsi="宋体" w:cs="宋体"/>
                <w:color w:val="auto"/>
                <w:szCs w:val="21"/>
                <w:lang w:val="en-GB"/>
              </w:rPr>
              <w:t>代理机构拒绝接收。</w:t>
            </w:r>
          </w:p>
          <w:p w14:paraId="39FBDA7B">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注：</w:t>
            </w:r>
          </w:p>
          <w:p w14:paraId="710919B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(1)如</w:t>
            </w:r>
            <w:r>
              <w:rPr>
                <w:rFonts w:hint="eastAsia" w:ascii="宋体" w:hAnsi="宋体" w:cs="宋体"/>
                <w:color w:val="auto"/>
                <w:szCs w:val="21"/>
              </w:rPr>
              <w:t>竞选</w:t>
            </w:r>
            <w:r>
              <w:rPr>
                <w:rFonts w:hint="eastAsia" w:ascii="宋体" w:hAnsi="宋体" w:cs="宋体"/>
                <w:color w:val="auto"/>
                <w:szCs w:val="21"/>
                <w:lang w:val="en-GB"/>
              </w:rPr>
              <w:t>文件较厚，上述</w:t>
            </w:r>
            <w:r>
              <w:rPr>
                <w:rFonts w:hint="eastAsia" w:ascii="宋体" w:hAnsi="宋体" w:cs="宋体"/>
                <w:color w:val="auto"/>
                <w:szCs w:val="21"/>
              </w:rPr>
              <w:t>竞选</w:t>
            </w:r>
            <w:r>
              <w:rPr>
                <w:rFonts w:hint="eastAsia" w:ascii="宋体" w:hAnsi="宋体" w:cs="宋体"/>
                <w:color w:val="auto"/>
                <w:szCs w:val="21"/>
                <w:lang w:val="en-GB"/>
              </w:rPr>
              <w:t>文件不能装入相应的一个袋（箱）中，</w:t>
            </w:r>
            <w:r>
              <w:rPr>
                <w:rFonts w:hint="eastAsia" w:ascii="宋体" w:hAnsi="宋体" w:cs="宋体"/>
                <w:color w:val="auto"/>
                <w:szCs w:val="21"/>
              </w:rPr>
              <w:t>竞选人</w:t>
            </w:r>
            <w:r>
              <w:rPr>
                <w:rFonts w:hint="eastAsia" w:ascii="宋体" w:hAnsi="宋体" w:cs="宋体"/>
                <w:color w:val="auto"/>
                <w:szCs w:val="21"/>
                <w:lang w:val="en-GB"/>
              </w:rPr>
              <w:t>可按上述要求增加</w:t>
            </w:r>
            <w:r>
              <w:rPr>
                <w:rFonts w:hint="eastAsia" w:ascii="宋体" w:hAnsi="宋体" w:cs="宋体"/>
                <w:color w:val="auto"/>
                <w:szCs w:val="21"/>
              </w:rPr>
              <w:t>竞选</w:t>
            </w:r>
            <w:r>
              <w:rPr>
                <w:rFonts w:hint="eastAsia" w:ascii="宋体" w:hAnsi="宋体" w:cs="宋体"/>
                <w:color w:val="auto"/>
                <w:szCs w:val="21"/>
                <w:lang w:val="en-GB"/>
              </w:rPr>
              <w:t>文件袋（箱）。</w:t>
            </w:r>
          </w:p>
          <w:p w14:paraId="1BBE5CB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文件袋可由</w:t>
            </w:r>
            <w:r>
              <w:rPr>
                <w:rFonts w:hint="eastAsia" w:ascii="宋体" w:hAnsi="宋体" w:cs="宋体"/>
                <w:color w:val="auto"/>
                <w:szCs w:val="21"/>
              </w:rPr>
              <w:t>竞选人</w:t>
            </w:r>
            <w:r>
              <w:rPr>
                <w:rFonts w:hint="eastAsia" w:ascii="宋体" w:hAnsi="宋体" w:cs="宋体"/>
                <w:color w:val="auto"/>
                <w:szCs w:val="21"/>
                <w:lang w:val="en-GB"/>
              </w:rPr>
              <w:t>自制，也可采用盒（箱）装的形式，但需满足相关密封及标记要求。</w:t>
            </w:r>
          </w:p>
        </w:tc>
      </w:tr>
      <w:tr w14:paraId="3885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48DEB8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4.1.2</w:t>
            </w:r>
          </w:p>
        </w:tc>
        <w:tc>
          <w:tcPr>
            <w:tcW w:w="1768" w:type="dxa"/>
            <w:vAlign w:val="center"/>
          </w:tcPr>
          <w:p w14:paraId="53B3221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封套上写明</w:t>
            </w:r>
          </w:p>
        </w:tc>
        <w:tc>
          <w:tcPr>
            <w:tcW w:w="6978" w:type="dxa"/>
            <w:vAlign w:val="center"/>
          </w:tcPr>
          <w:p w14:paraId="345859A9">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应在“竞选文件”袋的封套上写明如下内容：</w:t>
            </w:r>
          </w:p>
          <w:p w14:paraId="294E27CA">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比选人名称：</w:t>
            </w:r>
            <w:r>
              <w:rPr>
                <w:rFonts w:hint="eastAsia" w:ascii="宋体" w:hAnsi="宋体" w:cs="宋体"/>
                <w:color w:val="auto"/>
                <w:szCs w:val="21"/>
                <w:u w:val="single"/>
              </w:rPr>
              <w:t xml:space="preserve">               </w:t>
            </w:r>
          </w:p>
          <w:p w14:paraId="4AC878D5">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项目</w:t>
            </w:r>
            <w:r>
              <w:rPr>
                <w:rFonts w:hint="eastAsia" w:ascii="宋体" w:hAnsi="宋体" w:cs="宋体"/>
                <w:color w:val="auto"/>
                <w:szCs w:val="21"/>
                <w:u w:val="single"/>
              </w:rPr>
              <w:t xml:space="preserve">名称)   </w:t>
            </w:r>
            <w:r>
              <w:rPr>
                <w:rFonts w:hint="eastAsia" w:ascii="宋体" w:hAnsi="宋体" w:cs="宋体"/>
                <w:color w:val="auto"/>
                <w:szCs w:val="21"/>
              </w:rPr>
              <w:t>竞选文件</w:t>
            </w:r>
          </w:p>
          <w:p w14:paraId="705BA99A">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分（规定的竞选时间）前不得开启</w:t>
            </w:r>
          </w:p>
          <w:p w14:paraId="3628D0F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单位全称</w:t>
            </w:r>
            <w:r>
              <w:rPr>
                <w:rFonts w:hint="eastAsia" w:ascii="宋体" w:hAnsi="宋体" w:cs="宋体"/>
                <w:color w:val="auto"/>
                <w:szCs w:val="21"/>
                <w:lang w:eastAsia="zh-CN"/>
              </w:rPr>
              <w:t>）</w:t>
            </w:r>
          </w:p>
        </w:tc>
      </w:tr>
      <w:tr w14:paraId="30B9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8C20AF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4.2.2</w:t>
            </w:r>
          </w:p>
        </w:tc>
        <w:tc>
          <w:tcPr>
            <w:tcW w:w="1768" w:type="dxa"/>
            <w:vAlign w:val="center"/>
          </w:tcPr>
          <w:p w14:paraId="5215063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递交竞选文件地点和时间</w:t>
            </w:r>
          </w:p>
        </w:tc>
        <w:tc>
          <w:tcPr>
            <w:tcW w:w="6978" w:type="dxa"/>
            <w:vAlign w:val="center"/>
          </w:tcPr>
          <w:p w14:paraId="719637F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递交时间：同竞选截止时间</w:t>
            </w:r>
          </w:p>
          <w:p w14:paraId="31FC84B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递交地点：</w:t>
            </w:r>
            <w:r>
              <w:rPr>
                <w:rFonts w:hint="eastAsia" w:ascii="宋体" w:hAnsi="宋体" w:cs="宋体"/>
                <w:snapToGrid w:val="0"/>
                <w:color w:val="auto"/>
                <w:highlight w:val="none"/>
                <w:u w:val="single"/>
                <w:lang w:val="en-US" w:eastAsia="zh-CN"/>
              </w:rPr>
              <w:t>重庆爱采招标代理有限公司会议室（重庆市巴南区李渡路59号（李家沱大融城B4栋）2-1、2-2）</w:t>
            </w:r>
            <w:r>
              <w:rPr>
                <w:rFonts w:hint="eastAsia" w:ascii="宋体" w:hAnsi="宋体" w:cs="宋体"/>
                <w:color w:val="auto"/>
                <w:kern w:val="0"/>
                <w:szCs w:val="21"/>
              </w:rPr>
              <w:t>。</w:t>
            </w:r>
          </w:p>
          <w:p w14:paraId="2956D9B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未按时将竞选文件送达指定地点，比选人应拒收。</w:t>
            </w:r>
          </w:p>
        </w:tc>
      </w:tr>
      <w:tr w14:paraId="7DED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E938F8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4.2.3</w:t>
            </w:r>
          </w:p>
        </w:tc>
        <w:tc>
          <w:tcPr>
            <w:tcW w:w="1768" w:type="dxa"/>
            <w:vAlign w:val="center"/>
          </w:tcPr>
          <w:p w14:paraId="3879E74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是否退还竞选文件</w:t>
            </w:r>
          </w:p>
        </w:tc>
        <w:tc>
          <w:tcPr>
            <w:tcW w:w="6978" w:type="dxa"/>
            <w:vAlign w:val="center"/>
          </w:tcPr>
          <w:p w14:paraId="73A174E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否</w:t>
            </w:r>
          </w:p>
        </w:tc>
      </w:tr>
      <w:tr w14:paraId="6A66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052844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5.1</w:t>
            </w:r>
          </w:p>
        </w:tc>
        <w:tc>
          <w:tcPr>
            <w:tcW w:w="1768" w:type="dxa"/>
            <w:vAlign w:val="center"/>
          </w:tcPr>
          <w:p w14:paraId="4EDA5CF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开启竞选文件时间和地点</w:t>
            </w:r>
          </w:p>
        </w:tc>
        <w:tc>
          <w:tcPr>
            <w:tcW w:w="6978" w:type="dxa"/>
            <w:vAlign w:val="center"/>
          </w:tcPr>
          <w:p w14:paraId="4F6621E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开启竞选文件时间：同竞选截止时间</w:t>
            </w:r>
          </w:p>
          <w:p w14:paraId="20A9FCE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开启竞选文件地点：详见竞选公告。</w:t>
            </w:r>
          </w:p>
        </w:tc>
      </w:tr>
      <w:tr w14:paraId="2EDC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17E718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5.2</w:t>
            </w:r>
          </w:p>
        </w:tc>
        <w:tc>
          <w:tcPr>
            <w:tcW w:w="1768" w:type="dxa"/>
            <w:vAlign w:val="center"/>
          </w:tcPr>
          <w:p w14:paraId="5032528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开启竞选文件程序</w:t>
            </w:r>
          </w:p>
        </w:tc>
        <w:tc>
          <w:tcPr>
            <w:tcW w:w="6978" w:type="dxa"/>
            <w:vAlign w:val="center"/>
          </w:tcPr>
          <w:p w14:paraId="5612286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主持人按下列程序进行开启竞选文件：</w:t>
            </w:r>
          </w:p>
          <w:p w14:paraId="27607AD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1.宣布竞选纪律。</w:t>
            </w:r>
          </w:p>
          <w:p w14:paraId="618F23B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2.宣布开启竞选文件人、唱标人、记录人、监督人等有关人员姓名。</w:t>
            </w:r>
          </w:p>
          <w:p w14:paraId="2EE540E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3.公布在递交竞选文件截止时间前递交竞选文件的竞选人名称，并点名确认竞选人是否派人到场。</w:t>
            </w:r>
          </w:p>
          <w:p w14:paraId="63B3A84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4.密封情况检查：竞选人或者其推选的代表检查竞选文件的密封情况并确认。</w:t>
            </w:r>
          </w:p>
          <w:p w14:paraId="5790197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.设有最高限价的，公布最高限价。</w:t>
            </w:r>
          </w:p>
          <w:p w14:paraId="46B0E5B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.开启竞选文件顺序：随机开启。</w:t>
            </w:r>
          </w:p>
          <w:p w14:paraId="678CA0A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.当众随机开启“竞选文件”袋，公布竞选人</w:t>
            </w:r>
            <w:r>
              <w:rPr>
                <w:rFonts w:hint="eastAsia" w:ascii="宋体" w:hAnsi="宋体" w:cs="宋体"/>
                <w:color w:val="auto"/>
                <w:kern w:val="0"/>
                <w:szCs w:val="21"/>
                <w:lang w:val="en-US" w:eastAsia="zh-CN"/>
              </w:rPr>
              <w:t>单位</w:t>
            </w:r>
            <w:r>
              <w:rPr>
                <w:rFonts w:hint="eastAsia" w:ascii="宋体" w:hAnsi="宋体" w:cs="宋体"/>
                <w:color w:val="auto"/>
                <w:kern w:val="0"/>
                <w:szCs w:val="21"/>
              </w:rPr>
              <w:t>名称、</w:t>
            </w:r>
            <w:r>
              <w:rPr>
                <w:rFonts w:hint="eastAsia" w:ascii="宋体" w:hAnsi="宋体" w:cs="宋体"/>
                <w:color w:val="auto"/>
                <w:szCs w:val="21"/>
              </w:rPr>
              <w:t>质量</w:t>
            </w:r>
            <w:r>
              <w:rPr>
                <w:rFonts w:hint="eastAsia" w:ascii="宋体" w:hAnsi="宋体" w:cs="宋体"/>
                <w:color w:val="auto"/>
                <w:szCs w:val="21"/>
                <w:lang w:val="en-US" w:eastAsia="zh-CN"/>
              </w:rPr>
              <w:t>要求</w:t>
            </w:r>
            <w:r>
              <w:rPr>
                <w:rFonts w:hint="eastAsia" w:ascii="宋体" w:hAnsi="宋体" w:cs="宋体"/>
                <w:color w:val="auto"/>
                <w:szCs w:val="21"/>
              </w:rPr>
              <w:t>、</w:t>
            </w:r>
            <w:r>
              <w:rPr>
                <w:rFonts w:hint="eastAsia" w:ascii="宋体" w:hAnsi="宋体" w:cs="宋体"/>
                <w:color w:val="auto"/>
                <w:szCs w:val="21"/>
                <w:lang w:val="en-US" w:eastAsia="zh-CN"/>
              </w:rPr>
              <w:t>工期</w:t>
            </w:r>
            <w:r>
              <w:rPr>
                <w:rFonts w:hint="eastAsia" w:ascii="宋体" w:hAnsi="宋体" w:cs="宋体"/>
                <w:color w:val="auto"/>
                <w:szCs w:val="21"/>
              </w:rPr>
              <w:t>及其他内容；并有关人员在开标记录上签字确认后送评审小组评审。</w:t>
            </w:r>
          </w:p>
          <w:p w14:paraId="0FBC78F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.竞选人代表、比选人代表、监督人、记录人等有关人员在开启竞选文件记录上签字确认。</w:t>
            </w:r>
          </w:p>
          <w:p w14:paraId="36D6A3E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.竞选会结束。</w:t>
            </w:r>
          </w:p>
        </w:tc>
      </w:tr>
      <w:tr w14:paraId="3F30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1C5B3B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6.1.1</w:t>
            </w:r>
          </w:p>
        </w:tc>
        <w:tc>
          <w:tcPr>
            <w:tcW w:w="1768" w:type="dxa"/>
            <w:vAlign w:val="center"/>
          </w:tcPr>
          <w:p w14:paraId="7DC09BBA">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评审小组的组建</w:t>
            </w:r>
          </w:p>
        </w:tc>
        <w:tc>
          <w:tcPr>
            <w:tcW w:w="6978" w:type="dxa"/>
            <w:vAlign w:val="center"/>
          </w:tcPr>
          <w:p w14:paraId="2056D270">
            <w:pPr>
              <w:keepNext w:val="0"/>
              <w:keepLines w:val="0"/>
              <w:pageBreakBefore w:val="0"/>
              <w:kinsoku/>
              <w:wordWrap w:val="0"/>
              <w:overflowPunct/>
              <w:topLinePunct w:val="0"/>
              <w:bidi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szCs w:val="21"/>
              </w:rPr>
              <w:t>由比选人按法律法规及相关规定依法组建评审小组。</w:t>
            </w:r>
          </w:p>
        </w:tc>
      </w:tr>
      <w:tr w14:paraId="057C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B6F917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7.1</w:t>
            </w:r>
          </w:p>
        </w:tc>
        <w:tc>
          <w:tcPr>
            <w:tcW w:w="1768" w:type="dxa"/>
            <w:vAlign w:val="center"/>
          </w:tcPr>
          <w:p w14:paraId="32F53C3E">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是否授权评审小组确定中选候选人</w:t>
            </w:r>
          </w:p>
        </w:tc>
        <w:tc>
          <w:tcPr>
            <w:tcW w:w="6978" w:type="dxa"/>
            <w:vAlign w:val="center"/>
          </w:tcPr>
          <w:p w14:paraId="6253C14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推荐经评审综合得分由高到低排名前三名为中选候选人。</w:t>
            </w:r>
          </w:p>
        </w:tc>
      </w:tr>
      <w:tr w14:paraId="27C4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FFA4F5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7.2</w:t>
            </w:r>
          </w:p>
        </w:tc>
        <w:tc>
          <w:tcPr>
            <w:tcW w:w="1768" w:type="dxa"/>
            <w:vAlign w:val="center"/>
          </w:tcPr>
          <w:p w14:paraId="7318ABBD">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评审结果公示</w:t>
            </w:r>
          </w:p>
        </w:tc>
        <w:tc>
          <w:tcPr>
            <w:tcW w:w="6978" w:type="dxa"/>
            <w:vAlign w:val="center"/>
          </w:tcPr>
          <w:p w14:paraId="69425EF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行采家（https://www.gec123.com/）</w:t>
            </w:r>
            <w:r>
              <w:rPr>
                <w:rFonts w:hint="eastAsia" w:ascii="宋体" w:hAnsi="宋体" w:cs="宋体"/>
                <w:color w:val="auto"/>
                <w:kern w:val="0"/>
                <w:szCs w:val="21"/>
                <w:highlight w:val="none"/>
              </w:rPr>
              <w:t>”网上进行公示，公示期为3日。</w:t>
            </w:r>
          </w:p>
        </w:tc>
      </w:tr>
      <w:tr w14:paraId="3458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656128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7.3.1</w:t>
            </w:r>
          </w:p>
        </w:tc>
        <w:tc>
          <w:tcPr>
            <w:tcW w:w="1768" w:type="dxa"/>
            <w:vAlign w:val="center"/>
          </w:tcPr>
          <w:p w14:paraId="0F56FC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履约担保</w:t>
            </w:r>
          </w:p>
        </w:tc>
        <w:tc>
          <w:tcPr>
            <w:tcW w:w="6978" w:type="dxa"/>
            <w:vAlign w:val="center"/>
          </w:tcPr>
          <w:p w14:paraId="7B0EACB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1.履约保证金的形式：</w:t>
            </w:r>
            <w:bookmarkStart w:id="42" w:name="_Hlk42176084"/>
            <w:r>
              <w:rPr>
                <w:rFonts w:hint="eastAsia" w:ascii="宋体" w:hAnsi="宋体" w:cs="宋体"/>
                <w:color w:val="auto"/>
                <w:kern w:val="0"/>
                <w:szCs w:val="21"/>
                <w:highlight w:val="none"/>
              </w:rPr>
              <w:t>中选人应在中选通知书发出后合同签订之前通过支票、汇票、本票、银行转帐或保函等非现金方式缴纳履约保证金，从中选人基本账户提交，不得使用现金进账。履约保证金账户由比选人提供。</w:t>
            </w:r>
            <w:bookmarkEnd w:id="42"/>
          </w:p>
          <w:p w14:paraId="4F8B1B1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2.履约保证金的金额：中选金额的</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p>
          <w:p w14:paraId="672B9C8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3.提交时间：中选人应在领取中选通知书后，合同签订前提交。若未按时提交，比选人有权取消其中选资格。</w:t>
            </w:r>
          </w:p>
          <w:p w14:paraId="56A41D6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4.履约</w:t>
            </w:r>
            <w:r>
              <w:rPr>
                <w:rFonts w:hint="eastAsia" w:ascii="宋体" w:hAnsi="宋体" w:cs="宋体"/>
                <w:color w:val="auto"/>
                <w:kern w:val="0"/>
                <w:szCs w:val="21"/>
                <w:highlight w:val="none"/>
                <w:lang w:val="en-US" w:eastAsia="zh-CN"/>
              </w:rPr>
              <w:t>保证金</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退还</w:t>
            </w:r>
            <w:r>
              <w:rPr>
                <w:rFonts w:hint="eastAsia" w:ascii="宋体" w:hAnsi="宋体" w:cs="宋体"/>
                <w:color w:val="auto"/>
                <w:kern w:val="0"/>
                <w:szCs w:val="21"/>
                <w:highlight w:val="none"/>
              </w:rPr>
              <w:t xml:space="preserve">：履约保证金在项目完成且验收合格后全部返还，履约保证金不计息。 </w:t>
            </w:r>
          </w:p>
        </w:tc>
      </w:tr>
      <w:tr w14:paraId="275E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F89FA04">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8.</w:t>
            </w:r>
            <w:r>
              <w:rPr>
                <w:rFonts w:hint="eastAsia" w:ascii="宋体" w:hAnsi="宋体" w:cs="宋体"/>
                <w:color w:val="auto"/>
                <w:kern w:val="0"/>
                <w:szCs w:val="21"/>
                <w:lang w:val="en-US" w:eastAsia="zh-CN"/>
              </w:rPr>
              <w:t>1</w:t>
            </w:r>
          </w:p>
        </w:tc>
        <w:tc>
          <w:tcPr>
            <w:tcW w:w="1768" w:type="dxa"/>
            <w:vAlign w:val="center"/>
          </w:tcPr>
          <w:p w14:paraId="0B4C9A9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43" w:name="_Toc16930431"/>
            <w:bookmarkStart w:id="44" w:name="_Toc13210670"/>
            <w:bookmarkStart w:id="45" w:name="_Toc509218709"/>
            <w:bookmarkStart w:id="46" w:name="_Toc430530434"/>
            <w:bookmarkStart w:id="47" w:name="_Toc536628250"/>
            <w:r>
              <w:rPr>
                <w:rFonts w:hint="eastAsia" w:ascii="宋体" w:hAnsi="宋体" w:cs="宋体"/>
                <w:color w:val="auto"/>
                <w:kern w:val="0"/>
                <w:szCs w:val="21"/>
              </w:rPr>
              <w:t>重新比选和不再招标</w:t>
            </w:r>
            <w:bookmarkEnd w:id="43"/>
            <w:bookmarkEnd w:id="44"/>
            <w:bookmarkEnd w:id="45"/>
            <w:bookmarkEnd w:id="46"/>
            <w:bookmarkEnd w:id="47"/>
          </w:p>
        </w:tc>
        <w:tc>
          <w:tcPr>
            <w:tcW w:w="6978" w:type="dxa"/>
            <w:vAlign w:val="center"/>
          </w:tcPr>
          <w:p w14:paraId="7AF2514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出现以下情形本次比选失败：</w:t>
            </w:r>
          </w:p>
          <w:p w14:paraId="3F9E8EF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1.比选截止时间止，竞选人少于3个的；</w:t>
            </w:r>
          </w:p>
          <w:p w14:paraId="27FEF97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2.经评审小组评审后否决所有竞选的；</w:t>
            </w:r>
          </w:p>
          <w:p w14:paraId="3C765F8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3.经评审后，因不符合资格审查要求导致合格的竞选人不足三个的，评审小组应当否决全部竞选。</w:t>
            </w:r>
          </w:p>
        </w:tc>
      </w:tr>
      <w:tr w14:paraId="31A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B858F2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w:t>
            </w:r>
          </w:p>
        </w:tc>
        <w:tc>
          <w:tcPr>
            <w:tcW w:w="8746" w:type="dxa"/>
            <w:gridSpan w:val="2"/>
            <w:vAlign w:val="center"/>
          </w:tcPr>
          <w:p w14:paraId="05C7F410">
            <w:pPr>
              <w:keepNext w:val="0"/>
              <w:keepLines w:val="0"/>
              <w:pageBreakBefore w:val="0"/>
              <w:kinsoku/>
              <w:overflowPunct/>
              <w:topLinePunct w:val="0"/>
              <w:bidi w:val="0"/>
              <w:snapToGrid w:val="0"/>
              <w:spacing w:line="400" w:lineRule="exact"/>
              <w:ind w:firstLine="420" w:firstLineChars="200"/>
              <w:jc w:val="center"/>
              <w:textAlignment w:val="auto"/>
              <w:rPr>
                <w:rFonts w:ascii="宋体" w:hAnsi="宋体" w:cs="宋体"/>
                <w:color w:val="auto"/>
                <w:kern w:val="0"/>
                <w:szCs w:val="21"/>
              </w:rPr>
            </w:pPr>
            <w:r>
              <w:rPr>
                <w:rFonts w:hint="eastAsia" w:ascii="宋体" w:hAnsi="宋体" w:cs="宋体"/>
                <w:color w:val="auto"/>
                <w:kern w:val="0"/>
                <w:szCs w:val="21"/>
              </w:rPr>
              <w:t>需要补充的其他内容</w:t>
            </w:r>
          </w:p>
        </w:tc>
      </w:tr>
      <w:tr w14:paraId="4E7A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3D11A68F">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10.1</w:t>
            </w:r>
          </w:p>
        </w:tc>
        <w:tc>
          <w:tcPr>
            <w:tcW w:w="1768" w:type="dxa"/>
            <w:vAlign w:val="center"/>
          </w:tcPr>
          <w:p w14:paraId="05000306">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异议、投诉处理</w:t>
            </w:r>
          </w:p>
        </w:tc>
        <w:tc>
          <w:tcPr>
            <w:tcW w:w="6978" w:type="dxa"/>
            <w:vAlign w:val="center"/>
          </w:tcPr>
          <w:p w14:paraId="4EF44376">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19F1D097">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提出异议或投诉时应当包括下列内容：</w:t>
            </w:r>
          </w:p>
          <w:p w14:paraId="73885B3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⑴异议人或投诉人的名称、地址及有效联系方式；</w:t>
            </w:r>
          </w:p>
          <w:p w14:paraId="45EA9703">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⑵被异议人或被投诉人的名称、地址及有效联系方式；</w:t>
            </w:r>
          </w:p>
          <w:p w14:paraId="50CF464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⑶异议或投诉事项的基本事实；</w:t>
            </w:r>
          </w:p>
          <w:p w14:paraId="729A31E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⑷请求及主张；</w:t>
            </w:r>
          </w:p>
          <w:p w14:paraId="7932E17F">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⑸涉及事项的证据、证明材料。</w:t>
            </w:r>
          </w:p>
          <w:p w14:paraId="12C06D0A">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B9048B5">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57EE7B4B">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参照</w:t>
            </w:r>
            <w:r>
              <w:rPr>
                <w:rFonts w:hint="eastAsia" w:ascii="宋体" w:hAnsi="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21EA7E26">
            <w:pPr>
              <w:keepNext w:val="0"/>
              <w:keepLines w:val="0"/>
              <w:pageBreakBefore w:val="0"/>
              <w:widowControl/>
              <w:kinsoku/>
              <w:overflowPunct/>
              <w:topLinePunct w:val="0"/>
              <w:bidi w:val="0"/>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4.异议受理单位：</w:t>
            </w:r>
            <w:r>
              <w:rPr>
                <w:rFonts w:hint="eastAsia" w:ascii="宋体" w:hAnsi="宋体" w:cs="宋体"/>
                <w:color w:val="auto"/>
                <w:kern w:val="0"/>
                <w:szCs w:val="21"/>
                <w:highlight w:val="none"/>
                <w:lang w:eastAsia="zh-CN"/>
              </w:rPr>
              <w:t>重庆市八中科学城中学校</w:t>
            </w:r>
          </w:p>
          <w:p w14:paraId="210CCC23">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highlight w:val="none"/>
              </w:rPr>
              <w:t>联系电话：023-68073668</w:t>
            </w:r>
          </w:p>
        </w:tc>
      </w:tr>
      <w:tr w14:paraId="606F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4B72994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10.2</w:t>
            </w:r>
          </w:p>
        </w:tc>
        <w:tc>
          <w:tcPr>
            <w:tcW w:w="1768" w:type="dxa"/>
            <w:vAlign w:val="center"/>
          </w:tcPr>
          <w:p w14:paraId="4AEC7A0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 w:val="22"/>
                <w:szCs w:val="22"/>
              </w:rPr>
            </w:pPr>
            <w:r>
              <w:rPr>
                <w:rFonts w:hint="eastAsia" w:ascii="宋体" w:hAnsi="宋体" w:cs="宋体"/>
                <w:color w:val="auto"/>
                <w:kern w:val="0"/>
                <w:szCs w:val="21"/>
              </w:rPr>
              <w:t>比选代理服务费</w:t>
            </w:r>
          </w:p>
        </w:tc>
        <w:tc>
          <w:tcPr>
            <w:tcW w:w="6978" w:type="dxa"/>
            <w:vAlign w:val="center"/>
          </w:tcPr>
          <w:p w14:paraId="005EB06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rPr>
              <w:t>1.</w:t>
            </w:r>
            <w:r>
              <w:rPr>
                <w:rFonts w:hint="eastAsia" w:ascii="宋体" w:hAnsi="宋体" w:eastAsia="宋体" w:cs="宋体"/>
                <w:color w:val="auto"/>
                <w:szCs w:val="21"/>
              </w:rPr>
              <w:t>本项目比选代理服务费</w:t>
            </w:r>
            <w:r>
              <w:rPr>
                <w:rFonts w:hint="eastAsia" w:ascii="宋体" w:hAnsi="宋体" w:eastAsia="宋体" w:cs="宋体"/>
                <w:color w:val="auto"/>
                <w:szCs w:val="21"/>
                <w:highlight w:val="none"/>
                <w:lang w:val="en-US" w:eastAsia="zh-CN"/>
              </w:rPr>
              <w:t>按照国家计委[2002]1980号文件规定的收费标准收取。</w:t>
            </w:r>
          </w:p>
          <w:tbl>
            <w:tblPr>
              <w:tblStyle w:val="50"/>
              <w:tblW w:w="6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768"/>
              <w:gridCol w:w="1439"/>
              <w:gridCol w:w="1439"/>
            </w:tblGrid>
            <w:tr w14:paraId="6B14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52" w:type="dxa"/>
                  <w:tcBorders>
                    <w:tl2br w:val="single" w:color="auto" w:sz="4" w:space="0"/>
                  </w:tcBorders>
                  <w:noWrap w:val="0"/>
                  <w:vAlign w:val="top"/>
                </w:tcPr>
                <w:p w14:paraId="044D95E0">
                  <w:pPr>
                    <w:spacing w:line="240" w:lineRule="atLeast"/>
                    <w:jc w:val="righ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7456"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67456;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kQbR5/ABAADi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auto"/>
                      <w:sz w:val="21"/>
                      <w:szCs w:val="21"/>
                      <w:highlight w:val="none"/>
                    </w:rPr>
                    <w:t>招标类型</w:t>
                  </w:r>
                </w:p>
                <w:p w14:paraId="4E42921F">
                  <w:pPr>
                    <w:spacing w:line="24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中选</w:t>
                  </w:r>
                  <w:r>
                    <w:rPr>
                      <w:rFonts w:hint="eastAsia" w:ascii="宋体" w:hAnsi="宋体" w:eastAsia="宋体" w:cs="宋体"/>
                      <w:b/>
                      <w:bCs/>
                      <w:color w:val="auto"/>
                      <w:sz w:val="21"/>
                      <w:szCs w:val="21"/>
                      <w:highlight w:val="none"/>
                    </w:rPr>
                    <w:t>金额（万元）</w:t>
                  </w:r>
                </w:p>
              </w:tc>
              <w:tc>
                <w:tcPr>
                  <w:tcW w:w="768" w:type="dxa"/>
                  <w:noWrap w:val="0"/>
                  <w:vAlign w:val="center"/>
                </w:tcPr>
                <w:p w14:paraId="55FDFC27">
                  <w:pPr>
                    <w:spacing w:line="24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货物招标</w:t>
                  </w:r>
                </w:p>
              </w:tc>
              <w:tc>
                <w:tcPr>
                  <w:tcW w:w="1439" w:type="dxa"/>
                  <w:noWrap w:val="0"/>
                  <w:vAlign w:val="center"/>
                </w:tcPr>
                <w:p w14:paraId="16371135">
                  <w:pPr>
                    <w:spacing w:line="24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服务招标</w:t>
                  </w:r>
                </w:p>
              </w:tc>
              <w:tc>
                <w:tcPr>
                  <w:tcW w:w="1439" w:type="dxa"/>
                  <w:noWrap w:val="0"/>
                  <w:vAlign w:val="center"/>
                </w:tcPr>
                <w:p w14:paraId="2996D14C">
                  <w:pPr>
                    <w:pStyle w:val="178"/>
                    <w:widowControl w:val="0"/>
                    <w:pBdr>
                      <w:left w:val="none" w:color="auto" w:sz="0" w:space="0"/>
                      <w:right w:val="none" w:color="auto" w:sz="0" w:space="0"/>
                    </w:pBdr>
                    <w:spacing w:before="0" w:beforeAutospacing="0" w:after="0" w:afterAutospacing="0" w:line="240" w:lineRule="atLeas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工程招标</w:t>
                  </w:r>
                </w:p>
              </w:tc>
            </w:tr>
            <w:tr w14:paraId="3B0B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452" w:type="dxa"/>
                  <w:noWrap w:val="0"/>
                  <w:vAlign w:val="center"/>
                </w:tcPr>
                <w:p w14:paraId="023C4712">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768" w:type="dxa"/>
                  <w:noWrap w:val="0"/>
                  <w:vAlign w:val="center"/>
                </w:tcPr>
                <w:p w14:paraId="7EF64F7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39" w:type="dxa"/>
                  <w:noWrap w:val="0"/>
                  <w:vAlign w:val="center"/>
                </w:tcPr>
                <w:p w14:paraId="7FFF2ACA">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39" w:type="dxa"/>
                  <w:noWrap w:val="0"/>
                  <w:vAlign w:val="center"/>
                </w:tcPr>
                <w:p w14:paraId="034F264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4AE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452" w:type="dxa"/>
                  <w:noWrap w:val="0"/>
                  <w:vAlign w:val="center"/>
                </w:tcPr>
                <w:p w14:paraId="7403629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768" w:type="dxa"/>
                  <w:noWrap w:val="0"/>
                  <w:vAlign w:val="center"/>
                </w:tcPr>
                <w:p w14:paraId="7C04FBD7">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39" w:type="dxa"/>
                  <w:noWrap w:val="0"/>
                  <w:vAlign w:val="center"/>
                </w:tcPr>
                <w:p w14:paraId="04FC7D6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439" w:type="dxa"/>
                  <w:noWrap w:val="0"/>
                  <w:vAlign w:val="center"/>
                </w:tcPr>
                <w:p w14:paraId="0672810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353F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452" w:type="dxa"/>
                  <w:noWrap w:val="0"/>
                  <w:vAlign w:val="center"/>
                </w:tcPr>
                <w:p w14:paraId="4B4C0266">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768" w:type="dxa"/>
                  <w:noWrap w:val="0"/>
                  <w:vAlign w:val="center"/>
                </w:tcPr>
                <w:p w14:paraId="6F3F905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439" w:type="dxa"/>
                  <w:noWrap w:val="0"/>
                  <w:vAlign w:val="center"/>
                </w:tcPr>
                <w:p w14:paraId="0EAF63D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439" w:type="dxa"/>
                  <w:noWrap w:val="0"/>
                  <w:vAlign w:val="center"/>
                </w:tcPr>
                <w:p w14:paraId="1E4315E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4AB2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452" w:type="dxa"/>
                  <w:noWrap w:val="0"/>
                  <w:vAlign w:val="center"/>
                </w:tcPr>
                <w:p w14:paraId="743B124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768" w:type="dxa"/>
                  <w:noWrap w:val="0"/>
                  <w:vAlign w:val="center"/>
                </w:tcPr>
                <w:p w14:paraId="14D368C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439" w:type="dxa"/>
                  <w:noWrap w:val="0"/>
                  <w:vAlign w:val="center"/>
                </w:tcPr>
                <w:p w14:paraId="10B316F9">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439" w:type="dxa"/>
                  <w:noWrap w:val="0"/>
                  <w:vAlign w:val="center"/>
                </w:tcPr>
                <w:p w14:paraId="070C0E0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045B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452" w:type="dxa"/>
                  <w:noWrap w:val="0"/>
                  <w:vAlign w:val="center"/>
                </w:tcPr>
                <w:p w14:paraId="0702D557">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768" w:type="dxa"/>
                  <w:noWrap w:val="0"/>
                  <w:vAlign w:val="center"/>
                </w:tcPr>
                <w:p w14:paraId="6111ABB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439" w:type="dxa"/>
                  <w:noWrap w:val="0"/>
                  <w:vAlign w:val="center"/>
                </w:tcPr>
                <w:p w14:paraId="5583A0A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439" w:type="dxa"/>
                  <w:noWrap w:val="0"/>
                  <w:vAlign w:val="center"/>
                </w:tcPr>
                <w:p w14:paraId="2AF1F07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14:paraId="1AE7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452" w:type="dxa"/>
                  <w:noWrap w:val="0"/>
                  <w:vAlign w:val="center"/>
                </w:tcPr>
                <w:p w14:paraId="4EEF451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10000-100000</w:t>
                  </w:r>
                </w:p>
              </w:tc>
              <w:tc>
                <w:tcPr>
                  <w:tcW w:w="768" w:type="dxa"/>
                  <w:noWrap w:val="0"/>
                  <w:vAlign w:val="center"/>
                </w:tcPr>
                <w:p w14:paraId="508D468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439" w:type="dxa"/>
                  <w:noWrap w:val="0"/>
                  <w:vAlign w:val="center"/>
                </w:tcPr>
                <w:p w14:paraId="73455A8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439" w:type="dxa"/>
                  <w:noWrap w:val="0"/>
                  <w:vAlign w:val="center"/>
                </w:tcPr>
                <w:p w14:paraId="071A9BB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bl>
          <w:p w14:paraId="205F900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注：</w:t>
            </w:r>
            <w:r>
              <w:rPr>
                <w:rFonts w:hint="eastAsia" w:ascii="宋体" w:hAnsi="宋体" w:cs="宋体"/>
                <w:color w:val="auto"/>
                <w:szCs w:val="21"/>
                <w:highlight w:val="none"/>
                <w:lang w:val="en-US" w:eastAsia="zh-CN"/>
              </w:rPr>
              <w:t>比选</w:t>
            </w:r>
            <w:r>
              <w:rPr>
                <w:rFonts w:hint="default" w:ascii="宋体" w:hAnsi="宋体" w:eastAsia="宋体" w:cs="宋体"/>
                <w:color w:val="auto"/>
                <w:szCs w:val="21"/>
                <w:highlight w:val="none"/>
                <w:lang w:val="en-US" w:eastAsia="zh-CN"/>
              </w:rPr>
              <w:t>代理服务收费按差额定率累进法计算。</w:t>
            </w:r>
          </w:p>
          <w:p w14:paraId="6E3E64B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2.本项目比选代理服务费由中选人支付，竞选人在竞选时应考虑此因素，但不得单独报价。中选人在领取中选通知书时一次性向比选代理机构缴清比选代理服务费。</w:t>
            </w:r>
          </w:p>
          <w:p w14:paraId="0DAAE21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招标代理服务费缴纳账号</w:t>
            </w:r>
          </w:p>
          <w:p w14:paraId="63777AC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户  名：</w:t>
            </w:r>
            <w:r>
              <w:rPr>
                <w:rFonts w:hint="eastAsia" w:ascii="宋体" w:hAnsi="宋体" w:cs="宋体"/>
                <w:color w:val="auto"/>
                <w:szCs w:val="21"/>
                <w:lang w:eastAsia="zh-CN"/>
              </w:rPr>
              <w:t>重庆爱采招标代理有限公司</w:t>
            </w:r>
          </w:p>
          <w:p w14:paraId="7DF6F42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开户行：交通银行重庆分行两路口支行</w:t>
            </w:r>
          </w:p>
          <w:p w14:paraId="6F2FBF8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账  号：500102081018000005415</w:t>
            </w:r>
          </w:p>
        </w:tc>
      </w:tr>
      <w:tr w14:paraId="2DD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18E3A82F">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10.3</w:t>
            </w:r>
          </w:p>
        </w:tc>
        <w:tc>
          <w:tcPr>
            <w:tcW w:w="1768" w:type="dxa"/>
            <w:vAlign w:val="center"/>
          </w:tcPr>
          <w:p w14:paraId="1861579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978" w:type="dxa"/>
            <w:vAlign w:val="center"/>
          </w:tcPr>
          <w:p w14:paraId="27FE597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（一）本项目不支付预付款。</w:t>
            </w:r>
          </w:p>
          <w:p w14:paraId="6CFB4C2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（二）付款方式:工程竣工验收合格，比选人支付至合同总金额的80%，工程结算按高新区相关要求执行，达到二审条件的须经财政二次结算审计，审计完成后中选人向比选人缴纳结算审定金额的 3%作为工程质保金，比选人支付至结算审定金额的 100%；缺陷责任期满后，完成缺陷修复后，比选人一次性退还工程质保金（不计利息）；</w:t>
            </w:r>
          </w:p>
          <w:p w14:paraId="17675F6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（三）中选人完工后，必须及时支付人工费、材料费等费用，如有投诉材料费、人工费未结清的情况，比选人将暂停余款支付，并有权动用成交供应商一切费用解决属实投诉纠纷。</w:t>
            </w:r>
          </w:p>
          <w:p w14:paraId="3D43A1B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（四）农民工工资支付</w:t>
            </w:r>
          </w:p>
          <w:p w14:paraId="1A19EAA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首先保障民工工资不拖欠，且不能以支付民工工资民义向比选人要求超合同付款。为确保民工工资按时发放，中选人应当在收到比选人按合同约定支付的进度款后，优先用于支付民工工资（按用工情况登记造册后，实行银行打卡发放），并在比选人将进度款支付到中选人后10个工作日内，将银行打卡发放民工工资凭证复印件交比选人归档，以此作为下一次拨付工程款的重要依据。</w:t>
            </w:r>
          </w:p>
          <w:p w14:paraId="5F9FDC7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若因中选人原因造成拖欠民工工资事件的发生，中选人构成违约，中选人因此承担工程结算总价10%的违约责任，违约金在应付工程款中扣除，同时比选人有权以拟支付的进度款先行支付民工工资。如发生前述情形且情节严重，比选人将上报建设行政主管部门。</w:t>
            </w:r>
          </w:p>
        </w:tc>
      </w:tr>
    </w:tbl>
    <w:p w14:paraId="66AFE974">
      <w:pPr>
        <w:pStyle w:val="8"/>
        <w:rPr>
          <w:rFonts w:ascii="宋体" w:hAnsi="宋体" w:eastAsia="宋体" w:cs="宋体"/>
          <w:bCs/>
          <w:color w:val="auto"/>
          <w:spacing w:val="0"/>
          <w:w w:val="100"/>
          <w:kern w:val="0"/>
          <w:sz w:val="21"/>
          <w:szCs w:val="21"/>
        </w:rPr>
      </w:pPr>
      <w:bookmarkStart w:id="48" w:name="_Toc29165"/>
      <w:bookmarkStart w:id="49" w:name="_Toc200513126"/>
      <w:bookmarkStart w:id="50" w:name="_Toc17305"/>
      <w:bookmarkStart w:id="51" w:name="_Toc444155913"/>
      <w:bookmarkStart w:id="52" w:name="_Toc26851"/>
      <w:r>
        <w:rPr>
          <w:rFonts w:hint="eastAsia" w:ascii="宋体" w:hAnsi="宋体" w:eastAsia="宋体" w:cs="宋体"/>
          <w:snapToGrid w:val="0"/>
          <w:color w:val="auto"/>
          <w:szCs w:val="22"/>
        </w:rPr>
        <w:br w:type="page"/>
      </w:r>
      <w:bookmarkStart w:id="53" w:name="_Toc21570"/>
      <w:bookmarkStart w:id="54" w:name="_Toc11726"/>
      <w:r>
        <w:rPr>
          <w:rFonts w:hint="eastAsia" w:ascii="宋体" w:hAnsi="宋体" w:eastAsia="宋体" w:cs="宋体"/>
          <w:bCs/>
          <w:color w:val="auto"/>
          <w:spacing w:val="0"/>
          <w:w w:val="100"/>
          <w:kern w:val="0"/>
          <w:sz w:val="21"/>
          <w:szCs w:val="21"/>
        </w:rPr>
        <w:t>1. 总则</w:t>
      </w:r>
      <w:bookmarkEnd w:id="48"/>
      <w:bookmarkEnd w:id="49"/>
      <w:bookmarkEnd w:id="50"/>
      <w:bookmarkEnd w:id="51"/>
      <w:bookmarkEnd w:id="52"/>
      <w:bookmarkEnd w:id="53"/>
      <w:bookmarkEnd w:id="54"/>
    </w:p>
    <w:p w14:paraId="1013B98D">
      <w:pPr>
        <w:pStyle w:val="9"/>
        <w:snapToGrid w:val="0"/>
        <w:spacing w:before="0" w:line="360" w:lineRule="auto"/>
        <w:rPr>
          <w:rFonts w:ascii="宋体" w:hAnsi="宋体" w:eastAsia="宋体" w:cs="宋体"/>
          <w:snapToGrid w:val="0"/>
          <w:color w:val="auto"/>
          <w:sz w:val="21"/>
          <w:szCs w:val="21"/>
        </w:rPr>
      </w:pPr>
      <w:bookmarkStart w:id="55" w:name="_Toc19723"/>
      <w:bookmarkStart w:id="56" w:name="_Toc200513127"/>
      <w:bookmarkStart w:id="57" w:name="_Toc444155914"/>
      <w:bookmarkStart w:id="58" w:name="_Toc28398"/>
      <w:bookmarkStart w:id="59" w:name="_Toc25687"/>
      <w:bookmarkStart w:id="60" w:name="_Toc11776"/>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14:paraId="08031C9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451DBD4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1FD3D62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308322E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0F4DDC8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61" w:name="_Toc22935"/>
      <w:bookmarkStart w:id="62" w:name="_Toc18578"/>
      <w:bookmarkStart w:id="63" w:name="_Toc31711"/>
      <w:r>
        <w:rPr>
          <w:rFonts w:hint="eastAsia" w:ascii="宋体" w:hAnsi="宋体" w:cs="宋体"/>
          <w:snapToGrid w:val="0"/>
          <w:color w:val="auto"/>
          <w:kern w:val="0"/>
          <w:szCs w:val="21"/>
        </w:rPr>
        <w:t>1.1.5 本项目</w:t>
      </w: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地点：见竞选人须知前附表。</w:t>
      </w:r>
      <w:bookmarkEnd w:id="61"/>
      <w:bookmarkEnd w:id="62"/>
      <w:bookmarkEnd w:id="63"/>
    </w:p>
    <w:p w14:paraId="405E1FA4">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snapToGrid w:val="0"/>
          <w:color w:val="auto"/>
          <w:kern w:val="0"/>
          <w:szCs w:val="21"/>
        </w:rPr>
        <w:t>1.1.6 本项目项目概况：见竞选人须知前附表。</w:t>
      </w:r>
    </w:p>
    <w:p w14:paraId="656BCBF6">
      <w:pPr>
        <w:pStyle w:val="9"/>
        <w:snapToGrid w:val="0"/>
        <w:spacing w:before="0" w:line="360" w:lineRule="auto"/>
        <w:rPr>
          <w:rFonts w:ascii="宋体" w:hAnsi="宋体" w:eastAsia="宋体" w:cs="宋体"/>
          <w:snapToGrid w:val="0"/>
          <w:color w:val="auto"/>
          <w:sz w:val="21"/>
          <w:szCs w:val="21"/>
        </w:rPr>
      </w:pPr>
      <w:bookmarkStart w:id="64" w:name="_Toc31530"/>
      <w:bookmarkStart w:id="65" w:name="_Toc200513128"/>
      <w:bookmarkStart w:id="66" w:name="_Toc21808"/>
      <w:bookmarkStart w:id="67" w:name="_Toc31982"/>
      <w:bookmarkStart w:id="68" w:name="_Toc6411"/>
      <w:bookmarkStart w:id="69" w:name="_Toc444155915"/>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14:paraId="175D6CF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5ADE510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446BB01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3BE5DB97">
      <w:pPr>
        <w:pStyle w:val="9"/>
        <w:snapToGrid w:val="0"/>
        <w:spacing w:before="0" w:line="360" w:lineRule="auto"/>
        <w:rPr>
          <w:rFonts w:ascii="宋体" w:hAnsi="宋体" w:eastAsia="宋体" w:cs="宋体"/>
          <w:snapToGrid w:val="0"/>
          <w:color w:val="auto"/>
          <w:sz w:val="21"/>
          <w:szCs w:val="21"/>
        </w:rPr>
      </w:pPr>
      <w:bookmarkStart w:id="70" w:name="_Toc200513129"/>
      <w:bookmarkStart w:id="71" w:name="_Toc444155916"/>
      <w:bookmarkStart w:id="72" w:name="_Toc20588"/>
      <w:bookmarkStart w:id="73" w:name="_Toc4115"/>
      <w:bookmarkStart w:id="74" w:name="_Toc492"/>
      <w:bookmarkStart w:id="75" w:name="_Toc7144"/>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14:paraId="4D708D8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3AF4BF2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：见竞选人须知前附表。</w:t>
      </w:r>
    </w:p>
    <w:p w14:paraId="4D89D7E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本项目的质量要求：见竞选人须知前附表。</w:t>
      </w:r>
    </w:p>
    <w:p w14:paraId="77CCA10B">
      <w:pPr>
        <w:pStyle w:val="9"/>
        <w:snapToGrid w:val="0"/>
        <w:spacing w:before="0" w:line="360" w:lineRule="auto"/>
        <w:rPr>
          <w:rFonts w:ascii="宋体" w:hAnsi="宋体" w:eastAsia="宋体" w:cs="宋体"/>
          <w:snapToGrid w:val="0"/>
          <w:color w:val="auto"/>
          <w:sz w:val="21"/>
          <w:szCs w:val="21"/>
        </w:rPr>
      </w:pPr>
      <w:bookmarkStart w:id="76" w:name="_Toc18526"/>
      <w:bookmarkStart w:id="77" w:name="_Toc28083"/>
      <w:bookmarkStart w:id="78" w:name="_Toc20820"/>
      <w:bookmarkStart w:id="79" w:name="_Toc200513131"/>
      <w:bookmarkStart w:id="80" w:name="_Toc444155917"/>
      <w:bookmarkStart w:id="81" w:name="_Toc19241"/>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14:paraId="54AEB3C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56C71CA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2B8BCDE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3808FCF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52C790ED">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1B8D90FF">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）为本标段提供</w:t>
      </w:r>
      <w:r>
        <w:rPr>
          <w:rFonts w:hint="eastAsia" w:ascii="宋体" w:hAnsi="宋体" w:cs="宋体"/>
          <w:color w:val="auto"/>
          <w:kern w:val="0"/>
          <w:szCs w:val="21"/>
        </w:rPr>
        <w:t>比选</w:t>
      </w:r>
      <w:r>
        <w:rPr>
          <w:rFonts w:hint="eastAsia" w:ascii="宋体" w:hAnsi="宋体" w:cs="宋体"/>
          <w:color w:val="auto"/>
          <w:szCs w:val="21"/>
        </w:rPr>
        <w:t>代理服务的；</w:t>
      </w:r>
    </w:p>
    <w:p w14:paraId="277FD6E8">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0C142F6D">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6D8EF3A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69B4A77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）被责令停业的；</w:t>
      </w:r>
    </w:p>
    <w:p w14:paraId="4980071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）被暂停或取消竞选资格的；</w:t>
      </w:r>
    </w:p>
    <w:p w14:paraId="3F5BC997">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）财产被接管或冻结的；</w:t>
      </w:r>
    </w:p>
    <w:p w14:paraId="712DAE3E">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）单位负责人为同一人或者存在控股、管理关系的不同单位，不得在同一标段中</w:t>
      </w:r>
      <w:bookmarkStart w:id="82" w:name="OLE_LINK120"/>
      <w:bookmarkStart w:id="83" w:name="OLE_LINK118"/>
      <w:bookmarkStart w:id="84" w:name="OLE_LINK119"/>
      <w:r>
        <w:rPr>
          <w:rFonts w:hint="eastAsia" w:ascii="宋体" w:hAnsi="宋体" w:cs="宋体"/>
          <w:color w:val="auto"/>
          <w:szCs w:val="21"/>
        </w:rPr>
        <w:t>同时参加比选活动</w:t>
      </w:r>
      <w:bookmarkEnd w:id="82"/>
      <w:bookmarkEnd w:id="83"/>
      <w:bookmarkEnd w:id="84"/>
      <w:r>
        <w:rPr>
          <w:rFonts w:hint="eastAsia" w:ascii="宋体" w:hAnsi="宋体" w:cs="宋体"/>
          <w:color w:val="auto"/>
          <w:szCs w:val="21"/>
        </w:rPr>
        <w:t>；</w:t>
      </w:r>
    </w:p>
    <w:p w14:paraId="642C7FF9">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）两个以上竞选人的法定代表人为同一人，母公司、全资子公司及其控股公司，不得在同一标段中同时参加比选活动。</w:t>
      </w:r>
    </w:p>
    <w:p w14:paraId="2A953796">
      <w:pPr>
        <w:pStyle w:val="9"/>
        <w:snapToGrid w:val="0"/>
        <w:spacing w:before="0" w:line="360" w:lineRule="auto"/>
        <w:rPr>
          <w:rFonts w:ascii="宋体" w:hAnsi="宋体" w:eastAsia="宋体" w:cs="宋体"/>
          <w:snapToGrid w:val="0"/>
          <w:color w:val="auto"/>
          <w:sz w:val="21"/>
          <w:szCs w:val="21"/>
        </w:rPr>
      </w:pPr>
      <w:bookmarkStart w:id="85" w:name="_Toc25414"/>
      <w:bookmarkStart w:id="86" w:name="_Toc13362"/>
      <w:bookmarkStart w:id="87" w:name="_Toc444155918"/>
      <w:bookmarkStart w:id="88" w:name="_Toc200513132"/>
      <w:bookmarkStart w:id="89" w:name="_Toc27398"/>
      <w:bookmarkStart w:id="90" w:name="_Toc21028"/>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14:paraId="48E5E03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273F78E9">
      <w:pPr>
        <w:pStyle w:val="9"/>
        <w:snapToGrid w:val="0"/>
        <w:spacing w:before="0" w:line="360" w:lineRule="auto"/>
        <w:rPr>
          <w:rFonts w:ascii="宋体" w:hAnsi="宋体" w:eastAsia="宋体" w:cs="宋体"/>
          <w:snapToGrid w:val="0"/>
          <w:color w:val="auto"/>
          <w:sz w:val="21"/>
          <w:szCs w:val="21"/>
        </w:rPr>
      </w:pPr>
      <w:bookmarkStart w:id="91" w:name="_Toc2559"/>
      <w:bookmarkStart w:id="92" w:name="_Toc30130"/>
      <w:bookmarkStart w:id="93" w:name="_Toc444155919"/>
      <w:bookmarkStart w:id="94" w:name="_Toc19783"/>
      <w:bookmarkStart w:id="95" w:name="_Toc200513133"/>
      <w:bookmarkStart w:id="96" w:name="_Toc2729"/>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14:paraId="479E56D1">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w:t>
      </w:r>
      <w:r>
        <w:rPr>
          <w:rFonts w:hint="eastAsia" w:ascii="宋体" w:hAnsi="宋体" w:cs="宋体"/>
          <w:snapToGrid w:val="0"/>
          <w:color w:val="auto"/>
          <w:kern w:val="0"/>
          <w:szCs w:val="21"/>
          <w:lang w:val="en-US" w:eastAsia="zh-CN"/>
        </w:rPr>
        <w:t>竞</w:t>
      </w:r>
      <w:r>
        <w:rPr>
          <w:rFonts w:hint="eastAsia" w:ascii="宋体" w:hAnsi="宋体" w:cs="宋体"/>
          <w:snapToGrid w:val="0"/>
          <w:color w:val="auto"/>
          <w:kern w:val="0"/>
          <w:szCs w:val="21"/>
        </w:rPr>
        <w:t>选活动的各方应对竞争性比选文件和竞选文件中的商业和技术等秘密保密，违者应对由此造成的后果承担法律责任。</w:t>
      </w:r>
    </w:p>
    <w:p w14:paraId="27395F00">
      <w:pPr>
        <w:pStyle w:val="9"/>
        <w:snapToGrid w:val="0"/>
        <w:spacing w:before="0" w:line="360" w:lineRule="auto"/>
        <w:rPr>
          <w:rFonts w:ascii="宋体" w:hAnsi="宋体" w:eastAsia="宋体" w:cs="宋体"/>
          <w:snapToGrid w:val="0"/>
          <w:color w:val="auto"/>
          <w:sz w:val="21"/>
          <w:szCs w:val="21"/>
        </w:rPr>
      </w:pPr>
      <w:bookmarkStart w:id="97" w:name="_Toc18267"/>
      <w:bookmarkStart w:id="98" w:name="_Toc444155920"/>
      <w:bookmarkStart w:id="99" w:name="_Toc28995"/>
      <w:bookmarkStart w:id="100" w:name="_Toc200513134"/>
      <w:bookmarkStart w:id="101" w:name="_Toc26264"/>
      <w:bookmarkStart w:id="102" w:name="_Toc843"/>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14:paraId="6202093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73A8D769">
      <w:pPr>
        <w:pStyle w:val="9"/>
        <w:snapToGrid w:val="0"/>
        <w:spacing w:before="0" w:line="360" w:lineRule="auto"/>
        <w:rPr>
          <w:rFonts w:ascii="宋体" w:hAnsi="宋体" w:eastAsia="宋体" w:cs="宋体"/>
          <w:snapToGrid w:val="0"/>
          <w:color w:val="auto"/>
          <w:sz w:val="21"/>
          <w:szCs w:val="21"/>
        </w:rPr>
      </w:pPr>
      <w:bookmarkStart w:id="103" w:name="_Toc200513135"/>
      <w:bookmarkStart w:id="104" w:name="_Toc2534"/>
      <w:bookmarkStart w:id="105" w:name="_Toc20631"/>
      <w:bookmarkStart w:id="106" w:name="_Toc444155921"/>
      <w:bookmarkStart w:id="107" w:name="_Toc22681"/>
      <w:bookmarkStart w:id="108" w:name="_Toc17585"/>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14:paraId="600DEC8D">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6686485C">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w:t>
      </w:r>
      <w:r>
        <w:rPr>
          <w:rFonts w:hint="eastAsia" w:ascii="宋体" w:hAnsi="宋体" w:cs="宋体"/>
          <w:snapToGrid w:val="0"/>
          <w:color w:val="auto"/>
          <w:kern w:val="0"/>
          <w:szCs w:val="21"/>
          <w:lang w:val="en-US" w:eastAsia="zh-CN"/>
        </w:rPr>
        <w:t>结算</w:t>
      </w:r>
      <w:r>
        <w:rPr>
          <w:rFonts w:hint="eastAsia" w:ascii="宋体" w:hAnsi="宋体" w:cs="宋体"/>
          <w:snapToGrid w:val="0"/>
          <w:color w:val="auto"/>
          <w:kern w:val="0"/>
          <w:szCs w:val="21"/>
        </w:rPr>
        <w:t>。</w:t>
      </w:r>
    </w:p>
    <w:p w14:paraId="2174459F">
      <w:pPr>
        <w:pStyle w:val="9"/>
        <w:snapToGrid w:val="0"/>
        <w:spacing w:before="0" w:line="360" w:lineRule="auto"/>
        <w:rPr>
          <w:rFonts w:ascii="宋体" w:hAnsi="宋体" w:eastAsia="宋体" w:cs="宋体"/>
          <w:snapToGrid w:val="0"/>
          <w:color w:val="auto"/>
          <w:sz w:val="21"/>
          <w:szCs w:val="21"/>
        </w:rPr>
      </w:pPr>
      <w:bookmarkStart w:id="109" w:name="_Toc21201"/>
      <w:bookmarkStart w:id="110" w:name="_Toc200513137"/>
      <w:bookmarkStart w:id="111" w:name="_Toc6190"/>
      <w:bookmarkStart w:id="112" w:name="_Toc444155923"/>
      <w:bookmarkStart w:id="113" w:name="_Toc31156"/>
      <w:bookmarkStart w:id="114" w:name="_Toc24355"/>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14:paraId="7F814E03">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15" w:name="_Toc200513138"/>
      <w:r>
        <w:rPr>
          <w:rFonts w:hint="eastAsia" w:ascii="宋体" w:hAnsi="宋体" w:cs="宋体"/>
          <w:snapToGrid w:val="0"/>
          <w:color w:val="auto"/>
          <w:kern w:val="0"/>
          <w:szCs w:val="21"/>
        </w:rPr>
        <w:t>见竞选人须知前附表。</w:t>
      </w:r>
    </w:p>
    <w:p w14:paraId="7A3E89DE">
      <w:pPr>
        <w:pStyle w:val="9"/>
        <w:snapToGrid w:val="0"/>
        <w:spacing w:before="0" w:line="360" w:lineRule="auto"/>
        <w:rPr>
          <w:rFonts w:ascii="宋体" w:hAnsi="宋体" w:eastAsia="宋体" w:cs="宋体"/>
          <w:snapToGrid w:val="0"/>
          <w:color w:val="auto"/>
          <w:sz w:val="21"/>
          <w:szCs w:val="21"/>
        </w:rPr>
      </w:pPr>
      <w:bookmarkStart w:id="116" w:name="_Toc21965"/>
      <w:bookmarkStart w:id="117" w:name="_Toc444155924"/>
      <w:bookmarkStart w:id="118" w:name="_Toc29538"/>
      <w:bookmarkStart w:id="119" w:name="_Toc28450"/>
      <w:bookmarkStart w:id="120" w:name="_Toc11435"/>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14:paraId="206597A4">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21" w:name="_Toc444155926"/>
      <w:bookmarkStart w:id="122" w:name="_Toc200513139"/>
      <w:bookmarkStart w:id="123" w:name="_Toc19598"/>
      <w:r>
        <w:rPr>
          <w:rFonts w:hint="eastAsia" w:ascii="宋体" w:hAnsi="宋体" w:cs="宋体"/>
          <w:snapToGrid w:val="0"/>
          <w:color w:val="auto"/>
          <w:kern w:val="0"/>
          <w:szCs w:val="21"/>
        </w:rPr>
        <w:t>见竞选人须知前附表。</w:t>
      </w:r>
    </w:p>
    <w:p w14:paraId="5EFE6875">
      <w:pPr>
        <w:pStyle w:val="9"/>
        <w:snapToGrid w:val="0"/>
        <w:spacing w:before="0" w:line="360" w:lineRule="auto"/>
        <w:rPr>
          <w:rFonts w:ascii="宋体" w:hAnsi="宋体" w:eastAsia="宋体" w:cs="宋体"/>
          <w:snapToGrid w:val="0"/>
          <w:color w:val="auto"/>
          <w:sz w:val="21"/>
          <w:szCs w:val="21"/>
        </w:rPr>
      </w:pPr>
      <w:bookmarkStart w:id="124" w:name="_Toc32641"/>
      <w:bookmarkStart w:id="125" w:name="_Toc28505"/>
      <w:bookmarkStart w:id="126" w:name="_Toc1932"/>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14:paraId="5A450FAA">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bookmarkStart w:id="127" w:name="_Toc200513140"/>
      <w:r>
        <w:rPr>
          <w:rFonts w:hint="eastAsia" w:ascii="宋体" w:hAnsi="宋体" w:eastAsia="宋体" w:cs="宋体"/>
          <w:snapToGrid w:val="0"/>
          <w:color w:val="auto"/>
          <w:kern w:val="0"/>
          <w:szCs w:val="21"/>
        </w:rPr>
        <w:t>不允许负偏离。</w:t>
      </w:r>
    </w:p>
    <w:p w14:paraId="0EBE0B2D">
      <w:pPr>
        <w:pStyle w:val="9"/>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1.12踏勘现场</w:t>
      </w:r>
    </w:p>
    <w:p w14:paraId="4EC3528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eastAsia="宋体" w:cs="宋体"/>
          <w:snapToGrid w:val="0"/>
          <w:color w:val="auto"/>
          <w:kern w:val="0"/>
          <w:szCs w:val="21"/>
          <w:lang w:val="en-US" w:eastAsia="zh-CN"/>
        </w:rPr>
        <w:t>不组织，由竞选人自行踏勘</w:t>
      </w:r>
      <w:r>
        <w:rPr>
          <w:rFonts w:hint="eastAsia" w:ascii="宋体" w:hAnsi="宋体" w:eastAsia="宋体" w:cs="宋体"/>
          <w:snapToGrid w:val="0"/>
          <w:color w:val="auto"/>
          <w:kern w:val="0"/>
          <w:szCs w:val="21"/>
        </w:rPr>
        <w:t>。</w:t>
      </w:r>
    </w:p>
    <w:p w14:paraId="179A9501">
      <w:pPr>
        <w:pStyle w:val="8"/>
        <w:keepNext/>
        <w:keepLines/>
        <w:autoSpaceDE/>
        <w:autoSpaceDN/>
        <w:jc w:val="both"/>
        <w:rPr>
          <w:rFonts w:ascii="宋体" w:hAnsi="宋体" w:eastAsia="宋体" w:cs="宋体"/>
          <w:bCs/>
          <w:color w:val="auto"/>
          <w:spacing w:val="0"/>
          <w:w w:val="100"/>
          <w:kern w:val="0"/>
          <w:sz w:val="21"/>
          <w:szCs w:val="21"/>
        </w:rPr>
      </w:pPr>
      <w:bookmarkStart w:id="128" w:name="_Toc444155927"/>
      <w:bookmarkStart w:id="129" w:name="_Toc16706"/>
      <w:bookmarkStart w:id="130" w:name="_Toc1562"/>
      <w:bookmarkStart w:id="131" w:name="_Toc17741"/>
      <w:bookmarkStart w:id="132" w:name="_Toc30237"/>
      <w:bookmarkStart w:id="133" w:name="_Toc22036"/>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14:paraId="5BF1964D">
      <w:pPr>
        <w:pStyle w:val="9"/>
        <w:snapToGrid w:val="0"/>
        <w:spacing w:before="0" w:line="360" w:lineRule="auto"/>
        <w:rPr>
          <w:rFonts w:ascii="宋体" w:hAnsi="宋体" w:eastAsia="宋体" w:cs="宋体"/>
          <w:snapToGrid w:val="0"/>
          <w:color w:val="auto"/>
          <w:sz w:val="21"/>
          <w:szCs w:val="21"/>
        </w:rPr>
      </w:pPr>
      <w:bookmarkStart w:id="134" w:name="_Toc200513141"/>
      <w:bookmarkStart w:id="135" w:name="_Toc5120"/>
      <w:bookmarkStart w:id="136" w:name="_Toc30552"/>
      <w:bookmarkStart w:id="137" w:name="_Toc21518"/>
      <w:bookmarkStart w:id="138" w:name="_Toc23724"/>
      <w:bookmarkStart w:id="139" w:name="_Toc444155928"/>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14:paraId="548FB07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0" w:name="OLE_LINK159"/>
      <w:bookmarkStart w:id="141" w:name="OLE_LINK131"/>
      <w:bookmarkStart w:id="142" w:name="OLE_LINK130"/>
      <w:bookmarkStart w:id="143" w:name="OLE_LINK132"/>
      <w:r>
        <w:rPr>
          <w:rFonts w:hint="eastAsia" w:ascii="宋体" w:hAnsi="宋体" w:cs="宋体"/>
          <w:snapToGrid w:val="0"/>
          <w:color w:val="auto"/>
          <w:kern w:val="0"/>
          <w:szCs w:val="21"/>
        </w:rPr>
        <w:t>本竞争性比选文件包括：</w:t>
      </w:r>
    </w:p>
    <w:p w14:paraId="69926CA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4" w:name="OLE_LINK127"/>
      <w:bookmarkStart w:id="145" w:name="OLE_LINK123"/>
      <w:bookmarkStart w:id="146" w:name="OLE_LINK124"/>
      <w:bookmarkStart w:id="147" w:name="OLE_LINK125"/>
      <w:bookmarkStart w:id="148" w:name="OLE_LINK128"/>
      <w:bookmarkStart w:id="149" w:name="OLE_LINK121"/>
      <w:bookmarkStart w:id="150" w:name="OLE_LINK126"/>
      <w:bookmarkStart w:id="151" w:name="OLE_LINK129"/>
      <w:bookmarkStart w:id="152" w:name="OLE_LINK122"/>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04DEF9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26AB858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3BEE701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352DAA2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（5）工程量清单</w:t>
      </w:r>
      <w:r>
        <w:rPr>
          <w:rFonts w:hint="eastAsia" w:ascii="宋体" w:hAnsi="宋体" w:cs="宋体"/>
          <w:snapToGrid w:val="0"/>
          <w:color w:val="auto"/>
          <w:kern w:val="0"/>
          <w:szCs w:val="21"/>
          <w:lang w:val="en-US" w:eastAsia="zh-CN"/>
        </w:rPr>
        <w:t>；</w:t>
      </w:r>
    </w:p>
    <w:p w14:paraId="600712B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cs="宋体"/>
          <w:snapToGrid w:val="0"/>
          <w:color w:val="auto"/>
          <w:kern w:val="0"/>
          <w:szCs w:val="21"/>
          <w:lang w:val="en-US" w:eastAsia="zh-CN"/>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6）图纸；</w:t>
      </w:r>
    </w:p>
    <w:p w14:paraId="6A84EF4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技术标准和要求；</w:t>
      </w:r>
    </w:p>
    <w:p w14:paraId="1BCA0B9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3"/>
      <w:bookmarkStart w:id="154" w:name="OLE_LINK134"/>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8</w:t>
      </w:r>
      <w:r>
        <w:rPr>
          <w:rFonts w:hint="eastAsia" w:ascii="宋体" w:hAnsi="宋体" w:cs="宋体"/>
          <w:snapToGrid w:val="0"/>
          <w:color w:val="auto"/>
          <w:kern w:val="0"/>
          <w:szCs w:val="21"/>
        </w:rPr>
        <w:t>）竞选文件格式</w:t>
      </w:r>
      <w:r>
        <w:rPr>
          <w:rFonts w:hint="eastAsia" w:ascii="宋体" w:hAnsi="宋体" w:cs="宋体"/>
          <w:snapToGrid w:val="0"/>
          <w:color w:val="auto"/>
          <w:kern w:val="0"/>
          <w:szCs w:val="21"/>
          <w:lang w:eastAsia="zh-CN"/>
        </w:rPr>
        <w:t>；</w:t>
      </w:r>
    </w:p>
    <w:bookmarkEnd w:id="153"/>
    <w:bookmarkEnd w:id="154"/>
    <w:p w14:paraId="092E92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9</w:t>
      </w:r>
      <w:r>
        <w:rPr>
          <w:rFonts w:hint="eastAsia" w:ascii="宋体" w:hAnsi="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4C7E36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140"/>
      <w:r>
        <w:rPr>
          <w:rFonts w:hint="eastAsia" w:ascii="宋体" w:hAnsi="宋体" w:cs="宋体"/>
          <w:snapToGrid w:val="0"/>
          <w:color w:val="auto"/>
          <w:kern w:val="0"/>
          <w:szCs w:val="21"/>
        </w:rPr>
        <w:t>分。</w:t>
      </w:r>
    </w:p>
    <w:bookmarkEnd w:id="141"/>
    <w:bookmarkEnd w:id="142"/>
    <w:bookmarkEnd w:id="143"/>
    <w:p w14:paraId="52A2F993">
      <w:pPr>
        <w:pStyle w:val="9"/>
        <w:snapToGrid w:val="0"/>
        <w:spacing w:before="0" w:line="360" w:lineRule="auto"/>
        <w:rPr>
          <w:rFonts w:ascii="宋体" w:hAnsi="宋体" w:eastAsia="宋体" w:cs="宋体"/>
          <w:snapToGrid w:val="0"/>
          <w:color w:val="auto"/>
          <w:sz w:val="21"/>
          <w:szCs w:val="21"/>
        </w:rPr>
      </w:pPr>
      <w:bookmarkStart w:id="155" w:name="_Toc16847"/>
      <w:bookmarkStart w:id="156" w:name="_Toc28494"/>
      <w:bookmarkStart w:id="157" w:name="_Toc9907"/>
      <w:bookmarkStart w:id="158" w:name="_Toc200513142"/>
      <w:bookmarkStart w:id="159" w:name="_Toc2593"/>
      <w:bookmarkStart w:id="160" w:name="_Toc444155929"/>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14:paraId="5B7202D3">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162" w:name="_Toc200513143"/>
      <w:r>
        <w:rPr>
          <w:rFonts w:hint="eastAsia" w:ascii="宋体" w:hAnsi="宋体" w:cs="宋体"/>
          <w:snapToGrid w:val="0"/>
          <w:color w:val="auto"/>
          <w:kern w:val="0"/>
          <w:szCs w:val="21"/>
        </w:rPr>
        <w:t>2.2.1</w:t>
      </w:r>
      <w:r>
        <w:rPr>
          <w:rFonts w:hint="eastAsia" w:ascii="宋体" w:hAnsi="宋体" w:cs="宋体"/>
          <w:color w:val="auto"/>
          <w:kern w:val="0"/>
          <w:szCs w:val="21"/>
        </w:rPr>
        <w:t>竞选人要求澄清竞争性比选文件的截止时间</w:t>
      </w:r>
      <w:r>
        <w:rPr>
          <w:rFonts w:hint="eastAsia" w:ascii="宋体" w:hAnsi="宋体" w:cs="宋体"/>
          <w:snapToGrid w:val="0"/>
          <w:color w:val="auto"/>
          <w:kern w:val="0"/>
          <w:szCs w:val="21"/>
        </w:rPr>
        <w:t>见竞选人须知前附表规定。</w:t>
      </w:r>
    </w:p>
    <w:p w14:paraId="6D93B1E8">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w:t>
      </w:r>
      <w:r>
        <w:rPr>
          <w:rFonts w:hint="eastAsia" w:ascii="宋体" w:hAnsi="宋体" w:cs="宋体"/>
          <w:color w:val="auto"/>
          <w:kern w:val="0"/>
          <w:szCs w:val="21"/>
        </w:rPr>
        <w:t>比选人对竞争性比选文件答疑及对竞争性比选文件的澄清与修改</w:t>
      </w:r>
      <w:r>
        <w:rPr>
          <w:rFonts w:hint="eastAsia" w:ascii="宋体" w:hAnsi="宋体" w:cs="宋体"/>
          <w:snapToGrid w:val="0"/>
          <w:color w:val="auto"/>
          <w:kern w:val="0"/>
          <w:szCs w:val="21"/>
        </w:rPr>
        <w:t>见竞选人须知前附表规定。</w:t>
      </w:r>
    </w:p>
    <w:bookmarkEnd w:id="162"/>
    <w:p w14:paraId="2CAE30D0">
      <w:pPr>
        <w:pStyle w:val="9"/>
        <w:snapToGrid w:val="0"/>
        <w:spacing w:before="0" w:line="360" w:lineRule="auto"/>
        <w:rPr>
          <w:rFonts w:ascii="宋体" w:hAnsi="宋体" w:eastAsia="宋体" w:cs="宋体"/>
          <w:snapToGrid w:val="0"/>
          <w:color w:val="auto"/>
          <w:sz w:val="21"/>
          <w:szCs w:val="21"/>
        </w:rPr>
      </w:pPr>
      <w:bookmarkStart w:id="163" w:name="_Toc12703"/>
      <w:bookmarkStart w:id="164" w:name="_Toc6600"/>
      <w:bookmarkStart w:id="165" w:name="_Toc10931"/>
      <w:bookmarkStart w:id="166" w:name="_Toc444155931"/>
      <w:bookmarkStart w:id="167" w:name="_Toc200513144"/>
      <w:bookmarkStart w:id="168" w:name="_Toc30887"/>
      <w:r>
        <w:rPr>
          <w:rFonts w:hint="eastAsia" w:ascii="宋体" w:hAnsi="宋体" w:eastAsia="宋体" w:cs="宋体"/>
          <w:snapToGrid w:val="0"/>
          <w:color w:val="auto"/>
          <w:sz w:val="21"/>
          <w:szCs w:val="21"/>
        </w:rPr>
        <w:t>2.3 竞选文件递交截止时间</w:t>
      </w:r>
    </w:p>
    <w:p w14:paraId="37B6F614">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0C4F142D">
      <w:pPr>
        <w:pStyle w:val="8"/>
        <w:keepNext/>
        <w:keepLines/>
        <w:autoSpaceDE/>
        <w:autoSpaceDN/>
        <w:jc w:val="both"/>
        <w:rPr>
          <w:rFonts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14:paraId="37AB5B88">
      <w:pPr>
        <w:pStyle w:val="9"/>
        <w:snapToGrid w:val="0"/>
        <w:spacing w:before="0" w:line="360" w:lineRule="auto"/>
        <w:rPr>
          <w:rFonts w:ascii="宋体" w:hAnsi="宋体" w:eastAsia="宋体" w:cs="宋体"/>
          <w:snapToGrid w:val="0"/>
          <w:color w:val="auto"/>
          <w:sz w:val="21"/>
          <w:szCs w:val="21"/>
        </w:rPr>
      </w:pPr>
      <w:bookmarkStart w:id="170" w:name="_Toc3690"/>
      <w:bookmarkStart w:id="171" w:name="_Toc16394"/>
      <w:bookmarkStart w:id="172" w:name="_Toc14726"/>
      <w:bookmarkStart w:id="173" w:name="_Toc13900"/>
      <w:bookmarkStart w:id="174" w:name="_Toc444155932"/>
      <w:bookmarkStart w:id="175" w:name="_Toc200513145"/>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14:paraId="1EA08AD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76" w:name="_Toc31840"/>
      <w:bookmarkStart w:id="177" w:name="_Toc200513146"/>
      <w:bookmarkStart w:id="178" w:name="_Toc444155933"/>
      <w:bookmarkStart w:id="179" w:name="_Toc28017"/>
      <w:bookmarkStart w:id="180" w:name="_Toc9566"/>
      <w:r>
        <w:rPr>
          <w:rFonts w:hint="eastAsia" w:ascii="宋体" w:hAnsi="宋体" w:cs="宋体"/>
          <w:snapToGrid w:val="0"/>
          <w:color w:val="auto"/>
          <w:kern w:val="0"/>
          <w:szCs w:val="21"/>
        </w:rPr>
        <w:t>见第</w:t>
      </w:r>
      <w:r>
        <w:rPr>
          <w:rFonts w:hint="eastAsia" w:ascii="宋体" w:hAnsi="宋体" w:cs="宋体"/>
          <w:snapToGrid w:val="0"/>
          <w:color w:val="auto"/>
          <w:kern w:val="0"/>
          <w:szCs w:val="21"/>
          <w:lang w:val="en-US" w:eastAsia="zh-CN"/>
        </w:rPr>
        <w:t>八</w:t>
      </w:r>
      <w:r>
        <w:rPr>
          <w:rFonts w:hint="eastAsia" w:ascii="宋体" w:hAnsi="宋体" w:cs="宋体"/>
          <w:snapToGrid w:val="0"/>
          <w:color w:val="auto"/>
          <w:kern w:val="0"/>
          <w:szCs w:val="21"/>
        </w:rPr>
        <w:t>章。</w:t>
      </w:r>
    </w:p>
    <w:p w14:paraId="30E69B1B">
      <w:pPr>
        <w:pStyle w:val="9"/>
        <w:snapToGrid w:val="0"/>
        <w:spacing w:before="0" w:line="360" w:lineRule="auto"/>
        <w:rPr>
          <w:rFonts w:ascii="宋体" w:hAnsi="宋体" w:eastAsia="宋体" w:cs="宋体"/>
          <w:snapToGrid w:val="0"/>
          <w:color w:val="auto"/>
          <w:sz w:val="21"/>
          <w:szCs w:val="21"/>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r>
        <w:rPr>
          <w:rFonts w:hint="eastAsia" w:ascii="宋体" w:hAnsi="宋体" w:eastAsia="宋体" w:cs="宋体"/>
          <w:snapToGrid w:val="0"/>
          <w:color w:val="auto"/>
          <w:sz w:val="21"/>
          <w:szCs w:val="21"/>
        </w:rPr>
        <w:t>竞选报价</w:t>
      </w:r>
      <w:bookmarkEnd w:id="179"/>
      <w:bookmarkEnd w:id="180"/>
      <w:bookmarkEnd w:id="181"/>
    </w:p>
    <w:p w14:paraId="5659732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47E73DD3">
      <w:pPr>
        <w:pStyle w:val="9"/>
        <w:snapToGrid w:val="0"/>
        <w:spacing w:before="0" w:line="360" w:lineRule="auto"/>
        <w:rPr>
          <w:rFonts w:ascii="宋体" w:hAnsi="宋体" w:eastAsia="宋体" w:cs="宋体"/>
          <w:snapToGrid w:val="0"/>
          <w:color w:val="auto"/>
          <w:sz w:val="21"/>
          <w:szCs w:val="21"/>
        </w:rPr>
      </w:pPr>
      <w:bookmarkStart w:id="182" w:name="_Toc17656"/>
      <w:bookmarkStart w:id="183" w:name="_Toc444155934"/>
      <w:bookmarkStart w:id="184" w:name="_Toc200513147"/>
      <w:bookmarkStart w:id="185" w:name="_Toc4106"/>
      <w:bookmarkStart w:id="186" w:name="_Toc6616"/>
      <w:bookmarkStart w:id="187" w:name="_Toc24651"/>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14:paraId="3F6A532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1EC3BF01">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w:t>
      </w:r>
    </w:p>
    <w:p w14:paraId="7DC944B6">
      <w:pPr>
        <w:pStyle w:val="9"/>
        <w:snapToGrid w:val="0"/>
        <w:spacing w:before="0" w:line="360" w:lineRule="auto"/>
        <w:rPr>
          <w:rFonts w:ascii="宋体" w:hAnsi="宋体" w:eastAsia="宋体" w:cs="宋体"/>
          <w:snapToGrid w:val="0"/>
          <w:color w:val="auto"/>
          <w:sz w:val="21"/>
          <w:szCs w:val="21"/>
        </w:rPr>
      </w:pPr>
      <w:bookmarkStart w:id="188" w:name="_Toc23124"/>
      <w:bookmarkStart w:id="189" w:name="_Toc200513148"/>
      <w:bookmarkStart w:id="190" w:name="_Toc444155935"/>
      <w:bookmarkStart w:id="191" w:name="_Toc17889"/>
      <w:bookmarkStart w:id="192" w:name="_Toc10078"/>
      <w:bookmarkStart w:id="193" w:name="_Toc22726"/>
      <w:r>
        <w:rPr>
          <w:rFonts w:hint="eastAsia" w:ascii="宋体" w:hAnsi="宋体" w:eastAsia="宋体" w:cs="宋体"/>
          <w:snapToGrid w:val="0"/>
          <w:color w:val="auto"/>
          <w:sz w:val="21"/>
          <w:szCs w:val="21"/>
        </w:rPr>
        <w:t xml:space="preserve">3.4 </w:t>
      </w:r>
      <w:bookmarkEnd w:id="188"/>
      <w:bookmarkEnd w:id="189"/>
      <w:bookmarkEnd w:id="190"/>
      <w:r>
        <w:rPr>
          <w:rFonts w:hint="eastAsia" w:ascii="宋体" w:hAnsi="宋体" w:eastAsia="宋体" w:cs="宋体"/>
          <w:snapToGrid w:val="0"/>
          <w:color w:val="auto"/>
          <w:sz w:val="21"/>
          <w:szCs w:val="21"/>
        </w:rPr>
        <w:t>竞选保证金</w:t>
      </w:r>
      <w:bookmarkEnd w:id="191"/>
      <w:bookmarkEnd w:id="192"/>
      <w:bookmarkEnd w:id="193"/>
    </w:p>
    <w:p w14:paraId="73BFA1F0">
      <w:pPr>
        <w:autoSpaceDE w:val="0"/>
        <w:autoSpaceDN w:val="0"/>
        <w:adjustRightInd w:val="0"/>
        <w:snapToGrid w:val="0"/>
        <w:spacing w:line="360" w:lineRule="auto"/>
        <w:ind w:firstLine="420"/>
        <w:rPr>
          <w:rFonts w:ascii="宋体" w:hAnsi="宋体" w:cs="宋体"/>
          <w:snapToGrid w:val="0"/>
          <w:color w:val="auto"/>
          <w:kern w:val="0"/>
          <w:szCs w:val="21"/>
        </w:rPr>
      </w:pPr>
      <w:bookmarkStart w:id="194" w:name="_Toc200513150"/>
      <w:r>
        <w:rPr>
          <w:rFonts w:hint="eastAsia" w:ascii="宋体" w:hAnsi="宋体" w:cs="宋体"/>
          <w:snapToGrid w:val="0"/>
          <w:color w:val="auto"/>
          <w:kern w:val="0"/>
          <w:szCs w:val="21"/>
          <w:lang w:val="en-US" w:eastAsia="zh-CN"/>
        </w:rPr>
        <w:t>无</w:t>
      </w:r>
      <w:r>
        <w:rPr>
          <w:rFonts w:hint="eastAsia" w:ascii="宋体" w:hAnsi="宋体" w:cs="宋体"/>
          <w:snapToGrid w:val="0"/>
          <w:color w:val="auto"/>
          <w:kern w:val="0"/>
          <w:szCs w:val="21"/>
        </w:rPr>
        <w:t>。</w:t>
      </w:r>
    </w:p>
    <w:p w14:paraId="0FBD1330">
      <w:pPr>
        <w:pStyle w:val="9"/>
        <w:snapToGrid w:val="0"/>
        <w:spacing w:before="0" w:line="360" w:lineRule="auto"/>
        <w:rPr>
          <w:rFonts w:ascii="宋体" w:hAnsi="宋体" w:eastAsia="宋体" w:cs="宋体"/>
          <w:snapToGrid w:val="0"/>
          <w:color w:val="auto"/>
          <w:sz w:val="21"/>
          <w:szCs w:val="21"/>
        </w:rPr>
      </w:pPr>
      <w:bookmarkStart w:id="195" w:name="_Toc17678"/>
      <w:bookmarkStart w:id="196" w:name="_Toc444155936"/>
      <w:bookmarkStart w:id="197" w:name="_Toc30056"/>
      <w:bookmarkStart w:id="198" w:name="_Toc28288"/>
      <w:bookmarkStart w:id="199" w:name="_Toc21763"/>
      <w:r>
        <w:rPr>
          <w:rFonts w:hint="eastAsia" w:ascii="宋体" w:hAnsi="宋体" w:eastAsia="宋体" w:cs="宋体"/>
          <w:snapToGrid w:val="0"/>
          <w:color w:val="auto"/>
          <w:sz w:val="21"/>
          <w:szCs w:val="21"/>
        </w:rPr>
        <w:t>3.5 资格审查资料</w:t>
      </w:r>
      <w:bookmarkEnd w:id="194"/>
      <w:bookmarkEnd w:id="195"/>
      <w:bookmarkEnd w:id="196"/>
      <w:bookmarkEnd w:id="197"/>
      <w:bookmarkEnd w:id="198"/>
      <w:bookmarkEnd w:id="199"/>
    </w:p>
    <w:p w14:paraId="48266E9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须知第1.4.1项的规定执行。</w:t>
      </w:r>
    </w:p>
    <w:p w14:paraId="63D95F7D">
      <w:pPr>
        <w:pStyle w:val="9"/>
        <w:snapToGrid w:val="0"/>
        <w:spacing w:before="0" w:line="360" w:lineRule="auto"/>
        <w:rPr>
          <w:rFonts w:ascii="宋体" w:hAnsi="宋体" w:eastAsia="宋体" w:cs="宋体"/>
          <w:snapToGrid w:val="0"/>
          <w:color w:val="auto"/>
          <w:sz w:val="21"/>
          <w:szCs w:val="21"/>
        </w:rPr>
      </w:pPr>
      <w:bookmarkStart w:id="200" w:name="_Toc32516"/>
      <w:bookmarkStart w:id="201" w:name="_Toc200513151"/>
      <w:bookmarkStart w:id="202" w:name="_Toc23582"/>
      <w:bookmarkStart w:id="203" w:name="_Toc22565"/>
      <w:bookmarkStart w:id="204" w:name="_Toc444155937"/>
      <w:bookmarkStart w:id="205" w:name="_Toc13792"/>
      <w:r>
        <w:rPr>
          <w:rFonts w:hint="eastAsia" w:ascii="宋体" w:hAnsi="宋体" w:eastAsia="宋体" w:cs="宋体"/>
          <w:snapToGrid w:val="0"/>
          <w:color w:val="auto"/>
          <w:sz w:val="21"/>
          <w:szCs w:val="21"/>
        </w:rPr>
        <w:t>3.6 备选竞选方案</w:t>
      </w:r>
      <w:bookmarkEnd w:id="200"/>
      <w:bookmarkEnd w:id="201"/>
      <w:bookmarkEnd w:id="202"/>
      <w:bookmarkEnd w:id="203"/>
      <w:bookmarkEnd w:id="204"/>
      <w:bookmarkEnd w:id="205"/>
    </w:p>
    <w:p w14:paraId="41F0D33F">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5FD93E7E">
      <w:pPr>
        <w:pStyle w:val="9"/>
        <w:snapToGrid w:val="0"/>
        <w:spacing w:before="0" w:line="360" w:lineRule="auto"/>
        <w:rPr>
          <w:rFonts w:ascii="宋体" w:hAnsi="宋体" w:eastAsia="宋体" w:cs="宋体"/>
          <w:snapToGrid w:val="0"/>
          <w:color w:val="auto"/>
          <w:sz w:val="21"/>
          <w:szCs w:val="21"/>
        </w:rPr>
      </w:pPr>
      <w:bookmarkStart w:id="206" w:name="_Toc186"/>
      <w:bookmarkStart w:id="207" w:name="_Toc11016"/>
      <w:bookmarkStart w:id="208" w:name="_Toc444155938"/>
      <w:bookmarkStart w:id="209" w:name="_Toc10960"/>
      <w:bookmarkStart w:id="210" w:name="_Toc23962"/>
      <w:r>
        <w:rPr>
          <w:rFonts w:hint="eastAsia" w:ascii="宋体" w:hAnsi="宋体" w:eastAsia="宋体" w:cs="宋体"/>
          <w:snapToGrid w:val="0"/>
          <w:color w:val="auto"/>
          <w:sz w:val="21"/>
          <w:szCs w:val="21"/>
        </w:rPr>
        <w:t>3.7 竞选文件的编制</w:t>
      </w:r>
      <w:bookmarkEnd w:id="206"/>
      <w:bookmarkEnd w:id="207"/>
      <w:bookmarkEnd w:id="208"/>
      <w:bookmarkEnd w:id="209"/>
      <w:bookmarkEnd w:id="210"/>
    </w:p>
    <w:p w14:paraId="597E365F">
      <w:pPr>
        <w:autoSpaceDE w:val="0"/>
        <w:autoSpaceDN w:val="0"/>
        <w:adjustRightInd w:val="0"/>
        <w:snapToGrid w:val="0"/>
        <w:spacing w:line="360" w:lineRule="auto"/>
        <w:ind w:firstLine="420"/>
        <w:rPr>
          <w:rFonts w:ascii="宋体" w:hAnsi="宋体" w:cs="宋体"/>
          <w:snapToGrid w:val="0"/>
          <w:color w:val="auto"/>
          <w:kern w:val="0"/>
          <w:szCs w:val="21"/>
        </w:rPr>
      </w:pPr>
      <w:bookmarkStart w:id="211" w:name="_Toc200513153"/>
      <w:r>
        <w:rPr>
          <w:rFonts w:hint="eastAsia" w:ascii="宋体" w:hAnsi="宋体" w:cs="宋体"/>
          <w:snapToGrid w:val="0"/>
          <w:color w:val="auto"/>
          <w:kern w:val="0"/>
          <w:szCs w:val="21"/>
        </w:rPr>
        <w:t>3.7.1 竞选文件应按</w:t>
      </w:r>
      <w:r>
        <w:rPr>
          <w:rFonts w:hint="eastAsia" w:ascii="宋体" w:hAnsi="宋体" w:cs="宋体"/>
          <w:snapToGrid w:val="0"/>
          <w:color w:val="auto"/>
          <w:kern w:val="0"/>
          <w:szCs w:val="21"/>
          <w:lang w:eastAsia="zh-CN"/>
        </w:rPr>
        <w:t>第八章“竞选文件格式”</w:t>
      </w:r>
      <w:r>
        <w:rPr>
          <w:rFonts w:hint="eastAsia" w:ascii="宋体" w:hAnsi="宋体" w:cs="宋体"/>
          <w:snapToGrid w:val="0"/>
          <w:color w:val="auto"/>
          <w:kern w:val="0"/>
          <w:szCs w:val="21"/>
        </w:rPr>
        <w:t>进行编写，如有必要，可以增加附页，作为竞选文件的组成部分。可以提出比竞争性比选文件要求更有利于比选人的承诺。</w:t>
      </w:r>
    </w:p>
    <w:p w14:paraId="693F541E">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3.7.2 竞选文件应当对竞争性比选文件有关</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、竞选有效期、质量要求、技术标准和要求、</w:t>
      </w:r>
      <w:r>
        <w:rPr>
          <w:rFonts w:hint="eastAsia" w:ascii="宋体" w:hAnsi="宋体" w:cs="宋体"/>
          <w:color w:val="auto"/>
          <w:kern w:val="0"/>
          <w:szCs w:val="21"/>
        </w:rPr>
        <w:t>比选</w:t>
      </w:r>
      <w:r>
        <w:rPr>
          <w:rFonts w:hint="eastAsia" w:ascii="宋体" w:hAnsi="宋体" w:cs="宋体"/>
          <w:snapToGrid w:val="0"/>
          <w:color w:val="auto"/>
          <w:kern w:val="0"/>
          <w:szCs w:val="21"/>
        </w:rPr>
        <w:t>范围等实质性内容做出响应。</w:t>
      </w:r>
    </w:p>
    <w:p w14:paraId="26D13605">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430125FB">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3.7.4 竞选文件正本一份，副本份数见竞选人须知前附表。正本和副本的封面上应清楚地标记“正本”或“副本”的字样，正本封面均须加盖单位公章（鲜章）。当副本和正本不一致时，以正本为准。</w:t>
      </w:r>
    </w:p>
    <w:p w14:paraId="0C8B9073">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3.7.5 竞选文件的正本与副本应分别装订成册，并编制目录，具体装订要求见竞选人须知前附表规定。</w:t>
      </w:r>
    </w:p>
    <w:p w14:paraId="586962AE">
      <w:pPr>
        <w:pStyle w:val="8"/>
        <w:keepNext/>
        <w:keepLines/>
        <w:autoSpaceDE/>
        <w:autoSpaceDN/>
        <w:jc w:val="both"/>
        <w:rPr>
          <w:rFonts w:ascii="宋体" w:hAnsi="宋体" w:eastAsia="宋体" w:cs="宋体"/>
          <w:bCs/>
          <w:color w:val="auto"/>
          <w:spacing w:val="0"/>
          <w:w w:val="100"/>
          <w:kern w:val="0"/>
          <w:sz w:val="21"/>
          <w:szCs w:val="21"/>
        </w:rPr>
      </w:pPr>
      <w:bookmarkStart w:id="212" w:name="_Toc29832"/>
      <w:bookmarkStart w:id="213" w:name="_Toc22541"/>
      <w:bookmarkStart w:id="214" w:name="_Toc20250"/>
      <w:bookmarkStart w:id="215" w:name="_Toc18299"/>
      <w:bookmarkStart w:id="216" w:name="_Toc444155939"/>
      <w:bookmarkStart w:id="217" w:name="_Toc4165"/>
      <w:r>
        <w:rPr>
          <w:rFonts w:hint="eastAsia" w:ascii="宋体" w:hAnsi="宋体" w:eastAsia="宋体" w:cs="宋体"/>
          <w:bCs/>
          <w:color w:val="auto"/>
          <w:spacing w:val="0"/>
          <w:w w:val="100"/>
          <w:kern w:val="0"/>
          <w:sz w:val="21"/>
          <w:szCs w:val="21"/>
        </w:rPr>
        <w:t xml:space="preserve">4. </w:t>
      </w:r>
      <w:bookmarkEnd w:id="211"/>
      <w:bookmarkEnd w:id="212"/>
      <w:bookmarkEnd w:id="213"/>
      <w:bookmarkEnd w:id="214"/>
      <w:bookmarkEnd w:id="215"/>
      <w:bookmarkEnd w:id="216"/>
      <w:r>
        <w:rPr>
          <w:rFonts w:hint="eastAsia" w:ascii="宋体" w:hAnsi="宋体" w:eastAsia="宋体" w:cs="宋体"/>
          <w:bCs/>
          <w:color w:val="auto"/>
          <w:spacing w:val="0"/>
          <w:w w:val="100"/>
          <w:kern w:val="0"/>
          <w:sz w:val="21"/>
          <w:szCs w:val="21"/>
        </w:rPr>
        <w:t>竞选</w:t>
      </w:r>
      <w:bookmarkEnd w:id="217"/>
    </w:p>
    <w:p w14:paraId="4A1596A7">
      <w:pPr>
        <w:pStyle w:val="9"/>
        <w:snapToGrid w:val="0"/>
        <w:spacing w:before="0" w:line="360" w:lineRule="auto"/>
        <w:rPr>
          <w:rFonts w:ascii="宋体" w:hAnsi="宋体" w:eastAsia="宋体" w:cs="宋体"/>
          <w:snapToGrid w:val="0"/>
          <w:color w:val="auto"/>
          <w:sz w:val="21"/>
          <w:szCs w:val="21"/>
        </w:rPr>
      </w:pPr>
      <w:bookmarkStart w:id="218" w:name="_Toc9316"/>
      <w:bookmarkStart w:id="219" w:name="_Toc3204"/>
      <w:bookmarkStart w:id="220" w:name="_Toc14282"/>
      <w:bookmarkStart w:id="221" w:name="_Toc444155940"/>
      <w:bookmarkStart w:id="222" w:name="_Toc200513154"/>
      <w:bookmarkStart w:id="223" w:name="_Toc7204"/>
      <w:r>
        <w:rPr>
          <w:rFonts w:hint="eastAsia" w:ascii="宋体" w:hAnsi="宋体" w:eastAsia="宋体" w:cs="宋体"/>
          <w:snapToGrid w:val="0"/>
          <w:color w:val="auto"/>
          <w:sz w:val="21"/>
          <w:szCs w:val="21"/>
        </w:rPr>
        <w:t>4.1 竞选文件的密封和标记</w:t>
      </w:r>
      <w:bookmarkEnd w:id="218"/>
      <w:bookmarkEnd w:id="219"/>
      <w:bookmarkEnd w:id="220"/>
      <w:bookmarkEnd w:id="221"/>
      <w:bookmarkEnd w:id="222"/>
      <w:bookmarkEnd w:id="223"/>
    </w:p>
    <w:p w14:paraId="017A722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24" w:name="_Toc200513155"/>
      <w:r>
        <w:rPr>
          <w:rFonts w:hint="eastAsia" w:ascii="宋体" w:hAnsi="宋体" w:cs="宋体"/>
          <w:snapToGrid w:val="0"/>
          <w:color w:val="auto"/>
          <w:kern w:val="0"/>
          <w:szCs w:val="21"/>
        </w:rPr>
        <w:t>4.1.1 竞选文件的正本与副本密封见竞选人须知前附表。</w:t>
      </w:r>
    </w:p>
    <w:p w14:paraId="59DFB83B">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 竞选文件的封套上应写明的内容见竞选人须知前附表。</w:t>
      </w:r>
      <w:bookmarkStart w:id="225" w:name="OLE_LINK136"/>
      <w:bookmarkStart w:id="226" w:name="OLE_LINK135"/>
    </w:p>
    <w:bookmarkEnd w:id="225"/>
    <w:bookmarkEnd w:id="226"/>
    <w:p w14:paraId="033F3A31">
      <w:pPr>
        <w:pStyle w:val="9"/>
        <w:snapToGrid w:val="0"/>
        <w:spacing w:before="0" w:line="360" w:lineRule="auto"/>
        <w:rPr>
          <w:rFonts w:ascii="宋体" w:hAnsi="宋体" w:eastAsia="宋体" w:cs="宋体"/>
          <w:snapToGrid w:val="0"/>
          <w:color w:val="auto"/>
          <w:sz w:val="21"/>
          <w:szCs w:val="21"/>
        </w:rPr>
      </w:pPr>
      <w:bookmarkStart w:id="227" w:name="_Toc32182"/>
      <w:bookmarkStart w:id="228" w:name="_Toc18168"/>
      <w:bookmarkStart w:id="229" w:name="_Toc444155941"/>
      <w:bookmarkStart w:id="230" w:name="_Toc10680"/>
      <w:bookmarkStart w:id="231" w:name="_Toc24971"/>
      <w:r>
        <w:rPr>
          <w:rFonts w:hint="eastAsia" w:ascii="宋体" w:hAnsi="宋体" w:eastAsia="宋体" w:cs="宋体"/>
          <w:snapToGrid w:val="0"/>
          <w:color w:val="auto"/>
          <w:sz w:val="21"/>
          <w:szCs w:val="21"/>
        </w:rPr>
        <w:t>4.2 竞选文件的递交</w:t>
      </w:r>
      <w:bookmarkEnd w:id="224"/>
      <w:bookmarkEnd w:id="227"/>
      <w:bookmarkEnd w:id="228"/>
      <w:bookmarkEnd w:id="229"/>
      <w:bookmarkEnd w:id="230"/>
      <w:bookmarkEnd w:id="231"/>
    </w:p>
    <w:p w14:paraId="31DF5B7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32" w:name="OLE_LINK138"/>
      <w:bookmarkStart w:id="233" w:name="OLE_LINK137"/>
      <w:r>
        <w:rPr>
          <w:rFonts w:hint="eastAsia" w:ascii="宋体" w:hAnsi="宋体" w:cs="宋体"/>
          <w:snapToGrid w:val="0"/>
          <w:color w:val="auto"/>
          <w:kern w:val="0"/>
          <w:szCs w:val="21"/>
        </w:rPr>
        <w:t>4.2.1 竞选人应在本章第2.3项规定的递交竞选文件截止时间前递交竞选文件。</w:t>
      </w:r>
    </w:p>
    <w:p w14:paraId="6946E04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 竞选人递交竞选文件的地点：见竞选人须知前附表。</w:t>
      </w:r>
    </w:p>
    <w:p w14:paraId="0F6F186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 除竞选人须知前附表另有规定外，竞选人所递交的竞选文件不予退还。</w:t>
      </w:r>
    </w:p>
    <w:p w14:paraId="6F3C9BA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4.2.4 逾期送达的或者未送达指定地点的竞选文件，比选人不予受理。</w:t>
      </w:r>
    </w:p>
    <w:bookmarkEnd w:id="232"/>
    <w:bookmarkEnd w:id="233"/>
    <w:p w14:paraId="204F608C">
      <w:pPr>
        <w:pStyle w:val="9"/>
        <w:snapToGrid w:val="0"/>
        <w:spacing w:before="0" w:line="360" w:lineRule="auto"/>
        <w:rPr>
          <w:rFonts w:ascii="宋体" w:hAnsi="宋体" w:eastAsia="宋体" w:cs="宋体"/>
          <w:snapToGrid w:val="0"/>
          <w:color w:val="auto"/>
          <w:sz w:val="21"/>
          <w:szCs w:val="21"/>
        </w:rPr>
      </w:pPr>
      <w:bookmarkStart w:id="234" w:name="_Toc27488"/>
      <w:bookmarkStart w:id="235" w:name="_Toc31565"/>
      <w:bookmarkStart w:id="236" w:name="_Toc23600"/>
      <w:bookmarkStart w:id="237" w:name="_Toc610"/>
      <w:bookmarkStart w:id="238" w:name="_Toc200513156"/>
      <w:bookmarkStart w:id="239" w:name="_Toc444155942"/>
      <w:r>
        <w:rPr>
          <w:rFonts w:hint="eastAsia" w:ascii="宋体" w:hAnsi="宋体" w:eastAsia="宋体" w:cs="宋体"/>
          <w:snapToGrid w:val="0"/>
          <w:color w:val="auto"/>
          <w:sz w:val="21"/>
          <w:szCs w:val="21"/>
        </w:rPr>
        <w:t>4.3 竞选文件的修改与撤回</w:t>
      </w:r>
      <w:bookmarkEnd w:id="234"/>
      <w:bookmarkEnd w:id="235"/>
      <w:bookmarkEnd w:id="236"/>
      <w:bookmarkEnd w:id="237"/>
      <w:bookmarkEnd w:id="238"/>
      <w:bookmarkEnd w:id="239"/>
    </w:p>
    <w:p w14:paraId="7B3C033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在本章第2.3项规定的递交竞选文件截止时间前，竞选人可以修改或撤回已递交的竞选文件，但应以书面形式通知比选人。</w:t>
      </w:r>
    </w:p>
    <w:p w14:paraId="62D1BB8F">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竞选人修改或撤回已递交竞选文件的书面通知应按照本章第3.7.3项的要求签字或盖章。比选人收到书面通知后，向竞选人出具签收凭证。</w:t>
      </w:r>
    </w:p>
    <w:p w14:paraId="56DD39D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修改的内容为竞选文件的组成部分。修改的竞选文件应按照本章第3条、第4条规定进行编制、密封、标记和递交，并标明“修改”字样。</w:t>
      </w:r>
    </w:p>
    <w:p w14:paraId="3F11F710">
      <w:pPr>
        <w:pStyle w:val="8"/>
        <w:keepNext/>
        <w:keepLines/>
        <w:autoSpaceDE/>
        <w:autoSpaceDN/>
        <w:jc w:val="both"/>
        <w:rPr>
          <w:rFonts w:ascii="宋体" w:hAnsi="宋体" w:eastAsia="宋体" w:cs="宋体"/>
          <w:bCs/>
          <w:color w:val="auto"/>
          <w:spacing w:val="0"/>
          <w:w w:val="100"/>
          <w:kern w:val="0"/>
          <w:sz w:val="21"/>
          <w:szCs w:val="21"/>
        </w:rPr>
      </w:pPr>
      <w:bookmarkStart w:id="240" w:name="_Toc200513157"/>
      <w:bookmarkStart w:id="241" w:name="_Toc444155943"/>
      <w:bookmarkStart w:id="242" w:name="_Toc19714"/>
      <w:bookmarkStart w:id="243" w:name="_Toc26099"/>
      <w:bookmarkStart w:id="244" w:name="_Toc29216"/>
      <w:bookmarkStart w:id="245" w:name="_Toc5249"/>
      <w:bookmarkStart w:id="246" w:name="_Toc25319"/>
      <w:r>
        <w:rPr>
          <w:rFonts w:hint="eastAsia" w:ascii="宋体" w:hAnsi="宋体" w:eastAsia="宋体" w:cs="宋体"/>
          <w:bCs/>
          <w:color w:val="auto"/>
          <w:spacing w:val="0"/>
          <w:w w:val="100"/>
          <w:kern w:val="0"/>
          <w:sz w:val="21"/>
          <w:szCs w:val="21"/>
        </w:rPr>
        <w:t xml:space="preserve">5. </w:t>
      </w:r>
      <w:bookmarkEnd w:id="240"/>
      <w:bookmarkEnd w:id="241"/>
      <w:bookmarkEnd w:id="242"/>
      <w:r>
        <w:rPr>
          <w:rFonts w:hint="eastAsia" w:ascii="宋体" w:hAnsi="宋体" w:eastAsia="宋体" w:cs="宋体"/>
          <w:bCs/>
          <w:color w:val="auto"/>
          <w:spacing w:val="0"/>
          <w:w w:val="100"/>
          <w:kern w:val="0"/>
          <w:sz w:val="21"/>
          <w:szCs w:val="21"/>
        </w:rPr>
        <w:t>开</w:t>
      </w:r>
      <w:bookmarkEnd w:id="243"/>
      <w:bookmarkEnd w:id="244"/>
      <w:bookmarkEnd w:id="245"/>
      <w:r>
        <w:rPr>
          <w:rFonts w:hint="eastAsia" w:ascii="宋体" w:hAnsi="宋体" w:eastAsia="宋体" w:cs="宋体"/>
          <w:bCs/>
          <w:color w:val="auto"/>
          <w:spacing w:val="0"/>
          <w:w w:val="100"/>
          <w:kern w:val="0"/>
          <w:sz w:val="21"/>
          <w:szCs w:val="21"/>
        </w:rPr>
        <w:t>标</w:t>
      </w:r>
      <w:bookmarkEnd w:id="246"/>
    </w:p>
    <w:p w14:paraId="359DAA48">
      <w:pPr>
        <w:pStyle w:val="9"/>
        <w:snapToGrid w:val="0"/>
        <w:spacing w:before="0" w:line="360" w:lineRule="auto"/>
        <w:rPr>
          <w:rFonts w:ascii="宋体" w:hAnsi="宋体" w:eastAsia="宋体" w:cs="宋体"/>
          <w:snapToGrid w:val="0"/>
          <w:color w:val="auto"/>
          <w:sz w:val="21"/>
          <w:szCs w:val="21"/>
        </w:rPr>
      </w:pPr>
      <w:bookmarkStart w:id="247" w:name="_Toc26082"/>
      <w:bookmarkStart w:id="248" w:name="_Toc445821125"/>
      <w:bookmarkStart w:id="249" w:name="_Toc425350170"/>
      <w:bookmarkStart w:id="250" w:name="_Toc31602"/>
      <w:bookmarkStart w:id="251" w:name="_Toc224103349"/>
      <w:bookmarkStart w:id="252" w:name="_Toc1789"/>
      <w:bookmarkStart w:id="253" w:name="_Toc425327560"/>
      <w:bookmarkStart w:id="254" w:name="_Toc425327680"/>
      <w:bookmarkStart w:id="255" w:name="_Toc287607778"/>
      <w:bookmarkStart w:id="256" w:name="_Toc277082584"/>
      <w:bookmarkStart w:id="257" w:name="_Toc200513158"/>
      <w:bookmarkStart w:id="258" w:name="_Toc11901"/>
      <w:bookmarkStart w:id="259" w:name="_Toc200513160"/>
      <w:r>
        <w:rPr>
          <w:rFonts w:hint="eastAsia" w:ascii="宋体" w:hAnsi="宋体" w:eastAsia="宋体" w:cs="宋体"/>
          <w:snapToGrid w:val="0"/>
          <w:color w:val="auto"/>
          <w:sz w:val="21"/>
          <w:szCs w:val="21"/>
        </w:rPr>
        <w:t>5.1开启竞选文件时间和地点</w:t>
      </w:r>
      <w:bookmarkEnd w:id="247"/>
      <w:bookmarkEnd w:id="248"/>
      <w:bookmarkEnd w:id="249"/>
      <w:bookmarkEnd w:id="250"/>
      <w:bookmarkEnd w:id="251"/>
      <w:bookmarkEnd w:id="252"/>
      <w:bookmarkEnd w:id="253"/>
      <w:bookmarkEnd w:id="254"/>
      <w:bookmarkEnd w:id="255"/>
      <w:bookmarkEnd w:id="256"/>
      <w:bookmarkEnd w:id="257"/>
      <w:bookmarkEnd w:id="258"/>
    </w:p>
    <w:p w14:paraId="278A90E0">
      <w:pPr>
        <w:autoSpaceDE w:val="0"/>
        <w:autoSpaceDN w:val="0"/>
        <w:adjustRightInd w:val="0"/>
        <w:snapToGrid w:val="0"/>
        <w:spacing w:line="360" w:lineRule="auto"/>
        <w:ind w:firstLine="420"/>
        <w:rPr>
          <w:rFonts w:ascii="宋体" w:hAnsi="宋体" w:cs="宋体"/>
          <w:snapToGrid w:val="0"/>
          <w:color w:val="auto"/>
          <w:kern w:val="0"/>
          <w:szCs w:val="21"/>
        </w:rPr>
      </w:pPr>
      <w:bookmarkStart w:id="260" w:name="_Toc425350171"/>
      <w:bookmarkStart w:id="261" w:name="_Toc224103350"/>
      <w:bookmarkStart w:id="262" w:name="_Toc425327681"/>
      <w:bookmarkStart w:id="263" w:name="_Toc425327561"/>
      <w:bookmarkStart w:id="264" w:name="_Toc287607779"/>
      <w:bookmarkStart w:id="265" w:name="_Toc277082585"/>
      <w:bookmarkStart w:id="266" w:name="_Toc445821126"/>
      <w:bookmarkStart w:id="267" w:name="_Toc200513159"/>
      <w:r>
        <w:rPr>
          <w:rFonts w:hint="eastAsia" w:ascii="宋体" w:hAnsi="宋体" w:cs="宋体"/>
          <w:snapToGrid w:val="0"/>
          <w:color w:val="auto"/>
          <w:kern w:val="0"/>
          <w:szCs w:val="21"/>
        </w:rPr>
        <w:t>见竞选人须知前附表。</w:t>
      </w:r>
    </w:p>
    <w:p w14:paraId="71957599">
      <w:pPr>
        <w:pStyle w:val="9"/>
        <w:snapToGrid w:val="0"/>
        <w:spacing w:before="0" w:line="360" w:lineRule="auto"/>
        <w:rPr>
          <w:rFonts w:ascii="宋体" w:hAnsi="宋体" w:eastAsia="宋体" w:cs="宋体"/>
          <w:snapToGrid w:val="0"/>
          <w:color w:val="auto"/>
          <w:sz w:val="21"/>
          <w:szCs w:val="21"/>
        </w:rPr>
      </w:pPr>
      <w:bookmarkStart w:id="268" w:name="_Toc1751"/>
      <w:bookmarkStart w:id="269" w:name="_Toc31618"/>
      <w:bookmarkStart w:id="270" w:name="_Toc32113"/>
      <w:bookmarkStart w:id="271" w:name="_Toc11177"/>
      <w:r>
        <w:rPr>
          <w:rFonts w:hint="eastAsia" w:ascii="宋体" w:hAnsi="宋体" w:eastAsia="宋体" w:cs="宋体"/>
          <w:snapToGrid w:val="0"/>
          <w:color w:val="auto"/>
          <w:sz w:val="21"/>
          <w:szCs w:val="21"/>
        </w:rPr>
        <w:t>5.2开启竞选文件程序</w:t>
      </w:r>
      <w:bookmarkEnd w:id="260"/>
      <w:bookmarkEnd w:id="261"/>
      <w:bookmarkEnd w:id="262"/>
      <w:bookmarkEnd w:id="263"/>
      <w:bookmarkEnd w:id="264"/>
      <w:bookmarkEnd w:id="265"/>
      <w:bookmarkEnd w:id="266"/>
      <w:bookmarkEnd w:id="267"/>
      <w:bookmarkEnd w:id="268"/>
      <w:bookmarkEnd w:id="269"/>
      <w:bookmarkEnd w:id="270"/>
      <w:bookmarkEnd w:id="271"/>
    </w:p>
    <w:p w14:paraId="45FA6CA4">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见竞选人须知前附表。</w:t>
      </w:r>
    </w:p>
    <w:p w14:paraId="7E968F7F">
      <w:pPr>
        <w:pStyle w:val="8"/>
        <w:textAlignment w:val="baseline"/>
        <w:rPr>
          <w:rFonts w:ascii="宋体" w:hAnsi="宋体" w:eastAsia="宋体" w:cs="宋体"/>
          <w:snapToGrid w:val="0"/>
          <w:color w:val="auto"/>
          <w:spacing w:val="0"/>
          <w:w w:val="100"/>
          <w:sz w:val="21"/>
          <w:szCs w:val="21"/>
        </w:rPr>
      </w:pPr>
      <w:bookmarkStart w:id="272" w:name="_Toc2331"/>
      <w:bookmarkStart w:id="273" w:name="_Toc444155946"/>
      <w:bookmarkStart w:id="274" w:name="_Toc22268"/>
      <w:bookmarkStart w:id="275" w:name="_Toc6159"/>
      <w:bookmarkStart w:id="276" w:name="_Toc5896"/>
      <w:bookmarkStart w:id="277" w:name="_Toc24696"/>
      <w:r>
        <w:rPr>
          <w:rFonts w:hint="eastAsia" w:ascii="宋体" w:hAnsi="宋体" w:eastAsia="宋体" w:cs="宋体"/>
          <w:snapToGrid w:val="0"/>
          <w:color w:val="auto"/>
          <w:spacing w:val="0"/>
          <w:w w:val="100"/>
          <w:sz w:val="21"/>
          <w:szCs w:val="21"/>
        </w:rPr>
        <w:t xml:space="preserve">6. </w:t>
      </w:r>
      <w:bookmarkEnd w:id="259"/>
      <w:bookmarkEnd w:id="272"/>
      <w:bookmarkEnd w:id="273"/>
      <w:bookmarkEnd w:id="274"/>
      <w:r>
        <w:rPr>
          <w:rFonts w:hint="eastAsia" w:ascii="宋体" w:hAnsi="宋体" w:eastAsia="宋体" w:cs="宋体"/>
          <w:snapToGrid w:val="0"/>
          <w:color w:val="auto"/>
          <w:spacing w:val="0"/>
          <w:w w:val="100"/>
          <w:sz w:val="21"/>
          <w:szCs w:val="21"/>
        </w:rPr>
        <w:t>评审</w:t>
      </w:r>
      <w:bookmarkEnd w:id="275"/>
      <w:bookmarkEnd w:id="276"/>
      <w:bookmarkEnd w:id="277"/>
    </w:p>
    <w:p w14:paraId="33651FDB">
      <w:pPr>
        <w:pStyle w:val="9"/>
        <w:snapToGrid w:val="0"/>
        <w:spacing w:before="0" w:line="360" w:lineRule="auto"/>
        <w:rPr>
          <w:rFonts w:ascii="宋体" w:hAnsi="宋体" w:eastAsia="宋体" w:cs="宋体"/>
          <w:snapToGrid w:val="0"/>
          <w:color w:val="auto"/>
          <w:sz w:val="21"/>
          <w:szCs w:val="21"/>
        </w:rPr>
      </w:pPr>
      <w:bookmarkStart w:id="278" w:name="_Toc200513161"/>
      <w:bookmarkStart w:id="279" w:name="_Toc2212"/>
      <w:bookmarkStart w:id="280" w:name="_Toc444155947"/>
      <w:bookmarkStart w:id="281" w:name="_Toc5489"/>
      <w:bookmarkStart w:id="282" w:name="_Toc24412"/>
      <w:bookmarkStart w:id="283" w:name="_Toc19076"/>
      <w:r>
        <w:rPr>
          <w:rFonts w:hint="eastAsia" w:ascii="宋体" w:hAnsi="宋体" w:eastAsia="宋体" w:cs="宋体"/>
          <w:snapToGrid w:val="0"/>
          <w:color w:val="auto"/>
          <w:sz w:val="21"/>
          <w:szCs w:val="21"/>
        </w:rPr>
        <w:t xml:space="preserve">6.1 </w:t>
      </w:r>
      <w:bookmarkEnd w:id="278"/>
      <w:bookmarkEnd w:id="279"/>
      <w:bookmarkEnd w:id="280"/>
      <w:bookmarkEnd w:id="281"/>
      <w:r>
        <w:rPr>
          <w:rFonts w:hint="eastAsia" w:ascii="宋体" w:hAnsi="宋体" w:eastAsia="宋体" w:cs="宋体"/>
          <w:snapToGrid w:val="0"/>
          <w:color w:val="auto"/>
          <w:sz w:val="21"/>
          <w:szCs w:val="21"/>
        </w:rPr>
        <w:t>评审小组</w:t>
      </w:r>
      <w:bookmarkEnd w:id="282"/>
      <w:bookmarkEnd w:id="283"/>
    </w:p>
    <w:p w14:paraId="7B6AD2A3">
      <w:pPr>
        <w:autoSpaceDE w:val="0"/>
        <w:autoSpaceDN w:val="0"/>
        <w:adjustRightInd w:val="0"/>
        <w:snapToGrid w:val="0"/>
        <w:spacing w:line="360" w:lineRule="auto"/>
        <w:ind w:firstLine="420"/>
        <w:rPr>
          <w:rFonts w:ascii="宋体" w:hAnsi="宋体" w:cs="宋体"/>
          <w:snapToGrid w:val="0"/>
          <w:color w:val="auto"/>
          <w:kern w:val="0"/>
          <w:szCs w:val="21"/>
        </w:rPr>
      </w:pPr>
      <w:bookmarkStart w:id="284" w:name="_Toc200513162"/>
      <w:r>
        <w:rPr>
          <w:rFonts w:hint="eastAsia" w:ascii="宋体" w:hAnsi="宋体" w:cs="宋体"/>
          <w:snapToGrid w:val="0"/>
          <w:color w:val="auto"/>
          <w:kern w:val="0"/>
          <w:szCs w:val="21"/>
        </w:rPr>
        <w:t>6.1.1 评审由评审小组负责。</w:t>
      </w:r>
      <w:bookmarkStart w:id="285" w:name="OLE_LINK140"/>
      <w:bookmarkStart w:id="286" w:name="OLE_LINK139"/>
      <w:r>
        <w:rPr>
          <w:rFonts w:hint="eastAsia" w:ascii="宋体" w:hAnsi="宋体" w:cs="宋体"/>
          <w:snapToGrid w:val="0"/>
          <w:color w:val="auto"/>
          <w:kern w:val="0"/>
          <w:szCs w:val="21"/>
        </w:rPr>
        <w:t>评审小组由</w:t>
      </w:r>
      <w:r>
        <w:rPr>
          <w:rFonts w:hint="eastAsia" w:ascii="宋体" w:hAnsi="宋体" w:cs="宋体"/>
          <w:color w:val="auto"/>
          <w:kern w:val="0"/>
          <w:szCs w:val="21"/>
        </w:rPr>
        <w:t>比选</w:t>
      </w:r>
      <w:r>
        <w:rPr>
          <w:rFonts w:hint="eastAsia" w:ascii="宋体" w:hAnsi="宋体" w:cs="宋体"/>
          <w:snapToGrid w:val="0"/>
          <w:color w:val="auto"/>
          <w:kern w:val="0"/>
          <w:szCs w:val="21"/>
        </w:rPr>
        <w:t>代理机构按相关要求抽取的技术、经济等方面专家组成。评审小组成员人数以及技术、经济等方面专家的确定方式见竞选人须知前附表。</w:t>
      </w:r>
    </w:p>
    <w:bookmarkEnd w:id="285"/>
    <w:bookmarkEnd w:id="286"/>
    <w:p w14:paraId="57EC464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评审小组成员有下列情形之一的，应当回避：</w:t>
      </w:r>
    </w:p>
    <w:p w14:paraId="501B2EC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7172A322">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466C7BD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25162E3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5B4A92E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56594143">
      <w:pPr>
        <w:pStyle w:val="9"/>
        <w:snapToGrid w:val="0"/>
        <w:spacing w:before="0" w:line="360" w:lineRule="auto"/>
        <w:rPr>
          <w:rFonts w:ascii="宋体" w:hAnsi="宋体" w:eastAsia="宋体" w:cs="宋体"/>
          <w:snapToGrid w:val="0"/>
          <w:color w:val="auto"/>
          <w:sz w:val="21"/>
          <w:szCs w:val="21"/>
        </w:rPr>
      </w:pPr>
      <w:bookmarkStart w:id="287" w:name="_Toc25412"/>
      <w:bookmarkStart w:id="288" w:name="_Toc23544"/>
      <w:bookmarkStart w:id="289" w:name="_Toc25157"/>
      <w:bookmarkStart w:id="290" w:name="_Toc24050"/>
      <w:bookmarkStart w:id="291" w:name="_Toc444155948"/>
      <w:r>
        <w:rPr>
          <w:rFonts w:hint="eastAsia" w:ascii="宋体" w:hAnsi="宋体" w:eastAsia="宋体" w:cs="宋体"/>
          <w:snapToGrid w:val="0"/>
          <w:color w:val="auto"/>
          <w:sz w:val="21"/>
          <w:szCs w:val="21"/>
        </w:rPr>
        <w:t>6.2 评审原则</w:t>
      </w:r>
      <w:bookmarkEnd w:id="284"/>
      <w:bookmarkEnd w:id="287"/>
      <w:bookmarkEnd w:id="288"/>
      <w:bookmarkEnd w:id="289"/>
      <w:bookmarkEnd w:id="290"/>
      <w:bookmarkEnd w:id="291"/>
    </w:p>
    <w:p w14:paraId="25F1F17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评审活动遵循公平、公正、科学和择优的原则。</w:t>
      </w:r>
    </w:p>
    <w:p w14:paraId="62933CC7">
      <w:pPr>
        <w:pStyle w:val="9"/>
        <w:snapToGrid w:val="0"/>
        <w:spacing w:before="0" w:line="360" w:lineRule="auto"/>
        <w:rPr>
          <w:rFonts w:ascii="宋体" w:hAnsi="宋体" w:eastAsia="宋体" w:cs="宋体"/>
          <w:snapToGrid w:val="0"/>
          <w:color w:val="auto"/>
          <w:sz w:val="21"/>
          <w:szCs w:val="21"/>
        </w:rPr>
      </w:pPr>
      <w:bookmarkStart w:id="292" w:name="_Toc19298"/>
      <w:bookmarkStart w:id="293" w:name="_Toc444155949"/>
      <w:bookmarkStart w:id="294" w:name="_Toc200513163"/>
      <w:bookmarkStart w:id="295" w:name="_Toc26939"/>
      <w:bookmarkStart w:id="296" w:name="_Toc11346"/>
      <w:bookmarkStart w:id="297" w:name="_Toc10567"/>
      <w:r>
        <w:rPr>
          <w:rFonts w:hint="eastAsia" w:ascii="宋体" w:hAnsi="宋体" w:eastAsia="宋体" w:cs="宋体"/>
          <w:snapToGrid w:val="0"/>
          <w:color w:val="auto"/>
          <w:sz w:val="21"/>
          <w:szCs w:val="21"/>
        </w:rPr>
        <w:t xml:space="preserve">6.3 </w:t>
      </w:r>
      <w:bookmarkEnd w:id="292"/>
      <w:bookmarkEnd w:id="293"/>
      <w:bookmarkEnd w:id="294"/>
      <w:bookmarkEnd w:id="295"/>
      <w:r>
        <w:rPr>
          <w:rFonts w:hint="eastAsia" w:ascii="宋体" w:hAnsi="宋体" w:eastAsia="宋体" w:cs="宋体"/>
          <w:snapToGrid w:val="0"/>
          <w:color w:val="auto"/>
          <w:sz w:val="21"/>
          <w:szCs w:val="21"/>
        </w:rPr>
        <w:t>评审</w:t>
      </w:r>
      <w:bookmarkEnd w:id="296"/>
      <w:bookmarkEnd w:id="297"/>
    </w:p>
    <w:p w14:paraId="1810E0C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3745D8BE">
      <w:pPr>
        <w:pStyle w:val="8"/>
        <w:rPr>
          <w:rFonts w:ascii="宋体" w:hAnsi="宋体" w:eastAsia="宋体" w:cs="宋体"/>
          <w:snapToGrid w:val="0"/>
          <w:color w:val="auto"/>
          <w:spacing w:val="0"/>
          <w:w w:val="100"/>
          <w:sz w:val="21"/>
          <w:szCs w:val="21"/>
        </w:rPr>
      </w:pPr>
      <w:bookmarkStart w:id="298" w:name="_Toc1965"/>
      <w:bookmarkStart w:id="299" w:name="_Toc444155950"/>
      <w:bookmarkStart w:id="300" w:name="_Toc25443"/>
      <w:bookmarkStart w:id="301" w:name="_Toc14750"/>
      <w:bookmarkStart w:id="302" w:name="_Toc200513164"/>
      <w:bookmarkStart w:id="303" w:name="_Toc20620"/>
      <w:bookmarkStart w:id="304" w:name="_Toc26655"/>
      <w:r>
        <w:rPr>
          <w:rFonts w:hint="eastAsia" w:ascii="宋体" w:hAnsi="宋体" w:eastAsia="宋体" w:cs="宋体"/>
          <w:snapToGrid w:val="0"/>
          <w:color w:val="auto"/>
          <w:spacing w:val="0"/>
          <w:w w:val="100"/>
          <w:sz w:val="21"/>
          <w:szCs w:val="21"/>
        </w:rPr>
        <w:t>7. 合同授予</w:t>
      </w:r>
      <w:bookmarkEnd w:id="298"/>
      <w:bookmarkEnd w:id="299"/>
      <w:bookmarkEnd w:id="300"/>
      <w:bookmarkEnd w:id="301"/>
      <w:bookmarkEnd w:id="302"/>
      <w:bookmarkEnd w:id="303"/>
      <w:bookmarkEnd w:id="304"/>
    </w:p>
    <w:p w14:paraId="58498EA9">
      <w:pPr>
        <w:pStyle w:val="9"/>
        <w:snapToGrid w:val="0"/>
        <w:spacing w:before="0" w:line="360" w:lineRule="auto"/>
        <w:rPr>
          <w:rFonts w:ascii="宋体" w:hAnsi="宋体" w:eastAsia="宋体" w:cs="宋体"/>
          <w:snapToGrid w:val="0"/>
          <w:color w:val="auto"/>
          <w:sz w:val="21"/>
          <w:szCs w:val="21"/>
        </w:rPr>
      </w:pPr>
      <w:bookmarkStart w:id="305" w:name="_Toc200513165"/>
      <w:bookmarkStart w:id="306" w:name="_Toc16724"/>
      <w:bookmarkStart w:id="307" w:name="_Toc11422"/>
      <w:bookmarkStart w:id="308" w:name="_Toc24419"/>
      <w:bookmarkStart w:id="309" w:name="_Toc26610"/>
      <w:bookmarkStart w:id="310" w:name="_Toc444155951"/>
      <w:r>
        <w:rPr>
          <w:rFonts w:hint="eastAsia" w:ascii="宋体" w:hAnsi="宋体" w:eastAsia="宋体" w:cs="宋体"/>
          <w:snapToGrid w:val="0"/>
          <w:color w:val="auto"/>
          <w:sz w:val="21"/>
          <w:szCs w:val="21"/>
        </w:rPr>
        <w:t>7.1 定标方式</w:t>
      </w:r>
      <w:bookmarkEnd w:id="305"/>
      <w:bookmarkEnd w:id="306"/>
      <w:bookmarkEnd w:id="307"/>
      <w:bookmarkEnd w:id="308"/>
      <w:bookmarkEnd w:id="309"/>
      <w:bookmarkEnd w:id="310"/>
    </w:p>
    <w:p w14:paraId="1BCE912B">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1" w:name="_Toc200513166"/>
      <w:r>
        <w:rPr>
          <w:rFonts w:hint="eastAsia" w:ascii="宋体" w:hAnsi="宋体" w:cs="宋体"/>
          <w:snapToGrid w:val="0"/>
          <w:color w:val="auto"/>
          <w:kern w:val="0"/>
          <w:szCs w:val="21"/>
        </w:rPr>
        <w:t>比选人应当确定排名第一的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放弃中选、因不可抗力不能履行合同、不按照竞争性比选文件要求提交履约保证金，或者被查实存在影响</w:t>
      </w:r>
      <w:r>
        <w:rPr>
          <w:rFonts w:hint="eastAsia" w:ascii="宋体" w:hAnsi="宋体" w:cs="宋体"/>
          <w:color w:val="auto"/>
          <w:kern w:val="0"/>
          <w:szCs w:val="21"/>
        </w:rPr>
        <w:t>中选候选人</w:t>
      </w:r>
      <w:r>
        <w:rPr>
          <w:rFonts w:hint="eastAsia" w:ascii="宋体" w:hAnsi="宋体" w:cs="宋体"/>
          <w:snapToGrid w:val="0"/>
          <w:color w:val="auto"/>
          <w:kern w:val="0"/>
          <w:szCs w:val="21"/>
        </w:rPr>
        <w:t>结果的违法行为等情形，不符合中选条件的，比选人可以按照评审小组提出的</w:t>
      </w:r>
      <w:r>
        <w:rPr>
          <w:rFonts w:hint="eastAsia" w:ascii="宋体" w:hAnsi="宋体" w:cs="宋体"/>
          <w:color w:val="auto"/>
          <w:kern w:val="0"/>
          <w:szCs w:val="21"/>
        </w:rPr>
        <w:t>中选候选人</w:t>
      </w:r>
      <w:r>
        <w:rPr>
          <w:rFonts w:hint="eastAsia" w:ascii="宋体" w:hAnsi="宋体" w:cs="宋体"/>
          <w:snapToGrid w:val="0"/>
          <w:color w:val="auto"/>
          <w:kern w:val="0"/>
          <w:szCs w:val="21"/>
        </w:rPr>
        <w:t>名单排序依次确定其他</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为中选人，也可以重新</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68C0EE6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评审小组推荐中选候选人的人数见竞选人须知前附表。</w:t>
      </w:r>
    </w:p>
    <w:p w14:paraId="3864F9AE">
      <w:pPr>
        <w:pStyle w:val="9"/>
        <w:snapToGrid w:val="0"/>
        <w:spacing w:before="0"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7.2  中选候选人公示及中选通知</w:t>
      </w:r>
    </w:p>
    <w:p w14:paraId="393088A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比选人在竞选人须知前附表规定的媒介公示中选候选人。</w:t>
      </w:r>
    </w:p>
    <w:p w14:paraId="46D35DE4">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2" w:name="_Toc444155952"/>
      <w:bookmarkStart w:id="313" w:name="_Toc9040"/>
      <w:bookmarkStart w:id="314" w:name="_Toc10580"/>
      <w:bookmarkStart w:id="315" w:name="_Toc20635"/>
      <w:bookmarkStart w:id="316" w:name="_Toc27538"/>
      <w:r>
        <w:rPr>
          <w:rFonts w:hint="eastAsia" w:ascii="宋体" w:hAnsi="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311"/>
    <w:bookmarkEnd w:id="312"/>
    <w:bookmarkEnd w:id="313"/>
    <w:bookmarkEnd w:id="314"/>
    <w:bookmarkEnd w:id="315"/>
    <w:bookmarkEnd w:id="316"/>
    <w:p w14:paraId="4E5FA3A6">
      <w:pPr>
        <w:pStyle w:val="9"/>
        <w:snapToGrid w:val="0"/>
        <w:spacing w:before="0" w:line="360" w:lineRule="auto"/>
        <w:rPr>
          <w:rFonts w:ascii="宋体" w:hAnsi="宋体" w:eastAsia="宋体" w:cs="宋体"/>
          <w:snapToGrid w:val="0"/>
          <w:color w:val="auto"/>
          <w:sz w:val="21"/>
          <w:szCs w:val="21"/>
        </w:rPr>
      </w:pPr>
      <w:bookmarkStart w:id="317" w:name="_Toc235966566"/>
      <w:bookmarkStart w:id="318" w:name="_Toc16084"/>
      <w:bookmarkStart w:id="319" w:name="_Toc444155953"/>
      <w:bookmarkStart w:id="320" w:name="_Toc18079"/>
      <w:bookmarkStart w:id="321" w:name="_Toc32475"/>
      <w:bookmarkStart w:id="322" w:name="_Toc2511"/>
      <w:bookmarkStart w:id="323" w:name="_Toc200513168"/>
      <w:r>
        <w:rPr>
          <w:rFonts w:hint="eastAsia" w:ascii="宋体" w:hAnsi="宋体" w:eastAsia="宋体" w:cs="宋体"/>
          <w:snapToGrid w:val="0"/>
          <w:color w:val="auto"/>
          <w:sz w:val="21"/>
          <w:szCs w:val="21"/>
        </w:rPr>
        <w:t xml:space="preserve">7.3 </w:t>
      </w:r>
      <w:bookmarkEnd w:id="317"/>
      <w:r>
        <w:rPr>
          <w:rFonts w:hint="eastAsia" w:ascii="宋体" w:hAnsi="宋体" w:eastAsia="宋体" w:cs="宋体"/>
          <w:snapToGrid w:val="0"/>
          <w:color w:val="auto"/>
          <w:sz w:val="21"/>
          <w:szCs w:val="21"/>
        </w:rPr>
        <w:t>履约担保</w:t>
      </w:r>
      <w:bookmarkEnd w:id="318"/>
      <w:bookmarkEnd w:id="319"/>
      <w:bookmarkEnd w:id="320"/>
      <w:bookmarkEnd w:id="321"/>
      <w:bookmarkEnd w:id="322"/>
    </w:p>
    <w:p w14:paraId="44EC950B">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7.3.1 在签订合同前，中选人应按竞选人须知前附表规定的金额、担保形式和竞争性比选文件第四章“合同条款及格式”规定的履约担保格式向比选人提交履约担保。并应符合竞选人须知前附表规定的金额、担保形式和竞争性比选文件第四章“合同条款及格式”规定的履约担保格式要求。</w:t>
      </w:r>
    </w:p>
    <w:p w14:paraId="41AF9161">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7.3.2 中选人不能按本章第7.3.1项要求提交履约担保的，视为放弃中选，给比选人造成的损失的，中选人还应当予以赔偿。</w:t>
      </w:r>
    </w:p>
    <w:p w14:paraId="6AD31B1F">
      <w:pPr>
        <w:pStyle w:val="9"/>
        <w:snapToGrid w:val="0"/>
        <w:spacing w:before="0" w:line="360" w:lineRule="auto"/>
        <w:rPr>
          <w:rFonts w:ascii="宋体" w:hAnsi="宋体" w:eastAsia="宋体" w:cs="宋体"/>
          <w:snapToGrid w:val="0"/>
          <w:color w:val="auto"/>
          <w:sz w:val="21"/>
          <w:szCs w:val="21"/>
        </w:rPr>
      </w:pPr>
      <w:bookmarkStart w:id="324" w:name="_Toc13455"/>
      <w:bookmarkStart w:id="325" w:name="_Toc29643"/>
      <w:bookmarkStart w:id="326" w:name="_Toc17711"/>
      <w:bookmarkStart w:id="327" w:name="_Toc24570"/>
      <w:bookmarkStart w:id="328" w:name="_Toc444155954"/>
      <w:r>
        <w:rPr>
          <w:rFonts w:hint="eastAsia" w:ascii="宋体" w:hAnsi="宋体" w:eastAsia="宋体" w:cs="宋体"/>
          <w:snapToGrid w:val="0"/>
          <w:color w:val="auto"/>
          <w:sz w:val="21"/>
          <w:szCs w:val="21"/>
        </w:rPr>
        <w:t>7.4 签订合同</w:t>
      </w:r>
      <w:bookmarkEnd w:id="323"/>
      <w:bookmarkEnd w:id="324"/>
      <w:bookmarkEnd w:id="325"/>
      <w:bookmarkEnd w:id="326"/>
      <w:bookmarkEnd w:id="327"/>
      <w:bookmarkEnd w:id="328"/>
    </w:p>
    <w:p w14:paraId="2DE3D6D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7.4.1 </w:t>
      </w:r>
      <w:r>
        <w:rPr>
          <w:rFonts w:hint="eastAsia" w:ascii="宋体" w:hAnsi="宋体" w:cs="宋体"/>
          <w:snapToGrid w:val="0"/>
          <w:color w:val="auto"/>
          <w:kern w:val="0"/>
          <w:szCs w:val="21"/>
          <w:lang w:val="en-US" w:eastAsia="zh-CN"/>
        </w:rPr>
        <w:t>中选结果公告发布后，</w:t>
      </w:r>
      <w:r>
        <w:rPr>
          <w:rFonts w:hint="eastAsia" w:ascii="宋体" w:hAnsi="宋体" w:cs="宋体"/>
          <w:snapToGrid w:val="0"/>
          <w:color w:val="auto"/>
          <w:kern w:val="0"/>
          <w:szCs w:val="21"/>
        </w:rPr>
        <w:t>中选人应当</w:t>
      </w:r>
      <w:r>
        <w:rPr>
          <w:rFonts w:hint="eastAsia" w:ascii="宋体" w:hAnsi="宋体" w:cs="宋体"/>
          <w:snapToGrid w:val="0"/>
          <w:color w:val="auto"/>
          <w:kern w:val="0"/>
          <w:szCs w:val="21"/>
          <w:lang w:val="en-US" w:eastAsia="zh-CN"/>
        </w:rPr>
        <w:t>自结果公告发布之日起5个工作日内领取中选通知书，</w:t>
      </w:r>
      <w:r>
        <w:rPr>
          <w:rFonts w:hint="eastAsia" w:ascii="宋体" w:hAnsi="宋体" w:cs="宋体"/>
          <w:snapToGrid w:val="0"/>
          <w:color w:val="auto"/>
          <w:kern w:val="0"/>
          <w:szCs w:val="21"/>
        </w:rPr>
        <w:t>中选人应当自</w:t>
      </w:r>
      <w:r>
        <w:rPr>
          <w:rFonts w:hint="eastAsia" w:ascii="宋体" w:hAnsi="宋体" w:cs="宋体"/>
          <w:snapToGrid w:val="0"/>
          <w:color w:val="auto"/>
          <w:kern w:val="0"/>
          <w:szCs w:val="21"/>
          <w:lang w:val="en-US" w:eastAsia="zh-CN"/>
        </w:rPr>
        <w:t>结果公告发布之日起10个工作日与比选人</w:t>
      </w:r>
      <w:r>
        <w:rPr>
          <w:rFonts w:hint="eastAsia" w:ascii="宋体" w:hAnsi="宋体" w:cs="宋体"/>
          <w:snapToGrid w:val="0"/>
          <w:color w:val="auto"/>
          <w:kern w:val="0"/>
          <w:szCs w:val="21"/>
        </w:rPr>
        <w:t>订立书面合同。中选人无正当理由拒签合同的，比选人</w:t>
      </w:r>
      <w:r>
        <w:rPr>
          <w:rFonts w:hint="eastAsia" w:ascii="宋体" w:hAnsi="宋体" w:cs="宋体"/>
          <w:snapToGrid w:val="0"/>
          <w:color w:val="auto"/>
          <w:kern w:val="0"/>
          <w:szCs w:val="21"/>
          <w:lang w:val="en-US" w:eastAsia="zh-CN"/>
        </w:rPr>
        <w:t>有权</w:t>
      </w:r>
      <w:r>
        <w:rPr>
          <w:rFonts w:hint="eastAsia" w:ascii="宋体" w:hAnsi="宋体" w:cs="宋体"/>
          <w:snapToGrid w:val="0"/>
          <w:color w:val="auto"/>
          <w:kern w:val="0"/>
          <w:szCs w:val="21"/>
        </w:rPr>
        <w:t>取消其中选资格，给比选人造成的损失的，中选人还应当予以赔偿。</w:t>
      </w:r>
    </w:p>
    <w:p w14:paraId="513BEE2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7.4.2 发出中选通知书后，比选人无正当理由拒签合同的，给中选人造成损失的，还应当赔偿损失。</w:t>
      </w:r>
    </w:p>
    <w:p w14:paraId="0AAA1FA6">
      <w:pPr>
        <w:pStyle w:val="8"/>
        <w:keepNext/>
        <w:keepLines/>
        <w:autoSpaceDE/>
        <w:autoSpaceDN/>
        <w:jc w:val="both"/>
        <w:rPr>
          <w:rFonts w:ascii="宋体" w:hAnsi="宋体" w:eastAsia="宋体" w:cs="宋体"/>
          <w:bCs/>
          <w:color w:val="auto"/>
          <w:spacing w:val="0"/>
          <w:w w:val="100"/>
          <w:kern w:val="0"/>
          <w:sz w:val="21"/>
          <w:szCs w:val="21"/>
        </w:rPr>
      </w:pPr>
      <w:bookmarkStart w:id="329" w:name="_Toc1355"/>
      <w:bookmarkStart w:id="330" w:name="_Toc2419"/>
      <w:bookmarkStart w:id="331" w:name="_Toc5261"/>
      <w:bookmarkStart w:id="332" w:name="_Toc200513169"/>
      <w:bookmarkStart w:id="333" w:name="_Toc444155955"/>
      <w:bookmarkStart w:id="334" w:name="_Toc8469"/>
      <w:bookmarkStart w:id="335" w:name="_Toc30051"/>
      <w:r>
        <w:rPr>
          <w:rFonts w:hint="eastAsia" w:ascii="宋体" w:hAnsi="宋体" w:eastAsia="宋体" w:cs="宋体"/>
          <w:bCs/>
          <w:color w:val="auto"/>
          <w:spacing w:val="0"/>
          <w:w w:val="100"/>
          <w:kern w:val="0"/>
          <w:sz w:val="21"/>
          <w:szCs w:val="21"/>
        </w:rPr>
        <w:t xml:space="preserve">8. </w:t>
      </w:r>
      <w:bookmarkEnd w:id="329"/>
      <w:bookmarkEnd w:id="330"/>
      <w:bookmarkEnd w:id="331"/>
      <w:bookmarkEnd w:id="332"/>
      <w:bookmarkEnd w:id="333"/>
      <w:bookmarkEnd w:id="334"/>
      <w:bookmarkEnd w:id="335"/>
      <w:r>
        <w:rPr>
          <w:rFonts w:hint="eastAsia" w:ascii="宋体" w:hAnsi="宋体" w:eastAsia="宋体" w:cs="宋体"/>
          <w:bCs/>
          <w:color w:val="auto"/>
          <w:spacing w:val="0"/>
          <w:w w:val="100"/>
          <w:kern w:val="0"/>
          <w:sz w:val="21"/>
          <w:szCs w:val="21"/>
        </w:rPr>
        <w:t>重新比选和不再招标</w:t>
      </w:r>
    </w:p>
    <w:p w14:paraId="190F66DE">
      <w:pPr>
        <w:pStyle w:val="9"/>
        <w:snapToGrid w:val="0"/>
        <w:spacing w:before="0" w:line="360" w:lineRule="auto"/>
        <w:rPr>
          <w:rFonts w:ascii="宋体" w:hAnsi="宋体" w:eastAsia="宋体" w:cs="宋体"/>
          <w:snapToGrid w:val="0"/>
          <w:color w:val="auto"/>
          <w:sz w:val="21"/>
          <w:szCs w:val="21"/>
        </w:rPr>
      </w:pPr>
      <w:bookmarkStart w:id="336" w:name="_Toc4282"/>
      <w:bookmarkStart w:id="337" w:name="_Toc4988"/>
      <w:bookmarkStart w:id="338" w:name="_Toc200513170"/>
      <w:bookmarkStart w:id="339" w:name="_Toc16885"/>
      <w:bookmarkStart w:id="340" w:name="_Toc28925"/>
      <w:bookmarkStart w:id="341" w:name="_Toc444155956"/>
      <w:r>
        <w:rPr>
          <w:rFonts w:hint="eastAsia" w:ascii="宋体" w:hAnsi="宋体" w:eastAsia="宋体" w:cs="宋体"/>
          <w:snapToGrid w:val="0"/>
          <w:color w:val="auto"/>
          <w:sz w:val="21"/>
          <w:szCs w:val="21"/>
        </w:rPr>
        <w:t>8.</w:t>
      </w:r>
      <w:bookmarkEnd w:id="336"/>
      <w:bookmarkEnd w:id="337"/>
      <w:bookmarkEnd w:id="338"/>
      <w:bookmarkEnd w:id="339"/>
      <w:bookmarkEnd w:id="340"/>
      <w:bookmarkEnd w:id="341"/>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14:paraId="38FD7267">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42" w:name="_Toc28991"/>
      <w:r>
        <w:rPr>
          <w:rFonts w:hint="eastAsia" w:ascii="宋体" w:hAnsi="宋体" w:cs="宋体"/>
          <w:snapToGrid w:val="0"/>
          <w:color w:val="auto"/>
          <w:kern w:val="0"/>
          <w:szCs w:val="21"/>
        </w:rPr>
        <w:t>按须知前附表规定执行。</w:t>
      </w:r>
      <w:bookmarkEnd w:id="342"/>
      <w:bookmarkStart w:id="343" w:name="_Toc24265"/>
      <w:bookmarkStart w:id="344" w:name="_Toc444155957"/>
      <w:bookmarkStart w:id="345" w:name="_Toc200513171"/>
      <w:bookmarkStart w:id="346" w:name="_Toc32764"/>
    </w:p>
    <w:bookmarkEnd w:id="343"/>
    <w:bookmarkEnd w:id="344"/>
    <w:bookmarkEnd w:id="345"/>
    <w:bookmarkEnd w:id="346"/>
    <w:p w14:paraId="73A412E7">
      <w:pPr>
        <w:pStyle w:val="8"/>
        <w:rPr>
          <w:rFonts w:ascii="宋体" w:hAnsi="宋体" w:eastAsia="宋体" w:cs="宋体"/>
          <w:snapToGrid w:val="0"/>
          <w:color w:val="auto"/>
          <w:spacing w:val="0"/>
          <w:w w:val="100"/>
          <w:sz w:val="21"/>
          <w:szCs w:val="21"/>
        </w:rPr>
      </w:pPr>
      <w:bookmarkStart w:id="347" w:name="_Toc7282"/>
      <w:bookmarkStart w:id="348" w:name="_Toc444155958"/>
      <w:bookmarkStart w:id="349" w:name="_Toc10320"/>
      <w:bookmarkStart w:id="350" w:name="_Toc200513172"/>
      <w:bookmarkStart w:id="351" w:name="_Toc12698"/>
      <w:bookmarkStart w:id="352" w:name="_Toc12766"/>
      <w:bookmarkStart w:id="353" w:name="_Toc6731"/>
      <w:r>
        <w:rPr>
          <w:rFonts w:hint="eastAsia" w:ascii="宋体" w:hAnsi="宋体" w:eastAsia="宋体" w:cs="宋体"/>
          <w:snapToGrid w:val="0"/>
          <w:color w:val="auto"/>
          <w:spacing w:val="0"/>
          <w:w w:val="100"/>
          <w:sz w:val="21"/>
          <w:szCs w:val="21"/>
        </w:rPr>
        <w:t>9. 纪律和监督</w:t>
      </w:r>
      <w:bookmarkEnd w:id="347"/>
      <w:bookmarkEnd w:id="348"/>
      <w:bookmarkEnd w:id="349"/>
      <w:bookmarkEnd w:id="350"/>
      <w:bookmarkEnd w:id="351"/>
      <w:bookmarkEnd w:id="352"/>
      <w:bookmarkEnd w:id="353"/>
    </w:p>
    <w:p w14:paraId="6765059A">
      <w:pPr>
        <w:pStyle w:val="9"/>
        <w:snapToGrid w:val="0"/>
        <w:spacing w:before="0" w:line="360" w:lineRule="auto"/>
        <w:rPr>
          <w:rFonts w:ascii="宋体" w:hAnsi="宋体" w:eastAsia="宋体" w:cs="宋体"/>
          <w:snapToGrid w:val="0"/>
          <w:color w:val="auto"/>
          <w:sz w:val="21"/>
          <w:szCs w:val="21"/>
        </w:rPr>
      </w:pPr>
      <w:bookmarkStart w:id="354" w:name="_Toc13293"/>
      <w:bookmarkStart w:id="355" w:name="_Toc200513173"/>
      <w:bookmarkStart w:id="356" w:name="_Toc1584"/>
      <w:bookmarkStart w:id="357" w:name="_Toc444155959"/>
      <w:bookmarkStart w:id="358" w:name="_Toc20325"/>
      <w:bookmarkStart w:id="359" w:name="_Toc10975"/>
      <w:r>
        <w:rPr>
          <w:rFonts w:hint="eastAsia" w:ascii="宋体" w:hAnsi="宋体" w:eastAsia="宋体" w:cs="宋体"/>
          <w:snapToGrid w:val="0"/>
          <w:color w:val="auto"/>
          <w:sz w:val="21"/>
          <w:szCs w:val="21"/>
        </w:rPr>
        <w:t>9.1 对比选人的纪律要求</w:t>
      </w:r>
      <w:bookmarkEnd w:id="354"/>
      <w:bookmarkEnd w:id="355"/>
      <w:bookmarkEnd w:id="356"/>
      <w:bookmarkEnd w:id="357"/>
      <w:bookmarkEnd w:id="358"/>
      <w:bookmarkEnd w:id="359"/>
    </w:p>
    <w:p w14:paraId="1A6B50B6">
      <w:pPr>
        <w:adjustRightInd w:val="0"/>
        <w:snapToGrid w:val="0"/>
        <w:spacing w:line="360" w:lineRule="auto"/>
        <w:ind w:firstLine="365" w:firstLineChars="174"/>
        <w:rPr>
          <w:rFonts w:ascii="宋体" w:hAnsi="宋体" w:cs="宋体"/>
          <w:color w:val="auto"/>
          <w:kern w:val="0"/>
          <w:szCs w:val="21"/>
        </w:rPr>
      </w:pPr>
      <w:bookmarkStart w:id="360" w:name="_Toc200513174"/>
      <w:r>
        <w:rPr>
          <w:rFonts w:hint="eastAsia" w:ascii="宋体" w:hAnsi="宋体" w:cs="宋体"/>
          <w:color w:val="auto"/>
        </w:rPr>
        <w:t>比选人不得泄露比选竞选活动中应当保密的情况和资料，不得与竞选人串通损害国家利益、社会公共利益或者他人合法权益。</w:t>
      </w:r>
    </w:p>
    <w:p w14:paraId="5397E245">
      <w:pPr>
        <w:pStyle w:val="9"/>
        <w:snapToGrid w:val="0"/>
        <w:spacing w:before="0" w:line="360" w:lineRule="auto"/>
        <w:rPr>
          <w:rFonts w:ascii="宋体" w:hAnsi="宋体" w:eastAsia="宋体" w:cs="宋体"/>
          <w:snapToGrid w:val="0"/>
          <w:color w:val="auto"/>
          <w:sz w:val="21"/>
          <w:szCs w:val="21"/>
        </w:rPr>
      </w:pPr>
      <w:bookmarkStart w:id="361" w:name="_Toc22066"/>
      <w:bookmarkStart w:id="362" w:name="_Toc31876"/>
      <w:bookmarkStart w:id="363" w:name="_Toc1290"/>
      <w:bookmarkStart w:id="364" w:name="_Toc444155960"/>
      <w:bookmarkStart w:id="365" w:name="_Toc6290"/>
      <w:r>
        <w:rPr>
          <w:rFonts w:hint="eastAsia" w:ascii="宋体" w:hAnsi="宋体" w:eastAsia="宋体" w:cs="宋体"/>
          <w:snapToGrid w:val="0"/>
          <w:color w:val="auto"/>
          <w:sz w:val="21"/>
          <w:szCs w:val="21"/>
        </w:rPr>
        <w:t>9.2 对竞选人的纪律要求</w:t>
      </w:r>
      <w:bookmarkEnd w:id="360"/>
      <w:bookmarkEnd w:id="361"/>
      <w:bookmarkEnd w:id="362"/>
      <w:bookmarkEnd w:id="363"/>
      <w:bookmarkEnd w:id="364"/>
      <w:bookmarkEnd w:id="365"/>
    </w:p>
    <w:p w14:paraId="74A4977F">
      <w:pPr>
        <w:adjustRightInd w:val="0"/>
        <w:snapToGrid w:val="0"/>
        <w:spacing w:line="360" w:lineRule="auto"/>
        <w:ind w:firstLine="420" w:firstLineChars="200"/>
        <w:rPr>
          <w:rFonts w:ascii="宋体" w:hAnsi="宋体" w:cs="宋体"/>
          <w:color w:val="auto"/>
          <w:kern w:val="0"/>
          <w:szCs w:val="21"/>
        </w:rPr>
      </w:pPr>
      <w:bookmarkStart w:id="366" w:name="_Toc200513175"/>
      <w:r>
        <w:rPr>
          <w:rFonts w:hint="eastAsia" w:ascii="宋体" w:hAnsi="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7EECD480">
      <w:pPr>
        <w:pStyle w:val="9"/>
        <w:snapToGrid w:val="0"/>
        <w:spacing w:before="0" w:line="360" w:lineRule="auto"/>
        <w:rPr>
          <w:rFonts w:ascii="宋体" w:hAnsi="宋体" w:eastAsia="宋体" w:cs="宋体"/>
          <w:snapToGrid w:val="0"/>
          <w:color w:val="auto"/>
          <w:sz w:val="21"/>
          <w:szCs w:val="21"/>
        </w:rPr>
      </w:pPr>
      <w:bookmarkStart w:id="367" w:name="_Toc13155"/>
      <w:bookmarkStart w:id="368" w:name="_Toc30953"/>
      <w:bookmarkStart w:id="369" w:name="_Toc21499"/>
      <w:bookmarkStart w:id="370" w:name="_Toc444155961"/>
      <w:bookmarkStart w:id="371" w:name="_Toc24095"/>
      <w:r>
        <w:rPr>
          <w:rFonts w:hint="eastAsia" w:ascii="宋体" w:hAnsi="宋体" w:eastAsia="宋体" w:cs="宋体"/>
          <w:snapToGrid w:val="0"/>
          <w:color w:val="auto"/>
          <w:sz w:val="21"/>
          <w:szCs w:val="21"/>
        </w:rPr>
        <w:t>9.3 对评审小组成员的纪律要求</w:t>
      </w:r>
      <w:bookmarkEnd w:id="366"/>
      <w:bookmarkEnd w:id="367"/>
      <w:bookmarkEnd w:id="368"/>
      <w:bookmarkEnd w:id="369"/>
      <w:bookmarkEnd w:id="370"/>
      <w:bookmarkEnd w:id="371"/>
    </w:p>
    <w:p w14:paraId="09BD7A86">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cs="宋体"/>
          <w:color w:val="auto"/>
          <w:position w:val="-1"/>
        </w:rPr>
        <w:t>三章“评审办法”没有规定的评审因素和标准进行评审。</w:t>
      </w:r>
    </w:p>
    <w:p w14:paraId="7C2A6856">
      <w:pPr>
        <w:pStyle w:val="9"/>
        <w:snapToGrid w:val="0"/>
        <w:spacing w:before="0" w:line="360" w:lineRule="auto"/>
        <w:rPr>
          <w:rFonts w:ascii="宋体" w:hAnsi="宋体" w:eastAsia="宋体" w:cs="宋体"/>
          <w:snapToGrid w:val="0"/>
          <w:color w:val="auto"/>
          <w:sz w:val="21"/>
          <w:szCs w:val="21"/>
        </w:rPr>
      </w:pPr>
      <w:bookmarkStart w:id="372" w:name="_Toc20019"/>
      <w:bookmarkStart w:id="373" w:name="_Toc8486"/>
      <w:bookmarkStart w:id="374" w:name="_Toc444155962"/>
      <w:bookmarkStart w:id="375" w:name="_Toc18998"/>
      <w:bookmarkStart w:id="376" w:name="_Toc12062"/>
      <w:bookmarkStart w:id="377" w:name="_Toc200513176"/>
      <w:r>
        <w:rPr>
          <w:rFonts w:hint="eastAsia" w:ascii="宋体" w:hAnsi="宋体" w:eastAsia="宋体" w:cs="宋体"/>
          <w:snapToGrid w:val="0"/>
          <w:color w:val="auto"/>
          <w:sz w:val="21"/>
          <w:szCs w:val="21"/>
        </w:rPr>
        <w:t>9.4 对与评审活动有关的工作人员的纪律要求</w:t>
      </w:r>
      <w:bookmarkEnd w:id="372"/>
      <w:bookmarkEnd w:id="373"/>
      <w:bookmarkEnd w:id="374"/>
      <w:bookmarkEnd w:id="375"/>
      <w:bookmarkEnd w:id="376"/>
      <w:bookmarkEnd w:id="377"/>
    </w:p>
    <w:p w14:paraId="3DB8C7A1">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67D829EF">
      <w:pPr>
        <w:pStyle w:val="9"/>
        <w:snapToGrid w:val="0"/>
        <w:spacing w:before="0" w:line="360" w:lineRule="auto"/>
        <w:rPr>
          <w:rFonts w:ascii="宋体" w:hAnsi="宋体" w:eastAsia="宋体" w:cs="宋体"/>
          <w:snapToGrid w:val="0"/>
          <w:color w:val="auto"/>
          <w:sz w:val="21"/>
          <w:szCs w:val="21"/>
        </w:rPr>
      </w:pPr>
      <w:bookmarkStart w:id="378" w:name="_Toc9829"/>
      <w:bookmarkStart w:id="379" w:name="_Toc18718"/>
      <w:bookmarkStart w:id="380" w:name="_Toc200513177"/>
      <w:bookmarkStart w:id="381" w:name="_Toc22328"/>
      <w:bookmarkStart w:id="382" w:name="_Toc444155963"/>
      <w:bookmarkStart w:id="383" w:name="_Toc22229"/>
      <w:bookmarkStart w:id="384" w:name="OLE_LINK143"/>
      <w:bookmarkStart w:id="385" w:name="OLE_LINK142"/>
      <w:bookmarkStart w:id="386" w:name="OLE_LINK141"/>
      <w:r>
        <w:rPr>
          <w:rFonts w:hint="eastAsia" w:ascii="宋体" w:hAnsi="宋体" w:eastAsia="宋体" w:cs="宋体"/>
          <w:snapToGrid w:val="0"/>
          <w:color w:val="auto"/>
          <w:sz w:val="21"/>
          <w:szCs w:val="21"/>
        </w:rPr>
        <w:t>9.5 投诉</w:t>
      </w:r>
      <w:bookmarkEnd w:id="378"/>
      <w:bookmarkEnd w:id="379"/>
      <w:bookmarkEnd w:id="380"/>
      <w:bookmarkEnd w:id="381"/>
      <w:bookmarkEnd w:id="382"/>
      <w:bookmarkEnd w:id="383"/>
    </w:p>
    <w:p w14:paraId="465F73EF">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竞选人和其他利害关系人认为本次比选活动违反法律、法规和规章规定的，有权向有关行政监督部门投诉。</w:t>
      </w:r>
    </w:p>
    <w:bookmarkEnd w:id="384"/>
    <w:bookmarkEnd w:id="385"/>
    <w:bookmarkEnd w:id="386"/>
    <w:p w14:paraId="092D7D45">
      <w:pPr>
        <w:pStyle w:val="8"/>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ascii="宋体" w:hAnsi="宋体" w:eastAsia="宋体" w:cs="宋体"/>
          <w:bCs/>
          <w:color w:val="auto"/>
          <w:spacing w:val="0"/>
          <w:w w:val="100"/>
          <w:kern w:val="0"/>
          <w:sz w:val="21"/>
          <w:szCs w:val="21"/>
        </w:rPr>
      </w:pPr>
      <w:bookmarkStart w:id="387" w:name="_Toc22950"/>
      <w:bookmarkStart w:id="388" w:name="_Toc14781"/>
      <w:bookmarkStart w:id="389" w:name="_Toc21517"/>
      <w:bookmarkStart w:id="390" w:name="_Toc23374"/>
      <w:bookmarkStart w:id="391" w:name="_Toc444155964"/>
      <w:bookmarkStart w:id="392" w:name="_Toc200513178"/>
      <w:bookmarkStart w:id="393" w:name="_Toc10393"/>
      <w:r>
        <w:rPr>
          <w:rFonts w:hint="eastAsia" w:ascii="宋体" w:hAnsi="宋体" w:eastAsia="宋体" w:cs="宋体"/>
          <w:bCs/>
          <w:color w:val="auto"/>
          <w:spacing w:val="0"/>
          <w:w w:val="100"/>
          <w:kern w:val="0"/>
          <w:sz w:val="21"/>
          <w:szCs w:val="21"/>
        </w:rPr>
        <w:t>10. 需要补充的其他内容</w:t>
      </w:r>
      <w:bookmarkEnd w:id="387"/>
      <w:bookmarkEnd w:id="388"/>
      <w:bookmarkEnd w:id="389"/>
      <w:bookmarkEnd w:id="390"/>
      <w:bookmarkEnd w:id="391"/>
      <w:bookmarkEnd w:id="392"/>
      <w:bookmarkEnd w:id="393"/>
    </w:p>
    <w:p w14:paraId="5129F93D">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55944908">
      <w:pPr>
        <w:autoSpaceDE w:val="0"/>
        <w:autoSpaceDN w:val="0"/>
        <w:adjustRightInd w:val="0"/>
        <w:snapToGrid w:val="0"/>
        <w:spacing w:line="360" w:lineRule="auto"/>
        <w:jc w:val="left"/>
        <w:rPr>
          <w:rFonts w:ascii="宋体" w:hAnsi="宋体" w:cs="宋体"/>
          <w:snapToGrid w:val="0"/>
          <w:color w:val="auto"/>
          <w:kern w:val="0"/>
          <w:szCs w:val="21"/>
        </w:rPr>
      </w:pPr>
    </w:p>
    <w:p w14:paraId="7AFF3F79">
      <w:pPr>
        <w:pStyle w:val="7"/>
        <w:numPr>
          <w:ilvl w:val="0"/>
          <w:numId w:val="0"/>
        </w:numPr>
        <w:rPr>
          <w:rFonts w:ascii="宋体" w:hAnsi="宋体" w:eastAsia="宋体" w:cs="宋体"/>
          <w:color w:val="auto"/>
        </w:rPr>
      </w:pPr>
      <w:r>
        <w:rPr>
          <w:rFonts w:hint="eastAsia" w:ascii="宋体" w:hAnsi="宋体" w:eastAsia="宋体" w:cs="宋体"/>
          <w:b/>
          <w:color w:val="auto"/>
          <w:kern w:val="0"/>
        </w:rPr>
        <w:br w:type="page"/>
      </w:r>
      <w:bookmarkStart w:id="394" w:name="_Toc10625"/>
      <w:bookmarkStart w:id="395" w:name="_Toc17243"/>
      <w:bookmarkStart w:id="396" w:name="_Toc11534"/>
      <w:bookmarkStart w:id="397" w:name="_Toc440022824"/>
      <w:bookmarkStart w:id="398" w:name="_Toc18073"/>
      <w:bookmarkStart w:id="399" w:name="_Toc444155965"/>
      <w:bookmarkStart w:id="400" w:name="_Toc9816"/>
      <w:r>
        <w:rPr>
          <w:rFonts w:hint="eastAsia" w:ascii="宋体" w:hAnsi="宋体" w:eastAsia="宋体" w:cs="宋体"/>
          <w:b/>
          <w:color w:val="auto"/>
          <w:kern w:val="0"/>
          <w:sz w:val="36"/>
          <w:szCs w:val="36"/>
        </w:rPr>
        <w:t>第三章 评审办法</w:t>
      </w:r>
      <w:bookmarkEnd w:id="394"/>
      <w:bookmarkEnd w:id="395"/>
      <w:bookmarkEnd w:id="396"/>
      <w:bookmarkEnd w:id="397"/>
      <w:bookmarkEnd w:id="398"/>
      <w:bookmarkEnd w:id="399"/>
      <w:r>
        <w:rPr>
          <w:rFonts w:hint="eastAsia" w:ascii="宋体" w:hAnsi="宋体" w:eastAsia="宋体" w:cs="宋体"/>
          <w:b/>
          <w:color w:val="auto"/>
          <w:kern w:val="0"/>
          <w:sz w:val="36"/>
          <w:szCs w:val="36"/>
        </w:rPr>
        <w:t>（综合评审法）</w:t>
      </w:r>
      <w:bookmarkEnd w:id="400"/>
    </w:p>
    <w:p w14:paraId="78F213B3">
      <w:pPr>
        <w:keepNext/>
        <w:keepLines/>
        <w:adjustRightInd w:val="0"/>
        <w:snapToGrid w:val="0"/>
        <w:spacing w:line="400" w:lineRule="exact"/>
        <w:outlineLvl w:val="1"/>
        <w:rPr>
          <w:rFonts w:ascii="宋体" w:hAnsi="宋体" w:cs="宋体"/>
          <w:b/>
          <w:color w:val="auto"/>
          <w:spacing w:val="1"/>
          <w:szCs w:val="21"/>
        </w:rPr>
      </w:pPr>
      <w:bookmarkStart w:id="401" w:name="_Toc27076"/>
      <w:r>
        <w:rPr>
          <w:rFonts w:hint="eastAsia" w:ascii="宋体" w:hAnsi="宋体" w:cs="宋体"/>
          <w:b/>
          <w:color w:val="auto"/>
          <w:spacing w:val="1"/>
          <w:szCs w:val="21"/>
        </w:rPr>
        <w:t>评审办法前附表</w:t>
      </w:r>
      <w:bookmarkEnd w:id="401"/>
    </w:p>
    <w:p w14:paraId="735E489C">
      <w:pPr>
        <w:adjustRightInd w:val="0"/>
        <w:snapToGrid w:val="0"/>
        <w:spacing w:line="400" w:lineRule="exact"/>
        <w:ind w:firstLine="427" w:firstLineChars="196"/>
        <w:rPr>
          <w:rFonts w:ascii="宋体" w:hAnsi="宋体" w:cs="宋体"/>
          <w:color w:val="auto"/>
          <w:spacing w:val="4"/>
          <w:kern w:val="0"/>
          <w:szCs w:val="21"/>
        </w:rPr>
      </w:pPr>
      <w:r>
        <w:rPr>
          <w:rFonts w:hint="eastAsia" w:ascii="宋体" w:hAnsi="宋体" w:cs="宋体"/>
          <w:color w:val="auto"/>
          <w:spacing w:val="4"/>
          <w:kern w:val="0"/>
          <w:szCs w:val="21"/>
        </w:rPr>
        <w:t>评审办法前附表与正文不一致的，以评审办法前附表为准。</w:t>
      </w:r>
    </w:p>
    <w:tbl>
      <w:tblPr>
        <w:tblStyle w:val="50"/>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643"/>
        <w:gridCol w:w="510"/>
        <w:gridCol w:w="197"/>
        <w:gridCol w:w="1351"/>
        <w:gridCol w:w="2091"/>
        <w:gridCol w:w="3845"/>
      </w:tblGrid>
      <w:tr w14:paraId="72C5F2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14:paraId="14B7AB0D">
            <w:pPr>
              <w:spacing w:line="400" w:lineRule="exact"/>
              <w:jc w:val="center"/>
              <w:rPr>
                <w:rFonts w:ascii="宋体" w:hAnsi="宋体" w:cs="宋体"/>
                <w:b/>
                <w:color w:val="auto"/>
                <w:kern w:val="0"/>
                <w:szCs w:val="22"/>
              </w:rPr>
            </w:pPr>
            <w:r>
              <w:rPr>
                <w:rFonts w:hint="eastAsia" w:ascii="宋体" w:hAnsi="宋体" w:cs="宋体"/>
                <w:b/>
                <w:color w:val="auto"/>
                <w:kern w:val="0"/>
                <w:szCs w:val="22"/>
              </w:rPr>
              <w:t>条款号</w:t>
            </w:r>
          </w:p>
        </w:tc>
        <w:tc>
          <w:tcPr>
            <w:tcW w:w="2058" w:type="dxa"/>
            <w:gridSpan w:val="3"/>
            <w:vAlign w:val="center"/>
          </w:tcPr>
          <w:p w14:paraId="125C2AD8">
            <w:pPr>
              <w:spacing w:line="400" w:lineRule="exact"/>
              <w:jc w:val="center"/>
              <w:rPr>
                <w:rFonts w:ascii="宋体" w:hAnsi="宋体" w:cs="宋体"/>
                <w:b/>
                <w:color w:val="auto"/>
                <w:kern w:val="0"/>
                <w:szCs w:val="22"/>
              </w:rPr>
            </w:pPr>
            <w:r>
              <w:rPr>
                <w:rFonts w:hint="eastAsia" w:ascii="宋体" w:hAnsi="宋体" w:cs="宋体"/>
                <w:b/>
                <w:color w:val="auto"/>
                <w:kern w:val="0"/>
                <w:szCs w:val="22"/>
              </w:rPr>
              <w:t>评审因素</w:t>
            </w:r>
          </w:p>
        </w:tc>
        <w:tc>
          <w:tcPr>
            <w:tcW w:w="5936" w:type="dxa"/>
            <w:gridSpan w:val="2"/>
            <w:vAlign w:val="center"/>
          </w:tcPr>
          <w:p w14:paraId="63EA297E">
            <w:pPr>
              <w:spacing w:line="400" w:lineRule="exact"/>
              <w:jc w:val="center"/>
              <w:rPr>
                <w:rFonts w:ascii="宋体" w:hAnsi="宋体" w:cs="宋体"/>
                <w:b/>
                <w:color w:val="auto"/>
                <w:kern w:val="0"/>
                <w:szCs w:val="22"/>
              </w:rPr>
            </w:pPr>
            <w:r>
              <w:rPr>
                <w:rFonts w:hint="eastAsia" w:ascii="宋体" w:hAnsi="宋体" w:cs="宋体"/>
                <w:b/>
                <w:color w:val="auto"/>
                <w:kern w:val="0"/>
                <w:szCs w:val="22"/>
              </w:rPr>
              <w:t>评审标准</w:t>
            </w:r>
          </w:p>
        </w:tc>
      </w:tr>
      <w:tr w14:paraId="41856D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14:paraId="7C0B5059">
            <w:pPr>
              <w:spacing w:line="400" w:lineRule="exact"/>
              <w:jc w:val="center"/>
              <w:rPr>
                <w:rFonts w:ascii="宋体" w:hAnsi="宋体" w:cs="宋体"/>
                <w:color w:val="auto"/>
                <w:kern w:val="0"/>
                <w:szCs w:val="22"/>
              </w:rPr>
            </w:pPr>
            <w:r>
              <w:rPr>
                <w:rFonts w:hint="eastAsia" w:ascii="宋体" w:hAnsi="宋体" w:cs="宋体"/>
                <w:color w:val="auto"/>
                <w:kern w:val="0"/>
                <w:szCs w:val="22"/>
              </w:rPr>
              <w:t>1</w:t>
            </w:r>
          </w:p>
        </w:tc>
        <w:tc>
          <w:tcPr>
            <w:tcW w:w="2058" w:type="dxa"/>
            <w:gridSpan w:val="3"/>
            <w:vAlign w:val="center"/>
          </w:tcPr>
          <w:p w14:paraId="6B79798B">
            <w:pPr>
              <w:spacing w:line="400" w:lineRule="exact"/>
              <w:jc w:val="center"/>
              <w:rPr>
                <w:rFonts w:ascii="宋体" w:hAnsi="宋体" w:cs="宋体"/>
                <w:color w:val="auto"/>
                <w:kern w:val="0"/>
                <w:szCs w:val="22"/>
              </w:rPr>
            </w:pPr>
            <w:r>
              <w:rPr>
                <w:rFonts w:hint="eastAsia" w:ascii="宋体" w:hAnsi="宋体" w:cs="宋体"/>
                <w:color w:val="auto"/>
                <w:kern w:val="0"/>
                <w:szCs w:val="22"/>
              </w:rPr>
              <w:t>评审办法</w:t>
            </w:r>
          </w:p>
        </w:tc>
        <w:tc>
          <w:tcPr>
            <w:tcW w:w="5936" w:type="dxa"/>
            <w:gridSpan w:val="2"/>
            <w:vAlign w:val="center"/>
          </w:tcPr>
          <w:p w14:paraId="6CFB98FD">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kern w:val="0"/>
                <w:szCs w:val="21"/>
              </w:rPr>
              <w:t>评审小组按照本章第</w:t>
            </w:r>
            <w:r>
              <w:rPr>
                <w:rFonts w:hint="eastAsia" w:ascii="宋体" w:hAnsi="宋体" w:cs="宋体"/>
                <w:color w:val="auto"/>
                <w:spacing w:val="1"/>
                <w:kern w:val="0"/>
                <w:szCs w:val="21"/>
              </w:rPr>
              <w:t>2</w:t>
            </w:r>
            <w:r>
              <w:rPr>
                <w:rFonts w:hint="eastAsia" w:ascii="宋体" w:hAnsi="宋体" w:cs="宋体"/>
                <w:color w:val="auto"/>
                <w:spacing w:val="-1"/>
                <w:kern w:val="0"/>
                <w:szCs w:val="21"/>
              </w:rPr>
              <w:t>.</w:t>
            </w:r>
            <w:r>
              <w:rPr>
                <w:rFonts w:hint="eastAsia" w:ascii="宋体" w:hAnsi="宋体" w:cs="宋体"/>
                <w:color w:val="auto"/>
                <w:kern w:val="0"/>
                <w:szCs w:val="21"/>
              </w:rPr>
              <w:t>2款</w:t>
            </w:r>
            <w:r>
              <w:rPr>
                <w:rFonts w:hint="eastAsia" w:ascii="宋体" w:hAnsi="宋体" w:cs="宋体"/>
                <w:color w:val="auto"/>
                <w:spacing w:val="-1"/>
                <w:kern w:val="0"/>
                <w:szCs w:val="21"/>
              </w:rPr>
              <w:t>规</w:t>
            </w:r>
            <w:r>
              <w:rPr>
                <w:rFonts w:hint="eastAsia" w:ascii="宋体" w:hAnsi="宋体" w:cs="宋体"/>
                <w:color w:val="auto"/>
                <w:kern w:val="0"/>
                <w:szCs w:val="21"/>
              </w:rPr>
              <w:t>定的评分标准进行评分，按得分由高到低顺序推荐中选候选人</w:t>
            </w:r>
            <w:r>
              <w:rPr>
                <w:rFonts w:hint="eastAsia" w:ascii="宋体" w:hAnsi="宋体" w:cs="宋体"/>
                <w:color w:val="auto"/>
                <w:spacing w:val="-31"/>
                <w:kern w:val="0"/>
                <w:szCs w:val="21"/>
              </w:rPr>
              <w:t>。</w:t>
            </w:r>
            <w:r>
              <w:rPr>
                <w:rFonts w:hint="eastAsia" w:ascii="宋体" w:hAnsi="宋体" w:cs="宋体"/>
                <w:color w:val="auto"/>
                <w:kern w:val="0"/>
                <w:szCs w:val="21"/>
              </w:rPr>
              <w:t>综合评分相等时</w:t>
            </w:r>
            <w:r>
              <w:rPr>
                <w:rFonts w:hint="eastAsia" w:ascii="宋体" w:hAnsi="宋体" w:cs="宋体"/>
                <w:color w:val="auto"/>
                <w:spacing w:val="-31"/>
                <w:kern w:val="0"/>
                <w:szCs w:val="21"/>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经济部分得分高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经济部分得分</w:t>
            </w:r>
            <w:r>
              <w:rPr>
                <w:rFonts w:hint="eastAsia" w:ascii="宋体" w:hAnsi="宋体" w:cs="宋体"/>
                <w:color w:val="auto"/>
                <w:kern w:val="0"/>
                <w:szCs w:val="21"/>
              </w:rPr>
              <w:t>相等的</w:t>
            </w:r>
            <w:r>
              <w:rPr>
                <w:rFonts w:hint="eastAsia" w:ascii="宋体" w:hAnsi="宋体" w:cs="宋体"/>
                <w:color w:val="auto"/>
                <w:kern w:val="0"/>
                <w:szCs w:val="21"/>
                <w:lang w:eastAsia="zh-CN"/>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技术部分得分高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技术部分得分</w:t>
            </w:r>
            <w:r>
              <w:rPr>
                <w:rFonts w:hint="eastAsia" w:ascii="宋体" w:hAnsi="宋体" w:cs="宋体"/>
                <w:color w:val="auto"/>
                <w:kern w:val="0"/>
                <w:szCs w:val="21"/>
              </w:rPr>
              <w:t>相等的，则由评审小组按照</w:t>
            </w:r>
            <w:r>
              <w:rPr>
                <w:rFonts w:hint="eastAsia" w:ascii="宋体" w:hAnsi="宋体" w:cs="宋体"/>
                <w:color w:val="auto"/>
                <w:kern w:val="0"/>
                <w:szCs w:val="21"/>
                <w:highlight w:val="none"/>
                <w:u w:val="single"/>
                <w:lang w:val="en-US" w:eastAsia="zh-CN"/>
              </w:rPr>
              <w:t>投票</w:t>
            </w:r>
            <w:r>
              <w:rPr>
                <w:rFonts w:hint="eastAsia" w:ascii="宋体" w:hAnsi="宋体" w:cs="宋体"/>
                <w:color w:val="auto"/>
                <w:kern w:val="0"/>
                <w:szCs w:val="21"/>
                <w:u w:val="single"/>
                <w:lang w:val="en-US" w:eastAsia="zh-CN"/>
              </w:rPr>
              <w:t>的</w:t>
            </w:r>
            <w:r>
              <w:rPr>
                <w:rFonts w:hint="eastAsia" w:ascii="宋体" w:hAnsi="宋体" w:cs="宋体"/>
                <w:color w:val="auto"/>
                <w:kern w:val="0"/>
                <w:szCs w:val="21"/>
              </w:rPr>
              <w:t>原则排序。</w:t>
            </w:r>
          </w:p>
        </w:tc>
      </w:tr>
      <w:tr w14:paraId="1A3FE3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14:paraId="62772349">
            <w:pPr>
              <w:spacing w:line="400" w:lineRule="exact"/>
              <w:jc w:val="center"/>
              <w:rPr>
                <w:rFonts w:ascii="宋体" w:hAnsi="宋体" w:cs="宋体"/>
                <w:color w:val="auto"/>
                <w:kern w:val="0"/>
                <w:szCs w:val="22"/>
              </w:rPr>
            </w:pPr>
            <w:r>
              <w:rPr>
                <w:rFonts w:hint="eastAsia" w:ascii="宋体" w:hAnsi="宋体" w:cs="宋体"/>
                <w:color w:val="auto"/>
                <w:kern w:val="0"/>
                <w:szCs w:val="22"/>
              </w:rPr>
              <w:t>2.1.1</w:t>
            </w:r>
          </w:p>
        </w:tc>
        <w:tc>
          <w:tcPr>
            <w:tcW w:w="643" w:type="dxa"/>
            <w:vMerge w:val="restart"/>
            <w:vAlign w:val="center"/>
          </w:tcPr>
          <w:p w14:paraId="651A5EDC">
            <w:pPr>
              <w:spacing w:line="400" w:lineRule="exact"/>
              <w:jc w:val="center"/>
              <w:rPr>
                <w:rFonts w:ascii="宋体" w:hAnsi="宋体" w:cs="宋体"/>
                <w:color w:val="auto"/>
                <w:kern w:val="0"/>
                <w:szCs w:val="22"/>
              </w:rPr>
            </w:pPr>
            <w:r>
              <w:rPr>
                <w:rFonts w:hint="eastAsia" w:ascii="宋体" w:hAnsi="宋体" w:cs="宋体"/>
                <w:color w:val="auto"/>
                <w:kern w:val="0"/>
                <w:szCs w:val="22"/>
              </w:rPr>
              <w:t>资格评审标准</w:t>
            </w:r>
          </w:p>
        </w:tc>
        <w:tc>
          <w:tcPr>
            <w:tcW w:w="2058" w:type="dxa"/>
            <w:gridSpan w:val="3"/>
            <w:tcBorders>
              <w:bottom w:val="single" w:color="auto" w:sz="4" w:space="0"/>
            </w:tcBorders>
            <w:vAlign w:val="center"/>
          </w:tcPr>
          <w:p w14:paraId="6C6E6D9B">
            <w:pPr>
              <w:spacing w:line="400" w:lineRule="exact"/>
              <w:rPr>
                <w:rFonts w:ascii="宋体" w:hAnsi="宋体" w:cs="宋体"/>
                <w:color w:val="auto"/>
                <w:kern w:val="0"/>
                <w:szCs w:val="22"/>
              </w:rPr>
            </w:pPr>
            <w:r>
              <w:rPr>
                <w:rFonts w:hint="eastAsia" w:ascii="宋体" w:hAnsi="宋体" w:cs="宋体"/>
                <w:color w:val="auto"/>
                <w:kern w:val="0"/>
                <w:szCs w:val="22"/>
              </w:rPr>
              <w:t>营业执照</w:t>
            </w:r>
          </w:p>
        </w:tc>
        <w:tc>
          <w:tcPr>
            <w:tcW w:w="5936" w:type="dxa"/>
            <w:gridSpan w:val="2"/>
            <w:vAlign w:val="center"/>
          </w:tcPr>
          <w:p w14:paraId="71DDB2E6">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352A3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833" w:type="dxa"/>
            <w:vMerge w:val="continue"/>
          </w:tcPr>
          <w:p w14:paraId="27918F9D">
            <w:pPr>
              <w:spacing w:line="400" w:lineRule="exact"/>
              <w:rPr>
                <w:rFonts w:ascii="宋体" w:hAnsi="宋体" w:cs="宋体"/>
                <w:color w:val="auto"/>
                <w:szCs w:val="22"/>
              </w:rPr>
            </w:pPr>
          </w:p>
        </w:tc>
        <w:tc>
          <w:tcPr>
            <w:tcW w:w="643" w:type="dxa"/>
            <w:vMerge w:val="continue"/>
          </w:tcPr>
          <w:p w14:paraId="27371517">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5B867A3B">
            <w:pPr>
              <w:spacing w:line="400" w:lineRule="exact"/>
              <w:rPr>
                <w:rFonts w:hint="default" w:ascii="宋体" w:hAnsi="宋体" w:eastAsia="宋体" w:cs="宋体"/>
                <w:color w:val="auto"/>
                <w:kern w:val="0"/>
                <w:szCs w:val="22"/>
                <w:lang w:val="en-US" w:eastAsia="zh-CN"/>
              </w:rPr>
            </w:pPr>
            <w:r>
              <w:rPr>
                <w:rFonts w:hint="eastAsia" w:ascii="宋体" w:hAnsi="宋体" w:cs="宋体"/>
                <w:color w:val="auto"/>
                <w:kern w:val="0"/>
                <w:szCs w:val="22"/>
                <w:lang w:val="en-US" w:eastAsia="zh-CN"/>
              </w:rPr>
              <w:t>特定资格条件</w:t>
            </w:r>
          </w:p>
        </w:tc>
        <w:tc>
          <w:tcPr>
            <w:tcW w:w="5936" w:type="dxa"/>
            <w:gridSpan w:val="2"/>
            <w:tcBorders>
              <w:bottom w:val="single" w:color="auto" w:sz="4" w:space="0"/>
            </w:tcBorders>
            <w:vAlign w:val="center"/>
          </w:tcPr>
          <w:p w14:paraId="591ED61D">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23B499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833" w:type="dxa"/>
            <w:vMerge w:val="continue"/>
          </w:tcPr>
          <w:p w14:paraId="4626B73C">
            <w:pPr>
              <w:spacing w:line="400" w:lineRule="exact"/>
              <w:rPr>
                <w:rFonts w:ascii="宋体" w:hAnsi="宋体" w:cs="宋体"/>
                <w:color w:val="auto"/>
                <w:szCs w:val="22"/>
              </w:rPr>
            </w:pPr>
          </w:p>
        </w:tc>
        <w:tc>
          <w:tcPr>
            <w:tcW w:w="643" w:type="dxa"/>
            <w:vMerge w:val="continue"/>
          </w:tcPr>
          <w:p w14:paraId="0E94E0CA">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24BA90E2">
            <w:pPr>
              <w:spacing w:line="400" w:lineRule="exact"/>
              <w:rPr>
                <w:rFonts w:hint="eastAsia" w:ascii="宋体" w:hAnsi="宋体" w:cs="宋体"/>
                <w:color w:val="auto"/>
                <w:kern w:val="0"/>
                <w:szCs w:val="22"/>
              </w:rPr>
            </w:pPr>
            <w:r>
              <w:rPr>
                <w:rFonts w:hint="eastAsia" w:ascii="宋体" w:hAnsi="宋体" w:cs="宋体"/>
                <w:color w:val="auto"/>
                <w:kern w:val="0"/>
                <w:szCs w:val="22"/>
              </w:rPr>
              <w:t>竞选截止日竞选资格情况</w:t>
            </w:r>
          </w:p>
        </w:tc>
        <w:tc>
          <w:tcPr>
            <w:tcW w:w="5936" w:type="dxa"/>
            <w:gridSpan w:val="2"/>
            <w:tcBorders>
              <w:top w:val="single" w:color="auto" w:sz="4" w:space="0"/>
              <w:bottom w:val="single" w:color="auto" w:sz="4" w:space="0"/>
            </w:tcBorders>
            <w:vAlign w:val="center"/>
          </w:tcPr>
          <w:p w14:paraId="12943B75">
            <w:pPr>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5AFA40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14" w:hRule="atLeast"/>
          <w:jc w:val="center"/>
        </w:trPr>
        <w:tc>
          <w:tcPr>
            <w:tcW w:w="833" w:type="dxa"/>
            <w:vMerge w:val="continue"/>
          </w:tcPr>
          <w:p w14:paraId="7CF9CF22">
            <w:pPr>
              <w:spacing w:line="400" w:lineRule="exact"/>
              <w:rPr>
                <w:rFonts w:ascii="宋体" w:hAnsi="宋体" w:cs="宋体"/>
                <w:color w:val="auto"/>
                <w:szCs w:val="22"/>
              </w:rPr>
            </w:pPr>
          </w:p>
        </w:tc>
        <w:tc>
          <w:tcPr>
            <w:tcW w:w="643" w:type="dxa"/>
            <w:vMerge w:val="continue"/>
          </w:tcPr>
          <w:p w14:paraId="2120C123">
            <w:pPr>
              <w:spacing w:line="400" w:lineRule="exact"/>
              <w:rPr>
                <w:rFonts w:ascii="宋体" w:hAnsi="宋体" w:cs="宋体"/>
                <w:color w:val="auto"/>
                <w:szCs w:val="22"/>
              </w:rPr>
            </w:pPr>
          </w:p>
        </w:tc>
        <w:tc>
          <w:tcPr>
            <w:tcW w:w="2058" w:type="dxa"/>
            <w:gridSpan w:val="3"/>
            <w:tcBorders>
              <w:top w:val="single" w:color="auto" w:sz="4" w:space="0"/>
            </w:tcBorders>
            <w:vAlign w:val="center"/>
          </w:tcPr>
          <w:p w14:paraId="604FB892">
            <w:pPr>
              <w:spacing w:line="400" w:lineRule="exact"/>
              <w:rPr>
                <w:rFonts w:hint="eastAsia" w:ascii="宋体" w:hAnsi="宋体" w:cs="宋体"/>
                <w:color w:val="auto"/>
                <w:kern w:val="0"/>
                <w:szCs w:val="22"/>
              </w:rPr>
            </w:pPr>
            <w:r>
              <w:rPr>
                <w:rFonts w:hint="eastAsia" w:ascii="宋体" w:hAnsi="宋体" w:cs="宋体"/>
                <w:color w:val="auto"/>
                <w:szCs w:val="21"/>
                <w:lang w:val="en-US" w:eastAsia="zh-CN"/>
              </w:rPr>
              <w:t>法律、行政法规规定的其他条件</w:t>
            </w:r>
          </w:p>
        </w:tc>
        <w:tc>
          <w:tcPr>
            <w:tcW w:w="5936" w:type="dxa"/>
            <w:gridSpan w:val="2"/>
            <w:tcBorders>
              <w:top w:val="single" w:color="auto" w:sz="4" w:space="0"/>
            </w:tcBorders>
            <w:vAlign w:val="center"/>
          </w:tcPr>
          <w:p w14:paraId="33627A2D">
            <w:pPr>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1FB315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14:paraId="28553810">
            <w:pPr>
              <w:spacing w:line="400" w:lineRule="exact"/>
              <w:jc w:val="center"/>
              <w:rPr>
                <w:rFonts w:ascii="宋体" w:hAnsi="宋体" w:cs="宋体"/>
                <w:color w:val="auto"/>
                <w:szCs w:val="22"/>
              </w:rPr>
            </w:pPr>
            <w:r>
              <w:rPr>
                <w:rFonts w:hint="eastAsia" w:ascii="宋体" w:hAnsi="宋体" w:cs="宋体"/>
                <w:color w:val="auto"/>
                <w:kern w:val="0"/>
                <w:szCs w:val="22"/>
              </w:rPr>
              <w:t>2.1.2</w:t>
            </w:r>
          </w:p>
        </w:tc>
        <w:tc>
          <w:tcPr>
            <w:tcW w:w="643" w:type="dxa"/>
            <w:vMerge w:val="restart"/>
            <w:vAlign w:val="center"/>
          </w:tcPr>
          <w:p w14:paraId="3EB98FB0">
            <w:pPr>
              <w:spacing w:line="400" w:lineRule="exact"/>
              <w:jc w:val="center"/>
              <w:rPr>
                <w:rFonts w:ascii="宋体" w:hAnsi="宋体" w:cs="宋体"/>
                <w:color w:val="auto"/>
                <w:szCs w:val="22"/>
              </w:rPr>
            </w:pPr>
            <w:r>
              <w:rPr>
                <w:rFonts w:hint="eastAsia" w:ascii="宋体" w:hAnsi="宋体" w:cs="宋体"/>
                <w:color w:val="auto"/>
                <w:kern w:val="0"/>
                <w:szCs w:val="22"/>
              </w:rPr>
              <w:t>形式评审标准</w:t>
            </w:r>
          </w:p>
        </w:tc>
        <w:tc>
          <w:tcPr>
            <w:tcW w:w="2058" w:type="dxa"/>
            <w:gridSpan w:val="3"/>
            <w:tcBorders>
              <w:top w:val="single" w:color="auto" w:sz="4" w:space="0"/>
              <w:bottom w:val="single" w:color="auto" w:sz="4" w:space="0"/>
            </w:tcBorders>
            <w:vAlign w:val="center"/>
          </w:tcPr>
          <w:p w14:paraId="14C0277B">
            <w:pPr>
              <w:spacing w:line="400" w:lineRule="exact"/>
              <w:jc w:val="left"/>
              <w:rPr>
                <w:rFonts w:ascii="宋体" w:hAnsi="宋体" w:cs="宋体"/>
                <w:color w:val="auto"/>
                <w:kern w:val="0"/>
                <w:szCs w:val="22"/>
              </w:rPr>
            </w:pPr>
            <w:r>
              <w:rPr>
                <w:rFonts w:hint="eastAsia" w:ascii="宋体" w:hAnsi="宋体" w:cs="宋体"/>
                <w:color w:val="auto"/>
                <w:kern w:val="0"/>
                <w:szCs w:val="22"/>
              </w:rPr>
              <w:t>竞选人名称</w:t>
            </w:r>
          </w:p>
        </w:tc>
        <w:tc>
          <w:tcPr>
            <w:tcW w:w="5936" w:type="dxa"/>
            <w:gridSpan w:val="2"/>
            <w:vAlign w:val="center"/>
          </w:tcPr>
          <w:p w14:paraId="3315CA1D">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与营业执照一致，依法变更名称的应提交相应证明材料。</w:t>
            </w:r>
          </w:p>
        </w:tc>
      </w:tr>
      <w:tr w14:paraId="09879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01FF775B">
            <w:pPr>
              <w:spacing w:line="400" w:lineRule="exact"/>
              <w:rPr>
                <w:rFonts w:ascii="宋体" w:hAnsi="宋体" w:cs="宋体"/>
                <w:color w:val="auto"/>
                <w:szCs w:val="22"/>
              </w:rPr>
            </w:pPr>
          </w:p>
        </w:tc>
        <w:tc>
          <w:tcPr>
            <w:tcW w:w="643" w:type="dxa"/>
            <w:vMerge w:val="continue"/>
          </w:tcPr>
          <w:p w14:paraId="48A3F145">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12CDD582">
            <w:pPr>
              <w:spacing w:line="400" w:lineRule="exact"/>
              <w:jc w:val="left"/>
              <w:rPr>
                <w:rFonts w:ascii="宋体" w:hAnsi="宋体" w:cs="宋体"/>
                <w:color w:val="auto"/>
                <w:kern w:val="0"/>
                <w:szCs w:val="22"/>
              </w:rPr>
            </w:pPr>
            <w:r>
              <w:rPr>
                <w:rFonts w:hint="eastAsia" w:ascii="宋体" w:hAnsi="宋体" w:cs="宋体"/>
                <w:color w:val="auto"/>
                <w:kern w:val="0"/>
                <w:szCs w:val="22"/>
              </w:rPr>
              <w:t>竞选函签名盖章</w:t>
            </w:r>
          </w:p>
        </w:tc>
        <w:tc>
          <w:tcPr>
            <w:tcW w:w="5936" w:type="dxa"/>
            <w:gridSpan w:val="2"/>
            <w:vAlign w:val="center"/>
          </w:tcPr>
          <w:p w14:paraId="2ABA555B">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竞选函格式规定签名、盖章的位置有法定代表人或其委托代理人签名（或盖章）、加盖单位</w:t>
            </w:r>
            <w:r>
              <w:rPr>
                <w:rFonts w:hint="eastAsia" w:ascii="宋体" w:hAnsi="宋体" w:cs="宋体"/>
                <w:color w:val="auto"/>
                <w:kern w:val="0"/>
                <w:szCs w:val="22"/>
                <w:lang w:val="en-US" w:eastAsia="zh-CN"/>
              </w:rPr>
              <w:t>公</w:t>
            </w:r>
            <w:r>
              <w:rPr>
                <w:rFonts w:hint="eastAsia" w:ascii="宋体" w:hAnsi="宋体" w:cs="宋体"/>
                <w:color w:val="auto"/>
                <w:kern w:val="0"/>
                <w:szCs w:val="22"/>
              </w:rPr>
              <w:t>章。</w:t>
            </w:r>
          </w:p>
        </w:tc>
      </w:tr>
      <w:tr w14:paraId="46F22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3B4EE89D">
            <w:pPr>
              <w:spacing w:line="400" w:lineRule="exact"/>
              <w:rPr>
                <w:rFonts w:ascii="宋体" w:hAnsi="宋体" w:cs="宋体"/>
                <w:color w:val="auto"/>
                <w:szCs w:val="22"/>
              </w:rPr>
            </w:pPr>
          </w:p>
        </w:tc>
        <w:tc>
          <w:tcPr>
            <w:tcW w:w="643" w:type="dxa"/>
            <w:vMerge w:val="continue"/>
          </w:tcPr>
          <w:p w14:paraId="037A75D9">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1586BD5F">
            <w:pPr>
              <w:spacing w:line="400" w:lineRule="exact"/>
              <w:jc w:val="left"/>
              <w:rPr>
                <w:rFonts w:ascii="宋体" w:hAnsi="宋体" w:cs="宋体"/>
                <w:color w:val="auto"/>
                <w:kern w:val="0"/>
                <w:szCs w:val="22"/>
              </w:rPr>
            </w:pPr>
            <w:r>
              <w:rPr>
                <w:rFonts w:hint="eastAsia" w:ascii="宋体" w:hAnsi="宋体" w:cs="宋体"/>
                <w:color w:val="auto"/>
                <w:kern w:val="0"/>
                <w:szCs w:val="22"/>
              </w:rPr>
              <w:t>竞选文件格式</w:t>
            </w:r>
          </w:p>
        </w:tc>
        <w:tc>
          <w:tcPr>
            <w:tcW w:w="5936" w:type="dxa"/>
            <w:gridSpan w:val="2"/>
            <w:vAlign w:val="center"/>
          </w:tcPr>
          <w:p w14:paraId="2A61381D">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符合第二章“竞选人须知”第3.7款的要求。</w:t>
            </w:r>
          </w:p>
        </w:tc>
      </w:tr>
      <w:tr w14:paraId="02CE3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6B3F1331">
            <w:pPr>
              <w:spacing w:line="400" w:lineRule="exact"/>
              <w:rPr>
                <w:rFonts w:ascii="宋体" w:hAnsi="宋体" w:cs="宋体"/>
                <w:color w:val="auto"/>
                <w:szCs w:val="22"/>
              </w:rPr>
            </w:pPr>
          </w:p>
        </w:tc>
        <w:tc>
          <w:tcPr>
            <w:tcW w:w="643" w:type="dxa"/>
            <w:vMerge w:val="continue"/>
          </w:tcPr>
          <w:p w14:paraId="0EDF8040">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5A0ED99D">
            <w:pPr>
              <w:spacing w:line="400" w:lineRule="exact"/>
              <w:jc w:val="left"/>
              <w:rPr>
                <w:rFonts w:ascii="宋体" w:hAnsi="宋体" w:cs="宋体"/>
                <w:color w:val="auto"/>
                <w:kern w:val="0"/>
                <w:szCs w:val="22"/>
              </w:rPr>
            </w:pPr>
            <w:r>
              <w:rPr>
                <w:rFonts w:hint="eastAsia" w:ascii="宋体" w:hAnsi="宋体" w:cs="宋体"/>
                <w:color w:val="auto"/>
                <w:kern w:val="0"/>
                <w:szCs w:val="22"/>
              </w:rPr>
              <w:t>竞选文件份数</w:t>
            </w:r>
          </w:p>
        </w:tc>
        <w:tc>
          <w:tcPr>
            <w:tcW w:w="5936" w:type="dxa"/>
            <w:gridSpan w:val="2"/>
            <w:vAlign w:val="center"/>
          </w:tcPr>
          <w:p w14:paraId="6E2DD956">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符合第二章“竞选人须知”第3.7.4项规定。</w:t>
            </w:r>
          </w:p>
        </w:tc>
      </w:tr>
      <w:tr w14:paraId="2A9D3C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556B8282">
            <w:pPr>
              <w:spacing w:line="400" w:lineRule="exact"/>
              <w:rPr>
                <w:rFonts w:ascii="宋体" w:hAnsi="宋体" w:cs="宋体"/>
                <w:color w:val="auto"/>
                <w:szCs w:val="22"/>
              </w:rPr>
            </w:pPr>
          </w:p>
        </w:tc>
        <w:tc>
          <w:tcPr>
            <w:tcW w:w="643" w:type="dxa"/>
            <w:vMerge w:val="continue"/>
          </w:tcPr>
          <w:p w14:paraId="0570F649">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71C1D6BD">
            <w:pPr>
              <w:spacing w:line="400" w:lineRule="exact"/>
              <w:jc w:val="left"/>
              <w:rPr>
                <w:rFonts w:ascii="宋体" w:hAnsi="宋体" w:cs="宋体"/>
                <w:color w:val="auto"/>
                <w:kern w:val="0"/>
                <w:szCs w:val="22"/>
              </w:rPr>
            </w:pPr>
            <w:r>
              <w:rPr>
                <w:rFonts w:hint="eastAsia" w:ascii="宋体" w:hAnsi="宋体" w:cs="宋体"/>
                <w:color w:val="auto"/>
                <w:kern w:val="0"/>
                <w:szCs w:val="22"/>
              </w:rPr>
              <w:t>竞选文件的签署</w:t>
            </w:r>
          </w:p>
        </w:tc>
        <w:tc>
          <w:tcPr>
            <w:tcW w:w="5936" w:type="dxa"/>
            <w:gridSpan w:val="2"/>
            <w:vAlign w:val="center"/>
          </w:tcPr>
          <w:p w14:paraId="6B6F9BFB">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第</w:t>
            </w:r>
            <w:r>
              <w:rPr>
                <w:rFonts w:hint="eastAsia" w:ascii="宋体" w:hAnsi="宋体" w:cs="宋体"/>
                <w:color w:val="auto"/>
                <w:kern w:val="0"/>
                <w:szCs w:val="22"/>
                <w:lang w:val="en-US" w:eastAsia="zh-CN"/>
              </w:rPr>
              <w:t>八</w:t>
            </w:r>
            <w:r>
              <w:rPr>
                <w:rFonts w:hint="eastAsia" w:ascii="宋体" w:hAnsi="宋体" w:cs="宋体"/>
                <w:color w:val="auto"/>
                <w:kern w:val="0"/>
                <w:szCs w:val="22"/>
              </w:rPr>
              <w:t>章 竞选文件格式要求法定代表人或其委托代理人签名（或盖章）的须齐全。</w:t>
            </w:r>
          </w:p>
        </w:tc>
      </w:tr>
      <w:tr w14:paraId="03BE10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7" w:hRule="atLeast"/>
          <w:jc w:val="center"/>
        </w:trPr>
        <w:tc>
          <w:tcPr>
            <w:tcW w:w="833" w:type="dxa"/>
            <w:vMerge w:val="continue"/>
          </w:tcPr>
          <w:p w14:paraId="29B8961C">
            <w:pPr>
              <w:spacing w:line="400" w:lineRule="exact"/>
              <w:rPr>
                <w:rFonts w:ascii="宋体" w:hAnsi="宋体" w:cs="宋体"/>
                <w:color w:val="auto"/>
                <w:szCs w:val="22"/>
              </w:rPr>
            </w:pPr>
          </w:p>
        </w:tc>
        <w:tc>
          <w:tcPr>
            <w:tcW w:w="643" w:type="dxa"/>
            <w:vMerge w:val="continue"/>
          </w:tcPr>
          <w:p w14:paraId="33EB75E7">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41FE86A3">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委托代理人</w:t>
            </w:r>
          </w:p>
        </w:tc>
        <w:tc>
          <w:tcPr>
            <w:tcW w:w="5936" w:type="dxa"/>
            <w:gridSpan w:val="2"/>
            <w:tcBorders>
              <w:bottom w:val="single" w:color="auto" w:sz="4" w:space="0"/>
            </w:tcBorders>
            <w:vAlign w:val="center"/>
          </w:tcPr>
          <w:p w14:paraId="045FF027">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竞选人法定代表人的委托代理人有法定代表人签署的授权委托书。</w:t>
            </w:r>
          </w:p>
        </w:tc>
      </w:tr>
      <w:tr w14:paraId="101917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33" w:hRule="atLeast"/>
          <w:jc w:val="center"/>
        </w:trPr>
        <w:tc>
          <w:tcPr>
            <w:tcW w:w="833" w:type="dxa"/>
            <w:vMerge w:val="continue"/>
          </w:tcPr>
          <w:p w14:paraId="650B4534">
            <w:pPr>
              <w:spacing w:line="400" w:lineRule="exact"/>
              <w:rPr>
                <w:rFonts w:ascii="宋体" w:hAnsi="宋体" w:cs="宋体"/>
                <w:color w:val="auto"/>
                <w:szCs w:val="22"/>
              </w:rPr>
            </w:pPr>
          </w:p>
        </w:tc>
        <w:tc>
          <w:tcPr>
            <w:tcW w:w="643" w:type="dxa"/>
            <w:vMerge w:val="continue"/>
          </w:tcPr>
          <w:p w14:paraId="0FE1CA19">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4E2E01A3">
            <w:pPr>
              <w:spacing w:line="400" w:lineRule="exact"/>
              <w:jc w:val="left"/>
              <w:rPr>
                <w:rFonts w:hint="eastAsia" w:ascii="宋体" w:hAnsi="宋体" w:cs="宋体"/>
                <w:color w:val="auto"/>
                <w:kern w:val="0"/>
                <w:szCs w:val="22"/>
              </w:rPr>
            </w:pPr>
            <w:r>
              <w:rPr>
                <w:rFonts w:hint="eastAsia" w:ascii="宋体" w:hAnsi="宋体" w:cs="宋体"/>
                <w:color w:val="auto"/>
                <w:kern w:val="0"/>
                <w:szCs w:val="22"/>
                <w:lang w:val="en-US" w:eastAsia="zh-CN"/>
              </w:rPr>
              <w:t>竞选</w:t>
            </w:r>
            <w:r>
              <w:rPr>
                <w:rFonts w:hint="eastAsia" w:ascii="宋体" w:hAnsi="宋体" w:cs="宋体"/>
                <w:color w:val="auto"/>
                <w:kern w:val="0"/>
                <w:szCs w:val="22"/>
              </w:rPr>
              <w:t>报价</w:t>
            </w:r>
          </w:p>
        </w:tc>
        <w:tc>
          <w:tcPr>
            <w:tcW w:w="5936" w:type="dxa"/>
            <w:gridSpan w:val="2"/>
            <w:tcBorders>
              <w:top w:val="single" w:color="auto" w:sz="4" w:space="0"/>
            </w:tcBorders>
            <w:vAlign w:val="center"/>
          </w:tcPr>
          <w:p w14:paraId="0440D7D5">
            <w:pPr>
              <w:spacing w:line="400" w:lineRule="exact"/>
              <w:jc w:val="left"/>
              <w:rPr>
                <w:rFonts w:hint="eastAsia" w:ascii="宋体" w:hAnsi="宋体" w:cs="宋体"/>
                <w:color w:val="auto"/>
                <w:kern w:val="0"/>
                <w:szCs w:val="22"/>
              </w:rPr>
            </w:pPr>
            <w:r>
              <w:rPr>
                <w:rFonts w:hint="eastAsia" w:ascii="宋体" w:hAnsi="宋体" w:cs="宋体"/>
                <w:color w:val="auto"/>
                <w:kern w:val="0"/>
                <w:lang w:val="en-US" w:eastAsia="zh-CN"/>
              </w:rPr>
              <w:t>竞选</w:t>
            </w:r>
            <w:r>
              <w:rPr>
                <w:rFonts w:hint="eastAsia" w:ascii="宋体" w:hAnsi="宋体" w:cs="宋体"/>
                <w:color w:val="auto"/>
                <w:kern w:val="0"/>
              </w:rPr>
              <w:t>总报价不得高于</w:t>
            </w:r>
            <w:r>
              <w:rPr>
                <w:rFonts w:hint="eastAsia" w:ascii="宋体" w:hAnsi="宋体" w:cs="宋体"/>
                <w:color w:val="auto"/>
                <w:kern w:val="0"/>
                <w:lang w:val="en-US" w:eastAsia="zh-CN"/>
              </w:rPr>
              <w:t>比选</w:t>
            </w:r>
            <w:r>
              <w:rPr>
                <w:rFonts w:hint="eastAsia" w:ascii="宋体" w:hAnsi="宋体" w:cs="宋体"/>
                <w:color w:val="auto"/>
                <w:kern w:val="0"/>
              </w:rPr>
              <w:t>人公布的</w:t>
            </w:r>
            <w:r>
              <w:rPr>
                <w:rFonts w:hint="eastAsia" w:ascii="宋体" w:hAnsi="宋体" w:cs="宋体"/>
                <w:color w:val="auto"/>
                <w:kern w:val="0"/>
                <w:lang w:val="en-US" w:eastAsia="zh-CN"/>
              </w:rPr>
              <w:t>竞选</w:t>
            </w:r>
            <w:r>
              <w:rPr>
                <w:rFonts w:hint="eastAsia" w:ascii="宋体" w:hAnsi="宋体" w:cs="宋体"/>
                <w:color w:val="auto"/>
                <w:kern w:val="0"/>
              </w:rPr>
              <w:t>总报价最高限价。</w:t>
            </w:r>
            <w:r>
              <w:rPr>
                <w:rFonts w:hint="eastAsia" w:ascii="宋体" w:hAnsi="宋体" w:cs="宋体"/>
                <w:color w:val="auto"/>
                <w:kern w:val="0"/>
                <w:lang w:val="en-US" w:eastAsia="zh-CN"/>
              </w:rPr>
              <w:t>竞选</w:t>
            </w:r>
            <w:r>
              <w:rPr>
                <w:rFonts w:hint="eastAsia" w:ascii="宋体" w:hAnsi="宋体" w:cs="宋体"/>
                <w:color w:val="auto"/>
                <w:kern w:val="0"/>
              </w:rPr>
              <w:t>分项报价不得高于</w:t>
            </w:r>
            <w:r>
              <w:rPr>
                <w:rFonts w:hint="eastAsia" w:ascii="宋体" w:hAnsi="宋体" w:cs="宋体"/>
                <w:color w:val="auto"/>
                <w:kern w:val="0"/>
                <w:lang w:val="en-US" w:eastAsia="zh-CN"/>
              </w:rPr>
              <w:t>比选</w:t>
            </w:r>
            <w:r>
              <w:rPr>
                <w:rFonts w:hint="eastAsia" w:ascii="宋体" w:hAnsi="宋体" w:cs="宋体"/>
                <w:color w:val="auto"/>
                <w:kern w:val="0"/>
              </w:rPr>
              <w:t>人公布的</w:t>
            </w:r>
            <w:r>
              <w:rPr>
                <w:rFonts w:hint="eastAsia" w:ascii="宋体" w:hAnsi="宋体" w:cs="宋体"/>
                <w:color w:val="auto"/>
                <w:kern w:val="0"/>
                <w:lang w:val="en-US" w:eastAsia="zh-CN"/>
              </w:rPr>
              <w:t>竞选</w:t>
            </w:r>
            <w:r>
              <w:rPr>
                <w:rFonts w:hint="eastAsia" w:ascii="宋体" w:hAnsi="宋体" w:cs="宋体"/>
                <w:color w:val="auto"/>
                <w:kern w:val="0"/>
              </w:rPr>
              <w:t>分项报价最高限价。</w:t>
            </w:r>
          </w:p>
        </w:tc>
      </w:tr>
      <w:tr w14:paraId="7EA1E9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30999693">
            <w:pPr>
              <w:spacing w:line="400" w:lineRule="exact"/>
              <w:rPr>
                <w:rFonts w:ascii="宋体" w:hAnsi="宋体" w:cs="宋体"/>
                <w:color w:val="auto"/>
                <w:szCs w:val="22"/>
              </w:rPr>
            </w:pPr>
          </w:p>
        </w:tc>
        <w:tc>
          <w:tcPr>
            <w:tcW w:w="643" w:type="dxa"/>
            <w:vMerge w:val="continue"/>
          </w:tcPr>
          <w:p w14:paraId="43E200D6">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1E6A9931">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报价唯一</w:t>
            </w:r>
          </w:p>
        </w:tc>
        <w:tc>
          <w:tcPr>
            <w:tcW w:w="5936" w:type="dxa"/>
            <w:gridSpan w:val="2"/>
            <w:vAlign w:val="center"/>
          </w:tcPr>
          <w:p w14:paraId="5C21CB42">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只能有一个有效报价。</w:t>
            </w:r>
          </w:p>
        </w:tc>
      </w:tr>
      <w:tr w14:paraId="19EB9B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350" w:hRule="atLeast"/>
          <w:jc w:val="center"/>
        </w:trPr>
        <w:tc>
          <w:tcPr>
            <w:tcW w:w="833" w:type="dxa"/>
            <w:vMerge w:val="restart"/>
            <w:vAlign w:val="center"/>
          </w:tcPr>
          <w:p w14:paraId="7920DE40">
            <w:pPr>
              <w:spacing w:line="400" w:lineRule="exact"/>
              <w:jc w:val="center"/>
              <w:rPr>
                <w:rFonts w:ascii="宋体" w:hAnsi="宋体" w:cs="宋体"/>
                <w:color w:val="auto"/>
                <w:szCs w:val="22"/>
              </w:rPr>
            </w:pPr>
            <w:r>
              <w:rPr>
                <w:rFonts w:hint="eastAsia" w:ascii="宋体" w:hAnsi="宋体" w:cs="宋体"/>
                <w:color w:val="auto"/>
                <w:kern w:val="0"/>
                <w:szCs w:val="22"/>
              </w:rPr>
              <w:t>2.1.3</w:t>
            </w:r>
          </w:p>
        </w:tc>
        <w:tc>
          <w:tcPr>
            <w:tcW w:w="643" w:type="dxa"/>
            <w:vMerge w:val="restart"/>
            <w:vAlign w:val="center"/>
          </w:tcPr>
          <w:p w14:paraId="7DE4BEBA">
            <w:pPr>
              <w:spacing w:line="400" w:lineRule="exact"/>
              <w:jc w:val="center"/>
              <w:rPr>
                <w:rFonts w:ascii="宋体" w:hAnsi="宋体" w:cs="宋体"/>
                <w:color w:val="auto"/>
                <w:szCs w:val="22"/>
              </w:rPr>
            </w:pPr>
            <w:r>
              <w:rPr>
                <w:rFonts w:hint="eastAsia" w:ascii="宋体" w:hAnsi="宋体" w:cs="宋体"/>
                <w:color w:val="auto"/>
                <w:kern w:val="0"/>
                <w:szCs w:val="22"/>
              </w:rPr>
              <w:t>响应性评审标准</w:t>
            </w:r>
          </w:p>
        </w:tc>
        <w:tc>
          <w:tcPr>
            <w:tcW w:w="2058" w:type="dxa"/>
            <w:gridSpan w:val="3"/>
            <w:tcBorders>
              <w:bottom w:val="single" w:color="auto" w:sz="4" w:space="0"/>
            </w:tcBorders>
            <w:vAlign w:val="center"/>
          </w:tcPr>
          <w:p w14:paraId="68F7860E">
            <w:pPr>
              <w:spacing w:line="400" w:lineRule="exact"/>
              <w:jc w:val="left"/>
              <w:rPr>
                <w:rFonts w:ascii="宋体" w:hAnsi="宋体" w:eastAsia="宋体" w:cs="宋体"/>
                <w:color w:val="auto"/>
                <w:kern w:val="0"/>
                <w:sz w:val="21"/>
                <w:szCs w:val="22"/>
                <w:lang w:val="en-US" w:eastAsia="zh-CN" w:bidi="ar-SA"/>
              </w:rPr>
            </w:pPr>
            <w:r>
              <w:rPr>
                <w:rFonts w:hint="eastAsia" w:ascii="宋体" w:hAnsi="宋体" w:cs="宋体"/>
                <w:color w:val="auto"/>
                <w:kern w:val="0"/>
                <w:szCs w:val="22"/>
              </w:rPr>
              <w:t>比选范围</w:t>
            </w:r>
          </w:p>
        </w:tc>
        <w:tc>
          <w:tcPr>
            <w:tcW w:w="5936" w:type="dxa"/>
            <w:gridSpan w:val="2"/>
            <w:tcBorders>
              <w:bottom w:val="single" w:color="auto" w:sz="4" w:space="0"/>
            </w:tcBorders>
            <w:vAlign w:val="center"/>
          </w:tcPr>
          <w:p w14:paraId="7B8F4229">
            <w:pPr>
              <w:spacing w:line="400" w:lineRule="exact"/>
              <w:ind w:firstLine="420" w:firstLineChars="200"/>
              <w:jc w:val="left"/>
              <w:rPr>
                <w:rFonts w:ascii="宋体" w:hAnsi="宋体" w:eastAsia="宋体" w:cs="宋体"/>
                <w:color w:val="auto"/>
                <w:kern w:val="0"/>
                <w:sz w:val="21"/>
                <w:szCs w:val="22"/>
                <w:lang w:val="en-US" w:eastAsia="zh-CN" w:bidi="ar-SA"/>
              </w:rPr>
            </w:pPr>
            <w:r>
              <w:rPr>
                <w:rFonts w:hint="eastAsia" w:ascii="宋体" w:hAnsi="宋体" w:cs="宋体"/>
                <w:color w:val="auto"/>
                <w:kern w:val="0"/>
                <w:szCs w:val="21"/>
              </w:rPr>
              <w:t>符合第二章“竞选人须知前附表”第1.3.1项规定</w:t>
            </w:r>
          </w:p>
        </w:tc>
      </w:tr>
      <w:tr w14:paraId="26D50F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 w:hRule="atLeast"/>
          <w:jc w:val="center"/>
        </w:trPr>
        <w:tc>
          <w:tcPr>
            <w:tcW w:w="833" w:type="dxa"/>
            <w:vMerge w:val="continue"/>
            <w:vAlign w:val="center"/>
          </w:tcPr>
          <w:p w14:paraId="640DAF87">
            <w:pPr>
              <w:spacing w:line="400" w:lineRule="exact"/>
              <w:jc w:val="center"/>
              <w:rPr>
                <w:rFonts w:hint="eastAsia" w:ascii="宋体" w:hAnsi="宋体" w:cs="宋体"/>
                <w:color w:val="auto"/>
                <w:kern w:val="0"/>
                <w:szCs w:val="22"/>
              </w:rPr>
            </w:pPr>
          </w:p>
        </w:tc>
        <w:tc>
          <w:tcPr>
            <w:tcW w:w="643" w:type="dxa"/>
            <w:vMerge w:val="continue"/>
            <w:vAlign w:val="center"/>
          </w:tcPr>
          <w:p w14:paraId="6C1D6521">
            <w:pPr>
              <w:spacing w:line="400" w:lineRule="exact"/>
              <w:jc w:val="center"/>
              <w:rPr>
                <w:rFonts w:hint="eastAsia" w:ascii="宋体" w:hAnsi="宋体" w:cs="宋体"/>
                <w:color w:val="auto"/>
                <w:kern w:val="0"/>
                <w:szCs w:val="22"/>
              </w:rPr>
            </w:pPr>
          </w:p>
        </w:tc>
        <w:tc>
          <w:tcPr>
            <w:tcW w:w="2058" w:type="dxa"/>
            <w:gridSpan w:val="3"/>
            <w:tcBorders>
              <w:top w:val="single" w:color="auto" w:sz="4" w:space="0"/>
            </w:tcBorders>
            <w:vAlign w:val="center"/>
          </w:tcPr>
          <w:p w14:paraId="1CA6F629">
            <w:pPr>
              <w:spacing w:line="400" w:lineRule="exact"/>
              <w:jc w:val="left"/>
              <w:rPr>
                <w:rFonts w:hint="eastAsia" w:ascii="宋体" w:hAnsi="宋体" w:cs="宋体"/>
                <w:color w:val="auto"/>
                <w:kern w:val="0"/>
                <w:szCs w:val="22"/>
              </w:rPr>
            </w:pPr>
            <w:r>
              <w:rPr>
                <w:rFonts w:hint="eastAsia" w:ascii="宋体" w:hAnsi="宋体" w:cs="宋体"/>
                <w:color w:val="auto"/>
                <w:kern w:val="0"/>
                <w:szCs w:val="22"/>
                <w:lang w:val="en-US" w:eastAsia="zh-CN"/>
              </w:rPr>
              <w:t>竞选保证金</w:t>
            </w:r>
          </w:p>
        </w:tc>
        <w:tc>
          <w:tcPr>
            <w:tcW w:w="5936" w:type="dxa"/>
            <w:gridSpan w:val="2"/>
            <w:tcBorders>
              <w:top w:val="single" w:color="auto" w:sz="4" w:space="0"/>
            </w:tcBorders>
            <w:vAlign w:val="center"/>
          </w:tcPr>
          <w:p w14:paraId="6B183C7F">
            <w:pPr>
              <w:spacing w:line="4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无。</w:t>
            </w:r>
          </w:p>
        </w:tc>
      </w:tr>
      <w:tr w14:paraId="4EFB45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18390E9F">
            <w:pPr>
              <w:spacing w:line="400" w:lineRule="exact"/>
              <w:jc w:val="center"/>
              <w:rPr>
                <w:rFonts w:ascii="宋体" w:hAnsi="宋体" w:cs="宋体"/>
                <w:color w:val="auto"/>
                <w:szCs w:val="22"/>
              </w:rPr>
            </w:pPr>
          </w:p>
        </w:tc>
        <w:tc>
          <w:tcPr>
            <w:tcW w:w="643" w:type="dxa"/>
            <w:vMerge w:val="continue"/>
          </w:tcPr>
          <w:p w14:paraId="574E38FA">
            <w:pPr>
              <w:spacing w:line="400" w:lineRule="exact"/>
              <w:jc w:val="center"/>
              <w:rPr>
                <w:rFonts w:ascii="宋体" w:hAnsi="宋体" w:cs="宋体"/>
                <w:color w:val="auto"/>
                <w:szCs w:val="22"/>
              </w:rPr>
            </w:pPr>
          </w:p>
        </w:tc>
        <w:tc>
          <w:tcPr>
            <w:tcW w:w="2058" w:type="dxa"/>
            <w:gridSpan w:val="3"/>
            <w:vAlign w:val="center"/>
          </w:tcPr>
          <w:p w14:paraId="3A273F3B">
            <w:pPr>
              <w:spacing w:line="400" w:lineRule="exact"/>
              <w:jc w:val="left"/>
              <w:rPr>
                <w:rFonts w:hint="eastAsia" w:ascii="宋体" w:hAnsi="宋体" w:eastAsia="宋体" w:cs="宋体"/>
                <w:color w:val="auto"/>
                <w:kern w:val="0"/>
                <w:szCs w:val="22"/>
                <w:lang w:eastAsia="zh-CN"/>
              </w:rPr>
            </w:pPr>
            <w:r>
              <w:rPr>
                <w:rFonts w:hint="eastAsia" w:ascii="宋体" w:hAnsi="宋体" w:cs="宋体"/>
                <w:color w:val="auto"/>
                <w:kern w:val="0"/>
                <w:szCs w:val="22"/>
                <w:lang w:val="en-US" w:eastAsia="zh-CN"/>
              </w:rPr>
              <w:t>工期</w:t>
            </w:r>
          </w:p>
        </w:tc>
        <w:tc>
          <w:tcPr>
            <w:tcW w:w="5936" w:type="dxa"/>
            <w:gridSpan w:val="2"/>
            <w:vAlign w:val="center"/>
          </w:tcPr>
          <w:p w14:paraId="07BE94E4">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1"/>
              </w:rPr>
              <w:t>符合第二章“竞选人须知前附表”第1.3.2项规定</w:t>
            </w:r>
          </w:p>
        </w:tc>
      </w:tr>
      <w:tr w14:paraId="288E7E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0111E2A1">
            <w:pPr>
              <w:spacing w:line="400" w:lineRule="exact"/>
              <w:jc w:val="center"/>
              <w:rPr>
                <w:rFonts w:ascii="宋体" w:hAnsi="宋体" w:cs="宋体"/>
                <w:color w:val="auto"/>
                <w:szCs w:val="22"/>
              </w:rPr>
            </w:pPr>
          </w:p>
        </w:tc>
        <w:tc>
          <w:tcPr>
            <w:tcW w:w="643" w:type="dxa"/>
            <w:vMerge w:val="continue"/>
          </w:tcPr>
          <w:p w14:paraId="1428510B">
            <w:pPr>
              <w:spacing w:line="400" w:lineRule="exact"/>
              <w:jc w:val="center"/>
              <w:rPr>
                <w:rFonts w:ascii="宋体" w:hAnsi="宋体" w:cs="宋体"/>
                <w:color w:val="auto"/>
                <w:szCs w:val="22"/>
              </w:rPr>
            </w:pPr>
          </w:p>
        </w:tc>
        <w:tc>
          <w:tcPr>
            <w:tcW w:w="2058" w:type="dxa"/>
            <w:gridSpan w:val="3"/>
            <w:vAlign w:val="center"/>
          </w:tcPr>
          <w:p w14:paraId="7FEF7874">
            <w:pPr>
              <w:spacing w:line="400" w:lineRule="exact"/>
              <w:jc w:val="left"/>
              <w:rPr>
                <w:rFonts w:ascii="宋体" w:hAnsi="宋体" w:cs="宋体"/>
                <w:color w:val="auto"/>
                <w:kern w:val="0"/>
                <w:szCs w:val="22"/>
              </w:rPr>
            </w:pPr>
            <w:r>
              <w:rPr>
                <w:rFonts w:hint="eastAsia" w:ascii="宋体" w:hAnsi="宋体" w:cs="宋体"/>
                <w:color w:val="auto"/>
                <w:kern w:val="0"/>
                <w:szCs w:val="22"/>
              </w:rPr>
              <w:t>质量要求</w:t>
            </w:r>
          </w:p>
        </w:tc>
        <w:tc>
          <w:tcPr>
            <w:tcW w:w="5936" w:type="dxa"/>
            <w:gridSpan w:val="2"/>
            <w:vAlign w:val="center"/>
          </w:tcPr>
          <w:p w14:paraId="65538467">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”第1.3.3项规定</w:t>
            </w:r>
          </w:p>
        </w:tc>
      </w:tr>
      <w:tr w14:paraId="433F6E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79" w:hRule="atLeast"/>
          <w:jc w:val="center"/>
        </w:trPr>
        <w:tc>
          <w:tcPr>
            <w:tcW w:w="833" w:type="dxa"/>
            <w:vMerge w:val="continue"/>
          </w:tcPr>
          <w:p w14:paraId="050E4CAA">
            <w:pPr>
              <w:spacing w:line="400" w:lineRule="exact"/>
              <w:jc w:val="center"/>
              <w:rPr>
                <w:rFonts w:ascii="宋体" w:hAnsi="宋体" w:cs="宋体"/>
                <w:color w:val="auto"/>
                <w:szCs w:val="22"/>
              </w:rPr>
            </w:pPr>
          </w:p>
        </w:tc>
        <w:tc>
          <w:tcPr>
            <w:tcW w:w="643" w:type="dxa"/>
            <w:vMerge w:val="continue"/>
          </w:tcPr>
          <w:p w14:paraId="3D384E38">
            <w:pPr>
              <w:spacing w:line="400" w:lineRule="exact"/>
              <w:jc w:val="center"/>
              <w:rPr>
                <w:rFonts w:ascii="宋体" w:hAnsi="宋体" w:cs="宋体"/>
                <w:color w:val="auto"/>
                <w:szCs w:val="22"/>
              </w:rPr>
            </w:pPr>
          </w:p>
        </w:tc>
        <w:tc>
          <w:tcPr>
            <w:tcW w:w="2058" w:type="dxa"/>
            <w:gridSpan w:val="3"/>
            <w:tcBorders>
              <w:bottom w:val="single" w:color="auto" w:sz="4" w:space="0"/>
            </w:tcBorders>
            <w:vAlign w:val="center"/>
          </w:tcPr>
          <w:p w14:paraId="7CFD66FE">
            <w:pPr>
              <w:spacing w:line="400" w:lineRule="exact"/>
              <w:jc w:val="left"/>
              <w:rPr>
                <w:rFonts w:ascii="宋体" w:hAnsi="宋体" w:cs="宋体"/>
                <w:color w:val="auto"/>
                <w:kern w:val="0"/>
                <w:szCs w:val="22"/>
              </w:rPr>
            </w:pPr>
            <w:r>
              <w:rPr>
                <w:rFonts w:hint="eastAsia" w:ascii="宋体" w:hAnsi="宋体" w:cs="宋体"/>
                <w:color w:val="auto"/>
                <w:kern w:val="0"/>
                <w:szCs w:val="22"/>
              </w:rPr>
              <w:t>竞选有效期</w:t>
            </w:r>
          </w:p>
        </w:tc>
        <w:tc>
          <w:tcPr>
            <w:tcW w:w="5936" w:type="dxa"/>
            <w:gridSpan w:val="2"/>
            <w:tcBorders>
              <w:bottom w:val="single" w:color="auto" w:sz="4" w:space="0"/>
            </w:tcBorders>
            <w:vAlign w:val="center"/>
          </w:tcPr>
          <w:p w14:paraId="7B1941D2">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”第3.3.1项规定</w:t>
            </w:r>
          </w:p>
        </w:tc>
      </w:tr>
      <w:tr w14:paraId="444FFB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31" w:hRule="atLeast"/>
          <w:jc w:val="center"/>
        </w:trPr>
        <w:tc>
          <w:tcPr>
            <w:tcW w:w="833" w:type="dxa"/>
            <w:vMerge w:val="continue"/>
          </w:tcPr>
          <w:p w14:paraId="6A9A448A">
            <w:pPr>
              <w:spacing w:line="400" w:lineRule="exact"/>
              <w:jc w:val="center"/>
              <w:rPr>
                <w:rFonts w:ascii="宋体" w:hAnsi="宋体" w:cs="宋体"/>
                <w:color w:val="auto"/>
                <w:szCs w:val="22"/>
              </w:rPr>
            </w:pPr>
          </w:p>
        </w:tc>
        <w:tc>
          <w:tcPr>
            <w:tcW w:w="643" w:type="dxa"/>
            <w:vMerge w:val="continue"/>
          </w:tcPr>
          <w:p w14:paraId="37AB3583">
            <w:pPr>
              <w:spacing w:line="400" w:lineRule="exact"/>
              <w:jc w:val="center"/>
              <w:rPr>
                <w:rFonts w:ascii="宋体" w:hAnsi="宋体" w:cs="宋体"/>
                <w:color w:val="auto"/>
                <w:szCs w:val="22"/>
              </w:rPr>
            </w:pPr>
          </w:p>
        </w:tc>
        <w:tc>
          <w:tcPr>
            <w:tcW w:w="2058" w:type="dxa"/>
            <w:gridSpan w:val="3"/>
            <w:tcBorders>
              <w:top w:val="single" w:color="auto" w:sz="4" w:space="0"/>
            </w:tcBorders>
            <w:vAlign w:val="center"/>
          </w:tcPr>
          <w:p w14:paraId="498B6955">
            <w:pPr>
              <w:snapToGrid w:val="0"/>
              <w:spacing w:line="400" w:lineRule="exact"/>
              <w:jc w:val="left"/>
              <w:rPr>
                <w:rFonts w:hint="eastAsia" w:ascii="宋体" w:hAnsi="宋体" w:cs="宋体"/>
                <w:color w:val="auto"/>
                <w:kern w:val="0"/>
                <w:szCs w:val="22"/>
              </w:rPr>
            </w:pPr>
            <w:r>
              <w:rPr>
                <w:rFonts w:hint="eastAsia" w:ascii="宋体" w:hAnsi="宋体" w:cs="宋体"/>
                <w:color w:val="auto"/>
                <w:kern w:val="0"/>
              </w:rPr>
              <w:t>已标价工程量清单</w:t>
            </w:r>
          </w:p>
        </w:tc>
        <w:tc>
          <w:tcPr>
            <w:tcW w:w="5936" w:type="dxa"/>
            <w:gridSpan w:val="2"/>
            <w:tcBorders>
              <w:top w:val="single" w:color="auto" w:sz="4" w:space="0"/>
            </w:tcBorders>
            <w:vAlign w:val="center"/>
          </w:tcPr>
          <w:p w14:paraId="234A5A4C">
            <w:pPr>
              <w:spacing w:after="62" w:afterLines="2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竞选人</w:t>
            </w:r>
            <w:r>
              <w:rPr>
                <w:rFonts w:hint="eastAsia" w:ascii="宋体" w:hAnsi="宋体"/>
                <w:color w:val="auto"/>
                <w:szCs w:val="21"/>
                <w:lang w:val="en-US" w:eastAsia="zh-CN"/>
              </w:rPr>
              <w:t>应当</w:t>
            </w:r>
            <w:r>
              <w:rPr>
                <w:rFonts w:hint="eastAsia" w:ascii="宋体" w:hAnsi="宋体"/>
                <w:color w:val="auto"/>
                <w:szCs w:val="21"/>
              </w:rPr>
              <w:t>按工程量清单填报价格。项目名称、计量单位、工程量</w:t>
            </w:r>
            <w:r>
              <w:rPr>
                <w:rFonts w:hint="eastAsia" w:ascii="宋体" w:hAnsi="宋体"/>
                <w:color w:val="auto"/>
                <w:szCs w:val="21"/>
                <w:lang w:val="en-US" w:eastAsia="zh-CN"/>
              </w:rPr>
              <w:t>应当</w:t>
            </w:r>
            <w:r>
              <w:rPr>
                <w:rFonts w:hint="eastAsia" w:ascii="宋体" w:hAnsi="宋体"/>
                <w:color w:val="auto"/>
                <w:szCs w:val="21"/>
              </w:rPr>
              <w:t>与招标工程量清单一致</w:t>
            </w:r>
            <w:r>
              <w:rPr>
                <w:rFonts w:hint="eastAsia" w:ascii="宋体" w:hAnsi="宋体" w:cs="宋体"/>
                <w:color w:val="auto"/>
                <w:kern w:val="0"/>
              </w:rPr>
              <w:t>。</w:t>
            </w:r>
          </w:p>
          <w:p w14:paraId="49CEE97D">
            <w:pPr>
              <w:snapToGrid w:val="0"/>
              <w:spacing w:after="31" w:afterLines="10" w:line="400" w:lineRule="exact"/>
              <w:ind w:firstLine="420" w:firstLineChars="200"/>
              <w:rPr>
                <w:rFonts w:hint="eastAsia" w:ascii="宋体" w:hAnsi="宋体" w:cs="宋体"/>
                <w:color w:val="auto"/>
                <w:kern w:val="0"/>
                <w:szCs w:val="22"/>
              </w:rPr>
            </w:pPr>
            <w:r>
              <w:rPr>
                <w:rFonts w:hint="eastAsia" w:ascii="宋体" w:hAnsi="宋体" w:cs="宋体"/>
                <w:color w:val="auto"/>
                <w:kern w:val="0"/>
              </w:rPr>
              <w:t>2.每项清单综合单价报价不得高于每项清单综合单价最高限价。</w:t>
            </w:r>
          </w:p>
        </w:tc>
      </w:tr>
      <w:tr w14:paraId="5E16E4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833" w:type="dxa"/>
            <w:vMerge w:val="continue"/>
          </w:tcPr>
          <w:p w14:paraId="3F9FBE4B">
            <w:pPr>
              <w:spacing w:line="400" w:lineRule="exact"/>
              <w:jc w:val="center"/>
              <w:rPr>
                <w:rFonts w:ascii="宋体" w:hAnsi="宋体" w:cs="宋体"/>
                <w:color w:val="auto"/>
                <w:szCs w:val="22"/>
              </w:rPr>
            </w:pPr>
          </w:p>
        </w:tc>
        <w:tc>
          <w:tcPr>
            <w:tcW w:w="643" w:type="dxa"/>
            <w:vMerge w:val="continue"/>
          </w:tcPr>
          <w:p w14:paraId="13281B98">
            <w:pPr>
              <w:spacing w:line="400" w:lineRule="exact"/>
              <w:jc w:val="center"/>
              <w:rPr>
                <w:rFonts w:ascii="宋体" w:hAnsi="宋体" w:cs="宋体"/>
                <w:color w:val="auto"/>
                <w:szCs w:val="22"/>
              </w:rPr>
            </w:pPr>
          </w:p>
        </w:tc>
        <w:tc>
          <w:tcPr>
            <w:tcW w:w="2058" w:type="dxa"/>
            <w:gridSpan w:val="3"/>
            <w:tcBorders>
              <w:bottom w:val="single" w:color="auto" w:sz="4" w:space="0"/>
            </w:tcBorders>
            <w:vAlign w:val="center"/>
          </w:tcPr>
          <w:p w14:paraId="6D002FA0">
            <w:pPr>
              <w:spacing w:line="400" w:lineRule="exact"/>
              <w:jc w:val="left"/>
              <w:rPr>
                <w:rFonts w:ascii="宋体" w:hAnsi="宋体" w:cs="宋体"/>
                <w:color w:val="auto"/>
                <w:kern w:val="0"/>
                <w:szCs w:val="22"/>
              </w:rPr>
            </w:pPr>
            <w:r>
              <w:rPr>
                <w:rFonts w:hint="eastAsia" w:ascii="宋体" w:hAnsi="宋体" w:cs="宋体"/>
                <w:color w:val="auto"/>
                <w:kern w:val="0"/>
                <w:szCs w:val="22"/>
              </w:rPr>
              <w:t>权利义务</w:t>
            </w:r>
          </w:p>
        </w:tc>
        <w:tc>
          <w:tcPr>
            <w:tcW w:w="5936" w:type="dxa"/>
            <w:gridSpan w:val="2"/>
            <w:tcBorders>
              <w:bottom w:val="single" w:color="auto" w:sz="4" w:space="0"/>
            </w:tcBorders>
            <w:vAlign w:val="center"/>
          </w:tcPr>
          <w:p w14:paraId="41AAF11F">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符合第四章“合同条款及格式”规定，竞选文件不应附有比选人不能接受的条件。（由竞选人承诺，承诺书格式详见第</w:t>
            </w:r>
            <w:r>
              <w:rPr>
                <w:rFonts w:hint="eastAsia" w:ascii="宋体" w:hAnsi="宋体" w:cs="宋体"/>
                <w:color w:val="auto"/>
                <w:kern w:val="0"/>
                <w:szCs w:val="22"/>
                <w:lang w:val="en-US" w:eastAsia="zh-CN"/>
              </w:rPr>
              <w:t>八</w:t>
            </w:r>
            <w:r>
              <w:rPr>
                <w:rFonts w:hint="eastAsia" w:ascii="宋体" w:hAnsi="宋体" w:cs="宋体"/>
                <w:color w:val="auto"/>
                <w:kern w:val="0"/>
                <w:szCs w:val="22"/>
              </w:rPr>
              <w:t>章竞选文件格式。）</w:t>
            </w:r>
          </w:p>
        </w:tc>
      </w:tr>
      <w:tr w14:paraId="08C138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 w:hRule="atLeast"/>
          <w:jc w:val="center"/>
        </w:trPr>
        <w:tc>
          <w:tcPr>
            <w:tcW w:w="833" w:type="dxa"/>
            <w:vMerge w:val="continue"/>
          </w:tcPr>
          <w:p w14:paraId="74769B51">
            <w:pPr>
              <w:spacing w:line="400" w:lineRule="exact"/>
              <w:jc w:val="center"/>
              <w:rPr>
                <w:rFonts w:ascii="宋体" w:hAnsi="宋体" w:cs="宋体"/>
                <w:color w:val="auto"/>
                <w:szCs w:val="22"/>
              </w:rPr>
            </w:pPr>
          </w:p>
        </w:tc>
        <w:tc>
          <w:tcPr>
            <w:tcW w:w="643" w:type="dxa"/>
            <w:vMerge w:val="continue"/>
          </w:tcPr>
          <w:p w14:paraId="46C3CB34">
            <w:pPr>
              <w:spacing w:line="400" w:lineRule="exact"/>
              <w:jc w:val="center"/>
              <w:rPr>
                <w:rFonts w:ascii="宋体" w:hAnsi="宋体" w:cs="宋体"/>
                <w:color w:val="auto"/>
                <w:szCs w:val="22"/>
              </w:rPr>
            </w:pPr>
          </w:p>
        </w:tc>
        <w:tc>
          <w:tcPr>
            <w:tcW w:w="2058" w:type="dxa"/>
            <w:gridSpan w:val="3"/>
            <w:tcBorders>
              <w:top w:val="single" w:color="auto" w:sz="4" w:space="0"/>
            </w:tcBorders>
            <w:vAlign w:val="center"/>
          </w:tcPr>
          <w:p w14:paraId="2C45B974">
            <w:pPr>
              <w:snapToGrid w:val="0"/>
              <w:spacing w:line="400" w:lineRule="exact"/>
              <w:jc w:val="left"/>
              <w:rPr>
                <w:rFonts w:hint="eastAsia" w:ascii="宋体" w:hAnsi="宋体" w:cs="宋体"/>
                <w:color w:val="auto"/>
                <w:kern w:val="0"/>
                <w:szCs w:val="22"/>
              </w:rPr>
            </w:pPr>
            <w:r>
              <w:rPr>
                <w:rFonts w:hint="eastAsia" w:ascii="宋体" w:hAnsi="宋体" w:cs="宋体"/>
                <w:color w:val="auto"/>
                <w:kern w:val="0"/>
              </w:rPr>
              <w:t>技术标准和要求</w:t>
            </w:r>
          </w:p>
        </w:tc>
        <w:tc>
          <w:tcPr>
            <w:tcW w:w="5936" w:type="dxa"/>
            <w:gridSpan w:val="2"/>
            <w:tcBorders>
              <w:top w:val="single" w:color="auto" w:sz="4" w:space="0"/>
            </w:tcBorders>
            <w:vAlign w:val="center"/>
          </w:tcPr>
          <w:p w14:paraId="09048851">
            <w:pPr>
              <w:snapToGrid w:val="0"/>
              <w:spacing w:after="31" w:afterLines="10" w:line="400" w:lineRule="exact"/>
              <w:ind w:firstLine="420" w:firstLineChars="200"/>
              <w:rPr>
                <w:rFonts w:hint="eastAsia" w:ascii="宋体" w:hAnsi="宋体" w:cs="宋体"/>
                <w:color w:val="auto"/>
                <w:kern w:val="0"/>
                <w:szCs w:val="22"/>
              </w:rPr>
            </w:pPr>
            <w:r>
              <w:rPr>
                <w:rFonts w:hint="eastAsia" w:ascii="宋体" w:hAnsi="宋体" w:cs="宋体"/>
                <w:color w:val="auto"/>
                <w:kern w:val="0"/>
              </w:rPr>
              <w:t>符合第七章“技术标准和要求”规定。（由</w:t>
            </w:r>
            <w:r>
              <w:rPr>
                <w:rFonts w:hint="eastAsia" w:ascii="宋体" w:hAnsi="宋体" w:cs="宋体"/>
                <w:color w:val="auto"/>
                <w:kern w:val="0"/>
                <w:lang w:val="en-US" w:eastAsia="zh-CN"/>
              </w:rPr>
              <w:t>竞选人</w:t>
            </w:r>
            <w:r>
              <w:rPr>
                <w:rFonts w:hint="eastAsia" w:ascii="宋体" w:hAnsi="宋体" w:cs="宋体"/>
                <w:color w:val="auto"/>
                <w:kern w:val="0"/>
              </w:rPr>
              <w:t>承诺，承诺书格式详见第八章</w:t>
            </w:r>
            <w:r>
              <w:rPr>
                <w:rFonts w:hint="eastAsia" w:ascii="宋体" w:hAnsi="宋体" w:cs="宋体"/>
                <w:color w:val="auto"/>
                <w:kern w:val="0"/>
                <w:lang w:eastAsia="zh-CN"/>
              </w:rPr>
              <w:t>竞选文件</w:t>
            </w:r>
            <w:r>
              <w:rPr>
                <w:rFonts w:hint="eastAsia" w:ascii="宋体" w:hAnsi="宋体" w:cs="宋体"/>
                <w:color w:val="auto"/>
                <w:kern w:val="0"/>
              </w:rPr>
              <w:t>格式。）</w:t>
            </w:r>
          </w:p>
        </w:tc>
      </w:tr>
      <w:tr w14:paraId="5A9E9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133E17F3">
            <w:pPr>
              <w:spacing w:line="400" w:lineRule="exact"/>
              <w:rPr>
                <w:rFonts w:ascii="宋体" w:hAnsi="宋体" w:cs="宋体"/>
                <w:color w:val="auto"/>
                <w:szCs w:val="22"/>
              </w:rPr>
            </w:pPr>
          </w:p>
        </w:tc>
        <w:tc>
          <w:tcPr>
            <w:tcW w:w="643" w:type="dxa"/>
            <w:vMerge w:val="continue"/>
          </w:tcPr>
          <w:p w14:paraId="1EE5A3AC">
            <w:pPr>
              <w:spacing w:line="400" w:lineRule="exact"/>
              <w:rPr>
                <w:rFonts w:ascii="宋体" w:hAnsi="宋体" w:cs="宋体"/>
                <w:color w:val="auto"/>
                <w:szCs w:val="22"/>
              </w:rPr>
            </w:pPr>
          </w:p>
        </w:tc>
        <w:tc>
          <w:tcPr>
            <w:tcW w:w="2058" w:type="dxa"/>
            <w:gridSpan w:val="3"/>
            <w:vAlign w:val="center"/>
          </w:tcPr>
          <w:p w14:paraId="23AC66E6">
            <w:pPr>
              <w:spacing w:line="400" w:lineRule="exact"/>
              <w:jc w:val="left"/>
              <w:rPr>
                <w:rFonts w:ascii="宋体" w:hAnsi="宋体" w:cs="宋体"/>
                <w:color w:val="auto"/>
                <w:kern w:val="0"/>
                <w:szCs w:val="22"/>
              </w:rPr>
            </w:pPr>
            <w:r>
              <w:rPr>
                <w:rFonts w:hint="eastAsia" w:ascii="宋体" w:hAnsi="宋体" w:cs="宋体"/>
                <w:color w:val="auto"/>
                <w:kern w:val="0"/>
                <w:szCs w:val="22"/>
              </w:rPr>
              <w:t>实质性要求</w:t>
            </w:r>
          </w:p>
        </w:tc>
        <w:tc>
          <w:tcPr>
            <w:tcW w:w="5936" w:type="dxa"/>
            <w:gridSpan w:val="2"/>
            <w:vAlign w:val="center"/>
          </w:tcPr>
          <w:p w14:paraId="4EBB08B9">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符合第二章“竞选人须知”第1.4.3项规定。</w:t>
            </w:r>
          </w:p>
          <w:p w14:paraId="1B8DD1C1">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本次竞选不得有串通投标、弄虚作假等其他违反招投标相关法律、法规行为。</w:t>
            </w:r>
          </w:p>
          <w:p w14:paraId="49A96671">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按评审小组要求澄清、说明或补正。</w:t>
            </w:r>
          </w:p>
        </w:tc>
      </w:tr>
      <w:tr w14:paraId="6A6A9C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76" w:type="dxa"/>
            <w:gridSpan w:val="2"/>
            <w:vAlign w:val="center"/>
          </w:tcPr>
          <w:p w14:paraId="566E4E18">
            <w:pPr>
              <w:spacing w:line="400" w:lineRule="exact"/>
              <w:ind w:firstLine="210" w:firstLineChars="100"/>
              <w:jc w:val="center"/>
              <w:rPr>
                <w:rFonts w:ascii="宋体" w:hAnsi="宋体" w:cs="宋体"/>
                <w:color w:val="auto"/>
                <w:kern w:val="0"/>
                <w:szCs w:val="22"/>
              </w:rPr>
            </w:pPr>
            <w:r>
              <w:rPr>
                <w:rFonts w:hint="eastAsia" w:ascii="宋体" w:hAnsi="宋体" w:cs="宋体"/>
                <w:color w:val="auto"/>
                <w:kern w:val="0"/>
                <w:szCs w:val="22"/>
              </w:rPr>
              <w:t>2.2.1</w:t>
            </w:r>
          </w:p>
        </w:tc>
        <w:tc>
          <w:tcPr>
            <w:tcW w:w="2058" w:type="dxa"/>
            <w:gridSpan w:val="3"/>
            <w:vAlign w:val="center"/>
          </w:tcPr>
          <w:p w14:paraId="26DE06F4">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分值构成</w:t>
            </w:r>
          </w:p>
          <w:p w14:paraId="5947A4EB">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（总分100分）</w:t>
            </w:r>
          </w:p>
        </w:tc>
        <w:tc>
          <w:tcPr>
            <w:tcW w:w="5936" w:type="dxa"/>
            <w:gridSpan w:val="2"/>
            <w:vAlign w:val="center"/>
          </w:tcPr>
          <w:p w14:paraId="645F443C">
            <w:pPr>
              <w:snapToGrid w:val="0"/>
              <w:spacing w:line="400" w:lineRule="exact"/>
              <w:ind w:firstLine="420" w:firstLineChars="200"/>
              <w:rPr>
                <w:rFonts w:ascii="宋体" w:hAnsi="宋体" w:cs="宋体"/>
                <w:color w:val="auto"/>
                <w:kern w:val="0"/>
                <w:szCs w:val="22"/>
                <w:highlight w:val="none"/>
              </w:rPr>
            </w:pPr>
            <w:r>
              <w:rPr>
                <w:rFonts w:hint="eastAsia" w:ascii="宋体" w:hAnsi="宋体" w:cs="宋体"/>
                <w:color w:val="auto"/>
                <w:kern w:val="0"/>
                <w:szCs w:val="22"/>
                <w:highlight w:val="none"/>
              </w:rPr>
              <w:t>1.技术部分</w:t>
            </w:r>
            <w:r>
              <w:rPr>
                <w:rFonts w:hint="eastAsia" w:ascii="宋体" w:hAnsi="宋体" w:cs="宋体"/>
                <w:color w:val="auto"/>
                <w:kern w:val="0"/>
                <w:szCs w:val="22"/>
                <w:highlight w:val="none"/>
                <w:lang w:val="en-US" w:eastAsia="zh-CN"/>
              </w:rPr>
              <w:t>20</w:t>
            </w:r>
            <w:r>
              <w:rPr>
                <w:rFonts w:hint="eastAsia" w:ascii="宋体" w:hAnsi="宋体" w:cs="宋体"/>
                <w:color w:val="auto"/>
                <w:kern w:val="0"/>
                <w:szCs w:val="22"/>
                <w:highlight w:val="none"/>
              </w:rPr>
              <w:t>分；</w:t>
            </w:r>
          </w:p>
          <w:p w14:paraId="1FFFE0AD">
            <w:pPr>
              <w:snapToGrid w:val="0"/>
              <w:spacing w:line="400" w:lineRule="exact"/>
              <w:ind w:firstLine="420" w:firstLineChars="200"/>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2.商务部分</w:t>
            </w:r>
            <w:r>
              <w:rPr>
                <w:rFonts w:hint="eastAsia" w:ascii="宋体" w:hAnsi="宋体" w:cs="宋体"/>
                <w:color w:val="auto"/>
                <w:kern w:val="0"/>
                <w:szCs w:val="22"/>
                <w:highlight w:val="none"/>
                <w:lang w:val="en-US" w:eastAsia="zh-CN"/>
              </w:rPr>
              <w:t>10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p>
          <w:p w14:paraId="5CBB85A2">
            <w:pPr>
              <w:snapToGrid w:val="0"/>
              <w:spacing w:line="400" w:lineRule="exact"/>
              <w:ind w:firstLine="420" w:firstLineChars="200"/>
              <w:rPr>
                <w:rFonts w:hint="default" w:ascii="宋体" w:hAnsi="宋体" w:eastAsia="宋体" w:cs="宋体"/>
                <w:i/>
                <w:color w:val="auto"/>
                <w:kern w:val="0"/>
                <w:szCs w:val="22"/>
                <w:lang w:val="en-US" w:eastAsia="zh-CN"/>
              </w:rPr>
            </w:pPr>
            <w:r>
              <w:rPr>
                <w:rFonts w:hint="eastAsia" w:ascii="宋体" w:hAnsi="宋体" w:cs="宋体"/>
                <w:color w:val="auto"/>
                <w:kern w:val="0"/>
                <w:szCs w:val="22"/>
                <w:highlight w:val="none"/>
                <w:lang w:val="en-US" w:eastAsia="zh-CN"/>
              </w:rPr>
              <w:t>3.价格部分70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val="en-US" w:eastAsia="zh-CN"/>
              </w:rPr>
              <w:t>。</w:t>
            </w:r>
          </w:p>
        </w:tc>
      </w:tr>
      <w:tr w14:paraId="7F3D22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76" w:type="dxa"/>
            <w:gridSpan w:val="2"/>
            <w:vAlign w:val="center"/>
          </w:tcPr>
          <w:p w14:paraId="1A4043D7">
            <w:pPr>
              <w:spacing w:line="400" w:lineRule="exact"/>
              <w:jc w:val="center"/>
              <w:rPr>
                <w:rFonts w:hint="eastAsia"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2</w:t>
            </w:r>
          </w:p>
        </w:tc>
        <w:tc>
          <w:tcPr>
            <w:tcW w:w="2058" w:type="dxa"/>
            <w:gridSpan w:val="3"/>
            <w:vAlign w:val="center"/>
          </w:tcPr>
          <w:p w14:paraId="59BDDF4C">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评标基准价计算方法</w:t>
            </w:r>
          </w:p>
        </w:tc>
        <w:tc>
          <w:tcPr>
            <w:tcW w:w="5936" w:type="dxa"/>
            <w:gridSpan w:val="2"/>
            <w:tcBorders>
              <w:bottom w:val="single" w:color="auto" w:sz="4" w:space="0"/>
            </w:tcBorders>
            <w:vAlign w:val="center"/>
          </w:tcPr>
          <w:p w14:paraId="24FC1A49">
            <w:pPr>
              <w:tabs>
                <w:tab w:val="left" w:pos="1875"/>
              </w:tabs>
              <w:spacing w:line="400" w:lineRule="exact"/>
              <w:ind w:firstLine="420" w:firstLineChars="200"/>
              <w:rPr>
                <w:rFonts w:hint="eastAsia" w:ascii="宋体" w:hAnsi="宋体" w:cs="宋体"/>
                <w:color w:val="auto"/>
                <w:kern w:val="0"/>
                <w:szCs w:val="22"/>
                <w:highlight w:val="none"/>
              </w:rPr>
            </w:pPr>
            <w:r>
              <w:rPr>
                <w:rFonts w:hint="eastAsia" w:ascii="宋体" w:hAnsi="宋体" w:cs="宋体"/>
                <w:color w:val="auto"/>
                <w:kern w:val="0"/>
                <w:szCs w:val="22"/>
                <w:highlight w:val="none"/>
              </w:rPr>
              <w:t>所有通过初步评审合格的</w:t>
            </w:r>
            <w:r>
              <w:rPr>
                <w:rFonts w:hint="eastAsia" w:ascii="宋体" w:hAnsi="宋体" w:cs="宋体"/>
                <w:color w:val="auto"/>
                <w:kern w:val="0"/>
                <w:szCs w:val="22"/>
                <w:highlight w:val="none"/>
                <w:lang w:eastAsia="zh-CN"/>
              </w:rPr>
              <w:t>竞选人</w:t>
            </w:r>
            <w:r>
              <w:rPr>
                <w:rFonts w:hint="eastAsia" w:ascii="宋体" w:hAnsi="宋体" w:cs="宋体"/>
                <w:color w:val="auto"/>
                <w:kern w:val="0"/>
                <w:szCs w:val="22"/>
                <w:highlight w:val="none"/>
              </w:rPr>
              <w:t>的投标报价（或暂定投标报价）中去掉六分之一（不能整除的按小数点前整数取整，不足六家报价则不去掉）的最低价和相同家数的最高价后计算出的算术平均值，即为本项目投标报价的评标基准价。</w:t>
            </w:r>
          </w:p>
          <w:p w14:paraId="50C90568">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highlight w:val="none"/>
              </w:rPr>
              <w:t>评标基准价计算的最终结果保留两位小数，小数点后第三位四舍五入。在评标基准价计算完成后（除计算错误外），在后续的评审中不得再对其做出调整。</w:t>
            </w:r>
          </w:p>
        </w:tc>
      </w:tr>
      <w:tr w14:paraId="5D483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33" w:type="dxa"/>
            <w:vMerge w:val="restart"/>
            <w:tcBorders>
              <w:right w:val="single" w:color="auto" w:sz="4" w:space="0"/>
            </w:tcBorders>
            <w:vAlign w:val="center"/>
          </w:tcPr>
          <w:p w14:paraId="0DC151FA">
            <w:pPr>
              <w:spacing w:line="400" w:lineRule="exact"/>
              <w:jc w:val="center"/>
              <w:rPr>
                <w:rFonts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3</w:t>
            </w:r>
            <w:r>
              <w:rPr>
                <w:rFonts w:hint="eastAsia" w:ascii="宋体" w:hAnsi="宋体" w:cs="宋体"/>
                <w:color w:val="auto"/>
                <w:kern w:val="0"/>
                <w:szCs w:val="22"/>
              </w:rPr>
              <w:t>（1）</w:t>
            </w:r>
          </w:p>
        </w:tc>
        <w:tc>
          <w:tcPr>
            <w:tcW w:w="643" w:type="dxa"/>
            <w:vMerge w:val="restart"/>
            <w:tcBorders>
              <w:left w:val="single" w:color="auto" w:sz="4" w:space="0"/>
            </w:tcBorders>
            <w:vAlign w:val="center"/>
          </w:tcPr>
          <w:p w14:paraId="3A5AD7BE">
            <w:pPr>
              <w:spacing w:line="400" w:lineRule="exact"/>
              <w:jc w:val="center"/>
              <w:rPr>
                <w:rFonts w:ascii="宋体" w:hAnsi="宋体" w:cs="宋体"/>
                <w:color w:val="auto"/>
                <w:kern w:val="0"/>
                <w:szCs w:val="22"/>
              </w:rPr>
            </w:pPr>
            <w:r>
              <w:rPr>
                <w:rFonts w:hint="eastAsia" w:ascii="宋体" w:hAnsi="宋体" w:cs="宋体"/>
                <w:color w:val="auto"/>
                <w:kern w:val="0"/>
                <w:szCs w:val="22"/>
              </w:rPr>
              <w:t>技术部分评分标准（</w:t>
            </w:r>
            <w:r>
              <w:rPr>
                <w:rFonts w:hint="eastAsia" w:ascii="宋体" w:hAnsi="宋体" w:cs="宋体"/>
                <w:color w:val="auto"/>
                <w:kern w:val="0"/>
                <w:szCs w:val="22"/>
                <w:highlight w:val="none"/>
                <w:lang w:val="en-US" w:eastAsia="zh-CN"/>
              </w:rPr>
              <w:t>20</w:t>
            </w:r>
            <w:r>
              <w:rPr>
                <w:rFonts w:hint="eastAsia" w:ascii="宋体" w:hAnsi="宋体" w:cs="宋体"/>
                <w:color w:val="auto"/>
                <w:kern w:val="0"/>
                <w:szCs w:val="22"/>
                <w:highlight w:val="none"/>
              </w:rPr>
              <w:t>分）</w:t>
            </w:r>
          </w:p>
        </w:tc>
        <w:tc>
          <w:tcPr>
            <w:tcW w:w="510" w:type="dxa"/>
            <w:vMerge w:val="restart"/>
            <w:tcBorders>
              <w:right w:val="single" w:color="auto" w:sz="4" w:space="0"/>
            </w:tcBorders>
            <w:vAlign w:val="center"/>
          </w:tcPr>
          <w:p w14:paraId="4F8DBABB">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技术评</w:t>
            </w:r>
          </w:p>
          <w:p w14:paraId="177471BC">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审</w:t>
            </w:r>
          </w:p>
        </w:tc>
        <w:tc>
          <w:tcPr>
            <w:tcW w:w="1548" w:type="dxa"/>
            <w:gridSpan w:val="2"/>
            <w:tcBorders>
              <w:left w:val="single" w:color="auto" w:sz="4" w:space="0"/>
              <w:bottom w:val="single" w:color="auto" w:sz="4" w:space="0"/>
            </w:tcBorders>
            <w:vAlign w:val="center"/>
          </w:tcPr>
          <w:p w14:paraId="4DA0EF69">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施工方案与技术措施</w:t>
            </w:r>
          </w:p>
          <w:p w14:paraId="76F3F9E2">
            <w:pPr>
              <w:tabs>
                <w:tab w:val="left" w:pos="1875"/>
              </w:tabs>
              <w:spacing w:line="400" w:lineRule="exact"/>
              <w:jc w:val="center"/>
              <w:rPr>
                <w:rFonts w:hint="default" w:ascii="宋体" w:hAnsi="宋体" w:eastAsia="宋体" w:cs="宋体"/>
                <w:color w:val="auto"/>
                <w:kern w:val="0"/>
                <w:szCs w:val="22"/>
                <w:highlight w:val="yellow"/>
                <w:lang w:val="en-US" w:eastAsia="zh-CN"/>
              </w:rPr>
            </w:pPr>
            <w:r>
              <w:rPr>
                <w:rFonts w:hint="eastAsia" w:ascii="宋体" w:hAnsi="宋体" w:cs="宋体"/>
                <w:color w:val="auto"/>
                <w:kern w:val="0"/>
                <w:szCs w:val="22"/>
              </w:rPr>
              <w:t>（</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p>
        </w:tc>
        <w:tc>
          <w:tcPr>
            <w:tcW w:w="5936" w:type="dxa"/>
            <w:gridSpan w:val="2"/>
            <w:tcBorders>
              <w:bottom w:val="single" w:color="auto" w:sz="4" w:space="0"/>
            </w:tcBorders>
            <w:vAlign w:val="center"/>
          </w:tcPr>
          <w:p w14:paraId="1DBD502F">
            <w:pPr>
              <w:tabs>
                <w:tab w:val="left" w:pos="1875"/>
              </w:tabs>
              <w:spacing w:line="400" w:lineRule="exact"/>
              <w:ind w:firstLine="420" w:firstLineChars="200"/>
              <w:rPr>
                <w:rFonts w:hint="eastAsia" w:ascii="宋体" w:hAnsi="宋体" w:cs="宋体"/>
                <w:color w:val="auto"/>
                <w:kern w:val="0"/>
                <w:szCs w:val="22"/>
                <w:highlight w:val="none"/>
              </w:rPr>
            </w:pPr>
            <w:r>
              <w:rPr>
                <w:rFonts w:hint="eastAsia" w:ascii="宋体" w:hAnsi="宋体" w:cs="宋体"/>
                <w:color w:val="auto"/>
                <w:kern w:val="0"/>
                <w:szCs w:val="22"/>
              </w:rPr>
              <w:t>竞选人根据本项目的实际情况，提供施工方案与技术措施，包含不限于施工方法、施工顺序、施工技术、</w:t>
            </w:r>
            <w:r>
              <w:rPr>
                <w:rFonts w:hint="eastAsia" w:ascii="宋体" w:hAnsi="宋体" w:cs="宋体"/>
                <w:color w:val="auto"/>
                <w:kern w:val="0"/>
                <w:szCs w:val="22"/>
                <w:highlight w:val="none"/>
              </w:rPr>
              <w:t>对施工现场周围环境污染的保护措施等内容</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根据</w:t>
            </w:r>
            <w:r>
              <w:rPr>
                <w:rFonts w:hint="eastAsia" w:ascii="宋体" w:hAnsi="宋体" w:cs="宋体"/>
                <w:color w:val="auto"/>
                <w:kern w:val="0"/>
                <w:szCs w:val="22"/>
                <w:highlight w:val="none"/>
                <w:lang w:val="en-US" w:eastAsia="zh-CN"/>
              </w:rPr>
              <w:t>方案</w:t>
            </w:r>
            <w:r>
              <w:rPr>
                <w:rFonts w:hint="eastAsia" w:ascii="宋体" w:hAnsi="宋体" w:cs="宋体"/>
                <w:color w:val="auto"/>
                <w:kern w:val="0"/>
                <w:szCs w:val="22"/>
                <w:highlight w:val="none"/>
              </w:rPr>
              <w:t>内容进行评分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方案内容完整、详尽、无缺项、符合项目实际情况得</w:t>
            </w:r>
            <w:r>
              <w:rPr>
                <w:rFonts w:hint="eastAsia" w:ascii="宋体" w:hAnsi="宋体" w:cs="宋体"/>
                <w:color w:val="auto"/>
                <w:kern w:val="0"/>
                <w:szCs w:val="22"/>
                <w:highlight w:val="none"/>
                <w:lang w:val="en-US" w:eastAsia="zh-CN"/>
              </w:rPr>
              <w:t>4</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方案内容较完整、较详尽、无缺项、较符合项目实际情况得</w:t>
            </w:r>
            <w:r>
              <w:rPr>
                <w:rFonts w:hint="eastAsia" w:ascii="宋体" w:hAnsi="宋体" w:cs="宋体"/>
                <w:color w:val="auto"/>
                <w:kern w:val="0"/>
                <w:szCs w:val="22"/>
                <w:highlight w:val="none"/>
                <w:lang w:val="en-US" w:eastAsia="zh-CN"/>
              </w:rPr>
              <w:t>3</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方案内容基本完整、基本符合项目实际情况得</w:t>
            </w:r>
            <w:r>
              <w:rPr>
                <w:rFonts w:hint="eastAsia" w:ascii="宋体" w:hAnsi="宋体" w:cs="宋体"/>
                <w:color w:val="auto"/>
                <w:kern w:val="0"/>
                <w:szCs w:val="22"/>
                <w:highlight w:val="none"/>
                <w:lang w:val="en-US" w:eastAsia="zh-CN"/>
              </w:rPr>
              <w:t>2</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方案内容存在缺项、不太符合项目实际情况得1分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没有提供不得分。</w:t>
            </w:r>
          </w:p>
          <w:p w14:paraId="46AB4BA1">
            <w:pPr>
              <w:tabs>
                <w:tab w:val="left" w:pos="1875"/>
              </w:tabs>
              <w:spacing w:line="400" w:lineRule="exact"/>
              <w:ind w:firstLine="420" w:firstLineChars="200"/>
              <w:rPr>
                <w:rFonts w:ascii="宋体" w:hAnsi="宋体" w:cs="宋体"/>
                <w:color w:val="auto"/>
                <w:kern w:val="0"/>
                <w:szCs w:val="22"/>
                <w:highlight w:val="yellow"/>
              </w:rPr>
            </w:pPr>
            <w:r>
              <w:rPr>
                <w:rFonts w:hint="eastAsia" w:ascii="宋体" w:hAnsi="宋体" w:cs="宋体"/>
                <w:color w:val="auto"/>
                <w:kern w:val="0"/>
                <w:szCs w:val="22"/>
                <w:highlight w:val="none"/>
              </w:rPr>
              <w:t>注：提供施工方案与技术措施方案，格式自拟。</w:t>
            </w:r>
          </w:p>
        </w:tc>
      </w:tr>
      <w:tr w14:paraId="644C02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14:paraId="32F59182">
            <w:pPr>
              <w:spacing w:line="400" w:lineRule="exact"/>
              <w:jc w:val="center"/>
              <w:rPr>
                <w:rFonts w:ascii="宋体" w:hAnsi="宋体" w:cs="宋体"/>
                <w:color w:val="auto"/>
                <w:kern w:val="0"/>
                <w:szCs w:val="22"/>
              </w:rPr>
            </w:pPr>
          </w:p>
        </w:tc>
        <w:tc>
          <w:tcPr>
            <w:tcW w:w="643" w:type="dxa"/>
            <w:vMerge w:val="continue"/>
            <w:tcBorders>
              <w:left w:val="single" w:color="auto" w:sz="4" w:space="0"/>
            </w:tcBorders>
            <w:vAlign w:val="center"/>
          </w:tcPr>
          <w:p w14:paraId="069D68AD">
            <w:pPr>
              <w:spacing w:line="400" w:lineRule="exact"/>
              <w:jc w:val="center"/>
              <w:rPr>
                <w:rFonts w:ascii="宋体" w:hAnsi="宋体" w:cs="宋体"/>
                <w:color w:val="auto"/>
                <w:kern w:val="0"/>
                <w:szCs w:val="22"/>
              </w:rPr>
            </w:pPr>
          </w:p>
        </w:tc>
        <w:tc>
          <w:tcPr>
            <w:tcW w:w="510" w:type="dxa"/>
            <w:vMerge w:val="continue"/>
            <w:tcBorders>
              <w:right w:val="single" w:color="auto" w:sz="4" w:space="0"/>
            </w:tcBorders>
            <w:vAlign w:val="center"/>
          </w:tcPr>
          <w:p w14:paraId="1465E14A">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tcBorders>
            <w:vAlign w:val="center"/>
          </w:tcPr>
          <w:p w14:paraId="6B83594E">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资源配备计划和施工设备配置情况</w:t>
            </w:r>
          </w:p>
          <w:p w14:paraId="2E83CB8C">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p>
        </w:tc>
        <w:tc>
          <w:tcPr>
            <w:tcW w:w="5936" w:type="dxa"/>
            <w:gridSpan w:val="2"/>
            <w:tcBorders>
              <w:top w:val="single" w:color="auto" w:sz="4" w:space="0"/>
            </w:tcBorders>
            <w:vAlign w:val="center"/>
          </w:tcPr>
          <w:p w14:paraId="2422BA03">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竞选人根据本项目的实际情况，提供资源配备计划和施工设备配置情况，包含不限于施工组织架构、人员配备、资源配备及设备配置等内容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3</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2</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162C08EC">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注：提供资源配备计划和施工设备配置情况方案，格式自拟。</w:t>
            </w:r>
          </w:p>
        </w:tc>
      </w:tr>
      <w:tr w14:paraId="563B13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833" w:type="dxa"/>
            <w:vMerge w:val="continue"/>
            <w:tcBorders>
              <w:right w:val="single" w:color="auto" w:sz="4" w:space="0"/>
            </w:tcBorders>
            <w:vAlign w:val="center"/>
          </w:tcPr>
          <w:p w14:paraId="18134549">
            <w:pPr>
              <w:spacing w:line="400" w:lineRule="exact"/>
              <w:jc w:val="center"/>
              <w:rPr>
                <w:rFonts w:ascii="宋体" w:hAnsi="宋体" w:cs="宋体"/>
                <w:color w:val="auto"/>
                <w:kern w:val="0"/>
                <w:szCs w:val="22"/>
              </w:rPr>
            </w:pPr>
          </w:p>
        </w:tc>
        <w:tc>
          <w:tcPr>
            <w:tcW w:w="643" w:type="dxa"/>
            <w:vMerge w:val="continue"/>
            <w:tcBorders>
              <w:left w:val="single" w:color="auto" w:sz="4" w:space="0"/>
            </w:tcBorders>
            <w:vAlign w:val="center"/>
          </w:tcPr>
          <w:p w14:paraId="088FE58F">
            <w:pPr>
              <w:spacing w:line="400" w:lineRule="exact"/>
              <w:jc w:val="center"/>
              <w:rPr>
                <w:rFonts w:ascii="宋体" w:hAnsi="宋体" w:cs="宋体"/>
                <w:color w:val="auto"/>
                <w:kern w:val="0"/>
                <w:szCs w:val="22"/>
              </w:rPr>
            </w:pPr>
          </w:p>
        </w:tc>
        <w:tc>
          <w:tcPr>
            <w:tcW w:w="510" w:type="dxa"/>
            <w:vMerge w:val="continue"/>
            <w:tcBorders>
              <w:right w:val="single" w:color="auto" w:sz="4" w:space="0"/>
            </w:tcBorders>
            <w:vAlign w:val="center"/>
          </w:tcPr>
          <w:p w14:paraId="1028535C">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bottom w:val="single" w:color="auto" w:sz="4" w:space="0"/>
            </w:tcBorders>
            <w:vAlign w:val="center"/>
          </w:tcPr>
          <w:p w14:paraId="44AB7613">
            <w:pPr>
              <w:tabs>
                <w:tab w:val="left" w:pos="1875"/>
              </w:tabs>
              <w:spacing w:line="400" w:lineRule="exact"/>
              <w:jc w:val="center"/>
              <w:rPr>
                <w:rFonts w:hint="eastAsia" w:ascii="宋体" w:hAnsi="宋体" w:eastAsia="宋体" w:cs="宋体"/>
                <w:color w:val="auto"/>
                <w:kern w:val="0"/>
                <w:szCs w:val="22"/>
                <w:lang w:val="en-US" w:eastAsia="zh-CN"/>
              </w:rPr>
            </w:pPr>
            <w:r>
              <w:rPr>
                <w:rFonts w:hint="eastAsia" w:ascii="宋体" w:hAnsi="宋体" w:cs="宋体"/>
                <w:color w:val="auto"/>
                <w:kern w:val="0"/>
                <w:szCs w:val="22"/>
              </w:rPr>
              <w:t>质量管理</w:t>
            </w:r>
            <w:r>
              <w:rPr>
                <w:rFonts w:hint="eastAsia" w:ascii="宋体" w:hAnsi="宋体" w:cs="宋体"/>
                <w:color w:val="auto"/>
                <w:kern w:val="0"/>
                <w:szCs w:val="22"/>
                <w:lang w:val="en-US" w:eastAsia="zh-CN"/>
              </w:rPr>
              <w:t>方案</w:t>
            </w:r>
          </w:p>
          <w:p w14:paraId="4B97D84F">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4分）</w:t>
            </w:r>
          </w:p>
        </w:tc>
        <w:tc>
          <w:tcPr>
            <w:tcW w:w="5936" w:type="dxa"/>
            <w:gridSpan w:val="2"/>
            <w:tcBorders>
              <w:top w:val="single" w:color="auto" w:sz="4" w:space="0"/>
              <w:bottom w:val="single" w:color="auto" w:sz="4" w:space="0"/>
            </w:tcBorders>
            <w:vAlign w:val="center"/>
          </w:tcPr>
          <w:p w14:paraId="359D488C">
            <w:pPr>
              <w:tabs>
                <w:tab w:val="left" w:pos="1875"/>
              </w:tabs>
              <w:spacing w:line="400" w:lineRule="exact"/>
              <w:ind w:firstLine="420" w:firstLineChars="200"/>
              <w:rPr>
                <w:rFonts w:hint="eastAsia" w:ascii="宋体" w:hAnsi="宋体" w:cs="宋体"/>
                <w:color w:val="auto"/>
              </w:rPr>
            </w:pPr>
            <w:r>
              <w:rPr>
                <w:rFonts w:hint="eastAsia" w:ascii="宋体" w:hAnsi="宋体" w:cs="宋体"/>
                <w:color w:val="auto"/>
              </w:rPr>
              <w:t>竞选人根据本项目的实际情况，提供质量管理</w:t>
            </w:r>
            <w:r>
              <w:rPr>
                <w:rFonts w:hint="eastAsia" w:ascii="宋体" w:hAnsi="宋体" w:cs="宋体"/>
                <w:color w:val="auto"/>
                <w:lang w:val="en-US" w:eastAsia="zh-CN"/>
              </w:rPr>
              <w:t>方案</w:t>
            </w:r>
            <w:r>
              <w:rPr>
                <w:rFonts w:hint="eastAsia" w:ascii="宋体" w:hAnsi="宋体" w:cs="宋体"/>
                <w:color w:val="auto"/>
              </w:rPr>
              <w:t>，包含不限于硬性措施、限期工程的赶工措施、保证措施、材料的质量保证措施等内容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3</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2</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49787AFD">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rPr>
              <w:t>注：提供质量管理方案，格式自拟。</w:t>
            </w:r>
          </w:p>
        </w:tc>
      </w:tr>
      <w:tr w14:paraId="4C181E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4" w:hRule="atLeast"/>
          <w:jc w:val="center"/>
        </w:trPr>
        <w:tc>
          <w:tcPr>
            <w:tcW w:w="833" w:type="dxa"/>
            <w:vMerge w:val="continue"/>
            <w:tcBorders>
              <w:right w:val="single" w:color="auto" w:sz="4" w:space="0"/>
            </w:tcBorders>
            <w:vAlign w:val="center"/>
          </w:tcPr>
          <w:p w14:paraId="4A323B8E">
            <w:pPr>
              <w:spacing w:line="400" w:lineRule="exact"/>
              <w:jc w:val="center"/>
              <w:rPr>
                <w:rFonts w:ascii="宋体" w:hAnsi="宋体" w:cs="宋体"/>
                <w:color w:val="auto"/>
                <w:kern w:val="0"/>
                <w:szCs w:val="22"/>
              </w:rPr>
            </w:pPr>
          </w:p>
        </w:tc>
        <w:tc>
          <w:tcPr>
            <w:tcW w:w="643" w:type="dxa"/>
            <w:vMerge w:val="continue"/>
            <w:tcBorders>
              <w:left w:val="single" w:color="auto" w:sz="4" w:space="0"/>
            </w:tcBorders>
            <w:vAlign w:val="center"/>
          </w:tcPr>
          <w:p w14:paraId="67ED71D3">
            <w:pPr>
              <w:spacing w:line="400" w:lineRule="exact"/>
              <w:jc w:val="center"/>
              <w:rPr>
                <w:rFonts w:ascii="宋体" w:hAnsi="宋体" w:cs="宋体"/>
                <w:color w:val="auto"/>
                <w:kern w:val="0"/>
                <w:szCs w:val="22"/>
              </w:rPr>
            </w:pPr>
          </w:p>
        </w:tc>
        <w:tc>
          <w:tcPr>
            <w:tcW w:w="510" w:type="dxa"/>
            <w:vMerge w:val="continue"/>
            <w:tcBorders>
              <w:right w:val="single" w:color="auto" w:sz="4" w:space="0"/>
            </w:tcBorders>
            <w:vAlign w:val="center"/>
          </w:tcPr>
          <w:p w14:paraId="241600F0">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bottom w:val="single" w:color="auto" w:sz="4" w:space="0"/>
            </w:tcBorders>
            <w:vAlign w:val="center"/>
          </w:tcPr>
          <w:p w14:paraId="17576371">
            <w:pPr>
              <w:pStyle w:val="6"/>
              <w:spacing w:line="360" w:lineRule="auto"/>
              <w:jc w:val="center"/>
              <w:rPr>
                <w:rFonts w:hint="eastAsia" w:ascii="宋体" w:hAnsi="宋体" w:cs="宋体"/>
                <w:color w:val="auto"/>
                <w:kern w:val="0"/>
                <w:szCs w:val="22"/>
                <w:lang w:eastAsia="zh-CN"/>
              </w:rPr>
            </w:pPr>
            <w:r>
              <w:rPr>
                <w:rFonts w:hint="eastAsia" w:ascii="宋体" w:hAnsi="宋体" w:cs="宋体"/>
                <w:color w:val="auto"/>
                <w:kern w:val="0"/>
                <w:sz w:val="21"/>
                <w:szCs w:val="22"/>
              </w:rPr>
              <w:t>安全管理方案</w:t>
            </w:r>
            <w:r>
              <w:rPr>
                <w:rFonts w:hint="eastAsia" w:ascii="宋体" w:hAnsi="宋体" w:cs="宋体"/>
                <w:color w:val="auto"/>
                <w:kern w:val="0"/>
                <w:sz w:val="21"/>
                <w:szCs w:val="22"/>
                <w:lang w:eastAsia="zh-CN"/>
              </w:rPr>
              <w:t>（</w:t>
            </w:r>
            <w:r>
              <w:rPr>
                <w:rFonts w:hint="eastAsia" w:ascii="宋体" w:hAnsi="宋体" w:cs="宋体"/>
                <w:color w:val="auto"/>
                <w:kern w:val="0"/>
                <w:sz w:val="21"/>
                <w:szCs w:val="22"/>
                <w:lang w:val="en-US" w:eastAsia="zh-CN"/>
              </w:rPr>
              <w:t>4分）</w:t>
            </w:r>
          </w:p>
        </w:tc>
        <w:tc>
          <w:tcPr>
            <w:tcW w:w="5936" w:type="dxa"/>
            <w:gridSpan w:val="2"/>
            <w:tcBorders>
              <w:top w:val="single" w:color="auto" w:sz="4" w:space="0"/>
              <w:bottom w:val="single" w:color="auto" w:sz="4" w:space="0"/>
            </w:tcBorders>
            <w:vAlign w:val="center"/>
          </w:tcPr>
          <w:p w14:paraId="58EA41BF">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竞选人根据本项目的实际情况，提供安全管理</w:t>
            </w:r>
            <w:r>
              <w:rPr>
                <w:rFonts w:hint="eastAsia" w:ascii="宋体" w:hAnsi="宋体" w:cs="宋体"/>
                <w:color w:val="auto"/>
                <w:kern w:val="0"/>
                <w:szCs w:val="22"/>
                <w:lang w:val="en-US" w:eastAsia="zh-CN"/>
              </w:rPr>
              <w:t>方案</w:t>
            </w:r>
            <w:r>
              <w:rPr>
                <w:rFonts w:hint="eastAsia" w:ascii="宋体" w:hAnsi="宋体" w:cs="宋体"/>
                <w:color w:val="auto"/>
                <w:kern w:val="0"/>
                <w:szCs w:val="22"/>
              </w:rPr>
              <w:t>，包含不限于施工安全专项方案、安全管理保证措施、文明施工和防止扰民措施等内容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3</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2</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18EE04EF">
            <w:pPr>
              <w:adjustRightInd w:val="0"/>
              <w:snapToGrid w:val="0"/>
              <w:spacing w:line="400" w:lineRule="exact"/>
              <w:ind w:firstLine="420" w:firstLineChars="200"/>
              <w:jc w:val="left"/>
              <w:rPr>
                <w:rFonts w:hint="eastAsia" w:ascii="宋体" w:hAnsi="宋体" w:cs="宋体"/>
                <w:color w:val="auto"/>
              </w:rPr>
            </w:pPr>
            <w:r>
              <w:rPr>
                <w:rFonts w:hint="eastAsia" w:ascii="宋体" w:hAnsi="宋体" w:cs="宋体"/>
                <w:color w:val="auto"/>
                <w:kern w:val="0"/>
                <w:szCs w:val="22"/>
              </w:rPr>
              <w:t>注：提供安全管理方案，格式自拟。</w:t>
            </w:r>
          </w:p>
        </w:tc>
      </w:tr>
      <w:tr w14:paraId="6E60B4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833" w:type="dxa"/>
            <w:vMerge w:val="continue"/>
            <w:tcBorders>
              <w:right w:val="single" w:color="auto" w:sz="4" w:space="0"/>
            </w:tcBorders>
            <w:vAlign w:val="center"/>
          </w:tcPr>
          <w:p w14:paraId="7B67A0CB">
            <w:pPr>
              <w:spacing w:line="400" w:lineRule="exact"/>
              <w:jc w:val="center"/>
              <w:rPr>
                <w:rFonts w:ascii="宋体" w:hAnsi="宋体" w:cs="宋体"/>
                <w:color w:val="auto"/>
                <w:kern w:val="0"/>
                <w:szCs w:val="22"/>
              </w:rPr>
            </w:pPr>
          </w:p>
        </w:tc>
        <w:tc>
          <w:tcPr>
            <w:tcW w:w="643" w:type="dxa"/>
            <w:vMerge w:val="continue"/>
            <w:tcBorders>
              <w:left w:val="single" w:color="auto" w:sz="4" w:space="0"/>
            </w:tcBorders>
            <w:vAlign w:val="center"/>
          </w:tcPr>
          <w:p w14:paraId="17FAB216">
            <w:pPr>
              <w:spacing w:line="400" w:lineRule="exact"/>
              <w:jc w:val="center"/>
              <w:rPr>
                <w:rFonts w:ascii="宋体" w:hAnsi="宋体" w:cs="宋体"/>
                <w:color w:val="auto"/>
                <w:kern w:val="0"/>
                <w:szCs w:val="22"/>
              </w:rPr>
            </w:pPr>
          </w:p>
        </w:tc>
        <w:tc>
          <w:tcPr>
            <w:tcW w:w="510" w:type="dxa"/>
            <w:vMerge w:val="continue"/>
            <w:tcBorders>
              <w:right w:val="single" w:color="auto" w:sz="4" w:space="0"/>
            </w:tcBorders>
            <w:vAlign w:val="center"/>
          </w:tcPr>
          <w:p w14:paraId="67E7A081">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tcBorders>
            <w:vAlign w:val="center"/>
          </w:tcPr>
          <w:p w14:paraId="2A4494A3">
            <w:pPr>
              <w:pStyle w:val="6"/>
              <w:spacing w:line="360" w:lineRule="auto"/>
              <w:jc w:val="center"/>
              <w:rPr>
                <w:rFonts w:hint="default" w:ascii="宋体" w:hAnsi="宋体" w:eastAsia="宋体" w:cs="宋体"/>
                <w:color w:val="auto"/>
                <w:kern w:val="0"/>
                <w:sz w:val="21"/>
                <w:szCs w:val="22"/>
                <w:lang w:val="en-US" w:eastAsia="zh-CN"/>
              </w:rPr>
            </w:pPr>
            <w:r>
              <w:rPr>
                <w:rFonts w:hint="eastAsia" w:ascii="宋体" w:hAnsi="宋体" w:cs="宋体"/>
                <w:color w:val="auto"/>
                <w:kern w:val="0"/>
                <w:sz w:val="21"/>
                <w:szCs w:val="22"/>
                <w:lang w:val="en-US" w:eastAsia="zh-CN"/>
              </w:rPr>
              <w:t>售后服务方案（4分）</w:t>
            </w:r>
          </w:p>
        </w:tc>
        <w:tc>
          <w:tcPr>
            <w:tcW w:w="5936" w:type="dxa"/>
            <w:gridSpan w:val="2"/>
            <w:tcBorders>
              <w:top w:val="single" w:color="auto" w:sz="4" w:space="0"/>
            </w:tcBorders>
            <w:vAlign w:val="center"/>
          </w:tcPr>
          <w:p w14:paraId="0246C6CF">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lang w:val="en-US" w:eastAsia="zh-CN"/>
              </w:rPr>
              <w:t>供应商提供针对本项目的售后服务方案</w:t>
            </w:r>
            <w:r>
              <w:rPr>
                <w:rFonts w:hint="eastAsia" w:ascii="宋体" w:hAnsi="宋体" w:cs="宋体"/>
                <w:color w:val="auto"/>
                <w:kern w:val="0"/>
                <w:szCs w:val="22"/>
                <w:lang w:val="en-GB"/>
              </w:rPr>
              <w:t>，包含不限于</w:t>
            </w:r>
            <w:r>
              <w:rPr>
                <w:rFonts w:hint="eastAsia" w:ascii="宋体" w:hAnsi="宋体" w:cs="宋体"/>
                <w:color w:val="auto"/>
                <w:kern w:val="0"/>
                <w:szCs w:val="22"/>
                <w:lang w:val="en-US" w:eastAsia="zh-CN"/>
              </w:rPr>
              <w:t>售后</w:t>
            </w:r>
            <w:r>
              <w:rPr>
                <w:rFonts w:hint="eastAsia" w:ascii="宋体" w:hAnsi="宋体" w:cs="宋体"/>
                <w:color w:val="auto"/>
                <w:kern w:val="0"/>
                <w:szCs w:val="22"/>
                <w:lang w:val="en-GB"/>
              </w:rPr>
              <w:t>响应时间、</w:t>
            </w:r>
            <w:r>
              <w:rPr>
                <w:rFonts w:hint="eastAsia" w:ascii="宋体" w:hAnsi="宋体" w:cs="宋体"/>
                <w:color w:val="auto"/>
                <w:kern w:val="0"/>
                <w:szCs w:val="22"/>
                <w:lang w:val="en-US" w:eastAsia="zh-CN"/>
              </w:rPr>
              <w:t>售后人员配置、</w:t>
            </w:r>
            <w:r>
              <w:rPr>
                <w:rFonts w:hint="eastAsia" w:ascii="宋体" w:hAnsi="宋体" w:cs="宋体"/>
                <w:color w:val="auto"/>
                <w:kern w:val="0"/>
                <w:szCs w:val="22"/>
                <w:lang w:val="en-GB"/>
              </w:rPr>
              <w:t>应急预案等内容；</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3</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2</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2718D386">
            <w:pPr>
              <w:adjustRightInd w:val="0"/>
              <w:snapToGrid w:val="0"/>
              <w:spacing w:line="400" w:lineRule="exact"/>
              <w:ind w:firstLine="420" w:firstLineChars="200"/>
              <w:jc w:val="left"/>
              <w:rPr>
                <w:rFonts w:hint="eastAsia" w:ascii="宋体" w:hAnsi="宋体" w:cs="宋体"/>
                <w:color w:val="auto"/>
                <w:kern w:val="0"/>
                <w:szCs w:val="22"/>
              </w:rPr>
            </w:pPr>
            <w:r>
              <w:rPr>
                <w:rFonts w:hint="eastAsia" w:ascii="宋体" w:hAnsi="宋体" w:cs="宋体"/>
                <w:color w:val="auto"/>
                <w:kern w:val="0"/>
                <w:szCs w:val="22"/>
              </w:rPr>
              <w:t>注：提供</w:t>
            </w:r>
            <w:r>
              <w:rPr>
                <w:rFonts w:hint="eastAsia" w:ascii="宋体" w:hAnsi="宋体" w:cs="宋体"/>
                <w:color w:val="auto"/>
                <w:kern w:val="0"/>
                <w:szCs w:val="22"/>
                <w:lang w:val="en-US" w:eastAsia="zh-CN"/>
              </w:rPr>
              <w:t>售后服务</w:t>
            </w:r>
            <w:r>
              <w:rPr>
                <w:rFonts w:hint="eastAsia" w:ascii="宋体" w:hAnsi="宋体" w:cs="宋体"/>
                <w:color w:val="auto"/>
                <w:kern w:val="0"/>
                <w:szCs w:val="22"/>
              </w:rPr>
              <w:t>方案，格式自拟。</w:t>
            </w:r>
          </w:p>
        </w:tc>
      </w:tr>
      <w:tr w14:paraId="081BC8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833" w:type="dxa"/>
            <w:vMerge w:val="restart"/>
            <w:tcBorders>
              <w:right w:val="single" w:color="auto" w:sz="4" w:space="0"/>
            </w:tcBorders>
            <w:vAlign w:val="center"/>
          </w:tcPr>
          <w:p w14:paraId="16AFD18E">
            <w:pPr>
              <w:spacing w:line="400" w:lineRule="exact"/>
              <w:jc w:val="center"/>
              <w:rPr>
                <w:rFonts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3</w:t>
            </w:r>
            <w:r>
              <w:rPr>
                <w:rFonts w:hint="eastAsia" w:ascii="宋体" w:hAnsi="宋体" w:cs="宋体"/>
                <w:color w:val="auto"/>
                <w:kern w:val="0"/>
                <w:szCs w:val="22"/>
              </w:rPr>
              <w:t>（2）</w:t>
            </w:r>
          </w:p>
        </w:tc>
        <w:tc>
          <w:tcPr>
            <w:tcW w:w="643" w:type="dxa"/>
            <w:vMerge w:val="restart"/>
            <w:tcBorders>
              <w:left w:val="single" w:color="auto" w:sz="4" w:space="0"/>
            </w:tcBorders>
            <w:vAlign w:val="center"/>
          </w:tcPr>
          <w:p w14:paraId="515D5CC9">
            <w:pPr>
              <w:spacing w:line="400" w:lineRule="exact"/>
              <w:rPr>
                <w:rFonts w:ascii="宋体" w:hAnsi="宋体" w:cs="宋体"/>
                <w:color w:val="auto"/>
                <w:kern w:val="0"/>
                <w:szCs w:val="22"/>
              </w:rPr>
            </w:pPr>
            <w:r>
              <w:rPr>
                <w:rFonts w:hint="eastAsia" w:ascii="宋体" w:hAnsi="宋体" w:cs="宋体"/>
                <w:color w:val="auto"/>
                <w:kern w:val="0"/>
                <w:szCs w:val="22"/>
              </w:rPr>
              <w:t>商务部分评分标准（</w:t>
            </w:r>
            <w:r>
              <w:rPr>
                <w:rFonts w:hint="eastAsia" w:ascii="宋体" w:hAnsi="宋体" w:cs="宋体"/>
                <w:color w:val="auto"/>
                <w:kern w:val="0"/>
                <w:szCs w:val="22"/>
                <w:highlight w:val="none"/>
                <w:lang w:val="en-US" w:eastAsia="zh-CN"/>
              </w:rPr>
              <w:t>10</w:t>
            </w:r>
            <w:r>
              <w:rPr>
                <w:rFonts w:hint="eastAsia" w:ascii="宋体" w:hAnsi="宋体" w:cs="宋体"/>
                <w:color w:val="auto"/>
                <w:kern w:val="0"/>
                <w:szCs w:val="22"/>
                <w:highlight w:val="none"/>
              </w:rPr>
              <w:t>分）</w:t>
            </w:r>
          </w:p>
        </w:tc>
        <w:tc>
          <w:tcPr>
            <w:tcW w:w="510" w:type="dxa"/>
            <w:vMerge w:val="restart"/>
            <w:tcBorders>
              <w:right w:val="single" w:color="auto" w:sz="4" w:space="0"/>
            </w:tcBorders>
            <w:vAlign w:val="center"/>
          </w:tcPr>
          <w:p w14:paraId="3293FC84">
            <w:pPr>
              <w:tabs>
                <w:tab w:val="left" w:pos="1875"/>
              </w:tabs>
              <w:spacing w:line="400" w:lineRule="exact"/>
              <w:rPr>
                <w:rFonts w:ascii="宋体" w:hAnsi="宋体" w:cs="宋体"/>
                <w:color w:val="auto"/>
                <w:kern w:val="0"/>
                <w:szCs w:val="22"/>
              </w:rPr>
            </w:pPr>
            <w:r>
              <w:rPr>
                <w:rFonts w:hint="eastAsia" w:ascii="宋体" w:hAnsi="宋体" w:cs="宋体"/>
                <w:color w:val="auto"/>
                <w:kern w:val="0"/>
                <w:szCs w:val="22"/>
              </w:rPr>
              <w:t>商务评</w:t>
            </w:r>
          </w:p>
          <w:p w14:paraId="4A948033">
            <w:pPr>
              <w:tabs>
                <w:tab w:val="left" w:pos="1875"/>
              </w:tabs>
              <w:spacing w:line="400" w:lineRule="exact"/>
              <w:jc w:val="left"/>
              <w:rPr>
                <w:rFonts w:ascii="宋体" w:hAnsi="宋体" w:cs="宋体"/>
                <w:color w:val="auto"/>
                <w:kern w:val="0"/>
                <w:szCs w:val="22"/>
              </w:rPr>
            </w:pPr>
            <w:r>
              <w:rPr>
                <w:rFonts w:hint="eastAsia" w:ascii="宋体" w:hAnsi="宋体" w:cs="宋体"/>
                <w:color w:val="auto"/>
                <w:kern w:val="0"/>
                <w:szCs w:val="22"/>
              </w:rPr>
              <w:t>审</w:t>
            </w:r>
          </w:p>
        </w:tc>
        <w:tc>
          <w:tcPr>
            <w:tcW w:w="1548" w:type="dxa"/>
            <w:gridSpan w:val="2"/>
            <w:tcBorders>
              <w:left w:val="single" w:color="auto" w:sz="4" w:space="0"/>
              <w:bottom w:val="single" w:color="auto" w:sz="4" w:space="0"/>
            </w:tcBorders>
            <w:vAlign w:val="center"/>
          </w:tcPr>
          <w:p w14:paraId="032B75AA">
            <w:pPr>
              <w:spacing w:after="62" w:afterLines="20" w:line="400" w:lineRule="exact"/>
              <w:jc w:val="center"/>
              <w:rPr>
                <w:rFonts w:hint="eastAsia" w:ascii="宋体" w:hAnsi="宋体" w:cs="宋体"/>
                <w:color w:val="auto"/>
                <w:kern w:val="0"/>
                <w:szCs w:val="22"/>
                <w:highlight w:val="none"/>
                <w:lang w:val="en-US" w:eastAsia="zh-CN"/>
              </w:rPr>
            </w:pPr>
            <w:r>
              <w:rPr>
                <w:rFonts w:hint="eastAsia" w:ascii="宋体" w:hAnsi="宋体" w:cs="宋体"/>
                <w:color w:val="auto"/>
                <w:kern w:val="0"/>
                <w:szCs w:val="22"/>
                <w:highlight w:val="none"/>
                <w:lang w:val="en-US" w:eastAsia="zh-CN"/>
              </w:rPr>
              <w:t>人员配置</w:t>
            </w:r>
          </w:p>
          <w:p w14:paraId="1D82B03D">
            <w:pPr>
              <w:spacing w:after="62" w:afterLines="20" w:line="400" w:lineRule="exact"/>
              <w:jc w:val="center"/>
              <w:rPr>
                <w:rFonts w:ascii="宋体" w:hAnsi="宋体" w:cs="宋体"/>
                <w:color w:val="auto"/>
                <w:kern w:val="0"/>
                <w:szCs w:val="22"/>
              </w:rPr>
            </w:pP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6</w:t>
            </w:r>
            <w:r>
              <w:rPr>
                <w:rFonts w:hint="eastAsia" w:ascii="宋体" w:hAnsi="宋体" w:cs="宋体"/>
                <w:color w:val="auto"/>
                <w:kern w:val="0"/>
                <w:szCs w:val="22"/>
                <w:highlight w:val="none"/>
              </w:rPr>
              <w:t>分）</w:t>
            </w:r>
          </w:p>
        </w:tc>
        <w:tc>
          <w:tcPr>
            <w:tcW w:w="5936" w:type="dxa"/>
            <w:gridSpan w:val="2"/>
            <w:tcBorders>
              <w:bottom w:val="single" w:color="auto" w:sz="4" w:space="0"/>
            </w:tcBorders>
            <w:vAlign w:val="center"/>
          </w:tcPr>
          <w:p w14:paraId="6D1E6C0F">
            <w:pPr>
              <w:numPr>
                <w:ilvl w:val="0"/>
                <w:numId w:val="0"/>
              </w:numPr>
              <w:spacing w:after="62" w:afterLines="20" w:line="400" w:lineRule="exact"/>
              <w:ind w:firstLine="420" w:firstLineChars="200"/>
              <w:rPr>
                <w:rFonts w:hint="eastAsia" w:ascii="宋体" w:hAnsi="宋体" w:cs="宋体"/>
                <w:color w:val="auto"/>
                <w:kern w:val="0"/>
                <w:szCs w:val="22"/>
                <w:highlight w:val="none"/>
              </w:rPr>
            </w:pPr>
            <w:r>
              <w:rPr>
                <w:rFonts w:hint="eastAsia" w:ascii="宋体" w:hAnsi="宋体" w:cs="宋体"/>
                <w:color w:val="auto"/>
                <w:kern w:val="0"/>
                <w:szCs w:val="22"/>
                <w:highlight w:val="none"/>
                <w:lang w:val="en-US" w:eastAsia="zh-CN"/>
              </w:rPr>
              <w:t>1.竞选人</w:t>
            </w:r>
            <w:r>
              <w:rPr>
                <w:rFonts w:hint="eastAsia" w:ascii="宋体" w:hAnsi="宋体" w:cs="宋体"/>
                <w:color w:val="auto"/>
                <w:kern w:val="0"/>
                <w:szCs w:val="22"/>
                <w:highlight w:val="none"/>
              </w:rPr>
              <w:t>拟派的项目经理须在</w:t>
            </w:r>
            <w:r>
              <w:rPr>
                <w:rFonts w:hint="eastAsia" w:ascii="宋体" w:hAnsi="宋体" w:cs="宋体"/>
                <w:color w:val="auto"/>
                <w:kern w:val="0"/>
                <w:szCs w:val="22"/>
                <w:highlight w:val="none"/>
                <w:lang w:val="en-US" w:eastAsia="zh-CN"/>
              </w:rPr>
              <w:t>竞选人</w:t>
            </w:r>
            <w:r>
              <w:rPr>
                <w:rFonts w:hint="eastAsia" w:ascii="宋体" w:hAnsi="宋体" w:cs="宋体"/>
                <w:color w:val="auto"/>
                <w:kern w:val="0"/>
                <w:szCs w:val="22"/>
                <w:highlight w:val="none"/>
              </w:rPr>
              <w:t>单位注册，并应具有建筑工程专业二级及以上注册建造师执业资格</w:t>
            </w:r>
            <w:r>
              <w:rPr>
                <w:rFonts w:hint="eastAsia" w:ascii="宋体" w:hAnsi="宋体" w:cs="宋体"/>
                <w:color w:val="auto"/>
                <w:kern w:val="0"/>
                <w:szCs w:val="22"/>
                <w:highlight w:val="none"/>
                <w:lang w:val="en-US" w:eastAsia="zh-CN"/>
              </w:rPr>
              <w:t>的得3分。</w:t>
            </w:r>
          </w:p>
          <w:p w14:paraId="35A2F2BF">
            <w:pPr>
              <w:numPr>
                <w:ilvl w:val="0"/>
                <w:numId w:val="0"/>
              </w:numPr>
              <w:spacing w:after="62" w:afterLines="20" w:line="400" w:lineRule="exact"/>
              <w:ind w:firstLine="210" w:firstLineChars="100"/>
              <w:rPr>
                <w:rFonts w:ascii="宋体" w:hAnsi="宋体" w:cs="宋体"/>
                <w:color w:val="auto"/>
                <w:kern w:val="0"/>
                <w:szCs w:val="22"/>
                <w:highlight w:val="none"/>
              </w:rPr>
            </w:pPr>
            <w:r>
              <w:rPr>
                <w:rFonts w:hint="eastAsia" w:ascii="宋体" w:hAnsi="宋体" w:cs="宋体"/>
                <w:color w:val="auto"/>
                <w:kern w:val="0"/>
                <w:szCs w:val="22"/>
                <w:highlight w:val="none"/>
                <w:lang w:val="en-US" w:eastAsia="zh-CN"/>
              </w:rPr>
              <w:t>注：</w:t>
            </w:r>
            <w:r>
              <w:rPr>
                <w:rFonts w:hint="eastAsia" w:ascii="宋体" w:hAnsi="宋体" w:cs="宋体"/>
                <w:color w:val="auto"/>
                <w:kern w:val="0"/>
                <w:szCs w:val="22"/>
                <w:highlight w:val="none"/>
              </w:rPr>
              <w:t>提供项目经理身份证复印件</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提供项目经理建造师注册证书复印件</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lang w:val="en-US" w:eastAsia="zh-CN"/>
              </w:rPr>
              <w:t>竞选人</w:t>
            </w:r>
            <w:r>
              <w:rPr>
                <w:rFonts w:hint="eastAsia" w:ascii="宋体" w:hAnsi="宋体" w:cs="宋体"/>
                <w:color w:val="auto"/>
                <w:kern w:val="0"/>
                <w:szCs w:val="22"/>
                <w:highlight w:val="none"/>
              </w:rPr>
              <w:t>自行声明该人员未在其他在建项目任职（格式自拟）</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lang w:val="en-US" w:eastAsia="zh-CN"/>
              </w:rPr>
              <w:t>并</w:t>
            </w:r>
            <w:r>
              <w:rPr>
                <w:rFonts w:hint="eastAsia" w:ascii="宋体" w:hAnsi="宋体" w:cs="宋体"/>
                <w:color w:val="auto"/>
                <w:kern w:val="0"/>
                <w:szCs w:val="22"/>
                <w:highlight w:val="none"/>
              </w:rPr>
              <w:t>提供</w:t>
            </w:r>
            <w:r>
              <w:rPr>
                <w:rFonts w:hint="eastAsia" w:ascii="宋体" w:hAnsi="宋体" w:cs="宋体"/>
                <w:color w:val="auto"/>
                <w:kern w:val="0"/>
                <w:szCs w:val="22"/>
                <w:highlight w:val="none"/>
                <w:lang w:val="en-US" w:eastAsia="zh-CN"/>
              </w:rPr>
              <w:t>竞选人为其缴纳的</w:t>
            </w:r>
            <w:r>
              <w:rPr>
                <w:rFonts w:hint="eastAsia" w:ascii="宋体" w:hAnsi="宋体" w:cs="宋体"/>
                <w:color w:val="auto"/>
                <w:kern w:val="0"/>
                <w:szCs w:val="22"/>
                <w:highlight w:val="none"/>
              </w:rPr>
              <w:t>近一个月的社保证明材料（近一个月指投标当月或投标前一月）。</w:t>
            </w:r>
          </w:p>
          <w:p w14:paraId="1FC64F7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2.</w:t>
            </w:r>
            <w:r>
              <w:rPr>
                <w:rFonts w:hint="eastAsia" w:ascii="宋体" w:hAnsi="宋体" w:cs="宋体"/>
                <w:color w:val="auto"/>
                <w:kern w:val="0"/>
                <w:szCs w:val="22"/>
                <w:highlight w:val="none"/>
                <w:lang w:val="en-US" w:eastAsia="zh-CN"/>
              </w:rPr>
              <w:t>竞选人</w:t>
            </w:r>
            <w:r>
              <w:rPr>
                <w:rFonts w:hint="eastAsia" w:ascii="宋体" w:hAnsi="宋体" w:cs="宋体"/>
                <w:color w:val="auto"/>
                <w:szCs w:val="22"/>
                <w:highlight w:val="none"/>
                <w:lang w:val="en-US" w:eastAsia="zh-CN"/>
              </w:rPr>
              <w:t>拟派的项目技术负责人（项目经理除外）为</w:t>
            </w:r>
            <w:r>
              <w:rPr>
                <w:rFonts w:hint="eastAsia" w:ascii="宋体" w:hAnsi="宋体" w:cs="宋体"/>
                <w:color w:val="auto"/>
                <w:kern w:val="0"/>
                <w:szCs w:val="22"/>
                <w:highlight w:val="none"/>
                <w:lang w:val="en-US" w:eastAsia="zh-CN"/>
              </w:rPr>
              <w:t>竞选人</w:t>
            </w:r>
            <w:r>
              <w:rPr>
                <w:rFonts w:hint="eastAsia" w:ascii="宋体" w:hAnsi="宋体" w:cs="宋体"/>
                <w:color w:val="auto"/>
                <w:szCs w:val="22"/>
                <w:highlight w:val="none"/>
                <w:lang w:val="en-US" w:eastAsia="zh-CN"/>
              </w:rPr>
              <w:t>的员工，并应具有建筑工程专业二级及以上注册建造师执业资格或建筑工程类中级（含中级）及以上技术职称</w:t>
            </w:r>
            <w:r>
              <w:rPr>
                <w:rFonts w:hint="eastAsia" w:ascii="宋体" w:hAnsi="宋体" w:cs="宋体"/>
                <w:color w:val="auto"/>
                <w:kern w:val="0"/>
                <w:szCs w:val="22"/>
                <w:highlight w:val="none"/>
                <w:lang w:val="en-US" w:eastAsia="zh-CN"/>
              </w:rPr>
              <w:t>的得2分</w:t>
            </w:r>
            <w:r>
              <w:rPr>
                <w:rFonts w:hint="eastAsia" w:ascii="宋体" w:hAnsi="宋体" w:cs="宋体"/>
                <w:color w:val="auto"/>
                <w:szCs w:val="22"/>
                <w:highlight w:val="none"/>
                <w:lang w:val="en-US" w:eastAsia="zh-CN"/>
              </w:rPr>
              <w:t>。</w:t>
            </w:r>
          </w:p>
          <w:p w14:paraId="4AD14E4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注：提供技术负责人身份证复印件，提供注册证书或职称证书复印件，</w:t>
            </w:r>
            <w:r>
              <w:rPr>
                <w:rFonts w:hint="eastAsia" w:ascii="宋体" w:hAnsi="宋体" w:cs="宋体"/>
                <w:color w:val="auto"/>
                <w:kern w:val="0"/>
                <w:szCs w:val="22"/>
                <w:highlight w:val="none"/>
                <w:lang w:val="en-US" w:eastAsia="zh-CN"/>
              </w:rPr>
              <w:t>并</w:t>
            </w:r>
            <w:r>
              <w:rPr>
                <w:rFonts w:hint="eastAsia" w:ascii="宋体" w:hAnsi="宋体" w:cs="宋体"/>
                <w:color w:val="auto"/>
                <w:kern w:val="0"/>
                <w:szCs w:val="22"/>
                <w:highlight w:val="none"/>
              </w:rPr>
              <w:t>提供</w:t>
            </w:r>
            <w:r>
              <w:rPr>
                <w:rFonts w:hint="eastAsia" w:ascii="宋体" w:hAnsi="宋体" w:cs="宋体"/>
                <w:color w:val="auto"/>
                <w:kern w:val="0"/>
                <w:szCs w:val="22"/>
                <w:highlight w:val="none"/>
                <w:lang w:val="en-US" w:eastAsia="zh-CN"/>
              </w:rPr>
              <w:t>竞选人为其缴纳的</w:t>
            </w:r>
            <w:r>
              <w:rPr>
                <w:rFonts w:hint="eastAsia" w:ascii="宋体" w:hAnsi="宋体" w:cs="宋体"/>
                <w:color w:val="auto"/>
                <w:kern w:val="0"/>
                <w:szCs w:val="22"/>
                <w:highlight w:val="none"/>
              </w:rPr>
              <w:t>近一个月的社保证明材料（近一个月指投标当月或投标前一月）。</w:t>
            </w:r>
          </w:p>
          <w:p w14:paraId="00839532">
            <w:pPr>
              <w:keepNext w:val="0"/>
              <w:keepLines w:val="0"/>
              <w:pageBreakBefore w:val="0"/>
              <w:numPr>
                <w:ilvl w:val="0"/>
                <w:numId w:val="0"/>
              </w:numPr>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highlight w:val="none"/>
              </w:rPr>
            </w:pPr>
            <w:r>
              <w:rPr>
                <w:rFonts w:hint="eastAsia" w:ascii="宋体" w:hAnsi="宋体" w:cs="宋体"/>
                <w:color w:val="auto"/>
                <w:kern w:val="0"/>
                <w:szCs w:val="22"/>
                <w:highlight w:val="none"/>
                <w:lang w:val="en-US" w:eastAsia="zh-CN"/>
              </w:rPr>
              <w:t>3.竞选人为</w:t>
            </w:r>
            <w:r>
              <w:rPr>
                <w:rFonts w:hint="eastAsia" w:ascii="宋体" w:hAnsi="宋体" w:cs="宋体"/>
                <w:color w:val="auto"/>
                <w:szCs w:val="22"/>
                <w:highlight w:val="none"/>
                <w:lang w:val="en-US" w:eastAsia="zh-CN"/>
              </w:rPr>
              <w:t>本项目</w:t>
            </w:r>
            <w:r>
              <w:rPr>
                <w:rFonts w:hint="eastAsia" w:ascii="宋体" w:hAnsi="宋体" w:cs="宋体"/>
                <w:color w:val="auto"/>
                <w:szCs w:val="22"/>
                <w:highlight w:val="none"/>
              </w:rPr>
              <w:t>拟派的主要管理人员</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项目经理、技术负责人除外）中具有</w:t>
            </w:r>
            <w:r>
              <w:rPr>
                <w:rFonts w:hint="eastAsia" w:ascii="宋体" w:hAnsi="宋体" w:cs="宋体"/>
                <w:color w:val="auto"/>
                <w:szCs w:val="22"/>
                <w:highlight w:val="none"/>
              </w:rPr>
              <w:t>施工员</w:t>
            </w:r>
            <w:r>
              <w:rPr>
                <w:rFonts w:hint="eastAsia" w:ascii="宋体" w:hAnsi="宋体" w:cs="宋体"/>
                <w:color w:val="auto"/>
                <w:szCs w:val="22"/>
                <w:highlight w:val="none"/>
                <w:lang w:val="en-US" w:eastAsia="zh-CN"/>
              </w:rPr>
              <w:t>和</w:t>
            </w:r>
            <w:r>
              <w:rPr>
                <w:rFonts w:hint="eastAsia" w:ascii="宋体" w:hAnsi="宋体" w:cs="宋体"/>
                <w:color w:val="auto"/>
                <w:szCs w:val="22"/>
                <w:highlight w:val="none"/>
              </w:rPr>
              <w:t>安全员</w:t>
            </w:r>
            <w:r>
              <w:rPr>
                <w:rFonts w:hint="eastAsia" w:ascii="宋体" w:hAnsi="宋体" w:cs="宋体"/>
                <w:color w:val="auto"/>
                <w:szCs w:val="22"/>
                <w:highlight w:val="none"/>
                <w:lang w:val="en-US" w:eastAsia="zh-CN"/>
              </w:rPr>
              <w:t>的</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每提供1人得0.5分，最多得1分</w:t>
            </w:r>
            <w:r>
              <w:rPr>
                <w:rFonts w:hint="eastAsia" w:ascii="宋体" w:hAnsi="宋体" w:cs="宋体"/>
                <w:color w:val="auto"/>
                <w:szCs w:val="22"/>
                <w:highlight w:val="none"/>
              </w:rPr>
              <w:t>。</w:t>
            </w:r>
          </w:p>
          <w:p w14:paraId="457EEB2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注：</w:t>
            </w:r>
            <w:r>
              <w:rPr>
                <w:rFonts w:hint="eastAsia" w:ascii="宋体" w:hAnsi="宋体" w:cs="宋体"/>
                <w:color w:val="auto"/>
                <w:szCs w:val="22"/>
                <w:highlight w:val="none"/>
              </w:rPr>
              <w:t xml:space="preserve"> 提供</w:t>
            </w:r>
            <w:r>
              <w:rPr>
                <w:rFonts w:hint="eastAsia" w:ascii="宋体" w:hAnsi="宋体" w:cs="宋体"/>
                <w:color w:val="auto"/>
                <w:szCs w:val="22"/>
                <w:highlight w:val="none"/>
                <w:lang w:val="en-US" w:eastAsia="zh-CN"/>
              </w:rPr>
              <w:t>相关</w:t>
            </w:r>
            <w:r>
              <w:rPr>
                <w:rFonts w:hint="eastAsia" w:ascii="宋体" w:hAnsi="宋体" w:cs="宋体"/>
                <w:color w:val="auto"/>
                <w:szCs w:val="22"/>
                <w:highlight w:val="none"/>
              </w:rPr>
              <w:t>证书复印件</w:t>
            </w:r>
            <w:r>
              <w:rPr>
                <w:rFonts w:hint="eastAsia" w:ascii="宋体" w:hAnsi="宋体" w:cs="宋体"/>
                <w:color w:val="auto"/>
                <w:szCs w:val="22"/>
                <w:highlight w:val="none"/>
                <w:lang w:eastAsia="zh-CN"/>
              </w:rPr>
              <w:t>，</w:t>
            </w:r>
            <w:r>
              <w:rPr>
                <w:rFonts w:hint="eastAsia" w:ascii="宋体" w:hAnsi="宋体" w:cs="宋体"/>
                <w:color w:val="auto"/>
                <w:kern w:val="0"/>
                <w:szCs w:val="22"/>
                <w:highlight w:val="none"/>
                <w:lang w:val="en-US" w:eastAsia="zh-CN"/>
              </w:rPr>
              <w:t>并</w:t>
            </w:r>
            <w:r>
              <w:rPr>
                <w:rFonts w:hint="eastAsia" w:ascii="宋体" w:hAnsi="宋体" w:cs="宋体"/>
                <w:color w:val="auto"/>
                <w:kern w:val="0"/>
                <w:szCs w:val="22"/>
                <w:highlight w:val="none"/>
              </w:rPr>
              <w:t>提供</w:t>
            </w:r>
            <w:r>
              <w:rPr>
                <w:rFonts w:hint="eastAsia" w:ascii="宋体" w:hAnsi="宋体" w:cs="宋体"/>
                <w:color w:val="auto"/>
                <w:kern w:val="0"/>
                <w:szCs w:val="22"/>
                <w:highlight w:val="none"/>
                <w:lang w:val="en-US" w:eastAsia="zh-CN"/>
              </w:rPr>
              <w:t>竞选人为其缴纳的</w:t>
            </w:r>
            <w:r>
              <w:rPr>
                <w:rFonts w:hint="eastAsia" w:ascii="宋体" w:hAnsi="宋体" w:cs="宋体"/>
                <w:color w:val="auto"/>
                <w:kern w:val="0"/>
                <w:szCs w:val="22"/>
                <w:highlight w:val="none"/>
              </w:rPr>
              <w:t>近一个月的社保证明材料（近一个月指投标当月或投标前一月）。</w:t>
            </w:r>
          </w:p>
        </w:tc>
      </w:tr>
      <w:tr w14:paraId="586F97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27" w:hRule="atLeast"/>
          <w:jc w:val="center"/>
        </w:trPr>
        <w:tc>
          <w:tcPr>
            <w:tcW w:w="833" w:type="dxa"/>
            <w:vMerge w:val="continue"/>
            <w:tcBorders>
              <w:right w:val="single" w:color="auto" w:sz="4" w:space="0"/>
            </w:tcBorders>
            <w:vAlign w:val="center"/>
          </w:tcPr>
          <w:p w14:paraId="30B80483">
            <w:pPr>
              <w:spacing w:line="400" w:lineRule="exact"/>
              <w:jc w:val="center"/>
              <w:rPr>
                <w:rFonts w:hint="eastAsia" w:ascii="宋体" w:hAnsi="宋体" w:cs="宋体"/>
                <w:color w:val="auto"/>
                <w:kern w:val="0"/>
                <w:szCs w:val="22"/>
              </w:rPr>
            </w:pPr>
          </w:p>
        </w:tc>
        <w:tc>
          <w:tcPr>
            <w:tcW w:w="643" w:type="dxa"/>
            <w:vMerge w:val="continue"/>
            <w:tcBorders>
              <w:left w:val="single" w:color="auto" w:sz="4" w:space="0"/>
            </w:tcBorders>
            <w:vAlign w:val="center"/>
          </w:tcPr>
          <w:p w14:paraId="1517D802">
            <w:pPr>
              <w:spacing w:line="400" w:lineRule="exact"/>
              <w:rPr>
                <w:rFonts w:hint="eastAsia" w:ascii="宋体" w:hAnsi="宋体" w:cs="宋体"/>
                <w:color w:val="auto"/>
                <w:kern w:val="0"/>
                <w:szCs w:val="22"/>
              </w:rPr>
            </w:pPr>
          </w:p>
        </w:tc>
        <w:tc>
          <w:tcPr>
            <w:tcW w:w="510" w:type="dxa"/>
            <w:vMerge w:val="continue"/>
            <w:tcBorders>
              <w:right w:val="single" w:color="auto" w:sz="4" w:space="0"/>
            </w:tcBorders>
            <w:vAlign w:val="center"/>
          </w:tcPr>
          <w:p w14:paraId="7D032031">
            <w:pPr>
              <w:tabs>
                <w:tab w:val="left" w:pos="1875"/>
              </w:tabs>
              <w:spacing w:line="400" w:lineRule="exact"/>
              <w:jc w:val="left"/>
              <w:rPr>
                <w:rFonts w:hint="eastAsia" w:ascii="宋体" w:hAnsi="宋体" w:cs="宋体"/>
                <w:color w:val="auto"/>
                <w:kern w:val="0"/>
                <w:szCs w:val="22"/>
              </w:rPr>
            </w:pPr>
          </w:p>
        </w:tc>
        <w:tc>
          <w:tcPr>
            <w:tcW w:w="1548" w:type="dxa"/>
            <w:gridSpan w:val="2"/>
            <w:tcBorders>
              <w:top w:val="single" w:color="auto" w:sz="4" w:space="0"/>
              <w:left w:val="single" w:color="auto" w:sz="4" w:space="0"/>
            </w:tcBorders>
            <w:vAlign w:val="center"/>
          </w:tcPr>
          <w:p w14:paraId="66EFC290">
            <w:pPr>
              <w:spacing w:after="62" w:afterLines="20" w:line="400" w:lineRule="exact"/>
              <w:jc w:val="center"/>
              <w:rPr>
                <w:rFonts w:hint="eastAsia" w:ascii="宋体" w:hAnsi="宋体" w:cs="宋体"/>
                <w:color w:val="auto"/>
                <w:kern w:val="0"/>
                <w:szCs w:val="22"/>
                <w:highlight w:val="none"/>
              </w:rPr>
            </w:pPr>
            <w:r>
              <w:rPr>
                <w:rFonts w:hint="eastAsia" w:ascii="宋体" w:hAnsi="宋体" w:cs="宋体"/>
                <w:color w:val="auto"/>
                <w:kern w:val="0"/>
                <w:szCs w:val="22"/>
                <w:highlight w:val="none"/>
              </w:rPr>
              <w:t>项目业绩</w:t>
            </w:r>
          </w:p>
          <w:p w14:paraId="4729D7AF">
            <w:pPr>
              <w:spacing w:after="62" w:afterLines="20" w:line="400" w:lineRule="exact"/>
              <w:jc w:val="center"/>
              <w:rPr>
                <w:rFonts w:hint="eastAsia" w:ascii="宋体" w:hAnsi="宋体" w:cs="宋体"/>
                <w:color w:val="auto"/>
                <w:kern w:val="0"/>
                <w:szCs w:val="22"/>
                <w:highlight w:val="none"/>
              </w:rPr>
            </w:pP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4</w:t>
            </w:r>
            <w:r>
              <w:rPr>
                <w:rFonts w:hint="eastAsia" w:ascii="宋体" w:hAnsi="宋体" w:cs="宋体"/>
                <w:color w:val="auto"/>
                <w:kern w:val="0"/>
                <w:szCs w:val="22"/>
                <w:highlight w:val="none"/>
              </w:rPr>
              <w:t>分）</w:t>
            </w:r>
          </w:p>
        </w:tc>
        <w:tc>
          <w:tcPr>
            <w:tcW w:w="5936" w:type="dxa"/>
            <w:gridSpan w:val="2"/>
            <w:tcBorders>
              <w:top w:val="single" w:color="auto" w:sz="4" w:space="0"/>
            </w:tcBorders>
            <w:vAlign w:val="center"/>
          </w:tcPr>
          <w:p w14:paraId="34904997">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竞选人</w:t>
            </w:r>
            <w:r>
              <w:rPr>
                <w:rFonts w:hint="eastAsia" w:ascii="宋体" w:hAnsi="宋体" w:cs="宋体"/>
                <w:color w:val="auto"/>
                <w:kern w:val="0"/>
                <w:szCs w:val="22"/>
                <w:lang w:val="en-US" w:eastAsia="zh-CN"/>
              </w:rPr>
              <w:t>自</w:t>
            </w:r>
            <w:r>
              <w:rPr>
                <w:rFonts w:hint="eastAsia" w:ascii="宋体" w:hAnsi="宋体" w:cs="宋体"/>
                <w:color w:val="auto"/>
                <w:kern w:val="0"/>
                <w:szCs w:val="22"/>
              </w:rPr>
              <w:t>20</w:t>
            </w:r>
            <w:r>
              <w:rPr>
                <w:rFonts w:hint="eastAsia" w:ascii="宋体" w:hAnsi="宋体" w:cs="宋体"/>
                <w:color w:val="auto"/>
                <w:kern w:val="0"/>
                <w:szCs w:val="22"/>
                <w:lang w:val="en-US" w:eastAsia="zh-CN"/>
              </w:rPr>
              <w:t>21</w:t>
            </w:r>
            <w:r>
              <w:rPr>
                <w:rFonts w:hint="eastAsia" w:ascii="宋体" w:hAnsi="宋体" w:cs="宋体"/>
                <w:color w:val="auto"/>
                <w:kern w:val="0"/>
                <w:szCs w:val="22"/>
              </w:rPr>
              <w:t>年1月1日至比选截止日止（以合同签订时间为准），</w:t>
            </w:r>
            <w:r>
              <w:rPr>
                <w:rFonts w:hint="eastAsia" w:ascii="宋体" w:hAnsi="宋体" w:cs="宋体"/>
                <w:color w:val="auto"/>
                <w:kern w:val="0"/>
                <w:szCs w:val="22"/>
                <w:highlight w:val="none"/>
                <w:lang w:val="en-US" w:eastAsia="zh-CN"/>
              </w:rPr>
              <w:t>提供1个类似业绩的</w:t>
            </w:r>
            <w:r>
              <w:rPr>
                <w:rFonts w:hint="eastAsia" w:ascii="宋体" w:hAnsi="宋体" w:cs="宋体"/>
                <w:color w:val="auto"/>
                <w:kern w:val="0"/>
                <w:szCs w:val="22"/>
                <w:highlight w:val="none"/>
              </w:rPr>
              <w:t>得</w:t>
            </w:r>
            <w:r>
              <w:rPr>
                <w:rFonts w:hint="eastAsia" w:ascii="宋体" w:hAnsi="宋体" w:cs="宋体"/>
                <w:color w:val="auto"/>
                <w:kern w:val="0"/>
                <w:szCs w:val="22"/>
                <w:highlight w:val="none"/>
                <w:lang w:val="en-US" w:eastAsia="zh-CN"/>
              </w:rPr>
              <w:t>1</w:t>
            </w:r>
            <w:r>
              <w:rPr>
                <w:rFonts w:hint="eastAsia" w:ascii="宋体" w:hAnsi="宋体" w:cs="宋体"/>
                <w:color w:val="auto"/>
                <w:kern w:val="0"/>
                <w:szCs w:val="22"/>
                <w:highlight w:val="none"/>
              </w:rPr>
              <w:t>分</w:t>
            </w:r>
            <w:r>
              <w:rPr>
                <w:rFonts w:hint="eastAsia" w:ascii="宋体" w:hAnsi="宋体" w:cs="宋体"/>
                <w:color w:val="auto"/>
                <w:kern w:val="0"/>
                <w:szCs w:val="22"/>
              </w:rPr>
              <w:t>，</w:t>
            </w:r>
            <w:r>
              <w:rPr>
                <w:rFonts w:hint="eastAsia" w:ascii="宋体" w:hAnsi="宋体" w:cs="宋体"/>
                <w:color w:val="auto"/>
                <w:kern w:val="0"/>
                <w:szCs w:val="22"/>
                <w:lang w:val="en-US" w:eastAsia="zh-CN"/>
              </w:rPr>
              <w:t>本项</w:t>
            </w:r>
            <w:r>
              <w:rPr>
                <w:rFonts w:hint="eastAsia" w:ascii="宋体" w:hAnsi="宋体" w:cs="宋体"/>
                <w:color w:val="auto"/>
                <w:kern w:val="0"/>
                <w:szCs w:val="22"/>
              </w:rPr>
              <w:t>最</w:t>
            </w:r>
            <w:r>
              <w:rPr>
                <w:rFonts w:hint="eastAsia" w:ascii="宋体" w:hAnsi="宋体" w:cs="宋体"/>
                <w:color w:val="auto"/>
                <w:kern w:val="0"/>
                <w:szCs w:val="22"/>
                <w:lang w:val="en-US" w:eastAsia="zh-CN"/>
              </w:rPr>
              <w:t>多</w:t>
            </w:r>
            <w:r>
              <w:rPr>
                <w:rFonts w:hint="eastAsia" w:ascii="宋体" w:hAnsi="宋体" w:cs="宋体"/>
                <w:color w:val="auto"/>
                <w:kern w:val="0"/>
                <w:szCs w:val="22"/>
              </w:rPr>
              <w:t>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p>
          <w:p w14:paraId="00E6575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rPr>
            </w:pPr>
            <w:r>
              <w:rPr>
                <w:rFonts w:hint="eastAsia" w:ascii="宋体" w:hAnsi="宋体" w:cs="宋体"/>
                <w:color w:val="auto"/>
                <w:szCs w:val="22"/>
                <w:lang w:val="en-US" w:eastAsia="zh-CN"/>
              </w:rPr>
              <w:t>注：</w:t>
            </w:r>
            <w:r>
              <w:rPr>
                <w:rFonts w:hint="eastAsia" w:ascii="宋体" w:hAnsi="宋体" w:cs="宋体"/>
                <w:color w:val="auto"/>
                <w:szCs w:val="22"/>
              </w:rPr>
              <w:t>竞选人须在竞选文件中提供合同</w:t>
            </w:r>
            <w:r>
              <w:rPr>
                <w:rFonts w:hint="eastAsia" w:ascii="宋体" w:hAnsi="宋体" w:cs="宋体"/>
                <w:color w:val="auto"/>
                <w:szCs w:val="22"/>
                <w:lang w:val="en-US" w:eastAsia="zh-CN"/>
              </w:rPr>
              <w:t>等相关证明材料</w:t>
            </w:r>
            <w:r>
              <w:rPr>
                <w:rFonts w:hint="eastAsia" w:ascii="宋体" w:hAnsi="宋体" w:cs="宋体"/>
                <w:color w:val="auto"/>
                <w:szCs w:val="22"/>
              </w:rPr>
              <w:t>复印件。</w:t>
            </w:r>
          </w:p>
        </w:tc>
      </w:tr>
      <w:tr w14:paraId="1464B5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C58F017">
            <w:pPr>
              <w:spacing w:line="400" w:lineRule="exact"/>
              <w:jc w:val="center"/>
              <w:rPr>
                <w:rFonts w:ascii="宋体" w:hAnsi="宋体" w:cs="宋体"/>
                <w:color w:val="auto"/>
                <w:kern w:val="0"/>
                <w:szCs w:val="22"/>
              </w:rPr>
            </w:pPr>
            <w:r>
              <w:rPr>
                <w:rFonts w:hint="eastAsia" w:ascii="宋体" w:hAnsi="宋体" w:cs="宋体"/>
                <w:color w:val="auto"/>
                <w:szCs w:val="22"/>
              </w:rPr>
              <w:t>3</w:t>
            </w:r>
          </w:p>
        </w:tc>
        <w:tc>
          <w:tcPr>
            <w:tcW w:w="2701" w:type="dxa"/>
            <w:gridSpan w:val="4"/>
            <w:vAlign w:val="center"/>
          </w:tcPr>
          <w:p w14:paraId="16FDAB8D">
            <w:pPr>
              <w:spacing w:line="400" w:lineRule="exact"/>
              <w:jc w:val="center"/>
              <w:rPr>
                <w:rFonts w:ascii="宋体" w:hAnsi="宋体" w:cs="宋体"/>
                <w:color w:val="auto"/>
                <w:kern w:val="0"/>
                <w:szCs w:val="22"/>
              </w:rPr>
            </w:pPr>
            <w:r>
              <w:rPr>
                <w:rFonts w:hint="eastAsia" w:ascii="宋体" w:hAnsi="宋体" w:cs="宋体"/>
                <w:color w:val="auto"/>
                <w:szCs w:val="22"/>
              </w:rPr>
              <w:t>评审程序</w:t>
            </w:r>
          </w:p>
        </w:tc>
        <w:tc>
          <w:tcPr>
            <w:tcW w:w="5936" w:type="dxa"/>
            <w:gridSpan w:val="2"/>
          </w:tcPr>
          <w:p w14:paraId="3CA0B3F0">
            <w:pPr>
              <w:spacing w:line="400" w:lineRule="exact"/>
              <w:ind w:firstLine="420" w:firstLineChars="200"/>
              <w:rPr>
                <w:rFonts w:ascii="宋体" w:hAnsi="宋体" w:cs="宋体"/>
                <w:color w:val="auto"/>
                <w:szCs w:val="21"/>
              </w:rPr>
            </w:pPr>
            <w:r>
              <w:rPr>
                <w:rFonts w:hint="eastAsia" w:ascii="宋体" w:hAnsi="宋体" w:cs="宋体"/>
                <w:color w:val="auto"/>
                <w:szCs w:val="21"/>
              </w:rPr>
              <w:t>1.按本章评审办法第3.1款进行初步评审。未通过初步评审或评审小组认定为无效的竞选文件的不再进行后续评审。</w:t>
            </w:r>
          </w:p>
          <w:p w14:paraId="35730F8B">
            <w:pPr>
              <w:spacing w:line="400" w:lineRule="exact"/>
              <w:ind w:firstLine="420" w:firstLineChars="200"/>
              <w:rPr>
                <w:rFonts w:ascii="宋体" w:hAnsi="宋体" w:cs="宋体"/>
                <w:color w:val="auto"/>
                <w:szCs w:val="21"/>
              </w:rPr>
            </w:pPr>
            <w:r>
              <w:rPr>
                <w:rFonts w:hint="eastAsia" w:ascii="宋体" w:hAnsi="宋体" w:cs="宋体"/>
                <w:color w:val="auto"/>
                <w:szCs w:val="21"/>
              </w:rPr>
              <w:t>2.按本章评</w:t>
            </w:r>
            <w:r>
              <w:rPr>
                <w:rFonts w:hint="eastAsia" w:ascii="宋体" w:hAnsi="宋体" w:cs="宋体"/>
                <w:color w:val="auto"/>
                <w:szCs w:val="21"/>
                <w:highlight w:val="none"/>
              </w:rPr>
              <w:t>审办法前附表第2.2.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项及第3.2.1（1）</w:t>
            </w:r>
            <w:r>
              <w:rPr>
                <w:rFonts w:hint="eastAsia" w:ascii="宋体" w:hAnsi="宋体" w:cs="宋体"/>
                <w:color w:val="auto"/>
                <w:szCs w:val="21"/>
                <w:highlight w:val="none"/>
                <w:lang w:eastAsia="zh-CN"/>
              </w:rPr>
              <w:t>、</w:t>
            </w:r>
            <w:r>
              <w:rPr>
                <w:rFonts w:hint="eastAsia" w:ascii="宋体" w:hAnsi="宋体" w:cs="宋体"/>
                <w:color w:val="auto"/>
                <w:szCs w:val="21"/>
                <w:highlight w:val="none"/>
              </w:rPr>
              <w:t>3.2.1（2）</w:t>
            </w:r>
            <w:r>
              <w:rPr>
                <w:rFonts w:hint="eastAsia" w:ascii="宋体" w:hAnsi="宋体" w:cs="宋体"/>
                <w:color w:val="auto"/>
                <w:szCs w:val="21"/>
                <w:highlight w:val="none"/>
                <w:lang w:val="en-US" w:eastAsia="zh-CN"/>
              </w:rPr>
              <w:t>和3.2.1（3）</w:t>
            </w:r>
            <w:r>
              <w:rPr>
                <w:rFonts w:hint="eastAsia" w:ascii="宋体" w:hAnsi="宋体" w:cs="宋体"/>
                <w:color w:val="auto"/>
                <w:szCs w:val="21"/>
                <w:highlight w:val="none"/>
              </w:rPr>
              <w:t>的规定对</w:t>
            </w:r>
            <w:r>
              <w:rPr>
                <w:rFonts w:hint="eastAsia" w:ascii="宋体" w:hAnsi="宋体" w:cs="宋体"/>
                <w:color w:val="auto"/>
                <w:szCs w:val="21"/>
                <w:highlight w:val="none"/>
                <w:lang w:val="en-US" w:eastAsia="zh-CN"/>
              </w:rPr>
              <w:t>经济部分、</w:t>
            </w:r>
            <w:r>
              <w:rPr>
                <w:rFonts w:hint="eastAsia" w:ascii="宋体" w:hAnsi="宋体" w:cs="宋体"/>
                <w:color w:val="auto"/>
                <w:szCs w:val="21"/>
                <w:highlight w:val="none"/>
              </w:rPr>
              <w:t>技术部分和商务部分进行评审。</w:t>
            </w:r>
          </w:p>
          <w:p w14:paraId="626F601F">
            <w:pPr>
              <w:spacing w:line="400" w:lineRule="exact"/>
              <w:ind w:firstLine="420" w:firstLineChars="200"/>
              <w:rPr>
                <w:rFonts w:ascii="宋体" w:hAnsi="宋体" w:cs="宋体"/>
                <w:color w:val="auto"/>
                <w:szCs w:val="21"/>
              </w:rPr>
            </w:pPr>
            <w:r>
              <w:rPr>
                <w:rFonts w:hint="eastAsia" w:ascii="宋体" w:hAnsi="宋体" w:cs="宋体"/>
                <w:color w:val="auto"/>
                <w:szCs w:val="21"/>
              </w:rPr>
              <w:t>3.因评审小组作否决比选处理导致有效竞选人不足三个的，评审小组应当否决所有竞选。</w:t>
            </w:r>
          </w:p>
          <w:p w14:paraId="53B1724A">
            <w:pPr>
              <w:spacing w:line="400" w:lineRule="exact"/>
              <w:ind w:firstLine="420" w:firstLineChars="200"/>
              <w:rPr>
                <w:rFonts w:ascii="宋体" w:hAnsi="宋体" w:cs="宋体"/>
                <w:color w:val="auto"/>
                <w:szCs w:val="21"/>
              </w:rPr>
            </w:pPr>
            <w:r>
              <w:rPr>
                <w:rFonts w:hint="eastAsia" w:ascii="宋体" w:hAnsi="宋体" w:cs="宋体"/>
                <w:color w:val="auto"/>
                <w:szCs w:val="21"/>
              </w:rPr>
              <w:t>4.对</w:t>
            </w:r>
            <w:r>
              <w:rPr>
                <w:rFonts w:hint="eastAsia" w:ascii="宋体" w:hAnsi="宋体" w:cs="宋体"/>
                <w:color w:val="auto"/>
                <w:szCs w:val="21"/>
                <w:lang w:val="en-US" w:eastAsia="zh-CN"/>
              </w:rPr>
              <w:t>经济部分、</w:t>
            </w:r>
            <w:r>
              <w:rPr>
                <w:rFonts w:hint="eastAsia" w:ascii="宋体" w:hAnsi="宋体" w:cs="宋体"/>
                <w:color w:val="auto"/>
                <w:szCs w:val="21"/>
              </w:rPr>
              <w:t>技术部分、商务部分得分进行汇总，确定得分由高至低前三名竞选人为中</w:t>
            </w:r>
            <w:r>
              <w:rPr>
                <w:rFonts w:hint="eastAsia" w:ascii="宋体" w:hAnsi="宋体" w:cs="宋体"/>
                <w:color w:val="auto"/>
                <w:szCs w:val="21"/>
                <w:lang w:val="en-US" w:eastAsia="zh-CN"/>
              </w:rPr>
              <w:t>选</w:t>
            </w:r>
            <w:r>
              <w:rPr>
                <w:rFonts w:hint="eastAsia" w:ascii="宋体" w:hAnsi="宋体" w:cs="宋体"/>
                <w:color w:val="auto"/>
                <w:szCs w:val="21"/>
              </w:rPr>
              <w:t>候选人。</w:t>
            </w:r>
          </w:p>
        </w:tc>
      </w:tr>
      <w:tr w14:paraId="2BC8B9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524EDA9C">
            <w:pPr>
              <w:spacing w:line="400" w:lineRule="exact"/>
              <w:jc w:val="center"/>
              <w:rPr>
                <w:rFonts w:ascii="宋体" w:hAnsi="宋体" w:cs="宋体"/>
                <w:color w:val="auto"/>
                <w:szCs w:val="22"/>
              </w:rPr>
            </w:pPr>
            <w:r>
              <w:rPr>
                <w:rFonts w:hint="eastAsia" w:ascii="宋体" w:hAnsi="宋体" w:cs="宋体"/>
                <w:color w:val="auto"/>
                <w:szCs w:val="22"/>
              </w:rPr>
              <w:t>3.2.1</w:t>
            </w:r>
          </w:p>
          <w:p w14:paraId="3F7EF43E">
            <w:pPr>
              <w:spacing w:line="400" w:lineRule="exact"/>
              <w:jc w:val="center"/>
              <w:rPr>
                <w:rFonts w:hint="eastAsia" w:ascii="宋体" w:hAnsi="宋体" w:cs="宋体"/>
                <w:color w:val="auto"/>
                <w:szCs w:val="22"/>
              </w:rPr>
            </w:pPr>
            <w:r>
              <w:rPr>
                <w:rFonts w:hint="eastAsia" w:ascii="宋体" w:hAnsi="宋体" w:cs="宋体"/>
                <w:color w:val="auto"/>
                <w:szCs w:val="22"/>
              </w:rPr>
              <w:t>（1）</w:t>
            </w:r>
          </w:p>
        </w:tc>
        <w:tc>
          <w:tcPr>
            <w:tcW w:w="1350" w:type="dxa"/>
            <w:gridSpan w:val="3"/>
            <w:vAlign w:val="center"/>
          </w:tcPr>
          <w:p w14:paraId="1681A879">
            <w:pPr>
              <w:spacing w:line="400" w:lineRule="exact"/>
              <w:jc w:val="center"/>
              <w:rPr>
                <w:rFonts w:hint="default" w:ascii="宋体" w:hAnsi="宋体" w:eastAsia="宋体" w:cs="宋体"/>
                <w:color w:val="auto"/>
                <w:szCs w:val="22"/>
                <w:lang w:val="en-US" w:eastAsia="zh-CN"/>
              </w:rPr>
            </w:pPr>
            <w:r>
              <w:rPr>
                <w:rFonts w:hint="eastAsia" w:ascii="宋体" w:hAnsi="宋体" w:cs="宋体"/>
                <w:color w:val="auto"/>
                <w:szCs w:val="22"/>
              </w:rPr>
              <w:t>比选报价得分</w:t>
            </w:r>
            <w:r>
              <w:rPr>
                <w:rFonts w:hint="eastAsia" w:ascii="宋体" w:hAnsi="宋体" w:cs="宋体"/>
                <w:color w:val="auto"/>
                <w:szCs w:val="22"/>
                <w:lang w:eastAsia="zh-CN"/>
              </w:rPr>
              <w:t>（</w:t>
            </w:r>
            <w:r>
              <w:rPr>
                <w:rFonts w:hint="eastAsia" w:ascii="宋体" w:hAnsi="宋体" w:cs="宋体"/>
                <w:color w:val="auto"/>
                <w:szCs w:val="22"/>
                <w:lang w:val="en-US" w:eastAsia="zh-CN"/>
              </w:rPr>
              <w:t xml:space="preserve">A） </w:t>
            </w:r>
          </w:p>
        </w:tc>
        <w:tc>
          <w:tcPr>
            <w:tcW w:w="1351" w:type="dxa"/>
            <w:vAlign w:val="center"/>
          </w:tcPr>
          <w:p w14:paraId="569F55A1">
            <w:pPr>
              <w:spacing w:line="400" w:lineRule="exac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rPr>
              <w:t>比选总报价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70分）</w:t>
            </w:r>
          </w:p>
        </w:tc>
        <w:tc>
          <w:tcPr>
            <w:tcW w:w="5936" w:type="dxa"/>
            <w:gridSpan w:val="2"/>
          </w:tcPr>
          <w:p w14:paraId="30DE55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所有通过初步评审合格的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，投标报价得本附表第2.2.1项规定分值的满分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分。在此基础上，投标报价与评标基准价相比，每增加1%扣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 分，每减少1%扣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分，扣完为止。</w:t>
            </w:r>
          </w:p>
          <w:p w14:paraId="30B0959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按插入法计算得分。</w:t>
            </w:r>
          </w:p>
          <w:p w14:paraId="7A190B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未参与评标基准价计算的投标报价，仍应参加计算相应分值。</w:t>
            </w:r>
          </w:p>
          <w:p w14:paraId="3474EA3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投标报价得分最终结果保留两位小数，小数点后第三位四舍五入。</w:t>
            </w:r>
          </w:p>
        </w:tc>
      </w:tr>
      <w:tr w14:paraId="5DBA41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restart"/>
            <w:tcBorders>
              <w:bottom w:val="single" w:color="000000" w:sz="4" w:space="0"/>
            </w:tcBorders>
            <w:vAlign w:val="center"/>
          </w:tcPr>
          <w:p w14:paraId="05242124">
            <w:pPr>
              <w:spacing w:line="400" w:lineRule="exact"/>
              <w:jc w:val="center"/>
              <w:rPr>
                <w:rFonts w:ascii="宋体" w:hAnsi="宋体" w:cs="宋体"/>
                <w:color w:val="auto"/>
                <w:szCs w:val="22"/>
              </w:rPr>
            </w:pPr>
            <w:r>
              <w:rPr>
                <w:rFonts w:hint="eastAsia" w:ascii="宋体" w:hAnsi="宋体" w:cs="宋体"/>
                <w:color w:val="auto"/>
                <w:szCs w:val="22"/>
              </w:rPr>
              <w:t>3.2.1</w:t>
            </w:r>
          </w:p>
          <w:p w14:paraId="6998FA68">
            <w:pPr>
              <w:spacing w:line="400" w:lineRule="exact"/>
              <w:jc w:val="center"/>
              <w:rPr>
                <w:rFonts w:ascii="宋体" w:hAnsi="宋体" w:cs="宋体"/>
                <w:color w:val="auto"/>
                <w:szCs w:val="22"/>
              </w:rPr>
            </w:pPr>
            <w:r>
              <w:rPr>
                <w:rFonts w:hint="eastAsia" w:ascii="宋体" w:hAnsi="宋体" w:cs="宋体"/>
                <w:color w:val="auto"/>
                <w:szCs w:val="22"/>
              </w:rPr>
              <w:t>（</w:t>
            </w:r>
            <w:r>
              <w:rPr>
                <w:rFonts w:hint="eastAsia" w:ascii="宋体" w:hAnsi="宋体" w:cs="宋体"/>
                <w:color w:val="auto"/>
                <w:szCs w:val="22"/>
                <w:lang w:val="en-US" w:eastAsia="zh-CN"/>
              </w:rPr>
              <w:t>2</w:t>
            </w:r>
            <w:r>
              <w:rPr>
                <w:rFonts w:hint="eastAsia" w:ascii="宋体" w:hAnsi="宋体" w:cs="宋体"/>
                <w:color w:val="auto"/>
                <w:szCs w:val="22"/>
              </w:rPr>
              <w:t>）</w:t>
            </w:r>
          </w:p>
        </w:tc>
        <w:tc>
          <w:tcPr>
            <w:tcW w:w="2701" w:type="dxa"/>
            <w:gridSpan w:val="4"/>
            <w:vMerge w:val="restart"/>
            <w:vAlign w:val="center"/>
          </w:tcPr>
          <w:p w14:paraId="24D4ABD1">
            <w:pPr>
              <w:spacing w:line="400" w:lineRule="exact"/>
              <w:jc w:val="center"/>
              <w:rPr>
                <w:rFonts w:ascii="宋体" w:hAnsi="宋体" w:cs="宋体"/>
                <w:color w:val="auto"/>
                <w:szCs w:val="22"/>
              </w:rPr>
            </w:pPr>
            <w:r>
              <w:rPr>
                <w:rFonts w:hint="eastAsia" w:ascii="宋体" w:hAnsi="宋体" w:cs="宋体"/>
                <w:color w:val="auto"/>
                <w:szCs w:val="22"/>
              </w:rPr>
              <w:t>技术部分</w:t>
            </w:r>
            <w:r>
              <w:rPr>
                <w:rFonts w:hint="eastAsia" w:ascii="宋体" w:hAnsi="宋体" w:cs="宋体"/>
                <w:color w:val="auto"/>
                <w:kern w:val="0"/>
                <w:szCs w:val="22"/>
              </w:rPr>
              <w:t>得分</w:t>
            </w:r>
            <w:r>
              <w:rPr>
                <w:rFonts w:hint="eastAsia" w:ascii="宋体" w:hAnsi="宋体" w:cs="宋体"/>
                <w:color w:val="auto"/>
                <w:spacing w:val="-4"/>
                <w:szCs w:val="22"/>
              </w:rPr>
              <w:t>（</w:t>
            </w:r>
            <w:r>
              <w:rPr>
                <w:rFonts w:hint="eastAsia" w:ascii="宋体" w:hAnsi="宋体" w:cs="宋体"/>
                <w:color w:val="auto"/>
                <w:spacing w:val="-4"/>
                <w:szCs w:val="22"/>
                <w:lang w:val="en-US" w:eastAsia="zh-CN"/>
              </w:rPr>
              <w:t>B</w:t>
            </w:r>
            <w:r>
              <w:rPr>
                <w:rFonts w:hint="eastAsia" w:ascii="宋体" w:hAnsi="宋体" w:cs="宋体"/>
                <w:color w:val="auto"/>
                <w:spacing w:val="-4"/>
                <w:szCs w:val="22"/>
              </w:rPr>
              <w:t>）</w:t>
            </w:r>
          </w:p>
        </w:tc>
        <w:tc>
          <w:tcPr>
            <w:tcW w:w="2091" w:type="dxa"/>
            <w:tcBorders>
              <w:bottom w:val="single" w:color="auto" w:sz="4" w:space="0"/>
            </w:tcBorders>
            <w:vAlign w:val="center"/>
          </w:tcPr>
          <w:p w14:paraId="5E02D6AF">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施工方案与技术措施</w:t>
            </w:r>
          </w:p>
          <w:p w14:paraId="0E6B2885">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rPr>
              <w:t>（</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p>
        </w:tc>
        <w:tc>
          <w:tcPr>
            <w:tcW w:w="3845" w:type="dxa"/>
            <w:vMerge w:val="restart"/>
            <w:vAlign w:val="center"/>
          </w:tcPr>
          <w:p w14:paraId="46708867">
            <w:pPr>
              <w:snapToGrid w:val="0"/>
              <w:spacing w:line="400" w:lineRule="exact"/>
              <w:ind w:firstLine="420" w:firstLineChars="200"/>
              <w:jc w:val="both"/>
              <w:rPr>
                <w:rFonts w:ascii="宋体" w:hAnsi="宋体" w:cs="宋体"/>
                <w:color w:val="auto"/>
                <w:kern w:val="0"/>
                <w:szCs w:val="21"/>
              </w:rPr>
            </w:pPr>
            <w:r>
              <w:rPr>
                <w:rFonts w:hint="eastAsia" w:ascii="宋体" w:hAnsi="宋体" w:cs="宋体"/>
                <w:color w:val="auto"/>
                <w:szCs w:val="21"/>
              </w:rPr>
              <w:t>评审小组按第2.2.</w:t>
            </w:r>
            <w:r>
              <w:rPr>
                <w:rFonts w:hint="eastAsia" w:ascii="宋体" w:hAnsi="宋体" w:cs="宋体"/>
                <w:color w:val="auto"/>
                <w:szCs w:val="21"/>
                <w:lang w:val="en-US" w:eastAsia="zh-CN"/>
              </w:rPr>
              <w:t>3</w:t>
            </w:r>
            <w:r>
              <w:rPr>
                <w:rFonts w:hint="eastAsia" w:ascii="宋体" w:hAnsi="宋体" w:cs="宋体"/>
                <w:color w:val="auto"/>
                <w:szCs w:val="21"/>
              </w:rPr>
              <w:t>项各评审因素设定的分值评分，取其算术平均值作为最后得分。</w:t>
            </w:r>
            <w:r>
              <w:rPr>
                <w:rFonts w:hint="eastAsia" w:ascii="宋体" w:hAnsi="宋体" w:cs="宋体"/>
                <w:color w:val="auto"/>
                <w:kern w:val="0"/>
                <w:szCs w:val="21"/>
              </w:rPr>
              <w:t>最终结果取小数点后两位，第</w:t>
            </w:r>
            <w:bookmarkStart w:id="684" w:name="_GoBack"/>
            <w:bookmarkEnd w:id="684"/>
            <w:r>
              <w:rPr>
                <w:rFonts w:hint="eastAsia" w:ascii="宋体" w:hAnsi="宋体" w:cs="宋体"/>
                <w:color w:val="auto"/>
                <w:kern w:val="0"/>
                <w:szCs w:val="21"/>
              </w:rPr>
              <w:t>三位四舍五入。</w:t>
            </w:r>
          </w:p>
        </w:tc>
      </w:tr>
      <w:tr w14:paraId="5B7DA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14:paraId="33210B82">
            <w:pPr>
              <w:spacing w:line="400" w:lineRule="exact"/>
              <w:jc w:val="center"/>
              <w:rPr>
                <w:rFonts w:ascii="宋体" w:hAnsi="宋体" w:cs="宋体"/>
                <w:color w:val="auto"/>
                <w:szCs w:val="22"/>
              </w:rPr>
            </w:pPr>
          </w:p>
        </w:tc>
        <w:tc>
          <w:tcPr>
            <w:tcW w:w="2701" w:type="dxa"/>
            <w:gridSpan w:val="4"/>
            <w:vMerge w:val="continue"/>
            <w:vAlign w:val="center"/>
          </w:tcPr>
          <w:p w14:paraId="79AAAF45">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vAlign w:val="center"/>
          </w:tcPr>
          <w:p w14:paraId="79FF980C">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资源配备计划和施工设备配置情况</w:t>
            </w:r>
          </w:p>
          <w:p w14:paraId="5E2FE2E6">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rPr>
              <w:t>（</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p>
        </w:tc>
        <w:tc>
          <w:tcPr>
            <w:tcW w:w="3845" w:type="dxa"/>
            <w:vMerge w:val="continue"/>
            <w:vAlign w:val="center"/>
          </w:tcPr>
          <w:p w14:paraId="797150C4">
            <w:pPr>
              <w:autoSpaceDE w:val="0"/>
              <w:autoSpaceDN w:val="0"/>
              <w:adjustRightInd w:val="0"/>
              <w:snapToGrid w:val="0"/>
              <w:spacing w:line="400" w:lineRule="exact"/>
              <w:ind w:firstLine="420" w:firstLineChars="200"/>
              <w:rPr>
                <w:rFonts w:ascii="宋体" w:hAnsi="宋体" w:cs="宋体"/>
                <w:color w:val="auto"/>
                <w:szCs w:val="21"/>
              </w:rPr>
            </w:pPr>
          </w:p>
        </w:tc>
      </w:tr>
      <w:tr w14:paraId="47605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833" w:type="dxa"/>
            <w:vMerge w:val="continue"/>
            <w:vAlign w:val="center"/>
          </w:tcPr>
          <w:p w14:paraId="571CD1FD">
            <w:pPr>
              <w:spacing w:line="400" w:lineRule="exact"/>
              <w:jc w:val="center"/>
              <w:rPr>
                <w:rFonts w:ascii="宋体" w:hAnsi="宋体" w:cs="宋体"/>
                <w:color w:val="auto"/>
                <w:szCs w:val="22"/>
              </w:rPr>
            </w:pPr>
          </w:p>
        </w:tc>
        <w:tc>
          <w:tcPr>
            <w:tcW w:w="2701" w:type="dxa"/>
            <w:gridSpan w:val="4"/>
            <w:vMerge w:val="continue"/>
            <w:vAlign w:val="center"/>
          </w:tcPr>
          <w:p w14:paraId="6F2D5A3E">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vAlign w:val="center"/>
          </w:tcPr>
          <w:p w14:paraId="732DFAB0">
            <w:pPr>
              <w:tabs>
                <w:tab w:val="left" w:pos="1875"/>
              </w:tabs>
              <w:spacing w:line="400" w:lineRule="exact"/>
              <w:jc w:val="center"/>
              <w:rPr>
                <w:rFonts w:hint="eastAsia" w:ascii="宋体" w:hAnsi="宋体" w:eastAsia="宋体" w:cs="宋体"/>
                <w:color w:val="auto"/>
                <w:kern w:val="0"/>
                <w:szCs w:val="22"/>
                <w:lang w:val="en-US" w:eastAsia="zh-CN"/>
              </w:rPr>
            </w:pPr>
            <w:r>
              <w:rPr>
                <w:rFonts w:hint="eastAsia" w:ascii="宋体" w:hAnsi="宋体" w:cs="宋体"/>
                <w:color w:val="auto"/>
                <w:kern w:val="0"/>
                <w:szCs w:val="22"/>
              </w:rPr>
              <w:t>质量管理</w:t>
            </w:r>
            <w:r>
              <w:rPr>
                <w:rFonts w:hint="eastAsia" w:ascii="宋体" w:hAnsi="宋体" w:cs="宋体"/>
                <w:color w:val="auto"/>
                <w:kern w:val="0"/>
                <w:szCs w:val="22"/>
                <w:lang w:val="en-US" w:eastAsia="zh-CN"/>
              </w:rPr>
              <w:t>方案</w:t>
            </w:r>
          </w:p>
          <w:p w14:paraId="7E1F521A">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4分）</w:t>
            </w:r>
          </w:p>
        </w:tc>
        <w:tc>
          <w:tcPr>
            <w:tcW w:w="3845" w:type="dxa"/>
            <w:vMerge w:val="continue"/>
            <w:vAlign w:val="center"/>
          </w:tcPr>
          <w:p w14:paraId="62295DB3">
            <w:pPr>
              <w:autoSpaceDE w:val="0"/>
              <w:autoSpaceDN w:val="0"/>
              <w:adjustRightInd w:val="0"/>
              <w:snapToGrid w:val="0"/>
              <w:spacing w:line="400" w:lineRule="exact"/>
              <w:ind w:firstLine="420" w:firstLineChars="200"/>
              <w:rPr>
                <w:rFonts w:ascii="宋体" w:hAnsi="宋体" w:cs="宋体"/>
                <w:color w:val="auto"/>
                <w:szCs w:val="21"/>
              </w:rPr>
            </w:pPr>
          </w:p>
        </w:tc>
      </w:tr>
      <w:tr w14:paraId="192CFB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833" w:type="dxa"/>
            <w:vMerge w:val="continue"/>
            <w:vAlign w:val="center"/>
          </w:tcPr>
          <w:p w14:paraId="11B5DE47">
            <w:pPr>
              <w:spacing w:line="400" w:lineRule="exact"/>
              <w:jc w:val="center"/>
              <w:rPr>
                <w:rFonts w:ascii="宋体" w:hAnsi="宋体" w:cs="宋体"/>
                <w:color w:val="auto"/>
                <w:szCs w:val="22"/>
              </w:rPr>
            </w:pPr>
          </w:p>
        </w:tc>
        <w:tc>
          <w:tcPr>
            <w:tcW w:w="2701" w:type="dxa"/>
            <w:gridSpan w:val="4"/>
            <w:vMerge w:val="continue"/>
            <w:vAlign w:val="center"/>
          </w:tcPr>
          <w:p w14:paraId="79250547">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vAlign w:val="center"/>
          </w:tcPr>
          <w:p w14:paraId="0EBABC1B">
            <w:pPr>
              <w:pStyle w:val="6"/>
              <w:spacing w:line="360" w:lineRule="auto"/>
              <w:jc w:val="center"/>
              <w:rPr>
                <w:rFonts w:hint="eastAsia" w:ascii="宋体" w:hAnsi="宋体" w:cs="宋体"/>
                <w:color w:val="auto"/>
                <w:kern w:val="0"/>
                <w:sz w:val="21"/>
                <w:szCs w:val="22"/>
              </w:rPr>
            </w:pPr>
            <w:r>
              <w:rPr>
                <w:rFonts w:hint="eastAsia" w:ascii="宋体" w:hAnsi="宋体" w:cs="宋体"/>
                <w:color w:val="auto"/>
                <w:kern w:val="0"/>
                <w:sz w:val="21"/>
                <w:szCs w:val="22"/>
              </w:rPr>
              <w:t>安全管理方案</w:t>
            </w:r>
          </w:p>
          <w:p w14:paraId="17927102">
            <w:pPr>
              <w:pStyle w:val="6"/>
              <w:spacing w:line="360" w:lineRule="auto"/>
              <w:jc w:val="center"/>
              <w:rPr>
                <w:rFonts w:hint="eastAsia" w:ascii="宋体" w:hAnsi="宋体" w:cs="宋体"/>
                <w:color w:val="auto"/>
                <w:kern w:val="0"/>
                <w:szCs w:val="22"/>
                <w:lang w:eastAsia="zh-CN"/>
              </w:rPr>
            </w:pPr>
            <w:r>
              <w:rPr>
                <w:rFonts w:hint="eastAsia" w:ascii="宋体" w:hAnsi="宋体" w:cs="宋体"/>
                <w:color w:val="auto"/>
                <w:kern w:val="0"/>
                <w:sz w:val="21"/>
                <w:szCs w:val="22"/>
                <w:lang w:eastAsia="zh-CN"/>
              </w:rPr>
              <w:t>（</w:t>
            </w:r>
            <w:r>
              <w:rPr>
                <w:rFonts w:hint="eastAsia" w:ascii="宋体" w:hAnsi="宋体" w:cs="宋体"/>
                <w:color w:val="auto"/>
                <w:kern w:val="0"/>
                <w:sz w:val="21"/>
                <w:szCs w:val="22"/>
                <w:lang w:val="en-US" w:eastAsia="zh-CN"/>
              </w:rPr>
              <w:t>4分）</w:t>
            </w:r>
          </w:p>
        </w:tc>
        <w:tc>
          <w:tcPr>
            <w:tcW w:w="3845" w:type="dxa"/>
            <w:vMerge w:val="continue"/>
            <w:vAlign w:val="center"/>
          </w:tcPr>
          <w:p w14:paraId="760B6C5F">
            <w:pPr>
              <w:autoSpaceDE w:val="0"/>
              <w:autoSpaceDN w:val="0"/>
              <w:adjustRightInd w:val="0"/>
              <w:snapToGrid w:val="0"/>
              <w:spacing w:line="400" w:lineRule="exact"/>
              <w:ind w:firstLine="420" w:firstLineChars="200"/>
              <w:rPr>
                <w:rFonts w:ascii="宋体" w:hAnsi="宋体" w:cs="宋体"/>
                <w:color w:val="auto"/>
                <w:szCs w:val="21"/>
              </w:rPr>
            </w:pPr>
          </w:p>
        </w:tc>
      </w:tr>
      <w:tr w14:paraId="5DB502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833" w:type="dxa"/>
            <w:vMerge w:val="continue"/>
            <w:vAlign w:val="center"/>
          </w:tcPr>
          <w:p w14:paraId="5E1911EC">
            <w:pPr>
              <w:spacing w:line="400" w:lineRule="exact"/>
              <w:jc w:val="center"/>
              <w:rPr>
                <w:rFonts w:ascii="宋体" w:hAnsi="宋体" w:cs="宋体"/>
                <w:color w:val="auto"/>
                <w:szCs w:val="22"/>
              </w:rPr>
            </w:pPr>
          </w:p>
        </w:tc>
        <w:tc>
          <w:tcPr>
            <w:tcW w:w="2701" w:type="dxa"/>
            <w:gridSpan w:val="4"/>
            <w:vMerge w:val="continue"/>
            <w:vAlign w:val="center"/>
          </w:tcPr>
          <w:p w14:paraId="193DDCCB">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vAlign w:val="center"/>
          </w:tcPr>
          <w:p w14:paraId="26F53EED">
            <w:pPr>
              <w:pStyle w:val="6"/>
              <w:spacing w:line="360" w:lineRule="auto"/>
              <w:jc w:val="center"/>
              <w:rPr>
                <w:rFonts w:hint="eastAsia" w:ascii="宋体" w:hAnsi="宋体" w:cs="宋体"/>
                <w:color w:val="auto"/>
                <w:kern w:val="0"/>
                <w:sz w:val="21"/>
                <w:szCs w:val="22"/>
              </w:rPr>
            </w:pPr>
            <w:r>
              <w:rPr>
                <w:rFonts w:hint="eastAsia" w:ascii="宋体" w:hAnsi="宋体" w:cs="宋体"/>
                <w:color w:val="auto"/>
                <w:kern w:val="0"/>
                <w:sz w:val="21"/>
                <w:szCs w:val="22"/>
                <w:lang w:val="en-US" w:eastAsia="zh-CN"/>
              </w:rPr>
              <w:t>售后服务</w:t>
            </w:r>
            <w:r>
              <w:rPr>
                <w:rFonts w:hint="eastAsia" w:ascii="宋体" w:hAnsi="宋体" w:cs="宋体"/>
                <w:color w:val="auto"/>
                <w:kern w:val="0"/>
                <w:sz w:val="21"/>
                <w:szCs w:val="22"/>
              </w:rPr>
              <w:t>方案</w:t>
            </w:r>
          </w:p>
          <w:p w14:paraId="1F1F0822">
            <w:pPr>
              <w:pStyle w:val="6"/>
              <w:spacing w:line="360" w:lineRule="auto"/>
              <w:jc w:val="center"/>
              <w:rPr>
                <w:rFonts w:hint="eastAsia" w:ascii="宋体" w:hAnsi="宋体" w:cs="宋体"/>
                <w:color w:val="auto"/>
                <w:kern w:val="0"/>
                <w:sz w:val="21"/>
                <w:szCs w:val="22"/>
              </w:rPr>
            </w:pPr>
            <w:r>
              <w:rPr>
                <w:rFonts w:hint="eastAsia" w:ascii="宋体" w:hAnsi="宋体" w:cs="宋体"/>
                <w:color w:val="auto"/>
                <w:kern w:val="0"/>
                <w:sz w:val="21"/>
                <w:szCs w:val="22"/>
                <w:lang w:eastAsia="zh-CN"/>
              </w:rPr>
              <w:t>（</w:t>
            </w:r>
            <w:r>
              <w:rPr>
                <w:rFonts w:hint="eastAsia" w:ascii="宋体" w:hAnsi="宋体" w:cs="宋体"/>
                <w:color w:val="auto"/>
                <w:kern w:val="0"/>
                <w:sz w:val="21"/>
                <w:szCs w:val="22"/>
                <w:lang w:val="en-US" w:eastAsia="zh-CN"/>
              </w:rPr>
              <w:t>4分）</w:t>
            </w:r>
          </w:p>
        </w:tc>
        <w:tc>
          <w:tcPr>
            <w:tcW w:w="3845" w:type="dxa"/>
            <w:vMerge w:val="continue"/>
            <w:vAlign w:val="center"/>
          </w:tcPr>
          <w:p w14:paraId="49D230CF">
            <w:pPr>
              <w:autoSpaceDE w:val="0"/>
              <w:autoSpaceDN w:val="0"/>
              <w:adjustRightInd w:val="0"/>
              <w:snapToGrid w:val="0"/>
              <w:spacing w:line="400" w:lineRule="exact"/>
              <w:ind w:firstLine="420" w:firstLineChars="200"/>
              <w:rPr>
                <w:rFonts w:ascii="宋体" w:hAnsi="宋体" w:cs="宋体"/>
                <w:color w:val="auto"/>
                <w:szCs w:val="21"/>
              </w:rPr>
            </w:pPr>
          </w:p>
        </w:tc>
      </w:tr>
      <w:tr w14:paraId="1B03B0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3" w:type="dxa"/>
            <w:vAlign w:val="center"/>
          </w:tcPr>
          <w:p w14:paraId="0BEAB227">
            <w:pPr>
              <w:spacing w:line="400" w:lineRule="exact"/>
              <w:jc w:val="center"/>
              <w:rPr>
                <w:rFonts w:ascii="宋体" w:hAnsi="宋体" w:cs="宋体"/>
                <w:color w:val="auto"/>
                <w:szCs w:val="22"/>
              </w:rPr>
            </w:pPr>
            <w:r>
              <w:rPr>
                <w:rFonts w:hint="eastAsia" w:ascii="宋体" w:hAnsi="宋体" w:cs="宋体"/>
                <w:color w:val="auto"/>
                <w:szCs w:val="22"/>
              </w:rPr>
              <w:t>3.2.1（</w:t>
            </w:r>
            <w:r>
              <w:rPr>
                <w:rFonts w:hint="eastAsia" w:ascii="宋体" w:hAnsi="宋体" w:cs="宋体"/>
                <w:color w:val="auto"/>
                <w:szCs w:val="22"/>
                <w:lang w:val="en-US" w:eastAsia="zh-CN"/>
              </w:rPr>
              <w:t>3</w:t>
            </w:r>
            <w:r>
              <w:rPr>
                <w:rFonts w:hint="eastAsia" w:ascii="宋体" w:hAnsi="宋体" w:cs="宋体"/>
                <w:color w:val="auto"/>
                <w:szCs w:val="22"/>
              </w:rPr>
              <w:t>）</w:t>
            </w:r>
          </w:p>
        </w:tc>
        <w:tc>
          <w:tcPr>
            <w:tcW w:w="2701" w:type="dxa"/>
            <w:gridSpan w:val="4"/>
            <w:vAlign w:val="center"/>
          </w:tcPr>
          <w:p w14:paraId="39F36EF8">
            <w:pPr>
              <w:spacing w:line="400" w:lineRule="exact"/>
              <w:jc w:val="center"/>
              <w:rPr>
                <w:rFonts w:ascii="宋体" w:hAnsi="宋体" w:cs="宋体"/>
                <w:color w:val="auto"/>
                <w:szCs w:val="22"/>
              </w:rPr>
            </w:pPr>
            <w:r>
              <w:rPr>
                <w:rFonts w:hint="eastAsia" w:ascii="宋体" w:hAnsi="宋体" w:cs="宋体"/>
                <w:color w:val="auto"/>
                <w:szCs w:val="22"/>
              </w:rPr>
              <w:t>商务部分</w:t>
            </w:r>
            <w:r>
              <w:rPr>
                <w:rFonts w:hint="eastAsia" w:ascii="宋体" w:hAnsi="宋体" w:cs="宋体"/>
                <w:color w:val="auto"/>
                <w:kern w:val="0"/>
                <w:szCs w:val="22"/>
              </w:rPr>
              <w:t>得分</w:t>
            </w:r>
            <w:r>
              <w:rPr>
                <w:rFonts w:hint="eastAsia" w:ascii="宋体" w:hAnsi="宋体" w:cs="宋体"/>
                <w:color w:val="auto"/>
                <w:spacing w:val="-8"/>
                <w:szCs w:val="22"/>
              </w:rPr>
              <w:t>（</w:t>
            </w:r>
            <w:r>
              <w:rPr>
                <w:rFonts w:hint="eastAsia" w:ascii="宋体" w:hAnsi="宋体" w:cs="宋体"/>
                <w:color w:val="auto"/>
                <w:spacing w:val="-8"/>
                <w:szCs w:val="22"/>
                <w:lang w:val="en-US" w:eastAsia="zh-CN"/>
              </w:rPr>
              <w:t>C</w:t>
            </w:r>
            <w:r>
              <w:rPr>
                <w:rFonts w:hint="eastAsia" w:ascii="宋体" w:hAnsi="宋体" w:cs="宋体"/>
                <w:color w:val="auto"/>
                <w:spacing w:val="-8"/>
                <w:szCs w:val="22"/>
              </w:rPr>
              <w:t>）</w:t>
            </w:r>
          </w:p>
        </w:tc>
        <w:tc>
          <w:tcPr>
            <w:tcW w:w="5936" w:type="dxa"/>
            <w:gridSpan w:val="2"/>
            <w:vAlign w:val="center"/>
          </w:tcPr>
          <w:p w14:paraId="459BC254">
            <w:pPr>
              <w:spacing w:line="400" w:lineRule="exact"/>
              <w:ind w:firstLine="420" w:firstLineChars="200"/>
              <w:rPr>
                <w:rFonts w:ascii="宋体" w:hAnsi="宋体" w:cs="宋体"/>
                <w:bCs/>
                <w:color w:val="auto"/>
                <w:kern w:val="0"/>
                <w:szCs w:val="21"/>
              </w:rPr>
            </w:pPr>
            <w:r>
              <w:rPr>
                <w:rFonts w:hint="eastAsia" w:ascii="宋体" w:hAnsi="宋体" w:cs="宋体"/>
                <w:color w:val="auto"/>
                <w:szCs w:val="21"/>
              </w:rPr>
              <w:t>评审小组按第2.2.</w:t>
            </w:r>
            <w:r>
              <w:rPr>
                <w:rFonts w:hint="eastAsia" w:ascii="宋体" w:hAnsi="宋体" w:cs="宋体"/>
                <w:color w:val="auto"/>
                <w:szCs w:val="21"/>
                <w:lang w:val="en-US" w:eastAsia="zh-CN"/>
              </w:rPr>
              <w:t>3</w:t>
            </w:r>
            <w:r>
              <w:rPr>
                <w:rFonts w:hint="eastAsia" w:ascii="宋体" w:hAnsi="宋体" w:cs="宋体"/>
                <w:color w:val="auto"/>
                <w:szCs w:val="21"/>
              </w:rPr>
              <w:t>项各评审因素设定的分值评分。</w:t>
            </w:r>
          </w:p>
        </w:tc>
      </w:tr>
      <w:tr w14:paraId="4B4A7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986" w:type="dxa"/>
            <w:gridSpan w:val="3"/>
            <w:vAlign w:val="center"/>
          </w:tcPr>
          <w:p w14:paraId="4B108B30">
            <w:pPr>
              <w:spacing w:line="400" w:lineRule="exact"/>
              <w:ind w:firstLine="18" w:firstLineChars="9"/>
              <w:jc w:val="center"/>
              <w:rPr>
                <w:rFonts w:ascii="宋体" w:hAnsi="宋体" w:cs="宋体"/>
                <w:color w:val="auto"/>
                <w:szCs w:val="21"/>
              </w:rPr>
            </w:pPr>
            <w:r>
              <w:rPr>
                <w:rFonts w:hint="eastAsia" w:ascii="宋体" w:hAnsi="宋体" w:cs="宋体"/>
                <w:color w:val="auto"/>
                <w:szCs w:val="21"/>
              </w:rPr>
              <w:t>3.2.3</w:t>
            </w:r>
          </w:p>
        </w:tc>
        <w:tc>
          <w:tcPr>
            <w:tcW w:w="3639" w:type="dxa"/>
            <w:gridSpan w:val="3"/>
            <w:vAlign w:val="center"/>
          </w:tcPr>
          <w:p w14:paraId="589B8588">
            <w:pPr>
              <w:spacing w:line="400" w:lineRule="exact"/>
              <w:ind w:firstLine="18" w:firstLineChars="9"/>
              <w:jc w:val="center"/>
              <w:rPr>
                <w:rFonts w:ascii="宋体" w:hAnsi="宋体" w:cs="宋体"/>
                <w:color w:val="auto"/>
                <w:szCs w:val="21"/>
              </w:rPr>
            </w:pPr>
            <w:r>
              <w:rPr>
                <w:rFonts w:hint="eastAsia" w:ascii="宋体" w:hAnsi="宋体" w:cs="宋体"/>
                <w:color w:val="auto"/>
                <w:szCs w:val="21"/>
              </w:rPr>
              <w:t>竞选人得分</w:t>
            </w:r>
          </w:p>
        </w:tc>
        <w:tc>
          <w:tcPr>
            <w:tcW w:w="3845" w:type="dxa"/>
            <w:vAlign w:val="center"/>
          </w:tcPr>
          <w:p w14:paraId="1295544C">
            <w:pPr>
              <w:spacing w:line="400" w:lineRule="exact"/>
              <w:jc w:val="center"/>
              <w:rPr>
                <w:rFonts w:hint="default" w:ascii="宋体" w:hAnsi="宋体" w:eastAsia="宋体" w:cs="宋体"/>
                <w:color w:val="auto"/>
                <w:szCs w:val="21"/>
                <w:u w:val="single"/>
                <w:lang w:val="en-US" w:eastAsia="zh-CN"/>
              </w:rPr>
            </w:pPr>
            <w:r>
              <w:rPr>
                <w:rFonts w:hint="eastAsia" w:ascii="宋体" w:hAnsi="宋体" w:cs="宋体"/>
                <w:color w:val="auto"/>
                <w:szCs w:val="21"/>
                <w:u w:val="single"/>
              </w:rPr>
              <w:t>竞选人得分=A+B</w:t>
            </w:r>
            <w:r>
              <w:rPr>
                <w:rFonts w:hint="eastAsia" w:ascii="宋体" w:hAnsi="宋体" w:cs="宋体"/>
                <w:color w:val="auto"/>
                <w:szCs w:val="21"/>
                <w:u w:val="single"/>
                <w:lang w:val="en-US" w:eastAsia="zh-CN"/>
              </w:rPr>
              <w:t>+C</w:t>
            </w:r>
          </w:p>
        </w:tc>
      </w:tr>
    </w:tbl>
    <w:p w14:paraId="021AE2AB">
      <w:pPr>
        <w:widowControl/>
        <w:jc w:val="left"/>
        <w:rPr>
          <w:rFonts w:ascii="宋体" w:hAnsi="宋体" w:cs="宋体"/>
          <w:b/>
          <w:snapToGrid w:val="0"/>
          <w:color w:val="auto"/>
          <w:szCs w:val="21"/>
        </w:rPr>
      </w:pPr>
      <w:bookmarkStart w:id="402" w:name="_Toc377067338"/>
      <w:bookmarkStart w:id="403" w:name="_Toc27466"/>
      <w:bookmarkStart w:id="404" w:name="_Toc376114119"/>
      <w:bookmarkStart w:id="405" w:name="_Toc407195378"/>
      <w:bookmarkStart w:id="406" w:name="_Toc636"/>
      <w:bookmarkStart w:id="407" w:name="_Toc444155967"/>
      <w:bookmarkStart w:id="408" w:name="_Toc32032"/>
      <w:bookmarkStart w:id="409" w:name="_Toc27912"/>
      <w:bookmarkStart w:id="410" w:name="_Toc440022826"/>
      <w:bookmarkStart w:id="411" w:name="_Toc377115418"/>
      <w:bookmarkStart w:id="412" w:name="_Toc21111"/>
      <w:r>
        <w:rPr>
          <w:rFonts w:hint="eastAsia" w:ascii="宋体" w:hAnsi="宋体" w:cs="宋体"/>
          <w:snapToGrid w:val="0"/>
          <w:color w:val="auto"/>
          <w:szCs w:val="21"/>
        </w:rPr>
        <w:br w:type="page"/>
      </w:r>
    </w:p>
    <w:p w14:paraId="767AEBD9">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402"/>
      <w:bookmarkEnd w:id="403"/>
      <w:bookmarkEnd w:id="404"/>
      <w:bookmarkEnd w:id="405"/>
      <w:bookmarkEnd w:id="406"/>
      <w:bookmarkEnd w:id="407"/>
      <w:bookmarkEnd w:id="408"/>
      <w:bookmarkEnd w:id="409"/>
      <w:bookmarkEnd w:id="410"/>
      <w:bookmarkEnd w:id="411"/>
      <w:bookmarkEnd w:id="412"/>
    </w:p>
    <w:p w14:paraId="79C020D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13" w:name="_Toc200513199"/>
      <w:bookmarkStart w:id="414" w:name="_Toc2274"/>
      <w:bookmarkStart w:id="415" w:name="_Toc5950"/>
      <w:bookmarkStart w:id="416" w:name="_Toc407195379"/>
      <w:bookmarkStart w:id="417" w:name="_Toc23969"/>
      <w:bookmarkStart w:id="418" w:name="_Toc224103385"/>
      <w:bookmarkStart w:id="419" w:name="_Toc377067339"/>
      <w:bookmarkStart w:id="420" w:name="_Toc287620752"/>
      <w:bookmarkStart w:id="421" w:name="_Toc330569206"/>
      <w:bookmarkStart w:id="422" w:name="_Toc16716"/>
      <w:bookmarkStart w:id="423" w:name="_Toc277082619"/>
      <w:bookmarkStart w:id="424" w:name="_Toc287607813"/>
      <w:bookmarkStart w:id="425" w:name="_Toc440022827"/>
      <w:bookmarkStart w:id="426" w:name="_Toc27406"/>
      <w:bookmarkStart w:id="427" w:name="_Toc377115419"/>
      <w:bookmarkStart w:id="428" w:name="_Toc444155968"/>
      <w:bookmarkStart w:id="429" w:name="_Toc376114120"/>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kern w:val="0"/>
          <w:szCs w:val="21"/>
        </w:rPr>
        <w:t>评审小组按照本章第</w:t>
      </w:r>
      <w:r>
        <w:rPr>
          <w:rFonts w:hint="eastAsia" w:ascii="宋体" w:hAnsi="宋体" w:cs="宋体"/>
          <w:color w:val="auto"/>
          <w:spacing w:val="1"/>
          <w:kern w:val="0"/>
          <w:szCs w:val="21"/>
        </w:rPr>
        <w:t>2</w:t>
      </w:r>
      <w:r>
        <w:rPr>
          <w:rFonts w:hint="eastAsia" w:ascii="宋体" w:hAnsi="宋体" w:cs="宋体"/>
          <w:color w:val="auto"/>
          <w:spacing w:val="-1"/>
          <w:kern w:val="0"/>
          <w:szCs w:val="21"/>
        </w:rPr>
        <w:t>.</w:t>
      </w:r>
      <w:r>
        <w:rPr>
          <w:rFonts w:hint="eastAsia" w:ascii="宋体" w:hAnsi="宋体" w:cs="宋体"/>
          <w:color w:val="auto"/>
          <w:kern w:val="0"/>
          <w:szCs w:val="21"/>
        </w:rPr>
        <w:t>2款</w:t>
      </w:r>
      <w:r>
        <w:rPr>
          <w:rFonts w:hint="eastAsia" w:ascii="宋体" w:hAnsi="宋体" w:cs="宋体"/>
          <w:color w:val="auto"/>
          <w:spacing w:val="-1"/>
          <w:kern w:val="0"/>
          <w:szCs w:val="21"/>
        </w:rPr>
        <w:t>规</w:t>
      </w:r>
      <w:r>
        <w:rPr>
          <w:rFonts w:hint="eastAsia" w:ascii="宋体" w:hAnsi="宋体" w:cs="宋体"/>
          <w:color w:val="auto"/>
          <w:kern w:val="0"/>
          <w:szCs w:val="21"/>
        </w:rPr>
        <w:t>定的评分标准进行评分，按得分由高到低顺序推荐中选候选人。综合评分相等时，以</w:t>
      </w:r>
      <w:r>
        <w:rPr>
          <w:rFonts w:hint="eastAsia" w:ascii="宋体" w:hAnsi="宋体" w:cs="宋体"/>
          <w:color w:val="auto"/>
          <w:kern w:val="0"/>
          <w:szCs w:val="21"/>
          <w:lang w:val="en-US" w:eastAsia="zh-CN"/>
        </w:rPr>
        <w:t>经济部分得分高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经济部分得分</w:t>
      </w:r>
      <w:r>
        <w:rPr>
          <w:rFonts w:hint="eastAsia" w:ascii="宋体" w:hAnsi="宋体" w:cs="宋体"/>
          <w:color w:val="auto"/>
          <w:kern w:val="0"/>
          <w:szCs w:val="21"/>
        </w:rPr>
        <w:t>相等的</w:t>
      </w:r>
      <w:r>
        <w:rPr>
          <w:rFonts w:hint="eastAsia" w:ascii="宋体" w:hAnsi="宋体" w:cs="宋体"/>
          <w:color w:val="auto"/>
          <w:kern w:val="0"/>
          <w:szCs w:val="21"/>
          <w:lang w:eastAsia="zh-CN"/>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技术部分得分高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技术部分得分</w:t>
      </w:r>
      <w:r>
        <w:rPr>
          <w:rFonts w:hint="eastAsia" w:ascii="宋体" w:hAnsi="宋体" w:cs="宋体"/>
          <w:color w:val="auto"/>
          <w:kern w:val="0"/>
          <w:szCs w:val="21"/>
        </w:rPr>
        <w:t>相等的，以评审办法前附表约定的原则确定排序</w:t>
      </w:r>
      <w:r>
        <w:rPr>
          <w:rFonts w:hint="eastAsia" w:ascii="宋体" w:hAnsi="宋体" w:cs="宋体"/>
          <w:color w:val="auto"/>
          <w:spacing w:val="-31"/>
          <w:kern w:val="0"/>
          <w:szCs w:val="21"/>
        </w:rPr>
        <w:t>。</w:t>
      </w:r>
    </w:p>
    <w:p w14:paraId="1CC708CB">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1FF82CB">
      <w:pPr>
        <w:pStyle w:val="9"/>
        <w:snapToGrid w:val="0"/>
        <w:spacing w:before="0" w:line="360" w:lineRule="auto"/>
        <w:rPr>
          <w:rFonts w:ascii="宋体" w:hAnsi="宋体" w:eastAsia="宋体" w:cs="宋体"/>
          <w:color w:val="auto"/>
          <w:sz w:val="21"/>
          <w:szCs w:val="21"/>
        </w:rPr>
      </w:pPr>
      <w:bookmarkStart w:id="430" w:name="_Toc57820618"/>
      <w:bookmarkStart w:id="431" w:name="_Toc15132"/>
      <w:bookmarkStart w:id="432" w:name="_Toc444155971"/>
      <w:bookmarkStart w:id="433" w:name="_Toc224103388"/>
      <w:bookmarkStart w:id="434" w:name="_Toc8004"/>
      <w:bookmarkStart w:id="435" w:name="_Toc200513202"/>
      <w:bookmarkStart w:id="436" w:name="_Toc407195382"/>
      <w:bookmarkStart w:id="437" w:name="_Toc14353"/>
      <w:bookmarkStart w:id="438" w:name="_Toc287620755"/>
      <w:bookmarkStart w:id="439" w:name="_Toc330569209"/>
      <w:bookmarkStart w:id="440" w:name="_Toc377115422"/>
      <w:bookmarkStart w:id="441" w:name="_Toc12538"/>
      <w:bookmarkStart w:id="442" w:name="_Toc9488"/>
      <w:bookmarkStart w:id="443" w:name="_Toc377067342"/>
      <w:bookmarkStart w:id="444" w:name="_Toc376114123"/>
      <w:bookmarkStart w:id="445" w:name="_Toc277082622"/>
      <w:bookmarkStart w:id="446" w:name="_Toc440022830"/>
      <w:bookmarkStart w:id="447" w:name="_Toc287607816"/>
      <w:r>
        <w:rPr>
          <w:rFonts w:hint="eastAsia" w:ascii="宋体" w:hAnsi="宋体" w:eastAsia="宋体" w:cs="宋体"/>
          <w:color w:val="auto"/>
          <w:sz w:val="21"/>
          <w:szCs w:val="21"/>
        </w:rPr>
        <w:t>2.1</w:t>
      </w:r>
      <w:bookmarkEnd w:id="430"/>
      <w:r>
        <w:rPr>
          <w:rFonts w:hint="eastAsia" w:ascii="宋体" w:hAnsi="宋体" w:eastAsia="宋体" w:cs="宋体"/>
          <w:color w:val="auto"/>
          <w:sz w:val="21"/>
          <w:szCs w:val="21"/>
        </w:rPr>
        <w:t>初步评审标准</w:t>
      </w:r>
    </w:p>
    <w:p w14:paraId="565BADF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bookmarkStart w:id="448" w:name="_Toc57820619"/>
      <w:r>
        <w:rPr>
          <w:rFonts w:hint="eastAsia" w:ascii="宋体" w:hAnsi="宋体" w:cs="宋体"/>
          <w:color w:val="auto"/>
          <w:kern w:val="0"/>
          <w:szCs w:val="21"/>
        </w:rPr>
        <w:t>2.1.1 资格评审标准：见评审办法前附表。</w:t>
      </w:r>
    </w:p>
    <w:p w14:paraId="2B47FE2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2.1.2 形式评审标准：见评审办法前附表。</w:t>
      </w:r>
    </w:p>
    <w:p w14:paraId="6205F00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2.1.3 响应性评审标准：见评审办法前附表。</w:t>
      </w:r>
    </w:p>
    <w:p w14:paraId="1853042F">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2.2</w:t>
      </w:r>
      <w:bookmarkEnd w:id="448"/>
      <w:r>
        <w:rPr>
          <w:rFonts w:hint="eastAsia" w:ascii="宋体" w:hAnsi="宋体" w:eastAsia="宋体" w:cs="宋体"/>
          <w:color w:val="auto"/>
          <w:sz w:val="21"/>
          <w:szCs w:val="21"/>
        </w:rPr>
        <w:t>分值构成与评分标准</w:t>
      </w:r>
    </w:p>
    <w:p w14:paraId="4FE081D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2.2.1  分值构成</w:t>
      </w:r>
    </w:p>
    <w:p w14:paraId="7D9225C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（1）技术部分：见评审办法前附表；</w:t>
      </w:r>
    </w:p>
    <w:p w14:paraId="5A48449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（2）商务部分：见评审办法前附表</w:t>
      </w:r>
      <w:r>
        <w:rPr>
          <w:rFonts w:hint="eastAsia" w:ascii="宋体" w:hAnsi="宋体" w:eastAsia="宋体" w:cs="宋体"/>
          <w:color w:val="auto"/>
          <w:kern w:val="0"/>
          <w:szCs w:val="21"/>
          <w:lang w:eastAsia="zh-CN"/>
        </w:rPr>
        <w:t>；</w:t>
      </w:r>
    </w:p>
    <w:p w14:paraId="1826700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3）经济部分：</w:t>
      </w:r>
      <w:r>
        <w:rPr>
          <w:rFonts w:hint="eastAsia" w:ascii="宋体" w:hAnsi="宋体" w:eastAsia="宋体" w:cs="宋体"/>
          <w:color w:val="auto"/>
          <w:kern w:val="0"/>
          <w:szCs w:val="21"/>
        </w:rPr>
        <w:t>见评审办法前附表</w:t>
      </w:r>
      <w:r>
        <w:rPr>
          <w:rFonts w:hint="eastAsia" w:ascii="宋体" w:hAnsi="宋体" w:eastAsia="宋体" w:cs="宋体"/>
          <w:color w:val="auto"/>
          <w:kern w:val="0"/>
          <w:szCs w:val="21"/>
          <w:lang w:eastAsia="zh-CN"/>
        </w:rPr>
        <w:t>。</w:t>
      </w:r>
    </w:p>
    <w:p w14:paraId="01CEB2E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2.2.2  评分标准</w:t>
      </w:r>
    </w:p>
    <w:p w14:paraId="1CC96A9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技术部分评分标准：见评审办法前附表。</w:t>
      </w:r>
    </w:p>
    <w:p w14:paraId="2A67C8B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商务部分评分标准：见评审办法前附表。</w:t>
      </w:r>
    </w:p>
    <w:p w14:paraId="1BBC66F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经济部分评分标准：见评审办法前附表。</w:t>
      </w:r>
    </w:p>
    <w:p w14:paraId="07021D89">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CBBDEA2">
      <w:pPr>
        <w:pStyle w:val="9"/>
        <w:snapToGrid w:val="0"/>
        <w:spacing w:before="0" w:line="360" w:lineRule="auto"/>
        <w:rPr>
          <w:rFonts w:ascii="宋体" w:hAnsi="宋体" w:eastAsia="宋体" w:cs="宋体"/>
          <w:color w:val="auto"/>
          <w:sz w:val="21"/>
          <w:szCs w:val="21"/>
        </w:rPr>
      </w:pPr>
      <w:bookmarkStart w:id="449" w:name="_Toc57820621"/>
      <w:bookmarkStart w:id="450" w:name="_Toc377115425"/>
      <w:bookmarkStart w:id="451" w:name="_Toc444155974"/>
      <w:bookmarkStart w:id="452" w:name="_Toc22246"/>
      <w:bookmarkStart w:id="453" w:name="_Toc200513204"/>
      <w:bookmarkStart w:id="454" w:name="_Toc287620757"/>
      <w:bookmarkStart w:id="455" w:name="_Toc376114126"/>
      <w:bookmarkStart w:id="456" w:name="_Toc277082624"/>
      <w:bookmarkStart w:id="457" w:name="_Toc224103390"/>
      <w:bookmarkStart w:id="458" w:name="_Toc407195385"/>
      <w:bookmarkStart w:id="459" w:name="_Toc330569212"/>
      <w:bookmarkStart w:id="460" w:name="_Toc11246"/>
      <w:bookmarkStart w:id="461" w:name="_Toc29925"/>
      <w:bookmarkStart w:id="462" w:name="_Toc287607818"/>
      <w:bookmarkStart w:id="463" w:name="_Toc19604"/>
      <w:bookmarkStart w:id="464" w:name="_Toc440022833"/>
      <w:bookmarkStart w:id="465" w:name="_Toc377067345"/>
      <w:r>
        <w:rPr>
          <w:rFonts w:hint="eastAsia" w:ascii="宋体" w:hAnsi="宋体" w:eastAsia="宋体" w:cs="宋体"/>
          <w:color w:val="auto"/>
          <w:sz w:val="21"/>
          <w:szCs w:val="21"/>
        </w:rPr>
        <w:t>3.1</w:t>
      </w:r>
      <w:bookmarkEnd w:id="449"/>
      <w:r>
        <w:rPr>
          <w:rFonts w:hint="eastAsia" w:ascii="宋体" w:hAnsi="宋体" w:eastAsia="宋体" w:cs="宋体"/>
          <w:color w:val="auto"/>
          <w:sz w:val="21"/>
          <w:szCs w:val="21"/>
        </w:rPr>
        <w:t>初步评审</w:t>
      </w:r>
    </w:p>
    <w:p w14:paraId="6FD5E64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66" w:name="_Toc57820622"/>
      <w:r>
        <w:rPr>
          <w:rFonts w:hint="eastAsia" w:ascii="宋体" w:hAnsi="宋体" w:cs="宋体"/>
          <w:color w:val="auto"/>
          <w:kern w:val="0"/>
          <w:szCs w:val="21"/>
        </w:rPr>
        <w:t>3.1.1  评审小组依据本章第 2.1 款规定的标准对竞选文件进行初步评审。有一项不符合评审标准的，作否决比选处理。</w:t>
      </w:r>
    </w:p>
    <w:p w14:paraId="46A8C1E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3.1.2  竞选人有以下情形之一的，其竞选作否决比选处理：</w:t>
      </w:r>
    </w:p>
    <w:p w14:paraId="0F1205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“竞选人须知”第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14:paraId="2750DA6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szCs w:val="21"/>
        </w:rPr>
        <w:t>本次竞选有串通投标、弄虚作假等其他违反招投标相关法律、法规行为的</w:t>
      </w:r>
      <w:r>
        <w:rPr>
          <w:rFonts w:hint="eastAsia" w:ascii="宋体" w:hAnsi="宋体" w:cs="宋体"/>
          <w:color w:val="auto"/>
          <w:kern w:val="0"/>
          <w:szCs w:val="21"/>
        </w:rPr>
        <w:t>；</w:t>
      </w:r>
    </w:p>
    <w:p w14:paraId="08F8514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审小组要求澄清、说明或补正的。</w:t>
      </w:r>
    </w:p>
    <w:p w14:paraId="2A377489">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3.2</w:t>
      </w:r>
      <w:bookmarkEnd w:id="466"/>
      <w:r>
        <w:rPr>
          <w:rFonts w:hint="eastAsia" w:ascii="宋体" w:hAnsi="宋体" w:eastAsia="宋体" w:cs="宋体"/>
          <w:color w:val="auto"/>
          <w:sz w:val="21"/>
          <w:szCs w:val="21"/>
        </w:rPr>
        <w:t>详细评审</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0D225C5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bookmarkStart w:id="467" w:name="_Toc330569213"/>
      <w:bookmarkStart w:id="468" w:name="_Toc1080"/>
      <w:bookmarkStart w:id="469" w:name="_Toc377115426"/>
      <w:bookmarkStart w:id="470" w:name="_Toc440022834"/>
      <w:bookmarkStart w:id="471" w:name="_Toc407195386"/>
      <w:bookmarkStart w:id="472" w:name="_Toc29261"/>
      <w:bookmarkStart w:id="473" w:name="_Toc224103391"/>
      <w:bookmarkStart w:id="474" w:name="_Toc287620758"/>
      <w:bookmarkStart w:id="475" w:name="_Toc444155975"/>
      <w:bookmarkStart w:id="476" w:name="_Toc20948"/>
      <w:bookmarkStart w:id="477" w:name="_Toc377067346"/>
      <w:bookmarkStart w:id="478" w:name="_Toc287607819"/>
      <w:bookmarkStart w:id="479" w:name="_Toc18708"/>
      <w:bookmarkStart w:id="480" w:name="_Toc376114127"/>
      <w:bookmarkStart w:id="481" w:name="_Toc200513205"/>
      <w:bookmarkStart w:id="482" w:name="_Toc277082625"/>
      <w:r>
        <w:rPr>
          <w:rFonts w:hint="eastAsia" w:ascii="宋体" w:hAnsi="宋体" w:cs="宋体"/>
          <w:color w:val="auto"/>
          <w:kern w:val="0"/>
          <w:szCs w:val="21"/>
        </w:rPr>
        <w:t>3.2.1 评审小组按本章第3.2款规定的量化因素和分值进行打分，并计算出综合评估得分。</w:t>
      </w:r>
    </w:p>
    <w:p w14:paraId="6ABEEFE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（1）按本章第3.2.1（1）目规定的评审因素和分值对</w:t>
      </w:r>
      <w:r>
        <w:rPr>
          <w:rFonts w:hint="eastAsia" w:ascii="宋体" w:hAnsi="宋体" w:cs="宋体"/>
          <w:color w:val="auto"/>
          <w:kern w:val="0"/>
          <w:szCs w:val="21"/>
          <w:lang w:val="en-US" w:eastAsia="zh-CN"/>
        </w:rPr>
        <w:t>经济</w:t>
      </w:r>
      <w:r>
        <w:rPr>
          <w:rFonts w:hint="eastAsia" w:ascii="宋体" w:hAnsi="宋体" w:cs="宋体"/>
          <w:color w:val="auto"/>
          <w:kern w:val="0"/>
          <w:szCs w:val="21"/>
        </w:rPr>
        <w:t>部分计算出得分A</w:t>
      </w:r>
    </w:p>
    <w:p w14:paraId="56FB202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rPr>
        <w:t>按本章第3.2.1（1）目规定的评审因素和分值对技术部分计算出得分</w:t>
      </w:r>
      <w:r>
        <w:rPr>
          <w:rFonts w:hint="eastAsia" w:ascii="宋体" w:hAnsi="宋体" w:cs="宋体"/>
          <w:color w:val="auto"/>
          <w:kern w:val="0"/>
          <w:szCs w:val="21"/>
          <w:lang w:val="en-US" w:eastAsia="zh-CN"/>
        </w:rPr>
        <w:t>B</w:t>
      </w:r>
      <w:r>
        <w:rPr>
          <w:rFonts w:hint="eastAsia" w:ascii="宋体" w:hAnsi="宋体" w:cs="宋体"/>
          <w:color w:val="auto"/>
          <w:kern w:val="0"/>
          <w:szCs w:val="21"/>
        </w:rPr>
        <w:t>；</w:t>
      </w:r>
    </w:p>
    <w:p w14:paraId="035D2E8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）按本章第3.2.1（2）目规定的评审因素和分值对商务部分计算出得分</w:t>
      </w:r>
      <w:r>
        <w:rPr>
          <w:rFonts w:hint="eastAsia" w:ascii="宋体" w:hAnsi="宋体" w:cs="宋体"/>
          <w:color w:val="auto"/>
          <w:kern w:val="0"/>
          <w:szCs w:val="21"/>
          <w:lang w:val="en-US" w:eastAsia="zh-CN"/>
        </w:rPr>
        <w:t>C</w:t>
      </w:r>
      <w:r>
        <w:rPr>
          <w:rFonts w:hint="eastAsia" w:ascii="宋体" w:hAnsi="宋体" w:cs="宋体"/>
          <w:color w:val="auto"/>
          <w:kern w:val="0"/>
          <w:szCs w:val="21"/>
          <w:lang w:eastAsia="zh-CN"/>
        </w:rPr>
        <w:t>。</w:t>
      </w:r>
    </w:p>
    <w:p w14:paraId="709C778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3.2.2 评分分值计算保留小数点后两位，小数点后第三位“四舍五入”。</w:t>
      </w:r>
    </w:p>
    <w:p w14:paraId="29468C0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3.2.3 竞选人得分=A+B</w:t>
      </w:r>
      <w:r>
        <w:rPr>
          <w:rFonts w:hint="eastAsia" w:ascii="宋体" w:hAnsi="宋体" w:cs="宋体"/>
          <w:color w:val="auto"/>
          <w:kern w:val="0"/>
          <w:szCs w:val="21"/>
          <w:lang w:val="en-US" w:eastAsia="zh-CN"/>
        </w:rPr>
        <w:t>+C</w:t>
      </w:r>
      <w:r>
        <w:rPr>
          <w:rFonts w:hint="eastAsia" w:ascii="宋体" w:hAnsi="宋体" w:cs="宋体"/>
          <w:color w:val="auto"/>
          <w:kern w:val="0"/>
          <w:szCs w:val="21"/>
        </w:rPr>
        <w:t>。</w:t>
      </w:r>
    </w:p>
    <w:p w14:paraId="49976153">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5FA0E2E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61D850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59FB37F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6777EE04">
      <w:pPr>
        <w:pStyle w:val="9"/>
        <w:snapToGrid w:val="0"/>
        <w:spacing w:before="0" w:line="360" w:lineRule="auto"/>
        <w:rPr>
          <w:rFonts w:ascii="宋体" w:hAnsi="宋体" w:eastAsia="宋体" w:cs="宋体"/>
          <w:color w:val="auto"/>
          <w:sz w:val="21"/>
          <w:szCs w:val="21"/>
        </w:rPr>
      </w:pPr>
      <w:bookmarkStart w:id="483" w:name="_Toc31270"/>
      <w:bookmarkStart w:id="484" w:name="_Toc376114128"/>
      <w:bookmarkStart w:id="485" w:name="_Toc407195387"/>
      <w:bookmarkStart w:id="486" w:name="_Toc224103392"/>
      <w:bookmarkStart w:id="487" w:name="_Toc287607820"/>
      <w:bookmarkStart w:id="488" w:name="_Toc200513206"/>
      <w:bookmarkStart w:id="489" w:name="_Toc287620759"/>
      <w:bookmarkStart w:id="490" w:name="_Toc377067347"/>
      <w:bookmarkStart w:id="491" w:name="_Toc330569214"/>
      <w:bookmarkStart w:id="492" w:name="_Toc444155976"/>
      <w:bookmarkStart w:id="493" w:name="_Toc377115427"/>
      <w:bookmarkStart w:id="494" w:name="_Toc19054"/>
      <w:bookmarkStart w:id="495" w:name="_Toc30672"/>
      <w:bookmarkStart w:id="496" w:name="_Toc277082626"/>
      <w:bookmarkStart w:id="497" w:name="_Toc440022835"/>
      <w:bookmarkStart w:id="498" w:name="_Toc14840"/>
      <w:r>
        <w:rPr>
          <w:rFonts w:hint="eastAsia" w:ascii="宋体" w:hAnsi="宋体" w:eastAsia="宋体" w:cs="宋体"/>
          <w:color w:val="auto"/>
          <w:sz w:val="21"/>
          <w:szCs w:val="21"/>
        </w:rPr>
        <w:t>3.4 评审结果</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035F66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3.4.1 除第二章“竞选人须知”前附表授权直接确定中选人外，评审小组按照得分由高到低的顺序推荐中选候选人。</w:t>
      </w:r>
    </w:p>
    <w:p w14:paraId="46730E5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3.4.2 评审小组完成评审后，应当向比选人提交书面评审报告。</w:t>
      </w:r>
    </w:p>
    <w:p w14:paraId="4B3FE84F">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br w:type="page"/>
      </w:r>
    </w:p>
    <w:p w14:paraId="6FBDC8A4">
      <w:pPr>
        <w:outlineLvl w:val="1"/>
        <w:rPr>
          <w:rFonts w:ascii="宋体" w:hAnsi="宋体" w:cs="宋体"/>
          <w:color w:val="auto"/>
        </w:rPr>
      </w:pPr>
      <w:bookmarkStart w:id="499" w:name="_Toc19078"/>
      <w:r>
        <w:rPr>
          <w:rFonts w:hint="eastAsia" w:ascii="宋体" w:hAnsi="宋体" w:cs="宋体"/>
          <w:color w:val="auto"/>
        </w:rPr>
        <w:t>附件A：否决比选条件</w:t>
      </w:r>
      <w:bookmarkEnd w:id="499"/>
    </w:p>
    <w:p w14:paraId="29C06B59">
      <w:pPr>
        <w:pStyle w:val="39"/>
        <w:spacing w:line="360" w:lineRule="auto"/>
        <w:rPr>
          <w:rFonts w:ascii="宋体" w:hAnsi="宋体" w:cs="宋体"/>
          <w:b/>
          <w:color w:val="auto"/>
          <w:szCs w:val="21"/>
          <w:lang w:eastAsia="zh-CN"/>
        </w:rPr>
      </w:pPr>
      <w:bookmarkStart w:id="500" w:name="招标文件04章合同条款及格式"/>
      <w:bookmarkEnd w:id="500"/>
      <w:bookmarkStart w:id="501" w:name="招标文件03章02评标办法综合评估法02附件02"/>
      <w:bookmarkEnd w:id="501"/>
      <w:bookmarkStart w:id="502" w:name="_Toc230410480"/>
      <w:bookmarkStart w:id="503" w:name="_Toc277082627"/>
      <w:r>
        <w:rPr>
          <w:rFonts w:hint="eastAsia" w:ascii="宋体" w:hAnsi="宋体" w:cs="宋体"/>
          <w:b/>
          <w:color w:val="auto"/>
          <w:szCs w:val="21"/>
          <w:lang w:eastAsia="zh-CN"/>
        </w:rPr>
        <w:t>附件A：否决比选情况一览表</w:t>
      </w:r>
      <w:bookmarkEnd w:id="502"/>
    </w:p>
    <w:p w14:paraId="282A3165">
      <w:pPr>
        <w:pStyle w:val="39"/>
        <w:spacing w:line="360" w:lineRule="auto"/>
        <w:ind w:firstLine="211" w:firstLineChars="100"/>
        <w:jc w:val="both"/>
        <w:rPr>
          <w:rFonts w:ascii="宋体" w:hAnsi="宋体" w:cs="宋体"/>
          <w:b/>
          <w:color w:val="auto"/>
          <w:szCs w:val="21"/>
          <w:u w:val="none"/>
          <w:lang w:eastAsia="zh-CN"/>
        </w:rPr>
      </w:pPr>
      <w:r>
        <w:rPr>
          <w:rFonts w:hint="eastAsia" w:ascii="宋体" w:hAnsi="宋体" w:cs="宋体"/>
          <w:b/>
          <w:color w:val="auto"/>
          <w:szCs w:val="21"/>
          <w:u w:val="none"/>
          <w:lang w:eastAsia="zh-CN"/>
        </w:rPr>
        <w:t>否决比选条件一览表之外的评审小组不得判为重大偏差。</w:t>
      </w:r>
    </w:p>
    <w:bookmarkEnd w:id="503"/>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40EE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73B9DDE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竞争性比选文件章节号</w:t>
            </w:r>
          </w:p>
        </w:tc>
        <w:tc>
          <w:tcPr>
            <w:tcW w:w="1425" w:type="dxa"/>
            <w:vAlign w:val="center"/>
          </w:tcPr>
          <w:p w14:paraId="047FB522">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75" w:type="dxa"/>
            <w:vAlign w:val="center"/>
          </w:tcPr>
          <w:p w14:paraId="297D636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否决比选条件</w:t>
            </w:r>
          </w:p>
        </w:tc>
      </w:tr>
      <w:tr w14:paraId="5838F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0000B756">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第二章3.2</w:t>
            </w:r>
          </w:p>
        </w:tc>
        <w:tc>
          <w:tcPr>
            <w:tcW w:w="1425" w:type="dxa"/>
            <w:vAlign w:val="center"/>
          </w:tcPr>
          <w:p w14:paraId="6E20224E">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竞选报价</w:t>
            </w:r>
          </w:p>
        </w:tc>
        <w:tc>
          <w:tcPr>
            <w:tcW w:w="6275" w:type="dxa"/>
            <w:vAlign w:val="center"/>
          </w:tcPr>
          <w:p w14:paraId="078ACF55">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满足第二章竞选人须知前附表3.2“</w:t>
            </w:r>
            <w:r>
              <w:rPr>
                <w:rFonts w:hint="eastAsia" w:ascii="宋体" w:hAnsi="宋体" w:cs="宋体"/>
                <w:color w:val="auto"/>
                <w:kern w:val="0"/>
                <w:szCs w:val="21"/>
              </w:rPr>
              <w:t>竞选报价</w:t>
            </w:r>
            <w:r>
              <w:rPr>
                <w:rFonts w:hint="eastAsia" w:ascii="宋体" w:hAnsi="宋体" w:cs="宋体"/>
                <w:color w:val="auto"/>
                <w:szCs w:val="21"/>
              </w:rPr>
              <w:t>”要求</w:t>
            </w:r>
          </w:p>
        </w:tc>
      </w:tr>
      <w:tr w14:paraId="4865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10B8C891">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第三章3.1</w:t>
            </w:r>
          </w:p>
        </w:tc>
        <w:tc>
          <w:tcPr>
            <w:tcW w:w="1425" w:type="dxa"/>
            <w:vMerge w:val="restart"/>
            <w:vAlign w:val="center"/>
          </w:tcPr>
          <w:p w14:paraId="756E7412">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初步评审</w:t>
            </w:r>
          </w:p>
        </w:tc>
        <w:tc>
          <w:tcPr>
            <w:tcW w:w="6275" w:type="dxa"/>
          </w:tcPr>
          <w:p w14:paraId="34D207CD">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评审小组依据本章第2.1款规定的标准对竞选文件进行初步评审。有一项不符合评审标准的，竞选文件按否决比选处理。</w:t>
            </w:r>
          </w:p>
        </w:tc>
      </w:tr>
      <w:tr w14:paraId="559CF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tcPr>
          <w:p w14:paraId="3C0C0264">
            <w:pPr>
              <w:adjustRightInd w:val="0"/>
              <w:snapToGrid w:val="0"/>
              <w:spacing w:line="400" w:lineRule="exact"/>
              <w:jc w:val="center"/>
              <w:rPr>
                <w:rFonts w:ascii="宋体" w:hAnsi="宋体" w:cs="宋体"/>
                <w:color w:val="auto"/>
                <w:szCs w:val="21"/>
              </w:rPr>
            </w:pPr>
          </w:p>
        </w:tc>
        <w:tc>
          <w:tcPr>
            <w:tcW w:w="1425" w:type="dxa"/>
            <w:vMerge w:val="continue"/>
          </w:tcPr>
          <w:p w14:paraId="53328CB6">
            <w:pPr>
              <w:adjustRightInd w:val="0"/>
              <w:snapToGrid w:val="0"/>
              <w:spacing w:line="400" w:lineRule="exact"/>
              <w:rPr>
                <w:rFonts w:ascii="宋体" w:hAnsi="宋体" w:cs="宋体"/>
                <w:color w:val="auto"/>
                <w:szCs w:val="21"/>
              </w:rPr>
            </w:pPr>
          </w:p>
        </w:tc>
        <w:tc>
          <w:tcPr>
            <w:tcW w:w="6275" w:type="dxa"/>
          </w:tcPr>
          <w:p w14:paraId="466F469D">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竞选人有以下情形之一的，其竞选文件按否决比选处理：</w:t>
            </w:r>
          </w:p>
          <w:p w14:paraId="353F5DC3">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（1）第二章“竞选人须知”第1.4.3项规定的任何一种情形的；</w:t>
            </w:r>
          </w:p>
          <w:p w14:paraId="06C136A8">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（2）串通竞选或弄虚作假或有其他违法行为的；</w:t>
            </w:r>
          </w:p>
          <w:p w14:paraId="504FCDE0">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（3）不按评审小组要求澄清、说明或补正的。</w:t>
            </w:r>
          </w:p>
          <w:p w14:paraId="0157211B">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（4）本竞争性比选文件约定的其它情形。</w:t>
            </w:r>
          </w:p>
        </w:tc>
      </w:tr>
    </w:tbl>
    <w:p w14:paraId="7A7B7CB7">
      <w:pPr>
        <w:pStyle w:val="42"/>
        <w:spacing w:after="0" w:line="400" w:lineRule="exact"/>
        <w:ind w:left="0" w:leftChars="0" w:firstLine="321" w:firstLineChars="200"/>
        <w:rPr>
          <w:rFonts w:ascii="宋体" w:hAnsi="宋体" w:cs="宋体"/>
          <w:b/>
          <w:bCs/>
          <w:color w:val="auto"/>
        </w:rPr>
      </w:pPr>
      <w:bookmarkStart w:id="504" w:name="_Toc12655"/>
      <w:bookmarkEnd w:id="504"/>
      <w:bookmarkStart w:id="505" w:name="_Toc16033"/>
      <w:bookmarkEnd w:id="505"/>
      <w:bookmarkStart w:id="506" w:name="_Toc26213"/>
      <w:bookmarkStart w:id="507" w:name="_Toc277543153"/>
      <w:bookmarkStart w:id="508" w:name="_Toc224103476"/>
      <w:bookmarkStart w:id="509" w:name="_Toc27237"/>
      <w:bookmarkStart w:id="510" w:name="_Toc24282"/>
      <w:bookmarkStart w:id="511" w:name="_Toc454967660"/>
      <w:bookmarkStart w:id="512" w:name="_Toc359587985"/>
      <w:bookmarkStart w:id="513" w:name="_Toc444155988"/>
      <w:bookmarkStart w:id="514" w:name="_Toc359588084"/>
    </w:p>
    <w:p w14:paraId="149745AE">
      <w:pPr>
        <w:pStyle w:val="7"/>
        <w:numPr>
          <w:ilvl w:val="0"/>
          <w:numId w:val="0"/>
        </w:numPr>
        <w:rPr>
          <w:rFonts w:hint="default" w:ascii="宋体" w:hAnsi="宋体" w:eastAsia="宋体" w:cs="宋体"/>
          <w:b/>
          <w:bCs/>
          <w:color w:val="auto"/>
          <w:lang w:val="en-US" w:eastAsia="zh-CN"/>
        </w:rPr>
      </w:pPr>
      <w:r>
        <w:rPr>
          <w:rFonts w:hint="eastAsia" w:ascii="宋体" w:hAnsi="宋体" w:eastAsia="宋体" w:cs="宋体"/>
          <w:b/>
          <w:bCs/>
          <w:color w:val="auto"/>
        </w:rPr>
        <w:br w:type="page"/>
      </w:r>
      <w:bookmarkStart w:id="515" w:name="_Toc27248"/>
      <w:bookmarkStart w:id="516" w:name="_Toc14941"/>
      <w:r>
        <w:rPr>
          <w:rFonts w:hint="eastAsia" w:ascii="宋体" w:hAnsi="宋体" w:eastAsia="宋体" w:cs="宋体"/>
          <w:b/>
          <w:color w:val="auto"/>
          <w:kern w:val="0"/>
          <w:sz w:val="36"/>
          <w:szCs w:val="36"/>
        </w:rPr>
        <w:t xml:space="preserve">第四章 </w:t>
      </w:r>
      <w:bookmarkEnd w:id="506"/>
      <w:bookmarkEnd w:id="507"/>
      <w:bookmarkEnd w:id="508"/>
      <w:bookmarkEnd w:id="509"/>
      <w:bookmarkEnd w:id="510"/>
      <w:bookmarkEnd w:id="511"/>
      <w:bookmarkEnd w:id="512"/>
      <w:bookmarkEnd w:id="513"/>
      <w:bookmarkEnd w:id="514"/>
      <w:bookmarkEnd w:id="515"/>
      <w:bookmarkStart w:id="517" w:name="_Toc312326016"/>
      <w:bookmarkStart w:id="518" w:name="_Toc312326634"/>
      <w:bookmarkStart w:id="519" w:name="_Toc13570"/>
      <w:bookmarkStart w:id="520" w:name="_Toc310932781"/>
      <w:bookmarkStart w:id="521" w:name="_Toc312326143"/>
      <w:bookmarkStart w:id="522" w:name="_Toc312325930"/>
      <w:bookmarkStart w:id="523" w:name="_Toc312326142"/>
      <w:bookmarkStart w:id="524" w:name="_Toc475703884"/>
      <w:bookmarkStart w:id="525" w:name="_Toc312325929"/>
      <w:bookmarkStart w:id="526" w:name="_Toc312326017"/>
      <w:r>
        <w:rPr>
          <w:rFonts w:hint="eastAsia" w:ascii="宋体" w:hAnsi="宋体" w:eastAsia="宋体" w:cs="宋体"/>
          <w:b/>
          <w:color w:val="auto"/>
          <w:kern w:val="0"/>
          <w:sz w:val="36"/>
          <w:szCs w:val="36"/>
        </w:rPr>
        <w:t>合同条款</w:t>
      </w:r>
      <w:r>
        <w:rPr>
          <w:rFonts w:hint="eastAsia" w:ascii="宋体" w:hAnsi="宋体" w:eastAsia="宋体" w:cs="宋体"/>
          <w:b/>
          <w:color w:val="auto"/>
          <w:kern w:val="0"/>
          <w:sz w:val="36"/>
          <w:szCs w:val="36"/>
          <w:lang w:val="en-US" w:eastAsia="zh-CN"/>
        </w:rPr>
        <w:t>及格式</w:t>
      </w:r>
      <w:bookmarkEnd w:id="516"/>
    </w:p>
    <w:p w14:paraId="543951A4">
      <w:pPr>
        <w:widowControl/>
        <w:jc w:val="left"/>
        <w:rPr>
          <w:rFonts w:ascii="宋体" w:hAnsi="宋体" w:cs="宋体"/>
          <w:color w:val="auto"/>
        </w:rPr>
      </w:pPr>
      <w:r>
        <w:rPr>
          <w:rFonts w:hint="eastAsia" w:ascii="宋体" w:hAnsi="宋体" w:cs="宋体"/>
          <w:color w:val="auto"/>
        </w:rPr>
        <w:br w:type="page"/>
      </w:r>
    </w:p>
    <w:p w14:paraId="133334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44"/>
          <w:szCs w:val="44"/>
          <w:highlight w:val="none"/>
        </w:rPr>
        <w:t>合同</w:t>
      </w:r>
      <w:r>
        <w:rPr>
          <w:rFonts w:hint="eastAsia" w:ascii="宋体" w:hAnsi="宋体" w:eastAsia="宋体" w:cs="宋体"/>
          <w:b/>
          <w:bCs/>
          <w:color w:val="auto"/>
          <w:sz w:val="44"/>
          <w:szCs w:val="44"/>
          <w:highlight w:val="none"/>
          <w:lang w:val="en-US" w:eastAsia="zh-CN"/>
        </w:rPr>
        <w:t>协议书</w:t>
      </w:r>
      <w:r>
        <w:rPr>
          <w:rFonts w:hint="eastAsia" w:ascii="宋体" w:hAnsi="宋体" w:eastAsia="宋体" w:cs="宋体"/>
          <w:b/>
          <w:bCs/>
          <w:color w:val="auto"/>
          <w:sz w:val="44"/>
          <w:szCs w:val="44"/>
          <w:highlight w:val="none"/>
        </w:rPr>
        <w:t>（参考模板）</w:t>
      </w:r>
    </w:p>
    <w:p w14:paraId="10C341E9">
      <w:pPr>
        <w:snapToGrid w:val="0"/>
        <w:spacing w:line="360" w:lineRule="auto"/>
        <w:ind w:firstLine="442" w:firstLineChars="200"/>
        <w:rPr>
          <w:rFonts w:hint="eastAsia" w:ascii="宋体" w:hAnsi="宋体" w:eastAsia="宋体" w:cs="宋体"/>
          <w:b/>
          <w:sz w:val="22"/>
          <w:szCs w:val="22"/>
          <w:highlight w:val="none"/>
          <w:u w:val="single"/>
        </w:rPr>
      </w:pPr>
      <w:r>
        <w:rPr>
          <w:rFonts w:hint="eastAsia" w:ascii="宋体" w:hAnsi="宋体" w:eastAsia="宋体" w:cs="宋体"/>
          <w:b/>
          <w:sz w:val="22"/>
          <w:szCs w:val="22"/>
          <w:highlight w:val="none"/>
        </w:rPr>
        <w:t>发包人（全称）：</w:t>
      </w:r>
      <w:r>
        <w:rPr>
          <w:rFonts w:hint="eastAsia" w:ascii="宋体" w:hAnsi="宋体" w:eastAsia="宋体" w:cs="宋体"/>
          <w:sz w:val="22"/>
          <w:szCs w:val="22"/>
          <w:highlight w:val="none"/>
          <w:u w:val="single"/>
        </w:rPr>
        <w:t xml:space="preserve">                             </w:t>
      </w:r>
    </w:p>
    <w:p w14:paraId="5C47098D">
      <w:pPr>
        <w:snapToGrid w:val="0"/>
        <w:spacing w:line="360" w:lineRule="auto"/>
        <w:ind w:firstLine="442" w:firstLineChars="200"/>
        <w:rPr>
          <w:rFonts w:hint="eastAsia" w:ascii="宋体" w:hAnsi="宋体" w:eastAsia="宋体" w:cs="宋体"/>
          <w:b/>
          <w:sz w:val="22"/>
          <w:szCs w:val="22"/>
          <w:highlight w:val="none"/>
          <w:u w:val="single"/>
        </w:rPr>
      </w:pPr>
      <w:r>
        <w:rPr>
          <w:rFonts w:hint="eastAsia" w:ascii="宋体" w:hAnsi="宋体" w:eastAsia="宋体" w:cs="宋体"/>
          <w:b/>
          <w:sz w:val="22"/>
          <w:szCs w:val="22"/>
          <w:highlight w:val="none"/>
        </w:rPr>
        <w:t>承包人（全称）：</w:t>
      </w:r>
      <w:r>
        <w:rPr>
          <w:rFonts w:hint="eastAsia" w:ascii="宋体" w:hAnsi="宋体" w:eastAsia="宋体" w:cs="宋体"/>
          <w:sz w:val="22"/>
          <w:szCs w:val="22"/>
          <w:highlight w:val="none"/>
          <w:u w:val="single"/>
        </w:rPr>
        <w:t xml:space="preserve">                                 </w:t>
      </w:r>
    </w:p>
    <w:p w14:paraId="6EFA55A7">
      <w:pPr>
        <w:spacing w:line="360" w:lineRule="auto"/>
        <w:ind w:firstLine="440" w:firstLineChars="200"/>
        <w:rPr>
          <w:rFonts w:hint="eastAsia" w:ascii="宋体" w:hAnsi="宋体" w:eastAsia="宋体" w:cs="宋体"/>
          <w:b/>
          <w:sz w:val="22"/>
          <w:szCs w:val="22"/>
          <w:highlight w:val="none"/>
          <w:u w:val="single"/>
        </w:rPr>
      </w:pPr>
      <w:r>
        <w:rPr>
          <w:rFonts w:hint="eastAsia" w:ascii="宋体" w:hAnsi="宋体" w:eastAsia="宋体" w:cs="宋体"/>
          <w:sz w:val="22"/>
          <w:szCs w:val="22"/>
          <w:highlight w:val="none"/>
        </w:rPr>
        <w:t>根据《中华人民共和国民法典》、《中华人民共和国建筑法》及有关法律、法规规定，遵循平等、自愿、公平和诚实信用的原则，双方就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工程施工及有关事项协商一致，共同达成如下协议：</w:t>
      </w:r>
    </w:p>
    <w:p w14:paraId="254BFBB7">
      <w:pPr>
        <w:pStyle w:val="10"/>
        <w:spacing w:before="120" w:after="120" w:line="360" w:lineRule="auto"/>
        <w:ind w:firstLine="442" w:firstLineChars="200"/>
        <w:jc w:val="left"/>
        <w:rPr>
          <w:rFonts w:hint="eastAsia" w:ascii="宋体" w:hAnsi="宋体" w:eastAsia="宋体" w:cs="宋体"/>
          <w:sz w:val="22"/>
          <w:szCs w:val="22"/>
          <w:highlight w:val="none"/>
        </w:rPr>
      </w:pPr>
      <w:bookmarkStart w:id="527" w:name="_Toc532377166"/>
      <w:bookmarkStart w:id="528" w:name="_Toc532375573"/>
      <w:r>
        <w:rPr>
          <w:rFonts w:hint="eastAsia" w:ascii="宋体" w:hAnsi="宋体" w:eastAsia="宋体" w:cs="宋体"/>
          <w:sz w:val="22"/>
          <w:szCs w:val="22"/>
          <w:highlight w:val="none"/>
        </w:rPr>
        <w:t>一、工程概况</w:t>
      </w:r>
      <w:bookmarkEnd w:id="527"/>
      <w:bookmarkEnd w:id="528"/>
    </w:p>
    <w:p w14:paraId="2E516654">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bCs/>
          <w:sz w:val="22"/>
          <w:szCs w:val="22"/>
          <w:highlight w:val="none"/>
        </w:rPr>
        <w:t>1.工程名称</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06CCBB0F">
      <w:pPr>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2.工程地点：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17714F3">
      <w:pPr>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3.资金来源：</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2C17F454">
      <w:pPr>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4.工程内容：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53117431">
      <w:pPr>
        <w:snapToGrid w:val="0"/>
        <w:spacing w:line="360" w:lineRule="auto"/>
        <w:ind w:firstLine="440" w:firstLineChars="20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5.工程承包范围：</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06A0BF45">
      <w:pPr>
        <w:pStyle w:val="10"/>
        <w:spacing w:before="120" w:after="120" w:line="360" w:lineRule="auto"/>
        <w:ind w:firstLine="442" w:firstLineChars="200"/>
        <w:jc w:val="left"/>
        <w:rPr>
          <w:rFonts w:hint="eastAsia" w:ascii="宋体" w:hAnsi="宋体" w:eastAsia="宋体" w:cs="宋体"/>
          <w:sz w:val="22"/>
          <w:szCs w:val="22"/>
          <w:highlight w:val="none"/>
        </w:rPr>
      </w:pPr>
      <w:bookmarkStart w:id="529" w:name="_Toc532375574"/>
      <w:bookmarkStart w:id="530" w:name="_Toc532377167"/>
      <w:r>
        <w:rPr>
          <w:rFonts w:hint="eastAsia" w:ascii="宋体" w:hAnsi="宋体" w:eastAsia="宋体" w:cs="宋体"/>
          <w:sz w:val="22"/>
          <w:szCs w:val="22"/>
          <w:highlight w:val="none"/>
        </w:rPr>
        <w:t>二、合同工期</w:t>
      </w:r>
      <w:bookmarkEnd w:id="529"/>
      <w:bookmarkEnd w:id="530"/>
    </w:p>
    <w:p w14:paraId="3A4A983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承包人投标函中承诺的工期：</w:t>
      </w:r>
      <w:r>
        <w:rPr>
          <w:rFonts w:hint="eastAsia" w:ascii="宋体" w:hAnsi="宋体" w:eastAsia="宋体" w:cs="宋体"/>
          <w:bCs/>
          <w:sz w:val="22"/>
          <w:szCs w:val="22"/>
          <w:highlight w:val="none"/>
          <w:u w:val="single"/>
        </w:rPr>
        <w:t>日历天</w:t>
      </w:r>
      <w:r>
        <w:rPr>
          <w:rFonts w:hint="eastAsia" w:ascii="宋体" w:hAnsi="宋体" w:eastAsia="宋体" w:cs="宋体"/>
          <w:bCs/>
          <w:sz w:val="22"/>
          <w:szCs w:val="22"/>
          <w:highlight w:val="none"/>
        </w:rPr>
        <w:t>。</w:t>
      </w:r>
    </w:p>
    <w:p w14:paraId="7AC6FB6F">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计划开工日期：</w:t>
      </w:r>
      <w:r>
        <w:rPr>
          <w:rFonts w:hint="eastAsia" w:ascii="宋体" w:hAnsi="宋体" w:eastAsia="宋体" w:cs="宋体"/>
          <w:bCs/>
          <w:sz w:val="22"/>
          <w:szCs w:val="22"/>
          <w:highlight w:val="none"/>
          <w:u w:val="single"/>
        </w:rPr>
        <w:t></w:t>
      </w:r>
      <w:r>
        <w:rPr>
          <w:rFonts w:hint="eastAsia" w:ascii="宋体" w:hAnsi="宋体" w:eastAsia="宋体" w:cs="宋体"/>
          <w:bCs/>
          <w:sz w:val="22"/>
          <w:szCs w:val="22"/>
          <w:highlight w:val="none"/>
        </w:rPr>
        <w:t>年</w:t>
      </w:r>
      <w:r>
        <w:rPr>
          <w:rFonts w:hint="eastAsia" w:ascii="宋体" w:hAnsi="宋体" w:eastAsia="宋体" w:cs="宋体"/>
          <w:bCs/>
          <w:sz w:val="22"/>
          <w:szCs w:val="22"/>
          <w:highlight w:val="none"/>
          <w:u w:val="single"/>
        </w:rPr>
        <w:t></w:t>
      </w:r>
      <w:r>
        <w:rPr>
          <w:rFonts w:hint="eastAsia" w:ascii="宋体" w:hAnsi="宋体" w:eastAsia="宋体" w:cs="宋体"/>
          <w:bCs/>
          <w:sz w:val="22"/>
          <w:szCs w:val="22"/>
          <w:highlight w:val="none"/>
        </w:rPr>
        <w:t>月</w:t>
      </w:r>
      <w:r>
        <w:rPr>
          <w:rFonts w:hint="eastAsia" w:ascii="宋体" w:hAnsi="宋体" w:eastAsia="宋体" w:cs="宋体"/>
          <w:bCs/>
          <w:sz w:val="22"/>
          <w:szCs w:val="22"/>
          <w:highlight w:val="none"/>
          <w:u w:val="single"/>
        </w:rPr>
        <w:t></w:t>
      </w:r>
      <w:r>
        <w:rPr>
          <w:rFonts w:hint="eastAsia" w:ascii="宋体" w:hAnsi="宋体" w:eastAsia="宋体" w:cs="宋体"/>
          <w:bCs/>
          <w:sz w:val="22"/>
          <w:szCs w:val="22"/>
          <w:highlight w:val="none"/>
        </w:rPr>
        <w:t>日，实际开工日期以监理工程师签发的工程开工通知明确的开工日期为准。</w:t>
      </w:r>
    </w:p>
    <w:p w14:paraId="01DC0F50">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计划竣工日期：</w:t>
      </w:r>
      <w:r>
        <w:rPr>
          <w:rFonts w:hint="eastAsia" w:ascii="宋体" w:hAnsi="宋体" w:eastAsia="宋体" w:cs="宋体"/>
          <w:bCs/>
          <w:sz w:val="22"/>
          <w:szCs w:val="22"/>
          <w:highlight w:val="none"/>
          <w:u w:val="single"/>
        </w:rPr>
        <w:t></w:t>
      </w:r>
      <w:r>
        <w:rPr>
          <w:rFonts w:hint="eastAsia" w:ascii="宋体" w:hAnsi="宋体" w:eastAsia="宋体" w:cs="宋体"/>
          <w:bCs/>
          <w:sz w:val="22"/>
          <w:szCs w:val="22"/>
          <w:highlight w:val="none"/>
        </w:rPr>
        <w:t>年</w:t>
      </w:r>
      <w:r>
        <w:rPr>
          <w:rFonts w:hint="eastAsia" w:ascii="宋体" w:hAnsi="宋体" w:eastAsia="宋体" w:cs="宋体"/>
          <w:bCs/>
          <w:sz w:val="22"/>
          <w:szCs w:val="22"/>
          <w:highlight w:val="none"/>
          <w:u w:val="single"/>
        </w:rPr>
        <w:t></w:t>
      </w:r>
      <w:r>
        <w:rPr>
          <w:rFonts w:hint="eastAsia" w:ascii="宋体" w:hAnsi="宋体" w:eastAsia="宋体" w:cs="宋体"/>
          <w:bCs/>
          <w:sz w:val="22"/>
          <w:szCs w:val="22"/>
          <w:highlight w:val="none"/>
        </w:rPr>
        <w:t>月</w:t>
      </w:r>
      <w:r>
        <w:rPr>
          <w:rFonts w:hint="eastAsia" w:ascii="宋体" w:hAnsi="宋体" w:eastAsia="宋体" w:cs="宋体"/>
          <w:bCs/>
          <w:sz w:val="22"/>
          <w:szCs w:val="22"/>
          <w:highlight w:val="none"/>
          <w:u w:val="single"/>
        </w:rPr>
        <w:t></w:t>
      </w:r>
      <w:r>
        <w:rPr>
          <w:rFonts w:hint="eastAsia" w:ascii="宋体" w:hAnsi="宋体" w:eastAsia="宋体" w:cs="宋体"/>
          <w:bCs/>
          <w:sz w:val="22"/>
          <w:szCs w:val="22"/>
          <w:highlight w:val="none"/>
        </w:rPr>
        <w:t>日，实际竣工日期以工程竣工验收合格之日为准。</w:t>
      </w:r>
    </w:p>
    <w:p w14:paraId="535CB85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工期总日历天数</w:t>
      </w:r>
      <w:r>
        <w:rPr>
          <w:rFonts w:hint="eastAsia" w:ascii="宋体" w:hAnsi="宋体" w:eastAsia="宋体" w:cs="宋体"/>
          <w:bCs/>
          <w:sz w:val="22"/>
          <w:szCs w:val="22"/>
          <w:highlight w:val="none"/>
          <w:u w:val="single"/>
        </w:rPr>
        <w:t></w:t>
      </w:r>
      <w:r>
        <w:rPr>
          <w:rFonts w:hint="eastAsia" w:ascii="宋体" w:hAnsi="宋体" w:eastAsia="宋体" w:cs="宋体"/>
          <w:bCs/>
          <w:sz w:val="22"/>
          <w:szCs w:val="22"/>
          <w:highlight w:val="none"/>
        </w:rPr>
        <w:t>天。工期总日历天数与根据前述计划开竣工日期计算的工期天数不一</w:t>
      </w:r>
      <w:r>
        <w:rPr>
          <w:rFonts w:hint="eastAsia" w:ascii="宋体" w:hAnsi="宋体" w:eastAsia="宋体" w:cs="宋体"/>
          <w:sz w:val="22"/>
          <w:szCs w:val="22"/>
          <w:highlight w:val="none"/>
        </w:rPr>
        <w:t>致的，以工期总日历天数为准。</w:t>
      </w:r>
    </w:p>
    <w:p w14:paraId="19B0E857">
      <w:pPr>
        <w:pStyle w:val="10"/>
        <w:spacing w:before="120" w:after="120" w:line="360" w:lineRule="auto"/>
        <w:ind w:firstLine="442" w:firstLineChars="200"/>
        <w:jc w:val="left"/>
        <w:rPr>
          <w:rFonts w:hint="eastAsia" w:ascii="宋体" w:hAnsi="宋体" w:eastAsia="宋体" w:cs="宋体"/>
          <w:sz w:val="22"/>
          <w:szCs w:val="22"/>
          <w:highlight w:val="none"/>
        </w:rPr>
      </w:pPr>
      <w:bookmarkStart w:id="531" w:name="_Toc532377168"/>
      <w:bookmarkStart w:id="532" w:name="_Toc532375575"/>
      <w:r>
        <w:rPr>
          <w:rFonts w:hint="eastAsia" w:ascii="宋体" w:hAnsi="宋体" w:eastAsia="宋体" w:cs="宋体"/>
          <w:sz w:val="22"/>
          <w:szCs w:val="22"/>
          <w:highlight w:val="none"/>
        </w:rPr>
        <w:t>三、质量标准</w:t>
      </w:r>
      <w:bookmarkEnd w:id="531"/>
      <w:bookmarkEnd w:id="532"/>
    </w:p>
    <w:p w14:paraId="4502944C">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工程质量符合强制性质量标准，</w:t>
      </w:r>
      <w:r>
        <w:rPr>
          <w:rFonts w:hint="eastAsia" w:ascii="宋体" w:hAnsi="宋体" w:eastAsia="宋体" w:cs="宋体"/>
          <w:sz w:val="22"/>
          <w:szCs w:val="22"/>
          <w:highlight w:val="none"/>
          <w:u w:val="single"/>
        </w:rPr>
        <w:t>符合国家和重庆市现行有关施工质量验收规范要求，并达到合格</w:t>
      </w:r>
      <w:r>
        <w:rPr>
          <w:rFonts w:hint="eastAsia" w:ascii="宋体" w:hAnsi="宋体" w:eastAsia="宋体" w:cs="宋体"/>
          <w:sz w:val="22"/>
          <w:szCs w:val="22"/>
          <w:highlight w:val="none"/>
        </w:rPr>
        <w:t>标准。</w:t>
      </w:r>
    </w:p>
    <w:p w14:paraId="7705B388">
      <w:pPr>
        <w:pStyle w:val="10"/>
        <w:spacing w:before="120" w:after="120" w:line="360" w:lineRule="auto"/>
        <w:ind w:firstLine="442" w:firstLineChars="200"/>
        <w:jc w:val="left"/>
        <w:rPr>
          <w:rFonts w:hint="eastAsia" w:ascii="宋体" w:hAnsi="宋体" w:eastAsia="宋体" w:cs="宋体"/>
          <w:sz w:val="22"/>
          <w:szCs w:val="22"/>
          <w:highlight w:val="none"/>
        </w:rPr>
      </w:pPr>
      <w:bookmarkStart w:id="533" w:name="_Toc532377169"/>
      <w:bookmarkStart w:id="534" w:name="_Toc532375576"/>
      <w:r>
        <w:rPr>
          <w:rFonts w:hint="eastAsia" w:ascii="宋体" w:hAnsi="宋体" w:eastAsia="宋体" w:cs="宋体"/>
          <w:sz w:val="22"/>
          <w:szCs w:val="22"/>
          <w:highlight w:val="none"/>
        </w:rPr>
        <w:t>四、签约合同价与合同价格形式</w:t>
      </w:r>
      <w:bookmarkEnd w:id="533"/>
      <w:bookmarkEnd w:id="534"/>
      <w:r>
        <w:rPr>
          <w:rFonts w:hint="eastAsia" w:ascii="宋体" w:hAnsi="宋体" w:eastAsia="宋体" w:cs="宋体"/>
          <w:sz w:val="22"/>
          <w:szCs w:val="22"/>
          <w:highlight w:val="none"/>
        </w:rPr>
        <w:tab/>
      </w:r>
    </w:p>
    <w:p w14:paraId="3BF8D0B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1.承包人投标函中承诺的中标价为：</w:t>
      </w:r>
    </w:p>
    <w:p w14:paraId="6757091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人民币（大写）</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元）；</w:t>
      </w:r>
    </w:p>
    <w:p w14:paraId="7A312EC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2.签约合同价为：</w:t>
      </w:r>
    </w:p>
    <w:p w14:paraId="2E9F09C1">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人民币（大写）</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元）；</w:t>
      </w:r>
    </w:p>
    <w:p w14:paraId="4EE9D74F">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其中：</w:t>
      </w:r>
    </w:p>
    <w:p w14:paraId="1B9B8F9E">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（1）安全文明施工费：</w:t>
      </w:r>
    </w:p>
    <w:p w14:paraId="29A3510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人民币（大写）</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元）；</w:t>
      </w:r>
    </w:p>
    <w:p w14:paraId="444DBDD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3.合同价格形式：</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1FFE9BC1">
      <w:pPr>
        <w:pStyle w:val="10"/>
        <w:spacing w:before="120" w:after="120" w:line="360" w:lineRule="auto"/>
        <w:ind w:firstLine="442" w:firstLineChars="200"/>
        <w:jc w:val="left"/>
        <w:rPr>
          <w:rFonts w:hint="eastAsia" w:ascii="宋体" w:hAnsi="宋体" w:eastAsia="宋体" w:cs="宋体"/>
          <w:sz w:val="22"/>
          <w:szCs w:val="22"/>
          <w:highlight w:val="none"/>
        </w:rPr>
      </w:pPr>
      <w:bookmarkStart w:id="535" w:name="_Toc532377170"/>
      <w:bookmarkStart w:id="536" w:name="_Toc532375577"/>
      <w:r>
        <w:rPr>
          <w:rFonts w:hint="eastAsia" w:ascii="宋体" w:hAnsi="宋体" w:eastAsia="宋体" w:cs="宋体"/>
          <w:sz w:val="22"/>
          <w:szCs w:val="22"/>
          <w:highlight w:val="none"/>
        </w:rPr>
        <w:t>五、付款方式</w:t>
      </w:r>
    </w:p>
    <w:bookmarkEnd w:id="535"/>
    <w:bookmarkEnd w:id="536"/>
    <w:p w14:paraId="6916DCF2">
      <w:pPr>
        <w:pStyle w:val="10"/>
        <w:spacing w:before="120" w:after="120" w:line="360" w:lineRule="auto"/>
        <w:ind w:firstLine="442" w:firstLineChars="200"/>
        <w:jc w:val="left"/>
        <w:rPr>
          <w:rFonts w:hint="eastAsia" w:ascii="宋体" w:hAnsi="宋体" w:eastAsia="宋体" w:cs="宋体"/>
          <w:color w:val="auto"/>
          <w:sz w:val="22"/>
          <w:szCs w:val="22"/>
          <w:highlight w:val="none"/>
        </w:rPr>
      </w:pPr>
      <w:bookmarkStart w:id="537" w:name="_Toc532377171"/>
      <w:bookmarkStart w:id="538" w:name="_Toc532375578"/>
      <w:r>
        <w:rPr>
          <w:rFonts w:hint="eastAsia" w:ascii="宋体" w:hAnsi="宋体" w:eastAsia="宋体" w:cs="宋体"/>
          <w:color w:val="auto"/>
          <w:sz w:val="22"/>
          <w:szCs w:val="22"/>
          <w:highlight w:val="none"/>
        </w:rPr>
        <w:t>六、</w:t>
      </w:r>
      <w:r>
        <w:rPr>
          <w:rFonts w:hint="eastAsia" w:ascii="宋体" w:hAnsi="宋体" w:eastAsia="宋体" w:cs="宋体"/>
          <w:color w:val="auto"/>
          <w:sz w:val="22"/>
          <w:szCs w:val="22"/>
          <w:highlight w:val="none"/>
          <w:lang w:val="en-US" w:eastAsia="zh-CN"/>
        </w:rPr>
        <w:t>安全生产</w:t>
      </w:r>
    </w:p>
    <w:p w14:paraId="1067BD7B">
      <w:pPr>
        <w:spacing w:line="360" w:lineRule="auto"/>
        <w:ind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承包人</w:t>
      </w:r>
      <w:r>
        <w:rPr>
          <w:rFonts w:hint="eastAsia" w:ascii="宋体" w:hAnsi="宋体" w:eastAsia="宋体" w:cs="宋体"/>
          <w:bCs/>
          <w:color w:val="auto"/>
          <w:sz w:val="22"/>
          <w:szCs w:val="22"/>
          <w:highlight w:val="none"/>
        </w:rPr>
        <w:t>对施工安全负责（含第三方），若发生安全事故及造成的经济损失，一切责任由</w:t>
      </w:r>
      <w:r>
        <w:rPr>
          <w:rFonts w:hint="eastAsia" w:ascii="宋体" w:hAnsi="宋体" w:eastAsia="宋体" w:cs="宋体"/>
          <w:bCs/>
          <w:color w:val="auto"/>
          <w:sz w:val="22"/>
          <w:szCs w:val="22"/>
          <w:highlight w:val="none"/>
          <w:lang w:val="en-US" w:eastAsia="zh-CN"/>
        </w:rPr>
        <w:t>承包人</w:t>
      </w:r>
      <w:r>
        <w:rPr>
          <w:rFonts w:hint="eastAsia" w:ascii="宋体" w:hAnsi="宋体" w:eastAsia="宋体" w:cs="宋体"/>
          <w:bCs/>
          <w:color w:val="auto"/>
          <w:sz w:val="22"/>
          <w:szCs w:val="22"/>
          <w:highlight w:val="none"/>
        </w:rPr>
        <w:t>全部承担，</w:t>
      </w:r>
      <w:r>
        <w:rPr>
          <w:rFonts w:hint="eastAsia" w:ascii="宋体" w:hAnsi="宋体" w:eastAsia="宋体" w:cs="宋体"/>
          <w:bCs/>
          <w:color w:val="auto"/>
          <w:sz w:val="22"/>
          <w:szCs w:val="22"/>
          <w:highlight w:val="none"/>
          <w:lang w:val="en-US" w:eastAsia="zh-CN"/>
        </w:rPr>
        <w:t>发包人</w:t>
      </w:r>
      <w:r>
        <w:rPr>
          <w:rFonts w:hint="eastAsia" w:ascii="宋体" w:hAnsi="宋体" w:eastAsia="宋体" w:cs="宋体"/>
          <w:bCs/>
          <w:color w:val="auto"/>
          <w:sz w:val="22"/>
          <w:szCs w:val="22"/>
          <w:highlight w:val="none"/>
        </w:rPr>
        <w:t>不承担任何责任</w:t>
      </w:r>
      <w:r>
        <w:rPr>
          <w:rFonts w:hint="eastAsia" w:ascii="宋体" w:hAnsi="宋体" w:eastAsia="宋体" w:cs="宋体"/>
          <w:bCs/>
          <w:color w:val="auto"/>
          <w:sz w:val="22"/>
          <w:szCs w:val="22"/>
          <w:highlight w:val="none"/>
          <w:lang w:eastAsia="zh-CN"/>
        </w:rPr>
        <w:t>。</w:t>
      </w:r>
    </w:p>
    <w:p w14:paraId="4C4248A5">
      <w:pPr>
        <w:pStyle w:val="10"/>
        <w:spacing w:before="120" w:after="120"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违约责任</w:t>
      </w:r>
    </w:p>
    <w:p w14:paraId="3FCEEFEA">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承包人未经发包人书面同意，不得将本工程项目转包、分包给第三方，如承包人将本工程项目转包、分包给第三方的，发包人有权解除合同，同时发包人有权要求承包人按合同总金额的10 %支付违约金，因此给发包人造成的损失应由承包人承担赔偿责任。</w:t>
      </w:r>
    </w:p>
    <w:p w14:paraId="5356FA9F">
      <w:pPr>
        <w:pStyle w:val="10"/>
        <w:spacing w:before="120" w:after="120" w:line="360" w:lineRule="auto"/>
        <w:ind w:firstLine="442"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八、合同约定其他费用</w:t>
      </w:r>
    </w:p>
    <w:p w14:paraId="59F847CC">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发包人要求承包人完成合同以外施工范围内或施工范围外但与本施工项目有密切关系的零星项目，承包人应接受发包人施工要求，并在施工前就用工数量和单价、机械台班数量和单价、使用材料和金额等向发包人、监理提出施工签证，发包人、监理予以签证后施工。如发包人未签证，承包人自行施工后发生争议，由承包人负责。</w:t>
      </w:r>
    </w:p>
    <w:p w14:paraId="1F9F4BBE">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2.合同其它条款约定的费用。</w:t>
      </w:r>
    </w:p>
    <w:p w14:paraId="5590A3B3">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注：（1）发包人认质认价材料不应高于核价时间同期《重庆工程造价信息》公布的信息价。</w:t>
      </w:r>
    </w:p>
    <w:p w14:paraId="06792A81">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（2）合同中没有约定核价时段的材料设备只允许核价一次，若出现两次以上的核价，结算审核时按最低核价办理。</w:t>
      </w:r>
    </w:p>
    <w:p w14:paraId="58A4C8CD">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若材料设备认质认价过程中，发包人按市场行情核定的价格与承包人达不成一致意见，承包人拒绝采购时，发包人有权直接进行采购，同时承包人须向发包人支付该项采购或发包金额20%的违约金并在结算中扣除。</w:t>
      </w:r>
    </w:p>
    <w:p w14:paraId="33779354">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8.合同范围内，实际施工过程中没有实施的项目应办理变更减少。若应该变更减少的项目在结算送审中未扣减，按应该扣减工程量的1.2倍扣减。</w:t>
      </w:r>
    </w:p>
    <w:p w14:paraId="224071AD">
      <w:pPr>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9.本工程结算金额以发包人或主管部门委派的审计单位或区财政局审定结果为准。</w:t>
      </w:r>
    </w:p>
    <w:p w14:paraId="6A10B778">
      <w:pPr>
        <w:pStyle w:val="10"/>
        <w:spacing w:before="120" w:after="120" w:line="360" w:lineRule="auto"/>
        <w:ind w:firstLine="442"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九、合同文件构成</w:t>
      </w:r>
      <w:bookmarkEnd w:id="537"/>
      <w:bookmarkEnd w:id="538"/>
    </w:p>
    <w:p w14:paraId="46F8E382">
      <w:pPr>
        <w:keepNext w:val="0"/>
        <w:keepLines w:val="0"/>
        <w:pageBreakBefore w:val="0"/>
        <w:widowControl w:val="0"/>
        <w:kinsoku/>
        <w:wordWrap/>
        <w:overflowPunct/>
        <w:topLinePunct w:val="0"/>
        <w:autoSpaceDE w:val="0"/>
        <w:autoSpaceDN w:val="0"/>
        <w:bidi w:val="0"/>
        <w:adjustRightInd w:val="0"/>
        <w:spacing w:line="36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合同由以下文件构成：</w:t>
      </w:r>
    </w:p>
    <w:p w14:paraId="36F5E33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14:paraId="3D10ABB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（2）中选通知书；</w:t>
      </w:r>
    </w:p>
    <w:p w14:paraId="4A17900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（3）竞选函；</w:t>
      </w:r>
    </w:p>
    <w:p w14:paraId="7B0737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（4）专用合同条款及其附件；</w:t>
      </w:r>
    </w:p>
    <w:p w14:paraId="5EB01EA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14:paraId="2160A8B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竞选</w:t>
      </w:r>
      <w:r>
        <w:rPr>
          <w:rFonts w:hint="eastAsia" w:ascii="宋体" w:hAnsi="宋体" w:eastAsia="宋体" w:cs="宋体"/>
          <w:color w:val="auto"/>
          <w:sz w:val="22"/>
          <w:szCs w:val="22"/>
          <w:highlight w:val="none"/>
        </w:rPr>
        <w:t>文件；</w:t>
      </w:r>
    </w:p>
    <w:p w14:paraId="1275259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en-US" w:eastAsia="zh-CN"/>
        </w:rPr>
        <w:t>竞争性比选</w:t>
      </w:r>
      <w:r>
        <w:rPr>
          <w:rFonts w:hint="eastAsia" w:ascii="宋体" w:hAnsi="宋体" w:eastAsia="宋体" w:cs="宋体"/>
          <w:color w:val="auto"/>
          <w:sz w:val="22"/>
          <w:szCs w:val="22"/>
          <w:highlight w:val="none"/>
        </w:rPr>
        <w:t>文件及修改文件；</w:t>
      </w:r>
    </w:p>
    <w:p w14:paraId="08040BA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（8）技术标准和要求；</w:t>
      </w:r>
    </w:p>
    <w:p w14:paraId="0F5B3B7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（9）图纸；</w:t>
      </w:r>
    </w:p>
    <w:p w14:paraId="37B7058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（10）其他合同文件。</w:t>
      </w:r>
    </w:p>
    <w:p w14:paraId="04BCC7F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在合同订立、履行过程中形成的与合同有关的书面形式的文件均构成合同文件组成部分。</w:t>
      </w:r>
    </w:p>
    <w:p w14:paraId="4962074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auto"/>
          <w:sz w:val="22"/>
          <w:szCs w:val="22"/>
          <w:highlight w:val="none"/>
        </w:rPr>
        <w:t>上述各项合同文件包括合同当事人</w:t>
      </w:r>
      <w:r>
        <w:rPr>
          <w:rFonts w:hint="eastAsia" w:ascii="宋体" w:hAnsi="宋体" w:eastAsia="宋体" w:cs="宋体"/>
          <w:sz w:val="22"/>
          <w:szCs w:val="22"/>
          <w:highlight w:val="none"/>
        </w:rPr>
        <w:t>就该项合同文件所作出的补充和修改，属于同一类内容的文件，应以最新签署的为准。专用合同条款及其附件须经合同当事人签名或盖章。</w:t>
      </w:r>
    </w:p>
    <w:p w14:paraId="4C7E651A">
      <w:pPr>
        <w:pStyle w:val="10"/>
        <w:spacing w:before="120" w:after="120" w:line="360" w:lineRule="auto"/>
        <w:ind w:firstLine="442" w:firstLineChars="200"/>
        <w:jc w:val="left"/>
        <w:rPr>
          <w:rFonts w:hint="eastAsia" w:ascii="宋体" w:hAnsi="宋体" w:eastAsia="宋体" w:cs="宋体"/>
          <w:sz w:val="22"/>
          <w:szCs w:val="22"/>
          <w:highlight w:val="none"/>
        </w:rPr>
      </w:pPr>
      <w:bookmarkStart w:id="539" w:name="_Toc532375579"/>
      <w:bookmarkStart w:id="540" w:name="_Toc532377172"/>
      <w:r>
        <w:rPr>
          <w:rFonts w:hint="eastAsia" w:ascii="宋体" w:hAnsi="宋体" w:eastAsia="宋体" w:cs="宋体"/>
          <w:sz w:val="22"/>
          <w:szCs w:val="22"/>
          <w:highlight w:val="none"/>
          <w:lang w:val="en-US" w:eastAsia="zh-CN"/>
        </w:rPr>
        <w:t>十</w:t>
      </w:r>
      <w:r>
        <w:rPr>
          <w:rFonts w:hint="eastAsia" w:ascii="宋体" w:hAnsi="宋体" w:eastAsia="宋体" w:cs="宋体"/>
          <w:sz w:val="22"/>
          <w:szCs w:val="22"/>
          <w:highlight w:val="none"/>
        </w:rPr>
        <w:t>、承诺</w:t>
      </w:r>
      <w:bookmarkEnd w:id="539"/>
      <w:bookmarkEnd w:id="540"/>
    </w:p>
    <w:p w14:paraId="51BB3F81">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1.发包人承诺按照法律规定履行项目审批手续、筹集工程建设资金并按照合同约定的期限和方式支付合同价款。</w:t>
      </w:r>
    </w:p>
    <w:p w14:paraId="0BDE7D4A">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2.</w:t>
      </w:r>
      <w:r>
        <w:rPr>
          <w:rFonts w:hint="eastAsia" w:ascii="宋体" w:hAnsi="宋体" w:eastAsia="宋体" w:cs="宋体"/>
          <w:sz w:val="22"/>
          <w:szCs w:val="22"/>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sz w:val="22"/>
          <w:szCs w:val="22"/>
          <w:highlight w:val="none"/>
        </w:rPr>
        <w:t>。</w:t>
      </w:r>
    </w:p>
    <w:p w14:paraId="2E5688D2">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3.发包人和承包人通过招投标形式签订合同的，双方理解并承诺不再就同一工程另行签订与合同实质性内容相背离的协议。</w:t>
      </w:r>
    </w:p>
    <w:p w14:paraId="0080582A">
      <w:pPr>
        <w:pStyle w:val="10"/>
        <w:spacing w:before="120" w:after="120" w:line="360" w:lineRule="auto"/>
        <w:ind w:firstLine="442" w:firstLineChars="200"/>
        <w:jc w:val="left"/>
        <w:rPr>
          <w:rFonts w:hint="eastAsia" w:ascii="宋体" w:hAnsi="宋体" w:eastAsia="宋体" w:cs="宋体"/>
          <w:sz w:val="22"/>
          <w:szCs w:val="22"/>
          <w:highlight w:val="none"/>
        </w:rPr>
      </w:pPr>
      <w:bookmarkStart w:id="541" w:name="_Toc532377173"/>
      <w:bookmarkStart w:id="542" w:name="_Toc532375580"/>
      <w:r>
        <w:rPr>
          <w:rFonts w:hint="eastAsia" w:ascii="宋体" w:hAnsi="宋体" w:eastAsia="宋体" w:cs="宋体"/>
          <w:sz w:val="22"/>
          <w:szCs w:val="22"/>
          <w:highlight w:val="none"/>
          <w:lang w:val="en-US" w:eastAsia="zh-CN"/>
        </w:rPr>
        <w:t>十一</w:t>
      </w:r>
      <w:r>
        <w:rPr>
          <w:rFonts w:hint="eastAsia" w:ascii="宋体" w:hAnsi="宋体" w:eastAsia="宋体" w:cs="宋体"/>
          <w:sz w:val="22"/>
          <w:szCs w:val="22"/>
          <w:highlight w:val="none"/>
        </w:rPr>
        <w:t>、词语含义</w:t>
      </w:r>
      <w:bookmarkEnd w:id="541"/>
      <w:bookmarkEnd w:id="542"/>
    </w:p>
    <w:p w14:paraId="1F7A4F15">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本协议书中词语含义与专用合同条款及通用合同条款中赋予的含义相同。</w:t>
      </w:r>
    </w:p>
    <w:p w14:paraId="01901D38">
      <w:pPr>
        <w:pStyle w:val="10"/>
        <w:spacing w:before="120" w:after="120" w:line="360" w:lineRule="auto"/>
        <w:ind w:firstLine="442" w:firstLineChars="200"/>
        <w:jc w:val="left"/>
        <w:rPr>
          <w:rFonts w:hint="eastAsia" w:ascii="宋体" w:hAnsi="宋体" w:eastAsia="宋体" w:cs="宋体"/>
          <w:sz w:val="22"/>
          <w:szCs w:val="22"/>
          <w:highlight w:val="none"/>
        </w:rPr>
      </w:pPr>
      <w:bookmarkStart w:id="543" w:name="_Toc532375581"/>
      <w:bookmarkStart w:id="544" w:name="_Toc532377174"/>
      <w:r>
        <w:rPr>
          <w:rFonts w:hint="eastAsia" w:ascii="宋体" w:hAnsi="宋体" w:eastAsia="宋体" w:cs="宋体"/>
          <w:sz w:val="22"/>
          <w:szCs w:val="22"/>
          <w:highlight w:val="none"/>
          <w:lang w:val="en-US" w:eastAsia="zh-CN"/>
        </w:rPr>
        <w:t>十二</w:t>
      </w:r>
      <w:r>
        <w:rPr>
          <w:rFonts w:hint="eastAsia" w:ascii="宋体" w:hAnsi="宋体" w:eastAsia="宋体" w:cs="宋体"/>
          <w:sz w:val="22"/>
          <w:szCs w:val="22"/>
          <w:highlight w:val="none"/>
        </w:rPr>
        <w:t>、签订时间</w:t>
      </w:r>
      <w:bookmarkEnd w:id="543"/>
      <w:bookmarkEnd w:id="544"/>
    </w:p>
    <w:p w14:paraId="61D1FB4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合同于</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年</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月</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日签订</w:t>
      </w:r>
    </w:p>
    <w:p w14:paraId="161879BD">
      <w:pPr>
        <w:pStyle w:val="10"/>
        <w:spacing w:before="120" w:after="120" w:line="360" w:lineRule="auto"/>
        <w:ind w:firstLine="442" w:firstLineChars="200"/>
        <w:jc w:val="left"/>
        <w:rPr>
          <w:rFonts w:hint="eastAsia" w:ascii="宋体" w:hAnsi="宋体" w:eastAsia="宋体" w:cs="宋体"/>
          <w:sz w:val="22"/>
          <w:szCs w:val="22"/>
          <w:highlight w:val="none"/>
        </w:rPr>
      </w:pPr>
      <w:bookmarkStart w:id="545" w:name="_Toc532377175"/>
      <w:bookmarkStart w:id="546" w:name="_Toc532375582"/>
      <w:r>
        <w:rPr>
          <w:rFonts w:hint="eastAsia" w:ascii="宋体" w:hAnsi="宋体" w:eastAsia="宋体" w:cs="宋体"/>
          <w:sz w:val="22"/>
          <w:szCs w:val="22"/>
          <w:highlight w:val="none"/>
        </w:rPr>
        <w:t>十</w:t>
      </w:r>
      <w:r>
        <w:rPr>
          <w:rFonts w:hint="eastAsia" w:ascii="宋体" w:hAnsi="宋体" w:eastAsia="宋体" w:cs="宋体"/>
          <w:sz w:val="22"/>
          <w:szCs w:val="22"/>
          <w:highlight w:val="none"/>
          <w:lang w:val="en-US" w:eastAsia="zh-CN"/>
        </w:rPr>
        <w:t>三</w:t>
      </w:r>
      <w:r>
        <w:rPr>
          <w:rFonts w:hint="eastAsia" w:ascii="宋体" w:hAnsi="宋体" w:eastAsia="宋体" w:cs="宋体"/>
          <w:sz w:val="22"/>
          <w:szCs w:val="22"/>
          <w:highlight w:val="none"/>
        </w:rPr>
        <w:t>、签订地点</w:t>
      </w:r>
      <w:bookmarkEnd w:id="545"/>
      <w:bookmarkEnd w:id="546"/>
    </w:p>
    <w:p w14:paraId="2E5BD5D6">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合同在</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签订。</w:t>
      </w:r>
    </w:p>
    <w:p w14:paraId="305D8689">
      <w:pPr>
        <w:pStyle w:val="10"/>
        <w:spacing w:before="120" w:after="120" w:line="360" w:lineRule="auto"/>
        <w:ind w:firstLine="442" w:firstLineChars="200"/>
        <w:jc w:val="left"/>
        <w:rPr>
          <w:rFonts w:hint="eastAsia" w:ascii="宋体" w:hAnsi="宋体" w:eastAsia="宋体" w:cs="宋体"/>
          <w:sz w:val="22"/>
          <w:szCs w:val="22"/>
          <w:highlight w:val="none"/>
        </w:rPr>
      </w:pPr>
      <w:bookmarkStart w:id="547" w:name="_Toc532377176"/>
      <w:bookmarkStart w:id="548" w:name="_Toc532375583"/>
      <w:r>
        <w:rPr>
          <w:rFonts w:hint="eastAsia" w:ascii="宋体" w:hAnsi="宋体" w:eastAsia="宋体" w:cs="宋体"/>
          <w:sz w:val="22"/>
          <w:szCs w:val="22"/>
          <w:highlight w:val="none"/>
        </w:rPr>
        <w:t>十</w:t>
      </w:r>
      <w:r>
        <w:rPr>
          <w:rFonts w:hint="eastAsia" w:ascii="宋体" w:hAnsi="宋体" w:eastAsia="宋体" w:cs="宋体"/>
          <w:sz w:val="22"/>
          <w:szCs w:val="22"/>
          <w:highlight w:val="none"/>
          <w:lang w:val="en-US" w:eastAsia="zh-CN"/>
        </w:rPr>
        <w:t>四</w:t>
      </w:r>
      <w:r>
        <w:rPr>
          <w:rFonts w:hint="eastAsia" w:ascii="宋体" w:hAnsi="宋体" w:eastAsia="宋体" w:cs="宋体"/>
          <w:sz w:val="22"/>
          <w:szCs w:val="22"/>
          <w:highlight w:val="none"/>
        </w:rPr>
        <w:t>、补充协议</w:t>
      </w:r>
      <w:bookmarkEnd w:id="547"/>
      <w:bookmarkEnd w:id="548"/>
    </w:p>
    <w:p w14:paraId="737B8BE4">
      <w:pPr>
        <w:spacing w:line="360" w:lineRule="auto"/>
        <w:ind w:firstLine="440" w:firstLineChars="200"/>
        <w:rPr>
          <w:rFonts w:hint="eastAsia" w:ascii="宋体" w:hAnsi="宋体" w:eastAsia="宋体" w:cs="宋体"/>
          <w:b/>
          <w:bCs/>
          <w:sz w:val="22"/>
          <w:szCs w:val="22"/>
          <w:highlight w:val="none"/>
        </w:rPr>
      </w:pPr>
      <w:r>
        <w:rPr>
          <w:rFonts w:hint="eastAsia" w:ascii="宋体" w:hAnsi="宋体" w:eastAsia="宋体" w:cs="宋体"/>
          <w:bCs/>
          <w:sz w:val="22"/>
          <w:szCs w:val="22"/>
          <w:highlight w:val="none"/>
        </w:rPr>
        <w:t>合同未尽事宜，合同当事人另行签订补充协议，补充协议是合同的组成部分。</w:t>
      </w:r>
    </w:p>
    <w:p w14:paraId="739C41D2">
      <w:pPr>
        <w:pStyle w:val="10"/>
        <w:spacing w:before="120" w:after="120" w:line="360" w:lineRule="auto"/>
        <w:ind w:firstLine="442" w:firstLineChars="200"/>
        <w:jc w:val="left"/>
        <w:rPr>
          <w:rFonts w:hint="eastAsia" w:ascii="宋体" w:hAnsi="宋体" w:eastAsia="宋体" w:cs="宋体"/>
          <w:sz w:val="22"/>
          <w:szCs w:val="22"/>
          <w:highlight w:val="none"/>
        </w:rPr>
      </w:pPr>
      <w:bookmarkStart w:id="549" w:name="_Toc532377177"/>
      <w:bookmarkStart w:id="550" w:name="_Toc532375584"/>
      <w:r>
        <w:rPr>
          <w:rFonts w:hint="eastAsia" w:ascii="宋体" w:hAnsi="宋体" w:eastAsia="宋体" w:cs="宋体"/>
          <w:sz w:val="22"/>
          <w:szCs w:val="22"/>
          <w:highlight w:val="none"/>
        </w:rPr>
        <w:t>十</w:t>
      </w:r>
      <w:r>
        <w:rPr>
          <w:rFonts w:hint="eastAsia" w:ascii="宋体" w:hAnsi="宋体" w:eastAsia="宋体" w:cs="宋体"/>
          <w:sz w:val="22"/>
          <w:szCs w:val="22"/>
          <w:highlight w:val="none"/>
          <w:lang w:val="en-US" w:eastAsia="zh-CN"/>
        </w:rPr>
        <w:t>五</w:t>
      </w:r>
      <w:r>
        <w:rPr>
          <w:rFonts w:hint="eastAsia" w:ascii="宋体" w:hAnsi="宋体" w:eastAsia="宋体" w:cs="宋体"/>
          <w:sz w:val="22"/>
          <w:szCs w:val="22"/>
          <w:highlight w:val="none"/>
        </w:rPr>
        <w:t>、合同生效</w:t>
      </w:r>
      <w:bookmarkEnd w:id="549"/>
      <w:bookmarkEnd w:id="550"/>
    </w:p>
    <w:p w14:paraId="3EBCCB77">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合同在以下条件全部满足之后生效：</w:t>
      </w:r>
    </w:p>
    <w:p w14:paraId="15BB081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1.合同</w:t>
      </w:r>
      <w:r>
        <w:rPr>
          <w:rFonts w:hint="eastAsia" w:ascii="宋体" w:hAnsi="宋体" w:eastAsia="宋体" w:cs="宋体"/>
          <w:sz w:val="22"/>
          <w:szCs w:val="22"/>
          <w:highlight w:val="none"/>
        </w:rPr>
        <w:t>经双方法定代表人或其委托代理人签名并加盖单位</w:t>
      </w:r>
      <w:r>
        <w:rPr>
          <w:rFonts w:hint="eastAsia" w:ascii="宋体" w:hAnsi="宋体" w:eastAsia="宋体" w:cs="宋体"/>
          <w:snapToGrid w:val="0"/>
          <w:kern w:val="0"/>
          <w:sz w:val="22"/>
          <w:szCs w:val="22"/>
          <w:highlight w:val="none"/>
        </w:rPr>
        <w:t>公章或合同专用章</w:t>
      </w:r>
      <w:r>
        <w:rPr>
          <w:rFonts w:hint="eastAsia" w:ascii="宋体" w:hAnsi="宋体" w:eastAsia="宋体" w:cs="宋体"/>
          <w:sz w:val="22"/>
          <w:szCs w:val="22"/>
          <w:highlight w:val="none"/>
        </w:rPr>
        <w:t>；</w:t>
      </w:r>
    </w:p>
    <w:p w14:paraId="73FCED0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2.采用保函形式递交履约担保的，承包人按合同约定向发包人提交履约担保后；</w:t>
      </w:r>
    </w:p>
    <w:p w14:paraId="6E9736CE">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3.</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19F43D44">
      <w:pPr>
        <w:pStyle w:val="10"/>
        <w:spacing w:before="120" w:after="120" w:line="360" w:lineRule="auto"/>
        <w:ind w:firstLine="442" w:firstLineChars="200"/>
        <w:jc w:val="left"/>
        <w:rPr>
          <w:rFonts w:hint="eastAsia" w:ascii="宋体" w:hAnsi="宋体" w:eastAsia="宋体" w:cs="宋体"/>
          <w:sz w:val="22"/>
          <w:szCs w:val="22"/>
          <w:highlight w:val="none"/>
        </w:rPr>
      </w:pPr>
      <w:bookmarkStart w:id="551" w:name="_Toc532375585"/>
      <w:bookmarkStart w:id="552" w:name="_Toc532377178"/>
      <w:r>
        <w:rPr>
          <w:rFonts w:hint="eastAsia" w:ascii="宋体" w:hAnsi="宋体" w:eastAsia="宋体" w:cs="宋体"/>
          <w:sz w:val="22"/>
          <w:szCs w:val="22"/>
          <w:highlight w:val="none"/>
        </w:rPr>
        <w:t>十</w:t>
      </w:r>
      <w:r>
        <w:rPr>
          <w:rFonts w:hint="eastAsia" w:ascii="宋体" w:hAnsi="宋体" w:eastAsia="宋体" w:cs="宋体"/>
          <w:sz w:val="22"/>
          <w:szCs w:val="22"/>
          <w:highlight w:val="none"/>
          <w:lang w:val="en-US" w:eastAsia="zh-CN"/>
        </w:rPr>
        <w:t>六</w:t>
      </w:r>
      <w:r>
        <w:rPr>
          <w:rFonts w:hint="eastAsia" w:ascii="宋体" w:hAnsi="宋体" w:eastAsia="宋体" w:cs="宋体"/>
          <w:sz w:val="22"/>
          <w:szCs w:val="22"/>
          <w:highlight w:val="none"/>
        </w:rPr>
        <w:t>、合同份数</w:t>
      </w:r>
      <w:bookmarkEnd w:id="551"/>
      <w:bookmarkEnd w:id="552"/>
    </w:p>
    <w:p w14:paraId="115CFC6D">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份，其中正本</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份，双方各持</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份，副本</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份，双方各执</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份。副本与正本不一致时，以正本为准。</w:t>
      </w:r>
    </w:p>
    <w:p w14:paraId="5F4319E0">
      <w:pPr>
        <w:spacing w:line="360" w:lineRule="auto"/>
        <w:ind w:firstLine="440" w:firstLineChars="200"/>
        <w:rPr>
          <w:rFonts w:hint="eastAsia" w:ascii="宋体" w:hAnsi="宋体" w:eastAsia="宋体" w:cs="宋体"/>
          <w:bCs/>
          <w:sz w:val="22"/>
          <w:szCs w:val="22"/>
          <w:highlight w:val="none"/>
        </w:rPr>
      </w:pPr>
    </w:p>
    <w:p w14:paraId="3BF55BAD">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（以下为签名盖章页）。</w:t>
      </w:r>
    </w:p>
    <w:p w14:paraId="744424E1">
      <w:pPr>
        <w:pStyle w:val="6"/>
        <w:spacing w:line="360" w:lineRule="auto"/>
        <w:rPr>
          <w:rFonts w:hint="eastAsia" w:ascii="宋体" w:hAnsi="宋体" w:eastAsia="宋体" w:cs="宋体"/>
          <w:sz w:val="22"/>
          <w:szCs w:val="22"/>
          <w:highlight w:val="none"/>
        </w:rPr>
      </w:pPr>
    </w:p>
    <w:p w14:paraId="02BD12D2">
      <w:pPr>
        <w:adjustRightInd w:val="0"/>
        <w:spacing w:line="360" w:lineRule="auto"/>
        <w:ind w:firstLine="440" w:firstLineChars="200"/>
        <w:rPr>
          <w:rFonts w:hint="eastAsia" w:ascii="宋体" w:hAnsi="宋体" w:eastAsia="宋体" w:cs="宋体"/>
          <w:snapToGrid w:val="0"/>
          <w:kern w:val="0"/>
          <w:sz w:val="22"/>
          <w:szCs w:val="22"/>
          <w:highlight w:val="none"/>
        </w:rPr>
      </w:pPr>
      <w:bookmarkStart w:id="553" w:name="_Toc467689623"/>
      <w:r>
        <w:rPr>
          <w:rFonts w:hint="eastAsia" w:ascii="宋体" w:hAnsi="宋体" w:eastAsia="宋体" w:cs="宋体"/>
          <w:snapToGrid w:val="0"/>
          <w:kern w:val="0"/>
          <w:sz w:val="22"/>
          <w:szCs w:val="22"/>
          <w:highlight w:val="none"/>
        </w:rPr>
        <w:t>发包人：</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（盖单位公章或合同专用章）</w:t>
      </w:r>
    </w:p>
    <w:p w14:paraId="310ECBFE">
      <w:pPr>
        <w:spacing w:line="360" w:lineRule="auto"/>
        <w:ind w:firstLine="440" w:firstLineChars="200"/>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法定代表人或其委托代理人：</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（签名）</w:t>
      </w:r>
    </w:p>
    <w:p w14:paraId="20F1FE33">
      <w:pPr>
        <w:spacing w:line="360" w:lineRule="auto"/>
        <w:ind w:firstLine="440" w:firstLineChars="200"/>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统一社会信用代码：</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75C7495E">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纳税人识别号：</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338CA828">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地    址：</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1FFED526">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电    话：</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0FCA6763">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开户银行：</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3BD4BA3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napToGrid w:val="0"/>
          <w:kern w:val="0"/>
          <w:sz w:val="22"/>
          <w:szCs w:val="22"/>
          <w:highlight w:val="none"/>
        </w:rPr>
        <w:t>账    号：</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2D73DAA3">
      <w:pPr>
        <w:spacing w:line="360" w:lineRule="auto"/>
        <w:rPr>
          <w:rFonts w:hint="eastAsia" w:ascii="宋体" w:hAnsi="宋体" w:eastAsia="宋体" w:cs="宋体"/>
          <w:snapToGrid w:val="0"/>
          <w:kern w:val="0"/>
          <w:sz w:val="22"/>
          <w:szCs w:val="22"/>
          <w:highlight w:val="none"/>
        </w:rPr>
      </w:pPr>
    </w:p>
    <w:p w14:paraId="65C9FD8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napToGrid w:val="0"/>
          <w:kern w:val="0"/>
          <w:sz w:val="22"/>
          <w:szCs w:val="22"/>
          <w:highlight w:val="none"/>
        </w:rPr>
        <w:t>承包人：</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（盖单位公章或合同专用章）</w:t>
      </w:r>
    </w:p>
    <w:p w14:paraId="10B3A20D">
      <w:pPr>
        <w:spacing w:line="360" w:lineRule="auto"/>
        <w:ind w:firstLine="440" w:firstLineChars="200"/>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法定代表人或其委托代理人：</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rPr>
        <w:t>（签名）</w:t>
      </w:r>
    </w:p>
    <w:p w14:paraId="12C9F05E">
      <w:pPr>
        <w:spacing w:line="360" w:lineRule="auto"/>
        <w:ind w:firstLine="440" w:firstLineChars="200"/>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统一社会信用代码：</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05851612">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纳税人识别号：</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0D370C0B">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地    址：</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717390E8">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电    话：</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16E6141C">
      <w:pPr>
        <w:spacing w:line="360" w:lineRule="auto"/>
        <w:ind w:firstLine="440" w:firstLineChars="200"/>
        <w:rPr>
          <w:rFonts w:hint="eastAsia" w:ascii="宋体" w:hAnsi="宋体" w:eastAsia="宋体" w:cs="宋体"/>
          <w:snapToGrid w:val="0"/>
          <w:kern w:val="0"/>
          <w:sz w:val="22"/>
          <w:szCs w:val="22"/>
          <w:highlight w:val="none"/>
          <w:u w:val="single"/>
        </w:rPr>
      </w:pPr>
      <w:r>
        <w:rPr>
          <w:rFonts w:hint="eastAsia" w:ascii="宋体" w:hAnsi="宋体" w:eastAsia="宋体" w:cs="宋体"/>
          <w:snapToGrid w:val="0"/>
          <w:kern w:val="0"/>
          <w:sz w:val="22"/>
          <w:szCs w:val="22"/>
          <w:highlight w:val="none"/>
        </w:rPr>
        <w:t>开户银行：</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5FA7DE8A">
      <w:pPr>
        <w:spacing w:line="360" w:lineRule="auto"/>
        <w:ind w:firstLine="440" w:firstLineChars="200"/>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账    号：</w:t>
      </w:r>
      <w:r>
        <w:rPr>
          <w:rFonts w:hint="eastAsia" w:ascii="宋体" w:hAnsi="宋体" w:eastAsia="宋体" w:cs="宋体"/>
          <w:snapToGrid w:val="0"/>
          <w:w w:val="200"/>
          <w:kern w:val="0"/>
          <w:sz w:val="22"/>
          <w:szCs w:val="22"/>
          <w:highlight w:val="none"/>
          <w:u w:val="single"/>
        </w:rPr>
        <w:t xml:space="preserve"> </w:t>
      </w:r>
      <w:r>
        <w:rPr>
          <w:rFonts w:hint="eastAsia" w:ascii="宋体" w:hAnsi="宋体" w:eastAsia="宋体" w:cs="宋体"/>
          <w:snapToGrid w:val="0"/>
          <w:kern w:val="0"/>
          <w:sz w:val="22"/>
          <w:szCs w:val="22"/>
          <w:highlight w:val="none"/>
          <w:u w:val="single"/>
        </w:rPr>
        <w:t xml:space="preserve">                                  </w:t>
      </w:r>
    </w:p>
    <w:p w14:paraId="2F8F3610">
      <w:pPr>
        <w:spacing w:line="360" w:lineRule="auto"/>
        <w:jc w:val="right"/>
        <w:rPr>
          <w:rFonts w:hint="eastAsia" w:ascii="宋体" w:hAnsi="宋体" w:eastAsia="宋体" w:cs="宋体"/>
          <w:snapToGrid w:val="0"/>
          <w:kern w:val="0"/>
          <w:sz w:val="22"/>
          <w:szCs w:val="22"/>
          <w:highlight w:val="none"/>
        </w:rPr>
      </w:pPr>
    </w:p>
    <w:p w14:paraId="3C8A75BA">
      <w:pPr>
        <w:spacing w:line="360" w:lineRule="auto"/>
        <w:jc w:val="right"/>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签约时间：</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年</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月</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日</w:t>
      </w:r>
      <w:bookmarkEnd w:id="553"/>
    </w:p>
    <w:p w14:paraId="0FDA5445">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4F0E453B">
      <w:pPr>
        <w:pStyle w:val="7"/>
        <w:numPr>
          <w:ilvl w:val="0"/>
          <w:numId w:val="0"/>
        </w:numPr>
        <w:jc w:val="center"/>
        <w:rPr>
          <w:rFonts w:hint="eastAsia" w:ascii="宋体" w:hAnsi="宋体" w:eastAsia="宋体" w:cs="宋体"/>
          <w:b/>
          <w:color w:val="auto"/>
          <w:kern w:val="0"/>
          <w:sz w:val="36"/>
          <w:szCs w:val="36"/>
        </w:rPr>
      </w:pPr>
      <w:bookmarkStart w:id="554" w:name="_Toc6498"/>
      <w:r>
        <w:rPr>
          <w:rFonts w:hint="eastAsia" w:ascii="宋体" w:hAnsi="宋体" w:eastAsia="宋体" w:cs="宋体"/>
          <w:b/>
          <w:color w:val="auto"/>
          <w:kern w:val="0"/>
          <w:sz w:val="36"/>
          <w:szCs w:val="36"/>
        </w:rPr>
        <w:t>第五章 工程量清单</w:t>
      </w:r>
      <w:bookmarkEnd w:id="554"/>
    </w:p>
    <w:p w14:paraId="52AE0E7A">
      <w:pPr>
        <w:tabs>
          <w:tab w:val="left" w:pos="425"/>
        </w:tabs>
        <w:spacing w:before="0" w:after="0" w:line="360" w:lineRule="auto"/>
        <w:ind w:firstLine="420" w:firstLineChars="200"/>
        <w:jc w:val="both"/>
        <w:outlineLvl w:val="9"/>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详见行采家（https://www.gec123.com/）下载。</w:t>
      </w:r>
    </w:p>
    <w:p w14:paraId="398DCCC8">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bookmarkStart w:id="555" w:name="_Hlt228003518"/>
      <w:bookmarkEnd w:id="555"/>
      <w:bookmarkStart w:id="556" w:name="_Toc18408"/>
      <w:bookmarkStart w:id="557" w:name="_Toc323825718"/>
    </w:p>
    <w:p w14:paraId="4C862ABB">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p>
    <w:p w14:paraId="7FF5C20D">
      <w:pPr>
        <w:pStyle w:val="7"/>
        <w:numPr>
          <w:ilvl w:val="0"/>
          <w:numId w:val="0"/>
        </w:numPr>
        <w:rPr>
          <w:rFonts w:hint="eastAsia" w:ascii="宋体" w:hAnsi="宋体" w:eastAsia="宋体" w:cs="宋体"/>
          <w:b/>
          <w:color w:val="auto"/>
          <w:kern w:val="0"/>
          <w:sz w:val="36"/>
          <w:szCs w:val="36"/>
        </w:rPr>
      </w:pPr>
      <w:bookmarkStart w:id="558" w:name="_Toc20165"/>
      <w:r>
        <w:rPr>
          <w:rFonts w:hint="eastAsia" w:ascii="宋体" w:hAnsi="宋体" w:eastAsia="宋体" w:cs="宋体"/>
          <w:b/>
          <w:color w:val="auto"/>
          <w:kern w:val="0"/>
          <w:sz w:val="36"/>
          <w:szCs w:val="36"/>
          <w:lang w:val="en-US" w:eastAsia="zh-CN"/>
        </w:rPr>
        <w:t>第六章  图   纸</w:t>
      </w:r>
      <w:bookmarkEnd w:id="556"/>
      <w:bookmarkEnd w:id="557"/>
      <w:bookmarkEnd w:id="558"/>
    </w:p>
    <w:p w14:paraId="1991EF08">
      <w:pPr>
        <w:tabs>
          <w:tab w:val="left" w:pos="425"/>
        </w:tabs>
        <w:spacing w:before="0" w:after="0" w:line="360" w:lineRule="auto"/>
        <w:ind w:firstLine="420" w:firstLineChars="200"/>
        <w:jc w:val="both"/>
        <w:outlineLvl w:val="9"/>
        <w:rPr>
          <w:rFonts w:hint="eastAsia" w:ascii="方正仿宋_GBK" w:hAnsi="方正仿宋_GBK" w:eastAsia="方正仿宋_GBK" w:cs="方正仿宋_GBK"/>
          <w:color w:val="auto"/>
        </w:rPr>
      </w:pPr>
      <w:r>
        <w:rPr>
          <w:rFonts w:hint="eastAsia" w:ascii="宋体" w:hAnsi="宋体" w:cs="宋体"/>
          <w:color w:val="auto"/>
          <w:kern w:val="0"/>
          <w:szCs w:val="21"/>
          <w:lang w:val="en-US" w:eastAsia="zh-CN"/>
        </w:rPr>
        <w:t>详见行采家（https://www.gec123.com/）下载。</w:t>
      </w:r>
      <w:bookmarkStart w:id="559" w:name="_Hlt228003520"/>
      <w:bookmarkEnd w:id="559"/>
      <w:bookmarkStart w:id="560" w:name="_Toc20773"/>
      <w:bookmarkStart w:id="561" w:name="_Toc323825719"/>
    </w:p>
    <w:p w14:paraId="74D9F30A">
      <w:pPr>
        <w:tabs>
          <w:tab w:val="left" w:pos="425"/>
        </w:tabs>
        <w:spacing w:before="0" w:after="0" w:line="360" w:lineRule="auto"/>
        <w:jc w:val="center"/>
        <w:outlineLvl w:val="9"/>
        <w:rPr>
          <w:rFonts w:hint="eastAsia" w:ascii="方正仿宋_GBK" w:hAnsi="方正仿宋_GBK" w:eastAsia="方正仿宋_GBK" w:cs="方正仿宋_GBK"/>
          <w:color w:val="auto"/>
        </w:rPr>
      </w:pPr>
    </w:p>
    <w:p w14:paraId="36A64C0A">
      <w:pPr>
        <w:tabs>
          <w:tab w:val="left" w:pos="425"/>
        </w:tabs>
        <w:spacing w:before="0" w:after="0" w:line="360" w:lineRule="auto"/>
        <w:jc w:val="center"/>
        <w:outlineLvl w:val="9"/>
        <w:rPr>
          <w:rFonts w:hint="eastAsia" w:ascii="方正仿宋_GBK" w:hAnsi="方正仿宋_GBK" w:eastAsia="方正仿宋_GBK" w:cs="方正仿宋_GBK"/>
          <w:color w:val="auto"/>
        </w:rPr>
      </w:pPr>
    </w:p>
    <w:p w14:paraId="033B4306">
      <w:pPr>
        <w:pStyle w:val="7"/>
        <w:numPr>
          <w:ilvl w:val="0"/>
          <w:numId w:val="0"/>
        </w:numPr>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bookmarkStart w:id="562" w:name="_Toc3131"/>
      <w:r>
        <w:rPr>
          <w:rFonts w:hint="eastAsia" w:ascii="宋体" w:hAnsi="宋体" w:eastAsia="宋体" w:cs="宋体"/>
          <w:b/>
          <w:color w:val="auto"/>
          <w:kern w:val="0"/>
          <w:sz w:val="36"/>
          <w:szCs w:val="36"/>
          <w:lang w:val="en-US" w:eastAsia="zh-CN"/>
        </w:rPr>
        <w:t>第七章  技术标准和要求</w:t>
      </w:r>
      <w:bookmarkEnd w:id="560"/>
      <w:bookmarkEnd w:id="561"/>
      <w:bookmarkEnd w:id="562"/>
    </w:p>
    <w:p w14:paraId="6F78ED00">
      <w:pPr>
        <w:wordWrap w:val="0"/>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按现行国家和重庆市相关技术规定和要求执行。</w:t>
      </w:r>
    </w:p>
    <w:p w14:paraId="139B5E51">
      <w:pPr>
        <w:wordWrap w:val="0"/>
        <w:snapToGrid w:val="0"/>
        <w:spacing w:line="440" w:lineRule="exact"/>
        <w:ind w:firstLine="723" w:firstLineChars="200"/>
        <w:jc w:val="center"/>
        <w:rPr>
          <w:rFonts w:ascii="宋体" w:hAnsi="宋体" w:cs="宋体"/>
          <w:b/>
          <w:color w:val="auto"/>
          <w:kern w:val="0"/>
          <w:sz w:val="36"/>
          <w:szCs w:val="36"/>
        </w:rPr>
      </w:pPr>
    </w:p>
    <w:bookmarkEnd w:id="517"/>
    <w:bookmarkEnd w:id="518"/>
    <w:bookmarkEnd w:id="519"/>
    <w:bookmarkEnd w:id="520"/>
    <w:bookmarkEnd w:id="521"/>
    <w:bookmarkEnd w:id="522"/>
    <w:bookmarkEnd w:id="523"/>
    <w:bookmarkEnd w:id="524"/>
    <w:bookmarkEnd w:id="525"/>
    <w:bookmarkEnd w:id="526"/>
    <w:p w14:paraId="695001E0">
      <w:pPr>
        <w:pStyle w:val="7"/>
        <w:numPr>
          <w:ilvl w:val="0"/>
          <w:numId w:val="0"/>
        </w:numPr>
        <w:ind w:firstLine="422"/>
        <w:rPr>
          <w:rFonts w:ascii="宋体" w:hAnsi="宋体" w:eastAsia="宋体" w:cs="宋体"/>
          <w:b/>
          <w:color w:val="auto"/>
          <w:kern w:val="0"/>
        </w:rPr>
      </w:pPr>
      <w:bookmarkStart w:id="563" w:name="_Toc14326"/>
      <w:bookmarkStart w:id="564" w:name="_Toc30368"/>
      <w:bookmarkStart w:id="565" w:name="_Toc444155995"/>
      <w:bookmarkStart w:id="566" w:name="_Toc11387"/>
      <w:r>
        <w:rPr>
          <w:rFonts w:hint="eastAsia" w:ascii="宋体" w:hAnsi="宋体" w:eastAsia="宋体" w:cs="宋体"/>
          <w:b/>
          <w:color w:val="auto"/>
          <w:kern w:val="0"/>
        </w:rPr>
        <w:br w:type="page"/>
      </w:r>
      <w:bookmarkStart w:id="567" w:name="_Toc315"/>
      <w:bookmarkStart w:id="568" w:name="_Toc31789"/>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八</w:t>
      </w:r>
      <w:r>
        <w:rPr>
          <w:rFonts w:hint="eastAsia" w:ascii="宋体" w:hAnsi="宋体" w:eastAsia="宋体" w:cs="宋体"/>
          <w:b/>
          <w:color w:val="auto"/>
          <w:kern w:val="0"/>
          <w:sz w:val="36"/>
          <w:szCs w:val="36"/>
        </w:rPr>
        <w:t>章  竞选文件格式</w:t>
      </w:r>
      <w:bookmarkEnd w:id="563"/>
      <w:bookmarkEnd w:id="564"/>
      <w:bookmarkEnd w:id="565"/>
      <w:bookmarkEnd w:id="566"/>
      <w:bookmarkEnd w:id="567"/>
      <w:bookmarkEnd w:id="568"/>
    </w:p>
    <w:p w14:paraId="1BC0ECFE">
      <w:pPr>
        <w:widowControl/>
        <w:jc w:val="left"/>
        <w:rPr>
          <w:rFonts w:ascii="宋体" w:hAnsi="宋体" w:cs="宋体"/>
          <w:color w:val="auto"/>
          <w:kern w:val="0"/>
          <w:sz w:val="28"/>
        </w:rPr>
      </w:pPr>
      <w:r>
        <w:rPr>
          <w:rFonts w:hint="eastAsia" w:ascii="宋体" w:hAnsi="宋体" w:cs="宋体"/>
          <w:color w:val="auto"/>
          <w:kern w:val="0"/>
          <w:sz w:val="28"/>
        </w:rPr>
        <w:br w:type="page"/>
      </w:r>
    </w:p>
    <w:p w14:paraId="60B265CF">
      <w:pPr>
        <w:tabs>
          <w:tab w:val="left" w:pos="1418"/>
        </w:tabs>
        <w:autoSpaceDE w:val="0"/>
        <w:autoSpaceDN w:val="0"/>
        <w:adjustRightInd w:val="0"/>
        <w:snapToGrid w:val="0"/>
        <w:spacing w:line="360" w:lineRule="auto"/>
        <w:ind w:firstLine="635" w:firstLineChars="200"/>
        <w:jc w:val="left"/>
        <w:outlineLvl w:val="9"/>
        <w:rPr>
          <w:rFonts w:ascii="宋体" w:hAnsi="宋体" w:cs="宋体"/>
          <w:b/>
          <w:snapToGrid w:val="0"/>
          <w:color w:val="auto"/>
          <w:w w:val="99"/>
          <w:sz w:val="32"/>
          <w:szCs w:val="32"/>
        </w:rPr>
      </w:pPr>
      <w:bookmarkStart w:id="569" w:name="_Toc17455"/>
      <w:bookmarkStart w:id="570" w:name="_Toc17485"/>
      <w:bookmarkStart w:id="571" w:name="_Toc10224"/>
      <w:bookmarkStart w:id="572" w:name="_Toc24920"/>
      <w:r>
        <w:rPr>
          <w:rFonts w:hint="eastAsia" w:ascii="宋体" w:hAnsi="宋体" w:cs="宋体"/>
          <w:b/>
          <w:snapToGrid w:val="0"/>
          <w:color w:val="auto"/>
          <w:w w:val="99"/>
          <w:sz w:val="32"/>
          <w:szCs w:val="32"/>
        </w:rPr>
        <w:t>项目名称：</w:t>
      </w:r>
      <w:bookmarkEnd w:id="569"/>
      <w:bookmarkEnd w:id="570"/>
      <w:bookmarkEnd w:id="571"/>
      <w:bookmarkEnd w:id="572"/>
    </w:p>
    <w:p w14:paraId="7A914BE3">
      <w:pPr>
        <w:adjustRightInd w:val="0"/>
        <w:snapToGrid w:val="0"/>
        <w:jc w:val="center"/>
        <w:outlineLvl w:val="9"/>
        <w:rPr>
          <w:rFonts w:ascii="宋体" w:hAnsi="宋体" w:cs="宋体"/>
          <w:b/>
          <w:color w:val="auto"/>
          <w:sz w:val="32"/>
          <w:szCs w:val="32"/>
        </w:rPr>
      </w:pPr>
    </w:p>
    <w:p w14:paraId="398F7553">
      <w:pPr>
        <w:adjustRightInd w:val="0"/>
        <w:snapToGrid w:val="0"/>
        <w:outlineLvl w:val="9"/>
        <w:rPr>
          <w:rFonts w:ascii="宋体" w:hAnsi="宋体" w:cs="宋体"/>
          <w:b/>
          <w:color w:val="auto"/>
          <w:sz w:val="116"/>
        </w:rPr>
      </w:pPr>
    </w:p>
    <w:p w14:paraId="1E3A1A91">
      <w:pPr>
        <w:pStyle w:val="6"/>
        <w:outlineLvl w:val="9"/>
        <w:rPr>
          <w:rFonts w:ascii="宋体" w:hAnsi="宋体" w:cs="宋体"/>
          <w:b/>
          <w:color w:val="auto"/>
        </w:rPr>
      </w:pPr>
    </w:p>
    <w:p w14:paraId="214E099F">
      <w:pPr>
        <w:outlineLvl w:val="9"/>
        <w:rPr>
          <w:rFonts w:ascii="宋体" w:hAnsi="宋体" w:cs="宋体"/>
          <w:b/>
          <w:color w:val="auto"/>
        </w:rPr>
      </w:pPr>
    </w:p>
    <w:p w14:paraId="36408B05">
      <w:pPr>
        <w:pStyle w:val="6"/>
        <w:outlineLvl w:val="9"/>
        <w:rPr>
          <w:rFonts w:ascii="宋体" w:hAnsi="宋体" w:cs="宋体"/>
          <w:b/>
          <w:color w:val="auto"/>
        </w:rPr>
      </w:pPr>
    </w:p>
    <w:p w14:paraId="54863D56">
      <w:pPr>
        <w:outlineLvl w:val="9"/>
        <w:rPr>
          <w:rFonts w:ascii="宋体" w:hAnsi="宋体" w:cs="宋体"/>
          <w:b/>
          <w:color w:val="auto"/>
        </w:rPr>
      </w:pPr>
    </w:p>
    <w:p w14:paraId="2196ECFC">
      <w:pPr>
        <w:pStyle w:val="6"/>
        <w:outlineLvl w:val="9"/>
        <w:rPr>
          <w:rFonts w:ascii="宋体" w:hAnsi="宋体" w:cs="宋体"/>
          <w:b/>
          <w:color w:val="auto"/>
        </w:rPr>
      </w:pPr>
    </w:p>
    <w:p w14:paraId="4AB2A15D">
      <w:pPr>
        <w:pStyle w:val="6"/>
        <w:outlineLvl w:val="9"/>
        <w:rPr>
          <w:rFonts w:ascii="宋体" w:hAnsi="宋体" w:cs="宋体"/>
          <w:b/>
          <w:color w:val="auto"/>
        </w:rPr>
      </w:pPr>
    </w:p>
    <w:p w14:paraId="049DE90F">
      <w:pPr>
        <w:adjustRightInd w:val="0"/>
        <w:snapToGrid w:val="0"/>
        <w:jc w:val="center"/>
        <w:outlineLvl w:val="9"/>
        <w:rPr>
          <w:rFonts w:ascii="宋体" w:hAnsi="宋体" w:cs="宋体"/>
          <w:b/>
          <w:color w:val="auto"/>
          <w:sz w:val="96"/>
        </w:rPr>
      </w:pPr>
      <w:r>
        <w:rPr>
          <w:rFonts w:hint="eastAsia" w:ascii="宋体" w:hAnsi="宋体" w:cs="宋体"/>
          <w:b/>
          <w:color w:val="auto"/>
          <w:sz w:val="96"/>
        </w:rPr>
        <w:t>竞 选 文 件</w:t>
      </w:r>
    </w:p>
    <w:p w14:paraId="0BD65950">
      <w:pPr>
        <w:adjustRightInd w:val="0"/>
        <w:snapToGrid w:val="0"/>
        <w:spacing w:line="500" w:lineRule="exact"/>
        <w:jc w:val="center"/>
        <w:outlineLvl w:val="9"/>
        <w:rPr>
          <w:rFonts w:ascii="宋体" w:hAnsi="宋体" w:cs="宋体"/>
          <w:b/>
          <w:color w:val="auto"/>
          <w:sz w:val="36"/>
          <w:szCs w:val="36"/>
        </w:rPr>
      </w:pPr>
    </w:p>
    <w:p w14:paraId="2F6ED9B3">
      <w:pPr>
        <w:adjustRightInd w:val="0"/>
        <w:snapToGrid w:val="0"/>
        <w:spacing w:line="500" w:lineRule="exact"/>
        <w:outlineLvl w:val="9"/>
        <w:rPr>
          <w:rFonts w:ascii="宋体" w:hAnsi="宋体" w:cs="宋体"/>
          <w:b/>
          <w:color w:val="auto"/>
          <w:sz w:val="32"/>
        </w:rPr>
      </w:pPr>
    </w:p>
    <w:p w14:paraId="711383B2">
      <w:pPr>
        <w:adjustRightInd w:val="0"/>
        <w:snapToGrid w:val="0"/>
        <w:spacing w:line="500" w:lineRule="exact"/>
        <w:outlineLvl w:val="9"/>
        <w:rPr>
          <w:rFonts w:ascii="宋体" w:hAnsi="宋体" w:cs="宋体"/>
          <w:b/>
          <w:color w:val="auto"/>
          <w:sz w:val="32"/>
        </w:rPr>
      </w:pPr>
    </w:p>
    <w:p w14:paraId="5EAE577C">
      <w:pPr>
        <w:adjustRightInd w:val="0"/>
        <w:snapToGrid w:val="0"/>
        <w:spacing w:line="500" w:lineRule="exact"/>
        <w:outlineLvl w:val="9"/>
        <w:rPr>
          <w:rFonts w:ascii="宋体" w:hAnsi="宋体" w:cs="宋体"/>
          <w:b/>
          <w:color w:val="auto"/>
          <w:sz w:val="28"/>
          <w:szCs w:val="28"/>
        </w:rPr>
      </w:pPr>
    </w:p>
    <w:p w14:paraId="21F3D7B9">
      <w:pPr>
        <w:adjustRightInd w:val="0"/>
        <w:snapToGrid w:val="0"/>
        <w:spacing w:line="500" w:lineRule="exact"/>
        <w:jc w:val="center"/>
        <w:outlineLvl w:val="9"/>
        <w:rPr>
          <w:rFonts w:ascii="宋体" w:hAnsi="宋体" w:cs="宋体"/>
          <w:b/>
          <w:color w:val="auto"/>
          <w:sz w:val="28"/>
          <w:szCs w:val="28"/>
        </w:rPr>
      </w:pPr>
    </w:p>
    <w:p w14:paraId="28FBC2FB">
      <w:pPr>
        <w:pStyle w:val="6"/>
        <w:outlineLvl w:val="9"/>
        <w:rPr>
          <w:rFonts w:ascii="宋体" w:hAnsi="宋体" w:cs="宋体"/>
          <w:b/>
          <w:color w:val="auto"/>
        </w:rPr>
      </w:pPr>
    </w:p>
    <w:p w14:paraId="29324CD6">
      <w:pPr>
        <w:outlineLvl w:val="9"/>
        <w:rPr>
          <w:rFonts w:ascii="宋体" w:hAnsi="宋体" w:cs="宋体"/>
          <w:b/>
          <w:color w:val="auto"/>
        </w:rPr>
      </w:pPr>
    </w:p>
    <w:p w14:paraId="7817FF68">
      <w:pPr>
        <w:pStyle w:val="6"/>
        <w:outlineLvl w:val="9"/>
        <w:rPr>
          <w:rFonts w:ascii="宋体" w:hAnsi="宋体" w:cs="宋体"/>
          <w:b/>
          <w:color w:val="auto"/>
        </w:rPr>
      </w:pPr>
    </w:p>
    <w:p w14:paraId="291C6D20">
      <w:pPr>
        <w:adjustRightInd w:val="0"/>
        <w:snapToGrid w:val="0"/>
        <w:spacing w:line="500" w:lineRule="exact"/>
        <w:jc w:val="center"/>
        <w:outlineLvl w:val="9"/>
        <w:rPr>
          <w:rFonts w:ascii="宋体" w:hAnsi="宋体" w:cs="宋体"/>
          <w:b/>
          <w:color w:val="auto"/>
          <w:sz w:val="32"/>
          <w:szCs w:val="30"/>
        </w:rPr>
      </w:pPr>
      <w:r>
        <w:rPr>
          <w:rFonts w:hint="eastAsia" w:ascii="宋体" w:hAnsi="宋体" w:cs="宋体"/>
          <w:b/>
          <w:color w:val="auto"/>
          <w:sz w:val="32"/>
          <w:szCs w:val="30"/>
        </w:rPr>
        <w:t>竞选人:</w:t>
      </w:r>
      <w:r>
        <w:rPr>
          <w:rFonts w:hint="eastAsia" w:ascii="宋体" w:hAnsi="宋体" w:cs="宋体"/>
          <w:b/>
          <w:color w:val="auto"/>
          <w:sz w:val="32"/>
          <w:szCs w:val="30"/>
          <w:u w:val="single"/>
        </w:rPr>
        <w:t xml:space="preserve">                               </w:t>
      </w:r>
      <w:r>
        <w:rPr>
          <w:rFonts w:hint="eastAsia" w:ascii="宋体" w:hAnsi="宋体" w:cs="宋体"/>
          <w:b/>
          <w:color w:val="auto"/>
          <w:sz w:val="32"/>
          <w:szCs w:val="30"/>
        </w:rPr>
        <w:t>(盖单位法人章)</w:t>
      </w:r>
    </w:p>
    <w:p w14:paraId="011B0F22">
      <w:pPr>
        <w:adjustRightInd w:val="0"/>
        <w:snapToGrid w:val="0"/>
        <w:spacing w:line="500" w:lineRule="exact"/>
        <w:outlineLvl w:val="9"/>
        <w:rPr>
          <w:rFonts w:ascii="宋体" w:hAnsi="宋体" w:cs="宋体"/>
          <w:b/>
          <w:color w:val="auto"/>
          <w:sz w:val="32"/>
          <w:szCs w:val="30"/>
        </w:rPr>
      </w:pPr>
    </w:p>
    <w:p w14:paraId="0FA9C1E7">
      <w:pPr>
        <w:adjustRightInd w:val="0"/>
        <w:snapToGrid w:val="0"/>
        <w:spacing w:line="276" w:lineRule="auto"/>
        <w:ind w:firstLine="643" w:firstLineChars="200"/>
        <w:outlineLvl w:val="9"/>
        <w:rPr>
          <w:rFonts w:ascii="宋体" w:hAnsi="宋体" w:cs="宋体"/>
          <w:b/>
          <w:color w:val="auto"/>
          <w:sz w:val="32"/>
          <w:szCs w:val="30"/>
        </w:rPr>
      </w:pPr>
      <w:bookmarkStart w:id="573" w:name="_Toc24566"/>
      <w:bookmarkStart w:id="574" w:name="_Toc11502"/>
      <w:bookmarkStart w:id="575" w:name="_Toc3065"/>
      <w:bookmarkStart w:id="576" w:name="_Toc28643"/>
      <w:r>
        <w:rPr>
          <w:rFonts w:hint="eastAsia" w:ascii="宋体" w:hAnsi="宋体" w:cs="宋体"/>
          <w:b/>
          <w:color w:val="auto"/>
          <w:sz w:val="32"/>
          <w:szCs w:val="30"/>
        </w:rPr>
        <w:t>法定代表人</w:t>
      </w:r>
      <w:r>
        <w:rPr>
          <w:rFonts w:hint="eastAsia" w:ascii="宋体" w:hAnsi="宋体" w:cs="宋体"/>
          <w:b/>
          <w:color w:val="auto"/>
          <w:w w:val="99"/>
          <w:kern w:val="0"/>
          <w:sz w:val="32"/>
          <w:szCs w:val="30"/>
        </w:rPr>
        <w:t>或其委托代理人</w:t>
      </w:r>
      <w:r>
        <w:rPr>
          <w:rFonts w:hint="eastAsia" w:ascii="宋体" w:hAnsi="宋体" w:cs="宋体"/>
          <w:b/>
          <w:color w:val="auto"/>
          <w:sz w:val="32"/>
          <w:szCs w:val="30"/>
        </w:rPr>
        <w:t>:</w:t>
      </w:r>
      <w:r>
        <w:rPr>
          <w:rFonts w:hint="eastAsia" w:ascii="宋体" w:hAnsi="宋体" w:cs="宋体"/>
          <w:b/>
          <w:color w:val="auto"/>
          <w:sz w:val="32"/>
          <w:szCs w:val="30"/>
          <w:u w:val="single"/>
        </w:rPr>
        <w:t xml:space="preserve">               </w:t>
      </w:r>
      <w:r>
        <w:rPr>
          <w:rFonts w:hint="eastAsia" w:ascii="宋体" w:hAnsi="宋体" w:cs="宋体"/>
          <w:b/>
          <w:color w:val="auto"/>
          <w:sz w:val="32"/>
          <w:szCs w:val="30"/>
        </w:rPr>
        <w:t>(签字或盖章)</w:t>
      </w:r>
      <w:bookmarkEnd w:id="573"/>
      <w:bookmarkEnd w:id="574"/>
      <w:bookmarkEnd w:id="575"/>
      <w:bookmarkEnd w:id="576"/>
    </w:p>
    <w:p w14:paraId="727396F6">
      <w:pPr>
        <w:adjustRightInd w:val="0"/>
        <w:snapToGrid w:val="0"/>
        <w:spacing w:line="500" w:lineRule="exact"/>
        <w:jc w:val="center"/>
        <w:outlineLvl w:val="9"/>
        <w:rPr>
          <w:rFonts w:ascii="宋体" w:hAnsi="宋体" w:cs="宋体"/>
          <w:b/>
          <w:color w:val="auto"/>
          <w:sz w:val="30"/>
          <w:szCs w:val="30"/>
        </w:rPr>
      </w:pPr>
    </w:p>
    <w:p w14:paraId="65609EDC">
      <w:pPr>
        <w:autoSpaceDE w:val="0"/>
        <w:autoSpaceDN w:val="0"/>
        <w:adjustRightInd w:val="0"/>
        <w:spacing w:line="500" w:lineRule="exact"/>
        <w:jc w:val="center"/>
        <w:outlineLvl w:val="9"/>
        <w:rPr>
          <w:rFonts w:ascii="宋体" w:hAnsi="宋体" w:cs="宋体"/>
          <w:color w:val="auto"/>
          <w:sz w:val="28"/>
          <w:szCs w:val="28"/>
        </w:rPr>
      </w:pPr>
      <w:r>
        <w:rPr>
          <w:rFonts w:hint="eastAsia" w:ascii="宋体" w:hAnsi="宋体" w:cs="宋体"/>
          <w:b/>
          <w:color w:val="auto"/>
          <w:sz w:val="30"/>
          <w:szCs w:val="30"/>
          <w:u w:val="single"/>
        </w:rPr>
        <w:t xml:space="preserve">      </w:t>
      </w:r>
      <w:bookmarkStart w:id="577" w:name="_Toc25316"/>
      <w:bookmarkStart w:id="578" w:name="_Toc26042"/>
      <w:bookmarkStart w:id="579" w:name="_Toc19856"/>
      <w:bookmarkStart w:id="580" w:name="_Toc21726"/>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r>
        <w:rPr>
          <w:rFonts w:hint="eastAsia" w:ascii="宋体" w:hAnsi="宋体" w:cs="宋体"/>
          <w:color w:val="auto"/>
          <w:sz w:val="28"/>
          <w:szCs w:val="28"/>
        </w:rPr>
        <w:br w:type="page"/>
      </w:r>
      <w:bookmarkEnd w:id="577"/>
      <w:bookmarkEnd w:id="578"/>
      <w:bookmarkEnd w:id="579"/>
      <w:bookmarkEnd w:id="580"/>
    </w:p>
    <w:p w14:paraId="2B55B753">
      <w:pPr>
        <w:pageBreakBefore/>
        <w:autoSpaceDE w:val="0"/>
        <w:autoSpaceDN w:val="0"/>
        <w:adjustRightInd w:val="0"/>
        <w:spacing w:line="700" w:lineRule="exact"/>
        <w:jc w:val="center"/>
        <w:outlineLvl w:val="9"/>
        <w:rPr>
          <w:rFonts w:ascii="宋体" w:hAnsi="宋体" w:cs="宋体"/>
          <w:color w:val="auto"/>
          <w:sz w:val="36"/>
          <w:szCs w:val="36"/>
        </w:rPr>
      </w:pPr>
      <w:bookmarkStart w:id="581" w:name="_Toc6812"/>
      <w:bookmarkStart w:id="582" w:name="_Toc23387"/>
      <w:bookmarkStart w:id="583" w:name="_Toc23311"/>
      <w:bookmarkStart w:id="584" w:name="_Toc30942"/>
      <w:r>
        <w:rPr>
          <w:rFonts w:hint="eastAsia" w:ascii="宋体" w:hAnsi="宋体" w:cs="宋体"/>
          <w:color w:val="auto"/>
          <w:sz w:val="36"/>
          <w:szCs w:val="36"/>
        </w:rPr>
        <w:t>目  录</w:t>
      </w:r>
      <w:bookmarkEnd w:id="581"/>
      <w:bookmarkEnd w:id="582"/>
      <w:bookmarkEnd w:id="583"/>
      <w:bookmarkEnd w:id="584"/>
    </w:p>
    <w:p w14:paraId="6CFD8EB1">
      <w:pPr>
        <w:autoSpaceDE w:val="0"/>
        <w:autoSpaceDN w:val="0"/>
        <w:adjustRightInd w:val="0"/>
        <w:spacing w:line="700" w:lineRule="exact"/>
        <w:ind w:firstLine="480" w:firstLineChars="200"/>
        <w:outlineLvl w:val="9"/>
        <w:rPr>
          <w:rFonts w:ascii="宋体" w:hAnsi="宋体" w:cs="宋体"/>
          <w:color w:val="auto"/>
          <w:sz w:val="24"/>
          <w:szCs w:val="32"/>
        </w:rPr>
      </w:pPr>
      <w:bookmarkStart w:id="585" w:name="_Toc15185"/>
      <w:bookmarkStart w:id="586" w:name="_Toc29240"/>
      <w:bookmarkStart w:id="587" w:name="_Toc9325"/>
      <w:bookmarkStart w:id="588" w:name="_Toc14255"/>
      <w:r>
        <w:rPr>
          <w:rFonts w:hint="eastAsia" w:ascii="宋体" w:hAnsi="宋体" w:cs="宋体"/>
          <w:color w:val="auto"/>
          <w:sz w:val="24"/>
          <w:szCs w:val="32"/>
        </w:rPr>
        <w:t>一、竞选函</w:t>
      </w:r>
      <w:bookmarkEnd w:id="585"/>
      <w:bookmarkEnd w:id="586"/>
      <w:bookmarkEnd w:id="587"/>
      <w:bookmarkEnd w:id="588"/>
    </w:p>
    <w:p w14:paraId="29F1492B">
      <w:pPr>
        <w:autoSpaceDE w:val="0"/>
        <w:autoSpaceDN w:val="0"/>
        <w:adjustRightInd w:val="0"/>
        <w:spacing w:line="700" w:lineRule="exact"/>
        <w:ind w:firstLine="480" w:firstLineChars="200"/>
        <w:outlineLvl w:val="9"/>
        <w:rPr>
          <w:rFonts w:hint="eastAsia" w:ascii="宋体" w:hAnsi="宋体" w:cs="宋体"/>
          <w:color w:val="auto"/>
          <w:sz w:val="24"/>
          <w:szCs w:val="32"/>
        </w:rPr>
      </w:pPr>
      <w:bookmarkStart w:id="589" w:name="_Toc1299"/>
      <w:bookmarkStart w:id="590" w:name="_Toc26728"/>
      <w:bookmarkStart w:id="591" w:name="_Toc8965"/>
      <w:bookmarkStart w:id="592" w:name="_Toc23691"/>
      <w:r>
        <w:rPr>
          <w:rFonts w:hint="eastAsia" w:ascii="宋体" w:hAnsi="宋体" w:cs="宋体"/>
          <w:color w:val="auto"/>
          <w:sz w:val="24"/>
          <w:szCs w:val="32"/>
        </w:rPr>
        <w:t>二、</w:t>
      </w:r>
      <w:bookmarkEnd w:id="589"/>
      <w:r>
        <w:rPr>
          <w:rFonts w:hint="eastAsia" w:ascii="宋体" w:hAnsi="宋体" w:cs="宋体"/>
          <w:color w:val="auto"/>
          <w:sz w:val="24"/>
          <w:szCs w:val="32"/>
        </w:rPr>
        <w:t>已标价工程量清单</w:t>
      </w:r>
      <w:bookmarkEnd w:id="590"/>
      <w:bookmarkEnd w:id="591"/>
    </w:p>
    <w:p w14:paraId="61A74795">
      <w:pPr>
        <w:autoSpaceDE w:val="0"/>
        <w:autoSpaceDN w:val="0"/>
        <w:adjustRightInd w:val="0"/>
        <w:spacing w:line="700" w:lineRule="exact"/>
        <w:ind w:firstLine="480" w:firstLineChars="200"/>
        <w:outlineLvl w:val="9"/>
        <w:rPr>
          <w:rFonts w:ascii="宋体" w:hAnsi="宋体" w:cs="宋体"/>
          <w:color w:val="auto"/>
          <w:sz w:val="24"/>
          <w:szCs w:val="32"/>
        </w:rPr>
      </w:pPr>
      <w:bookmarkStart w:id="593" w:name="_Toc27189"/>
      <w:bookmarkStart w:id="594" w:name="_Toc16544"/>
      <w:bookmarkStart w:id="595" w:name="_Toc18976"/>
      <w:r>
        <w:rPr>
          <w:rFonts w:hint="eastAsia" w:ascii="宋体" w:hAnsi="宋体" w:cs="宋体"/>
          <w:color w:val="auto"/>
          <w:sz w:val="24"/>
          <w:szCs w:val="32"/>
          <w:lang w:val="en-US" w:eastAsia="zh-CN"/>
        </w:rPr>
        <w:t>三</w:t>
      </w:r>
      <w:r>
        <w:rPr>
          <w:rFonts w:hint="eastAsia" w:ascii="宋体" w:hAnsi="宋体" w:cs="宋体"/>
          <w:color w:val="auto"/>
          <w:sz w:val="24"/>
          <w:szCs w:val="32"/>
        </w:rPr>
        <w:t>、法定代表人身份证明及授权委托书</w:t>
      </w:r>
      <w:bookmarkEnd w:id="592"/>
      <w:bookmarkEnd w:id="593"/>
      <w:bookmarkEnd w:id="594"/>
      <w:bookmarkEnd w:id="595"/>
    </w:p>
    <w:p w14:paraId="4476914B">
      <w:pPr>
        <w:autoSpaceDE w:val="0"/>
        <w:autoSpaceDN w:val="0"/>
        <w:adjustRightInd w:val="0"/>
        <w:spacing w:line="700" w:lineRule="exact"/>
        <w:ind w:firstLine="480" w:firstLineChars="200"/>
        <w:outlineLvl w:val="9"/>
        <w:rPr>
          <w:rFonts w:ascii="宋体" w:hAnsi="宋体" w:cs="宋体"/>
          <w:color w:val="auto"/>
          <w:sz w:val="24"/>
          <w:szCs w:val="32"/>
        </w:rPr>
      </w:pPr>
      <w:bookmarkStart w:id="596" w:name="_Toc16235"/>
      <w:bookmarkStart w:id="597" w:name="_Toc14194"/>
      <w:bookmarkStart w:id="598" w:name="_Toc32318"/>
      <w:bookmarkStart w:id="599" w:name="_Toc13899"/>
      <w:r>
        <w:rPr>
          <w:rFonts w:hint="eastAsia" w:ascii="宋体" w:hAnsi="宋体" w:cs="宋体"/>
          <w:color w:val="auto"/>
          <w:sz w:val="24"/>
          <w:szCs w:val="32"/>
          <w:lang w:val="en-US" w:eastAsia="zh-CN"/>
        </w:rPr>
        <w:t>四</w:t>
      </w:r>
      <w:r>
        <w:rPr>
          <w:rFonts w:hint="eastAsia" w:ascii="宋体" w:hAnsi="宋体" w:cs="宋体"/>
          <w:color w:val="auto"/>
          <w:sz w:val="24"/>
          <w:szCs w:val="32"/>
        </w:rPr>
        <w:t>、竞选人基本情况表</w:t>
      </w:r>
      <w:bookmarkEnd w:id="596"/>
      <w:bookmarkEnd w:id="597"/>
      <w:bookmarkEnd w:id="598"/>
      <w:bookmarkEnd w:id="599"/>
    </w:p>
    <w:p w14:paraId="69042173">
      <w:pPr>
        <w:autoSpaceDE w:val="0"/>
        <w:autoSpaceDN w:val="0"/>
        <w:adjustRightInd w:val="0"/>
        <w:spacing w:line="700" w:lineRule="exact"/>
        <w:ind w:firstLine="480" w:firstLineChars="200"/>
        <w:outlineLvl w:val="9"/>
        <w:rPr>
          <w:rFonts w:ascii="宋体" w:hAnsi="宋体" w:cs="宋体"/>
          <w:color w:val="auto"/>
          <w:sz w:val="24"/>
          <w:szCs w:val="32"/>
        </w:rPr>
      </w:pPr>
      <w:bookmarkStart w:id="600" w:name="_Toc4433"/>
      <w:bookmarkStart w:id="601" w:name="_Toc23964"/>
      <w:bookmarkStart w:id="602" w:name="_Toc20035"/>
      <w:bookmarkStart w:id="603" w:name="_Toc8764"/>
      <w:r>
        <w:rPr>
          <w:rFonts w:hint="eastAsia" w:ascii="宋体" w:hAnsi="宋体" w:cs="宋体"/>
          <w:color w:val="auto"/>
          <w:sz w:val="24"/>
          <w:szCs w:val="32"/>
          <w:lang w:val="en-US" w:eastAsia="zh-CN"/>
        </w:rPr>
        <w:t>五</w:t>
      </w:r>
      <w:r>
        <w:rPr>
          <w:rFonts w:hint="eastAsia" w:ascii="宋体" w:hAnsi="宋体" w:cs="宋体"/>
          <w:color w:val="auto"/>
          <w:sz w:val="24"/>
          <w:szCs w:val="32"/>
        </w:rPr>
        <w:t>、类似业绩情况表</w:t>
      </w:r>
      <w:bookmarkEnd w:id="600"/>
      <w:bookmarkEnd w:id="601"/>
      <w:bookmarkEnd w:id="602"/>
      <w:bookmarkEnd w:id="603"/>
    </w:p>
    <w:p w14:paraId="13EEB94F">
      <w:pPr>
        <w:autoSpaceDE w:val="0"/>
        <w:autoSpaceDN w:val="0"/>
        <w:adjustRightInd w:val="0"/>
        <w:spacing w:line="700" w:lineRule="exact"/>
        <w:ind w:firstLine="480" w:firstLineChars="200"/>
        <w:outlineLvl w:val="9"/>
        <w:rPr>
          <w:rFonts w:ascii="宋体" w:hAnsi="宋体" w:cs="宋体"/>
          <w:color w:val="auto"/>
          <w:sz w:val="24"/>
          <w:szCs w:val="32"/>
        </w:rPr>
      </w:pPr>
      <w:bookmarkStart w:id="604" w:name="_Toc10684"/>
      <w:bookmarkStart w:id="605" w:name="_Toc6499"/>
      <w:bookmarkStart w:id="606" w:name="_Toc6017"/>
      <w:bookmarkStart w:id="607" w:name="_Toc20653"/>
      <w:r>
        <w:rPr>
          <w:rFonts w:hint="eastAsia" w:ascii="宋体" w:hAnsi="宋体" w:cs="宋体"/>
          <w:color w:val="auto"/>
          <w:sz w:val="24"/>
          <w:szCs w:val="32"/>
          <w:lang w:val="en-US" w:eastAsia="zh-CN"/>
        </w:rPr>
        <w:t>六</w:t>
      </w:r>
      <w:r>
        <w:rPr>
          <w:rFonts w:hint="eastAsia" w:ascii="宋体" w:hAnsi="宋体" w:cs="宋体"/>
          <w:color w:val="auto"/>
          <w:sz w:val="24"/>
          <w:szCs w:val="32"/>
        </w:rPr>
        <w:t>、承诺</w:t>
      </w:r>
      <w:bookmarkEnd w:id="604"/>
      <w:bookmarkEnd w:id="605"/>
      <w:bookmarkEnd w:id="606"/>
      <w:bookmarkEnd w:id="607"/>
    </w:p>
    <w:p w14:paraId="7CA5CF87">
      <w:pPr>
        <w:autoSpaceDE w:val="0"/>
        <w:autoSpaceDN w:val="0"/>
        <w:adjustRightInd w:val="0"/>
        <w:spacing w:line="700" w:lineRule="exact"/>
        <w:ind w:firstLine="480" w:firstLineChars="200"/>
        <w:outlineLvl w:val="9"/>
        <w:rPr>
          <w:rFonts w:hint="default" w:ascii="宋体" w:hAnsi="宋体" w:eastAsia="宋体" w:cs="宋体"/>
          <w:color w:val="auto"/>
          <w:sz w:val="24"/>
          <w:szCs w:val="32"/>
          <w:lang w:val="en-US" w:eastAsia="zh-CN"/>
        </w:rPr>
      </w:pPr>
      <w:bookmarkStart w:id="608" w:name="_Toc10166"/>
      <w:bookmarkStart w:id="609" w:name="_Toc9038"/>
      <w:bookmarkStart w:id="610" w:name="_Toc5910"/>
      <w:bookmarkStart w:id="611" w:name="_Toc3829"/>
      <w:r>
        <w:rPr>
          <w:rFonts w:hint="eastAsia" w:ascii="宋体" w:hAnsi="宋体" w:cs="宋体"/>
          <w:color w:val="auto"/>
          <w:sz w:val="24"/>
          <w:szCs w:val="32"/>
          <w:lang w:val="en-US" w:eastAsia="zh-CN"/>
        </w:rPr>
        <w:t>七</w:t>
      </w:r>
      <w:r>
        <w:rPr>
          <w:rFonts w:hint="eastAsia" w:ascii="宋体" w:hAnsi="宋体" w:cs="宋体"/>
          <w:color w:val="auto"/>
          <w:sz w:val="24"/>
          <w:szCs w:val="32"/>
        </w:rPr>
        <w:t>、</w:t>
      </w:r>
      <w:r>
        <w:rPr>
          <w:rFonts w:hint="eastAsia" w:ascii="宋体" w:hAnsi="宋体" w:cs="宋体"/>
          <w:color w:val="auto"/>
          <w:sz w:val="24"/>
          <w:szCs w:val="32"/>
          <w:lang w:val="en-US" w:eastAsia="zh-CN"/>
        </w:rPr>
        <w:t>技术部分</w:t>
      </w:r>
      <w:bookmarkEnd w:id="608"/>
      <w:bookmarkEnd w:id="609"/>
      <w:bookmarkEnd w:id="610"/>
      <w:bookmarkEnd w:id="611"/>
    </w:p>
    <w:p w14:paraId="64BF47B2">
      <w:pPr>
        <w:autoSpaceDE w:val="0"/>
        <w:autoSpaceDN w:val="0"/>
        <w:adjustRightInd w:val="0"/>
        <w:spacing w:line="700" w:lineRule="exact"/>
        <w:ind w:firstLine="480" w:firstLineChars="200"/>
        <w:outlineLvl w:val="9"/>
        <w:rPr>
          <w:rFonts w:ascii="宋体" w:hAnsi="宋体" w:cs="宋体"/>
          <w:color w:val="auto"/>
          <w:sz w:val="24"/>
          <w:szCs w:val="32"/>
        </w:rPr>
      </w:pPr>
      <w:bookmarkStart w:id="612" w:name="_Toc4697"/>
      <w:bookmarkStart w:id="613" w:name="_Toc20859"/>
      <w:bookmarkStart w:id="614" w:name="_Toc4166"/>
      <w:bookmarkStart w:id="615" w:name="_Toc18945"/>
      <w:r>
        <w:rPr>
          <w:rFonts w:hint="eastAsia" w:ascii="宋体" w:hAnsi="宋体" w:cs="宋体"/>
          <w:color w:val="auto"/>
          <w:sz w:val="24"/>
          <w:szCs w:val="32"/>
          <w:lang w:val="en-US" w:eastAsia="zh-CN"/>
        </w:rPr>
        <w:t>八</w:t>
      </w:r>
      <w:r>
        <w:rPr>
          <w:rFonts w:hint="eastAsia" w:ascii="宋体" w:hAnsi="宋体" w:cs="宋体"/>
          <w:color w:val="auto"/>
          <w:sz w:val="24"/>
          <w:szCs w:val="32"/>
        </w:rPr>
        <w:t>、其他资料</w:t>
      </w:r>
      <w:bookmarkEnd w:id="612"/>
      <w:bookmarkEnd w:id="613"/>
      <w:bookmarkEnd w:id="614"/>
      <w:bookmarkEnd w:id="615"/>
    </w:p>
    <w:p w14:paraId="1B311AE6">
      <w:pPr>
        <w:pStyle w:val="6"/>
        <w:outlineLvl w:val="9"/>
        <w:rPr>
          <w:rFonts w:ascii="宋体" w:hAnsi="宋体" w:cs="宋体"/>
          <w:color w:val="auto"/>
        </w:rPr>
      </w:pPr>
      <w:r>
        <w:rPr>
          <w:rFonts w:hint="eastAsia" w:ascii="宋体" w:hAnsi="宋体" w:cs="宋体"/>
          <w:color w:val="auto"/>
        </w:rPr>
        <w:br w:type="page"/>
      </w:r>
    </w:p>
    <w:p w14:paraId="1B655E82">
      <w:pPr>
        <w:jc w:val="center"/>
        <w:outlineLvl w:val="9"/>
        <w:rPr>
          <w:rFonts w:ascii="宋体" w:hAnsi="宋体" w:eastAsia="宋体" w:cs="宋体"/>
          <w:color w:val="auto"/>
          <w:szCs w:val="22"/>
        </w:rPr>
      </w:pPr>
      <w:bookmarkStart w:id="616" w:name="_Toc4310"/>
      <w:bookmarkStart w:id="617" w:name="_Toc31351"/>
      <w:bookmarkStart w:id="618" w:name="_Toc32169"/>
      <w:bookmarkStart w:id="619" w:name="_Toc9100"/>
      <w:r>
        <w:rPr>
          <w:rFonts w:hint="eastAsia" w:ascii="宋体" w:hAnsi="宋体" w:eastAsia="宋体" w:cs="宋体"/>
          <w:color w:val="auto"/>
          <w:szCs w:val="22"/>
        </w:rPr>
        <w:t>一、竞选函</w:t>
      </w:r>
      <w:bookmarkEnd w:id="616"/>
      <w:bookmarkEnd w:id="617"/>
      <w:bookmarkEnd w:id="618"/>
      <w:bookmarkEnd w:id="619"/>
    </w:p>
    <w:p w14:paraId="5CE490E4">
      <w:pPr>
        <w:tabs>
          <w:tab w:val="left" w:pos="2655"/>
          <w:tab w:val="left" w:pos="3520"/>
          <w:tab w:val="left" w:pos="4920"/>
          <w:tab w:val="left" w:pos="5715"/>
          <w:tab w:val="left" w:pos="6945"/>
          <w:tab w:val="left" w:pos="7980"/>
        </w:tabs>
        <w:autoSpaceDE w:val="0"/>
        <w:autoSpaceDN w:val="0"/>
        <w:adjustRightInd w:val="0"/>
        <w:spacing w:line="360" w:lineRule="auto"/>
        <w:outlineLvl w:val="9"/>
        <w:rPr>
          <w:rFonts w:ascii="宋体" w:hAnsi="宋体" w:cs="宋体"/>
          <w:snapToGrid w:val="0"/>
          <w:color w:val="auto"/>
          <w:szCs w:val="21"/>
          <w:u w:val="single"/>
        </w:rPr>
      </w:pPr>
      <w:bookmarkStart w:id="620" w:name="_Toc249770226"/>
      <w:r>
        <w:rPr>
          <w:rFonts w:hint="eastAsia" w:ascii="宋体" w:hAnsi="宋体" w:cs="宋体"/>
          <w:snapToGrid w:val="0"/>
          <w:color w:val="auto"/>
          <w:szCs w:val="21"/>
          <w:u w:val="single"/>
        </w:rPr>
        <w:t xml:space="preserve">                     (比选人):</w:t>
      </w:r>
    </w:p>
    <w:p w14:paraId="04D997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snapToGrid w:val="0"/>
          <w:color w:val="auto"/>
          <w:kern w:val="0"/>
        </w:rPr>
      </w:pP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根据已收到的</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的竞争性比选文件的全部内容，愿意以人民币（大写）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             （￥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元）的比选总报价完成竞争性比选文件和</w:t>
      </w:r>
      <w:r>
        <w:rPr>
          <w:rFonts w:hint="eastAsia" w:ascii="宋体" w:hAnsi="宋体" w:cs="宋体"/>
          <w:snapToGrid w:val="0"/>
          <w:color w:val="auto"/>
          <w:kern w:val="0"/>
        </w:rPr>
        <w:t>按合同约定的全部内容。</w:t>
      </w:r>
    </w:p>
    <w:p w14:paraId="6F3E311F">
      <w:pPr>
        <w:tabs>
          <w:tab w:val="left" w:pos="7140"/>
          <w:tab w:val="left" w:pos="7560"/>
          <w:tab w:val="left" w:pos="8300"/>
        </w:tabs>
        <w:autoSpaceDE w:val="0"/>
        <w:autoSpaceDN w:val="0"/>
        <w:adjustRightInd w:val="0"/>
        <w:spacing w:line="360" w:lineRule="auto"/>
        <w:ind w:firstLine="420" w:firstLineChars="200"/>
        <w:outlineLvl w:val="9"/>
        <w:rPr>
          <w:rFonts w:ascii="宋体" w:hAnsi="宋体" w:cs="宋体"/>
          <w:snapToGrid w:val="0"/>
          <w:color w:val="auto"/>
          <w:kern w:val="0"/>
          <w:szCs w:val="21"/>
        </w:rPr>
      </w:pPr>
      <w:r>
        <w:rPr>
          <w:rFonts w:hint="eastAsia" w:ascii="宋体" w:hAnsi="宋体" w:cs="宋体"/>
          <w:snapToGrid w:val="0"/>
          <w:color w:val="auto"/>
          <w:kern w:val="0"/>
          <w:szCs w:val="21"/>
        </w:rPr>
        <w:t>2.我方承诺在竞选有效期内不修改、撤销竞选文件。</w:t>
      </w:r>
    </w:p>
    <w:p w14:paraId="40084838">
      <w:pPr>
        <w:tabs>
          <w:tab w:val="left" w:pos="7140"/>
          <w:tab w:val="left" w:pos="7560"/>
          <w:tab w:val="left" w:pos="8300"/>
        </w:tabs>
        <w:autoSpaceDE w:val="0"/>
        <w:autoSpaceDN w:val="0"/>
        <w:adjustRightInd w:val="0"/>
        <w:spacing w:line="360" w:lineRule="auto"/>
        <w:ind w:firstLine="420" w:firstLineChars="200"/>
        <w:outlineLvl w:val="9"/>
        <w:rPr>
          <w:rFonts w:ascii="宋体" w:hAnsi="宋体" w:cs="宋体"/>
          <w:snapToGrid w:val="0"/>
          <w:color w:val="auto"/>
          <w:kern w:val="0"/>
          <w:szCs w:val="21"/>
        </w:rPr>
      </w:pPr>
      <w:r>
        <w:rPr>
          <w:rFonts w:hint="eastAsia" w:ascii="宋体" w:hAnsi="宋体" w:cs="宋体"/>
          <w:snapToGrid w:val="0"/>
          <w:color w:val="auto"/>
          <w:kern w:val="0"/>
          <w:szCs w:val="21"/>
        </w:rPr>
        <w:t>3.如我方中选:</w:t>
      </w:r>
    </w:p>
    <w:p w14:paraId="27CC0C43">
      <w:pPr>
        <w:tabs>
          <w:tab w:val="left" w:pos="7140"/>
          <w:tab w:val="left" w:pos="7560"/>
          <w:tab w:val="left" w:pos="8300"/>
        </w:tabs>
        <w:autoSpaceDE w:val="0"/>
        <w:autoSpaceDN w:val="0"/>
        <w:adjustRightInd w:val="0"/>
        <w:spacing w:line="360" w:lineRule="auto"/>
        <w:ind w:firstLine="420" w:firstLineChars="200"/>
        <w:outlineLvl w:val="9"/>
        <w:rPr>
          <w:rFonts w:ascii="宋体" w:hAnsi="宋体" w:cs="宋体"/>
          <w:snapToGrid w:val="0"/>
          <w:color w:val="auto"/>
          <w:kern w:val="0"/>
          <w:szCs w:val="21"/>
        </w:rPr>
      </w:pPr>
      <w:r>
        <w:rPr>
          <w:rFonts w:hint="eastAsia" w:ascii="宋体" w:hAnsi="宋体" w:cs="宋体"/>
          <w:snapToGrid w:val="0"/>
          <w:color w:val="auto"/>
          <w:kern w:val="0"/>
          <w:szCs w:val="21"/>
        </w:rPr>
        <w:t>（1）我方承诺在收到中选通知书后，在中选通知书规定的期限内与你方签订合同。</w:t>
      </w:r>
    </w:p>
    <w:p w14:paraId="65352862">
      <w:pPr>
        <w:tabs>
          <w:tab w:val="left" w:pos="7140"/>
          <w:tab w:val="left" w:pos="7560"/>
          <w:tab w:val="left" w:pos="8300"/>
        </w:tabs>
        <w:autoSpaceDE w:val="0"/>
        <w:autoSpaceDN w:val="0"/>
        <w:adjustRightInd w:val="0"/>
        <w:spacing w:line="360" w:lineRule="auto"/>
        <w:ind w:firstLine="420" w:firstLineChars="200"/>
        <w:outlineLvl w:val="9"/>
        <w:rPr>
          <w:rFonts w:ascii="宋体" w:hAnsi="宋体" w:cs="宋体"/>
          <w:snapToGrid w:val="0"/>
          <w:color w:val="auto"/>
          <w:kern w:val="0"/>
          <w:szCs w:val="21"/>
        </w:rPr>
      </w:pPr>
      <w:r>
        <w:rPr>
          <w:rFonts w:hint="eastAsia" w:ascii="宋体" w:hAnsi="宋体" w:cs="宋体"/>
          <w:snapToGrid w:val="0"/>
          <w:color w:val="auto"/>
          <w:kern w:val="0"/>
          <w:szCs w:val="21"/>
        </w:rPr>
        <w:t>（2）随同本竞选函递交的竞选函附录属于合同文件的组成部分。</w:t>
      </w:r>
    </w:p>
    <w:p w14:paraId="62D8A632">
      <w:pPr>
        <w:tabs>
          <w:tab w:val="left" w:pos="7140"/>
          <w:tab w:val="left" w:pos="7560"/>
          <w:tab w:val="left" w:pos="8300"/>
        </w:tabs>
        <w:autoSpaceDE w:val="0"/>
        <w:autoSpaceDN w:val="0"/>
        <w:adjustRightInd w:val="0"/>
        <w:spacing w:line="360" w:lineRule="auto"/>
        <w:ind w:firstLine="420" w:firstLineChars="200"/>
        <w:outlineLvl w:val="9"/>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（3）我方承诺在合同期限内按合同约定履行义务</w:t>
      </w:r>
      <w:r>
        <w:rPr>
          <w:rFonts w:hint="eastAsia" w:ascii="宋体" w:hAnsi="宋体" w:cs="宋体"/>
          <w:snapToGrid w:val="0"/>
          <w:color w:val="auto"/>
          <w:kern w:val="0"/>
          <w:szCs w:val="21"/>
          <w:lang w:eastAsia="zh-CN"/>
        </w:rPr>
        <w:t>。</w:t>
      </w:r>
    </w:p>
    <w:p w14:paraId="4583B733">
      <w:pPr>
        <w:tabs>
          <w:tab w:val="left" w:pos="7140"/>
          <w:tab w:val="left" w:pos="7560"/>
          <w:tab w:val="left" w:pos="8300"/>
        </w:tabs>
        <w:autoSpaceDE w:val="0"/>
        <w:autoSpaceDN w:val="0"/>
        <w:adjustRightInd w:val="0"/>
        <w:spacing w:line="360" w:lineRule="auto"/>
        <w:ind w:firstLine="420" w:firstLineChars="200"/>
        <w:outlineLvl w:val="9"/>
        <w:rPr>
          <w:rFonts w:ascii="宋体" w:hAnsi="宋体" w:cs="宋体"/>
          <w:snapToGrid w:val="0"/>
          <w:color w:val="auto"/>
          <w:kern w:val="0"/>
          <w:szCs w:val="21"/>
        </w:rPr>
      </w:pPr>
      <w:r>
        <w:rPr>
          <w:rFonts w:hint="eastAsia" w:ascii="宋体" w:hAnsi="宋体" w:cs="宋体"/>
          <w:snapToGrid w:val="0"/>
          <w:color w:val="auto"/>
          <w:kern w:val="0"/>
          <w:szCs w:val="21"/>
        </w:rPr>
        <w:t>（4）我方承诺以不低于竞争性比选文件第五章</w:t>
      </w:r>
      <w:r>
        <w:rPr>
          <w:rFonts w:hint="eastAsia" w:ascii="宋体" w:hAnsi="宋体" w:cs="宋体"/>
          <w:snapToGrid w:val="0"/>
          <w:color w:val="auto"/>
          <w:kern w:val="0"/>
          <w:szCs w:val="21"/>
          <w:lang w:val="en-US" w:eastAsia="zh-CN"/>
        </w:rPr>
        <w:t>工程量清单</w:t>
      </w:r>
      <w:r>
        <w:rPr>
          <w:rFonts w:hint="eastAsia" w:ascii="宋体" w:hAnsi="宋体" w:cs="宋体"/>
          <w:snapToGrid w:val="0"/>
          <w:color w:val="auto"/>
          <w:kern w:val="0"/>
          <w:szCs w:val="21"/>
        </w:rPr>
        <w:t>中所列的技术指标和参数要求完成全部要求。</w:t>
      </w:r>
    </w:p>
    <w:p w14:paraId="307CD06A">
      <w:pPr>
        <w:tabs>
          <w:tab w:val="left" w:pos="7140"/>
          <w:tab w:val="left" w:pos="7560"/>
          <w:tab w:val="left" w:pos="8300"/>
        </w:tabs>
        <w:autoSpaceDE w:val="0"/>
        <w:autoSpaceDN w:val="0"/>
        <w:adjustRightInd w:val="0"/>
        <w:spacing w:line="360" w:lineRule="auto"/>
        <w:ind w:firstLine="420" w:firstLineChars="200"/>
        <w:outlineLvl w:val="9"/>
        <w:rPr>
          <w:rFonts w:ascii="宋体" w:hAnsi="宋体" w:cs="宋体"/>
          <w:snapToGrid w:val="0"/>
          <w:color w:val="auto"/>
          <w:kern w:val="0"/>
          <w:szCs w:val="21"/>
        </w:rPr>
      </w:pPr>
      <w:r>
        <w:rPr>
          <w:rFonts w:hint="eastAsia" w:ascii="宋体" w:hAnsi="宋体" w:cs="宋体"/>
          <w:snapToGrid w:val="0"/>
          <w:color w:val="auto"/>
          <w:kern w:val="0"/>
          <w:szCs w:val="21"/>
        </w:rPr>
        <w:t>4.我方在此声明，所递交的竞选文件及有关资料内容完整、真实和准确，</w:t>
      </w:r>
      <w:r>
        <w:rPr>
          <w:rFonts w:hint="eastAsia" w:ascii="宋体" w:hAnsi="宋体" w:cs="宋体"/>
          <w:bCs/>
          <w:snapToGrid w:val="0"/>
          <w:color w:val="auto"/>
          <w:kern w:val="0"/>
          <w:szCs w:val="21"/>
        </w:rPr>
        <w:t>符合第四章“合同条款”的规定</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竞选文件没有比选人不能接受的条件，</w:t>
      </w:r>
      <w:r>
        <w:rPr>
          <w:rFonts w:hint="eastAsia" w:ascii="宋体" w:hAnsi="宋体" w:cs="宋体"/>
          <w:bCs/>
          <w:snapToGrid w:val="0"/>
          <w:color w:val="auto"/>
          <w:kern w:val="0"/>
          <w:szCs w:val="21"/>
        </w:rPr>
        <w:t>且</w:t>
      </w:r>
      <w:r>
        <w:rPr>
          <w:rFonts w:hint="eastAsia" w:ascii="宋体" w:hAnsi="宋体" w:cs="宋体"/>
          <w:snapToGrid w:val="0"/>
          <w:color w:val="auto"/>
          <w:kern w:val="0"/>
          <w:szCs w:val="21"/>
        </w:rPr>
        <w:t>不存在第二章“竞选人须知”第1.4.3项规定的任何一种情形。同时我方承诺接受比选文件及附件、澄清及修改通知中所有的内容。</w:t>
      </w:r>
    </w:p>
    <w:p w14:paraId="66EC4BF7">
      <w:pPr>
        <w:tabs>
          <w:tab w:val="left" w:pos="7140"/>
          <w:tab w:val="left" w:pos="7560"/>
          <w:tab w:val="left" w:pos="8300"/>
        </w:tabs>
        <w:autoSpaceDE w:val="0"/>
        <w:autoSpaceDN w:val="0"/>
        <w:adjustRightInd w:val="0"/>
        <w:spacing w:line="360" w:lineRule="auto"/>
        <w:ind w:firstLine="420" w:firstLineChars="200"/>
        <w:outlineLvl w:val="9"/>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（其他补充说明）。</w:t>
      </w:r>
    </w:p>
    <w:p w14:paraId="1B3F3FBC">
      <w:pPr>
        <w:tabs>
          <w:tab w:val="left" w:pos="7140"/>
          <w:tab w:val="left" w:pos="7560"/>
          <w:tab w:val="left" w:pos="8300"/>
        </w:tabs>
        <w:autoSpaceDE w:val="0"/>
        <w:autoSpaceDN w:val="0"/>
        <w:adjustRightInd w:val="0"/>
        <w:spacing w:line="360" w:lineRule="auto"/>
        <w:outlineLvl w:val="9"/>
        <w:rPr>
          <w:rFonts w:ascii="宋体" w:hAnsi="宋体" w:cs="宋体"/>
          <w:snapToGrid w:val="0"/>
          <w:color w:val="auto"/>
          <w:kern w:val="0"/>
          <w:szCs w:val="21"/>
        </w:rPr>
      </w:pPr>
    </w:p>
    <w:p w14:paraId="7B0194DA">
      <w:pPr>
        <w:tabs>
          <w:tab w:val="left" w:pos="7140"/>
          <w:tab w:val="left" w:pos="7560"/>
          <w:tab w:val="left" w:pos="8300"/>
        </w:tabs>
        <w:autoSpaceDE w:val="0"/>
        <w:autoSpaceDN w:val="0"/>
        <w:adjustRightInd w:val="0"/>
        <w:spacing w:line="500" w:lineRule="exact"/>
        <w:ind w:right="210" w:firstLine="1982" w:firstLineChars="944"/>
        <w:outlineLvl w:val="9"/>
        <w:rPr>
          <w:rFonts w:ascii="宋体" w:hAnsi="宋体" w:cs="宋体"/>
          <w:snapToGrid w:val="0"/>
          <w:color w:val="auto"/>
          <w:kern w:val="0"/>
        </w:rPr>
      </w:pPr>
      <w:r>
        <w:rPr>
          <w:rFonts w:hint="eastAsia" w:ascii="宋体" w:hAnsi="宋体" w:cs="宋体"/>
          <w:snapToGrid w:val="0"/>
          <w:color w:val="auto"/>
          <w:kern w:val="0"/>
          <w:szCs w:val="21"/>
        </w:rPr>
        <w:t>竞选</w:t>
      </w:r>
      <w:r>
        <w:rPr>
          <w:rFonts w:hint="eastAsia" w:ascii="宋体" w:hAnsi="宋体" w:cs="宋体"/>
          <w:snapToGrid w:val="0"/>
          <w:color w:val="auto"/>
          <w:kern w:val="0"/>
        </w:rPr>
        <w:t xml:space="preserve">人： </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（盖单位法人章）</w:t>
      </w:r>
    </w:p>
    <w:p w14:paraId="36E9E0E8">
      <w:pPr>
        <w:tabs>
          <w:tab w:val="left" w:pos="7140"/>
          <w:tab w:val="left" w:pos="7560"/>
          <w:tab w:val="left" w:pos="8300"/>
        </w:tabs>
        <w:autoSpaceDE w:val="0"/>
        <w:autoSpaceDN w:val="0"/>
        <w:adjustRightInd w:val="0"/>
        <w:spacing w:line="500" w:lineRule="exact"/>
        <w:ind w:right="210" w:firstLine="1995" w:firstLineChars="950"/>
        <w:outlineLvl w:val="9"/>
        <w:rPr>
          <w:rFonts w:ascii="宋体" w:hAnsi="宋体" w:cs="宋体"/>
          <w:snapToGrid w:val="0"/>
          <w:color w:val="auto"/>
          <w:kern w:val="0"/>
        </w:rPr>
      </w:pPr>
      <w:r>
        <w:rPr>
          <w:rFonts w:hint="eastAsia" w:ascii="宋体" w:hAnsi="宋体" w:cs="宋体"/>
          <w:snapToGrid w:val="0"/>
          <w:color w:val="auto"/>
          <w:kern w:val="0"/>
        </w:rPr>
        <w:t>法定代表人或其委托代理人：</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（签字或盖章）</w:t>
      </w:r>
    </w:p>
    <w:p w14:paraId="54D877E0">
      <w:pPr>
        <w:tabs>
          <w:tab w:val="left" w:pos="7035"/>
          <w:tab w:val="left" w:pos="7560"/>
          <w:tab w:val="left" w:pos="8300"/>
        </w:tabs>
        <w:autoSpaceDE w:val="0"/>
        <w:autoSpaceDN w:val="0"/>
        <w:adjustRightInd w:val="0"/>
        <w:spacing w:line="500" w:lineRule="exact"/>
        <w:ind w:right="210" w:firstLine="1982" w:firstLineChars="944"/>
        <w:outlineLvl w:val="9"/>
        <w:rPr>
          <w:rFonts w:ascii="宋体" w:hAnsi="宋体" w:cs="宋体"/>
          <w:snapToGrid w:val="0"/>
          <w:color w:val="auto"/>
          <w:kern w:val="0"/>
          <w:szCs w:val="22"/>
        </w:rPr>
      </w:pPr>
      <w:r>
        <w:rPr>
          <w:rFonts w:hint="eastAsia" w:ascii="宋体" w:hAnsi="宋体" w:cs="宋体"/>
          <w:snapToGrid w:val="0"/>
          <w:color w:val="auto"/>
          <w:kern w:val="0"/>
          <w:szCs w:val="22"/>
        </w:rPr>
        <w:t>地址：</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36C4C87D">
      <w:pPr>
        <w:tabs>
          <w:tab w:val="left" w:pos="7035"/>
          <w:tab w:val="left" w:pos="7560"/>
          <w:tab w:val="left" w:pos="8300"/>
        </w:tabs>
        <w:autoSpaceDE w:val="0"/>
        <w:autoSpaceDN w:val="0"/>
        <w:adjustRightInd w:val="0"/>
        <w:spacing w:line="500" w:lineRule="exact"/>
        <w:ind w:right="210" w:firstLine="1982" w:firstLineChars="944"/>
        <w:outlineLvl w:val="9"/>
        <w:rPr>
          <w:rFonts w:ascii="宋体" w:hAnsi="宋体" w:cs="宋体"/>
          <w:snapToGrid w:val="0"/>
          <w:color w:val="auto"/>
          <w:kern w:val="0"/>
          <w:szCs w:val="22"/>
        </w:rPr>
      </w:pPr>
      <w:r>
        <w:rPr>
          <w:rFonts w:hint="eastAsia" w:ascii="宋体" w:hAnsi="宋体" w:cs="宋体"/>
          <w:color w:val="auto"/>
        </w:rPr>
        <w:t>单 位 电 话（座机）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751C3F7A">
      <w:pPr>
        <w:tabs>
          <w:tab w:val="left" w:pos="7035"/>
          <w:tab w:val="left" w:pos="7560"/>
          <w:tab w:val="left" w:pos="8300"/>
        </w:tabs>
        <w:autoSpaceDE w:val="0"/>
        <w:autoSpaceDN w:val="0"/>
        <w:adjustRightInd w:val="0"/>
        <w:spacing w:line="500" w:lineRule="exact"/>
        <w:ind w:right="210" w:firstLine="1982" w:firstLineChars="944"/>
        <w:outlineLvl w:val="9"/>
        <w:rPr>
          <w:rFonts w:ascii="宋体" w:hAnsi="宋体" w:cs="宋体"/>
          <w:snapToGrid w:val="0"/>
          <w:color w:val="auto"/>
          <w:kern w:val="0"/>
          <w:szCs w:val="22"/>
        </w:rPr>
      </w:pPr>
      <w:r>
        <w:rPr>
          <w:rFonts w:hint="eastAsia" w:ascii="宋体" w:hAnsi="宋体" w:cs="宋体"/>
          <w:color w:val="auto"/>
        </w:rPr>
        <w:t>委托代理人电话（手机）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 xml:space="preserve"> ；</w:t>
      </w:r>
    </w:p>
    <w:p w14:paraId="3B7B960C">
      <w:pPr>
        <w:tabs>
          <w:tab w:val="left" w:pos="7035"/>
          <w:tab w:val="left" w:pos="7560"/>
          <w:tab w:val="left" w:pos="8300"/>
        </w:tabs>
        <w:autoSpaceDE w:val="0"/>
        <w:autoSpaceDN w:val="0"/>
        <w:adjustRightInd w:val="0"/>
        <w:spacing w:line="500" w:lineRule="exact"/>
        <w:ind w:right="210" w:firstLine="1982" w:firstLineChars="944"/>
        <w:outlineLvl w:val="9"/>
        <w:rPr>
          <w:rFonts w:ascii="宋体" w:hAnsi="宋体" w:cs="宋体"/>
          <w:snapToGrid w:val="0"/>
          <w:color w:val="auto"/>
          <w:kern w:val="0"/>
          <w:szCs w:val="22"/>
        </w:rPr>
      </w:pPr>
      <w:r>
        <w:rPr>
          <w:rFonts w:hint="eastAsia" w:ascii="宋体" w:hAnsi="宋体" w:cs="宋体"/>
          <w:snapToGrid w:val="0"/>
          <w:color w:val="auto"/>
          <w:kern w:val="0"/>
          <w:szCs w:val="22"/>
        </w:rPr>
        <w:t>邮政编码：</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48A92ED2">
      <w:pPr>
        <w:wordWrap w:val="0"/>
        <w:jc w:val="center"/>
        <w:outlineLvl w:val="9"/>
        <w:rPr>
          <w:rFonts w:ascii="宋体" w:hAnsi="宋体" w:cs="宋体"/>
          <w:snapToGrid w:val="0"/>
          <w:color w:val="auto"/>
          <w:kern w:val="0"/>
          <w:sz w:val="24"/>
          <w:szCs w:val="32"/>
          <w:u w:val="single"/>
        </w:rPr>
      </w:pPr>
    </w:p>
    <w:p w14:paraId="4A0B75CC">
      <w:pPr>
        <w:wordWrap w:val="0"/>
        <w:jc w:val="center"/>
        <w:outlineLvl w:val="9"/>
        <w:rPr>
          <w:rFonts w:ascii="宋体" w:hAnsi="宋体" w:cs="宋体"/>
          <w:snapToGrid w:val="0"/>
          <w:color w:val="auto"/>
          <w:kern w:val="0"/>
          <w:sz w:val="24"/>
          <w:szCs w:val="32"/>
        </w:rPr>
      </w:pPr>
      <w:r>
        <w:rPr>
          <w:rFonts w:hint="eastAsia" w:ascii="宋体" w:hAnsi="宋体" w:cs="宋体"/>
          <w:snapToGrid w:val="0"/>
          <w:color w:val="auto"/>
          <w:kern w:val="0"/>
          <w:sz w:val="24"/>
          <w:szCs w:val="32"/>
          <w:u w:val="single"/>
        </w:rPr>
        <w:t xml:space="preserve">        </w:t>
      </w:r>
      <w:r>
        <w:rPr>
          <w:rFonts w:hint="eastAsia" w:ascii="宋体" w:hAnsi="宋体" w:cs="宋体"/>
          <w:snapToGrid w:val="0"/>
          <w:color w:val="auto"/>
          <w:kern w:val="0"/>
          <w:sz w:val="24"/>
          <w:szCs w:val="32"/>
        </w:rPr>
        <w:t>年</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月</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日</w:t>
      </w:r>
    </w:p>
    <w:p w14:paraId="7A67A7E4">
      <w:pPr>
        <w:tabs>
          <w:tab w:val="left" w:pos="7140"/>
          <w:tab w:val="left" w:pos="7560"/>
          <w:tab w:val="left" w:pos="8300"/>
        </w:tabs>
        <w:autoSpaceDE w:val="0"/>
        <w:autoSpaceDN w:val="0"/>
        <w:adjustRightInd w:val="0"/>
        <w:spacing w:line="360" w:lineRule="auto"/>
        <w:ind w:firstLine="1680" w:firstLineChars="800"/>
        <w:outlineLvl w:val="9"/>
        <w:rPr>
          <w:rFonts w:ascii="宋体" w:hAnsi="宋体" w:cs="宋体"/>
          <w:snapToGrid w:val="0"/>
          <w:color w:val="auto"/>
          <w:kern w:val="0"/>
          <w:szCs w:val="21"/>
        </w:rPr>
      </w:pPr>
    </w:p>
    <w:p w14:paraId="0158CA98">
      <w:pPr>
        <w:widowControl/>
        <w:jc w:val="left"/>
        <w:outlineLvl w:val="9"/>
        <w:rPr>
          <w:rFonts w:ascii="宋体" w:hAnsi="宋体" w:cs="宋体"/>
          <w:snapToGrid w:val="0"/>
          <w:color w:val="auto"/>
          <w:kern w:val="0"/>
          <w:szCs w:val="21"/>
        </w:rPr>
      </w:pPr>
      <w:r>
        <w:rPr>
          <w:rFonts w:hint="eastAsia" w:ascii="宋体" w:hAnsi="宋体" w:cs="宋体"/>
          <w:snapToGrid w:val="0"/>
          <w:color w:val="auto"/>
          <w:kern w:val="0"/>
          <w:szCs w:val="21"/>
        </w:rPr>
        <w:br w:type="page"/>
      </w:r>
    </w:p>
    <w:bookmarkEnd w:id="620"/>
    <w:p w14:paraId="004C6238">
      <w:pPr>
        <w:jc w:val="center"/>
        <w:outlineLvl w:val="9"/>
        <w:rPr>
          <w:rFonts w:hint="eastAsia" w:ascii="宋体" w:hAnsi="宋体" w:eastAsia="宋体" w:cs="宋体"/>
          <w:color w:val="auto"/>
          <w:szCs w:val="22"/>
          <w:lang w:eastAsia="zh-CN"/>
        </w:rPr>
      </w:pPr>
      <w:bookmarkStart w:id="621" w:name="_Toc7299"/>
      <w:bookmarkStart w:id="622" w:name="_Toc5276"/>
      <w:bookmarkStart w:id="623" w:name="_Toc1916"/>
      <w:bookmarkStart w:id="624" w:name="_Toc1740"/>
      <w:bookmarkStart w:id="625" w:name="_Toc17493"/>
      <w:bookmarkStart w:id="626" w:name="_Toc2174"/>
      <w:bookmarkStart w:id="627" w:name="_Toc31455"/>
      <w:bookmarkStart w:id="628" w:name="_Toc16070"/>
      <w:bookmarkStart w:id="629" w:name="_Toc11340"/>
      <w:bookmarkStart w:id="630" w:name="_Toc2955720"/>
      <w:r>
        <w:rPr>
          <w:rFonts w:hint="eastAsia" w:ascii="宋体" w:hAnsi="宋体" w:eastAsia="宋体" w:cs="宋体"/>
          <w:color w:val="auto"/>
          <w:szCs w:val="22"/>
          <w:lang w:val="en-US" w:eastAsia="zh-CN"/>
        </w:rPr>
        <w:t>二、</w:t>
      </w:r>
      <w:bookmarkEnd w:id="621"/>
      <w:bookmarkEnd w:id="622"/>
      <w:r>
        <w:rPr>
          <w:rFonts w:hint="eastAsia" w:ascii="宋体" w:hAnsi="宋体" w:eastAsia="宋体" w:cs="宋体"/>
          <w:color w:val="auto"/>
          <w:szCs w:val="22"/>
          <w:lang w:eastAsia="zh-CN"/>
        </w:rPr>
        <w:t>已标价工程量清单</w:t>
      </w:r>
      <w:bookmarkEnd w:id="623"/>
      <w:bookmarkEnd w:id="624"/>
    </w:p>
    <w:p w14:paraId="5E1422E4">
      <w:pPr>
        <w:outlineLvl w:val="9"/>
        <w:rPr>
          <w:color w:val="auto"/>
          <w:highlight w:val="none"/>
        </w:rPr>
      </w:pPr>
    </w:p>
    <w:p w14:paraId="71D31CB1">
      <w:pPr>
        <w:pStyle w:val="6"/>
        <w:spacing w:before="7"/>
        <w:outlineLvl w:val="9"/>
        <w:rPr>
          <w:rFonts w:hint="eastAsia" w:ascii="宋体" w:hAnsi="宋体" w:eastAsia="宋体" w:cs="宋体"/>
          <w:color w:val="auto"/>
          <w:sz w:val="21"/>
          <w:szCs w:val="21"/>
          <w:highlight w:val="none"/>
        </w:rPr>
      </w:pPr>
    </w:p>
    <w:p w14:paraId="688A5A50">
      <w:pPr>
        <w:tabs>
          <w:tab w:val="left" w:pos="7140"/>
          <w:tab w:val="left" w:pos="7560"/>
          <w:tab w:val="left" w:pos="8300"/>
        </w:tabs>
        <w:autoSpaceDE w:val="0"/>
        <w:autoSpaceDN w:val="0"/>
        <w:adjustRightInd w:val="0"/>
        <w:spacing w:line="360" w:lineRule="auto"/>
        <w:ind w:firstLine="420" w:firstLineChars="200"/>
        <w:jc w:val="left"/>
        <w:outlineLvl w:val="9"/>
        <w:rPr>
          <w:rFonts w:hint="eastAsia" w:ascii="宋体" w:hAnsi="宋体" w:cs="宋体"/>
          <w:snapToGrid w:val="0"/>
          <w:color w:val="auto"/>
          <w:kern w:val="0"/>
          <w:szCs w:val="21"/>
        </w:rPr>
      </w:pPr>
      <w:r>
        <w:rPr>
          <w:rFonts w:hint="eastAsia" w:ascii="宋体" w:hAnsi="宋体" w:cs="宋体"/>
          <w:snapToGrid w:val="0"/>
          <w:color w:val="auto"/>
          <w:kern w:val="0"/>
          <w:szCs w:val="21"/>
        </w:rPr>
        <w:t>根据</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提供的工程量清单报价。</w:t>
      </w:r>
    </w:p>
    <w:p w14:paraId="6E268C68">
      <w:pPr>
        <w:tabs>
          <w:tab w:val="left" w:pos="7140"/>
          <w:tab w:val="left" w:pos="7560"/>
          <w:tab w:val="left" w:pos="8300"/>
        </w:tabs>
        <w:autoSpaceDE w:val="0"/>
        <w:autoSpaceDN w:val="0"/>
        <w:adjustRightInd w:val="0"/>
        <w:spacing w:line="360" w:lineRule="auto"/>
        <w:ind w:firstLine="420" w:firstLineChars="200"/>
        <w:outlineLvl w:val="9"/>
        <w:rPr>
          <w:rFonts w:hint="eastAsia" w:ascii="宋体" w:hAnsi="宋体" w:cs="宋体"/>
          <w:snapToGrid w:val="0"/>
          <w:color w:val="auto"/>
          <w:kern w:val="0"/>
          <w:szCs w:val="21"/>
          <w:lang w:eastAsia="zh-CN"/>
        </w:rPr>
      </w:pPr>
    </w:p>
    <w:p w14:paraId="0070F26E">
      <w:pPr>
        <w:tabs>
          <w:tab w:val="left" w:pos="7140"/>
          <w:tab w:val="left" w:pos="7560"/>
          <w:tab w:val="left" w:pos="8300"/>
        </w:tabs>
        <w:autoSpaceDE w:val="0"/>
        <w:autoSpaceDN w:val="0"/>
        <w:adjustRightInd w:val="0"/>
        <w:spacing w:line="360" w:lineRule="auto"/>
        <w:ind w:firstLine="420" w:firstLineChars="200"/>
        <w:outlineLvl w:val="9"/>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注：1.竞选人应严格按照比选人给出的工程量清单进行填报，不得增减项，不得修改工程量。</w:t>
      </w:r>
    </w:p>
    <w:p w14:paraId="2A85BEAD">
      <w:pPr>
        <w:tabs>
          <w:tab w:val="left" w:pos="7140"/>
          <w:tab w:val="left" w:pos="7560"/>
          <w:tab w:val="left" w:pos="8300"/>
        </w:tabs>
        <w:autoSpaceDE w:val="0"/>
        <w:autoSpaceDN w:val="0"/>
        <w:adjustRightInd w:val="0"/>
        <w:spacing w:line="360" w:lineRule="auto"/>
        <w:ind w:firstLine="420" w:firstLineChars="200"/>
        <w:outlineLvl w:val="9"/>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 xml:space="preserve">    2.工程量清单逐页签字或盖章。</w:t>
      </w:r>
    </w:p>
    <w:p w14:paraId="2BF831A5">
      <w:pPr>
        <w:tabs>
          <w:tab w:val="left" w:pos="7140"/>
          <w:tab w:val="left" w:pos="7560"/>
          <w:tab w:val="left" w:pos="8300"/>
        </w:tabs>
        <w:autoSpaceDE w:val="0"/>
        <w:autoSpaceDN w:val="0"/>
        <w:adjustRightInd w:val="0"/>
        <w:spacing w:line="360" w:lineRule="auto"/>
        <w:ind w:firstLine="840" w:firstLineChars="400"/>
        <w:outlineLvl w:val="9"/>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3.总价超出比选人给出的限价的，其</w:t>
      </w:r>
      <w:r>
        <w:rPr>
          <w:rFonts w:hint="eastAsia" w:ascii="宋体" w:hAnsi="宋体" w:cs="宋体"/>
          <w:snapToGrid w:val="0"/>
          <w:color w:val="auto"/>
          <w:kern w:val="0"/>
          <w:szCs w:val="21"/>
          <w:lang w:val="en-US" w:eastAsia="zh-CN"/>
        </w:rPr>
        <w:t>竞选</w:t>
      </w:r>
      <w:r>
        <w:rPr>
          <w:rFonts w:hint="eastAsia" w:ascii="宋体" w:hAnsi="宋体" w:cs="宋体"/>
          <w:snapToGrid w:val="0"/>
          <w:color w:val="auto"/>
          <w:kern w:val="0"/>
          <w:szCs w:val="21"/>
          <w:lang w:eastAsia="zh-CN"/>
        </w:rPr>
        <w:t>文件按无效处理。</w:t>
      </w:r>
    </w:p>
    <w:p w14:paraId="7F9359F2">
      <w:pPr>
        <w:spacing w:line="360" w:lineRule="auto"/>
        <w:outlineLvl w:val="9"/>
        <w:rPr>
          <w:rFonts w:ascii="宋体" w:hAnsi="宋体"/>
          <w:snapToGrid w:val="0"/>
          <w:color w:val="auto"/>
          <w:w w:val="99"/>
          <w:highlight w:val="none"/>
        </w:rPr>
      </w:pPr>
    </w:p>
    <w:p w14:paraId="34FFF8D9">
      <w:pPr>
        <w:pStyle w:val="6"/>
        <w:outlineLvl w:val="9"/>
        <w:rPr>
          <w:color w:val="auto"/>
          <w:highlight w:val="none"/>
        </w:rPr>
      </w:pPr>
    </w:p>
    <w:p w14:paraId="01E5C269">
      <w:pPr>
        <w:tabs>
          <w:tab w:val="left" w:pos="631"/>
          <w:tab w:val="left" w:pos="1471"/>
          <w:tab w:val="left" w:pos="2311"/>
        </w:tabs>
        <w:autoSpaceDE w:val="0"/>
        <w:autoSpaceDN w:val="0"/>
        <w:spacing w:before="37"/>
        <w:ind w:right="597"/>
        <w:jc w:val="right"/>
        <w:outlineLvl w:val="9"/>
        <w:rPr>
          <w:rFonts w:hint="eastAsia" w:ascii="宋体" w:hAnsi="宋体" w:eastAsia="宋体" w:cs="宋体"/>
          <w:color w:val="auto"/>
          <w:szCs w:val="22"/>
        </w:rPr>
        <w:sectPr>
          <w:headerReference r:id="rId8" w:type="default"/>
          <w:footerReference r:id="rId9" w:type="default"/>
          <w:pgSz w:w="11906" w:h="16838"/>
          <w:pgMar w:top="1247" w:right="1134" w:bottom="1247" w:left="1134" w:header="851" w:footer="992" w:gutter="0"/>
          <w:pgNumType w:start="1"/>
          <w:cols w:space="720" w:num="1"/>
          <w:docGrid w:type="lines" w:linePitch="312" w:charSpace="0"/>
        </w:sectPr>
      </w:pPr>
    </w:p>
    <w:p w14:paraId="3B8B83AB">
      <w:pPr>
        <w:jc w:val="center"/>
        <w:outlineLvl w:val="9"/>
        <w:rPr>
          <w:rFonts w:ascii="宋体" w:hAnsi="宋体" w:eastAsia="宋体" w:cs="宋体"/>
          <w:color w:val="auto"/>
          <w:szCs w:val="22"/>
        </w:rPr>
      </w:pPr>
      <w:bookmarkStart w:id="631" w:name="_Toc14832"/>
      <w:bookmarkStart w:id="632" w:name="_Toc13474"/>
      <w:bookmarkStart w:id="633" w:name="_Toc1725856"/>
      <w:bookmarkStart w:id="634" w:name="_Toc1725768"/>
      <w:bookmarkStart w:id="635" w:name="_Toc3658"/>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25"/>
      <w:bookmarkEnd w:id="626"/>
      <w:bookmarkEnd w:id="627"/>
      <w:bookmarkEnd w:id="628"/>
      <w:bookmarkEnd w:id="629"/>
      <w:bookmarkEnd w:id="631"/>
      <w:bookmarkEnd w:id="632"/>
      <w:bookmarkEnd w:id="633"/>
      <w:bookmarkEnd w:id="634"/>
      <w:bookmarkEnd w:id="635"/>
    </w:p>
    <w:p w14:paraId="247AF7A6">
      <w:pPr>
        <w:tabs>
          <w:tab w:val="left" w:pos="5760"/>
        </w:tabs>
        <w:autoSpaceDE w:val="0"/>
        <w:autoSpaceDN w:val="0"/>
        <w:adjustRightInd w:val="0"/>
        <w:spacing w:line="300" w:lineRule="exact"/>
        <w:ind w:left="919" w:leftChars="253" w:right="11" w:hanging="388" w:hangingChars="138"/>
        <w:jc w:val="center"/>
        <w:outlineLvl w:val="9"/>
        <w:rPr>
          <w:rFonts w:ascii="宋体" w:hAnsi="宋体" w:cs="宋体"/>
          <w:b/>
          <w:bCs/>
          <w:snapToGrid w:val="0"/>
          <w:color w:val="auto"/>
          <w:kern w:val="32"/>
          <w:sz w:val="28"/>
          <w:szCs w:val="28"/>
        </w:rPr>
      </w:pPr>
      <w:r>
        <w:rPr>
          <w:rFonts w:hint="eastAsia" w:ascii="宋体" w:hAnsi="宋体" w:cs="宋体"/>
          <w:b/>
          <w:bCs/>
          <w:snapToGrid w:val="0"/>
          <w:color w:val="auto"/>
          <w:kern w:val="32"/>
          <w:sz w:val="28"/>
          <w:szCs w:val="28"/>
        </w:rPr>
        <w:t>法定代表人身份证明</w:t>
      </w:r>
    </w:p>
    <w:p w14:paraId="79AD2C95">
      <w:pPr>
        <w:jc w:val="center"/>
        <w:outlineLvl w:val="9"/>
        <w:rPr>
          <w:rFonts w:ascii="宋体" w:hAnsi="宋体" w:cs="宋体"/>
          <w:b/>
          <w:bCs/>
          <w:snapToGrid w:val="0"/>
          <w:color w:val="auto"/>
          <w:kern w:val="0"/>
          <w:szCs w:val="21"/>
        </w:rPr>
      </w:pPr>
    </w:p>
    <w:p w14:paraId="4C17D875">
      <w:pPr>
        <w:ind w:firstLine="420" w:firstLineChars="200"/>
        <w:outlineLvl w:val="9"/>
        <w:rPr>
          <w:rFonts w:ascii="宋体" w:hAnsi="宋体" w:cs="宋体"/>
          <w:color w:val="auto"/>
          <w:szCs w:val="21"/>
          <w:u w:val="single"/>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rPr>
        <w:tab/>
      </w:r>
    </w:p>
    <w:p w14:paraId="742D1CD5">
      <w:pPr>
        <w:ind w:firstLine="420" w:firstLineChars="200"/>
        <w:outlineLvl w:val="9"/>
        <w:rPr>
          <w:rFonts w:ascii="宋体" w:hAnsi="宋体" w:cs="宋体"/>
          <w:color w:val="auto"/>
          <w:szCs w:val="21"/>
          <w:u w:val="single"/>
        </w:rPr>
      </w:pPr>
    </w:p>
    <w:p w14:paraId="25E03B47">
      <w:pPr>
        <w:ind w:firstLine="420" w:firstLineChars="200"/>
        <w:outlineLvl w:val="9"/>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ab/>
      </w:r>
    </w:p>
    <w:p w14:paraId="1D715A26">
      <w:pPr>
        <w:ind w:firstLine="420" w:firstLineChars="200"/>
        <w:outlineLvl w:val="9"/>
        <w:rPr>
          <w:rFonts w:ascii="宋体" w:hAnsi="宋体" w:cs="宋体"/>
          <w:color w:val="auto"/>
          <w:szCs w:val="21"/>
        </w:rPr>
      </w:pPr>
    </w:p>
    <w:p w14:paraId="16BF1C70">
      <w:pPr>
        <w:ind w:firstLine="420" w:firstLineChars="200"/>
        <w:outlineLvl w:val="9"/>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ab/>
      </w:r>
    </w:p>
    <w:p w14:paraId="4EA5983D">
      <w:pPr>
        <w:ind w:firstLine="420" w:firstLineChars="200"/>
        <w:outlineLvl w:val="9"/>
        <w:rPr>
          <w:rFonts w:ascii="宋体" w:hAnsi="宋体" w:cs="宋体"/>
          <w:color w:val="auto"/>
          <w:szCs w:val="21"/>
          <w:u w:val="single"/>
        </w:rPr>
      </w:pPr>
    </w:p>
    <w:p w14:paraId="1065A0C5">
      <w:pPr>
        <w:ind w:firstLine="420" w:firstLineChars="200"/>
        <w:outlineLvl w:val="9"/>
        <w:rPr>
          <w:rFonts w:ascii="宋体" w:hAnsi="宋体" w:cs="宋体"/>
          <w:color w:val="auto"/>
          <w:szCs w:val="21"/>
          <w:u w:val="single"/>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87AADA1">
      <w:pPr>
        <w:ind w:firstLine="420" w:firstLineChars="200"/>
        <w:outlineLvl w:val="9"/>
        <w:rPr>
          <w:rFonts w:ascii="宋体" w:hAnsi="宋体" w:cs="宋体"/>
          <w:color w:val="auto"/>
          <w:szCs w:val="21"/>
        </w:rPr>
      </w:pPr>
    </w:p>
    <w:p w14:paraId="001790BC">
      <w:pPr>
        <w:ind w:firstLine="420" w:firstLineChars="200"/>
        <w:outlineLvl w:val="9"/>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ab/>
      </w:r>
    </w:p>
    <w:p w14:paraId="2E818632">
      <w:pPr>
        <w:ind w:firstLine="420" w:firstLineChars="200"/>
        <w:outlineLvl w:val="9"/>
        <w:rPr>
          <w:rFonts w:ascii="宋体" w:hAnsi="宋体" w:cs="宋体"/>
          <w:color w:val="auto"/>
          <w:szCs w:val="21"/>
        </w:rPr>
      </w:pPr>
    </w:p>
    <w:p w14:paraId="30444D7D">
      <w:pPr>
        <w:ind w:firstLine="420" w:firstLineChars="200"/>
        <w:outlineLvl w:val="9"/>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ab/>
      </w:r>
    </w:p>
    <w:p w14:paraId="3E4CF133">
      <w:pPr>
        <w:outlineLvl w:val="9"/>
        <w:rPr>
          <w:rFonts w:ascii="宋体" w:hAnsi="宋体" w:cs="宋体"/>
          <w:color w:val="auto"/>
          <w:szCs w:val="21"/>
        </w:rPr>
      </w:pPr>
    </w:p>
    <w:p w14:paraId="77BC8A73">
      <w:pPr>
        <w:ind w:firstLine="420" w:firstLineChars="200"/>
        <w:outlineLvl w:val="9"/>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（竞选人名称）             </w:t>
      </w:r>
      <w:r>
        <w:rPr>
          <w:rFonts w:hint="eastAsia" w:ascii="宋体" w:hAnsi="宋体" w:cs="宋体"/>
          <w:color w:val="auto"/>
          <w:szCs w:val="21"/>
        </w:rPr>
        <w:t>的法定代表人。</w:t>
      </w:r>
    </w:p>
    <w:p w14:paraId="54EFFB14">
      <w:pPr>
        <w:outlineLvl w:val="9"/>
        <w:rPr>
          <w:rFonts w:ascii="宋体" w:hAnsi="宋体" w:cs="宋体"/>
          <w:color w:val="auto"/>
          <w:szCs w:val="21"/>
        </w:rPr>
      </w:pPr>
    </w:p>
    <w:p w14:paraId="246C512A">
      <w:pPr>
        <w:ind w:firstLine="1050" w:firstLineChars="500"/>
        <w:outlineLvl w:val="9"/>
        <w:rPr>
          <w:rFonts w:ascii="宋体" w:hAnsi="宋体" w:cs="宋体"/>
          <w:color w:val="auto"/>
          <w:szCs w:val="21"/>
        </w:rPr>
      </w:pPr>
      <w:r>
        <w:rPr>
          <w:rFonts w:hint="eastAsia" w:ascii="宋体" w:hAnsi="宋体" w:cs="宋体"/>
          <w:color w:val="auto"/>
          <w:szCs w:val="21"/>
        </w:rPr>
        <w:t>特此证明。</w:t>
      </w:r>
    </w:p>
    <w:p w14:paraId="274D0074">
      <w:pPr>
        <w:outlineLvl w:val="9"/>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4546BBDD">
                            <w:pPr>
                              <w:jc w:val="center"/>
                            </w:pPr>
                          </w:p>
                          <w:p w14:paraId="16841CBF">
                            <w:pPr>
                              <w:jc w:val="center"/>
                            </w:pPr>
                            <w:r>
                              <w:rPr>
                                <w:rFonts w:hint="eastAsia"/>
                              </w:rPr>
                              <w:t>法定代表人身份证复印件</w:t>
                            </w:r>
                          </w:p>
                          <w:p w14:paraId="7FDE7F94">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4546BBDD">
                      <w:pPr>
                        <w:jc w:val="center"/>
                      </w:pPr>
                    </w:p>
                    <w:p w14:paraId="16841CBF">
                      <w:pPr>
                        <w:jc w:val="center"/>
                      </w:pPr>
                      <w:r>
                        <w:rPr>
                          <w:rFonts w:hint="eastAsia"/>
                        </w:rPr>
                        <w:t>法定代表人身份证复印件</w:t>
                      </w:r>
                    </w:p>
                    <w:p w14:paraId="7FDE7F94">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25440934">
                            <w:pPr>
                              <w:jc w:val="center"/>
                            </w:pPr>
                          </w:p>
                          <w:p w14:paraId="1C013B7E">
                            <w:pPr>
                              <w:jc w:val="center"/>
                            </w:pPr>
                            <w:r>
                              <w:rPr>
                                <w:rFonts w:hint="eastAsia"/>
                              </w:rPr>
                              <w:t>法定代表人身份证复印件</w:t>
                            </w:r>
                          </w:p>
                          <w:p w14:paraId="002FB838">
                            <w:pPr>
                              <w:jc w:val="center"/>
                            </w:pPr>
                            <w:r>
                              <w:rPr>
                                <w:rFonts w:hint="eastAsia"/>
                              </w:rPr>
                              <w:t>（签发单位面）</w:t>
                            </w:r>
                          </w:p>
                          <w:p w14:paraId="5DC2E489">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25440934">
                      <w:pPr>
                        <w:jc w:val="center"/>
                      </w:pPr>
                    </w:p>
                    <w:p w14:paraId="1C013B7E">
                      <w:pPr>
                        <w:jc w:val="center"/>
                      </w:pPr>
                      <w:r>
                        <w:rPr>
                          <w:rFonts w:hint="eastAsia"/>
                        </w:rPr>
                        <w:t>法定代表人身份证复印件</w:t>
                      </w:r>
                    </w:p>
                    <w:p w14:paraId="002FB838">
                      <w:pPr>
                        <w:jc w:val="center"/>
                      </w:pPr>
                      <w:r>
                        <w:rPr>
                          <w:rFonts w:hint="eastAsia"/>
                        </w:rPr>
                        <w:t>（签发单位面）</w:t>
                      </w:r>
                    </w:p>
                    <w:p w14:paraId="5DC2E489">
                      <w:pPr>
                        <w:jc w:val="center"/>
                      </w:pPr>
                    </w:p>
                  </w:txbxContent>
                </v:textbox>
              </v:shape>
            </w:pict>
          </mc:Fallback>
        </mc:AlternateContent>
      </w:r>
    </w:p>
    <w:p w14:paraId="5E17BC73">
      <w:pPr>
        <w:outlineLvl w:val="9"/>
        <w:rPr>
          <w:rFonts w:ascii="宋体" w:hAnsi="宋体" w:cs="宋体"/>
          <w:color w:val="auto"/>
        </w:rPr>
      </w:pPr>
    </w:p>
    <w:p w14:paraId="136C2415">
      <w:pPr>
        <w:outlineLvl w:val="9"/>
        <w:rPr>
          <w:rFonts w:ascii="宋体" w:hAnsi="宋体" w:cs="宋体"/>
          <w:color w:val="auto"/>
        </w:rPr>
      </w:pPr>
    </w:p>
    <w:p w14:paraId="11A134EF">
      <w:pPr>
        <w:outlineLvl w:val="9"/>
        <w:rPr>
          <w:rFonts w:ascii="宋体" w:hAnsi="宋体" w:cs="宋体"/>
          <w:color w:val="auto"/>
        </w:rPr>
      </w:pPr>
    </w:p>
    <w:p w14:paraId="0B9387A0">
      <w:pPr>
        <w:outlineLvl w:val="9"/>
        <w:rPr>
          <w:rFonts w:ascii="宋体" w:hAnsi="宋体" w:cs="宋体"/>
          <w:color w:val="auto"/>
        </w:rPr>
      </w:pPr>
    </w:p>
    <w:p w14:paraId="768394BB">
      <w:pPr>
        <w:outlineLvl w:val="9"/>
        <w:rPr>
          <w:rFonts w:ascii="宋体" w:hAnsi="宋体" w:cs="宋体"/>
          <w:color w:val="auto"/>
        </w:rPr>
      </w:pPr>
    </w:p>
    <w:p w14:paraId="23CD4581">
      <w:pPr>
        <w:outlineLvl w:val="9"/>
        <w:rPr>
          <w:rFonts w:ascii="宋体" w:hAnsi="宋体" w:cs="宋体"/>
          <w:color w:val="auto"/>
        </w:rPr>
      </w:pPr>
    </w:p>
    <w:p w14:paraId="51E1E22B">
      <w:pPr>
        <w:outlineLvl w:val="9"/>
        <w:rPr>
          <w:rFonts w:ascii="宋体" w:hAnsi="宋体" w:cs="宋体"/>
          <w:color w:val="auto"/>
        </w:rPr>
      </w:pPr>
    </w:p>
    <w:p w14:paraId="42B5B790">
      <w:pPr>
        <w:outlineLvl w:val="9"/>
        <w:rPr>
          <w:rFonts w:ascii="宋体" w:hAnsi="宋体" w:cs="宋体"/>
          <w:color w:val="auto"/>
        </w:rPr>
      </w:pPr>
    </w:p>
    <w:p w14:paraId="5A61ADD8">
      <w:pPr>
        <w:outlineLvl w:val="9"/>
        <w:rPr>
          <w:rFonts w:ascii="宋体" w:hAnsi="宋体" w:cs="宋体"/>
          <w:color w:val="auto"/>
        </w:rPr>
      </w:pPr>
    </w:p>
    <w:p w14:paraId="36F2C101">
      <w:pPr>
        <w:tabs>
          <w:tab w:val="left" w:pos="4200"/>
          <w:tab w:val="left" w:pos="4620"/>
        </w:tabs>
        <w:autoSpaceDE w:val="0"/>
        <w:autoSpaceDN w:val="0"/>
        <w:adjustRightInd w:val="0"/>
        <w:snapToGrid w:val="0"/>
        <w:spacing w:line="360" w:lineRule="auto"/>
        <w:ind w:firstLine="1694"/>
        <w:jc w:val="left"/>
        <w:outlineLvl w:val="9"/>
        <w:rPr>
          <w:rFonts w:ascii="宋体" w:hAnsi="宋体" w:cs="宋体"/>
          <w:color w:val="auto"/>
          <w:kern w:val="0"/>
          <w:szCs w:val="21"/>
        </w:rPr>
      </w:pPr>
    </w:p>
    <w:p w14:paraId="4229087E">
      <w:pPr>
        <w:ind w:firstLine="3150" w:firstLineChars="1500"/>
        <w:outlineLvl w:val="9"/>
        <w:rPr>
          <w:rFonts w:ascii="宋体" w:hAnsi="宋体" w:cs="宋体"/>
          <w:color w:val="auto"/>
          <w:szCs w:val="21"/>
          <w:u w:val="single"/>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7B00FA4E">
      <w:pPr>
        <w:ind w:firstLine="420" w:firstLineChars="200"/>
        <w:outlineLvl w:val="9"/>
        <w:rPr>
          <w:rFonts w:ascii="宋体" w:hAnsi="宋体" w:cs="宋体"/>
          <w:color w:val="auto"/>
          <w:szCs w:val="21"/>
        </w:rPr>
      </w:pPr>
    </w:p>
    <w:p w14:paraId="71F81D2E">
      <w:pPr>
        <w:ind w:firstLine="3968" w:firstLineChars="1890"/>
        <w:outlineLvl w:val="9"/>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2FC02170">
      <w:pPr>
        <w:autoSpaceDE w:val="0"/>
        <w:autoSpaceDN w:val="0"/>
        <w:jc w:val="left"/>
        <w:outlineLvl w:val="9"/>
        <w:rPr>
          <w:rFonts w:ascii="宋体" w:hAnsi="宋体" w:cs="宋体"/>
          <w:color w:val="auto"/>
          <w:kern w:val="0"/>
          <w:sz w:val="22"/>
        </w:rPr>
      </w:pPr>
    </w:p>
    <w:p w14:paraId="68D4C4F0">
      <w:pPr>
        <w:autoSpaceDE w:val="0"/>
        <w:autoSpaceDN w:val="0"/>
        <w:spacing w:after="120"/>
        <w:jc w:val="left"/>
        <w:outlineLvl w:val="9"/>
        <w:rPr>
          <w:rFonts w:ascii="宋体" w:hAnsi="宋体" w:cs="宋体"/>
          <w:color w:val="auto"/>
          <w:kern w:val="0"/>
          <w:sz w:val="22"/>
        </w:rPr>
      </w:pPr>
    </w:p>
    <w:p w14:paraId="3565BE4E">
      <w:pPr>
        <w:autoSpaceDE w:val="0"/>
        <w:autoSpaceDN w:val="0"/>
        <w:spacing w:after="120"/>
        <w:jc w:val="left"/>
        <w:outlineLvl w:val="9"/>
        <w:rPr>
          <w:rFonts w:ascii="宋体" w:hAnsi="宋体" w:cs="宋体"/>
          <w:color w:val="auto"/>
          <w:kern w:val="0"/>
          <w:sz w:val="22"/>
        </w:rPr>
      </w:pPr>
    </w:p>
    <w:p w14:paraId="6E41790B">
      <w:pPr>
        <w:autoSpaceDE w:val="0"/>
        <w:autoSpaceDN w:val="0"/>
        <w:spacing w:line="360" w:lineRule="auto"/>
        <w:jc w:val="left"/>
        <w:outlineLvl w:val="9"/>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6201663D">
      <w:pPr>
        <w:autoSpaceDE w:val="0"/>
        <w:autoSpaceDN w:val="0"/>
        <w:spacing w:after="120"/>
        <w:jc w:val="center"/>
        <w:outlineLvl w:val="9"/>
        <w:rPr>
          <w:rFonts w:ascii="宋体" w:hAnsi="宋体" w:cs="宋体"/>
          <w:b/>
          <w:color w:val="auto"/>
          <w:kern w:val="0"/>
          <w:sz w:val="32"/>
        </w:rPr>
      </w:pPr>
      <w:bookmarkStart w:id="636" w:name="_bookmark158"/>
      <w:bookmarkEnd w:id="636"/>
      <w:r>
        <w:rPr>
          <w:rFonts w:hint="eastAsia" w:ascii="宋体" w:hAnsi="宋体" w:cs="宋体"/>
          <w:b/>
          <w:color w:val="auto"/>
          <w:kern w:val="0"/>
          <w:szCs w:val="21"/>
        </w:rPr>
        <w:br w:type="page"/>
      </w:r>
      <w:r>
        <w:rPr>
          <w:rFonts w:hint="eastAsia" w:ascii="宋体" w:hAnsi="宋体" w:cs="宋体"/>
          <w:b/>
          <w:color w:val="auto"/>
          <w:kern w:val="0"/>
          <w:sz w:val="24"/>
        </w:rPr>
        <w:t>授权委托书</w:t>
      </w:r>
    </w:p>
    <w:p w14:paraId="355B8975">
      <w:pPr>
        <w:tabs>
          <w:tab w:val="left" w:pos="1680"/>
          <w:tab w:val="left" w:pos="4215"/>
          <w:tab w:val="left" w:pos="4305"/>
          <w:tab w:val="left" w:pos="8000"/>
        </w:tabs>
        <w:autoSpaceDE w:val="0"/>
        <w:autoSpaceDN w:val="0"/>
        <w:adjustRightInd w:val="0"/>
        <w:snapToGrid w:val="0"/>
        <w:spacing w:line="360" w:lineRule="auto"/>
        <w:ind w:firstLine="420"/>
        <w:outlineLvl w:val="9"/>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竞选</w:t>
      </w:r>
      <w:r>
        <w:rPr>
          <w:rFonts w:hint="eastAsia" w:ascii="宋体" w:hAnsi="宋体" w:cs="宋体"/>
          <w:color w:val="auto"/>
          <w:kern w:val="0"/>
          <w:szCs w:val="21"/>
          <w:u w:val="single"/>
        </w:rPr>
        <w:t>人名称</w:t>
      </w:r>
      <w:r>
        <w:rPr>
          <w:rFonts w:hint="eastAsia" w:ascii="宋体" w:hAnsi="宋体" w:cs="宋体"/>
          <w:color w:val="auto"/>
          <w:spacing w:val="1"/>
          <w:kern w:val="0"/>
          <w:szCs w:val="21"/>
          <w:u w:val="single"/>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 xml:space="preserve">人，现委托 </w:t>
      </w:r>
      <w:r>
        <w:rPr>
          <w:rFonts w:hint="eastAsia" w:ascii="宋体" w:hAnsi="宋体" w:cs="宋体"/>
          <w:color w:val="auto"/>
          <w:kern w:val="0"/>
          <w:szCs w:val="21"/>
          <w:u w:val="single"/>
        </w:rPr>
        <w:t xml:space="preserve">    （姓名）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bCs/>
          <w:color w:val="auto"/>
          <w:kern w:val="0"/>
          <w:szCs w:val="21"/>
          <w:u w:val="single"/>
        </w:rPr>
        <w:t xml:space="preserve">                    （项目名称）                      </w:t>
      </w:r>
      <w:r>
        <w:rPr>
          <w:rFonts w:hint="eastAsia" w:ascii="宋体" w:hAnsi="宋体" w:cs="宋体"/>
          <w:color w:val="auto"/>
          <w:kern w:val="0"/>
          <w:szCs w:val="21"/>
        </w:rPr>
        <w:t>竞选文件、签订合同及处理有关事宜，其法律责任及后果由我方承担。</w:t>
      </w:r>
    </w:p>
    <w:p w14:paraId="741215E8">
      <w:pPr>
        <w:tabs>
          <w:tab w:val="left" w:pos="1680"/>
          <w:tab w:val="left" w:pos="4215"/>
          <w:tab w:val="left" w:pos="4305"/>
          <w:tab w:val="left" w:pos="8000"/>
        </w:tabs>
        <w:autoSpaceDE w:val="0"/>
        <w:autoSpaceDN w:val="0"/>
        <w:adjustRightInd w:val="0"/>
        <w:snapToGrid w:val="0"/>
        <w:spacing w:line="360" w:lineRule="auto"/>
        <w:ind w:firstLine="420"/>
        <w:outlineLvl w:val="9"/>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p>
    <w:p w14:paraId="26842A63">
      <w:pPr>
        <w:tabs>
          <w:tab w:val="left" w:pos="1680"/>
          <w:tab w:val="left" w:pos="4215"/>
          <w:tab w:val="left" w:pos="4305"/>
          <w:tab w:val="left" w:pos="8000"/>
        </w:tabs>
        <w:autoSpaceDE w:val="0"/>
        <w:autoSpaceDN w:val="0"/>
        <w:adjustRightInd w:val="0"/>
        <w:snapToGrid w:val="0"/>
        <w:spacing w:line="360" w:lineRule="auto"/>
        <w:ind w:firstLine="420"/>
        <w:outlineLvl w:val="9"/>
        <w:rPr>
          <w:rFonts w:ascii="宋体" w:hAnsi="宋体" w:cs="宋体"/>
          <w:color w:val="auto"/>
          <w:kern w:val="0"/>
          <w:szCs w:val="21"/>
        </w:rPr>
      </w:pPr>
      <w:r>
        <w:rPr>
          <w:rFonts w:hint="eastAsia" w:ascii="宋体" w:hAnsi="宋体" w:cs="宋体"/>
          <w:color w:val="auto"/>
          <w:kern w:val="0"/>
          <w:szCs w:val="21"/>
        </w:rPr>
        <w:t>代理人无转委托权。</w:t>
      </w:r>
    </w:p>
    <w:p w14:paraId="64A974A8">
      <w:pPr>
        <w:tabs>
          <w:tab w:val="left" w:pos="1680"/>
          <w:tab w:val="left" w:pos="4215"/>
          <w:tab w:val="left" w:pos="4305"/>
          <w:tab w:val="left" w:pos="8000"/>
        </w:tabs>
        <w:autoSpaceDE w:val="0"/>
        <w:autoSpaceDN w:val="0"/>
        <w:adjustRightInd w:val="0"/>
        <w:snapToGrid w:val="0"/>
        <w:spacing w:line="360" w:lineRule="auto"/>
        <w:ind w:firstLine="420"/>
        <w:outlineLvl w:val="9"/>
        <w:rPr>
          <w:rFonts w:ascii="宋体" w:hAnsi="宋体" w:cs="宋体"/>
          <w:color w:val="auto"/>
          <w:kern w:val="0"/>
          <w:szCs w:val="21"/>
        </w:rPr>
      </w:pPr>
    </w:p>
    <w:p w14:paraId="33B8B1B6">
      <w:pPr>
        <w:autoSpaceDE w:val="0"/>
        <w:autoSpaceDN w:val="0"/>
        <w:adjustRightInd w:val="0"/>
        <w:snapToGrid w:val="0"/>
        <w:spacing w:line="360" w:lineRule="auto"/>
        <w:jc w:val="left"/>
        <w:outlineLvl w:val="9"/>
        <w:rPr>
          <w:rFonts w:ascii="宋体" w:hAnsi="宋体" w:cs="宋体"/>
          <w:color w:val="auto"/>
          <w:kern w:val="0"/>
          <w:sz w:val="12"/>
          <w:szCs w:val="12"/>
        </w:rPr>
      </w:pPr>
    </w:p>
    <w:p w14:paraId="2FC4FE1D">
      <w:pPr>
        <w:outlineLvl w:val="9"/>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78E60420">
                            <w:pPr>
                              <w:jc w:val="center"/>
                            </w:pPr>
                          </w:p>
                          <w:p w14:paraId="2C3C2444">
                            <w:pPr>
                              <w:jc w:val="center"/>
                            </w:pPr>
                            <w:r>
                              <w:rPr>
                                <w:rFonts w:hint="eastAsia"/>
                              </w:rPr>
                              <w:t>委托代理人身份证复印件</w:t>
                            </w:r>
                          </w:p>
                          <w:p w14:paraId="337F4F8C">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78E60420">
                      <w:pPr>
                        <w:jc w:val="center"/>
                      </w:pPr>
                    </w:p>
                    <w:p w14:paraId="2C3C2444">
                      <w:pPr>
                        <w:jc w:val="center"/>
                      </w:pPr>
                      <w:r>
                        <w:rPr>
                          <w:rFonts w:hint="eastAsia"/>
                        </w:rPr>
                        <w:t>委托代理人身份证复印件</w:t>
                      </w:r>
                    </w:p>
                    <w:p w14:paraId="337F4F8C">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5120F926">
                            <w:pPr>
                              <w:jc w:val="center"/>
                            </w:pPr>
                          </w:p>
                          <w:p w14:paraId="6AAF8F6F">
                            <w:pPr>
                              <w:jc w:val="center"/>
                            </w:pPr>
                            <w:r>
                              <w:rPr>
                                <w:rFonts w:hint="eastAsia"/>
                              </w:rPr>
                              <w:t>委托代理人身份证复印件</w:t>
                            </w:r>
                          </w:p>
                          <w:p w14:paraId="410B3FF9">
                            <w:pPr>
                              <w:jc w:val="center"/>
                            </w:pPr>
                            <w:r>
                              <w:rPr>
                                <w:rFonts w:hint="eastAsia"/>
                              </w:rPr>
                              <w:t>（签发单位面）</w:t>
                            </w:r>
                          </w:p>
                          <w:p w14:paraId="2B2F4567">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5120F926">
                      <w:pPr>
                        <w:jc w:val="center"/>
                      </w:pPr>
                    </w:p>
                    <w:p w14:paraId="6AAF8F6F">
                      <w:pPr>
                        <w:jc w:val="center"/>
                      </w:pPr>
                      <w:r>
                        <w:rPr>
                          <w:rFonts w:hint="eastAsia"/>
                        </w:rPr>
                        <w:t>委托代理人身份证复印件</w:t>
                      </w:r>
                    </w:p>
                    <w:p w14:paraId="410B3FF9">
                      <w:pPr>
                        <w:jc w:val="center"/>
                      </w:pPr>
                      <w:r>
                        <w:rPr>
                          <w:rFonts w:hint="eastAsia"/>
                        </w:rPr>
                        <w:t>（签发单位面）</w:t>
                      </w:r>
                    </w:p>
                    <w:p w14:paraId="2B2F4567">
                      <w:pPr>
                        <w:jc w:val="center"/>
                      </w:pPr>
                    </w:p>
                  </w:txbxContent>
                </v:textbox>
              </v:shape>
            </w:pict>
          </mc:Fallback>
        </mc:AlternateContent>
      </w:r>
      <w:bookmarkStart w:id="637" w:name="_Toc434242234"/>
      <w:bookmarkEnd w:id="637"/>
      <w:bookmarkStart w:id="638" w:name="_Toc434242032"/>
      <w:bookmarkEnd w:id="638"/>
    </w:p>
    <w:p w14:paraId="7FE777E1">
      <w:pPr>
        <w:outlineLvl w:val="9"/>
        <w:rPr>
          <w:rFonts w:ascii="宋体" w:hAnsi="宋体" w:cs="宋体"/>
          <w:color w:val="auto"/>
        </w:rPr>
      </w:pPr>
    </w:p>
    <w:p w14:paraId="618C3E0F">
      <w:pPr>
        <w:outlineLvl w:val="9"/>
        <w:rPr>
          <w:rFonts w:ascii="宋体" w:hAnsi="宋体" w:cs="宋体"/>
          <w:color w:val="auto"/>
        </w:rPr>
      </w:pPr>
    </w:p>
    <w:p w14:paraId="39F5DB8C">
      <w:pPr>
        <w:outlineLvl w:val="9"/>
        <w:rPr>
          <w:rFonts w:ascii="宋体" w:hAnsi="宋体" w:cs="宋体"/>
          <w:color w:val="auto"/>
        </w:rPr>
      </w:pPr>
    </w:p>
    <w:p w14:paraId="3DAC6600">
      <w:pPr>
        <w:outlineLvl w:val="9"/>
        <w:rPr>
          <w:rFonts w:ascii="宋体" w:hAnsi="宋体" w:cs="宋体"/>
          <w:color w:val="auto"/>
        </w:rPr>
      </w:pPr>
    </w:p>
    <w:p w14:paraId="0FE88574">
      <w:pPr>
        <w:outlineLvl w:val="9"/>
        <w:rPr>
          <w:rFonts w:ascii="宋体" w:hAnsi="宋体" w:cs="宋体"/>
          <w:color w:val="auto"/>
        </w:rPr>
      </w:pPr>
    </w:p>
    <w:p w14:paraId="76CE8F7B">
      <w:pPr>
        <w:outlineLvl w:val="9"/>
        <w:rPr>
          <w:rFonts w:ascii="宋体" w:hAnsi="宋体" w:cs="宋体"/>
          <w:color w:val="auto"/>
        </w:rPr>
      </w:pPr>
    </w:p>
    <w:p w14:paraId="15EBCCFE">
      <w:pPr>
        <w:outlineLvl w:val="9"/>
        <w:rPr>
          <w:rFonts w:ascii="宋体" w:hAnsi="宋体" w:cs="宋体"/>
          <w:color w:val="auto"/>
        </w:rPr>
      </w:pPr>
    </w:p>
    <w:p w14:paraId="54DAB5FE">
      <w:pPr>
        <w:outlineLvl w:val="9"/>
        <w:rPr>
          <w:rFonts w:ascii="宋体" w:hAnsi="宋体" w:cs="宋体"/>
          <w:color w:val="auto"/>
        </w:rPr>
      </w:pPr>
    </w:p>
    <w:p w14:paraId="5D0029FE">
      <w:pPr>
        <w:tabs>
          <w:tab w:val="left" w:pos="4200"/>
          <w:tab w:val="left" w:pos="4620"/>
        </w:tabs>
        <w:autoSpaceDE w:val="0"/>
        <w:autoSpaceDN w:val="0"/>
        <w:adjustRightInd w:val="0"/>
        <w:snapToGrid w:val="0"/>
        <w:spacing w:line="360" w:lineRule="auto"/>
        <w:ind w:firstLine="1694"/>
        <w:jc w:val="left"/>
        <w:outlineLvl w:val="9"/>
        <w:rPr>
          <w:rFonts w:ascii="宋体" w:hAnsi="宋体" w:cs="宋体"/>
          <w:color w:val="auto"/>
          <w:kern w:val="0"/>
          <w:szCs w:val="21"/>
        </w:rPr>
      </w:pPr>
    </w:p>
    <w:p w14:paraId="51A08573">
      <w:pPr>
        <w:tabs>
          <w:tab w:val="left" w:pos="4200"/>
          <w:tab w:val="left" w:pos="4620"/>
        </w:tabs>
        <w:autoSpaceDE w:val="0"/>
        <w:autoSpaceDN w:val="0"/>
        <w:adjustRightInd w:val="0"/>
        <w:snapToGrid w:val="0"/>
        <w:spacing w:line="480" w:lineRule="auto"/>
        <w:ind w:firstLine="1694"/>
        <w:jc w:val="left"/>
        <w:outlineLvl w:val="9"/>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 xml:space="preserve">） </w:t>
      </w:r>
    </w:p>
    <w:p w14:paraId="3C313A70">
      <w:pPr>
        <w:tabs>
          <w:tab w:val="left" w:pos="6090"/>
        </w:tabs>
        <w:autoSpaceDE w:val="0"/>
        <w:autoSpaceDN w:val="0"/>
        <w:adjustRightInd w:val="0"/>
        <w:snapToGrid w:val="0"/>
        <w:spacing w:line="480" w:lineRule="auto"/>
        <w:ind w:firstLine="1680"/>
        <w:jc w:val="left"/>
        <w:outlineLvl w:val="9"/>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（签字）</w:t>
      </w:r>
    </w:p>
    <w:p w14:paraId="4F4B517A">
      <w:pPr>
        <w:tabs>
          <w:tab w:val="left" w:pos="5260"/>
        </w:tabs>
        <w:autoSpaceDE w:val="0"/>
        <w:autoSpaceDN w:val="0"/>
        <w:adjustRightInd w:val="0"/>
        <w:snapToGrid w:val="0"/>
        <w:spacing w:line="480" w:lineRule="auto"/>
        <w:ind w:firstLine="1680"/>
        <w:jc w:val="left"/>
        <w:outlineLvl w:val="9"/>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szCs w:val="21"/>
        </w:rPr>
        <w:tab/>
      </w:r>
    </w:p>
    <w:p w14:paraId="496B71BD">
      <w:pPr>
        <w:tabs>
          <w:tab w:val="left" w:pos="6090"/>
        </w:tabs>
        <w:autoSpaceDE w:val="0"/>
        <w:autoSpaceDN w:val="0"/>
        <w:adjustRightInd w:val="0"/>
        <w:snapToGrid w:val="0"/>
        <w:spacing w:line="480" w:lineRule="auto"/>
        <w:ind w:firstLine="1680"/>
        <w:jc w:val="left"/>
        <w:outlineLvl w:val="9"/>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14:paraId="0A8456C4">
      <w:pPr>
        <w:tabs>
          <w:tab w:val="left" w:pos="6090"/>
        </w:tabs>
        <w:autoSpaceDE w:val="0"/>
        <w:autoSpaceDN w:val="0"/>
        <w:adjustRightInd w:val="0"/>
        <w:snapToGrid w:val="0"/>
        <w:spacing w:line="480" w:lineRule="auto"/>
        <w:ind w:firstLine="1680"/>
        <w:jc w:val="left"/>
        <w:outlineLvl w:val="9"/>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2BF2E6C3">
      <w:pPr>
        <w:spacing w:line="480" w:lineRule="auto"/>
        <w:ind w:firstLine="2975" w:firstLineChars="1417"/>
        <w:outlineLvl w:val="9"/>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2979E898">
      <w:pPr>
        <w:outlineLvl w:val="9"/>
        <w:rPr>
          <w:rFonts w:ascii="宋体" w:hAnsi="宋体" w:cs="宋体"/>
          <w:color w:val="auto"/>
        </w:rPr>
      </w:pPr>
    </w:p>
    <w:p w14:paraId="0CF10704">
      <w:pPr>
        <w:pStyle w:val="48"/>
        <w:outlineLvl w:val="9"/>
        <w:rPr>
          <w:rFonts w:ascii="宋体" w:hAnsi="宋体" w:cs="宋体"/>
          <w:color w:val="auto"/>
          <w:lang w:eastAsia="zh-CN"/>
        </w:rPr>
      </w:pPr>
    </w:p>
    <w:p w14:paraId="6B57DCE4">
      <w:pPr>
        <w:pStyle w:val="48"/>
        <w:outlineLvl w:val="9"/>
        <w:rPr>
          <w:rFonts w:ascii="宋体" w:hAnsi="宋体" w:cs="宋体"/>
          <w:color w:val="auto"/>
          <w:lang w:eastAsia="zh-CN"/>
        </w:rPr>
      </w:pPr>
    </w:p>
    <w:p w14:paraId="799C2064">
      <w:pPr>
        <w:autoSpaceDE w:val="0"/>
        <w:autoSpaceDN w:val="0"/>
        <w:adjustRightInd w:val="0"/>
        <w:snapToGrid w:val="0"/>
        <w:spacing w:line="360" w:lineRule="auto"/>
        <w:jc w:val="left"/>
        <w:outlineLvl w:val="9"/>
        <w:rPr>
          <w:rFonts w:ascii="宋体" w:hAnsi="宋体" w:cs="宋体"/>
          <w:color w:val="auto"/>
          <w:kern w:val="0"/>
          <w:szCs w:val="21"/>
        </w:rPr>
      </w:pPr>
      <w:r>
        <w:rPr>
          <w:rFonts w:hint="eastAsia" w:ascii="宋体" w:hAnsi="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30"/>
    <w:p w14:paraId="495E6EE1">
      <w:pPr>
        <w:autoSpaceDE w:val="0"/>
        <w:autoSpaceDN w:val="0"/>
        <w:spacing w:after="120" w:line="360" w:lineRule="auto"/>
        <w:jc w:val="left"/>
        <w:outlineLvl w:val="9"/>
        <w:rPr>
          <w:rFonts w:ascii="宋体" w:hAnsi="宋体" w:cs="宋体"/>
          <w:color w:val="auto"/>
          <w:kern w:val="0"/>
          <w:szCs w:val="21"/>
        </w:rPr>
      </w:pPr>
      <w:bookmarkStart w:id="639" w:name="_bookmark160"/>
      <w:bookmarkEnd w:id="639"/>
    </w:p>
    <w:p w14:paraId="0AABCD30">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eastAsia="宋体" w:cs="宋体"/>
          <w:b w:val="0"/>
          <w:bCs/>
          <w:color w:val="auto"/>
          <w:szCs w:val="21"/>
        </w:rPr>
      </w:pPr>
      <w:bookmarkStart w:id="640" w:name="_bookmark161"/>
      <w:bookmarkEnd w:id="640"/>
      <w:bookmarkStart w:id="641" w:name="_Toc1132"/>
      <w:r>
        <w:rPr>
          <w:rFonts w:hint="eastAsia" w:ascii="宋体" w:hAnsi="宋体" w:eastAsia="宋体" w:cs="宋体"/>
          <w:color w:val="auto"/>
        </w:rPr>
        <w:br w:type="page"/>
      </w:r>
      <w:bookmarkEnd w:id="641"/>
      <w:bookmarkStart w:id="642" w:name="_Toc224103512"/>
      <w:bookmarkStart w:id="643" w:name="_Toc287607884"/>
      <w:bookmarkStart w:id="644" w:name="_Toc277082658"/>
      <w:bookmarkStart w:id="645" w:name="_Toc17055"/>
      <w:bookmarkStart w:id="646" w:name="_Toc287620831"/>
      <w:bookmarkStart w:id="647" w:name="_Toc430530547"/>
      <w:bookmarkStart w:id="648" w:name="_Toc1725776"/>
    </w:p>
    <w:bookmarkEnd w:id="642"/>
    <w:bookmarkEnd w:id="643"/>
    <w:bookmarkEnd w:id="644"/>
    <w:bookmarkEnd w:id="645"/>
    <w:bookmarkEnd w:id="646"/>
    <w:bookmarkEnd w:id="647"/>
    <w:p w14:paraId="20C6ED7A">
      <w:pPr>
        <w:jc w:val="center"/>
        <w:outlineLvl w:val="9"/>
        <w:rPr>
          <w:rFonts w:ascii="宋体" w:hAnsi="宋体" w:eastAsia="宋体" w:cs="宋体"/>
          <w:color w:val="auto"/>
          <w:szCs w:val="22"/>
        </w:rPr>
      </w:pPr>
      <w:bookmarkStart w:id="649" w:name="_Toc5392"/>
      <w:bookmarkStart w:id="650" w:name="_Toc21791"/>
      <w:bookmarkStart w:id="651" w:name="_Toc22392"/>
      <w:bookmarkStart w:id="652" w:name="_Toc25994"/>
      <w:bookmarkStart w:id="653" w:name="_Toc24416"/>
      <w:bookmarkStart w:id="654" w:name="_Toc287607887"/>
      <w:bookmarkStart w:id="655" w:name="_Toc277082659"/>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49"/>
      <w:bookmarkEnd w:id="650"/>
      <w:bookmarkEnd w:id="651"/>
      <w:bookmarkEnd w:id="652"/>
      <w:bookmarkEnd w:id="653"/>
    </w:p>
    <w:tbl>
      <w:tblPr>
        <w:tblStyle w:val="50"/>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19B00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7CB8D3A">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rPr>
              <w:t>竞选</w:t>
            </w:r>
            <w:r>
              <w:rPr>
                <w:rFonts w:hint="eastAsia" w:ascii="宋体" w:hAnsi="宋体" w:cs="宋体"/>
                <w:color w:val="auto"/>
                <w:kern w:val="0"/>
                <w:sz w:val="22"/>
                <w:szCs w:val="22"/>
                <w:lang w:eastAsia="en-US"/>
              </w:rPr>
              <w:t>人名称</w:t>
            </w:r>
          </w:p>
        </w:tc>
        <w:tc>
          <w:tcPr>
            <w:tcW w:w="7176" w:type="dxa"/>
            <w:gridSpan w:val="8"/>
            <w:shd w:val="clear" w:color="auto" w:fill="auto"/>
            <w:vAlign w:val="center"/>
          </w:tcPr>
          <w:p w14:paraId="710B7C89">
            <w:pPr>
              <w:autoSpaceDE w:val="0"/>
              <w:autoSpaceDN w:val="0"/>
              <w:jc w:val="center"/>
              <w:outlineLvl w:val="9"/>
              <w:rPr>
                <w:rFonts w:ascii="宋体" w:hAnsi="宋体" w:cs="宋体"/>
                <w:color w:val="auto"/>
                <w:kern w:val="0"/>
                <w:sz w:val="20"/>
                <w:szCs w:val="22"/>
                <w:lang w:eastAsia="en-US"/>
              </w:rPr>
            </w:pPr>
          </w:p>
        </w:tc>
      </w:tr>
      <w:tr w14:paraId="4329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56C3F9D3">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注册地址</w:t>
            </w:r>
          </w:p>
        </w:tc>
        <w:tc>
          <w:tcPr>
            <w:tcW w:w="3368" w:type="dxa"/>
            <w:gridSpan w:val="3"/>
            <w:shd w:val="clear" w:color="auto" w:fill="auto"/>
            <w:vAlign w:val="center"/>
          </w:tcPr>
          <w:p w14:paraId="111C9E09">
            <w:pPr>
              <w:autoSpaceDE w:val="0"/>
              <w:autoSpaceDN w:val="0"/>
              <w:jc w:val="center"/>
              <w:outlineLvl w:val="9"/>
              <w:rPr>
                <w:rFonts w:ascii="宋体" w:hAnsi="宋体" w:cs="宋体"/>
                <w:color w:val="auto"/>
                <w:kern w:val="0"/>
                <w:sz w:val="20"/>
                <w:szCs w:val="22"/>
                <w:lang w:eastAsia="en-US"/>
              </w:rPr>
            </w:pPr>
          </w:p>
        </w:tc>
        <w:tc>
          <w:tcPr>
            <w:tcW w:w="1348" w:type="dxa"/>
            <w:gridSpan w:val="2"/>
            <w:shd w:val="clear" w:color="auto" w:fill="auto"/>
            <w:vAlign w:val="center"/>
          </w:tcPr>
          <w:p w14:paraId="4184986B">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邮政编码</w:t>
            </w:r>
          </w:p>
        </w:tc>
        <w:tc>
          <w:tcPr>
            <w:tcW w:w="2460" w:type="dxa"/>
            <w:gridSpan w:val="3"/>
            <w:shd w:val="clear" w:color="auto" w:fill="auto"/>
            <w:vAlign w:val="center"/>
          </w:tcPr>
          <w:p w14:paraId="7952F73D">
            <w:pPr>
              <w:autoSpaceDE w:val="0"/>
              <w:autoSpaceDN w:val="0"/>
              <w:jc w:val="center"/>
              <w:outlineLvl w:val="9"/>
              <w:rPr>
                <w:rFonts w:ascii="宋体" w:hAnsi="宋体" w:cs="宋体"/>
                <w:color w:val="auto"/>
                <w:kern w:val="0"/>
                <w:sz w:val="20"/>
                <w:szCs w:val="22"/>
                <w:lang w:eastAsia="en-US"/>
              </w:rPr>
            </w:pPr>
          </w:p>
        </w:tc>
      </w:tr>
      <w:tr w14:paraId="0DFEC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4A95DEF4">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联系方式</w:t>
            </w:r>
          </w:p>
        </w:tc>
        <w:tc>
          <w:tcPr>
            <w:tcW w:w="941" w:type="dxa"/>
            <w:shd w:val="clear" w:color="auto" w:fill="auto"/>
            <w:vAlign w:val="center"/>
          </w:tcPr>
          <w:p w14:paraId="4EF9B722">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联系人</w:t>
            </w:r>
          </w:p>
        </w:tc>
        <w:tc>
          <w:tcPr>
            <w:tcW w:w="2427" w:type="dxa"/>
            <w:gridSpan w:val="2"/>
            <w:shd w:val="clear" w:color="auto" w:fill="auto"/>
            <w:vAlign w:val="center"/>
          </w:tcPr>
          <w:p w14:paraId="743221F6">
            <w:pPr>
              <w:autoSpaceDE w:val="0"/>
              <w:autoSpaceDN w:val="0"/>
              <w:jc w:val="center"/>
              <w:outlineLvl w:val="9"/>
              <w:rPr>
                <w:rFonts w:ascii="宋体" w:hAnsi="宋体" w:cs="宋体"/>
                <w:color w:val="auto"/>
                <w:kern w:val="0"/>
                <w:sz w:val="20"/>
                <w:szCs w:val="22"/>
                <w:lang w:eastAsia="en-US"/>
              </w:rPr>
            </w:pPr>
          </w:p>
        </w:tc>
        <w:tc>
          <w:tcPr>
            <w:tcW w:w="1348" w:type="dxa"/>
            <w:gridSpan w:val="2"/>
            <w:shd w:val="clear" w:color="auto" w:fill="auto"/>
            <w:vAlign w:val="center"/>
          </w:tcPr>
          <w:p w14:paraId="2519033D">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 话</w:t>
            </w:r>
          </w:p>
        </w:tc>
        <w:tc>
          <w:tcPr>
            <w:tcW w:w="2460" w:type="dxa"/>
            <w:gridSpan w:val="3"/>
            <w:shd w:val="clear" w:color="auto" w:fill="auto"/>
            <w:vAlign w:val="center"/>
          </w:tcPr>
          <w:p w14:paraId="6D36595A">
            <w:pPr>
              <w:autoSpaceDE w:val="0"/>
              <w:autoSpaceDN w:val="0"/>
              <w:jc w:val="center"/>
              <w:outlineLvl w:val="9"/>
              <w:rPr>
                <w:rFonts w:ascii="宋体" w:hAnsi="宋体" w:cs="宋体"/>
                <w:color w:val="auto"/>
                <w:kern w:val="0"/>
                <w:sz w:val="20"/>
                <w:szCs w:val="22"/>
                <w:lang w:eastAsia="en-US"/>
              </w:rPr>
            </w:pPr>
          </w:p>
        </w:tc>
      </w:tr>
      <w:tr w14:paraId="70FD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5B9F816B">
            <w:pPr>
              <w:autoSpaceDE w:val="0"/>
              <w:autoSpaceDN w:val="0"/>
              <w:jc w:val="center"/>
              <w:outlineLvl w:val="9"/>
              <w:rPr>
                <w:rFonts w:ascii="宋体" w:hAnsi="宋体" w:cs="宋体"/>
                <w:color w:val="auto"/>
                <w:kern w:val="0"/>
                <w:sz w:val="2"/>
                <w:szCs w:val="2"/>
                <w:lang w:eastAsia="en-US"/>
              </w:rPr>
            </w:pPr>
          </w:p>
        </w:tc>
        <w:tc>
          <w:tcPr>
            <w:tcW w:w="941" w:type="dxa"/>
            <w:shd w:val="clear" w:color="auto" w:fill="auto"/>
            <w:vAlign w:val="center"/>
          </w:tcPr>
          <w:p w14:paraId="65D1AF5F">
            <w:pPr>
              <w:tabs>
                <w:tab w:val="left" w:pos="432"/>
              </w:tabs>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传</w:t>
            </w:r>
            <w:r>
              <w:rPr>
                <w:rFonts w:hint="eastAsia" w:ascii="宋体" w:hAnsi="宋体" w:cs="宋体"/>
                <w:color w:val="auto"/>
                <w:kern w:val="0"/>
                <w:sz w:val="22"/>
                <w:szCs w:val="22"/>
                <w:lang w:eastAsia="en-US"/>
              </w:rPr>
              <w:tab/>
            </w:r>
            <w:r>
              <w:rPr>
                <w:rFonts w:hint="eastAsia" w:ascii="宋体" w:hAnsi="宋体" w:cs="宋体"/>
                <w:color w:val="auto"/>
                <w:kern w:val="0"/>
                <w:sz w:val="22"/>
                <w:szCs w:val="22"/>
                <w:lang w:eastAsia="en-US"/>
              </w:rPr>
              <w:t>真</w:t>
            </w:r>
          </w:p>
        </w:tc>
        <w:tc>
          <w:tcPr>
            <w:tcW w:w="2427" w:type="dxa"/>
            <w:gridSpan w:val="2"/>
            <w:shd w:val="clear" w:color="auto" w:fill="auto"/>
            <w:vAlign w:val="center"/>
          </w:tcPr>
          <w:p w14:paraId="2B77FD14">
            <w:pPr>
              <w:autoSpaceDE w:val="0"/>
              <w:autoSpaceDN w:val="0"/>
              <w:jc w:val="center"/>
              <w:outlineLvl w:val="9"/>
              <w:rPr>
                <w:rFonts w:ascii="宋体" w:hAnsi="宋体" w:cs="宋体"/>
                <w:color w:val="auto"/>
                <w:kern w:val="0"/>
                <w:sz w:val="20"/>
                <w:szCs w:val="22"/>
                <w:lang w:eastAsia="en-US"/>
              </w:rPr>
            </w:pPr>
          </w:p>
        </w:tc>
        <w:tc>
          <w:tcPr>
            <w:tcW w:w="1348" w:type="dxa"/>
            <w:gridSpan w:val="2"/>
            <w:shd w:val="clear" w:color="auto" w:fill="auto"/>
            <w:vAlign w:val="center"/>
          </w:tcPr>
          <w:p w14:paraId="7BAFFF7F">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网 址</w:t>
            </w:r>
          </w:p>
        </w:tc>
        <w:tc>
          <w:tcPr>
            <w:tcW w:w="2460" w:type="dxa"/>
            <w:gridSpan w:val="3"/>
            <w:shd w:val="clear" w:color="auto" w:fill="auto"/>
            <w:vAlign w:val="center"/>
          </w:tcPr>
          <w:p w14:paraId="4FF261D1">
            <w:pPr>
              <w:autoSpaceDE w:val="0"/>
              <w:autoSpaceDN w:val="0"/>
              <w:jc w:val="center"/>
              <w:outlineLvl w:val="9"/>
              <w:rPr>
                <w:rFonts w:ascii="宋体" w:hAnsi="宋体" w:cs="宋体"/>
                <w:color w:val="auto"/>
                <w:kern w:val="0"/>
                <w:sz w:val="20"/>
                <w:szCs w:val="22"/>
                <w:lang w:eastAsia="en-US"/>
              </w:rPr>
            </w:pPr>
          </w:p>
        </w:tc>
      </w:tr>
      <w:tr w14:paraId="6A43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F3B06B1">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法定代表人</w:t>
            </w:r>
          </w:p>
        </w:tc>
        <w:tc>
          <w:tcPr>
            <w:tcW w:w="941" w:type="dxa"/>
            <w:shd w:val="clear" w:color="auto" w:fill="auto"/>
            <w:vAlign w:val="center"/>
          </w:tcPr>
          <w:p w14:paraId="2226AC08">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姓名</w:t>
            </w:r>
          </w:p>
        </w:tc>
        <w:tc>
          <w:tcPr>
            <w:tcW w:w="1076" w:type="dxa"/>
            <w:shd w:val="clear" w:color="auto" w:fill="auto"/>
            <w:vAlign w:val="center"/>
          </w:tcPr>
          <w:p w14:paraId="2CE2BDA3">
            <w:pPr>
              <w:autoSpaceDE w:val="0"/>
              <w:autoSpaceDN w:val="0"/>
              <w:jc w:val="center"/>
              <w:outlineLvl w:val="9"/>
              <w:rPr>
                <w:rFonts w:ascii="宋体" w:hAnsi="宋体" w:cs="宋体"/>
                <w:color w:val="auto"/>
                <w:kern w:val="0"/>
                <w:sz w:val="20"/>
                <w:szCs w:val="22"/>
                <w:lang w:eastAsia="en-US"/>
              </w:rPr>
            </w:pPr>
          </w:p>
        </w:tc>
        <w:tc>
          <w:tcPr>
            <w:tcW w:w="1351" w:type="dxa"/>
            <w:shd w:val="clear" w:color="auto" w:fill="auto"/>
            <w:vAlign w:val="center"/>
          </w:tcPr>
          <w:p w14:paraId="00B72868">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技术职称</w:t>
            </w:r>
          </w:p>
        </w:tc>
        <w:tc>
          <w:tcPr>
            <w:tcW w:w="1348" w:type="dxa"/>
            <w:gridSpan w:val="2"/>
            <w:shd w:val="clear" w:color="auto" w:fill="auto"/>
            <w:vAlign w:val="center"/>
          </w:tcPr>
          <w:p w14:paraId="4B33EB56">
            <w:pPr>
              <w:autoSpaceDE w:val="0"/>
              <w:autoSpaceDN w:val="0"/>
              <w:jc w:val="center"/>
              <w:outlineLvl w:val="9"/>
              <w:rPr>
                <w:rFonts w:ascii="宋体" w:hAnsi="宋体" w:cs="宋体"/>
                <w:color w:val="auto"/>
                <w:kern w:val="0"/>
                <w:sz w:val="20"/>
                <w:szCs w:val="22"/>
                <w:lang w:eastAsia="en-US"/>
              </w:rPr>
            </w:pPr>
          </w:p>
        </w:tc>
        <w:tc>
          <w:tcPr>
            <w:tcW w:w="1168" w:type="dxa"/>
            <w:gridSpan w:val="2"/>
            <w:shd w:val="clear" w:color="auto" w:fill="auto"/>
            <w:vAlign w:val="center"/>
          </w:tcPr>
          <w:p w14:paraId="3CBBE7D5">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电话</w:t>
            </w:r>
          </w:p>
        </w:tc>
        <w:tc>
          <w:tcPr>
            <w:tcW w:w="1292" w:type="dxa"/>
            <w:shd w:val="clear" w:color="auto" w:fill="auto"/>
            <w:vAlign w:val="center"/>
          </w:tcPr>
          <w:p w14:paraId="385C7B72">
            <w:pPr>
              <w:autoSpaceDE w:val="0"/>
              <w:autoSpaceDN w:val="0"/>
              <w:jc w:val="center"/>
              <w:outlineLvl w:val="9"/>
              <w:rPr>
                <w:rFonts w:ascii="宋体" w:hAnsi="宋体" w:cs="宋体"/>
                <w:color w:val="auto"/>
                <w:kern w:val="0"/>
                <w:sz w:val="20"/>
                <w:szCs w:val="22"/>
                <w:lang w:eastAsia="en-US"/>
              </w:rPr>
            </w:pPr>
          </w:p>
        </w:tc>
      </w:tr>
      <w:tr w14:paraId="55ACE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4C1F4368">
            <w:pPr>
              <w:autoSpaceDE w:val="0"/>
              <w:autoSpaceDN w:val="0"/>
              <w:jc w:val="center"/>
              <w:outlineLvl w:val="9"/>
              <w:rPr>
                <w:rFonts w:ascii="宋体" w:hAnsi="宋体" w:cs="宋体"/>
                <w:color w:val="auto"/>
                <w:kern w:val="0"/>
                <w:sz w:val="22"/>
                <w:szCs w:val="22"/>
              </w:rPr>
            </w:pPr>
            <w:r>
              <w:rPr>
                <w:rFonts w:hint="eastAsia" w:ascii="宋体" w:hAnsi="宋体" w:cs="宋体"/>
                <w:color w:val="auto"/>
                <w:kern w:val="0"/>
                <w:sz w:val="22"/>
                <w:szCs w:val="22"/>
              </w:rPr>
              <w:t>质量管理体系证书</w:t>
            </w:r>
          </w:p>
          <w:p w14:paraId="027F0730">
            <w:pPr>
              <w:autoSpaceDE w:val="0"/>
              <w:autoSpaceDN w:val="0"/>
              <w:jc w:val="center"/>
              <w:outlineLvl w:val="9"/>
              <w:rPr>
                <w:rFonts w:ascii="宋体" w:hAnsi="宋体" w:cs="宋体"/>
                <w:color w:val="auto"/>
                <w:kern w:val="0"/>
                <w:sz w:val="22"/>
                <w:szCs w:val="22"/>
              </w:rPr>
            </w:pPr>
            <w:r>
              <w:rPr>
                <w:rFonts w:hint="eastAsia" w:ascii="宋体" w:hAnsi="宋体" w:cs="宋体"/>
                <w:color w:val="auto"/>
                <w:kern w:val="0"/>
                <w:sz w:val="22"/>
                <w:szCs w:val="22"/>
              </w:rPr>
              <w:t>（如有）</w:t>
            </w:r>
          </w:p>
        </w:tc>
        <w:tc>
          <w:tcPr>
            <w:tcW w:w="7176" w:type="dxa"/>
            <w:gridSpan w:val="8"/>
            <w:shd w:val="clear" w:color="auto" w:fill="auto"/>
            <w:vAlign w:val="center"/>
          </w:tcPr>
          <w:p w14:paraId="1A926324">
            <w:pPr>
              <w:autoSpaceDE w:val="0"/>
              <w:autoSpaceDN w:val="0"/>
              <w:jc w:val="center"/>
              <w:outlineLvl w:val="9"/>
              <w:rPr>
                <w:rFonts w:ascii="宋体" w:hAnsi="宋体" w:cs="宋体"/>
                <w:color w:val="auto"/>
                <w:kern w:val="0"/>
                <w:sz w:val="25"/>
                <w:szCs w:val="22"/>
              </w:rPr>
            </w:pPr>
          </w:p>
          <w:p w14:paraId="434E553A">
            <w:pPr>
              <w:tabs>
                <w:tab w:val="left" w:pos="3790"/>
                <w:tab w:val="left" w:pos="5050"/>
              </w:tabs>
              <w:autoSpaceDE w:val="0"/>
              <w:autoSpaceDN w:val="0"/>
              <w:jc w:val="center"/>
              <w:outlineLvl w:val="9"/>
              <w:rPr>
                <w:rFonts w:ascii="宋体" w:hAnsi="宋体" w:cs="宋体"/>
                <w:color w:val="auto"/>
                <w:kern w:val="0"/>
                <w:sz w:val="22"/>
                <w:szCs w:val="22"/>
              </w:rPr>
            </w:pPr>
            <w:r>
              <w:rPr>
                <w:rFonts w:hint="eastAsia" w:ascii="宋体" w:hAnsi="宋体" w:cs="宋体"/>
                <w:color w:val="auto"/>
                <w:kern w:val="0"/>
                <w:sz w:val="22"/>
                <w:szCs w:val="22"/>
              </w:rPr>
              <w:t xml:space="preserve">类型：                </w:t>
            </w:r>
            <w:r>
              <w:rPr>
                <w:rFonts w:hint="eastAsia" w:ascii="宋体" w:hAnsi="宋体" w:cs="宋体"/>
                <w:color w:val="auto"/>
                <w:spacing w:val="-3"/>
                <w:kern w:val="0"/>
                <w:sz w:val="22"/>
                <w:szCs w:val="22"/>
              </w:rPr>
              <w:t>等</w:t>
            </w:r>
            <w:r>
              <w:rPr>
                <w:rFonts w:hint="eastAsia" w:ascii="宋体" w:hAnsi="宋体" w:cs="宋体"/>
                <w:color w:val="auto"/>
                <w:kern w:val="0"/>
                <w:sz w:val="22"/>
                <w:szCs w:val="22"/>
              </w:rPr>
              <w:t>级：</w:t>
            </w:r>
            <w:r>
              <w:rPr>
                <w:rFonts w:hint="eastAsia" w:ascii="宋体" w:hAnsi="宋体" w:cs="宋体"/>
                <w:color w:val="auto"/>
                <w:kern w:val="0"/>
                <w:sz w:val="22"/>
                <w:szCs w:val="22"/>
              </w:rPr>
              <w:tab/>
            </w:r>
            <w:r>
              <w:rPr>
                <w:rFonts w:hint="eastAsia" w:ascii="宋体" w:hAnsi="宋体" w:cs="宋体"/>
                <w:color w:val="auto"/>
                <w:spacing w:val="-3"/>
                <w:kern w:val="0"/>
                <w:sz w:val="22"/>
                <w:szCs w:val="22"/>
              </w:rPr>
              <w:t>证</w:t>
            </w:r>
            <w:r>
              <w:rPr>
                <w:rFonts w:hint="eastAsia" w:ascii="宋体" w:hAnsi="宋体" w:cs="宋体"/>
                <w:color w:val="auto"/>
                <w:kern w:val="0"/>
                <w:sz w:val="22"/>
                <w:szCs w:val="22"/>
              </w:rPr>
              <w:t>书</w:t>
            </w:r>
            <w:r>
              <w:rPr>
                <w:rFonts w:hint="eastAsia" w:ascii="宋体" w:hAnsi="宋体" w:cs="宋体"/>
                <w:color w:val="auto"/>
                <w:spacing w:val="-3"/>
                <w:kern w:val="0"/>
                <w:sz w:val="22"/>
                <w:szCs w:val="22"/>
              </w:rPr>
              <w:t>号</w:t>
            </w:r>
            <w:r>
              <w:rPr>
                <w:rFonts w:hint="eastAsia" w:ascii="宋体" w:hAnsi="宋体" w:cs="宋体"/>
                <w:color w:val="auto"/>
                <w:kern w:val="0"/>
                <w:sz w:val="22"/>
                <w:szCs w:val="22"/>
              </w:rPr>
              <w:t>：</w:t>
            </w:r>
          </w:p>
        </w:tc>
      </w:tr>
      <w:tr w14:paraId="58A84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4D1EBD91">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sz w:val="22"/>
                <w:szCs w:val="22"/>
              </w:rPr>
              <w:t>统一社会信用代码</w:t>
            </w:r>
          </w:p>
        </w:tc>
        <w:tc>
          <w:tcPr>
            <w:tcW w:w="3368" w:type="dxa"/>
            <w:gridSpan w:val="3"/>
            <w:shd w:val="clear" w:color="auto" w:fill="auto"/>
            <w:vAlign w:val="center"/>
          </w:tcPr>
          <w:p w14:paraId="6E21A5FA">
            <w:pPr>
              <w:autoSpaceDE w:val="0"/>
              <w:autoSpaceDN w:val="0"/>
              <w:jc w:val="center"/>
              <w:outlineLvl w:val="9"/>
              <w:rPr>
                <w:rFonts w:ascii="宋体" w:hAnsi="宋体" w:cs="宋体"/>
                <w:color w:val="auto"/>
                <w:kern w:val="0"/>
                <w:sz w:val="20"/>
                <w:szCs w:val="22"/>
                <w:lang w:eastAsia="en-US"/>
              </w:rPr>
            </w:pPr>
          </w:p>
        </w:tc>
        <w:tc>
          <w:tcPr>
            <w:tcW w:w="3808" w:type="dxa"/>
            <w:gridSpan w:val="5"/>
            <w:shd w:val="clear" w:color="auto" w:fill="auto"/>
            <w:vAlign w:val="center"/>
          </w:tcPr>
          <w:p w14:paraId="09117A61">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员工总人数：</w:t>
            </w:r>
          </w:p>
        </w:tc>
      </w:tr>
      <w:tr w14:paraId="5B82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3FC79305">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注册资本</w:t>
            </w:r>
          </w:p>
        </w:tc>
        <w:tc>
          <w:tcPr>
            <w:tcW w:w="3368" w:type="dxa"/>
            <w:gridSpan w:val="3"/>
            <w:shd w:val="clear" w:color="auto" w:fill="auto"/>
            <w:vAlign w:val="center"/>
          </w:tcPr>
          <w:p w14:paraId="5D7537E1">
            <w:pPr>
              <w:autoSpaceDE w:val="0"/>
              <w:autoSpaceDN w:val="0"/>
              <w:jc w:val="center"/>
              <w:outlineLvl w:val="9"/>
              <w:rPr>
                <w:rFonts w:ascii="宋体" w:hAnsi="宋体" w:cs="宋体"/>
                <w:color w:val="auto"/>
                <w:kern w:val="0"/>
                <w:sz w:val="20"/>
                <w:szCs w:val="22"/>
                <w:lang w:eastAsia="en-US"/>
              </w:rPr>
            </w:pPr>
          </w:p>
        </w:tc>
        <w:tc>
          <w:tcPr>
            <w:tcW w:w="434" w:type="dxa"/>
            <w:vMerge w:val="restart"/>
            <w:shd w:val="clear" w:color="auto" w:fill="auto"/>
            <w:vAlign w:val="center"/>
          </w:tcPr>
          <w:p w14:paraId="5DFBDFFC">
            <w:pPr>
              <w:autoSpaceDE w:val="0"/>
              <w:autoSpaceDN w:val="0"/>
              <w:spacing w:line="384" w:lineRule="auto"/>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其中</w:t>
            </w:r>
          </w:p>
        </w:tc>
        <w:tc>
          <w:tcPr>
            <w:tcW w:w="1781" w:type="dxa"/>
            <w:gridSpan w:val="2"/>
            <w:shd w:val="clear" w:color="auto" w:fill="auto"/>
            <w:vAlign w:val="center"/>
          </w:tcPr>
          <w:p w14:paraId="75F6AE1A">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高级职称人员</w:t>
            </w:r>
          </w:p>
        </w:tc>
        <w:tc>
          <w:tcPr>
            <w:tcW w:w="1593" w:type="dxa"/>
            <w:gridSpan w:val="2"/>
            <w:shd w:val="clear" w:color="auto" w:fill="auto"/>
            <w:vAlign w:val="center"/>
          </w:tcPr>
          <w:p w14:paraId="45262752">
            <w:pPr>
              <w:autoSpaceDE w:val="0"/>
              <w:autoSpaceDN w:val="0"/>
              <w:jc w:val="center"/>
              <w:outlineLvl w:val="9"/>
              <w:rPr>
                <w:rFonts w:ascii="宋体" w:hAnsi="宋体" w:cs="宋体"/>
                <w:color w:val="auto"/>
                <w:kern w:val="0"/>
                <w:sz w:val="20"/>
                <w:szCs w:val="22"/>
                <w:lang w:eastAsia="en-US"/>
              </w:rPr>
            </w:pPr>
          </w:p>
        </w:tc>
      </w:tr>
      <w:tr w14:paraId="2453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97449E8">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成立日期</w:t>
            </w:r>
          </w:p>
        </w:tc>
        <w:tc>
          <w:tcPr>
            <w:tcW w:w="3368" w:type="dxa"/>
            <w:gridSpan w:val="3"/>
            <w:shd w:val="clear" w:color="auto" w:fill="auto"/>
            <w:vAlign w:val="center"/>
          </w:tcPr>
          <w:p w14:paraId="77C11D59">
            <w:pPr>
              <w:autoSpaceDE w:val="0"/>
              <w:autoSpaceDN w:val="0"/>
              <w:jc w:val="center"/>
              <w:outlineLvl w:val="9"/>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48C89B2F">
            <w:pPr>
              <w:autoSpaceDE w:val="0"/>
              <w:autoSpaceDN w:val="0"/>
              <w:jc w:val="center"/>
              <w:outlineLvl w:val="9"/>
              <w:rPr>
                <w:rFonts w:ascii="宋体" w:hAnsi="宋体" w:cs="宋体"/>
                <w:color w:val="auto"/>
                <w:kern w:val="0"/>
                <w:sz w:val="2"/>
                <w:szCs w:val="2"/>
                <w:lang w:eastAsia="en-US"/>
              </w:rPr>
            </w:pPr>
          </w:p>
        </w:tc>
        <w:tc>
          <w:tcPr>
            <w:tcW w:w="1781" w:type="dxa"/>
            <w:gridSpan w:val="2"/>
            <w:shd w:val="clear" w:color="auto" w:fill="auto"/>
            <w:vAlign w:val="center"/>
          </w:tcPr>
          <w:p w14:paraId="0DD53367">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中级职称人员</w:t>
            </w:r>
          </w:p>
        </w:tc>
        <w:tc>
          <w:tcPr>
            <w:tcW w:w="1593" w:type="dxa"/>
            <w:gridSpan w:val="2"/>
            <w:shd w:val="clear" w:color="auto" w:fill="auto"/>
            <w:vAlign w:val="center"/>
          </w:tcPr>
          <w:p w14:paraId="5507E5B1">
            <w:pPr>
              <w:autoSpaceDE w:val="0"/>
              <w:autoSpaceDN w:val="0"/>
              <w:jc w:val="center"/>
              <w:outlineLvl w:val="9"/>
              <w:rPr>
                <w:rFonts w:ascii="宋体" w:hAnsi="宋体" w:cs="宋体"/>
                <w:color w:val="auto"/>
                <w:kern w:val="0"/>
                <w:sz w:val="20"/>
                <w:szCs w:val="22"/>
                <w:lang w:eastAsia="en-US"/>
              </w:rPr>
            </w:pPr>
          </w:p>
        </w:tc>
      </w:tr>
      <w:tr w14:paraId="796E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753646E6">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基本账户开户银行</w:t>
            </w:r>
          </w:p>
        </w:tc>
        <w:tc>
          <w:tcPr>
            <w:tcW w:w="3368" w:type="dxa"/>
            <w:gridSpan w:val="3"/>
            <w:shd w:val="clear" w:color="auto" w:fill="auto"/>
            <w:vAlign w:val="center"/>
          </w:tcPr>
          <w:p w14:paraId="23106A82">
            <w:pPr>
              <w:autoSpaceDE w:val="0"/>
              <w:autoSpaceDN w:val="0"/>
              <w:jc w:val="center"/>
              <w:outlineLvl w:val="9"/>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321A4B46">
            <w:pPr>
              <w:autoSpaceDE w:val="0"/>
              <w:autoSpaceDN w:val="0"/>
              <w:jc w:val="center"/>
              <w:outlineLvl w:val="9"/>
              <w:rPr>
                <w:rFonts w:ascii="宋体" w:hAnsi="宋体" w:cs="宋体"/>
                <w:color w:val="auto"/>
                <w:kern w:val="0"/>
                <w:sz w:val="2"/>
                <w:szCs w:val="2"/>
                <w:lang w:eastAsia="en-US"/>
              </w:rPr>
            </w:pPr>
          </w:p>
        </w:tc>
        <w:tc>
          <w:tcPr>
            <w:tcW w:w="1781" w:type="dxa"/>
            <w:gridSpan w:val="2"/>
            <w:shd w:val="clear" w:color="auto" w:fill="auto"/>
            <w:vAlign w:val="center"/>
          </w:tcPr>
          <w:p w14:paraId="3F27FA2D">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技术人员数量</w:t>
            </w:r>
          </w:p>
        </w:tc>
        <w:tc>
          <w:tcPr>
            <w:tcW w:w="1593" w:type="dxa"/>
            <w:gridSpan w:val="2"/>
            <w:shd w:val="clear" w:color="auto" w:fill="auto"/>
            <w:vAlign w:val="center"/>
          </w:tcPr>
          <w:p w14:paraId="00283DFB">
            <w:pPr>
              <w:autoSpaceDE w:val="0"/>
              <w:autoSpaceDN w:val="0"/>
              <w:jc w:val="center"/>
              <w:outlineLvl w:val="9"/>
              <w:rPr>
                <w:rFonts w:ascii="宋体" w:hAnsi="宋体" w:cs="宋体"/>
                <w:color w:val="auto"/>
                <w:kern w:val="0"/>
                <w:sz w:val="20"/>
                <w:szCs w:val="22"/>
                <w:lang w:eastAsia="en-US"/>
              </w:rPr>
            </w:pPr>
          </w:p>
        </w:tc>
      </w:tr>
      <w:tr w14:paraId="5157A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3404CB82">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基本账户银行账号</w:t>
            </w:r>
          </w:p>
        </w:tc>
        <w:tc>
          <w:tcPr>
            <w:tcW w:w="3368" w:type="dxa"/>
            <w:gridSpan w:val="3"/>
            <w:shd w:val="clear" w:color="auto" w:fill="auto"/>
            <w:vAlign w:val="center"/>
          </w:tcPr>
          <w:p w14:paraId="3E0DE54D">
            <w:pPr>
              <w:autoSpaceDE w:val="0"/>
              <w:autoSpaceDN w:val="0"/>
              <w:jc w:val="center"/>
              <w:outlineLvl w:val="9"/>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19FCA006">
            <w:pPr>
              <w:autoSpaceDE w:val="0"/>
              <w:autoSpaceDN w:val="0"/>
              <w:jc w:val="center"/>
              <w:outlineLvl w:val="9"/>
              <w:rPr>
                <w:rFonts w:ascii="宋体" w:hAnsi="宋体" w:cs="宋体"/>
                <w:color w:val="auto"/>
                <w:kern w:val="0"/>
                <w:sz w:val="2"/>
                <w:szCs w:val="2"/>
                <w:lang w:eastAsia="en-US"/>
              </w:rPr>
            </w:pPr>
          </w:p>
        </w:tc>
        <w:tc>
          <w:tcPr>
            <w:tcW w:w="1781" w:type="dxa"/>
            <w:gridSpan w:val="2"/>
            <w:shd w:val="clear" w:color="auto" w:fill="auto"/>
            <w:vAlign w:val="center"/>
          </w:tcPr>
          <w:p w14:paraId="3AD70F09">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各类注册人员</w:t>
            </w:r>
          </w:p>
        </w:tc>
        <w:tc>
          <w:tcPr>
            <w:tcW w:w="1593" w:type="dxa"/>
            <w:gridSpan w:val="2"/>
            <w:shd w:val="clear" w:color="auto" w:fill="auto"/>
            <w:vAlign w:val="center"/>
          </w:tcPr>
          <w:p w14:paraId="7C652620">
            <w:pPr>
              <w:autoSpaceDE w:val="0"/>
              <w:autoSpaceDN w:val="0"/>
              <w:jc w:val="center"/>
              <w:outlineLvl w:val="9"/>
              <w:rPr>
                <w:rFonts w:ascii="宋体" w:hAnsi="宋体" w:cs="宋体"/>
                <w:color w:val="auto"/>
                <w:kern w:val="0"/>
                <w:sz w:val="20"/>
                <w:szCs w:val="22"/>
                <w:lang w:eastAsia="en-US"/>
              </w:rPr>
            </w:pPr>
          </w:p>
        </w:tc>
      </w:tr>
      <w:tr w14:paraId="4B1F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36D8D058">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经营范围</w:t>
            </w:r>
          </w:p>
        </w:tc>
        <w:tc>
          <w:tcPr>
            <w:tcW w:w="7176" w:type="dxa"/>
            <w:gridSpan w:val="8"/>
            <w:shd w:val="clear" w:color="auto" w:fill="auto"/>
            <w:vAlign w:val="center"/>
          </w:tcPr>
          <w:p w14:paraId="61CAF4E6">
            <w:pPr>
              <w:autoSpaceDE w:val="0"/>
              <w:autoSpaceDN w:val="0"/>
              <w:jc w:val="center"/>
              <w:outlineLvl w:val="9"/>
              <w:rPr>
                <w:rFonts w:ascii="宋体" w:hAnsi="宋体" w:cs="宋体"/>
                <w:color w:val="auto"/>
                <w:kern w:val="0"/>
                <w:sz w:val="20"/>
                <w:szCs w:val="22"/>
                <w:lang w:eastAsia="en-US"/>
              </w:rPr>
            </w:pPr>
          </w:p>
        </w:tc>
      </w:tr>
      <w:tr w14:paraId="64E9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15ECF44A">
            <w:pPr>
              <w:autoSpaceDE w:val="0"/>
              <w:autoSpaceDN w:val="0"/>
              <w:jc w:val="center"/>
              <w:outlineLvl w:val="9"/>
              <w:rPr>
                <w:rFonts w:ascii="宋体" w:hAnsi="宋体" w:cs="宋体"/>
                <w:color w:val="auto"/>
                <w:kern w:val="0"/>
                <w:sz w:val="22"/>
                <w:szCs w:val="22"/>
                <w:lang w:eastAsia="en-US"/>
              </w:rPr>
            </w:pPr>
            <w:r>
              <w:rPr>
                <w:rFonts w:hint="eastAsia" w:ascii="宋体" w:hAnsi="宋体" w:cs="宋体"/>
                <w:color w:val="auto"/>
                <w:kern w:val="0"/>
                <w:sz w:val="22"/>
                <w:szCs w:val="22"/>
                <w:lang w:eastAsia="en-US"/>
              </w:rPr>
              <w:t>备注</w:t>
            </w:r>
          </w:p>
        </w:tc>
        <w:tc>
          <w:tcPr>
            <w:tcW w:w="7176" w:type="dxa"/>
            <w:gridSpan w:val="8"/>
            <w:shd w:val="clear" w:color="auto" w:fill="auto"/>
            <w:vAlign w:val="center"/>
          </w:tcPr>
          <w:p w14:paraId="4C6F21DD">
            <w:pPr>
              <w:autoSpaceDE w:val="0"/>
              <w:autoSpaceDN w:val="0"/>
              <w:jc w:val="center"/>
              <w:outlineLvl w:val="9"/>
              <w:rPr>
                <w:rFonts w:ascii="宋体" w:hAnsi="宋体" w:cs="宋体"/>
                <w:color w:val="auto"/>
                <w:kern w:val="0"/>
                <w:sz w:val="20"/>
                <w:szCs w:val="22"/>
                <w:lang w:eastAsia="en-US"/>
              </w:rPr>
            </w:pPr>
          </w:p>
        </w:tc>
      </w:tr>
    </w:tbl>
    <w:p w14:paraId="24495ADF">
      <w:pPr>
        <w:spacing w:line="360" w:lineRule="auto"/>
        <w:jc w:val="center"/>
        <w:outlineLvl w:val="9"/>
        <w:rPr>
          <w:rFonts w:ascii="宋体" w:hAnsi="宋体" w:cs="宋体"/>
          <w:color w:val="auto"/>
          <w:szCs w:val="21"/>
        </w:rPr>
      </w:pPr>
    </w:p>
    <w:p w14:paraId="2048C068">
      <w:pPr>
        <w:widowControl/>
        <w:jc w:val="left"/>
        <w:outlineLvl w:val="9"/>
        <w:rPr>
          <w:rFonts w:ascii="宋体" w:hAnsi="宋体" w:cs="宋体"/>
          <w:color w:val="auto"/>
          <w:szCs w:val="21"/>
        </w:rPr>
      </w:pPr>
      <w:r>
        <w:rPr>
          <w:rFonts w:hint="eastAsia" w:ascii="宋体" w:hAnsi="宋体" w:cs="宋体"/>
          <w:color w:val="auto"/>
          <w:szCs w:val="21"/>
        </w:rPr>
        <w:br w:type="page"/>
      </w:r>
    </w:p>
    <w:p w14:paraId="79B5A9E1">
      <w:pPr>
        <w:jc w:val="center"/>
        <w:outlineLvl w:val="9"/>
        <w:rPr>
          <w:rFonts w:ascii="宋体" w:hAnsi="宋体" w:eastAsia="宋体" w:cs="宋体"/>
          <w:color w:val="auto"/>
        </w:rPr>
      </w:pPr>
      <w:bookmarkStart w:id="656" w:name="_Toc16537"/>
      <w:bookmarkStart w:id="657" w:name="_Toc23774"/>
      <w:bookmarkStart w:id="658" w:name="_Toc4508"/>
      <w:bookmarkStart w:id="659" w:name="_Toc21090"/>
      <w:bookmarkStart w:id="660" w:name="_Toc534185840"/>
      <w:bookmarkStart w:id="661" w:name="_Toc57820661"/>
      <w:bookmarkStart w:id="662" w:name="_Toc509218863"/>
      <w:r>
        <w:rPr>
          <w:rFonts w:hint="eastAsia" w:ascii="宋体" w:hAnsi="宋体" w:eastAsia="宋体" w:cs="宋体"/>
          <w:color w:val="auto"/>
          <w:szCs w:val="22"/>
          <w:lang w:val="en-US" w:eastAsia="zh-CN"/>
        </w:rPr>
        <w:t>五</w:t>
      </w:r>
      <w:r>
        <w:rPr>
          <w:rFonts w:hint="eastAsia" w:ascii="宋体" w:hAnsi="宋体" w:eastAsia="宋体" w:cs="宋体"/>
          <w:color w:val="auto"/>
          <w:szCs w:val="22"/>
        </w:rPr>
        <w:t>、类似业绩情况表</w:t>
      </w:r>
      <w:bookmarkEnd w:id="656"/>
      <w:bookmarkEnd w:id="657"/>
      <w:bookmarkEnd w:id="658"/>
      <w:bookmarkEnd w:id="659"/>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007"/>
      </w:tblGrid>
      <w:tr w14:paraId="3B2D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0C29D7BF">
            <w:pPr>
              <w:spacing w:line="360" w:lineRule="auto"/>
              <w:jc w:val="center"/>
              <w:outlineLvl w:val="9"/>
              <w:rPr>
                <w:rFonts w:ascii="宋体" w:hAnsi="宋体" w:cs="宋体"/>
                <w:color w:val="auto"/>
                <w:szCs w:val="21"/>
              </w:rPr>
            </w:pPr>
            <w:r>
              <w:rPr>
                <w:rFonts w:hint="eastAsia" w:ascii="宋体" w:hAnsi="宋体" w:cs="宋体"/>
                <w:color w:val="auto"/>
                <w:szCs w:val="21"/>
              </w:rPr>
              <w:t>项目名称</w:t>
            </w:r>
          </w:p>
        </w:tc>
        <w:tc>
          <w:tcPr>
            <w:tcW w:w="7007" w:type="dxa"/>
            <w:tcBorders>
              <w:top w:val="outset" w:color="auto" w:sz="6" w:space="0"/>
              <w:left w:val="outset" w:color="auto" w:sz="6" w:space="0"/>
              <w:bottom w:val="outset" w:color="auto" w:sz="6" w:space="0"/>
              <w:right w:val="outset" w:color="auto" w:sz="6" w:space="0"/>
            </w:tcBorders>
            <w:vAlign w:val="center"/>
          </w:tcPr>
          <w:p w14:paraId="43374C0E">
            <w:pPr>
              <w:spacing w:line="360" w:lineRule="auto"/>
              <w:ind w:firstLine="420" w:firstLineChars="200"/>
              <w:jc w:val="center"/>
              <w:outlineLvl w:val="9"/>
              <w:rPr>
                <w:rFonts w:ascii="宋体" w:hAnsi="宋体" w:cs="宋体"/>
                <w:color w:val="auto"/>
                <w:szCs w:val="21"/>
              </w:rPr>
            </w:pPr>
          </w:p>
        </w:tc>
      </w:tr>
      <w:tr w14:paraId="7E52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70E46D27">
            <w:pPr>
              <w:spacing w:line="360" w:lineRule="auto"/>
              <w:jc w:val="center"/>
              <w:outlineLvl w:val="9"/>
              <w:rPr>
                <w:rFonts w:ascii="宋体" w:hAnsi="宋体" w:cs="宋体"/>
                <w:color w:val="auto"/>
                <w:szCs w:val="21"/>
              </w:rPr>
            </w:pPr>
            <w:r>
              <w:rPr>
                <w:rFonts w:hint="eastAsia" w:ascii="宋体" w:hAnsi="宋体" w:cs="宋体"/>
                <w:color w:val="auto"/>
                <w:szCs w:val="21"/>
              </w:rPr>
              <w:t>发包人名称</w:t>
            </w:r>
          </w:p>
        </w:tc>
        <w:tc>
          <w:tcPr>
            <w:tcW w:w="7007" w:type="dxa"/>
            <w:tcBorders>
              <w:top w:val="outset" w:color="auto" w:sz="6" w:space="0"/>
              <w:left w:val="outset" w:color="auto" w:sz="6" w:space="0"/>
              <w:bottom w:val="outset" w:color="auto" w:sz="6" w:space="0"/>
              <w:right w:val="outset" w:color="auto" w:sz="6" w:space="0"/>
            </w:tcBorders>
            <w:vAlign w:val="center"/>
          </w:tcPr>
          <w:p w14:paraId="0F6CE9C5">
            <w:pPr>
              <w:spacing w:line="360" w:lineRule="auto"/>
              <w:ind w:firstLine="420" w:firstLineChars="200"/>
              <w:jc w:val="center"/>
              <w:outlineLvl w:val="9"/>
              <w:rPr>
                <w:rFonts w:ascii="宋体" w:hAnsi="宋体" w:cs="宋体"/>
                <w:color w:val="auto"/>
                <w:szCs w:val="21"/>
              </w:rPr>
            </w:pPr>
          </w:p>
        </w:tc>
      </w:tr>
      <w:tr w14:paraId="3422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ABBD343">
            <w:pPr>
              <w:spacing w:line="360" w:lineRule="auto"/>
              <w:jc w:val="center"/>
              <w:outlineLvl w:val="9"/>
              <w:rPr>
                <w:rFonts w:ascii="宋体" w:hAnsi="宋体" w:cs="宋体"/>
                <w:color w:val="auto"/>
                <w:szCs w:val="21"/>
              </w:rPr>
            </w:pPr>
            <w:r>
              <w:rPr>
                <w:rFonts w:hint="eastAsia" w:ascii="宋体" w:hAnsi="宋体" w:cs="宋体"/>
                <w:color w:val="auto"/>
                <w:szCs w:val="21"/>
              </w:rPr>
              <w:t>发包人地址</w:t>
            </w:r>
          </w:p>
        </w:tc>
        <w:tc>
          <w:tcPr>
            <w:tcW w:w="7007" w:type="dxa"/>
            <w:tcBorders>
              <w:top w:val="outset" w:color="auto" w:sz="6" w:space="0"/>
              <w:left w:val="outset" w:color="auto" w:sz="6" w:space="0"/>
              <w:bottom w:val="outset" w:color="auto" w:sz="6" w:space="0"/>
              <w:right w:val="outset" w:color="auto" w:sz="6" w:space="0"/>
            </w:tcBorders>
            <w:vAlign w:val="center"/>
          </w:tcPr>
          <w:p w14:paraId="3BFFECB4">
            <w:pPr>
              <w:spacing w:line="360" w:lineRule="auto"/>
              <w:ind w:firstLine="420" w:firstLineChars="200"/>
              <w:jc w:val="center"/>
              <w:outlineLvl w:val="9"/>
              <w:rPr>
                <w:rFonts w:ascii="宋体" w:hAnsi="宋体" w:cs="宋体"/>
                <w:color w:val="auto"/>
                <w:szCs w:val="21"/>
              </w:rPr>
            </w:pPr>
          </w:p>
        </w:tc>
      </w:tr>
      <w:tr w14:paraId="1340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879116A">
            <w:pPr>
              <w:spacing w:line="360" w:lineRule="auto"/>
              <w:jc w:val="center"/>
              <w:outlineLvl w:val="9"/>
              <w:rPr>
                <w:rFonts w:ascii="宋体" w:hAnsi="宋体" w:cs="宋体"/>
                <w:color w:val="auto"/>
                <w:szCs w:val="21"/>
              </w:rPr>
            </w:pPr>
            <w:r>
              <w:rPr>
                <w:rFonts w:hint="eastAsia" w:ascii="宋体" w:hAnsi="宋体" w:cs="宋体"/>
                <w:color w:val="auto"/>
                <w:szCs w:val="21"/>
              </w:rPr>
              <w:t>发包人电话</w:t>
            </w:r>
          </w:p>
        </w:tc>
        <w:tc>
          <w:tcPr>
            <w:tcW w:w="7007" w:type="dxa"/>
            <w:tcBorders>
              <w:top w:val="outset" w:color="auto" w:sz="6" w:space="0"/>
              <w:left w:val="outset" w:color="auto" w:sz="6" w:space="0"/>
              <w:bottom w:val="outset" w:color="auto" w:sz="6" w:space="0"/>
              <w:right w:val="outset" w:color="auto" w:sz="6" w:space="0"/>
            </w:tcBorders>
            <w:vAlign w:val="center"/>
          </w:tcPr>
          <w:p w14:paraId="35848AFC">
            <w:pPr>
              <w:spacing w:line="360" w:lineRule="auto"/>
              <w:ind w:firstLine="420" w:firstLineChars="200"/>
              <w:jc w:val="center"/>
              <w:outlineLvl w:val="9"/>
              <w:rPr>
                <w:rFonts w:ascii="宋体" w:hAnsi="宋体" w:cs="宋体"/>
                <w:color w:val="auto"/>
                <w:szCs w:val="21"/>
              </w:rPr>
            </w:pPr>
          </w:p>
        </w:tc>
      </w:tr>
      <w:tr w14:paraId="5DE1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012B9BEF">
            <w:pPr>
              <w:spacing w:line="360" w:lineRule="auto"/>
              <w:jc w:val="center"/>
              <w:outlineLvl w:val="9"/>
              <w:rPr>
                <w:rFonts w:ascii="宋体" w:hAnsi="宋体" w:cs="宋体"/>
                <w:color w:val="auto"/>
                <w:szCs w:val="21"/>
              </w:rPr>
            </w:pPr>
            <w:r>
              <w:rPr>
                <w:rFonts w:hint="eastAsia" w:ascii="宋体" w:hAnsi="宋体" w:cs="宋体"/>
                <w:color w:val="auto"/>
                <w:szCs w:val="21"/>
              </w:rPr>
              <w:t>合同价格（如有）</w:t>
            </w:r>
          </w:p>
        </w:tc>
        <w:tc>
          <w:tcPr>
            <w:tcW w:w="7007" w:type="dxa"/>
            <w:tcBorders>
              <w:top w:val="outset" w:color="auto" w:sz="6" w:space="0"/>
              <w:left w:val="outset" w:color="auto" w:sz="6" w:space="0"/>
              <w:bottom w:val="outset" w:color="auto" w:sz="6" w:space="0"/>
              <w:right w:val="outset" w:color="auto" w:sz="6" w:space="0"/>
            </w:tcBorders>
            <w:vAlign w:val="center"/>
          </w:tcPr>
          <w:p w14:paraId="043D8CEB">
            <w:pPr>
              <w:spacing w:line="360" w:lineRule="auto"/>
              <w:ind w:firstLine="420" w:firstLineChars="200"/>
              <w:jc w:val="center"/>
              <w:outlineLvl w:val="9"/>
              <w:rPr>
                <w:rFonts w:ascii="宋体" w:hAnsi="宋体" w:cs="宋体"/>
                <w:color w:val="auto"/>
                <w:szCs w:val="21"/>
              </w:rPr>
            </w:pPr>
          </w:p>
        </w:tc>
      </w:tr>
      <w:tr w14:paraId="5ECA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B56EAE1">
            <w:pPr>
              <w:spacing w:line="360" w:lineRule="auto"/>
              <w:jc w:val="center"/>
              <w:outlineLvl w:val="9"/>
              <w:rPr>
                <w:rFonts w:ascii="宋体" w:hAnsi="宋体" w:cs="宋体"/>
                <w:color w:val="auto"/>
                <w:szCs w:val="21"/>
              </w:rPr>
            </w:pPr>
            <w:r>
              <w:rPr>
                <w:rFonts w:hint="eastAsia" w:ascii="宋体" w:hAnsi="宋体" w:cs="宋体"/>
                <w:color w:val="auto"/>
                <w:szCs w:val="21"/>
              </w:rPr>
              <w:t>合同期限</w:t>
            </w:r>
          </w:p>
        </w:tc>
        <w:tc>
          <w:tcPr>
            <w:tcW w:w="7007" w:type="dxa"/>
            <w:tcBorders>
              <w:top w:val="outset" w:color="auto" w:sz="6" w:space="0"/>
              <w:left w:val="outset" w:color="auto" w:sz="6" w:space="0"/>
              <w:bottom w:val="outset" w:color="auto" w:sz="6" w:space="0"/>
              <w:right w:val="outset" w:color="auto" w:sz="6" w:space="0"/>
            </w:tcBorders>
            <w:vAlign w:val="center"/>
          </w:tcPr>
          <w:p w14:paraId="75530D64">
            <w:pPr>
              <w:spacing w:line="360" w:lineRule="auto"/>
              <w:ind w:firstLine="420" w:firstLineChars="200"/>
              <w:jc w:val="center"/>
              <w:outlineLvl w:val="9"/>
              <w:rPr>
                <w:rFonts w:ascii="宋体" w:hAnsi="宋体" w:cs="宋体"/>
                <w:color w:val="auto"/>
                <w:szCs w:val="21"/>
              </w:rPr>
            </w:pPr>
          </w:p>
        </w:tc>
      </w:tr>
      <w:tr w14:paraId="7194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43F806AE">
            <w:pPr>
              <w:spacing w:line="360" w:lineRule="auto"/>
              <w:jc w:val="center"/>
              <w:outlineLvl w:val="9"/>
              <w:rPr>
                <w:rFonts w:ascii="宋体" w:hAnsi="宋体" w:cs="宋体"/>
                <w:color w:val="auto"/>
                <w:szCs w:val="21"/>
              </w:rPr>
            </w:pPr>
            <w:r>
              <w:rPr>
                <w:rFonts w:hint="eastAsia" w:ascii="宋体" w:hAnsi="宋体" w:cs="宋体"/>
                <w:color w:val="auto"/>
                <w:szCs w:val="21"/>
              </w:rPr>
              <w:t>承担的工作</w:t>
            </w:r>
          </w:p>
        </w:tc>
        <w:tc>
          <w:tcPr>
            <w:tcW w:w="7007" w:type="dxa"/>
            <w:tcBorders>
              <w:top w:val="outset" w:color="auto" w:sz="6" w:space="0"/>
              <w:left w:val="outset" w:color="auto" w:sz="6" w:space="0"/>
              <w:bottom w:val="outset" w:color="auto" w:sz="6" w:space="0"/>
              <w:right w:val="outset" w:color="auto" w:sz="6" w:space="0"/>
            </w:tcBorders>
            <w:vAlign w:val="center"/>
          </w:tcPr>
          <w:p w14:paraId="2EDFD58B">
            <w:pPr>
              <w:spacing w:line="360" w:lineRule="auto"/>
              <w:ind w:firstLine="420" w:firstLineChars="200"/>
              <w:jc w:val="center"/>
              <w:outlineLvl w:val="9"/>
              <w:rPr>
                <w:rFonts w:ascii="宋体" w:hAnsi="宋体" w:cs="宋体"/>
                <w:color w:val="auto"/>
                <w:szCs w:val="21"/>
              </w:rPr>
            </w:pPr>
          </w:p>
        </w:tc>
      </w:tr>
      <w:tr w14:paraId="4A5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797FD17B">
            <w:pPr>
              <w:spacing w:line="360" w:lineRule="auto"/>
              <w:jc w:val="center"/>
              <w:outlineLvl w:val="9"/>
              <w:rPr>
                <w:rFonts w:ascii="宋体" w:hAnsi="宋体" w:cs="宋体"/>
                <w:color w:val="auto"/>
                <w:szCs w:val="21"/>
              </w:rPr>
            </w:pPr>
            <w:r>
              <w:rPr>
                <w:rFonts w:hint="eastAsia" w:ascii="宋体" w:hAnsi="宋体" w:cs="宋体"/>
                <w:color w:val="auto"/>
                <w:szCs w:val="21"/>
              </w:rPr>
              <w:t>项目描述</w:t>
            </w:r>
          </w:p>
        </w:tc>
        <w:tc>
          <w:tcPr>
            <w:tcW w:w="7007" w:type="dxa"/>
            <w:tcBorders>
              <w:top w:val="outset" w:color="auto" w:sz="6" w:space="0"/>
              <w:left w:val="outset" w:color="auto" w:sz="6" w:space="0"/>
              <w:bottom w:val="outset" w:color="auto" w:sz="6" w:space="0"/>
              <w:right w:val="outset" w:color="auto" w:sz="6" w:space="0"/>
            </w:tcBorders>
            <w:vAlign w:val="center"/>
          </w:tcPr>
          <w:p w14:paraId="1363CDC7">
            <w:pPr>
              <w:spacing w:line="360" w:lineRule="auto"/>
              <w:ind w:firstLine="420" w:firstLineChars="200"/>
              <w:jc w:val="center"/>
              <w:outlineLvl w:val="9"/>
              <w:rPr>
                <w:rFonts w:ascii="宋体" w:hAnsi="宋体" w:cs="宋体"/>
                <w:color w:val="auto"/>
                <w:szCs w:val="21"/>
              </w:rPr>
            </w:pPr>
          </w:p>
        </w:tc>
      </w:tr>
      <w:tr w14:paraId="061E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4A63B79D">
            <w:pPr>
              <w:spacing w:line="360" w:lineRule="auto"/>
              <w:jc w:val="center"/>
              <w:outlineLvl w:val="9"/>
              <w:rPr>
                <w:rFonts w:ascii="宋体" w:hAnsi="宋体" w:cs="宋体"/>
                <w:color w:val="auto"/>
                <w:szCs w:val="21"/>
              </w:rPr>
            </w:pPr>
            <w:r>
              <w:rPr>
                <w:rFonts w:hint="eastAsia" w:ascii="宋体" w:hAnsi="宋体" w:cs="宋体"/>
                <w:color w:val="auto"/>
                <w:szCs w:val="21"/>
              </w:rPr>
              <w:t>备注</w:t>
            </w:r>
          </w:p>
        </w:tc>
        <w:tc>
          <w:tcPr>
            <w:tcW w:w="7007" w:type="dxa"/>
            <w:tcBorders>
              <w:top w:val="outset" w:color="auto" w:sz="6" w:space="0"/>
              <w:left w:val="outset" w:color="auto" w:sz="6" w:space="0"/>
              <w:bottom w:val="outset" w:color="auto" w:sz="6" w:space="0"/>
              <w:right w:val="outset" w:color="auto" w:sz="6" w:space="0"/>
            </w:tcBorders>
            <w:vAlign w:val="center"/>
          </w:tcPr>
          <w:p w14:paraId="274B3BBF">
            <w:pPr>
              <w:spacing w:line="360" w:lineRule="auto"/>
              <w:ind w:firstLine="420" w:firstLineChars="200"/>
              <w:jc w:val="center"/>
              <w:outlineLvl w:val="9"/>
              <w:rPr>
                <w:rFonts w:ascii="宋体" w:hAnsi="宋体" w:cs="宋体"/>
                <w:color w:val="auto"/>
                <w:szCs w:val="21"/>
              </w:rPr>
            </w:pPr>
          </w:p>
        </w:tc>
      </w:tr>
    </w:tbl>
    <w:p w14:paraId="2574B0B6">
      <w:pPr>
        <w:outlineLvl w:val="9"/>
        <w:rPr>
          <w:rFonts w:ascii="宋体" w:hAnsi="宋体" w:cs="宋体"/>
          <w:color w:val="auto"/>
        </w:rPr>
      </w:pPr>
    </w:p>
    <w:p w14:paraId="41598C37">
      <w:pPr>
        <w:widowControl/>
        <w:jc w:val="left"/>
        <w:outlineLvl w:val="9"/>
        <w:rPr>
          <w:rFonts w:ascii="宋体" w:hAnsi="宋体" w:cs="宋体"/>
          <w:b/>
          <w:color w:val="auto"/>
          <w:spacing w:val="1"/>
          <w:w w:val="99"/>
          <w:sz w:val="28"/>
          <w:szCs w:val="22"/>
        </w:rPr>
      </w:pPr>
      <w:r>
        <w:rPr>
          <w:rFonts w:hint="eastAsia" w:ascii="宋体" w:hAnsi="宋体" w:cs="宋体"/>
          <w:color w:val="auto"/>
          <w:szCs w:val="22"/>
        </w:rPr>
        <w:br w:type="page"/>
      </w:r>
    </w:p>
    <w:bookmarkEnd w:id="654"/>
    <w:bookmarkEnd w:id="655"/>
    <w:bookmarkEnd w:id="660"/>
    <w:bookmarkEnd w:id="661"/>
    <w:bookmarkEnd w:id="662"/>
    <w:p w14:paraId="3D762E85">
      <w:pPr>
        <w:jc w:val="center"/>
        <w:outlineLvl w:val="9"/>
        <w:rPr>
          <w:rFonts w:ascii="宋体" w:hAnsi="宋体" w:eastAsia="宋体" w:cs="宋体"/>
          <w:color w:val="auto"/>
          <w:szCs w:val="22"/>
        </w:rPr>
      </w:pPr>
      <w:bookmarkStart w:id="663" w:name="_Toc30322"/>
      <w:bookmarkStart w:id="664" w:name="_Toc10241"/>
      <w:bookmarkStart w:id="665" w:name="_Toc9368"/>
      <w:bookmarkStart w:id="666" w:name="_Toc8568"/>
      <w:bookmarkStart w:id="667" w:name="_Toc20230"/>
      <w:r>
        <w:rPr>
          <w:rFonts w:hint="eastAsia" w:ascii="宋体" w:hAnsi="宋体" w:eastAsia="宋体" w:cs="宋体"/>
          <w:color w:val="auto"/>
          <w:szCs w:val="22"/>
          <w:lang w:val="en-US" w:eastAsia="zh-CN"/>
        </w:rPr>
        <w:t>六</w:t>
      </w:r>
      <w:r>
        <w:rPr>
          <w:rFonts w:hint="eastAsia" w:ascii="宋体" w:hAnsi="宋体" w:eastAsia="宋体" w:cs="宋体"/>
          <w:color w:val="auto"/>
          <w:szCs w:val="22"/>
        </w:rPr>
        <w:t>、</w:t>
      </w:r>
      <w:bookmarkEnd w:id="663"/>
      <w:r>
        <w:rPr>
          <w:rFonts w:hint="eastAsia" w:ascii="宋体" w:hAnsi="宋体" w:eastAsia="宋体" w:cs="宋体"/>
          <w:color w:val="auto"/>
          <w:szCs w:val="22"/>
        </w:rPr>
        <w:t>承诺</w:t>
      </w:r>
      <w:bookmarkEnd w:id="664"/>
      <w:bookmarkEnd w:id="665"/>
      <w:bookmarkEnd w:id="666"/>
      <w:bookmarkEnd w:id="667"/>
    </w:p>
    <w:p w14:paraId="36B9408E">
      <w:pPr>
        <w:snapToGrid w:val="0"/>
        <w:spacing w:line="500" w:lineRule="exact"/>
        <w:outlineLvl w:val="9"/>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14:paraId="4D2BE020">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（竞选人名称）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14:paraId="6DF4A519">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1.我公司竞选截止日不存在下列情形之一：</w:t>
      </w:r>
    </w:p>
    <w:p w14:paraId="4A436974">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⑴被人民法院列入失信被执行人名单且在被执行期内；</w:t>
      </w:r>
    </w:p>
    <w:p w14:paraId="166BE529">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⑵被国家、重庆市（含市或任意区县）有关行政部门处以暂停投标资格行政处罚，且在处罚期限内；</w:t>
      </w:r>
    </w:p>
    <w:p w14:paraId="26BE79E8">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2.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697228AD">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3.我公司不存在第二章竞选人须知第 1.4.3 项规定的任何一种情形。</w:t>
      </w:r>
    </w:p>
    <w:p w14:paraId="7F268A6C">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4.我公司的竞选文件符合第二章竞选人须知第 1.3.1项的规定。</w:t>
      </w:r>
    </w:p>
    <w:p w14:paraId="2847383F">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5.我公司的竞选文件符合第四章合同条款及格式规定，竞选文件中没有比选人不能接受的条件。</w:t>
      </w:r>
    </w:p>
    <w:p w14:paraId="56D4919A">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6.我公司的竞选文件满足第二章竞选人须知全部要求，竞选文件中没有比选人不能接受的条件。</w:t>
      </w:r>
    </w:p>
    <w:p w14:paraId="74853E29">
      <w:pPr>
        <w:snapToGrid w:val="0"/>
        <w:spacing w:line="500" w:lineRule="exact"/>
        <w:ind w:firstLine="420" w:firstLineChars="200"/>
        <w:outlineLvl w:val="9"/>
        <w:rPr>
          <w:rFonts w:ascii="宋体" w:hAnsi="宋体" w:cs="宋体"/>
          <w:color w:val="auto"/>
          <w:szCs w:val="21"/>
        </w:rPr>
      </w:pPr>
      <w:r>
        <w:rPr>
          <w:rFonts w:hint="eastAsia" w:ascii="宋体" w:hAnsi="宋体" w:cs="宋体"/>
          <w:color w:val="auto"/>
          <w:szCs w:val="21"/>
        </w:rPr>
        <w:t>7.我公司的竞选文件件符合第</w:t>
      </w:r>
      <w:r>
        <w:rPr>
          <w:rFonts w:hint="eastAsia" w:ascii="宋体" w:hAnsi="宋体" w:cs="宋体"/>
          <w:color w:val="auto"/>
          <w:szCs w:val="21"/>
          <w:lang w:val="en-US" w:eastAsia="zh-CN"/>
        </w:rPr>
        <w:t>七</w:t>
      </w:r>
      <w:r>
        <w:rPr>
          <w:rFonts w:hint="eastAsia" w:ascii="宋体" w:hAnsi="宋体" w:cs="宋体"/>
          <w:color w:val="auto"/>
          <w:szCs w:val="21"/>
        </w:rPr>
        <w:t>章 技术标准和要求。</w:t>
      </w:r>
    </w:p>
    <w:p w14:paraId="062AA2DB">
      <w:pPr>
        <w:adjustRightInd w:val="0"/>
        <w:snapToGrid w:val="0"/>
        <w:spacing w:line="480" w:lineRule="auto"/>
        <w:ind w:firstLine="420"/>
        <w:jc w:val="center"/>
        <w:outlineLvl w:val="9"/>
        <w:rPr>
          <w:rFonts w:ascii="宋体" w:hAnsi="宋体" w:cs="宋体"/>
          <w:color w:val="auto"/>
          <w:szCs w:val="21"/>
        </w:rPr>
      </w:pPr>
      <w:r>
        <w:rPr>
          <w:rFonts w:hint="eastAsia" w:ascii="宋体" w:hAnsi="宋体" w:cs="宋体"/>
          <w:color w:val="auto"/>
          <w:szCs w:val="21"/>
        </w:rPr>
        <w:t xml:space="preserve">                               </w:t>
      </w:r>
    </w:p>
    <w:p w14:paraId="2CB18D50">
      <w:pPr>
        <w:adjustRightInd w:val="0"/>
        <w:snapToGrid w:val="0"/>
        <w:spacing w:line="480" w:lineRule="auto"/>
        <w:ind w:firstLine="420"/>
        <w:jc w:val="center"/>
        <w:outlineLvl w:val="9"/>
        <w:rPr>
          <w:rFonts w:ascii="宋体" w:hAnsi="宋体" w:cs="宋体"/>
          <w:color w:val="auto"/>
          <w:szCs w:val="21"/>
        </w:rPr>
      </w:pPr>
    </w:p>
    <w:p w14:paraId="1BF879BC">
      <w:pPr>
        <w:adjustRightInd w:val="0"/>
        <w:snapToGrid w:val="0"/>
        <w:spacing w:line="480" w:lineRule="auto"/>
        <w:ind w:firstLine="420"/>
        <w:jc w:val="right"/>
        <w:outlineLvl w:val="9"/>
        <w:rPr>
          <w:rFonts w:ascii="宋体" w:hAnsi="宋体" w:cs="宋体"/>
          <w:color w:val="auto"/>
          <w:szCs w:val="21"/>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08A08045">
      <w:pPr>
        <w:adjustRightInd w:val="0"/>
        <w:snapToGrid w:val="0"/>
        <w:spacing w:line="480" w:lineRule="auto"/>
        <w:ind w:firstLine="420"/>
        <w:jc w:val="center"/>
        <w:outlineLvl w:val="9"/>
        <w:rPr>
          <w:rFonts w:ascii="宋体" w:hAnsi="宋体" w:cs="宋体"/>
          <w:color w:val="auto"/>
          <w:szCs w:val="21"/>
        </w:rPr>
      </w:pPr>
      <w:r>
        <w:rPr>
          <w:rFonts w:hint="eastAsia" w:ascii="宋体" w:hAnsi="宋体" w:cs="宋体"/>
          <w:color w:val="auto"/>
          <w:szCs w:val="21"/>
        </w:rPr>
        <w:t xml:space="preserve">                          日 期：    年   月  日</w:t>
      </w:r>
    </w:p>
    <w:p w14:paraId="6323BB64">
      <w:pPr>
        <w:numPr>
          <w:ilvl w:val="0"/>
          <w:numId w:val="0"/>
        </w:numPr>
        <w:jc w:val="center"/>
        <w:outlineLvl w:val="9"/>
        <w:rPr>
          <w:rFonts w:ascii="宋体" w:hAnsi="宋体" w:eastAsia="宋体" w:cs="宋体"/>
          <w:color w:val="auto"/>
          <w:szCs w:val="22"/>
        </w:rPr>
      </w:pPr>
      <w:r>
        <w:rPr>
          <w:rFonts w:hint="eastAsia" w:ascii="宋体" w:hAnsi="宋体" w:eastAsia="宋体" w:cs="宋体"/>
          <w:color w:val="auto"/>
          <w:szCs w:val="21"/>
        </w:rPr>
        <w:br w:type="page"/>
      </w:r>
      <w:bookmarkEnd w:id="648"/>
      <w:bookmarkStart w:id="668" w:name="_bookmark173"/>
      <w:bookmarkEnd w:id="668"/>
      <w:bookmarkStart w:id="669" w:name="_Toc9055"/>
      <w:bookmarkStart w:id="670" w:name="_Toc22880"/>
      <w:bookmarkStart w:id="671" w:name="_Toc31267"/>
      <w:bookmarkStart w:id="672" w:name="_Toc23927"/>
      <w:bookmarkStart w:id="673" w:name="_Toc10675"/>
      <w:bookmarkStart w:id="674" w:name="_Toc1725787"/>
      <w:bookmarkStart w:id="675" w:name="_Toc1725865"/>
      <w:bookmarkStart w:id="676" w:name="_Toc9169"/>
      <w:bookmarkStart w:id="677" w:name="_Toc2758"/>
      <w:bookmarkStart w:id="678" w:name="_Toc22364"/>
      <w:bookmarkStart w:id="679" w:name="_Toc2955727"/>
      <w:r>
        <w:rPr>
          <w:rFonts w:hint="eastAsia" w:ascii="宋体" w:hAnsi="宋体" w:eastAsia="宋体" w:cs="宋体"/>
          <w:color w:val="auto"/>
          <w:szCs w:val="21"/>
          <w:lang w:val="en-US" w:eastAsia="zh-CN"/>
        </w:rPr>
        <w:t>七、</w:t>
      </w:r>
      <w:r>
        <w:rPr>
          <w:rFonts w:hint="eastAsia" w:ascii="宋体" w:hAnsi="宋体" w:eastAsia="宋体" w:cs="宋体"/>
          <w:color w:val="auto"/>
          <w:szCs w:val="22"/>
          <w:lang w:val="en-US" w:eastAsia="zh-CN"/>
        </w:rPr>
        <w:t>技术部分</w:t>
      </w:r>
      <w:bookmarkEnd w:id="669"/>
      <w:bookmarkEnd w:id="670"/>
      <w:bookmarkEnd w:id="671"/>
      <w:bookmarkEnd w:id="672"/>
    </w:p>
    <w:p w14:paraId="1D8F68A7">
      <w:pPr>
        <w:pStyle w:val="156"/>
        <w:adjustRightInd w:val="0"/>
        <w:snapToGrid w:val="0"/>
        <w:spacing w:line="360" w:lineRule="auto"/>
        <w:jc w:val="center"/>
        <w:outlineLvl w:val="9"/>
        <w:rPr>
          <w:rFonts w:ascii="宋体" w:hAnsi="宋体" w:cs="宋体"/>
          <w:color w:val="auto"/>
        </w:rPr>
      </w:pPr>
      <w:r>
        <w:rPr>
          <w:rFonts w:hint="eastAsia" w:ascii="宋体" w:hAnsi="宋体" w:cs="宋体"/>
          <w:color w:val="auto"/>
        </w:rPr>
        <w:t>竞选人自行编制，格式自拟</w:t>
      </w:r>
      <w:r>
        <w:rPr>
          <w:rFonts w:hint="eastAsia" w:ascii="宋体" w:hAnsi="宋体" w:cs="宋体"/>
          <w:snapToGrid w:val="0"/>
          <w:color w:val="auto"/>
        </w:rPr>
        <w:t>，</w:t>
      </w:r>
      <w:r>
        <w:rPr>
          <w:rFonts w:hint="eastAsia" w:ascii="宋体" w:hAnsi="宋体" w:cs="宋体"/>
          <w:snapToGrid w:val="0"/>
          <w:color w:val="auto"/>
          <w:lang w:val="en-US" w:eastAsia="zh-CN"/>
        </w:rPr>
        <w:t>原则上</w:t>
      </w:r>
      <w:r>
        <w:rPr>
          <w:rFonts w:hint="eastAsia" w:ascii="宋体" w:hAnsi="宋体" w:cs="宋体"/>
          <w:snapToGrid w:val="0"/>
          <w:color w:val="auto"/>
        </w:rPr>
        <w:t>不超过200页。</w:t>
      </w:r>
    </w:p>
    <w:p w14:paraId="7500E61C">
      <w:pPr>
        <w:widowControl/>
        <w:jc w:val="left"/>
        <w:outlineLvl w:val="9"/>
        <w:rPr>
          <w:rFonts w:ascii="宋体" w:hAnsi="宋体" w:cs="宋体"/>
          <w:b/>
          <w:color w:val="auto"/>
          <w:spacing w:val="1"/>
          <w:w w:val="99"/>
          <w:sz w:val="28"/>
          <w:szCs w:val="22"/>
        </w:rPr>
      </w:pPr>
      <w:r>
        <w:rPr>
          <w:rFonts w:hint="eastAsia" w:ascii="宋体" w:hAnsi="宋体" w:cs="宋体"/>
          <w:color w:val="auto"/>
          <w:szCs w:val="22"/>
        </w:rPr>
        <w:br w:type="page"/>
      </w:r>
    </w:p>
    <w:p w14:paraId="7F8CD87E">
      <w:pPr>
        <w:jc w:val="center"/>
        <w:outlineLvl w:val="9"/>
        <w:rPr>
          <w:rFonts w:ascii="宋体" w:hAnsi="宋体" w:eastAsia="宋体" w:cs="宋体"/>
          <w:color w:val="auto"/>
          <w:szCs w:val="22"/>
        </w:rPr>
      </w:pPr>
      <w:bookmarkStart w:id="680" w:name="_Toc7201"/>
      <w:bookmarkStart w:id="681" w:name="_Toc20681"/>
      <w:bookmarkStart w:id="682" w:name="_Toc17639"/>
      <w:bookmarkStart w:id="683" w:name="_Toc22417"/>
      <w:r>
        <w:rPr>
          <w:rFonts w:hint="eastAsia" w:ascii="宋体" w:hAnsi="宋体" w:eastAsia="宋体" w:cs="宋体"/>
          <w:color w:val="auto"/>
          <w:szCs w:val="22"/>
          <w:lang w:val="en-US" w:eastAsia="zh-CN"/>
        </w:rPr>
        <w:t>八</w:t>
      </w:r>
      <w:r>
        <w:rPr>
          <w:rFonts w:hint="eastAsia" w:ascii="宋体" w:hAnsi="宋体" w:eastAsia="宋体" w:cs="宋体"/>
          <w:color w:val="auto"/>
          <w:szCs w:val="22"/>
        </w:rPr>
        <w:t>、其他资料</w:t>
      </w:r>
      <w:bookmarkEnd w:id="673"/>
      <w:bookmarkEnd w:id="674"/>
      <w:bookmarkEnd w:id="675"/>
      <w:bookmarkEnd w:id="676"/>
      <w:bookmarkEnd w:id="677"/>
      <w:bookmarkEnd w:id="678"/>
      <w:bookmarkEnd w:id="679"/>
      <w:bookmarkEnd w:id="680"/>
      <w:bookmarkEnd w:id="681"/>
      <w:bookmarkEnd w:id="682"/>
      <w:bookmarkEnd w:id="683"/>
    </w:p>
    <w:p w14:paraId="70D76179">
      <w:pPr>
        <w:pStyle w:val="156"/>
        <w:adjustRightInd w:val="0"/>
        <w:snapToGrid w:val="0"/>
        <w:spacing w:line="360" w:lineRule="auto"/>
        <w:jc w:val="center"/>
        <w:outlineLvl w:val="9"/>
        <w:rPr>
          <w:rFonts w:ascii="宋体" w:hAnsi="宋体" w:cs="宋体"/>
          <w:color w:val="auto"/>
        </w:rPr>
      </w:pPr>
      <w:r>
        <w:rPr>
          <w:rFonts w:hint="eastAsia" w:ascii="宋体" w:hAnsi="宋体" w:cs="宋体"/>
          <w:color w:val="auto"/>
        </w:rPr>
        <w:t>竞选人认为有必要提供的其他资料，格式自拟</w:t>
      </w:r>
    </w:p>
    <w:p w14:paraId="7DA8F0EC">
      <w:pPr>
        <w:spacing w:line="360" w:lineRule="auto"/>
        <w:ind w:firstLine="420" w:firstLineChars="200"/>
        <w:outlineLvl w:val="9"/>
        <w:rPr>
          <w:rFonts w:hint="eastAsia" w:ascii="宋体" w:hAnsi="宋体" w:eastAsia="宋体" w:cs="宋体"/>
          <w:color w:val="auto"/>
          <w:szCs w:val="21"/>
          <w:lang w:val="en-US" w:eastAsia="zh-CN"/>
        </w:rPr>
      </w:pPr>
    </w:p>
    <w:p w14:paraId="5FD49B03">
      <w:pPr>
        <w:spacing w:line="360" w:lineRule="auto"/>
        <w:ind w:firstLine="420" w:firstLineChars="200"/>
        <w:outlineLvl w:val="9"/>
        <w:rPr>
          <w:rFonts w:hint="eastAsia" w:ascii="宋体" w:hAnsi="宋体" w:eastAsia="宋体" w:cs="宋体"/>
          <w:color w:val="auto"/>
          <w:szCs w:val="21"/>
          <w:lang w:val="en-US" w:eastAsia="zh-CN"/>
        </w:rPr>
      </w:pPr>
    </w:p>
    <w:p w14:paraId="39163418">
      <w:pPr>
        <w:spacing w:line="360" w:lineRule="auto"/>
        <w:ind w:firstLine="420" w:firstLineChars="200"/>
        <w:outlineLvl w:val="9"/>
        <w:rPr>
          <w:rFonts w:hint="eastAsia" w:ascii="宋体" w:hAnsi="宋体" w:eastAsia="宋体" w:cs="宋体"/>
          <w:color w:val="auto"/>
          <w:szCs w:val="21"/>
          <w:lang w:val="en-US" w:eastAsia="zh-CN"/>
        </w:rPr>
      </w:pPr>
    </w:p>
    <w:p w14:paraId="006AB57E">
      <w:pPr>
        <w:spacing w:line="360" w:lineRule="auto"/>
        <w:ind w:firstLine="420" w:firstLineChars="200"/>
        <w:outlineLvl w:val="9"/>
        <w:rPr>
          <w:rFonts w:hint="eastAsia" w:ascii="宋体" w:hAnsi="宋体" w:eastAsia="宋体" w:cs="宋体"/>
          <w:color w:val="auto"/>
          <w:szCs w:val="21"/>
          <w:lang w:val="en-US" w:eastAsia="zh-CN"/>
        </w:rPr>
      </w:pPr>
    </w:p>
    <w:p w14:paraId="0D03ECB8">
      <w:pPr>
        <w:spacing w:line="360" w:lineRule="auto"/>
        <w:ind w:firstLine="420" w:firstLineChars="200"/>
        <w:outlineLvl w:val="9"/>
        <w:rPr>
          <w:rFonts w:hint="eastAsia" w:ascii="宋体" w:hAnsi="宋体" w:eastAsia="宋体" w:cs="宋体"/>
          <w:color w:val="auto"/>
          <w:szCs w:val="21"/>
          <w:lang w:val="en-US" w:eastAsia="zh-CN"/>
        </w:rPr>
      </w:pPr>
    </w:p>
    <w:p w14:paraId="4E385C38">
      <w:pPr>
        <w:spacing w:line="360" w:lineRule="auto"/>
        <w:ind w:firstLine="420" w:firstLineChars="200"/>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sectPr>
      <w:pgSz w:w="11906" w:h="16838"/>
      <w:pgMar w:top="1247" w:right="1134" w:bottom="1247"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824E">
    <w:pPr>
      <w:pStyle w:val="35"/>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8986A2F">
                          <w:pPr>
                            <w:pStyle w:val="35"/>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68986A2F">
                    <w:pPr>
                      <w:pStyle w:val="35"/>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AC9EAF8">
                          <w:pPr>
                            <w:pStyle w:val="35"/>
                            <w:jc w:val="both"/>
                            <w:rPr>
                              <w:rStyle w:val="54"/>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1AC9EAF8">
                    <w:pPr>
                      <w:pStyle w:val="35"/>
                      <w:jc w:val="both"/>
                      <w:rPr>
                        <w:rStyle w:val="5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16D6">
    <w:pPr>
      <w:pStyle w:val="35"/>
      <w:framePr w:wrap="around" w:vAnchor="text" w:hAnchor="margin" w:xAlign="right" w:y="1"/>
      <w:rPr>
        <w:rStyle w:val="54"/>
      </w:rPr>
    </w:pPr>
    <w:r>
      <w:fldChar w:fldCharType="begin"/>
    </w:r>
    <w:r>
      <w:rPr>
        <w:rStyle w:val="54"/>
      </w:rPr>
      <w:instrText xml:space="preserve">PAGE  </w:instrText>
    </w:r>
    <w:r>
      <w:fldChar w:fldCharType="end"/>
    </w:r>
  </w:p>
  <w:p w14:paraId="0B375D4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E1FE9">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EDB7BEE">
                          <w:pPr>
                            <w:pStyle w:val="3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3EDB7BEE">
                    <w:pPr>
                      <w:pStyle w:val="3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F3937E9">
                          <w:pPr>
                            <w:pStyle w:val="35"/>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3F3937E9">
                    <w:pPr>
                      <w:pStyle w:val="3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E3D2">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C516F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14:paraId="2C516F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6C88">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989F">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6707">
    <w:pPr>
      <w:pStyle w:val="36"/>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7"/>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2ZhZmI4NjY1ZDg1YzA0OThkY2JmMzk1OTM1NDA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0C24"/>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B77BE"/>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74A57"/>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135319"/>
    <w:rsid w:val="01185629"/>
    <w:rsid w:val="013B0DE8"/>
    <w:rsid w:val="01412577"/>
    <w:rsid w:val="014760CF"/>
    <w:rsid w:val="014C17E7"/>
    <w:rsid w:val="014E5F3A"/>
    <w:rsid w:val="014F4893"/>
    <w:rsid w:val="01536D2A"/>
    <w:rsid w:val="01541E5F"/>
    <w:rsid w:val="016C2D4F"/>
    <w:rsid w:val="018E5A0F"/>
    <w:rsid w:val="01A36C84"/>
    <w:rsid w:val="01AC62C2"/>
    <w:rsid w:val="01B72F8E"/>
    <w:rsid w:val="01B8713D"/>
    <w:rsid w:val="01BD7F3C"/>
    <w:rsid w:val="01C30466"/>
    <w:rsid w:val="01DF79C5"/>
    <w:rsid w:val="01EA0118"/>
    <w:rsid w:val="01EC64FE"/>
    <w:rsid w:val="021102C0"/>
    <w:rsid w:val="0224732D"/>
    <w:rsid w:val="022C524D"/>
    <w:rsid w:val="02360F7F"/>
    <w:rsid w:val="023A34E4"/>
    <w:rsid w:val="02451BDB"/>
    <w:rsid w:val="02454C77"/>
    <w:rsid w:val="02455400"/>
    <w:rsid w:val="024F5197"/>
    <w:rsid w:val="02551A35"/>
    <w:rsid w:val="02581525"/>
    <w:rsid w:val="025C1D5F"/>
    <w:rsid w:val="025F3723"/>
    <w:rsid w:val="02620983"/>
    <w:rsid w:val="02745073"/>
    <w:rsid w:val="028B2332"/>
    <w:rsid w:val="028B4851"/>
    <w:rsid w:val="02B477EC"/>
    <w:rsid w:val="02BD74E3"/>
    <w:rsid w:val="02BF2365"/>
    <w:rsid w:val="02D92666"/>
    <w:rsid w:val="02DD4FCB"/>
    <w:rsid w:val="02EF5021"/>
    <w:rsid w:val="02F068B7"/>
    <w:rsid w:val="02F461F7"/>
    <w:rsid w:val="032A6CC6"/>
    <w:rsid w:val="03320E40"/>
    <w:rsid w:val="035D7CC3"/>
    <w:rsid w:val="037E4F76"/>
    <w:rsid w:val="039D37B9"/>
    <w:rsid w:val="03A24FB8"/>
    <w:rsid w:val="03B06E66"/>
    <w:rsid w:val="03CF5817"/>
    <w:rsid w:val="03DD0530"/>
    <w:rsid w:val="03EF2CE9"/>
    <w:rsid w:val="040F3D0C"/>
    <w:rsid w:val="04132B98"/>
    <w:rsid w:val="041D17CF"/>
    <w:rsid w:val="04225728"/>
    <w:rsid w:val="043560BB"/>
    <w:rsid w:val="04494B18"/>
    <w:rsid w:val="044F44C2"/>
    <w:rsid w:val="045C00A3"/>
    <w:rsid w:val="046E6DDE"/>
    <w:rsid w:val="046F57A6"/>
    <w:rsid w:val="04787C5D"/>
    <w:rsid w:val="047D665D"/>
    <w:rsid w:val="048823FD"/>
    <w:rsid w:val="0489702C"/>
    <w:rsid w:val="04962264"/>
    <w:rsid w:val="04972866"/>
    <w:rsid w:val="049F168E"/>
    <w:rsid w:val="04AD6E52"/>
    <w:rsid w:val="04C45F51"/>
    <w:rsid w:val="04DB5070"/>
    <w:rsid w:val="04E00053"/>
    <w:rsid w:val="04E03157"/>
    <w:rsid w:val="04E864D7"/>
    <w:rsid w:val="04F03C97"/>
    <w:rsid w:val="04F97A5F"/>
    <w:rsid w:val="050E411D"/>
    <w:rsid w:val="05173421"/>
    <w:rsid w:val="051871AC"/>
    <w:rsid w:val="0529526E"/>
    <w:rsid w:val="0530521E"/>
    <w:rsid w:val="053D096B"/>
    <w:rsid w:val="058E496B"/>
    <w:rsid w:val="058E77EE"/>
    <w:rsid w:val="059347EB"/>
    <w:rsid w:val="059B3928"/>
    <w:rsid w:val="059B5FCF"/>
    <w:rsid w:val="059E7538"/>
    <w:rsid w:val="05A35969"/>
    <w:rsid w:val="05AB6C9C"/>
    <w:rsid w:val="05B62759"/>
    <w:rsid w:val="05C375FE"/>
    <w:rsid w:val="05ED01D7"/>
    <w:rsid w:val="06064206"/>
    <w:rsid w:val="06115F14"/>
    <w:rsid w:val="06181A7E"/>
    <w:rsid w:val="062563DB"/>
    <w:rsid w:val="062E0F1B"/>
    <w:rsid w:val="063446BA"/>
    <w:rsid w:val="06361B7E"/>
    <w:rsid w:val="066A35A8"/>
    <w:rsid w:val="066E7569"/>
    <w:rsid w:val="066F3954"/>
    <w:rsid w:val="06AE292B"/>
    <w:rsid w:val="06B62CBE"/>
    <w:rsid w:val="06B65CD0"/>
    <w:rsid w:val="06C9729F"/>
    <w:rsid w:val="06CC11DC"/>
    <w:rsid w:val="06CD339A"/>
    <w:rsid w:val="06DB2D93"/>
    <w:rsid w:val="06E53DBD"/>
    <w:rsid w:val="0708176C"/>
    <w:rsid w:val="070B125C"/>
    <w:rsid w:val="071427CE"/>
    <w:rsid w:val="071C366B"/>
    <w:rsid w:val="072A7934"/>
    <w:rsid w:val="07380693"/>
    <w:rsid w:val="07534F71"/>
    <w:rsid w:val="0757624F"/>
    <w:rsid w:val="07640FE3"/>
    <w:rsid w:val="07651C3E"/>
    <w:rsid w:val="0772408F"/>
    <w:rsid w:val="077C1481"/>
    <w:rsid w:val="078738E5"/>
    <w:rsid w:val="07996868"/>
    <w:rsid w:val="07AB20F7"/>
    <w:rsid w:val="07B216D8"/>
    <w:rsid w:val="07C350FC"/>
    <w:rsid w:val="07C5765D"/>
    <w:rsid w:val="07E0038B"/>
    <w:rsid w:val="07E22343"/>
    <w:rsid w:val="07E63290"/>
    <w:rsid w:val="07F0331B"/>
    <w:rsid w:val="07F330AF"/>
    <w:rsid w:val="08144141"/>
    <w:rsid w:val="08180A58"/>
    <w:rsid w:val="082519CD"/>
    <w:rsid w:val="082940FA"/>
    <w:rsid w:val="083815F3"/>
    <w:rsid w:val="08591B53"/>
    <w:rsid w:val="08680D99"/>
    <w:rsid w:val="086D17A6"/>
    <w:rsid w:val="087B01EC"/>
    <w:rsid w:val="08980B81"/>
    <w:rsid w:val="089B22B1"/>
    <w:rsid w:val="08A37219"/>
    <w:rsid w:val="08C71104"/>
    <w:rsid w:val="08D56E73"/>
    <w:rsid w:val="08D60E0C"/>
    <w:rsid w:val="08E27D9B"/>
    <w:rsid w:val="08EE549F"/>
    <w:rsid w:val="08F929D4"/>
    <w:rsid w:val="08F9463F"/>
    <w:rsid w:val="09071E76"/>
    <w:rsid w:val="090919EB"/>
    <w:rsid w:val="090B5646"/>
    <w:rsid w:val="09256231"/>
    <w:rsid w:val="092E3A4F"/>
    <w:rsid w:val="0937247C"/>
    <w:rsid w:val="0941189C"/>
    <w:rsid w:val="09480DFD"/>
    <w:rsid w:val="096E7880"/>
    <w:rsid w:val="0978513B"/>
    <w:rsid w:val="097B235C"/>
    <w:rsid w:val="097E023F"/>
    <w:rsid w:val="098C76F4"/>
    <w:rsid w:val="09905A49"/>
    <w:rsid w:val="09B74D83"/>
    <w:rsid w:val="09C94AB7"/>
    <w:rsid w:val="09DB4584"/>
    <w:rsid w:val="09DE49C3"/>
    <w:rsid w:val="09E608A3"/>
    <w:rsid w:val="09F56C35"/>
    <w:rsid w:val="0A0B5E4F"/>
    <w:rsid w:val="0A202BDB"/>
    <w:rsid w:val="0A312E98"/>
    <w:rsid w:val="0A4970DF"/>
    <w:rsid w:val="0A4A3E4A"/>
    <w:rsid w:val="0A59408D"/>
    <w:rsid w:val="0A643FF9"/>
    <w:rsid w:val="0A71097F"/>
    <w:rsid w:val="0A76322F"/>
    <w:rsid w:val="0A7A37EF"/>
    <w:rsid w:val="0A804025"/>
    <w:rsid w:val="0A817AC5"/>
    <w:rsid w:val="0A9343EC"/>
    <w:rsid w:val="0A947529"/>
    <w:rsid w:val="0A9E23A2"/>
    <w:rsid w:val="0AAA070D"/>
    <w:rsid w:val="0AB03154"/>
    <w:rsid w:val="0AC2744D"/>
    <w:rsid w:val="0AC6595D"/>
    <w:rsid w:val="0ACC1DAE"/>
    <w:rsid w:val="0ACD49DD"/>
    <w:rsid w:val="0ADC601D"/>
    <w:rsid w:val="0B052C79"/>
    <w:rsid w:val="0B154457"/>
    <w:rsid w:val="0B2F2F05"/>
    <w:rsid w:val="0B760218"/>
    <w:rsid w:val="0B814064"/>
    <w:rsid w:val="0B8909A2"/>
    <w:rsid w:val="0B8E5F07"/>
    <w:rsid w:val="0BB71C78"/>
    <w:rsid w:val="0BC344B8"/>
    <w:rsid w:val="0BC36BAC"/>
    <w:rsid w:val="0BC814CA"/>
    <w:rsid w:val="0BCA7E13"/>
    <w:rsid w:val="0BD87233"/>
    <w:rsid w:val="0BDF6813"/>
    <w:rsid w:val="0C0B0A36"/>
    <w:rsid w:val="0C0B5801"/>
    <w:rsid w:val="0C0E5A61"/>
    <w:rsid w:val="0C18189B"/>
    <w:rsid w:val="0C250C89"/>
    <w:rsid w:val="0C322C54"/>
    <w:rsid w:val="0C360B29"/>
    <w:rsid w:val="0C384C2D"/>
    <w:rsid w:val="0C3C45A5"/>
    <w:rsid w:val="0C3D1EB8"/>
    <w:rsid w:val="0C3E5B11"/>
    <w:rsid w:val="0C433C4C"/>
    <w:rsid w:val="0C4A6E3B"/>
    <w:rsid w:val="0C4C20FB"/>
    <w:rsid w:val="0C594918"/>
    <w:rsid w:val="0C5C6470"/>
    <w:rsid w:val="0C624075"/>
    <w:rsid w:val="0C721C12"/>
    <w:rsid w:val="0C932E62"/>
    <w:rsid w:val="0C937D2A"/>
    <w:rsid w:val="0CAA3B17"/>
    <w:rsid w:val="0CCD775F"/>
    <w:rsid w:val="0CCF1C67"/>
    <w:rsid w:val="0CDB0E3A"/>
    <w:rsid w:val="0CEC5B65"/>
    <w:rsid w:val="0CFE2CC9"/>
    <w:rsid w:val="0D33083B"/>
    <w:rsid w:val="0D3A7BF6"/>
    <w:rsid w:val="0D4E1EA3"/>
    <w:rsid w:val="0D5720D6"/>
    <w:rsid w:val="0D943D26"/>
    <w:rsid w:val="0D9D6643"/>
    <w:rsid w:val="0DA4265D"/>
    <w:rsid w:val="0DB02216"/>
    <w:rsid w:val="0DC14423"/>
    <w:rsid w:val="0DDD1D89"/>
    <w:rsid w:val="0DE5766B"/>
    <w:rsid w:val="0E217715"/>
    <w:rsid w:val="0E230543"/>
    <w:rsid w:val="0E262E77"/>
    <w:rsid w:val="0E4E0519"/>
    <w:rsid w:val="0E775145"/>
    <w:rsid w:val="0E7D62A0"/>
    <w:rsid w:val="0E862666"/>
    <w:rsid w:val="0E894029"/>
    <w:rsid w:val="0E9519F4"/>
    <w:rsid w:val="0E970006"/>
    <w:rsid w:val="0EA351E9"/>
    <w:rsid w:val="0EB23591"/>
    <w:rsid w:val="0EC54F95"/>
    <w:rsid w:val="0ED70714"/>
    <w:rsid w:val="0EE15C9A"/>
    <w:rsid w:val="0F121DB0"/>
    <w:rsid w:val="0F2C4AE3"/>
    <w:rsid w:val="0F4916F4"/>
    <w:rsid w:val="0F4D3DD2"/>
    <w:rsid w:val="0F615F71"/>
    <w:rsid w:val="0F62290B"/>
    <w:rsid w:val="0F6C03BE"/>
    <w:rsid w:val="0F716409"/>
    <w:rsid w:val="0F9242C9"/>
    <w:rsid w:val="0F961439"/>
    <w:rsid w:val="0F995909"/>
    <w:rsid w:val="0F9D2C6D"/>
    <w:rsid w:val="0FAC2EB1"/>
    <w:rsid w:val="0FB74BD2"/>
    <w:rsid w:val="0FBD4832"/>
    <w:rsid w:val="0FD20B69"/>
    <w:rsid w:val="0FDE334F"/>
    <w:rsid w:val="0FE73EF4"/>
    <w:rsid w:val="10086C08"/>
    <w:rsid w:val="100A4622"/>
    <w:rsid w:val="100B407B"/>
    <w:rsid w:val="101747CE"/>
    <w:rsid w:val="101C4C40"/>
    <w:rsid w:val="10216D79"/>
    <w:rsid w:val="10323DD1"/>
    <w:rsid w:val="10331D1F"/>
    <w:rsid w:val="10362ED7"/>
    <w:rsid w:val="103A7EF0"/>
    <w:rsid w:val="10456598"/>
    <w:rsid w:val="104E1DDF"/>
    <w:rsid w:val="10AC2212"/>
    <w:rsid w:val="10AD1CE9"/>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311A88"/>
    <w:rsid w:val="113B087D"/>
    <w:rsid w:val="1142587A"/>
    <w:rsid w:val="115B32C4"/>
    <w:rsid w:val="116021A5"/>
    <w:rsid w:val="1173012A"/>
    <w:rsid w:val="11760EA5"/>
    <w:rsid w:val="117D320D"/>
    <w:rsid w:val="11863F32"/>
    <w:rsid w:val="119D1432"/>
    <w:rsid w:val="11A258BC"/>
    <w:rsid w:val="11A560B7"/>
    <w:rsid w:val="11A675AA"/>
    <w:rsid w:val="11AF7BEF"/>
    <w:rsid w:val="11B01290"/>
    <w:rsid w:val="11EE77B0"/>
    <w:rsid w:val="11F22FD8"/>
    <w:rsid w:val="12045226"/>
    <w:rsid w:val="12103BB7"/>
    <w:rsid w:val="121E1215"/>
    <w:rsid w:val="122D5C93"/>
    <w:rsid w:val="122D61E0"/>
    <w:rsid w:val="122D65C3"/>
    <w:rsid w:val="123C5EC2"/>
    <w:rsid w:val="124679B3"/>
    <w:rsid w:val="124A041A"/>
    <w:rsid w:val="126A332D"/>
    <w:rsid w:val="12706417"/>
    <w:rsid w:val="12791A6B"/>
    <w:rsid w:val="129A55BA"/>
    <w:rsid w:val="12A93FDD"/>
    <w:rsid w:val="12AB6F21"/>
    <w:rsid w:val="12AE685D"/>
    <w:rsid w:val="12E47B36"/>
    <w:rsid w:val="12E62CF7"/>
    <w:rsid w:val="12E70326"/>
    <w:rsid w:val="12ED6E01"/>
    <w:rsid w:val="12F22931"/>
    <w:rsid w:val="12F549DA"/>
    <w:rsid w:val="12FD68C7"/>
    <w:rsid w:val="1327073B"/>
    <w:rsid w:val="13273320"/>
    <w:rsid w:val="132D60B6"/>
    <w:rsid w:val="13394A5B"/>
    <w:rsid w:val="13524E04"/>
    <w:rsid w:val="13531FC1"/>
    <w:rsid w:val="13556AB7"/>
    <w:rsid w:val="13594C6D"/>
    <w:rsid w:val="135C230F"/>
    <w:rsid w:val="13842771"/>
    <w:rsid w:val="13995F88"/>
    <w:rsid w:val="13BB16CB"/>
    <w:rsid w:val="13C66C37"/>
    <w:rsid w:val="13D12EE6"/>
    <w:rsid w:val="13E02B4C"/>
    <w:rsid w:val="13EB1F9D"/>
    <w:rsid w:val="140B6DFF"/>
    <w:rsid w:val="141D098F"/>
    <w:rsid w:val="14261254"/>
    <w:rsid w:val="143E4201"/>
    <w:rsid w:val="14453088"/>
    <w:rsid w:val="144C07BE"/>
    <w:rsid w:val="14504ADF"/>
    <w:rsid w:val="145942DE"/>
    <w:rsid w:val="145E3EFA"/>
    <w:rsid w:val="14626B51"/>
    <w:rsid w:val="14711557"/>
    <w:rsid w:val="14A03622"/>
    <w:rsid w:val="14A707F8"/>
    <w:rsid w:val="14AE09F5"/>
    <w:rsid w:val="14BF5434"/>
    <w:rsid w:val="14C0465F"/>
    <w:rsid w:val="14C37EF3"/>
    <w:rsid w:val="14D90D9A"/>
    <w:rsid w:val="14DB7BA0"/>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02382A"/>
    <w:rsid w:val="161B12F3"/>
    <w:rsid w:val="16227C7A"/>
    <w:rsid w:val="162B2D81"/>
    <w:rsid w:val="16323E9D"/>
    <w:rsid w:val="163B5D63"/>
    <w:rsid w:val="16525527"/>
    <w:rsid w:val="166632A8"/>
    <w:rsid w:val="16925C65"/>
    <w:rsid w:val="16957C35"/>
    <w:rsid w:val="16A70971"/>
    <w:rsid w:val="16A7566D"/>
    <w:rsid w:val="16AE2143"/>
    <w:rsid w:val="16B32E16"/>
    <w:rsid w:val="16BD0B5E"/>
    <w:rsid w:val="16D90A2F"/>
    <w:rsid w:val="16DD6BE8"/>
    <w:rsid w:val="16E742E5"/>
    <w:rsid w:val="16E91748"/>
    <w:rsid w:val="16ED2ED8"/>
    <w:rsid w:val="16F72FE9"/>
    <w:rsid w:val="170344B7"/>
    <w:rsid w:val="170A0BE8"/>
    <w:rsid w:val="17200427"/>
    <w:rsid w:val="17362267"/>
    <w:rsid w:val="1739327C"/>
    <w:rsid w:val="173F5012"/>
    <w:rsid w:val="17465510"/>
    <w:rsid w:val="17570670"/>
    <w:rsid w:val="176C18A3"/>
    <w:rsid w:val="17752957"/>
    <w:rsid w:val="17843C78"/>
    <w:rsid w:val="179539B3"/>
    <w:rsid w:val="17A11B1A"/>
    <w:rsid w:val="17A8018F"/>
    <w:rsid w:val="17BD3500"/>
    <w:rsid w:val="17C56CB2"/>
    <w:rsid w:val="17E71D96"/>
    <w:rsid w:val="17F21C0F"/>
    <w:rsid w:val="17F60AD4"/>
    <w:rsid w:val="17F81389"/>
    <w:rsid w:val="18226012"/>
    <w:rsid w:val="182A68C4"/>
    <w:rsid w:val="182E2225"/>
    <w:rsid w:val="183C74C7"/>
    <w:rsid w:val="184D6CCD"/>
    <w:rsid w:val="18982224"/>
    <w:rsid w:val="189A5F9C"/>
    <w:rsid w:val="18A26F81"/>
    <w:rsid w:val="18A91971"/>
    <w:rsid w:val="18D40C27"/>
    <w:rsid w:val="18E10285"/>
    <w:rsid w:val="18F63582"/>
    <w:rsid w:val="1915510C"/>
    <w:rsid w:val="1917478C"/>
    <w:rsid w:val="1925076B"/>
    <w:rsid w:val="193F52C7"/>
    <w:rsid w:val="195E6AFC"/>
    <w:rsid w:val="19652380"/>
    <w:rsid w:val="19767A36"/>
    <w:rsid w:val="19845827"/>
    <w:rsid w:val="19891E26"/>
    <w:rsid w:val="19965C3B"/>
    <w:rsid w:val="19995FEF"/>
    <w:rsid w:val="19B06428"/>
    <w:rsid w:val="19B24017"/>
    <w:rsid w:val="19B5474D"/>
    <w:rsid w:val="19B7394B"/>
    <w:rsid w:val="19C6215B"/>
    <w:rsid w:val="19C7004D"/>
    <w:rsid w:val="19D1087E"/>
    <w:rsid w:val="19D41C35"/>
    <w:rsid w:val="19E908BD"/>
    <w:rsid w:val="1A023DF9"/>
    <w:rsid w:val="1A06550D"/>
    <w:rsid w:val="1A0A1868"/>
    <w:rsid w:val="1A0F2BBB"/>
    <w:rsid w:val="1A187AC0"/>
    <w:rsid w:val="1A2B5153"/>
    <w:rsid w:val="1A3D7527"/>
    <w:rsid w:val="1A4841F6"/>
    <w:rsid w:val="1A6266B1"/>
    <w:rsid w:val="1A6B75C1"/>
    <w:rsid w:val="1A6F4C7E"/>
    <w:rsid w:val="1A7828B8"/>
    <w:rsid w:val="1A8020C3"/>
    <w:rsid w:val="1A815B98"/>
    <w:rsid w:val="1A8E0A25"/>
    <w:rsid w:val="1A952EBF"/>
    <w:rsid w:val="1ABD4F6B"/>
    <w:rsid w:val="1ABE4F37"/>
    <w:rsid w:val="1AD07418"/>
    <w:rsid w:val="1AE12880"/>
    <w:rsid w:val="1AE76412"/>
    <w:rsid w:val="1AF73E39"/>
    <w:rsid w:val="1B0822A1"/>
    <w:rsid w:val="1B23671D"/>
    <w:rsid w:val="1B2A04B8"/>
    <w:rsid w:val="1B3C158C"/>
    <w:rsid w:val="1B405D79"/>
    <w:rsid w:val="1B4F12C0"/>
    <w:rsid w:val="1B541E65"/>
    <w:rsid w:val="1B644FBE"/>
    <w:rsid w:val="1B6C2B1A"/>
    <w:rsid w:val="1B762CF0"/>
    <w:rsid w:val="1B794315"/>
    <w:rsid w:val="1B7E6473"/>
    <w:rsid w:val="1B9542BC"/>
    <w:rsid w:val="1B9C5626"/>
    <w:rsid w:val="1BC111D7"/>
    <w:rsid w:val="1BDF5C99"/>
    <w:rsid w:val="1BE45F55"/>
    <w:rsid w:val="1BEE19EA"/>
    <w:rsid w:val="1BEF2AA3"/>
    <w:rsid w:val="1BF97687"/>
    <w:rsid w:val="1C090CA8"/>
    <w:rsid w:val="1C093B64"/>
    <w:rsid w:val="1C0C48EF"/>
    <w:rsid w:val="1C144689"/>
    <w:rsid w:val="1C4A30B1"/>
    <w:rsid w:val="1C4A55AD"/>
    <w:rsid w:val="1C4E2C2F"/>
    <w:rsid w:val="1C4F5BA6"/>
    <w:rsid w:val="1C5B5A42"/>
    <w:rsid w:val="1C6F7B8D"/>
    <w:rsid w:val="1C732796"/>
    <w:rsid w:val="1C887C1C"/>
    <w:rsid w:val="1CA53FD8"/>
    <w:rsid w:val="1CAF5288"/>
    <w:rsid w:val="1CBC7D45"/>
    <w:rsid w:val="1CD5220D"/>
    <w:rsid w:val="1CDB39FF"/>
    <w:rsid w:val="1CDC33EA"/>
    <w:rsid w:val="1CDF6673"/>
    <w:rsid w:val="1CE93C9D"/>
    <w:rsid w:val="1CE974F2"/>
    <w:rsid w:val="1CEC7AD9"/>
    <w:rsid w:val="1CED4D19"/>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EB390F"/>
    <w:rsid w:val="1DF423B5"/>
    <w:rsid w:val="1E0167F0"/>
    <w:rsid w:val="1E062A89"/>
    <w:rsid w:val="1E200A0C"/>
    <w:rsid w:val="1E34479D"/>
    <w:rsid w:val="1E396D5E"/>
    <w:rsid w:val="1E3B509B"/>
    <w:rsid w:val="1E422DCD"/>
    <w:rsid w:val="1E4C6A06"/>
    <w:rsid w:val="1E5B441F"/>
    <w:rsid w:val="1E705716"/>
    <w:rsid w:val="1E762002"/>
    <w:rsid w:val="1E946CAF"/>
    <w:rsid w:val="1E96141D"/>
    <w:rsid w:val="1EA17B80"/>
    <w:rsid w:val="1EBC40B5"/>
    <w:rsid w:val="1EBE413C"/>
    <w:rsid w:val="1ECF6725"/>
    <w:rsid w:val="1ED609B5"/>
    <w:rsid w:val="1EE07CF1"/>
    <w:rsid w:val="1EE81709"/>
    <w:rsid w:val="1EEC3166"/>
    <w:rsid w:val="1F1046BD"/>
    <w:rsid w:val="1F1202A0"/>
    <w:rsid w:val="1F150B21"/>
    <w:rsid w:val="1F1A4A70"/>
    <w:rsid w:val="1F220E80"/>
    <w:rsid w:val="1F3A07F9"/>
    <w:rsid w:val="1F443106"/>
    <w:rsid w:val="1F5F375D"/>
    <w:rsid w:val="1F64439F"/>
    <w:rsid w:val="1F791110"/>
    <w:rsid w:val="1F7D1A7A"/>
    <w:rsid w:val="1F7F15FB"/>
    <w:rsid w:val="1F853B4E"/>
    <w:rsid w:val="1FAC7B25"/>
    <w:rsid w:val="1FAE3E88"/>
    <w:rsid w:val="1FB11828"/>
    <w:rsid w:val="1FDE5B1E"/>
    <w:rsid w:val="201160F9"/>
    <w:rsid w:val="2011735E"/>
    <w:rsid w:val="20271012"/>
    <w:rsid w:val="203D6492"/>
    <w:rsid w:val="2053420E"/>
    <w:rsid w:val="206200A8"/>
    <w:rsid w:val="206E7307"/>
    <w:rsid w:val="207A194A"/>
    <w:rsid w:val="207D2ACE"/>
    <w:rsid w:val="208B1FB8"/>
    <w:rsid w:val="208C3E81"/>
    <w:rsid w:val="2093738A"/>
    <w:rsid w:val="20A63C3D"/>
    <w:rsid w:val="20B52003"/>
    <w:rsid w:val="20CF4055"/>
    <w:rsid w:val="20DB35F6"/>
    <w:rsid w:val="20E22BD6"/>
    <w:rsid w:val="20FB548E"/>
    <w:rsid w:val="21016838"/>
    <w:rsid w:val="211875B6"/>
    <w:rsid w:val="21211AEC"/>
    <w:rsid w:val="21222FD3"/>
    <w:rsid w:val="21243E24"/>
    <w:rsid w:val="2126611F"/>
    <w:rsid w:val="214178FD"/>
    <w:rsid w:val="2144625F"/>
    <w:rsid w:val="214D2F3E"/>
    <w:rsid w:val="21503EE9"/>
    <w:rsid w:val="215108FA"/>
    <w:rsid w:val="216A5288"/>
    <w:rsid w:val="21914BDF"/>
    <w:rsid w:val="21A16099"/>
    <w:rsid w:val="21A44AD3"/>
    <w:rsid w:val="21A83105"/>
    <w:rsid w:val="21AA36F4"/>
    <w:rsid w:val="21AC474F"/>
    <w:rsid w:val="21B60D96"/>
    <w:rsid w:val="21C5599A"/>
    <w:rsid w:val="21C873C6"/>
    <w:rsid w:val="21C960BF"/>
    <w:rsid w:val="21D85A61"/>
    <w:rsid w:val="21E73283"/>
    <w:rsid w:val="21E91436"/>
    <w:rsid w:val="21FB6384"/>
    <w:rsid w:val="220B6D2D"/>
    <w:rsid w:val="22282379"/>
    <w:rsid w:val="22317971"/>
    <w:rsid w:val="224935F6"/>
    <w:rsid w:val="224E4C81"/>
    <w:rsid w:val="225D7D10"/>
    <w:rsid w:val="227855A0"/>
    <w:rsid w:val="22791318"/>
    <w:rsid w:val="22827C17"/>
    <w:rsid w:val="228757E3"/>
    <w:rsid w:val="228E7B0F"/>
    <w:rsid w:val="229569DE"/>
    <w:rsid w:val="22A13B7E"/>
    <w:rsid w:val="22AA5908"/>
    <w:rsid w:val="22B639B7"/>
    <w:rsid w:val="22BE3A86"/>
    <w:rsid w:val="22C91F36"/>
    <w:rsid w:val="22CA0E2D"/>
    <w:rsid w:val="22EB219D"/>
    <w:rsid w:val="22EF4620"/>
    <w:rsid w:val="230D64BA"/>
    <w:rsid w:val="23187D6B"/>
    <w:rsid w:val="232D5D5D"/>
    <w:rsid w:val="232E2103"/>
    <w:rsid w:val="233174F1"/>
    <w:rsid w:val="23356C71"/>
    <w:rsid w:val="234F5D1E"/>
    <w:rsid w:val="23511BBD"/>
    <w:rsid w:val="235278E2"/>
    <w:rsid w:val="23895957"/>
    <w:rsid w:val="23963260"/>
    <w:rsid w:val="239A286B"/>
    <w:rsid w:val="239E61DC"/>
    <w:rsid w:val="23A95405"/>
    <w:rsid w:val="23C6233B"/>
    <w:rsid w:val="23D75967"/>
    <w:rsid w:val="23EA3A5D"/>
    <w:rsid w:val="23FF13A9"/>
    <w:rsid w:val="24057CF1"/>
    <w:rsid w:val="24073700"/>
    <w:rsid w:val="241A3187"/>
    <w:rsid w:val="241D35CB"/>
    <w:rsid w:val="241F1A4B"/>
    <w:rsid w:val="2423788B"/>
    <w:rsid w:val="242E6397"/>
    <w:rsid w:val="242F6132"/>
    <w:rsid w:val="243E46A6"/>
    <w:rsid w:val="244A6CD8"/>
    <w:rsid w:val="244C5FBF"/>
    <w:rsid w:val="24560499"/>
    <w:rsid w:val="24741728"/>
    <w:rsid w:val="24760F1F"/>
    <w:rsid w:val="248F097F"/>
    <w:rsid w:val="24C20D54"/>
    <w:rsid w:val="24CA6C8E"/>
    <w:rsid w:val="24D33D37"/>
    <w:rsid w:val="24D551C2"/>
    <w:rsid w:val="24D664D1"/>
    <w:rsid w:val="24D8608F"/>
    <w:rsid w:val="24DF64CB"/>
    <w:rsid w:val="24E372C9"/>
    <w:rsid w:val="24EF6316"/>
    <w:rsid w:val="24F23FCB"/>
    <w:rsid w:val="24FB1B6E"/>
    <w:rsid w:val="24FB7DC2"/>
    <w:rsid w:val="24FD7366"/>
    <w:rsid w:val="25072B91"/>
    <w:rsid w:val="252B275E"/>
    <w:rsid w:val="255810AA"/>
    <w:rsid w:val="255D3C9C"/>
    <w:rsid w:val="256B13EC"/>
    <w:rsid w:val="25755DC7"/>
    <w:rsid w:val="258353D7"/>
    <w:rsid w:val="258B4548"/>
    <w:rsid w:val="25956469"/>
    <w:rsid w:val="25CE197B"/>
    <w:rsid w:val="25D7018F"/>
    <w:rsid w:val="260D56BF"/>
    <w:rsid w:val="261455E0"/>
    <w:rsid w:val="26263EB4"/>
    <w:rsid w:val="26284BE7"/>
    <w:rsid w:val="263712CE"/>
    <w:rsid w:val="263B7010"/>
    <w:rsid w:val="26597496"/>
    <w:rsid w:val="26621D57"/>
    <w:rsid w:val="2664724C"/>
    <w:rsid w:val="26680C8E"/>
    <w:rsid w:val="266D56D5"/>
    <w:rsid w:val="26764D65"/>
    <w:rsid w:val="26805443"/>
    <w:rsid w:val="26916DC9"/>
    <w:rsid w:val="269867F5"/>
    <w:rsid w:val="269C607B"/>
    <w:rsid w:val="26B87422"/>
    <w:rsid w:val="26C22FE2"/>
    <w:rsid w:val="26E33204"/>
    <w:rsid w:val="26E50D2A"/>
    <w:rsid w:val="2706779E"/>
    <w:rsid w:val="271A7202"/>
    <w:rsid w:val="271B1790"/>
    <w:rsid w:val="27293DBF"/>
    <w:rsid w:val="274C6A10"/>
    <w:rsid w:val="2755710A"/>
    <w:rsid w:val="27623821"/>
    <w:rsid w:val="27632EE8"/>
    <w:rsid w:val="276B4B90"/>
    <w:rsid w:val="278510AC"/>
    <w:rsid w:val="2795721C"/>
    <w:rsid w:val="27A17800"/>
    <w:rsid w:val="27A9576F"/>
    <w:rsid w:val="27A961FC"/>
    <w:rsid w:val="27B81492"/>
    <w:rsid w:val="27B90089"/>
    <w:rsid w:val="27C46C19"/>
    <w:rsid w:val="27DD38E7"/>
    <w:rsid w:val="27E2432D"/>
    <w:rsid w:val="27EE4507"/>
    <w:rsid w:val="28083753"/>
    <w:rsid w:val="282867FB"/>
    <w:rsid w:val="283A464C"/>
    <w:rsid w:val="28425787"/>
    <w:rsid w:val="28746F02"/>
    <w:rsid w:val="28756281"/>
    <w:rsid w:val="287812E7"/>
    <w:rsid w:val="287B2660"/>
    <w:rsid w:val="288051AE"/>
    <w:rsid w:val="288E4849"/>
    <w:rsid w:val="28A164B8"/>
    <w:rsid w:val="28A618C9"/>
    <w:rsid w:val="28C00D29"/>
    <w:rsid w:val="28CF515C"/>
    <w:rsid w:val="28F2772E"/>
    <w:rsid w:val="28FD02C4"/>
    <w:rsid w:val="290C0220"/>
    <w:rsid w:val="29110A8E"/>
    <w:rsid w:val="29124DF2"/>
    <w:rsid w:val="291E2106"/>
    <w:rsid w:val="291F4F54"/>
    <w:rsid w:val="292006F3"/>
    <w:rsid w:val="292D0766"/>
    <w:rsid w:val="29466532"/>
    <w:rsid w:val="29486FEB"/>
    <w:rsid w:val="29552A36"/>
    <w:rsid w:val="295D7F92"/>
    <w:rsid w:val="295E4DC4"/>
    <w:rsid w:val="296C52CF"/>
    <w:rsid w:val="297732AA"/>
    <w:rsid w:val="298C69B7"/>
    <w:rsid w:val="29904D79"/>
    <w:rsid w:val="299A5855"/>
    <w:rsid w:val="299F686F"/>
    <w:rsid w:val="29B35110"/>
    <w:rsid w:val="29BF2DB3"/>
    <w:rsid w:val="29C03402"/>
    <w:rsid w:val="29D25583"/>
    <w:rsid w:val="29DC0A6F"/>
    <w:rsid w:val="29FC3DED"/>
    <w:rsid w:val="2A206DDC"/>
    <w:rsid w:val="2A3D34DB"/>
    <w:rsid w:val="2A3F72A6"/>
    <w:rsid w:val="2A441EE0"/>
    <w:rsid w:val="2A53244F"/>
    <w:rsid w:val="2A5E32CD"/>
    <w:rsid w:val="2A5E6B23"/>
    <w:rsid w:val="2A6308E4"/>
    <w:rsid w:val="2A763E68"/>
    <w:rsid w:val="2A9C3DF6"/>
    <w:rsid w:val="2A9F5694"/>
    <w:rsid w:val="2AA1013F"/>
    <w:rsid w:val="2AAF705C"/>
    <w:rsid w:val="2AC115D1"/>
    <w:rsid w:val="2AC341E7"/>
    <w:rsid w:val="2AC57C68"/>
    <w:rsid w:val="2ACB25A7"/>
    <w:rsid w:val="2AD27817"/>
    <w:rsid w:val="2ADD06EC"/>
    <w:rsid w:val="2AE73DEB"/>
    <w:rsid w:val="2AF84366"/>
    <w:rsid w:val="2B0A0D5F"/>
    <w:rsid w:val="2B22578F"/>
    <w:rsid w:val="2B310A8A"/>
    <w:rsid w:val="2B472552"/>
    <w:rsid w:val="2B55457C"/>
    <w:rsid w:val="2B5B5105"/>
    <w:rsid w:val="2B5C20D8"/>
    <w:rsid w:val="2B5E510B"/>
    <w:rsid w:val="2B623BF9"/>
    <w:rsid w:val="2B6E1F74"/>
    <w:rsid w:val="2B876854"/>
    <w:rsid w:val="2B8C666C"/>
    <w:rsid w:val="2B9806D5"/>
    <w:rsid w:val="2BA27974"/>
    <w:rsid w:val="2BCA0757"/>
    <w:rsid w:val="2BDB6308"/>
    <w:rsid w:val="2BDB7638"/>
    <w:rsid w:val="2BFE3303"/>
    <w:rsid w:val="2C033417"/>
    <w:rsid w:val="2C0B7BC3"/>
    <w:rsid w:val="2C324805"/>
    <w:rsid w:val="2C36281C"/>
    <w:rsid w:val="2C3B3354"/>
    <w:rsid w:val="2C3C3543"/>
    <w:rsid w:val="2C4445F8"/>
    <w:rsid w:val="2CBB6832"/>
    <w:rsid w:val="2CC004EA"/>
    <w:rsid w:val="2CC118F2"/>
    <w:rsid w:val="2CC47DA8"/>
    <w:rsid w:val="2CC808CC"/>
    <w:rsid w:val="2CCF7935"/>
    <w:rsid w:val="2CE14444"/>
    <w:rsid w:val="2CEA6D74"/>
    <w:rsid w:val="2D275921"/>
    <w:rsid w:val="2D656946"/>
    <w:rsid w:val="2D6B1768"/>
    <w:rsid w:val="2D720E3E"/>
    <w:rsid w:val="2D7743FE"/>
    <w:rsid w:val="2D9035E4"/>
    <w:rsid w:val="2D9D14C2"/>
    <w:rsid w:val="2DB15E0A"/>
    <w:rsid w:val="2DB86793"/>
    <w:rsid w:val="2DBC13D4"/>
    <w:rsid w:val="2DC2712C"/>
    <w:rsid w:val="2DD07F22"/>
    <w:rsid w:val="2DDB1827"/>
    <w:rsid w:val="2DE85931"/>
    <w:rsid w:val="2DED049E"/>
    <w:rsid w:val="2DF5112F"/>
    <w:rsid w:val="2DF56BBB"/>
    <w:rsid w:val="2DF77DBF"/>
    <w:rsid w:val="2DFE6086"/>
    <w:rsid w:val="2E0028ED"/>
    <w:rsid w:val="2E057F04"/>
    <w:rsid w:val="2E0A551A"/>
    <w:rsid w:val="2E236314"/>
    <w:rsid w:val="2E537109"/>
    <w:rsid w:val="2E6C5840"/>
    <w:rsid w:val="2E751DAE"/>
    <w:rsid w:val="2E7D4F34"/>
    <w:rsid w:val="2EBE7A38"/>
    <w:rsid w:val="2EBF4EE5"/>
    <w:rsid w:val="2EC369AF"/>
    <w:rsid w:val="2EC61B28"/>
    <w:rsid w:val="2ECA5B45"/>
    <w:rsid w:val="2ED2313B"/>
    <w:rsid w:val="2EE101C1"/>
    <w:rsid w:val="2EE36CED"/>
    <w:rsid w:val="2EE51BDD"/>
    <w:rsid w:val="2EE67135"/>
    <w:rsid w:val="2F1A580E"/>
    <w:rsid w:val="2F326AD7"/>
    <w:rsid w:val="2F411819"/>
    <w:rsid w:val="2F472F3F"/>
    <w:rsid w:val="2F5922B5"/>
    <w:rsid w:val="2F6050AE"/>
    <w:rsid w:val="2F85326E"/>
    <w:rsid w:val="2F8A3679"/>
    <w:rsid w:val="2F9652B7"/>
    <w:rsid w:val="2F99379A"/>
    <w:rsid w:val="2FB233CF"/>
    <w:rsid w:val="2FBC6CD6"/>
    <w:rsid w:val="2FDD4C94"/>
    <w:rsid w:val="2FE53482"/>
    <w:rsid w:val="2FE97570"/>
    <w:rsid w:val="30027B95"/>
    <w:rsid w:val="300B0D59"/>
    <w:rsid w:val="302F220E"/>
    <w:rsid w:val="30336FAA"/>
    <w:rsid w:val="3038225E"/>
    <w:rsid w:val="30D35321"/>
    <w:rsid w:val="30DA1D41"/>
    <w:rsid w:val="30E60779"/>
    <w:rsid w:val="30ED53AB"/>
    <w:rsid w:val="30EE4CCC"/>
    <w:rsid w:val="310774DB"/>
    <w:rsid w:val="31445105"/>
    <w:rsid w:val="314A194A"/>
    <w:rsid w:val="315135D9"/>
    <w:rsid w:val="31612800"/>
    <w:rsid w:val="316C34F9"/>
    <w:rsid w:val="31B06987"/>
    <w:rsid w:val="31B625C3"/>
    <w:rsid w:val="31C13A38"/>
    <w:rsid w:val="31C3435E"/>
    <w:rsid w:val="31D31C30"/>
    <w:rsid w:val="31D420C7"/>
    <w:rsid w:val="31DA2F13"/>
    <w:rsid w:val="31F167D5"/>
    <w:rsid w:val="31F213C6"/>
    <w:rsid w:val="32170104"/>
    <w:rsid w:val="321D7F33"/>
    <w:rsid w:val="32254F5A"/>
    <w:rsid w:val="322F4596"/>
    <w:rsid w:val="32306CB3"/>
    <w:rsid w:val="325B6344"/>
    <w:rsid w:val="326C0F21"/>
    <w:rsid w:val="328453F3"/>
    <w:rsid w:val="32981B5A"/>
    <w:rsid w:val="329C245B"/>
    <w:rsid w:val="32EC0B27"/>
    <w:rsid w:val="32ED7679"/>
    <w:rsid w:val="32EF1AD0"/>
    <w:rsid w:val="32F6606D"/>
    <w:rsid w:val="32FF4D91"/>
    <w:rsid w:val="331C5AD4"/>
    <w:rsid w:val="333A41AC"/>
    <w:rsid w:val="334E5EA9"/>
    <w:rsid w:val="3356628B"/>
    <w:rsid w:val="335F2C9A"/>
    <w:rsid w:val="33694A91"/>
    <w:rsid w:val="337002E0"/>
    <w:rsid w:val="33727C42"/>
    <w:rsid w:val="33884F53"/>
    <w:rsid w:val="338F44D7"/>
    <w:rsid w:val="33AD7074"/>
    <w:rsid w:val="33B33B51"/>
    <w:rsid w:val="33CD3480"/>
    <w:rsid w:val="33D44600"/>
    <w:rsid w:val="33D54183"/>
    <w:rsid w:val="33DE722D"/>
    <w:rsid w:val="33F53437"/>
    <w:rsid w:val="341D7D55"/>
    <w:rsid w:val="343135F4"/>
    <w:rsid w:val="343155AF"/>
    <w:rsid w:val="34384B8F"/>
    <w:rsid w:val="343E5688"/>
    <w:rsid w:val="344D6161"/>
    <w:rsid w:val="347A3ECA"/>
    <w:rsid w:val="348E0A85"/>
    <w:rsid w:val="348F7B63"/>
    <w:rsid w:val="34B23803"/>
    <w:rsid w:val="34C5521E"/>
    <w:rsid w:val="34D66156"/>
    <w:rsid w:val="34DA71BC"/>
    <w:rsid w:val="34DD662F"/>
    <w:rsid w:val="34E4685B"/>
    <w:rsid w:val="34EB6DF8"/>
    <w:rsid w:val="34EF4883"/>
    <w:rsid w:val="34EF4FAD"/>
    <w:rsid w:val="35115659"/>
    <w:rsid w:val="3529707F"/>
    <w:rsid w:val="3530548F"/>
    <w:rsid w:val="35315FCF"/>
    <w:rsid w:val="353A4937"/>
    <w:rsid w:val="354757DC"/>
    <w:rsid w:val="355370EB"/>
    <w:rsid w:val="35550CDB"/>
    <w:rsid w:val="355D7BF4"/>
    <w:rsid w:val="35665A65"/>
    <w:rsid w:val="356814A4"/>
    <w:rsid w:val="3575596F"/>
    <w:rsid w:val="358A446C"/>
    <w:rsid w:val="359E086E"/>
    <w:rsid w:val="359F0C3E"/>
    <w:rsid w:val="35A9364A"/>
    <w:rsid w:val="35B20EFF"/>
    <w:rsid w:val="35B9319F"/>
    <w:rsid w:val="35C27B86"/>
    <w:rsid w:val="35CA5EEE"/>
    <w:rsid w:val="35DB7D98"/>
    <w:rsid w:val="35E6061B"/>
    <w:rsid w:val="35EE26F1"/>
    <w:rsid w:val="362676D4"/>
    <w:rsid w:val="36550AEB"/>
    <w:rsid w:val="36574C8D"/>
    <w:rsid w:val="36626C27"/>
    <w:rsid w:val="366B6306"/>
    <w:rsid w:val="3685329B"/>
    <w:rsid w:val="369462C9"/>
    <w:rsid w:val="36954A77"/>
    <w:rsid w:val="36985DB9"/>
    <w:rsid w:val="369E7D69"/>
    <w:rsid w:val="36AB68A9"/>
    <w:rsid w:val="36C37285"/>
    <w:rsid w:val="36CE17DB"/>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D80A8E"/>
    <w:rsid w:val="37D97769"/>
    <w:rsid w:val="37F46AEE"/>
    <w:rsid w:val="380A4814"/>
    <w:rsid w:val="381E027B"/>
    <w:rsid w:val="382E11DF"/>
    <w:rsid w:val="38362847"/>
    <w:rsid w:val="385B7786"/>
    <w:rsid w:val="386B4E07"/>
    <w:rsid w:val="3875150B"/>
    <w:rsid w:val="387E6F7D"/>
    <w:rsid w:val="388303A3"/>
    <w:rsid w:val="3888158A"/>
    <w:rsid w:val="38912AC0"/>
    <w:rsid w:val="389417B9"/>
    <w:rsid w:val="389B6B4E"/>
    <w:rsid w:val="38A9615A"/>
    <w:rsid w:val="38BF4441"/>
    <w:rsid w:val="38CA359A"/>
    <w:rsid w:val="38D1063F"/>
    <w:rsid w:val="38EB7D4D"/>
    <w:rsid w:val="38EC6FC5"/>
    <w:rsid w:val="38F57A81"/>
    <w:rsid w:val="38F7405A"/>
    <w:rsid w:val="390503EC"/>
    <w:rsid w:val="390D423A"/>
    <w:rsid w:val="3919300E"/>
    <w:rsid w:val="391F6C2B"/>
    <w:rsid w:val="3930052B"/>
    <w:rsid w:val="39432B77"/>
    <w:rsid w:val="394E64FB"/>
    <w:rsid w:val="3952100E"/>
    <w:rsid w:val="395C0180"/>
    <w:rsid w:val="396D596D"/>
    <w:rsid w:val="397D2973"/>
    <w:rsid w:val="398B650A"/>
    <w:rsid w:val="399272E0"/>
    <w:rsid w:val="39930ABA"/>
    <w:rsid w:val="39983F81"/>
    <w:rsid w:val="39A54752"/>
    <w:rsid w:val="39A86866"/>
    <w:rsid w:val="39A90CBA"/>
    <w:rsid w:val="39A93E39"/>
    <w:rsid w:val="39A957C6"/>
    <w:rsid w:val="39AD3D9E"/>
    <w:rsid w:val="39B36A66"/>
    <w:rsid w:val="39C0784A"/>
    <w:rsid w:val="39C3752B"/>
    <w:rsid w:val="39D30EB6"/>
    <w:rsid w:val="39D6309F"/>
    <w:rsid w:val="39D709A6"/>
    <w:rsid w:val="39E3559D"/>
    <w:rsid w:val="3A0C0C49"/>
    <w:rsid w:val="3A1C4F96"/>
    <w:rsid w:val="3A2A31CC"/>
    <w:rsid w:val="3A3011E1"/>
    <w:rsid w:val="3A3824CE"/>
    <w:rsid w:val="3A445910"/>
    <w:rsid w:val="3A4532C6"/>
    <w:rsid w:val="3A52570B"/>
    <w:rsid w:val="3A6745EE"/>
    <w:rsid w:val="3A702BE6"/>
    <w:rsid w:val="3A7B560E"/>
    <w:rsid w:val="3A850402"/>
    <w:rsid w:val="3A853DBE"/>
    <w:rsid w:val="3A9768D3"/>
    <w:rsid w:val="3AB02FA5"/>
    <w:rsid w:val="3AD21B41"/>
    <w:rsid w:val="3AE0088E"/>
    <w:rsid w:val="3AE82FE2"/>
    <w:rsid w:val="3AEC57FD"/>
    <w:rsid w:val="3B0948AC"/>
    <w:rsid w:val="3B1106DB"/>
    <w:rsid w:val="3B251017"/>
    <w:rsid w:val="3B483703"/>
    <w:rsid w:val="3B4E4520"/>
    <w:rsid w:val="3B702E61"/>
    <w:rsid w:val="3B732951"/>
    <w:rsid w:val="3B7414CC"/>
    <w:rsid w:val="3B917000"/>
    <w:rsid w:val="3BA775F0"/>
    <w:rsid w:val="3BB20390"/>
    <w:rsid w:val="3BB26E2E"/>
    <w:rsid w:val="3BBF16F2"/>
    <w:rsid w:val="3BF0568D"/>
    <w:rsid w:val="3BF24F7B"/>
    <w:rsid w:val="3BF642A6"/>
    <w:rsid w:val="3C0A2795"/>
    <w:rsid w:val="3C0E2679"/>
    <w:rsid w:val="3C0E26E6"/>
    <w:rsid w:val="3C126DA0"/>
    <w:rsid w:val="3C1B17C1"/>
    <w:rsid w:val="3C215C0F"/>
    <w:rsid w:val="3C237ED3"/>
    <w:rsid w:val="3C2853C8"/>
    <w:rsid w:val="3C373913"/>
    <w:rsid w:val="3C374FFE"/>
    <w:rsid w:val="3C472DAE"/>
    <w:rsid w:val="3C565F7D"/>
    <w:rsid w:val="3C642299"/>
    <w:rsid w:val="3C7A4D7C"/>
    <w:rsid w:val="3C8865D1"/>
    <w:rsid w:val="3C8A1F5C"/>
    <w:rsid w:val="3C8C4E56"/>
    <w:rsid w:val="3CB00A5E"/>
    <w:rsid w:val="3CC80E2E"/>
    <w:rsid w:val="3CCC60CE"/>
    <w:rsid w:val="3CEA1255"/>
    <w:rsid w:val="3CEE78B0"/>
    <w:rsid w:val="3CF63839"/>
    <w:rsid w:val="3D076FFA"/>
    <w:rsid w:val="3D0F65E2"/>
    <w:rsid w:val="3D146DD3"/>
    <w:rsid w:val="3D271C45"/>
    <w:rsid w:val="3D424389"/>
    <w:rsid w:val="3D7D2811"/>
    <w:rsid w:val="3D8250CD"/>
    <w:rsid w:val="3D8A56FD"/>
    <w:rsid w:val="3D8D1656"/>
    <w:rsid w:val="3D8F3346"/>
    <w:rsid w:val="3DB949B3"/>
    <w:rsid w:val="3DBC58F4"/>
    <w:rsid w:val="3DD15C08"/>
    <w:rsid w:val="3DE7275D"/>
    <w:rsid w:val="3DFD3A82"/>
    <w:rsid w:val="3E0A7C3D"/>
    <w:rsid w:val="3E0E4BB3"/>
    <w:rsid w:val="3E45714C"/>
    <w:rsid w:val="3E556ACF"/>
    <w:rsid w:val="3E587CE5"/>
    <w:rsid w:val="3E636882"/>
    <w:rsid w:val="3E6D18D9"/>
    <w:rsid w:val="3E725142"/>
    <w:rsid w:val="3E984D66"/>
    <w:rsid w:val="3EAA66DB"/>
    <w:rsid w:val="3EB220F7"/>
    <w:rsid w:val="3ED505EA"/>
    <w:rsid w:val="3EDB13DE"/>
    <w:rsid w:val="3EDE1EF2"/>
    <w:rsid w:val="3EEE5285"/>
    <w:rsid w:val="3F0321C3"/>
    <w:rsid w:val="3F1604D8"/>
    <w:rsid w:val="3F2B2C7C"/>
    <w:rsid w:val="3F327BFC"/>
    <w:rsid w:val="3F4C64B2"/>
    <w:rsid w:val="3F591D3C"/>
    <w:rsid w:val="3FA73041"/>
    <w:rsid w:val="3FBA0B4E"/>
    <w:rsid w:val="3FBB4F3F"/>
    <w:rsid w:val="3FF01152"/>
    <w:rsid w:val="3FF07330"/>
    <w:rsid w:val="3FF2198C"/>
    <w:rsid w:val="3FF341ED"/>
    <w:rsid w:val="3FF928DF"/>
    <w:rsid w:val="40050AA9"/>
    <w:rsid w:val="401864BF"/>
    <w:rsid w:val="402300FD"/>
    <w:rsid w:val="402850D6"/>
    <w:rsid w:val="403A014B"/>
    <w:rsid w:val="40580136"/>
    <w:rsid w:val="406531FD"/>
    <w:rsid w:val="410138D6"/>
    <w:rsid w:val="41546D80"/>
    <w:rsid w:val="415D73A8"/>
    <w:rsid w:val="41613183"/>
    <w:rsid w:val="41613DD8"/>
    <w:rsid w:val="41691ABE"/>
    <w:rsid w:val="417F4425"/>
    <w:rsid w:val="419024AE"/>
    <w:rsid w:val="419C6756"/>
    <w:rsid w:val="41C07281"/>
    <w:rsid w:val="41C834AF"/>
    <w:rsid w:val="41D0160B"/>
    <w:rsid w:val="42182615"/>
    <w:rsid w:val="422B0630"/>
    <w:rsid w:val="423F4946"/>
    <w:rsid w:val="424C1B5F"/>
    <w:rsid w:val="42521512"/>
    <w:rsid w:val="425608D6"/>
    <w:rsid w:val="4257692F"/>
    <w:rsid w:val="42644F43"/>
    <w:rsid w:val="4272113C"/>
    <w:rsid w:val="42B93BC0"/>
    <w:rsid w:val="42CC1A3F"/>
    <w:rsid w:val="42CC543B"/>
    <w:rsid w:val="42CF6401"/>
    <w:rsid w:val="42D00689"/>
    <w:rsid w:val="42D22950"/>
    <w:rsid w:val="42D96C5A"/>
    <w:rsid w:val="42E14644"/>
    <w:rsid w:val="42E303BC"/>
    <w:rsid w:val="42EF6212"/>
    <w:rsid w:val="42F04887"/>
    <w:rsid w:val="42F66F50"/>
    <w:rsid w:val="43091F22"/>
    <w:rsid w:val="43130E5D"/>
    <w:rsid w:val="43195B7B"/>
    <w:rsid w:val="43354E11"/>
    <w:rsid w:val="433C7ACC"/>
    <w:rsid w:val="435408A1"/>
    <w:rsid w:val="43617533"/>
    <w:rsid w:val="436E7A23"/>
    <w:rsid w:val="438F1EE6"/>
    <w:rsid w:val="439243A4"/>
    <w:rsid w:val="43DD305D"/>
    <w:rsid w:val="43E22677"/>
    <w:rsid w:val="43F860E9"/>
    <w:rsid w:val="43F9762E"/>
    <w:rsid w:val="441A1202"/>
    <w:rsid w:val="442028B9"/>
    <w:rsid w:val="442C25A3"/>
    <w:rsid w:val="44372A9D"/>
    <w:rsid w:val="443A2268"/>
    <w:rsid w:val="443A4987"/>
    <w:rsid w:val="449228B8"/>
    <w:rsid w:val="44AA518A"/>
    <w:rsid w:val="44B66EE6"/>
    <w:rsid w:val="44DA661B"/>
    <w:rsid w:val="44FE2748"/>
    <w:rsid w:val="450B1E4C"/>
    <w:rsid w:val="452E6C6E"/>
    <w:rsid w:val="455227A8"/>
    <w:rsid w:val="4552465A"/>
    <w:rsid w:val="455D3F07"/>
    <w:rsid w:val="457E4F5C"/>
    <w:rsid w:val="45903123"/>
    <w:rsid w:val="45933E8A"/>
    <w:rsid w:val="45965BB9"/>
    <w:rsid w:val="459736E0"/>
    <w:rsid w:val="45C269AF"/>
    <w:rsid w:val="45D02414"/>
    <w:rsid w:val="45D60048"/>
    <w:rsid w:val="45EE7C0F"/>
    <w:rsid w:val="45F24ED7"/>
    <w:rsid w:val="461A5106"/>
    <w:rsid w:val="465741D5"/>
    <w:rsid w:val="466218D3"/>
    <w:rsid w:val="466730B2"/>
    <w:rsid w:val="46693CA0"/>
    <w:rsid w:val="466C3A26"/>
    <w:rsid w:val="468D12EA"/>
    <w:rsid w:val="46A56C56"/>
    <w:rsid w:val="46AE53E0"/>
    <w:rsid w:val="46B27CDE"/>
    <w:rsid w:val="46C10F45"/>
    <w:rsid w:val="46C14D13"/>
    <w:rsid w:val="46D56338"/>
    <w:rsid w:val="46D70238"/>
    <w:rsid w:val="46EE63EF"/>
    <w:rsid w:val="46EF2707"/>
    <w:rsid w:val="46EF5D6B"/>
    <w:rsid w:val="46EF7F27"/>
    <w:rsid w:val="470067F5"/>
    <w:rsid w:val="470111C6"/>
    <w:rsid w:val="47215957"/>
    <w:rsid w:val="4726714C"/>
    <w:rsid w:val="472A5166"/>
    <w:rsid w:val="472B0CA1"/>
    <w:rsid w:val="472F1E22"/>
    <w:rsid w:val="47363975"/>
    <w:rsid w:val="473F7B8B"/>
    <w:rsid w:val="4755433F"/>
    <w:rsid w:val="475734CE"/>
    <w:rsid w:val="476F5068"/>
    <w:rsid w:val="479F24CF"/>
    <w:rsid w:val="47A20567"/>
    <w:rsid w:val="47AE13AF"/>
    <w:rsid w:val="47B37D01"/>
    <w:rsid w:val="47CE799A"/>
    <w:rsid w:val="47ED73E6"/>
    <w:rsid w:val="47FF4B61"/>
    <w:rsid w:val="48055C38"/>
    <w:rsid w:val="481B23A6"/>
    <w:rsid w:val="48303FFD"/>
    <w:rsid w:val="485B6C46"/>
    <w:rsid w:val="486702D3"/>
    <w:rsid w:val="48742BBF"/>
    <w:rsid w:val="4874449F"/>
    <w:rsid w:val="488C5648"/>
    <w:rsid w:val="48AF7EBC"/>
    <w:rsid w:val="48CB25C0"/>
    <w:rsid w:val="48CD44C4"/>
    <w:rsid w:val="48DE2FE7"/>
    <w:rsid w:val="48EA52EA"/>
    <w:rsid w:val="49057561"/>
    <w:rsid w:val="49103B16"/>
    <w:rsid w:val="492C67C4"/>
    <w:rsid w:val="492F0879"/>
    <w:rsid w:val="49311755"/>
    <w:rsid w:val="49487290"/>
    <w:rsid w:val="494F6B2B"/>
    <w:rsid w:val="49573057"/>
    <w:rsid w:val="4967026E"/>
    <w:rsid w:val="496E4757"/>
    <w:rsid w:val="497D65E2"/>
    <w:rsid w:val="49954A57"/>
    <w:rsid w:val="49A00386"/>
    <w:rsid w:val="49B42F3D"/>
    <w:rsid w:val="49C03205"/>
    <w:rsid w:val="49D968AD"/>
    <w:rsid w:val="49DA2AF1"/>
    <w:rsid w:val="49DA4E89"/>
    <w:rsid w:val="49E343F2"/>
    <w:rsid w:val="49EC3FFA"/>
    <w:rsid w:val="49ED23F8"/>
    <w:rsid w:val="4A0A1DA9"/>
    <w:rsid w:val="4A0C644A"/>
    <w:rsid w:val="4A1E7AA1"/>
    <w:rsid w:val="4A485415"/>
    <w:rsid w:val="4A61240A"/>
    <w:rsid w:val="4A6475E6"/>
    <w:rsid w:val="4A954692"/>
    <w:rsid w:val="4A9F4B39"/>
    <w:rsid w:val="4AAE12AF"/>
    <w:rsid w:val="4AB443EC"/>
    <w:rsid w:val="4AC25120"/>
    <w:rsid w:val="4ACC730B"/>
    <w:rsid w:val="4ACE34DA"/>
    <w:rsid w:val="4AD91F38"/>
    <w:rsid w:val="4B0233A9"/>
    <w:rsid w:val="4B294DDA"/>
    <w:rsid w:val="4B3814C1"/>
    <w:rsid w:val="4B3C4B0D"/>
    <w:rsid w:val="4B8901F2"/>
    <w:rsid w:val="4B8B1474"/>
    <w:rsid w:val="4B8E705A"/>
    <w:rsid w:val="4B99592E"/>
    <w:rsid w:val="4BA32514"/>
    <w:rsid w:val="4BAB1C93"/>
    <w:rsid w:val="4BC477E7"/>
    <w:rsid w:val="4BCA1891"/>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D07631A"/>
    <w:rsid w:val="4D101B77"/>
    <w:rsid w:val="4D1F606D"/>
    <w:rsid w:val="4D2717ED"/>
    <w:rsid w:val="4D3A78A2"/>
    <w:rsid w:val="4D602AE2"/>
    <w:rsid w:val="4D632267"/>
    <w:rsid w:val="4D690C47"/>
    <w:rsid w:val="4D6B792C"/>
    <w:rsid w:val="4D7128DD"/>
    <w:rsid w:val="4D7952D5"/>
    <w:rsid w:val="4D812CAB"/>
    <w:rsid w:val="4DA81EEF"/>
    <w:rsid w:val="4DAC6E51"/>
    <w:rsid w:val="4DAF24CE"/>
    <w:rsid w:val="4DAF29BE"/>
    <w:rsid w:val="4DC540DE"/>
    <w:rsid w:val="4DCF1001"/>
    <w:rsid w:val="4DD07015"/>
    <w:rsid w:val="4DF0155C"/>
    <w:rsid w:val="4DFE7DCE"/>
    <w:rsid w:val="4E086F29"/>
    <w:rsid w:val="4E1D2AE6"/>
    <w:rsid w:val="4E375A60"/>
    <w:rsid w:val="4E3E2434"/>
    <w:rsid w:val="4E3E651E"/>
    <w:rsid w:val="4E5161F2"/>
    <w:rsid w:val="4E585C33"/>
    <w:rsid w:val="4E5A0E2F"/>
    <w:rsid w:val="4E5A58A1"/>
    <w:rsid w:val="4E6D0570"/>
    <w:rsid w:val="4E7E368F"/>
    <w:rsid w:val="4E8E0835"/>
    <w:rsid w:val="4EC315E8"/>
    <w:rsid w:val="4EDF6805"/>
    <w:rsid w:val="4EF134FA"/>
    <w:rsid w:val="4EFD55F3"/>
    <w:rsid w:val="4F0224ED"/>
    <w:rsid w:val="4F1A31C4"/>
    <w:rsid w:val="4F2F6B1B"/>
    <w:rsid w:val="4F3B332E"/>
    <w:rsid w:val="4F494165"/>
    <w:rsid w:val="4F4D2AC1"/>
    <w:rsid w:val="4F50355E"/>
    <w:rsid w:val="4F5C409A"/>
    <w:rsid w:val="4F671BD3"/>
    <w:rsid w:val="4F676B5A"/>
    <w:rsid w:val="4F6B59C1"/>
    <w:rsid w:val="4F7739D8"/>
    <w:rsid w:val="4F7F183C"/>
    <w:rsid w:val="4FA6214C"/>
    <w:rsid w:val="4FAE3C18"/>
    <w:rsid w:val="4FB355BA"/>
    <w:rsid w:val="4FB42D6F"/>
    <w:rsid w:val="4FC034D1"/>
    <w:rsid w:val="4FCB6460"/>
    <w:rsid w:val="4FD23C8B"/>
    <w:rsid w:val="4FD23C92"/>
    <w:rsid w:val="4FD24E31"/>
    <w:rsid w:val="4FE71AF7"/>
    <w:rsid w:val="4FEA5817"/>
    <w:rsid w:val="50045EB0"/>
    <w:rsid w:val="500A78D3"/>
    <w:rsid w:val="500C28DF"/>
    <w:rsid w:val="502B5150"/>
    <w:rsid w:val="50330BC6"/>
    <w:rsid w:val="5039786D"/>
    <w:rsid w:val="503C2BD4"/>
    <w:rsid w:val="504674E5"/>
    <w:rsid w:val="50496F89"/>
    <w:rsid w:val="505928B7"/>
    <w:rsid w:val="50687F2F"/>
    <w:rsid w:val="509A094B"/>
    <w:rsid w:val="50A22D2A"/>
    <w:rsid w:val="50A360D4"/>
    <w:rsid w:val="50A67B3A"/>
    <w:rsid w:val="50B31032"/>
    <w:rsid w:val="50BD72AB"/>
    <w:rsid w:val="50C962A4"/>
    <w:rsid w:val="50D57E8D"/>
    <w:rsid w:val="50E0232C"/>
    <w:rsid w:val="50F45000"/>
    <w:rsid w:val="50FE399F"/>
    <w:rsid w:val="51280B92"/>
    <w:rsid w:val="51365076"/>
    <w:rsid w:val="51526790"/>
    <w:rsid w:val="51585391"/>
    <w:rsid w:val="51677C7C"/>
    <w:rsid w:val="516A3A56"/>
    <w:rsid w:val="518411A9"/>
    <w:rsid w:val="518A40F8"/>
    <w:rsid w:val="51A85DA5"/>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50DED"/>
    <w:rsid w:val="52662124"/>
    <w:rsid w:val="52770B21"/>
    <w:rsid w:val="52805020"/>
    <w:rsid w:val="5289403A"/>
    <w:rsid w:val="52906CDD"/>
    <w:rsid w:val="5299354E"/>
    <w:rsid w:val="529F0854"/>
    <w:rsid w:val="52B563AA"/>
    <w:rsid w:val="52B61649"/>
    <w:rsid w:val="52C23632"/>
    <w:rsid w:val="52CE016A"/>
    <w:rsid w:val="52CF312D"/>
    <w:rsid w:val="52D87BFA"/>
    <w:rsid w:val="52DD79AF"/>
    <w:rsid w:val="52DE163F"/>
    <w:rsid w:val="53000691"/>
    <w:rsid w:val="530436DD"/>
    <w:rsid w:val="5316339E"/>
    <w:rsid w:val="5321661F"/>
    <w:rsid w:val="532D65CD"/>
    <w:rsid w:val="53416AE4"/>
    <w:rsid w:val="534B6094"/>
    <w:rsid w:val="535B3F9E"/>
    <w:rsid w:val="537213DE"/>
    <w:rsid w:val="5373753A"/>
    <w:rsid w:val="53755AB6"/>
    <w:rsid w:val="53765649"/>
    <w:rsid w:val="537B1F4B"/>
    <w:rsid w:val="537B453F"/>
    <w:rsid w:val="53830AE9"/>
    <w:rsid w:val="538520C2"/>
    <w:rsid w:val="53884348"/>
    <w:rsid w:val="538C49EB"/>
    <w:rsid w:val="53965E65"/>
    <w:rsid w:val="539B2E82"/>
    <w:rsid w:val="53A96B68"/>
    <w:rsid w:val="53C73F79"/>
    <w:rsid w:val="53F15A14"/>
    <w:rsid w:val="53F219FD"/>
    <w:rsid w:val="53F82911"/>
    <w:rsid w:val="540B4957"/>
    <w:rsid w:val="540F4CEF"/>
    <w:rsid w:val="542D16A3"/>
    <w:rsid w:val="543336A8"/>
    <w:rsid w:val="54366D03"/>
    <w:rsid w:val="545C021C"/>
    <w:rsid w:val="545E2120"/>
    <w:rsid w:val="545E3D46"/>
    <w:rsid w:val="546E6BFF"/>
    <w:rsid w:val="549C6E75"/>
    <w:rsid w:val="54A216E3"/>
    <w:rsid w:val="54A93CF3"/>
    <w:rsid w:val="54AC5747"/>
    <w:rsid w:val="54B8163D"/>
    <w:rsid w:val="54C33E7A"/>
    <w:rsid w:val="54CA0677"/>
    <w:rsid w:val="54D758A7"/>
    <w:rsid w:val="54DF5356"/>
    <w:rsid w:val="54F6654C"/>
    <w:rsid w:val="54FB75B3"/>
    <w:rsid w:val="550C37A2"/>
    <w:rsid w:val="55222EE8"/>
    <w:rsid w:val="553227F1"/>
    <w:rsid w:val="554C1EFF"/>
    <w:rsid w:val="55596211"/>
    <w:rsid w:val="555B64D8"/>
    <w:rsid w:val="55647E29"/>
    <w:rsid w:val="556722F3"/>
    <w:rsid w:val="557F1478"/>
    <w:rsid w:val="55A16B26"/>
    <w:rsid w:val="560A6F64"/>
    <w:rsid w:val="561F3BF6"/>
    <w:rsid w:val="5621137D"/>
    <w:rsid w:val="56486A5C"/>
    <w:rsid w:val="56580614"/>
    <w:rsid w:val="56581D4F"/>
    <w:rsid w:val="565D36AC"/>
    <w:rsid w:val="5661367A"/>
    <w:rsid w:val="56691AD1"/>
    <w:rsid w:val="566B5B49"/>
    <w:rsid w:val="56777341"/>
    <w:rsid w:val="567E247E"/>
    <w:rsid w:val="56880E74"/>
    <w:rsid w:val="56A67681"/>
    <w:rsid w:val="56B440F1"/>
    <w:rsid w:val="56D75B32"/>
    <w:rsid w:val="56F551F5"/>
    <w:rsid w:val="57003E89"/>
    <w:rsid w:val="570B7A8A"/>
    <w:rsid w:val="570D0F77"/>
    <w:rsid w:val="570E6751"/>
    <w:rsid w:val="571921A6"/>
    <w:rsid w:val="572B7FE9"/>
    <w:rsid w:val="573A53F2"/>
    <w:rsid w:val="57592455"/>
    <w:rsid w:val="575932D9"/>
    <w:rsid w:val="57656856"/>
    <w:rsid w:val="579267E8"/>
    <w:rsid w:val="57B24BDD"/>
    <w:rsid w:val="57CA4712"/>
    <w:rsid w:val="57CD3163"/>
    <w:rsid w:val="57CE77B8"/>
    <w:rsid w:val="57ED7D21"/>
    <w:rsid w:val="57EE0F72"/>
    <w:rsid w:val="57F80680"/>
    <w:rsid w:val="57FE059D"/>
    <w:rsid w:val="58167DB2"/>
    <w:rsid w:val="582F4F70"/>
    <w:rsid w:val="58347AE3"/>
    <w:rsid w:val="583752B1"/>
    <w:rsid w:val="583C1DFC"/>
    <w:rsid w:val="586C27AA"/>
    <w:rsid w:val="586E7E05"/>
    <w:rsid w:val="586F6D89"/>
    <w:rsid w:val="58726493"/>
    <w:rsid w:val="58952BA8"/>
    <w:rsid w:val="58B30879"/>
    <w:rsid w:val="58C14D1B"/>
    <w:rsid w:val="58EF7663"/>
    <w:rsid w:val="58FA1B64"/>
    <w:rsid w:val="58FC11B0"/>
    <w:rsid w:val="59022CE9"/>
    <w:rsid w:val="590305D5"/>
    <w:rsid w:val="5906675A"/>
    <w:rsid w:val="59081A9C"/>
    <w:rsid w:val="590F1D92"/>
    <w:rsid w:val="591250FF"/>
    <w:rsid w:val="593701A6"/>
    <w:rsid w:val="594658A7"/>
    <w:rsid w:val="59536F77"/>
    <w:rsid w:val="596365AC"/>
    <w:rsid w:val="596F2552"/>
    <w:rsid w:val="597B47FC"/>
    <w:rsid w:val="59893E6E"/>
    <w:rsid w:val="598A6C22"/>
    <w:rsid w:val="599041AC"/>
    <w:rsid w:val="59985375"/>
    <w:rsid w:val="59A138AD"/>
    <w:rsid w:val="59A90C59"/>
    <w:rsid w:val="59B2243E"/>
    <w:rsid w:val="59C259C8"/>
    <w:rsid w:val="59CC60C7"/>
    <w:rsid w:val="59FE7432"/>
    <w:rsid w:val="5A126D99"/>
    <w:rsid w:val="5A212A54"/>
    <w:rsid w:val="5A312CF9"/>
    <w:rsid w:val="5A32457C"/>
    <w:rsid w:val="5A4847EA"/>
    <w:rsid w:val="5A504131"/>
    <w:rsid w:val="5A627886"/>
    <w:rsid w:val="5A7616BE"/>
    <w:rsid w:val="5A7B3BAD"/>
    <w:rsid w:val="5A7F4A16"/>
    <w:rsid w:val="5A920F62"/>
    <w:rsid w:val="5AA01C8C"/>
    <w:rsid w:val="5AA601F5"/>
    <w:rsid w:val="5AA75BC5"/>
    <w:rsid w:val="5AA930BB"/>
    <w:rsid w:val="5AAE0598"/>
    <w:rsid w:val="5AB03735"/>
    <w:rsid w:val="5ABD72ED"/>
    <w:rsid w:val="5AC369FE"/>
    <w:rsid w:val="5AC46501"/>
    <w:rsid w:val="5AC6374A"/>
    <w:rsid w:val="5ACE32A8"/>
    <w:rsid w:val="5B070568"/>
    <w:rsid w:val="5B151236"/>
    <w:rsid w:val="5B2037B0"/>
    <w:rsid w:val="5B2A2BD4"/>
    <w:rsid w:val="5B2D2BFB"/>
    <w:rsid w:val="5B444A1A"/>
    <w:rsid w:val="5B553ACC"/>
    <w:rsid w:val="5B564EB4"/>
    <w:rsid w:val="5B5F2152"/>
    <w:rsid w:val="5B7025B1"/>
    <w:rsid w:val="5B706485"/>
    <w:rsid w:val="5B977B3E"/>
    <w:rsid w:val="5B9C7E98"/>
    <w:rsid w:val="5BAC0A09"/>
    <w:rsid w:val="5BB23BD1"/>
    <w:rsid w:val="5BBB7BD4"/>
    <w:rsid w:val="5BBE156E"/>
    <w:rsid w:val="5BC965E5"/>
    <w:rsid w:val="5BD45B85"/>
    <w:rsid w:val="5BE54D4D"/>
    <w:rsid w:val="5BFC5BF3"/>
    <w:rsid w:val="5C05752E"/>
    <w:rsid w:val="5C0A47B4"/>
    <w:rsid w:val="5C0A6069"/>
    <w:rsid w:val="5C11407D"/>
    <w:rsid w:val="5C3655A9"/>
    <w:rsid w:val="5C4F3973"/>
    <w:rsid w:val="5C791C1C"/>
    <w:rsid w:val="5C853E3A"/>
    <w:rsid w:val="5C8A1451"/>
    <w:rsid w:val="5C8E06D8"/>
    <w:rsid w:val="5C8F3298"/>
    <w:rsid w:val="5CA245BA"/>
    <w:rsid w:val="5CB9004B"/>
    <w:rsid w:val="5CC11A32"/>
    <w:rsid w:val="5CC93D27"/>
    <w:rsid w:val="5CD572EF"/>
    <w:rsid w:val="5CDA23D8"/>
    <w:rsid w:val="5CE12B72"/>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0A2849"/>
    <w:rsid w:val="5E211C41"/>
    <w:rsid w:val="5E213151"/>
    <w:rsid w:val="5E244DF9"/>
    <w:rsid w:val="5E2E6A55"/>
    <w:rsid w:val="5E3254E4"/>
    <w:rsid w:val="5E457D25"/>
    <w:rsid w:val="5E552614"/>
    <w:rsid w:val="5E6D66A7"/>
    <w:rsid w:val="5E8672FD"/>
    <w:rsid w:val="5E9842F9"/>
    <w:rsid w:val="5EBE1E5D"/>
    <w:rsid w:val="5EE4753E"/>
    <w:rsid w:val="5EE66E12"/>
    <w:rsid w:val="5EF0286E"/>
    <w:rsid w:val="5EF75916"/>
    <w:rsid w:val="5EFA24D0"/>
    <w:rsid w:val="5F085D58"/>
    <w:rsid w:val="5F100333"/>
    <w:rsid w:val="5F1A101C"/>
    <w:rsid w:val="5F1C5B22"/>
    <w:rsid w:val="5F2E6A0B"/>
    <w:rsid w:val="5F3A651F"/>
    <w:rsid w:val="5F4104AC"/>
    <w:rsid w:val="5F424E12"/>
    <w:rsid w:val="5F534047"/>
    <w:rsid w:val="5F603FCD"/>
    <w:rsid w:val="5F631EAF"/>
    <w:rsid w:val="5F6929DD"/>
    <w:rsid w:val="5F6E0BB6"/>
    <w:rsid w:val="5F76036D"/>
    <w:rsid w:val="5F853FCC"/>
    <w:rsid w:val="5F93686E"/>
    <w:rsid w:val="5F960998"/>
    <w:rsid w:val="5F962864"/>
    <w:rsid w:val="5FB26FAF"/>
    <w:rsid w:val="5FBC4017"/>
    <w:rsid w:val="5FC60D9F"/>
    <w:rsid w:val="5FC90072"/>
    <w:rsid w:val="5FD12A1E"/>
    <w:rsid w:val="5FDB5D14"/>
    <w:rsid w:val="5FE915F6"/>
    <w:rsid w:val="60251956"/>
    <w:rsid w:val="602876DC"/>
    <w:rsid w:val="60356AD7"/>
    <w:rsid w:val="60413872"/>
    <w:rsid w:val="606624AB"/>
    <w:rsid w:val="607C08DA"/>
    <w:rsid w:val="607E0678"/>
    <w:rsid w:val="608924F9"/>
    <w:rsid w:val="608D7069"/>
    <w:rsid w:val="608D7925"/>
    <w:rsid w:val="60946860"/>
    <w:rsid w:val="60AC519E"/>
    <w:rsid w:val="60B265A6"/>
    <w:rsid w:val="60DB227B"/>
    <w:rsid w:val="60E03C99"/>
    <w:rsid w:val="60E375A5"/>
    <w:rsid w:val="60F65306"/>
    <w:rsid w:val="61037BAC"/>
    <w:rsid w:val="61045C75"/>
    <w:rsid w:val="61083D1B"/>
    <w:rsid w:val="610D059B"/>
    <w:rsid w:val="611E45A3"/>
    <w:rsid w:val="612B3202"/>
    <w:rsid w:val="612C6F7A"/>
    <w:rsid w:val="61465D66"/>
    <w:rsid w:val="61492CB3"/>
    <w:rsid w:val="615C33BC"/>
    <w:rsid w:val="61694A92"/>
    <w:rsid w:val="616D3F2C"/>
    <w:rsid w:val="61777BE6"/>
    <w:rsid w:val="619216B7"/>
    <w:rsid w:val="61A12413"/>
    <w:rsid w:val="61A51D16"/>
    <w:rsid w:val="61C65943"/>
    <w:rsid w:val="61E0335F"/>
    <w:rsid w:val="61E239A6"/>
    <w:rsid w:val="61E57855"/>
    <w:rsid w:val="61E7575B"/>
    <w:rsid w:val="621056C9"/>
    <w:rsid w:val="621A046C"/>
    <w:rsid w:val="623703BA"/>
    <w:rsid w:val="62483940"/>
    <w:rsid w:val="624F2DFA"/>
    <w:rsid w:val="62662B27"/>
    <w:rsid w:val="62775FD3"/>
    <w:rsid w:val="62827433"/>
    <w:rsid w:val="62A50D92"/>
    <w:rsid w:val="62AB4171"/>
    <w:rsid w:val="62CC631F"/>
    <w:rsid w:val="62D328FA"/>
    <w:rsid w:val="62DA4468"/>
    <w:rsid w:val="62DC00A5"/>
    <w:rsid w:val="62E83073"/>
    <w:rsid w:val="62EE1C10"/>
    <w:rsid w:val="63081829"/>
    <w:rsid w:val="630C68EA"/>
    <w:rsid w:val="630E43DC"/>
    <w:rsid w:val="63173B59"/>
    <w:rsid w:val="63265620"/>
    <w:rsid w:val="632A7697"/>
    <w:rsid w:val="63311505"/>
    <w:rsid w:val="63355EB6"/>
    <w:rsid w:val="63360481"/>
    <w:rsid w:val="63374D65"/>
    <w:rsid w:val="63463A4A"/>
    <w:rsid w:val="63847838"/>
    <w:rsid w:val="639818A0"/>
    <w:rsid w:val="63C0321D"/>
    <w:rsid w:val="63CE2DDD"/>
    <w:rsid w:val="63D448EB"/>
    <w:rsid w:val="63EC20AD"/>
    <w:rsid w:val="63F66740"/>
    <w:rsid w:val="63FC4626"/>
    <w:rsid w:val="64065E8B"/>
    <w:rsid w:val="64201B2D"/>
    <w:rsid w:val="642D54E3"/>
    <w:rsid w:val="64484A19"/>
    <w:rsid w:val="645C2086"/>
    <w:rsid w:val="645E569D"/>
    <w:rsid w:val="64640CF6"/>
    <w:rsid w:val="647732A7"/>
    <w:rsid w:val="64803865"/>
    <w:rsid w:val="64870E40"/>
    <w:rsid w:val="64AE4A59"/>
    <w:rsid w:val="64CD28A0"/>
    <w:rsid w:val="64DE3D6A"/>
    <w:rsid w:val="65221E1C"/>
    <w:rsid w:val="652C579B"/>
    <w:rsid w:val="65321259"/>
    <w:rsid w:val="653D3504"/>
    <w:rsid w:val="65507043"/>
    <w:rsid w:val="656447FC"/>
    <w:rsid w:val="657303D7"/>
    <w:rsid w:val="65926E15"/>
    <w:rsid w:val="65AF4A0C"/>
    <w:rsid w:val="65B21672"/>
    <w:rsid w:val="65BA6D35"/>
    <w:rsid w:val="65C2671A"/>
    <w:rsid w:val="65C67480"/>
    <w:rsid w:val="65C75C9D"/>
    <w:rsid w:val="65D05CBA"/>
    <w:rsid w:val="65E85BFF"/>
    <w:rsid w:val="65F037A6"/>
    <w:rsid w:val="65F938CF"/>
    <w:rsid w:val="660635F9"/>
    <w:rsid w:val="66300A44"/>
    <w:rsid w:val="6645724E"/>
    <w:rsid w:val="66461DD9"/>
    <w:rsid w:val="665A45C4"/>
    <w:rsid w:val="66611474"/>
    <w:rsid w:val="66625812"/>
    <w:rsid w:val="669E6755"/>
    <w:rsid w:val="66A6332B"/>
    <w:rsid w:val="66BF694D"/>
    <w:rsid w:val="66C21505"/>
    <w:rsid w:val="66C55540"/>
    <w:rsid w:val="66E06199"/>
    <w:rsid w:val="66E853BF"/>
    <w:rsid w:val="66EF318D"/>
    <w:rsid w:val="672D7995"/>
    <w:rsid w:val="673161D2"/>
    <w:rsid w:val="6745453E"/>
    <w:rsid w:val="674F1064"/>
    <w:rsid w:val="6761579B"/>
    <w:rsid w:val="677D578B"/>
    <w:rsid w:val="67805FF3"/>
    <w:rsid w:val="67874F0A"/>
    <w:rsid w:val="6796339F"/>
    <w:rsid w:val="67B10916"/>
    <w:rsid w:val="67BD62B5"/>
    <w:rsid w:val="67CD2B05"/>
    <w:rsid w:val="67E07D57"/>
    <w:rsid w:val="67E44D7F"/>
    <w:rsid w:val="67ED1F29"/>
    <w:rsid w:val="67EF0202"/>
    <w:rsid w:val="680753B0"/>
    <w:rsid w:val="680B0A7C"/>
    <w:rsid w:val="680E2F36"/>
    <w:rsid w:val="68507784"/>
    <w:rsid w:val="68561507"/>
    <w:rsid w:val="68585B7F"/>
    <w:rsid w:val="68696F3D"/>
    <w:rsid w:val="68735894"/>
    <w:rsid w:val="687E6A20"/>
    <w:rsid w:val="688D4BC7"/>
    <w:rsid w:val="689377BB"/>
    <w:rsid w:val="68AE1608"/>
    <w:rsid w:val="68C025AA"/>
    <w:rsid w:val="68DA33DD"/>
    <w:rsid w:val="68ED5241"/>
    <w:rsid w:val="68FD50FE"/>
    <w:rsid w:val="690713B2"/>
    <w:rsid w:val="6929195C"/>
    <w:rsid w:val="69324B5A"/>
    <w:rsid w:val="693E5C90"/>
    <w:rsid w:val="693F1E1E"/>
    <w:rsid w:val="694D2D44"/>
    <w:rsid w:val="6953779A"/>
    <w:rsid w:val="6954470E"/>
    <w:rsid w:val="69664E3F"/>
    <w:rsid w:val="69712D15"/>
    <w:rsid w:val="69786DCA"/>
    <w:rsid w:val="697D263D"/>
    <w:rsid w:val="698F265A"/>
    <w:rsid w:val="69932194"/>
    <w:rsid w:val="69934DA4"/>
    <w:rsid w:val="699C7B4E"/>
    <w:rsid w:val="69AB1C5D"/>
    <w:rsid w:val="69AE49D0"/>
    <w:rsid w:val="69B413E7"/>
    <w:rsid w:val="69B9312A"/>
    <w:rsid w:val="69C752F7"/>
    <w:rsid w:val="69D0571E"/>
    <w:rsid w:val="69E228CC"/>
    <w:rsid w:val="69EE1271"/>
    <w:rsid w:val="69EF2A7C"/>
    <w:rsid w:val="6A0E7CD5"/>
    <w:rsid w:val="6A3670BE"/>
    <w:rsid w:val="6A59434B"/>
    <w:rsid w:val="6A5B2B52"/>
    <w:rsid w:val="6A9504BF"/>
    <w:rsid w:val="6AA40C06"/>
    <w:rsid w:val="6AB74A6D"/>
    <w:rsid w:val="6AC00E5F"/>
    <w:rsid w:val="6AC030B5"/>
    <w:rsid w:val="6AC43EC0"/>
    <w:rsid w:val="6AF35574"/>
    <w:rsid w:val="6B070299"/>
    <w:rsid w:val="6B100513"/>
    <w:rsid w:val="6B353C24"/>
    <w:rsid w:val="6B395CD9"/>
    <w:rsid w:val="6B3D2A41"/>
    <w:rsid w:val="6B421874"/>
    <w:rsid w:val="6B6B269B"/>
    <w:rsid w:val="6B6E0FA1"/>
    <w:rsid w:val="6B77662F"/>
    <w:rsid w:val="6B7D1436"/>
    <w:rsid w:val="6B8409A5"/>
    <w:rsid w:val="6B981FC8"/>
    <w:rsid w:val="6BB72AEA"/>
    <w:rsid w:val="6BBA3B00"/>
    <w:rsid w:val="6BC02844"/>
    <w:rsid w:val="6BC427B2"/>
    <w:rsid w:val="6BD365AA"/>
    <w:rsid w:val="6BDF5315"/>
    <w:rsid w:val="6BEB4B29"/>
    <w:rsid w:val="6C0703C8"/>
    <w:rsid w:val="6C197B08"/>
    <w:rsid w:val="6C2E2B6D"/>
    <w:rsid w:val="6C5929ED"/>
    <w:rsid w:val="6C61660E"/>
    <w:rsid w:val="6C735D8A"/>
    <w:rsid w:val="6C810784"/>
    <w:rsid w:val="6C832144"/>
    <w:rsid w:val="6C9242EA"/>
    <w:rsid w:val="6C9F4AA4"/>
    <w:rsid w:val="6CA830DE"/>
    <w:rsid w:val="6CAC1ECF"/>
    <w:rsid w:val="6CAE52EE"/>
    <w:rsid w:val="6CBE317C"/>
    <w:rsid w:val="6D074C2F"/>
    <w:rsid w:val="6D252DE1"/>
    <w:rsid w:val="6D341C97"/>
    <w:rsid w:val="6D3451EC"/>
    <w:rsid w:val="6D5B6C53"/>
    <w:rsid w:val="6D954F35"/>
    <w:rsid w:val="6DAC5479"/>
    <w:rsid w:val="6DAF6F69"/>
    <w:rsid w:val="6DB027C0"/>
    <w:rsid w:val="6DB66549"/>
    <w:rsid w:val="6DC01DB8"/>
    <w:rsid w:val="6DD72555"/>
    <w:rsid w:val="6DDB1B0C"/>
    <w:rsid w:val="6DF373DB"/>
    <w:rsid w:val="6E075259"/>
    <w:rsid w:val="6E080D24"/>
    <w:rsid w:val="6E141E85"/>
    <w:rsid w:val="6E153270"/>
    <w:rsid w:val="6E164BD1"/>
    <w:rsid w:val="6E2B2A93"/>
    <w:rsid w:val="6E2F5DCE"/>
    <w:rsid w:val="6E376959"/>
    <w:rsid w:val="6E3A2CD6"/>
    <w:rsid w:val="6E4140FB"/>
    <w:rsid w:val="6E60184C"/>
    <w:rsid w:val="6E650F24"/>
    <w:rsid w:val="6E813B16"/>
    <w:rsid w:val="6E86412C"/>
    <w:rsid w:val="6EB41502"/>
    <w:rsid w:val="6ED11E12"/>
    <w:rsid w:val="6ED4707E"/>
    <w:rsid w:val="6EF0156F"/>
    <w:rsid w:val="6F153F6F"/>
    <w:rsid w:val="6F1909DC"/>
    <w:rsid w:val="6F237D85"/>
    <w:rsid w:val="6F2B1A31"/>
    <w:rsid w:val="6F2E3971"/>
    <w:rsid w:val="6F333E65"/>
    <w:rsid w:val="6F4B3740"/>
    <w:rsid w:val="6F4E5E31"/>
    <w:rsid w:val="6F6F6D2B"/>
    <w:rsid w:val="6F776A59"/>
    <w:rsid w:val="6F8E6E35"/>
    <w:rsid w:val="6F926B42"/>
    <w:rsid w:val="6FB86966"/>
    <w:rsid w:val="6FDA4CEA"/>
    <w:rsid w:val="6FE253D4"/>
    <w:rsid w:val="6FE74798"/>
    <w:rsid w:val="6FEE3B8C"/>
    <w:rsid w:val="6FF87C20"/>
    <w:rsid w:val="70081CA8"/>
    <w:rsid w:val="70121837"/>
    <w:rsid w:val="701238CF"/>
    <w:rsid w:val="703415F0"/>
    <w:rsid w:val="703D63DA"/>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F14C07"/>
    <w:rsid w:val="70F808E8"/>
    <w:rsid w:val="70FF01AD"/>
    <w:rsid w:val="7113559E"/>
    <w:rsid w:val="711A6DEF"/>
    <w:rsid w:val="7128397D"/>
    <w:rsid w:val="712E2DE0"/>
    <w:rsid w:val="71333A0D"/>
    <w:rsid w:val="71374871"/>
    <w:rsid w:val="714A6368"/>
    <w:rsid w:val="717F5010"/>
    <w:rsid w:val="7199255D"/>
    <w:rsid w:val="71CA4F2A"/>
    <w:rsid w:val="71DD3BE2"/>
    <w:rsid w:val="71ED0060"/>
    <w:rsid w:val="71F25676"/>
    <w:rsid w:val="72080D32"/>
    <w:rsid w:val="720D1F4D"/>
    <w:rsid w:val="721052B7"/>
    <w:rsid w:val="722308F4"/>
    <w:rsid w:val="722A0038"/>
    <w:rsid w:val="727C0236"/>
    <w:rsid w:val="72814B83"/>
    <w:rsid w:val="728564EA"/>
    <w:rsid w:val="72900561"/>
    <w:rsid w:val="729519B7"/>
    <w:rsid w:val="729C775C"/>
    <w:rsid w:val="72A73F0F"/>
    <w:rsid w:val="72B312A9"/>
    <w:rsid w:val="72C94629"/>
    <w:rsid w:val="72D57779"/>
    <w:rsid w:val="72F62983"/>
    <w:rsid w:val="73000AD0"/>
    <w:rsid w:val="73143DF5"/>
    <w:rsid w:val="7318400E"/>
    <w:rsid w:val="73266B91"/>
    <w:rsid w:val="7333230E"/>
    <w:rsid w:val="733D4B5B"/>
    <w:rsid w:val="73467A28"/>
    <w:rsid w:val="7355443D"/>
    <w:rsid w:val="73660DEB"/>
    <w:rsid w:val="736B1B84"/>
    <w:rsid w:val="736B3932"/>
    <w:rsid w:val="73775BB2"/>
    <w:rsid w:val="737B0AD6"/>
    <w:rsid w:val="738568B7"/>
    <w:rsid w:val="73860913"/>
    <w:rsid w:val="73953EEA"/>
    <w:rsid w:val="7396363B"/>
    <w:rsid w:val="73B12FE9"/>
    <w:rsid w:val="73B91CF6"/>
    <w:rsid w:val="73BC6BBA"/>
    <w:rsid w:val="73CB5C5D"/>
    <w:rsid w:val="740C0C71"/>
    <w:rsid w:val="74111D04"/>
    <w:rsid w:val="74171A01"/>
    <w:rsid w:val="7419338E"/>
    <w:rsid w:val="74302C64"/>
    <w:rsid w:val="7443263B"/>
    <w:rsid w:val="7444470B"/>
    <w:rsid w:val="74536A3F"/>
    <w:rsid w:val="745F5740"/>
    <w:rsid w:val="747C3D32"/>
    <w:rsid w:val="74810E5A"/>
    <w:rsid w:val="74835AE8"/>
    <w:rsid w:val="74856C75"/>
    <w:rsid w:val="749D5090"/>
    <w:rsid w:val="749F0331"/>
    <w:rsid w:val="749F0C11"/>
    <w:rsid w:val="74A8777D"/>
    <w:rsid w:val="74B854F4"/>
    <w:rsid w:val="74BE18BB"/>
    <w:rsid w:val="74D85F1E"/>
    <w:rsid w:val="750259DD"/>
    <w:rsid w:val="75031A86"/>
    <w:rsid w:val="750A41BF"/>
    <w:rsid w:val="753664E6"/>
    <w:rsid w:val="753C32D8"/>
    <w:rsid w:val="75432118"/>
    <w:rsid w:val="755D1F6E"/>
    <w:rsid w:val="756E71B1"/>
    <w:rsid w:val="756E770A"/>
    <w:rsid w:val="75717525"/>
    <w:rsid w:val="75750A98"/>
    <w:rsid w:val="757F5863"/>
    <w:rsid w:val="759E7FEF"/>
    <w:rsid w:val="75A01BA0"/>
    <w:rsid w:val="75A3577E"/>
    <w:rsid w:val="75CB076F"/>
    <w:rsid w:val="75E87144"/>
    <w:rsid w:val="76270659"/>
    <w:rsid w:val="764056E2"/>
    <w:rsid w:val="76407230"/>
    <w:rsid w:val="76483E2B"/>
    <w:rsid w:val="764A5E39"/>
    <w:rsid w:val="765863F0"/>
    <w:rsid w:val="76746FA2"/>
    <w:rsid w:val="767652A9"/>
    <w:rsid w:val="76852153"/>
    <w:rsid w:val="76993A01"/>
    <w:rsid w:val="769A7EDF"/>
    <w:rsid w:val="76A30AFA"/>
    <w:rsid w:val="76AB493A"/>
    <w:rsid w:val="76B0451F"/>
    <w:rsid w:val="76B46D6B"/>
    <w:rsid w:val="76B86E8E"/>
    <w:rsid w:val="76BA3E58"/>
    <w:rsid w:val="76DB7291"/>
    <w:rsid w:val="76E70700"/>
    <w:rsid w:val="76E754F2"/>
    <w:rsid w:val="76E8509A"/>
    <w:rsid w:val="76F27926"/>
    <w:rsid w:val="77020109"/>
    <w:rsid w:val="770C63D0"/>
    <w:rsid w:val="7716366B"/>
    <w:rsid w:val="77203F70"/>
    <w:rsid w:val="772E65EA"/>
    <w:rsid w:val="77372ECB"/>
    <w:rsid w:val="77443D39"/>
    <w:rsid w:val="77534E09"/>
    <w:rsid w:val="77783DFC"/>
    <w:rsid w:val="777B3E41"/>
    <w:rsid w:val="778356EE"/>
    <w:rsid w:val="778A367F"/>
    <w:rsid w:val="778D0A16"/>
    <w:rsid w:val="779A2A38"/>
    <w:rsid w:val="77A742C9"/>
    <w:rsid w:val="77A96719"/>
    <w:rsid w:val="77C24239"/>
    <w:rsid w:val="77D4227E"/>
    <w:rsid w:val="77DF5A8B"/>
    <w:rsid w:val="77ED43AE"/>
    <w:rsid w:val="77FA4943"/>
    <w:rsid w:val="78043E2D"/>
    <w:rsid w:val="783F0EE9"/>
    <w:rsid w:val="78485358"/>
    <w:rsid w:val="784A2879"/>
    <w:rsid w:val="78523BB2"/>
    <w:rsid w:val="786D3CA8"/>
    <w:rsid w:val="788334CC"/>
    <w:rsid w:val="78863C82"/>
    <w:rsid w:val="788D62EB"/>
    <w:rsid w:val="789C58B9"/>
    <w:rsid w:val="78D03957"/>
    <w:rsid w:val="78DB50B6"/>
    <w:rsid w:val="78F107E1"/>
    <w:rsid w:val="78F65A4C"/>
    <w:rsid w:val="78FB12B4"/>
    <w:rsid w:val="790C7AD7"/>
    <w:rsid w:val="791D50EE"/>
    <w:rsid w:val="793925CD"/>
    <w:rsid w:val="795773C0"/>
    <w:rsid w:val="79823784"/>
    <w:rsid w:val="798B7DE0"/>
    <w:rsid w:val="799E3268"/>
    <w:rsid w:val="79A5368F"/>
    <w:rsid w:val="79AE4579"/>
    <w:rsid w:val="79B748A3"/>
    <w:rsid w:val="79EA6FB1"/>
    <w:rsid w:val="79EB3FC1"/>
    <w:rsid w:val="79FB04FD"/>
    <w:rsid w:val="79FF05B1"/>
    <w:rsid w:val="7A2275F3"/>
    <w:rsid w:val="7A29208A"/>
    <w:rsid w:val="7A3A71B0"/>
    <w:rsid w:val="7A3E3B4E"/>
    <w:rsid w:val="7A484464"/>
    <w:rsid w:val="7A4A738F"/>
    <w:rsid w:val="7A72434A"/>
    <w:rsid w:val="7A7B7C81"/>
    <w:rsid w:val="7A9C4B42"/>
    <w:rsid w:val="7A9C69F9"/>
    <w:rsid w:val="7A9E1BB2"/>
    <w:rsid w:val="7AA50F65"/>
    <w:rsid w:val="7AC322A6"/>
    <w:rsid w:val="7AC51B7A"/>
    <w:rsid w:val="7AD37417"/>
    <w:rsid w:val="7ADB322E"/>
    <w:rsid w:val="7ADB6286"/>
    <w:rsid w:val="7ADC79C1"/>
    <w:rsid w:val="7B06720A"/>
    <w:rsid w:val="7B2829EF"/>
    <w:rsid w:val="7B315A2C"/>
    <w:rsid w:val="7B32401A"/>
    <w:rsid w:val="7B3E7CED"/>
    <w:rsid w:val="7B416C0F"/>
    <w:rsid w:val="7B5C3495"/>
    <w:rsid w:val="7B6475E5"/>
    <w:rsid w:val="7B6930D1"/>
    <w:rsid w:val="7B6A29F2"/>
    <w:rsid w:val="7B6C7A46"/>
    <w:rsid w:val="7B7F6487"/>
    <w:rsid w:val="7B8160C2"/>
    <w:rsid w:val="7B8B0C26"/>
    <w:rsid w:val="7BA45C33"/>
    <w:rsid w:val="7BA91283"/>
    <w:rsid w:val="7BA92F1A"/>
    <w:rsid w:val="7BC25DD8"/>
    <w:rsid w:val="7BD625D0"/>
    <w:rsid w:val="7BDE7397"/>
    <w:rsid w:val="7BF22E42"/>
    <w:rsid w:val="7C036DFE"/>
    <w:rsid w:val="7C0C10E4"/>
    <w:rsid w:val="7C0E51CC"/>
    <w:rsid w:val="7C2E4FBE"/>
    <w:rsid w:val="7C647FED"/>
    <w:rsid w:val="7C896BD7"/>
    <w:rsid w:val="7C8A4362"/>
    <w:rsid w:val="7C946D15"/>
    <w:rsid w:val="7C9B46A7"/>
    <w:rsid w:val="7CA459D5"/>
    <w:rsid w:val="7CB34463"/>
    <w:rsid w:val="7CDC7DD4"/>
    <w:rsid w:val="7CE87470"/>
    <w:rsid w:val="7CF005F7"/>
    <w:rsid w:val="7D155CC4"/>
    <w:rsid w:val="7D250FF6"/>
    <w:rsid w:val="7D351B9F"/>
    <w:rsid w:val="7D491718"/>
    <w:rsid w:val="7D500AED"/>
    <w:rsid w:val="7D5A249C"/>
    <w:rsid w:val="7D80622C"/>
    <w:rsid w:val="7D8B0D7C"/>
    <w:rsid w:val="7DA07B9A"/>
    <w:rsid w:val="7DA37F32"/>
    <w:rsid w:val="7DA55C93"/>
    <w:rsid w:val="7DB72E1B"/>
    <w:rsid w:val="7DD5728E"/>
    <w:rsid w:val="7DE247F1"/>
    <w:rsid w:val="7DFF3469"/>
    <w:rsid w:val="7E007461"/>
    <w:rsid w:val="7E343D84"/>
    <w:rsid w:val="7E391A74"/>
    <w:rsid w:val="7E391CC9"/>
    <w:rsid w:val="7E3F3081"/>
    <w:rsid w:val="7E4436FD"/>
    <w:rsid w:val="7E4E1E86"/>
    <w:rsid w:val="7E525E1A"/>
    <w:rsid w:val="7E5751DF"/>
    <w:rsid w:val="7E6B3E20"/>
    <w:rsid w:val="7E784503"/>
    <w:rsid w:val="7E7E09BD"/>
    <w:rsid w:val="7E803CF0"/>
    <w:rsid w:val="7E8477B4"/>
    <w:rsid w:val="7E861620"/>
    <w:rsid w:val="7E8B7D9C"/>
    <w:rsid w:val="7E942F37"/>
    <w:rsid w:val="7E9B7171"/>
    <w:rsid w:val="7E9F0F2B"/>
    <w:rsid w:val="7EA321D2"/>
    <w:rsid w:val="7EBB72B2"/>
    <w:rsid w:val="7ED61C99"/>
    <w:rsid w:val="7ED6233D"/>
    <w:rsid w:val="7EDA5900"/>
    <w:rsid w:val="7EDC1B9E"/>
    <w:rsid w:val="7EF7251E"/>
    <w:rsid w:val="7EFA283D"/>
    <w:rsid w:val="7EFD52BB"/>
    <w:rsid w:val="7F0346C3"/>
    <w:rsid w:val="7F0A5591"/>
    <w:rsid w:val="7F216FC3"/>
    <w:rsid w:val="7F294505"/>
    <w:rsid w:val="7F350BDD"/>
    <w:rsid w:val="7F3D43D5"/>
    <w:rsid w:val="7F4A6516"/>
    <w:rsid w:val="7F5757BE"/>
    <w:rsid w:val="7F690FA9"/>
    <w:rsid w:val="7F6C4CBA"/>
    <w:rsid w:val="7F6C5FC6"/>
    <w:rsid w:val="7F824865"/>
    <w:rsid w:val="7F8A76B2"/>
    <w:rsid w:val="7F8C1E91"/>
    <w:rsid w:val="7F8F03A1"/>
    <w:rsid w:val="7FAF6024"/>
    <w:rsid w:val="7FB93C21"/>
    <w:rsid w:val="7FBB0F60"/>
    <w:rsid w:val="7FC468A4"/>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69"/>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8">
    <w:name w:val="heading 2"/>
    <w:basedOn w:val="1"/>
    <w:next w:val="1"/>
    <w:link w:val="70"/>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9">
    <w:name w:val="heading 3"/>
    <w:basedOn w:val="1"/>
    <w:next w:val="1"/>
    <w:link w:val="71"/>
    <w:autoRedefine/>
    <w:qFormat/>
    <w:uiPriority w:val="0"/>
    <w:pPr>
      <w:autoSpaceDE w:val="0"/>
      <w:autoSpaceDN w:val="0"/>
      <w:adjustRightInd w:val="0"/>
      <w:spacing w:before="16"/>
      <w:jc w:val="left"/>
      <w:outlineLvl w:val="2"/>
    </w:pPr>
    <w:rPr>
      <w:rFonts w:ascii="仿宋_GB2312" w:eastAsia="仿宋_GB2312"/>
      <w:b/>
      <w:sz w:val="24"/>
    </w:rPr>
  </w:style>
  <w:style w:type="paragraph" w:styleId="10">
    <w:name w:val="heading 4"/>
    <w:basedOn w:val="1"/>
    <w:next w:val="1"/>
    <w:link w:val="72"/>
    <w:autoRedefine/>
    <w:qFormat/>
    <w:uiPriority w:val="0"/>
    <w:pPr>
      <w:jc w:val="center"/>
      <w:outlineLvl w:val="3"/>
    </w:pPr>
    <w:rPr>
      <w:rFonts w:ascii="仿宋_GB2312" w:eastAsia="仿宋_GB2312"/>
      <w:b/>
      <w:sz w:val="24"/>
    </w:rPr>
  </w:style>
  <w:style w:type="paragraph" w:styleId="11">
    <w:name w:val="heading 5"/>
    <w:basedOn w:val="1"/>
    <w:next w:val="1"/>
    <w:link w:val="73"/>
    <w:autoRedefine/>
    <w:qFormat/>
    <w:uiPriority w:val="0"/>
    <w:pPr>
      <w:keepNext/>
      <w:keepLines/>
      <w:spacing w:before="280" w:after="290" w:line="374" w:lineRule="auto"/>
      <w:outlineLvl w:val="4"/>
    </w:pPr>
    <w:rPr>
      <w:b/>
      <w:bCs/>
      <w:sz w:val="28"/>
      <w:szCs w:val="28"/>
    </w:rPr>
  </w:style>
  <w:style w:type="paragraph" w:styleId="12">
    <w:name w:val="heading 6"/>
    <w:basedOn w:val="1"/>
    <w:next w:val="1"/>
    <w:link w:val="74"/>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75"/>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76"/>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77"/>
    <w:autoRedefine/>
    <w:qFormat/>
    <w:uiPriority w:val="0"/>
    <w:pPr>
      <w:keepNext/>
      <w:keepLines/>
      <w:spacing w:before="240" w:after="64" w:line="319" w:lineRule="auto"/>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96"/>
    <w:autoRedefine/>
    <w:qFormat/>
    <w:uiPriority w:val="0"/>
    <w:pPr>
      <w:spacing w:after="120" w:line="240" w:lineRule="auto"/>
      <w:ind w:left="420" w:leftChars="200" w:firstLine="420"/>
    </w:pPr>
    <w:rPr>
      <w:sz w:val="21"/>
      <w:szCs w:val="24"/>
    </w:rPr>
  </w:style>
  <w:style w:type="paragraph" w:styleId="3">
    <w:name w:val="Body Text Indent"/>
    <w:basedOn w:val="1"/>
    <w:next w:val="4"/>
    <w:link w:val="81"/>
    <w:autoRedefine/>
    <w:qFormat/>
    <w:uiPriority w:val="0"/>
    <w:pPr>
      <w:spacing w:line="360" w:lineRule="auto"/>
      <w:ind w:firstLine="560" w:firstLineChars="200"/>
    </w:pPr>
    <w:rPr>
      <w:rFonts w:ascii="黑体" w:hAnsi="宋体" w:eastAsia="黑体"/>
      <w:color w:val="000000"/>
      <w:sz w:val="28"/>
    </w:rPr>
  </w:style>
  <w:style w:type="paragraph" w:customStyle="1" w:styleId="4">
    <w:name w:val="样式 宋体 五号 行距: 单倍行距"/>
    <w:basedOn w:val="1"/>
    <w:qFormat/>
    <w:uiPriority w:val="0"/>
    <w:pPr>
      <w:adjustRightInd w:val="0"/>
      <w:jc w:val="left"/>
    </w:pPr>
    <w:rPr>
      <w:rFonts w:ascii="宋体" w:hAnsi="宋体"/>
      <w:kern w:val="0"/>
      <w:sz w:val="21"/>
    </w:rPr>
  </w:style>
  <w:style w:type="paragraph" w:styleId="5">
    <w:name w:val="Body Text First Indent"/>
    <w:basedOn w:val="6"/>
    <w:next w:val="1"/>
    <w:autoRedefine/>
    <w:qFormat/>
    <w:uiPriority w:val="99"/>
    <w:pPr>
      <w:spacing w:after="120" w:line="275" w:lineRule="atLeast"/>
      <w:ind w:firstLine="420"/>
      <w:textAlignment w:val="baseline"/>
    </w:pPr>
  </w:style>
  <w:style w:type="paragraph" w:styleId="6">
    <w:name w:val="Body Text"/>
    <w:basedOn w:val="1"/>
    <w:next w:val="1"/>
    <w:link w:val="68"/>
    <w:autoRedefine/>
    <w:qFormat/>
    <w:uiPriority w:val="0"/>
    <w:rPr>
      <w:sz w:val="26"/>
    </w:rPr>
  </w:style>
  <w:style w:type="paragraph" w:styleId="16">
    <w:name w:val="toc 7"/>
    <w:basedOn w:val="1"/>
    <w:next w:val="1"/>
    <w:autoRedefine/>
    <w:qFormat/>
    <w:uiPriority w:val="0"/>
    <w:pPr>
      <w:ind w:left="1260"/>
      <w:jc w:val="left"/>
    </w:pPr>
    <w:rPr>
      <w:rFonts w:ascii="Calibri" w:hAnsi="Calibri"/>
      <w:sz w:val="18"/>
    </w:rPr>
  </w:style>
  <w:style w:type="paragraph" w:styleId="17">
    <w:name w:val="List Bullet 4"/>
    <w:basedOn w:val="1"/>
    <w:autoRedefine/>
    <w:qFormat/>
    <w:uiPriority w:val="0"/>
    <w:pPr>
      <w:tabs>
        <w:tab w:val="left" w:pos="1620"/>
      </w:tabs>
      <w:ind w:left="1620" w:leftChars="600" w:hanging="360" w:hangingChars="200"/>
    </w:pPr>
    <w:rPr>
      <w:szCs w:val="24"/>
    </w:rPr>
  </w:style>
  <w:style w:type="paragraph" w:styleId="18">
    <w:name w:val="Normal Indent"/>
    <w:basedOn w:val="1"/>
    <w:autoRedefine/>
    <w:qFormat/>
    <w:uiPriority w:val="0"/>
    <w:pPr>
      <w:ind w:firstLine="420" w:firstLineChars="200"/>
    </w:pPr>
    <w:rPr>
      <w:szCs w:val="24"/>
    </w:rPr>
  </w:style>
  <w:style w:type="paragraph" w:styleId="19">
    <w:name w:val="List Bullet"/>
    <w:basedOn w:val="1"/>
    <w:autoRedefine/>
    <w:qFormat/>
    <w:uiPriority w:val="0"/>
    <w:pPr>
      <w:tabs>
        <w:tab w:val="left" w:pos="360"/>
      </w:tabs>
      <w:ind w:left="360" w:hanging="360" w:hangingChars="200"/>
    </w:pPr>
    <w:rPr>
      <w:szCs w:val="24"/>
    </w:rPr>
  </w:style>
  <w:style w:type="paragraph" w:styleId="20">
    <w:name w:val="Document Map"/>
    <w:basedOn w:val="1"/>
    <w:link w:val="78"/>
    <w:autoRedefine/>
    <w:qFormat/>
    <w:uiPriority w:val="0"/>
    <w:pPr>
      <w:shd w:val="clear" w:color="auto" w:fill="000080"/>
    </w:pPr>
    <w:rPr>
      <w:shd w:val="clear" w:color="auto" w:fill="000080"/>
    </w:rPr>
  </w:style>
  <w:style w:type="paragraph" w:styleId="21">
    <w:name w:val="annotation text"/>
    <w:basedOn w:val="1"/>
    <w:link w:val="79"/>
    <w:autoRedefine/>
    <w:qFormat/>
    <w:uiPriority w:val="0"/>
    <w:pPr>
      <w:jc w:val="left"/>
    </w:pPr>
  </w:style>
  <w:style w:type="paragraph" w:styleId="22">
    <w:name w:val="Body Text 3"/>
    <w:basedOn w:val="1"/>
    <w:link w:val="80"/>
    <w:autoRedefine/>
    <w:qFormat/>
    <w:uiPriority w:val="0"/>
    <w:pPr>
      <w:spacing w:after="120"/>
    </w:pPr>
    <w:rPr>
      <w:sz w:val="16"/>
      <w:szCs w:val="16"/>
    </w:rPr>
  </w:style>
  <w:style w:type="paragraph" w:styleId="23">
    <w:name w:val="List Bullet 3"/>
    <w:basedOn w:val="1"/>
    <w:autoRedefine/>
    <w:qFormat/>
    <w:uiPriority w:val="0"/>
    <w:pPr>
      <w:tabs>
        <w:tab w:val="left" w:pos="1200"/>
      </w:tabs>
      <w:ind w:left="1200" w:leftChars="400" w:hanging="360" w:hangingChars="200"/>
    </w:pPr>
    <w:rPr>
      <w:szCs w:val="24"/>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5">
    <w:name w:val="List Bullet 2"/>
    <w:basedOn w:val="1"/>
    <w:autoRedefine/>
    <w:qFormat/>
    <w:uiPriority w:val="0"/>
    <w:pPr>
      <w:tabs>
        <w:tab w:val="left" w:pos="780"/>
      </w:tabs>
      <w:ind w:left="780" w:leftChars="200" w:hanging="360" w:hangingChars="200"/>
    </w:pPr>
    <w:rPr>
      <w:szCs w:val="24"/>
    </w:rPr>
  </w:style>
  <w:style w:type="paragraph" w:styleId="26">
    <w:name w:val="toc 5"/>
    <w:basedOn w:val="1"/>
    <w:next w:val="1"/>
    <w:autoRedefine/>
    <w:qFormat/>
    <w:uiPriority w:val="0"/>
    <w:pPr>
      <w:ind w:left="840"/>
      <w:jc w:val="left"/>
    </w:pPr>
    <w:rPr>
      <w:rFonts w:ascii="Calibri" w:hAnsi="Calibri"/>
      <w:sz w:val="18"/>
    </w:rPr>
  </w:style>
  <w:style w:type="paragraph" w:styleId="27">
    <w:name w:val="toc 3"/>
    <w:basedOn w:val="1"/>
    <w:next w:val="1"/>
    <w:autoRedefine/>
    <w:qFormat/>
    <w:uiPriority w:val="39"/>
    <w:pPr>
      <w:ind w:left="420"/>
      <w:jc w:val="left"/>
    </w:pPr>
    <w:rPr>
      <w:rFonts w:ascii="Calibri" w:hAnsi="Calibri" w:eastAsia="仿宋_GB2312"/>
    </w:rPr>
  </w:style>
  <w:style w:type="paragraph" w:styleId="28">
    <w:name w:val="Plain Text"/>
    <w:basedOn w:val="1"/>
    <w:next w:val="1"/>
    <w:link w:val="82"/>
    <w:autoRedefine/>
    <w:qFormat/>
    <w:uiPriority w:val="0"/>
    <w:rPr>
      <w:rFonts w:ascii="宋体" w:hAnsi="Courier New"/>
      <w:sz w:val="28"/>
    </w:rPr>
  </w:style>
  <w:style w:type="paragraph" w:styleId="29">
    <w:name w:val="List Bullet 5"/>
    <w:basedOn w:val="1"/>
    <w:autoRedefine/>
    <w:qFormat/>
    <w:uiPriority w:val="0"/>
    <w:pPr>
      <w:tabs>
        <w:tab w:val="left" w:pos="2040"/>
      </w:tabs>
      <w:ind w:left="2040" w:leftChars="800" w:hanging="360" w:hangingChars="200"/>
    </w:pPr>
    <w:rPr>
      <w:szCs w:val="24"/>
    </w:rPr>
  </w:style>
  <w:style w:type="paragraph" w:styleId="30">
    <w:name w:val="toc 8"/>
    <w:basedOn w:val="1"/>
    <w:next w:val="1"/>
    <w:autoRedefine/>
    <w:qFormat/>
    <w:uiPriority w:val="0"/>
    <w:pPr>
      <w:ind w:left="1470"/>
      <w:jc w:val="left"/>
    </w:pPr>
    <w:rPr>
      <w:rFonts w:ascii="Calibri" w:hAnsi="Calibri"/>
      <w:sz w:val="18"/>
    </w:rPr>
  </w:style>
  <w:style w:type="paragraph" w:styleId="31">
    <w:name w:val="Date"/>
    <w:basedOn w:val="1"/>
    <w:next w:val="1"/>
    <w:link w:val="83"/>
    <w:autoRedefine/>
    <w:qFormat/>
    <w:uiPriority w:val="0"/>
    <w:rPr>
      <w:sz w:val="24"/>
    </w:rPr>
  </w:style>
  <w:style w:type="paragraph" w:styleId="32">
    <w:name w:val="Body Text Indent 2"/>
    <w:basedOn w:val="1"/>
    <w:link w:val="84"/>
    <w:autoRedefine/>
    <w:qFormat/>
    <w:uiPriority w:val="0"/>
    <w:pPr>
      <w:ind w:left="1005" w:hanging="1005"/>
    </w:pPr>
    <w:rPr>
      <w:rFonts w:eastAsia="仿宋_GB2312"/>
      <w:sz w:val="32"/>
    </w:rPr>
  </w:style>
  <w:style w:type="paragraph" w:styleId="33">
    <w:name w:val="endnote text"/>
    <w:basedOn w:val="1"/>
    <w:link w:val="85"/>
    <w:autoRedefine/>
    <w:qFormat/>
    <w:uiPriority w:val="0"/>
    <w:pPr>
      <w:widowControl/>
      <w:snapToGrid w:val="0"/>
      <w:jc w:val="left"/>
    </w:pPr>
    <w:rPr>
      <w:rFonts w:ascii="Arial" w:hAnsi="Arial"/>
      <w:kern w:val="0"/>
      <w:sz w:val="20"/>
      <w:szCs w:val="24"/>
      <w:lang w:eastAsia="en-US"/>
    </w:rPr>
  </w:style>
  <w:style w:type="paragraph" w:styleId="34">
    <w:name w:val="Balloon Text"/>
    <w:basedOn w:val="1"/>
    <w:link w:val="86"/>
    <w:autoRedefine/>
    <w:qFormat/>
    <w:uiPriority w:val="0"/>
    <w:rPr>
      <w:sz w:val="18"/>
    </w:rPr>
  </w:style>
  <w:style w:type="paragraph" w:styleId="35">
    <w:name w:val="footer"/>
    <w:basedOn w:val="1"/>
    <w:link w:val="87"/>
    <w:autoRedefine/>
    <w:qFormat/>
    <w:uiPriority w:val="99"/>
    <w:pPr>
      <w:tabs>
        <w:tab w:val="center" w:pos="4153"/>
        <w:tab w:val="right" w:pos="8306"/>
      </w:tabs>
      <w:snapToGrid w:val="0"/>
      <w:jc w:val="left"/>
    </w:pPr>
    <w:rPr>
      <w:sz w:val="18"/>
    </w:rPr>
  </w:style>
  <w:style w:type="paragraph" w:styleId="36">
    <w:name w:val="header"/>
    <w:basedOn w:val="1"/>
    <w:link w:val="88"/>
    <w:autoRedefine/>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before="120" w:after="120"/>
      <w:jc w:val="left"/>
    </w:pPr>
    <w:rPr>
      <w:rFonts w:ascii="Calibri" w:hAnsi="Calibri" w:eastAsia="仿宋_GB2312"/>
      <w:b/>
      <w:caps/>
      <w:sz w:val="28"/>
    </w:rPr>
  </w:style>
  <w:style w:type="paragraph" w:styleId="38">
    <w:name w:val="toc 4"/>
    <w:basedOn w:val="1"/>
    <w:next w:val="1"/>
    <w:autoRedefine/>
    <w:qFormat/>
    <w:uiPriority w:val="0"/>
    <w:pPr>
      <w:ind w:left="630"/>
      <w:jc w:val="left"/>
    </w:pPr>
    <w:rPr>
      <w:rFonts w:ascii="Calibri" w:hAnsi="Calibri"/>
      <w:sz w:val="18"/>
    </w:rPr>
  </w:style>
  <w:style w:type="paragraph" w:styleId="39">
    <w:name w:val="Subtitle"/>
    <w:basedOn w:val="1"/>
    <w:link w:val="89"/>
    <w:autoRedefine/>
    <w:qFormat/>
    <w:uiPriority w:val="0"/>
    <w:pPr>
      <w:widowControl/>
      <w:jc w:val="center"/>
    </w:pPr>
    <w:rPr>
      <w:szCs w:val="24"/>
      <w:u w:val="single"/>
      <w:lang w:eastAsia="en-US"/>
    </w:rPr>
  </w:style>
  <w:style w:type="paragraph" w:styleId="40">
    <w:name w:val="footnote text"/>
    <w:basedOn w:val="1"/>
    <w:link w:val="90"/>
    <w:autoRedefine/>
    <w:qFormat/>
    <w:uiPriority w:val="0"/>
    <w:pPr>
      <w:snapToGrid w:val="0"/>
      <w:jc w:val="left"/>
    </w:pPr>
    <w:rPr>
      <w:sz w:val="18"/>
    </w:rPr>
  </w:style>
  <w:style w:type="paragraph" w:styleId="41">
    <w:name w:val="toc 6"/>
    <w:basedOn w:val="1"/>
    <w:next w:val="1"/>
    <w:autoRedefine/>
    <w:qFormat/>
    <w:uiPriority w:val="0"/>
    <w:pPr>
      <w:ind w:left="1050"/>
      <w:jc w:val="left"/>
    </w:pPr>
    <w:rPr>
      <w:rFonts w:ascii="Calibri" w:hAnsi="Calibri"/>
      <w:sz w:val="18"/>
    </w:rPr>
  </w:style>
  <w:style w:type="paragraph" w:styleId="42">
    <w:name w:val="Body Text Indent 3"/>
    <w:basedOn w:val="1"/>
    <w:link w:val="91"/>
    <w:autoRedefine/>
    <w:qFormat/>
    <w:uiPriority w:val="0"/>
    <w:pPr>
      <w:spacing w:after="120"/>
      <w:ind w:left="420" w:leftChars="200"/>
    </w:pPr>
    <w:rPr>
      <w:sz w:val="16"/>
    </w:rPr>
  </w:style>
  <w:style w:type="paragraph" w:styleId="43">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4">
    <w:name w:val="toc 9"/>
    <w:basedOn w:val="1"/>
    <w:next w:val="1"/>
    <w:autoRedefine/>
    <w:qFormat/>
    <w:uiPriority w:val="0"/>
    <w:pPr>
      <w:ind w:left="1680"/>
      <w:jc w:val="left"/>
    </w:pPr>
    <w:rPr>
      <w:rFonts w:ascii="Calibri" w:hAnsi="Calibri"/>
      <w:sz w:val="18"/>
    </w:rPr>
  </w:style>
  <w:style w:type="paragraph" w:styleId="45">
    <w:name w:val="Body Text 2"/>
    <w:basedOn w:val="1"/>
    <w:link w:val="92"/>
    <w:autoRedefine/>
    <w:qFormat/>
    <w:uiPriority w:val="0"/>
    <w:rPr>
      <w:i/>
      <w:sz w:val="26"/>
    </w:rPr>
  </w:style>
  <w:style w:type="paragraph" w:styleId="46">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7">
    <w:name w:val="Normal (Web)"/>
    <w:basedOn w:val="1"/>
    <w:autoRedefine/>
    <w:qFormat/>
    <w:uiPriority w:val="99"/>
    <w:pPr>
      <w:widowControl/>
      <w:spacing w:before="100" w:beforeAutospacing="1" w:after="100" w:afterAutospacing="1"/>
      <w:jc w:val="left"/>
    </w:pPr>
    <w:rPr>
      <w:kern w:val="0"/>
      <w:sz w:val="24"/>
    </w:rPr>
  </w:style>
  <w:style w:type="paragraph" w:styleId="48">
    <w:name w:val="Title"/>
    <w:basedOn w:val="1"/>
    <w:next w:val="1"/>
    <w:link w:val="94"/>
    <w:autoRedefine/>
    <w:qFormat/>
    <w:uiPriority w:val="0"/>
    <w:pPr>
      <w:widowControl/>
      <w:jc w:val="center"/>
    </w:pPr>
    <w:rPr>
      <w:kern w:val="0"/>
      <w:sz w:val="20"/>
      <w:szCs w:val="24"/>
      <w:u w:val="single"/>
      <w:lang w:eastAsia="en-US"/>
    </w:rPr>
  </w:style>
  <w:style w:type="paragraph" w:styleId="49">
    <w:name w:val="annotation subject"/>
    <w:basedOn w:val="21"/>
    <w:next w:val="21"/>
    <w:link w:val="95"/>
    <w:autoRedefine/>
    <w:qFormat/>
    <w:uiPriority w:val="0"/>
    <w:rPr>
      <w:sz w:val="24"/>
    </w:rPr>
  </w:style>
  <w:style w:type="table" w:styleId="51">
    <w:name w:val="Table Grid"/>
    <w:basedOn w:val="50"/>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0"/>
    <w:rPr>
      <w:color w:val="333333"/>
      <w:u w:val="none"/>
    </w:rPr>
  </w:style>
  <w:style w:type="character" w:styleId="56">
    <w:name w:val="Emphasis"/>
    <w:autoRedefine/>
    <w:qFormat/>
    <w:uiPriority w:val="0"/>
    <w:rPr>
      <w:i/>
      <w:iCs/>
    </w:rPr>
  </w:style>
  <w:style w:type="character" w:styleId="57">
    <w:name w:val="HTML Definition"/>
    <w:autoRedefine/>
    <w:unhideWhenUsed/>
    <w:qFormat/>
    <w:uiPriority w:val="99"/>
  </w:style>
  <w:style w:type="character" w:styleId="58">
    <w:name w:val="HTML Typewriter"/>
    <w:autoRedefine/>
    <w:unhideWhenUsed/>
    <w:qFormat/>
    <w:uiPriority w:val="99"/>
    <w:rPr>
      <w:rFonts w:ascii="monospace" w:hAnsi="monospace" w:eastAsia="monospace" w:cs="monospace"/>
      <w:sz w:val="20"/>
    </w:rPr>
  </w:style>
  <w:style w:type="character" w:styleId="59">
    <w:name w:val="HTML Acronym"/>
    <w:autoRedefine/>
    <w:unhideWhenUsed/>
    <w:qFormat/>
    <w:uiPriority w:val="99"/>
  </w:style>
  <w:style w:type="character" w:styleId="60">
    <w:name w:val="HTML Variable"/>
    <w:autoRedefine/>
    <w:unhideWhenUsed/>
    <w:qFormat/>
    <w:uiPriority w:val="99"/>
  </w:style>
  <w:style w:type="character" w:styleId="61">
    <w:name w:val="Hyperlink"/>
    <w:autoRedefine/>
    <w:qFormat/>
    <w:uiPriority w:val="99"/>
    <w:rPr>
      <w:color w:val="333333"/>
      <w:u w:val="none"/>
    </w:rPr>
  </w:style>
  <w:style w:type="character" w:styleId="62">
    <w:name w:val="HTML Code"/>
    <w:autoRedefine/>
    <w:unhideWhenUsed/>
    <w:qFormat/>
    <w:uiPriority w:val="99"/>
    <w:rPr>
      <w:rFonts w:hint="default" w:ascii="monospace" w:hAnsi="monospace" w:eastAsia="monospace" w:cs="monospace"/>
      <w:sz w:val="21"/>
      <w:szCs w:val="21"/>
    </w:rPr>
  </w:style>
  <w:style w:type="character" w:styleId="63">
    <w:name w:val="annotation reference"/>
    <w:autoRedefine/>
    <w:qFormat/>
    <w:uiPriority w:val="0"/>
    <w:rPr>
      <w:sz w:val="21"/>
    </w:rPr>
  </w:style>
  <w:style w:type="character" w:styleId="64">
    <w:name w:val="HTML Cite"/>
    <w:autoRedefine/>
    <w:unhideWhenUsed/>
    <w:qFormat/>
    <w:uiPriority w:val="99"/>
  </w:style>
  <w:style w:type="character" w:styleId="65">
    <w:name w:val="footnote reference"/>
    <w:autoRedefine/>
    <w:qFormat/>
    <w:uiPriority w:val="0"/>
    <w:rPr>
      <w:vertAlign w:val="superscript"/>
    </w:rPr>
  </w:style>
  <w:style w:type="character" w:styleId="66">
    <w:name w:val="HTML Keyboard"/>
    <w:autoRedefine/>
    <w:unhideWhenUsed/>
    <w:qFormat/>
    <w:uiPriority w:val="99"/>
    <w:rPr>
      <w:rFonts w:ascii="monospace" w:hAnsi="monospace" w:eastAsia="monospace" w:cs="monospace"/>
      <w:sz w:val="21"/>
      <w:szCs w:val="21"/>
    </w:rPr>
  </w:style>
  <w:style w:type="character" w:styleId="67">
    <w:name w:val="HTML Sample"/>
    <w:autoRedefine/>
    <w:unhideWhenUsed/>
    <w:qFormat/>
    <w:uiPriority w:val="99"/>
    <w:rPr>
      <w:rFonts w:hint="default" w:ascii="monospace" w:hAnsi="monospace" w:eastAsia="monospace" w:cs="monospace"/>
      <w:sz w:val="21"/>
      <w:szCs w:val="21"/>
    </w:rPr>
  </w:style>
  <w:style w:type="character" w:customStyle="1" w:styleId="68">
    <w:name w:val="正文文本 Char"/>
    <w:link w:val="6"/>
    <w:autoRedefine/>
    <w:qFormat/>
    <w:uiPriority w:val="0"/>
    <w:rPr>
      <w:kern w:val="2"/>
      <w:sz w:val="26"/>
    </w:rPr>
  </w:style>
  <w:style w:type="character" w:customStyle="1" w:styleId="69">
    <w:name w:val="标题 1 Char"/>
    <w:link w:val="7"/>
    <w:autoRedefine/>
    <w:qFormat/>
    <w:uiPriority w:val="0"/>
    <w:rPr>
      <w:rFonts w:eastAsia="黑体"/>
      <w:kern w:val="2"/>
      <w:sz w:val="44"/>
    </w:rPr>
  </w:style>
  <w:style w:type="character" w:customStyle="1" w:styleId="70">
    <w:name w:val="标题 2 Char"/>
    <w:link w:val="8"/>
    <w:autoRedefine/>
    <w:qFormat/>
    <w:uiPriority w:val="0"/>
    <w:rPr>
      <w:rFonts w:ascii="仿宋_GB2312" w:eastAsia="仿宋_GB2312"/>
      <w:b/>
      <w:spacing w:val="1"/>
      <w:w w:val="99"/>
      <w:kern w:val="2"/>
      <w:sz w:val="28"/>
      <w:lang w:val="en-US" w:eastAsia="zh-CN" w:bidi="ar-SA"/>
    </w:rPr>
  </w:style>
  <w:style w:type="character" w:customStyle="1" w:styleId="71">
    <w:name w:val="标题 3 Char"/>
    <w:link w:val="9"/>
    <w:autoRedefine/>
    <w:qFormat/>
    <w:uiPriority w:val="0"/>
    <w:rPr>
      <w:rFonts w:ascii="仿宋_GB2312" w:eastAsia="仿宋_GB2312"/>
      <w:b/>
      <w:kern w:val="2"/>
      <w:sz w:val="24"/>
      <w:lang w:val="en-US" w:eastAsia="zh-CN" w:bidi="ar-SA"/>
    </w:rPr>
  </w:style>
  <w:style w:type="character" w:customStyle="1" w:styleId="72">
    <w:name w:val="标题 4 Char"/>
    <w:link w:val="10"/>
    <w:autoRedefine/>
    <w:qFormat/>
    <w:uiPriority w:val="0"/>
    <w:rPr>
      <w:rFonts w:ascii="仿宋_GB2312" w:eastAsia="仿宋_GB2312"/>
      <w:b/>
      <w:kern w:val="2"/>
      <w:sz w:val="24"/>
    </w:rPr>
  </w:style>
  <w:style w:type="character" w:customStyle="1" w:styleId="73">
    <w:name w:val="标题 5 Char"/>
    <w:link w:val="11"/>
    <w:autoRedefine/>
    <w:qFormat/>
    <w:uiPriority w:val="0"/>
    <w:rPr>
      <w:b/>
      <w:bCs/>
      <w:kern w:val="2"/>
      <w:sz w:val="28"/>
      <w:szCs w:val="28"/>
    </w:rPr>
  </w:style>
  <w:style w:type="character" w:customStyle="1" w:styleId="74">
    <w:name w:val="标题 6 Char"/>
    <w:link w:val="12"/>
    <w:autoRedefine/>
    <w:qFormat/>
    <w:uiPriority w:val="0"/>
    <w:rPr>
      <w:rFonts w:ascii="Arial" w:hAnsi="Arial" w:eastAsia="黑体"/>
      <w:b/>
      <w:bCs/>
      <w:kern w:val="2"/>
      <w:sz w:val="24"/>
      <w:szCs w:val="24"/>
    </w:rPr>
  </w:style>
  <w:style w:type="character" w:customStyle="1" w:styleId="75">
    <w:name w:val="标题 7 Char"/>
    <w:link w:val="13"/>
    <w:autoRedefine/>
    <w:qFormat/>
    <w:uiPriority w:val="0"/>
    <w:rPr>
      <w:b/>
      <w:bCs/>
      <w:kern w:val="2"/>
      <w:sz w:val="24"/>
      <w:szCs w:val="24"/>
    </w:rPr>
  </w:style>
  <w:style w:type="character" w:customStyle="1" w:styleId="76">
    <w:name w:val="标题 8 Char"/>
    <w:link w:val="14"/>
    <w:autoRedefine/>
    <w:qFormat/>
    <w:uiPriority w:val="0"/>
    <w:rPr>
      <w:rFonts w:ascii="Arial" w:hAnsi="Arial" w:eastAsia="黑体"/>
      <w:kern w:val="2"/>
      <w:sz w:val="24"/>
      <w:szCs w:val="24"/>
    </w:rPr>
  </w:style>
  <w:style w:type="character" w:customStyle="1" w:styleId="77">
    <w:name w:val="标题 9 Char"/>
    <w:link w:val="15"/>
    <w:autoRedefine/>
    <w:qFormat/>
    <w:uiPriority w:val="0"/>
    <w:rPr>
      <w:rFonts w:ascii="Arial" w:hAnsi="Arial" w:eastAsia="黑体"/>
      <w:kern w:val="2"/>
      <w:sz w:val="21"/>
      <w:szCs w:val="21"/>
    </w:rPr>
  </w:style>
  <w:style w:type="character" w:customStyle="1" w:styleId="78">
    <w:name w:val="文档结构图 Char"/>
    <w:link w:val="20"/>
    <w:autoRedefine/>
    <w:qFormat/>
    <w:uiPriority w:val="0"/>
    <w:rPr>
      <w:kern w:val="2"/>
      <w:sz w:val="21"/>
      <w:shd w:val="clear" w:color="auto" w:fill="000080"/>
    </w:rPr>
  </w:style>
  <w:style w:type="character" w:customStyle="1" w:styleId="79">
    <w:name w:val="批注文字 Char"/>
    <w:link w:val="21"/>
    <w:autoRedefine/>
    <w:qFormat/>
    <w:uiPriority w:val="0"/>
    <w:rPr>
      <w:kern w:val="2"/>
      <w:sz w:val="21"/>
    </w:rPr>
  </w:style>
  <w:style w:type="character" w:customStyle="1" w:styleId="80">
    <w:name w:val="正文文本 3 Char"/>
    <w:link w:val="22"/>
    <w:autoRedefine/>
    <w:qFormat/>
    <w:uiPriority w:val="0"/>
    <w:rPr>
      <w:kern w:val="2"/>
      <w:sz w:val="16"/>
      <w:szCs w:val="16"/>
    </w:rPr>
  </w:style>
  <w:style w:type="character" w:customStyle="1" w:styleId="81">
    <w:name w:val="正文文本缩进 Char"/>
    <w:link w:val="3"/>
    <w:autoRedefine/>
    <w:qFormat/>
    <w:uiPriority w:val="0"/>
    <w:rPr>
      <w:rFonts w:ascii="黑体" w:hAnsi="宋体" w:eastAsia="黑体"/>
      <w:color w:val="000000"/>
      <w:kern w:val="2"/>
      <w:sz w:val="28"/>
    </w:rPr>
  </w:style>
  <w:style w:type="character" w:customStyle="1" w:styleId="82">
    <w:name w:val="纯文本 Char"/>
    <w:link w:val="28"/>
    <w:autoRedefine/>
    <w:qFormat/>
    <w:uiPriority w:val="0"/>
    <w:rPr>
      <w:rFonts w:ascii="宋体" w:hAnsi="Courier New" w:eastAsia="宋体"/>
      <w:kern w:val="2"/>
      <w:sz w:val="28"/>
      <w:lang w:val="en-US" w:eastAsia="zh-CN" w:bidi="ar-SA"/>
    </w:rPr>
  </w:style>
  <w:style w:type="character" w:customStyle="1" w:styleId="83">
    <w:name w:val="日期 Char"/>
    <w:link w:val="31"/>
    <w:autoRedefine/>
    <w:qFormat/>
    <w:uiPriority w:val="0"/>
    <w:rPr>
      <w:kern w:val="2"/>
      <w:sz w:val="24"/>
    </w:rPr>
  </w:style>
  <w:style w:type="character" w:customStyle="1" w:styleId="84">
    <w:name w:val="正文文本缩进 2 Char"/>
    <w:link w:val="32"/>
    <w:autoRedefine/>
    <w:qFormat/>
    <w:uiPriority w:val="0"/>
    <w:rPr>
      <w:rFonts w:eastAsia="仿宋_GB2312"/>
      <w:kern w:val="2"/>
      <w:sz w:val="32"/>
    </w:rPr>
  </w:style>
  <w:style w:type="character" w:customStyle="1" w:styleId="85">
    <w:name w:val="尾注文本 Char"/>
    <w:link w:val="33"/>
    <w:autoRedefine/>
    <w:qFormat/>
    <w:uiPriority w:val="0"/>
    <w:rPr>
      <w:rFonts w:ascii="Arial" w:hAnsi="Arial"/>
      <w:szCs w:val="24"/>
      <w:lang w:eastAsia="en-US"/>
    </w:rPr>
  </w:style>
  <w:style w:type="character" w:customStyle="1" w:styleId="86">
    <w:name w:val="批注框文本 Char"/>
    <w:link w:val="34"/>
    <w:autoRedefine/>
    <w:qFormat/>
    <w:uiPriority w:val="0"/>
    <w:rPr>
      <w:kern w:val="2"/>
      <w:sz w:val="18"/>
    </w:rPr>
  </w:style>
  <w:style w:type="character" w:customStyle="1" w:styleId="87">
    <w:name w:val="页脚 Char"/>
    <w:link w:val="35"/>
    <w:autoRedefine/>
    <w:qFormat/>
    <w:uiPriority w:val="99"/>
    <w:rPr>
      <w:kern w:val="2"/>
      <w:sz w:val="18"/>
    </w:rPr>
  </w:style>
  <w:style w:type="character" w:customStyle="1" w:styleId="88">
    <w:name w:val="页眉 Char"/>
    <w:link w:val="36"/>
    <w:autoRedefine/>
    <w:qFormat/>
    <w:uiPriority w:val="99"/>
    <w:rPr>
      <w:kern w:val="2"/>
      <w:sz w:val="18"/>
    </w:rPr>
  </w:style>
  <w:style w:type="character" w:customStyle="1" w:styleId="89">
    <w:name w:val="副标题 Char"/>
    <w:link w:val="39"/>
    <w:autoRedefine/>
    <w:qFormat/>
    <w:uiPriority w:val="0"/>
    <w:rPr>
      <w:rFonts w:eastAsia="宋体"/>
      <w:kern w:val="2"/>
      <w:sz w:val="21"/>
      <w:szCs w:val="24"/>
      <w:u w:val="single"/>
      <w:lang w:val="en-US" w:eastAsia="en-US" w:bidi="ar-SA"/>
    </w:rPr>
  </w:style>
  <w:style w:type="character" w:customStyle="1" w:styleId="90">
    <w:name w:val="脚注文本 Char"/>
    <w:link w:val="40"/>
    <w:autoRedefine/>
    <w:qFormat/>
    <w:uiPriority w:val="0"/>
    <w:rPr>
      <w:kern w:val="2"/>
      <w:sz w:val="18"/>
    </w:rPr>
  </w:style>
  <w:style w:type="character" w:customStyle="1" w:styleId="91">
    <w:name w:val="正文文本缩进 3 Char"/>
    <w:link w:val="42"/>
    <w:autoRedefine/>
    <w:qFormat/>
    <w:uiPriority w:val="0"/>
    <w:rPr>
      <w:kern w:val="2"/>
      <w:sz w:val="16"/>
    </w:rPr>
  </w:style>
  <w:style w:type="character" w:customStyle="1" w:styleId="92">
    <w:name w:val="正文文本 2 Char"/>
    <w:link w:val="45"/>
    <w:autoRedefine/>
    <w:qFormat/>
    <w:uiPriority w:val="0"/>
    <w:rPr>
      <w:i/>
      <w:kern w:val="2"/>
      <w:sz w:val="26"/>
    </w:rPr>
  </w:style>
  <w:style w:type="character" w:customStyle="1" w:styleId="93">
    <w:name w:val="HTML 预设格式 Char"/>
    <w:link w:val="46"/>
    <w:autoRedefine/>
    <w:qFormat/>
    <w:uiPriority w:val="0"/>
    <w:rPr>
      <w:rFonts w:ascii="Arial" w:hAnsi="Arial" w:cs="Arial"/>
      <w:sz w:val="24"/>
      <w:szCs w:val="24"/>
    </w:rPr>
  </w:style>
  <w:style w:type="character" w:customStyle="1" w:styleId="94">
    <w:name w:val="标题 Char"/>
    <w:link w:val="48"/>
    <w:autoRedefine/>
    <w:qFormat/>
    <w:uiPriority w:val="0"/>
    <w:rPr>
      <w:szCs w:val="24"/>
      <w:u w:val="single"/>
      <w:lang w:eastAsia="en-US"/>
    </w:rPr>
  </w:style>
  <w:style w:type="character" w:customStyle="1" w:styleId="95">
    <w:name w:val="批注主题 Char"/>
    <w:link w:val="49"/>
    <w:autoRedefine/>
    <w:qFormat/>
    <w:uiPriority w:val="0"/>
    <w:rPr>
      <w:kern w:val="2"/>
      <w:sz w:val="24"/>
    </w:rPr>
  </w:style>
  <w:style w:type="character" w:customStyle="1" w:styleId="96">
    <w:name w:val="正文首行缩进 2 Char"/>
    <w:link w:val="2"/>
    <w:autoRedefine/>
    <w:qFormat/>
    <w:uiPriority w:val="0"/>
    <w:rPr>
      <w:rFonts w:ascii="黑体" w:hAnsi="宋体" w:eastAsia="黑体"/>
      <w:color w:val="000000"/>
      <w:kern w:val="2"/>
      <w:sz w:val="21"/>
      <w:szCs w:val="24"/>
    </w:rPr>
  </w:style>
  <w:style w:type="character" w:customStyle="1" w:styleId="97">
    <w:name w:val="Char Char11"/>
    <w:autoRedefine/>
    <w:qFormat/>
    <w:uiPriority w:val="0"/>
    <w:rPr>
      <w:rFonts w:eastAsia="黑体"/>
      <w:kern w:val="2"/>
      <w:sz w:val="44"/>
      <w:lang w:val="en-US" w:eastAsia="zh-CN"/>
    </w:rPr>
  </w:style>
  <w:style w:type="character" w:customStyle="1" w:styleId="98">
    <w:name w:val="icon30"/>
    <w:autoRedefine/>
    <w:qFormat/>
    <w:uiPriority w:val="0"/>
  </w:style>
  <w:style w:type="character" w:customStyle="1" w:styleId="99">
    <w:name w:val="Char Char4"/>
    <w:autoRedefine/>
    <w:qFormat/>
    <w:uiPriority w:val="0"/>
    <w:rPr>
      <w:rFonts w:ascii="宋体" w:hAnsi="Courier New"/>
      <w:kern w:val="2"/>
      <w:sz w:val="28"/>
    </w:rPr>
  </w:style>
  <w:style w:type="character" w:customStyle="1" w:styleId="100">
    <w:name w:val="Char Char5"/>
    <w:autoRedefine/>
    <w:qFormat/>
    <w:uiPriority w:val="0"/>
    <w:rPr>
      <w:kern w:val="2"/>
      <w:sz w:val="18"/>
    </w:rPr>
  </w:style>
  <w:style w:type="character" w:customStyle="1" w:styleId="101">
    <w:name w:val="icon29"/>
    <w:autoRedefine/>
    <w:qFormat/>
    <w:uiPriority w:val="0"/>
  </w:style>
  <w:style w:type="character" w:customStyle="1" w:styleId="102">
    <w:name w:val="Char Char8"/>
    <w:autoRedefine/>
    <w:qFormat/>
    <w:uiPriority w:val="0"/>
    <w:rPr>
      <w:rFonts w:ascii="仿宋_GB2312" w:eastAsia="仿宋_GB2312"/>
      <w:b/>
      <w:sz w:val="24"/>
    </w:rPr>
  </w:style>
  <w:style w:type="character" w:customStyle="1" w:styleId="103">
    <w:name w:val="列出段落 Char"/>
    <w:link w:val="104"/>
    <w:autoRedefine/>
    <w:qFormat/>
    <w:uiPriority w:val="0"/>
    <w:rPr>
      <w:kern w:val="2"/>
      <w:sz w:val="28"/>
    </w:rPr>
  </w:style>
  <w:style w:type="paragraph" w:styleId="104">
    <w:name w:val="List Paragraph"/>
    <w:basedOn w:val="1"/>
    <w:link w:val="103"/>
    <w:autoRedefine/>
    <w:qFormat/>
    <w:uiPriority w:val="0"/>
    <w:pPr>
      <w:ind w:firstLine="420" w:firstLineChars="200"/>
    </w:pPr>
    <w:rPr>
      <w:sz w:val="28"/>
    </w:rPr>
  </w:style>
  <w:style w:type="character" w:customStyle="1" w:styleId="105">
    <w:name w:val="font21"/>
    <w:autoRedefine/>
    <w:qFormat/>
    <w:uiPriority w:val="0"/>
    <w:rPr>
      <w:rFonts w:hint="eastAsia" w:ascii="宋体" w:hAnsi="宋体" w:eastAsia="宋体" w:cs="宋体"/>
      <w:color w:val="000000"/>
      <w:sz w:val="22"/>
      <w:szCs w:val="22"/>
      <w:u w:val="none"/>
    </w:rPr>
  </w:style>
  <w:style w:type="character" w:customStyle="1" w:styleId="106">
    <w:name w:val="Char Char3"/>
    <w:autoRedefine/>
    <w:qFormat/>
    <w:uiPriority w:val="0"/>
    <w:rPr>
      <w:rFonts w:hint="eastAsia" w:ascii="宋体" w:hAnsi="宋体" w:eastAsia="宋体"/>
      <w:kern w:val="2"/>
      <w:sz w:val="18"/>
      <w:szCs w:val="18"/>
      <w:lang w:val="en-US" w:eastAsia="zh-CN" w:bidi="ar-SA"/>
    </w:rPr>
  </w:style>
  <w:style w:type="character" w:customStyle="1" w:styleId="107">
    <w:name w:val="标题 Char Char"/>
    <w:autoRedefine/>
    <w:qFormat/>
    <w:uiPriority w:val="0"/>
    <w:rPr>
      <w:rFonts w:ascii="Cambria" w:hAnsi="Cambria" w:cs="Times New Roman"/>
      <w:b/>
      <w:bCs/>
      <w:kern w:val="2"/>
      <w:sz w:val="32"/>
      <w:szCs w:val="32"/>
    </w:rPr>
  </w:style>
  <w:style w:type="character" w:customStyle="1" w:styleId="108">
    <w:name w:val="Char Char2"/>
    <w:autoRedefine/>
    <w:qFormat/>
    <w:uiPriority w:val="0"/>
    <w:rPr>
      <w:kern w:val="2"/>
      <w:sz w:val="26"/>
    </w:rPr>
  </w:style>
  <w:style w:type="character" w:customStyle="1" w:styleId="109">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10">
    <w:name w:val="Char Char6"/>
    <w:autoRedefine/>
    <w:qFormat/>
    <w:uiPriority w:val="0"/>
    <w:rPr>
      <w:sz w:val="24"/>
    </w:rPr>
  </w:style>
  <w:style w:type="character" w:customStyle="1" w:styleId="111">
    <w:name w:val="Heading 1 Char"/>
    <w:autoRedefine/>
    <w:qFormat/>
    <w:uiPriority w:val="0"/>
    <w:rPr>
      <w:rFonts w:hint="eastAsia" w:ascii="宋体" w:hAnsi="宋体" w:eastAsia="宋体"/>
      <w:b/>
      <w:bCs/>
      <w:kern w:val="44"/>
      <w:sz w:val="44"/>
      <w:szCs w:val="44"/>
      <w:lang w:val="en-US" w:eastAsia="zh-CN" w:bidi="ar-SA"/>
    </w:rPr>
  </w:style>
  <w:style w:type="character" w:customStyle="1" w:styleId="112">
    <w:name w:val="Char Char111"/>
    <w:autoRedefine/>
    <w:qFormat/>
    <w:uiPriority w:val="0"/>
    <w:rPr>
      <w:rFonts w:eastAsia="黑体"/>
      <w:kern w:val="2"/>
      <w:sz w:val="44"/>
      <w:lang w:val="en-US" w:eastAsia="zh-CN"/>
    </w:rPr>
  </w:style>
  <w:style w:type="character" w:customStyle="1" w:styleId="113">
    <w:name w:val="Char Char31"/>
    <w:autoRedefine/>
    <w:qFormat/>
    <w:uiPriority w:val="0"/>
    <w:rPr>
      <w:kern w:val="2"/>
      <w:sz w:val="18"/>
    </w:rPr>
  </w:style>
  <w:style w:type="character" w:customStyle="1" w:styleId="114">
    <w:name w:val="样式 Char Char"/>
    <w:autoRedefine/>
    <w:qFormat/>
    <w:uiPriority w:val="0"/>
    <w:rPr>
      <w:rFonts w:ascii="宋体" w:hAnsi="宋体" w:eastAsia="宋体"/>
      <w:sz w:val="24"/>
      <w:lang w:val="en-US" w:eastAsia="zh-CN"/>
    </w:rPr>
  </w:style>
  <w:style w:type="character" w:customStyle="1" w:styleId="115">
    <w:name w:val="Char Char21"/>
    <w:autoRedefine/>
    <w:qFormat/>
    <w:uiPriority w:val="0"/>
    <w:rPr>
      <w:rFonts w:hint="eastAsia" w:ascii="宋体" w:hAnsi="宋体" w:eastAsia="宋体"/>
      <w:sz w:val="24"/>
      <w:lang w:val="en-US" w:eastAsia="zh-CN" w:bidi="ar-SA"/>
    </w:rPr>
  </w:style>
  <w:style w:type="character" w:customStyle="1" w:styleId="116">
    <w:name w:val="Char Char Char"/>
    <w:autoRedefine/>
    <w:qFormat/>
    <w:uiPriority w:val="0"/>
    <w:rPr>
      <w:kern w:val="2"/>
      <w:sz w:val="18"/>
    </w:rPr>
  </w:style>
  <w:style w:type="character" w:customStyle="1" w:styleId="117">
    <w:name w:val="Char Char34"/>
    <w:autoRedefine/>
    <w:qFormat/>
    <w:uiPriority w:val="0"/>
    <w:rPr>
      <w:rFonts w:eastAsia="黑体"/>
      <w:kern w:val="2"/>
      <w:sz w:val="44"/>
      <w:lang w:val="en-US" w:eastAsia="zh-CN" w:bidi="ar-SA"/>
    </w:rPr>
  </w:style>
  <w:style w:type="character" w:customStyle="1" w:styleId="118">
    <w:name w:val="active4"/>
    <w:autoRedefine/>
    <w:qFormat/>
    <w:uiPriority w:val="0"/>
    <w:rPr>
      <w:color w:val="FFFFFF"/>
      <w:shd w:val="clear" w:color="auto" w:fill="0084FF"/>
    </w:rPr>
  </w:style>
  <w:style w:type="character" w:customStyle="1" w:styleId="119">
    <w:name w:val="ca-141"/>
    <w:autoRedefine/>
    <w:qFormat/>
    <w:uiPriority w:val="0"/>
    <w:rPr>
      <w:rFonts w:hint="eastAsia" w:ascii="仿宋_GB2312" w:eastAsia="仿宋_GB2312"/>
      <w:sz w:val="21"/>
      <w:szCs w:val="21"/>
    </w:rPr>
  </w:style>
  <w:style w:type="character" w:customStyle="1" w:styleId="120">
    <w:name w:val="Char Char9"/>
    <w:autoRedefine/>
    <w:qFormat/>
    <w:uiPriority w:val="0"/>
    <w:rPr>
      <w:rFonts w:ascii="仿宋_GB2312" w:eastAsia="仿宋_GB2312"/>
      <w:b/>
      <w:sz w:val="24"/>
    </w:rPr>
  </w:style>
  <w:style w:type="character" w:customStyle="1" w:styleId="121">
    <w:name w:val="Char Char10"/>
    <w:autoRedefine/>
    <w:qFormat/>
    <w:uiPriority w:val="0"/>
    <w:rPr>
      <w:rFonts w:ascii="仿宋_GB2312" w:eastAsia="仿宋_GB2312"/>
      <w:b/>
      <w:spacing w:val="1"/>
      <w:w w:val="99"/>
      <w:sz w:val="28"/>
    </w:rPr>
  </w:style>
  <w:style w:type="character" w:customStyle="1" w:styleId="122">
    <w:name w:val="Char Char7"/>
    <w:autoRedefine/>
    <w:qFormat/>
    <w:uiPriority w:val="0"/>
    <w:rPr>
      <w:kern w:val="2"/>
      <w:sz w:val="18"/>
    </w:rPr>
  </w:style>
  <w:style w:type="character" w:customStyle="1" w:styleId="123">
    <w:name w:val="Char Char1"/>
    <w:autoRedefine/>
    <w:qFormat/>
    <w:uiPriority w:val="0"/>
    <w:rPr>
      <w:rFonts w:hint="eastAsia" w:ascii="宋体" w:hAnsi="宋体" w:eastAsia="宋体"/>
      <w:kern w:val="2"/>
      <w:sz w:val="18"/>
      <w:szCs w:val="18"/>
      <w:lang w:val="en-US" w:eastAsia="zh-CN" w:bidi="ar-SA"/>
    </w:rPr>
  </w:style>
  <w:style w:type="character" w:customStyle="1" w:styleId="124">
    <w:name w:val="Char Char12"/>
    <w:autoRedefine/>
    <w:qFormat/>
    <w:uiPriority w:val="0"/>
    <w:rPr>
      <w:i/>
      <w:kern w:val="2"/>
      <w:sz w:val="26"/>
    </w:rPr>
  </w:style>
  <w:style w:type="character" w:customStyle="1" w:styleId="125">
    <w:name w:val="批注主题 Char Char"/>
    <w:autoRedefine/>
    <w:qFormat/>
    <w:uiPriority w:val="0"/>
  </w:style>
  <w:style w:type="character" w:customStyle="1" w:styleId="126">
    <w:name w:val="无间隔 Char"/>
    <w:link w:val="127"/>
    <w:autoRedefine/>
    <w:qFormat/>
    <w:uiPriority w:val="1"/>
    <w:rPr>
      <w:sz w:val="22"/>
      <w:szCs w:val="22"/>
      <w:lang w:val="en-US" w:eastAsia="zh-CN" w:bidi="ar-SA"/>
    </w:rPr>
  </w:style>
  <w:style w:type="paragraph" w:styleId="127">
    <w:name w:val="No Spacing"/>
    <w:link w:val="126"/>
    <w:autoRedefine/>
    <w:qFormat/>
    <w:uiPriority w:val="1"/>
    <w:rPr>
      <w:rFonts w:ascii="Times New Roman" w:hAnsi="Times New Roman" w:eastAsia="宋体" w:cs="Times New Roman"/>
      <w:sz w:val="22"/>
      <w:szCs w:val="22"/>
      <w:lang w:val="en-US" w:eastAsia="zh-CN" w:bidi="ar-SA"/>
    </w:rPr>
  </w:style>
  <w:style w:type="character" w:customStyle="1" w:styleId="128">
    <w:name w:val="first-child"/>
    <w:autoRedefine/>
    <w:qFormat/>
    <w:uiPriority w:val="0"/>
  </w:style>
  <w:style w:type="character" w:customStyle="1" w:styleId="129">
    <w:name w:val="尾注文本 Char Char"/>
    <w:autoRedefine/>
    <w:qFormat/>
    <w:uiPriority w:val="0"/>
    <w:rPr>
      <w:kern w:val="2"/>
      <w:sz w:val="21"/>
    </w:rPr>
  </w:style>
  <w:style w:type="character" w:customStyle="1" w:styleId="130">
    <w:name w:val="icon28"/>
    <w:autoRedefine/>
    <w:qFormat/>
    <w:uiPriority w:val="0"/>
  </w:style>
  <w:style w:type="paragraph" w:customStyle="1" w:styleId="131">
    <w:name w:val="样式1"/>
    <w:basedOn w:val="7"/>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2">
    <w:name w:val="Char"/>
    <w:basedOn w:val="20"/>
    <w:autoRedefine/>
    <w:qFormat/>
    <w:uiPriority w:val="0"/>
    <w:pPr>
      <w:spacing w:line="360" w:lineRule="auto"/>
      <w:ind w:firstLine="200" w:firstLineChars="200"/>
    </w:pPr>
    <w:rPr>
      <w:sz w:val="18"/>
    </w:rPr>
  </w:style>
  <w:style w:type="paragraph" w:customStyle="1" w:styleId="133">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4">
    <w:name w:val="Char Char16 Char Char Char Char"/>
    <w:basedOn w:val="1"/>
    <w:autoRedefine/>
    <w:qFormat/>
    <w:uiPriority w:val="0"/>
    <w:rPr>
      <w:szCs w:val="24"/>
    </w:rPr>
  </w:style>
  <w:style w:type="paragraph" w:customStyle="1" w:styleId="135">
    <w:name w:val="（1节）正文标题"/>
    <w:basedOn w:val="1"/>
    <w:next w:val="9"/>
    <w:autoRedefine/>
    <w:qFormat/>
    <w:uiPriority w:val="0"/>
    <w:pPr>
      <w:spacing w:beforeLines="30" w:afterLines="20" w:line="360" w:lineRule="auto"/>
      <w:jc w:val="left"/>
      <w:outlineLvl w:val="1"/>
    </w:pPr>
    <w:rPr>
      <w:rFonts w:ascii="Calibri" w:hAnsi="Calibri" w:cs="Arial"/>
      <w:b/>
      <w:sz w:val="24"/>
    </w:rPr>
  </w:style>
  <w:style w:type="paragraph" w:customStyle="1" w:styleId="136">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7">
    <w:name w:val="目录"/>
    <w:basedOn w:val="1"/>
    <w:autoRedefine/>
    <w:qFormat/>
    <w:uiPriority w:val="0"/>
    <w:pPr>
      <w:widowControl/>
      <w:jc w:val="center"/>
    </w:pPr>
    <w:rPr>
      <w:rFonts w:ascii="宋体"/>
      <w:b/>
      <w:kern w:val="0"/>
      <w:sz w:val="36"/>
    </w:rPr>
  </w:style>
  <w:style w:type="paragraph" w:customStyle="1" w:styleId="138">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9">
    <w:name w:val="样式 标题 1 + (西文) 宋体 非加粗 黑色 两端对齐 左侧:  0 厘米 首行缩进:  0.89 厘米"/>
    <w:basedOn w:val="7"/>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40">
    <w:name w:val="Char Char1 Char Char Char Char Char Char Char"/>
    <w:basedOn w:val="1"/>
    <w:autoRedefine/>
    <w:qFormat/>
    <w:uiPriority w:val="0"/>
    <w:pPr>
      <w:pageBreakBefore/>
    </w:pPr>
  </w:style>
  <w:style w:type="paragraph" w:customStyle="1" w:styleId="141">
    <w:name w:val="Char9"/>
    <w:basedOn w:val="20"/>
    <w:autoRedefine/>
    <w:qFormat/>
    <w:uiPriority w:val="0"/>
    <w:pPr>
      <w:spacing w:line="360" w:lineRule="auto"/>
      <w:ind w:firstLine="200" w:firstLineChars="200"/>
    </w:pPr>
  </w:style>
  <w:style w:type="paragraph" w:customStyle="1" w:styleId="142">
    <w:name w:val="Char Char Char Char Char Char Char"/>
    <w:basedOn w:val="1"/>
    <w:autoRedefine/>
    <w:qFormat/>
    <w:uiPriority w:val="0"/>
    <w:rPr>
      <w:szCs w:val="24"/>
    </w:rPr>
  </w:style>
  <w:style w:type="paragraph" w:customStyle="1" w:styleId="143">
    <w:name w:val="Char Char30 Char Char Char Char"/>
    <w:basedOn w:val="1"/>
    <w:autoRedefine/>
    <w:qFormat/>
    <w:uiPriority w:val="0"/>
    <w:rPr>
      <w:szCs w:val="24"/>
    </w:rPr>
  </w:style>
  <w:style w:type="paragraph" w:customStyle="1" w:styleId="144">
    <w:name w:val="表内容"/>
    <w:basedOn w:val="1"/>
    <w:next w:val="1"/>
    <w:autoRedefine/>
    <w:qFormat/>
    <w:uiPriority w:val="0"/>
    <w:pPr>
      <w:jc w:val="center"/>
    </w:pPr>
    <w:rPr>
      <w:szCs w:val="24"/>
    </w:rPr>
  </w:style>
  <w:style w:type="paragraph" w:customStyle="1" w:styleId="145">
    <w:name w:val="目录文字"/>
    <w:basedOn w:val="1"/>
    <w:autoRedefine/>
    <w:qFormat/>
    <w:uiPriority w:val="0"/>
    <w:pPr>
      <w:widowControl/>
      <w:spacing w:line="480" w:lineRule="auto"/>
      <w:jc w:val="left"/>
    </w:pPr>
    <w:rPr>
      <w:rFonts w:ascii="宋体" w:hAnsi="宋体"/>
      <w:kern w:val="0"/>
      <w:sz w:val="24"/>
    </w:rPr>
  </w:style>
  <w:style w:type="paragraph" w:customStyle="1" w:styleId="146">
    <w:name w:val="样式3"/>
    <w:basedOn w:val="9"/>
    <w:autoRedefine/>
    <w:qFormat/>
    <w:uiPriority w:val="0"/>
    <w:pPr>
      <w:keepNext/>
      <w:keepLines/>
      <w:spacing w:before="0" w:line="360" w:lineRule="auto"/>
      <w:ind w:left="119" w:right="-23"/>
    </w:pPr>
    <w:rPr>
      <w:rFonts w:ascii="宋体" w:hAnsi="宋体"/>
      <w:bCs/>
      <w:kern w:val="0"/>
      <w:szCs w:val="32"/>
    </w:rPr>
  </w:style>
  <w:style w:type="paragraph" w:customStyle="1" w:styleId="147">
    <w:name w:val="TOC 标题1"/>
    <w:basedOn w:val="7"/>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8">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9">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50">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修订1"/>
    <w:autoRedefine/>
    <w:qFormat/>
    <w:uiPriority w:val="0"/>
    <w:rPr>
      <w:rFonts w:ascii="Times New Roman" w:hAnsi="Times New Roman" w:eastAsia="宋体" w:cs="Times New Roman"/>
      <w:kern w:val="2"/>
      <w:sz w:val="21"/>
      <w:lang w:val="en-US" w:eastAsia="zh-CN" w:bidi="ar-SA"/>
    </w:rPr>
  </w:style>
  <w:style w:type="paragraph" w:customStyle="1" w:styleId="153">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4">
    <w:name w:val="列出段落1"/>
    <w:basedOn w:val="1"/>
    <w:autoRedefine/>
    <w:qFormat/>
    <w:uiPriority w:val="34"/>
    <w:pPr>
      <w:ind w:firstLine="420" w:firstLineChars="200"/>
    </w:pPr>
  </w:style>
  <w:style w:type="paragraph" w:customStyle="1" w:styleId="155">
    <w:name w:val="样式2"/>
    <w:basedOn w:val="8"/>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6">
    <w:name w:val="p0"/>
    <w:basedOn w:val="1"/>
    <w:autoRedefine/>
    <w:qFormat/>
    <w:uiPriority w:val="0"/>
    <w:pPr>
      <w:widowControl/>
    </w:pPr>
    <w:rPr>
      <w:kern w:val="0"/>
      <w:szCs w:val="21"/>
    </w:rPr>
  </w:style>
  <w:style w:type="paragraph" w:customStyle="1" w:styleId="157">
    <w:name w:val="Char7"/>
    <w:basedOn w:val="1"/>
    <w:autoRedefine/>
    <w:qFormat/>
    <w:uiPriority w:val="0"/>
    <w:pPr>
      <w:widowControl/>
      <w:spacing w:after="160" w:line="240" w:lineRule="exact"/>
      <w:jc w:val="left"/>
    </w:pPr>
  </w:style>
  <w:style w:type="paragraph" w:customStyle="1" w:styleId="158">
    <w:name w:val="Char Char Char Char"/>
    <w:basedOn w:val="20"/>
    <w:autoRedefine/>
    <w:qFormat/>
    <w:uiPriority w:val="0"/>
    <w:pPr>
      <w:spacing w:line="360" w:lineRule="auto"/>
      <w:ind w:firstLine="200" w:firstLineChars="200"/>
    </w:pPr>
  </w:style>
  <w:style w:type="paragraph" w:customStyle="1" w:styleId="159">
    <w:name w:val="附件标题-1"/>
    <w:basedOn w:val="1"/>
    <w:autoRedefine/>
    <w:qFormat/>
    <w:uiPriority w:val="0"/>
    <w:pPr>
      <w:spacing w:beforeLines="50"/>
      <w:jc w:val="center"/>
    </w:pPr>
    <w:rPr>
      <w:rFonts w:eastAsia="黑体"/>
      <w:sz w:val="32"/>
      <w:szCs w:val="24"/>
    </w:rPr>
  </w:style>
  <w:style w:type="paragraph" w:customStyle="1" w:styleId="160">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1">
    <w:name w:val="BT3"/>
    <w:basedOn w:val="9"/>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2">
    <w:name w:val="Char1"/>
    <w:basedOn w:val="1"/>
    <w:autoRedefine/>
    <w:qFormat/>
    <w:uiPriority w:val="0"/>
    <w:pPr>
      <w:spacing w:beforeLines="50" w:afterLines="50"/>
    </w:pPr>
    <w:rPr>
      <w:rFonts w:ascii="Tahoma" w:hAnsi="Tahoma"/>
      <w:sz w:val="24"/>
    </w:rPr>
  </w:style>
  <w:style w:type="paragraph" w:customStyle="1" w:styleId="163">
    <w:name w:val="bt1bt1"/>
    <w:basedOn w:val="7"/>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4">
    <w:name w:val="Char Char Char Char Char2 Char"/>
    <w:basedOn w:val="1"/>
    <w:autoRedefine/>
    <w:qFormat/>
    <w:uiPriority w:val="0"/>
    <w:pPr>
      <w:adjustRightInd w:val="0"/>
      <w:snapToGrid w:val="0"/>
      <w:spacing w:line="360" w:lineRule="auto"/>
      <w:ind w:firstLine="200" w:firstLineChars="200"/>
    </w:pPr>
  </w:style>
  <w:style w:type="paragraph" w:customStyle="1" w:styleId="16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6">
    <w:name w:val="Char Char Char Char Char Char Char Char Char Char Char Char Char Char Char Char"/>
    <w:basedOn w:val="1"/>
    <w:autoRedefine/>
    <w:qFormat/>
    <w:uiPriority w:val="0"/>
  </w:style>
  <w:style w:type="paragraph" w:customStyle="1" w:styleId="167">
    <w:name w:val="正  文"/>
    <w:basedOn w:val="1"/>
    <w:autoRedefine/>
    <w:qFormat/>
    <w:uiPriority w:val="0"/>
    <w:pPr>
      <w:spacing w:line="360" w:lineRule="auto"/>
      <w:ind w:firstLine="200" w:firstLineChars="200"/>
    </w:pPr>
    <w:rPr>
      <w:rFonts w:ascii="宋体" w:hAnsi="Calibri"/>
      <w:sz w:val="24"/>
    </w:rPr>
  </w:style>
  <w:style w:type="table" w:customStyle="1" w:styleId="168">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70">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1">
    <w:name w:val="列出段落11"/>
    <w:basedOn w:val="1"/>
    <w:autoRedefine/>
    <w:qFormat/>
    <w:uiPriority w:val="0"/>
    <w:pPr>
      <w:ind w:firstLine="420" w:firstLineChars="200"/>
    </w:pPr>
    <w:rPr>
      <w:sz w:val="28"/>
      <w:szCs w:val="28"/>
    </w:rPr>
  </w:style>
  <w:style w:type="character" w:customStyle="1" w:styleId="172">
    <w:name w:val="NormalCharacter"/>
    <w:autoRedefine/>
    <w:semiHidden/>
    <w:qFormat/>
    <w:uiPriority w:val="0"/>
  </w:style>
  <w:style w:type="character" w:customStyle="1" w:styleId="173">
    <w:name w:val="active7"/>
    <w:basedOn w:val="52"/>
    <w:autoRedefine/>
    <w:qFormat/>
    <w:uiPriority w:val="0"/>
    <w:rPr>
      <w:color w:val="FFFFFF"/>
      <w:shd w:val="clear" w:color="auto" w:fill="E02F23"/>
    </w:rPr>
  </w:style>
  <w:style w:type="paragraph" w:customStyle="1" w:styleId="174">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5">
    <w:name w:val="列表段落1"/>
    <w:basedOn w:val="1"/>
    <w:autoRedefine/>
    <w:qFormat/>
    <w:uiPriority w:val="34"/>
    <w:pPr>
      <w:ind w:firstLine="420" w:firstLineChars="200"/>
    </w:pPr>
    <w:rPr>
      <w:rFonts w:ascii="Calibri" w:hAnsi="Calibri"/>
    </w:rPr>
  </w:style>
  <w:style w:type="character" w:customStyle="1" w:styleId="176">
    <w:name w:val="font41"/>
    <w:basedOn w:val="52"/>
    <w:autoRedefine/>
    <w:qFormat/>
    <w:uiPriority w:val="0"/>
    <w:rPr>
      <w:rFonts w:hint="eastAsia" w:ascii="宋体" w:hAnsi="宋体" w:eastAsia="宋体" w:cs="宋体"/>
      <w:color w:val="333333"/>
      <w:sz w:val="24"/>
      <w:szCs w:val="24"/>
      <w:u w:val="none"/>
    </w:rPr>
  </w:style>
  <w:style w:type="paragraph" w:customStyle="1" w:styleId="177">
    <w:name w:val="正文-表格内文字"/>
    <w:basedOn w:val="1"/>
    <w:autoRedefine/>
    <w:qFormat/>
    <w:uiPriority w:val="0"/>
    <w:pPr>
      <w:spacing w:line="264" w:lineRule="auto"/>
    </w:pPr>
  </w:style>
  <w:style w:type="paragraph" w:customStyle="1" w:styleId="17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47</Pages>
  <Words>1702</Words>
  <Characters>2045</Characters>
  <Lines>191</Lines>
  <Paragraphs>54</Paragraphs>
  <TotalTime>4</TotalTime>
  <ScaleCrop>false</ScaleCrop>
  <LinksUpToDate>false</LinksUpToDate>
  <CharactersWithSpaces>2114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admin</cp:lastModifiedBy>
  <cp:lastPrinted>2023-07-17T02:42:00Z</cp:lastPrinted>
  <dcterms:modified xsi:type="dcterms:W3CDTF">2025-06-17T09:59:13Z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0B3C93935C314BB79E1276F475E5CBBE_13</vt:lpwstr>
  </property>
  <property fmtid="{D5CDD505-2E9C-101B-9397-08002B2CF9AE}" pid="4" name="KSOTemplateDocerSaveRecord">
    <vt:lpwstr>eyJoZGlkIjoiMjM5N2ZhZmI4NjY1ZDg1YzA0OThkY2JmMzk1OTM1NDAiLCJ1c2VySWQiOiIyNTE2NzcxODgifQ==</vt:lpwstr>
  </property>
</Properties>
</file>