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28FE2">
      <w:pPr>
        <w:rPr>
          <w:rFonts w:hint="default"/>
        </w:rPr>
      </w:pPr>
    </w:p>
    <w:p w14:paraId="2F85348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sz w:val="44"/>
          <w:szCs w:val="44"/>
        </w:rPr>
      </w:pPr>
    </w:p>
    <w:p w14:paraId="1B99180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重庆市江北区</w:t>
      </w:r>
      <w:r>
        <w:rPr>
          <w:rFonts w:hint="eastAsia" w:eastAsia="方正小标宋_GBK" w:cs="Times New Roman"/>
          <w:b w:val="0"/>
          <w:bCs w:val="0"/>
          <w:sz w:val="44"/>
          <w:szCs w:val="44"/>
          <w:lang w:eastAsia="zh-CN"/>
        </w:rPr>
        <w:t>中医院</w:t>
      </w:r>
    </w:p>
    <w:p w14:paraId="679930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202</w:t>
      </w:r>
      <w:r>
        <w:rPr>
          <w:rFonts w:hint="eastAsia" w:eastAsia="方正小标宋_GBK" w:cs="Times New Roman"/>
          <w:b w:val="0"/>
          <w:bCs w:val="0"/>
          <w:sz w:val="44"/>
          <w:szCs w:val="44"/>
          <w:lang w:val="en-US" w:eastAsia="zh-CN"/>
        </w:rPr>
        <w:t>6</w:t>
      </w:r>
      <w:r>
        <w:rPr>
          <w:rFonts w:hint="default" w:ascii="Times New Roman" w:hAnsi="Times New Roman" w:eastAsia="方正小标宋_GBK" w:cs="Times New Roman"/>
          <w:b w:val="0"/>
          <w:bCs w:val="0"/>
          <w:sz w:val="44"/>
          <w:szCs w:val="44"/>
        </w:rPr>
        <w:t>年医疗责任保险</w:t>
      </w:r>
      <w:r>
        <w:rPr>
          <w:rFonts w:hint="default" w:ascii="Times New Roman" w:hAnsi="Times New Roman" w:eastAsia="方正小标宋_GBK" w:cs="Times New Roman"/>
          <w:b w:val="0"/>
          <w:bCs w:val="0"/>
          <w:sz w:val="44"/>
          <w:szCs w:val="44"/>
          <w:lang w:eastAsia="zh-CN"/>
        </w:rPr>
        <w:t>竞争性磋商</w:t>
      </w:r>
      <w:r>
        <w:rPr>
          <w:rFonts w:hint="default" w:ascii="Times New Roman" w:hAnsi="Times New Roman" w:eastAsia="方正小标宋_GBK" w:cs="Times New Roman"/>
          <w:b w:val="0"/>
          <w:bCs w:val="0"/>
          <w:sz w:val="44"/>
          <w:szCs w:val="44"/>
        </w:rPr>
        <w:t>采购文件</w:t>
      </w:r>
    </w:p>
    <w:p w14:paraId="0DBECB87">
      <w:pPr>
        <w:tabs>
          <w:tab w:val="center" w:pos="4153"/>
          <w:tab w:val="right" w:pos="8306"/>
        </w:tabs>
        <w:spacing w:line="480" w:lineRule="exact"/>
        <w:rPr>
          <w:rFonts w:hint="default" w:ascii="Times New Roman" w:hAnsi="Times New Roman" w:cs="Times New Roman"/>
          <w:sz w:val="44"/>
          <w:szCs w:val="44"/>
        </w:rPr>
      </w:pPr>
    </w:p>
    <w:p w14:paraId="0ECDD98E">
      <w:pPr>
        <w:tabs>
          <w:tab w:val="center" w:pos="4153"/>
          <w:tab w:val="right" w:pos="8306"/>
        </w:tabs>
        <w:spacing w:line="480" w:lineRule="exact"/>
        <w:rPr>
          <w:rFonts w:hint="default" w:ascii="Times New Roman" w:hAnsi="Times New Roman" w:cs="Times New Roman"/>
          <w:sz w:val="44"/>
          <w:szCs w:val="44"/>
        </w:rPr>
      </w:pPr>
    </w:p>
    <w:p w14:paraId="721826B9">
      <w:pPr>
        <w:tabs>
          <w:tab w:val="center" w:pos="4153"/>
          <w:tab w:val="right" w:pos="8306"/>
        </w:tabs>
        <w:spacing w:line="480" w:lineRule="exact"/>
        <w:rPr>
          <w:rFonts w:hint="default" w:ascii="Times New Roman" w:hAnsi="Times New Roman" w:cs="Times New Roman"/>
          <w:sz w:val="44"/>
          <w:szCs w:val="44"/>
        </w:rPr>
      </w:pPr>
    </w:p>
    <w:p w14:paraId="4D9EB351">
      <w:pPr>
        <w:pStyle w:val="2"/>
        <w:rPr>
          <w:rFonts w:hint="default" w:ascii="Times New Roman" w:hAnsi="Times New Roman" w:cs="Times New Roman"/>
          <w:sz w:val="44"/>
          <w:szCs w:val="44"/>
        </w:rPr>
      </w:pPr>
    </w:p>
    <w:p w14:paraId="2FB5E6EA">
      <w:pPr>
        <w:rPr>
          <w:rFonts w:hint="default" w:ascii="Times New Roman" w:hAnsi="Times New Roman" w:cs="Times New Roman"/>
          <w:sz w:val="44"/>
          <w:szCs w:val="44"/>
        </w:rPr>
      </w:pPr>
    </w:p>
    <w:p w14:paraId="231A1070">
      <w:pPr>
        <w:pStyle w:val="2"/>
        <w:rPr>
          <w:rFonts w:hint="default"/>
        </w:rPr>
      </w:pPr>
    </w:p>
    <w:p w14:paraId="48AD3FD1">
      <w:pPr>
        <w:tabs>
          <w:tab w:val="center" w:pos="4153"/>
          <w:tab w:val="right" w:pos="8306"/>
        </w:tabs>
        <w:spacing w:line="480" w:lineRule="exact"/>
        <w:rPr>
          <w:rFonts w:hint="default" w:ascii="Times New Roman" w:hAnsi="Times New Roman" w:cs="Times New Roman"/>
          <w:sz w:val="44"/>
          <w:szCs w:val="44"/>
        </w:rPr>
      </w:pPr>
    </w:p>
    <w:p w14:paraId="0A469DE8">
      <w:pPr>
        <w:tabs>
          <w:tab w:val="center" w:pos="4153"/>
          <w:tab w:val="right" w:pos="8306"/>
        </w:tabs>
        <w:spacing w:line="480" w:lineRule="exact"/>
        <w:rPr>
          <w:rFonts w:hint="default" w:ascii="Times New Roman" w:hAnsi="Times New Roman" w:cs="Times New Roman"/>
          <w:sz w:val="44"/>
          <w:szCs w:val="44"/>
        </w:rPr>
      </w:pPr>
    </w:p>
    <w:p w14:paraId="620822B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cs="Times New Roman"/>
          <w:sz w:val="36"/>
          <w:szCs w:val="36"/>
        </w:rPr>
      </w:pPr>
      <w:r>
        <w:rPr>
          <w:rFonts w:hint="default" w:ascii="Times New Roman" w:hAnsi="Times New Roman" w:eastAsia="方正小标宋_GBK" w:cs="Times New Roman"/>
          <w:b w:val="0"/>
          <w:bCs w:val="0"/>
          <w:color w:val="000000"/>
          <w:sz w:val="32"/>
          <w:szCs w:val="32"/>
        </w:rPr>
        <w:t>项目名称：202</w:t>
      </w:r>
      <w:r>
        <w:rPr>
          <w:rFonts w:hint="eastAsia" w:eastAsia="方正小标宋_GBK" w:cs="Times New Roman"/>
          <w:b w:val="0"/>
          <w:bCs w:val="0"/>
          <w:color w:val="000000"/>
          <w:sz w:val="32"/>
          <w:szCs w:val="32"/>
          <w:lang w:val="en-US" w:eastAsia="zh-CN"/>
        </w:rPr>
        <w:t>6</w:t>
      </w:r>
      <w:r>
        <w:rPr>
          <w:rFonts w:hint="default" w:ascii="Times New Roman" w:hAnsi="Times New Roman" w:eastAsia="方正小标宋_GBK" w:cs="Times New Roman"/>
          <w:b w:val="0"/>
          <w:bCs w:val="0"/>
          <w:color w:val="000000"/>
          <w:sz w:val="32"/>
          <w:szCs w:val="32"/>
        </w:rPr>
        <w:t>年医疗责任保险</w:t>
      </w:r>
    </w:p>
    <w:p w14:paraId="3B9A7F1A">
      <w:pPr>
        <w:bidi w:val="0"/>
        <w:rPr>
          <w:rFonts w:hint="default"/>
        </w:rPr>
      </w:pPr>
    </w:p>
    <w:p w14:paraId="7E65EE53">
      <w:pPr>
        <w:bidi w:val="0"/>
        <w:rPr>
          <w:rFonts w:hint="default"/>
        </w:rPr>
      </w:pPr>
    </w:p>
    <w:p w14:paraId="752F7E97">
      <w:pPr>
        <w:bidi w:val="0"/>
        <w:rPr>
          <w:rFonts w:hint="default"/>
        </w:rPr>
      </w:pPr>
    </w:p>
    <w:p w14:paraId="5600AD44">
      <w:pPr>
        <w:pStyle w:val="2"/>
        <w:rPr>
          <w:rFonts w:hint="default"/>
        </w:rPr>
      </w:pPr>
    </w:p>
    <w:p w14:paraId="61B73293">
      <w:pPr>
        <w:rPr>
          <w:rFonts w:hint="default"/>
        </w:rPr>
      </w:pPr>
    </w:p>
    <w:p w14:paraId="64F6BEC0">
      <w:pPr>
        <w:pStyle w:val="2"/>
        <w:rPr>
          <w:rFonts w:hint="default"/>
        </w:rPr>
      </w:pPr>
    </w:p>
    <w:p w14:paraId="07F461F8">
      <w:pPr>
        <w:rPr>
          <w:rFonts w:hint="default"/>
        </w:rPr>
      </w:pPr>
    </w:p>
    <w:p w14:paraId="0D710E8E">
      <w:pPr>
        <w:pStyle w:val="2"/>
        <w:rPr>
          <w:rFonts w:hint="default"/>
        </w:rPr>
      </w:pPr>
    </w:p>
    <w:p w14:paraId="5D0789DB">
      <w:pPr>
        <w:rPr>
          <w:rFonts w:hint="default"/>
        </w:rPr>
      </w:pPr>
    </w:p>
    <w:p w14:paraId="29051826">
      <w:pPr>
        <w:pStyle w:val="2"/>
        <w:rPr>
          <w:rFonts w:hint="default"/>
        </w:rPr>
      </w:pPr>
    </w:p>
    <w:p w14:paraId="24F1254E">
      <w:pPr>
        <w:spacing w:line="480" w:lineRule="exact"/>
        <w:ind w:left="0"/>
        <w:jc w:val="center"/>
        <w:outlineLvl w:val="0"/>
        <w:rPr>
          <w:rFonts w:hint="eastAsia" w:ascii="Times New Roman" w:hAnsi="Times New Roman" w:eastAsia="方正小标宋_GBK" w:cs="Times New Roman"/>
          <w:bCs/>
          <w:color w:val="000000"/>
          <w:sz w:val="32"/>
          <w:szCs w:val="32"/>
          <w:lang w:eastAsia="zh-CN"/>
        </w:rPr>
      </w:pPr>
      <w:r>
        <w:rPr>
          <w:rFonts w:hint="default" w:ascii="Times New Roman" w:hAnsi="Times New Roman" w:eastAsia="方正小标宋_GBK" w:cs="Times New Roman"/>
          <w:bCs/>
          <w:color w:val="000000"/>
          <w:sz w:val="32"/>
          <w:szCs w:val="32"/>
        </w:rPr>
        <w:t>采购人：重庆市</w:t>
      </w:r>
      <w:r>
        <w:rPr>
          <w:rFonts w:hint="eastAsia" w:eastAsia="方正小标宋_GBK" w:cs="Times New Roman"/>
          <w:bCs/>
          <w:color w:val="000000"/>
          <w:sz w:val="32"/>
          <w:szCs w:val="32"/>
          <w:lang w:eastAsia="zh-CN"/>
        </w:rPr>
        <w:t>江北区中医院</w:t>
      </w:r>
    </w:p>
    <w:p w14:paraId="0CAA22BB">
      <w:pPr>
        <w:spacing w:line="480" w:lineRule="exact"/>
        <w:jc w:val="center"/>
        <w:rPr>
          <w:rFonts w:hint="default" w:ascii="Times New Roman" w:hAnsi="Times New Roman" w:eastAsia="方正小标宋_GBK" w:cs="Times New Roman"/>
          <w:color w:val="000000"/>
          <w:sz w:val="32"/>
          <w:szCs w:val="32"/>
        </w:rPr>
        <w:sectPr>
          <w:headerReference r:id="rId3" w:type="default"/>
          <w:footerReference r:id="rId4" w:type="default"/>
          <w:pgSz w:w="11906" w:h="16838"/>
          <w:pgMar w:top="1984" w:right="1446" w:bottom="1644" w:left="1446" w:header="851" w:footer="992" w:gutter="0"/>
          <w:pgNumType w:fmt="decimal"/>
          <w:cols w:space="720" w:num="1"/>
          <w:docGrid w:type="lines" w:linePitch="312" w:charSpace="0"/>
        </w:sectPr>
      </w:pPr>
      <w:r>
        <w:rPr>
          <w:rFonts w:hint="default" w:ascii="Times New Roman" w:hAnsi="Times New Roman" w:eastAsia="方正小标宋_GBK" w:cs="Times New Roman"/>
          <w:color w:val="000000"/>
          <w:sz w:val="32"/>
          <w:szCs w:val="32"/>
        </w:rPr>
        <w:t>二〇二</w:t>
      </w:r>
      <w:r>
        <w:rPr>
          <w:rFonts w:hint="eastAsia" w:eastAsia="方正小标宋_GBK" w:cs="Times New Roman"/>
          <w:color w:val="000000"/>
          <w:sz w:val="32"/>
          <w:szCs w:val="32"/>
          <w:lang w:eastAsia="zh-CN"/>
        </w:rPr>
        <w:t>五</w:t>
      </w:r>
      <w:r>
        <w:rPr>
          <w:rFonts w:hint="default" w:ascii="Times New Roman" w:hAnsi="Times New Roman" w:eastAsia="方正小标宋_GBK" w:cs="Times New Roman"/>
          <w:color w:val="000000"/>
          <w:sz w:val="32"/>
          <w:szCs w:val="32"/>
        </w:rPr>
        <w:t>年</w:t>
      </w:r>
      <w:r>
        <w:rPr>
          <w:rFonts w:hint="eastAsia" w:eastAsia="方正小标宋_GBK" w:cs="Times New Roman"/>
          <w:color w:val="000000"/>
          <w:sz w:val="32"/>
          <w:szCs w:val="32"/>
          <w:lang w:eastAsia="zh-CN"/>
        </w:rPr>
        <w:t>十一</w:t>
      </w:r>
      <w:r>
        <w:rPr>
          <w:rFonts w:hint="default" w:ascii="Times New Roman" w:hAnsi="Times New Roman" w:eastAsia="方正小标宋_GBK" w:cs="Times New Roman"/>
          <w:color w:val="000000"/>
          <w:sz w:val="32"/>
          <w:szCs w:val="32"/>
        </w:rPr>
        <w:t>月</w:t>
      </w:r>
    </w:p>
    <w:p w14:paraId="6BB5BA8F">
      <w:pPr>
        <w:pStyle w:val="22"/>
        <w:numPr>
          <w:ilvl w:val="0"/>
          <w:numId w:val="1"/>
        </w:numPr>
        <w:bidi w:val="0"/>
        <w:rPr>
          <w:rFonts w:hint="eastAsia"/>
        </w:rPr>
      </w:pPr>
      <w:bookmarkStart w:id="0" w:name="_Toc65660329"/>
      <w:bookmarkStart w:id="1" w:name="_Toc12789052"/>
      <w:bookmarkStart w:id="2" w:name="_Toc11641050"/>
      <w:bookmarkStart w:id="3" w:name="_Toc15726"/>
      <w:bookmarkStart w:id="4" w:name="_Toc135993483"/>
      <w:bookmarkStart w:id="5" w:name="_Toc24173"/>
      <w:r>
        <w:rPr>
          <w:rFonts w:hint="eastAsia"/>
          <w:lang w:eastAsia="zh-CN"/>
        </w:rPr>
        <w:t>采购</w:t>
      </w:r>
      <w:r>
        <w:rPr>
          <w:rFonts w:hint="eastAsia"/>
        </w:rPr>
        <w:t>邀请书</w:t>
      </w:r>
      <w:bookmarkEnd w:id="0"/>
      <w:bookmarkEnd w:id="1"/>
      <w:bookmarkEnd w:id="2"/>
      <w:bookmarkEnd w:id="3"/>
      <w:bookmarkEnd w:id="4"/>
      <w:bookmarkEnd w:id="5"/>
      <w:bookmarkStart w:id="6" w:name="_Toc135993484"/>
      <w:bookmarkStart w:id="7" w:name="_Toc7758"/>
      <w:bookmarkStart w:id="8" w:name="_Toc317775175"/>
      <w:bookmarkStart w:id="9" w:name="_Toc65660330"/>
      <w:bookmarkStart w:id="10" w:name="_Toc18246"/>
      <w:bookmarkStart w:id="11" w:name="_Toc313893526"/>
    </w:p>
    <w:p w14:paraId="37C8D57F">
      <w:pPr>
        <w:pStyle w:val="22"/>
        <w:numPr>
          <w:ilvl w:val="0"/>
          <w:numId w:val="0"/>
        </w:numPr>
        <w:bidi w:val="0"/>
        <w:jc w:val="both"/>
        <w:rPr>
          <w:rFonts w:hint="eastAsia"/>
          <w:lang w:val="en-US" w:eastAsia="zh-CN"/>
        </w:rPr>
      </w:pPr>
      <w:r>
        <w:rPr>
          <w:rFonts w:hint="eastAsia"/>
          <w:lang w:val="en-US" w:eastAsia="zh-CN"/>
        </w:rPr>
        <w:t xml:space="preserve">   </w:t>
      </w:r>
    </w:p>
    <w:p w14:paraId="5CAC0FD7">
      <w:pPr>
        <w:pStyle w:val="22"/>
        <w:numPr>
          <w:ilvl w:val="0"/>
          <w:numId w:val="0"/>
        </w:numPr>
        <w:bidi w:val="0"/>
        <w:ind w:firstLine="480" w:firstLineChars="200"/>
        <w:jc w:val="both"/>
        <w:rPr>
          <w:rFonts w:hint="default"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重庆市江北区中医院医疗责任保险采购进行竞争性磋商采购。欢迎有资格的供应商前来磋商。</w:t>
      </w:r>
    </w:p>
    <w:p w14:paraId="397B79BC">
      <w:pPr>
        <w:pStyle w:val="21"/>
        <w:bidi w:val="0"/>
        <w:rPr>
          <w:rFonts w:hint="eastAsia"/>
        </w:rPr>
      </w:pPr>
      <w:r>
        <w:rPr>
          <w:rFonts w:hint="eastAsia"/>
        </w:rPr>
        <w:t>一、</w:t>
      </w:r>
      <w:r>
        <w:rPr>
          <w:rFonts w:hint="eastAsia"/>
          <w:lang w:eastAsia="zh-CN"/>
        </w:rPr>
        <w:t>竞争性磋商</w:t>
      </w:r>
      <w:r>
        <w:rPr>
          <w:rFonts w:hint="eastAsia"/>
        </w:rPr>
        <w:t>内容</w:t>
      </w:r>
      <w:bookmarkEnd w:id="6"/>
      <w:bookmarkEnd w:id="7"/>
      <w:bookmarkEnd w:id="8"/>
      <w:bookmarkEnd w:id="9"/>
      <w:bookmarkEnd w:id="10"/>
      <w:bookmarkEnd w:id="11"/>
    </w:p>
    <w:tbl>
      <w:tblPr>
        <w:tblStyle w:val="15"/>
        <w:tblpPr w:leftFromText="180" w:rightFromText="180" w:vertAnchor="text" w:horzAnchor="margin" w:tblpXSpec="center" w:tblpY="116"/>
        <w:tblOverlap w:val="never"/>
        <w:tblW w:w="4783" w:type="pct"/>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4"/>
        <w:gridCol w:w="1934"/>
        <w:gridCol w:w="1323"/>
        <w:gridCol w:w="1878"/>
      </w:tblGrid>
      <w:tr w14:paraId="2917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38" w:type="pct"/>
            <w:noWrap w:val="0"/>
            <w:vAlign w:val="center"/>
          </w:tcPr>
          <w:p w14:paraId="69D6A080">
            <w:pPr>
              <w:pStyle w:val="21"/>
              <w:bidi w:val="0"/>
              <w:spacing w:line="240" w:lineRule="auto"/>
              <w:ind w:left="0" w:leftChars="0" w:firstLine="0" w:firstLineChars="0"/>
              <w:jc w:val="center"/>
              <w:rPr>
                <w:rFonts w:hint="default"/>
                <w:sz w:val="21"/>
                <w:szCs w:val="21"/>
              </w:rPr>
            </w:pPr>
            <w:bookmarkStart w:id="12" w:name="_Toc65660331"/>
            <w:bookmarkStart w:id="13" w:name="_Toc3256"/>
            <w:bookmarkStart w:id="14" w:name="_Toc27028"/>
            <w:bookmarkStart w:id="15" w:name="_Toc373860293"/>
            <w:bookmarkStart w:id="16" w:name="_Toc317775178"/>
            <w:r>
              <w:rPr>
                <w:rFonts w:hint="default"/>
                <w:sz w:val="21"/>
                <w:szCs w:val="21"/>
              </w:rPr>
              <w:t>项目名称</w:t>
            </w:r>
          </w:p>
        </w:tc>
        <w:tc>
          <w:tcPr>
            <w:tcW w:w="1115" w:type="pct"/>
            <w:noWrap w:val="0"/>
            <w:vAlign w:val="center"/>
          </w:tcPr>
          <w:p w14:paraId="3626C4F4">
            <w:pPr>
              <w:pStyle w:val="21"/>
              <w:bidi w:val="0"/>
              <w:spacing w:line="240" w:lineRule="auto"/>
              <w:ind w:left="0" w:leftChars="0" w:firstLine="0" w:firstLineChars="0"/>
              <w:jc w:val="center"/>
              <w:rPr>
                <w:rFonts w:hint="default"/>
                <w:sz w:val="21"/>
                <w:szCs w:val="21"/>
              </w:rPr>
            </w:pPr>
            <w:r>
              <w:rPr>
                <w:rFonts w:hint="eastAsia"/>
                <w:sz w:val="21"/>
                <w:szCs w:val="21"/>
                <w:lang w:eastAsia="zh-CN"/>
              </w:rPr>
              <w:t>最高限价</w:t>
            </w:r>
            <w:r>
              <w:rPr>
                <w:rFonts w:hint="default"/>
                <w:sz w:val="21"/>
                <w:szCs w:val="21"/>
              </w:rPr>
              <w:t>（元</w:t>
            </w:r>
            <w:r>
              <w:rPr>
                <w:rFonts w:hint="eastAsia"/>
                <w:sz w:val="21"/>
                <w:szCs w:val="21"/>
                <w:lang w:val="en-US" w:eastAsia="zh-CN"/>
              </w:rPr>
              <w:t>/年</w:t>
            </w:r>
            <w:r>
              <w:rPr>
                <w:rFonts w:hint="default"/>
                <w:sz w:val="21"/>
                <w:szCs w:val="21"/>
              </w:rPr>
              <w:t>）</w:t>
            </w:r>
          </w:p>
        </w:tc>
        <w:tc>
          <w:tcPr>
            <w:tcW w:w="763" w:type="pct"/>
            <w:noWrap w:val="0"/>
            <w:vAlign w:val="center"/>
          </w:tcPr>
          <w:p w14:paraId="5372C05D">
            <w:pPr>
              <w:pStyle w:val="21"/>
              <w:bidi w:val="0"/>
              <w:spacing w:line="240" w:lineRule="auto"/>
              <w:ind w:left="0" w:leftChars="0" w:firstLine="0" w:firstLineChars="0"/>
              <w:jc w:val="center"/>
              <w:rPr>
                <w:rFonts w:hint="default"/>
                <w:sz w:val="21"/>
                <w:szCs w:val="21"/>
                <w:lang w:eastAsia="zh-CN"/>
              </w:rPr>
            </w:pPr>
            <w:r>
              <w:rPr>
                <w:rFonts w:hint="eastAsia"/>
                <w:sz w:val="21"/>
                <w:szCs w:val="21"/>
                <w:lang w:eastAsia="zh-CN"/>
              </w:rPr>
              <w:t>服务期（年）</w:t>
            </w:r>
          </w:p>
        </w:tc>
        <w:tc>
          <w:tcPr>
            <w:tcW w:w="1083" w:type="pct"/>
            <w:noWrap w:val="0"/>
            <w:vAlign w:val="center"/>
          </w:tcPr>
          <w:p w14:paraId="2086A60D">
            <w:pPr>
              <w:pStyle w:val="21"/>
              <w:bidi w:val="0"/>
              <w:spacing w:line="240" w:lineRule="auto"/>
              <w:ind w:left="0" w:leftChars="0" w:firstLine="0" w:firstLineChars="0"/>
              <w:jc w:val="center"/>
              <w:rPr>
                <w:rFonts w:hint="default"/>
                <w:sz w:val="21"/>
                <w:szCs w:val="21"/>
              </w:rPr>
            </w:pPr>
            <w:r>
              <w:rPr>
                <w:rFonts w:hint="default"/>
                <w:sz w:val="21"/>
                <w:szCs w:val="21"/>
              </w:rPr>
              <w:t>成交供应商（名）</w:t>
            </w:r>
          </w:p>
        </w:tc>
      </w:tr>
      <w:tr w14:paraId="24A1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38" w:type="pct"/>
            <w:noWrap w:val="0"/>
            <w:vAlign w:val="center"/>
          </w:tcPr>
          <w:p w14:paraId="422EEFAC">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202</w:t>
            </w:r>
            <w:r>
              <w:rPr>
                <w:rFonts w:hint="eastAsia" w:eastAsia="方正仿宋_GBK" w:cs="Times New Roman"/>
                <w:sz w:val="24"/>
                <w:szCs w:val="24"/>
                <w:lang w:val="en-US" w:eastAsia="zh-CN"/>
              </w:rPr>
              <w:t>6</w:t>
            </w:r>
            <w:r>
              <w:rPr>
                <w:rFonts w:hint="default" w:ascii="Times New Roman" w:hAnsi="Times New Roman" w:eastAsia="方正仿宋_GBK" w:cs="Times New Roman"/>
                <w:sz w:val="24"/>
                <w:szCs w:val="24"/>
                <w:lang w:val="en-US" w:eastAsia="zh-CN"/>
              </w:rPr>
              <w:t>年医疗责任保险项目</w:t>
            </w:r>
          </w:p>
        </w:tc>
        <w:tc>
          <w:tcPr>
            <w:tcW w:w="1115" w:type="pct"/>
            <w:noWrap w:val="0"/>
            <w:vAlign w:val="center"/>
          </w:tcPr>
          <w:p w14:paraId="48127C13">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490000</w:t>
            </w:r>
          </w:p>
        </w:tc>
        <w:tc>
          <w:tcPr>
            <w:tcW w:w="763" w:type="pct"/>
            <w:noWrap w:val="0"/>
            <w:vAlign w:val="center"/>
          </w:tcPr>
          <w:p w14:paraId="7CDE474B">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c>
          <w:tcPr>
            <w:tcW w:w="1083" w:type="pct"/>
            <w:noWrap w:val="0"/>
            <w:vAlign w:val="center"/>
          </w:tcPr>
          <w:p w14:paraId="6C53BA2B">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r>
    </w:tbl>
    <w:p w14:paraId="1BCD01BD">
      <w:pPr>
        <w:pStyle w:val="21"/>
        <w:bidi w:val="0"/>
        <w:rPr>
          <w:rFonts w:hint="default"/>
        </w:rPr>
      </w:pPr>
      <w:bookmarkStart w:id="17" w:name="_Toc135993485"/>
      <w:r>
        <w:rPr>
          <w:rFonts w:hint="default"/>
        </w:rPr>
        <w:t>二、资金来源</w:t>
      </w:r>
      <w:bookmarkEnd w:id="12"/>
      <w:bookmarkEnd w:id="13"/>
      <w:bookmarkEnd w:id="14"/>
      <w:bookmarkEnd w:id="17"/>
    </w:p>
    <w:p w14:paraId="1407BFD5">
      <w:pPr>
        <w:pStyle w:val="20"/>
        <w:bidi w:val="0"/>
        <w:rPr>
          <w:rFonts w:hint="default"/>
        </w:rPr>
      </w:pPr>
      <w:r>
        <w:rPr>
          <w:rFonts w:hint="default"/>
        </w:rPr>
        <w:t>单位自筹资金</w:t>
      </w:r>
    </w:p>
    <w:p w14:paraId="447B5C6B">
      <w:pPr>
        <w:pStyle w:val="21"/>
        <w:bidi w:val="0"/>
        <w:rPr>
          <w:rFonts w:hint="default"/>
        </w:rPr>
      </w:pPr>
      <w:bookmarkStart w:id="18" w:name="_Toc135993486"/>
      <w:bookmarkStart w:id="19" w:name="_Toc18548"/>
      <w:bookmarkStart w:id="20" w:name="_Toc65660332"/>
      <w:bookmarkStart w:id="21" w:name="_Toc13541"/>
      <w:bookmarkStart w:id="22" w:name="_Toc64731996"/>
      <w:r>
        <w:rPr>
          <w:rFonts w:hint="default"/>
        </w:rPr>
        <w:t>三、供应商资格条件</w:t>
      </w:r>
      <w:bookmarkEnd w:id="18"/>
      <w:bookmarkEnd w:id="19"/>
      <w:bookmarkEnd w:id="20"/>
      <w:bookmarkEnd w:id="21"/>
      <w:bookmarkEnd w:id="22"/>
    </w:p>
    <w:p w14:paraId="2FC93102">
      <w:pPr>
        <w:pStyle w:val="20"/>
        <w:bidi w:val="0"/>
        <w:rPr>
          <w:rFonts w:hint="default"/>
        </w:rPr>
      </w:pPr>
      <w:r>
        <w:rPr>
          <w:rFonts w:hint="default"/>
        </w:rPr>
        <w:t>合格供应商应首先符合政府采购法第二十二条规定的基本条件，同时符合根据该项目特殊要求设置的特定资格条件。</w:t>
      </w:r>
    </w:p>
    <w:p w14:paraId="1FF7ABB6">
      <w:pPr>
        <w:pStyle w:val="20"/>
        <w:bidi w:val="0"/>
        <w:rPr>
          <w:rFonts w:hint="eastAsia" w:eastAsia="方正仿宋_GBK"/>
          <w:lang w:eastAsia="zh-CN"/>
        </w:rPr>
      </w:pPr>
      <w:r>
        <w:rPr>
          <w:rFonts w:hint="default"/>
        </w:rPr>
        <w:t>（一）基本资格条件</w:t>
      </w:r>
      <w:r>
        <w:rPr>
          <w:rFonts w:hint="eastAsia"/>
          <w:lang w:eastAsia="zh-CN"/>
        </w:rPr>
        <w:t>：</w:t>
      </w:r>
    </w:p>
    <w:p w14:paraId="3140649C">
      <w:pPr>
        <w:pStyle w:val="20"/>
        <w:bidi w:val="0"/>
        <w:rPr>
          <w:rFonts w:hint="default"/>
        </w:rPr>
      </w:pPr>
      <w:r>
        <w:rPr>
          <w:rFonts w:hint="default"/>
        </w:rPr>
        <w:t>1.具有独立承担民事责任的能力；</w:t>
      </w:r>
    </w:p>
    <w:p w14:paraId="476D00AD">
      <w:pPr>
        <w:pStyle w:val="20"/>
        <w:bidi w:val="0"/>
        <w:rPr>
          <w:rFonts w:hint="default"/>
        </w:rPr>
      </w:pPr>
      <w:r>
        <w:rPr>
          <w:rFonts w:hint="default"/>
        </w:rPr>
        <w:t>2.具有良好的商业信誉和健全的财务会计制度；</w:t>
      </w:r>
    </w:p>
    <w:p w14:paraId="4E1F2C0F">
      <w:pPr>
        <w:pStyle w:val="20"/>
        <w:bidi w:val="0"/>
        <w:rPr>
          <w:rFonts w:hint="default"/>
        </w:rPr>
      </w:pPr>
      <w:r>
        <w:rPr>
          <w:rFonts w:hint="default"/>
        </w:rPr>
        <w:t>3.具有履行合同所必需的设备和专业技术能力；</w:t>
      </w:r>
    </w:p>
    <w:p w14:paraId="2E375CC0">
      <w:pPr>
        <w:pStyle w:val="20"/>
        <w:bidi w:val="0"/>
        <w:rPr>
          <w:rFonts w:hint="default"/>
        </w:rPr>
      </w:pPr>
      <w:r>
        <w:rPr>
          <w:rFonts w:hint="default"/>
        </w:rPr>
        <w:t>4.有依法缴纳税收和社会保障资金的良好记录；</w:t>
      </w:r>
    </w:p>
    <w:p w14:paraId="286649A7">
      <w:pPr>
        <w:pStyle w:val="20"/>
        <w:bidi w:val="0"/>
        <w:rPr>
          <w:rFonts w:hint="default"/>
        </w:rPr>
      </w:pPr>
      <w:r>
        <w:rPr>
          <w:rFonts w:hint="default"/>
        </w:rPr>
        <w:t>5.三年内在经营活动中</w:t>
      </w:r>
      <w:r>
        <w:rPr>
          <w:rFonts w:hint="eastAsia"/>
          <w:lang w:eastAsia="zh-CN"/>
        </w:rPr>
        <w:t>无</w:t>
      </w:r>
      <w:r>
        <w:rPr>
          <w:rFonts w:hint="default"/>
        </w:rPr>
        <w:t>重大违</w:t>
      </w:r>
      <w:r>
        <w:rPr>
          <w:rFonts w:hint="eastAsia"/>
          <w:lang w:eastAsia="zh-CN"/>
        </w:rPr>
        <w:t>纪</w:t>
      </w:r>
      <w:r>
        <w:rPr>
          <w:rFonts w:hint="default"/>
        </w:rPr>
        <w:t>记录；</w:t>
      </w:r>
    </w:p>
    <w:p w14:paraId="2AEB968D">
      <w:pPr>
        <w:pStyle w:val="20"/>
        <w:bidi w:val="0"/>
        <w:rPr>
          <w:rFonts w:hint="default"/>
        </w:rPr>
      </w:pPr>
      <w:r>
        <w:rPr>
          <w:rFonts w:hint="default"/>
        </w:rPr>
        <w:t>6.法律、行政法规规定的其他条件。</w:t>
      </w:r>
    </w:p>
    <w:p w14:paraId="1EDDADFD">
      <w:pPr>
        <w:pStyle w:val="20"/>
        <w:bidi w:val="0"/>
        <w:rPr>
          <w:rFonts w:hint="default"/>
        </w:rPr>
      </w:pPr>
      <w:r>
        <w:rPr>
          <w:rFonts w:hint="default"/>
        </w:rPr>
        <w:t>（二）本项目的特定资格要求：</w:t>
      </w:r>
    </w:p>
    <w:p w14:paraId="3B703B91">
      <w:pPr>
        <w:pStyle w:val="20"/>
        <w:bidi w:val="0"/>
        <w:rPr>
          <w:rFonts w:hint="eastAsia" w:eastAsia="方正仿宋_GBK"/>
          <w:lang w:eastAsia="zh-CN"/>
        </w:rPr>
      </w:pPr>
      <w:bookmarkStart w:id="23" w:name="_Toc11908"/>
      <w:bookmarkStart w:id="24" w:name="_Toc135993487"/>
      <w:bookmarkStart w:id="25" w:name="_Toc65660333"/>
      <w:bookmarkStart w:id="26" w:name="_Toc1386"/>
      <w:r>
        <w:rPr>
          <w:rFonts w:hint="default"/>
        </w:rPr>
        <w:t>1.供应商为</w:t>
      </w:r>
      <w:r>
        <w:rPr>
          <w:rFonts w:hint="eastAsia"/>
          <w:lang w:val="en-US" w:eastAsia="zh-CN"/>
        </w:rPr>
        <w:t>中国银行</w:t>
      </w:r>
      <w:r>
        <w:rPr>
          <w:rFonts w:hint="default"/>
          <w:lang w:val="en-US" w:eastAsia="zh-CN"/>
        </w:rPr>
        <w:t>保险监督管理</w:t>
      </w:r>
      <w:r>
        <w:rPr>
          <w:rFonts w:hint="eastAsia"/>
          <w:lang w:val="en-US" w:eastAsia="zh-CN"/>
        </w:rPr>
        <w:t>委员会</w:t>
      </w:r>
      <w:r>
        <w:rPr>
          <w:rFonts w:hint="default"/>
          <w:lang w:val="en-US" w:eastAsia="zh-CN"/>
        </w:rPr>
        <w:t>批准设</w:t>
      </w:r>
      <w:r>
        <w:rPr>
          <w:rFonts w:hint="default"/>
        </w:rPr>
        <w:t>立的保险公司</w:t>
      </w:r>
      <w:r>
        <w:rPr>
          <w:rFonts w:hint="eastAsia"/>
          <w:lang w:eastAsia="zh-CN"/>
        </w:rPr>
        <w:t>；</w:t>
      </w:r>
    </w:p>
    <w:p w14:paraId="7B784FAF">
      <w:pPr>
        <w:pStyle w:val="20"/>
        <w:bidi w:val="0"/>
        <w:rPr>
          <w:rFonts w:hint="eastAsia"/>
          <w:lang w:eastAsia="zh-CN"/>
        </w:rPr>
      </w:pPr>
      <w:r>
        <w:rPr>
          <w:rFonts w:hint="default"/>
        </w:rPr>
        <w:t>2.供应商具有中华人民共和国经营保险业务许可证（提供证书复印件并加盖供应商公章）</w:t>
      </w:r>
      <w:r>
        <w:rPr>
          <w:rFonts w:hint="eastAsia"/>
          <w:lang w:eastAsia="zh-CN"/>
        </w:rPr>
        <w:t>。</w:t>
      </w:r>
    </w:p>
    <w:p w14:paraId="66C0F44D">
      <w:pPr>
        <w:pStyle w:val="20"/>
        <w:bidi w:val="0"/>
        <w:rPr>
          <w:rFonts w:hint="eastAsia"/>
          <w:color w:val="auto"/>
          <w:lang w:val="en-US" w:eastAsia="zh-CN"/>
        </w:rPr>
      </w:pPr>
      <w:r>
        <w:rPr>
          <w:rFonts w:hint="eastAsia"/>
          <w:color w:val="auto"/>
          <w:lang w:val="en-US" w:eastAsia="zh-CN"/>
        </w:rPr>
        <w:t>①若供应商是保险集团（总公司）授权的分公司参与谈判，只接受保险集团（总公司）授权的一家分公司参与谈判（提供授权书原件或复印件</w:t>
      </w:r>
      <w:r>
        <w:rPr>
          <w:rFonts w:hint="default"/>
          <w:color w:val="auto"/>
          <w:lang w:val="en-US" w:eastAsia="zh-CN"/>
        </w:rPr>
        <w:t>并加盖供应商公章</w:t>
      </w:r>
      <w:r>
        <w:rPr>
          <w:rFonts w:hint="eastAsia"/>
          <w:color w:val="auto"/>
          <w:lang w:val="en-US" w:eastAsia="zh-CN"/>
        </w:rPr>
        <w:t>），若授权多家分公司参与谈判的，被授权的所有分公司均为无效响应。</w:t>
      </w:r>
    </w:p>
    <w:p w14:paraId="21F99143">
      <w:pPr>
        <w:pStyle w:val="20"/>
        <w:bidi w:val="0"/>
        <w:rPr>
          <w:rFonts w:hint="eastAsia"/>
          <w:color w:val="auto"/>
          <w:lang w:val="en-US" w:eastAsia="zh-CN"/>
        </w:rPr>
      </w:pPr>
      <w:r>
        <w:rPr>
          <w:rFonts w:hint="eastAsia"/>
          <w:color w:val="auto"/>
          <w:lang w:val="en-US" w:eastAsia="zh-CN"/>
        </w:rPr>
        <w:t>②授权分公司参与谈判的，本谈判文件要求“法人”、“供应商”或“法定代表人”证照、签署或盖章的地方，可以为被授权分公司的相关证照或者单位负责人的相关委托或签署或盖章。</w:t>
      </w:r>
    </w:p>
    <w:p w14:paraId="000D0A1A">
      <w:pPr>
        <w:pStyle w:val="20"/>
        <w:bidi w:val="0"/>
        <w:rPr>
          <w:rFonts w:hint="eastAsia"/>
          <w:color w:val="auto"/>
          <w:lang w:eastAsia="zh-CN"/>
        </w:rPr>
      </w:pPr>
      <w:r>
        <w:rPr>
          <w:rFonts w:hint="eastAsia"/>
          <w:color w:val="auto"/>
          <w:lang w:val="en-US" w:eastAsia="zh-CN"/>
        </w:rPr>
        <w:t>注：提供相关证明材料复印件。</w:t>
      </w:r>
    </w:p>
    <w:p w14:paraId="63AA0847">
      <w:pPr>
        <w:pStyle w:val="21"/>
        <w:bidi w:val="0"/>
        <w:rPr>
          <w:rFonts w:hint="default"/>
          <w:highlight w:val="none"/>
        </w:rPr>
      </w:pPr>
      <w:r>
        <w:rPr>
          <w:rFonts w:hint="default"/>
          <w:highlight w:val="none"/>
        </w:rPr>
        <w:t>四、</w:t>
      </w:r>
      <w:r>
        <w:rPr>
          <w:rFonts w:hint="eastAsia"/>
          <w:highlight w:val="none"/>
          <w:lang w:eastAsia="zh-CN"/>
        </w:rPr>
        <w:t>磋商</w:t>
      </w:r>
      <w:r>
        <w:rPr>
          <w:rFonts w:hint="default"/>
          <w:highlight w:val="none"/>
        </w:rPr>
        <w:t>有关说明</w:t>
      </w:r>
      <w:bookmarkEnd w:id="15"/>
      <w:bookmarkEnd w:id="23"/>
      <w:bookmarkEnd w:id="24"/>
      <w:bookmarkEnd w:id="25"/>
      <w:bookmarkEnd w:id="26"/>
    </w:p>
    <w:p w14:paraId="7460B498">
      <w:pPr>
        <w:pStyle w:val="20"/>
        <w:bidi w:val="0"/>
        <w:rPr>
          <w:rFonts w:hint="default"/>
          <w:highlight w:val="none"/>
        </w:rPr>
      </w:pPr>
      <w:r>
        <w:rPr>
          <w:rFonts w:hint="default"/>
        </w:rPr>
        <w:t>（一）凡有意参加</w:t>
      </w:r>
      <w:r>
        <w:rPr>
          <w:rFonts w:hint="eastAsia"/>
          <w:lang w:eastAsia="zh-CN"/>
        </w:rPr>
        <w:t>磋商</w:t>
      </w:r>
      <w:r>
        <w:rPr>
          <w:rFonts w:hint="default"/>
        </w:rPr>
        <w:t>的供应商，请在</w:t>
      </w:r>
      <w:r>
        <w:rPr>
          <w:rFonts w:hint="eastAsia"/>
          <w:lang w:eastAsia="zh-CN"/>
        </w:rPr>
        <w:t>“</w:t>
      </w:r>
      <w:r>
        <w:rPr>
          <w:rFonts w:hint="default"/>
          <w:lang w:val="en-US" w:eastAsia="zh-CN"/>
        </w:rPr>
        <w:t>行采家</w:t>
      </w:r>
      <w:r>
        <w:rPr>
          <w:rFonts w:hint="eastAsia"/>
          <w:lang w:val="en-US" w:eastAsia="zh-CN"/>
        </w:rPr>
        <w:t>”</w:t>
      </w:r>
      <w:r>
        <w:rPr>
          <w:rFonts w:hint="default" w:ascii="Times New Roman" w:hAnsi="Times New Roman" w:eastAsia="方正仿宋_GBK" w:cs="Times New Roman"/>
          <w:color w:val="000000"/>
          <w:sz w:val="24"/>
          <w:szCs w:val="24"/>
          <w:lang w:val="en-US" w:eastAsia="zh-CN"/>
        </w:rPr>
        <w:t>（</w:t>
      </w:r>
      <w:r>
        <w:rPr>
          <w:rFonts w:hint="eastAsia" w:ascii="Times New Roman" w:hAnsi="Times New Roman" w:eastAsia="方正仿宋_GBK" w:cs="Times New Roman"/>
          <w:color w:val="000000"/>
          <w:sz w:val="24"/>
          <w:szCs w:val="24"/>
          <w:lang w:val="en-US" w:eastAsia="zh-CN"/>
        </w:rPr>
        <w:t>http：//</w:t>
      </w:r>
      <w:r>
        <w:rPr>
          <w:rFonts w:hint="default" w:ascii="Times New Roman" w:hAnsi="Times New Roman" w:eastAsia="方正仿宋_GBK" w:cs="Times New Roman"/>
          <w:color w:val="000000"/>
          <w:sz w:val="24"/>
          <w:szCs w:val="24"/>
          <w:lang w:val="en-US" w:eastAsia="zh-CN"/>
        </w:rPr>
        <w:t>www.gec123.com）</w:t>
      </w:r>
      <w:r>
        <w:rPr>
          <w:rFonts w:hint="default" w:ascii="Times New Roman" w:hAnsi="Times New Roman" w:eastAsia="方正仿宋_GBK" w:cs="Times New Roman"/>
          <w:color w:val="000000"/>
          <w:sz w:val="24"/>
          <w:szCs w:val="24"/>
          <w:lang w:eastAsia="zh-CN"/>
        </w:rPr>
        <w:t>平台</w:t>
      </w:r>
      <w:r>
        <w:rPr>
          <w:rFonts w:hint="default"/>
        </w:rPr>
        <w:t>下载本项目</w:t>
      </w:r>
      <w:r>
        <w:rPr>
          <w:rFonts w:hint="eastAsia"/>
          <w:lang w:eastAsia="zh-CN"/>
        </w:rPr>
        <w:t>竞争性磋商</w:t>
      </w:r>
      <w:r>
        <w:rPr>
          <w:rFonts w:hint="default"/>
        </w:rPr>
        <w:t>文件以及澄清</w:t>
      </w:r>
      <w:r>
        <w:rPr>
          <w:rFonts w:hint="eastAsia"/>
          <w:lang w:val="en-US" w:eastAsia="zh-CN"/>
        </w:rPr>
        <w:t>文件</w:t>
      </w:r>
      <w:r>
        <w:rPr>
          <w:rFonts w:hint="default"/>
        </w:rPr>
        <w:t>等</w:t>
      </w:r>
      <w:r>
        <w:rPr>
          <w:rFonts w:hint="eastAsia"/>
          <w:lang w:eastAsia="zh-CN"/>
        </w:rPr>
        <w:t>磋商</w:t>
      </w:r>
      <w:r>
        <w:rPr>
          <w:rFonts w:hint="default"/>
        </w:rPr>
        <w:t>前公布的所有项目资料，无论供应商下载与否，</w:t>
      </w:r>
      <w:r>
        <w:rPr>
          <w:rFonts w:hint="default"/>
          <w:highlight w:val="none"/>
        </w:rPr>
        <w:t>均视为已知晓所有</w:t>
      </w:r>
      <w:r>
        <w:rPr>
          <w:rFonts w:hint="eastAsia"/>
          <w:highlight w:val="none"/>
          <w:lang w:eastAsia="zh-CN"/>
        </w:rPr>
        <w:t>磋商</w:t>
      </w:r>
      <w:r>
        <w:rPr>
          <w:rFonts w:hint="default"/>
          <w:highlight w:val="none"/>
        </w:rPr>
        <w:t>实质性要求内容。</w:t>
      </w:r>
    </w:p>
    <w:p w14:paraId="0A4B2104">
      <w:pPr>
        <w:pStyle w:val="20"/>
        <w:bidi w:val="0"/>
        <w:rPr>
          <w:rFonts w:hint="eastAsia" w:ascii="Times New Roman" w:hAnsi="Times New Roman" w:eastAsia="方正仿宋_GBK" w:cs="Times New Roman"/>
          <w:color w:val="000000"/>
          <w:sz w:val="24"/>
          <w:szCs w:val="24"/>
          <w:highlight w:val="none"/>
          <w:lang w:val="en-US" w:eastAsia="zh-CN"/>
        </w:rPr>
      </w:pPr>
      <w:r>
        <w:rPr>
          <w:rFonts w:hint="default"/>
          <w:highlight w:val="none"/>
        </w:rPr>
        <w:t>（二）</w:t>
      </w:r>
      <w:r>
        <w:rPr>
          <w:rFonts w:hint="eastAsia"/>
          <w:highlight w:val="none"/>
          <w:lang w:eastAsia="zh-CN"/>
        </w:rPr>
        <w:t>竞争性磋商文件</w:t>
      </w:r>
      <w:r>
        <w:rPr>
          <w:rFonts w:hint="default"/>
          <w:highlight w:val="none"/>
        </w:rPr>
        <w:t>公</w:t>
      </w:r>
      <w:r>
        <w:rPr>
          <w:rFonts w:hint="default" w:ascii="Times New Roman" w:hAnsi="Times New Roman" w:eastAsia="方正仿宋_GBK" w:cs="Times New Roman"/>
          <w:color w:val="000000"/>
          <w:sz w:val="24"/>
          <w:szCs w:val="24"/>
          <w:lang w:val="en-US" w:eastAsia="zh-CN"/>
        </w:rPr>
        <w:t>告期</w:t>
      </w:r>
      <w:r>
        <w:rPr>
          <w:rFonts w:hint="default" w:ascii="Times New Roman" w:hAnsi="Times New Roman" w:eastAsia="方正仿宋_GBK" w:cs="Times New Roman"/>
          <w:color w:val="000000"/>
          <w:sz w:val="24"/>
          <w:szCs w:val="24"/>
          <w:highlight w:val="none"/>
          <w:lang w:val="en-US" w:eastAsia="zh-CN"/>
        </w:rPr>
        <w:t>限：</w:t>
      </w:r>
      <w:r>
        <w:rPr>
          <w:rFonts w:hint="eastAsia" w:ascii="Times New Roman" w:hAnsi="Times New Roman" w:eastAsia="方正仿宋_GBK" w:cs="Times New Roman"/>
          <w:color w:val="000000"/>
          <w:sz w:val="24"/>
          <w:szCs w:val="24"/>
          <w:highlight w:val="none"/>
          <w:lang w:val="en-US" w:eastAsia="zh-CN"/>
        </w:rPr>
        <w:t>202</w:t>
      </w:r>
      <w:r>
        <w:rPr>
          <w:rFonts w:hint="eastAsia" w:ascii="Times New Roman" w:hAnsi="Times New Roman" w:cs="Times New Roman"/>
          <w:color w:val="000000"/>
          <w:sz w:val="24"/>
          <w:szCs w:val="24"/>
          <w:highlight w:val="none"/>
          <w:lang w:val="en-US" w:eastAsia="zh-CN"/>
        </w:rPr>
        <w:t>5</w:t>
      </w:r>
      <w:r>
        <w:rPr>
          <w:rFonts w:hint="eastAsia" w:ascii="Times New Roman" w:hAnsi="Times New Roman" w:eastAsia="方正仿宋_GBK" w:cs="Times New Roman"/>
          <w:color w:val="000000"/>
          <w:sz w:val="24"/>
          <w:szCs w:val="24"/>
          <w:highlight w:val="none"/>
          <w:lang w:val="en-US" w:eastAsia="zh-CN"/>
        </w:rPr>
        <w:t>年1</w:t>
      </w:r>
      <w:r>
        <w:rPr>
          <w:rFonts w:hint="eastAsia" w:ascii="Times New Roman" w:hAnsi="Times New Roman" w:cs="Times New Roman"/>
          <w:color w:val="000000"/>
          <w:sz w:val="24"/>
          <w:szCs w:val="24"/>
          <w:highlight w:val="none"/>
          <w:lang w:val="en-US" w:eastAsia="zh-CN"/>
        </w:rPr>
        <w:t>1</w:t>
      </w:r>
      <w:r>
        <w:rPr>
          <w:rFonts w:hint="eastAsia" w:ascii="Times New Roman" w:hAnsi="Times New Roman" w:eastAsia="方正仿宋_GBK" w:cs="Times New Roman"/>
          <w:color w:val="000000"/>
          <w:sz w:val="24"/>
          <w:szCs w:val="24"/>
          <w:highlight w:val="none"/>
          <w:lang w:val="en-US" w:eastAsia="zh-CN"/>
        </w:rPr>
        <w:t>月</w:t>
      </w:r>
      <w:r>
        <w:rPr>
          <w:rFonts w:hint="eastAsia" w:ascii="Times New Roman" w:hAnsi="Times New Roman" w:cs="Times New Roman"/>
          <w:color w:val="000000"/>
          <w:sz w:val="24"/>
          <w:szCs w:val="24"/>
          <w:highlight w:val="none"/>
          <w:lang w:val="en-US" w:eastAsia="zh-CN"/>
        </w:rPr>
        <w:t>29</w:t>
      </w:r>
      <w:r>
        <w:rPr>
          <w:rFonts w:hint="eastAsia" w:ascii="Times New Roman" w:hAnsi="Times New Roman" w:eastAsia="方正仿宋_GBK" w:cs="Times New Roman"/>
          <w:color w:val="000000"/>
          <w:sz w:val="24"/>
          <w:szCs w:val="24"/>
          <w:highlight w:val="none"/>
          <w:lang w:val="en-US" w:eastAsia="zh-CN"/>
        </w:rPr>
        <w:t>日到202</w:t>
      </w:r>
      <w:r>
        <w:rPr>
          <w:rFonts w:hint="eastAsia" w:ascii="Times New Roman" w:hAnsi="Times New Roman" w:cs="Times New Roman"/>
          <w:color w:val="000000"/>
          <w:sz w:val="24"/>
          <w:szCs w:val="24"/>
          <w:highlight w:val="none"/>
          <w:lang w:val="en-US" w:eastAsia="zh-CN"/>
        </w:rPr>
        <w:t>5</w:t>
      </w:r>
      <w:r>
        <w:rPr>
          <w:rFonts w:hint="eastAsia" w:ascii="Times New Roman" w:hAnsi="Times New Roman" w:eastAsia="方正仿宋_GBK" w:cs="Times New Roman"/>
          <w:color w:val="000000"/>
          <w:sz w:val="24"/>
          <w:szCs w:val="24"/>
          <w:highlight w:val="none"/>
          <w:lang w:val="en-US" w:eastAsia="zh-CN"/>
        </w:rPr>
        <w:t>年</w:t>
      </w:r>
      <w:r>
        <w:rPr>
          <w:rFonts w:hint="eastAsia" w:ascii="Times New Roman" w:hAnsi="Times New Roman" w:cs="Times New Roman"/>
          <w:color w:val="000000"/>
          <w:sz w:val="24"/>
          <w:szCs w:val="24"/>
          <w:highlight w:val="none"/>
          <w:lang w:val="en-US" w:eastAsia="zh-CN"/>
        </w:rPr>
        <w:t>12</w:t>
      </w:r>
      <w:r>
        <w:rPr>
          <w:rFonts w:hint="eastAsia" w:ascii="Times New Roman" w:hAnsi="Times New Roman" w:eastAsia="方正仿宋_GBK" w:cs="Times New Roman"/>
          <w:color w:val="000000"/>
          <w:sz w:val="24"/>
          <w:szCs w:val="24"/>
          <w:highlight w:val="none"/>
          <w:lang w:val="en-US" w:eastAsia="zh-CN"/>
        </w:rPr>
        <w:t xml:space="preserve"> 月</w:t>
      </w:r>
      <w:r>
        <w:rPr>
          <w:rFonts w:hint="eastAsia" w:ascii="Times New Roman" w:hAnsi="Times New Roman" w:cs="Times New Roman"/>
          <w:color w:val="000000"/>
          <w:sz w:val="24"/>
          <w:szCs w:val="24"/>
          <w:highlight w:val="none"/>
          <w:lang w:val="en-US" w:eastAsia="zh-CN"/>
        </w:rPr>
        <w:t>8</w:t>
      </w:r>
      <w:r>
        <w:rPr>
          <w:rFonts w:hint="eastAsia" w:ascii="Times New Roman" w:hAnsi="Times New Roman" w:eastAsia="方正仿宋_GBK" w:cs="Times New Roman"/>
          <w:color w:val="000000"/>
          <w:sz w:val="24"/>
          <w:szCs w:val="24"/>
          <w:highlight w:val="none"/>
          <w:lang w:val="en-US" w:eastAsia="zh-CN"/>
        </w:rPr>
        <w:t>日</w:t>
      </w:r>
      <w:r>
        <w:rPr>
          <w:rFonts w:hint="eastAsia" w:ascii="Times New Roman" w:hAnsi="Times New Roman" w:cs="Times New Roman"/>
          <w:color w:val="000000"/>
          <w:sz w:val="24"/>
          <w:szCs w:val="24"/>
          <w:highlight w:val="none"/>
          <w:lang w:val="en-US" w:eastAsia="zh-CN"/>
        </w:rPr>
        <w:t>。</w:t>
      </w:r>
    </w:p>
    <w:p w14:paraId="0EB7615C">
      <w:pPr>
        <w:pStyle w:val="20"/>
        <w:bidi w:val="0"/>
        <w:rPr>
          <w:rFonts w:hint="default"/>
          <w:highlight w:val="none"/>
          <w:lang w:val="en-US" w:eastAsia="zh-CN"/>
        </w:rPr>
      </w:pPr>
      <w:r>
        <w:rPr>
          <w:rFonts w:hint="default"/>
          <w:highlight w:val="none"/>
        </w:rPr>
        <w:t>（三）获取</w:t>
      </w:r>
      <w:r>
        <w:rPr>
          <w:rFonts w:hint="eastAsia"/>
          <w:highlight w:val="none"/>
          <w:lang w:eastAsia="zh-CN"/>
        </w:rPr>
        <w:t>竞争性磋商</w:t>
      </w:r>
      <w:r>
        <w:rPr>
          <w:rFonts w:hint="default"/>
          <w:highlight w:val="none"/>
        </w:rPr>
        <w:t>文件期限：</w:t>
      </w:r>
      <w:r>
        <w:rPr>
          <w:rFonts w:hint="default"/>
          <w:highlight w:val="none"/>
          <w:lang w:val="en-US" w:eastAsia="zh-CN"/>
        </w:rPr>
        <w:t>同磋商文件公告期限</w:t>
      </w:r>
      <w:r>
        <w:rPr>
          <w:rFonts w:hint="eastAsia"/>
          <w:highlight w:val="none"/>
          <w:lang w:val="en-US" w:eastAsia="zh-CN"/>
        </w:rPr>
        <w:t>。</w:t>
      </w:r>
    </w:p>
    <w:p w14:paraId="1BE58382">
      <w:pPr>
        <w:pStyle w:val="20"/>
        <w:bidi w:val="0"/>
        <w:rPr>
          <w:rFonts w:hint="default" w:ascii="Times New Roman" w:hAnsi="Times New Roman" w:eastAsia="方正仿宋_GBK" w:cs="Times New Roman"/>
          <w:color w:val="000000"/>
          <w:sz w:val="24"/>
          <w:szCs w:val="24"/>
          <w:highlight w:val="none"/>
          <w:lang w:val="en-US" w:eastAsia="zh-CN"/>
        </w:rPr>
      </w:pPr>
      <w:r>
        <w:rPr>
          <w:rFonts w:hint="eastAsia"/>
          <w:highlight w:val="none"/>
          <w:lang w:eastAsia="zh-CN"/>
        </w:rPr>
        <w:t>（</w:t>
      </w:r>
      <w:r>
        <w:rPr>
          <w:rFonts w:hint="eastAsia"/>
          <w:highlight w:val="none"/>
          <w:lang w:val="en-US" w:eastAsia="zh-CN"/>
        </w:rPr>
        <w:t>四</w:t>
      </w:r>
      <w:r>
        <w:rPr>
          <w:rFonts w:hint="eastAsia"/>
          <w:highlight w:val="none"/>
          <w:lang w:eastAsia="zh-CN"/>
        </w:rPr>
        <w:t>）磋商</w:t>
      </w:r>
      <w:r>
        <w:rPr>
          <w:rFonts w:hint="default"/>
          <w:highlight w:val="none"/>
        </w:rPr>
        <w:t>地点：</w:t>
      </w:r>
      <w:r>
        <w:rPr>
          <w:rFonts w:hint="eastAsia" w:ascii="Times New Roman" w:hAnsi="Times New Roman" w:eastAsia="方正仿宋_GBK" w:cs="Times New Roman"/>
          <w:color w:val="000000"/>
          <w:sz w:val="24"/>
          <w:szCs w:val="24"/>
          <w:highlight w:val="none"/>
          <w:lang w:val="en-US" w:eastAsia="zh-CN"/>
        </w:rPr>
        <w:t>重庆市江北区中医院</w:t>
      </w:r>
      <w:r>
        <w:rPr>
          <w:rFonts w:hint="eastAsia" w:ascii="Times New Roman" w:hAnsi="Times New Roman" w:cs="Times New Roman"/>
          <w:color w:val="000000"/>
          <w:sz w:val="24"/>
          <w:szCs w:val="24"/>
          <w:highlight w:val="none"/>
          <w:lang w:val="en-US" w:eastAsia="zh-CN"/>
        </w:rPr>
        <w:t>1号楼22</w:t>
      </w:r>
      <w:r>
        <w:rPr>
          <w:rFonts w:hint="eastAsia" w:ascii="Times New Roman" w:hAnsi="Times New Roman" w:eastAsia="方正仿宋_GBK" w:cs="Times New Roman"/>
          <w:color w:val="000000"/>
          <w:sz w:val="24"/>
          <w:szCs w:val="24"/>
          <w:highlight w:val="none"/>
          <w:lang w:val="en-US" w:eastAsia="zh-CN"/>
        </w:rPr>
        <w:t>楼</w:t>
      </w:r>
      <w:r>
        <w:rPr>
          <w:rFonts w:hint="eastAsia" w:ascii="Times New Roman" w:hAnsi="Times New Roman" w:cs="Times New Roman"/>
          <w:color w:val="000000"/>
          <w:sz w:val="24"/>
          <w:szCs w:val="24"/>
          <w:highlight w:val="none"/>
          <w:lang w:val="en-US" w:eastAsia="zh-CN"/>
        </w:rPr>
        <w:t>调解室（2203旁）</w:t>
      </w:r>
    </w:p>
    <w:p w14:paraId="1A90FA14">
      <w:pPr>
        <w:pStyle w:val="20"/>
        <w:bidi w:val="0"/>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（五）磋商响应文件递交开始及截止时间：</w:t>
      </w:r>
      <w:r>
        <w:rPr>
          <w:rFonts w:hint="eastAsia" w:ascii="Times New Roman" w:hAnsi="Times New Roman" w:eastAsia="方正仿宋_GBK" w:cs="Times New Roman"/>
          <w:color w:val="000000"/>
          <w:sz w:val="24"/>
          <w:szCs w:val="24"/>
          <w:highlight w:val="none"/>
          <w:lang w:val="en-US" w:eastAsia="zh-CN"/>
        </w:rPr>
        <w:t>202</w:t>
      </w:r>
      <w:r>
        <w:rPr>
          <w:rFonts w:hint="eastAsia" w:ascii="Times New Roman" w:hAnsi="Times New Roman" w:cs="Times New Roman"/>
          <w:color w:val="000000"/>
          <w:sz w:val="24"/>
          <w:szCs w:val="24"/>
          <w:highlight w:val="none"/>
          <w:lang w:val="en-US" w:eastAsia="zh-CN"/>
        </w:rPr>
        <w:t>5</w:t>
      </w:r>
      <w:r>
        <w:rPr>
          <w:rFonts w:hint="eastAsia" w:ascii="Times New Roman" w:hAnsi="Times New Roman" w:eastAsia="方正仿宋_GBK" w:cs="Times New Roman"/>
          <w:color w:val="000000"/>
          <w:sz w:val="24"/>
          <w:szCs w:val="24"/>
          <w:highlight w:val="none"/>
          <w:lang w:val="en-US" w:eastAsia="zh-CN"/>
        </w:rPr>
        <w:t>年1</w:t>
      </w:r>
      <w:r>
        <w:rPr>
          <w:rFonts w:hint="eastAsia" w:ascii="Times New Roman" w:hAnsi="Times New Roman" w:cs="Times New Roman"/>
          <w:color w:val="000000"/>
          <w:sz w:val="24"/>
          <w:szCs w:val="24"/>
          <w:highlight w:val="none"/>
          <w:lang w:val="en-US" w:eastAsia="zh-CN"/>
        </w:rPr>
        <w:t>2</w:t>
      </w:r>
      <w:r>
        <w:rPr>
          <w:rFonts w:hint="eastAsia" w:ascii="Times New Roman" w:hAnsi="Times New Roman" w:eastAsia="方正仿宋_GBK" w:cs="Times New Roman"/>
          <w:color w:val="000000"/>
          <w:sz w:val="24"/>
          <w:szCs w:val="24"/>
          <w:highlight w:val="none"/>
          <w:lang w:val="en-US" w:eastAsia="zh-CN"/>
        </w:rPr>
        <w:t>月</w:t>
      </w:r>
      <w:r>
        <w:rPr>
          <w:rFonts w:hint="eastAsia" w:ascii="Times New Roman" w:hAnsi="Times New Roman" w:cs="Times New Roman"/>
          <w:color w:val="000000"/>
          <w:sz w:val="24"/>
          <w:szCs w:val="24"/>
          <w:highlight w:val="none"/>
          <w:lang w:val="en-US" w:eastAsia="zh-CN"/>
        </w:rPr>
        <w:t>9</w:t>
      </w:r>
      <w:r>
        <w:rPr>
          <w:rFonts w:hint="eastAsia" w:ascii="Times New Roman" w:hAnsi="Times New Roman" w:eastAsia="方正仿宋_GBK" w:cs="Times New Roman"/>
          <w:color w:val="000000"/>
          <w:sz w:val="24"/>
          <w:szCs w:val="24"/>
          <w:highlight w:val="none"/>
          <w:lang w:val="en-US" w:eastAsia="zh-CN"/>
        </w:rPr>
        <w:t>日北京时间</w:t>
      </w:r>
      <w:r>
        <w:rPr>
          <w:rFonts w:hint="eastAsia" w:ascii="Times New Roman" w:hAnsi="Times New Roman" w:cs="Times New Roman"/>
          <w:color w:val="000000"/>
          <w:sz w:val="24"/>
          <w:szCs w:val="24"/>
          <w:highlight w:val="none"/>
          <w:lang w:val="en-US" w:eastAsia="zh-CN"/>
        </w:rPr>
        <w:t>08</w:t>
      </w:r>
      <w:r>
        <w:rPr>
          <w:rFonts w:hint="eastAsia" w:ascii="Times New Roman" w:hAnsi="Times New Roman" w:eastAsia="方正仿宋_GBK" w:cs="Times New Roman"/>
          <w:color w:val="000000"/>
          <w:sz w:val="24"/>
          <w:szCs w:val="24"/>
          <w:highlight w:val="none"/>
          <w:lang w:val="en-US" w:eastAsia="zh-CN"/>
        </w:rPr>
        <w:t>：</w:t>
      </w:r>
      <w:r>
        <w:rPr>
          <w:rFonts w:hint="eastAsia" w:ascii="Times New Roman" w:hAnsi="Times New Roman" w:cs="Times New Roman"/>
          <w:color w:val="000000"/>
          <w:sz w:val="24"/>
          <w:szCs w:val="24"/>
          <w:highlight w:val="none"/>
          <w:lang w:val="en-US" w:eastAsia="zh-CN"/>
        </w:rPr>
        <w:t>3</w:t>
      </w:r>
      <w:r>
        <w:rPr>
          <w:rFonts w:hint="eastAsia" w:ascii="Times New Roman" w:hAnsi="Times New Roman" w:eastAsia="方正仿宋_GBK" w:cs="Times New Roman"/>
          <w:color w:val="000000"/>
          <w:sz w:val="24"/>
          <w:szCs w:val="24"/>
          <w:highlight w:val="none"/>
          <w:lang w:val="en-US" w:eastAsia="zh-CN"/>
        </w:rPr>
        <w:t>0-</w:t>
      </w:r>
      <w:r>
        <w:rPr>
          <w:rFonts w:hint="eastAsia" w:ascii="Times New Roman" w:hAnsi="Times New Roman" w:cs="Times New Roman"/>
          <w:color w:val="000000"/>
          <w:sz w:val="24"/>
          <w:szCs w:val="24"/>
          <w:highlight w:val="none"/>
          <w:lang w:val="en-US" w:eastAsia="zh-CN"/>
        </w:rPr>
        <w:t>09:00</w:t>
      </w:r>
      <w:r>
        <w:rPr>
          <w:rFonts w:hint="eastAsia" w:ascii="Times New Roman" w:hAnsi="Times New Roman" w:eastAsia="方正仿宋_GBK" w:cs="Times New Roman"/>
          <w:color w:val="000000"/>
          <w:sz w:val="24"/>
          <w:szCs w:val="24"/>
          <w:highlight w:val="none"/>
          <w:lang w:val="en-US" w:eastAsia="zh-CN"/>
        </w:rPr>
        <w:t>。</w:t>
      </w:r>
    </w:p>
    <w:p w14:paraId="4640897E">
      <w:pPr>
        <w:pStyle w:val="20"/>
        <w:bidi w:val="0"/>
        <w:rPr>
          <w:rFonts w:hint="default"/>
          <w:highlight w:val="none"/>
        </w:rPr>
      </w:pPr>
      <w:r>
        <w:rPr>
          <w:rFonts w:hint="default"/>
          <w:highlight w:val="none"/>
        </w:rPr>
        <w:t>（六）</w:t>
      </w:r>
      <w:r>
        <w:rPr>
          <w:rFonts w:hint="eastAsia"/>
          <w:highlight w:val="none"/>
          <w:lang w:eastAsia="zh-CN"/>
        </w:rPr>
        <w:t>磋商</w:t>
      </w:r>
      <w:r>
        <w:rPr>
          <w:rFonts w:hint="default"/>
          <w:highlight w:val="none"/>
        </w:rPr>
        <w:t>开始时间：</w:t>
      </w:r>
      <w:r>
        <w:rPr>
          <w:rFonts w:hint="eastAsia" w:ascii="Times New Roman" w:hAnsi="Times New Roman" w:eastAsia="方正仿宋_GBK" w:cs="Times New Roman"/>
          <w:color w:val="000000"/>
          <w:sz w:val="24"/>
          <w:szCs w:val="24"/>
          <w:highlight w:val="none"/>
          <w:lang w:val="en-US" w:eastAsia="zh-CN"/>
        </w:rPr>
        <w:t>20</w:t>
      </w:r>
      <w:bookmarkStart w:id="178" w:name="_GoBack"/>
      <w:bookmarkEnd w:id="178"/>
      <w:r>
        <w:rPr>
          <w:rFonts w:hint="eastAsia" w:ascii="Times New Roman" w:hAnsi="Times New Roman" w:eastAsia="方正仿宋_GBK" w:cs="Times New Roman"/>
          <w:color w:val="000000"/>
          <w:sz w:val="24"/>
          <w:szCs w:val="24"/>
          <w:highlight w:val="none"/>
          <w:lang w:val="en-US" w:eastAsia="zh-CN"/>
        </w:rPr>
        <w:t>2</w:t>
      </w:r>
      <w:r>
        <w:rPr>
          <w:rFonts w:hint="eastAsia" w:ascii="Times New Roman" w:hAnsi="Times New Roman" w:cs="Times New Roman"/>
          <w:color w:val="000000"/>
          <w:sz w:val="24"/>
          <w:szCs w:val="24"/>
          <w:highlight w:val="none"/>
          <w:lang w:val="en-US" w:eastAsia="zh-CN"/>
        </w:rPr>
        <w:t>5</w:t>
      </w:r>
      <w:r>
        <w:rPr>
          <w:rFonts w:hint="eastAsia" w:ascii="Times New Roman" w:hAnsi="Times New Roman" w:eastAsia="方正仿宋_GBK" w:cs="Times New Roman"/>
          <w:color w:val="000000"/>
          <w:sz w:val="24"/>
          <w:szCs w:val="24"/>
          <w:highlight w:val="none"/>
          <w:lang w:val="en-US" w:eastAsia="zh-CN"/>
        </w:rPr>
        <w:t>年</w:t>
      </w:r>
      <w:r>
        <w:rPr>
          <w:rFonts w:hint="eastAsia" w:ascii="Times New Roman" w:hAnsi="Times New Roman" w:cs="Times New Roman"/>
          <w:color w:val="000000"/>
          <w:sz w:val="24"/>
          <w:szCs w:val="24"/>
          <w:highlight w:val="none"/>
          <w:lang w:val="en-US" w:eastAsia="zh-CN"/>
        </w:rPr>
        <w:t>12</w:t>
      </w:r>
      <w:r>
        <w:rPr>
          <w:rFonts w:hint="eastAsia" w:ascii="Times New Roman" w:hAnsi="Times New Roman" w:eastAsia="方正仿宋_GBK" w:cs="Times New Roman"/>
          <w:color w:val="000000"/>
          <w:sz w:val="24"/>
          <w:szCs w:val="24"/>
          <w:highlight w:val="none"/>
          <w:lang w:val="en-US" w:eastAsia="zh-CN"/>
        </w:rPr>
        <w:t>月</w:t>
      </w:r>
      <w:r>
        <w:rPr>
          <w:rFonts w:hint="eastAsia" w:ascii="Times New Roman" w:hAnsi="Times New Roman" w:cs="Times New Roman"/>
          <w:color w:val="000000"/>
          <w:sz w:val="24"/>
          <w:szCs w:val="24"/>
          <w:highlight w:val="none"/>
          <w:lang w:val="en-US" w:eastAsia="zh-CN"/>
        </w:rPr>
        <w:t>9</w:t>
      </w:r>
      <w:r>
        <w:rPr>
          <w:rFonts w:hint="eastAsia" w:ascii="Times New Roman" w:hAnsi="Times New Roman" w:eastAsia="方正仿宋_GBK" w:cs="Times New Roman"/>
          <w:color w:val="000000"/>
          <w:sz w:val="24"/>
          <w:szCs w:val="24"/>
          <w:highlight w:val="none"/>
          <w:lang w:val="en-US" w:eastAsia="zh-CN"/>
        </w:rPr>
        <w:t>日北京时间</w:t>
      </w:r>
      <w:r>
        <w:rPr>
          <w:rFonts w:hint="eastAsia" w:ascii="Times New Roman" w:hAnsi="Times New Roman" w:cs="Times New Roman"/>
          <w:color w:val="000000"/>
          <w:sz w:val="24"/>
          <w:szCs w:val="24"/>
          <w:highlight w:val="none"/>
          <w:lang w:val="en-US" w:eastAsia="zh-CN"/>
        </w:rPr>
        <w:t>09:00</w:t>
      </w:r>
      <w:r>
        <w:rPr>
          <w:rFonts w:hint="eastAsia" w:ascii="Times New Roman" w:hAnsi="Times New Roman" w:eastAsia="方正仿宋_GBK" w:cs="Times New Roman"/>
          <w:color w:val="000000"/>
          <w:sz w:val="24"/>
          <w:szCs w:val="24"/>
          <w:highlight w:val="none"/>
          <w:lang w:val="en-US" w:eastAsia="zh-CN"/>
        </w:rPr>
        <w:t>时。</w:t>
      </w:r>
    </w:p>
    <w:p w14:paraId="435AB82B">
      <w:pPr>
        <w:pStyle w:val="20"/>
        <w:bidi w:val="0"/>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highlight w:val="none"/>
          <w:lang w:val="en-US" w:eastAsia="zh-CN"/>
        </w:rPr>
        <w:t>说明：相关原件递交起止时间：如果竞争性磋商文件要求必须提交</w:t>
      </w:r>
      <w:r>
        <w:rPr>
          <w:rFonts w:hint="eastAsia" w:ascii="Times New Roman" w:hAnsi="Times New Roman" w:eastAsia="方正仿宋_GBK" w:cs="Times New Roman"/>
          <w:color w:val="000000"/>
          <w:sz w:val="24"/>
          <w:szCs w:val="24"/>
          <w:lang w:val="en-US" w:eastAsia="zh-CN"/>
        </w:rPr>
        <w:t>的相关原件，其递交时间与响应文件递交时间一致（逾期不予受理）。</w:t>
      </w:r>
    </w:p>
    <w:bookmarkEnd w:id="16"/>
    <w:p w14:paraId="3CC503FD">
      <w:pPr>
        <w:pStyle w:val="21"/>
        <w:bidi w:val="0"/>
        <w:rPr>
          <w:rFonts w:hint="default"/>
          <w:lang w:val="en-US" w:eastAsia="zh-CN"/>
        </w:rPr>
      </w:pPr>
      <w:bookmarkStart w:id="27" w:name="_Toc65660336"/>
      <w:bookmarkStart w:id="28" w:name="_Toc525047163"/>
      <w:bookmarkStart w:id="29" w:name="_Toc6563"/>
      <w:bookmarkStart w:id="30" w:name="_Toc135993489"/>
      <w:bookmarkStart w:id="31" w:name="_Toc521053055"/>
      <w:bookmarkStart w:id="32" w:name="_Toc16269"/>
      <w:r>
        <w:rPr>
          <w:rFonts w:hint="default"/>
          <w:lang w:eastAsia="zh-CN"/>
        </w:rPr>
        <w:t>五、</w:t>
      </w:r>
      <w:r>
        <w:rPr>
          <w:rFonts w:hint="eastAsia"/>
          <w:lang w:val="en-US" w:eastAsia="zh-CN"/>
        </w:rPr>
        <w:t>保证金</w:t>
      </w:r>
    </w:p>
    <w:p w14:paraId="55E627B8">
      <w:pPr>
        <w:pStyle w:val="20"/>
        <w:bidi w:val="0"/>
        <w:rPr>
          <w:rFonts w:hint="eastAsia"/>
          <w:lang w:val="en-US" w:eastAsia="zh-CN"/>
        </w:rPr>
      </w:pPr>
      <w:r>
        <w:rPr>
          <w:rFonts w:hint="eastAsia"/>
          <w:lang w:val="en-US" w:eastAsia="zh-CN"/>
        </w:rPr>
        <w:t>无。</w:t>
      </w:r>
    </w:p>
    <w:p w14:paraId="7F2F9AF2">
      <w:pPr>
        <w:pStyle w:val="21"/>
        <w:bidi w:val="0"/>
        <w:rPr>
          <w:rFonts w:hint="default"/>
          <w:lang w:eastAsia="zh-CN"/>
        </w:rPr>
      </w:pPr>
      <w:r>
        <w:rPr>
          <w:rFonts w:hint="eastAsia"/>
          <w:lang w:val="en-US" w:eastAsia="zh-CN"/>
        </w:rPr>
        <w:t>六、</w:t>
      </w:r>
      <w:r>
        <w:rPr>
          <w:rFonts w:hint="default"/>
          <w:lang w:eastAsia="zh-CN"/>
        </w:rPr>
        <w:t>其</w:t>
      </w:r>
      <w:r>
        <w:rPr>
          <w:rFonts w:hint="default"/>
          <w:lang w:eastAsia="zh-Hans"/>
        </w:rPr>
        <w:t>他</w:t>
      </w:r>
      <w:r>
        <w:rPr>
          <w:rFonts w:hint="default"/>
          <w:lang w:eastAsia="zh-CN"/>
        </w:rPr>
        <w:t>有关规定</w:t>
      </w:r>
      <w:bookmarkEnd w:id="27"/>
      <w:bookmarkEnd w:id="28"/>
      <w:bookmarkEnd w:id="29"/>
      <w:bookmarkEnd w:id="30"/>
      <w:bookmarkEnd w:id="31"/>
      <w:bookmarkEnd w:id="32"/>
    </w:p>
    <w:p w14:paraId="06772BF1">
      <w:pPr>
        <w:pStyle w:val="20"/>
        <w:bidi w:val="0"/>
        <w:rPr>
          <w:rFonts w:hint="default"/>
        </w:rPr>
      </w:pPr>
      <w:r>
        <w:rPr>
          <w:rFonts w:hint="default"/>
        </w:rPr>
        <w:t>（一）单位负责人为同一人或者存在直接控股、管理关系的不同供应商，不得</w:t>
      </w:r>
      <w:r>
        <w:rPr>
          <w:rFonts w:hint="eastAsia"/>
          <w:lang w:val="en-US" w:eastAsia="zh-CN"/>
        </w:rPr>
        <w:t>同时</w:t>
      </w:r>
      <w:r>
        <w:rPr>
          <w:rFonts w:hint="default"/>
        </w:rPr>
        <w:t>参加</w:t>
      </w:r>
      <w:r>
        <w:rPr>
          <w:rFonts w:hint="eastAsia"/>
          <w:lang w:val="en-US" w:eastAsia="zh-CN"/>
        </w:rPr>
        <w:t>此项目</w:t>
      </w:r>
      <w:r>
        <w:rPr>
          <w:rFonts w:hint="default"/>
        </w:rPr>
        <w:t>的采购活动，否则均为无效</w:t>
      </w:r>
      <w:r>
        <w:rPr>
          <w:rFonts w:hint="eastAsia"/>
          <w:lang w:eastAsia="zh-CN"/>
        </w:rPr>
        <w:t>磋商</w:t>
      </w:r>
      <w:r>
        <w:rPr>
          <w:rFonts w:hint="default"/>
        </w:rPr>
        <w:t>。因保险企业的特殊性，总公司授权的分支机构（分公司或支公司）可参与投标，总公司仅能授权一家分支机构参与投标，且发出授权后总公司不得与分支机构一同参与投标（提供总公司授权书</w:t>
      </w:r>
      <w:r>
        <w:rPr>
          <w:rFonts w:hint="eastAsia"/>
          <w:lang w:eastAsia="zh-CN"/>
        </w:rPr>
        <w:t>复印</w:t>
      </w:r>
      <w:r>
        <w:rPr>
          <w:rFonts w:hint="default"/>
        </w:rPr>
        <w:t>件并加盖供应商公章）。</w:t>
      </w:r>
    </w:p>
    <w:p w14:paraId="7E55A686">
      <w:pPr>
        <w:pStyle w:val="20"/>
        <w:bidi w:val="0"/>
        <w:rPr>
          <w:rFonts w:hint="default"/>
        </w:rPr>
      </w:pPr>
      <w:r>
        <w:rPr>
          <w:rFonts w:hint="default"/>
        </w:rPr>
        <w:t>（</w:t>
      </w:r>
      <w:r>
        <w:rPr>
          <w:rFonts w:hint="eastAsia"/>
          <w:lang w:val="en-US" w:eastAsia="zh-CN"/>
        </w:rPr>
        <w:t>二</w:t>
      </w:r>
      <w:r>
        <w:rPr>
          <w:rFonts w:hint="default"/>
        </w:rPr>
        <w:t>）本项目的澄清文件（如果有）一律在</w:t>
      </w:r>
      <w:r>
        <w:rPr>
          <w:rFonts w:hint="eastAsia"/>
          <w:lang w:eastAsia="zh-CN"/>
        </w:rPr>
        <w:t>“</w:t>
      </w:r>
      <w:r>
        <w:rPr>
          <w:rFonts w:hint="default" w:ascii="Times New Roman" w:hAnsi="Times New Roman" w:eastAsia="方正仿宋_GBK" w:cs="Times New Roman"/>
          <w:color w:val="000000"/>
          <w:sz w:val="24"/>
          <w:szCs w:val="24"/>
        </w:rPr>
        <w:t>行采家</w:t>
      </w:r>
      <w:r>
        <w:rPr>
          <w:rFonts w:hint="eastAsia" w:ascii="Times New Roman" w:hAnsi="Times New Roman" w:cs="Times New Roman"/>
          <w:color w:val="000000"/>
          <w:sz w:val="24"/>
          <w:szCs w:val="24"/>
          <w:lang w:eastAsia="zh-CN"/>
        </w:rPr>
        <w:t>”</w:t>
      </w:r>
      <w:r>
        <w:rPr>
          <w:rFonts w:hint="default"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lang w:val="en-US" w:eastAsia="zh-CN"/>
        </w:rPr>
        <w:t>http：//</w:t>
      </w:r>
      <w:r>
        <w:rPr>
          <w:rFonts w:hint="default" w:ascii="Times New Roman" w:hAnsi="Times New Roman" w:eastAsia="方正仿宋_GBK" w:cs="Times New Roman"/>
          <w:color w:val="000000"/>
          <w:sz w:val="24"/>
          <w:szCs w:val="24"/>
          <w:lang w:val="en-US" w:eastAsia="zh-CN"/>
        </w:rPr>
        <w:t>www</w:t>
      </w:r>
      <w:r>
        <w:rPr>
          <w:rFonts w:hint="default" w:ascii="Times New Roman" w:hAnsi="Times New Roman" w:eastAsia="方正仿宋_GBK" w:cs="Times New Roman"/>
          <w:color w:val="000000"/>
          <w:sz w:val="24"/>
          <w:szCs w:val="24"/>
        </w:rPr>
        <w:t>.gec123.com）发布</w:t>
      </w:r>
      <w:r>
        <w:rPr>
          <w:rFonts w:hint="default"/>
        </w:rPr>
        <w:t>，请各供应商注意下载；无论供应商下载与否，均视同供应商已知晓本项目澄清文件（如果有）的内容。</w:t>
      </w:r>
    </w:p>
    <w:p w14:paraId="3661BF6F">
      <w:pPr>
        <w:pStyle w:val="20"/>
        <w:bidi w:val="0"/>
        <w:rPr>
          <w:rFonts w:hint="default"/>
        </w:rPr>
      </w:pPr>
      <w:r>
        <w:rPr>
          <w:rFonts w:hint="default"/>
        </w:rPr>
        <w:t>（</w:t>
      </w:r>
      <w:r>
        <w:rPr>
          <w:rFonts w:hint="eastAsia"/>
          <w:lang w:val="en-US" w:eastAsia="zh-CN"/>
        </w:rPr>
        <w:t>三</w:t>
      </w:r>
      <w:r>
        <w:rPr>
          <w:rFonts w:hint="default"/>
        </w:rPr>
        <w:t>）超过响应文件截止时间递交的响应文件，恕不接收。</w:t>
      </w:r>
    </w:p>
    <w:p w14:paraId="2B676218">
      <w:pPr>
        <w:pStyle w:val="20"/>
        <w:bidi w:val="0"/>
        <w:rPr>
          <w:rFonts w:hint="default"/>
        </w:rPr>
      </w:pPr>
      <w:r>
        <w:rPr>
          <w:rFonts w:hint="default"/>
        </w:rPr>
        <w:t>（</w:t>
      </w:r>
      <w:r>
        <w:rPr>
          <w:rFonts w:hint="eastAsia"/>
          <w:lang w:val="en-US" w:eastAsia="zh-CN"/>
        </w:rPr>
        <w:t>四</w:t>
      </w:r>
      <w:r>
        <w:rPr>
          <w:rFonts w:hint="default"/>
        </w:rPr>
        <w:t>）</w:t>
      </w:r>
      <w:r>
        <w:rPr>
          <w:rFonts w:hint="eastAsia"/>
          <w:lang w:eastAsia="zh-CN"/>
        </w:rPr>
        <w:t>磋商</w:t>
      </w:r>
      <w:r>
        <w:rPr>
          <w:rFonts w:hint="default"/>
        </w:rPr>
        <w:t>费用：无论</w:t>
      </w:r>
      <w:r>
        <w:rPr>
          <w:rFonts w:hint="eastAsia"/>
          <w:lang w:eastAsia="zh-CN"/>
        </w:rPr>
        <w:t>磋商</w:t>
      </w:r>
      <w:r>
        <w:rPr>
          <w:rFonts w:hint="default"/>
        </w:rPr>
        <w:t>结果如何，供应商参与本项目</w:t>
      </w:r>
      <w:r>
        <w:rPr>
          <w:rFonts w:hint="eastAsia"/>
          <w:lang w:eastAsia="zh-CN"/>
        </w:rPr>
        <w:t>磋商</w:t>
      </w:r>
      <w:r>
        <w:rPr>
          <w:rFonts w:hint="default"/>
        </w:rPr>
        <w:t>的所有费用均应由供应商自行承担。</w:t>
      </w:r>
    </w:p>
    <w:p w14:paraId="41378690">
      <w:pPr>
        <w:pStyle w:val="20"/>
        <w:bidi w:val="0"/>
        <w:rPr>
          <w:rFonts w:hint="default"/>
        </w:rPr>
      </w:pPr>
      <w:r>
        <w:rPr>
          <w:rFonts w:hint="default"/>
        </w:rPr>
        <w:t>（</w:t>
      </w:r>
      <w:r>
        <w:rPr>
          <w:rFonts w:hint="eastAsia"/>
          <w:lang w:val="en-US" w:eastAsia="zh-CN"/>
        </w:rPr>
        <w:t>五</w:t>
      </w:r>
      <w:r>
        <w:rPr>
          <w:rFonts w:hint="default"/>
        </w:rPr>
        <w:t>）本项目不接受联合体参与</w:t>
      </w:r>
      <w:r>
        <w:rPr>
          <w:rFonts w:hint="eastAsia"/>
          <w:lang w:eastAsia="zh-CN"/>
        </w:rPr>
        <w:t>磋商</w:t>
      </w:r>
      <w:r>
        <w:rPr>
          <w:rFonts w:hint="default"/>
        </w:rPr>
        <w:t>，否则按无效处理。</w:t>
      </w:r>
    </w:p>
    <w:p w14:paraId="635B00F9">
      <w:pPr>
        <w:pStyle w:val="20"/>
        <w:bidi w:val="0"/>
        <w:rPr>
          <w:rFonts w:hint="default"/>
        </w:rPr>
      </w:pPr>
      <w:r>
        <w:rPr>
          <w:rFonts w:hint="default"/>
        </w:rPr>
        <w:t>（</w:t>
      </w:r>
      <w:r>
        <w:rPr>
          <w:rFonts w:hint="eastAsia"/>
          <w:lang w:val="en-US" w:eastAsia="zh-CN"/>
        </w:rPr>
        <w:t>六</w:t>
      </w:r>
      <w:r>
        <w:rPr>
          <w:rFonts w:hint="default"/>
        </w:rPr>
        <w:t>）本项目不接受合同分包，否则按无效处理。</w:t>
      </w:r>
    </w:p>
    <w:p w14:paraId="2F643CB5">
      <w:pPr>
        <w:pStyle w:val="20"/>
        <w:bidi w:val="0"/>
        <w:rPr>
          <w:rFonts w:hint="default"/>
        </w:rPr>
      </w:pPr>
      <w:r>
        <w:rPr>
          <w:rFonts w:hint="default"/>
        </w:rPr>
        <w:t>（</w:t>
      </w:r>
      <w:r>
        <w:rPr>
          <w:rFonts w:hint="eastAsia"/>
          <w:lang w:val="en-US" w:eastAsia="zh-CN"/>
        </w:rPr>
        <w:t>七</w:t>
      </w:r>
      <w:r>
        <w:rPr>
          <w:rFonts w:hint="default"/>
        </w:rPr>
        <w:t>）按照《财政部关于在政府采购活动中查询及使用信用记录有关问题的通知》</w:t>
      </w:r>
      <w:r>
        <w:rPr>
          <w:rFonts w:hint="eastAsia"/>
          <w:lang w:eastAsia="zh-CN"/>
        </w:rPr>
        <w:t>（</w:t>
      </w:r>
      <w:r>
        <w:rPr>
          <w:rFonts w:hint="default"/>
        </w:rPr>
        <w:t>财</w:t>
      </w:r>
      <w:r>
        <w:rPr>
          <w:rFonts w:hint="default" w:ascii="Times New Roman" w:hAnsi="Times New Roman" w:eastAsia="方正仿宋_GBK" w:cs="Times New Roman"/>
          <w:color w:val="000000"/>
          <w:sz w:val="24"/>
          <w:szCs w:val="24"/>
          <w:lang w:val="en-US" w:eastAsia="zh-CN"/>
        </w:rPr>
        <w:t>库〔2016〕125号</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，供应商列入失信被执行人、重大税收违法案件当事人名单、政府采购严重违法失信行为记录名</w:t>
      </w:r>
      <w:r>
        <w:rPr>
          <w:rFonts w:hint="default"/>
        </w:rPr>
        <w:t>单及其他不符合《中华人民共和国政府采购法》第二十二条规定条件的供应商，将拒绝其参与政府采购活动。</w:t>
      </w:r>
    </w:p>
    <w:p w14:paraId="2AF4F63B">
      <w:pPr>
        <w:pStyle w:val="21"/>
        <w:bidi w:val="0"/>
        <w:rPr>
          <w:rFonts w:hint="default"/>
          <w:lang w:eastAsia="zh-CN"/>
        </w:rPr>
      </w:pPr>
      <w:bookmarkStart w:id="33" w:name="_Toc525047164"/>
      <w:bookmarkStart w:id="34" w:name="_Toc10415"/>
      <w:bookmarkStart w:id="35" w:name="_Toc1733"/>
      <w:bookmarkStart w:id="36" w:name="_Toc521053056"/>
      <w:bookmarkStart w:id="37" w:name="_Toc135993490"/>
      <w:bookmarkStart w:id="38" w:name="_Toc65660337"/>
      <w:r>
        <w:rPr>
          <w:rFonts w:hint="default"/>
          <w:lang w:eastAsia="zh-CN"/>
        </w:rPr>
        <w:t>七、联系方式</w:t>
      </w:r>
      <w:bookmarkEnd w:id="33"/>
      <w:bookmarkEnd w:id="34"/>
      <w:bookmarkEnd w:id="35"/>
      <w:bookmarkEnd w:id="36"/>
      <w:bookmarkEnd w:id="37"/>
      <w:bookmarkEnd w:id="38"/>
    </w:p>
    <w:p w14:paraId="7575F20F">
      <w:pPr>
        <w:pStyle w:val="20"/>
        <w:bidi w:val="0"/>
        <w:rPr>
          <w:rFonts w:hint="eastAsia"/>
          <w:lang w:eastAsia="zh-CN"/>
        </w:rPr>
      </w:pPr>
      <w:bookmarkStart w:id="39" w:name="_Toc14516"/>
      <w:bookmarkStart w:id="40" w:name="_Toc1292"/>
      <w:bookmarkStart w:id="41" w:name="_Toc135993491"/>
      <w:bookmarkStart w:id="42" w:name="_Toc65660338"/>
      <w:bookmarkStart w:id="43" w:name="_Toc102227313"/>
      <w:r>
        <w:rPr>
          <w:rFonts w:hint="default"/>
        </w:rPr>
        <w:t>采购人：</w:t>
      </w:r>
      <w:r>
        <w:rPr>
          <w:rFonts w:hint="eastAsia"/>
          <w:lang w:eastAsia="zh-CN"/>
        </w:rPr>
        <w:t>重庆市江北区中医院</w:t>
      </w:r>
    </w:p>
    <w:p w14:paraId="4ACBD2C5">
      <w:pPr>
        <w:pStyle w:val="20"/>
        <w:bidi w:val="0"/>
        <w:rPr>
          <w:rFonts w:hint="default"/>
          <w:lang w:val="en-US" w:eastAsia="zh-CN"/>
        </w:rPr>
      </w:pPr>
      <w:r>
        <w:rPr>
          <w:rFonts w:hint="default"/>
        </w:rPr>
        <w:t>联系人：</w:t>
      </w:r>
      <w:r>
        <w:rPr>
          <w:rFonts w:hint="eastAsia"/>
          <w:lang w:val="en-US" w:eastAsia="zh-CN"/>
        </w:rPr>
        <w:t xml:space="preserve">陈老师 </w:t>
      </w:r>
    </w:p>
    <w:p w14:paraId="1022E095">
      <w:pPr>
        <w:pStyle w:val="20"/>
        <w:bidi w:val="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电  话：</w:t>
      </w:r>
      <w:r>
        <w:rPr>
          <w:rFonts w:hint="eastAsia" w:ascii="Times New Roman" w:hAnsi="Times New Roman" w:eastAsia="方正仿宋_GBK" w:cs="Times New Roman"/>
          <w:color w:val="000000"/>
          <w:sz w:val="24"/>
          <w:szCs w:val="24"/>
          <w:lang w:val="en-US" w:eastAsia="zh-CN"/>
        </w:rPr>
        <w:t>67638424</w:t>
      </w:r>
    </w:p>
    <w:p w14:paraId="57B69E71">
      <w:pPr>
        <w:pStyle w:val="20"/>
        <w:bidi w:val="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地</w:t>
      </w:r>
      <w:r>
        <w:rPr>
          <w:rFonts w:hint="eastAsia"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lang w:val="en-US" w:eastAsia="zh-CN"/>
        </w:rPr>
        <w:t>址：</w:t>
      </w:r>
      <w:r>
        <w:rPr>
          <w:rFonts w:hint="eastAsia" w:ascii="Times New Roman" w:hAnsi="Times New Roman" w:eastAsia="方正仿宋_GBK" w:cs="Times New Roman"/>
          <w:color w:val="000000"/>
          <w:sz w:val="24"/>
          <w:szCs w:val="24"/>
          <w:lang w:val="en-US" w:eastAsia="zh-CN"/>
        </w:rPr>
        <w:t>重庆市江北区建新东路一村35号</w:t>
      </w:r>
    </w:p>
    <w:p w14:paraId="24E8A42C">
      <w:pPr>
        <w:pStyle w:val="20"/>
        <w:bidi w:val="0"/>
        <w:rPr>
          <w:rFonts w:hint="default" w:ascii="Times New Roman" w:hAnsi="Times New Roman" w:eastAsia="方正仿宋_GBK" w:cs="Times New Roman"/>
          <w:color w:val="000000"/>
          <w:sz w:val="24"/>
          <w:szCs w:val="24"/>
          <w:lang w:val="en-US" w:eastAsia="zh-CN"/>
        </w:rPr>
        <w:sectPr>
          <w:footerReference r:id="rId5" w:type="default"/>
          <w:footerReference r:id="rId6" w:type="even"/>
          <w:pgSz w:w="11907" w:h="16840"/>
          <w:pgMar w:top="1134" w:right="1474" w:bottom="1134" w:left="1587" w:header="964" w:footer="992" w:gutter="0"/>
          <w:pgNumType w:fmt="numberInDash"/>
          <w:cols w:space="720" w:num="1"/>
          <w:docGrid w:linePitch="312" w:charSpace="0"/>
        </w:sectPr>
      </w:pPr>
    </w:p>
    <w:p w14:paraId="62E6F6C1">
      <w:pPr>
        <w:pStyle w:val="22"/>
        <w:bidi w:val="0"/>
        <w:rPr>
          <w:rFonts w:hint="default"/>
        </w:rPr>
      </w:pPr>
      <w:r>
        <w:rPr>
          <w:rFonts w:hint="default"/>
        </w:rPr>
        <w:t>第二篇 项目</w:t>
      </w:r>
      <w:r>
        <w:rPr>
          <w:rFonts w:hint="eastAsia"/>
          <w:lang w:eastAsia="zh-CN"/>
        </w:rPr>
        <w:t>服务</w:t>
      </w:r>
      <w:r>
        <w:rPr>
          <w:rFonts w:hint="default"/>
        </w:rPr>
        <w:t>（质量）需求</w:t>
      </w:r>
      <w:bookmarkEnd w:id="39"/>
      <w:bookmarkEnd w:id="40"/>
      <w:bookmarkEnd w:id="41"/>
      <w:bookmarkEnd w:id="42"/>
    </w:p>
    <w:p w14:paraId="15F7BF79">
      <w:pPr>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textAlignment w:val="auto"/>
        <w:outlineLvl w:val="9"/>
        <w:rPr>
          <w:rFonts w:hint="eastAsia" w:ascii="黑体" w:hAnsi="黑体" w:eastAsia="黑体" w:cs="黑体"/>
          <w:sz w:val="24"/>
          <w:lang w:val="en-US" w:eastAsia="zh-CN"/>
        </w:rPr>
      </w:pPr>
      <w:bookmarkStart w:id="44" w:name="_Toc135993493"/>
      <w:bookmarkStart w:id="45" w:name="_Toc15492"/>
      <w:bookmarkStart w:id="46" w:name="_Toc13356"/>
      <w:bookmarkStart w:id="47" w:name="_Toc65660341"/>
      <w:r>
        <w:rPr>
          <w:rFonts w:hint="eastAsia" w:ascii="黑体" w:hAnsi="黑体" w:eastAsia="黑体" w:cs="黑体"/>
          <w:sz w:val="24"/>
          <w:lang w:val="en-US" w:eastAsia="zh-CN"/>
        </w:rPr>
        <w:t xml:space="preserve">  </w:t>
      </w:r>
    </w:p>
    <w:p w14:paraId="2F3902DD">
      <w:pPr>
        <w:pStyle w:val="20"/>
        <w:bidi w:val="0"/>
        <w:rPr>
          <w:rFonts w:hint="default"/>
          <w:lang w:val="en-US" w:eastAsia="zh-CN"/>
        </w:rPr>
      </w:pPr>
      <w:r>
        <w:rPr>
          <w:rFonts w:hint="eastAsia"/>
          <w:lang w:val="en-US" w:eastAsia="zh-CN"/>
        </w:rPr>
        <w:t>服务需求的全部内容为符合性审查的实质性要求，响应文件若不满足按无效响应处理。</w:t>
      </w:r>
    </w:p>
    <w:p w14:paraId="1BD86AA5">
      <w:pPr>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textAlignment w:val="auto"/>
        <w:outlineLvl w:val="9"/>
        <w:rPr>
          <w:rFonts w:hint="default" w:ascii="黑体" w:hAnsi="黑体" w:eastAsia="黑体" w:cs="黑体"/>
          <w:sz w:val="24"/>
        </w:rPr>
      </w:pPr>
      <w:r>
        <w:rPr>
          <w:rFonts w:hint="eastAsia" w:ascii="黑体" w:hAnsi="黑体" w:eastAsia="黑体" w:cs="黑体"/>
          <w:sz w:val="24"/>
          <w:lang w:eastAsia="zh-CN"/>
        </w:rPr>
        <w:t>一</w:t>
      </w:r>
      <w:r>
        <w:rPr>
          <w:rFonts w:hint="default" w:ascii="黑体" w:hAnsi="黑体" w:eastAsia="黑体" w:cs="黑体"/>
          <w:sz w:val="24"/>
        </w:rPr>
        <w:t>、服务要求及标准</w:t>
      </w:r>
      <w:bookmarkEnd w:id="44"/>
    </w:p>
    <w:p w14:paraId="7933DC37">
      <w:pPr>
        <w:pStyle w:val="20"/>
        <w:bidi w:val="0"/>
        <w:rPr>
          <w:rFonts w:hint="default"/>
        </w:rPr>
      </w:pPr>
      <w:r>
        <w:rPr>
          <w:rFonts w:hint="eastAsia"/>
          <w:lang w:eastAsia="zh-CN"/>
        </w:rPr>
        <w:t>（</w:t>
      </w:r>
      <w:r>
        <w:rPr>
          <w:rFonts w:hint="eastAsia"/>
          <w:lang w:val="en-US" w:eastAsia="zh-CN"/>
        </w:rPr>
        <w:t>一</w:t>
      </w:r>
      <w:r>
        <w:rPr>
          <w:rFonts w:hint="eastAsia"/>
          <w:lang w:eastAsia="zh-CN"/>
        </w:rPr>
        <w:t>）</w:t>
      </w:r>
      <w:r>
        <w:rPr>
          <w:rFonts w:hint="default"/>
        </w:rPr>
        <w:t>服务要求：医疗机构责任保险</w:t>
      </w:r>
      <w:r>
        <w:rPr>
          <w:rFonts w:hint="eastAsia"/>
          <w:lang w:eastAsia="zh-CN"/>
        </w:rPr>
        <w:t>（</w:t>
      </w:r>
      <w:r>
        <w:rPr>
          <w:rFonts w:hint="default"/>
        </w:rPr>
        <w:t>附加公平分担损失保险、附加医疗机构场所责任保险）</w:t>
      </w:r>
    </w:p>
    <w:p w14:paraId="7CD33A7B">
      <w:pPr>
        <w:pStyle w:val="20"/>
        <w:bidi w:val="0"/>
        <w:rPr>
          <w:rFonts w:hint="default"/>
        </w:rPr>
      </w:pPr>
      <w:r>
        <w:rPr>
          <w:rFonts w:hint="eastAsia"/>
          <w:lang w:eastAsia="zh-CN"/>
        </w:rPr>
        <w:t>（</w:t>
      </w:r>
      <w:r>
        <w:rPr>
          <w:rFonts w:hint="eastAsia"/>
          <w:lang w:val="en-US" w:eastAsia="zh-CN"/>
        </w:rPr>
        <w:t>二</w:t>
      </w:r>
      <w:r>
        <w:rPr>
          <w:rFonts w:hint="eastAsia"/>
          <w:lang w:eastAsia="zh-CN"/>
        </w:rPr>
        <w:t>）</w:t>
      </w:r>
      <w:r>
        <w:rPr>
          <w:rFonts w:hint="default"/>
        </w:rPr>
        <w:t>服务标准：被保险医疗机构在诊疗活动中因执业过失导致患者人身损害而负担的赔偿责任以及精神损害费用、法律费用等，保险人根据</w:t>
      </w:r>
      <w:r>
        <w:rPr>
          <w:rFonts w:hint="eastAsia"/>
          <w:lang w:eastAsia="zh-CN"/>
        </w:rPr>
        <w:t>本</w:t>
      </w:r>
      <w:r>
        <w:rPr>
          <w:rFonts w:hint="default"/>
        </w:rPr>
        <w:t>保险合同</w:t>
      </w:r>
      <w:r>
        <w:rPr>
          <w:rFonts w:hint="eastAsia"/>
          <w:lang w:eastAsia="zh-CN"/>
        </w:rPr>
        <w:t>的</w:t>
      </w:r>
      <w:r>
        <w:rPr>
          <w:rFonts w:hint="default"/>
        </w:rPr>
        <w:t>约定负责赔偿。</w:t>
      </w:r>
    </w:p>
    <w:p w14:paraId="51260F17">
      <w:pPr>
        <w:pStyle w:val="21"/>
        <w:bidi w:val="0"/>
        <w:rPr>
          <w:rFonts w:hint="default"/>
        </w:rPr>
      </w:pPr>
      <w:bookmarkStart w:id="48" w:name="_Toc130901264"/>
      <w:bookmarkStart w:id="49" w:name="_Toc135993494"/>
      <w:r>
        <w:rPr>
          <w:rFonts w:hint="eastAsia"/>
          <w:lang w:eastAsia="zh-CN"/>
        </w:rPr>
        <w:t>二</w:t>
      </w:r>
      <w:r>
        <w:rPr>
          <w:rFonts w:hint="default"/>
        </w:rPr>
        <w:t>、采购项目服务需求</w:t>
      </w:r>
      <w:bookmarkEnd w:id="48"/>
      <w:bookmarkEnd w:id="49"/>
    </w:p>
    <w:p w14:paraId="64B8E5A7">
      <w:pPr>
        <w:pStyle w:val="20"/>
        <w:bidi w:val="0"/>
        <w:rPr>
          <w:rFonts w:hint="default" w:ascii="Times New Roman" w:hAnsi="Times New Roman" w:eastAsia="方正仿宋_GBK" w:cs="Times New Roman"/>
          <w:szCs w:val="28"/>
        </w:rPr>
      </w:pPr>
      <w:r>
        <w:rPr>
          <w:rFonts w:hint="default"/>
        </w:rPr>
        <w:t>（一）计费因子数据</w:t>
      </w:r>
    </w:p>
    <w:p w14:paraId="726ACCB9">
      <w:pPr>
        <w:pStyle w:val="20"/>
        <w:bidi w:val="0"/>
        <w:rPr>
          <w:rFonts w:hint="default" w:ascii="Times New Roman" w:hAnsi="Times New Roman" w:eastAsia="方正仿宋_GBK" w:cs="Times New Roman"/>
          <w:color w:val="000000"/>
          <w:sz w:val="24"/>
          <w:szCs w:val="24"/>
          <w:lang w:val="en-US" w:eastAsia="zh-CN"/>
        </w:rPr>
      </w:pPr>
      <w:r>
        <w:rPr>
          <w:rFonts w:hint="default"/>
          <w:highlight w:val="none"/>
        </w:rPr>
        <w:t>1</w:t>
      </w:r>
      <w:r>
        <w:rPr>
          <w:rFonts w:hint="eastAsia"/>
          <w:highlight w:val="none"/>
          <w:lang w:eastAsia="zh-CN"/>
        </w:rPr>
        <w:t>.</w:t>
      </w:r>
      <w:r>
        <w:rPr>
          <w:rFonts w:hint="default"/>
          <w:highlight w:val="none"/>
        </w:rPr>
        <w:t>床</w:t>
      </w:r>
      <w:r>
        <w:rPr>
          <w:rFonts w:hint="default"/>
        </w:rPr>
        <w:t>位数</w:t>
      </w:r>
      <w:r>
        <w:rPr>
          <w:rFonts w:hint="eastAsia" w:ascii="Times New Roman" w:hAnsi="Times New Roman" w:eastAsia="方正仿宋_GBK" w:cs="Times New Roman"/>
          <w:color w:val="000000"/>
          <w:sz w:val="24"/>
          <w:szCs w:val="24"/>
          <w:lang w:val="en-US" w:eastAsia="zh-CN"/>
        </w:rPr>
        <w:t>470</w:t>
      </w:r>
      <w:r>
        <w:rPr>
          <w:rFonts w:hint="default" w:ascii="Times New Roman" w:hAnsi="Times New Roman" w:eastAsia="方正仿宋_GBK" w:cs="Times New Roman"/>
          <w:color w:val="000000"/>
          <w:sz w:val="24"/>
          <w:szCs w:val="24"/>
          <w:lang w:val="en-US" w:eastAsia="zh-CN"/>
        </w:rPr>
        <w:t>张，院内有医务人员数量：医生</w:t>
      </w:r>
      <w:r>
        <w:rPr>
          <w:rFonts w:hint="eastAsia" w:ascii="Times New Roman" w:hAnsi="Times New Roman" w:eastAsia="方正仿宋_GBK" w:cs="Times New Roman"/>
          <w:color w:val="000000"/>
          <w:sz w:val="24"/>
          <w:szCs w:val="24"/>
          <w:lang w:val="en-US" w:eastAsia="zh-CN"/>
        </w:rPr>
        <w:t>187</w:t>
      </w:r>
      <w:r>
        <w:rPr>
          <w:rFonts w:hint="default" w:ascii="Times New Roman" w:hAnsi="Times New Roman" w:eastAsia="方正仿宋_GBK" w:cs="Times New Roman"/>
          <w:color w:val="000000"/>
          <w:sz w:val="24"/>
          <w:szCs w:val="24"/>
          <w:lang w:val="en-US" w:eastAsia="zh-CN"/>
        </w:rPr>
        <w:t>人，护士</w:t>
      </w:r>
      <w:r>
        <w:rPr>
          <w:rFonts w:hint="eastAsia" w:ascii="Times New Roman" w:hAnsi="Times New Roman" w:eastAsia="方正仿宋_GBK" w:cs="Times New Roman"/>
          <w:color w:val="000000"/>
          <w:sz w:val="24"/>
          <w:szCs w:val="24"/>
          <w:lang w:val="en-US" w:eastAsia="zh-CN"/>
        </w:rPr>
        <w:t>232</w:t>
      </w:r>
      <w:r>
        <w:rPr>
          <w:rFonts w:hint="default" w:ascii="Times New Roman" w:hAnsi="Times New Roman" w:eastAsia="方正仿宋_GBK" w:cs="Times New Roman"/>
          <w:color w:val="000000"/>
          <w:sz w:val="24"/>
          <w:szCs w:val="24"/>
          <w:lang w:val="en-US" w:eastAsia="zh-CN"/>
        </w:rPr>
        <w:t>人，其他医技人员</w:t>
      </w:r>
      <w:r>
        <w:rPr>
          <w:rFonts w:hint="eastAsia" w:ascii="Times New Roman" w:hAnsi="Times New Roman" w:eastAsia="方正仿宋_GBK" w:cs="Times New Roman"/>
          <w:color w:val="000000"/>
          <w:sz w:val="24"/>
          <w:szCs w:val="24"/>
          <w:lang w:val="en-US" w:eastAsia="zh-CN"/>
        </w:rPr>
        <w:t>68</w:t>
      </w:r>
      <w:r>
        <w:rPr>
          <w:rFonts w:hint="default" w:ascii="Times New Roman" w:hAnsi="Times New Roman" w:eastAsia="方正仿宋_GBK" w:cs="Times New Roman"/>
          <w:color w:val="000000"/>
          <w:sz w:val="24"/>
          <w:szCs w:val="24"/>
          <w:lang w:val="en-US" w:eastAsia="zh-CN"/>
        </w:rPr>
        <w:t>人，年门诊</w:t>
      </w:r>
      <w:r>
        <w:rPr>
          <w:rFonts w:hint="default" w:ascii="Times New Roman" w:hAnsi="Times New Roman" w:eastAsia="方正仿宋_GBK" w:cs="Times New Roman"/>
          <w:color w:val="000000"/>
          <w:sz w:val="24"/>
          <w:szCs w:val="24"/>
          <w:lang w:val="en-US" w:eastAsia="zh-Hans"/>
        </w:rPr>
        <w:t>人次</w:t>
      </w:r>
      <w:r>
        <w:rPr>
          <w:rFonts w:hint="eastAsia" w:ascii="Times New Roman" w:hAnsi="Times New Roman" w:eastAsia="方正仿宋_GBK" w:cs="Times New Roman"/>
          <w:color w:val="000000"/>
          <w:sz w:val="24"/>
          <w:szCs w:val="24"/>
          <w:lang w:val="en-US" w:eastAsia="zh-CN"/>
        </w:rPr>
        <w:t>数</w:t>
      </w:r>
      <w:r>
        <w:rPr>
          <w:rFonts w:hint="default" w:ascii="Times New Roman" w:hAnsi="Times New Roman" w:eastAsia="方正仿宋_GBK" w:cs="Times New Roman"/>
          <w:color w:val="000000"/>
          <w:sz w:val="24"/>
          <w:szCs w:val="24"/>
          <w:lang w:val="en-US" w:eastAsia="zh-Hans"/>
        </w:rPr>
        <w:t>：</w:t>
      </w:r>
      <w:r>
        <w:rPr>
          <w:rFonts w:hint="eastAsia" w:ascii="Times New Roman" w:hAnsi="Times New Roman" w:eastAsia="方正仿宋_GBK" w:cs="Times New Roman"/>
          <w:color w:val="000000"/>
          <w:sz w:val="24"/>
          <w:szCs w:val="24"/>
          <w:lang w:val="en-US" w:eastAsia="zh-CN"/>
        </w:rPr>
        <w:t>379620</w:t>
      </w:r>
      <w:r>
        <w:rPr>
          <w:rFonts w:hint="default" w:ascii="Times New Roman" w:hAnsi="Times New Roman" w:eastAsia="方正仿宋_GBK" w:cs="Times New Roman"/>
          <w:color w:val="000000"/>
          <w:sz w:val="24"/>
          <w:szCs w:val="24"/>
          <w:lang w:val="en-US" w:eastAsia="zh-CN"/>
        </w:rPr>
        <w:t>人次，年住院人次</w:t>
      </w:r>
      <w:r>
        <w:rPr>
          <w:rFonts w:hint="eastAsia" w:ascii="Times New Roman" w:hAnsi="Times New Roman" w:eastAsia="方正仿宋_GBK" w:cs="Times New Roman"/>
          <w:color w:val="000000"/>
          <w:sz w:val="24"/>
          <w:szCs w:val="24"/>
          <w:lang w:val="en-US" w:eastAsia="zh-CN"/>
        </w:rPr>
        <w:t>数</w:t>
      </w:r>
      <w:r>
        <w:rPr>
          <w:rFonts w:hint="default" w:ascii="Times New Roman" w:hAnsi="Times New Roman" w:eastAsia="方正仿宋_GBK" w:cs="Times New Roman"/>
          <w:color w:val="000000"/>
          <w:sz w:val="24"/>
          <w:szCs w:val="24"/>
          <w:lang w:val="en-US" w:eastAsia="zh-CN"/>
        </w:rPr>
        <w:t>：</w:t>
      </w:r>
      <w:r>
        <w:rPr>
          <w:rFonts w:hint="eastAsia" w:ascii="Times New Roman" w:hAnsi="Times New Roman" w:eastAsia="方正仿宋_GBK" w:cs="Times New Roman"/>
          <w:color w:val="000000"/>
          <w:sz w:val="24"/>
          <w:szCs w:val="24"/>
          <w:lang w:val="en-US" w:eastAsia="zh-CN"/>
        </w:rPr>
        <w:t>15757</w:t>
      </w:r>
      <w:r>
        <w:rPr>
          <w:rFonts w:hint="default" w:ascii="Times New Roman" w:hAnsi="Times New Roman" w:eastAsia="方正仿宋_GBK" w:cs="Times New Roman"/>
          <w:color w:val="000000"/>
          <w:sz w:val="24"/>
          <w:szCs w:val="24"/>
          <w:lang w:val="en-US" w:eastAsia="zh-CN"/>
        </w:rPr>
        <w:t>人次。</w:t>
      </w:r>
    </w:p>
    <w:p w14:paraId="11D0BFFF">
      <w:pPr>
        <w:pStyle w:val="20"/>
        <w:bidi w:val="0"/>
        <w:rPr>
          <w:rFonts w:hint="default"/>
        </w:rPr>
      </w:pPr>
      <w:r>
        <w:rPr>
          <w:rFonts w:hint="default"/>
        </w:rPr>
        <w:t>2</w:t>
      </w:r>
      <w:r>
        <w:rPr>
          <w:rFonts w:hint="eastAsia"/>
          <w:lang w:eastAsia="zh-CN"/>
        </w:rPr>
        <w:t>.</w:t>
      </w:r>
      <w:r>
        <w:rPr>
          <w:rFonts w:hint="default"/>
        </w:rPr>
        <w:t>具体投保数量以实际情况为准。</w:t>
      </w:r>
    </w:p>
    <w:p w14:paraId="3BC2A61B">
      <w:pPr>
        <w:pStyle w:val="20"/>
        <w:bidi w:val="0"/>
        <w:rPr>
          <w:rFonts w:hint="default"/>
        </w:rPr>
      </w:pPr>
      <w:bookmarkStart w:id="50" w:name="_Toc26977870"/>
      <w:r>
        <w:rPr>
          <w:rFonts w:hint="default"/>
        </w:rPr>
        <w:t>（二）医疗机构责任保险方案</w:t>
      </w:r>
      <w:bookmarkEnd w:id="50"/>
    </w:p>
    <w:p w14:paraId="5C4E9472">
      <w:pPr>
        <w:pStyle w:val="20"/>
        <w:bidi w:val="0"/>
        <w:rPr>
          <w:rFonts w:hint="default"/>
        </w:rPr>
      </w:pPr>
      <w:r>
        <w:rPr>
          <w:rFonts w:hint="default"/>
        </w:rPr>
        <w:t>投保人：</w:t>
      </w:r>
      <w:r>
        <w:rPr>
          <w:rFonts w:hint="default"/>
          <w:lang w:val="en-US" w:eastAsia="zh-CN"/>
        </w:rPr>
        <w:t>重庆市</w:t>
      </w:r>
      <w:r>
        <w:rPr>
          <w:rFonts w:hint="eastAsia"/>
          <w:lang w:val="en-US" w:eastAsia="zh-CN"/>
        </w:rPr>
        <w:t>江北区中医院</w:t>
      </w:r>
    </w:p>
    <w:p w14:paraId="6018A5BB">
      <w:pPr>
        <w:pStyle w:val="20"/>
        <w:bidi w:val="0"/>
        <w:rPr>
          <w:rFonts w:hint="eastAsia"/>
          <w:lang w:val="en-US" w:eastAsia="zh-CN"/>
        </w:rPr>
      </w:pPr>
      <w:r>
        <w:rPr>
          <w:rFonts w:hint="default"/>
        </w:rPr>
        <w:t>被保险人：</w:t>
      </w:r>
      <w:r>
        <w:rPr>
          <w:rFonts w:hint="default"/>
          <w:lang w:val="en-US" w:eastAsia="zh-CN"/>
        </w:rPr>
        <w:t>重庆市</w:t>
      </w:r>
      <w:r>
        <w:rPr>
          <w:rFonts w:hint="eastAsia"/>
          <w:lang w:val="en-US" w:eastAsia="zh-CN"/>
        </w:rPr>
        <w:t>江北区中医院</w:t>
      </w:r>
    </w:p>
    <w:p w14:paraId="14F46943">
      <w:pPr>
        <w:pStyle w:val="20"/>
        <w:bidi w:val="0"/>
        <w:rPr>
          <w:rFonts w:hint="eastAsia" w:eastAsia="方正仿宋_GBK"/>
          <w:lang w:val="en-US" w:eastAsia="zh-CN"/>
        </w:rPr>
      </w:pPr>
      <w:r>
        <w:rPr>
          <w:rFonts w:hint="default"/>
        </w:rPr>
        <w:t>承保区域：</w:t>
      </w:r>
      <w:r>
        <w:rPr>
          <w:rFonts w:hint="default"/>
          <w:lang w:val="en-US" w:eastAsia="zh-CN"/>
        </w:rPr>
        <w:t>重庆市</w:t>
      </w:r>
      <w:r>
        <w:rPr>
          <w:rFonts w:hint="eastAsia"/>
          <w:lang w:val="en-US" w:eastAsia="zh-CN"/>
        </w:rPr>
        <w:t>江北区中医院各院区</w:t>
      </w:r>
    </w:p>
    <w:p w14:paraId="460CB8F3">
      <w:pPr>
        <w:pStyle w:val="20"/>
        <w:bidi w:val="0"/>
        <w:rPr>
          <w:rFonts w:hint="default"/>
          <w:lang w:val="en-US" w:eastAsia="zh-CN"/>
        </w:rPr>
      </w:pPr>
      <w:r>
        <w:rPr>
          <w:rFonts w:hint="default"/>
          <w:b/>
          <w:bCs/>
        </w:rPr>
        <w:t>1</w:t>
      </w:r>
      <w:r>
        <w:rPr>
          <w:rFonts w:hint="eastAsia"/>
          <w:b/>
          <w:bCs/>
          <w:lang w:eastAsia="zh-CN"/>
        </w:rPr>
        <w:t>.</w:t>
      </w:r>
      <w:r>
        <w:rPr>
          <w:rFonts w:hint="default"/>
          <w:b/>
          <w:bCs/>
        </w:rPr>
        <w:t>保险险种</w:t>
      </w:r>
    </w:p>
    <w:tbl>
      <w:tblPr>
        <w:tblStyle w:val="15"/>
        <w:tblW w:w="43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6527"/>
      </w:tblGrid>
      <w:tr w14:paraId="4C64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82" w:type="pct"/>
            <w:noWrap w:val="0"/>
            <w:vAlign w:val="center"/>
          </w:tcPr>
          <w:p w14:paraId="1CFB840B">
            <w:pPr>
              <w:pStyle w:val="21"/>
              <w:bidi w:val="0"/>
              <w:ind w:left="0" w:leftChars="0" w:firstLine="0" w:firstLineChars="0"/>
              <w:jc w:val="center"/>
              <w:rPr>
                <w:rFonts w:hint="default"/>
                <w:sz w:val="21"/>
                <w:szCs w:val="21"/>
              </w:rPr>
            </w:pPr>
            <w:r>
              <w:rPr>
                <w:rFonts w:hint="default"/>
                <w:sz w:val="21"/>
                <w:szCs w:val="21"/>
              </w:rPr>
              <w:t>主险</w:t>
            </w:r>
          </w:p>
        </w:tc>
        <w:tc>
          <w:tcPr>
            <w:tcW w:w="3917" w:type="pct"/>
            <w:noWrap w:val="0"/>
            <w:vAlign w:val="center"/>
          </w:tcPr>
          <w:p w14:paraId="6C2D4F09">
            <w:pPr>
              <w:pStyle w:val="20"/>
              <w:bidi w:val="0"/>
              <w:ind w:left="0" w:leftChars="0" w:firstLine="0" w:firstLineChars="0"/>
              <w:jc w:val="center"/>
              <w:rPr>
                <w:rFonts w:hint="default"/>
                <w:sz w:val="21"/>
                <w:szCs w:val="21"/>
              </w:rPr>
            </w:pPr>
            <w:r>
              <w:rPr>
                <w:rFonts w:hint="default"/>
                <w:sz w:val="21"/>
                <w:szCs w:val="21"/>
              </w:rPr>
              <w:t>医疗机构责任保险</w:t>
            </w:r>
          </w:p>
        </w:tc>
      </w:tr>
      <w:tr w14:paraId="72D9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82" w:type="pct"/>
            <w:vMerge w:val="restart"/>
            <w:noWrap w:val="0"/>
            <w:vAlign w:val="center"/>
          </w:tcPr>
          <w:p w14:paraId="2EFEF128">
            <w:pPr>
              <w:pStyle w:val="21"/>
              <w:bidi w:val="0"/>
              <w:ind w:left="0" w:leftChars="0" w:firstLine="0" w:firstLineChars="0"/>
              <w:jc w:val="center"/>
              <w:rPr>
                <w:rFonts w:hint="default"/>
                <w:sz w:val="21"/>
                <w:szCs w:val="21"/>
              </w:rPr>
            </w:pPr>
            <w:r>
              <w:rPr>
                <w:rFonts w:hint="default"/>
                <w:sz w:val="21"/>
                <w:szCs w:val="21"/>
              </w:rPr>
              <w:t>附加险</w:t>
            </w:r>
          </w:p>
        </w:tc>
        <w:tc>
          <w:tcPr>
            <w:tcW w:w="3917" w:type="pct"/>
            <w:noWrap w:val="0"/>
            <w:vAlign w:val="center"/>
          </w:tcPr>
          <w:p w14:paraId="7A868A7E">
            <w:pPr>
              <w:pStyle w:val="20"/>
              <w:bidi w:val="0"/>
              <w:ind w:left="0" w:leftChars="0" w:firstLine="0" w:firstLineChars="0"/>
              <w:jc w:val="center"/>
              <w:rPr>
                <w:rFonts w:hint="default"/>
                <w:sz w:val="21"/>
                <w:szCs w:val="21"/>
              </w:rPr>
            </w:pPr>
            <w:r>
              <w:rPr>
                <w:rFonts w:hint="default"/>
                <w:sz w:val="21"/>
                <w:szCs w:val="21"/>
              </w:rPr>
              <w:t>附加公平分担损失保险</w:t>
            </w:r>
          </w:p>
        </w:tc>
      </w:tr>
      <w:tr w14:paraId="031C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82" w:type="pct"/>
            <w:vMerge w:val="continue"/>
            <w:noWrap w:val="0"/>
            <w:vAlign w:val="center"/>
          </w:tcPr>
          <w:p w14:paraId="2B27E74A">
            <w:pPr>
              <w:keepNext w:val="0"/>
              <w:keepLines w:val="0"/>
              <w:pageBreakBefore w:val="0"/>
              <w:kinsoku/>
              <w:overflowPunct/>
              <w:topLinePunct w:val="0"/>
              <w:autoSpaceDE/>
              <w:autoSpaceDN/>
              <w:bidi w:val="0"/>
              <w:adjustRightInd w:val="0"/>
              <w:snapToGrid w:val="0"/>
              <w:spacing w:line="240" w:lineRule="auto"/>
              <w:ind w:firstLine="480" w:firstLineChars="200"/>
              <w:jc w:val="center"/>
              <w:textAlignment w:val="auto"/>
              <w:outlineLvl w:val="9"/>
              <w:rPr>
                <w:rFonts w:hint="default" w:ascii="Times New Roman" w:hAnsi="Times New Roman" w:eastAsia="方正仿宋_GBK" w:cs="Times New Roman"/>
                <w:sz w:val="24"/>
                <w:szCs w:val="24"/>
              </w:rPr>
            </w:pPr>
          </w:p>
        </w:tc>
        <w:tc>
          <w:tcPr>
            <w:tcW w:w="3917" w:type="pct"/>
            <w:noWrap w:val="0"/>
            <w:vAlign w:val="center"/>
          </w:tcPr>
          <w:p w14:paraId="198915BD">
            <w:pPr>
              <w:pStyle w:val="20"/>
              <w:bidi w:val="0"/>
              <w:ind w:left="0" w:leftChars="0" w:firstLine="0" w:firstLineChars="0"/>
              <w:jc w:val="center"/>
              <w:rPr>
                <w:rFonts w:hint="default"/>
                <w:sz w:val="21"/>
                <w:szCs w:val="21"/>
              </w:rPr>
            </w:pPr>
            <w:r>
              <w:rPr>
                <w:rFonts w:hint="default"/>
                <w:sz w:val="21"/>
                <w:szCs w:val="21"/>
              </w:rPr>
              <w:t>附加医疗机构场所责任保险</w:t>
            </w:r>
          </w:p>
        </w:tc>
      </w:tr>
    </w:tbl>
    <w:p w14:paraId="1B422CF4">
      <w:pPr>
        <w:pStyle w:val="20"/>
        <w:bidi w:val="0"/>
        <w:rPr>
          <w:rFonts w:hint="default"/>
          <w:b/>
          <w:bCs/>
        </w:rPr>
      </w:pPr>
      <w:r>
        <w:rPr>
          <w:rFonts w:hint="default"/>
          <w:b/>
          <w:bCs/>
        </w:rPr>
        <w:t>2</w:t>
      </w:r>
      <w:r>
        <w:rPr>
          <w:rFonts w:hint="eastAsia"/>
          <w:b/>
          <w:bCs/>
          <w:lang w:eastAsia="zh-CN"/>
        </w:rPr>
        <w:t>.</w:t>
      </w:r>
      <w:r>
        <w:rPr>
          <w:rFonts w:hint="default"/>
          <w:b/>
          <w:bCs/>
        </w:rPr>
        <w:t>保障范围</w:t>
      </w:r>
    </w:p>
    <w:p w14:paraId="19B1B153">
      <w:pPr>
        <w:pStyle w:val="20"/>
        <w:bidi w:val="0"/>
        <w:rPr>
          <w:rFonts w:hint="default"/>
          <w:b/>
          <w:bCs/>
        </w:rPr>
      </w:pPr>
      <w:r>
        <w:rPr>
          <w:rFonts w:hint="default"/>
          <w:b/>
          <w:bCs/>
        </w:rPr>
        <w:t>2.1主险保障范围</w:t>
      </w:r>
    </w:p>
    <w:p w14:paraId="2EF9B258">
      <w:pPr>
        <w:pStyle w:val="20"/>
        <w:bidi w:val="0"/>
        <w:rPr>
          <w:rFonts w:hint="default"/>
        </w:rPr>
      </w:pPr>
      <w:r>
        <w:rPr>
          <w:rFonts w:hint="default"/>
        </w:rPr>
        <w:t>被保险医疗机构在诊疗活动中因执业过失导致患者人身损害而负担的赔偿责任以及精神损害费用、法律费用等，保险人根据</w:t>
      </w:r>
      <w:r>
        <w:rPr>
          <w:rFonts w:hint="eastAsia"/>
          <w:lang w:eastAsia="zh-CN"/>
        </w:rPr>
        <w:t>本</w:t>
      </w:r>
      <w:r>
        <w:rPr>
          <w:rFonts w:hint="default"/>
        </w:rPr>
        <w:t>保险合同</w:t>
      </w:r>
      <w:r>
        <w:rPr>
          <w:rFonts w:hint="eastAsia"/>
          <w:lang w:eastAsia="zh-CN"/>
        </w:rPr>
        <w:t>的</w:t>
      </w:r>
      <w:r>
        <w:rPr>
          <w:rFonts w:hint="default"/>
        </w:rPr>
        <w:t>约定负责赔偿。</w:t>
      </w:r>
    </w:p>
    <w:p w14:paraId="1C067C4F">
      <w:pPr>
        <w:pStyle w:val="20"/>
        <w:bidi w:val="0"/>
        <w:rPr>
          <w:rFonts w:hint="default"/>
          <w:b/>
          <w:bCs/>
        </w:rPr>
      </w:pPr>
      <w:r>
        <w:rPr>
          <w:rFonts w:hint="default"/>
          <w:b/>
          <w:bCs/>
        </w:rPr>
        <w:t>2.2附加险保障范围</w:t>
      </w:r>
    </w:p>
    <w:p w14:paraId="478CB9DB">
      <w:pPr>
        <w:pStyle w:val="20"/>
        <w:bidi w:val="0"/>
        <w:rPr>
          <w:rFonts w:hint="default" w:ascii="Times New Roman" w:hAnsi="Times New Roman" w:eastAsia="方正仿宋_GBK" w:cs="Times New Roman"/>
          <w:b/>
          <w:bCs/>
          <w:szCs w:val="24"/>
        </w:rPr>
      </w:pPr>
      <w:r>
        <w:rPr>
          <w:rFonts w:hint="default"/>
          <w:b/>
          <w:bCs/>
        </w:rPr>
        <w:t>2.2.1附加公平分担损失保险</w:t>
      </w:r>
    </w:p>
    <w:p w14:paraId="23A13AED">
      <w:pPr>
        <w:pStyle w:val="20"/>
        <w:bidi w:val="0"/>
        <w:rPr>
          <w:rFonts w:hint="default" w:ascii="Times New Roman" w:hAnsi="Times New Roman" w:eastAsia="方正仿宋_GBK" w:cs="Times New Roman"/>
          <w:szCs w:val="28"/>
        </w:rPr>
      </w:pPr>
      <w:r>
        <w:rPr>
          <w:rFonts w:hint="eastAsia"/>
        </w:rPr>
        <w:t>在保险</w:t>
      </w:r>
      <w:r>
        <w:rPr>
          <w:rFonts w:hint="eastAsia"/>
          <w:lang w:eastAsia="zh-CN"/>
        </w:rPr>
        <w:t>合同载明的保险</w:t>
      </w:r>
      <w:r>
        <w:rPr>
          <w:rFonts w:hint="eastAsia"/>
        </w:rPr>
        <w:t>期间或追溯期内，</w:t>
      </w:r>
      <w:r>
        <w:rPr>
          <w:rFonts w:hint="eastAsia"/>
          <w:lang w:eastAsia="zh-CN"/>
        </w:rPr>
        <w:t>患者</w:t>
      </w:r>
      <w:r>
        <w:rPr>
          <w:rFonts w:hint="eastAsia"/>
        </w:rPr>
        <w:t>在被保险人</w:t>
      </w:r>
      <w:r>
        <w:rPr>
          <w:rFonts w:hint="eastAsia"/>
          <w:lang w:eastAsia="zh-CN"/>
        </w:rPr>
        <w:t>及其保险单载明的</w:t>
      </w:r>
      <w:r>
        <w:rPr>
          <w:rFonts w:hint="eastAsia"/>
        </w:rPr>
        <w:t>医务人员在保险单中列明的承保区域范围内从事与其资格相符的诊疗护理活动中遭受人身损害，且被保险人及其投保医务人员对损害的发生都没有过错的，由患者或其近亲属在保险期间内首次向被保险人提出损害赔偿请求，依照法院判决或经医疗纠纷人民调解委员会基于《中华人民共和国民法典》调解达成调解协议，应由被保险人给予患者或其近亲属的适当经济补偿，保险人按照本附加险合同的约定负责赔偿。</w:t>
      </w:r>
    </w:p>
    <w:p w14:paraId="06CF0D86">
      <w:pPr>
        <w:pStyle w:val="20"/>
        <w:bidi w:val="0"/>
        <w:rPr>
          <w:rFonts w:hint="default"/>
          <w:b/>
          <w:bCs/>
        </w:rPr>
      </w:pPr>
      <w:r>
        <w:rPr>
          <w:rFonts w:hint="default"/>
          <w:b/>
          <w:bCs/>
        </w:rPr>
        <w:t>2.2.2附加医疗机构场所责任保险</w:t>
      </w:r>
    </w:p>
    <w:p w14:paraId="73C03D77">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方正仿宋_GBK" w:cs="Times New Roman"/>
          <w:szCs w:val="28"/>
        </w:rPr>
      </w:pPr>
      <w:r>
        <w:rPr>
          <w:rFonts w:hint="eastAsia" w:ascii="方正仿宋_GBK" w:hAnsi="方正仿宋_GBK" w:eastAsia="方正仿宋_GBK" w:cs="方正仿宋_GBK"/>
          <w:kern w:val="2"/>
          <w:sz w:val="24"/>
          <w:szCs w:val="24"/>
          <w:lang w:val="en-US" w:eastAsia="zh-CN" w:bidi="ar-SA"/>
        </w:rPr>
        <w:t>在保险期间内，被保险人在保险单列明的承保区域范围内依法从事诊疗护理活动过程中，由于未尽安全保障义务造成患者或其陪同人员的人身损害或财产损失，依法应由被保险人承担的经济赔偿责任，保险人按照本附加险合同的约定负责赔偿。</w:t>
      </w:r>
    </w:p>
    <w:p w14:paraId="7422E729">
      <w:pPr>
        <w:pStyle w:val="20"/>
        <w:bidi w:val="0"/>
        <w:rPr>
          <w:rFonts w:hint="default"/>
          <w:b/>
          <w:bCs/>
        </w:rPr>
      </w:pPr>
      <w:r>
        <w:rPr>
          <w:rFonts w:hint="default"/>
          <w:b/>
          <w:bCs/>
        </w:rPr>
        <w:t>3</w:t>
      </w:r>
      <w:r>
        <w:rPr>
          <w:rFonts w:hint="eastAsia"/>
          <w:b/>
          <w:bCs/>
          <w:lang w:eastAsia="zh-CN"/>
        </w:rPr>
        <w:t>.</w:t>
      </w:r>
      <w:r>
        <w:rPr>
          <w:rFonts w:hint="default"/>
          <w:b/>
          <w:bCs/>
        </w:rPr>
        <w:t>责任限额和保费价格</w:t>
      </w:r>
    </w:p>
    <w:p w14:paraId="5F28EAA9">
      <w:pPr>
        <w:pStyle w:val="20"/>
        <w:bidi w:val="0"/>
        <w:rPr>
          <w:rFonts w:hint="eastAsia" w:ascii="Times New Roman" w:hAnsi="Times New Roman" w:eastAsia="方正仿宋_GBK" w:cs="Times New Roman"/>
          <w:b/>
          <w:bCs/>
          <w:szCs w:val="24"/>
          <w:lang w:eastAsia="zh-CN"/>
        </w:rPr>
      </w:pPr>
      <w:r>
        <w:rPr>
          <w:rFonts w:hint="default"/>
          <w:b/>
          <w:bCs/>
        </w:rPr>
        <w:t>3.1 主险基础责任</w:t>
      </w:r>
      <w:r>
        <w:rPr>
          <w:rFonts w:hint="eastAsia"/>
          <w:b/>
          <w:bCs/>
          <w:lang w:val="en-US" w:eastAsia="zh-CN"/>
        </w:rPr>
        <w:t>险</w:t>
      </w:r>
    </w:p>
    <w:tbl>
      <w:tblPr>
        <w:tblStyle w:val="15"/>
        <w:tblpPr w:leftFromText="180" w:rightFromText="180" w:vertAnchor="text" w:horzAnchor="margin" w:tblpXSpec="center" w:tblpY="7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768"/>
        <w:gridCol w:w="2768"/>
      </w:tblGrid>
      <w:tr w14:paraId="680A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86" w:type="dxa"/>
            <w:vMerge w:val="restart"/>
            <w:noWrap w:val="0"/>
            <w:vAlign w:val="center"/>
          </w:tcPr>
          <w:p w14:paraId="0DF6F4CB">
            <w:pPr>
              <w:pStyle w:val="20"/>
              <w:bidi w:val="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医疗机构责任保险</w:t>
            </w:r>
          </w:p>
        </w:tc>
        <w:tc>
          <w:tcPr>
            <w:tcW w:w="2768" w:type="dxa"/>
            <w:noWrap w:val="0"/>
            <w:vAlign w:val="center"/>
          </w:tcPr>
          <w:p w14:paraId="0643A4B5">
            <w:pPr>
              <w:pStyle w:val="20"/>
              <w:bidi w:val="0"/>
              <w:ind w:left="0" w:leftChars="0" w:firstLine="0" w:firstLineChars="0"/>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每人每次责任限额</w:t>
            </w:r>
            <w:r>
              <w:rPr>
                <w:rFonts w:hint="eastAsia" w:ascii="Times New Roman" w:hAnsi="Times New Roman" w:eastAsia="方正仿宋_GBK" w:cs="Times New Roman"/>
                <w:color w:val="000000"/>
                <w:sz w:val="24"/>
                <w:szCs w:val="24"/>
                <w:lang w:val="en-US" w:eastAsia="zh-CN"/>
              </w:rPr>
              <w:t>（元）</w:t>
            </w:r>
          </w:p>
        </w:tc>
        <w:tc>
          <w:tcPr>
            <w:tcW w:w="2768" w:type="dxa"/>
            <w:noWrap w:val="0"/>
            <w:vAlign w:val="center"/>
          </w:tcPr>
          <w:p w14:paraId="66BE75B0">
            <w:pPr>
              <w:pStyle w:val="20"/>
              <w:bidi w:val="0"/>
              <w:ind w:left="0" w:leftChars="0" w:firstLine="0" w:firstLineChars="0"/>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年累计责任限额</w:t>
            </w:r>
            <w:r>
              <w:rPr>
                <w:rFonts w:hint="eastAsia" w:ascii="Times New Roman" w:hAnsi="Times New Roman" w:eastAsia="方正仿宋_GBK" w:cs="Times New Roman"/>
                <w:color w:val="000000"/>
                <w:sz w:val="24"/>
                <w:szCs w:val="24"/>
                <w:lang w:val="en-US" w:eastAsia="zh-CN"/>
              </w:rPr>
              <w:t>（元）</w:t>
            </w:r>
          </w:p>
        </w:tc>
      </w:tr>
      <w:tr w14:paraId="1D84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986" w:type="dxa"/>
            <w:vMerge w:val="continue"/>
            <w:noWrap w:val="0"/>
            <w:vAlign w:val="center"/>
          </w:tcPr>
          <w:p w14:paraId="6594542F">
            <w:pPr>
              <w:pStyle w:val="20"/>
              <w:bidi w:val="0"/>
              <w:rPr>
                <w:rFonts w:hint="default" w:ascii="Times New Roman" w:hAnsi="Times New Roman" w:eastAsia="方正仿宋_GBK" w:cs="Times New Roman"/>
                <w:color w:val="000000"/>
                <w:sz w:val="24"/>
                <w:szCs w:val="24"/>
                <w:lang w:val="en-US" w:eastAsia="zh-CN"/>
              </w:rPr>
            </w:pPr>
          </w:p>
        </w:tc>
        <w:tc>
          <w:tcPr>
            <w:tcW w:w="2768" w:type="dxa"/>
            <w:noWrap w:val="0"/>
            <w:vAlign w:val="center"/>
          </w:tcPr>
          <w:p w14:paraId="19FB0D71">
            <w:pPr>
              <w:pStyle w:val="20"/>
              <w:bidi w:val="0"/>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500000</w:t>
            </w:r>
          </w:p>
        </w:tc>
        <w:tc>
          <w:tcPr>
            <w:tcW w:w="2768" w:type="dxa"/>
            <w:noWrap w:val="0"/>
            <w:vAlign w:val="center"/>
          </w:tcPr>
          <w:p w14:paraId="14980BFA">
            <w:pPr>
              <w:pStyle w:val="20"/>
              <w:bidi w:val="0"/>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1000000</w:t>
            </w:r>
          </w:p>
        </w:tc>
      </w:tr>
    </w:tbl>
    <w:p w14:paraId="23B0EB30">
      <w:pPr>
        <w:pStyle w:val="20"/>
        <w:bidi w:val="0"/>
        <w:rPr>
          <w:rFonts w:hint="default"/>
        </w:rPr>
      </w:pPr>
      <w:r>
        <w:rPr>
          <w:rFonts w:hint="default"/>
        </w:rPr>
        <w:t>责任限额说明：</w:t>
      </w:r>
    </w:p>
    <w:p w14:paraId="521C9500">
      <w:pPr>
        <w:pStyle w:val="20"/>
        <w:bidi w:val="0"/>
        <w:rPr>
          <w:rFonts w:hint="default"/>
        </w:rPr>
      </w:pPr>
      <w:r>
        <w:rPr>
          <w:rFonts w:hint="default"/>
        </w:rPr>
        <w:t>①每人责任限额是指在保险年度内，被保险医疗机构造成每一名患者人身损害，在保险责任范围内获得的最高赔偿金额</w:t>
      </w:r>
      <w:r>
        <w:rPr>
          <w:rFonts w:hint="eastAsia"/>
          <w:lang w:eastAsia="zh-CN"/>
        </w:rPr>
        <w:t>。</w:t>
      </w:r>
      <w:r>
        <w:rPr>
          <w:rFonts w:hint="default"/>
        </w:rPr>
        <w:t>由于追溯期、重庆市各级卫生健康行政部门调解过程或者医患纠纷导致跨越保险年度的诉讼，承保机构须在赔付限额内承担赔付义务。</w:t>
      </w:r>
    </w:p>
    <w:p w14:paraId="17C8468A">
      <w:pPr>
        <w:pStyle w:val="20"/>
        <w:bidi w:val="0"/>
        <w:rPr>
          <w:rFonts w:hint="default"/>
        </w:rPr>
      </w:pPr>
      <w:r>
        <w:rPr>
          <w:rFonts w:hint="default"/>
        </w:rPr>
        <w:t>②年累计责任限额是指被保险医疗机构在保险年度内获得的最高赔偿金额。若保险年度内被保险医疗机构累计获得的赔款等于累计责任限额，则该医疗机构的保险单项下的保险责任终止。</w:t>
      </w:r>
    </w:p>
    <w:p w14:paraId="77C672C3">
      <w:pPr>
        <w:pStyle w:val="20"/>
        <w:bidi w:val="0"/>
        <w:rPr>
          <w:rFonts w:hint="default" w:ascii="Times New Roman" w:hAnsi="Times New Roman" w:eastAsia="方正仿宋_GBK" w:cs="Times New Roman"/>
          <w:color w:val="000000"/>
          <w:sz w:val="24"/>
          <w:szCs w:val="24"/>
          <w:lang w:val="en-US" w:eastAsia="zh-CN"/>
        </w:rPr>
      </w:pPr>
      <w:r>
        <w:rPr>
          <w:rFonts w:hint="default"/>
        </w:rPr>
        <w:t>③精神损害费用每</w:t>
      </w:r>
      <w:r>
        <w:rPr>
          <w:rFonts w:hint="default" w:ascii="Times New Roman" w:hAnsi="Times New Roman" w:eastAsia="方正仿宋_GBK" w:cs="Times New Roman"/>
          <w:color w:val="000000"/>
          <w:sz w:val="24"/>
          <w:szCs w:val="24"/>
          <w:lang w:val="en-US" w:eastAsia="zh-CN"/>
        </w:rPr>
        <w:t>人责任限额为主险每人责任限额的</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lang w:val="en-US" w:eastAsia="zh-CN"/>
        </w:rPr>
        <w:t>%，累计责任限额为主险累计责任限额的</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lang w:val="en-US" w:eastAsia="zh-CN"/>
        </w:rPr>
        <w:t>%，且在主险责任限额之内计算。</w:t>
      </w:r>
    </w:p>
    <w:p w14:paraId="5110A4F1">
      <w:pPr>
        <w:pStyle w:val="20"/>
        <w:bidi w:val="0"/>
        <w:rPr>
          <w:rFonts w:hint="default" w:ascii="Times New Roman" w:hAnsi="Times New Roman" w:eastAsia="方正仿宋_GBK" w:cs="Times New Roman"/>
          <w:color w:val="000000"/>
          <w:sz w:val="24"/>
          <w:szCs w:val="24"/>
          <w:lang w:val="en-US" w:eastAsia="zh-CN"/>
        </w:rPr>
      </w:pPr>
      <w:r>
        <w:rPr>
          <w:rFonts w:hint="default"/>
        </w:rPr>
        <w:t>④法律费用每次事故责</w:t>
      </w:r>
      <w:r>
        <w:rPr>
          <w:rFonts w:hint="default" w:ascii="Times New Roman" w:hAnsi="Times New Roman" w:eastAsia="方正仿宋_GBK" w:cs="Times New Roman"/>
          <w:color w:val="000000"/>
          <w:sz w:val="24"/>
          <w:szCs w:val="24"/>
          <w:lang w:val="en-US" w:eastAsia="zh-CN"/>
        </w:rPr>
        <w:t>任限额为主险每人责任限额的</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lang w:val="en-US" w:eastAsia="zh-CN"/>
        </w:rPr>
        <w:t>%，累计责任限额为主险累计责任限额的</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lang w:val="en-US" w:eastAsia="zh-CN"/>
        </w:rPr>
        <w:t>%，且在主险责任限额之内计算。</w:t>
      </w:r>
    </w:p>
    <w:p w14:paraId="7BB3EDDC">
      <w:pPr>
        <w:pStyle w:val="20"/>
        <w:numPr>
          <w:ilvl w:val="0"/>
          <w:numId w:val="2"/>
        </w:numPr>
        <w:bidi w:val="0"/>
        <w:rPr>
          <w:rFonts w:hint="default"/>
          <w:b/>
          <w:bCs/>
        </w:rPr>
      </w:pPr>
      <w:r>
        <w:rPr>
          <w:rFonts w:hint="default"/>
          <w:b/>
          <w:bCs/>
        </w:rPr>
        <w:t>附加险责任限额/保险金额</w:t>
      </w:r>
    </w:p>
    <w:tbl>
      <w:tblPr>
        <w:tblStyle w:val="15"/>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6512"/>
      </w:tblGrid>
      <w:tr w14:paraId="2EBC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347" w:type="dxa"/>
            <w:noWrap w:val="0"/>
            <w:vAlign w:val="top"/>
          </w:tcPr>
          <w:p w14:paraId="797922EE">
            <w:pPr>
              <w:pStyle w:val="21"/>
              <w:bidi w:val="0"/>
              <w:ind w:left="0" w:leftChars="0" w:firstLine="0" w:firstLineChars="0"/>
              <w:jc w:val="center"/>
              <w:rPr>
                <w:rFonts w:hint="eastAsia"/>
                <w:b/>
                <w:bCs/>
                <w:sz w:val="21"/>
                <w:szCs w:val="21"/>
                <w:lang w:val="en-US" w:eastAsia="zh-CN"/>
              </w:rPr>
            </w:pPr>
            <w:r>
              <w:rPr>
                <w:rFonts w:hint="eastAsia"/>
                <w:b/>
                <w:bCs/>
                <w:sz w:val="21"/>
                <w:szCs w:val="21"/>
                <w:lang w:val="en-US" w:eastAsia="zh-CN"/>
              </w:rPr>
              <w:t>险种</w:t>
            </w:r>
          </w:p>
        </w:tc>
        <w:tc>
          <w:tcPr>
            <w:tcW w:w="6512" w:type="dxa"/>
            <w:noWrap w:val="0"/>
            <w:vAlign w:val="top"/>
          </w:tcPr>
          <w:p w14:paraId="2718DC02">
            <w:pPr>
              <w:pStyle w:val="21"/>
              <w:bidi w:val="0"/>
              <w:ind w:left="0" w:leftChars="0" w:firstLine="0" w:firstLineChars="0"/>
              <w:jc w:val="center"/>
              <w:rPr>
                <w:rFonts w:hint="eastAsia"/>
                <w:b/>
                <w:bCs/>
                <w:sz w:val="21"/>
                <w:szCs w:val="21"/>
                <w:lang w:val="en-US" w:eastAsia="zh-CN"/>
              </w:rPr>
            </w:pPr>
            <w:r>
              <w:rPr>
                <w:rFonts w:hint="eastAsia"/>
                <w:b/>
                <w:bCs/>
                <w:sz w:val="21"/>
                <w:szCs w:val="21"/>
                <w:lang w:val="en-US" w:eastAsia="zh-CN"/>
              </w:rPr>
              <w:t>责任限额/保险金额</w:t>
            </w:r>
          </w:p>
        </w:tc>
      </w:tr>
      <w:tr w14:paraId="00F6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347" w:type="dxa"/>
            <w:noWrap w:val="0"/>
            <w:vAlign w:val="center"/>
          </w:tcPr>
          <w:p w14:paraId="084C68FD">
            <w:pPr>
              <w:pStyle w:val="20"/>
              <w:bidi w:val="0"/>
              <w:ind w:left="0" w:leftChars="0" w:firstLine="0" w:firstLineChars="0"/>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公平分担损失保险</w:t>
            </w:r>
          </w:p>
        </w:tc>
        <w:tc>
          <w:tcPr>
            <w:tcW w:w="6512" w:type="dxa"/>
            <w:noWrap w:val="0"/>
            <w:vAlign w:val="top"/>
          </w:tcPr>
          <w:p w14:paraId="6E1CCB1A">
            <w:pPr>
              <w:pStyle w:val="20"/>
              <w:bidi w:val="0"/>
              <w:ind w:left="0" w:leftChars="0" w:firstLine="0" w:firstLineChars="0"/>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每人限额及累计责任限额为主险责任限额的10%</w:t>
            </w:r>
          </w:p>
        </w:tc>
      </w:tr>
      <w:tr w14:paraId="7620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347" w:type="dxa"/>
            <w:noWrap w:val="0"/>
            <w:vAlign w:val="center"/>
          </w:tcPr>
          <w:p w14:paraId="3770BFA6">
            <w:pPr>
              <w:pStyle w:val="20"/>
              <w:bidi w:val="0"/>
              <w:ind w:left="0" w:leftChars="0" w:firstLine="0" w:firstLineChars="0"/>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医疗机构场所责任保险</w:t>
            </w:r>
          </w:p>
        </w:tc>
        <w:tc>
          <w:tcPr>
            <w:tcW w:w="6512" w:type="dxa"/>
            <w:noWrap w:val="0"/>
            <w:vAlign w:val="top"/>
          </w:tcPr>
          <w:p w14:paraId="4120DF22">
            <w:pPr>
              <w:pStyle w:val="20"/>
              <w:bidi w:val="0"/>
              <w:ind w:left="0" w:leftChars="0" w:firstLine="0" w:firstLineChars="0"/>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每次事故和累计责任限额同主险累计责任限额</w:t>
            </w:r>
          </w:p>
        </w:tc>
      </w:tr>
    </w:tbl>
    <w:p w14:paraId="095DC25B">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Fonts w:hint="default" w:ascii="Times New Roman" w:hAnsi="Times New Roman" w:eastAsia="方正仿宋_GBK" w:cs="Times New Roman"/>
          <w:color w:val="000000"/>
          <w:kern w:val="2"/>
          <w:sz w:val="24"/>
          <w:szCs w:val="24"/>
          <w:lang w:val="en-US" w:eastAsia="zh-CN" w:bidi="ar-SA"/>
        </w:rPr>
      </w:pPr>
      <w:r>
        <w:rPr>
          <w:rStyle w:val="24"/>
          <w:rFonts w:hint="default"/>
          <w:b/>
          <w:bCs/>
        </w:rPr>
        <w:t>5</w:t>
      </w:r>
      <w:r>
        <w:rPr>
          <w:rStyle w:val="24"/>
          <w:rFonts w:hint="eastAsia"/>
          <w:b/>
          <w:bCs/>
          <w:lang w:eastAsia="zh-CN"/>
        </w:rPr>
        <w:t>.</w:t>
      </w:r>
      <w:r>
        <w:rPr>
          <w:rStyle w:val="24"/>
          <w:rFonts w:hint="default"/>
          <w:b/>
          <w:bCs/>
        </w:rPr>
        <w:t>免赔额</w:t>
      </w:r>
      <w:r>
        <w:rPr>
          <w:rStyle w:val="24"/>
          <w:rFonts w:hint="eastAsia"/>
          <w:b/>
          <w:bCs/>
          <w:lang w:eastAsia="zh-CN"/>
        </w:rPr>
        <w:t>。</w:t>
      </w:r>
      <w:r>
        <w:rPr>
          <w:rStyle w:val="24"/>
          <w:rFonts w:hint="default"/>
        </w:rPr>
        <w:t>本项目免赔额：</w:t>
      </w:r>
      <w:r>
        <w:rPr>
          <w:rStyle w:val="24"/>
          <w:rFonts w:hint="default"/>
          <w:lang w:eastAsia="zh-CN"/>
        </w:rPr>
        <w:t>每次</w:t>
      </w:r>
      <w:r>
        <w:rPr>
          <w:rFonts w:hint="default" w:ascii="Times New Roman" w:hAnsi="Times New Roman" w:eastAsia="方正仿宋_GBK" w:cs="Times New Roman"/>
          <w:color w:val="000000"/>
          <w:kern w:val="2"/>
          <w:sz w:val="24"/>
          <w:szCs w:val="24"/>
          <w:lang w:val="en-US" w:eastAsia="zh-CN" w:bidi="ar-SA"/>
        </w:rPr>
        <w:t>事故相对免赔</w:t>
      </w:r>
      <w:r>
        <w:rPr>
          <w:rFonts w:hint="eastAsia" w:ascii="Times New Roman" w:hAnsi="Times New Roman" w:eastAsia="方正仿宋_GBK" w:cs="Times New Roman"/>
          <w:color w:val="000000"/>
          <w:kern w:val="2"/>
          <w:sz w:val="24"/>
          <w:szCs w:val="24"/>
          <w:lang w:val="en-US" w:eastAsia="zh-CN" w:bidi="ar-SA"/>
        </w:rPr>
        <w:t>为</w:t>
      </w:r>
      <w:r>
        <w:rPr>
          <w:rFonts w:hint="default" w:ascii="Times New Roman" w:hAnsi="Times New Roman" w:eastAsia="方正仿宋_GBK" w:cs="Times New Roman"/>
          <w:color w:val="000000"/>
          <w:kern w:val="2"/>
          <w:sz w:val="24"/>
          <w:szCs w:val="24"/>
          <w:lang w:val="en-US" w:eastAsia="zh-CN" w:bidi="ar-SA"/>
        </w:rPr>
        <w:t>10000元</w:t>
      </w:r>
      <w:r>
        <w:rPr>
          <w:rFonts w:hint="eastAsia" w:ascii="Times New Roman" w:hAnsi="Times New Roman" w:eastAsia="方正仿宋_GBK" w:cs="Times New Roman"/>
          <w:color w:val="000000"/>
          <w:kern w:val="2"/>
          <w:sz w:val="24"/>
          <w:szCs w:val="24"/>
          <w:lang w:val="en-US" w:eastAsia="zh-CN" w:bidi="ar-SA"/>
        </w:rPr>
        <w:t>。</w:t>
      </w:r>
    </w:p>
    <w:p w14:paraId="24E03E72">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Fonts w:hint="default" w:ascii="Times New Roman" w:hAnsi="Times New Roman" w:eastAsia="方正仿宋_GBK" w:cs="Times New Roman"/>
          <w:sz w:val="24"/>
          <w:szCs w:val="28"/>
          <w:lang w:val="en-US" w:eastAsia="zh-CN"/>
        </w:rPr>
      </w:pPr>
      <w:r>
        <w:rPr>
          <w:rStyle w:val="24"/>
          <w:rFonts w:hint="default"/>
          <w:b/>
          <w:bCs/>
        </w:rPr>
        <w:t>6</w:t>
      </w:r>
      <w:r>
        <w:rPr>
          <w:rStyle w:val="24"/>
          <w:rFonts w:hint="eastAsia"/>
          <w:b/>
          <w:bCs/>
          <w:lang w:eastAsia="zh-CN"/>
        </w:rPr>
        <w:t>.</w:t>
      </w:r>
      <w:r>
        <w:rPr>
          <w:rStyle w:val="24"/>
          <w:rFonts w:hint="default"/>
          <w:b/>
          <w:bCs/>
          <w:lang w:eastAsia="zh-CN"/>
        </w:rPr>
        <w:t>服务期及追溯期约定</w:t>
      </w:r>
      <w:r>
        <w:rPr>
          <w:rStyle w:val="24"/>
          <w:rFonts w:hint="eastAsia"/>
          <w:b/>
          <w:bCs/>
          <w:lang w:eastAsia="zh-CN"/>
        </w:rPr>
        <w:t>。</w:t>
      </w:r>
      <w:r>
        <w:rPr>
          <w:rFonts w:hint="default" w:ascii="Times New Roman" w:hAnsi="Times New Roman" w:eastAsia="方正仿宋_GBK" w:cs="Times New Roman"/>
          <w:color w:val="000000"/>
          <w:kern w:val="2"/>
          <w:sz w:val="24"/>
          <w:szCs w:val="24"/>
          <w:highlight w:val="none"/>
          <w:lang w:val="en-US" w:eastAsia="zh-CN" w:bidi="ar-SA"/>
        </w:rPr>
        <w:t>本项目服务期限为1年（以实际承保日期为准）。</w:t>
      </w:r>
      <w:r>
        <w:rPr>
          <w:rFonts w:hint="eastAsia" w:ascii="Times New Roman" w:hAnsi="Times New Roman" w:eastAsia="方正仿宋_GBK" w:cs="Times New Roman"/>
          <w:color w:val="000000"/>
          <w:kern w:val="2"/>
          <w:sz w:val="24"/>
          <w:szCs w:val="24"/>
          <w:highlight w:val="none"/>
          <w:lang w:val="en-US" w:eastAsia="zh-CN" w:bidi="ar-SA"/>
        </w:rPr>
        <w:t>且本项目中标后追溯期为三年。</w:t>
      </w:r>
      <w:r>
        <w:rPr>
          <w:rStyle w:val="24"/>
          <w:rFonts w:hint="default"/>
          <w:highlight w:val="none"/>
          <w:lang w:eastAsia="zh-CN"/>
        </w:rPr>
        <w:t>在</w:t>
      </w:r>
      <w:r>
        <w:rPr>
          <w:rStyle w:val="24"/>
          <w:rFonts w:hint="default"/>
          <w:highlight w:val="none"/>
        </w:rPr>
        <w:t>履</w:t>
      </w:r>
      <w:r>
        <w:rPr>
          <w:rStyle w:val="24"/>
          <w:rFonts w:hint="default"/>
        </w:rPr>
        <w:t>约过程中，承保机构违约将承担相应的违约责任。</w:t>
      </w:r>
    </w:p>
    <w:p w14:paraId="0A11722F">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Fonts w:hint="default" w:ascii="Times New Roman" w:hAnsi="Times New Roman" w:eastAsia="方正仿宋_GBK" w:cs="Times New Roman"/>
          <w:sz w:val="24"/>
          <w:szCs w:val="24"/>
        </w:rPr>
      </w:pPr>
      <w:r>
        <w:rPr>
          <w:rStyle w:val="24"/>
          <w:rFonts w:hint="default"/>
          <w:b/>
          <w:bCs/>
        </w:rPr>
        <w:t>7</w:t>
      </w:r>
      <w:r>
        <w:rPr>
          <w:rStyle w:val="24"/>
          <w:rFonts w:hint="eastAsia"/>
          <w:b/>
          <w:bCs/>
          <w:lang w:eastAsia="zh-CN"/>
        </w:rPr>
        <w:t>.</w:t>
      </w:r>
      <w:r>
        <w:rPr>
          <w:rStyle w:val="24"/>
          <w:rFonts w:hint="default"/>
          <w:b/>
          <w:bCs/>
        </w:rPr>
        <w:t>司法管辖</w:t>
      </w:r>
      <w:r>
        <w:rPr>
          <w:rStyle w:val="24"/>
          <w:rFonts w:hint="eastAsia"/>
          <w:b/>
          <w:bCs/>
          <w:lang w:eastAsia="zh-CN"/>
        </w:rPr>
        <w:t>。</w:t>
      </w:r>
      <w:r>
        <w:rPr>
          <w:rStyle w:val="24"/>
          <w:rFonts w:hint="default"/>
        </w:rPr>
        <w:t>中华人民共和国司法管辖（港、澳、台除外）。</w:t>
      </w:r>
    </w:p>
    <w:p w14:paraId="6FA09968">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Style w:val="24"/>
          <w:rFonts w:hint="default"/>
          <w:b/>
          <w:bCs/>
        </w:rPr>
      </w:pPr>
      <w:r>
        <w:rPr>
          <w:rStyle w:val="24"/>
          <w:rFonts w:hint="default"/>
          <w:b/>
          <w:bCs/>
        </w:rPr>
        <w:t>8</w:t>
      </w:r>
      <w:r>
        <w:rPr>
          <w:rStyle w:val="24"/>
          <w:rFonts w:hint="eastAsia"/>
          <w:b/>
          <w:bCs/>
          <w:lang w:eastAsia="zh-CN"/>
        </w:rPr>
        <w:t>.</w:t>
      </w:r>
      <w:r>
        <w:rPr>
          <w:rStyle w:val="24"/>
          <w:rFonts w:hint="default"/>
          <w:b/>
          <w:bCs/>
        </w:rPr>
        <w:t>特别约定</w:t>
      </w:r>
    </w:p>
    <w:p w14:paraId="3991A68A">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Style w:val="24"/>
          <w:rFonts w:hint="default"/>
        </w:rPr>
      </w:pPr>
      <w:r>
        <w:rPr>
          <w:rStyle w:val="24"/>
          <w:rFonts w:hint="default"/>
          <w:b/>
          <w:bCs/>
        </w:rPr>
        <w:t>8.1医务人员特别约定</w:t>
      </w:r>
      <w:r>
        <w:rPr>
          <w:rStyle w:val="24"/>
          <w:rFonts w:hint="eastAsia"/>
          <w:b/>
          <w:bCs/>
          <w:lang w:eastAsia="zh-CN"/>
        </w:rPr>
        <w:t>。</w:t>
      </w:r>
      <w:r>
        <w:rPr>
          <w:rStyle w:val="24"/>
          <w:rFonts w:hint="default"/>
        </w:rPr>
        <w:t>本保险所称医务人员，包括执业（助理）医师、注册护士、药师（士）、检验技师、影像技师（士）等卫生专业人员，以及心理咨询师、心理治疗师、医疗管理人员、进修医务人员、外聘医务人员、外请会诊医务人员、符合多点执业条件的医务人员等。无论其处于何岗位，只要实际从事具体诊疗活动，便属于医务人员。</w:t>
      </w:r>
    </w:p>
    <w:p w14:paraId="383262E4">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Style w:val="24"/>
          <w:rFonts w:hint="default"/>
        </w:rPr>
      </w:pPr>
      <w:r>
        <w:rPr>
          <w:rStyle w:val="24"/>
          <w:rFonts w:hint="default"/>
          <w:b/>
          <w:bCs/>
        </w:rPr>
        <w:t>8.2承保基础特别约定</w:t>
      </w:r>
      <w:r>
        <w:rPr>
          <w:rStyle w:val="24"/>
          <w:rFonts w:hint="eastAsia"/>
          <w:b/>
          <w:bCs/>
          <w:lang w:eastAsia="zh-CN"/>
        </w:rPr>
        <w:t>。</w:t>
      </w:r>
      <w:r>
        <w:rPr>
          <w:rStyle w:val="24"/>
          <w:rFonts w:hint="default"/>
        </w:rPr>
        <w:t>本保险的承保基础为</w:t>
      </w:r>
      <w:r>
        <w:rPr>
          <w:rStyle w:val="24"/>
          <w:rFonts w:hint="eastAsia"/>
        </w:rPr>
        <w:t>期内索赔制，</w:t>
      </w:r>
      <w:r>
        <w:rPr>
          <w:rStyle w:val="24"/>
          <w:rFonts w:hint="eastAsia"/>
          <w:lang w:eastAsia="zh-CN"/>
        </w:rPr>
        <w:t>即</w:t>
      </w:r>
      <w:r>
        <w:rPr>
          <w:rStyle w:val="24"/>
          <w:rFonts w:hint="default"/>
        </w:rPr>
        <w:t>以事故发生日期为依据确定保单是否负责赔偿。即只要受害人遭受损害的事故发生在保险期间或追溯期内，受害人不论在何时提出索赔，保险人均应负责赔偿。</w:t>
      </w:r>
    </w:p>
    <w:p w14:paraId="7CC25DFD">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Style w:val="24"/>
          <w:rFonts w:hint="eastAsia"/>
          <w:b w:val="0"/>
          <w:bCs w:val="0"/>
          <w:highlight w:val="none"/>
          <w:lang w:eastAsia="zh-CN"/>
        </w:rPr>
      </w:pPr>
      <w:r>
        <w:rPr>
          <w:rStyle w:val="24"/>
          <w:rFonts w:hint="default"/>
          <w:b/>
          <w:bCs/>
        </w:rPr>
        <w:t>8.3</w:t>
      </w:r>
      <w:r>
        <w:rPr>
          <w:rStyle w:val="24"/>
          <w:rFonts w:hint="default"/>
          <w:b/>
          <w:bCs/>
          <w:highlight w:val="none"/>
        </w:rPr>
        <w:t>追溯期特别约定</w:t>
      </w:r>
      <w:r>
        <w:rPr>
          <w:rStyle w:val="24"/>
          <w:rFonts w:hint="eastAsia"/>
          <w:b/>
          <w:bCs/>
          <w:highlight w:val="none"/>
          <w:lang w:eastAsia="zh-CN"/>
        </w:rPr>
        <w:t>。</w:t>
      </w:r>
      <w:r>
        <w:rPr>
          <w:rStyle w:val="24"/>
          <w:rFonts w:hint="eastAsia"/>
          <w:b w:val="0"/>
          <w:bCs w:val="0"/>
          <w:highlight w:val="none"/>
          <w:lang w:eastAsia="zh-CN"/>
        </w:rPr>
        <w:t>追溯期是自保单生效日向前追溯的期间，是保险人给予被保险人承保责任期限上的优惠，即如设定有追溯期，则承保责任期限不仅仅是保险期限，对于在保险期限之前（追溯期内）发生的保险事故，保险人也予以赔偿。</w:t>
      </w:r>
    </w:p>
    <w:p w14:paraId="13D85691">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Style w:val="24"/>
          <w:rFonts w:hint="eastAsia"/>
          <w:b w:val="0"/>
          <w:bCs w:val="0"/>
          <w:highlight w:val="none"/>
          <w:lang w:eastAsia="zh-CN"/>
        </w:rPr>
      </w:pPr>
      <w:r>
        <w:rPr>
          <w:rStyle w:val="24"/>
          <w:rFonts w:hint="eastAsia"/>
          <w:b w:val="0"/>
          <w:bCs w:val="0"/>
          <w:highlight w:val="none"/>
          <w:lang w:eastAsia="zh-CN"/>
        </w:rPr>
        <w:t>在追溯期内，被保险人的医务人员在诊疗活动中，因执业中非故意行为造成患者人身损害，由患者、患者近亲属、</w:t>
      </w:r>
      <w:r>
        <w:rPr>
          <w:rStyle w:val="24"/>
          <w:rFonts w:hint="eastAsia"/>
          <w:b w:val="0"/>
          <w:bCs w:val="0"/>
          <w:highlight w:val="none"/>
          <w:lang w:val="en-US" w:eastAsia="zh-CN"/>
        </w:rPr>
        <w:t>合法</w:t>
      </w:r>
      <w:r>
        <w:rPr>
          <w:rStyle w:val="24"/>
          <w:rFonts w:hint="eastAsia"/>
          <w:b w:val="0"/>
          <w:bCs w:val="0"/>
          <w:highlight w:val="none"/>
          <w:lang w:eastAsia="zh-CN"/>
        </w:rPr>
        <w:t>继承人</w:t>
      </w:r>
      <w:r>
        <w:rPr>
          <w:rStyle w:val="24"/>
          <w:rFonts w:hint="eastAsia"/>
          <w:b w:val="0"/>
          <w:bCs w:val="0"/>
          <w:color w:val="000000" w:themeColor="text1"/>
          <w:highlight w:val="none"/>
          <w:lang w:val="en-US" w:eastAsia="zh-CN"/>
          <w14:textFill>
            <w14:solidFill>
              <w14:schemeClr w14:val="tx1"/>
            </w14:solidFill>
          </w14:textFill>
        </w:rPr>
        <w:t>或</w:t>
      </w:r>
      <w:r>
        <w:rPr>
          <w:rStyle w:val="24"/>
          <w:rFonts w:hint="eastAsia"/>
          <w:b w:val="0"/>
          <w:bCs w:val="0"/>
          <w:color w:val="000000" w:themeColor="text1"/>
          <w:highlight w:val="none"/>
          <w:lang w:eastAsia="zh-CN"/>
          <w14:textFill>
            <w14:solidFill>
              <w14:schemeClr w14:val="tx1"/>
            </w14:solidFill>
          </w14:textFill>
        </w:rPr>
        <w:t>其他有赔偿请求权的主体首</w:t>
      </w:r>
      <w:r>
        <w:rPr>
          <w:rStyle w:val="24"/>
          <w:rFonts w:hint="eastAsia"/>
          <w:b w:val="0"/>
          <w:bCs w:val="0"/>
          <w:highlight w:val="none"/>
          <w:lang w:eastAsia="zh-CN"/>
        </w:rPr>
        <w:t>次向被保险人提出索赔申请，依法应由被保险人承担民事赔偿责任时，保险人按照本保险合同的约定负责赔偿。</w:t>
      </w:r>
    </w:p>
    <w:p w14:paraId="447AFF6C">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Style w:val="24"/>
          <w:rFonts w:hint="default"/>
        </w:rPr>
      </w:pPr>
      <w:r>
        <w:rPr>
          <w:rStyle w:val="24"/>
          <w:rFonts w:hint="default"/>
          <w:b/>
          <w:bCs/>
        </w:rPr>
        <w:t>8.4足额投保特别约定</w:t>
      </w:r>
      <w:r>
        <w:rPr>
          <w:rStyle w:val="24"/>
          <w:rFonts w:hint="eastAsia"/>
          <w:b/>
          <w:bCs/>
          <w:lang w:eastAsia="zh-CN"/>
        </w:rPr>
        <w:t>。</w:t>
      </w:r>
      <w:r>
        <w:rPr>
          <w:rStyle w:val="24"/>
          <w:rFonts w:hint="eastAsia" w:eastAsia="方正仿宋_GBK"/>
          <w:lang w:val="en-US" w:eastAsia="zh-CN"/>
        </w:rPr>
        <w:t>采购人</w:t>
      </w:r>
      <w:r>
        <w:rPr>
          <w:rStyle w:val="24"/>
          <w:rFonts w:hint="default"/>
        </w:rPr>
        <w:t>如实提供投保数据，保险人一旦承保，则视为</w:t>
      </w:r>
      <w:r>
        <w:rPr>
          <w:rStyle w:val="24"/>
          <w:rFonts w:hint="eastAsia" w:eastAsia="方正仿宋_GBK"/>
          <w:lang w:val="en-US" w:eastAsia="zh-CN"/>
        </w:rPr>
        <w:t>采购人</w:t>
      </w:r>
      <w:r>
        <w:rPr>
          <w:rStyle w:val="24"/>
          <w:rFonts w:hint="default"/>
        </w:rPr>
        <w:t>足额投保，且保险人不得因为被保险人在保险期限内发生医务人员变动、门诊</w:t>
      </w:r>
      <w:r>
        <w:rPr>
          <w:rStyle w:val="24"/>
          <w:rFonts w:hint="eastAsia"/>
          <w:lang w:val="en-US" w:eastAsia="zh-CN"/>
        </w:rPr>
        <w:t>及住院</w:t>
      </w:r>
      <w:r>
        <w:rPr>
          <w:rStyle w:val="24"/>
          <w:rFonts w:hint="default"/>
        </w:rPr>
        <w:t>人次数等投保数据变化而要求比例赔偿或拒赔赔偿。</w:t>
      </w:r>
    </w:p>
    <w:p w14:paraId="207BED68">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Style w:val="24"/>
          <w:rFonts w:hint="default"/>
        </w:rPr>
        <w:t>但</w:t>
      </w:r>
      <w:r>
        <w:rPr>
          <w:rStyle w:val="24"/>
          <w:rFonts w:hint="eastAsia" w:eastAsia="方正仿宋_GBK"/>
          <w:lang w:val="en-US" w:eastAsia="zh-CN"/>
        </w:rPr>
        <w:t>采购人</w:t>
      </w:r>
      <w:r>
        <w:rPr>
          <w:rStyle w:val="24"/>
          <w:rFonts w:hint="default"/>
        </w:rPr>
        <w:t>在</w:t>
      </w:r>
      <w:r>
        <w:rPr>
          <w:rFonts w:hint="default" w:ascii="Times New Roman" w:hAnsi="Times New Roman" w:eastAsia="方正仿宋_GBK" w:cs="Times New Roman"/>
          <w:color w:val="000000"/>
          <w:kern w:val="2"/>
          <w:sz w:val="24"/>
          <w:szCs w:val="24"/>
          <w:lang w:val="en-US" w:eastAsia="zh-CN" w:bidi="ar-SA"/>
        </w:rPr>
        <w:t>保险期内发生医务人员</w:t>
      </w:r>
      <w:r>
        <w:rPr>
          <w:rFonts w:hint="eastAsia" w:ascii="Times New Roman" w:hAnsi="Times New Roman" w:eastAsia="方正仿宋_GBK" w:cs="Times New Roman"/>
          <w:color w:val="000000"/>
          <w:kern w:val="2"/>
          <w:sz w:val="24"/>
          <w:szCs w:val="24"/>
          <w:lang w:val="en-US" w:eastAsia="zh-CN" w:bidi="ar-SA"/>
        </w:rPr>
        <w:t>明显</w:t>
      </w:r>
      <w:r>
        <w:rPr>
          <w:rFonts w:hint="default" w:ascii="Times New Roman" w:hAnsi="Times New Roman" w:eastAsia="方正仿宋_GBK" w:cs="Times New Roman"/>
          <w:color w:val="000000"/>
          <w:kern w:val="2"/>
          <w:sz w:val="24"/>
          <w:szCs w:val="24"/>
          <w:lang w:val="en-US" w:eastAsia="zh-CN" w:bidi="ar-SA"/>
        </w:rPr>
        <w:t>变动，应及时向保险人告知</w:t>
      </w:r>
      <w:r>
        <w:rPr>
          <w:rFonts w:hint="eastAsia" w:ascii="Times New Roman" w:hAnsi="Times New Roman" w:eastAsia="方正仿宋_GBK" w:cs="Times New Roman"/>
          <w:color w:val="000000"/>
          <w:kern w:val="2"/>
          <w:sz w:val="24"/>
          <w:szCs w:val="24"/>
          <w:lang w:val="en-US" w:eastAsia="zh-CN" w:bidi="ar-SA"/>
        </w:rPr>
        <w:t>。</w:t>
      </w:r>
      <w:r>
        <w:rPr>
          <w:rFonts w:hint="default" w:ascii="Times New Roman" w:hAnsi="Times New Roman" w:eastAsia="方正仿宋_GBK" w:cs="Times New Roman"/>
          <w:color w:val="000000"/>
          <w:kern w:val="2"/>
          <w:sz w:val="24"/>
          <w:szCs w:val="24"/>
          <w:lang w:val="en-US" w:eastAsia="zh-CN" w:bidi="ar-SA"/>
        </w:rPr>
        <w:t>如果医务人员变动不超过投保医务人员数量的10%，保险人不增加保费或退还保费，如果医务人员变动超过投保医务人员数量的10%，保险人应进行</w:t>
      </w:r>
      <w:r>
        <w:rPr>
          <w:rStyle w:val="24"/>
          <w:rFonts w:hint="default"/>
        </w:rPr>
        <w:t>相应的增加保费或退还保费。</w:t>
      </w:r>
    </w:p>
    <w:p w14:paraId="499373FD">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Style w:val="24"/>
          <w:rFonts w:hint="default"/>
        </w:rPr>
      </w:pPr>
      <w:r>
        <w:rPr>
          <w:rStyle w:val="24"/>
          <w:rFonts w:hint="default"/>
          <w:b/>
          <w:bCs/>
        </w:rPr>
        <w:t>8.5责任认定特别约定</w:t>
      </w:r>
      <w:r>
        <w:rPr>
          <w:rStyle w:val="24"/>
          <w:rFonts w:hint="eastAsia"/>
          <w:b/>
          <w:bCs/>
          <w:lang w:eastAsia="zh-CN"/>
        </w:rPr>
        <w:t>。</w:t>
      </w:r>
      <w:r>
        <w:rPr>
          <w:rStyle w:val="24"/>
          <w:rFonts w:hint="default"/>
        </w:rPr>
        <w:t>保险人以下列方式之一确定的被保险人的赔偿责任为基础，按照保险合同的约定进行赔偿：</w:t>
      </w:r>
    </w:p>
    <w:p w14:paraId="79DD361D">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Style w:val="24"/>
          <w:rFonts w:hint="default"/>
        </w:rPr>
      </w:pPr>
      <w:r>
        <w:rPr>
          <w:rStyle w:val="24"/>
          <w:rFonts w:hint="default"/>
        </w:rPr>
        <w:t>①被保险人和向其提出损害赔偿请求的患者协商并经保险人确认；</w:t>
      </w:r>
    </w:p>
    <w:p w14:paraId="28119C6B">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Style w:val="24"/>
          <w:rFonts w:hint="default"/>
        </w:rPr>
      </w:pPr>
      <w:r>
        <w:rPr>
          <w:rStyle w:val="24"/>
          <w:rFonts w:hint="default"/>
        </w:rPr>
        <w:t>②由重庆市各级医疗纠纷人民调解委员会的合理调解；</w:t>
      </w:r>
    </w:p>
    <w:p w14:paraId="5C6EFEC6">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Style w:val="24"/>
          <w:rFonts w:hint="default"/>
        </w:rPr>
      </w:pPr>
      <w:r>
        <w:rPr>
          <w:rStyle w:val="24"/>
          <w:rFonts w:hint="default"/>
        </w:rPr>
        <w:t>③由重庆市各级卫生健康行政部门调解；</w:t>
      </w:r>
    </w:p>
    <w:p w14:paraId="57F04003">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Style w:val="24"/>
          <w:rFonts w:hint="default"/>
        </w:rPr>
      </w:pPr>
      <w:r>
        <w:rPr>
          <w:rStyle w:val="24"/>
          <w:rFonts w:hint="default"/>
        </w:rPr>
        <w:t>④仲裁机构裁决；</w:t>
      </w:r>
    </w:p>
    <w:p w14:paraId="31AD9B30">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outlineLvl w:val="9"/>
        <w:rPr>
          <w:rStyle w:val="24"/>
          <w:rFonts w:hint="default"/>
        </w:rPr>
      </w:pPr>
      <w:r>
        <w:rPr>
          <w:rStyle w:val="24"/>
          <w:rFonts w:hint="default"/>
        </w:rPr>
        <w:t>⑤人民法院判决；</w:t>
      </w:r>
    </w:p>
    <w:p w14:paraId="44CBAC8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outlineLvl w:val="9"/>
        <w:rPr>
          <w:rFonts w:hint="default" w:ascii="Times New Roman" w:hAnsi="Times New Roman" w:eastAsia="方正仿宋_GBK" w:cs="Times New Roman"/>
          <w:sz w:val="24"/>
          <w:szCs w:val="24"/>
        </w:rPr>
      </w:pPr>
      <w:r>
        <w:rPr>
          <w:rStyle w:val="24"/>
          <w:rFonts w:hint="default"/>
        </w:rPr>
        <w:t>⑥保险人认可的其它方式认定。</w:t>
      </w:r>
    </w:p>
    <w:p w14:paraId="1EFC7CE1">
      <w:pPr>
        <w:keepNext w:val="0"/>
        <w:keepLines w:val="0"/>
        <w:pageBreakBefore w:val="0"/>
        <w:kinsoku/>
        <w:wordWrap/>
        <w:overflowPunct/>
        <w:topLinePunct w:val="0"/>
        <w:autoSpaceDE/>
        <w:autoSpaceDN/>
        <w:bidi w:val="0"/>
        <w:adjustRightInd w:val="0"/>
        <w:snapToGrid w:val="0"/>
        <w:spacing w:line="500" w:lineRule="exact"/>
        <w:ind w:firstLine="482" w:firstLineChars="200"/>
        <w:jc w:val="left"/>
        <w:textAlignment w:val="auto"/>
        <w:outlineLvl w:val="9"/>
        <w:rPr>
          <w:rFonts w:hint="default" w:ascii="Times New Roman" w:hAnsi="Times New Roman" w:eastAsia="方正仿宋_GBK" w:cs="Times New Roman"/>
          <w:sz w:val="24"/>
          <w:szCs w:val="24"/>
        </w:rPr>
      </w:pPr>
      <w:r>
        <w:rPr>
          <w:rStyle w:val="24"/>
          <w:rFonts w:hint="default"/>
          <w:b/>
          <w:bCs/>
        </w:rPr>
        <w:t>8.6索赔单证特别约定</w:t>
      </w:r>
      <w:r>
        <w:rPr>
          <w:rStyle w:val="24"/>
          <w:rFonts w:hint="eastAsia"/>
          <w:b/>
          <w:bCs/>
          <w:lang w:eastAsia="zh-CN"/>
        </w:rPr>
        <w:t>。</w:t>
      </w:r>
      <w:r>
        <w:rPr>
          <w:rStyle w:val="24"/>
          <w:rFonts w:hint="default"/>
        </w:rPr>
        <w:t>被保险人向保险人请求赔偿时，应提交下列单证材料：</w:t>
      </w:r>
    </w:p>
    <w:p w14:paraId="573E074B">
      <w:pPr>
        <w:pStyle w:val="20"/>
        <w:keepNext w:val="0"/>
        <w:keepLines w:val="0"/>
        <w:pageBreakBefore w:val="0"/>
        <w:kinsoku/>
        <w:wordWrap/>
        <w:overflowPunct/>
        <w:topLinePunct w:val="0"/>
        <w:autoSpaceDE/>
        <w:autoSpaceDN/>
        <w:bidi w:val="0"/>
        <w:spacing w:line="500" w:lineRule="exact"/>
        <w:jc w:val="left"/>
        <w:textAlignment w:val="auto"/>
        <w:rPr>
          <w:rFonts w:hint="default"/>
        </w:rPr>
      </w:pPr>
      <w:r>
        <w:rPr>
          <w:rFonts w:hint="default"/>
        </w:rPr>
        <w:t>①有关责任人的资格</w:t>
      </w:r>
      <w:r>
        <w:rPr>
          <w:rFonts w:hint="default"/>
          <w:lang w:eastAsia="zh-CN"/>
        </w:rPr>
        <w:t>和</w:t>
      </w:r>
      <w:r>
        <w:rPr>
          <w:rFonts w:hint="default"/>
        </w:rPr>
        <w:t>执业证明；</w:t>
      </w:r>
    </w:p>
    <w:p w14:paraId="34F2E9F4">
      <w:pPr>
        <w:pStyle w:val="20"/>
        <w:keepNext w:val="0"/>
        <w:keepLines w:val="0"/>
        <w:pageBreakBefore w:val="0"/>
        <w:kinsoku/>
        <w:wordWrap/>
        <w:overflowPunct/>
        <w:topLinePunct w:val="0"/>
        <w:autoSpaceDE/>
        <w:autoSpaceDN/>
        <w:bidi w:val="0"/>
        <w:spacing w:line="500" w:lineRule="exact"/>
        <w:jc w:val="left"/>
        <w:textAlignment w:val="auto"/>
        <w:rPr>
          <w:rFonts w:hint="default"/>
          <w:highlight w:val="none"/>
        </w:rPr>
      </w:pPr>
      <w:r>
        <w:rPr>
          <w:rFonts w:hint="default"/>
          <w:highlight w:val="none"/>
        </w:rPr>
        <w:t>②患者或其近亲属的书面索赔申请</w:t>
      </w:r>
      <w:r>
        <w:rPr>
          <w:rFonts w:hint="eastAsia"/>
          <w:highlight w:val="none"/>
          <w:lang w:eastAsia="zh-CN"/>
        </w:rPr>
        <w:t>（</w:t>
      </w:r>
      <w:r>
        <w:rPr>
          <w:rFonts w:hint="eastAsia"/>
          <w:highlight w:val="none"/>
          <w:lang w:val="en-US" w:eastAsia="zh-CN"/>
        </w:rPr>
        <w:t>如有</w:t>
      </w:r>
      <w:r>
        <w:rPr>
          <w:rFonts w:hint="eastAsia"/>
          <w:highlight w:val="none"/>
          <w:lang w:eastAsia="zh-CN"/>
        </w:rPr>
        <w:t>）</w:t>
      </w:r>
      <w:r>
        <w:rPr>
          <w:rFonts w:hint="default"/>
          <w:highlight w:val="none"/>
        </w:rPr>
        <w:t>；</w:t>
      </w:r>
    </w:p>
    <w:p w14:paraId="5F8F0E01">
      <w:pPr>
        <w:pStyle w:val="20"/>
        <w:keepNext w:val="0"/>
        <w:keepLines w:val="0"/>
        <w:pageBreakBefore w:val="0"/>
        <w:kinsoku/>
        <w:wordWrap/>
        <w:overflowPunct/>
        <w:topLinePunct w:val="0"/>
        <w:autoSpaceDE/>
        <w:autoSpaceDN/>
        <w:bidi w:val="0"/>
        <w:spacing w:line="500" w:lineRule="exact"/>
        <w:jc w:val="left"/>
        <w:textAlignment w:val="auto"/>
        <w:rPr>
          <w:rFonts w:hint="default"/>
          <w:highlight w:val="none"/>
        </w:rPr>
      </w:pPr>
      <w:r>
        <w:rPr>
          <w:rFonts w:hint="default"/>
          <w:highlight w:val="none"/>
        </w:rPr>
        <w:t>③保险事故情况说明</w:t>
      </w:r>
      <w:r>
        <w:rPr>
          <w:rFonts w:hint="eastAsia"/>
          <w:highlight w:val="none"/>
          <w:lang w:eastAsia="zh-CN"/>
        </w:rPr>
        <w:t>，</w:t>
      </w:r>
      <w:r>
        <w:rPr>
          <w:rFonts w:hint="eastAsia"/>
          <w:highlight w:val="none"/>
          <w:lang w:val="en-US" w:eastAsia="zh-CN"/>
        </w:rPr>
        <w:t>如有</w:t>
      </w:r>
      <w:r>
        <w:rPr>
          <w:rFonts w:hint="default"/>
          <w:highlight w:val="none"/>
        </w:rPr>
        <w:t>赔偿项目清单</w:t>
      </w:r>
      <w:r>
        <w:rPr>
          <w:rFonts w:hint="eastAsia"/>
          <w:highlight w:val="none"/>
          <w:lang w:val="en-US" w:eastAsia="zh-CN"/>
        </w:rPr>
        <w:t>也需提供</w:t>
      </w:r>
      <w:r>
        <w:rPr>
          <w:rFonts w:hint="default"/>
          <w:highlight w:val="none"/>
        </w:rPr>
        <w:t>；</w:t>
      </w:r>
    </w:p>
    <w:p w14:paraId="12196D99">
      <w:pPr>
        <w:pStyle w:val="20"/>
        <w:keepNext w:val="0"/>
        <w:keepLines w:val="0"/>
        <w:pageBreakBefore w:val="0"/>
        <w:kinsoku/>
        <w:wordWrap/>
        <w:overflowPunct/>
        <w:topLinePunct w:val="0"/>
        <w:autoSpaceDE/>
        <w:autoSpaceDN/>
        <w:bidi w:val="0"/>
        <w:spacing w:line="500" w:lineRule="exact"/>
        <w:jc w:val="left"/>
        <w:textAlignment w:val="auto"/>
        <w:rPr>
          <w:rFonts w:hint="default"/>
        </w:rPr>
      </w:pPr>
      <w:r>
        <w:rPr>
          <w:rFonts w:hint="default"/>
        </w:rPr>
        <w:t>④经国家批准或认可的医疗事故技术鉴定或医疗过错司法鉴定机构进行鉴定的，应提供医疗事故技术鉴定或医疗过错司法鉴定书；经重庆市医疗纠纷第三方调解机构或相关行政部门或法院、仲裁机构依法调解、判决、裁决、裁定的，应当提供调解书或判决书、裁定书或具有同等法律效力的其他文件；</w:t>
      </w:r>
    </w:p>
    <w:p w14:paraId="2D1F9D8C">
      <w:pPr>
        <w:pStyle w:val="20"/>
        <w:keepNext w:val="0"/>
        <w:keepLines w:val="0"/>
        <w:pageBreakBefore w:val="0"/>
        <w:kinsoku/>
        <w:wordWrap/>
        <w:overflowPunct/>
        <w:topLinePunct w:val="0"/>
        <w:autoSpaceDE/>
        <w:autoSpaceDN/>
        <w:bidi w:val="0"/>
        <w:spacing w:line="500" w:lineRule="exact"/>
        <w:jc w:val="left"/>
        <w:textAlignment w:val="auto"/>
        <w:rPr>
          <w:rFonts w:hint="default"/>
        </w:rPr>
      </w:pPr>
      <w:r>
        <w:rPr>
          <w:rFonts w:hint="default"/>
        </w:rPr>
        <w:t>⑤如将赔款支付给被保险人的，需提供被保险人已经向第三者支付赔偿金的书面证明材料；</w:t>
      </w:r>
    </w:p>
    <w:p w14:paraId="4E72A978">
      <w:pPr>
        <w:pStyle w:val="20"/>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方正仿宋_GBK" w:cs="Times New Roman"/>
          <w:szCs w:val="24"/>
        </w:rPr>
      </w:pPr>
      <w:r>
        <w:rPr>
          <w:rFonts w:hint="default"/>
        </w:rPr>
        <w:t>⑥投保人、被保险人所能提供的其他与确认保险事故的性质、原因、损失程度等有关的证明和资料。</w:t>
      </w:r>
    </w:p>
    <w:p w14:paraId="047583EF">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Fonts w:hint="default" w:ascii="方正仿宋_GBK" w:hAnsi="方正仿宋_GBK" w:eastAsia="方正仿宋_GBK" w:cs="方正仿宋_GBK"/>
          <w:kern w:val="2"/>
          <w:sz w:val="24"/>
          <w:szCs w:val="24"/>
          <w:lang w:val="en-US" w:eastAsia="zh-CN" w:bidi="ar-SA"/>
        </w:rPr>
      </w:pPr>
      <w:r>
        <w:rPr>
          <w:rStyle w:val="24"/>
          <w:rFonts w:hint="default"/>
          <w:b/>
          <w:bCs/>
        </w:rPr>
        <w:t>8.7协助追偿特别约定</w:t>
      </w:r>
      <w:r>
        <w:rPr>
          <w:rStyle w:val="24"/>
          <w:rFonts w:hint="eastAsia"/>
          <w:b/>
          <w:bCs/>
          <w:lang w:eastAsia="zh-CN"/>
        </w:rPr>
        <w:t>。</w:t>
      </w:r>
      <w:r>
        <w:rPr>
          <w:rFonts w:hint="default" w:ascii="方正仿宋_GBK" w:hAnsi="方正仿宋_GBK" w:eastAsia="方正仿宋_GBK" w:cs="方正仿宋_GBK"/>
          <w:kern w:val="2"/>
          <w:sz w:val="24"/>
          <w:szCs w:val="24"/>
          <w:lang w:val="en-US" w:eastAsia="zh-CN" w:bidi="ar-SA"/>
        </w:rPr>
        <w:t>因药品、消毒药剂、医疗器械的缺陷，或药品不良反应造成患者损害，保险人负责赔偿。保险人赔偿后，医疗机构应当协助保险人向负有责任的生产者追偿。</w:t>
      </w:r>
    </w:p>
    <w:p w14:paraId="14CC3EF2">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Fonts w:hint="default" w:ascii="Times New Roman" w:hAnsi="Times New Roman" w:eastAsia="方正仿宋_GBK" w:cs="Times New Roman"/>
          <w:sz w:val="24"/>
          <w:szCs w:val="24"/>
        </w:rPr>
      </w:pPr>
      <w:r>
        <w:rPr>
          <w:rStyle w:val="24"/>
          <w:rFonts w:hint="default"/>
          <w:b/>
          <w:bCs/>
        </w:rPr>
        <w:t>8.8诊疗活动特别约定</w:t>
      </w:r>
      <w:r>
        <w:rPr>
          <w:rStyle w:val="24"/>
          <w:rFonts w:hint="eastAsia"/>
          <w:b/>
          <w:bCs/>
          <w:lang w:eastAsia="zh-CN"/>
        </w:rPr>
        <w:t>。</w:t>
      </w:r>
      <w:r>
        <w:rPr>
          <w:rFonts w:hint="default" w:ascii="方正仿宋_GBK" w:hAnsi="方正仿宋_GBK" w:eastAsia="方正仿宋_GBK" w:cs="方正仿宋_GBK"/>
          <w:kern w:val="2"/>
          <w:sz w:val="24"/>
          <w:szCs w:val="24"/>
          <w:lang w:val="en-US" w:eastAsia="zh-CN" w:bidi="ar-SA"/>
        </w:rPr>
        <w:t>本保险所指的诊疗活动是指通过各种检查，使用药物、器械及手术等方法，对疾病作出判断和消除疾病、缓解病情、减轻痛苦、改善功能、延长生命、帮助患者恢复健康的活动，包括诊断、治疗、护理环节及体检、医学整形。</w:t>
      </w:r>
    </w:p>
    <w:p w14:paraId="1DF75B38">
      <w:pPr>
        <w:keepNext w:val="0"/>
        <w:keepLines w:val="0"/>
        <w:pageBreakBefore w:val="0"/>
        <w:kinsoku/>
        <w:overflowPunct/>
        <w:topLinePunct w:val="0"/>
        <w:autoSpaceDE/>
        <w:autoSpaceDN/>
        <w:bidi w:val="0"/>
        <w:adjustRightInd w:val="0"/>
        <w:snapToGrid w:val="0"/>
        <w:spacing w:line="500" w:lineRule="exact"/>
        <w:ind w:firstLine="482" w:firstLineChars="200"/>
        <w:textAlignment w:val="auto"/>
        <w:outlineLvl w:val="9"/>
        <w:rPr>
          <w:rFonts w:hint="default" w:ascii="Times New Roman" w:hAnsi="Times New Roman" w:eastAsia="方正仿宋_GBK" w:cs="Times New Roman"/>
          <w:color w:val="000000"/>
          <w:kern w:val="2"/>
          <w:sz w:val="24"/>
          <w:szCs w:val="24"/>
          <w:lang w:val="en-US" w:eastAsia="zh-CN" w:bidi="ar-SA"/>
        </w:rPr>
      </w:pPr>
      <w:r>
        <w:rPr>
          <w:rStyle w:val="24"/>
          <w:rFonts w:hint="default"/>
          <w:b/>
          <w:bCs/>
        </w:rPr>
        <w:t>8.9律师费特别约定</w:t>
      </w:r>
      <w:r>
        <w:rPr>
          <w:rStyle w:val="24"/>
          <w:rFonts w:hint="eastAsia"/>
          <w:b/>
          <w:bCs/>
          <w:lang w:eastAsia="zh-CN"/>
        </w:rPr>
        <w:t>。</w:t>
      </w:r>
      <w:r>
        <w:rPr>
          <w:rFonts w:hint="default" w:ascii="方正仿宋_GBK" w:hAnsi="方正仿宋_GBK" w:eastAsia="方正仿宋_GBK" w:cs="方正仿宋_GBK"/>
          <w:kern w:val="2"/>
          <w:sz w:val="24"/>
          <w:szCs w:val="24"/>
          <w:lang w:val="en-US" w:eastAsia="zh-CN" w:bidi="ar-SA"/>
        </w:rPr>
        <w:t>本保险所指的律师费是指向人民法院提起诉讼所产生的费用，律师费用每次事故赔偿限额为人</w:t>
      </w:r>
      <w:r>
        <w:rPr>
          <w:rFonts w:hint="default" w:ascii="Times New Roman" w:hAnsi="Times New Roman" w:eastAsia="方正仿宋_GBK" w:cs="Times New Roman"/>
          <w:color w:val="000000"/>
          <w:kern w:val="2"/>
          <w:sz w:val="24"/>
          <w:szCs w:val="24"/>
          <w:lang w:val="en-US" w:eastAsia="zh-CN" w:bidi="ar-SA"/>
        </w:rPr>
        <w:t>民币10000元。</w:t>
      </w:r>
    </w:p>
    <w:p w14:paraId="6C287A18">
      <w:pPr>
        <w:pStyle w:val="14"/>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outlineLvl w:val="1"/>
        <w:rPr>
          <w:rFonts w:hint="eastAsia" w:ascii="宋体" w:hAnsi="宋体" w:eastAsia="宋体" w:cs="宋体"/>
          <w:color w:val="auto"/>
          <w:highlight w:val="none"/>
        </w:rPr>
      </w:pPr>
      <w:bookmarkStart w:id="51" w:name="_Toc31752"/>
      <w:r>
        <w:rPr>
          <w:rFonts w:hint="eastAsia" w:ascii="方正黑体_GBK" w:hAnsi="方正黑体_GBK" w:eastAsia="方正黑体_GBK" w:cs="方正黑体_GBK"/>
          <w:kern w:val="2"/>
          <w:sz w:val="24"/>
          <w:szCs w:val="24"/>
          <w:lang w:val="en-US" w:eastAsia="zh-CN" w:bidi="ar-SA"/>
        </w:rPr>
        <w:t>三、其他要求</w:t>
      </w:r>
      <w:r>
        <w:rPr>
          <w:rFonts w:hint="eastAsia" w:ascii="宋体" w:hAnsi="宋体" w:eastAsia="宋体" w:cs="宋体"/>
          <w:color w:val="auto"/>
          <w:highlight w:val="none"/>
        </w:rPr>
        <w:t></w:t>
      </w:r>
      <w:bookmarkEnd w:id="51"/>
    </w:p>
    <w:p w14:paraId="60A6C48D">
      <w:pPr>
        <w:pStyle w:val="20"/>
        <w:bidi w:val="0"/>
        <w:rPr>
          <w:rFonts w:hint="eastAsia"/>
          <w:lang w:val="en-US" w:eastAsia="zh-CN"/>
        </w:rPr>
      </w:pPr>
      <w:r>
        <w:rPr>
          <w:rFonts w:hint="eastAsia"/>
          <w:lang w:val="en-US" w:eastAsia="zh-CN"/>
        </w:rPr>
        <w:t>（一）承保的保险公司应负责组建完备的保</w:t>
      </w:r>
      <w:r>
        <w:rPr>
          <w:rFonts w:hint="eastAsia" w:ascii="Times New Roman" w:hAnsi="Times New Roman" w:eastAsia="方正仿宋_GBK" w:cs="Times New Roman"/>
          <w:color w:val="000000"/>
          <w:kern w:val="2"/>
          <w:sz w:val="24"/>
          <w:szCs w:val="24"/>
          <w:lang w:val="en-US" w:eastAsia="zh-CN" w:bidi="ar-SA"/>
        </w:rPr>
        <w:t>险服务体系，配备保险服务专员、配备专业的医疗纠纷调解人员，协助医疗机构处置医疗纠纷及理赔事宜，人数不少于3人。承</w:t>
      </w:r>
      <w:r>
        <w:rPr>
          <w:rFonts w:hint="eastAsia"/>
          <w:lang w:val="en-US" w:eastAsia="zh-CN"/>
        </w:rPr>
        <w:t>保的保险公司应提供服务人员名单，未经采购人批准，供应商不得随意变更服务团队人员；</w:t>
      </w:r>
    </w:p>
    <w:p w14:paraId="6E5B5B61">
      <w:pPr>
        <w:pStyle w:val="20"/>
        <w:bidi w:val="0"/>
        <w:rPr>
          <w:rFonts w:hint="eastAsia"/>
          <w:lang w:val="en-US" w:eastAsia="zh-CN"/>
        </w:rPr>
      </w:pPr>
      <w:r>
        <w:rPr>
          <w:rFonts w:hint="eastAsia"/>
          <w:lang w:val="en-US" w:eastAsia="zh-CN"/>
        </w:rPr>
        <w:t>（二）承保的保险公司服务人员应负责落实本保险相关服务工作，包括但不限于承保服务工作、理赔服务工作、医疗纠纷的预防和调处工作、理赔资料收集完成理赔工作等；</w:t>
      </w:r>
    </w:p>
    <w:p w14:paraId="5ED65D46">
      <w:pPr>
        <w:pStyle w:val="20"/>
        <w:bidi w:val="0"/>
        <w:rPr>
          <w:rFonts w:hint="eastAsia"/>
          <w:lang w:val="en-US" w:eastAsia="zh-CN"/>
        </w:rPr>
      </w:pPr>
      <w:r>
        <w:rPr>
          <w:rFonts w:hint="eastAsia"/>
          <w:lang w:val="en-US" w:eastAsia="zh-CN"/>
        </w:rPr>
        <w:t>（三）承保的保险公司应负责为采购人办理投保手续，出具并递送保险单和相关单证；</w:t>
      </w:r>
    </w:p>
    <w:p w14:paraId="2F9C405B">
      <w:pPr>
        <w:pStyle w:val="20"/>
        <w:bidi w:val="0"/>
        <w:rPr>
          <w:rFonts w:hint="eastAsia"/>
          <w:lang w:val="en-US" w:eastAsia="zh-CN"/>
        </w:rPr>
      </w:pPr>
      <w:r>
        <w:rPr>
          <w:rFonts w:hint="eastAsia"/>
          <w:lang w:val="en-US" w:eastAsia="zh-CN"/>
        </w:rPr>
        <w:t>（四）承保的保险公司应参与医疗纠纷调解工作、保险理赔的审核工作及支付赔款工作；</w:t>
      </w:r>
    </w:p>
    <w:p w14:paraId="79266404">
      <w:pPr>
        <w:pStyle w:val="20"/>
        <w:bidi w:val="0"/>
        <w:rPr>
          <w:rFonts w:hint="eastAsia"/>
          <w:lang w:val="en-US" w:eastAsia="zh-CN"/>
        </w:rPr>
      </w:pPr>
      <w:r>
        <w:rPr>
          <w:rFonts w:hint="eastAsia"/>
          <w:lang w:val="en-US" w:eastAsia="zh-CN"/>
        </w:rPr>
        <w:t>（五）承保的保险公司应负责配合采购人做好本项目相关培训、宣传工作；</w:t>
      </w:r>
    </w:p>
    <w:p w14:paraId="06E6D96D">
      <w:pPr>
        <w:pStyle w:val="20"/>
        <w:bidi w:val="0"/>
        <w:rPr>
          <w:rFonts w:hint="eastAsia"/>
          <w:lang w:val="en-US" w:eastAsia="zh-CN"/>
        </w:rPr>
      </w:pPr>
      <w:r>
        <w:rPr>
          <w:rFonts w:hint="eastAsia"/>
          <w:lang w:val="en-US" w:eastAsia="zh-CN"/>
        </w:rPr>
        <w:t>（六）承保的保险公司应负责为采购人提供相应的承保、理赔数据。</w:t>
      </w:r>
    </w:p>
    <w:p w14:paraId="02050E22">
      <w:pPr>
        <w:pStyle w:val="20"/>
        <w:bidi w:val="0"/>
        <w:rPr>
          <w:rFonts w:hint="default"/>
        </w:rPr>
        <w:sectPr>
          <w:pgSz w:w="11907" w:h="16840"/>
          <w:pgMar w:top="1134" w:right="1191" w:bottom="1134" w:left="1304" w:header="964" w:footer="992" w:gutter="0"/>
          <w:pgNumType w:fmt="numberInDash"/>
          <w:cols w:space="720" w:num="1"/>
          <w:docGrid w:linePitch="312" w:charSpace="0"/>
        </w:sectPr>
      </w:pPr>
    </w:p>
    <w:p w14:paraId="179286BC">
      <w:pPr>
        <w:pStyle w:val="22"/>
        <w:bidi w:val="0"/>
        <w:rPr>
          <w:rFonts w:hint="default"/>
          <w:lang w:eastAsia="zh-CN"/>
        </w:rPr>
      </w:pPr>
      <w:bookmarkStart w:id="52" w:name="_Toc135993495"/>
      <w:r>
        <w:rPr>
          <w:rFonts w:hint="default"/>
          <w:lang w:eastAsia="zh-CN"/>
        </w:rPr>
        <w:t xml:space="preserve">第三篇 </w:t>
      </w:r>
      <w:bookmarkEnd w:id="43"/>
      <w:r>
        <w:rPr>
          <w:rFonts w:hint="eastAsia"/>
          <w:lang w:eastAsia="zh-CN"/>
        </w:rPr>
        <w:t>磋商</w:t>
      </w:r>
      <w:r>
        <w:rPr>
          <w:rFonts w:hint="default"/>
          <w:lang w:eastAsia="zh-CN"/>
        </w:rPr>
        <w:t>项目</w:t>
      </w:r>
      <w:bookmarkEnd w:id="45"/>
      <w:bookmarkEnd w:id="46"/>
      <w:bookmarkEnd w:id="47"/>
      <w:r>
        <w:rPr>
          <w:rFonts w:hint="default"/>
          <w:lang w:eastAsia="zh-CN"/>
        </w:rPr>
        <w:t>商务需求</w:t>
      </w:r>
      <w:bookmarkEnd w:id="52"/>
    </w:p>
    <w:p w14:paraId="7338D7CF">
      <w:pPr>
        <w:pStyle w:val="20"/>
        <w:bidi w:val="0"/>
        <w:rPr>
          <w:rFonts w:hint="eastAsia"/>
          <w:lang w:eastAsia="zh-CN"/>
        </w:rPr>
      </w:pPr>
      <w:bookmarkStart w:id="53" w:name="_Toc116159377"/>
      <w:bookmarkStart w:id="54" w:name="_Toc135993496"/>
      <w:bookmarkStart w:id="55" w:name="_Toc342913389"/>
    </w:p>
    <w:p w14:paraId="29695593">
      <w:pPr>
        <w:pStyle w:val="20"/>
        <w:bidi w:val="0"/>
        <w:rPr>
          <w:rFonts w:hint="eastAsia"/>
          <w:lang w:eastAsia="zh-CN"/>
        </w:rPr>
      </w:pPr>
      <w:r>
        <w:rPr>
          <w:rFonts w:hint="eastAsia"/>
          <w:lang w:eastAsia="zh-CN"/>
        </w:rPr>
        <w:t>商务需求的全部内容为符合性审查中的实质性要求，响应文件若不满足按无效响应处理。</w:t>
      </w:r>
    </w:p>
    <w:p w14:paraId="742B8B47">
      <w:pPr>
        <w:pStyle w:val="21"/>
        <w:bidi w:val="0"/>
        <w:rPr>
          <w:rFonts w:hint="eastAsia"/>
        </w:rPr>
      </w:pPr>
      <w:r>
        <w:rPr>
          <w:rFonts w:hint="eastAsia"/>
        </w:rPr>
        <w:t>一、服务</w:t>
      </w:r>
      <w:r>
        <w:rPr>
          <w:rFonts w:hint="eastAsia"/>
          <w:lang w:eastAsia="zh-CN"/>
        </w:rPr>
        <w:t>期</w:t>
      </w:r>
      <w:r>
        <w:rPr>
          <w:rFonts w:hint="eastAsia"/>
        </w:rPr>
        <w:t>及范围</w:t>
      </w:r>
      <w:bookmarkEnd w:id="53"/>
      <w:bookmarkEnd w:id="54"/>
    </w:p>
    <w:p w14:paraId="71ED790C">
      <w:pPr>
        <w:pStyle w:val="20"/>
        <w:bidi w:val="0"/>
        <w:rPr>
          <w:rFonts w:hint="default"/>
          <w:lang w:val="en-US" w:eastAsia="zh-CN"/>
        </w:rPr>
      </w:pPr>
      <w:r>
        <w:rPr>
          <w:rFonts w:hint="default"/>
          <w:lang w:eastAsia="zh-CN"/>
        </w:rPr>
        <w:t>（一）服务</w:t>
      </w:r>
      <w:r>
        <w:rPr>
          <w:rFonts w:hint="eastAsia"/>
          <w:lang w:eastAsia="zh-CN"/>
        </w:rPr>
        <w:t>期</w:t>
      </w:r>
      <w:r>
        <w:rPr>
          <w:rFonts w:hint="default"/>
          <w:lang w:eastAsia="zh-CN"/>
        </w:rPr>
        <w:t>：</w:t>
      </w:r>
      <w:r>
        <w:rPr>
          <w:rFonts w:hint="eastAsia"/>
          <w:lang w:val="en-US" w:eastAsia="zh-CN"/>
        </w:rPr>
        <w:t>采购合同</w:t>
      </w:r>
      <w:r>
        <w:rPr>
          <w:rFonts w:hint="eastAsia" w:ascii="Times New Roman" w:hAnsi="Times New Roman" w:eastAsia="方正仿宋_GBK" w:cs="Times New Roman"/>
          <w:color w:val="000000"/>
          <w:kern w:val="2"/>
          <w:sz w:val="24"/>
          <w:szCs w:val="24"/>
          <w:lang w:val="en-US" w:eastAsia="zh-CN" w:bidi="ar-SA"/>
        </w:rPr>
        <w:t>服务期为1年</w:t>
      </w:r>
      <w:r>
        <w:rPr>
          <w:rFonts w:hint="eastAsia"/>
          <w:lang w:val="en-US" w:eastAsia="zh-CN"/>
        </w:rPr>
        <w:t>。</w:t>
      </w:r>
    </w:p>
    <w:p w14:paraId="6A4386FA">
      <w:pPr>
        <w:pStyle w:val="20"/>
        <w:bidi w:val="0"/>
        <w:rPr>
          <w:rFonts w:hint="default" w:ascii="Times New Roman" w:hAnsi="Times New Roman" w:eastAsia="方正仿宋_GBK" w:cs="Times New Roman"/>
          <w:szCs w:val="24"/>
          <w:lang w:val="en-US" w:eastAsia="zh-CN"/>
        </w:rPr>
      </w:pPr>
      <w:r>
        <w:rPr>
          <w:rFonts w:hint="default"/>
        </w:rPr>
        <w:t>（二）服务范围：</w:t>
      </w:r>
      <w:r>
        <w:rPr>
          <w:rFonts w:hint="default"/>
          <w:lang w:val="en-US" w:eastAsia="zh-CN"/>
        </w:rPr>
        <w:t>重庆市</w:t>
      </w:r>
      <w:r>
        <w:rPr>
          <w:rFonts w:hint="eastAsia"/>
          <w:lang w:val="en-US" w:eastAsia="zh-CN"/>
        </w:rPr>
        <w:t>江北区中医院。</w:t>
      </w:r>
    </w:p>
    <w:p w14:paraId="7CF91B1E">
      <w:pPr>
        <w:pStyle w:val="21"/>
        <w:bidi w:val="0"/>
        <w:rPr>
          <w:rFonts w:hint="default"/>
        </w:rPr>
      </w:pPr>
      <w:bookmarkStart w:id="56" w:name="_Toc344475121"/>
      <w:bookmarkStart w:id="57" w:name="_Toc135993497"/>
      <w:bookmarkStart w:id="58" w:name="_Toc76462329"/>
      <w:bookmarkStart w:id="59" w:name="_Toc116159378"/>
      <w:r>
        <w:rPr>
          <w:rFonts w:hint="default"/>
        </w:rPr>
        <w:t>二、</w:t>
      </w:r>
      <w:bookmarkEnd w:id="56"/>
      <w:r>
        <w:rPr>
          <w:rFonts w:hint="default"/>
        </w:rPr>
        <w:t>报价要求</w:t>
      </w:r>
      <w:bookmarkEnd w:id="57"/>
      <w:bookmarkEnd w:id="58"/>
      <w:bookmarkEnd w:id="59"/>
    </w:p>
    <w:p w14:paraId="0463365D">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（一）投标报价包含主险和附加险。</w:t>
      </w:r>
    </w:p>
    <w:p w14:paraId="722C9B8F">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kern w:val="0"/>
          <w:sz w:val="24"/>
          <w:szCs w:val="24"/>
        </w:rPr>
      </w:pPr>
      <w:r>
        <w:rPr>
          <w:rFonts w:hint="eastAsia" w:ascii="方正仿宋_GBK" w:hAnsi="方正仿宋_GBK" w:eastAsia="方正仿宋_GBK" w:cs="方正仿宋_GBK"/>
          <w:kern w:val="2"/>
          <w:sz w:val="24"/>
          <w:szCs w:val="24"/>
          <w:lang w:val="en-US" w:eastAsia="zh-CN" w:bidi="ar-SA"/>
        </w:rPr>
        <w:t>（二）</w:t>
      </w:r>
      <w:r>
        <w:rPr>
          <w:rFonts w:hint="default" w:ascii="方正仿宋_GBK" w:hAnsi="方正仿宋_GBK" w:eastAsia="方正仿宋_GBK" w:cs="方正仿宋_GBK"/>
          <w:kern w:val="2"/>
          <w:sz w:val="24"/>
          <w:szCs w:val="24"/>
          <w:lang w:val="en-US" w:eastAsia="zh-CN" w:bidi="ar-SA"/>
        </w:rPr>
        <w:t>本次报价须为人民币报价，包含但不限于</w:t>
      </w:r>
      <w:r>
        <w:rPr>
          <w:rFonts w:hint="eastAsia" w:ascii="方正仿宋_GBK" w:hAnsi="方正仿宋_GBK" w:eastAsia="方正仿宋_GBK" w:cs="方正仿宋_GBK"/>
          <w:kern w:val="2"/>
          <w:sz w:val="24"/>
          <w:szCs w:val="24"/>
          <w:lang w:val="en-US" w:eastAsia="zh-CN" w:bidi="ar-SA"/>
        </w:rPr>
        <w:t>：</w:t>
      </w:r>
      <w:r>
        <w:rPr>
          <w:rFonts w:hint="default" w:ascii="方正仿宋_GBK" w:hAnsi="方正仿宋_GBK" w:eastAsia="方正仿宋_GBK" w:cs="方正仿宋_GBK"/>
          <w:kern w:val="2"/>
          <w:sz w:val="24"/>
          <w:szCs w:val="24"/>
          <w:lang w:val="en-US" w:eastAsia="zh-CN" w:bidi="ar-SA"/>
        </w:rPr>
        <w:t>所有保费以及人工费、</w:t>
      </w:r>
      <w:r>
        <w:rPr>
          <w:rFonts w:hint="eastAsia" w:ascii="方正仿宋_GBK" w:hAnsi="方正仿宋_GBK" w:eastAsia="方正仿宋_GBK" w:cs="方正仿宋_GBK"/>
          <w:kern w:val="2"/>
          <w:sz w:val="24"/>
          <w:szCs w:val="24"/>
          <w:lang w:val="en-US" w:eastAsia="zh-CN" w:bidi="ar-SA"/>
        </w:rPr>
        <w:t>资料</w:t>
      </w:r>
      <w:r>
        <w:rPr>
          <w:rFonts w:hint="default" w:ascii="方正仿宋_GBK" w:hAnsi="方正仿宋_GBK" w:eastAsia="方正仿宋_GBK" w:cs="方正仿宋_GBK"/>
          <w:kern w:val="2"/>
          <w:sz w:val="24"/>
          <w:szCs w:val="24"/>
          <w:lang w:val="en-US" w:eastAsia="zh-CN" w:bidi="ar-SA"/>
        </w:rPr>
        <w:t>费、</w:t>
      </w:r>
      <w:r>
        <w:rPr>
          <w:rFonts w:hint="eastAsia" w:ascii="方正仿宋_GBK" w:hAnsi="方正仿宋_GBK" w:eastAsia="方正仿宋_GBK" w:cs="方正仿宋_GBK"/>
          <w:kern w:val="2"/>
          <w:sz w:val="24"/>
          <w:szCs w:val="24"/>
          <w:lang w:val="en-US" w:eastAsia="zh-CN" w:bidi="ar-SA"/>
        </w:rPr>
        <w:t>办公及</w:t>
      </w:r>
      <w:r>
        <w:rPr>
          <w:rFonts w:hint="default" w:ascii="方正仿宋_GBK" w:hAnsi="方正仿宋_GBK" w:eastAsia="方正仿宋_GBK" w:cs="方正仿宋_GBK"/>
          <w:kern w:val="2"/>
          <w:sz w:val="24"/>
          <w:szCs w:val="24"/>
          <w:lang w:val="en-US" w:eastAsia="zh-CN" w:bidi="ar-SA"/>
        </w:rPr>
        <w:t>管理费、差旅费、利润、风险费用、规费、维护、利润、税金及政策性文件规定的各项应有费用。因成交供应商自身原因造成漏报、少报皆由其自行承担责任，采购人不再补偿。</w:t>
      </w:r>
    </w:p>
    <w:p w14:paraId="644B7C48">
      <w:pPr>
        <w:pStyle w:val="21"/>
        <w:bidi w:val="0"/>
        <w:rPr>
          <w:rFonts w:hint="default"/>
        </w:rPr>
      </w:pPr>
      <w:bookmarkStart w:id="60" w:name="_Toc116159379"/>
      <w:bookmarkStart w:id="61" w:name="_Toc520124533"/>
      <w:bookmarkStart w:id="62" w:name="_Toc511766873"/>
      <w:bookmarkStart w:id="63" w:name="_Toc135993498"/>
      <w:r>
        <w:rPr>
          <w:rFonts w:hint="default"/>
        </w:rPr>
        <w:t>三、质量保证</w:t>
      </w:r>
      <w:bookmarkEnd w:id="60"/>
      <w:bookmarkEnd w:id="61"/>
      <w:bookmarkEnd w:id="62"/>
      <w:bookmarkEnd w:id="63"/>
    </w:p>
    <w:p w14:paraId="771985E6">
      <w:pPr>
        <w:pStyle w:val="20"/>
        <w:bidi w:val="0"/>
        <w:rPr>
          <w:rFonts w:hint="default"/>
        </w:rPr>
      </w:pPr>
      <w:bookmarkStart w:id="64" w:name="_Toc344475122"/>
      <w:bookmarkStart w:id="65" w:name="_Toc76462330"/>
      <w:r>
        <w:rPr>
          <w:rFonts w:hint="eastAsia"/>
          <w:lang w:eastAsia="zh-CN"/>
        </w:rPr>
        <w:t>（</w:t>
      </w:r>
      <w:r>
        <w:rPr>
          <w:rFonts w:hint="eastAsia"/>
          <w:lang w:val="en-US" w:eastAsia="zh-CN"/>
        </w:rPr>
        <w:t>一</w:t>
      </w:r>
      <w:r>
        <w:rPr>
          <w:rFonts w:hint="eastAsia"/>
          <w:lang w:eastAsia="zh-CN"/>
        </w:rPr>
        <w:t>）</w:t>
      </w:r>
      <w:r>
        <w:rPr>
          <w:rFonts w:hint="default"/>
        </w:rPr>
        <w:t>配备从事医疗责任保险的专业人员，负责医疗纠纷</w:t>
      </w:r>
      <w:r>
        <w:rPr>
          <w:rFonts w:hint="default"/>
          <w:lang w:eastAsia="zh-CN"/>
        </w:rPr>
        <w:t>调解</w:t>
      </w:r>
      <w:r>
        <w:rPr>
          <w:rFonts w:hint="default"/>
        </w:rPr>
        <w:t>后的理赔。</w:t>
      </w:r>
    </w:p>
    <w:p w14:paraId="43AD60DA">
      <w:pPr>
        <w:pStyle w:val="20"/>
        <w:bidi w:val="0"/>
        <w:rPr>
          <w:rFonts w:hint="default"/>
        </w:rPr>
      </w:pPr>
      <w:r>
        <w:rPr>
          <w:rFonts w:hint="eastAsia"/>
          <w:lang w:eastAsia="zh-CN"/>
        </w:rPr>
        <w:t>（</w:t>
      </w:r>
      <w:r>
        <w:rPr>
          <w:rFonts w:hint="eastAsia"/>
          <w:lang w:val="en-US" w:eastAsia="zh-CN"/>
        </w:rPr>
        <w:t>二</w:t>
      </w:r>
      <w:r>
        <w:rPr>
          <w:rFonts w:hint="eastAsia"/>
          <w:lang w:eastAsia="zh-CN"/>
        </w:rPr>
        <w:t>）</w:t>
      </w:r>
      <w:r>
        <w:rPr>
          <w:rFonts w:hint="default"/>
        </w:rPr>
        <w:t>医疗纠纷赔偿处理程序简化，严格遵守有关保险的法律法规、加强诚信建设，建立便捷可行的理赔工作机构。</w:t>
      </w:r>
    </w:p>
    <w:p w14:paraId="5E2FCF0B">
      <w:pPr>
        <w:pStyle w:val="20"/>
        <w:bidi w:val="0"/>
        <w:rPr>
          <w:rFonts w:hint="default"/>
        </w:rPr>
      </w:pPr>
      <w:r>
        <w:rPr>
          <w:rFonts w:hint="eastAsia"/>
          <w:lang w:eastAsia="zh-CN"/>
        </w:rPr>
        <w:t>（</w:t>
      </w:r>
      <w:r>
        <w:rPr>
          <w:rFonts w:hint="eastAsia"/>
          <w:lang w:val="en-US" w:eastAsia="zh-CN"/>
        </w:rPr>
        <w:t>三</w:t>
      </w:r>
      <w:r>
        <w:rPr>
          <w:rFonts w:hint="eastAsia"/>
          <w:lang w:eastAsia="zh-CN"/>
        </w:rPr>
        <w:t>）</w:t>
      </w:r>
      <w:r>
        <w:rPr>
          <w:rFonts w:hint="default"/>
        </w:rPr>
        <w:t>加强与医疗机构的沟通合作，每年提供医疗机构医疗风险评估报告和详实的保险理赔数据。</w:t>
      </w:r>
    </w:p>
    <w:p w14:paraId="7926160D">
      <w:pPr>
        <w:pStyle w:val="20"/>
        <w:bidi w:val="0"/>
        <w:rPr>
          <w:rFonts w:hint="default"/>
        </w:rPr>
      </w:pPr>
      <w:r>
        <w:rPr>
          <w:rFonts w:hint="eastAsia"/>
          <w:lang w:eastAsia="zh-CN"/>
        </w:rPr>
        <w:t>（</w:t>
      </w:r>
      <w:r>
        <w:rPr>
          <w:rFonts w:hint="eastAsia"/>
          <w:lang w:val="en-US" w:eastAsia="zh-CN"/>
        </w:rPr>
        <w:t>四</w:t>
      </w:r>
      <w:r>
        <w:rPr>
          <w:rFonts w:hint="eastAsia"/>
          <w:lang w:eastAsia="zh-CN"/>
        </w:rPr>
        <w:t>）</w:t>
      </w:r>
      <w:r>
        <w:rPr>
          <w:rFonts w:hint="default"/>
        </w:rPr>
        <w:t>未经投保人同意，保险人不得将本项目所载义务、责任分出给其他保险公司承担。</w:t>
      </w:r>
    </w:p>
    <w:p w14:paraId="1A52E700">
      <w:pPr>
        <w:pStyle w:val="21"/>
        <w:bidi w:val="0"/>
        <w:rPr>
          <w:rFonts w:hint="default"/>
        </w:rPr>
      </w:pPr>
      <w:bookmarkStart w:id="66" w:name="_Toc135993499"/>
      <w:bookmarkStart w:id="67" w:name="_Toc116159380"/>
      <w:r>
        <w:rPr>
          <w:rFonts w:hint="default"/>
        </w:rPr>
        <w:t>四、付款方式</w:t>
      </w:r>
      <w:bookmarkEnd w:id="64"/>
      <w:bookmarkEnd w:id="65"/>
      <w:bookmarkEnd w:id="66"/>
      <w:bookmarkEnd w:id="67"/>
    </w:p>
    <w:p w14:paraId="573320E1">
      <w:pPr>
        <w:keepNext w:val="0"/>
        <w:keepLines w:val="0"/>
        <w:pageBreakBefore w:val="0"/>
        <w:kinsoku/>
        <w:overflowPunct/>
        <w:topLinePunct w:val="0"/>
        <w:autoSpaceDE/>
        <w:autoSpaceDN/>
        <w:bidi w:val="0"/>
        <w:adjustRightInd w:val="0"/>
        <w:snapToGrid w:val="0"/>
        <w:spacing w:before="0" w:after="0" w:line="500" w:lineRule="exact"/>
        <w:ind w:firstLine="480" w:firstLineChars="200"/>
        <w:textAlignment w:val="auto"/>
        <w:outlineLvl w:val="9"/>
        <w:rPr>
          <w:rFonts w:hint="default" w:ascii="Times New Roman" w:hAnsi="Times New Roman" w:eastAsia="方正仿宋_GBK" w:cs="Times New Roman"/>
          <w:sz w:val="24"/>
          <w:szCs w:val="24"/>
        </w:rPr>
      </w:pPr>
      <w:r>
        <w:rPr>
          <w:rFonts w:hint="default" w:ascii="方正仿宋_GBK" w:hAnsi="方正仿宋_GBK" w:eastAsia="方正仿宋_GBK" w:cs="方正仿宋_GBK"/>
          <w:kern w:val="2"/>
          <w:sz w:val="24"/>
          <w:szCs w:val="24"/>
          <w:lang w:val="en-US" w:eastAsia="zh-CN" w:bidi="ar-SA"/>
        </w:rPr>
        <w:t>合同签订后</w:t>
      </w:r>
      <w:r>
        <w:rPr>
          <w:rFonts w:hint="eastAsia" w:ascii="方正仿宋_GBK" w:hAnsi="方正仿宋_GBK" w:eastAsia="方正仿宋_GBK" w:cs="方正仿宋_GBK"/>
          <w:kern w:val="2"/>
          <w:sz w:val="24"/>
          <w:szCs w:val="24"/>
          <w:lang w:val="en-US" w:eastAsia="zh-CN" w:bidi="ar-SA"/>
        </w:rPr>
        <w:t>，根据合同约定</w:t>
      </w:r>
      <w:r>
        <w:rPr>
          <w:rFonts w:hint="default" w:ascii="方正仿宋_GBK" w:hAnsi="方正仿宋_GBK" w:eastAsia="方正仿宋_GBK" w:cs="方正仿宋_GBK"/>
          <w:kern w:val="2"/>
          <w:sz w:val="24"/>
          <w:szCs w:val="24"/>
          <w:lang w:val="en-US" w:eastAsia="zh-CN" w:bidi="ar-SA"/>
        </w:rPr>
        <w:t>支付全部保费</w:t>
      </w:r>
      <w:r>
        <w:rPr>
          <w:rFonts w:hint="eastAsia" w:ascii="方正仿宋_GBK" w:hAnsi="方正仿宋_GBK" w:eastAsia="方正仿宋_GBK" w:cs="方正仿宋_GBK"/>
          <w:kern w:val="2"/>
          <w:sz w:val="24"/>
          <w:szCs w:val="24"/>
          <w:lang w:val="en-US" w:eastAsia="zh-CN" w:bidi="ar-SA"/>
        </w:rPr>
        <w:t>。</w:t>
      </w:r>
    </w:p>
    <w:p w14:paraId="63C5F6DE">
      <w:pPr>
        <w:pStyle w:val="21"/>
        <w:bidi w:val="0"/>
        <w:rPr>
          <w:rFonts w:hint="default"/>
        </w:rPr>
      </w:pPr>
      <w:bookmarkStart w:id="68" w:name="_Toc135993500"/>
      <w:bookmarkStart w:id="69" w:name="_Toc41049751"/>
      <w:bookmarkStart w:id="70" w:name="_Toc116159381"/>
      <w:bookmarkStart w:id="71" w:name="_Toc74038211"/>
      <w:bookmarkStart w:id="72" w:name="_Toc344475123"/>
      <w:r>
        <w:rPr>
          <w:rFonts w:hint="default"/>
        </w:rPr>
        <w:t>五、知识产权</w:t>
      </w:r>
      <w:bookmarkEnd w:id="68"/>
      <w:bookmarkEnd w:id="69"/>
      <w:bookmarkEnd w:id="70"/>
      <w:bookmarkEnd w:id="71"/>
      <w:bookmarkEnd w:id="72"/>
    </w:p>
    <w:p w14:paraId="658BF52B">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default" w:ascii="方正仿宋_GBK" w:hAnsi="方正仿宋_GBK" w:eastAsia="方正仿宋_GBK" w:cs="方正仿宋_GBK"/>
          <w:kern w:val="2"/>
          <w:sz w:val="24"/>
          <w:szCs w:val="24"/>
          <w:lang w:val="en-US" w:eastAsia="zh-CN" w:bidi="ar-SA"/>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1BBC7900">
      <w:pPr>
        <w:pStyle w:val="21"/>
        <w:bidi w:val="0"/>
        <w:rPr>
          <w:rFonts w:hint="default"/>
        </w:rPr>
      </w:pPr>
      <w:bookmarkStart w:id="73" w:name="_Toc267320054"/>
      <w:bookmarkStart w:id="74" w:name="_Toc116159383"/>
      <w:bookmarkStart w:id="75" w:name="_Toc74038212"/>
      <w:bookmarkStart w:id="76" w:name="_Toc17278325"/>
      <w:bookmarkStart w:id="77" w:name="_Toc135993501"/>
      <w:bookmarkStart w:id="78" w:name="_Toc41049752"/>
      <w:r>
        <w:rPr>
          <w:rFonts w:hint="default"/>
        </w:rPr>
        <w:t>六、</w:t>
      </w:r>
      <w:bookmarkEnd w:id="73"/>
      <w:r>
        <w:rPr>
          <w:rFonts w:hint="default"/>
        </w:rPr>
        <w:t>其他</w:t>
      </w:r>
      <w:bookmarkEnd w:id="74"/>
      <w:bookmarkEnd w:id="75"/>
      <w:bookmarkEnd w:id="76"/>
      <w:bookmarkEnd w:id="77"/>
      <w:bookmarkEnd w:id="78"/>
    </w:p>
    <w:p w14:paraId="382F12BA">
      <w:pPr>
        <w:pStyle w:val="20"/>
        <w:bidi w:val="0"/>
        <w:rPr>
          <w:rFonts w:hint="default"/>
        </w:rPr>
      </w:pPr>
      <w:r>
        <w:rPr>
          <w:rFonts w:hint="default"/>
        </w:rPr>
        <w:t>（一）供应商必须在响应文件中对以上条款和服务承诺明确列出，承诺内容必须达到本篇及</w:t>
      </w:r>
      <w:r>
        <w:rPr>
          <w:rFonts w:hint="eastAsia"/>
          <w:lang w:eastAsia="zh-CN"/>
        </w:rPr>
        <w:t>竞争性磋商</w:t>
      </w:r>
      <w:r>
        <w:rPr>
          <w:rFonts w:hint="default"/>
        </w:rPr>
        <w:t>文件其他条款的要求。</w:t>
      </w:r>
    </w:p>
    <w:p w14:paraId="027087C2">
      <w:pPr>
        <w:pStyle w:val="20"/>
        <w:bidi w:val="0"/>
        <w:rPr>
          <w:rFonts w:hint="eastAsia"/>
        </w:rPr>
      </w:pPr>
      <w:r>
        <w:rPr>
          <w:rFonts w:hint="eastAsia"/>
        </w:rPr>
        <w:t>（二）</w:t>
      </w:r>
      <w:r>
        <w:rPr>
          <w:rFonts w:hint="eastAsia"/>
          <w:lang w:eastAsia="zh-CN"/>
        </w:rPr>
        <w:t>成交供应商</w:t>
      </w:r>
      <w:r>
        <w:rPr>
          <w:rFonts w:hint="eastAsia"/>
        </w:rPr>
        <w:t>应保证所提供的服务</w:t>
      </w:r>
      <w:r>
        <w:rPr>
          <w:rFonts w:hint="eastAsia" w:ascii="Times New Roman" w:hAnsi="Times New Roman" w:eastAsia="方正仿宋_GBK" w:cs="Times New Roman"/>
          <w:color w:val="000000"/>
          <w:kern w:val="2"/>
          <w:sz w:val="24"/>
          <w:szCs w:val="24"/>
          <w:lang w:val="en-US" w:eastAsia="zh-CN" w:bidi="ar-SA"/>
        </w:rPr>
        <w:t>整体功能的实现。如发生以下情况，1.如成交供应商放弃中标项目或在签订合同时擅自改变成交状态的；2.所提供的服务等方面未满足响应文件及相关承诺的；3.证实提交了相关虚假文件的。发生上述情况，采购人除取消其成交资格同时，有权终止合同，成交供应商一切损失自行承担。同时成交供应商须返回采购人已支付所有合同金额，成交供应商并按合同总额的百分之三十赔付采购人延误损失，并列入采购人失信名单处理（3年内不能参加采购人所有</w:t>
      </w:r>
      <w:r>
        <w:rPr>
          <w:rFonts w:hint="eastAsia"/>
        </w:rPr>
        <w:t>采购活动）。</w:t>
      </w:r>
    </w:p>
    <w:p w14:paraId="4AFFA3EF">
      <w:pPr>
        <w:pStyle w:val="20"/>
        <w:bidi w:val="0"/>
        <w:rPr>
          <w:rFonts w:hint="eastAsia"/>
        </w:rPr>
      </w:pPr>
      <w:r>
        <w:rPr>
          <w:rFonts w:hint="eastAsia"/>
          <w:lang w:eastAsia="zh-CN"/>
        </w:rPr>
        <w:t>（三）</w:t>
      </w:r>
      <w:r>
        <w:rPr>
          <w:rFonts w:hint="eastAsia"/>
        </w:rPr>
        <w:t>其他未尽事宜由供需双方在采购合同中详细约定。</w:t>
      </w:r>
    </w:p>
    <w:p w14:paraId="44A1F0AD">
      <w:pPr>
        <w:keepNext w:val="0"/>
        <w:keepLines w:val="0"/>
        <w:pageBreakBefore w:val="0"/>
        <w:kinsoku/>
        <w:overflowPunct/>
        <w:topLinePunct w:val="0"/>
        <w:autoSpaceDE/>
        <w:autoSpaceDN/>
        <w:bidi w:val="0"/>
        <w:adjustRightInd w:val="0"/>
        <w:snapToGrid w:val="0"/>
        <w:spacing w:before="0" w:after="0" w:line="500" w:lineRule="exact"/>
        <w:jc w:val="center"/>
        <w:textAlignment w:val="auto"/>
        <w:outlineLvl w:val="9"/>
        <w:rPr>
          <w:rFonts w:hint="default" w:ascii="方正小标宋_GBK" w:hAnsi="方正小标宋_GBK" w:eastAsia="方正小标宋_GBK" w:cs="方正小标宋_GBK"/>
          <w:b/>
          <w:sz w:val="36"/>
          <w:szCs w:val="30"/>
          <w:lang w:eastAsia="zh-CN"/>
        </w:rPr>
      </w:pPr>
      <w:r>
        <w:rPr>
          <w:rFonts w:hint="default" w:ascii="Times New Roman" w:hAnsi="Times New Roman" w:eastAsia="方正仿宋_GBK" w:cs="Times New Roman"/>
          <w:b/>
          <w:sz w:val="36"/>
          <w:szCs w:val="30"/>
        </w:rPr>
        <w:br w:type="page"/>
      </w:r>
      <w:bookmarkStart w:id="79" w:name="_Toc135993502"/>
      <w:bookmarkStart w:id="80" w:name="_Toc24195"/>
      <w:bookmarkStart w:id="81" w:name="_Toc16123"/>
      <w:bookmarkStart w:id="82" w:name="_Toc65660349"/>
      <w:r>
        <w:rPr>
          <w:rStyle w:val="25"/>
          <w:rFonts w:hint="default"/>
          <w:lang w:eastAsia="zh-CN"/>
        </w:rPr>
        <w:t>第四篇 采购程序</w:t>
      </w:r>
      <w:r>
        <w:rPr>
          <w:rStyle w:val="25"/>
          <w:rFonts w:hint="eastAsia"/>
          <w:lang w:eastAsia="zh-CN"/>
        </w:rPr>
        <w:t>及方法</w:t>
      </w:r>
      <w:r>
        <w:rPr>
          <w:rStyle w:val="25"/>
          <w:rFonts w:hint="default"/>
          <w:lang w:eastAsia="zh-CN"/>
        </w:rPr>
        <w:t>、评</w:t>
      </w:r>
      <w:r>
        <w:rPr>
          <w:rStyle w:val="25"/>
          <w:rFonts w:hint="eastAsia"/>
          <w:lang w:eastAsia="zh-CN"/>
        </w:rPr>
        <w:t>审</w:t>
      </w:r>
      <w:r>
        <w:rPr>
          <w:rStyle w:val="25"/>
          <w:rFonts w:hint="default"/>
          <w:lang w:eastAsia="zh-CN"/>
        </w:rPr>
        <w:t>标准、无效</w:t>
      </w:r>
      <w:r>
        <w:rPr>
          <w:rStyle w:val="25"/>
          <w:rFonts w:hint="eastAsia"/>
          <w:lang w:eastAsia="zh-CN"/>
        </w:rPr>
        <w:t>磋商</w:t>
      </w:r>
      <w:r>
        <w:rPr>
          <w:rStyle w:val="25"/>
          <w:rFonts w:hint="default"/>
          <w:lang w:eastAsia="zh-CN"/>
        </w:rPr>
        <w:t>及采购终止</w:t>
      </w:r>
      <w:bookmarkEnd w:id="79"/>
      <w:bookmarkEnd w:id="80"/>
      <w:bookmarkEnd w:id="81"/>
      <w:bookmarkEnd w:id="82"/>
    </w:p>
    <w:p w14:paraId="6FF221ED">
      <w:pPr>
        <w:pStyle w:val="21"/>
        <w:bidi w:val="0"/>
        <w:rPr>
          <w:rFonts w:hint="default"/>
        </w:rPr>
      </w:pPr>
      <w:bookmarkStart w:id="83" w:name="_Toc64732012"/>
      <w:bookmarkStart w:id="84" w:name="_Toc135993503"/>
      <w:bookmarkStart w:id="85" w:name="_Toc5167"/>
      <w:bookmarkStart w:id="86" w:name="_Toc65660350"/>
      <w:bookmarkStart w:id="87" w:name="_Toc9361"/>
    </w:p>
    <w:p w14:paraId="1E536035">
      <w:pPr>
        <w:pStyle w:val="21"/>
        <w:bidi w:val="0"/>
        <w:rPr>
          <w:rFonts w:hint="eastAsia" w:ascii="黑体" w:hAnsi="黑体" w:eastAsia="方正黑体_GBK" w:cs="黑体"/>
          <w:szCs w:val="24"/>
          <w:lang w:eastAsia="zh-CN"/>
        </w:rPr>
      </w:pPr>
      <w:r>
        <w:rPr>
          <w:rFonts w:hint="default"/>
        </w:rPr>
        <w:t>一、采购程序</w:t>
      </w:r>
      <w:bookmarkEnd w:id="83"/>
      <w:bookmarkEnd w:id="84"/>
      <w:bookmarkEnd w:id="85"/>
      <w:bookmarkEnd w:id="86"/>
      <w:bookmarkEnd w:id="87"/>
      <w:r>
        <w:rPr>
          <w:rFonts w:hint="eastAsia"/>
          <w:lang w:eastAsia="zh-CN"/>
        </w:rPr>
        <w:t>及方法</w:t>
      </w:r>
    </w:p>
    <w:p w14:paraId="6157E630">
      <w:pPr>
        <w:pStyle w:val="20"/>
        <w:bidi w:val="0"/>
        <w:rPr>
          <w:rFonts w:hint="default"/>
        </w:rPr>
      </w:pPr>
      <w:r>
        <w:rPr>
          <w:rFonts w:hint="default"/>
        </w:rPr>
        <w:t>（一）</w:t>
      </w:r>
      <w:r>
        <w:rPr>
          <w:rFonts w:hint="eastAsia"/>
          <w:lang w:eastAsia="zh-CN"/>
        </w:rPr>
        <w:t>竞争性磋商</w:t>
      </w:r>
      <w:r>
        <w:rPr>
          <w:rFonts w:hint="default"/>
        </w:rPr>
        <w:t>按</w:t>
      </w:r>
      <w:r>
        <w:rPr>
          <w:rFonts w:hint="eastAsia"/>
          <w:lang w:eastAsia="zh-CN"/>
        </w:rPr>
        <w:t>采购</w:t>
      </w:r>
      <w:r>
        <w:rPr>
          <w:rFonts w:hint="default"/>
        </w:rPr>
        <w:t>文件规定的时间和地点进行。供应商须有法定代表人（或其授权代表）或自然人参加并签到。</w:t>
      </w:r>
    </w:p>
    <w:p w14:paraId="531A7D4E">
      <w:pPr>
        <w:pStyle w:val="20"/>
        <w:bidi w:val="0"/>
        <w:rPr>
          <w:rFonts w:hint="default"/>
        </w:rPr>
      </w:pPr>
      <w:r>
        <w:rPr>
          <w:rFonts w:hint="default"/>
        </w:rPr>
        <w:t>（二）</w:t>
      </w:r>
      <w:r>
        <w:rPr>
          <w:rFonts w:hint="eastAsia"/>
          <w:lang w:eastAsia="zh-CN"/>
        </w:rPr>
        <w:t>竞争性磋商</w:t>
      </w:r>
      <w:r>
        <w:rPr>
          <w:rFonts w:hint="default"/>
        </w:rPr>
        <w:t>以抽签的形式确定</w:t>
      </w:r>
      <w:r>
        <w:rPr>
          <w:rFonts w:hint="eastAsia"/>
          <w:lang w:eastAsia="zh-CN"/>
        </w:rPr>
        <w:t>磋商</w:t>
      </w:r>
      <w:r>
        <w:rPr>
          <w:rFonts w:hint="default"/>
        </w:rPr>
        <w:t>顺序，由本项目</w:t>
      </w:r>
      <w:r>
        <w:rPr>
          <w:rFonts w:hint="eastAsia"/>
          <w:lang w:eastAsia="zh-CN"/>
        </w:rPr>
        <w:t>依法组建的竞争性磋商</w:t>
      </w:r>
      <w:r>
        <w:rPr>
          <w:rFonts w:hint="default"/>
        </w:rPr>
        <w:t>小组分别与各供应商进行</w:t>
      </w:r>
      <w:r>
        <w:rPr>
          <w:rFonts w:hint="eastAsia"/>
          <w:lang w:eastAsia="zh-CN"/>
        </w:rPr>
        <w:t>磋商</w:t>
      </w:r>
      <w:r>
        <w:rPr>
          <w:rFonts w:hint="default"/>
        </w:rPr>
        <w:t>。</w:t>
      </w:r>
    </w:p>
    <w:p w14:paraId="2C5D4778">
      <w:pPr>
        <w:pStyle w:val="20"/>
        <w:bidi w:val="0"/>
        <w:rPr>
          <w:rFonts w:hint="eastAsia"/>
          <w:lang w:eastAsia="zh-CN"/>
        </w:rPr>
      </w:pPr>
      <w:r>
        <w:rPr>
          <w:rFonts w:hint="eastAsia"/>
          <w:lang w:eastAsia="zh-CN"/>
        </w:rPr>
        <w:t>（三）</w:t>
      </w:r>
      <w:r>
        <w:rPr>
          <w:rFonts w:hint="default"/>
        </w:rPr>
        <w:t>在</w:t>
      </w:r>
      <w:r>
        <w:rPr>
          <w:rFonts w:hint="eastAsia"/>
          <w:lang w:eastAsia="zh-CN"/>
        </w:rPr>
        <w:t>磋商</w:t>
      </w:r>
      <w:r>
        <w:rPr>
          <w:rFonts w:hint="default"/>
        </w:rPr>
        <w:t>前，</w:t>
      </w:r>
      <w:r>
        <w:rPr>
          <w:rFonts w:hint="eastAsia"/>
          <w:lang w:eastAsia="zh-CN"/>
        </w:rPr>
        <w:t>竞争性磋商</w:t>
      </w:r>
      <w:r>
        <w:rPr>
          <w:rFonts w:hint="default"/>
        </w:rPr>
        <w:t>小组对各供应商的资格条件、实质性响应</w:t>
      </w:r>
      <w:r>
        <w:rPr>
          <w:rFonts w:hint="eastAsia"/>
          <w:lang w:eastAsia="zh-CN"/>
        </w:rPr>
        <w:t>文件的有效性、完整性和响应程度</w:t>
      </w:r>
      <w:r>
        <w:rPr>
          <w:rFonts w:hint="default"/>
        </w:rPr>
        <w:t>等进行审</w:t>
      </w:r>
      <w:r>
        <w:rPr>
          <w:rFonts w:hint="default"/>
          <w:lang w:eastAsia="zh-CN"/>
        </w:rPr>
        <w:t>查</w:t>
      </w:r>
      <w:r>
        <w:rPr>
          <w:rFonts w:hint="eastAsia"/>
          <w:lang w:eastAsia="zh-CN"/>
        </w:rPr>
        <w:t>。各供应商只有在完全符合要求的前提下，才能参与正式磋商。</w:t>
      </w:r>
    </w:p>
    <w:p w14:paraId="31F9865E">
      <w:pPr>
        <w:pStyle w:val="20"/>
        <w:bidi w:val="0"/>
        <w:rPr>
          <w:rFonts w:hint="default"/>
        </w:rPr>
      </w:pPr>
      <w:r>
        <w:rPr>
          <w:rFonts w:hint="default"/>
        </w:rPr>
        <w:t>1.资格性审查。依据法律法规和</w:t>
      </w:r>
      <w:r>
        <w:rPr>
          <w:rFonts w:hint="eastAsia"/>
          <w:lang w:eastAsia="zh-CN"/>
        </w:rPr>
        <w:t>竞争性磋商</w:t>
      </w:r>
      <w:r>
        <w:rPr>
          <w:rFonts w:hint="default"/>
        </w:rPr>
        <w:t>文件的规定，对响应文件中的资格证明材料等进行审查。资格性审查内容如下：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209"/>
        <w:gridCol w:w="4893"/>
      </w:tblGrid>
      <w:tr w14:paraId="2390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63517090">
            <w:pPr>
              <w:pStyle w:val="21"/>
              <w:bidi w:val="0"/>
              <w:ind w:left="0" w:leftChars="0" w:firstLine="0" w:firstLineChars="0"/>
              <w:jc w:val="center"/>
              <w:rPr>
                <w:rFonts w:hint="default"/>
                <w:sz w:val="21"/>
                <w:szCs w:val="21"/>
              </w:rPr>
            </w:pPr>
            <w:r>
              <w:rPr>
                <w:rFonts w:hint="default"/>
                <w:sz w:val="21"/>
                <w:szCs w:val="21"/>
              </w:rPr>
              <w:t>序号</w:t>
            </w:r>
          </w:p>
        </w:tc>
        <w:tc>
          <w:tcPr>
            <w:tcW w:w="3918" w:type="dxa"/>
            <w:gridSpan w:val="2"/>
            <w:tcBorders>
              <w:top w:val="single" w:color="auto" w:sz="4" w:space="0"/>
              <w:left w:val="single" w:color="auto" w:sz="4" w:space="0"/>
              <w:bottom w:val="single" w:color="auto" w:sz="4" w:space="0"/>
              <w:right w:val="single" w:color="auto" w:sz="4" w:space="0"/>
            </w:tcBorders>
            <w:noWrap w:val="0"/>
            <w:vAlign w:val="center"/>
          </w:tcPr>
          <w:p w14:paraId="29751138">
            <w:pPr>
              <w:pStyle w:val="21"/>
              <w:bidi w:val="0"/>
              <w:ind w:left="0" w:leftChars="0" w:firstLine="0" w:firstLineChars="0"/>
              <w:jc w:val="center"/>
              <w:rPr>
                <w:rFonts w:hint="default"/>
                <w:sz w:val="21"/>
                <w:szCs w:val="21"/>
              </w:rPr>
            </w:pPr>
            <w:r>
              <w:rPr>
                <w:rFonts w:hint="default"/>
                <w:sz w:val="21"/>
                <w:szCs w:val="21"/>
              </w:rPr>
              <w:t>检查因素</w:t>
            </w:r>
          </w:p>
        </w:tc>
        <w:tc>
          <w:tcPr>
            <w:tcW w:w="4893" w:type="dxa"/>
            <w:tcBorders>
              <w:top w:val="single" w:color="auto" w:sz="4" w:space="0"/>
              <w:left w:val="single" w:color="auto" w:sz="4" w:space="0"/>
              <w:bottom w:val="single" w:color="auto" w:sz="4" w:space="0"/>
              <w:right w:val="single" w:color="auto" w:sz="4" w:space="0"/>
            </w:tcBorders>
            <w:noWrap w:val="0"/>
            <w:vAlign w:val="center"/>
          </w:tcPr>
          <w:p w14:paraId="58FD1B4E">
            <w:pPr>
              <w:pStyle w:val="21"/>
              <w:bidi w:val="0"/>
              <w:ind w:left="0" w:leftChars="0" w:firstLine="0" w:firstLineChars="0"/>
              <w:jc w:val="center"/>
              <w:rPr>
                <w:rFonts w:hint="default"/>
                <w:sz w:val="21"/>
                <w:szCs w:val="21"/>
              </w:rPr>
            </w:pPr>
            <w:r>
              <w:rPr>
                <w:rFonts w:hint="default"/>
                <w:sz w:val="21"/>
                <w:szCs w:val="21"/>
              </w:rPr>
              <w:t>检查内容</w:t>
            </w:r>
          </w:p>
        </w:tc>
      </w:tr>
      <w:tr w14:paraId="3045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25382B4">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w:t>
            </w:r>
          </w:p>
        </w:tc>
        <w:tc>
          <w:tcPr>
            <w:tcW w:w="709" w:type="dxa"/>
            <w:vMerge w:val="restart"/>
            <w:noWrap w:val="0"/>
            <w:vAlign w:val="center"/>
          </w:tcPr>
          <w:p w14:paraId="171DCF62">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《中华人民共和国政府采购法》第二十二条规定</w:t>
            </w:r>
          </w:p>
        </w:tc>
        <w:tc>
          <w:tcPr>
            <w:tcW w:w="3209" w:type="dxa"/>
            <w:noWrap w:val="0"/>
            <w:vAlign w:val="center"/>
          </w:tcPr>
          <w:p w14:paraId="75230249">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1.具有独立承担民事责任的能力</w:t>
            </w:r>
          </w:p>
        </w:tc>
        <w:tc>
          <w:tcPr>
            <w:tcW w:w="4893" w:type="dxa"/>
            <w:noWrap w:val="0"/>
            <w:vAlign w:val="center"/>
          </w:tcPr>
          <w:p w14:paraId="78E94149">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1.供应商法人营业执照（副本）或事业单位法人证书（副本）或个体工商户营业执照或有效的自然人身份证明或社会团体法人登记证书（提供复印件）。 </w:t>
            </w:r>
          </w:p>
          <w:p w14:paraId="7B389273">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2.供应商法定代表人身份证明和法定代表人授权代表委托书。</w:t>
            </w:r>
          </w:p>
        </w:tc>
      </w:tr>
      <w:tr w14:paraId="3768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4183526">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709" w:type="dxa"/>
            <w:vMerge w:val="continue"/>
            <w:noWrap w:val="0"/>
            <w:vAlign w:val="center"/>
          </w:tcPr>
          <w:p w14:paraId="775B9185">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p>
        </w:tc>
        <w:tc>
          <w:tcPr>
            <w:tcW w:w="3209" w:type="dxa"/>
            <w:noWrap w:val="0"/>
            <w:vAlign w:val="center"/>
          </w:tcPr>
          <w:p w14:paraId="6A9C5930">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zh-CN"/>
              </w:rPr>
              <w:t>2.</w:t>
            </w:r>
            <w:r>
              <w:rPr>
                <w:rFonts w:hint="default" w:ascii="Times New Roman" w:hAnsi="Times New Roman" w:eastAsia="方正仿宋_GBK" w:cs="Times New Roman"/>
                <w:sz w:val="21"/>
                <w:szCs w:val="21"/>
              </w:rPr>
              <w:t>具有良好的商业信誉和健全的财务会计制度</w:t>
            </w:r>
          </w:p>
        </w:tc>
        <w:tc>
          <w:tcPr>
            <w:tcW w:w="4893" w:type="dxa"/>
            <w:vMerge w:val="restart"/>
            <w:noWrap w:val="0"/>
            <w:vAlign w:val="center"/>
          </w:tcPr>
          <w:p w14:paraId="363F4ECF">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供应商提供</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基本资格条件承诺函</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（格式详见</w:t>
            </w:r>
            <w:r>
              <w:rPr>
                <w:rFonts w:hint="eastAsia" w:eastAsia="方正仿宋_GBK" w:cs="Times New Roman"/>
                <w:sz w:val="21"/>
                <w:szCs w:val="21"/>
                <w:lang w:eastAsia="zh-CN"/>
              </w:rPr>
              <w:t>第六篇</w:t>
            </w:r>
            <w:r>
              <w:rPr>
                <w:rFonts w:hint="default" w:ascii="Times New Roman" w:hAnsi="Times New Roman" w:eastAsia="方正仿宋_GBK" w:cs="Times New Roman"/>
                <w:sz w:val="21"/>
                <w:szCs w:val="21"/>
              </w:rPr>
              <w:t>）</w:t>
            </w:r>
          </w:p>
        </w:tc>
      </w:tr>
      <w:tr w14:paraId="704E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77E63B5">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709" w:type="dxa"/>
            <w:vMerge w:val="continue"/>
            <w:noWrap w:val="0"/>
            <w:vAlign w:val="center"/>
          </w:tcPr>
          <w:p w14:paraId="163892D1">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p>
        </w:tc>
        <w:tc>
          <w:tcPr>
            <w:tcW w:w="3209" w:type="dxa"/>
            <w:noWrap w:val="0"/>
            <w:vAlign w:val="center"/>
          </w:tcPr>
          <w:p w14:paraId="3B7BE625">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3.具有履行合同所必需的设备和专业技术能力</w:t>
            </w:r>
          </w:p>
        </w:tc>
        <w:tc>
          <w:tcPr>
            <w:tcW w:w="4893" w:type="dxa"/>
            <w:vMerge w:val="continue"/>
            <w:noWrap w:val="0"/>
            <w:vAlign w:val="center"/>
          </w:tcPr>
          <w:p w14:paraId="06EC6F9C">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p>
        </w:tc>
      </w:tr>
      <w:tr w14:paraId="272E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4E6038A">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709" w:type="dxa"/>
            <w:vMerge w:val="continue"/>
            <w:noWrap w:val="0"/>
            <w:vAlign w:val="center"/>
          </w:tcPr>
          <w:p w14:paraId="013034DA">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p>
        </w:tc>
        <w:tc>
          <w:tcPr>
            <w:tcW w:w="3209" w:type="dxa"/>
            <w:noWrap w:val="0"/>
            <w:vAlign w:val="center"/>
          </w:tcPr>
          <w:p w14:paraId="1A1F4840">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lang w:val="zh-CN"/>
              </w:rPr>
              <w:t>4.有依法缴纳税收和社会保障金的良好记录</w:t>
            </w:r>
          </w:p>
        </w:tc>
        <w:tc>
          <w:tcPr>
            <w:tcW w:w="4893" w:type="dxa"/>
            <w:vMerge w:val="continue"/>
            <w:noWrap w:val="0"/>
            <w:vAlign w:val="center"/>
          </w:tcPr>
          <w:p w14:paraId="3E0540AF">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p>
        </w:tc>
      </w:tr>
      <w:tr w14:paraId="0C6B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D8434B7">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709" w:type="dxa"/>
            <w:vMerge w:val="continue"/>
            <w:noWrap w:val="0"/>
            <w:vAlign w:val="center"/>
          </w:tcPr>
          <w:p w14:paraId="425D9009">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p>
        </w:tc>
        <w:tc>
          <w:tcPr>
            <w:tcW w:w="3209" w:type="dxa"/>
            <w:noWrap w:val="0"/>
            <w:vAlign w:val="center"/>
          </w:tcPr>
          <w:p w14:paraId="6CB2F67B">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r>
              <w:rPr>
                <w:rFonts w:hint="default" w:ascii="Times New Roman" w:hAnsi="Times New Roman" w:eastAsia="方正仿宋_GBK" w:cs="Times New Roman"/>
                <w:sz w:val="21"/>
                <w:szCs w:val="21"/>
              </w:rPr>
              <w:t>5.参加政府采购活动前三年内，在经营活动中没有重大违法记录</w:t>
            </w:r>
          </w:p>
        </w:tc>
        <w:tc>
          <w:tcPr>
            <w:tcW w:w="4893" w:type="dxa"/>
            <w:vMerge w:val="continue"/>
            <w:noWrap w:val="0"/>
            <w:vAlign w:val="center"/>
          </w:tcPr>
          <w:p w14:paraId="083D7A00">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b/>
                <w:sz w:val="21"/>
                <w:szCs w:val="21"/>
              </w:rPr>
            </w:pPr>
          </w:p>
        </w:tc>
      </w:tr>
      <w:tr w14:paraId="4AE6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7" w:type="dxa"/>
            <w:vMerge w:val="continue"/>
            <w:noWrap w:val="0"/>
            <w:vAlign w:val="center"/>
          </w:tcPr>
          <w:p w14:paraId="56BE2EDF">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709" w:type="dxa"/>
            <w:vMerge w:val="continue"/>
            <w:noWrap w:val="0"/>
            <w:vAlign w:val="center"/>
          </w:tcPr>
          <w:p w14:paraId="41ECD88C">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p>
        </w:tc>
        <w:tc>
          <w:tcPr>
            <w:tcW w:w="3209" w:type="dxa"/>
            <w:noWrap w:val="0"/>
            <w:vAlign w:val="center"/>
          </w:tcPr>
          <w:p w14:paraId="6E3C0A0C">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6.法律、行政法规规定的其他条件</w:t>
            </w:r>
          </w:p>
        </w:tc>
        <w:tc>
          <w:tcPr>
            <w:tcW w:w="4893" w:type="dxa"/>
            <w:noWrap w:val="0"/>
            <w:vAlign w:val="center"/>
          </w:tcPr>
          <w:p w14:paraId="13132BF6">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p>
        </w:tc>
      </w:tr>
      <w:tr w14:paraId="1F8E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B7AFA71">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709" w:type="dxa"/>
            <w:vMerge w:val="continue"/>
            <w:noWrap w:val="0"/>
            <w:vAlign w:val="center"/>
          </w:tcPr>
          <w:p w14:paraId="4D8E879F">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lang w:val="zh-CN"/>
              </w:rPr>
            </w:pPr>
          </w:p>
        </w:tc>
        <w:tc>
          <w:tcPr>
            <w:tcW w:w="3209" w:type="dxa"/>
            <w:noWrap w:val="0"/>
            <w:vAlign w:val="center"/>
          </w:tcPr>
          <w:p w14:paraId="7E1EFB8C">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7.本项目的特定资格要求</w:t>
            </w:r>
          </w:p>
        </w:tc>
        <w:tc>
          <w:tcPr>
            <w:tcW w:w="4893" w:type="dxa"/>
            <w:noWrap w:val="0"/>
            <w:vAlign w:val="center"/>
          </w:tcPr>
          <w:p w14:paraId="429C3BC8">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按“第一篇三、供应商资格条件（二）本项目的特定资格要求”的要求提交。</w:t>
            </w:r>
          </w:p>
        </w:tc>
      </w:tr>
    </w:tbl>
    <w:p w14:paraId="0BEA7426">
      <w:pPr>
        <w:pStyle w:val="20"/>
        <w:bidi w:val="0"/>
        <w:rPr>
          <w:rFonts w:hint="default"/>
        </w:rPr>
      </w:pPr>
      <w:r>
        <w:rPr>
          <w:rFonts w:hint="default"/>
        </w:rPr>
        <w:t>注：</w:t>
      </w:r>
      <w:r>
        <w:rPr>
          <w:rFonts w:hint="eastAsia"/>
          <w:lang w:val="en-US" w:eastAsia="zh-CN"/>
        </w:rPr>
        <w:t>①</w:t>
      </w:r>
      <w:r>
        <w:rPr>
          <w:rFonts w:hint="eastAsia"/>
          <w:lang w:eastAsia="zh-CN"/>
        </w:rPr>
        <w:t>供应商</w:t>
      </w:r>
      <w:r>
        <w:rPr>
          <w:rFonts w:hint="default"/>
        </w:rPr>
        <w:t>按</w:t>
      </w:r>
      <w:r>
        <w:rPr>
          <w:rFonts w:hint="eastAsia"/>
          <w:lang w:eastAsia="zh-CN"/>
        </w:rPr>
        <w:t>“</w:t>
      </w:r>
      <w:r>
        <w:rPr>
          <w:rFonts w:hint="default"/>
        </w:rPr>
        <w:t>多证合一</w:t>
      </w:r>
      <w:r>
        <w:rPr>
          <w:rFonts w:hint="eastAsia"/>
          <w:lang w:eastAsia="zh-CN"/>
        </w:rPr>
        <w:t>”</w:t>
      </w:r>
      <w:r>
        <w:rPr>
          <w:rFonts w:hint="default"/>
        </w:rPr>
        <w:t>登记制度办理营业执照的，税务登记证（副本）和社会保险登记证以</w:t>
      </w:r>
      <w:r>
        <w:rPr>
          <w:rFonts w:hint="eastAsia"/>
          <w:lang w:eastAsia="zh-CN"/>
        </w:rPr>
        <w:t>供应商</w:t>
      </w:r>
      <w:r>
        <w:rPr>
          <w:rFonts w:hint="default"/>
        </w:rPr>
        <w:t>所提供的营业执照（副本）复印件为准。</w:t>
      </w:r>
    </w:p>
    <w:p w14:paraId="79EA1C64">
      <w:pPr>
        <w:pStyle w:val="20"/>
        <w:bidi w:val="0"/>
        <w:rPr>
          <w:rFonts w:hint="default" w:ascii="Times New Roman" w:hAnsi="Times New Roman" w:eastAsia="方正仿宋_GBK" w:cs="Times New Roman"/>
          <w:kern w:val="0"/>
          <w:szCs w:val="24"/>
        </w:rPr>
      </w:pPr>
      <w:r>
        <w:rPr>
          <w:rFonts w:hint="eastAsia"/>
          <w:lang w:val="en-US" w:eastAsia="zh-CN"/>
        </w:rPr>
        <w:t>②</w:t>
      </w:r>
      <w:r>
        <w:rPr>
          <w:rFonts w:hint="default"/>
        </w:rPr>
        <w:t>根据《中华人民共和国政府采购法实施条例》第十九条</w:t>
      </w:r>
      <w:r>
        <w:rPr>
          <w:rFonts w:hint="eastAsia"/>
          <w:lang w:eastAsia="zh-CN"/>
        </w:rPr>
        <w:t>“</w:t>
      </w:r>
      <w:r>
        <w:rPr>
          <w:rFonts w:hint="default"/>
        </w:rPr>
        <w:t>参加政府采购活动前三年内，在经营活动中没有重大违法记录</w:t>
      </w:r>
      <w:r>
        <w:rPr>
          <w:rFonts w:hint="eastAsia"/>
          <w:lang w:eastAsia="zh-CN"/>
        </w:rPr>
        <w:t>”</w:t>
      </w:r>
      <w:r>
        <w:rPr>
          <w:rFonts w:hint="default"/>
        </w:rPr>
        <w:t>中</w:t>
      </w:r>
      <w:r>
        <w:rPr>
          <w:rFonts w:hint="eastAsia"/>
          <w:lang w:eastAsia="zh-CN"/>
        </w:rPr>
        <w:t>“</w:t>
      </w:r>
      <w:r>
        <w:rPr>
          <w:rFonts w:hint="default"/>
        </w:rPr>
        <w:t>重大违法记录</w:t>
      </w:r>
      <w:r>
        <w:rPr>
          <w:rFonts w:hint="eastAsia"/>
          <w:lang w:eastAsia="zh-CN"/>
        </w:rPr>
        <w:t>”</w:t>
      </w:r>
      <w:r>
        <w:rPr>
          <w:rFonts w:hint="default"/>
        </w:rPr>
        <w:t>，是指</w:t>
      </w:r>
      <w:r>
        <w:rPr>
          <w:rFonts w:hint="eastAsia"/>
          <w:lang w:eastAsia="zh-CN"/>
        </w:rPr>
        <w:t>供应商</w:t>
      </w:r>
      <w:r>
        <w:rPr>
          <w:rFonts w:hint="default"/>
        </w:rPr>
        <w:t>因违法经营受到刑事处罚或者责令停产停业、吊销许可证或者执照、较大数额罚款等行政处罚。行政处罚中</w:t>
      </w:r>
      <w:r>
        <w:rPr>
          <w:rFonts w:hint="eastAsia"/>
          <w:lang w:eastAsia="zh-CN"/>
        </w:rPr>
        <w:t>“</w:t>
      </w:r>
      <w:r>
        <w:rPr>
          <w:rFonts w:hint="default"/>
        </w:rPr>
        <w:t>较大数额</w:t>
      </w:r>
      <w:r>
        <w:rPr>
          <w:rFonts w:hint="eastAsia"/>
          <w:lang w:eastAsia="zh-CN"/>
        </w:rPr>
        <w:t>”</w:t>
      </w:r>
      <w:r>
        <w:rPr>
          <w:rFonts w:hint="default"/>
        </w:rPr>
        <w:t>的认定标准，由被执行人所在的省、自治区、直辖市人民政府制定，国务院有关部门规定了较大数额标准的，从其规定。</w:t>
      </w:r>
    </w:p>
    <w:p w14:paraId="5F040006">
      <w:pPr>
        <w:pStyle w:val="20"/>
        <w:bidi w:val="0"/>
        <w:rPr>
          <w:rFonts w:hint="default"/>
          <w:lang w:val="en-US" w:eastAsia="zh-CN"/>
        </w:rPr>
      </w:pPr>
      <w:r>
        <w:rPr>
          <w:rFonts w:hint="eastAsia"/>
          <w:lang w:val="en-US" w:eastAsia="zh-CN"/>
        </w:rPr>
        <w:t>2.符合性审查。磋商小组</w:t>
      </w:r>
      <w:r>
        <w:rPr>
          <w:rFonts w:hint="default"/>
          <w:lang w:val="en-US" w:eastAsia="zh-CN"/>
        </w:rPr>
        <w:t>应当对符合资格的</w:t>
      </w:r>
      <w:r>
        <w:rPr>
          <w:rFonts w:hint="eastAsia"/>
          <w:lang w:val="en-US" w:eastAsia="zh-CN"/>
        </w:rPr>
        <w:t>供应商</w:t>
      </w:r>
      <w:r>
        <w:rPr>
          <w:rFonts w:hint="default"/>
          <w:lang w:val="en-US" w:eastAsia="zh-CN"/>
        </w:rPr>
        <w:t>的响应文件进行符合性审查，以确定其是否满足</w:t>
      </w:r>
      <w:r>
        <w:rPr>
          <w:rFonts w:hint="eastAsia"/>
          <w:lang w:val="en-US" w:eastAsia="zh-CN"/>
        </w:rPr>
        <w:t>竞争性磋商</w:t>
      </w:r>
      <w:r>
        <w:rPr>
          <w:rFonts w:hint="default"/>
          <w:lang w:val="en-US" w:eastAsia="zh-CN"/>
        </w:rPr>
        <w:t>文件的实质性要求。符合性审查资料表如下：</w:t>
      </w:r>
    </w:p>
    <w:tbl>
      <w:tblPr>
        <w:tblStyle w:val="1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737"/>
        <w:gridCol w:w="5656"/>
      </w:tblGrid>
      <w:tr w14:paraId="4C53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0" w:type="dxa"/>
            <w:noWrap w:val="0"/>
            <w:vAlign w:val="center"/>
          </w:tcPr>
          <w:p w14:paraId="521CEE2A">
            <w:pPr>
              <w:pStyle w:val="21"/>
              <w:bidi w:val="0"/>
              <w:ind w:left="0" w:leftChars="0" w:firstLine="0" w:firstLineChars="0"/>
              <w:jc w:val="center"/>
              <w:rPr>
                <w:rFonts w:hint="eastAsia"/>
                <w:sz w:val="21"/>
                <w:szCs w:val="21"/>
                <w:lang w:val="en-US" w:eastAsia="zh-CN"/>
              </w:rPr>
            </w:pPr>
            <w:r>
              <w:rPr>
                <w:rFonts w:hint="eastAsia"/>
                <w:sz w:val="21"/>
                <w:szCs w:val="21"/>
                <w:lang w:val="en-US" w:eastAsia="zh-CN"/>
              </w:rPr>
              <w:t>序号</w:t>
            </w:r>
          </w:p>
        </w:tc>
        <w:tc>
          <w:tcPr>
            <w:tcW w:w="3194" w:type="dxa"/>
            <w:gridSpan w:val="2"/>
            <w:noWrap w:val="0"/>
            <w:vAlign w:val="center"/>
          </w:tcPr>
          <w:p w14:paraId="25E9C77D">
            <w:pPr>
              <w:pStyle w:val="21"/>
              <w:bidi w:val="0"/>
              <w:ind w:left="0" w:leftChars="0" w:firstLine="0" w:firstLineChars="0"/>
              <w:jc w:val="center"/>
              <w:rPr>
                <w:rFonts w:hint="eastAsia"/>
                <w:sz w:val="21"/>
                <w:szCs w:val="21"/>
                <w:lang w:val="en-US" w:eastAsia="zh-CN"/>
              </w:rPr>
            </w:pPr>
            <w:r>
              <w:rPr>
                <w:rFonts w:hint="eastAsia"/>
                <w:sz w:val="21"/>
                <w:szCs w:val="21"/>
                <w:lang w:val="en-US" w:eastAsia="zh-CN"/>
              </w:rPr>
              <w:t>评审因素</w:t>
            </w:r>
          </w:p>
        </w:tc>
        <w:tc>
          <w:tcPr>
            <w:tcW w:w="5656" w:type="dxa"/>
            <w:noWrap w:val="0"/>
            <w:vAlign w:val="center"/>
          </w:tcPr>
          <w:p w14:paraId="4FE13E01">
            <w:pPr>
              <w:pStyle w:val="21"/>
              <w:bidi w:val="0"/>
              <w:ind w:left="0" w:leftChars="0" w:firstLine="0" w:firstLineChars="0"/>
              <w:jc w:val="center"/>
              <w:rPr>
                <w:rFonts w:hint="eastAsia"/>
                <w:sz w:val="21"/>
                <w:szCs w:val="21"/>
                <w:lang w:val="en-US" w:eastAsia="zh-CN"/>
              </w:rPr>
            </w:pPr>
            <w:r>
              <w:rPr>
                <w:rFonts w:hint="eastAsia"/>
                <w:sz w:val="21"/>
                <w:szCs w:val="21"/>
                <w:lang w:val="en-US" w:eastAsia="zh-CN"/>
              </w:rPr>
              <w:t>评审标准</w:t>
            </w:r>
          </w:p>
        </w:tc>
      </w:tr>
      <w:tr w14:paraId="39B1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noWrap w:val="0"/>
            <w:vAlign w:val="center"/>
          </w:tcPr>
          <w:p w14:paraId="78ABC24A">
            <w:pPr>
              <w:pStyle w:val="20"/>
              <w:bidi w:val="0"/>
              <w:spacing w:line="240" w:lineRule="auto"/>
              <w:ind w:left="0" w:leftChars="0" w:firstLine="0" w:firstLineChars="0"/>
              <w:jc w:val="center"/>
              <w:rPr>
                <w:rFonts w:hint="default"/>
                <w:sz w:val="21"/>
                <w:szCs w:val="21"/>
                <w:lang w:val="en-US" w:eastAsia="zh-CN"/>
              </w:rPr>
            </w:pPr>
            <w:r>
              <w:rPr>
                <w:rFonts w:hint="default"/>
                <w:sz w:val="21"/>
                <w:szCs w:val="21"/>
                <w:lang w:val="en-US" w:eastAsia="zh-CN"/>
              </w:rPr>
              <w:t>1</w:t>
            </w:r>
          </w:p>
        </w:tc>
        <w:tc>
          <w:tcPr>
            <w:tcW w:w="1457" w:type="dxa"/>
            <w:vMerge w:val="restart"/>
            <w:noWrap w:val="0"/>
            <w:vAlign w:val="center"/>
          </w:tcPr>
          <w:p w14:paraId="6A1AF54F">
            <w:pPr>
              <w:pStyle w:val="20"/>
              <w:bidi w:val="0"/>
              <w:spacing w:line="240" w:lineRule="auto"/>
              <w:ind w:left="0" w:leftChars="0" w:firstLine="0" w:firstLineChars="0"/>
              <w:jc w:val="left"/>
              <w:rPr>
                <w:rFonts w:hint="default"/>
                <w:sz w:val="21"/>
                <w:szCs w:val="21"/>
                <w:lang w:val="en-US" w:eastAsia="zh-CN"/>
              </w:rPr>
            </w:pPr>
            <w:r>
              <w:rPr>
                <w:rFonts w:hint="default"/>
                <w:sz w:val="21"/>
                <w:szCs w:val="21"/>
                <w:lang w:val="en-US" w:eastAsia="zh-CN"/>
              </w:rPr>
              <w:t>有效性审查</w:t>
            </w:r>
          </w:p>
        </w:tc>
        <w:tc>
          <w:tcPr>
            <w:tcW w:w="1737" w:type="dxa"/>
            <w:noWrap w:val="0"/>
            <w:vAlign w:val="center"/>
          </w:tcPr>
          <w:p w14:paraId="648885C2">
            <w:pPr>
              <w:pStyle w:val="20"/>
              <w:bidi w:val="0"/>
              <w:spacing w:line="240" w:lineRule="auto"/>
              <w:ind w:left="0" w:leftChars="0" w:firstLine="0" w:firstLineChars="0"/>
              <w:rPr>
                <w:rFonts w:hint="default"/>
                <w:sz w:val="21"/>
                <w:szCs w:val="21"/>
                <w:lang w:val="en-US" w:eastAsia="zh-CN"/>
              </w:rPr>
            </w:pPr>
            <w:r>
              <w:rPr>
                <w:rFonts w:hint="default"/>
                <w:sz w:val="21"/>
                <w:szCs w:val="21"/>
                <w:lang w:val="en-US" w:eastAsia="zh-CN"/>
              </w:rPr>
              <w:t>响应文件签署</w:t>
            </w:r>
          </w:p>
        </w:tc>
        <w:tc>
          <w:tcPr>
            <w:tcW w:w="5656" w:type="dxa"/>
            <w:noWrap w:val="0"/>
            <w:vAlign w:val="center"/>
          </w:tcPr>
          <w:p w14:paraId="4F08C258">
            <w:pPr>
              <w:pStyle w:val="20"/>
              <w:bidi w:val="0"/>
              <w:spacing w:line="240" w:lineRule="auto"/>
              <w:ind w:left="0" w:leftChars="0" w:firstLine="0" w:firstLineChars="0"/>
              <w:rPr>
                <w:rFonts w:hint="default"/>
                <w:sz w:val="21"/>
                <w:szCs w:val="21"/>
                <w:lang w:val="en-US" w:eastAsia="zh-CN"/>
              </w:rPr>
            </w:pPr>
            <w:r>
              <w:rPr>
                <w:rFonts w:hint="default"/>
                <w:sz w:val="21"/>
                <w:szCs w:val="21"/>
                <w:lang w:val="en-US" w:eastAsia="zh-CN"/>
              </w:rPr>
              <w:t>响应文件上法定代表人或其授权代表人的签字齐全。</w:t>
            </w:r>
          </w:p>
        </w:tc>
      </w:tr>
      <w:tr w14:paraId="1A2B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continue"/>
            <w:noWrap w:val="0"/>
            <w:vAlign w:val="center"/>
          </w:tcPr>
          <w:p w14:paraId="2BC5C490">
            <w:pPr>
              <w:pStyle w:val="20"/>
              <w:bidi w:val="0"/>
              <w:spacing w:line="240" w:lineRule="auto"/>
              <w:ind w:left="0" w:leftChars="0" w:firstLine="0" w:firstLineChars="0"/>
              <w:jc w:val="center"/>
              <w:rPr>
                <w:rFonts w:hint="default"/>
                <w:sz w:val="21"/>
                <w:szCs w:val="21"/>
                <w:lang w:val="en-US" w:eastAsia="zh-CN"/>
              </w:rPr>
            </w:pPr>
          </w:p>
        </w:tc>
        <w:tc>
          <w:tcPr>
            <w:tcW w:w="1457" w:type="dxa"/>
            <w:vMerge w:val="continue"/>
            <w:noWrap w:val="0"/>
            <w:vAlign w:val="center"/>
          </w:tcPr>
          <w:p w14:paraId="1AA3CA53">
            <w:pPr>
              <w:pStyle w:val="20"/>
              <w:bidi w:val="0"/>
              <w:spacing w:line="240" w:lineRule="auto"/>
              <w:ind w:left="0" w:leftChars="0" w:firstLine="0" w:firstLineChars="0"/>
              <w:jc w:val="left"/>
              <w:rPr>
                <w:rFonts w:hint="default"/>
                <w:sz w:val="21"/>
                <w:szCs w:val="21"/>
                <w:lang w:val="en-US" w:eastAsia="zh-CN"/>
              </w:rPr>
            </w:pPr>
          </w:p>
        </w:tc>
        <w:tc>
          <w:tcPr>
            <w:tcW w:w="1737" w:type="dxa"/>
            <w:shd w:val="clear" w:color="auto" w:fill="auto"/>
            <w:noWrap w:val="0"/>
            <w:vAlign w:val="center"/>
          </w:tcPr>
          <w:p w14:paraId="3B542875">
            <w:pPr>
              <w:pStyle w:val="20"/>
              <w:bidi w:val="0"/>
              <w:spacing w:line="240" w:lineRule="auto"/>
              <w:ind w:left="0" w:leftChars="0" w:firstLine="0" w:firstLineChars="0"/>
              <w:rPr>
                <w:rFonts w:hint="default"/>
                <w:sz w:val="21"/>
                <w:szCs w:val="21"/>
                <w:lang w:val="en-US" w:eastAsia="zh-CN"/>
              </w:rPr>
            </w:pPr>
            <w:r>
              <w:rPr>
                <w:rFonts w:hint="eastAsia"/>
                <w:sz w:val="21"/>
                <w:szCs w:val="21"/>
                <w:lang w:val="en-US" w:eastAsia="zh-CN"/>
              </w:rPr>
              <w:t>法定代表人身份证明及授权委托书</w:t>
            </w:r>
          </w:p>
        </w:tc>
        <w:tc>
          <w:tcPr>
            <w:tcW w:w="5656" w:type="dxa"/>
            <w:shd w:val="clear" w:color="auto" w:fill="auto"/>
            <w:noWrap w:val="0"/>
            <w:vAlign w:val="center"/>
          </w:tcPr>
          <w:p w14:paraId="326E05A6">
            <w:pPr>
              <w:pStyle w:val="20"/>
              <w:bidi w:val="0"/>
              <w:spacing w:line="240" w:lineRule="auto"/>
              <w:ind w:left="0" w:leftChars="0" w:firstLine="0" w:firstLineChars="0"/>
              <w:rPr>
                <w:rFonts w:hint="default"/>
                <w:sz w:val="21"/>
                <w:szCs w:val="21"/>
                <w:lang w:val="en-US" w:eastAsia="zh-CN"/>
              </w:rPr>
            </w:pPr>
            <w:r>
              <w:rPr>
                <w:rFonts w:hint="eastAsia"/>
                <w:sz w:val="21"/>
                <w:szCs w:val="21"/>
                <w:lang w:val="en-US" w:eastAsia="zh-CN"/>
              </w:rPr>
              <w:t>法定代表人身份证明及授权委托书有效，符合竞争性磋商文件规定的格式，签署或盖章齐全。</w:t>
            </w:r>
          </w:p>
        </w:tc>
      </w:tr>
      <w:tr w14:paraId="6864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noWrap w:val="0"/>
            <w:vAlign w:val="center"/>
          </w:tcPr>
          <w:p w14:paraId="1CFF19EA">
            <w:pPr>
              <w:pStyle w:val="20"/>
              <w:bidi w:val="0"/>
              <w:spacing w:line="240" w:lineRule="auto"/>
              <w:jc w:val="center"/>
              <w:rPr>
                <w:rFonts w:hint="default"/>
                <w:sz w:val="21"/>
                <w:szCs w:val="21"/>
                <w:lang w:val="en-US" w:eastAsia="zh-CN"/>
              </w:rPr>
            </w:pPr>
          </w:p>
        </w:tc>
        <w:tc>
          <w:tcPr>
            <w:tcW w:w="1457" w:type="dxa"/>
            <w:vMerge w:val="continue"/>
            <w:noWrap w:val="0"/>
            <w:vAlign w:val="center"/>
          </w:tcPr>
          <w:p w14:paraId="238178B9">
            <w:pPr>
              <w:pStyle w:val="20"/>
              <w:bidi w:val="0"/>
              <w:spacing w:line="240" w:lineRule="auto"/>
              <w:jc w:val="left"/>
              <w:rPr>
                <w:rFonts w:hint="default"/>
                <w:sz w:val="21"/>
                <w:szCs w:val="21"/>
                <w:lang w:val="en-US" w:eastAsia="zh-CN"/>
              </w:rPr>
            </w:pPr>
          </w:p>
        </w:tc>
        <w:tc>
          <w:tcPr>
            <w:tcW w:w="1737" w:type="dxa"/>
            <w:noWrap w:val="0"/>
            <w:vAlign w:val="center"/>
          </w:tcPr>
          <w:p w14:paraId="4B524A84">
            <w:pPr>
              <w:pStyle w:val="20"/>
              <w:bidi w:val="0"/>
              <w:spacing w:line="240" w:lineRule="auto"/>
              <w:ind w:left="0" w:leftChars="0" w:firstLine="0" w:firstLineChars="0"/>
              <w:rPr>
                <w:rFonts w:hint="default"/>
                <w:sz w:val="21"/>
                <w:szCs w:val="21"/>
                <w:lang w:val="zh-CN" w:eastAsia="zh-CN"/>
              </w:rPr>
            </w:pPr>
            <w:r>
              <w:rPr>
                <w:rFonts w:hint="default"/>
                <w:sz w:val="21"/>
                <w:szCs w:val="21"/>
                <w:lang w:val="zh-CN" w:eastAsia="zh-CN"/>
              </w:rPr>
              <w:t>投标方案</w:t>
            </w:r>
          </w:p>
        </w:tc>
        <w:tc>
          <w:tcPr>
            <w:tcW w:w="5656" w:type="dxa"/>
            <w:noWrap w:val="0"/>
            <w:vAlign w:val="center"/>
          </w:tcPr>
          <w:p w14:paraId="483D3332">
            <w:pPr>
              <w:pStyle w:val="20"/>
              <w:bidi w:val="0"/>
              <w:spacing w:line="240" w:lineRule="auto"/>
              <w:ind w:left="0" w:leftChars="0" w:firstLine="0" w:firstLineChars="0"/>
              <w:rPr>
                <w:rFonts w:hint="default"/>
                <w:sz w:val="21"/>
                <w:szCs w:val="21"/>
                <w:lang w:val="en-US" w:eastAsia="zh-CN"/>
              </w:rPr>
            </w:pPr>
            <w:r>
              <w:rPr>
                <w:rFonts w:hint="default"/>
                <w:sz w:val="21"/>
                <w:szCs w:val="21"/>
                <w:lang w:val="zh-CN" w:eastAsia="zh-CN"/>
              </w:rPr>
              <w:t>只能有一个方案投标。</w:t>
            </w:r>
          </w:p>
        </w:tc>
      </w:tr>
      <w:tr w14:paraId="0FD4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noWrap w:val="0"/>
            <w:vAlign w:val="center"/>
          </w:tcPr>
          <w:p w14:paraId="0246F223">
            <w:pPr>
              <w:pStyle w:val="20"/>
              <w:bidi w:val="0"/>
              <w:spacing w:line="240" w:lineRule="auto"/>
              <w:jc w:val="center"/>
              <w:rPr>
                <w:rFonts w:hint="default"/>
                <w:sz w:val="21"/>
                <w:szCs w:val="21"/>
                <w:lang w:val="en-US" w:eastAsia="zh-CN"/>
              </w:rPr>
            </w:pPr>
          </w:p>
        </w:tc>
        <w:tc>
          <w:tcPr>
            <w:tcW w:w="1457" w:type="dxa"/>
            <w:vMerge w:val="continue"/>
            <w:noWrap w:val="0"/>
            <w:vAlign w:val="center"/>
          </w:tcPr>
          <w:p w14:paraId="7867883B">
            <w:pPr>
              <w:pStyle w:val="20"/>
              <w:bidi w:val="0"/>
              <w:spacing w:line="240" w:lineRule="auto"/>
              <w:jc w:val="left"/>
              <w:rPr>
                <w:rFonts w:hint="default"/>
                <w:sz w:val="21"/>
                <w:szCs w:val="21"/>
                <w:lang w:val="en-US" w:eastAsia="zh-CN"/>
              </w:rPr>
            </w:pPr>
          </w:p>
        </w:tc>
        <w:tc>
          <w:tcPr>
            <w:tcW w:w="1737" w:type="dxa"/>
            <w:noWrap w:val="0"/>
            <w:vAlign w:val="center"/>
          </w:tcPr>
          <w:p w14:paraId="5EEC2326">
            <w:pPr>
              <w:pStyle w:val="20"/>
              <w:bidi w:val="0"/>
              <w:spacing w:line="240" w:lineRule="auto"/>
              <w:ind w:left="0" w:leftChars="0" w:firstLine="0" w:firstLineChars="0"/>
              <w:rPr>
                <w:rFonts w:hint="default"/>
                <w:sz w:val="21"/>
                <w:szCs w:val="21"/>
                <w:lang w:val="zh-CN" w:eastAsia="zh-CN"/>
              </w:rPr>
            </w:pPr>
            <w:r>
              <w:rPr>
                <w:rFonts w:hint="default"/>
                <w:sz w:val="21"/>
                <w:szCs w:val="21"/>
                <w:lang w:val="en-US" w:eastAsia="zh-CN"/>
              </w:rPr>
              <w:t>报价唯一</w:t>
            </w:r>
          </w:p>
        </w:tc>
        <w:tc>
          <w:tcPr>
            <w:tcW w:w="5656" w:type="dxa"/>
            <w:noWrap w:val="0"/>
            <w:vAlign w:val="center"/>
          </w:tcPr>
          <w:p w14:paraId="24D780B7">
            <w:pPr>
              <w:pStyle w:val="20"/>
              <w:bidi w:val="0"/>
              <w:spacing w:line="240" w:lineRule="auto"/>
              <w:ind w:left="0" w:leftChars="0" w:firstLine="0" w:firstLineChars="0"/>
              <w:rPr>
                <w:rFonts w:hint="default"/>
                <w:sz w:val="21"/>
                <w:szCs w:val="21"/>
                <w:lang w:val="en-US" w:eastAsia="zh-CN"/>
              </w:rPr>
            </w:pPr>
            <w:r>
              <w:rPr>
                <w:rFonts w:hint="default"/>
                <w:sz w:val="21"/>
                <w:szCs w:val="21"/>
                <w:lang w:val="zh-CN" w:eastAsia="zh-CN"/>
              </w:rPr>
              <w:t>只能在预算金额和最高限价内报价，</w:t>
            </w:r>
            <w:r>
              <w:rPr>
                <w:rFonts w:hint="default"/>
                <w:sz w:val="21"/>
                <w:szCs w:val="21"/>
                <w:lang w:val="en-US" w:eastAsia="zh-CN"/>
              </w:rPr>
              <w:t>只能有一个有效报价，不得提交选择性报价。</w:t>
            </w:r>
          </w:p>
        </w:tc>
      </w:tr>
      <w:tr w14:paraId="074A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noWrap w:val="0"/>
            <w:vAlign w:val="center"/>
          </w:tcPr>
          <w:p w14:paraId="0DBB8E0C">
            <w:pPr>
              <w:pStyle w:val="20"/>
              <w:bidi w:val="0"/>
              <w:spacing w:line="240" w:lineRule="auto"/>
              <w:ind w:left="0" w:leftChars="0" w:firstLine="0" w:firstLineChars="0"/>
              <w:jc w:val="center"/>
              <w:rPr>
                <w:rFonts w:hint="default"/>
                <w:sz w:val="21"/>
                <w:szCs w:val="21"/>
                <w:lang w:val="en-US" w:eastAsia="zh-CN"/>
              </w:rPr>
            </w:pPr>
            <w:r>
              <w:rPr>
                <w:rFonts w:hint="default"/>
                <w:sz w:val="21"/>
                <w:szCs w:val="21"/>
                <w:lang w:val="en-US" w:eastAsia="zh-CN"/>
              </w:rPr>
              <w:t>2</w:t>
            </w:r>
          </w:p>
        </w:tc>
        <w:tc>
          <w:tcPr>
            <w:tcW w:w="1457" w:type="dxa"/>
            <w:noWrap w:val="0"/>
            <w:vAlign w:val="center"/>
          </w:tcPr>
          <w:p w14:paraId="4133400E">
            <w:pPr>
              <w:pStyle w:val="20"/>
              <w:bidi w:val="0"/>
              <w:spacing w:line="240" w:lineRule="auto"/>
              <w:ind w:left="0" w:leftChars="0" w:firstLine="0" w:firstLineChars="0"/>
              <w:jc w:val="left"/>
              <w:rPr>
                <w:rFonts w:hint="default"/>
                <w:sz w:val="21"/>
                <w:szCs w:val="21"/>
                <w:lang w:val="en-US" w:eastAsia="zh-CN"/>
              </w:rPr>
            </w:pPr>
            <w:r>
              <w:rPr>
                <w:rFonts w:hint="default"/>
                <w:sz w:val="21"/>
                <w:szCs w:val="21"/>
                <w:lang w:val="en-US" w:eastAsia="zh-CN"/>
              </w:rPr>
              <w:t>完整性审查</w:t>
            </w:r>
          </w:p>
        </w:tc>
        <w:tc>
          <w:tcPr>
            <w:tcW w:w="1737" w:type="dxa"/>
            <w:noWrap w:val="0"/>
            <w:vAlign w:val="center"/>
          </w:tcPr>
          <w:p w14:paraId="51D45911">
            <w:pPr>
              <w:pStyle w:val="20"/>
              <w:bidi w:val="0"/>
              <w:spacing w:line="240" w:lineRule="auto"/>
              <w:ind w:left="0" w:leftChars="0" w:firstLine="0" w:firstLineChars="0"/>
              <w:rPr>
                <w:rFonts w:hint="default"/>
                <w:sz w:val="21"/>
                <w:szCs w:val="21"/>
                <w:lang w:val="en-US" w:eastAsia="zh-CN"/>
              </w:rPr>
            </w:pPr>
            <w:r>
              <w:rPr>
                <w:rFonts w:hint="default"/>
                <w:sz w:val="21"/>
                <w:szCs w:val="21"/>
                <w:lang w:val="zh-CN" w:eastAsia="zh-CN"/>
              </w:rPr>
              <w:t>响应文件份数</w:t>
            </w:r>
          </w:p>
        </w:tc>
        <w:tc>
          <w:tcPr>
            <w:tcW w:w="5656" w:type="dxa"/>
            <w:noWrap w:val="0"/>
            <w:vAlign w:val="center"/>
          </w:tcPr>
          <w:p w14:paraId="7DFF0C93">
            <w:pPr>
              <w:pStyle w:val="20"/>
              <w:bidi w:val="0"/>
              <w:spacing w:line="240" w:lineRule="auto"/>
              <w:ind w:left="0" w:leftChars="0" w:firstLine="0" w:firstLineChars="0"/>
              <w:rPr>
                <w:rFonts w:hint="default"/>
                <w:sz w:val="21"/>
                <w:szCs w:val="21"/>
                <w:lang w:val="en-US" w:eastAsia="zh-CN"/>
              </w:rPr>
            </w:pPr>
            <w:r>
              <w:rPr>
                <w:rFonts w:hint="default"/>
                <w:sz w:val="21"/>
                <w:szCs w:val="21"/>
                <w:lang w:val="zh-CN" w:eastAsia="zh-CN"/>
              </w:rPr>
              <w:t>响应文件正、副本数量符合</w:t>
            </w:r>
            <w:r>
              <w:rPr>
                <w:rFonts w:hint="eastAsia"/>
                <w:sz w:val="21"/>
                <w:szCs w:val="21"/>
                <w:lang w:val="zh-CN" w:eastAsia="zh-CN"/>
              </w:rPr>
              <w:t>竞争性磋商</w:t>
            </w:r>
            <w:r>
              <w:rPr>
                <w:rFonts w:hint="default"/>
                <w:sz w:val="21"/>
                <w:szCs w:val="21"/>
                <w:lang w:val="zh-CN" w:eastAsia="zh-CN"/>
              </w:rPr>
              <w:t>文件要求。</w:t>
            </w:r>
          </w:p>
        </w:tc>
      </w:tr>
      <w:tr w14:paraId="5FD8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Merge w:val="restart"/>
            <w:noWrap w:val="0"/>
            <w:vAlign w:val="center"/>
          </w:tcPr>
          <w:p w14:paraId="27A8B3FA">
            <w:pPr>
              <w:pStyle w:val="20"/>
              <w:bidi w:val="0"/>
              <w:spacing w:line="240" w:lineRule="auto"/>
              <w:ind w:left="0" w:leftChars="0" w:firstLine="0" w:firstLineChars="0"/>
              <w:jc w:val="center"/>
              <w:rPr>
                <w:rFonts w:hint="default"/>
                <w:sz w:val="21"/>
                <w:szCs w:val="21"/>
                <w:lang w:val="en-US" w:eastAsia="zh-CN"/>
              </w:rPr>
            </w:pPr>
            <w:r>
              <w:rPr>
                <w:rFonts w:hint="eastAsia"/>
                <w:sz w:val="21"/>
                <w:szCs w:val="21"/>
                <w:lang w:val="en-US" w:eastAsia="zh-CN"/>
              </w:rPr>
              <w:t>3</w:t>
            </w:r>
          </w:p>
        </w:tc>
        <w:tc>
          <w:tcPr>
            <w:tcW w:w="1457" w:type="dxa"/>
            <w:vMerge w:val="restart"/>
            <w:noWrap w:val="0"/>
            <w:vAlign w:val="center"/>
          </w:tcPr>
          <w:p w14:paraId="34EE3ECA">
            <w:pPr>
              <w:pStyle w:val="20"/>
              <w:bidi w:val="0"/>
              <w:spacing w:line="240" w:lineRule="auto"/>
              <w:ind w:left="0" w:leftChars="0" w:firstLine="0" w:firstLineChars="0"/>
              <w:jc w:val="left"/>
              <w:rPr>
                <w:rFonts w:hint="default"/>
                <w:sz w:val="21"/>
                <w:szCs w:val="21"/>
                <w:lang w:val="en-US" w:eastAsia="zh-CN"/>
              </w:rPr>
            </w:pPr>
            <w:r>
              <w:rPr>
                <w:rFonts w:hint="eastAsia"/>
                <w:sz w:val="21"/>
                <w:szCs w:val="21"/>
                <w:lang w:val="en-US" w:eastAsia="zh-CN"/>
              </w:rPr>
              <w:t>响应程度审查</w:t>
            </w:r>
          </w:p>
        </w:tc>
        <w:tc>
          <w:tcPr>
            <w:tcW w:w="1737" w:type="dxa"/>
            <w:shd w:val="clear" w:color="auto" w:fill="auto"/>
            <w:noWrap w:val="0"/>
            <w:vAlign w:val="center"/>
          </w:tcPr>
          <w:p w14:paraId="65B17646">
            <w:pPr>
              <w:pStyle w:val="20"/>
              <w:bidi w:val="0"/>
              <w:spacing w:line="240" w:lineRule="auto"/>
              <w:ind w:left="0" w:leftChars="0" w:firstLine="0" w:firstLineChars="0"/>
              <w:jc w:val="left"/>
              <w:rPr>
                <w:rFonts w:hint="default" w:ascii="方正仿宋_GBK" w:hAnsi="方正仿宋_GBK" w:eastAsia="方正仿宋_GBK" w:cs="方正仿宋_GBK"/>
                <w:kern w:val="2"/>
                <w:sz w:val="21"/>
                <w:szCs w:val="21"/>
                <w:lang w:val="zh-CN" w:eastAsia="zh-CN" w:bidi="ar-SA"/>
              </w:rPr>
            </w:pPr>
            <w:r>
              <w:rPr>
                <w:rFonts w:hint="default"/>
                <w:sz w:val="21"/>
                <w:szCs w:val="21"/>
                <w:lang w:val="en-US" w:eastAsia="zh-CN"/>
              </w:rPr>
              <w:t>投标有效期</w:t>
            </w:r>
          </w:p>
        </w:tc>
        <w:tc>
          <w:tcPr>
            <w:tcW w:w="5656" w:type="dxa"/>
            <w:shd w:val="clear" w:color="auto" w:fill="auto"/>
            <w:noWrap w:val="0"/>
            <w:vAlign w:val="center"/>
          </w:tcPr>
          <w:p w14:paraId="108FCB2F">
            <w:pPr>
              <w:pStyle w:val="20"/>
              <w:bidi w:val="0"/>
              <w:spacing w:line="240" w:lineRule="auto"/>
              <w:ind w:left="0" w:leftChars="0" w:firstLine="0" w:firstLineChars="0"/>
              <w:rPr>
                <w:rFonts w:hint="default" w:ascii="方正仿宋_GBK" w:hAnsi="方正仿宋_GBK" w:eastAsia="方正仿宋_GBK" w:cs="方正仿宋_GBK"/>
                <w:kern w:val="2"/>
                <w:sz w:val="21"/>
                <w:szCs w:val="21"/>
                <w:lang w:val="zh-CN" w:eastAsia="zh-CN" w:bidi="ar-SA"/>
              </w:rPr>
            </w:pPr>
            <w:r>
              <w:rPr>
                <w:rFonts w:hint="default"/>
                <w:sz w:val="21"/>
                <w:szCs w:val="21"/>
                <w:lang w:val="en-US" w:eastAsia="zh-CN"/>
              </w:rPr>
              <w:t>投标有效期为投标截止日期后九十天内</w:t>
            </w:r>
            <w:r>
              <w:rPr>
                <w:rFonts w:hint="eastAsia"/>
                <w:sz w:val="21"/>
                <w:szCs w:val="21"/>
                <w:lang w:val="en-US" w:eastAsia="zh-CN"/>
              </w:rPr>
              <w:t>。</w:t>
            </w:r>
          </w:p>
        </w:tc>
      </w:tr>
      <w:tr w14:paraId="790D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Merge w:val="continue"/>
            <w:noWrap w:val="0"/>
            <w:vAlign w:val="center"/>
          </w:tcPr>
          <w:p w14:paraId="255C405F">
            <w:pPr>
              <w:pStyle w:val="20"/>
              <w:bidi w:val="0"/>
              <w:spacing w:line="240" w:lineRule="auto"/>
              <w:ind w:left="0" w:leftChars="0" w:firstLine="0" w:firstLineChars="0"/>
              <w:jc w:val="center"/>
              <w:rPr>
                <w:rFonts w:hint="default"/>
                <w:sz w:val="21"/>
                <w:szCs w:val="21"/>
                <w:lang w:val="en-US" w:eastAsia="zh-CN"/>
              </w:rPr>
            </w:pPr>
          </w:p>
        </w:tc>
        <w:tc>
          <w:tcPr>
            <w:tcW w:w="1457" w:type="dxa"/>
            <w:vMerge w:val="continue"/>
            <w:noWrap w:val="0"/>
            <w:vAlign w:val="center"/>
          </w:tcPr>
          <w:p w14:paraId="1F1BD514">
            <w:pPr>
              <w:pStyle w:val="20"/>
              <w:bidi w:val="0"/>
              <w:spacing w:line="240" w:lineRule="auto"/>
              <w:ind w:left="0" w:leftChars="0" w:firstLine="0" w:firstLineChars="0"/>
              <w:jc w:val="left"/>
              <w:rPr>
                <w:rFonts w:hint="default"/>
                <w:sz w:val="21"/>
                <w:szCs w:val="21"/>
                <w:lang w:val="en-US" w:eastAsia="zh-CN"/>
              </w:rPr>
            </w:pPr>
          </w:p>
        </w:tc>
        <w:tc>
          <w:tcPr>
            <w:tcW w:w="1737" w:type="dxa"/>
            <w:shd w:val="clear" w:color="auto" w:fill="auto"/>
            <w:noWrap w:val="0"/>
            <w:vAlign w:val="center"/>
          </w:tcPr>
          <w:p w14:paraId="3AE4DE10">
            <w:pPr>
              <w:pStyle w:val="20"/>
              <w:bidi w:val="0"/>
              <w:spacing w:line="240" w:lineRule="auto"/>
              <w:ind w:left="0" w:leftChars="0" w:firstLine="0" w:firstLineChars="0"/>
              <w:jc w:val="left"/>
              <w:rPr>
                <w:rFonts w:hint="default" w:ascii="方正仿宋_GBK" w:hAnsi="方正仿宋_GBK" w:eastAsia="方正仿宋_GBK" w:cs="方正仿宋_GBK"/>
                <w:kern w:val="2"/>
                <w:sz w:val="21"/>
                <w:szCs w:val="21"/>
                <w:lang w:val="zh-CN" w:eastAsia="zh-CN" w:bidi="ar-SA"/>
              </w:rPr>
            </w:pPr>
            <w:r>
              <w:rPr>
                <w:rFonts w:hint="eastAsia"/>
                <w:sz w:val="21"/>
                <w:szCs w:val="21"/>
                <w:lang w:val="en-US" w:eastAsia="zh-CN"/>
              </w:rPr>
              <w:t>服务</w:t>
            </w:r>
            <w:r>
              <w:rPr>
                <w:rFonts w:hint="default"/>
                <w:sz w:val="21"/>
                <w:szCs w:val="21"/>
                <w:lang w:val="en-US" w:eastAsia="zh-CN"/>
              </w:rPr>
              <w:t>部分</w:t>
            </w:r>
          </w:p>
        </w:tc>
        <w:tc>
          <w:tcPr>
            <w:tcW w:w="5656" w:type="dxa"/>
            <w:shd w:val="clear" w:color="auto" w:fill="auto"/>
            <w:noWrap w:val="0"/>
            <w:vAlign w:val="center"/>
          </w:tcPr>
          <w:p w14:paraId="14B61BF5">
            <w:pPr>
              <w:pStyle w:val="20"/>
              <w:bidi w:val="0"/>
              <w:spacing w:line="240" w:lineRule="auto"/>
              <w:ind w:left="0" w:leftChars="0" w:firstLine="0" w:firstLineChars="0"/>
              <w:rPr>
                <w:rFonts w:hint="default" w:ascii="方正仿宋_GBK" w:hAnsi="方正仿宋_GBK" w:eastAsia="方正仿宋_GBK" w:cs="方正仿宋_GBK"/>
                <w:kern w:val="2"/>
                <w:sz w:val="21"/>
                <w:szCs w:val="21"/>
                <w:lang w:val="zh-CN" w:eastAsia="zh-CN" w:bidi="ar-SA"/>
              </w:rPr>
            </w:pPr>
            <w:r>
              <w:rPr>
                <w:rFonts w:hint="default"/>
                <w:sz w:val="21"/>
                <w:szCs w:val="21"/>
                <w:lang w:val="en-US" w:eastAsia="zh-CN"/>
              </w:rPr>
              <w:t>本</w:t>
            </w:r>
            <w:r>
              <w:rPr>
                <w:rFonts w:hint="eastAsia"/>
                <w:sz w:val="21"/>
                <w:szCs w:val="21"/>
                <w:lang w:val="en-US" w:eastAsia="zh-CN"/>
              </w:rPr>
              <w:t>竞争性磋商</w:t>
            </w:r>
            <w:r>
              <w:rPr>
                <w:rFonts w:hint="default"/>
                <w:sz w:val="21"/>
                <w:szCs w:val="21"/>
                <w:lang w:val="en-US" w:eastAsia="zh-CN"/>
              </w:rPr>
              <w:t>文件第二篇中全部内容响应无负偏离</w:t>
            </w:r>
            <w:r>
              <w:rPr>
                <w:rFonts w:hint="eastAsia"/>
                <w:sz w:val="21"/>
                <w:szCs w:val="21"/>
                <w:lang w:val="en-US" w:eastAsia="zh-CN"/>
              </w:rPr>
              <w:t>。</w:t>
            </w:r>
          </w:p>
        </w:tc>
      </w:tr>
      <w:tr w14:paraId="7361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Merge w:val="continue"/>
            <w:noWrap w:val="0"/>
            <w:vAlign w:val="center"/>
          </w:tcPr>
          <w:p w14:paraId="0C76D22A">
            <w:pPr>
              <w:pStyle w:val="20"/>
              <w:bidi w:val="0"/>
              <w:spacing w:line="240" w:lineRule="auto"/>
              <w:ind w:left="0" w:leftChars="0" w:firstLine="0" w:firstLineChars="0"/>
              <w:jc w:val="center"/>
              <w:rPr>
                <w:rFonts w:hint="default"/>
                <w:sz w:val="21"/>
                <w:szCs w:val="21"/>
                <w:lang w:val="en-US" w:eastAsia="zh-CN"/>
              </w:rPr>
            </w:pPr>
          </w:p>
        </w:tc>
        <w:tc>
          <w:tcPr>
            <w:tcW w:w="1457" w:type="dxa"/>
            <w:vMerge w:val="continue"/>
            <w:noWrap w:val="0"/>
            <w:vAlign w:val="center"/>
          </w:tcPr>
          <w:p w14:paraId="59E47978">
            <w:pPr>
              <w:pStyle w:val="20"/>
              <w:bidi w:val="0"/>
              <w:spacing w:line="240" w:lineRule="auto"/>
              <w:ind w:left="0" w:leftChars="0" w:firstLine="0" w:firstLineChars="0"/>
              <w:jc w:val="left"/>
              <w:rPr>
                <w:rFonts w:hint="default"/>
                <w:sz w:val="21"/>
                <w:szCs w:val="21"/>
                <w:lang w:val="en-US" w:eastAsia="zh-CN"/>
              </w:rPr>
            </w:pPr>
          </w:p>
        </w:tc>
        <w:tc>
          <w:tcPr>
            <w:tcW w:w="1737" w:type="dxa"/>
            <w:shd w:val="clear" w:color="auto" w:fill="auto"/>
            <w:noWrap w:val="0"/>
            <w:vAlign w:val="center"/>
          </w:tcPr>
          <w:p w14:paraId="1F2AABCE">
            <w:pPr>
              <w:pStyle w:val="20"/>
              <w:bidi w:val="0"/>
              <w:spacing w:line="240" w:lineRule="auto"/>
              <w:ind w:left="0" w:leftChars="0" w:firstLine="0" w:firstLineChars="0"/>
              <w:jc w:val="left"/>
              <w:rPr>
                <w:rFonts w:hint="default" w:ascii="方正仿宋_GBK" w:hAnsi="方正仿宋_GBK" w:eastAsia="方正仿宋_GBK" w:cs="方正仿宋_GBK"/>
                <w:kern w:val="2"/>
                <w:sz w:val="21"/>
                <w:szCs w:val="21"/>
                <w:lang w:val="zh-CN" w:eastAsia="zh-CN" w:bidi="ar-SA"/>
              </w:rPr>
            </w:pPr>
            <w:r>
              <w:rPr>
                <w:rFonts w:hint="default"/>
                <w:sz w:val="21"/>
                <w:szCs w:val="21"/>
                <w:lang w:val="en-US" w:eastAsia="zh-CN"/>
              </w:rPr>
              <w:t>商务部分</w:t>
            </w:r>
          </w:p>
        </w:tc>
        <w:tc>
          <w:tcPr>
            <w:tcW w:w="5656" w:type="dxa"/>
            <w:shd w:val="clear" w:color="auto" w:fill="auto"/>
            <w:noWrap w:val="0"/>
            <w:vAlign w:val="center"/>
          </w:tcPr>
          <w:p w14:paraId="49BBF11C">
            <w:pPr>
              <w:pStyle w:val="20"/>
              <w:bidi w:val="0"/>
              <w:spacing w:line="240" w:lineRule="auto"/>
              <w:ind w:left="0" w:leftChars="0" w:firstLine="0" w:firstLineChars="0"/>
              <w:rPr>
                <w:rFonts w:hint="default" w:ascii="方正仿宋_GBK" w:hAnsi="方正仿宋_GBK" w:eastAsia="方正仿宋_GBK" w:cs="方正仿宋_GBK"/>
                <w:kern w:val="2"/>
                <w:sz w:val="21"/>
                <w:szCs w:val="21"/>
                <w:lang w:val="zh-CN" w:eastAsia="zh-CN" w:bidi="ar-SA"/>
              </w:rPr>
            </w:pPr>
            <w:r>
              <w:rPr>
                <w:rFonts w:hint="default"/>
                <w:sz w:val="21"/>
                <w:szCs w:val="21"/>
                <w:lang w:val="en-US" w:eastAsia="zh-CN"/>
              </w:rPr>
              <w:t>本</w:t>
            </w:r>
            <w:r>
              <w:rPr>
                <w:rFonts w:hint="eastAsia"/>
                <w:sz w:val="21"/>
                <w:szCs w:val="21"/>
                <w:lang w:val="en-US" w:eastAsia="zh-CN"/>
              </w:rPr>
              <w:t>竞争性磋商</w:t>
            </w:r>
            <w:r>
              <w:rPr>
                <w:rFonts w:hint="default"/>
                <w:sz w:val="21"/>
                <w:szCs w:val="21"/>
                <w:lang w:val="en-US" w:eastAsia="zh-CN"/>
              </w:rPr>
              <w:t>文件第三篇中全部内容响应无负偏离</w:t>
            </w:r>
            <w:r>
              <w:rPr>
                <w:rFonts w:hint="eastAsia"/>
                <w:sz w:val="21"/>
                <w:szCs w:val="21"/>
                <w:lang w:val="en-US" w:eastAsia="zh-CN"/>
              </w:rPr>
              <w:t>。</w:t>
            </w:r>
          </w:p>
        </w:tc>
      </w:tr>
    </w:tbl>
    <w:p w14:paraId="5F354BC2">
      <w:pPr>
        <w:pStyle w:val="20"/>
        <w:numPr>
          <w:ilvl w:val="0"/>
          <w:numId w:val="3"/>
        </w:numPr>
        <w:bidi w:val="0"/>
        <w:rPr>
          <w:rFonts w:hint="default"/>
        </w:rPr>
      </w:pPr>
      <w:r>
        <w:rPr>
          <w:rFonts w:hint="default"/>
          <w:lang w:val="en-US" w:eastAsia="zh-CN"/>
        </w:rPr>
        <w:t>澄清有关问题。</w:t>
      </w:r>
      <w:r>
        <w:rPr>
          <w:rFonts w:hint="eastAsia"/>
        </w:rPr>
        <w:t>磋商小组在对响应文件的有效性、完整性和响应程度进行审查时</w:t>
      </w:r>
      <w:r>
        <w:rPr>
          <w:rFonts w:hint="eastAsia"/>
          <w:lang w:eastAsia="zh-CN"/>
        </w:rPr>
        <w:t>，</w:t>
      </w:r>
      <w:r>
        <w:rPr>
          <w:rFonts w:hint="eastAsia"/>
        </w:rPr>
        <w:t>可以要求供应商</w:t>
      </w:r>
      <w:r>
        <w:rPr>
          <w:rFonts w:hint="default"/>
        </w:rPr>
        <w:t>对</w:t>
      </w:r>
      <w:r>
        <w:rPr>
          <w:rFonts w:hint="default"/>
          <w:lang w:eastAsia="zh-CN"/>
        </w:rPr>
        <w:t>响应文件</w:t>
      </w:r>
      <w:r>
        <w:rPr>
          <w:rFonts w:hint="default"/>
        </w:rPr>
        <w:t>中含义不明确、同类问题表述不一致或者有明显文字和计算错误的内容作出必要澄清、说明或者纠正。</w:t>
      </w:r>
      <w:r>
        <w:rPr>
          <w:rFonts w:hint="eastAsia"/>
          <w:lang w:eastAsia="zh-CN"/>
        </w:rPr>
        <w:t>供应商</w:t>
      </w:r>
      <w:r>
        <w:rPr>
          <w:rFonts w:hint="default"/>
        </w:rPr>
        <w:t>的澄清、说明或者补正应当采用书面形式，由其法定代表人授权代表签字，其澄清的内容不得超出</w:t>
      </w:r>
      <w:r>
        <w:rPr>
          <w:rFonts w:hint="default"/>
          <w:lang w:eastAsia="zh-CN"/>
        </w:rPr>
        <w:t>响应文件</w:t>
      </w:r>
      <w:r>
        <w:rPr>
          <w:rFonts w:hint="default"/>
        </w:rPr>
        <w:t>的范围或者改变</w:t>
      </w:r>
      <w:r>
        <w:rPr>
          <w:rFonts w:hint="default"/>
          <w:lang w:eastAsia="zh-CN"/>
        </w:rPr>
        <w:t>响应文件</w:t>
      </w:r>
      <w:r>
        <w:rPr>
          <w:rFonts w:hint="default"/>
        </w:rPr>
        <w:t>的实质性内容。</w:t>
      </w:r>
    </w:p>
    <w:p w14:paraId="5FF166E6">
      <w:pPr>
        <w:pStyle w:val="20"/>
        <w:numPr>
          <w:ilvl w:val="0"/>
          <w:numId w:val="3"/>
        </w:numPr>
        <w:bidi w:val="0"/>
        <w:rPr>
          <w:rFonts w:hint="eastAsia"/>
          <w:lang w:val="en-US" w:eastAsia="zh-CN"/>
        </w:rPr>
      </w:pPr>
      <w:r>
        <w:rPr>
          <w:rFonts w:hint="eastAsia"/>
          <w:lang w:val="en-US" w:eastAsia="zh-CN"/>
        </w:rPr>
        <w:t>磋商小组要求供应商澄清、说明或者更正响应文件应当以书面形式作出。供应商的澄清、说明或者更正应当由法定代表人或其授权代表或自然人（供应商为自然人）签署或者加盖公章。由授权代表签署的，应当附法定代表人授权委托书。供应商为自然人的，应当由本人签署并附身份证明。</w:t>
      </w:r>
    </w:p>
    <w:p w14:paraId="04D3D4D6">
      <w:pPr>
        <w:pStyle w:val="20"/>
        <w:numPr>
          <w:ilvl w:val="0"/>
          <w:numId w:val="3"/>
        </w:numPr>
        <w:bidi w:val="0"/>
        <w:rPr>
          <w:rFonts w:hint="eastAsia"/>
          <w:lang w:val="en-US" w:eastAsia="zh-CN"/>
        </w:rPr>
      </w:pPr>
      <w:r>
        <w:rPr>
          <w:rFonts w:hint="eastAsia"/>
          <w:lang w:val="en-US" w:eastAsia="zh-CN"/>
        </w:rPr>
        <w:t>在磋商过程中磋商的任何一方不得向他人透露与磋商有关的服务资料、价格或其他信息。</w:t>
      </w:r>
    </w:p>
    <w:p w14:paraId="30E1584C">
      <w:pPr>
        <w:pStyle w:val="20"/>
        <w:numPr>
          <w:ilvl w:val="0"/>
          <w:numId w:val="3"/>
        </w:numPr>
        <w:bidi w:val="0"/>
        <w:rPr>
          <w:rFonts w:hint="eastAsia"/>
          <w:lang w:val="en-US" w:eastAsia="zh-CN"/>
        </w:rPr>
      </w:pPr>
      <w:r>
        <w:rPr>
          <w:rFonts w:hint="eastAsia"/>
          <w:lang w:val="en-US" w:eastAsia="zh-CN"/>
        </w:rPr>
        <w:t>供应商在磋商时作出的所有书面承诺须由法定代表人或其授权代表或自然人（供应商为自然人）签署。</w:t>
      </w:r>
    </w:p>
    <w:p w14:paraId="40FA1C9F">
      <w:pPr>
        <w:pStyle w:val="20"/>
        <w:numPr>
          <w:ilvl w:val="0"/>
          <w:numId w:val="0"/>
        </w:numPr>
        <w:bidi w:val="0"/>
        <w:ind w:firstLine="480" w:firstLineChars="200"/>
        <w:rPr>
          <w:rFonts w:hint="eastAsia"/>
          <w:lang w:val="en-US" w:eastAsia="zh-CN"/>
        </w:rPr>
      </w:pPr>
      <w:r>
        <w:rPr>
          <w:rFonts w:hint="eastAsia"/>
          <w:lang w:val="en-US" w:eastAsia="zh-CN"/>
        </w:rPr>
        <w:t>（八）经磋商结束后，供应商应当按照竞争性磋商小组的要求书面提交最后报价及有关承诺（《最后报价表》在磋商现场向供应商提供）。已提交响应文件但未在规定时间内进行最后报价的供应商，视为放弃最后报价，以供应商响应文件中的报价为准。</w:t>
      </w:r>
    </w:p>
    <w:p w14:paraId="1EE99EDC">
      <w:pPr>
        <w:pStyle w:val="20"/>
        <w:numPr>
          <w:ilvl w:val="0"/>
          <w:numId w:val="0"/>
        </w:numPr>
        <w:bidi w:val="0"/>
        <w:ind w:firstLine="480" w:firstLineChars="200"/>
        <w:rPr>
          <w:rFonts w:hint="eastAsia" w:ascii="Times New Roman" w:hAnsi="Times New Roman" w:eastAsia="方正仿宋_GBK" w:cs="Times New Roman"/>
          <w:color w:val="000000"/>
          <w:kern w:val="2"/>
          <w:sz w:val="24"/>
          <w:szCs w:val="24"/>
          <w:lang w:val="en-US" w:eastAsia="zh-CN" w:bidi="ar-SA"/>
        </w:rPr>
      </w:pPr>
      <w:r>
        <w:rPr>
          <w:rFonts w:hint="eastAsia"/>
          <w:lang w:val="en-US" w:eastAsia="zh-CN"/>
        </w:rPr>
        <w:t>（九）磋商小组采用综合评分法对提交最后报价的供应商的响应文件和最后报价（含有效书面承诺）进行综合评分。综合评分法，是指响应文件满足竞争性磋商文件全部实质性要求</w:t>
      </w:r>
      <w:r>
        <w:rPr>
          <w:rFonts w:hint="eastAsia" w:ascii="Times New Roman" w:hAnsi="Times New Roman" w:eastAsia="方正仿宋_GBK" w:cs="Times New Roman"/>
          <w:color w:val="000000"/>
          <w:kern w:val="2"/>
          <w:sz w:val="24"/>
          <w:szCs w:val="24"/>
          <w:lang w:val="en-US" w:eastAsia="zh-CN" w:bidi="ar-SA"/>
        </w:rPr>
        <w:t>且按照评审因素的量化指标评审得分最高的供应商为中标候选供应商的评审方法。供应商总得分为价格、服务、商务等评定因素分别按照相应权重值计算分项得分后相加，满分为100分。</w:t>
      </w:r>
    </w:p>
    <w:p w14:paraId="5C715CBF">
      <w:pPr>
        <w:pStyle w:val="20"/>
        <w:bidi w:val="0"/>
        <w:rPr>
          <w:rFonts w:hint="default"/>
        </w:rPr>
      </w:pPr>
      <w:r>
        <w:rPr>
          <w:rFonts w:hint="default"/>
          <w:lang w:val="en-US" w:eastAsia="zh-CN"/>
        </w:rPr>
        <w:t>（</w:t>
      </w:r>
      <w:r>
        <w:rPr>
          <w:rFonts w:hint="eastAsia"/>
          <w:lang w:val="en-US" w:eastAsia="zh-CN"/>
        </w:rPr>
        <w:t>十</w:t>
      </w:r>
      <w:r>
        <w:rPr>
          <w:rFonts w:hint="default"/>
          <w:lang w:val="en-US" w:eastAsia="zh-CN"/>
        </w:rPr>
        <w:t>）</w:t>
      </w:r>
      <w:r>
        <w:rPr>
          <w:rFonts w:hint="eastAsia"/>
          <w:lang w:eastAsia="zh-CN"/>
        </w:rPr>
        <w:t>磋商小组</w:t>
      </w:r>
      <w:r>
        <w:rPr>
          <w:rFonts w:hint="default"/>
        </w:rPr>
        <w:t>各成员独立对每个有效</w:t>
      </w:r>
      <w:r>
        <w:rPr>
          <w:rFonts w:hint="eastAsia"/>
          <w:lang w:eastAsia="zh-CN"/>
        </w:rPr>
        <w:t>供应商</w:t>
      </w:r>
      <w:r>
        <w:rPr>
          <w:rFonts w:hint="default"/>
        </w:rPr>
        <w:t>（通过资格审查、符合性审查的</w:t>
      </w:r>
      <w:r>
        <w:rPr>
          <w:rFonts w:hint="eastAsia"/>
          <w:lang w:eastAsia="zh-CN"/>
        </w:rPr>
        <w:t>供应商</w:t>
      </w:r>
      <w:r>
        <w:rPr>
          <w:rFonts w:hint="default"/>
        </w:rPr>
        <w:t>）的</w:t>
      </w:r>
      <w:r>
        <w:rPr>
          <w:rFonts w:hint="default"/>
          <w:lang w:eastAsia="zh-CN"/>
        </w:rPr>
        <w:t>响应文件</w:t>
      </w:r>
      <w:r>
        <w:rPr>
          <w:rFonts w:hint="default"/>
        </w:rPr>
        <w:t>进行评价、打分，然后由</w:t>
      </w:r>
      <w:r>
        <w:rPr>
          <w:rFonts w:hint="eastAsia"/>
          <w:lang w:eastAsia="zh-CN"/>
        </w:rPr>
        <w:t>磋商小组</w:t>
      </w:r>
      <w:r>
        <w:rPr>
          <w:rFonts w:hint="default"/>
        </w:rPr>
        <w:t>对各成员打分情况进行核查及复核，个别成员对同一</w:t>
      </w:r>
      <w:r>
        <w:rPr>
          <w:rFonts w:hint="eastAsia"/>
          <w:lang w:eastAsia="zh-CN"/>
        </w:rPr>
        <w:t>供应商</w:t>
      </w:r>
      <w:r>
        <w:rPr>
          <w:rFonts w:hint="default"/>
        </w:rPr>
        <w:t>同一评分项的打分偏离较大的，应对</w:t>
      </w:r>
      <w:r>
        <w:rPr>
          <w:rFonts w:hint="eastAsia"/>
          <w:lang w:eastAsia="zh-CN"/>
        </w:rPr>
        <w:t>供应商</w:t>
      </w:r>
      <w:r>
        <w:rPr>
          <w:rFonts w:hint="default"/>
        </w:rPr>
        <w:t>的</w:t>
      </w:r>
      <w:r>
        <w:rPr>
          <w:rFonts w:hint="default"/>
          <w:lang w:eastAsia="zh-CN"/>
        </w:rPr>
        <w:t>响应文件</w:t>
      </w:r>
      <w:r>
        <w:rPr>
          <w:rFonts w:hint="default"/>
        </w:rPr>
        <w:t>进行再次核对，确属打分有误的，应及时进行修正。复核后，</w:t>
      </w:r>
      <w:r>
        <w:rPr>
          <w:rFonts w:hint="eastAsia"/>
          <w:lang w:eastAsia="zh-CN"/>
        </w:rPr>
        <w:t>磋商小组</w:t>
      </w:r>
      <w:r>
        <w:rPr>
          <w:rFonts w:hint="default"/>
        </w:rPr>
        <w:t>汇总每个</w:t>
      </w:r>
      <w:r>
        <w:rPr>
          <w:rFonts w:hint="eastAsia"/>
          <w:lang w:eastAsia="zh-CN"/>
        </w:rPr>
        <w:t>供应商</w:t>
      </w:r>
      <w:r>
        <w:rPr>
          <w:rFonts w:hint="default"/>
        </w:rPr>
        <w:t>每项评分因素的得分。按评审后得分由高到低的排列顺序推荐综合得分排名前三的</w:t>
      </w:r>
      <w:r>
        <w:rPr>
          <w:rFonts w:hint="eastAsia"/>
          <w:lang w:eastAsia="zh-CN"/>
        </w:rPr>
        <w:t>供应商</w:t>
      </w:r>
      <w:r>
        <w:rPr>
          <w:rFonts w:hint="default"/>
        </w:rPr>
        <w:t>为本项目中标候选人，排名第一的为第一中标候选人；得分相同的，按投标报价由低到高顺序排列；得分且投标报价相同的，</w:t>
      </w:r>
      <w:r>
        <w:rPr>
          <w:rFonts w:hint="eastAsia"/>
          <w:lang w:val="en-US" w:eastAsia="zh-CN"/>
        </w:rPr>
        <w:t>按服务</w:t>
      </w:r>
      <w:r>
        <w:rPr>
          <w:rFonts w:hint="default"/>
        </w:rPr>
        <w:t>部分得分由高到低顺序排列</w:t>
      </w:r>
      <w:r>
        <w:rPr>
          <w:rFonts w:hint="eastAsia"/>
          <w:lang w:eastAsia="zh-CN"/>
        </w:rPr>
        <w:t>；</w:t>
      </w:r>
      <w:r>
        <w:rPr>
          <w:rFonts w:hint="default"/>
        </w:rPr>
        <w:t>得分且投标报价相同的，</w:t>
      </w:r>
      <w:r>
        <w:rPr>
          <w:rFonts w:hint="eastAsia"/>
          <w:lang w:val="en-US" w:eastAsia="zh-CN"/>
        </w:rPr>
        <w:t>服务</w:t>
      </w:r>
      <w:r>
        <w:rPr>
          <w:rFonts w:hint="default"/>
        </w:rPr>
        <w:t>部分得分</w:t>
      </w:r>
      <w:r>
        <w:rPr>
          <w:rFonts w:hint="eastAsia"/>
          <w:lang w:val="en-US" w:eastAsia="zh-CN"/>
        </w:rPr>
        <w:t>仍相同的，由投标人代表现场抽签决定成交</w:t>
      </w:r>
      <w:r>
        <w:rPr>
          <w:rFonts w:hint="eastAsia"/>
          <w:lang w:eastAsia="zh-CN"/>
        </w:rPr>
        <w:t>供应商</w:t>
      </w:r>
      <w:r>
        <w:rPr>
          <w:rFonts w:hint="default"/>
        </w:rPr>
        <w:t>。</w:t>
      </w:r>
      <w:bookmarkStart w:id="88" w:name="_Toc98942893"/>
    </w:p>
    <w:p w14:paraId="317CD82C">
      <w:pPr>
        <w:pStyle w:val="21"/>
        <w:bidi w:val="0"/>
        <w:rPr>
          <w:rFonts w:hint="default"/>
        </w:rPr>
      </w:pPr>
      <w:r>
        <w:rPr>
          <w:rFonts w:hint="eastAsia"/>
          <w:lang w:eastAsia="zh-CN"/>
        </w:rPr>
        <w:t>二</w:t>
      </w:r>
      <w:r>
        <w:rPr>
          <w:rFonts w:hint="default"/>
        </w:rPr>
        <w:t>、评</w:t>
      </w:r>
      <w:r>
        <w:rPr>
          <w:rFonts w:hint="eastAsia"/>
          <w:lang w:eastAsia="zh-CN"/>
        </w:rPr>
        <w:t>审</w:t>
      </w:r>
      <w:r>
        <w:rPr>
          <w:rFonts w:hint="default"/>
        </w:rPr>
        <w:t>标准</w:t>
      </w:r>
      <w:bookmarkEnd w:id="8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55"/>
        <w:gridCol w:w="750"/>
        <w:gridCol w:w="4448"/>
        <w:gridCol w:w="2440"/>
      </w:tblGrid>
      <w:tr w14:paraId="017A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0A1E079">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155" w:type="dxa"/>
            <w:noWrap w:val="0"/>
            <w:vAlign w:val="center"/>
          </w:tcPr>
          <w:p w14:paraId="61C2DD3D">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w:t>
            </w:r>
          </w:p>
          <w:p w14:paraId="20C1B2DA">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及权重</w:t>
            </w:r>
          </w:p>
        </w:tc>
        <w:tc>
          <w:tcPr>
            <w:tcW w:w="750" w:type="dxa"/>
            <w:noWrap w:val="0"/>
            <w:vAlign w:val="center"/>
          </w:tcPr>
          <w:p w14:paraId="52FE7C36">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w:t>
            </w:r>
          </w:p>
        </w:tc>
        <w:tc>
          <w:tcPr>
            <w:tcW w:w="4448" w:type="dxa"/>
            <w:noWrap w:val="0"/>
            <w:vAlign w:val="center"/>
          </w:tcPr>
          <w:p w14:paraId="77D9C740">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c>
          <w:tcPr>
            <w:tcW w:w="2440" w:type="dxa"/>
            <w:noWrap w:val="0"/>
            <w:vAlign w:val="center"/>
          </w:tcPr>
          <w:p w14:paraId="2204D38A">
            <w:pPr>
              <w:pStyle w:val="29"/>
              <w:spacing w:before="0" w:after="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14:paraId="2F1F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78F7E6C">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55" w:type="dxa"/>
            <w:noWrap w:val="0"/>
            <w:vAlign w:val="center"/>
          </w:tcPr>
          <w:p w14:paraId="2124E0C3">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p w14:paraId="5D7F2EF3">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w:t>
            </w:r>
          </w:p>
        </w:tc>
        <w:tc>
          <w:tcPr>
            <w:tcW w:w="750" w:type="dxa"/>
            <w:noWrap w:val="0"/>
            <w:vAlign w:val="center"/>
          </w:tcPr>
          <w:p w14:paraId="27BE5BDA">
            <w:pPr>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w:t>
            </w:r>
          </w:p>
        </w:tc>
        <w:tc>
          <w:tcPr>
            <w:tcW w:w="4448" w:type="dxa"/>
            <w:noWrap w:val="0"/>
            <w:vAlign w:val="center"/>
          </w:tcPr>
          <w:p w14:paraId="67E9246A">
            <w:pPr>
              <w:spacing w:line="240" w:lineRule="atLeast"/>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1.1所有</w:t>
            </w:r>
            <w:r>
              <w:rPr>
                <w:rFonts w:hint="eastAsia" w:ascii="仿宋" w:hAnsi="仿宋" w:eastAsia="仿宋" w:cs="仿宋"/>
                <w:color w:val="auto"/>
                <w:sz w:val="21"/>
                <w:szCs w:val="21"/>
                <w:highlight w:val="none"/>
                <w:lang w:eastAsia="zh-CN"/>
              </w:rPr>
              <w:t>有效报价</w:t>
            </w:r>
            <w:r>
              <w:rPr>
                <w:rFonts w:hint="eastAsia" w:ascii="仿宋" w:hAnsi="仿宋" w:eastAsia="仿宋" w:cs="仿宋"/>
                <w:color w:val="auto"/>
                <w:sz w:val="21"/>
                <w:szCs w:val="21"/>
                <w:highlight w:val="none"/>
                <w:lang w:val="en-US" w:eastAsia="zh-CN"/>
              </w:rPr>
              <w:t>的最低报价为评审基准价；</w:t>
            </w:r>
          </w:p>
          <w:p w14:paraId="5535B582">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1.2</w:t>
            </w:r>
            <w:r>
              <w:rPr>
                <w:rFonts w:hint="eastAsia" w:ascii="仿宋" w:hAnsi="仿宋" w:eastAsia="仿宋" w:cs="仿宋"/>
                <w:color w:val="auto"/>
                <w:sz w:val="21"/>
                <w:szCs w:val="21"/>
                <w:highlight w:val="none"/>
                <w:lang w:eastAsia="zh-CN"/>
              </w:rPr>
              <w:t>有效</w:t>
            </w:r>
            <w:r>
              <w:rPr>
                <w:rFonts w:hint="eastAsia" w:ascii="仿宋" w:hAnsi="仿宋" w:eastAsia="仿宋" w:cs="仿宋"/>
                <w:color w:val="auto"/>
                <w:sz w:val="21"/>
                <w:szCs w:val="21"/>
                <w:highlight w:val="none"/>
              </w:rPr>
              <w:t>报价得分＝（评</w:t>
            </w:r>
            <w:r>
              <w:rPr>
                <w:rFonts w:hint="eastAsia" w:ascii="仿宋" w:hAnsi="仿宋" w:eastAsia="仿宋" w:cs="仿宋"/>
                <w:color w:val="auto"/>
                <w:sz w:val="21"/>
                <w:szCs w:val="21"/>
                <w:highlight w:val="none"/>
                <w:lang w:val="en-US" w:eastAsia="zh-CN"/>
              </w:rPr>
              <w:t>审</w:t>
            </w:r>
            <w:r>
              <w:rPr>
                <w:rFonts w:hint="eastAsia" w:ascii="仿宋" w:hAnsi="仿宋" w:eastAsia="仿宋" w:cs="仿宋"/>
                <w:color w:val="auto"/>
                <w:sz w:val="21"/>
                <w:szCs w:val="21"/>
                <w:highlight w:val="none"/>
              </w:rPr>
              <w:t>基准价/</w:t>
            </w:r>
            <w:r>
              <w:rPr>
                <w:rFonts w:hint="eastAsia" w:ascii="仿宋" w:hAnsi="仿宋" w:eastAsia="仿宋" w:cs="仿宋"/>
                <w:color w:val="auto"/>
                <w:sz w:val="21"/>
                <w:szCs w:val="21"/>
                <w:highlight w:val="none"/>
                <w:lang w:val="en-US" w:eastAsia="zh-CN"/>
              </w:rPr>
              <w:t>供应商投标</w:t>
            </w:r>
            <w:r>
              <w:rPr>
                <w:rFonts w:hint="eastAsia" w:ascii="仿宋" w:hAnsi="仿宋" w:eastAsia="仿宋" w:cs="仿宋"/>
                <w:color w:val="auto"/>
                <w:sz w:val="21"/>
                <w:szCs w:val="21"/>
                <w:highlight w:val="none"/>
              </w:rPr>
              <w:t>报价）×价格权重×100</w:t>
            </w:r>
            <w:r>
              <w:rPr>
                <w:rFonts w:hint="eastAsia" w:ascii="方正仿宋_GBK" w:hAnsi="方正仿宋_GBK" w:eastAsia="方正仿宋_GBK" w:cs="方正仿宋_GBK"/>
                <w:color w:val="000000"/>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计算结果保留小数点后两位，第3位四舍五入</w:t>
            </w:r>
            <w:r>
              <w:rPr>
                <w:rFonts w:hint="eastAsia" w:ascii="方正仿宋_GBK" w:hAnsi="方正仿宋_GBK" w:eastAsia="方正仿宋_GBK" w:cs="方正仿宋_GBK"/>
                <w:color w:val="000000"/>
                <w:kern w:val="2"/>
                <w:sz w:val="21"/>
                <w:szCs w:val="21"/>
                <w:highlight w:val="none"/>
                <w:lang w:val="en-US" w:eastAsia="zh-CN" w:bidi="ar-SA"/>
              </w:rPr>
              <w:t>。</w:t>
            </w:r>
          </w:p>
        </w:tc>
        <w:tc>
          <w:tcPr>
            <w:tcW w:w="2440" w:type="dxa"/>
            <w:noWrap w:val="0"/>
            <w:vAlign w:val="center"/>
          </w:tcPr>
          <w:p w14:paraId="4D67EDE6">
            <w:pPr>
              <w:spacing w:line="240" w:lineRule="atLeast"/>
              <w:ind w:left="-38" w:lef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通过资格性检查和符合性检查的</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eastAsia="zh-CN"/>
              </w:rPr>
              <w:t>投标报价</w:t>
            </w:r>
            <w:r>
              <w:rPr>
                <w:rFonts w:hint="eastAsia" w:ascii="仿宋" w:hAnsi="仿宋" w:eastAsia="仿宋" w:cs="仿宋"/>
                <w:color w:val="auto"/>
                <w:sz w:val="21"/>
                <w:szCs w:val="21"/>
                <w:highlight w:val="none"/>
              </w:rPr>
              <w:t>为有效的</w:t>
            </w:r>
            <w:r>
              <w:rPr>
                <w:rFonts w:hint="eastAsia" w:ascii="仿宋" w:hAnsi="仿宋" w:eastAsia="仿宋" w:cs="仿宋"/>
                <w:color w:val="auto"/>
                <w:sz w:val="21"/>
                <w:szCs w:val="21"/>
                <w:highlight w:val="none"/>
                <w:lang w:eastAsia="zh-CN"/>
              </w:rPr>
              <w:t>投标报价</w:t>
            </w:r>
            <w:r>
              <w:rPr>
                <w:rFonts w:hint="eastAsia" w:ascii="仿宋" w:hAnsi="仿宋" w:eastAsia="仿宋" w:cs="仿宋"/>
                <w:color w:val="auto"/>
                <w:sz w:val="21"/>
                <w:szCs w:val="21"/>
                <w:highlight w:val="none"/>
              </w:rPr>
              <w:t>。</w:t>
            </w:r>
            <w:r>
              <w:rPr>
                <w:rFonts w:hint="eastAsia" w:ascii="方正仿宋_GBK" w:hAnsi="方正仿宋_GBK" w:eastAsia="方正仿宋_GBK" w:cs="方正仿宋_GBK"/>
                <w:color w:val="000000"/>
                <w:kern w:val="2"/>
                <w:sz w:val="21"/>
                <w:szCs w:val="21"/>
                <w:highlight w:val="none"/>
                <w:lang w:val="en-US" w:eastAsia="zh-CN" w:bidi="ar-SA"/>
              </w:rPr>
              <w:t>投标报价高于最高限价的投标报价视为无效报价。</w:t>
            </w:r>
          </w:p>
        </w:tc>
      </w:tr>
      <w:tr w14:paraId="4589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835" w:type="dxa"/>
            <w:vMerge w:val="restart"/>
            <w:noWrap w:val="0"/>
            <w:vAlign w:val="center"/>
          </w:tcPr>
          <w:p w14:paraId="75194F4D">
            <w:pPr>
              <w:ind w:firstLine="28"/>
              <w:jc w:val="center"/>
              <w:rPr>
                <w:rFonts w:hint="eastAsia" w:ascii="仿宋" w:hAnsi="仿宋" w:eastAsia="仿宋" w:cs="仿宋"/>
                <w:color w:val="auto"/>
                <w:sz w:val="21"/>
                <w:szCs w:val="21"/>
                <w:highlight w:val="none"/>
              </w:rPr>
            </w:pPr>
          </w:p>
          <w:p w14:paraId="280C1756">
            <w:pPr>
              <w:ind w:firstLine="28"/>
              <w:jc w:val="center"/>
              <w:rPr>
                <w:rFonts w:hint="eastAsia" w:ascii="仿宋" w:hAnsi="仿宋" w:eastAsia="仿宋" w:cs="仿宋"/>
                <w:color w:val="auto"/>
                <w:sz w:val="21"/>
                <w:szCs w:val="21"/>
                <w:highlight w:val="none"/>
              </w:rPr>
            </w:pPr>
          </w:p>
          <w:p w14:paraId="27B1BE45">
            <w:pPr>
              <w:ind w:firstLine="28"/>
              <w:jc w:val="center"/>
              <w:rPr>
                <w:rFonts w:hint="eastAsia" w:ascii="仿宋" w:hAnsi="仿宋" w:eastAsia="仿宋" w:cs="仿宋"/>
                <w:color w:val="auto"/>
                <w:sz w:val="21"/>
                <w:szCs w:val="21"/>
                <w:highlight w:val="none"/>
              </w:rPr>
            </w:pPr>
          </w:p>
          <w:p w14:paraId="13E61C0C">
            <w:pPr>
              <w:ind w:firstLine="28"/>
              <w:jc w:val="center"/>
              <w:rPr>
                <w:rFonts w:hint="eastAsia" w:ascii="仿宋" w:hAnsi="仿宋" w:eastAsia="仿宋" w:cs="仿宋"/>
                <w:color w:val="auto"/>
                <w:sz w:val="21"/>
                <w:szCs w:val="21"/>
                <w:highlight w:val="none"/>
              </w:rPr>
            </w:pPr>
          </w:p>
          <w:p w14:paraId="39908F65">
            <w:pPr>
              <w:ind w:firstLine="28"/>
              <w:jc w:val="center"/>
              <w:rPr>
                <w:rFonts w:hint="eastAsia" w:ascii="仿宋" w:hAnsi="仿宋" w:eastAsia="仿宋" w:cs="仿宋"/>
                <w:color w:val="auto"/>
                <w:sz w:val="21"/>
                <w:szCs w:val="21"/>
                <w:highlight w:val="none"/>
              </w:rPr>
            </w:pPr>
          </w:p>
          <w:p w14:paraId="25DAC5FE">
            <w:pPr>
              <w:ind w:firstLine="28"/>
              <w:jc w:val="center"/>
              <w:rPr>
                <w:rFonts w:hint="eastAsia" w:ascii="仿宋" w:hAnsi="仿宋" w:eastAsia="仿宋" w:cs="仿宋"/>
                <w:color w:val="auto"/>
                <w:sz w:val="21"/>
                <w:szCs w:val="21"/>
                <w:highlight w:val="none"/>
              </w:rPr>
            </w:pPr>
          </w:p>
          <w:p w14:paraId="1EEA074A">
            <w:pPr>
              <w:ind w:firstLine="28"/>
              <w:jc w:val="center"/>
              <w:rPr>
                <w:rFonts w:hint="eastAsia" w:ascii="仿宋" w:hAnsi="仿宋" w:eastAsia="仿宋" w:cs="仿宋"/>
                <w:color w:val="auto"/>
                <w:sz w:val="21"/>
                <w:szCs w:val="21"/>
                <w:highlight w:val="none"/>
              </w:rPr>
            </w:pPr>
          </w:p>
          <w:p w14:paraId="2B43E452">
            <w:pPr>
              <w:ind w:firstLine="28"/>
              <w:jc w:val="center"/>
              <w:rPr>
                <w:rFonts w:hint="eastAsia" w:ascii="仿宋" w:hAnsi="仿宋" w:eastAsia="仿宋" w:cs="仿宋"/>
                <w:color w:val="auto"/>
                <w:sz w:val="21"/>
                <w:szCs w:val="21"/>
                <w:highlight w:val="none"/>
              </w:rPr>
            </w:pPr>
          </w:p>
          <w:p w14:paraId="245D04F6">
            <w:pPr>
              <w:ind w:firstLine="28"/>
              <w:jc w:val="center"/>
              <w:rPr>
                <w:rFonts w:hint="eastAsia" w:ascii="仿宋" w:hAnsi="仿宋" w:eastAsia="仿宋" w:cs="仿宋"/>
                <w:color w:val="auto"/>
                <w:sz w:val="21"/>
                <w:szCs w:val="21"/>
                <w:highlight w:val="none"/>
              </w:rPr>
            </w:pPr>
          </w:p>
          <w:p w14:paraId="5DA0B37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p w14:paraId="168D4D1F">
            <w:pPr>
              <w:ind w:firstLine="28"/>
              <w:jc w:val="center"/>
              <w:rPr>
                <w:rFonts w:hint="eastAsia" w:ascii="仿宋" w:hAnsi="仿宋" w:eastAsia="仿宋" w:cs="仿宋"/>
                <w:color w:val="auto"/>
                <w:sz w:val="21"/>
                <w:szCs w:val="21"/>
                <w:highlight w:val="none"/>
              </w:rPr>
            </w:pPr>
          </w:p>
          <w:p w14:paraId="154AEEF3">
            <w:pPr>
              <w:ind w:firstLine="28"/>
              <w:jc w:val="center"/>
              <w:rPr>
                <w:rFonts w:hint="eastAsia" w:ascii="仿宋" w:hAnsi="仿宋" w:eastAsia="仿宋" w:cs="仿宋"/>
                <w:color w:val="auto"/>
                <w:sz w:val="21"/>
                <w:szCs w:val="21"/>
                <w:highlight w:val="none"/>
              </w:rPr>
            </w:pPr>
          </w:p>
          <w:p w14:paraId="184D66E3">
            <w:pPr>
              <w:ind w:firstLine="28"/>
              <w:jc w:val="center"/>
              <w:rPr>
                <w:rFonts w:hint="eastAsia" w:ascii="仿宋" w:hAnsi="仿宋" w:eastAsia="仿宋" w:cs="仿宋"/>
                <w:color w:val="auto"/>
                <w:sz w:val="21"/>
                <w:szCs w:val="21"/>
                <w:highlight w:val="none"/>
              </w:rPr>
            </w:pPr>
          </w:p>
          <w:p w14:paraId="68405AF2">
            <w:pPr>
              <w:ind w:firstLine="28"/>
              <w:jc w:val="center"/>
              <w:rPr>
                <w:rFonts w:hint="eastAsia" w:ascii="仿宋" w:hAnsi="仿宋" w:eastAsia="仿宋" w:cs="仿宋"/>
                <w:color w:val="auto"/>
                <w:sz w:val="21"/>
                <w:szCs w:val="21"/>
                <w:highlight w:val="none"/>
              </w:rPr>
            </w:pPr>
          </w:p>
          <w:p w14:paraId="442036A2">
            <w:pPr>
              <w:ind w:firstLine="28"/>
              <w:jc w:val="center"/>
              <w:rPr>
                <w:rFonts w:hint="eastAsia" w:ascii="仿宋" w:hAnsi="仿宋" w:eastAsia="仿宋" w:cs="仿宋"/>
                <w:color w:val="auto"/>
                <w:sz w:val="21"/>
                <w:szCs w:val="21"/>
                <w:highlight w:val="none"/>
              </w:rPr>
            </w:pPr>
          </w:p>
          <w:p w14:paraId="76914010">
            <w:pPr>
              <w:ind w:firstLine="28"/>
              <w:jc w:val="center"/>
              <w:rPr>
                <w:rFonts w:hint="eastAsia" w:ascii="仿宋" w:hAnsi="仿宋" w:eastAsia="仿宋" w:cs="仿宋"/>
                <w:color w:val="auto"/>
                <w:sz w:val="21"/>
                <w:szCs w:val="21"/>
                <w:highlight w:val="none"/>
              </w:rPr>
            </w:pPr>
          </w:p>
          <w:p w14:paraId="39C3FD8B">
            <w:pPr>
              <w:ind w:firstLine="28"/>
              <w:jc w:val="center"/>
              <w:rPr>
                <w:rFonts w:hint="eastAsia" w:ascii="仿宋" w:hAnsi="仿宋" w:eastAsia="仿宋" w:cs="仿宋"/>
                <w:color w:val="auto"/>
                <w:sz w:val="21"/>
                <w:szCs w:val="21"/>
                <w:highlight w:val="none"/>
              </w:rPr>
            </w:pPr>
          </w:p>
          <w:p w14:paraId="117B7D8A">
            <w:pPr>
              <w:ind w:firstLine="28"/>
              <w:jc w:val="center"/>
              <w:rPr>
                <w:rFonts w:hint="eastAsia" w:ascii="仿宋" w:hAnsi="仿宋" w:eastAsia="仿宋" w:cs="仿宋"/>
                <w:color w:val="auto"/>
                <w:sz w:val="21"/>
                <w:szCs w:val="21"/>
                <w:highlight w:val="none"/>
              </w:rPr>
            </w:pPr>
          </w:p>
          <w:p w14:paraId="3564CEBE">
            <w:pPr>
              <w:ind w:firstLine="28"/>
              <w:jc w:val="center"/>
              <w:rPr>
                <w:rFonts w:hint="eastAsia" w:ascii="仿宋" w:hAnsi="仿宋" w:eastAsia="仿宋" w:cs="仿宋"/>
                <w:color w:val="auto"/>
                <w:sz w:val="21"/>
                <w:szCs w:val="21"/>
                <w:highlight w:val="none"/>
              </w:rPr>
            </w:pPr>
          </w:p>
          <w:p w14:paraId="19536CDA">
            <w:pPr>
              <w:ind w:firstLine="28"/>
              <w:jc w:val="center"/>
              <w:rPr>
                <w:rFonts w:hint="eastAsia" w:ascii="仿宋" w:hAnsi="仿宋" w:eastAsia="仿宋" w:cs="仿宋"/>
                <w:color w:val="auto"/>
                <w:sz w:val="21"/>
                <w:szCs w:val="21"/>
                <w:highlight w:val="none"/>
              </w:rPr>
            </w:pPr>
          </w:p>
          <w:p w14:paraId="46CAA3A2">
            <w:pPr>
              <w:ind w:firstLine="28"/>
              <w:jc w:val="center"/>
              <w:rPr>
                <w:rFonts w:hint="eastAsia" w:ascii="仿宋" w:hAnsi="仿宋" w:eastAsia="仿宋" w:cs="仿宋"/>
                <w:color w:val="auto"/>
                <w:sz w:val="21"/>
                <w:szCs w:val="21"/>
                <w:highlight w:val="none"/>
              </w:rPr>
            </w:pPr>
          </w:p>
          <w:p w14:paraId="6E018D58">
            <w:pPr>
              <w:ind w:firstLine="28"/>
              <w:jc w:val="center"/>
              <w:rPr>
                <w:rFonts w:hint="eastAsia" w:ascii="仿宋" w:hAnsi="仿宋" w:eastAsia="仿宋" w:cs="仿宋"/>
                <w:color w:val="auto"/>
                <w:sz w:val="21"/>
                <w:szCs w:val="21"/>
                <w:highlight w:val="none"/>
              </w:rPr>
            </w:pPr>
          </w:p>
          <w:p w14:paraId="0F66161B">
            <w:pPr>
              <w:ind w:firstLine="28"/>
              <w:jc w:val="center"/>
              <w:rPr>
                <w:rFonts w:hint="eastAsia" w:ascii="仿宋" w:hAnsi="仿宋" w:eastAsia="仿宋" w:cs="仿宋"/>
                <w:color w:val="auto"/>
                <w:sz w:val="21"/>
                <w:szCs w:val="21"/>
                <w:highlight w:val="none"/>
              </w:rPr>
            </w:pPr>
          </w:p>
          <w:p w14:paraId="7293BB3F">
            <w:pPr>
              <w:ind w:firstLine="28"/>
              <w:jc w:val="center"/>
              <w:rPr>
                <w:rFonts w:hint="eastAsia" w:ascii="仿宋" w:hAnsi="仿宋" w:eastAsia="仿宋" w:cs="仿宋"/>
                <w:color w:val="auto"/>
                <w:sz w:val="21"/>
                <w:szCs w:val="21"/>
                <w:highlight w:val="none"/>
              </w:rPr>
            </w:pPr>
          </w:p>
          <w:p w14:paraId="1359B4A9">
            <w:pPr>
              <w:ind w:firstLine="28"/>
              <w:jc w:val="center"/>
              <w:rPr>
                <w:rFonts w:hint="eastAsia" w:ascii="仿宋" w:hAnsi="仿宋" w:eastAsia="仿宋" w:cs="仿宋"/>
                <w:color w:val="auto"/>
                <w:sz w:val="21"/>
                <w:szCs w:val="21"/>
                <w:highlight w:val="none"/>
              </w:rPr>
            </w:pPr>
          </w:p>
          <w:p w14:paraId="7D57772A">
            <w:pPr>
              <w:ind w:firstLine="28"/>
              <w:jc w:val="center"/>
              <w:rPr>
                <w:rFonts w:hint="eastAsia" w:ascii="仿宋" w:hAnsi="仿宋" w:eastAsia="仿宋" w:cs="仿宋"/>
                <w:color w:val="auto"/>
                <w:sz w:val="21"/>
                <w:szCs w:val="21"/>
                <w:highlight w:val="none"/>
              </w:rPr>
            </w:pPr>
          </w:p>
          <w:p w14:paraId="3AB6EA6C">
            <w:pPr>
              <w:ind w:firstLine="28"/>
              <w:jc w:val="center"/>
              <w:rPr>
                <w:rFonts w:hint="eastAsia" w:ascii="仿宋" w:hAnsi="仿宋" w:eastAsia="仿宋" w:cs="仿宋"/>
                <w:color w:val="auto"/>
                <w:sz w:val="21"/>
                <w:szCs w:val="21"/>
                <w:highlight w:val="none"/>
              </w:rPr>
            </w:pPr>
          </w:p>
          <w:p w14:paraId="5CD4AEC7">
            <w:pPr>
              <w:ind w:firstLine="28"/>
              <w:jc w:val="center"/>
              <w:rPr>
                <w:rFonts w:hint="eastAsia" w:ascii="仿宋" w:hAnsi="仿宋" w:eastAsia="仿宋" w:cs="仿宋"/>
                <w:color w:val="auto"/>
                <w:sz w:val="21"/>
                <w:szCs w:val="21"/>
                <w:highlight w:val="none"/>
              </w:rPr>
            </w:pPr>
          </w:p>
          <w:p w14:paraId="2C8AE1D2">
            <w:pPr>
              <w:ind w:firstLine="28"/>
              <w:jc w:val="center"/>
              <w:rPr>
                <w:rFonts w:hint="eastAsia" w:ascii="仿宋" w:hAnsi="仿宋" w:eastAsia="仿宋" w:cs="仿宋"/>
                <w:color w:val="auto"/>
                <w:sz w:val="21"/>
                <w:szCs w:val="21"/>
                <w:highlight w:val="none"/>
              </w:rPr>
            </w:pPr>
          </w:p>
          <w:p w14:paraId="0B7982CB">
            <w:pPr>
              <w:ind w:firstLine="28"/>
              <w:jc w:val="center"/>
              <w:rPr>
                <w:rFonts w:hint="eastAsia" w:ascii="仿宋" w:hAnsi="仿宋" w:eastAsia="仿宋" w:cs="仿宋"/>
                <w:color w:val="auto"/>
                <w:sz w:val="21"/>
                <w:szCs w:val="21"/>
                <w:highlight w:val="none"/>
              </w:rPr>
            </w:pPr>
          </w:p>
          <w:p w14:paraId="3388EFFE">
            <w:pPr>
              <w:ind w:firstLine="28"/>
              <w:jc w:val="center"/>
              <w:rPr>
                <w:rFonts w:hint="eastAsia" w:ascii="仿宋" w:hAnsi="仿宋" w:eastAsia="仿宋" w:cs="仿宋"/>
                <w:color w:val="auto"/>
                <w:sz w:val="21"/>
                <w:szCs w:val="21"/>
                <w:highlight w:val="none"/>
              </w:rPr>
            </w:pPr>
          </w:p>
          <w:p w14:paraId="0D6CA092">
            <w:pPr>
              <w:ind w:firstLine="28"/>
              <w:jc w:val="center"/>
              <w:rPr>
                <w:rFonts w:hint="eastAsia" w:ascii="仿宋" w:hAnsi="仿宋" w:eastAsia="仿宋" w:cs="仿宋"/>
                <w:color w:val="auto"/>
                <w:sz w:val="21"/>
                <w:szCs w:val="21"/>
                <w:highlight w:val="none"/>
              </w:rPr>
            </w:pPr>
          </w:p>
          <w:p w14:paraId="0A66A9DC">
            <w:pPr>
              <w:ind w:firstLine="28"/>
              <w:jc w:val="center"/>
              <w:rPr>
                <w:rFonts w:hint="eastAsia" w:ascii="仿宋" w:hAnsi="仿宋" w:eastAsia="仿宋" w:cs="仿宋"/>
                <w:color w:val="auto"/>
                <w:sz w:val="21"/>
                <w:szCs w:val="21"/>
                <w:highlight w:val="none"/>
              </w:rPr>
            </w:pPr>
          </w:p>
          <w:p w14:paraId="0658CBB0">
            <w:pPr>
              <w:ind w:firstLine="28"/>
              <w:jc w:val="center"/>
              <w:rPr>
                <w:rFonts w:hint="eastAsia" w:ascii="仿宋" w:hAnsi="仿宋" w:eastAsia="仿宋" w:cs="仿宋"/>
                <w:color w:val="auto"/>
                <w:sz w:val="21"/>
                <w:szCs w:val="21"/>
                <w:highlight w:val="none"/>
              </w:rPr>
            </w:pPr>
          </w:p>
          <w:p w14:paraId="47194840">
            <w:pPr>
              <w:ind w:firstLine="28"/>
              <w:jc w:val="center"/>
              <w:rPr>
                <w:rFonts w:hint="eastAsia" w:ascii="仿宋" w:hAnsi="仿宋" w:eastAsia="仿宋" w:cs="仿宋"/>
                <w:color w:val="auto"/>
                <w:sz w:val="21"/>
                <w:szCs w:val="21"/>
                <w:highlight w:val="none"/>
              </w:rPr>
            </w:pPr>
          </w:p>
          <w:p w14:paraId="54EA10B8">
            <w:pPr>
              <w:ind w:firstLine="28"/>
              <w:jc w:val="center"/>
              <w:rPr>
                <w:rFonts w:hint="eastAsia" w:ascii="仿宋" w:hAnsi="仿宋" w:eastAsia="仿宋" w:cs="仿宋"/>
                <w:color w:val="auto"/>
                <w:sz w:val="21"/>
                <w:szCs w:val="21"/>
                <w:highlight w:val="none"/>
              </w:rPr>
            </w:pPr>
          </w:p>
          <w:p w14:paraId="37A55620">
            <w:pPr>
              <w:ind w:firstLine="28"/>
              <w:jc w:val="center"/>
              <w:rPr>
                <w:rFonts w:hint="eastAsia" w:ascii="仿宋" w:hAnsi="仿宋" w:eastAsia="仿宋" w:cs="仿宋"/>
                <w:color w:val="auto"/>
                <w:sz w:val="21"/>
                <w:szCs w:val="21"/>
                <w:highlight w:val="none"/>
              </w:rPr>
            </w:pPr>
          </w:p>
          <w:p w14:paraId="32ABF5F6">
            <w:pPr>
              <w:ind w:firstLine="28"/>
              <w:jc w:val="center"/>
              <w:rPr>
                <w:rFonts w:hint="eastAsia" w:ascii="仿宋" w:hAnsi="仿宋" w:eastAsia="仿宋" w:cs="仿宋"/>
                <w:color w:val="auto"/>
                <w:sz w:val="21"/>
                <w:szCs w:val="21"/>
                <w:highlight w:val="none"/>
              </w:rPr>
            </w:pPr>
          </w:p>
          <w:p w14:paraId="32432523">
            <w:pPr>
              <w:ind w:firstLine="28"/>
              <w:jc w:val="center"/>
              <w:rPr>
                <w:rFonts w:hint="eastAsia" w:ascii="仿宋" w:hAnsi="仿宋" w:eastAsia="仿宋" w:cs="仿宋"/>
                <w:color w:val="auto"/>
                <w:sz w:val="21"/>
                <w:szCs w:val="21"/>
                <w:highlight w:val="none"/>
              </w:rPr>
            </w:pPr>
          </w:p>
          <w:p w14:paraId="5C6B3AD6">
            <w:pPr>
              <w:ind w:firstLine="28"/>
              <w:jc w:val="center"/>
              <w:rPr>
                <w:rFonts w:hint="eastAsia" w:ascii="仿宋" w:hAnsi="仿宋" w:eastAsia="仿宋" w:cs="仿宋"/>
                <w:color w:val="auto"/>
                <w:sz w:val="21"/>
                <w:szCs w:val="21"/>
                <w:highlight w:val="none"/>
              </w:rPr>
            </w:pPr>
          </w:p>
          <w:p w14:paraId="487AA983">
            <w:pPr>
              <w:ind w:firstLine="28"/>
              <w:jc w:val="center"/>
              <w:rPr>
                <w:rFonts w:hint="eastAsia" w:ascii="仿宋" w:hAnsi="仿宋" w:eastAsia="仿宋" w:cs="仿宋"/>
                <w:color w:val="auto"/>
                <w:sz w:val="21"/>
                <w:szCs w:val="21"/>
                <w:highlight w:val="none"/>
              </w:rPr>
            </w:pPr>
          </w:p>
          <w:p w14:paraId="1B59400F">
            <w:pPr>
              <w:ind w:firstLine="28"/>
              <w:jc w:val="center"/>
              <w:rPr>
                <w:rFonts w:hint="eastAsia" w:ascii="仿宋" w:hAnsi="仿宋" w:eastAsia="仿宋" w:cs="仿宋"/>
                <w:color w:val="auto"/>
                <w:sz w:val="21"/>
                <w:szCs w:val="21"/>
                <w:highlight w:val="none"/>
              </w:rPr>
            </w:pPr>
          </w:p>
          <w:p w14:paraId="36F40F6B">
            <w:pPr>
              <w:ind w:firstLine="28"/>
              <w:jc w:val="center"/>
              <w:rPr>
                <w:rFonts w:hint="eastAsia" w:ascii="仿宋" w:hAnsi="仿宋" w:eastAsia="仿宋" w:cs="仿宋"/>
                <w:color w:val="auto"/>
                <w:sz w:val="21"/>
                <w:szCs w:val="21"/>
                <w:highlight w:val="none"/>
              </w:rPr>
            </w:pPr>
          </w:p>
          <w:p w14:paraId="5C8CD1CF">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55" w:type="dxa"/>
            <w:vMerge w:val="restart"/>
            <w:noWrap w:val="0"/>
            <w:vAlign w:val="center"/>
          </w:tcPr>
          <w:p w14:paraId="56F965B2">
            <w:pPr>
              <w:ind w:firstLine="28"/>
              <w:jc w:val="center"/>
              <w:rPr>
                <w:rFonts w:hint="eastAsia" w:ascii="仿宋" w:hAnsi="仿宋" w:eastAsia="仿宋" w:cs="仿宋"/>
                <w:color w:val="auto"/>
                <w:sz w:val="21"/>
                <w:szCs w:val="21"/>
                <w:highlight w:val="none"/>
                <w:lang w:eastAsia="zh-CN"/>
              </w:rPr>
            </w:pPr>
          </w:p>
          <w:p w14:paraId="2453CEB3">
            <w:pPr>
              <w:ind w:firstLine="28"/>
              <w:jc w:val="center"/>
              <w:rPr>
                <w:rFonts w:hint="eastAsia" w:ascii="仿宋" w:hAnsi="仿宋" w:eastAsia="仿宋" w:cs="仿宋"/>
                <w:color w:val="auto"/>
                <w:sz w:val="21"/>
                <w:szCs w:val="21"/>
                <w:highlight w:val="none"/>
                <w:lang w:eastAsia="zh-CN"/>
              </w:rPr>
            </w:pPr>
          </w:p>
          <w:p w14:paraId="1AF122A2">
            <w:pPr>
              <w:ind w:firstLine="28"/>
              <w:jc w:val="center"/>
              <w:rPr>
                <w:rFonts w:hint="eastAsia" w:ascii="仿宋" w:hAnsi="仿宋" w:eastAsia="仿宋" w:cs="仿宋"/>
                <w:color w:val="auto"/>
                <w:sz w:val="21"/>
                <w:szCs w:val="21"/>
                <w:highlight w:val="none"/>
                <w:lang w:eastAsia="zh-CN"/>
              </w:rPr>
            </w:pPr>
          </w:p>
          <w:p w14:paraId="51D869E5">
            <w:pPr>
              <w:ind w:firstLine="28"/>
              <w:jc w:val="center"/>
              <w:rPr>
                <w:rFonts w:hint="eastAsia" w:ascii="仿宋" w:hAnsi="仿宋" w:eastAsia="仿宋" w:cs="仿宋"/>
                <w:color w:val="auto"/>
                <w:sz w:val="21"/>
                <w:szCs w:val="21"/>
                <w:highlight w:val="none"/>
                <w:lang w:eastAsia="zh-CN"/>
              </w:rPr>
            </w:pPr>
          </w:p>
          <w:p w14:paraId="25212588">
            <w:pPr>
              <w:ind w:firstLine="28"/>
              <w:jc w:val="center"/>
              <w:rPr>
                <w:rFonts w:hint="eastAsia" w:ascii="仿宋" w:hAnsi="仿宋" w:eastAsia="仿宋" w:cs="仿宋"/>
                <w:color w:val="auto"/>
                <w:sz w:val="21"/>
                <w:szCs w:val="21"/>
                <w:highlight w:val="none"/>
                <w:lang w:eastAsia="zh-CN"/>
              </w:rPr>
            </w:pPr>
          </w:p>
          <w:p w14:paraId="402A40C2">
            <w:pPr>
              <w:ind w:firstLine="28"/>
              <w:jc w:val="center"/>
              <w:rPr>
                <w:rFonts w:hint="eastAsia" w:ascii="仿宋" w:hAnsi="仿宋" w:eastAsia="仿宋" w:cs="仿宋"/>
                <w:color w:val="auto"/>
                <w:sz w:val="21"/>
                <w:szCs w:val="21"/>
                <w:highlight w:val="none"/>
                <w:lang w:eastAsia="zh-CN"/>
              </w:rPr>
            </w:pPr>
          </w:p>
          <w:p w14:paraId="466F205A">
            <w:pPr>
              <w:ind w:firstLine="28"/>
              <w:jc w:val="center"/>
              <w:rPr>
                <w:rFonts w:hint="eastAsia" w:ascii="仿宋" w:hAnsi="仿宋" w:eastAsia="仿宋" w:cs="仿宋"/>
                <w:color w:val="auto"/>
                <w:sz w:val="21"/>
                <w:szCs w:val="21"/>
                <w:highlight w:val="none"/>
                <w:lang w:eastAsia="zh-CN"/>
              </w:rPr>
            </w:pPr>
          </w:p>
          <w:p w14:paraId="763EDB6D">
            <w:pPr>
              <w:ind w:firstLine="28"/>
              <w:jc w:val="center"/>
              <w:rPr>
                <w:rFonts w:hint="eastAsia" w:ascii="仿宋" w:hAnsi="仿宋" w:eastAsia="仿宋" w:cs="仿宋"/>
                <w:color w:val="auto"/>
                <w:sz w:val="21"/>
                <w:szCs w:val="21"/>
                <w:highlight w:val="none"/>
                <w:lang w:eastAsia="zh-CN"/>
              </w:rPr>
            </w:pPr>
          </w:p>
          <w:p w14:paraId="47D29E78">
            <w:pPr>
              <w:ind w:firstLine="28"/>
              <w:jc w:val="center"/>
              <w:rPr>
                <w:rFonts w:hint="eastAsia" w:ascii="仿宋" w:hAnsi="仿宋" w:eastAsia="仿宋" w:cs="仿宋"/>
                <w:color w:val="auto"/>
                <w:sz w:val="21"/>
                <w:szCs w:val="21"/>
                <w:highlight w:val="none"/>
                <w:lang w:eastAsia="zh-CN"/>
              </w:rPr>
            </w:pPr>
          </w:p>
          <w:p w14:paraId="5493E68C">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rPr>
              <w:t>部分</w:t>
            </w:r>
          </w:p>
          <w:p w14:paraId="798B11D6">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45</w:t>
            </w:r>
            <w:r>
              <w:rPr>
                <w:rFonts w:hint="eastAsia" w:ascii="仿宋" w:hAnsi="仿宋" w:eastAsia="仿宋" w:cs="仿宋"/>
                <w:color w:val="auto"/>
                <w:sz w:val="21"/>
                <w:szCs w:val="21"/>
                <w:highlight w:val="none"/>
              </w:rPr>
              <w:t>%）</w:t>
            </w:r>
          </w:p>
          <w:p w14:paraId="4F6EEA43">
            <w:pPr>
              <w:ind w:firstLine="28"/>
              <w:jc w:val="center"/>
              <w:rPr>
                <w:rFonts w:hint="eastAsia" w:ascii="仿宋" w:hAnsi="仿宋" w:eastAsia="仿宋" w:cs="仿宋"/>
                <w:color w:val="auto"/>
                <w:sz w:val="21"/>
                <w:szCs w:val="21"/>
                <w:highlight w:val="none"/>
              </w:rPr>
            </w:pPr>
          </w:p>
          <w:p w14:paraId="72A2F894">
            <w:pPr>
              <w:ind w:firstLine="28"/>
              <w:jc w:val="center"/>
              <w:rPr>
                <w:rFonts w:hint="eastAsia" w:ascii="仿宋" w:hAnsi="仿宋" w:eastAsia="仿宋" w:cs="仿宋"/>
                <w:color w:val="auto"/>
                <w:sz w:val="21"/>
                <w:szCs w:val="21"/>
                <w:highlight w:val="none"/>
              </w:rPr>
            </w:pPr>
          </w:p>
          <w:p w14:paraId="519D1261">
            <w:pPr>
              <w:ind w:firstLine="28"/>
              <w:jc w:val="center"/>
              <w:rPr>
                <w:rFonts w:hint="eastAsia" w:ascii="仿宋" w:hAnsi="仿宋" w:eastAsia="仿宋" w:cs="仿宋"/>
                <w:color w:val="auto"/>
                <w:sz w:val="21"/>
                <w:szCs w:val="21"/>
                <w:highlight w:val="none"/>
              </w:rPr>
            </w:pPr>
          </w:p>
          <w:p w14:paraId="28C95ACF">
            <w:pPr>
              <w:ind w:firstLine="28"/>
              <w:jc w:val="center"/>
              <w:rPr>
                <w:rFonts w:hint="eastAsia" w:ascii="仿宋" w:hAnsi="仿宋" w:eastAsia="仿宋" w:cs="仿宋"/>
                <w:color w:val="auto"/>
                <w:sz w:val="21"/>
                <w:szCs w:val="21"/>
                <w:highlight w:val="none"/>
              </w:rPr>
            </w:pPr>
          </w:p>
          <w:p w14:paraId="279EDC64">
            <w:pPr>
              <w:ind w:firstLine="28"/>
              <w:jc w:val="center"/>
              <w:rPr>
                <w:rFonts w:hint="eastAsia" w:ascii="仿宋" w:hAnsi="仿宋" w:eastAsia="仿宋" w:cs="仿宋"/>
                <w:color w:val="auto"/>
                <w:sz w:val="21"/>
                <w:szCs w:val="21"/>
                <w:highlight w:val="none"/>
              </w:rPr>
            </w:pPr>
          </w:p>
          <w:p w14:paraId="53CF6003">
            <w:pPr>
              <w:ind w:firstLine="28"/>
              <w:jc w:val="center"/>
              <w:rPr>
                <w:rFonts w:hint="eastAsia" w:ascii="仿宋" w:hAnsi="仿宋" w:eastAsia="仿宋" w:cs="仿宋"/>
                <w:color w:val="auto"/>
                <w:sz w:val="21"/>
                <w:szCs w:val="21"/>
                <w:highlight w:val="none"/>
              </w:rPr>
            </w:pPr>
          </w:p>
          <w:p w14:paraId="5ADEB3D9">
            <w:pPr>
              <w:ind w:firstLine="28"/>
              <w:jc w:val="center"/>
              <w:rPr>
                <w:rFonts w:hint="eastAsia" w:ascii="仿宋" w:hAnsi="仿宋" w:eastAsia="仿宋" w:cs="仿宋"/>
                <w:color w:val="auto"/>
                <w:sz w:val="21"/>
                <w:szCs w:val="21"/>
                <w:highlight w:val="none"/>
              </w:rPr>
            </w:pPr>
          </w:p>
          <w:p w14:paraId="186834EA">
            <w:pPr>
              <w:ind w:firstLine="28"/>
              <w:jc w:val="center"/>
              <w:rPr>
                <w:rFonts w:hint="eastAsia" w:ascii="仿宋" w:hAnsi="仿宋" w:eastAsia="仿宋" w:cs="仿宋"/>
                <w:color w:val="auto"/>
                <w:sz w:val="21"/>
                <w:szCs w:val="21"/>
                <w:highlight w:val="none"/>
              </w:rPr>
            </w:pPr>
          </w:p>
          <w:p w14:paraId="6DE3582D">
            <w:pPr>
              <w:ind w:firstLine="28"/>
              <w:jc w:val="center"/>
              <w:rPr>
                <w:rFonts w:hint="eastAsia" w:ascii="仿宋" w:hAnsi="仿宋" w:eastAsia="仿宋" w:cs="仿宋"/>
                <w:color w:val="auto"/>
                <w:sz w:val="21"/>
                <w:szCs w:val="21"/>
                <w:highlight w:val="none"/>
              </w:rPr>
            </w:pPr>
          </w:p>
          <w:p w14:paraId="60378A22">
            <w:pPr>
              <w:ind w:firstLine="28"/>
              <w:jc w:val="center"/>
              <w:rPr>
                <w:rFonts w:hint="eastAsia" w:ascii="仿宋" w:hAnsi="仿宋" w:eastAsia="仿宋" w:cs="仿宋"/>
                <w:color w:val="auto"/>
                <w:sz w:val="21"/>
                <w:szCs w:val="21"/>
                <w:highlight w:val="none"/>
              </w:rPr>
            </w:pPr>
          </w:p>
          <w:p w14:paraId="7FAFF704">
            <w:pPr>
              <w:ind w:firstLine="28"/>
              <w:jc w:val="center"/>
              <w:rPr>
                <w:rFonts w:hint="eastAsia" w:ascii="仿宋" w:hAnsi="仿宋" w:eastAsia="仿宋" w:cs="仿宋"/>
                <w:color w:val="auto"/>
                <w:sz w:val="21"/>
                <w:szCs w:val="21"/>
                <w:highlight w:val="none"/>
              </w:rPr>
            </w:pPr>
          </w:p>
          <w:p w14:paraId="1046F5DE">
            <w:pPr>
              <w:ind w:firstLine="28"/>
              <w:jc w:val="center"/>
              <w:rPr>
                <w:rFonts w:hint="eastAsia" w:ascii="仿宋" w:hAnsi="仿宋" w:eastAsia="仿宋" w:cs="仿宋"/>
                <w:color w:val="auto"/>
                <w:sz w:val="21"/>
                <w:szCs w:val="21"/>
                <w:highlight w:val="none"/>
              </w:rPr>
            </w:pPr>
          </w:p>
          <w:p w14:paraId="7E6DFBEC">
            <w:pPr>
              <w:ind w:firstLine="28"/>
              <w:jc w:val="center"/>
              <w:rPr>
                <w:rFonts w:hint="eastAsia" w:ascii="仿宋" w:hAnsi="仿宋" w:eastAsia="仿宋" w:cs="仿宋"/>
                <w:color w:val="auto"/>
                <w:sz w:val="21"/>
                <w:szCs w:val="21"/>
                <w:highlight w:val="none"/>
              </w:rPr>
            </w:pPr>
          </w:p>
          <w:p w14:paraId="79C9C938">
            <w:pPr>
              <w:ind w:firstLine="28"/>
              <w:jc w:val="center"/>
              <w:rPr>
                <w:rFonts w:hint="eastAsia" w:ascii="仿宋" w:hAnsi="仿宋" w:eastAsia="仿宋" w:cs="仿宋"/>
                <w:color w:val="auto"/>
                <w:sz w:val="21"/>
                <w:szCs w:val="21"/>
                <w:highlight w:val="none"/>
                <w:lang w:eastAsia="zh-CN"/>
              </w:rPr>
            </w:pPr>
          </w:p>
          <w:p w14:paraId="67FDCBE8">
            <w:pPr>
              <w:ind w:firstLine="28"/>
              <w:jc w:val="center"/>
              <w:rPr>
                <w:rFonts w:hint="eastAsia" w:ascii="仿宋" w:hAnsi="仿宋" w:eastAsia="仿宋" w:cs="仿宋"/>
                <w:color w:val="auto"/>
                <w:sz w:val="21"/>
                <w:szCs w:val="21"/>
                <w:highlight w:val="none"/>
                <w:lang w:eastAsia="zh-CN"/>
              </w:rPr>
            </w:pPr>
          </w:p>
          <w:p w14:paraId="235ACA13">
            <w:pPr>
              <w:ind w:firstLine="28"/>
              <w:jc w:val="center"/>
              <w:rPr>
                <w:rFonts w:hint="eastAsia" w:ascii="仿宋" w:hAnsi="仿宋" w:eastAsia="仿宋" w:cs="仿宋"/>
                <w:color w:val="auto"/>
                <w:sz w:val="21"/>
                <w:szCs w:val="21"/>
                <w:highlight w:val="none"/>
                <w:lang w:eastAsia="zh-CN"/>
              </w:rPr>
            </w:pPr>
          </w:p>
          <w:p w14:paraId="75056A84">
            <w:pPr>
              <w:ind w:firstLine="28"/>
              <w:jc w:val="center"/>
              <w:rPr>
                <w:rFonts w:hint="eastAsia" w:ascii="仿宋" w:hAnsi="仿宋" w:eastAsia="仿宋" w:cs="仿宋"/>
                <w:color w:val="auto"/>
                <w:sz w:val="21"/>
                <w:szCs w:val="21"/>
                <w:highlight w:val="none"/>
                <w:lang w:eastAsia="zh-CN"/>
              </w:rPr>
            </w:pPr>
          </w:p>
          <w:p w14:paraId="721096EF">
            <w:pPr>
              <w:ind w:firstLine="28"/>
              <w:jc w:val="center"/>
              <w:rPr>
                <w:rFonts w:hint="eastAsia" w:ascii="仿宋" w:hAnsi="仿宋" w:eastAsia="仿宋" w:cs="仿宋"/>
                <w:color w:val="auto"/>
                <w:sz w:val="21"/>
                <w:szCs w:val="21"/>
                <w:highlight w:val="none"/>
                <w:lang w:eastAsia="zh-CN"/>
              </w:rPr>
            </w:pPr>
          </w:p>
          <w:p w14:paraId="3D168315">
            <w:pPr>
              <w:ind w:firstLine="28"/>
              <w:jc w:val="center"/>
              <w:rPr>
                <w:rFonts w:hint="eastAsia" w:ascii="仿宋" w:hAnsi="仿宋" w:eastAsia="仿宋" w:cs="仿宋"/>
                <w:color w:val="auto"/>
                <w:sz w:val="21"/>
                <w:szCs w:val="21"/>
                <w:highlight w:val="none"/>
                <w:lang w:eastAsia="zh-CN"/>
              </w:rPr>
            </w:pPr>
          </w:p>
          <w:p w14:paraId="739E5713">
            <w:pPr>
              <w:ind w:firstLine="28"/>
              <w:jc w:val="center"/>
              <w:rPr>
                <w:rFonts w:hint="eastAsia" w:ascii="仿宋" w:hAnsi="仿宋" w:eastAsia="仿宋" w:cs="仿宋"/>
                <w:color w:val="auto"/>
                <w:sz w:val="21"/>
                <w:szCs w:val="21"/>
                <w:highlight w:val="none"/>
                <w:lang w:eastAsia="zh-CN"/>
              </w:rPr>
            </w:pPr>
          </w:p>
          <w:p w14:paraId="25C2C460">
            <w:pPr>
              <w:ind w:firstLine="28"/>
              <w:jc w:val="center"/>
              <w:rPr>
                <w:rFonts w:hint="eastAsia" w:ascii="仿宋" w:hAnsi="仿宋" w:eastAsia="仿宋" w:cs="仿宋"/>
                <w:color w:val="auto"/>
                <w:sz w:val="21"/>
                <w:szCs w:val="21"/>
                <w:highlight w:val="none"/>
                <w:lang w:eastAsia="zh-CN"/>
              </w:rPr>
            </w:pPr>
          </w:p>
          <w:p w14:paraId="4BC6F103">
            <w:pPr>
              <w:ind w:firstLine="28"/>
              <w:jc w:val="center"/>
              <w:rPr>
                <w:rFonts w:hint="eastAsia" w:ascii="仿宋" w:hAnsi="仿宋" w:eastAsia="仿宋" w:cs="仿宋"/>
                <w:color w:val="auto"/>
                <w:sz w:val="21"/>
                <w:szCs w:val="21"/>
                <w:highlight w:val="none"/>
                <w:lang w:eastAsia="zh-CN"/>
              </w:rPr>
            </w:pPr>
          </w:p>
          <w:p w14:paraId="39F71DB8">
            <w:pPr>
              <w:ind w:firstLine="28"/>
              <w:jc w:val="center"/>
              <w:rPr>
                <w:rFonts w:hint="eastAsia" w:ascii="仿宋" w:hAnsi="仿宋" w:eastAsia="仿宋" w:cs="仿宋"/>
                <w:color w:val="auto"/>
                <w:sz w:val="21"/>
                <w:szCs w:val="21"/>
                <w:highlight w:val="none"/>
                <w:lang w:eastAsia="zh-CN"/>
              </w:rPr>
            </w:pPr>
          </w:p>
          <w:p w14:paraId="44E6FF96">
            <w:pPr>
              <w:ind w:firstLine="28"/>
              <w:jc w:val="center"/>
              <w:rPr>
                <w:rFonts w:hint="eastAsia" w:ascii="仿宋" w:hAnsi="仿宋" w:eastAsia="仿宋" w:cs="仿宋"/>
                <w:color w:val="auto"/>
                <w:sz w:val="21"/>
                <w:szCs w:val="21"/>
                <w:highlight w:val="none"/>
                <w:lang w:eastAsia="zh-CN"/>
              </w:rPr>
            </w:pPr>
          </w:p>
          <w:p w14:paraId="447BA8E1">
            <w:pPr>
              <w:ind w:firstLine="28"/>
              <w:jc w:val="center"/>
              <w:rPr>
                <w:rFonts w:hint="eastAsia" w:ascii="仿宋" w:hAnsi="仿宋" w:eastAsia="仿宋" w:cs="仿宋"/>
                <w:color w:val="auto"/>
                <w:sz w:val="21"/>
                <w:szCs w:val="21"/>
                <w:highlight w:val="none"/>
                <w:lang w:eastAsia="zh-CN"/>
              </w:rPr>
            </w:pPr>
          </w:p>
          <w:p w14:paraId="02F08C3D">
            <w:pPr>
              <w:ind w:firstLine="28"/>
              <w:jc w:val="center"/>
              <w:rPr>
                <w:rFonts w:hint="eastAsia" w:ascii="仿宋" w:hAnsi="仿宋" w:eastAsia="仿宋" w:cs="仿宋"/>
                <w:color w:val="auto"/>
                <w:sz w:val="21"/>
                <w:szCs w:val="21"/>
                <w:highlight w:val="none"/>
                <w:lang w:eastAsia="zh-CN"/>
              </w:rPr>
            </w:pPr>
          </w:p>
          <w:p w14:paraId="5781DA63">
            <w:pPr>
              <w:ind w:firstLine="28"/>
              <w:jc w:val="center"/>
              <w:rPr>
                <w:rFonts w:hint="eastAsia" w:ascii="仿宋" w:hAnsi="仿宋" w:eastAsia="仿宋" w:cs="仿宋"/>
                <w:color w:val="auto"/>
                <w:sz w:val="21"/>
                <w:szCs w:val="21"/>
                <w:highlight w:val="none"/>
                <w:lang w:eastAsia="zh-CN"/>
              </w:rPr>
            </w:pPr>
          </w:p>
          <w:p w14:paraId="165B13D4">
            <w:pPr>
              <w:ind w:firstLine="28"/>
              <w:jc w:val="center"/>
              <w:rPr>
                <w:rFonts w:hint="eastAsia" w:ascii="仿宋" w:hAnsi="仿宋" w:eastAsia="仿宋" w:cs="仿宋"/>
                <w:color w:val="auto"/>
                <w:sz w:val="21"/>
                <w:szCs w:val="21"/>
                <w:highlight w:val="none"/>
                <w:lang w:eastAsia="zh-CN"/>
              </w:rPr>
            </w:pPr>
          </w:p>
          <w:p w14:paraId="7522F720">
            <w:pPr>
              <w:ind w:firstLine="28"/>
              <w:jc w:val="center"/>
              <w:rPr>
                <w:rFonts w:hint="eastAsia" w:ascii="仿宋" w:hAnsi="仿宋" w:eastAsia="仿宋" w:cs="仿宋"/>
                <w:color w:val="auto"/>
                <w:sz w:val="21"/>
                <w:szCs w:val="21"/>
                <w:highlight w:val="none"/>
                <w:lang w:eastAsia="zh-CN"/>
              </w:rPr>
            </w:pPr>
          </w:p>
          <w:p w14:paraId="144FE991">
            <w:pPr>
              <w:ind w:firstLine="28"/>
              <w:jc w:val="center"/>
              <w:rPr>
                <w:rFonts w:hint="eastAsia" w:ascii="仿宋" w:hAnsi="仿宋" w:eastAsia="仿宋" w:cs="仿宋"/>
                <w:color w:val="auto"/>
                <w:sz w:val="21"/>
                <w:szCs w:val="21"/>
                <w:highlight w:val="none"/>
                <w:lang w:eastAsia="zh-CN"/>
              </w:rPr>
            </w:pPr>
          </w:p>
          <w:p w14:paraId="36DDA26C">
            <w:pPr>
              <w:ind w:firstLine="28"/>
              <w:jc w:val="center"/>
              <w:rPr>
                <w:rFonts w:hint="eastAsia" w:ascii="仿宋" w:hAnsi="仿宋" w:eastAsia="仿宋" w:cs="仿宋"/>
                <w:color w:val="auto"/>
                <w:sz w:val="21"/>
                <w:szCs w:val="21"/>
                <w:highlight w:val="none"/>
                <w:lang w:eastAsia="zh-CN"/>
              </w:rPr>
            </w:pPr>
          </w:p>
          <w:p w14:paraId="61314B5F">
            <w:pPr>
              <w:ind w:firstLine="28"/>
              <w:jc w:val="center"/>
              <w:rPr>
                <w:rFonts w:hint="eastAsia" w:ascii="仿宋" w:hAnsi="仿宋" w:eastAsia="仿宋" w:cs="仿宋"/>
                <w:color w:val="auto"/>
                <w:sz w:val="21"/>
                <w:szCs w:val="21"/>
                <w:highlight w:val="none"/>
                <w:lang w:eastAsia="zh-CN"/>
              </w:rPr>
            </w:pPr>
          </w:p>
          <w:p w14:paraId="7187FD9C">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rPr>
              <w:t>部分</w:t>
            </w:r>
          </w:p>
          <w:p w14:paraId="3E79BF88">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45</w:t>
            </w:r>
            <w:r>
              <w:rPr>
                <w:rFonts w:hint="eastAsia" w:ascii="仿宋" w:hAnsi="仿宋" w:eastAsia="仿宋" w:cs="仿宋"/>
                <w:color w:val="auto"/>
                <w:sz w:val="21"/>
                <w:szCs w:val="21"/>
                <w:highlight w:val="none"/>
              </w:rPr>
              <w:t>%）</w:t>
            </w:r>
          </w:p>
        </w:tc>
        <w:tc>
          <w:tcPr>
            <w:tcW w:w="750" w:type="dxa"/>
            <w:noWrap w:val="0"/>
            <w:vAlign w:val="center"/>
          </w:tcPr>
          <w:p w14:paraId="3E9C914F">
            <w:pPr>
              <w:spacing w:line="240" w:lineRule="atLeast"/>
              <w:ind w:left="-38" w:leftChars="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4448" w:type="dxa"/>
            <w:noWrap w:val="0"/>
            <w:vAlign w:val="center"/>
          </w:tcPr>
          <w:p w14:paraId="7D0FEED0">
            <w:pPr>
              <w:spacing w:line="240" w:lineRule="atLeast"/>
              <w:ind w:left="-38" w:left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lang w:eastAsia="zh-CN"/>
              </w:rPr>
              <w:t>附加险：</w:t>
            </w:r>
            <w:r>
              <w:rPr>
                <w:rFonts w:hint="eastAsia" w:ascii="仿宋" w:hAnsi="仿宋" w:eastAsia="仿宋" w:cs="仿宋"/>
                <w:color w:val="auto"/>
                <w:sz w:val="21"/>
                <w:szCs w:val="21"/>
                <w:highlight w:val="none"/>
                <w:lang w:val="en-US" w:eastAsia="zh-CN"/>
              </w:rPr>
              <w:t>公平分担损失保险</w:t>
            </w:r>
            <w:r>
              <w:rPr>
                <w:rFonts w:hint="eastAsia" w:ascii="仿宋" w:hAnsi="仿宋" w:eastAsia="仿宋" w:cs="仿宋"/>
                <w:color w:val="auto"/>
                <w:sz w:val="21"/>
                <w:szCs w:val="21"/>
                <w:highlight w:val="none"/>
                <w:lang w:eastAsia="zh-CN"/>
              </w:rPr>
              <w:t>、医疗机构场所责任专项保险方案</w:t>
            </w:r>
          </w:p>
          <w:p w14:paraId="0B35ED0D">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（1）保险条款清晰度（5分）</w:t>
            </w:r>
          </w:p>
          <w:p w14:paraId="28D19B0E">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①条款语言简洁明了，专业术语有详细解释，且整体表述无任何歧义，保险责任和免责范围以清晰的列表形式呈现，界定非常清晰，无任何模糊地带，得 5分。</w:t>
            </w:r>
          </w:p>
          <w:p w14:paraId="54AB509F">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②条款基本清晰，有少量专业术语解释不够详细，或存在个别表述不够准确但不影响整体理解的地方，保险责任或免责范围的表述较为笼统，存在一定不明确之处，但经分析可大致理解，得 2.5 分。</w:t>
            </w:r>
          </w:p>
          <w:p w14:paraId="2970B6E5">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③条款晦涩难懂，存在多处歧义，难以准确理解保险条款内容，保险责任和免责范围不明确，难以区分，容易引起争议，得 0 分。</w:t>
            </w:r>
          </w:p>
          <w:p w14:paraId="4FBB605C">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（2）医疗机构场所责任保障充分（5 分）。</w:t>
            </w:r>
          </w:p>
          <w:p w14:paraId="6467BD9C">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①对医疗机构场所内可能发生的火灾、滑倒摔伤、设备设施故障导致的人员伤害等各类责任事故均有明确合理的保障，得 5 分。</w:t>
            </w:r>
          </w:p>
          <w:p w14:paraId="2DFD7B8E">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②保障程度一般，涵盖部分常见责任事故，但有一些重要责任情况未明确涵盖，得 3 分。</w:t>
            </w:r>
          </w:p>
          <w:p w14:paraId="38391F63">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③仅涵盖少数责任事故，且保障力度较弱，得 1 分。</w:t>
            </w:r>
          </w:p>
          <w:p w14:paraId="2F5066CD">
            <w:pPr>
              <w:spacing w:line="240" w:lineRule="atLeast"/>
              <w:ind w:left="-38"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④基本没有对医疗机构场所责任事故的保障，得 0 分。</w:t>
            </w:r>
          </w:p>
        </w:tc>
        <w:tc>
          <w:tcPr>
            <w:tcW w:w="2440" w:type="dxa"/>
            <w:noWrap w:val="0"/>
            <w:vAlign w:val="center"/>
          </w:tcPr>
          <w:p w14:paraId="07495529">
            <w:pPr>
              <w:rPr>
                <w:rFonts w:hint="eastAsia" w:ascii="仿宋" w:hAnsi="仿宋" w:eastAsia="仿宋" w:cs="仿宋"/>
                <w:color w:val="auto"/>
                <w:sz w:val="21"/>
                <w:szCs w:val="21"/>
                <w:highlight w:val="none"/>
                <w:lang w:val="en-US" w:eastAsia="zh-CN"/>
              </w:rPr>
            </w:pPr>
          </w:p>
        </w:tc>
      </w:tr>
      <w:tr w14:paraId="26FB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835" w:type="dxa"/>
            <w:vMerge w:val="continue"/>
            <w:noWrap w:val="0"/>
            <w:vAlign w:val="center"/>
          </w:tcPr>
          <w:p w14:paraId="0A5470EB">
            <w:pPr>
              <w:rPr>
                <w:rFonts w:hint="eastAsia" w:ascii="仿宋" w:hAnsi="仿宋" w:eastAsia="仿宋" w:cs="仿宋"/>
                <w:color w:val="auto"/>
                <w:highlight w:val="none"/>
              </w:rPr>
            </w:pPr>
          </w:p>
        </w:tc>
        <w:tc>
          <w:tcPr>
            <w:tcW w:w="1155" w:type="dxa"/>
            <w:vMerge w:val="continue"/>
            <w:noWrap w:val="0"/>
            <w:vAlign w:val="center"/>
          </w:tcPr>
          <w:p w14:paraId="45E24B1B">
            <w:pPr>
              <w:rPr>
                <w:rFonts w:hint="eastAsia" w:ascii="仿宋" w:hAnsi="仿宋" w:eastAsia="仿宋" w:cs="仿宋"/>
                <w:color w:val="auto"/>
                <w:highlight w:val="none"/>
              </w:rPr>
            </w:pPr>
          </w:p>
        </w:tc>
        <w:tc>
          <w:tcPr>
            <w:tcW w:w="750" w:type="dxa"/>
            <w:noWrap w:val="0"/>
            <w:vAlign w:val="center"/>
          </w:tcPr>
          <w:p w14:paraId="1B09F92C">
            <w:pPr>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4448" w:type="dxa"/>
            <w:noWrap w:val="0"/>
            <w:vAlign w:val="center"/>
          </w:tcPr>
          <w:p w14:paraId="33906660">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2.2保险业务办理及服务</w:t>
            </w:r>
          </w:p>
          <w:p w14:paraId="3A1B0734">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（1）承诺上门办理签单、收取相关资料和及时送达保单：有专人办理医疗责任险有关承保手续，送达保险资料等，享受承保优先的“畅通”服务的得2分，未承诺或未满足要求得0分。</w:t>
            </w:r>
          </w:p>
          <w:p w14:paraId="3C91D420">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（2）承诺每个理赔案都有专门理赔人员负责得2分，未承诺或未满足要求得0分。</w:t>
            </w:r>
          </w:p>
          <w:p w14:paraId="2608A6A9">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根据供应商提供的赔偿时效承诺进行评分，收到完整理赔资料后的赔偿时效承诺：5（含）及以下个工作日内完成赔偿得2分，6（含）至8个工作日（含）得1.5分，9（含）个工作日得1分，9（不含）个工作日以上不得分。</w:t>
            </w:r>
          </w:p>
          <w:p w14:paraId="64E3A948">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（4）承诺配备专职服务人员参照院内非临床职工工作时间在院内长期驻点，并提供相应纠纷调处、保险理赔等服务，配备3人及以上得2分，配备2人得1分，配备2人以下得0分。</w:t>
            </w:r>
          </w:p>
          <w:p w14:paraId="0135FDD1">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（5）承诺专职人员处理调解员负责制，供应商在接到报案通知后应立即响应：</w:t>
            </w:r>
          </w:p>
          <w:p w14:paraId="18128FF1">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要求在接到报案通知后的2小时内到达现场进行查勘；满足得2分，未承诺或未满足要求得0分</w:t>
            </w:r>
          </w:p>
        </w:tc>
        <w:tc>
          <w:tcPr>
            <w:tcW w:w="2440" w:type="dxa"/>
            <w:noWrap w:val="0"/>
            <w:vAlign w:val="center"/>
          </w:tcPr>
          <w:p w14:paraId="16303989">
            <w:pPr>
              <w:spacing w:line="240" w:lineRule="atLeast"/>
              <w:rPr>
                <w:rFonts w:hint="eastAsia" w:ascii="仿宋" w:hAnsi="仿宋" w:eastAsia="仿宋" w:cs="仿宋"/>
                <w:color w:val="auto"/>
                <w:sz w:val="21"/>
                <w:szCs w:val="21"/>
                <w:highlight w:val="none"/>
                <w:lang w:val="en-US" w:eastAsia="zh-CN"/>
              </w:rPr>
            </w:pPr>
          </w:p>
          <w:p w14:paraId="6E904738">
            <w:pPr>
              <w:spacing w:line="240" w:lineRule="atLeast"/>
              <w:rPr>
                <w:rFonts w:hint="eastAsia" w:ascii="仿宋" w:hAnsi="仿宋" w:eastAsia="仿宋" w:cs="仿宋"/>
                <w:color w:val="auto"/>
                <w:sz w:val="21"/>
                <w:szCs w:val="21"/>
                <w:highlight w:val="none"/>
                <w:lang w:val="en-US" w:eastAsia="zh-CN"/>
              </w:rPr>
            </w:pPr>
          </w:p>
          <w:p w14:paraId="4958010A">
            <w:pPr>
              <w:spacing w:line="240" w:lineRule="atLeast"/>
              <w:rPr>
                <w:rFonts w:hint="eastAsia" w:ascii="仿宋" w:hAnsi="仿宋" w:eastAsia="仿宋" w:cs="仿宋"/>
                <w:color w:val="auto"/>
                <w:sz w:val="21"/>
                <w:szCs w:val="21"/>
                <w:highlight w:val="none"/>
                <w:lang w:val="en-US" w:eastAsia="zh-CN"/>
              </w:rPr>
            </w:pPr>
          </w:p>
          <w:p w14:paraId="28CA5938">
            <w:pPr>
              <w:spacing w:line="240" w:lineRule="atLeast"/>
              <w:rPr>
                <w:rFonts w:hint="eastAsia" w:ascii="仿宋" w:hAnsi="仿宋" w:eastAsia="仿宋" w:cs="仿宋"/>
                <w:color w:val="auto"/>
                <w:sz w:val="21"/>
                <w:szCs w:val="21"/>
                <w:highlight w:val="none"/>
                <w:lang w:val="en-US" w:eastAsia="zh-CN"/>
              </w:rPr>
            </w:pPr>
          </w:p>
          <w:p w14:paraId="051FBF00">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提供承诺函并加盖供应商公章（格式自拟，以上承诺均写入合同）</w:t>
            </w:r>
          </w:p>
          <w:p w14:paraId="079F5ABC">
            <w:pPr>
              <w:spacing w:line="240" w:lineRule="atLeast"/>
              <w:rPr>
                <w:rFonts w:hint="eastAsia" w:ascii="仿宋" w:hAnsi="仿宋" w:eastAsia="仿宋" w:cs="仿宋"/>
                <w:color w:val="auto"/>
                <w:sz w:val="21"/>
                <w:szCs w:val="21"/>
                <w:highlight w:val="none"/>
                <w:lang w:val="en-US" w:eastAsia="zh-CN"/>
              </w:rPr>
            </w:pPr>
          </w:p>
          <w:p w14:paraId="6ADE9A5C">
            <w:pPr>
              <w:spacing w:line="240" w:lineRule="atLeast"/>
              <w:rPr>
                <w:rFonts w:hint="eastAsia" w:ascii="仿宋" w:hAnsi="仿宋" w:eastAsia="仿宋" w:cs="仿宋"/>
                <w:color w:val="auto"/>
                <w:sz w:val="21"/>
                <w:szCs w:val="21"/>
                <w:highlight w:val="none"/>
                <w:lang w:val="en-US" w:eastAsia="zh-CN"/>
              </w:rPr>
            </w:pPr>
          </w:p>
          <w:p w14:paraId="62765828">
            <w:pPr>
              <w:spacing w:line="240" w:lineRule="atLeast"/>
              <w:rPr>
                <w:rFonts w:hint="eastAsia" w:ascii="仿宋" w:hAnsi="仿宋" w:eastAsia="仿宋" w:cs="仿宋"/>
                <w:color w:val="auto"/>
                <w:sz w:val="21"/>
                <w:szCs w:val="21"/>
                <w:highlight w:val="none"/>
                <w:lang w:val="en-US" w:eastAsia="zh-CN"/>
              </w:rPr>
            </w:pPr>
          </w:p>
          <w:p w14:paraId="16379386">
            <w:pPr>
              <w:spacing w:line="240" w:lineRule="atLeast"/>
              <w:rPr>
                <w:rFonts w:hint="eastAsia" w:ascii="仿宋" w:hAnsi="仿宋" w:eastAsia="仿宋" w:cs="仿宋"/>
                <w:color w:val="auto"/>
                <w:sz w:val="21"/>
                <w:szCs w:val="21"/>
                <w:highlight w:val="none"/>
                <w:lang w:val="en-US" w:eastAsia="zh-CN"/>
              </w:rPr>
            </w:pPr>
          </w:p>
          <w:p w14:paraId="2F9B038D">
            <w:pPr>
              <w:spacing w:line="240" w:lineRule="atLeast"/>
              <w:rPr>
                <w:rFonts w:hint="eastAsia" w:ascii="仿宋" w:hAnsi="仿宋" w:eastAsia="仿宋" w:cs="仿宋"/>
                <w:color w:val="auto"/>
                <w:sz w:val="21"/>
                <w:szCs w:val="21"/>
                <w:highlight w:val="none"/>
                <w:lang w:val="en-US" w:eastAsia="zh-CN"/>
              </w:rPr>
            </w:pPr>
          </w:p>
          <w:p w14:paraId="131BDBC8">
            <w:pPr>
              <w:spacing w:line="240" w:lineRule="atLeast"/>
              <w:rPr>
                <w:rFonts w:hint="eastAsia" w:ascii="仿宋" w:hAnsi="仿宋" w:eastAsia="仿宋" w:cs="仿宋"/>
                <w:color w:val="auto"/>
                <w:sz w:val="21"/>
                <w:szCs w:val="21"/>
                <w:highlight w:val="none"/>
                <w:lang w:val="en-US" w:eastAsia="zh-CN"/>
              </w:rPr>
            </w:pPr>
          </w:p>
          <w:p w14:paraId="3E3C5051">
            <w:pPr>
              <w:spacing w:line="240" w:lineRule="atLeast"/>
              <w:rPr>
                <w:rFonts w:hint="eastAsia" w:ascii="仿宋" w:hAnsi="仿宋" w:eastAsia="仿宋" w:cs="仿宋"/>
                <w:color w:val="auto"/>
                <w:sz w:val="21"/>
                <w:szCs w:val="21"/>
                <w:highlight w:val="none"/>
                <w:lang w:val="en-US" w:eastAsia="zh-CN"/>
              </w:rPr>
            </w:pPr>
          </w:p>
          <w:p w14:paraId="04F6610A">
            <w:pPr>
              <w:spacing w:line="240" w:lineRule="atLeast"/>
              <w:rPr>
                <w:rFonts w:hint="eastAsia" w:ascii="仿宋" w:hAnsi="仿宋" w:eastAsia="仿宋" w:cs="仿宋"/>
                <w:color w:val="auto"/>
                <w:sz w:val="21"/>
                <w:szCs w:val="21"/>
                <w:highlight w:val="none"/>
                <w:lang w:val="en-US" w:eastAsia="zh-CN"/>
              </w:rPr>
            </w:pPr>
          </w:p>
          <w:p w14:paraId="6F470793">
            <w:pPr>
              <w:spacing w:line="240" w:lineRule="atLeast"/>
              <w:rPr>
                <w:rFonts w:hint="eastAsia" w:ascii="仿宋" w:hAnsi="仿宋" w:eastAsia="仿宋" w:cs="仿宋"/>
                <w:color w:val="auto"/>
                <w:sz w:val="21"/>
                <w:szCs w:val="21"/>
                <w:highlight w:val="none"/>
                <w:lang w:val="en-US" w:eastAsia="zh-CN"/>
              </w:rPr>
            </w:pPr>
          </w:p>
        </w:tc>
      </w:tr>
      <w:tr w14:paraId="4BDA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1" w:hRule="atLeast"/>
        </w:trPr>
        <w:tc>
          <w:tcPr>
            <w:tcW w:w="835" w:type="dxa"/>
            <w:vMerge w:val="continue"/>
            <w:noWrap w:val="0"/>
            <w:vAlign w:val="center"/>
          </w:tcPr>
          <w:p w14:paraId="615CDCC0">
            <w:pPr>
              <w:rPr>
                <w:rFonts w:hint="eastAsia" w:ascii="仿宋" w:hAnsi="仿宋" w:eastAsia="仿宋" w:cs="仿宋"/>
                <w:color w:val="auto"/>
                <w:highlight w:val="none"/>
              </w:rPr>
            </w:pPr>
          </w:p>
        </w:tc>
        <w:tc>
          <w:tcPr>
            <w:tcW w:w="1155" w:type="dxa"/>
            <w:vMerge w:val="continue"/>
            <w:noWrap w:val="0"/>
            <w:vAlign w:val="center"/>
          </w:tcPr>
          <w:p w14:paraId="06441478">
            <w:pPr>
              <w:rPr>
                <w:rFonts w:hint="eastAsia" w:ascii="仿宋" w:hAnsi="仿宋" w:eastAsia="仿宋" w:cs="仿宋"/>
                <w:color w:val="auto"/>
                <w:highlight w:val="none"/>
              </w:rPr>
            </w:pPr>
          </w:p>
        </w:tc>
        <w:tc>
          <w:tcPr>
            <w:tcW w:w="750" w:type="dxa"/>
            <w:noWrap w:val="0"/>
            <w:vAlign w:val="center"/>
          </w:tcPr>
          <w:p w14:paraId="6353B9F1">
            <w:pPr>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4448" w:type="dxa"/>
            <w:noWrap w:val="0"/>
            <w:vAlign w:val="center"/>
          </w:tcPr>
          <w:p w14:paraId="642B9D8F">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2.3综合服务方案</w:t>
            </w:r>
          </w:p>
          <w:p w14:paraId="773F04E3">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根据供应商以下方案的合理性、可行性和可持续性进行综合评分：</w:t>
            </w:r>
          </w:p>
          <w:p w14:paraId="6574D622">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（1）医疗纠纷预防与处理培训方案。</w:t>
            </w:r>
          </w:p>
          <w:p w14:paraId="36AA0EFC">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（2）理赔手续简化方案。</w:t>
            </w:r>
          </w:p>
          <w:p w14:paraId="25306FCE">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（3）重大事故的处理措施方案。</w:t>
            </w:r>
          </w:p>
          <w:p w14:paraId="6F7144F9">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（4）“调赔结合”机制的建立与完善方案。</w:t>
            </w:r>
          </w:p>
          <w:p w14:paraId="5F636582">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（5）本项目专业性服务人员配置方案。</w:t>
            </w:r>
          </w:p>
          <w:p w14:paraId="789467CD">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完全具备以上5个方案，科学合理，有针对性，符合本项目实际情况且表述清晰有逻辑性的为“优”，得20分；</w:t>
            </w:r>
          </w:p>
          <w:p w14:paraId="5940B02D">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完全具备以上5个方案，科学合理，有针对性，符合项目实际情况且表述清晰有逻辑性，但稍有不足的为“良”得15分；</w:t>
            </w:r>
          </w:p>
          <w:p w14:paraId="009B98B9">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完全具备以上5个方案，基本符合项目情况，有针对性但逻辑性和表述有欠缺的，为“一般”得10分；</w:t>
            </w:r>
          </w:p>
          <w:p w14:paraId="0EB1231B">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完全具备以上5个方案，科学合理性不足，或针对性不足，或存在不符合项目实际情况或表述模糊无逻辑性的，为“差”得5分。</w:t>
            </w:r>
          </w:p>
          <w:p w14:paraId="44C27B34">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不完全具备以上5个方案或未提供的，得0分。</w:t>
            </w:r>
          </w:p>
        </w:tc>
        <w:tc>
          <w:tcPr>
            <w:tcW w:w="2440" w:type="dxa"/>
            <w:noWrap w:val="0"/>
            <w:vAlign w:val="center"/>
          </w:tcPr>
          <w:p w14:paraId="6308407B">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提供方案（格式自拟）</w:t>
            </w:r>
          </w:p>
        </w:tc>
      </w:tr>
      <w:tr w14:paraId="2748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835" w:type="dxa"/>
            <w:vMerge w:val="continue"/>
            <w:noWrap w:val="0"/>
            <w:vAlign w:val="center"/>
          </w:tcPr>
          <w:p w14:paraId="088CEBA6">
            <w:pPr>
              <w:spacing w:line="240" w:lineRule="atLeast"/>
              <w:rPr>
                <w:rFonts w:hint="eastAsia" w:ascii="仿宋" w:hAnsi="仿宋" w:eastAsia="仿宋" w:cs="仿宋"/>
                <w:color w:val="auto"/>
                <w:highlight w:val="none"/>
              </w:rPr>
            </w:pPr>
          </w:p>
        </w:tc>
        <w:tc>
          <w:tcPr>
            <w:tcW w:w="1155" w:type="dxa"/>
            <w:vMerge w:val="continue"/>
            <w:noWrap w:val="0"/>
            <w:vAlign w:val="center"/>
          </w:tcPr>
          <w:p w14:paraId="7D4DD3D0">
            <w:pPr>
              <w:spacing w:line="240" w:lineRule="atLeast"/>
              <w:rPr>
                <w:rFonts w:hint="eastAsia" w:ascii="仿宋" w:hAnsi="仿宋" w:eastAsia="仿宋" w:cs="仿宋"/>
                <w:color w:val="auto"/>
                <w:highlight w:val="none"/>
              </w:rPr>
            </w:pPr>
          </w:p>
        </w:tc>
        <w:tc>
          <w:tcPr>
            <w:tcW w:w="750" w:type="dxa"/>
            <w:noWrap w:val="0"/>
            <w:vAlign w:val="center"/>
          </w:tcPr>
          <w:p w14:paraId="35A9580B">
            <w:pPr>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4448" w:type="dxa"/>
            <w:noWrap w:val="0"/>
            <w:vAlign w:val="center"/>
          </w:tcPr>
          <w:p w14:paraId="670F5E63">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2.4风险预防服务</w:t>
            </w:r>
          </w:p>
          <w:p w14:paraId="2FB582B4">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根据供应商提供的风险预防服务方案的优劣程度进行评分。</w:t>
            </w:r>
          </w:p>
          <w:p w14:paraId="3E7ECC98">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科学合理，有针对性，符合本项目实际情况且表述清晰有逻辑性的为“优”，得5分；</w:t>
            </w:r>
          </w:p>
          <w:p w14:paraId="6D975FC7">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科学合理，有针对性，符合项目实际情况且表述清晰有逻辑性，但稍有不足的为“良”得3分；</w:t>
            </w:r>
          </w:p>
          <w:p w14:paraId="2AF539DD">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基本符合项目情况，有针对性但逻辑性和表述有欠缺的，为“一般”得2分；</w:t>
            </w:r>
          </w:p>
          <w:p w14:paraId="49A64AD1">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科学合理性不足，或针对性不足，或存在不符合项目实际情况或表述模糊无逻辑性的，为“差”得1分；</w:t>
            </w:r>
          </w:p>
          <w:p w14:paraId="5710EFDA">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未提供方案得0分。</w:t>
            </w:r>
          </w:p>
        </w:tc>
        <w:tc>
          <w:tcPr>
            <w:tcW w:w="2440" w:type="dxa"/>
            <w:noWrap w:val="0"/>
            <w:vAlign w:val="center"/>
          </w:tcPr>
          <w:p w14:paraId="357BA60B">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提供方案（格式自拟）</w:t>
            </w:r>
          </w:p>
        </w:tc>
      </w:tr>
      <w:tr w14:paraId="23D1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restart"/>
            <w:noWrap w:val="0"/>
            <w:vAlign w:val="center"/>
          </w:tcPr>
          <w:p w14:paraId="48C7013A">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155" w:type="dxa"/>
            <w:vMerge w:val="restart"/>
            <w:noWrap w:val="0"/>
            <w:vAlign w:val="center"/>
          </w:tcPr>
          <w:p w14:paraId="43E220CA">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p w14:paraId="1E18D3C9">
            <w:pPr>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25</w:t>
            </w:r>
            <w:r>
              <w:rPr>
                <w:rFonts w:hint="eastAsia" w:ascii="仿宋" w:hAnsi="仿宋" w:eastAsia="仿宋" w:cs="仿宋"/>
                <w:color w:val="auto"/>
                <w:sz w:val="21"/>
                <w:szCs w:val="21"/>
                <w:highlight w:val="none"/>
              </w:rPr>
              <w:t>%）</w:t>
            </w:r>
          </w:p>
        </w:tc>
        <w:tc>
          <w:tcPr>
            <w:tcW w:w="750" w:type="dxa"/>
            <w:noWrap w:val="0"/>
            <w:vAlign w:val="center"/>
          </w:tcPr>
          <w:p w14:paraId="49930DBF">
            <w:pPr>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4448" w:type="dxa"/>
            <w:noWrap w:val="0"/>
            <w:vAlign w:val="center"/>
          </w:tcPr>
          <w:p w14:paraId="721DA0DE">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3.1服务经验</w:t>
            </w:r>
          </w:p>
          <w:p w14:paraId="63116ABA">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自2023年1月1日起，供应商承保过类似医疗单位医疗责任商业保险业务的，有1个得1分，每增加1个得1分；本项最多得5分。</w:t>
            </w:r>
          </w:p>
        </w:tc>
        <w:tc>
          <w:tcPr>
            <w:tcW w:w="2440" w:type="dxa"/>
            <w:noWrap w:val="0"/>
            <w:vAlign w:val="center"/>
          </w:tcPr>
          <w:p w14:paraId="3B5B71CB">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供应商需提供保单复印件或保单抄件复印件，加盖供应商公章。</w:t>
            </w:r>
          </w:p>
        </w:tc>
      </w:tr>
      <w:tr w14:paraId="790E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noWrap w:val="0"/>
            <w:vAlign w:val="center"/>
          </w:tcPr>
          <w:p w14:paraId="2E611291">
            <w:pPr>
              <w:ind w:firstLine="28"/>
              <w:jc w:val="center"/>
              <w:rPr>
                <w:rFonts w:hint="eastAsia" w:ascii="仿宋" w:hAnsi="仿宋" w:eastAsia="仿宋" w:cs="仿宋"/>
                <w:color w:val="auto"/>
                <w:sz w:val="21"/>
                <w:szCs w:val="21"/>
                <w:highlight w:val="none"/>
              </w:rPr>
            </w:pPr>
          </w:p>
        </w:tc>
        <w:tc>
          <w:tcPr>
            <w:tcW w:w="1155" w:type="dxa"/>
            <w:vMerge w:val="continue"/>
            <w:noWrap w:val="0"/>
            <w:vAlign w:val="center"/>
          </w:tcPr>
          <w:p w14:paraId="6D95C94D">
            <w:pPr>
              <w:ind w:firstLine="28"/>
              <w:jc w:val="center"/>
              <w:rPr>
                <w:rFonts w:hint="eastAsia" w:ascii="仿宋" w:hAnsi="仿宋" w:eastAsia="仿宋" w:cs="仿宋"/>
                <w:color w:val="auto"/>
                <w:sz w:val="21"/>
                <w:szCs w:val="21"/>
                <w:highlight w:val="none"/>
              </w:rPr>
            </w:pPr>
          </w:p>
        </w:tc>
        <w:tc>
          <w:tcPr>
            <w:tcW w:w="750" w:type="dxa"/>
            <w:noWrap w:val="0"/>
            <w:vAlign w:val="center"/>
          </w:tcPr>
          <w:p w14:paraId="528C7571">
            <w:pPr>
              <w:ind w:firstLine="28"/>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4448" w:type="dxa"/>
            <w:noWrap w:val="0"/>
            <w:vAlign w:val="center"/>
          </w:tcPr>
          <w:p w14:paraId="5B99FB5E">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3.2保险公司核心偿付能力</w:t>
            </w:r>
          </w:p>
          <w:p w14:paraId="22C844E4">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供应商总公司在2024年至今任一季度核心偿付能力充足率：</w:t>
            </w:r>
          </w:p>
          <w:p w14:paraId="23E44E51">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在200%及以上的得 15分，</w:t>
            </w:r>
          </w:p>
          <w:p w14:paraId="0BD7A07E">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在150%（含）～200%（不含）的得10分；</w:t>
            </w:r>
          </w:p>
          <w:p w14:paraId="33BEA8B3">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在100%（含）～150%（不含）的得5分；</w:t>
            </w:r>
          </w:p>
          <w:p w14:paraId="12FEB1D7">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在100%以下不得分，记为0分。</w:t>
            </w:r>
          </w:p>
        </w:tc>
        <w:tc>
          <w:tcPr>
            <w:tcW w:w="2440" w:type="dxa"/>
            <w:noWrap w:val="0"/>
            <w:vAlign w:val="center"/>
          </w:tcPr>
          <w:p w14:paraId="16DD99F5">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注：偿付能力是保险人履行赔偿或给付责任的能力，综合偿付能力充足率越高则表明供应商偿付能力越高。供应商须提供中国保险行业协会网站披露的2024年至今任一季度偿付能力季度报告中关于</w:t>
            </w:r>
            <w:bookmarkStart w:id="89" w:name="OLE_LINK10"/>
            <w:r>
              <w:rPr>
                <w:rFonts w:hint="eastAsia" w:ascii="仿宋" w:hAnsi="仿宋" w:eastAsia="仿宋" w:cs="仿宋"/>
                <w:color w:val="auto"/>
                <w:sz w:val="21"/>
                <w:szCs w:val="21"/>
                <w:highlight w:val="none"/>
                <w:lang w:val="en-US" w:eastAsia="zh-CN"/>
              </w:rPr>
              <w:t>核心偿付能力</w:t>
            </w:r>
            <w:bookmarkEnd w:id="89"/>
            <w:r>
              <w:rPr>
                <w:rFonts w:hint="eastAsia" w:ascii="仿宋" w:hAnsi="仿宋" w:eastAsia="仿宋" w:cs="仿宋"/>
                <w:color w:val="auto"/>
                <w:sz w:val="21"/>
                <w:szCs w:val="21"/>
                <w:highlight w:val="none"/>
                <w:lang w:val="en-US" w:eastAsia="zh-CN"/>
              </w:rPr>
              <w:t>指标关键页截图并加盖供应商公章。</w:t>
            </w:r>
          </w:p>
        </w:tc>
      </w:tr>
      <w:tr w14:paraId="5548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noWrap w:val="0"/>
            <w:vAlign w:val="center"/>
          </w:tcPr>
          <w:p w14:paraId="488E7AA3">
            <w:pPr>
              <w:ind w:firstLine="28"/>
              <w:jc w:val="center"/>
              <w:rPr>
                <w:rFonts w:hint="eastAsia" w:ascii="仿宋" w:hAnsi="仿宋" w:eastAsia="仿宋" w:cs="仿宋"/>
                <w:color w:val="auto"/>
                <w:sz w:val="21"/>
                <w:szCs w:val="21"/>
                <w:highlight w:val="none"/>
              </w:rPr>
            </w:pPr>
          </w:p>
        </w:tc>
        <w:tc>
          <w:tcPr>
            <w:tcW w:w="1155" w:type="dxa"/>
            <w:vMerge w:val="continue"/>
            <w:noWrap w:val="0"/>
            <w:vAlign w:val="center"/>
          </w:tcPr>
          <w:p w14:paraId="0CF61D5A">
            <w:pPr>
              <w:ind w:firstLine="28"/>
              <w:jc w:val="center"/>
              <w:rPr>
                <w:rFonts w:hint="eastAsia" w:ascii="仿宋" w:hAnsi="仿宋" w:eastAsia="仿宋" w:cs="仿宋"/>
                <w:color w:val="auto"/>
                <w:sz w:val="21"/>
                <w:szCs w:val="21"/>
                <w:highlight w:val="none"/>
              </w:rPr>
            </w:pPr>
          </w:p>
        </w:tc>
        <w:tc>
          <w:tcPr>
            <w:tcW w:w="750" w:type="dxa"/>
            <w:noWrap w:val="0"/>
            <w:vAlign w:val="center"/>
          </w:tcPr>
          <w:p w14:paraId="60236D2E">
            <w:pPr>
              <w:ind w:firstLine="2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4448" w:type="dxa"/>
            <w:noWrap w:val="0"/>
            <w:vAlign w:val="center"/>
          </w:tcPr>
          <w:p w14:paraId="5FBA82C4">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3.3保险公司服务评价</w:t>
            </w:r>
          </w:p>
          <w:p w14:paraId="3E3BFCFF">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供应商总公司风险综合评级（分类监管）评价结果:</w:t>
            </w:r>
          </w:p>
          <w:p w14:paraId="200883AC">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季度评价结果为B类及以上，得5分；季度评价结果为C类及以下，得0分。</w:t>
            </w:r>
          </w:p>
        </w:tc>
        <w:tc>
          <w:tcPr>
            <w:tcW w:w="2440" w:type="dxa"/>
            <w:noWrap w:val="0"/>
            <w:vAlign w:val="center"/>
          </w:tcPr>
          <w:p w14:paraId="0DC1114A">
            <w:pPr>
              <w:spacing w:line="240" w:lineRule="atLeas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供应商须提供中国银保监会偿二代监督管理信息系统中风险综合评级（分类监管）2024年至今任意一季度的评价结果截图，加盖供应商公章。</w:t>
            </w:r>
          </w:p>
        </w:tc>
      </w:tr>
    </w:tbl>
    <w:p w14:paraId="264A261E">
      <w:pPr>
        <w:rPr>
          <w:rFonts w:hint="default"/>
        </w:rPr>
      </w:pPr>
    </w:p>
    <w:p w14:paraId="25CF71E5">
      <w:pPr>
        <w:pStyle w:val="21"/>
        <w:bidi w:val="0"/>
        <w:rPr>
          <w:rFonts w:hint="eastAsia"/>
          <w:lang w:eastAsia="zh-CN"/>
        </w:rPr>
      </w:pPr>
      <w:bookmarkStart w:id="90" w:name="_Toc12644"/>
      <w:bookmarkStart w:id="91" w:name="_Toc29113"/>
      <w:bookmarkStart w:id="92" w:name="_Toc135993505"/>
      <w:bookmarkStart w:id="93" w:name="_Toc65660352"/>
      <w:r>
        <w:rPr>
          <w:rFonts w:hint="eastAsia"/>
        </w:rPr>
        <w:t>三、无效</w:t>
      </w:r>
      <w:bookmarkEnd w:id="90"/>
      <w:bookmarkEnd w:id="91"/>
      <w:bookmarkEnd w:id="92"/>
      <w:bookmarkEnd w:id="93"/>
      <w:r>
        <w:rPr>
          <w:rFonts w:hint="eastAsia"/>
          <w:lang w:eastAsia="zh-CN"/>
        </w:rPr>
        <w:t>磋商</w:t>
      </w:r>
    </w:p>
    <w:p w14:paraId="2186C8AE">
      <w:pPr>
        <w:pStyle w:val="20"/>
        <w:bidi w:val="0"/>
        <w:rPr>
          <w:rFonts w:hint="default"/>
        </w:rPr>
      </w:pPr>
      <w:r>
        <w:rPr>
          <w:rFonts w:hint="default"/>
        </w:rPr>
        <w:t>供应商发生以下条款情况之一者，视为无效</w:t>
      </w:r>
      <w:r>
        <w:rPr>
          <w:rFonts w:hint="eastAsia"/>
          <w:lang w:eastAsia="zh-CN"/>
        </w:rPr>
        <w:t>磋商</w:t>
      </w:r>
      <w:r>
        <w:rPr>
          <w:rFonts w:hint="default"/>
        </w:rPr>
        <w:t>：</w:t>
      </w:r>
    </w:p>
    <w:p w14:paraId="77C3D82B">
      <w:pPr>
        <w:pStyle w:val="20"/>
        <w:bidi w:val="0"/>
        <w:rPr>
          <w:rFonts w:hint="default"/>
        </w:rPr>
      </w:pPr>
      <w:r>
        <w:rPr>
          <w:rFonts w:hint="default"/>
        </w:rPr>
        <w:t>（一）供应商不符合规定的资格条件的；</w:t>
      </w:r>
    </w:p>
    <w:p w14:paraId="0B9AB24D">
      <w:pPr>
        <w:pStyle w:val="20"/>
        <w:bidi w:val="0"/>
        <w:rPr>
          <w:rFonts w:hint="default"/>
        </w:rPr>
      </w:pPr>
      <w:r>
        <w:rPr>
          <w:rFonts w:hint="default"/>
        </w:rPr>
        <w:t>（二）供应商未通过实质性响应审查的；</w:t>
      </w:r>
    </w:p>
    <w:p w14:paraId="7AEC2176">
      <w:pPr>
        <w:pStyle w:val="20"/>
        <w:bidi w:val="0"/>
        <w:rPr>
          <w:rFonts w:hint="default"/>
        </w:rPr>
      </w:pPr>
      <w:r>
        <w:rPr>
          <w:rFonts w:hint="default"/>
        </w:rPr>
        <w:t>（三）供应商的法定代表人（或其授权代表）或自然人未参加</w:t>
      </w:r>
      <w:r>
        <w:rPr>
          <w:rFonts w:hint="eastAsia"/>
          <w:lang w:eastAsia="zh-CN"/>
        </w:rPr>
        <w:t>磋商</w:t>
      </w:r>
      <w:r>
        <w:rPr>
          <w:rFonts w:hint="default"/>
        </w:rPr>
        <w:t>的；</w:t>
      </w:r>
    </w:p>
    <w:p w14:paraId="768B3A21">
      <w:pPr>
        <w:pStyle w:val="20"/>
        <w:bidi w:val="0"/>
        <w:rPr>
          <w:rFonts w:hint="default"/>
        </w:rPr>
      </w:pPr>
      <w:r>
        <w:rPr>
          <w:rFonts w:hint="default"/>
        </w:rPr>
        <w:t>（</w:t>
      </w:r>
      <w:r>
        <w:rPr>
          <w:rFonts w:hint="eastAsia"/>
          <w:lang w:val="en-US" w:eastAsia="zh-CN"/>
        </w:rPr>
        <w:t>四</w:t>
      </w:r>
      <w:r>
        <w:rPr>
          <w:rFonts w:hint="default"/>
        </w:rPr>
        <w:t>）供应商所提交的响应文件未按</w:t>
      </w:r>
      <w:r>
        <w:rPr>
          <w:rFonts w:hint="eastAsia"/>
          <w:lang w:eastAsia="zh-CN"/>
        </w:rPr>
        <w:t>“第六篇</w:t>
      </w:r>
      <w:r>
        <w:rPr>
          <w:rFonts w:hint="default"/>
        </w:rPr>
        <w:t>响应文件格式要求</w:t>
      </w:r>
      <w:r>
        <w:rPr>
          <w:rFonts w:hint="eastAsia"/>
          <w:lang w:eastAsia="zh-CN"/>
        </w:rPr>
        <w:t>”</w:t>
      </w:r>
      <w:r>
        <w:rPr>
          <w:rFonts w:hint="default"/>
        </w:rPr>
        <w:t>要求签署或盖章的；</w:t>
      </w:r>
    </w:p>
    <w:p w14:paraId="0ABAB063">
      <w:pPr>
        <w:pStyle w:val="20"/>
        <w:bidi w:val="0"/>
        <w:rPr>
          <w:rFonts w:hint="default"/>
        </w:rPr>
      </w:pPr>
      <w:r>
        <w:rPr>
          <w:rFonts w:hint="default"/>
        </w:rPr>
        <w:t>（</w:t>
      </w:r>
      <w:r>
        <w:rPr>
          <w:rFonts w:hint="eastAsia"/>
          <w:lang w:val="en-US" w:eastAsia="zh-CN"/>
        </w:rPr>
        <w:t>五</w:t>
      </w:r>
      <w:r>
        <w:rPr>
          <w:rFonts w:hint="default"/>
        </w:rPr>
        <w:t>）供应商的最后报价超过采购预算或</w:t>
      </w:r>
      <w:r>
        <w:rPr>
          <w:rFonts w:hint="eastAsia"/>
          <w:lang w:eastAsia="zh-CN"/>
        </w:rPr>
        <w:t>最高限</w:t>
      </w:r>
      <w:r>
        <w:rPr>
          <w:rFonts w:hint="default"/>
        </w:rPr>
        <w:t>价的；</w:t>
      </w:r>
    </w:p>
    <w:p w14:paraId="27BC56F8">
      <w:pPr>
        <w:pStyle w:val="20"/>
        <w:bidi w:val="0"/>
        <w:rPr>
          <w:rFonts w:hint="default"/>
        </w:rPr>
      </w:pPr>
      <w:r>
        <w:rPr>
          <w:rFonts w:hint="default"/>
        </w:rPr>
        <w:t>（</w:t>
      </w:r>
      <w:r>
        <w:rPr>
          <w:rFonts w:hint="eastAsia"/>
          <w:lang w:val="en-US" w:eastAsia="zh-CN"/>
        </w:rPr>
        <w:t>六</w:t>
      </w:r>
      <w:r>
        <w:rPr>
          <w:rFonts w:hint="default"/>
        </w:rPr>
        <w:t>）供应商不接受</w:t>
      </w:r>
      <w:r>
        <w:rPr>
          <w:rFonts w:hint="eastAsia"/>
          <w:lang w:eastAsia="zh-CN"/>
        </w:rPr>
        <w:t>磋商</w:t>
      </w:r>
      <w:r>
        <w:rPr>
          <w:rFonts w:hint="default"/>
        </w:rPr>
        <w:t>小组修正后的价格的；</w:t>
      </w:r>
    </w:p>
    <w:p w14:paraId="3A5AB181">
      <w:pPr>
        <w:pStyle w:val="20"/>
        <w:bidi w:val="0"/>
        <w:rPr>
          <w:rFonts w:hint="default"/>
          <w:lang w:eastAsia="zh-CN"/>
        </w:rPr>
      </w:pPr>
      <w:r>
        <w:rPr>
          <w:rFonts w:hint="default"/>
        </w:rPr>
        <w:t>（</w:t>
      </w:r>
      <w:r>
        <w:rPr>
          <w:rFonts w:hint="eastAsia"/>
          <w:lang w:val="en-US" w:eastAsia="zh-CN"/>
        </w:rPr>
        <w:t>七</w:t>
      </w:r>
      <w:r>
        <w:rPr>
          <w:rFonts w:hint="default"/>
        </w:rPr>
        <w:t>）</w:t>
      </w:r>
      <w:r>
        <w:rPr>
          <w:rFonts w:hint="default"/>
          <w:lang w:eastAsia="zh-CN"/>
        </w:rPr>
        <w:t>单位负责人为同一人或者存在直接控股、管理关系的不同供应商，参加同一合同项（包）</w:t>
      </w:r>
      <w:r>
        <w:rPr>
          <w:rFonts w:hint="eastAsia"/>
          <w:lang w:eastAsia="zh-CN"/>
        </w:rPr>
        <w:t>磋商</w:t>
      </w:r>
      <w:r>
        <w:rPr>
          <w:rFonts w:hint="default"/>
          <w:lang w:eastAsia="zh-CN"/>
        </w:rPr>
        <w:t>的；</w:t>
      </w:r>
    </w:p>
    <w:p w14:paraId="1479AD6A">
      <w:pPr>
        <w:pStyle w:val="20"/>
        <w:bidi w:val="0"/>
        <w:rPr>
          <w:rFonts w:hint="default"/>
        </w:rPr>
      </w:pPr>
      <w:r>
        <w:rPr>
          <w:rFonts w:hint="default"/>
        </w:rPr>
        <w:t>（</w:t>
      </w:r>
      <w:r>
        <w:rPr>
          <w:rFonts w:hint="eastAsia"/>
          <w:lang w:val="en-US" w:eastAsia="zh-CN"/>
        </w:rPr>
        <w:t>八</w:t>
      </w:r>
      <w:r>
        <w:rPr>
          <w:rFonts w:hint="default"/>
        </w:rPr>
        <w:t>）为采购项目提供整体设计、规范编制或者项目管理、监理、检测等服务的供应商再参加该采购项目的其他采购活动的；</w:t>
      </w:r>
    </w:p>
    <w:p w14:paraId="18037E88">
      <w:pPr>
        <w:pStyle w:val="20"/>
        <w:bidi w:val="0"/>
        <w:rPr>
          <w:rFonts w:hint="default"/>
        </w:rPr>
      </w:pPr>
      <w:r>
        <w:rPr>
          <w:rFonts w:hint="default"/>
        </w:rPr>
        <w:t>（</w:t>
      </w:r>
      <w:r>
        <w:rPr>
          <w:rFonts w:hint="eastAsia"/>
          <w:lang w:val="en-US" w:eastAsia="zh-CN"/>
        </w:rPr>
        <w:t>九</w:t>
      </w:r>
      <w:r>
        <w:rPr>
          <w:rFonts w:hint="default"/>
        </w:rPr>
        <w:t>）供应商响应文件内容有与国家现行法律法规相违背的内容，或附有采购人无法接受条件的；</w:t>
      </w:r>
    </w:p>
    <w:p w14:paraId="5DCCEE4F">
      <w:pPr>
        <w:pStyle w:val="20"/>
        <w:bidi w:val="0"/>
        <w:rPr>
          <w:rFonts w:hint="default"/>
        </w:rPr>
      </w:pPr>
      <w:r>
        <w:rPr>
          <w:rFonts w:hint="default"/>
        </w:rPr>
        <w:t>（十）法律、法规和</w:t>
      </w:r>
      <w:r>
        <w:rPr>
          <w:rFonts w:hint="eastAsia"/>
          <w:lang w:eastAsia="zh-CN"/>
        </w:rPr>
        <w:t>竞争性磋商</w:t>
      </w:r>
      <w:r>
        <w:rPr>
          <w:rFonts w:hint="default"/>
        </w:rPr>
        <w:t>文件规定的其他无效情形。</w:t>
      </w:r>
    </w:p>
    <w:p w14:paraId="11C423B4">
      <w:pPr>
        <w:pStyle w:val="21"/>
        <w:bidi w:val="0"/>
        <w:rPr>
          <w:rFonts w:hint="eastAsia"/>
        </w:rPr>
      </w:pPr>
      <w:bookmarkStart w:id="94" w:name="_Toc65660353"/>
      <w:bookmarkStart w:id="95" w:name="_Toc28422"/>
      <w:bookmarkStart w:id="96" w:name="_Toc29298"/>
      <w:bookmarkStart w:id="97" w:name="_Toc135993506"/>
      <w:r>
        <w:rPr>
          <w:rFonts w:hint="eastAsia"/>
        </w:rPr>
        <w:t>四、采购终止</w:t>
      </w:r>
      <w:bookmarkEnd w:id="94"/>
      <w:bookmarkEnd w:id="95"/>
      <w:bookmarkEnd w:id="96"/>
      <w:bookmarkEnd w:id="97"/>
    </w:p>
    <w:p w14:paraId="273D6BD4">
      <w:pPr>
        <w:pStyle w:val="20"/>
        <w:bidi w:val="0"/>
        <w:rPr>
          <w:rFonts w:hint="default"/>
        </w:rPr>
      </w:pPr>
      <w:r>
        <w:rPr>
          <w:rFonts w:hint="default"/>
        </w:rPr>
        <w:t>出现下列情形之一的，采购人应当终止</w:t>
      </w:r>
      <w:r>
        <w:rPr>
          <w:rFonts w:hint="eastAsia"/>
          <w:lang w:eastAsia="zh-CN"/>
        </w:rPr>
        <w:t>竞争性磋商</w:t>
      </w:r>
      <w:r>
        <w:rPr>
          <w:rFonts w:hint="default"/>
        </w:rPr>
        <w:t>采购活动，发布项目终止公告并说明原因，重新开展采购活动：</w:t>
      </w:r>
    </w:p>
    <w:p w14:paraId="5D9856E4">
      <w:pPr>
        <w:pStyle w:val="20"/>
        <w:bidi w:val="0"/>
        <w:rPr>
          <w:rFonts w:hint="default"/>
        </w:rPr>
      </w:pPr>
      <w:r>
        <w:rPr>
          <w:rFonts w:hint="default"/>
        </w:rPr>
        <w:t>（一）因情况变化，不再符合规定的</w:t>
      </w:r>
      <w:r>
        <w:rPr>
          <w:rFonts w:hint="eastAsia"/>
          <w:lang w:eastAsia="zh-CN"/>
        </w:rPr>
        <w:t>竞争性磋商</w:t>
      </w:r>
      <w:r>
        <w:rPr>
          <w:rFonts w:hint="default"/>
        </w:rPr>
        <w:t>采购方式适用情形的；</w:t>
      </w:r>
    </w:p>
    <w:p w14:paraId="3BC1C4B1">
      <w:pPr>
        <w:pStyle w:val="20"/>
        <w:bidi w:val="0"/>
        <w:rPr>
          <w:rFonts w:hint="default"/>
        </w:rPr>
      </w:pPr>
      <w:r>
        <w:rPr>
          <w:rFonts w:hint="default"/>
        </w:rPr>
        <w:t>（二）出现影响采购公正的违法、违规行为的；</w:t>
      </w:r>
    </w:p>
    <w:p w14:paraId="2F223286">
      <w:pPr>
        <w:pStyle w:val="20"/>
        <w:bidi w:val="0"/>
        <w:rPr>
          <w:rFonts w:hint="default" w:ascii="Times New Roman" w:hAnsi="Times New Roman" w:eastAsia="方正仿宋_GBK" w:cs="Times New Roman"/>
          <w:szCs w:val="24"/>
        </w:rPr>
      </w:pPr>
      <w:r>
        <w:rPr>
          <w:rFonts w:hint="default"/>
        </w:rPr>
        <w:t>（三）在采购过程中符合竞争要求的供应商或者报价未超过</w:t>
      </w:r>
      <w:r>
        <w:rPr>
          <w:rFonts w:hint="default" w:ascii="Times New Roman" w:hAnsi="Times New Roman" w:eastAsia="方正仿宋_GBK" w:cs="Times New Roman"/>
          <w:color w:val="000000"/>
          <w:kern w:val="2"/>
          <w:sz w:val="24"/>
          <w:szCs w:val="24"/>
          <w:lang w:val="en-US" w:eastAsia="zh-CN" w:bidi="ar-SA"/>
        </w:rPr>
        <w:t>采购预算的供应商不足3家的，但《政府采购非招标采购方式管理办法》第二十七条第二款规</w:t>
      </w:r>
      <w:r>
        <w:rPr>
          <w:rFonts w:hint="default"/>
        </w:rPr>
        <w:t>定的情形除外。</w:t>
      </w:r>
    </w:p>
    <w:p w14:paraId="4E37B2DD">
      <w:pPr>
        <w:keepNext w:val="0"/>
        <w:keepLines w:val="0"/>
        <w:pageBreakBefore w:val="0"/>
        <w:kinsoku/>
        <w:overflowPunct/>
        <w:topLinePunct w:val="0"/>
        <w:autoSpaceDE/>
        <w:autoSpaceDN/>
        <w:bidi w:val="0"/>
        <w:adjustRightInd w:val="0"/>
        <w:snapToGrid w:val="0"/>
        <w:spacing w:before="0" w:after="0" w:line="500" w:lineRule="exact"/>
        <w:jc w:val="center"/>
        <w:textAlignment w:val="auto"/>
        <w:outlineLvl w:val="9"/>
        <w:rPr>
          <w:rFonts w:hint="default" w:ascii="方正小标宋_GBK" w:hAnsi="方正小标宋_GBK" w:eastAsia="方正小标宋_GBK" w:cs="方正小标宋_GBK"/>
          <w:b/>
          <w:sz w:val="36"/>
          <w:szCs w:val="30"/>
          <w:lang w:eastAsia="zh-CN"/>
        </w:rPr>
      </w:pPr>
      <w:r>
        <w:rPr>
          <w:rFonts w:hint="default" w:ascii="Times New Roman" w:hAnsi="Times New Roman" w:eastAsia="方正仿宋_GBK" w:cs="Times New Roman"/>
          <w:sz w:val="24"/>
          <w:szCs w:val="24"/>
        </w:rPr>
        <w:br w:type="page"/>
      </w:r>
      <w:bookmarkStart w:id="98" w:name="_Toc65660354"/>
      <w:bookmarkStart w:id="99" w:name="_Toc10768"/>
      <w:bookmarkStart w:id="100" w:name="_Toc135993507"/>
      <w:bookmarkStart w:id="101" w:name="_Toc20055"/>
      <w:r>
        <w:rPr>
          <w:rStyle w:val="25"/>
          <w:rFonts w:hint="default"/>
          <w:lang w:eastAsia="zh-CN"/>
        </w:rPr>
        <w:t>第五篇 供应商须知</w:t>
      </w:r>
      <w:bookmarkEnd w:id="98"/>
      <w:bookmarkEnd w:id="99"/>
      <w:bookmarkEnd w:id="100"/>
      <w:bookmarkEnd w:id="101"/>
    </w:p>
    <w:p w14:paraId="59E88546">
      <w:pPr>
        <w:pStyle w:val="21"/>
        <w:bidi w:val="0"/>
        <w:rPr>
          <w:rFonts w:hint="eastAsia"/>
        </w:rPr>
      </w:pPr>
      <w:bookmarkStart w:id="102" w:name="_Toc5290"/>
      <w:bookmarkStart w:id="103" w:name="_Toc65660355"/>
      <w:bookmarkStart w:id="104" w:name="_Toc16524"/>
      <w:bookmarkStart w:id="105" w:name="_Toc135993508"/>
      <w:r>
        <w:rPr>
          <w:rFonts w:hint="eastAsia"/>
        </w:rPr>
        <w:t>一、</w:t>
      </w:r>
      <w:r>
        <w:rPr>
          <w:rFonts w:hint="eastAsia"/>
          <w:lang w:eastAsia="zh-CN"/>
        </w:rPr>
        <w:t>磋商</w:t>
      </w:r>
      <w:r>
        <w:rPr>
          <w:rFonts w:hint="eastAsia"/>
        </w:rPr>
        <w:t>费用</w:t>
      </w:r>
      <w:bookmarkEnd w:id="102"/>
      <w:bookmarkEnd w:id="103"/>
      <w:bookmarkEnd w:id="104"/>
      <w:bookmarkEnd w:id="105"/>
    </w:p>
    <w:p w14:paraId="57B3435A">
      <w:pPr>
        <w:pStyle w:val="20"/>
        <w:bidi w:val="0"/>
        <w:rPr>
          <w:rFonts w:hint="default" w:ascii="Times New Roman" w:hAnsi="Times New Roman" w:eastAsia="方正仿宋_GBK" w:cs="Times New Roman"/>
          <w:szCs w:val="24"/>
        </w:rPr>
      </w:pPr>
      <w:r>
        <w:rPr>
          <w:rFonts w:hint="default"/>
        </w:rPr>
        <w:t>参与</w:t>
      </w:r>
      <w:r>
        <w:rPr>
          <w:rFonts w:hint="eastAsia"/>
          <w:lang w:eastAsia="zh-CN"/>
        </w:rPr>
        <w:t>磋商</w:t>
      </w:r>
      <w:r>
        <w:rPr>
          <w:rFonts w:hint="default"/>
        </w:rPr>
        <w:t>的供应商应承担其编制响应文件与递交响应文件所涉及的一切费用，不论</w:t>
      </w:r>
      <w:r>
        <w:rPr>
          <w:rFonts w:hint="eastAsia"/>
          <w:lang w:eastAsia="zh-CN"/>
        </w:rPr>
        <w:t>磋商</w:t>
      </w:r>
      <w:r>
        <w:rPr>
          <w:rFonts w:hint="default"/>
        </w:rPr>
        <w:t>结果如何，采购人在任何情况下无义务也无责任承担这些费用。</w:t>
      </w:r>
    </w:p>
    <w:p w14:paraId="2D8613BC">
      <w:pPr>
        <w:pStyle w:val="21"/>
        <w:bidi w:val="0"/>
        <w:rPr>
          <w:rFonts w:hint="default"/>
          <w:lang w:eastAsia="zh-CN"/>
        </w:rPr>
      </w:pPr>
      <w:bookmarkStart w:id="106" w:name="_Toc31739"/>
      <w:bookmarkStart w:id="107" w:name="_Toc5915"/>
      <w:bookmarkStart w:id="108" w:name="_Toc65660356"/>
      <w:bookmarkStart w:id="109" w:name="_Toc135993509"/>
      <w:r>
        <w:rPr>
          <w:rFonts w:hint="default"/>
          <w:lang w:eastAsia="zh-CN"/>
        </w:rPr>
        <w:t>二、</w:t>
      </w:r>
      <w:r>
        <w:rPr>
          <w:rFonts w:hint="eastAsia"/>
          <w:lang w:eastAsia="zh-CN"/>
        </w:rPr>
        <w:t>竞争性磋商</w:t>
      </w:r>
      <w:r>
        <w:rPr>
          <w:rFonts w:hint="default"/>
          <w:lang w:eastAsia="zh-CN"/>
        </w:rPr>
        <w:t>文件</w:t>
      </w:r>
      <w:bookmarkEnd w:id="106"/>
      <w:bookmarkEnd w:id="107"/>
      <w:bookmarkEnd w:id="108"/>
      <w:bookmarkEnd w:id="109"/>
    </w:p>
    <w:p w14:paraId="041F3657">
      <w:pPr>
        <w:pStyle w:val="20"/>
        <w:bidi w:val="0"/>
        <w:rPr>
          <w:rFonts w:hint="default"/>
        </w:rPr>
      </w:pPr>
      <w:r>
        <w:rPr>
          <w:rFonts w:hint="default"/>
        </w:rPr>
        <w:t>（一）</w:t>
      </w:r>
      <w:r>
        <w:rPr>
          <w:rFonts w:hint="eastAsia"/>
          <w:lang w:eastAsia="zh-CN"/>
        </w:rPr>
        <w:t>竞争性磋商</w:t>
      </w:r>
      <w:r>
        <w:rPr>
          <w:rFonts w:hint="default"/>
        </w:rPr>
        <w:t>文件由</w:t>
      </w:r>
      <w:r>
        <w:rPr>
          <w:rFonts w:hint="eastAsia"/>
          <w:lang w:eastAsia="zh-CN"/>
        </w:rPr>
        <w:t>采购</w:t>
      </w:r>
      <w:r>
        <w:rPr>
          <w:rFonts w:hint="default"/>
        </w:rPr>
        <w:t>邀请书、</w:t>
      </w:r>
      <w:r>
        <w:rPr>
          <w:rFonts w:hint="eastAsia"/>
          <w:lang w:eastAsia="zh-CN"/>
        </w:rPr>
        <w:t>项目服务（质量）需求</w:t>
      </w:r>
      <w:r>
        <w:rPr>
          <w:rFonts w:hint="default"/>
        </w:rPr>
        <w:t>、</w:t>
      </w:r>
      <w:r>
        <w:rPr>
          <w:rFonts w:hint="eastAsia"/>
          <w:lang w:eastAsia="zh-CN"/>
        </w:rPr>
        <w:t>磋商</w:t>
      </w:r>
      <w:r>
        <w:rPr>
          <w:rFonts w:hint="default"/>
        </w:rPr>
        <w:t>项目商务需求、</w:t>
      </w:r>
      <w:r>
        <w:rPr>
          <w:rFonts w:hint="default"/>
          <w:lang w:eastAsia="zh-CN"/>
        </w:rPr>
        <w:t>采购程序</w:t>
      </w:r>
      <w:r>
        <w:rPr>
          <w:rFonts w:hint="eastAsia"/>
          <w:lang w:eastAsia="zh-CN"/>
        </w:rPr>
        <w:t>及方法</w:t>
      </w:r>
      <w:r>
        <w:rPr>
          <w:rFonts w:hint="default"/>
          <w:lang w:eastAsia="zh-CN"/>
        </w:rPr>
        <w:t>、评</w:t>
      </w:r>
      <w:r>
        <w:rPr>
          <w:rFonts w:hint="eastAsia"/>
          <w:lang w:eastAsia="zh-CN"/>
        </w:rPr>
        <w:t>审</w:t>
      </w:r>
      <w:r>
        <w:rPr>
          <w:rFonts w:hint="default"/>
          <w:lang w:eastAsia="zh-CN"/>
        </w:rPr>
        <w:t>标准、无效</w:t>
      </w:r>
      <w:r>
        <w:rPr>
          <w:rFonts w:hint="eastAsia"/>
          <w:lang w:eastAsia="zh-CN"/>
        </w:rPr>
        <w:t>磋商</w:t>
      </w:r>
      <w:r>
        <w:rPr>
          <w:rFonts w:hint="default"/>
          <w:lang w:eastAsia="zh-CN"/>
        </w:rPr>
        <w:t>及采购终止</w:t>
      </w:r>
      <w:r>
        <w:rPr>
          <w:rFonts w:hint="default"/>
        </w:rPr>
        <w:t>、供应商须知、合同草案条款、响应文件格式要求七部分组成。</w:t>
      </w:r>
    </w:p>
    <w:p w14:paraId="7ADD6D7B">
      <w:pPr>
        <w:pStyle w:val="20"/>
        <w:bidi w:val="0"/>
        <w:rPr>
          <w:rFonts w:hint="default"/>
        </w:rPr>
      </w:pPr>
      <w:r>
        <w:rPr>
          <w:rFonts w:hint="default"/>
        </w:rPr>
        <w:t>（二）采购人所作的一切有效的书面通知、修改及补充，都是</w:t>
      </w:r>
      <w:r>
        <w:rPr>
          <w:rFonts w:hint="eastAsia"/>
          <w:lang w:eastAsia="zh-CN"/>
        </w:rPr>
        <w:t>竞争性磋商</w:t>
      </w:r>
      <w:r>
        <w:rPr>
          <w:rFonts w:hint="default"/>
        </w:rPr>
        <w:t>文件不可分割的部分。</w:t>
      </w:r>
    </w:p>
    <w:p w14:paraId="719EC9B0">
      <w:pPr>
        <w:pStyle w:val="20"/>
        <w:bidi w:val="0"/>
        <w:rPr>
          <w:rFonts w:hint="eastAsia"/>
        </w:rPr>
      </w:pPr>
      <w:r>
        <w:rPr>
          <w:rFonts w:hint="eastAsia"/>
        </w:rPr>
        <w:t>（三）竞争性磋商文件的解释</w:t>
      </w:r>
    </w:p>
    <w:p w14:paraId="3CC6FEC4">
      <w:pPr>
        <w:pStyle w:val="20"/>
        <w:bidi w:val="0"/>
        <w:rPr>
          <w:rFonts w:hint="eastAsia"/>
        </w:rPr>
      </w:pPr>
      <w:r>
        <w:rPr>
          <w:rFonts w:hint="eastAsia"/>
        </w:rPr>
        <w:t>供应商如对竞争性磋商文件有疑问</w:t>
      </w:r>
      <w:r>
        <w:rPr>
          <w:rFonts w:hint="eastAsia"/>
          <w:lang w:eastAsia="zh-CN"/>
        </w:rPr>
        <w:t>，</w:t>
      </w:r>
      <w:r>
        <w:rPr>
          <w:rFonts w:hint="eastAsia"/>
        </w:rPr>
        <w:t>必须</w:t>
      </w:r>
      <w:r>
        <w:rPr>
          <w:rFonts w:hint="eastAsia" w:ascii="Times New Roman" w:hAnsi="Times New Roman" w:eastAsia="方正仿宋_GBK" w:cs="Times New Roman"/>
          <w:color w:val="000000"/>
          <w:kern w:val="2"/>
          <w:sz w:val="24"/>
          <w:szCs w:val="24"/>
          <w:lang w:val="en-US" w:eastAsia="zh-CN" w:bidi="ar-SA"/>
        </w:rPr>
        <w:t>以书面形式在提交响应文件截止时间3个工作日前向采购人要求澄清，采购人可视具体情况做出处理或答复</w:t>
      </w:r>
      <w:r>
        <w:rPr>
          <w:rFonts w:hint="eastAsia"/>
        </w:rPr>
        <w:t>。如供应商未提出疑问</w:t>
      </w:r>
      <w:r>
        <w:rPr>
          <w:rFonts w:hint="eastAsia"/>
          <w:lang w:eastAsia="zh-CN"/>
        </w:rPr>
        <w:t>，</w:t>
      </w:r>
      <w:r>
        <w:rPr>
          <w:rFonts w:hint="eastAsia"/>
        </w:rPr>
        <w:t>视为完全理解并同意本竞争性磋商文件。一经进入磋商程序</w:t>
      </w:r>
      <w:r>
        <w:rPr>
          <w:rFonts w:hint="eastAsia"/>
          <w:lang w:eastAsia="zh-CN"/>
        </w:rPr>
        <w:t>，</w:t>
      </w:r>
      <w:r>
        <w:rPr>
          <w:rFonts w:hint="eastAsia"/>
        </w:rPr>
        <w:t>即视为供应商已详细阅读全部文件资料</w:t>
      </w:r>
      <w:r>
        <w:rPr>
          <w:rFonts w:hint="eastAsia"/>
          <w:lang w:eastAsia="zh-CN"/>
        </w:rPr>
        <w:t>，</w:t>
      </w:r>
      <w:r>
        <w:rPr>
          <w:rFonts w:hint="eastAsia"/>
        </w:rPr>
        <w:t>完全理解竞争性磋商文件所有条款内容并同意放弃对这方面有不明白及误解的权利。</w:t>
      </w:r>
      <w:bookmarkStart w:id="110" w:name="_Toc318159349"/>
      <w:bookmarkStart w:id="111" w:name="_Toc318159160"/>
      <w:bookmarkStart w:id="112" w:name="_Toc318166429"/>
      <w:bookmarkStart w:id="113" w:name="_Toc318159780"/>
    </w:p>
    <w:p w14:paraId="73C8FE1A">
      <w:pPr>
        <w:pStyle w:val="20"/>
        <w:bidi w:val="0"/>
        <w:rPr>
          <w:rFonts w:hint="eastAsia"/>
        </w:rPr>
      </w:pPr>
      <w:r>
        <w:rPr>
          <w:rFonts w:hint="eastAsia"/>
        </w:rPr>
        <w:t>（四）本竞争性磋商文件中</w:t>
      </w:r>
      <w:r>
        <w:rPr>
          <w:rFonts w:hint="eastAsia"/>
          <w:lang w:eastAsia="zh-CN"/>
        </w:rPr>
        <w:t>，</w:t>
      </w:r>
      <w:r>
        <w:rPr>
          <w:rFonts w:hint="eastAsia"/>
        </w:rPr>
        <w:t>磋商小组根据与供应商进行磋商可能实质性变动的内容为竞争性磋商文件第二、三、六篇全部内容。</w:t>
      </w:r>
    </w:p>
    <w:p w14:paraId="2CDBB31D">
      <w:pPr>
        <w:pStyle w:val="20"/>
        <w:bidi w:val="0"/>
        <w:rPr>
          <w:rFonts w:hint="eastAsia"/>
        </w:rPr>
      </w:pPr>
      <w:r>
        <w:rPr>
          <w:rFonts w:hint="eastAsia"/>
        </w:rPr>
        <w:t>（五）评审的依据为竞争性磋商文件和响应文件（含有效的书面承诺）。磋商小组判断响应文件对竞争性磋商文件的响应</w:t>
      </w:r>
      <w:r>
        <w:rPr>
          <w:rFonts w:hint="eastAsia"/>
          <w:lang w:eastAsia="zh-CN"/>
        </w:rPr>
        <w:t>，</w:t>
      </w:r>
      <w:r>
        <w:rPr>
          <w:rFonts w:hint="eastAsia"/>
        </w:rPr>
        <w:t>仅基于响应文件本身而不靠外部证据。</w:t>
      </w:r>
    </w:p>
    <w:bookmarkEnd w:id="110"/>
    <w:bookmarkEnd w:id="111"/>
    <w:bookmarkEnd w:id="112"/>
    <w:bookmarkEnd w:id="113"/>
    <w:p w14:paraId="33612374">
      <w:pPr>
        <w:pStyle w:val="21"/>
        <w:bidi w:val="0"/>
        <w:rPr>
          <w:rFonts w:hint="default"/>
          <w:lang w:eastAsia="zh-CN"/>
        </w:rPr>
      </w:pPr>
      <w:bookmarkStart w:id="114" w:name="_Toc9532"/>
      <w:bookmarkStart w:id="115" w:name="_Toc65660357"/>
      <w:bookmarkStart w:id="116" w:name="_Toc3061"/>
      <w:bookmarkStart w:id="117" w:name="_Toc135993510"/>
      <w:r>
        <w:rPr>
          <w:rFonts w:hint="default"/>
          <w:lang w:eastAsia="zh-CN"/>
        </w:rPr>
        <w:t>三、</w:t>
      </w:r>
      <w:r>
        <w:rPr>
          <w:rFonts w:hint="eastAsia"/>
          <w:lang w:eastAsia="zh-CN"/>
        </w:rPr>
        <w:t>磋商</w:t>
      </w:r>
      <w:r>
        <w:rPr>
          <w:rFonts w:hint="default"/>
          <w:lang w:eastAsia="zh-CN"/>
        </w:rPr>
        <w:t>要求</w:t>
      </w:r>
      <w:bookmarkEnd w:id="114"/>
      <w:bookmarkEnd w:id="115"/>
      <w:bookmarkEnd w:id="116"/>
      <w:bookmarkEnd w:id="117"/>
    </w:p>
    <w:p w14:paraId="24D52EB9">
      <w:pPr>
        <w:pStyle w:val="20"/>
        <w:bidi w:val="0"/>
        <w:rPr>
          <w:rFonts w:hint="default"/>
        </w:rPr>
      </w:pPr>
      <w:r>
        <w:rPr>
          <w:rFonts w:hint="default"/>
        </w:rPr>
        <w:t>（一）响应文件</w:t>
      </w:r>
    </w:p>
    <w:p w14:paraId="0A8D4548">
      <w:pPr>
        <w:pStyle w:val="20"/>
        <w:bidi w:val="0"/>
        <w:rPr>
          <w:rFonts w:hint="default"/>
        </w:rPr>
      </w:pPr>
      <w:r>
        <w:rPr>
          <w:rFonts w:hint="eastAsia"/>
          <w:lang w:val="en-US" w:eastAsia="zh-CN"/>
        </w:rPr>
        <w:t>1.</w:t>
      </w:r>
      <w:r>
        <w:rPr>
          <w:rFonts w:hint="default"/>
        </w:rPr>
        <w:t>供应商应当按照</w:t>
      </w:r>
      <w:r>
        <w:rPr>
          <w:rFonts w:hint="eastAsia"/>
          <w:lang w:eastAsia="zh-CN"/>
        </w:rPr>
        <w:t>竞争性磋商</w:t>
      </w:r>
      <w:r>
        <w:rPr>
          <w:rFonts w:hint="default"/>
        </w:rPr>
        <w:t>文件的要求编制响应文件，并对</w:t>
      </w:r>
      <w:r>
        <w:rPr>
          <w:rFonts w:hint="eastAsia"/>
          <w:lang w:eastAsia="zh-CN"/>
        </w:rPr>
        <w:t>竞争性磋商</w:t>
      </w:r>
      <w:r>
        <w:rPr>
          <w:rFonts w:hint="default"/>
        </w:rPr>
        <w:t>文件提出的要求和条件作出实质性响应，响应文件原则上采用软面订本。</w:t>
      </w:r>
    </w:p>
    <w:p w14:paraId="1DB59C60">
      <w:pPr>
        <w:pStyle w:val="20"/>
        <w:bidi w:val="0"/>
        <w:rPr>
          <w:rFonts w:hint="default"/>
        </w:rPr>
      </w:pPr>
      <w:r>
        <w:rPr>
          <w:rFonts w:hint="eastAsia"/>
          <w:lang w:val="en-US" w:eastAsia="zh-CN"/>
        </w:rPr>
        <w:t>2</w:t>
      </w:r>
      <w:r>
        <w:rPr>
          <w:rFonts w:hint="default"/>
        </w:rPr>
        <w:t>.响应文件组成</w:t>
      </w:r>
      <w:r>
        <w:rPr>
          <w:rFonts w:hint="eastAsia"/>
          <w:lang w:eastAsia="zh-CN"/>
        </w:rPr>
        <w:t>。</w:t>
      </w:r>
      <w:r>
        <w:rPr>
          <w:rFonts w:hint="default"/>
        </w:rPr>
        <w:t>响应文件由</w:t>
      </w:r>
      <w:r>
        <w:rPr>
          <w:rFonts w:hint="eastAsia"/>
          <w:lang w:eastAsia="zh-CN"/>
        </w:rPr>
        <w:t>“第六篇</w:t>
      </w:r>
      <w:r>
        <w:rPr>
          <w:rFonts w:hint="default"/>
        </w:rPr>
        <w:t>响应文件格式要求</w:t>
      </w:r>
      <w:r>
        <w:rPr>
          <w:rFonts w:hint="eastAsia"/>
          <w:lang w:eastAsia="zh-CN"/>
        </w:rPr>
        <w:t>”</w:t>
      </w:r>
      <w:r>
        <w:rPr>
          <w:rFonts w:hint="default"/>
        </w:rPr>
        <w:t>规定的部分和供应商所作的一切有效补充、修改和承诺等文件组成，供应商应按照</w:t>
      </w:r>
      <w:r>
        <w:rPr>
          <w:rFonts w:hint="eastAsia"/>
          <w:lang w:eastAsia="zh-CN"/>
        </w:rPr>
        <w:t>“第六篇</w:t>
      </w:r>
      <w:r>
        <w:rPr>
          <w:rFonts w:hint="default"/>
        </w:rPr>
        <w:t>响应文件格式</w:t>
      </w:r>
      <w:r>
        <w:rPr>
          <w:rFonts w:hint="eastAsia"/>
          <w:lang w:eastAsia="zh-CN"/>
        </w:rPr>
        <w:t>”</w:t>
      </w:r>
      <w:r>
        <w:rPr>
          <w:rFonts w:hint="default"/>
        </w:rPr>
        <w:t>规定进行编写和装订，也可在基本格式基础上对表格进行扩展，未规定格式的由供应商自定格式。</w:t>
      </w:r>
    </w:p>
    <w:p w14:paraId="051CACFF">
      <w:pPr>
        <w:pStyle w:val="20"/>
        <w:bidi w:val="0"/>
        <w:rPr>
          <w:rFonts w:hint="eastAsia"/>
          <w:lang w:eastAsia="zh-CN"/>
        </w:rPr>
      </w:pPr>
      <w:r>
        <w:rPr>
          <w:rFonts w:hint="default"/>
        </w:rPr>
        <w:t>（</w:t>
      </w:r>
      <w:r>
        <w:rPr>
          <w:rFonts w:hint="eastAsia"/>
          <w:lang w:eastAsia="zh-CN"/>
        </w:rPr>
        <w:t>二</w:t>
      </w:r>
      <w:r>
        <w:rPr>
          <w:rFonts w:hint="default"/>
        </w:rPr>
        <w:t>）联合体</w:t>
      </w:r>
    </w:p>
    <w:p w14:paraId="624D2179">
      <w:pPr>
        <w:pStyle w:val="20"/>
        <w:bidi w:val="0"/>
        <w:rPr>
          <w:rFonts w:hint="default"/>
        </w:rPr>
      </w:pPr>
      <w:r>
        <w:rPr>
          <w:rFonts w:hint="eastAsia"/>
          <w:lang w:eastAsia="zh-CN"/>
        </w:rPr>
        <w:t>本项目</w:t>
      </w:r>
      <w:r>
        <w:rPr>
          <w:rFonts w:hint="default"/>
        </w:rPr>
        <w:t>不接受联合体</w:t>
      </w:r>
      <w:r>
        <w:rPr>
          <w:rFonts w:hint="eastAsia"/>
          <w:lang w:eastAsia="zh-CN"/>
        </w:rPr>
        <w:t>参与磋商</w:t>
      </w:r>
      <w:r>
        <w:rPr>
          <w:rFonts w:hint="default"/>
        </w:rPr>
        <w:t>。</w:t>
      </w:r>
    </w:p>
    <w:p w14:paraId="7BD0196C">
      <w:pPr>
        <w:pStyle w:val="20"/>
        <w:numPr>
          <w:ilvl w:val="0"/>
          <w:numId w:val="4"/>
        </w:numPr>
        <w:bidi w:val="0"/>
        <w:rPr>
          <w:rFonts w:hint="eastAsia"/>
          <w:lang w:eastAsia="zh-CN"/>
        </w:rPr>
      </w:pPr>
      <w:r>
        <w:rPr>
          <w:rFonts w:hint="eastAsia"/>
          <w:lang w:eastAsia="zh-CN"/>
        </w:rPr>
        <w:t>磋商</w:t>
      </w:r>
      <w:r>
        <w:rPr>
          <w:rFonts w:hint="default"/>
        </w:rPr>
        <w:t>有效期</w:t>
      </w:r>
    </w:p>
    <w:p w14:paraId="01A86E9B">
      <w:pPr>
        <w:pStyle w:val="20"/>
        <w:numPr>
          <w:ilvl w:val="0"/>
          <w:numId w:val="0"/>
        </w:numPr>
        <w:bidi w:val="0"/>
        <w:ind w:firstLine="480" w:firstLineChars="200"/>
        <w:rPr>
          <w:rFonts w:hint="default"/>
        </w:rPr>
      </w:pPr>
      <w:r>
        <w:rPr>
          <w:rFonts w:hint="default"/>
        </w:rPr>
        <w:t>响应文件及有关承诺文件有效期为提交响应文件</w:t>
      </w:r>
      <w:r>
        <w:rPr>
          <w:rFonts w:hint="default" w:ascii="Times New Roman" w:hAnsi="Times New Roman" w:eastAsia="方正仿宋_GBK" w:cs="Times New Roman"/>
          <w:kern w:val="2"/>
          <w:sz w:val="24"/>
          <w:szCs w:val="20"/>
          <w:lang w:val="en-US" w:eastAsia="zh-CN" w:bidi="ar-SA"/>
        </w:rPr>
        <w:t>截止时间起90天</w:t>
      </w:r>
      <w:r>
        <w:rPr>
          <w:rFonts w:hint="default"/>
        </w:rPr>
        <w:t>。</w:t>
      </w:r>
    </w:p>
    <w:p w14:paraId="2A1223D1">
      <w:pPr>
        <w:pStyle w:val="20"/>
        <w:bidi w:val="0"/>
        <w:rPr>
          <w:rFonts w:hint="default"/>
        </w:rPr>
      </w:pPr>
      <w:r>
        <w:rPr>
          <w:rFonts w:hint="default"/>
        </w:rPr>
        <w:t>（</w:t>
      </w:r>
      <w:r>
        <w:rPr>
          <w:rFonts w:hint="eastAsia"/>
          <w:lang w:eastAsia="zh-CN"/>
        </w:rPr>
        <w:t>四</w:t>
      </w:r>
      <w:r>
        <w:rPr>
          <w:rFonts w:hint="default"/>
        </w:rPr>
        <w:t>）修正错误</w:t>
      </w:r>
    </w:p>
    <w:p w14:paraId="31DC3976">
      <w:pPr>
        <w:pStyle w:val="20"/>
        <w:bidi w:val="0"/>
        <w:rPr>
          <w:rFonts w:hint="default"/>
        </w:rPr>
      </w:pPr>
      <w:r>
        <w:rPr>
          <w:rFonts w:hint="eastAsia"/>
          <w:lang w:val="en-US" w:eastAsia="zh-CN"/>
        </w:rPr>
        <w:t>1.</w:t>
      </w:r>
      <w:r>
        <w:rPr>
          <w:rFonts w:hint="default"/>
        </w:rPr>
        <w:t>若供应商所递交的响应文件或最后报价中的价格出现大写金额和小写金额不一致的错误，以大写金额修正为准。</w:t>
      </w:r>
    </w:p>
    <w:p w14:paraId="035CDEBC">
      <w:pPr>
        <w:pStyle w:val="20"/>
        <w:bidi w:val="0"/>
        <w:rPr>
          <w:rFonts w:hint="default"/>
        </w:rPr>
      </w:pPr>
      <w:r>
        <w:rPr>
          <w:rFonts w:hint="eastAsia"/>
          <w:lang w:val="en-US" w:eastAsia="zh-CN"/>
        </w:rPr>
        <w:t>2.</w:t>
      </w:r>
      <w:r>
        <w:rPr>
          <w:rFonts w:hint="eastAsia"/>
          <w:lang w:eastAsia="zh-CN"/>
        </w:rPr>
        <w:t>磋商</w:t>
      </w:r>
      <w:r>
        <w:rPr>
          <w:rFonts w:hint="default"/>
        </w:rPr>
        <w:t>小组按上述修正错误的原则及方法修正供应商的报价，供应商同意并签署确认后，修正后的报价对供应商具有约束作用。如果供应商不接受修正后的价格，将视为无效</w:t>
      </w:r>
      <w:r>
        <w:rPr>
          <w:rFonts w:hint="eastAsia"/>
          <w:lang w:eastAsia="zh-CN"/>
        </w:rPr>
        <w:t>磋商</w:t>
      </w:r>
      <w:r>
        <w:rPr>
          <w:rFonts w:hint="default"/>
        </w:rPr>
        <w:t>。</w:t>
      </w:r>
    </w:p>
    <w:p w14:paraId="1951CD88">
      <w:pPr>
        <w:pStyle w:val="20"/>
        <w:bidi w:val="0"/>
        <w:rPr>
          <w:rFonts w:hint="default"/>
        </w:rPr>
      </w:pPr>
      <w:r>
        <w:rPr>
          <w:rFonts w:hint="default"/>
        </w:rPr>
        <w:t>（</w:t>
      </w:r>
      <w:r>
        <w:rPr>
          <w:rFonts w:hint="eastAsia"/>
          <w:lang w:eastAsia="zh-CN"/>
        </w:rPr>
        <w:t>五</w:t>
      </w:r>
      <w:r>
        <w:rPr>
          <w:rFonts w:hint="default"/>
        </w:rPr>
        <w:t>）提交响应文件的份数和签署</w:t>
      </w:r>
    </w:p>
    <w:p w14:paraId="5EC400F4">
      <w:pPr>
        <w:pStyle w:val="20"/>
        <w:bidi w:val="0"/>
        <w:rPr>
          <w:rFonts w:hint="default"/>
        </w:rPr>
      </w:pPr>
      <w:r>
        <w:rPr>
          <w:rFonts w:hint="default"/>
        </w:rPr>
        <w:t>1.响应文件一式</w:t>
      </w:r>
      <w:r>
        <w:rPr>
          <w:rFonts w:hint="eastAsia"/>
          <w:lang w:val="en-US" w:eastAsia="zh-CN"/>
        </w:rPr>
        <w:t>两</w:t>
      </w:r>
      <w:r>
        <w:rPr>
          <w:rFonts w:hint="default"/>
        </w:rPr>
        <w:t>份，其中正本一份，副本</w:t>
      </w:r>
      <w:r>
        <w:rPr>
          <w:rFonts w:hint="eastAsia"/>
          <w:lang w:val="en-US" w:eastAsia="zh-CN"/>
        </w:rPr>
        <w:t>一</w:t>
      </w:r>
      <w:r>
        <w:rPr>
          <w:rFonts w:hint="default"/>
        </w:rPr>
        <w:t>份；副本可为正本的</w:t>
      </w:r>
      <w:r>
        <w:rPr>
          <w:rFonts w:hint="eastAsia"/>
          <w:lang w:eastAsia="zh-CN"/>
        </w:rPr>
        <w:t>完整</w:t>
      </w:r>
      <w:r>
        <w:rPr>
          <w:rFonts w:hint="default"/>
        </w:rPr>
        <w:t>复印件，应与正本一致，如出现不一致情况以正本为准。</w:t>
      </w:r>
    </w:p>
    <w:p w14:paraId="4ABE538C">
      <w:pPr>
        <w:pStyle w:val="20"/>
        <w:bidi w:val="0"/>
        <w:rPr>
          <w:rFonts w:hint="default"/>
        </w:rPr>
      </w:pPr>
      <w:r>
        <w:rPr>
          <w:rFonts w:hint="default"/>
        </w:rPr>
        <w:t>2.在响应文件正本中，</w:t>
      </w:r>
      <w:r>
        <w:rPr>
          <w:rFonts w:hint="eastAsia"/>
          <w:lang w:eastAsia="zh-CN"/>
        </w:rPr>
        <w:t>竞争性磋商</w:t>
      </w:r>
      <w:r>
        <w:rPr>
          <w:rFonts w:hint="default"/>
        </w:rPr>
        <w:t>文件</w:t>
      </w:r>
      <w:r>
        <w:rPr>
          <w:rFonts w:hint="eastAsia"/>
          <w:lang w:eastAsia="zh-CN"/>
        </w:rPr>
        <w:t>第六篇</w:t>
      </w:r>
      <w:r>
        <w:rPr>
          <w:rFonts w:hint="default"/>
        </w:rPr>
        <w:t>响应文件格式中规定签署、盖章的地方必须按其规定签署、盖章。</w:t>
      </w:r>
    </w:p>
    <w:p w14:paraId="332E841E">
      <w:pPr>
        <w:pStyle w:val="20"/>
        <w:bidi w:val="0"/>
        <w:rPr>
          <w:rFonts w:hint="default"/>
        </w:rPr>
      </w:pPr>
      <w:r>
        <w:rPr>
          <w:rFonts w:hint="default"/>
        </w:rPr>
        <w:t>3.若供应商对响应文件的错处作必要修改，则应在修改处加盖供应商公章或由法定代表人（或其授权代表）或自然人（供应商为自然人）签署确认。</w:t>
      </w:r>
    </w:p>
    <w:p w14:paraId="596BA58D">
      <w:pPr>
        <w:pStyle w:val="20"/>
        <w:bidi w:val="0"/>
        <w:rPr>
          <w:rFonts w:hint="default"/>
        </w:rPr>
      </w:pPr>
      <w:r>
        <w:rPr>
          <w:rFonts w:hint="default"/>
        </w:rPr>
        <w:t>4.电报、电话、传真形式的响应文件概不接受。</w:t>
      </w:r>
    </w:p>
    <w:p w14:paraId="298D95E7">
      <w:pPr>
        <w:pStyle w:val="20"/>
        <w:bidi w:val="0"/>
        <w:rPr>
          <w:rFonts w:hint="default"/>
        </w:rPr>
      </w:pPr>
      <w:r>
        <w:rPr>
          <w:rFonts w:hint="default"/>
        </w:rPr>
        <w:t>（</w:t>
      </w:r>
      <w:r>
        <w:rPr>
          <w:rFonts w:hint="eastAsia"/>
          <w:lang w:eastAsia="zh-CN"/>
        </w:rPr>
        <w:t>六</w:t>
      </w:r>
      <w:r>
        <w:rPr>
          <w:rFonts w:hint="default"/>
        </w:rPr>
        <w:t>）响应文件的递交</w:t>
      </w:r>
    </w:p>
    <w:p w14:paraId="6F517CEC">
      <w:pPr>
        <w:pStyle w:val="20"/>
        <w:bidi w:val="0"/>
        <w:rPr>
          <w:rFonts w:hint="default"/>
        </w:rPr>
      </w:pPr>
      <w:r>
        <w:rPr>
          <w:rFonts w:hint="default"/>
        </w:rPr>
        <w:t>响应文件的正本、副本均应密封送达</w:t>
      </w:r>
      <w:r>
        <w:rPr>
          <w:rFonts w:hint="eastAsia"/>
          <w:lang w:eastAsia="zh-CN"/>
        </w:rPr>
        <w:t>磋商</w:t>
      </w:r>
      <w:r>
        <w:rPr>
          <w:rFonts w:hint="default"/>
        </w:rPr>
        <w:t>地点，应在封套上注明</w:t>
      </w:r>
      <w:r>
        <w:rPr>
          <w:rFonts w:hint="eastAsia"/>
          <w:lang w:eastAsia="zh-CN"/>
        </w:rPr>
        <w:t>磋商</w:t>
      </w:r>
      <w:r>
        <w:rPr>
          <w:rFonts w:hint="default"/>
        </w:rPr>
        <w:t>项目名称、供应商名称。若正本、副本分别进行密封的，还应在封套上注明</w:t>
      </w:r>
      <w:r>
        <w:rPr>
          <w:rFonts w:hint="eastAsia"/>
          <w:lang w:eastAsia="zh-CN"/>
        </w:rPr>
        <w:t>“</w:t>
      </w:r>
      <w:r>
        <w:rPr>
          <w:rFonts w:hint="default"/>
        </w:rPr>
        <w:t>正本</w:t>
      </w:r>
      <w:r>
        <w:rPr>
          <w:rFonts w:hint="eastAsia"/>
          <w:lang w:eastAsia="zh-CN"/>
        </w:rPr>
        <w:t>”</w:t>
      </w:r>
      <w:r>
        <w:rPr>
          <w:rFonts w:hint="default"/>
        </w:rPr>
        <w:t>、</w:t>
      </w:r>
      <w:r>
        <w:rPr>
          <w:rFonts w:hint="eastAsia"/>
          <w:lang w:eastAsia="zh-CN"/>
        </w:rPr>
        <w:t>“</w:t>
      </w:r>
      <w:r>
        <w:rPr>
          <w:rFonts w:hint="default"/>
        </w:rPr>
        <w:t>副本</w:t>
      </w:r>
      <w:r>
        <w:rPr>
          <w:rFonts w:hint="eastAsia"/>
          <w:lang w:eastAsia="zh-CN"/>
        </w:rPr>
        <w:t>”</w:t>
      </w:r>
      <w:r>
        <w:rPr>
          <w:rFonts w:hint="default"/>
        </w:rPr>
        <w:t>字样。</w:t>
      </w:r>
    </w:p>
    <w:p w14:paraId="0C2F5528">
      <w:pPr>
        <w:pStyle w:val="20"/>
        <w:bidi w:val="0"/>
        <w:rPr>
          <w:rFonts w:hint="default"/>
        </w:rPr>
      </w:pPr>
      <w:r>
        <w:rPr>
          <w:rFonts w:hint="default"/>
        </w:rPr>
        <w:t>（</w:t>
      </w:r>
      <w:r>
        <w:rPr>
          <w:rFonts w:hint="eastAsia"/>
          <w:lang w:eastAsia="zh-CN"/>
        </w:rPr>
        <w:t>七</w:t>
      </w:r>
      <w:r>
        <w:rPr>
          <w:rFonts w:hint="default"/>
        </w:rPr>
        <w:t>）响应文件语言：简体中文</w:t>
      </w:r>
    </w:p>
    <w:p w14:paraId="41C4A8DA">
      <w:pPr>
        <w:pStyle w:val="20"/>
        <w:bidi w:val="0"/>
        <w:rPr>
          <w:rFonts w:hint="default"/>
        </w:rPr>
      </w:pPr>
      <w:r>
        <w:rPr>
          <w:rFonts w:hint="default"/>
        </w:rPr>
        <w:t>（</w:t>
      </w:r>
      <w:r>
        <w:rPr>
          <w:rFonts w:hint="eastAsia"/>
          <w:lang w:eastAsia="zh-CN"/>
        </w:rPr>
        <w:t>八</w:t>
      </w:r>
      <w:r>
        <w:rPr>
          <w:rFonts w:hint="default"/>
        </w:rPr>
        <w:t>）供应商参与人员</w:t>
      </w:r>
    </w:p>
    <w:p w14:paraId="0BDAE38A">
      <w:pPr>
        <w:pStyle w:val="20"/>
        <w:bidi w:val="0"/>
        <w:rPr>
          <w:rFonts w:hint="default" w:ascii="Times New Roman" w:hAnsi="Times New Roman" w:eastAsia="方正仿宋_GBK" w:cs="Times New Roman"/>
          <w:szCs w:val="24"/>
        </w:rPr>
      </w:pPr>
      <w:r>
        <w:rPr>
          <w:rFonts w:hint="default"/>
        </w:rPr>
        <w:t>各供应商只能</w:t>
      </w:r>
      <w:r>
        <w:rPr>
          <w:rFonts w:hint="default" w:ascii="Times New Roman" w:hAnsi="Times New Roman" w:eastAsia="方正仿宋_GBK" w:cs="Times New Roman"/>
          <w:kern w:val="2"/>
          <w:sz w:val="24"/>
          <w:szCs w:val="20"/>
          <w:lang w:val="en-US" w:eastAsia="zh-CN" w:bidi="ar-SA"/>
        </w:rPr>
        <w:t>委派1名代表参</w:t>
      </w:r>
      <w:r>
        <w:rPr>
          <w:rFonts w:hint="default"/>
        </w:rPr>
        <w:t>与</w:t>
      </w:r>
      <w:r>
        <w:rPr>
          <w:rFonts w:hint="eastAsia"/>
          <w:lang w:eastAsia="zh-CN"/>
        </w:rPr>
        <w:t>磋商</w:t>
      </w:r>
      <w:r>
        <w:rPr>
          <w:rFonts w:hint="default"/>
        </w:rPr>
        <w:t>，应为法定代表人（或其授权代表）或自然人（供应商为自然人）。</w:t>
      </w:r>
    </w:p>
    <w:p w14:paraId="71FDD5D5">
      <w:pPr>
        <w:pStyle w:val="21"/>
        <w:bidi w:val="0"/>
        <w:rPr>
          <w:rFonts w:hint="default"/>
          <w:lang w:eastAsia="zh-CN"/>
        </w:rPr>
      </w:pPr>
      <w:bookmarkStart w:id="118" w:name="_Toc65660358"/>
      <w:bookmarkStart w:id="119" w:name="_Toc135993511"/>
      <w:bookmarkStart w:id="120" w:name="_Toc14702"/>
      <w:bookmarkStart w:id="121" w:name="_Toc6242"/>
      <w:r>
        <w:rPr>
          <w:rFonts w:hint="default"/>
          <w:lang w:eastAsia="zh-CN"/>
        </w:rPr>
        <w:t>四、成交供应商的确定和变更</w:t>
      </w:r>
      <w:bookmarkEnd w:id="118"/>
      <w:bookmarkEnd w:id="119"/>
      <w:bookmarkEnd w:id="120"/>
      <w:bookmarkEnd w:id="121"/>
    </w:p>
    <w:p w14:paraId="4269A03D">
      <w:pPr>
        <w:pStyle w:val="20"/>
        <w:bidi w:val="0"/>
        <w:rPr>
          <w:rFonts w:hint="default"/>
        </w:rPr>
      </w:pPr>
      <w:r>
        <w:rPr>
          <w:rFonts w:hint="default"/>
        </w:rPr>
        <w:t>（一）采购人应当从评审报告提出的成交候选人中，根据质量和服务均能满足采购文件实质性响应要求且评审得分由高到低的原则确定成交供应商，也可以书面授权</w:t>
      </w:r>
      <w:r>
        <w:rPr>
          <w:rFonts w:hint="eastAsia"/>
          <w:lang w:eastAsia="zh-CN"/>
        </w:rPr>
        <w:t>磋商</w:t>
      </w:r>
      <w:r>
        <w:rPr>
          <w:rFonts w:hint="default"/>
        </w:rPr>
        <w:t>小组直接确定成交供应商。采购人逾期未确定成交供应商且不提出异议的，视为确定评审报告提出的供应商为成交供应商。</w:t>
      </w:r>
    </w:p>
    <w:p w14:paraId="6271D1BF">
      <w:pPr>
        <w:pStyle w:val="20"/>
        <w:bidi w:val="0"/>
        <w:rPr>
          <w:rFonts w:hint="default"/>
        </w:rPr>
      </w:pPr>
      <w:r>
        <w:rPr>
          <w:rFonts w:hint="default"/>
        </w:rPr>
        <w:t>（二）成交供应商的变更</w:t>
      </w:r>
    </w:p>
    <w:p w14:paraId="06EA9169">
      <w:pPr>
        <w:pStyle w:val="20"/>
        <w:bidi w:val="0"/>
        <w:rPr>
          <w:rFonts w:hint="default"/>
        </w:rPr>
      </w:pPr>
      <w:r>
        <w:rPr>
          <w:rFonts w:hint="default"/>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878B0F1">
      <w:pPr>
        <w:pStyle w:val="20"/>
        <w:bidi w:val="0"/>
        <w:rPr>
          <w:rFonts w:hint="default" w:eastAsia="方正仿宋_GBK"/>
          <w:lang w:val="en-US" w:eastAsia="zh-CN"/>
        </w:rPr>
      </w:pPr>
      <w:r>
        <w:rPr>
          <w:rFonts w:hint="default"/>
        </w:rPr>
        <w:t>2.成交供应商无充分理由放弃成交的，</w:t>
      </w:r>
      <w:r>
        <w:rPr>
          <w:rFonts w:hint="eastAsia"/>
          <w:lang w:val="en-US" w:eastAsia="zh-CN"/>
        </w:rPr>
        <w:t>采购人纳入黑名单管理。</w:t>
      </w:r>
    </w:p>
    <w:p w14:paraId="6F974DB9">
      <w:pPr>
        <w:pStyle w:val="21"/>
        <w:bidi w:val="0"/>
        <w:rPr>
          <w:rFonts w:hint="eastAsia"/>
        </w:rPr>
      </w:pPr>
      <w:bookmarkStart w:id="122" w:name="_Toc1092"/>
      <w:bookmarkStart w:id="123" w:name="_Toc135993512"/>
      <w:bookmarkStart w:id="124" w:name="_Toc29821"/>
      <w:bookmarkStart w:id="125" w:name="_Toc65660359"/>
      <w:r>
        <w:rPr>
          <w:rFonts w:hint="eastAsia"/>
        </w:rPr>
        <w:t>五、成交通知</w:t>
      </w:r>
      <w:bookmarkEnd w:id="122"/>
      <w:bookmarkEnd w:id="123"/>
      <w:bookmarkEnd w:id="124"/>
      <w:bookmarkEnd w:id="125"/>
    </w:p>
    <w:p w14:paraId="119F9392">
      <w:pPr>
        <w:pStyle w:val="20"/>
        <w:bidi w:val="0"/>
        <w:rPr>
          <w:rFonts w:hint="default"/>
        </w:rPr>
      </w:pPr>
      <w:r>
        <w:rPr>
          <w:rFonts w:hint="default"/>
        </w:rPr>
        <w:t>（一）成交供应商确定后，</w:t>
      </w:r>
      <w:r>
        <w:rPr>
          <w:rFonts w:hint="default"/>
          <w:lang w:eastAsia="zh-CN"/>
        </w:rPr>
        <w:t>采购人</w:t>
      </w:r>
      <w:r>
        <w:rPr>
          <w:rFonts w:hint="default"/>
        </w:rPr>
        <w:t>将</w:t>
      </w:r>
      <w:r>
        <w:rPr>
          <w:rFonts w:hint="default" w:ascii="Times New Roman" w:hAnsi="Times New Roman" w:eastAsia="方正仿宋_GBK" w:cs="Times New Roman"/>
          <w:kern w:val="2"/>
          <w:sz w:val="24"/>
          <w:szCs w:val="20"/>
          <w:lang w:val="en-US" w:eastAsia="zh-CN" w:bidi="ar-SA"/>
        </w:rPr>
        <w:t>在</w:t>
      </w:r>
      <w:r>
        <w:rPr>
          <w:rFonts w:hint="eastAsia" w:ascii="Times New Roman" w:hAnsi="Times New Roman" w:eastAsia="方正仿宋_GBK" w:cs="Times New Roman"/>
          <w:kern w:val="2"/>
          <w:sz w:val="24"/>
          <w:szCs w:val="20"/>
          <w:lang w:val="en-US" w:eastAsia="zh-CN" w:bidi="ar-SA"/>
        </w:rPr>
        <w:t>“行采家”平台（http：//www.gec123.com）</w:t>
      </w:r>
      <w:r>
        <w:rPr>
          <w:rFonts w:hint="default" w:ascii="Times New Roman" w:hAnsi="Times New Roman" w:eastAsia="方正仿宋_GBK" w:cs="Times New Roman"/>
          <w:kern w:val="2"/>
          <w:sz w:val="24"/>
          <w:szCs w:val="20"/>
          <w:lang w:val="en-US" w:eastAsia="zh-CN" w:bidi="ar-SA"/>
        </w:rPr>
        <w:t>发</w:t>
      </w:r>
      <w:r>
        <w:rPr>
          <w:rFonts w:hint="default"/>
        </w:rPr>
        <w:t>布成交结果公告。</w:t>
      </w:r>
    </w:p>
    <w:p w14:paraId="3FA04A9A">
      <w:pPr>
        <w:pStyle w:val="20"/>
        <w:bidi w:val="0"/>
        <w:rPr>
          <w:rFonts w:hint="default"/>
        </w:rPr>
      </w:pPr>
      <w:r>
        <w:rPr>
          <w:rFonts w:hint="default"/>
        </w:rPr>
        <w:t>（二）结果公告发出同时，采购</w:t>
      </w:r>
      <w:r>
        <w:rPr>
          <w:rFonts w:hint="default"/>
          <w:lang w:eastAsia="zh-CN"/>
        </w:rPr>
        <w:t>人</w:t>
      </w:r>
      <w:r>
        <w:rPr>
          <w:rFonts w:hint="default"/>
        </w:rPr>
        <w:t>将以书面形式发出《成交通知书》。《成交通知书》一经发出即发生法律效力。</w:t>
      </w:r>
    </w:p>
    <w:p w14:paraId="507FDB17">
      <w:pPr>
        <w:pStyle w:val="20"/>
        <w:bidi w:val="0"/>
        <w:rPr>
          <w:rFonts w:hint="default"/>
        </w:rPr>
      </w:pPr>
      <w:r>
        <w:rPr>
          <w:rFonts w:hint="default"/>
        </w:rPr>
        <w:t>（三）《成交通知书》将作为签订合同的依据。</w:t>
      </w:r>
    </w:p>
    <w:p w14:paraId="4246B3B2">
      <w:pPr>
        <w:pStyle w:val="21"/>
        <w:bidi w:val="0"/>
        <w:rPr>
          <w:rFonts w:hint="eastAsia"/>
        </w:rPr>
      </w:pPr>
      <w:bookmarkStart w:id="126" w:name="_Toc16648"/>
      <w:bookmarkStart w:id="127" w:name="_Toc65660361"/>
      <w:bookmarkStart w:id="128" w:name="_Toc3127"/>
      <w:bookmarkStart w:id="129" w:name="_Toc135993514"/>
      <w:r>
        <w:rPr>
          <w:rFonts w:hint="eastAsia"/>
          <w:lang w:val="en-US" w:eastAsia="zh-CN"/>
        </w:rPr>
        <w:t>六</w:t>
      </w:r>
      <w:r>
        <w:rPr>
          <w:rFonts w:hint="eastAsia"/>
        </w:rPr>
        <w:t>、签订合同</w:t>
      </w:r>
      <w:bookmarkEnd w:id="126"/>
      <w:bookmarkEnd w:id="127"/>
      <w:bookmarkEnd w:id="128"/>
      <w:bookmarkEnd w:id="129"/>
    </w:p>
    <w:p w14:paraId="63F04BAF">
      <w:pPr>
        <w:pStyle w:val="20"/>
        <w:bidi w:val="0"/>
        <w:rPr>
          <w:rFonts w:hint="default"/>
        </w:rPr>
      </w:pPr>
      <w:r>
        <w:rPr>
          <w:rFonts w:hint="default"/>
        </w:rPr>
        <w:t>（一）采购人原则上应在成交通知书发出之日起</w:t>
      </w:r>
      <w:r>
        <w:rPr>
          <w:rFonts w:hint="eastAsia"/>
          <w:lang w:val="en-US" w:eastAsia="zh-CN"/>
        </w:rPr>
        <w:t>七</w:t>
      </w:r>
      <w:r>
        <w:rPr>
          <w:rFonts w:hint="default"/>
        </w:rPr>
        <w:t>日内和成交供应商签订采购合同，无正当理由不得拒绝或拖延合同签订。所签订的合同不得对</w:t>
      </w:r>
      <w:r>
        <w:rPr>
          <w:rFonts w:hint="eastAsia"/>
          <w:lang w:eastAsia="zh-CN"/>
        </w:rPr>
        <w:t>竞争性磋商</w:t>
      </w:r>
      <w:r>
        <w:rPr>
          <w:rFonts w:hint="default"/>
        </w:rPr>
        <w:t>文件和供应商的响应文件作实质性修改。其他未尽事宜由采购人和成交供应商在采购合同中详细约定。</w:t>
      </w:r>
    </w:p>
    <w:p w14:paraId="0DF74954">
      <w:pPr>
        <w:pStyle w:val="20"/>
        <w:bidi w:val="0"/>
        <w:rPr>
          <w:rFonts w:hint="default"/>
        </w:rPr>
      </w:pPr>
      <w:r>
        <w:rPr>
          <w:rFonts w:hint="default"/>
        </w:rPr>
        <w:t>（二）</w:t>
      </w:r>
      <w:r>
        <w:rPr>
          <w:rFonts w:hint="eastAsia"/>
          <w:lang w:eastAsia="zh-CN"/>
        </w:rPr>
        <w:t>竞争性磋商</w:t>
      </w:r>
      <w:r>
        <w:rPr>
          <w:rFonts w:hint="default"/>
        </w:rPr>
        <w:t>文件、供应商的响应文件及澄清文件等，均为签订采购合同的依据。</w:t>
      </w:r>
    </w:p>
    <w:p w14:paraId="10098C79">
      <w:pPr>
        <w:pStyle w:val="20"/>
        <w:bidi w:val="0"/>
        <w:rPr>
          <w:rFonts w:hint="default"/>
        </w:rPr>
      </w:pPr>
      <w:r>
        <w:rPr>
          <w:rFonts w:hint="default"/>
        </w:rPr>
        <w:t>（三）合同生效条款由供需双方约定，法律、行政法规规定应当办理批准、登记等手续后生效的合同，依照其规定。</w:t>
      </w:r>
    </w:p>
    <w:bookmarkEnd w:id="55"/>
    <w:p w14:paraId="34CF3561">
      <w:pPr>
        <w:pStyle w:val="20"/>
        <w:bidi w:val="0"/>
        <w:rPr>
          <w:rFonts w:hint="default"/>
        </w:rPr>
      </w:pPr>
      <w:bookmarkStart w:id="130" w:name="_Toc135993516"/>
      <w:bookmarkStart w:id="131" w:name="_Toc14861"/>
      <w:bookmarkStart w:id="132" w:name="_Toc11641055"/>
      <w:bookmarkStart w:id="133" w:name="_Toc65660365"/>
      <w:bookmarkStart w:id="134" w:name="_Toc12789059"/>
      <w:bookmarkStart w:id="135" w:name="_Toc28162"/>
    </w:p>
    <w:p w14:paraId="0749B427">
      <w:pPr>
        <w:keepNext w:val="0"/>
        <w:keepLines w:val="0"/>
        <w:pageBreakBefore w:val="0"/>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sz w:val="36"/>
          <w:szCs w:val="30"/>
        </w:rPr>
      </w:pPr>
    </w:p>
    <w:p w14:paraId="2DD94BDD">
      <w:pPr>
        <w:keepNext w:val="0"/>
        <w:keepLines w:val="0"/>
        <w:pageBreakBefore w:val="0"/>
        <w:kinsoku/>
        <w:overflowPunct/>
        <w:topLinePunct w:val="0"/>
        <w:autoSpaceDE/>
        <w:autoSpaceDN/>
        <w:bidi w:val="0"/>
        <w:adjustRightInd w:val="0"/>
        <w:snapToGrid w:val="0"/>
        <w:spacing w:before="0" w:after="0" w:line="500" w:lineRule="exact"/>
        <w:jc w:val="both"/>
        <w:textAlignment w:val="auto"/>
        <w:outlineLvl w:val="9"/>
        <w:rPr>
          <w:rFonts w:hint="default" w:ascii="Times New Roman" w:hAnsi="Times New Roman" w:eastAsia="方正仿宋_GBK" w:cs="Times New Roman"/>
          <w:b/>
          <w:sz w:val="36"/>
          <w:szCs w:val="30"/>
        </w:rPr>
        <w:sectPr>
          <w:pgSz w:w="11907" w:h="16840"/>
          <w:pgMar w:top="1134" w:right="1191" w:bottom="1134" w:left="1304" w:header="964" w:footer="992" w:gutter="0"/>
          <w:pgNumType w:fmt="numberInDash"/>
          <w:cols w:space="720" w:num="1"/>
          <w:docGrid w:linePitch="312" w:charSpace="0"/>
        </w:sectPr>
      </w:pPr>
    </w:p>
    <w:bookmarkEnd w:id="130"/>
    <w:bookmarkEnd w:id="131"/>
    <w:bookmarkEnd w:id="132"/>
    <w:bookmarkEnd w:id="133"/>
    <w:bookmarkEnd w:id="134"/>
    <w:bookmarkEnd w:id="135"/>
    <w:p w14:paraId="5B6BF817">
      <w:pPr>
        <w:pStyle w:val="22"/>
        <w:bidi w:val="0"/>
        <w:rPr>
          <w:rFonts w:hint="eastAsia"/>
        </w:rPr>
      </w:pPr>
      <w:bookmarkStart w:id="136" w:name="_Hlt41879464"/>
      <w:bookmarkEnd w:id="136"/>
      <w:bookmarkStart w:id="137" w:name="_Toc65660378"/>
      <w:bookmarkStart w:id="138" w:name="_Toc9538"/>
      <w:bookmarkStart w:id="139" w:name="_Toc6968"/>
      <w:bookmarkStart w:id="140" w:name="_Toc135993517"/>
      <w:bookmarkStart w:id="141" w:name="_Toc12789072"/>
      <w:r>
        <w:rPr>
          <w:rFonts w:hint="eastAsia"/>
        </w:rPr>
        <w:t>第</w:t>
      </w:r>
      <w:r>
        <w:rPr>
          <w:rFonts w:hint="eastAsia"/>
          <w:lang w:val="en-US" w:eastAsia="zh-CN"/>
        </w:rPr>
        <w:t>六</w:t>
      </w:r>
      <w:r>
        <w:rPr>
          <w:rFonts w:hint="eastAsia"/>
        </w:rPr>
        <w:t>篇  响应文件格式要求</w:t>
      </w:r>
      <w:bookmarkEnd w:id="137"/>
      <w:bookmarkEnd w:id="138"/>
      <w:bookmarkEnd w:id="139"/>
      <w:bookmarkEnd w:id="140"/>
      <w:bookmarkEnd w:id="141"/>
    </w:p>
    <w:p w14:paraId="47A4983D">
      <w:pPr>
        <w:pStyle w:val="21"/>
        <w:bidi w:val="0"/>
        <w:rPr>
          <w:rFonts w:hint="eastAsia"/>
        </w:rPr>
      </w:pPr>
      <w:r>
        <w:rPr>
          <w:rFonts w:hint="eastAsia"/>
        </w:rPr>
        <w:t>一、经济部分</w:t>
      </w:r>
    </w:p>
    <w:p w14:paraId="2A654F0E">
      <w:pPr>
        <w:pStyle w:val="20"/>
        <w:bidi w:val="0"/>
        <w:rPr>
          <w:rFonts w:hint="default"/>
        </w:rPr>
      </w:pPr>
      <w:r>
        <w:rPr>
          <w:rFonts w:hint="eastAsia"/>
          <w:lang w:eastAsia="zh-CN"/>
        </w:rPr>
        <w:t>（一）</w:t>
      </w:r>
      <w:r>
        <w:rPr>
          <w:rFonts w:hint="default"/>
        </w:rPr>
        <w:t>竞争性报价函</w:t>
      </w:r>
    </w:p>
    <w:p w14:paraId="12E7A512">
      <w:pPr>
        <w:pStyle w:val="20"/>
        <w:bidi w:val="0"/>
        <w:rPr>
          <w:rFonts w:hint="eastAsia" w:eastAsia="方正仿宋_GBK"/>
          <w:lang w:eastAsia="zh-CN"/>
        </w:rPr>
      </w:pPr>
      <w:r>
        <w:rPr>
          <w:rFonts w:hint="eastAsia"/>
          <w:lang w:eastAsia="zh-CN"/>
        </w:rPr>
        <w:t>（二）分项报价明细表</w:t>
      </w:r>
    </w:p>
    <w:p w14:paraId="556265C4">
      <w:pPr>
        <w:pStyle w:val="21"/>
        <w:bidi w:val="0"/>
        <w:rPr>
          <w:rFonts w:hint="default" w:ascii="黑体" w:hAnsi="黑体" w:eastAsia="黑体" w:cs="黑体"/>
          <w:b w:val="0"/>
          <w:bCs/>
          <w:szCs w:val="24"/>
        </w:rPr>
      </w:pPr>
      <w:r>
        <w:rPr>
          <w:rFonts w:hint="default"/>
        </w:rPr>
        <w:t>二、</w:t>
      </w:r>
      <w:r>
        <w:rPr>
          <w:rFonts w:hint="eastAsia"/>
          <w:lang w:val="en-US" w:eastAsia="zh-CN"/>
        </w:rPr>
        <w:t>服务</w:t>
      </w:r>
      <w:r>
        <w:rPr>
          <w:rFonts w:hint="default"/>
        </w:rPr>
        <w:t>（质量）部分</w:t>
      </w:r>
    </w:p>
    <w:p w14:paraId="204F5C97">
      <w:pPr>
        <w:pStyle w:val="20"/>
        <w:bidi w:val="0"/>
        <w:rPr>
          <w:rFonts w:hint="default"/>
        </w:rPr>
      </w:pPr>
      <w:r>
        <w:rPr>
          <w:rFonts w:hint="default"/>
        </w:rPr>
        <w:t>（一）</w:t>
      </w:r>
      <w:r>
        <w:rPr>
          <w:rFonts w:hint="eastAsia"/>
          <w:lang w:val="en-US" w:eastAsia="zh-CN"/>
        </w:rPr>
        <w:t>服务</w:t>
      </w:r>
      <w:r>
        <w:rPr>
          <w:rFonts w:hint="default"/>
        </w:rPr>
        <w:t>（质量）响应偏离表</w:t>
      </w:r>
    </w:p>
    <w:p w14:paraId="6A20D498">
      <w:pPr>
        <w:pStyle w:val="20"/>
        <w:bidi w:val="0"/>
        <w:rPr>
          <w:rFonts w:hint="default"/>
        </w:rPr>
      </w:pPr>
      <w:r>
        <w:rPr>
          <w:rFonts w:hint="default"/>
        </w:rPr>
        <w:t>（二）其他资料（格式自定）</w:t>
      </w:r>
    </w:p>
    <w:p w14:paraId="5DA2EC76">
      <w:pPr>
        <w:pStyle w:val="21"/>
        <w:bidi w:val="0"/>
        <w:rPr>
          <w:rFonts w:hint="default"/>
        </w:rPr>
      </w:pPr>
      <w:r>
        <w:rPr>
          <w:rFonts w:hint="default"/>
        </w:rPr>
        <w:t>三、商务部分</w:t>
      </w:r>
    </w:p>
    <w:p w14:paraId="678EE815">
      <w:pPr>
        <w:pStyle w:val="20"/>
        <w:bidi w:val="0"/>
        <w:rPr>
          <w:rFonts w:hint="default"/>
        </w:rPr>
      </w:pPr>
      <w:r>
        <w:rPr>
          <w:rFonts w:hint="default"/>
        </w:rPr>
        <w:t>（一）商务响应偏离表</w:t>
      </w:r>
    </w:p>
    <w:p w14:paraId="0A8A4073">
      <w:pPr>
        <w:pStyle w:val="20"/>
        <w:bidi w:val="0"/>
        <w:rPr>
          <w:rFonts w:hint="default" w:ascii="Times New Roman" w:hAnsi="Times New Roman" w:eastAsia="方正仿宋_GBK" w:cs="Times New Roman"/>
          <w:szCs w:val="24"/>
        </w:rPr>
      </w:pPr>
      <w:r>
        <w:rPr>
          <w:rFonts w:hint="default"/>
        </w:rPr>
        <w:t>（二）其它优惠服务承诺（格式自定）</w:t>
      </w:r>
    </w:p>
    <w:p w14:paraId="3D1A9642">
      <w:pPr>
        <w:pStyle w:val="21"/>
        <w:bidi w:val="0"/>
        <w:rPr>
          <w:rFonts w:hint="default"/>
        </w:rPr>
      </w:pPr>
      <w:r>
        <w:rPr>
          <w:rFonts w:hint="default"/>
        </w:rPr>
        <w:t>四、资格条件及其他</w:t>
      </w:r>
    </w:p>
    <w:p w14:paraId="21C6B8ED">
      <w:pPr>
        <w:pStyle w:val="20"/>
        <w:bidi w:val="0"/>
        <w:rPr>
          <w:rFonts w:hint="default"/>
        </w:rPr>
      </w:pPr>
      <w:r>
        <w:rPr>
          <w:rFonts w:hint="default"/>
        </w:rPr>
        <w:t>（一）法人营业执照（副本）或事业单位法人证书（副本）或个体工商户营业执照或有效的自然人身份证明或社会团体法人登记证书</w:t>
      </w:r>
    </w:p>
    <w:p w14:paraId="6613D1B0">
      <w:pPr>
        <w:pStyle w:val="20"/>
        <w:bidi w:val="0"/>
        <w:rPr>
          <w:rFonts w:hint="default"/>
        </w:rPr>
      </w:pPr>
      <w:r>
        <w:rPr>
          <w:rFonts w:hint="default"/>
        </w:rPr>
        <w:t>（二）法定代表人身份证明书（格式）</w:t>
      </w:r>
    </w:p>
    <w:p w14:paraId="479C134E">
      <w:pPr>
        <w:pStyle w:val="20"/>
        <w:bidi w:val="0"/>
        <w:rPr>
          <w:rFonts w:hint="default"/>
        </w:rPr>
      </w:pPr>
      <w:r>
        <w:rPr>
          <w:rFonts w:hint="default"/>
        </w:rPr>
        <w:t>（三）法定代表人授权委托书（格式）</w:t>
      </w:r>
    </w:p>
    <w:p w14:paraId="4038E339">
      <w:pPr>
        <w:pStyle w:val="20"/>
        <w:bidi w:val="0"/>
        <w:rPr>
          <w:rFonts w:hint="default"/>
        </w:rPr>
      </w:pPr>
      <w:r>
        <w:rPr>
          <w:rFonts w:hint="default"/>
        </w:rPr>
        <w:t>（四）基本资格条件承诺函（格式）</w:t>
      </w:r>
    </w:p>
    <w:p w14:paraId="20667F0C">
      <w:pPr>
        <w:pStyle w:val="20"/>
        <w:bidi w:val="0"/>
        <w:rPr>
          <w:rFonts w:hint="default" w:ascii="Times New Roman" w:hAnsi="Times New Roman" w:eastAsia="方正仿宋_GBK" w:cs="Times New Roman"/>
          <w:szCs w:val="24"/>
        </w:rPr>
      </w:pPr>
      <w:r>
        <w:rPr>
          <w:rFonts w:hint="default"/>
        </w:rPr>
        <w:t>（五）特定资格条件证书或证明文件</w:t>
      </w:r>
    </w:p>
    <w:p w14:paraId="3479A788">
      <w:pPr>
        <w:pStyle w:val="21"/>
        <w:bidi w:val="0"/>
        <w:rPr>
          <w:rFonts w:hint="default"/>
        </w:rPr>
      </w:pPr>
      <w:r>
        <w:rPr>
          <w:rFonts w:hint="default"/>
        </w:rPr>
        <w:t>五、其他资料</w:t>
      </w:r>
    </w:p>
    <w:p w14:paraId="249BA9AA">
      <w:pPr>
        <w:pStyle w:val="20"/>
        <w:bidi w:val="0"/>
        <w:rPr>
          <w:rFonts w:hint="default" w:ascii="Times New Roman" w:hAnsi="Times New Roman" w:eastAsia="方正仿宋_GBK" w:cs="Times New Roman"/>
          <w:szCs w:val="24"/>
        </w:rPr>
      </w:pPr>
      <w:r>
        <w:rPr>
          <w:rFonts w:hint="default"/>
        </w:rPr>
        <w:t>（一）其他与项目有关的资料（自附）</w:t>
      </w:r>
    </w:p>
    <w:p w14:paraId="64C95C33">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p>
    <w:p w14:paraId="24FCC7FB">
      <w:pPr>
        <w:pStyle w:val="21"/>
        <w:bidi w:val="0"/>
        <w:rPr>
          <w:rFonts w:hint="default"/>
        </w:rPr>
      </w:pPr>
      <w:bookmarkStart w:id="142" w:name="_Toc313008356"/>
      <w:bookmarkStart w:id="143" w:name="_Toc313888360"/>
      <w:bookmarkStart w:id="144" w:name="_Toc65660379"/>
      <w:bookmarkStart w:id="145" w:name="_Toc26343"/>
      <w:bookmarkStart w:id="146" w:name="_Toc14244"/>
      <w:bookmarkStart w:id="147" w:name="_Toc135993518"/>
      <w:bookmarkStart w:id="148" w:name="_Toc342913419"/>
      <w:bookmarkStart w:id="149" w:name="_Toc12789073"/>
      <w:bookmarkStart w:id="150" w:name="_Toc283382454"/>
      <w:r>
        <w:rPr>
          <w:rFonts w:hint="default"/>
        </w:rPr>
        <w:t>一、经济部分</w:t>
      </w:r>
      <w:bookmarkEnd w:id="142"/>
      <w:bookmarkEnd w:id="143"/>
      <w:bookmarkEnd w:id="144"/>
      <w:bookmarkEnd w:id="145"/>
      <w:bookmarkEnd w:id="146"/>
      <w:bookmarkEnd w:id="147"/>
      <w:bookmarkEnd w:id="148"/>
    </w:p>
    <w:bookmarkEnd w:id="149"/>
    <w:bookmarkEnd w:id="150"/>
    <w:p w14:paraId="1BA25D87">
      <w:pPr>
        <w:pStyle w:val="20"/>
        <w:bidi w:val="0"/>
        <w:rPr>
          <w:rFonts w:hint="default"/>
        </w:rPr>
      </w:pPr>
      <w:r>
        <w:rPr>
          <w:rFonts w:hint="default"/>
        </w:rPr>
        <w:t>（一）竞争性报价函</w:t>
      </w:r>
    </w:p>
    <w:p w14:paraId="1545CBB6">
      <w:pPr>
        <w:pStyle w:val="20"/>
        <w:bidi w:val="0"/>
        <w:jc w:val="center"/>
        <w:rPr>
          <w:rFonts w:hint="eastAsia"/>
          <w:b/>
          <w:bCs/>
          <w:sz w:val="28"/>
          <w:szCs w:val="28"/>
        </w:rPr>
      </w:pPr>
      <w:r>
        <w:rPr>
          <w:rFonts w:hint="eastAsia"/>
          <w:b/>
          <w:bCs/>
          <w:sz w:val="28"/>
          <w:szCs w:val="28"/>
        </w:rPr>
        <w:t>竞争性报价函</w:t>
      </w:r>
    </w:p>
    <w:p w14:paraId="6F0BEB35">
      <w:pPr>
        <w:pStyle w:val="20"/>
        <w:bidi w:val="0"/>
        <w:rPr>
          <w:rFonts w:hint="default"/>
        </w:rPr>
      </w:pPr>
      <w:r>
        <w:rPr>
          <w:rFonts w:hint="default"/>
        </w:rPr>
        <w:t>（采购</w:t>
      </w:r>
      <w:r>
        <w:rPr>
          <w:rFonts w:hint="default"/>
          <w:lang w:eastAsia="zh-CN"/>
        </w:rPr>
        <w:t>人</w:t>
      </w:r>
      <w:r>
        <w:rPr>
          <w:rFonts w:hint="default"/>
        </w:rPr>
        <w:t>名称）：</w:t>
      </w:r>
    </w:p>
    <w:p w14:paraId="2E5319BD">
      <w:pPr>
        <w:pStyle w:val="20"/>
        <w:bidi w:val="0"/>
        <w:rPr>
          <w:rFonts w:hint="default"/>
        </w:rPr>
      </w:pPr>
      <w:r>
        <w:rPr>
          <w:rFonts w:hint="default"/>
        </w:rPr>
        <w:t>我方收到____________________________（</w:t>
      </w:r>
      <w:r>
        <w:rPr>
          <w:rFonts w:hint="eastAsia"/>
          <w:lang w:eastAsia="zh-CN"/>
        </w:rPr>
        <w:t>磋商</w:t>
      </w:r>
      <w:r>
        <w:rPr>
          <w:rFonts w:hint="default"/>
        </w:rPr>
        <w:t>项目名称）的</w:t>
      </w:r>
      <w:r>
        <w:rPr>
          <w:rFonts w:hint="eastAsia"/>
          <w:lang w:eastAsia="zh-CN"/>
        </w:rPr>
        <w:t>竞争性磋商</w:t>
      </w:r>
      <w:r>
        <w:rPr>
          <w:rFonts w:hint="default"/>
        </w:rPr>
        <w:t>文件，经详细研究，决定参加该</w:t>
      </w:r>
      <w:r>
        <w:rPr>
          <w:rFonts w:hint="eastAsia"/>
          <w:lang w:eastAsia="zh-CN"/>
        </w:rPr>
        <w:t>磋商</w:t>
      </w:r>
      <w:r>
        <w:rPr>
          <w:rFonts w:hint="default"/>
        </w:rPr>
        <w:t>项目的竞争</w:t>
      </w:r>
      <w:r>
        <w:rPr>
          <w:rFonts w:hint="eastAsia"/>
          <w:lang w:eastAsia="zh-CN"/>
        </w:rPr>
        <w:t>磋商</w:t>
      </w:r>
      <w:r>
        <w:rPr>
          <w:rFonts w:hint="default"/>
        </w:rPr>
        <w:t>。</w:t>
      </w:r>
    </w:p>
    <w:p w14:paraId="632C6F7C">
      <w:pPr>
        <w:pStyle w:val="20"/>
        <w:bidi w:val="0"/>
        <w:rPr>
          <w:rFonts w:hint="default"/>
        </w:rPr>
      </w:pPr>
      <w:r>
        <w:rPr>
          <w:rFonts w:hint="default"/>
        </w:rPr>
        <w:t>1.愿意按照</w:t>
      </w:r>
      <w:r>
        <w:rPr>
          <w:rFonts w:hint="eastAsia"/>
          <w:lang w:eastAsia="zh-CN"/>
        </w:rPr>
        <w:t>竞争性磋商</w:t>
      </w:r>
      <w:r>
        <w:rPr>
          <w:rFonts w:hint="default"/>
        </w:rPr>
        <w:t>文件中的一切要求，提供本项目的服务，项目初始报价（总价）为人民币大写：________</w:t>
      </w:r>
      <w:r>
        <w:rPr>
          <w:rFonts w:hint="eastAsia"/>
          <w:lang w:eastAsia="zh-CN"/>
        </w:rPr>
        <w:t>元整（一年）</w:t>
      </w:r>
      <w:r>
        <w:rPr>
          <w:rFonts w:hint="default"/>
        </w:rPr>
        <w:t xml:space="preserve"> ；人民币小写：_________ 元</w:t>
      </w:r>
      <w:r>
        <w:rPr>
          <w:rFonts w:hint="eastAsia"/>
          <w:lang w:val="en-US" w:eastAsia="zh-CN"/>
        </w:rPr>
        <w:t>/年</w:t>
      </w:r>
      <w:r>
        <w:rPr>
          <w:rFonts w:hint="default"/>
        </w:rPr>
        <w:t>。以我公司最后报价为准。</w:t>
      </w:r>
    </w:p>
    <w:p w14:paraId="1D99B4F7">
      <w:pPr>
        <w:pStyle w:val="20"/>
        <w:bidi w:val="0"/>
        <w:rPr>
          <w:rFonts w:hint="default"/>
        </w:rPr>
      </w:pPr>
      <w:r>
        <w:rPr>
          <w:rFonts w:hint="default"/>
        </w:rPr>
        <w:t>2.我方现提交的响应文件为：响应文件正本___份，副本___份。</w:t>
      </w:r>
    </w:p>
    <w:p w14:paraId="58C66125">
      <w:pPr>
        <w:pStyle w:val="20"/>
        <w:bidi w:val="0"/>
        <w:rPr>
          <w:rFonts w:hint="default"/>
        </w:rPr>
      </w:pPr>
      <w:r>
        <w:rPr>
          <w:rFonts w:hint="default"/>
        </w:rPr>
        <w:t>3.我方承诺：本次</w:t>
      </w:r>
      <w:r>
        <w:rPr>
          <w:rFonts w:hint="eastAsia"/>
          <w:lang w:eastAsia="zh-CN"/>
        </w:rPr>
        <w:t>磋商</w:t>
      </w:r>
      <w:r>
        <w:rPr>
          <w:rFonts w:hint="default"/>
        </w:rPr>
        <w:t>的有效期为提交响应文件截止时间起90天。</w:t>
      </w:r>
    </w:p>
    <w:p w14:paraId="5CC9D77E">
      <w:pPr>
        <w:pStyle w:val="20"/>
        <w:bidi w:val="0"/>
        <w:rPr>
          <w:rFonts w:hint="default"/>
        </w:rPr>
      </w:pPr>
      <w:r>
        <w:rPr>
          <w:rFonts w:hint="default"/>
        </w:rPr>
        <w:t>4.我方完全理解和接受贵方</w:t>
      </w:r>
      <w:r>
        <w:rPr>
          <w:rFonts w:hint="eastAsia"/>
          <w:lang w:eastAsia="zh-CN"/>
        </w:rPr>
        <w:t>竞争性磋商</w:t>
      </w:r>
      <w:r>
        <w:rPr>
          <w:rFonts w:hint="default"/>
        </w:rPr>
        <w:t>文件的一切规定和要求及</w:t>
      </w:r>
      <w:r>
        <w:rPr>
          <w:rFonts w:hint="eastAsia"/>
          <w:lang w:eastAsia="zh-CN"/>
        </w:rPr>
        <w:t>磋商</w:t>
      </w:r>
      <w:r>
        <w:rPr>
          <w:rFonts w:hint="default"/>
        </w:rPr>
        <w:t>评审办法。</w:t>
      </w:r>
    </w:p>
    <w:p w14:paraId="74767007">
      <w:pPr>
        <w:pStyle w:val="20"/>
        <w:bidi w:val="0"/>
        <w:rPr>
          <w:rFonts w:hint="default"/>
        </w:rPr>
      </w:pPr>
      <w:r>
        <w:rPr>
          <w:rFonts w:hint="default"/>
        </w:rPr>
        <w:t>5.在整个</w:t>
      </w:r>
      <w:r>
        <w:rPr>
          <w:rFonts w:hint="eastAsia"/>
          <w:lang w:eastAsia="zh-CN"/>
        </w:rPr>
        <w:t>竞争性磋商</w:t>
      </w:r>
      <w:r>
        <w:rPr>
          <w:rFonts w:hint="default"/>
        </w:rPr>
        <w:t>过程中，我方若有违规行为，接受按照《中华人民共和国政府采购法》和《</w:t>
      </w:r>
      <w:r>
        <w:rPr>
          <w:rFonts w:hint="eastAsia"/>
          <w:lang w:eastAsia="zh-CN"/>
        </w:rPr>
        <w:t>竞争性磋商</w:t>
      </w:r>
      <w:r>
        <w:rPr>
          <w:rFonts w:hint="default"/>
        </w:rPr>
        <w:t>文件》之规定给予惩罚。</w:t>
      </w:r>
    </w:p>
    <w:p w14:paraId="44ACD838">
      <w:pPr>
        <w:pStyle w:val="20"/>
        <w:bidi w:val="0"/>
        <w:rPr>
          <w:rFonts w:hint="default" w:ascii="Times New Roman" w:hAnsi="Times New Roman" w:eastAsia="方正仿宋_GBK" w:cs="Times New Roman"/>
          <w:szCs w:val="24"/>
        </w:rPr>
      </w:pPr>
      <w:r>
        <w:rPr>
          <w:rFonts w:hint="default"/>
        </w:rPr>
        <w:t>6.我方若成为成交供应商，将按照最终</w:t>
      </w:r>
      <w:r>
        <w:rPr>
          <w:rFonts w:hint="eastAsia"/>
          <w:lang w:eastAsia="zh-CN"/>
        </w:rPr>
        <w:t>磋商</w:t>
      </w:r>
      <w:r>
        <w:rPr>
          <w:rFonts w:hint="default"/>
        </w:rPr>
        <w:t>结果签订合同，并且严格履行合同义务。本承诺函将成为合同不可分割的一部分，与合同具有同等的法律效力。</w:t>
      </w:r>
    </w:p>
    <w:p w14:paraId="6B0ECF21">
      <w:pPr>
        <w:pStyle w:val="20"/>
        <w:bidi w:val="0"/>
        <w:rPr>
          <w:rFonts w:hint="default"/>
        </w:rPr>
      </w:pPr>
      <w:r>
        <w:rPr>
          <w:rFonts w:hint="eastAsia"/>
          <w:lang w:val="en-US" w:eastAsia="zh-CN"/>
        </w:rPr>
        <w:t>7</w:t>
      </w:r>
      <w:r>
        <w:rPr>
          <w:rFonts w:hint="default"/>
        </w:rPr>
        <w:t>.我方未为采购项目提供整体设计、规范编制或者项目管理、监理、检测等服务。</w:t>
      </w:r>
    </w:p>
    <w:p w14:paraId="72E59465">
      <w:pPr>
        <w:pStyle w:val="20"/>
        <w:bidi w:val="0"/>
        <w:rPr>
          <w:rFonts w:hint="default"/>
        </w:rPr>
      </w:pPr>
      <w:r>
        <w:rPr>
          <w:rFonts w:hint="default"/>
        </w:rPr>
        <w:t>供应商（公章）或自然人签署：</w:t>
      </w:r>
    </w:p>
    <w:p w14:paraId="33EE02C7">
      <w:pPr>
        <w:pStyle w:val="20"/>
        <w:bidi w:val="0"/>
        <w:rPr>
          <w:rFonts w:hint="default"/>
        </w:rPr>
      </w:pPr>
      <w:r>
        <w:rPr>
          <w:rFonts w:hint="default"/>
        </w:rPr>
        <w:t xml:space="preserve">地址：  </w:t>
      </w:r>
    </w:p>
    <w:p w14:paraId="2B886A47">
      <w:pPr>
        <w:pStyle w:val="20"/>
        <w:bidi w:val="0"/>
        <w:rPr>
          <w:rFonts w:hint="default"/>
        </w:rPr>
      </w:pPr>
      <w:r>
        <w:rPr>
          <w:rFonts w:hint="default"/>
        </w:rPr>
        <w:t>电话：                           传真：</w:t>
      </w:r>
    </w:p>
    <w:p w14:paraId="7F3E98C4">
      <w:pPr>
        <w:pStyle w:val="20"/>
        <w:bidi w:val="0"/>
        <w:rPr>
          <w:rFonts w:hint="default"/>
        </w:rPr>
      </w:pPr>
      <w:r>
        <w:rPr>
          <w:rFonts w:hint="default"/>
        </w:rPr>
        <w:t>网址：                           邮编：</w:t>
      </w:r>
    </w:p>
    <w:p w14:paraId="05868217">
      <w:pPr>
        <w:pStyle w:val="20"/>
        <w:bidi w:val="0"/>
        <w:rPr>
          <w:rFonts w:hint="default"/>
        </w:rPr>
      </w:pPr>
      <w:r>
        <w:rPr>
          <w:rFonts w:hint="default"/>
        </w:rPr>
        <w:t>联系人：</w:t>
      </w:r>
    </w:p>
    <w:p w14:paraId="26E4FAA8">
      <w:pPr>
        <w:pStyle w:val="20"/>
        <w:bidi w:val="0"/>
        <w:rPr>
          <w:rFonts w:hint="default"/>
        </w:rPr>
      </w:pPr>
      <w:r>
        <w:rPr>
          <w:rFonts w:hint="default"/>
        </w:rPr>
        <w:t xml:space="preserve">                               年   月   日</w:t>
      </w:r>
    </w:p>
    <w:p w14:paraId="08562D46">
      <w:pPr>
        <w:pStyle w:val="20"/>
        <w:bidi w:val="0"/>
        <w:rPr>
          <w:rFonts w:hint="default"/>
        </w:rPr>
      </w:pPr>
    </w:p>
    <w:p w14:paraId="349A1A27">
      <w:pPr>
        <w:pStyle w:val="20"/>
        <w:bidi w:val="0"/>
        <w:rPr>
          <w:rFonts w:hint="default"/>
        </w:rPr>
        <w:sectPr>
          <w:pgSz w:w="11907" w:h="16840"/>
          <w:pgMar w:top="1134" w:right="1134" w:bottom="1134" w:left="1134" w:header="851" w:footer="992" w:gutter="0"/>
          <w:pgNumType w:fmt="numberInDash"/>
          <w:cols w:space="720" w:num="1"/>
          <w:docGrid w:linePitch="380" w:charSpace="-5735"/>
        </w:sectPr>
      </w:pPr>
    </w:p>
    <w:p w14:paraId="618CAD31">
      <w:pPr>
        <w:pStyle w:val="20"/>
        <w:numPr>
          <w:ilvl w:val="0"/>
          <w:numId w:val="5"/>
        </w:numPr>
        <w:bidi w:val="0"/>
        <w:rPr>
          <w:rFonts w:hint="default"/>
        </w:rPr>
      </w:pPr>
      <w:r>
        <w:rPr>
          <w:rFonts w:hint="default"/>
        </w:rPr>
        <w:t>分项报价明细表</w:t>
      </w:r>
    </w:p>
    <w:p w14:paraId="76C1838D">
      <w:pPr>
        <w:pStyle w:val="20"/>
        <w:bidi w:val="0"/>
        <w:jc w:val="center"/>
        <w:rPr>
          <w:rFonts w:hint="default"/>
        </w:rPr>
      </w:pPr>
      <w:r>
        <w:rPr>
          <w:rFonts w:hint="default"/>
          <w:b/>
          <w:bCs/>
          <w:sz w:val="28"/>
          <w:szCs w:val="28"/>
        </w:rPr>
        <w:t>分项报价明细表</w:t>
      </w:r>
    </w:p>
    <w:p w14:paraId="14E3BFE4">
      <w:pPr>
        <w:pStyle w:val="20"/>
        <w:bidi w:val="0"/>
        <w:rPr>
          <w:rFonts w:hint="default"/>
        </w:rPr>
      </w:pPr>
      <w:r>
        <w:rPr>
          <w:rFonts w:hint="default"/>
        </w:rPr>
        <w:t>项目号：</w:t>
      </w:r>
    </w:p>
    <w:p w14:paraId="28BA9B07">
      <w:pPr>
        <w:pStyle w:val="20"/>
        <w:bidi w:val="0"/>
        <w:rPr>
          <w:rFonts w:hint="default"/>
        </w:rPr>
      </w:pPr>
      <w:r>
        <w:rPr>
          <w:rFonts w:hint="eastAsia"/>
          <w:lang w:eastAsia="zh-CN"/>
        </w:rPr>
        <w:t>磋商</w:t>
      </w:r>
      <w:r>
        <w:rPr>
          <w:rFonts w:hint="default"/>
        </w:rPr>
        <w:t>项目名称：                                           单位：元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7"/>
        <w:gridCol w:w="2612"/>
        <w:gridCol w:w="1916"/>
        <w:gridCol w:w="1924"/>
        <w:gridCol w:w="1926"/>
        <w:gridCol w:w="12"/>
      </w:tblGrid>
      <w:tr w14:paraId="2984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1238" w:type="dxa"/>
            <w:gridSpan w:val="2"/>
            <w:noWrap w:val="0"/>
            <w:vAlign w:val="center"/>
          </w:tcPr>
          <w:p w14:paraId="480D965D">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序号</w:t>
            </w:r>
          </w:p>
        </w:tc>
        <w:tc>
          <w:tcPr>
            <w:tcW w:w="2612" w:type="dxa"/>
            <w:noWrap w:val="0"/>
            <w:vAlign w:val="center"/>
          </w:tcPr>
          <w:p w14:paraId="3285F506">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名称</w:t>
            </w:r>
          </w:p>
        </w:tc>
        <w:tc>
          <w:tcPr>
            <w:tcW w:w="1916" w:type="dxa"/>
            <w:noWrap w:val="0"/>
            <w:vAlign w:val="center"/>
          </w:tcPr>
          <w:p w14:paraId="1AD90113">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数量</w:t>
            </w:r>
          </w:p>
        </w:tc>
        <w:tc>
          <w:tcPr>
            <w:tcW w:w="1924" w:type="dxa"/>
            <w:noWrap w:val="0"/>
            <w:vAlign w:val="center"/>
          </w:tcPr>
          <w:p w14:paraId="0A05B304">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单价</w:t>
            </w:r>
          </w:p>
        </w:tc>
        <w:tc>
          <w:tcPr>
            <w:tcW w:w="1938" w:type="dxa"/>
            <w:gridSpan w:val="2"/>
            <w:noWrap w:val="0"/>
            <w:vAlign w:val="center"/>
          </w:tcPr>
          <w:p w14:paraId="40D52F95">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合计</w:t>
            </w:r>
          </w:p>
        </w:tc>
      </w:tr>
      <w:tr w14:paraId="7550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61DD9036">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2612" w:type="dxa"/>
            <w:noWrap w:val="0"/>
            <w:vAlign w:val="center"/>
          </w:tcPr>
          <w:p w14:paraId="1861113D">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047EB474">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24" w:type="dxa"/>
            <w:noWrap w:val="0"/>
            <w:vAlign w:val="top"/>
          </w:tcPr>
          <w:p w14:paraId="2A501D17">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313BB348">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0A5F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40DF00BC">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2612" w:type="dxa"/>
            <w:noWrap w:val="0"/>
            <w:vAlign w:val="center"/>
          </w:tcPr>
          <w:p w14:paraId="4BAC4209">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48C3E6A3">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24" w:type="dxa"/>
            <w:noWrap w:val="0"/>
            <w:vAlign w:val="top"/>
          </w:tcPr>
          <w:p w14:paraId="2D441611">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6BF73865">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22F5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6CCAAAEB">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2612" w:type="dxa"/>
            <w:noWrap w:val="0"/>
            <w:vAlign w:val="center"/>
          </w:tcPr>
          <w:p w14:paraId="3FEBE6FA">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4AEDAC27">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24" w:type="dxa"/>
            <w:noWrap w:val="0"/>
            <w:vAlign w:val="top"/>
          </w:tcPr>
          <w:p w14:paraId="0B9C6160">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32F5439B">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7AB3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65D8F0C5">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2612" w:type="dxa"/>
            <w:noWrap w:val="0"/>
            <w:vAlign w:val="center"/>
          </w:tcPr>
          <w:p w14:paraId="09B7BBB8">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5A00F621">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24" w:type="dxa"/>
            <w:noWrap w:val="0"/>
            <w:vAlign w:val="top"/>
          </w:tcPr>
          <w:p w14:paraId="67C6496F">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628571D0">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2B5C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5B1F9050">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2612" w:type="dxa"/>
            <w:noWrap w:val="0"/>
            <w:vAlign w:val="center"/>
          </w:tcPr>
          <w:p w14:paraId="4B5FC48B">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5FE8252E">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24" w:type="dxa"/>
            <w:noWrap w:val="0"/>
            <w:vAlign w:val="top"/>
          </w:tcPr>
          <w:p w14:paraId="60168DF2">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4704EC73">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4CFB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2CCBA9BA">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2612" w:type="dxa"/>
            <w:noWrap w:val="0"/>
            <w:vAlign w:val="center"/>
          </w:tcPr>
          <w:p w14:paraId="1D9AF9AD">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3A4785F8">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24" w:type="dxa"/>
            <w:noWrap w:val="0"/>
            <w:vAlign w:val="top"/>
          </w:tcPr>
          <w:p w14:paraId="3E559C80">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266CEDFB">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03BB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557977F8">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w:t>
            </w:r>
          </w:p>
        </w:tc>
        <w:tc>
          <w:tcPr>
            <w:tcW w:w="2612" w:type="dxa"/>
            <w:noWrap w:val="0"/>
            <w:vAlign w:val="center"/>
          </w:tcPr>
          <w:p w14:paraId="570D8AA7">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37522C34">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24" w:type="dxa"/>
            <w:noWrap w:val="0"/>
            <w:vAlign w:val="top"/>
          </w:tcPr>
          <w:p w14:paraId="697F21E1">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34B2B0B2">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6BA0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65B870D2">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2612" w:type="dxa"/>
            <w:noWrap w:val="0"/>
            <w:vAlign w:val="center"/>
          </w:tcPr>
          <w:p w14:paraId="76AB7916">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229A0975">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924" w:type="dxa"/>
            <w:noWrap w:val="0"/>
            <w:vAlign w:val="top"/>
          </w:tcPr>
          <w:p w14:paraId="4C639C05">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1DE62F8C">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0CBB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70E49285">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2612" w:type="dxa"/>
            <w:noWrap w:val="0"/>
            <w:vAlign w:val="center"/>
          </w:tcPr>
          <w:p w14:paraId="65DF9137">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6F7B77E8">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924" w:type="dxa"/>
            <w:noWrap w:val="0"/>
            <w:vAlign w:val="top"/>
          </w:tcPr>
          <w:p w14:paraId="45595033">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57FBDD9B">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7065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5D5D8F23">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w:t>
            </w:r>
          </w:p>
        </w:tc>
        <w:tc>
          <w:tcPr>
            <w:tcW w:w="2612" w:type="dxa"/>
            <w:noWrap w:val="0"/>
            <w:vAlign w:val="center"/>
          </w:tcPr>
          <w:p w14:paraId="7F7951FE">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16" w:type="dxa"/>
            <w:noWrap w:val="0"/>
            <w:vAlign w:val="center"/>
          </w:tcPr>
          <w:p w14:paraId="4366294D">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924" w:type="dxa"/>
            <w:noWrap w:val="0"/>
            <w:vAlign w:val="top"/>
          </w:tcPr>
          <w:p w14:paraId="6374C79E">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4CFAABFB">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6EAF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38" w:type="dxa"/>
            <w:gridSpan w:val="2"/>
            <w:noWrap w:val="0"/>
            <w:vAlign w:val="center"/>
          </w:tcPr>
          <w:p w14:paraId="3AFD1352">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w:t>
            </w:r>
          </w:p>
        </w:tc>
        <w:tc>
          <w:tcPr>
            <w:tcW w:w="2612" w:type="dxa"/>
            <w:noWrap w:val="0"/>
            <w:vAlign w:val="center"/>
          </w:tcPr>
          <w:p w14:paraId="23716146">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916" w:type="dxa"/>
            <w:noWrap w:val="0"/>
            <w:vAlign w:val="center"/>
          </w:tcPr>
          <w:p w14:paraId="18A5C452">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924" w:type="dxa"/>
            <w:noWrap w:val="0"/>
            <w:vAlign w:val="top"/>
          </w:tcPr>
          <w:p w14:paraId="25BD873D">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1938" w:type="dxa"/>
            <w:gridSpan w:val="2"/>
            <w:noWrap w:val="0"/>
            <w:vAlign w:val="top"/>
          </w:tcPr>
          <w:p w14:paraId="74AA6AA2">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5F92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97" w:hRule="exact"/>
          <w:jc w:val="center"/>
        </w:trPr>
        <w:tc>
          <w:tcPr>
            <w:tcW w:w="1231" w:type="dxa"/>
            <w:noWrap w:val="0"/>
            <w:vAlign w:val="center"/>
          </w:tcPr>
          <w:p w14:paraId="669C1735">
            <w:pPr>
              <w:pStyle w:val="8"/>
              <w:keepNext w:val="0"/>
              <w:keepLines w:val="0"/>
              <w:pageBreakBefore w:val="0"/>
              <w:kinsoku/>
              <w:overflowPunct/>
              <w:topLinePunct w:val="0"/>
              <w:autoSpaceDE/>
              <w:autoSpaceDN/>
              <w:bidi w:val="0"/>
              <w:adjustRightInd w:val="0"/>
              <w:snapToGrid w:val="0"/>
              <w:spacing w:line="240" w:lineRule="auto"/>
              <w:ind w:left="0"/>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w:t>
            </w:r>
          </w:p>
        </w:tc>
        <w:tc>
          <w:tcPr>
            <w:tcW w:w="2619" w:type="dxa"/>
            <w:gridSpan w:val="2"/>
            <w:noWrap w:val="0"/>
            <w:vAlign w:val="center"/>
          </w:tcPr>
          <w:p w14:paraId="1DA930CB">
            <w:pPr>
              <w:keepNext w:val="0"/>
              <w:keepLines w:val="0"/>
              <w:pageBreakBefore w:val="0"/>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总计</w:t>
            </w:r>
          </w:p>
        </w:tc>
        <w:tc>
          <w:tcPr>
            <w:tcW w:w="5766" w:type="dxa"/>
            <w:gridSpan w:val="3"/>
            <w:noWrap w:val="0"/>
            <w:vAlign w:val="top"/>
          </w:tcPr>
          <w:p w14:paraId="62F27D6E">
            <w:pPr>
              <w:keepNext w:val="0"/>
              <w:keepLines w:val="0"/>
              <w:pageBreakBefore w:val="0"/>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1"/>
              </w:rPr>
            </w:pPr>
          </w:p>
        </w:tc>
      </w:tr>
    </w:tbl>
    <w:p w14:paraId="012A4E72">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8"/>
        </w:rPr>
      </w:pPr>
    </w:p>
    <w:p w14:paraId="07C458D9">
      <w:pPr>
        <w:keepNext w:val="0"/>
        <w:keepLines w:val="0"/>
        <w:pageBreakBefore w:val="0"/>
        <w:kinsoku/>
        <w:overflowPunct/>
        <w:topLinePunct w:val="0"/>
        <w:autoSpaceDE/>
        <w:autoSpaceDN/>
        <w:bidi w:val="0"/>
        <w:adjustRightInd w:val="0"/>
        <w:snapToGrid w:val="0"/>
        <w:spacing w:line="500" w:lineRule="exact"/>
        <w:ind w:firstLine="600" w:firstLineChars="250"/>
        <w:textAlignment w:val="auto"/>
        <w:outlineLvl w:val="9"/>
        <w:rPr>
          <w:rFonts w:hint="default" w:ascii="Times New Roman" w:hAnsi="Times New Roman" w:eastAsia="方正仿宋_GBK" w:cs="Times New Roman"/>
          <w:sz w:val="24"/>
          <w:szCs w:val="28"/>
        </w:rPr>
      </w:pPr>
      <w:r>
        <w:rPr>
          <w:rFonts w:hint="eastAsia" w:eastAsia="方正仿宋_GBK" w:cs="Times New Roman"/>
          <w:sz w:val="24"/>
          <w:szCs w:val="28"/>
          <w:lang w:eastAsia="zh-CN"/>
        </w:rPr>
        <w:t>供应商</w:t>
      </w:r>
      <w:r>
        <w:rPr>
          <w:rFonts w:hint="default" w:ascii="Times New Roman" w:hAnsi="Times New Roman" w:eastAsia="方正仿宋_GBK" w:cs="Times New Roman"/>
          <w:sz w:val="24"/>
          <w:szCs w:val="28"/>
        </w:rPr>
        <w:t>：                   法定代表人（或法定代表人授权代表）或自然人：</w:t>
      </w:r>
    </w:p>
    <w:p w14:paraId="206B4A04">
      <w:pPr>
        <w:keepNext w:val="0"/>
        <w:keepLines w:val="0"/>
        <w:pageBreakBefore w:val="0"/>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r>
        <w:rPr>
          <w:rFonts w:hint="eastAsia" w:eastAsia="方正仿宋_GBK" w:cs="Times New Roman"/>
          <w:sz w:val="24"/>
          <w:szCs w:val="28"/>
          <w:lang w:eastAsia="zh-CN"/>
        </w:rPr>
        <w:t>供应商</w:t>
      </w:r>
      <w:r>
        <w:rPr>
          <w:rFonts w:hint="default" w:ascii="Times New Roman" w:hAnsi="Times New Roman" w:eastAsia="方正仿宋_GBK" w:cs="Times New Roman"/>
          <w:sz w:val="24"/>
          <w:szCs w:val="28"/>
        </w:rPr>
        <w:t>公章）                               （签署或盖章）</w:t>
      </w:r>
    </w:p>
    <w:p w14:paraId="3EBA6CDB">
      <w:pPr>
        <w:keepNext w:val="0"/>
        <w:keepLines w:val="0"/>
        <w:pageBreakBefore w:val="0"/>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szCs w:val="28"/>
        </w:rPr>
      </w:pPr>
    </w:p>
    <w:p w14:paraId="2CCFE7C1">
      <w:pPr>
        <w:keepNext w:val="0"/>
        <w:keepLines w:val="0"/>
        <w:pageBreakBefore w:val="0"/>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szCs w:val="28"/>
        </w:rPr>
      </w:pPr>
    </w:p>
    <w:p w14:paraId="6AA84F0F">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年     月     日</w:t>
      </w:r>
    </w:p>
    <w:p w14:paraId="6C69BE0F">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8"/>
        </w:rPr>
      </w:pPr>
    </w:p>
    <w:p w14:paraId="41212D39">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注：</w:t>
      </w:r>
    </w:p>
    <w:p w14:paraId="411850B8">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1.请</w:t>
      </w:r>
      <w:r>
        <w:rPr>
          <w:rFonts w:hint="eastAsia" w:eastAsia="方正仿宋_GBK" w:cs="Times New Roman"/>
          <w:sz w:val="24"/>
          <w:szCs w:val="28"/>
          <w:lang w:eastAsia="zh-CN"/>
        </w:rPr>
        <w:t>供应商</w:t>
      </w:r>
      <w:r>
        <w:rPr>
          <w:rFonts w:hint="default" w:ascii="Times New Roman" w:hAnsi="Times New Roman" w:eastAsia="方正仿宋_GBK" w:cs="Times New Roman"/>
          <w:sz w:val="24"/>
          <w:szCs w:val="28"/>
        </w:rPr>
        <w:t>完整填写本表；</w:t>
      </w:r>
    </w:p>
    <w:p w14:paraId="44179541">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2.该表可扩展</w:t>
      </w:r>
      <w:r>
        <w:rPr>
          <w:rFonts w:hint="eastAsia" w:eastAsia="方正仿宋_GBK" w:cs="Times New Roman"/>
          <w:sz w:val="24"/>
          <w:szCs w:val="28"/>
          <w:lang w:eastAsia="zh-CN"/>
        </w:rPr>
        <w:t>，并逐页签字或盖章</w:t>
      </w:r>
      <w:r>
        <w:rPr>
          <w:rFonts w:hint="default" w:ascii="Times New Roman" w:hAnsi="Times New Roman" w:eastAsia="方正仿宋_GBK" w:cs="Times New Roman"/>
          <w:sz w:val="24"/>
          <w:szCs w:val="28"/>
        </w:rPr>
        <w:t>。</w:t>
      </w:r>
    </w:p>
    <w:p w14:paraId="67730305">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sectPr>
          <w:pgSz w:w="11907" w:h="16840"/>
          <w:pgMar w:top="1134" w:right="1134" w:bottom="1134" w:left="1134" w:header="851" w:footer="992" w:gutter="0"/>
          <w:pgNumType w:fmt="numberInDash"/>
          <w:cols w:space="720" w:num="1"/>
          <w:docGrid w:linePitch="380" w:charSpace="-5735"/>
        </w:sectPr>
      </w:pPr>
    </w:p>
    <w:p w14:paraId="2E64F57A">
      <w:pPr>
        <w:keepNext w:val="0"/>
        <w:keepLines w:val="0"/>
        <w:pageBreakBefore w:val="0"/>
        <w:kinsoku/>
        <w:overflowPunct/>
        <w:topLinePunct w:val="0"/>
        <w:autoSpaceDE/>
        <w:autoSpaceDN/>
        <w:bidi w:val="0"/>
        <w:adjustRightInd w:val="0"/>
        <w:snapToGrid w:val="0"/>
        <w:spacing w:before="0" w:after="0" w:line="500" w:lineRule="exact"/>
        <w:ind w:firstLine="480" w:firstLineChars="200"/>
        <w:textAlignment w:val="auto"/>
        <w:outlineLvl w:val="9"/>
        <w:rPr>
          <w:rFonts w:hint="eastAsia" w:ascii="黑体" w:hAnsi="黑体" w:eastAsia="黑体" w:cs="黑体"/>
          <w:sz w:val="24"/>
        </w:rPr>
      </w:pPr>
      <w:bookmarkStart w:id="151" w:name="_Toc135993519"/>
      <w:bookmarkStart w:id="152" w:name="_Toc313008357"/>
      <w:bookmarkStart w:id="153" w:name="_Toc313888361"/>
      <w:bookmarkStart w:id="154" w:name="_Toc22655"/>
      <w:bookmarkStart w:id="155" w:name="_Toc65660380"/>
      <w:bookmarkStart w:id="156" w:name="_Toc14073"/>
      <w:bookmarkStart w:id="157" w:name="_Toc342913420"/>
      <w:r>
        <w:rPr>
          <w:rFonts w:hint="eastAsia" w:ascii="黑体" w:hAnsi="黑体" w:eastAsia="黑体" w:cs="黑体"/>
          <w:sz w:val="24"/>
        </w:rPr>
        <w:t>二、</w:t>
      </w:r>
      <w:r>
        <w:rPr>
          <w:rFonts w:hint="eastAsia" w:ascii="黑体" w:hAnsi="黑体" w:eastAsia="黑体" w:cs="黑体"/>
          <w:sz w:val="24"/>
          <w:lang w:eastAsia="zh-CN"/>
        </w:rPr>
        <w:t>服务</w:t>
      </w:r>
      <w:r>
        <w:rPr>
          <w:rFonts w:hint="eastAsia" w:ascii="黑体" w:hAnsi="黑体" w:eastAsia="黑体" w:cs="黑体"/>
          <w:sz w:val="24"/>
          <w:szCs w:val="24"/>
        </w:rPr>
        <w:t>（质量）</w:t>
      </w:r>
      <w:r>
        <w:rPr>
          <w:rFonts w:hint="eastAsia" w:ascii="黑体" w:hAnsi="黑体" w:eastAsia="黑体" w:cs="黑体"/>
          <w:sz w:val="24"/>
        </w:rPr>
        <w:t>部分</w:t>
      </w:r>
      <w:bookmarkEnd w:id="151"/>
      <w:bookmarkEnd w:id="152"/>
      <w:bookmarkEnd w:id="153"/>
      <w:bookmarkEnd w:id="154"/>
      <w:bookmarkEnd w:id="155"/>
      <w:bookmarkEnd w:id="156"/>
      <w:bookmarkEnd w:id="157"/>
    </w:p>
    <w:p w14:paraId="39C9EE09">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eastAsia" w:eastAsia="方正仿宋_GBK" w:cs="Times New Roman"/>
          <w:sz w:val="24"/>
          <w:szCs w:val="24"/>
          <w:lang w:eastAsia="zh-CN"/>
        </w:rPr>
        <w:t>服务</w:t>
      </w:r>
      <w:r>
        <w:rPr>
          <w:rFonts w:hint="default" w:ascii="Times New Roman" w:hAnsi="Times New Roman" w:eastAsia="方正仿宋_GBK" w:cs="Times New Roman"/>
          <w:sz w:val="24"/>
          <w:szCs w:val="24"/>
        </w:rPr>
        <w:t>（质量）响应偏离表</w:t>
      </w:r>
    </w:p>
    <w:p w14:paraId="129082AC">
      <w:pPr>
        <w:pStyle w:val="7"/>
        <w:jc w:val="center"/>
        <w:rPr>
          <w:rFonts w:hint="default"/>
        </w:rPr>
      </w:pPr>
      <w:r>
        <w:rPr>
          <w:rFonts w:hint="eastAsia" w:eastAsia="方正仿宋_GBK" w:cs="Times New Roman"/>
          <w:b/>
          <w:bCs/>
          <w:sz w:val="28"/>
          <w:szCs w:val="28"/>
          <w:lang w:eastAsia="zh-CN"/>
        </w:rPr>
        <w:t>服务</w:t>
      </w:r>
      <w:r>
        <w:rPr>
          <w:rFonts w:hint="default" w:ascii="Times New Roman" w:hAnsi="Times New Roman" w:eastAsia="方正仿宋_GBK" w:cs="Times New Roman"/>
          <w:b/>
          <w:bCs/>
          <w:sz w:val="28"/>
          <w:szCs w:val="28"/>
        </w:rPr>
        <w:t>（质量）响应偏离表</w:t>
      </w:r>
    </w:p>
    <w:p w14:paraId="568AE004">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eastAsia" w:eastAsia="方正仿宋_GBK" w:cs="Times New Roman"/>
          <w:sz w:val="24"/>
          <w:szCs w:val="24"/>
          <w:lang w:eastAsia="zh-CN"/>
        </w:rPr>
        <w:t>项目</w:t>
      </w:r>
      <w:r>
        <w:rPr>
          <w:rFonts w:hint="default" w:ascii="Times New Roman" w:hAnsi="Times New Roman" w:eastAsia="方正仿宋_GBK" w:cs="Times New Roman"/>
          <w:sz w:val="24"/>
          <w:szCs w:val="24"/>
        </w:rPr>
        <w:t xml:space="preserve">编号：                               </w:t>
      </w:r>
    </w:p>
    <w:p w14:paraId="6726B755">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磋商</w:t>
      </w:r>
      <w:r>
        <w:rPr>
          <w:rFonts w:hint="default" w:ascii="Times New Roman" w:hAnsi="Times New Roman" w:eastAsia="方正仿宋_GBK" w:cs="Times New Roman"/>
          <w:sz w:val="24"/>
          <w:szCs w:val="24"/>
        </w:rPr>
        <w:t>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848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1FA8D786">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序号</w:t>
            </w:r>
          </w:p>
        </w:tc>
        <w:tc>
          <w:tcPr>
            <w:tcW w:w="2844" w:type="dxa"/>
            <w:noWrap w:val="0"/>
            <w:vAlign w:val="center"/>
          </w:tcPr>
          <w:p w14:paraId="2A3FD5E6">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采购需求</w:t>
            </w:r>
          </w:p>
        </w:tc>
        <w:tc>
          <w:tcPr>
            <w:tcW w:w="2952" w:type="dxa"/>
            <w:noWrap w:val="0"/>
            <w:vAlign w:val="center"/>
          </w:tcPr>
          <w:p w14:paraId="701DD7B0">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响应情况</w:t>
            </w:r>
          </w:p>
        </w:tc>
        <w:tc>
          <w:tcPr>
            <w:tcW w:w="2212" w:type="dxa"/>
            <w:noWrap w:val="0"/>
            <w:vAlign w:val="center"/>
          </w:tcPr>
          <w:p w14:paraId="60CFAD43">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差异说明</w:t>
            </w:r>
          </w:p>
        </w:tc>
      </w:tr>
      <w:tr w14:paraId="654D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21BD346">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6695A858">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7DF8F517">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提醒：请注明技术参数或具体内容</w:t>
            </w:r>
            <w:r>
              <w:rPr>
                <w:rFonts w:hint="eastAsia" w:eastAsia="方正仿宋_GBK" w:cs="Times New Roman"/>
                <w:sz w:val="21"/>
                <w:szCs w:val="21"/>
                <w:lang w:eastAsia="zh-CN"/>
              </w:rPr>
              <w:t>以及响应文件中技术参数或具体内容的位置（页码）</w:t>
            </w:r>
          </w:p>
        </w:tc>
        <w:tc>
          <w:tcPr>
            <w:tcW w:w="2212" w:type="dxa"/>
            <w:noWrap w:val="0"/>
            <w:vAlign w:val="center"/>
          </w:tcPr>
          <w:p w14:paraId="0F769D28">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7719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2F663B3">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10169E4C">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148B5A87">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65A3CCBA">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3ADF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B40ABA1">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320E3F2F">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5EBFAA98">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2FFB5854">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69B7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E6F39DD">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40422C9C">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796933AC">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1E9D058E">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0A7A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CB07175">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7BB402C3">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198D0504">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58890ED8">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19FC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3AA5D0C">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3FC701DE">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372C2C85">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5BACD026">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7C5E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79569F7">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12BF10B4">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00DBBDB3">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27254853">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3955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3470115">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3CDAB0A3">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5CDCF7A6">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65762BC3">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20D8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A8E69EF">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79DA5B8A">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47539D57">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1A9ECD98">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4524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C836D57">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844" w:type="dxa"/>
            <w:noWrap w:val="0"/>
            <w:vAlign w:val="center"/>
          </w:tcPr>
          <w:p w14:paraId="25CD20B0">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952" w:type="dxa"/>
            <w:noWrap w:val="0"/>
            <w:vAlign w:val="center"/>
          </w:tcPr>
          <w:p w14:paraId="3C3BD7E4">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12" w:type="dxa"/>
            <w:noWrap w:val="0"/>
            <w:vAlign w:val="center"/>
          </w:tcPr>
          <w:p w14:paraId="56D6DE5E">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1"/>
              </w:rPr>
            </w:pPr>
          </w:p>
        </w:tc>
      </w:tr>
    </w:tbl>
    <w:p w14:paraId="18920517">
      <w:pPr>
        <w:keepNext w:val="0"/>
        <w:keepLines w:val="0"/>
        <w:pageBreakBefore w:val="0"/>
        <w:kinsoku/>
        <w:overflowPunct/>
        <w:topLinePunct w:val="0"/>
        <w:autoSpaceDE/>
        <w:autoSpaceDN/>
        <w:bidi w:val="0"/>
        <w:adjustRightInd w:val="0"/>
        <w:snapToGrid w:val="0"/>
        <w:spacing w:line="500" w:lineRule="exact"/>
        <w:ind w:firstLine="600" w:firstLineChars="25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4"/>
        </w:rPr>
        <w:t>法定代表人（或其授权代表）或自然人</w:t>
      </w:r>
      <w:r>
        <w:rPr>
          <w:rFonts w:hint="default" w:ascii="Times New Roman" w:hAnsi="Times New Roman" w:eastAsia="方正仿宋_GBK" w:cs="Times New Roman"/>
          <w:sz w:val="24"/>
          <w:szCs w:val="28"/>
        </w:rPr>
        <w:t>：</w:t>
      </w:r>
    </w:p>
    <w:p w14:paraId="4F05DFB4">
      <w:pPr>
        <w:keepNext w:val="0"/>
        <w:keepLines w:val="0"/>
        <w:pageBreakBefore w:val="0"/>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20F0D02A">
      <w:pPr>
        <w:keepNext w:val="0"/>
        <w:keepLines w:val="0"/>
        <w:pageBreakBefore w:val="0"/>
        <w:kinsoku/>
        <w:overflowPunct/>
        <w:topLinePunct w:val="0"/>
        <w:autoSpaceDE/>
        <w:autoSpaceDN/>
        <w:bidi w:val="0"/>
        <w:adjustRightInd w:val="0"/>
        <w:snapToGrid w:val="0"/>
        <w:spacing w:line="500" w:lineRule="exact"/>
        <w:ind w:firstLine="720" w:firstLineChars="30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w:t>
      </w:r>
      <w:r>
        <w:rPr>
          <w:rFonts w:hint="default" w:ascii="Times New Roman" w:hAnsi="Times New Roman" w:eastAsia="方正仿宋_GBK" w:cs="Times New Roman"/>
          <w:sz w:val="24"/>
          <w:szCs w:val="24"/>
        </w:rPr>
        <w:t>签署</w:t>
      </w:r>
      <w:r>
        <w:rPr>
          <w:rFonts w:hint="default" w:ascii="Times New Roman" w:hAnsi="Times New Roman" w:eastAsia="方正仿宋_GBK" w:cs="Times New Roman"/>
          <w:sz w:val="24"/>
          <w:szCs w:val="28"/>
        </w:rPr>
        <w:t>或盖章）</w:t>
      </w:r>
    </w:p>
    <w:p w14:paraId="7FC1BE0E">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1F00A219">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0DBEB808">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rPr>
        <w:t xml:space="preserve">本表即为对本项目“第二篇  </w:t>
      </w:r>
      <w:r>
        <w:rPr>
          <w:rFonts w:hint="eastAsia" w:eastAsia="方正仿宋_GBK" w:cs="Times New Roman"/>
          <w:sz w:val="24"/>
          <w:szCs w:val="24"/>
          <w:lang w:eastAsia="zh-CN"/>
        </w:rPr>
        <w:t>项目服务（质量）需求</w:t>
      </w:r>
      <w:r>
        <w:rPr>
          <w:rFonts w:hint="default" w:ascii="Times New Roman" w:hAnsi="Times New Roman" w:eastAsia="方正仿宋_GBK" w:cs="Times New Roman"/>
          <w:sz w:val="24"/>
          <w:szCs w:val="24"/>
        </w:rPr>
        <w:t>”中所列条款进行比较和响应；</w:t>
      </w:r>
    </w:p>
    <w:p w14:paraId="3748F650">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2.本表可扩展。</w:t>
      </w:r>
    </w:p>
    <w:p w14:paraId="12A47E41">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br w:type="page"/>
      </w:r>
      <w:r>
        <w:rPr>
          <w:rFonts w:hint="default" w:ascii="Times New Roman" w:hAnsi="Times New Roman" w:eastAsia="方正仿宋_GBK" w:cs="Times New Roman"/>
          <w:sz w:val="24"/>
          <w:szCs w:val="24"/>
        </w:rPr>
        <w:t>（二）其他资料（格式自定）</w:t>
      </w:r>
    </w:p>
    <w:p w14:paraId="19E02A37">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p>
    <w:p w14:paraId="300A9CED">
      <w:pPr>
        <w:keepNext w:val="0"/>
        <w:keepLines w:val="0"/>
        <w:pageBreakBefore w:val="0"/>
        <w:kinsoku/>
        <w:overflowPunct/>
        <w:topLinePunct w:val="0"/>
        <w:autoSpaceDE/>
        <w:autoSpaceDN/>
        <w:bidi w:val="0"/>
        <w:adjustRightInd w:val="0"/>
        <w:snapToGrid w:val="0"/>
        <w:spacing w:before="0" w:after="0" w:line="500" w:lineRule="exact"/>
        <w:ind w:firstLine="562" w:firstLineChars="200"/>
        <w:textAlignment w:val="auto"/>
        <w:outlineLvl w:val="9"/>
        <w:rPr>
          <w:rFonts w:hint="eastAsia" w:ascii="黑体" w:hAnsi="黑体" w:eastAsia="黑体" w:cs="黑体"/>
          <w:sz w:val="24"/>
        </w:rPr>
      </w:pPr>
      <w:r>
        <w:rPr>
          <w:rFonts w:hint="default" w:ascii="Times New Roman" w:hAnsi="Times New Roman" w:eastAsia="方正仿宋_GBK" w:cs="Times New Roman"/>
          <w:b/>
        </w:rPr>
        <w:br w:type="page"/>
      </w:r>
      <w:bookmarkStart w:id="158" w:name="_Toc32339"/>
      <w:bookmarkStart w:id="159" w:name="_Toc65660381"/>
      <w:bookmarkStart w:id="160" w:name="_Toc135993520"/>
      <w:bookmarkStart w:id="161" w:name="_Toc32158"/>
      <w:bookmarkStart w:id="162" w:name="_Toc313008358"/>
      <w:bookmarkStart w:id="163" w:name="_Toc313888362"/>
      <w:bookmarkStart w:id="164" w:name="_Toc342913421"/>
      <w:r>
        <w:rPr>
          <w:rFonts w:hint="eastAsia" w:ascii="黑体" w:hAnsi="黑体" w:eastAsia="黑体" w:cs="黑体"/>
          <w:sz w:val="24"/>
        </w:rPr>
        <w:t>三、商务部分</w:t>
      </w:r>
      <w:bookmarkEnd w:id="158"/>
      <w:bookmarkEnd w:id="159"/>
      <w:bookmarkEnd w:id="160"/>
      <w:bookmarkEnd w:id="161"/>
    </w:p>
    <w:p w14:paraId="1FBF5602">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（一）商务响应偏离表</w:t>
      </w:r>
    </w:p>
    <w:p w14:paraId="6793F070">
      <w:pPr>
        <w:pStyle w:val="7"/>
        <w:jc w:val="center"/>
        <w:rPr>
          <w:rFonts w:hint="default"/>
          <w:b/>
          <w:bCs/>
          <w:sz w:val="28"/>
          <w:szCs w:val="28"/>
        </w:rPr>
      </w:pPr>
      <w:r>
        <w:rPr>
          <w:rFonts w:hint="default" w:ascii="Times New Roman" w:hAnsi="Times New Roman" w:eastAsia="方正仿宋_GBK" w:cs="Times New Roman"/>
          <w:b/>
          <w:bCs/>
          <w:sz w:val="28"/>
          <w:szCs w:val="28"/>
        </w:rPr>
        <w:t>商务响应偏离表</w:t>
      </w:r>
    </w:p>
    <w:p w14:paraId="0B576D47">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eastAsia" w:eastAsia="方正仿宋_GBK" w:cs="Times New Roman"/>
          <w:sz w:val="24"/>
          <w:szCs w:val="24"/>
          <w:lang w:eastAsia="zh-CN"/>
        </w:rPr>
        <w:t>项目</w:t>
      </w:r>
      <w:r>
        <w:rPr>
          <w:rFonts w:hint="default" w:ascii="Times New Roman" w:hAnsi="Times New Roman" w:eastAsia="方正仿宋_GBK" w:cs="Times New Roman"/>
          <w:sz w:val="24"/>
          <w:szCs w:val="24"/>
        </w:rPr>
        <w:t xml:space="preserve">编号：                               </w:t>
      </w:r>
    </w:p>
    <w:p w14:paraId="4BCC5B4B">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eastAsia="zh-CN"/>
        </w:rPr>
        <w:t>磋商</w:t>
      </w:r>
      <w:r>
        <w:rPr>
          <w:rFonts w:hint="default" w:ascii="Times New Roman" w:hAnsi="Times New Roman" w:eastAsia="方正仿宋_GBK" w:cs="Times New Roman"/>
          <w:sz w:val="24"/>
          <w:szCs w:val="24"/>
        </w:rPr>
        <w:t>项目名称：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76D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12" w:type="dxa"/>
            <w:noWrap w:val="0"/>
            <w:vAlign w:val="center"/>
          </w:tcPr>
          <w:p w14:paraId="399EC9DB">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eastAsia" w:ascii="方正楷体_GBK" w:hAnsi="方正楷体_GBK" w:eastAsia="方正楷体_GBK" w:cs="方正楷体_GBK"/>
                <w:b/>
                <w:sz w:val="21"/>
                <w:szCs w:val="24"/>
              </w:rPr>
            </w:pPr>
            <w:r>
              <w:rPr>
                <w:rFonts w:hint="eastAsia" w:ascii="方正楷体_GBK" w:hAnsi="方正楷体_GBK" w:eastAsia="方正楷体_GBK" w:cs="方正楷体_GBK"/>
                <w:b/>
                <w:sz w:val="21"/>
                <w:szCs w:val="24"/>
              </w:rPr>
              <w:t>序号</w:t>
            </w:r>
          </w:p>
        </w:tc>
        <w:tc>
          <w:tcPr>
            <w:tcW w:w="3184" w:type="dxa"/>
            <w:noWrap w:val="0"/>
            <w:vAlign w:val="center"/>
          </w:tcPr>
          <w:p w14:paraId="0D4705AD">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eastAsia" w:ascii="方正楷体_GBK" w:hAnsi="方正楷体_GBK" w:eastAsia="方正楷体_GBK" w:cs="方正楷体_GBK"/>
                <w:b/>
                <w:sz w:val="21"/>
                <w:szCs w:val="24"/>
              </w:rPr>
            </w:pPr>
            <w:r>
              <w:rPr>
                <w:rFonts w:hint="eastAsia" w:ascii="方正楷体_GBK" w:hAnsi="方正楷体_GBK" w:eastAsia="方正楷体_GBK" w:cs="方正楷体_GBK"/>
                <w:b/>
                <w:sz w:val="21"/>
                <w:szCs w:val="24"/>
              </w:rPr>
              <w:t>采购需求</w:t>
            </w:r>
          </w:p>
        </w:tc>
        <w:tc>
          <w:tcPr>
            <w:tcW w:w="2438" w:type="dxa"/>
            <w:noWrap w:val="0"/>
            <w:vAlign w:val="center"/>
          </w:tcPr>
          <w:p w14:paraId="51353502">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eastAsia" w:ascii="方正楷体_GBK" w:hAnsi="方正楷体_GBK" w:eastAsia="方正楷体_GBK" w:cs="方正楷体_GBK"/>
                <w:b/>
                <w:sz w:val="21"/>
                <w:szCs w:val="24"/>
              </w:rPr>
            </w:pPr>
            <w:r>
              <w:rPr>
                <w:rFonts w:hint="eastAsia" w:ascii="方正楷体_GBK" w:hAnsi="方正楷体_GBK" w:eastAsia="方正楷体_GBK" w:cs="方正楷体_GBK"/>
                <w:b/>
                <w:sz w:val="21"/>
                <w:szCs w:val="24"/>
              </w:rPr>
              <w:t>响应情况</w:t>
            </w:r>
          </w:p>
        </w:tc>
        <w:tc>
          <w:tcPr>
            <w:tcW w:w="2359" w:type="dxa"/>
            <w:noWrap w:val="0"/>
            <w:vAlign w:val="center"/>
          </w:tcPr>
          <w:p w14:paraId="5909CCDE">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eastAsia" w:ascii="方正楷体_GBK" w:hAnsi="方正楷体_GBK" w:eastAsia="方正楷体_GBK" w:cs="方正楷体_GBK"/>
                <w:b/>
                <w:sz w:val="21"/>
                <w:szCs w:val="24"/>
              </w:rPr>
            </w:pPr>
            <w:r>
              <w:rPr>
                <w:rFonts w:hint="eastAsia" w:ascii="方正楷体_GBK" w:hAnsi="方正楷体_GBK" w:eastAsia="方正楷体_GBK" w:cs="方正楷体_GBK"/>
                <w:b/>
                <w:sz w:val="21"/>
                <w:szCs w:val="21"/>
              </w:rPr>
              <w:t>差异说明</w:t>
            </w:r>
          </w:p>
        </w:tc>
      </w:tr>
      <w:tr w14:paraId="331A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A7C2D49">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3184" w:type="dxa"/>
            <w:noWrap w:val="0"/>
            <w:vAlign w:val="center"/>
          </w:tcPr>
          <w:p w14:paraId="7B66ED0D">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438" w:type="dxa"/>
            <w:noWrap w:val="0"/>
            <w:vAlign w:val="center"/>
          </w:tcPr>
          <w:p w14:paraId="3CF4251A">
            <w:pPr>
              <w:keepNext w:val="0"/>
              <w:keepLines w:val="0"/>
              <w:pageBreakBefore w:val="0"/>
              <w:tabs>
                <w:tab w:val="left" w:pos="6300"/>
              </w:tabs>
              <w:kinsoku/>
              <w:overflowPunct/>
              <w:topLinePunct w:val="0"/>
              <w:autoSpaceDE/>
              <w:autoSpaceDN/>
              <w:bidi w:val="0"/>
              <w:adjustRightInd w:val="0"/>
              <w:snapToGrid w:val="0"/>
              <w:spacing w:line="240" w:lineRule="auto"/>
              <w:textAlignment w:val="auto"/>
              <w:outlineLvl w:val="9"/>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1"/>
              </w:rPr>
              <w:t>提醒：请注明具体内容</w:t>
            </w:r>
            <w:r>
              <w:rPr>
                <w:rFonts w:hint="eastAsia" w:eastAsia="方正仿宋_GBK" w:cs="Times New Roman"/>
                <w:sz w:val="21"/>
                <w:szCs w:val="21"/>
                <w:lang w:eastAsia="zh-CN"/>
              </w:rPr>
              <w:t>以及响应文件中具体内容的位置（页码）</w:t>
            </w:r>
          </w:p>
        </w:tc>
        <w:tc>
          <w:tcPr>
            <w:tcW w:w="2359" w:type="dxa"/>
            <w:noWrap w:val="0"/>
            <w:vAlign w:val="center"/>
          </w:tcPr>
          <w:p w14:paraId="06D35713">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r>
      <w:tr w14:paraId="1E4E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72A3BBA">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3184" w:type="dxa"/>
            <w:noWrap w:val="0"/>
            <w:vAlign w:val="center"/>
          </w:tcPr>
          <w:p w14:paraId="7CFF6C02">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438" w:type="dxa"/>
            <w:noWrap w:val="0"/>
            <w:vAlign w:val="center"/>
          </w:tcPr>
          <w:p w14:paraId="6BEBA746">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359" w:type="dxa"/>
            <w:noWrap w:val="0"/>
            <w:vAlign w:val="center"/>
          </w:tcPr>
          <w:p w14:paraId="4ECAB1C8">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r>
      <w:tr w14:paraId="2BD9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869D60A">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3184" w:type="dxa"/>
            <w:noWrap w:val="0"/>
            <w:vAlign w:val="center"/>
          </w:tcPr>
          <w:p w14:paraId="47BFD744">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438" w:type="dxa"/>
            <w:noWrap w:val="0"/>
            <w:vAlign w:val="center"/>
          </w:tcPr>
          <w:p w14:paraId="2D9141A1">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359" w:type="dxa"/>
            <w:noWrap w:val="0"/>
            <w:vAlign w:val="center"/>
          </w:tcPr>
          <w:p w14:paraId="52D8DB0A">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r>
      <w:tr w14:paraId="0F08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07E7326">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3184" w:type="dxa"/>
            <w:noWrap w:val="0"/>
            <w:vAlign w:val="center"/>
          </w:tcPr>
          <w:p w14:paraId="64C85055">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438" w:type="dxa"/>
            <w:noWrap w:val="0"/>
            <w:vAlign w:val="center"/>
          </w:tcPr>
          <w:p w14:paraId="41779F1D">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359" w:type="dxa"/>
            <w:noWrap w:val="0"/>
            <w:vAlign w:val="center"/>
          </w:tcPr>
          <w:p w14:paraId="635A1D3A">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r>
      <w:tr w14:paraId="2DC8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15623FC">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3184" w:type="dxa"/>
            <w:noWrap w:val="0"/>
            <w:vAlign w:val="center"/>
          </w:tcPr>
          <w:p w14:paraId="439A53A9">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438" w:type="dxa"/>
            <w:noWrap w:val="0"/>
            <w:vAlign w:val="center"/>
          </w:tcPr>
          <w:p w14:paraId="749D9DC5">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359" w:type="dxa"/>
            <w:noWrap w:val="0"/>
            <w:vAlign w:val="center"/>
          </w:tcPr>
          <w:p w14:paraId="3879636F">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r>
      <w:tr w14:paraId="2D20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9B89A09">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3184" w:type="dxa"/>
            <w:noWrap w:val="0"/>
            <w:vAlign w:val="center"/>
          </w:tcPr>
          <w:p w14:paraId="66919CB7">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438" w:type="dxa"/>
            <w:noWrap w:val="0"/>
            <w:vAlign w:val="center"/>
          </w:tcPr>
          <w:p w14:paraId="20EE0865">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c>
          <w:tcPr>
            <w:tcW w:w="2359" w:type="dxa"/>
            <w:noWrap w:val="0"/>
            <w:vAlign w:val="center"/>
          </w:tcPr>
          <w:p w14:paraId="15DDE40D">
            <w:pPr>
              <w:keepNext w:val="0"/>
              <w:keepLines w:val="0"/>
              <w:pageBreakBefore w:val="0"/>
              <w:tabs>
                <w:tab w:val="left" w:pos="6300"/>
              </w:tabs>
              <w:kinsoku/>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方正仿宋_GBK" w:cs="Times New Roman"/>
                <w:sz w:val="21"/>
                <w:szCs w:val="24"/>
              </w:rPr>
            </w:pPr>
          </w:p>
        </w:tc>
      </w:tr>
    </w:tbl>
    <w:p w14:paraId="2254013C">
      <w:pPr>
        <w:keepNext w:val="0"/>
        <w:keepLines w:val="0"/>
        <w:pageBreakBefore w:val="0"/>
        <w:kinsoku/>
        <w:overflowPunct/>
        <w:topLinePunct w:val="0"/>
        <w:autoSpaceDE/>
        <w:autoSpaceDN/>
        <w:bidi w:val="0"/>
        <w:adjustRightInd w:val="0"/>
        <w:snapToGrid w:val="0"/>
        <w:spacing w:line="500" w:lineRule="exact"/>
        <w:ind w:firstLine="600" w:firstLineChars="25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供应商：                          </w:t>
      </w:r>
      <w:r>
        <w:rPr>
          <w:rFonts w:hint="default" w:ascii="Times New Roman" w:hAnsi="Times New Roman" w:eastAsia="方正仿宋_GBK" w:cs="Times New Roman"/>
          <w:sz w:val="24"/>
          <w:szCs w:val="24"/>
        </w:rPr>
        <w:t>法定代表人（或其授权代表）或自然人</w:t>
      </w:r>
      <w:r>
        <w:rPr>
          <w:rFonts w:hint="default" w:ascii="Times New Roman" w:hAnsi="Times New Roman" w:eastAsia="方正仿宋_GBK" w:cs="Times New Roman"/>
          <w:sz w:val="24"/>
          <w:szCs w:val="28"/>
        </w:rPr>
        <w:t>：</w:t>
      </w:r>
    </w:p>
    <w:p w14:paraId="1E962971">
      <w:pPr>
        <w:keepNext w:val="0"/>
        <w:keepLines w:val="0"/>
        <w:pageBreakBefore w:val="0"/>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27BED485">
      <w:pPr>
        <w:keepNext w:val="0"/>
        <w:keepLines w:val="0"/>
        <w:pageBreakBefore w:val="0"/>
        <w:kinsoku/>
        <w:overflowPunct/>
        <w:topLinePunct w:val="0"/>
        <w:autoSpaceDE/>
        <w:autoSpaceDN/>
        <w:bidi w:val="0"/>
        <w:adjustRightInd w:val="0"/>
        <w:snapToGrid w:val="0"/>
        <w:spacing w:line="500" w:lineRule="exact"/>
        <w:ind w:firstLine="360" w:firstLineChars="15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（供应商公章）                                     （签署或盖章）</w:t>
      </w:r>
    </w:p>
    <w:p w14:paraId="60A94CD5">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 xml:space="preserve">                                                  年     月     日</w:t>
      </w:r>
    </w:p>
    <w:p w14:paraId="37E7EF74">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0A934489">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rPr>
        <w:t>.</w:t>
      </w:r>
      <w:r>
        <w:rPr>
          <w:rFonts w:hint="default" w:ascii="Times New Roman" w:hAnsi="Times New Roman" w:eastAsia="方正仿宋_GBK" w:cs="Times New Roman"/>
          <w:sz w:val="24"/>
          <w:szCs w:val="24"/>
        </w:rPr>
        <w:t xml:space="preserve">本表即为对本项目“第三篇  </w:t>
      </w:r>
      <w:r>
        <w:rPr>
          <w:rFonts w:hint="eastAsia" w:ascii="Times New Roman" w:hAnsi="Times New Roman" w:eastAsia="方正仿宋_GBK" w:cs="Times New Roman"/>
          <w:sz w:val="24"/>
          <w:szCs w:val="24"/>
          <w:lang w:eastAsia="zh-CN"/>
        </w:rPr>
        <w:t>磋商</w:t>
      </w:r>
      <w:r>
        <w:rPr>
          <w:rFonts w:hint="default" w:ascii="Times New Roman" w:hAnsi="Times New Roman" w:eastAsia="方正仿宋_GBK" w:cs="Times New Roman"/>
          <w:sz w:val="24"/>
          <w:szCs w:val="24"/>
        </w:rPr>
        <w:t>项目商务需求”中所列条款进行比较和响应；</w:t>
      </w:r>
    </w:p>
    <w:p w14:paraId="4A25AC73">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2.本表可扩展</w:t>
      </w:r>
      <w:r>
        <w:rPr>
          <w:rFonts w:hint="default" w:ascii="Times New Roman" w:hAnsi="Times New Roman" w:eastAsia="方正仿宋_GBK" w:cs="Times New Roman"/>
          <w:sz w:val="24"/>
          <w:szCs w:val="24"/>
        </w:rPr>
        <w:t>。</w:t>
      </w:r>
    </w:p>
    <w:p w14:paraId="6B11A955">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p>
    <w:p w14:paraId="1289EF05">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p>
    <w:p w14:paraId="142CC445">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p>
    <w:p w14:paraId="2D1101BA">
      <w:pPr>
        <w:keepNext w:val="0"/>
        <w:keepLines w:val="0"/>
        <w:pageBreakBefore w:val="0"/>
        <w:tabs>
          <w:tab w:val="left" w:pos="6300"/>
        </w:tabs>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r>
        <w:rPr>
          <w:rFonts w:hint="default" w:ascii="Times New Roman" w:hAnsi="Times New Roman" w:eastAsia="方正仿宋_GBK" w:cs="Times New Roman"/>
          <w:sz w:val="24"/>
          <w:szCs w:val="24"/>
        </w:rPr>
        <w:t>（二）其它优惠服务承诺（格式自定）</w:t>
      </w:r>
    </w:p>
    <w:p w14:paraId="0926FE48">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p>
    <w:p w14:paraId="3D87A9B6">
      <w:pPr>
        <w:keepNext w:val="0"/>
        <w:keepLines w:val="0"/>
        <w:pageBreakBefore w:val="0"/>
        <w:kinsoku/>
        <w:overflowPunct/>
        <w:topLinePunct w:val="0"/>
        <w:autoSpaceDE/>
        <w:autoSpaceDN/>
        <w:bidi w:val="0"/>
        <w:adjustRightInd w:val="0"/>
        <w:snapToGrid w:val="0"/>
        <w:spacing w:before="0" w:after="0" w:line="500" w:lineRule="exact"/>
        <w:ind w:firstLine="480" w:firstLineChars="200"/>
        <w:textAlignment w:val="auto"/>
        <w:outlineLvl w:val="9"/>
        <w:rPr>
          <w:rFonts w:hint="eastAsia" w:ascii="黑体" w:hAnsi="黑体" w:eastAsia="黑体" w:cs="黑体"/>
          <w:sz w:val="24"/>
        </w:rPr>
      </w:pPr>
      <w:r>
        <w:rPr>
          <w:rFonts w:hint="default" w:ascii="Times New Roman" w:hAnsi="Times New Roman" w:eastAsia="方正仿宋_GBK" w:cs="Times New Roman"/>
          <w:sz w:val="24"/>
          <w:szCs w:val="24"/>
        </w:rPr>
        <w:br w:type="page"/>
      </w:r>
      <w:bookmarkStart w:id="165" w:name="_Toc20162"/>
      <w:bookmarkStart w:id="166" w:name="_Toc65660382"/>
      <w:bookmarkStart w:id="167" w:name="_Toc135993521"/>
      <w:bookmarkStart w:id="168" w:name="_Toc2082"/>
      <w:r>
        <w:rPr>
          <w:rFonts w:hint="eastAsia" w:ascii="黑体" w:hAnsi="黑体" w:eastAsia="黑体" w:cs="黑体"/>
          <w:sz w:val="24"/>
        </w:rPr>
        <w:t>四、</w:t>
      </w:r>
      <w:bookmarkEnd w:id="162"/>
      <w:bookmarkEnd w:id="163"/>
      <w:bookmarkEnd w:id="164"/>
      <w:r>
        <w:rPr>
          <w:rFonts w:hint="eastAsia" w:ascii="黑体" w:hAnsi="黑体" w:eastAsia="黑体" w:cs="黑体"/>
          <w:sz w:val="24"/>
        </w:rPr>
        <w:t>资格条件及其他</w:t>
      </w:r>
      <w:bookmarkEnd w:id="165"/>
      <w:bookmarkEnd w:id="166"/>
      <w:bookmarkEnd w:id="167"/>
      <w:bookmarkEnd w:id="168"/>
      <w:bookmarkStart w:id="169" w:name="_Toc313888363"/>
      <w:bookmarkStart w:id="170" w:name="_Toc342913422"/>
      <w:bookmarkStart w:id="171" w:name="_Toc313008359"/>
    </w:p>
    <w:p w14:paraId="7D882B7A">
      <w:pPr>
        <w:keepNext w:val="0"/>
        <w:keepLines w:val="0"/>
        <w:pageBreakBefore w:val="0"/>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（一）法人营业执照（副本）或事业单位法人证书（副本）或个体工商户营业执照或有效的自然人身份证明或社会团体法人登记证书复印件</w:t>
      </w:r>
    </w:p>
    <w:p w14:paraId="591A8BFA">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szCs w:val="24"/>
        </w:rPr>
      </w:pPr>
    </w:p>
    <w:p w14:paraId="20F9E8E4">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rPr>
      </w:pPr>
    </w:p>
    <w:p w14:paraId="54FBAAB2">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rPr>
      </w:pPr>
    </w:p>
    <w:p w14:paraId="0D29BA76">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rPr>
      </w:pPr>
    </w:p>
    <w:p w14:paraId="0B80A81B">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rPr>
      </w:pPr>
    </w:p>
    <w:p w14:paraId="2D3F81A7">
      <w:pPr>
        <w:keepNext w:val="0"/>
        <w:keepLines w:val="0"/>
        <w:pageBreakBefore w:val="0"/>
        <w:widowControl/>
        <w:kinsoku/>
        <w:overflowPunct/>
        <w:topLinePunct w:val="0"/>
        <w:autoSpaceDE/>
        <w:autoSpaceDN/>
        <w:bidi w:val="0"/>
        <w:adjustRightInd w:val="0"/>
        <w:snapToGrid w:val="0"/>
        <w:spacing w:line="500" w:lineRule="exact"/>
        <w:ind w:firstLine="56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42D9F83E">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10245C2E">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eastAsia" w:ascii="Times New Roman" w:hAnsi="Times New Roman" w:eastAsia="方正仿宋_GBK" w:cs="Times New Roman"/>
          <w:sz w:val="24"/>
          <w:lang w:eastAsia="zh-CN"/>
        </w:rPr>
        <w:t>磋商</w:t>
      </w: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4249261A">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1F979398">
      <w:pPr>
        <w:keepNext w:val="0"/>
        <w:keepLines w:val="0"/>
        <w:pageBreakBefore w:val="0"/>
        <w:tabs>
          <w:tab w:val="left" w:pos="6300"/>
        </w:tabs>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eastAsia="zh-CN"/>
        </w:rPr>
        <w:t>人</w:t>
      </w:r>
      <w:r>
        <w:rPr>
          <w:rFonts w:hint="default" w:ascii="Times New Roman" w:hAnsi="Times New Roman" w:eastAsia="方正仿宋_GBK" w:cs="Times New Roman"/>
          <w:sz w:val="24"/>
        </w:rPr>
        <w:t>名称）：</w:t>
      </w:r>
    </w:p>
    <w:p w14:paraId="51C9CBDD">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0DE7D35A">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0B0EEFAD">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77C8B38">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0D485934">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3AE4CC62">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5F926785">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403FDD7">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1E4ECB44">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34769594">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2A1EA506">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357B6762">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电子邮箱：</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（若授权他人办理并签署响应文件的可不填写）</w:t>
      </w:r>
    </w:p>
    <w:p w14:paraId="26DB61CC">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33081882">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4A79E6AA">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2707E2B5">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4F510E62">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5E0916AD">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268C9008">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15448EDC">
      <w:pPr>
        <w:keepNext w:val="0"/>
        <w:keepLines w:val="0"/>
        <w:pageBreakBefore w:val="0"/>
        <w:widowControl/>
        <w:kinsoku/>
        <w:overflowPunct/>
        <w:topLinePunct w:val="0"/>
        <w:autoSpaceDE/>
        <w:autoSpaceDN/>
        <w:bidi w:val="0"/>
        <w:adjustRightInd w:val="0"/>
        <w:snapToGrid w:val="0"/>
        <w:spacing w:line="500" w:lineRule="exact"/>
        <w:ind w:firstLine="56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column"/>
      </w:r>
      <w:r>
        <w:rPr>
          <w:rFonts w:hint="default" w:ascii="Times New Roman" w:hAnsi="Times New Roman" w:eastAsia="方正仿宋_GBK" w:cs="Times New Roman"/>
          <w:sz w:val="24"/>
          <w:szCs w:val="24"/>
        </w:rPr>
        <w:t>（三）法定代表人授权委托书（格式）</w:t>
      </w:r>
    </w:p>
    <w:p w14:paraId="476BBB77">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5667550A">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eastAsia" w:ascii="Times New Roman" w:hAnsi="Times New Roman" w:eastAsia="方正仿宋_GBK" w:cs="Times New Roman"/>
          <w:sz w:val="24"/>
          <w:szCs w:val="28"/>
          <w:lang w:eastAsia="zh-CN"/>
        </w:rPr>
        <w:t>磋商</w:t>
      </w: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0208B5F9">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508B9EEE">
      <w:pPr>
        <w:keepNext w:val="0"/>
        <w:keepLines w:val="0"/>
        <w:pageBreakBefore w:val="0"/>
        <w:tabs>
          <w:tab w:val="left" w:pos="6300"/>
        </w:tabs>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eastAsia="zh-CN"/>
        </w:rPr>
        <w:t>人</w:t>
      </w:r>
      <w:r>
        <w:rPr>
          <w:rFonts w:hint="default" w:ascii="Times New Roman" w:hAnsi="Times New Roman" w:eastAsia="方正仿宋_GBK" w:cs="Times New Roman"/>
          <w:sz w:val="24"/>
        </w:rPr>
        <w:t>名称）：</w:t>
      </w:r>
    </w:p>
    <w:p w14:paraId="133B406C">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eastAsia" w:ascii="Times New Roman" w:hAnsi="Times New Roman" w:eastAsia="方正仿宋_GBK" w:cs="Times New Roman"/>
          <w:sz w:val="24"/>
          <w:lang w:eastAsia="zh-CN"/>
        </w:rPr>
        <w:t>磋商</w:t>
      </w:r>
      <w:r>
        <w:rPr>
          <w:rFonts w:hint="default" w:ascii="Times New Roman" w:hAnsi="Times New Roman" w:eastAsia="方正仿宋_GBK" w:cs="Times New Roman"/>
          <w:sz w:val="24"/>
        </w:rPr>
        <w:t>、签约等具体工作，并签署全部有关文件、协议及合同。</w:t>
      </w:r>
    </w:p>
    <w:p w14:paraId="41522463">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6C6F6CF5">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079544D0">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17A8CE87">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038B3715">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3A257A9">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583279D0">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szCs w:val="28"/>
        </w:rPr>
      </w:pPr>
    </w:p>
    <w:p w14:paraId="301C2E4A">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4D0F78DB">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6A304362">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4F94CB76">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11D0D41B">
      <w:pPr>
        <w:keepNext w:val="0"/>
        <w:keepLines w:val="0"/>
        <w:pageBreakBefore w:val="0"/>
        <w:tabs>
          <w:tab w:val="left" w:pos="6300"/>
        </w:tabs>
        <w:kinsoku/>
        <w:overflowPunct/>
        <w:topLinePunct w:val="0"/>
        <w:autoSpaceDE/>
        <w:autoSpaceDN/>
        <w:bidi w:val="0"/>
        <w:adjustRightInd w:val="0"/>
        <w:snapToGrid w:val="0"/>
        <w:spacing w:line="500" w:lineRule="exact"/>
        <w:ind w:firstLine="570"/>
        <w:textAlignment w:val="auto"/>
        <w:outlineLvl w:val="9"/>
        <w:rPr>
          <w:rFonts w:hint="default" w:ascii="Times New Roman" w:hAnsi="Times New Roman" w:eastAsia="方正仿宋_GBK" w:cs="Times New Roman"/>
          <w:sz w:val="24"/>
        </w:rPr>
      </w:pPr>
    </w:p>
    <w:p w14:paraId="220971F3">
      <w:pPr>
        <w:keepNext w:val="0"/>
        <w:keepLines w:val="0"/>
        <w:pageBreakBefore w:val="0"/>
        <w:tabs>
          <w:tab w:val="left" w:pos="6300"/>
        </w:tabs>
        <w:kinsoku/>
        <w:overflowPunct/>
        <w:topLinePunct w:val="0"/>
        <w:autoSpaceDE/>
        <w:autoSpaceDN/>
        <w:bidi w:val="0"/>
        <w:adjustRightInd w:val="0"/>
        <w:snapToGrid w:val="0"/>
        <w:spacing w:line="500" w:lineRule="exact"/>
        <w:ind w:right="480" w:firstLine="570"/>
        <w:jc w:val="righ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2F0CA130">
      <w:pPr>
        <w:keepNext w:val="0"/>
        <w:keepLines w:val="0"/>
        <w:pageBreakBefore w:val="0"/>
        <w:tabs>
          <w:tab w:val="left" w:pos="6300"/>
        </w:tabs>
        <w:kinsoku/>
        <w:overflowPunct/>
        <w:topLinePunct w:val="0"/>
        <w:autoSpaceDE/>
        <w:autoSpaceDN/>
        <w:bidi w:val="0"/>
        <w:adjustRightInd w:val="0"/>
        <w:snapToGrid w:val="0"/>
        <w:spacing w:line="500" w:lineRule="exact"/>
        <w:ind w:right="480" w:firstLine="570"/>
        <w:jc w:val="righ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193436A5">
      <w:pPr>
        <w:keepNext w:val="0"/>
        <w:keepLines w:val="0"/>
        <w:pageBreakBefore w:val="0"/>
        <w:tabs>
          <w:tab w:val="left" w:pos="6300"/>
        </w:tabs>
        <w:kinsoku/>
        <w:overflowPunct/>
        <w:topLinePunct w:val="0"/>
        <w:autoSpaceDE/>
        <w:autoSpaceDN/>
        <w:bidi w:val="0"/>
        <w:adjustRightInd w:val="0"/>
        <w:snapToGrid w:val="0"/>
        <w:spacing w:line="500" w:lineRule="exact"/>
        <w:ind w:right="480" w:firstLine="570"/>
        <w:jc w:val="lef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 xml:space="preserve"> 电子邮箱：</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（若法定代表人办理并签署响应文件的可不填写）</w:t>
      </w:r>
    </w:p>
    <w:p w14:paraId="7EE97B51">
      <w:pPr>
        <w:keepNext w:val="0"/>
        <w:keepLines w:val="0"/>
        <w:pageBreakBefore w:val="0"/>
        <w:tabs>
          <w:tab w:val="left" w:pos="6300"/>
        </w:tabs>
        <w:kinsoku/>
        <w:overflowPunct/>
        <w:topLinePunct w:val="0"/>
        <w:autoSpaceDE/>
        <w:autoSpaceDN/>
        <w:bidi w:val="0"/>
        <w:adjustRightInd w:val="0"/>
        <w:snapToGrid w:val="0"/>
        <w:spacing w:line="500" w:lineRule="exact"/>
        <w:ind w:right="480" w:firstLine="570"/>
        <w:jc w:val="lef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注：</w:t>
      </w:r>
    </w:p>
    <w:p w14:paraId="36D61CA8">
      <w:pPr>
        <w:keepNext w:val="0"/>
        <w:keepLines w:val="0"/>
        <w:pageBreakBefore w:val="0"/>
        <w:tabs>
          <w:tab w:val="left" w:pos="6300"/>
        </w:tabs>
        <w:kinsoku/>
        <w:overflowPunct/>
        <w:topLinePunct w:val="0"/>
        <w:autoSpaceDE/>
        <w:autoSpaceDN/>
        <w:bidi w:val="0"/>
        <w:adjustRightInd w:val="0"/>
        <w:snapToGrid w:val="0"/>
        <w:spacing w:line="500" w:lineRule="exact"/>
        <w:ind w:right="480" w:firstLine="570"/>
        <w:jc w:val="lef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1.若为法定代表人办理并签署响应文件的，不提供此文件。</w:t>
      </w:r>
    </w:p>
    <w:p w14:paraId="0F97B4B6">
      <w:pPr>
        <w:keepNext w:val="0"/>
        <w:keepLines w:val="0"/>
        <w:pageBreakBefore w:val="0"/>
        <w:widowControl/>
        <w:kinsoku/>
        <w:overflowPunct/>
        <w:topLinePunct w:val="0"/>
        <w:autoSpaceDE/>
        <w:autoSpaceDN/>
        <w:bidi w:val="0"/>
        <w:adjustRightInd w:val="0"/>
        <w:snapToGrid w:val="0"/>
        <w:spacing w:line="500" w:lineRule="exact"/>
        <w:ind w:firstLine="560" w:firstLineChars="20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column"/>
      </w:r>
      <w:r>
        <w:rPr>
          <w:rFonts w:hint="default" w:ascii="Times New Roman" w:hAnsi="Times New Roman" w:eastAsia="方正仿宋_GBK" w:cs="Times New Roman"/>
          <w:sz w:val="24"/>
          <w:szCs w:val="24"/>
        </w:rPr>
        <w:t>（四）基本资格条件承诺函（格式）</w:t>
      </w:r>
    </w:p>
    <w:p w14:paraId="04710853">
      <w:pPr>
        <w:keepNext w:val="0"/>
        <w:keepLines w:val="0"/>
        <w:pageBreakBefore w:val="0"/>
        <w:tabs>
          <w:tab w:val="left" w:pos="6300"/>
        </w:tabs>
        <w:kinsoku/>
        <w:overflowPunct/>
        <w:topLinePunct w:val="0"/>
        <w:autoSpaceDE/>
        <w:autoSpaceDN/>
        <w:bidi w:val="0"/>
        <w:adjustRightInd w:val="0"/>
        <w:snapToGrid w:val="0"/>
        <w:spacing w:line="500" w:lineRule="exact"/>
        <w:jc w:val="center"/>
        <w:textAlignment w:val="auto"/>
        <w:outlineLvl w:val="9"/>
        <w:rPr>
          <w:rFonts w:hint="eastAsia" w:ascii="方正小标宋_GBK" w:hAnsi="方正小标宋_GBK" w:eastAsia="方正小标宋_GBK" w:cs="方正小标宋_GBK"/>
          <w:b/>
          <w:bCs/>
          <w:szCs w:val="28"/>
        </w:rPr>
      </w:pPr>
      <w:r>
        <w:rPr>
          <w:rFonts w:hint="eastAsia" w:ascii="方正小标宋_GBK" w:hAnsi="方正小标宋_GBK" w:eastAsia="方正小标宋_GBK" w:cs="方正小标宋_GBK"/>
          <w:b/>
          <w:bCs/>
          <w:szCs w:val="28"/>
        </w:rPr>
        <w:t>基本资格条件承诺函</w:t>
      </w:r>
    </w:p>
    <w:p w14:paraId="14E8466A">
      <w:pPr>
        <w:keepNext w:val="0"/>
        <w:keepLines w:val="0"/>
        <w:pageBreakBefore w:val="0"/>
        <w:tabs>
          <w:tab w:val="left" w:pos="6300"/>
        </w:tabs>
        <w:kinsoku/>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sz w:val="24"/>
        </w:rPr>
      </w:pPr>
    </w:p>
    <w:p w14:paraId="0CE01AF3">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eastAsia="zh-CN"/>
        </w:rPr>
        <w:t>人</w:t>
      </w:r>
      <w:r>
        <w:rPr>
          <w:rFonts w:hint="default" w:ascii="Times New Roman" w:hAnsi="Times New Roman" w:eastAsia="方正仿宋_GBK" w:cs="Times New Roman"/>
          <w:sz w:val="24"/>
        </w:rPr>
        <w:t>名称）：</w:t>
      </w:r>
    </w:p>
    <w:p w14:paraId="7A1E1EC9">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7D5616C7">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1.我方具有良好的商业信誉和健全的财务会计制度，具有履行合同所必需的设备和专业技术能力，具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19C4EFE1">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2.我方未列入在信用中国网站（www.creditchina.gov.cn）“失信被执行人”、“重大税收违法案件当事人名单”中，也未列入中国政府采购网（www.ccgp.gov.cn）“政府采购严重违法失信行为记录名单”中。</w:t>
      </w:r>
    </w:p>
    <w:p w14:paraId="0AC80ABA">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3.我方在采购项目评审（评标）环节结束后，随时接受采购人、采购</w:t>
      </w:r>
      <w:r>
        <w:rPr>
          <w:rFonts w:hint="default" w:ascii="Times New Roman" w:hAnsi="Times New Roman" w:eastAsia="方正仿宋_GBK" w:cs="Times New Roman"/>
          <w:sz w:val="24"/>
          <w:lang w:eastAsia="zh-CN"/>
        </w:rPr>
        <w:t>人</w:t>
      </w:r>
      <w:r>
        <w:rPr>
          <w:rFonts w:hint="default" w:ascii="Times New Roman" w:hAnsi="Times New Roman" w:eastAsia="方正仿宋_GBK" w:cs="Times New Roman"/>
          <w:sz w:val="24"/>
        </w:rPr>
        <w:t>的检查验证，配合提供相关证明材料，证明符合《中华人民共和国政府采购法》规定的供应商基本资格条件。</w:t>
      </w:r>
    </w:p>
    <w:p w14:paraId="4CBD2961">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703942BE">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3756766D">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p>
    <w:p w14:paraId="46B73CBF">
      <w:pPr>
        <w:keepNext w:val="0"/>
        <w:keepLines w:val="0"/>
        <w:pageBreakBefore w:val="0"/>
        <w:tabs>
          <w:tab w:val="left" w:pos="6300"/>
        </w:tabs>
        <w:kinsoku/>
        <w:overflowPunct/>
        <w:topLinePunct w:val="0"/>
        <w:autoSpaceDE/>
        <w:autoSpaceDN/>
        <w:bidi w:val="0"/>
        <w:adjustRightInd w:val="0"/>
        <w:snapToGrid w:val="0"/>
        <w:spacing w:line="500" w:lineRule="exact"/>
        <w:ind w:firstLine="480" w:firstLineChars="200"/>
        <w:jc w:val="righ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20A81147">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24E3B572">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0AD357CF">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79BAB62B">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768CD528">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1CBA0E44">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61D1A63B">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2003E530">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60B88CB7">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2C6014D3">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5F8BB765">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2CDF962D">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2D2E503F">
      <w:pPr>
        <w:keepNext w:val="0"/>
        <w:keepLines w:val="0"/>
        <w:pageBreakBefore w:val="0"/>
        <w:widowControl/>
        <w:kinsoku/>
        <w:overflowPunct/>
        <w:topLinePunct w:val="0"/>
        <w:autoSpaceDE/>
        <w:autoSpaceDN/>
        <w:bidi w:val="0"/>
        <w:adjustRightInd w:val="0"/>
        <w:snapToGrid w:val="0"/>
        <w:spacing w:line="500" w:lineRule="exact"/>
        <w:ind w:firstLine="7920" w:firstLineChars="3300"/>
        <w:jc w:val="left"/>
        <w:textAlignment w:val="auto"/>
        <w:outlineLvl w:val="9"/>
        <w:rPr>
          <w:rFonts w:hint="default" w:ascii="Times New Roman" w:hAnsi="Times New Roman" w:eastAsia="方正仿宋_GBK" w:cs="Times New Roman"/>
          <w:sz w:val="24"/>
        </w:rPr>
      </w:pPr>
    </w:p>
    <w:p w14:paraId="23874834">
      <w:pPr>
        <w:keepNext w:val="0"/>
        <w:keepLines w:val="0"/>
        <w:pageBreakBefore w:val="0"/>
        <w:widowControl/>
        <w:kinsoku/>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t>（五）特定资格条件证书或证明文件</w:t>
      </w:r>
    </w:p>
    <w:p w14:paraId="788A5446">
      <w:pPr>
        <w:keepNext w:val="0"/>
        <w:keepLines w:val="0"/>
        <w:pageBreakBefore w:val="0"/>
        <w:kinsoku/>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sz w:val="24"/>
        </w:rPr>
      </w:pPr>
      <w:r>
        <w:rPr>
          <w:rFonts w:hint="default" w:ascii="Times New Roman" w:hAnsi="Times New Roman" w:eastAsia="方正仿宋_GBK" w:cs="Times New Roman"/>
        </w:rPr>
        <w:br w:type="page"/>
      </w:r>
      <w:bookmarkStart w:id="172" w:name="_Toc135993522"/>
      <w:bookmarkStart w:id="173" w:name="_Toc2080"/>
      <w:bookmarkStart w:id="174" w:name="_Toc17010"/>
      <w:bookmarkStart w:id="175" w:name="_Toc65660383"/>
      <w:r>
        <w:rPr>
          <w:rFonts w:hint="eastAsia" w:ascii="黑体" w:hAnsi="黑体" w:eastAsia="黑体" w:cs="黑体"/>
          <w:sz w:val="24"/>
        </w:rPr>
        <w:t>五、</w:t>
      </w:r>
      <w:bookmarkEnd w:id="169"/>
      <w:bookmarkEnd w:id="170"/>
      <w:bookmarkEnd w:id="171"/>
      <w:r>
        <w:rPr>
          <w:rFonts w:hint="eastAsia" w:ascii="黑体" w:hAnsi="黑体" w:eastAsia="黑体" w:cs="黑体"/>
          <w:sz w:val="24"/>
        </w:rPr>
        <w:t>其他资料</w:t>
      </w:r>
      <w:bookmarkEnd w:id="172"/>
      <w:bookmarkEnd w:id="173"/>
      <w:bookmarkEnd w:id="174"/>
      <w:bookmarkEnd w:id="175"/>
    </w:p>
    <w:p w14:paraId="67FF0542">
      <w:pPr>
        <w:keepNext w:val="0"/>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（一）其他与项目有关的资料（自附）</w:t>
      </w:r>
    </w:p>
    <w:p w14:paraId="166F76FB">
      <w:pPr>
        <w:pStyle w:val="6"/>
        <w:bidi w:val="0"/>
        <w:rPr>
          <w:rFonts w:hint="default"/>
        </w:rPr>
      </w:pPr>
    </w:p>
    <w:p w14:paraId="5DB2C244">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1A63FDB1">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206C50B9">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55255929">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5E6D1C3B">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350E19A8">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581D55C5">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5A5F2150">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7D75C9DA">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01D7C746">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3477ACE9">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57ECAA99">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1AFE880B">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2C55CB2C">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2DBCE63C">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3C87837E">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2BCE8E3E">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440D75EC">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7EF0DA74">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59740240">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32F2CC85">
      <w:pPr>
        <w:keepNext w:val="0"/>
        <w:keepLines w:val="0"/>
        <w:pageBreakBefore w:val="0"/>
        <w:kinsoku/>
        <w:overflowPunct/>
        <w:topLinePunct w:val="0"/>
        <w:autoSpaceDE/>
        <w:autoSpaceDN/>
        <w:bidi w:val="0"/>
        <w:adjustRightInd w:val="0"/>
        <w:snapToGrid w:val="0"/>
        <w:spacing w:line="500" w:lineRule="exact"/>
        <w:ind w:firstLine="480" w:firstLineChars="200"/>
        <w:jc w:val="center"/>
        <w:textAlignment w:val="auto"/>
        <w:outlineLvl w:val="9"/>
        <w:rPr>
          <w:rFonts w:hint="default" w:ascii="Times New Roman" w:hAnsi="Times New Roman" w:eastAsia="方正仿宋_GBK" w:cs="Times New Roman"/>
          <w:sz w:val="24"/>
          <w:szCs w:val="24"/>
        </w:rPr>
      </w:pPr>
    </w:p>
    <w:p w14:paraId="28ED5990">
      <w:pPr>
        <w:keepNext w:val="0"/>
        <w:keepLines w:val="0"/>
        <w:pageBreakBefore w:val="0"/>
        <w:kinsoku/>
        <w:overflowPunct/>
        <w:topLinePunct w:val="0"/>
        <w:autoSpaceDE/>
        <w:autoSpaceDN/>
        <w:bidi w:val="0"/>
        <w:adjustRightInd w:val="0"/>
        <w:snapToGrid w:val="0"/>
        <w:spacing w:line="500" w:lineRule="exact"/>
        <w:ind w:firstLine="560" w:firstLineChars="200"/>
        <w:jc w:val="center"/>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（结束）</w:t>
      </w:r>
    </w:p>
    <w:p w14:paraId="6E7318B3"/>
    <w:p w14:paraId="718830E5">
      <w:pPr>
        <w:pStyle w:val="7"/>
      </w:pPr>
    </w:p>
    <w:p w14:paraId="09C221F3"/>
    <w:p w14:paraId="7B7B8225">
      <w:pPr>
        <w:pStyle w:val="7"/>
      </w:pPr>
    </w:p>
    <w:p w14:paraId="1B82AB96"/>
    <w:p w14:paraId="604A1486">
      <w:pPr>
        <w:pStyle w:val="26"/>
        <w:ind w:firstLine="480"/>
        <w:rPr>
          <w:rFonts w:hint="eastAsia" w:ascii="宋体" w:hAnsi="宋体" w:eastAsia="宋体" w:cs="宋体"/>
          <w:bCs w:val="0"/>
          <w:smallCaps w:val="0"/>
          <w:color w:val="auto"/>
          <w:sz w:val="24"/>
          <w:highlight w:val="none"/>
        </w:rPr>
      </w:pPr>
      <w:bookmarkStart w:id="176" w:name="_Toc23799"/>
      <w:bookmarkStart w:id="177" w:name="_Toc21122"/>
      <w:r>
        <w:rPr>
          <w:rFonts w:hint="eastAsia" w:ascii="宋体" w:hAnsi="宋体" w:eastAsia="宋体" w:cs="宋体"/>
          <w:bCs w:val="0"/>
          <w:smallCaps w:val="0"/>
          <w:color w:val="auto"/>
          <w:sz w:val="24"/>
          <w:highlight w:val="none"/>
        </w:rPr>
        <w:t>附件一：供应商信息卡</w:t>
      </w:r>
      <w:bookmarkEnd w:id="176"/>
      <w:bookmarkEnd w:id="177"/>
    </w:p>
    <w:p w14:paraId="618BF4EE">
      <w:pPr>
        <w:pStyle w:val="27"/>
        <w:spacing w:line="860" w:lineRule="exact"/>
        <w:ind w:firstLine="720" w:firstLineChars="3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7D66E70D">
      <w:pPr>
        <w:pStyle w:val="27"/>
        <w:spacing w:line="860" w:lineRule="exact"/>
        <w:ind w:firstLine="720" w:firstLineChars="3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p>
    <w:p w14:paraId="546CBDE5">
      <w:pPr>
        <w:pStyle w:val="27"/>
        <w:spacing w:line="860" w:lineRule="exact"/>
        <w:ind w:firstLine="720" w:firstLineChars="300"/>
        <w:jc w:val="both"/>
        <w:rPr>
          <w:rFonts w:hint="eastAsia" w:ascii="宋体" w:hAnsi="宋体" w:eastAsia="宋体" w:cs="宋体"/>
          <w:color w:val="auto"/>
          <w:szCs w:val="24"/>
          <w:highlight w:val="none"/>
        </w:rPr>
      </w:pPr>
      <w:r>
        <w:rPr>
          <w:rFonts w:hint="eastAsia" w:ascii="宋体" w:eastAsia="宋体" w:cs="宋体"/>
          <w:color w:val="auto"/>
          <w:szCs w:val="24"/>
          <w:highlight w:val="none"/>
          <w:lang w:eastAsia="zh-CN"/>
        </w:rPr>
        <w:t>法定代表人或分支机构负责人</w:t>
      </w:r>
      <w:r>
        <w:rPr>
          <w:rFonts w:hint="eastAsia" w:ascii="宋体" w:hAnsi="宋体" w:eastAsia="宋体" w:cs="宋体"/>
          <w:color w:val="auto"/>
          <w:szCs w:val="24"/>
          <w:highlight w:val="none"/>
        </w:rPr>
        <w:t>：</w:t>
      </w:r>
    </w:p>
    <w:p w14:paraId="0F0CD463">
      <w:pPr>
        <w:pStyle w:val="27"/>
        <w:spacing w:line="860" w:lineRule="exact"/>
        <w:ind w:firstLine="720" w:firstLineChars="3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联系电话：</w:t>
      </w:r>
    </w:p>
    <w:p w14:paraId="4727868D">
      <w:pPr>
        <w:pStyle w:val="27"/>
        <w:spacing w:line="860" w:lineRule="exact"/>
        <w:ind w:firstLine="720" w:firstLineChars="3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授权代表：</w:t>
      </w:r>
    </w:p>
    <w:p w14:paraId="6CB61FB8">
      <w:pPr>
        <w:pStyle w:val="27"/>
        <w:spacing w:line="860" w:lineRule="exact"/>
        <w:ind w:firstLine="720" w:firstLineChars="3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联系电话：</w:t>
      </w:r>
    </w:p>
    <w:p w14:paraId="11B3E199">
      <w:pPr>
        <w:pStyle w:val="28"/>
        <w:ind w:left="480" w:hanging="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78EAECD">
      <w:pPr>
        <w:pStyle w:val="28"/>
        <w:ind w:left="480" w:hanging="480"/>
        <w:jc w:val="both"/>
        <w:rPr>
          <w:rFonts w:hint="eastAsia" w:ascii="宋体" w:hAnsi="宋体" w:eastAsia="宋体" w:cs="宋体"/>
          <w:color w:val="auto"/>
          <w:highlight w:val="none"/>
        </w:rPr>
      </w:pPr>
    </w:p>
    <w:p w14:paraId="56D8386E">
      <w:pPr>
        <w:pStyle w:val="28"/>
        <w:ind w:left="480" w:hanging="480"/>
        <w:jc w:val="both"/>
        <w:rPr>
          <w:rFonts w:hint="eastAsia" w:ascii="宋体" w:hAnsi="宋体" w:eastAsia="宋体" w:cs="宋体"/>
          <w:color w:val="auto"/>
          <w:highlight w:val="none"/>
        </w:rPr>
      </w:pPr>
    </w:p>
    <w:p w14:paraId="1CF1FE06">
      <w:pPr>
        <w:pStyle w:val="28"/>
        <w:ind w:left="480" w:hanging="48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供应商(公章)</w:t>
      </w:r>
      <w:r>
        <w:rPr>
          <w:rFonts w:hint="eastAsia" w:ascii="宋体" w:hAnsi="宋体" w:eastAsia="宋体" w:cs="宋体"/>
          <w:color w:val="auto"/>
          <w:highlight w:val="none"/>
          <w:lang w:eastAsia="zh-CN"/>
        </w:rPr>
        <w:t>：</w:t>
      </w:r>
    </w:p>
    <w:p w14:paraId="19D9152F">
      <w:pPr>
        <w:pStyle w:val="28"/>
        <w:ind w:left="480" w:hanging="48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日期：    年    月    日</w:t>
      </w:r>
    </w:p>
    <w:p w14:paraId="1C2C7E08">
      <w:pPr>
        <w:ind w:left="716" w:hanging="716" w:hangingChars="297"/>
        <w:rPr>
          <w:rFonts w:hint="eastAsia" w:ascii="宋体" w:hAnsi="宋体" w:eastAsia="宋体" w:cs="宋体"/>
          <w:b/>
          <w:color w:val="auto"/>
          <w:sz w:val="24"/>
          <w:szCs w:val="24"/>
          <w:highlight w:val="none"/>
        </w:rPr>
      </w:pPr>
    </w:p>
    <w:p w14:paraId="5EA965EA">
      <w:pPr>
        <w:ind w:left="716" w:hanging="716" w:hangingChars="297"/>
        <w:rPr>
          <w:rFonts w:hint="eastAsia" w:ascii="宋体" w:hAnsi="宋体" w:eastAsia="宋体" w:cs="宋体"/>
          <w:b/>
          <w:color w:val="auto"/>
          <w:sz w:val="24"/>
          <w:szCs w:val="24"/>
          <w:highlight w:val="none"/>
        </w:rPr>
      </w:pPr>
    </w:p>
    <w:p w14:paraId="2E337FEB">
      <w:pPr>
        <w:ind w:firstLine="480"/>
        <w:rPr>
          <w:rFonts w:hint="eastAsia" w:ascii="宋体" w:hAnsi="宋体" w:eastAsia="宋体" w:cs="宋体"/>
          <w:color w:val="auto"/>
          <w:sz w:val="24"/>
          <w:szCs w:val="24"/>
          <w:highlight w:val="none"/>
        </w:rPr>
      </w:pPr>
    </w:p>
    <w:p w14:paraId="6F6B3664">
      <w:pPr>
        <w:ind w:firstLine="480"/>
        <w:rPr>
          <w:rFonts w:hint="eastAsia" w:ascii="宋体" w:hAnsi="宋体" w:eastAsia="宋体" w:cs="宋体"/>
          <w:color w:val="auto"/>
          <w:sz w:val="24"/>
          <w:szCs w:val="24"/>
          <w:highlight w:val="none"/>
        </w:rPr>
      </w:pPr>
    </w:p>
    <w:p w14:paraId="1256A843">
      <w:pPr>
        <w:ind w:firstLine="480"/>
        <w:rPr>
          <w:rFonts w:hint="eastAsia" w:ascii="宋体" w:hAnsi="宋体" w:eastAsia="宋体" w:cs="宋体"/>
          <w:color w:val="auto"/>
          <w:sz w:val="24"/>
          <w:szCs w:val="24"/>
          <w:highlight w:val="none"/>
        </w:rPr>
      </w:pPr>
    </w:p>
    <w:p w14:paraId="288CC07D">
      <w:pPr>
        <w:ind w:firstLine="480"/>
        <w:rPr>
          <w:rFonts w:hint="eastAsia" w:ascii="宋体" w:hAnsi="宋体" w:eastAsia="宋体" w:cs="宋体"/>
          <w:color w:val="auto"/>
          <w:sz w:val="24"/>
          <w:szCs w:val="24"/>
          <w:highlight w:val="none"/>
        </w:rPr>
      </w:pPr>
    </w:p>
    <w:p w14:paraId="3D34BBCC">
      <w:pPr>
        <w:ind w:firstLine="480"/>
        <w:rPr>
          <w:rFonts w:hint="eastAsia" w:ascii="宋体" w:hAnsi="宋体" w:eastAsia="宋体" w:cs="宋体"/>
          <w:color w:val="auto"/>
          <w:sz w:val="24"/>
          <w:szCs w:val="24"/>
          <w:highlight w:val="none"/>
        </w:rPr>
      </w:pPr>
    </w:p>
    <w:p w14:paraId="1FB1883A">
      <w:pPr>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注：该“供应商信息卡”由供应商在现场递交（内容填写完整或打印并加盖公章</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不得装入密封</w:t>
      </w:r>
      <w:r>
        <w:rPr>
          <w:rFonts w:hint="eastAsia" w:ascii="宋体" w:hAnsi="宋体" w:cs="宋体"/>
          <w:b/>
          <w:color w:val="auto"/>
          <w:sz w:val="24"/>
          <w:szCs w:val="24"/>
          <w:highlight w:val="none"/>
          <w:lang w:eastAsia="zh-CN"/>
        </w:rPr>
        <w:t>响应文件</w:t>
      </w:r>
      <w:r>
        <w:rPr>
          <w:rFonts w:hint="eastAsia" w:ascii="宋体" w:hAnsi="宋体" w:eastAsia="宋体" w:cs="宋体"/>
          <w:b/>
          <w:color w:val="auto"/>
          <w:sz w:val="24"/>
          <w:szCs w:val="24"/>
          <w:highlight w:val="none"/>
        </w:rPr>
        <w:t>内）。</w:t>
      </w:r>
    </w:p>
    <w:p w14:paraId="2EC2FFD2">
      <w:pPr>
        <w:pStyle w:val="7"/>
      </w:pPr>
    </w:p>
    <w:sectPr>
      <w:pgSz w:w="11907" w:h="16840"/>
      <w:pgMar w:top="1134" w:right="1134"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DB1137-2E89-4EE9-9AC3-45FB526159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84DD3B-AD0B-41DB-9FDD-20D23182905A}"/>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2E8FEC32-A488-4908-A92A-4F643BC32A4F}"/>
  </w:font>
  <w:font w:name="方正仿宋_GBK">
    <w:panose1 w:val="03000509000000000000"/>
    <w:charset w:val="86"/>
    <w:family w:val="script"/>
    <w:pitch w:val="default"/>
    <w:sig w:usb0="00000001" w:usb1="080E0000" w:usb2="00000000" w:usb3="00000000" w:csb0="00040000" w:csb1="00000000"/>
    <w:embedRegular r:id="rId4" w:fontKey="{6D101E71-9262-4478-AB9A-965C9F4225A2}"/>
  </w:font>
  <w:font w:name="方正黑体_GBK">
    <w:panose1 w:val="03000509000000000000"/>
    <w:charset w:val="86"/>
    <w:family w:val="script"/>
    <w:pitch w:val="default"/>
    <w:sig w:usb0="00000001" w:usb1="080E0000" w:usb2="00000000" w:usb3="00000000" w:csb0="00040000" w:csb1="00000000"/>
    <w:embedRegular r:id="rId5" w:fontKey="{0E4146B0-9C01-4564-93DC-232628F2FA54}"/>
  </w:font>
  <w:font w:name="仿宋">
    <w:panose1 w:val="02010609060101010101"/>
    <w:charset w:val="86"/>
    <w:family w:val="auto"/>
    <w:pitch w:val="default"/>
    <w:sig w:usb0="800002BF" w:usb1="38CF7CFA" w:usb2="00000016" w:usb3="00000000" w:csb0="00040001" w:csb1="00000000"/>
    <w:embedRegular r:id="rId6" w:fontKey="{E2E992D9-774F-489B-952F-23EB543BC36B}"/>
  </w:font>
  <w:font w:name="方正楷体_GBK">
    <w:panose1 w:val="03000509000000000000"/>
    <w:charset w:val="86"/>
    <w:family w:val="auto"/>
    <w:pitch w:val="default"/>
    <w:sig w:usb0="00000001" w:usb1="080E0000" w:usb2="00000000" w:usb3="00000000" w:csb0="00040000" w:csb1="00000000"/>
    <w:embedRegular r:id="rId7" w:fontKey="{3C2307CC-58CF-411E-A0D2-F892A66B73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BB45">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78807D">
                          <w:pPr>
                            <w:tabs>
                              <w:tab w:val="center" w:pos="4153"/>
                              <w:tab w:val="right" w:pos="8306"/>
                            </w:tabs>
                            <w:rPr>
                              <w:color w:val="000000"/>
                              <w:sz w:val="21"/>
                              <w:szCs w:val="21"/>
                            </w:rPr>
                          </w:pPr>
                          <w:r>
                            <w:rPr>
                              <w:color w:val="000000"/>
                              <w:sz w:val="21"/>
                              <w:szCs w:val="21"/>
                            </w:rPr>
                            <w:fldChar w:fldCharType="begin"/>
                          </w:r>
                          <w:r>
                            <w:rPr>
                              <w:color w:val="000000"/>
                              <w:sz w:val="21"/>
                              <w:szCs w:val="21"/>
                            </w:rPr>
                            <w:instrText xml:space="preserve"> PAGE  \* MERGEFORMAT </w:instrText>
                          </w:r>
                          <w:r>
                            <w:rPr>
                              <w:color w:val="000000"/>
                              <w:sz w:val="21"/>
                              <w:szCs w:val="21"/>
                            </w:rPr>
                            <w:fldChar w:fldCharType="separate"/>
                          </w:r>
                          <w:r>
                            <w:rPr>
                              <w:color w:val="000000"/>
                              <w:sz w:val="21"/>
                              <w:szCs w:val="21"/>
                            </w:rPr>
                            <w:t>1</w:t>
                          </w:r>
                          <w:r>
                            <w:rPr>
                              <w:color w:val="000000"/>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478807D">
                    <w:pPr>
                      <w:tabs>
                        <w:tab w:val="center" w:pos="4153"/>
                        <w:tab w:val="right" w:pos="8306"/>
                      </w:tabs>
                      <w:rPr>
                        <w:color w:val="000000"/>
                        <w:sz w:val="21"/>
                        <w:szCs w:val="21"/>
                      </w:rPr>
                    </w:pPr>
                    <w:r>
                      <w:rPr>
                        <w:color w:val="000000"/>
                        <w:sz w:val="21"/>
                        <w:szCs w:val="21"/>
                      </w:rPr>
                      <w:fldChar w:fldCharType="begin"/>
                    </w:r>
                    <w:r>
                      <w:rPr>
                        <w:color w:val="000000"/>
                        <w:sz w:val="21"/>
                        <w:szCs w:val="21"/>
                      </w:rPr>
                      <w:instrText xml:space="preserve"> PAGE  \* MERGEFORMAT </w:instrText>
                    </w:r>
                    <w:r>
                      <w:rPr>
                        <w:color w:val="000000"/>
                        <w:sz w:val="21"/>
                        <w:szCs w:val="21"/>
                      </w:rPr>
                      <w:fldChar w:fldCharType="separate"/>
                    </w:r>
                    <w:r>
                      <w:rPr>
                        <w:color w:val="000000"/>
                        <w:sz w:val="21"/>
                        <w:szCs w:val="21"/>
                      </w:rPr>
                      <w:t>1</w:t>
                    </w:r>
                    <w:r>
                      <w:rPr>
                        <w:color w:val="000000"/>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63D32">
    <w:pPr>
      <w:pStyle w:val="12"/>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- 31 -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536E">
    <w:pPr>
      <w:pStyle w:val="12"/>
      <w:framePr w:wrap="around" w:vAnchor="text" w:hAnchor="margin" w:xAlign="center" w:y="1"/>
      <w:rPr>
        <w:rStyle w:val="18"/>
      </w:rPr>
    </w:pPr>
    <w:r>
      <w:fldChar w:fldCharType="begin"/>
    </w:r>
    <w:r>
      <w:rPr>
        <w:rStyle w:val="18"/>
      </w:rPr>
      <w:instrText xml:space="preserve">PAGE  </w:instrText>
    </w:r>
    <w:r>
      <w:fldChar w:fldCharType="separate"/>
    </w:r>
    <w:r>
      <w:fldChar w:fldCharType="end"/>
    </w:r>
  </w:p>
  <w:p w14:paraId="58D17E90">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6D70">
    <w:pPr>
      <w:pStyle w:val="13"/>
      <w:pBdr>
        <w:bottom w:val="none" w:color="auto" w:sz="0" w:space="1"/>
      </w:pBdr>
      <w:jc w:val="both"/>
      <w:rPr>
        <w:rFonts w:hint="eastAsia"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78925"/>
    <w:multiLevelType w:val="singleLevel"/>
    <w:tmpl w:val="85C78925"/>
    <w:lvl w:ilvl="0" w:tentative="0">
      <w:start w:val="1"/>
      <w:numFmt w:val="chineseCounting"/>
      <w:suff w:val="space"/>
      <w:lvlText w:val="第%1篇"/>
      <w:lvlJc w:val="left"/>
      <w:rPr>
        <w:rFonts w:hint="eastAsia"/>
      </w:rPr>
    </w:lvl>
  </w:abstractNum>
  <w:abstractNum w:abstractNumId="1">
    <w:nsid w:val="D6D1A58C"/>
    <w:multiLevelType w:val="singleLevel"/>
    <w:tmpl w:val="D6D1A58C"/>
    <w:lvl w:ilvl="0" w:tentative="0">
      <w:start w:val="2"/>
      <w:numFmt w:val="chineseCounting"/>
      <w:suff w:val="nothing"/>
      <w:lvlText w:val="（%1）"/>
      <w:lvlJc w:val="left"/>
      <w:rPr>
        <w:rFonts w:hint="eastAsia"/>
      </w:rPr>
    </w:lvl>
  </w:abstractNum>
  <w:abstractNum w:abstractNumId="2">
    <w:nsid w:val="4D481B0A"/>
    <w:multiLevelType w:val="singleLevel"/>
    <w:tmpl w:val="4D481B0A"/>
    <w:lvl w:ilvl="0" w:tentative="0">
      <w:start w:val="4"/>
      <w:numFmt w:val="decimal"/>
      <w:lvlText w:val="%1."/>
      <w:lvlJc w:val="left"/>
      <w:pPr>
        <w:tabs>
          <w:tab w:val="left" w:pos="312"/>
        </w:tabs>
      </w:pPr>
    </w:lvl>
  </w:abstractNum>
  <w:abstractNum w:abstractNumId="3">
    <w:nsid w:val="4F4B767C"/>
    <w:multiLevelType w:val="singleLevel"/>
    <w:tmpl w:val="4F4B767C"/>
    <w:lvl w:ilvl="0" w:tentative="0">
      <w:start w:val="4"/>
      <w:numFmt w:val="chineseCounting"/>
      <w:suff w:val="nothing"/>
      <w:lvlText w:val="（%1）"/>
      <w:lvlJc w:val="left"/>
      <w:rPr>
        <w:rFonts w:hint="eastAsia"/>
      </w:rPr>
    </w:lvl>
  </w:abstractNum>
  <w:abstractNum w:abstractNumId="4">
    <w:nsid w:val="63ABEAE4"/>
    <w:multiLevelType w:val="singleLevel"/>
    <w:tmpl w:val="63ABEAE4"/>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mVkZjQ4MDNjZTVhMzQ1MjA0ZTM1ZmFiMjQ4NmEifQ=="/>
  </w:docVars>
  <w:rsids>
    <w:rsidRoot w:val="1AB63049"/>
    <w:rsid w:val="00012DB2"/>
    <w:rsid w:val="01FB525F"/>
    <w:rsid w:val="01FE68D7"/>
    <w:rsid w:val="02CD1F13"/>
    <w:rsid w:val="03056853"/>
    <w:rsid w:val="03843986"/>
    <w:rsid w:val="038764C0"/>
    <w:rsid w:val="04826D2E"/>
    <w:rsid w:val="04966E3B"/>
    <w:rsid w:val="06FE6B3F"/>
    <w:rsid w:val="075626D8"/>
    <w:rsid w:val="077C5CB6"/>
    <w:rsid w:val="07A86AAB"/>
    <w:rsid w:val="0B195C36"/>
    <w:rsid w:val="0BC62A50"/>
    <w:rsid w:val="0C801DA5"/>
    <w:rsid w:val="0D3A63F7"/>
    <w:rsid w:val="0E440BB0"/>
    <w:rsid w:val="0F655282"/>
    <w:rsid w:val="0FD50659"/>
    <w:rsid w:val="10AB7F8D"/>
    <w:rsid w:val="1347361C"/>
    <w:rsid w:val="15142688"/>
    <w:rsid w:val="15593193"/>
    <w:rsid w:val="15B83632"/>
    <w:rsid w:val="17387CB4"/>
    <w:rsid w:val="174B0666"/>
    <w:rsid w:val="17702E89"/>
    <w:rsid w:val="181B6E25"/>
    <w:rsid w:val="1932087C"/>
    <w:rsid w:val="19FE7818"/>
    <w:rsid w:val="1AB63049"/>
    <w:rsid w:val="1BCF0653"/>
    <w:rsid w:val="23243032"/>
    <w:rsid w:val="2446347C"/>
    <w:rsid w:val="24DB4997"/>
    <w:rsid w:val="25657932"/>
    <w:rsid w:val="259F5502"/>
    <w:rsid w:val="26EF3957"/>
    <w:rsid w:val="27402404"/>
    <w:rsid w:val="274A6DDF"/>
    <w:rsid w:val="29F62907"/>
    <w:rsid w:val="2B237879"/>
    <w:rsid w:val="2D80355B"/>
    <w:rsid w:val="2E6703FE"/>
    <w:rsid w:val="2EDC3406"/>
    <w:rsid w:val="305D19A8"/>
    <w:rsid w:val="3384301F"/>
    <w:rsid w:val="35375371"/>
    <w:rsid w:val="35DB1A43"/>
    <w:rsid w:val="36086E75"/>
    <w:rsid w:val="36965B9D"/>
    <w:rsid w:val="375F68D7"/>
    <w:rsid w:val="38897ABE"/>
    <w:rsid w:val="38E01351"/>
    <w:rsid w:val="3A4477AA"/>
    <w:rsid w:val="3C265C15"/>
    <w:rsid w:val="3C504A40"/>
    <w:rsid w:val="3CB91AA9"/>
    <w:rsid w:val="3DA90A34"/>
    <w:rsid w:val="3DFD2C80"/>
    <w:rsid w:val="3E5D3939"/>
    <w:rsid w:val="4139514C"/>
    <w:rsid w:val="41950470"/>
    <w:rsid w:val="432033BE"/>
    <w:rsid w:val="43CD6976"/>
    <w:rsid w:val="45060392"/>
    <w:rsid w:val="46A77952"/>
    <w:rsid w:val="46BD0445"/>
    <w:rsid w:val="4A203CA4"/>
    <w:rsid w:val="4A7F2C09"/>
    <w:rsid w:val="4AB92E86"/>
    <w:rsid w:val="4B83098E"/>
    <w:rsid w:val="4BB52F98"/>
    <w:rsid w:val="4C251A45"/>
    <w:rsid w:val="4D6811C6"/>
    <w:rsid w:val="4D9F7C1E"/>
    <w:rsid w:val="4FAA2095"/>
    <w:rsid w:val="50560C4B"/>
    <w:rsid w:val="50632B3C"/>
    <w:rsid w:val="51143E36"/>
    <w:rsid w:val="51B00003"/>
    <w:rsid w:val="524B1ADA"/>
    <w:rsid w:val="52D03D8D"/>
    <w:rsid w:val="535914C6"/>
    <w:rsid w:val="53BB19B4"/>
    <w:rsid w:val="54597077"/>
    <w:rsid w:val="55464A4F"/>
    <w:rsid w:val="55A0038E"/>
    <w:rsid w:val="58A81A34"/>
    <w:rsid w:val="58B36D75"/>
    <w:rsid w:val="597A4A53"/>
    <w:rsid w:val="5B60703B"/>
    <w:rsid w:val="5BA43FB8"/>
    <w:rsid w:val="5C3A2A2D"/>
    <w:rsid w:val="5D2D075A"/>
    <w:rsid w:val="5D3970FE"/>
    <w:rsid w:val="5DF94D9C"/>
    <w:rsid w:val="5E47584B"/>
    <w:rsid w:val="5EB84053"/>
    <w:rsid w:val="5F0249C1"/>
    <w:rsid w:val="60C26958"/>
    <w:rsid w:val="61476BF9"/>
    <w:rsid w:val="62A15BE5"/>
    <w:rsid w:val="635124F2"/>
    <w:rsid w:val="63674206"/>
    <w:rsid w:val="637846F9"/>
    <w:rsid w:val="652621A7"/>
    <w:rsid w:val="65B03CD6"/>
    <w:rsid w:val="67966EFB"/>
    <w:rsid w:val="681E586F"/>
    <w:rsid w:val="68FD5D79"/>
    <w:rsid w:val="6B9E643B"/>
    <w:rsid w:val="6C95390E"/>
    <w:rsid w:val="6CB467A2"/>
    <w:rsid w:val="6DC70BA6"/>
    <w:rsid w:val="6E0E02A8"/>
    <w:rsid w:val="6EA475C9"/>
    <w:rsid w:val="6EF94382"/>
    <w:rsid w:val="716768D8"/>
    <w:rsid w:val="72C45265"/>
    <w:rsid w:val="740D6797"/>
    <w:rsid w:val="74836A59"/>
    <w:rsid w:val="74DC4FEE"/>
    <w:rsid w:val="75E12BAC"/>
    <w:rsid w:val="763B6BB8"/>
    <w:rsid w:val="79017226"/>
    <w:rsid w:val="7C982397"/>
    <w:rsid w:val="7D230DDA"/>
    <w:rsid w:val="7D6B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customStyle="1" w:styleId="2">
    <w:name w:val="正文1"/>
    <w:basedOn w:val="1"/>
    <w:next w:val="1"/>
    <w:autoRedefine/>
    <w:qFormat/>
    <w:uiPriority w:val="0"/>
    <w:pPr>
      <w:spacing w:line="300" w:lineRule="auto"/>
      <w:ind w:firstLine="200" w:firstLineChars="200"/>
    </w:pPr>
    <w:rPr>
      <w:sz w:val="24"/>
    </w:rPr>
  </w:style>
  <w:style w:type="paragraph" w:styleId="5">
    <w:name w:val="Normal Indent"/>
    <w:basedOn w:val="1"/>
    <w:autoRedefine/>
    <w:qFormat/>
    <w:uiPriority w:val="0"/>
    <w:pPr>
      <w:adjustRightInd w:val="0"/>
      <w:snapToGrid w:val="0"/>
      <w:spacing w:line="360" w:lineRule="auto"/>
      <w:ind w:firstLine="420"/>
    </w:pPr>
    <w:rPr>
      <w:sz w:val="24"/>
    </w:rPr>
  </w:style>
  <w:style w:type="paragraph" w:styleId="6">
    <w:name w:val="toa heading"/>
    <w:basedOn w:val="1"/>
    <w:next w:val="1"/>
    <w:qFormat/>
    <w:uiPriority w:val="0"/>
    <w:pPr>
      <w:spacing w:before="120" w:beforeLines="0"/>
    </w:pPr>
    <w:rPr>
      <w:rFonts w:ascii="Arial" w:hAnsi="Arial"/>
      <w:sz w:val="24"/>
    </w:rPr>
  </w:style>
  <w:style w:type="paragraph" w:styleId="7">
    <w:name w:val="Body Text"/>
    <w:basedOn w:val="1"/>
    <w:next w:val="1"/>
    <w:qFormat/>
    <w:uiPriority w:val="0"/>
    <w:rPr>
      <w:rFonts w:ascii="仿宋_GB2312" w:eastAsia="仿宋_GB2312"/>
      <w:sz w:val="32"/>
    </w:rPr>
  </w:style>
  <w:style w:type="paragraph" w:styleId="8">
    <w:name w:val="Body Text Indent"/>
    <w:basedOn w:val="1"/>
    <w:qFormat/>
    <w:uiPriority w:val="0"/>
    <w:pPr>
      <w:spacing w:line="700" w:lineRule="exact"/>
      <w:ind w:left="960"/>
    </w:pPr>
    <w:rPr>
      <w:sz w:val="4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Body Text First Indent"/>
    <w:basedOn w:val="7"/>
    <w:qFormat/>
    <w:uiPriority w:val="0"/>
    <w:pPr>
      <w:spacing w:line="360" w:lineRule="auto"/>
      <w:ind w:firstLine="420"/>
    </w:pPr>
    <w:rPr>
      <w:rFonts w:ascii="宋体" w:hAnsi="宋体"/>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paragraph" w:customStyle="1" w:styleId="19">
    <w:name w:val="篇幅"/>
    <w:basedOn w:val="1"/>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paragraph" w:customStyle="1" w:styleId="20">
    <w:name w:val="采购文件正文"/>
    <w:basedOn w:val="1"/>
    <w:link w:val="24"/>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 w:type="paragraph" w:customStyle="1" w:styleId="21">
    <w:name w:val="采购文件标题"/>
    <w:basedOn w:val="1"/>
    <w:next w:val="1"/>
    <w:link w:val="23"/>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22">
    <w:name w:val="采购文件篇幅"/>
    <w:basedOn w:val="1"/>
    <w:link w:val="25"/>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character" w:customStyle="1" w:styleId="23">
    <w:name w:val="采购文件标题 Char"/>
    <w:link w:val="21"/>
    <w:qFormat/>
    <w:uiPriority w:val="0"/>
    <w:rPr>
      <w:rFonts w:hint="eastAsia" w:ascii="方正黑体_GBK" w:hAnsi="方正黑体_GBK" w:eastAsia="方正黑体_GBK" w:cs="方正黑体_GBK"/>
      <w:sz w:val="24"/>
      <w:szCs w:val="24"/>
    </w:rPr>
  </w:style>
  <w:style w:type="character" w:customStyle="1" w:styleId="24">
    <w:name w:val="采购文件正文 Char"/>
    <w:link w:val="20"/>
    <w:qFormat/>
    <w:uiPriority w:val="0"/>
    <w:rPr>
      <w:rFonts w:hint="eastAsia" w:ascii="方正仿宋_GBK" w:hAnsi="方正仿宋_GBK" w:eastAsia="方正仿宋_GBK" w:cs="方正仿宋_GBK"/>
      <w:sz w:val="24"/>
      <w:szCs w:val="24"/>
    </w:rPr>
  </w:style>
  <w:style w:type="character" w:customStyle="1" w:styleId="25">
    <w:name w:val="采购文件篇幅 Char"/>
    <w:link w:val="22"/>
    <w:qFormat/>
    <w:uiPriority w:val="0"/>
    <w:rPr>
      <w:rFonts w:hint="eastAsia" w:ascii="方正小标宋_GBK" w:hAnsi="方正小标宋_GBK" w:eastAsia="方正小标宋_GBK" w:cs="方正小标宋_GBK"/>
      <w:sz w:val="36"/>
      <w:szCs w:val="36"/>
    </w:rPr>
  </w:style>
  <w:style w:type="paragraph" w:customStyle="1" w:styleId="2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7">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28">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29">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8061</Words>
  <Characters>8280</Characters>
  <Lines>0</Lines>
  <Paragraphs>0</Paragraphs>
  <TotalTime>31</TotalTime>
  <ScaleCrop>false</ScaleCrop>
  <LinksUpToDate>false</LinksUpToDate>
  <CharactersWithSpaces>8310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2024-11-11T08:29:00Z</dcterms:created>
  <dc:creator>Administrator</dc:creator>
  <cp:lastModifiedBy>WPS_1661350601</cp:lastModifiedBy>
  <dcterms:modified xsi:type="dcterms:W3CDTF">2025-11-28T07:59:19Z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A3A17A8365C04217A246E809B67C4407_13</vt:lpwstr>
  </property>
  <property fmtid="{D5CDD505-2E9C-101B-9397-08002B2CF9AE}" pid="4" name="KSOTemplateDocerSaveRecord">
    <vt:lpwstr>eyJoZGlkIjoiNGJhN2IxZmVkMDY0ODIxYTEzYTc5MmY2ZmE0ZmZhYmQiLCJ1c2VySWQiOiIxNDAzNDE5MzMzIn0=</vt:lpwstr>
  </property>
</Properties>
</file>