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4AF4C">
      <w:pPr>
        <w:keepNext w:val="0"/>
        <w:keepLines w:val="0"/>
        <w:pageBreakBefore w:val="0"/>
        <w:widowControl w:val="0"/>
        <w:tabs>
          <w:tab w:val="left" w:pos="1418"/>
        </w:tabs>
        <w:kinsoku/>
        <w:wordWrap/>
        <w:overflowPunct/>
        <w:topLinePunct w:val="0"/>
        <w:autoSpaceDE w:val="0"/>
        <w:autoSpaceDN w:val="0"/>
        <w:bidi w:val="0"/>
        <w:adjustRightInd w:val="0"/>
        <w:snapToGrid w:val="0"/>
        <w:spacing w:line="360" w:lineRule="auto"/>
        <w:ind w:firstLine="317" w:firstLineChars="100"/>
        <w:jc w:val="left"/>
        <w:textAlignment w:val="auto"/>
        <w:rPr>
          <w:rFonts w:hint="default" w:ascii="宋体" w:hAnsi="宋体" w:eastAsia="宋体" w:cs="宋体"/>
          <w:b/>
          <w:snapToGrid w:val="0"/>
          <w:color w:val="auto"/>
          <w:w w:val="99"/>
          <w:sz w:val="32"/>
          <w:szCs w:val="32"/>
          <w:highlight w:val="none"/>
          <w:lang w:val="en-US" w:eastAsia="zh-CN"/>
        </w:rPr>
      </w:pPr>
      <w:r>
        <w:rPr>
          <w:rFonts w:hint="eastAsia" w:ascii="宋体" w:hAnsi="宋体" w:cs="宋体"/>
          <w:b/>
          <w:snapToGrid w:val="0"/>
          <w:color w:val="auto"/>
          <w:w w:val="99"/>
          <w:sz w:val="32"/>
          <w:szCs w:val="32"/>
          <w:highlight w:val="none"/>
        </w:rPr>
        <w:t>项目名称：</w:t>
      </w:r>
      <w:r>
        <w:rPr>
          <w:rFonts w:hint="eastAsia" w:ascii="宋体" w:hAnsi="宋体" w:cs="宋体"/>
          <w:b/>
          <w:snapToGrid w:val="0"/>
          <w:color w:val="auto"/>
          <w:w w:val="99"/>
          <w:sz w:val="32"/>
          <w:szCs w:val="32"/>
          <w:highlight w:val="none"/>
          <w:lang w:val="en-US" w:eastAsia="zh-CN"/>
        </w:rPr>
        <w:t>重庆科学城明远未来中学校操场主席台背景墙建设</w:t>
      </w:r>
    </w:p>
    <w:p w14:paraId="334AA4E8">
      <w:pPr>
        <w:keepNext w:val="0"/>
        <w:keepLines w:val="0"/>
        <w:pageBreakBefore w:val="0"/>
        <w:widowControl w:val="0"/>
        <w:tabs>
          <w:tab w:val="left" w:pos="1418"/>
        </w:tabs>
        <w:kinsoku/>
        <w:wordWrap/>
        <w:overflowPunct/>
        <w:topLinePunct w:val="0"/>
        <w:autoSpaceDE w:val="0"/>
        <w:autoSpaceDN w:val="0"/>
        <w:bidi w:val="0"/>
        <w:adjustRightInd w:val="0"/>
        <w:snapToGrid w:val="0"/>
        <w:spacing w:line="360" w:lineRule="auto"/>
        <w:ind w:firstLine="317" w:firstLineChars="100"/>
        <w:jc w:val="left"/>
        <w:textAlignment w:val="auto"/>
        <w:rPr>
          <w:rFonts w:hint="eastAsia" w:ascii="宋体" w:hAnsi="宋体" w:eastAsia="宋体" w:cs="宋体"/>
          <w:b/>
          <w:snapToGrid w:val="0"/>
          <w:color w:val="auto"/>
          <w:w w:val="99"/>
          <w:sz w:val="32"/>
          <w:szCs w:val="32"/>
          <w:highlight w:val="none"/>
          <w:lang w:eastAsia="zh-CN"/>
        </w:rPr>
      </w:pPr>
      <w:r>
        <w:rPr>
          <w:rFonts w:hint="eastAsia" w:ascii="宋体" w:hAnsi="宋体" w:cs="宋体"/>
          <w:b/>
          <w:snapToGrid w:val="0"/>
          <w:color w:val="auto"/>
          <w:w w:val="99"/>
          <w:sz w:val="32"/>
          <w:szCs w:val="32"/>
          <w:highlight w:val="none"/>
        </w:rPr>
        <w:t>项目编号：</w:t>
      </w:r>
      <w:r>
        <w:rPr>
          <w:rFonts w:hint="eastAsia" w:ascii="宋体" w:hAnsi="宋体" w:cs="宋体"/>
          <w:b/>
          <w:snapToGrid w:val="0"/>
          <w:color w:val="auto"/>
          <w:w w:val="99"/>
          <w:sz w:val="32"/>
          <w:szCs w:val="32"/>
          <w:highlight w:val="none"/>
          <w:lang w:val="en-US" w:eastAsia="zh-CN"/>
        </w:rPr>
        <w:t>ACZB-ZXCG-2025392B</w:t>
      </w:r>
    </w:p>
    <w:p w14:paraId="16036508">
      <w:pPr>
        <w:pStyle w:val="4"/>
        <w:rPr>
          <w:rFonts w:ascii="宋体" w:hAnsi="宋体" w:eastAsia="宋体" w:cs="宋体"/>
          <w:color w:val="auto"/>
        </w:rPr>
      </w:pPr>
    </w:p>
    <w:p w14:paraId="7CFBC45E">
      <w:pPr>
        <w:autoSpaceDE w:val="0"/>
        <w:autoSpaceDN w:val="0"/>
        <w:adjustRightInd w:val="0"/>
        <w:snapToGrid w:val="0"/>
        <w:spacing w:line="360" w:lineRule="auto"/>
        <w:jc w:val="left"/>
        <w:rPr>
          <w:rFonts w:ascii="宋体" w:hAnsi="宋体" w:cs="宋体"/>
          <w:color w:val="auto"/>
          <w:kern w:val="0"/>
          <w:sz w:val="20"/>
        </w:rPr>
      </w:pPr>
    </w:p>
    <w:p w14:paraId="71719112">
      <w:pPr>
        <w:rPr>
          <w:rFonts w:ascii="宋体" w:hAnsi="宋体" w:cs="宋体"/>
          <w:b/>
          <w:bCs/>
          <w:color w:val="auto"/>
          <w:sz w:val="32"/>
          <w:szCs w:val="32"/>
        </w:rPr>
      </w:pPr>
    </w:p>
    <w:p w14:paraId="7DFCA91F">
      <w:pPr>
        <w:rPr>
          <w:rFonts w:ascii="宋体" w:hAnsi="宋体" w:cs="宋体"/>
          <w:b/>
          <w:bCs/>
          <w:color w:val="auto"/>
          <w:sz w:val="32"/>
          <w:szCs w:val="32"/>
        </w:rPr>
      </w:pPr>
    </w:p>
    <w:p w14:paraId="617D7CAB">
      <w:pPr>
        <w:pStyle w:val="19"/>
        <w:rPr>
          <w:rFonts w:ascii="宋体" w:hAnsi="宋体" w:cs="宋体"/>
          <w:color w:val="auto"/>
        </w:rPr>
      </w:pPr>
    </w:p>
    <w:p w14:paraId="7253BAE1">
      <w:pPr>
        <w:jc w:val="center"/>
        <w:rPr>
          <w:rFonts w:ascii="宋体" w:hAnsi="宋体" w:cs="宋体"/>
          <w:b/>
          <w:color w:val="auto"/>
          <w:sz w:val="84"/>
          <w:szCs w:val="84"/>
        </w:rPr>
      </w:pPr>
    </w:p>
    <w:p w14:paraId="2B211652">
      <w:pPr>
        <w:jc w:val="center"/>
        <w:rPr>
          <w:rFonts w:ascii="宋体" w:hAnsi="宋体" w:cs="宋体"/>
          <w:b/>
          <w:color w:val="auto"/>
          <w:sz w:val="84"/>
          <w:szCs w:val="84"/>
        </w:rPr>
      </w:pPr>
      <w:r>
        <w:rPr>
          <w:rFonts w:hint="eastAsia" w:ascii="宋体" w:hAnsi="宋体" w:cs="宋体"/>
          <w:b/>
          <w:color w:val="auto"/>
          <w:sz w:val="84"/>
          <w:szCs w:val="84"/>
        </w:rPr>
        <w:t>竞争性比选文件</w:t>
      </w:r>
    </w:p>
    <w:p w14:paraId="6CE56B9F">
      <w:pPr>
        <w:rPr>
          <w:rFonts w:ascii="宋体" w:hAnsi="宋体" w:cs="宋体"/>
          <w:b/>
          <w:bCs/>
          <w:color w:val="auto"/>
          <w:sz w:val="28"/>
        </w:rPr>
      </w:pPr>
    </w:p>
    <w:p w14:paraId="6134F494">
      <w:pPr>
        <w:rPr>
          <w:rFonts w:ascii="宋体" w:hAnsi="宋体" w:cs="宋体"/>
          <w:b/>
          <w:bCs/>
          <w:color w:val="auto"/>
          <w:sz w:val="28"/>
        </w:rPr>
      </w:pPr>
    </w:p>
    <w:p w14:paraId="19B1CE70">
      <w:pPr>
        <w:rPr>
          <w:rFonts w:ascii="宋体" w:hAnsi="宋体" w:cs="宋体"/>
          <w:color w:val="auto"/>
          <w:sz w:val="32"/>
        </w:rPr>
      </w:pPr>
    </w:p>
    <w:p w14:paraId="7D99A647">
      <w:pPr>
        <w:jc w:val="center"/>
        <w:rPr>
          <w:rFonts w:ascii="宋体" w:hAnsi="宋体" w:cs="宋体"/>
          <w:b/>
          <w:bCs/>
          <w:color w:val="auto"/>
          <w:sz w:val="28"/>
        </w:rPr>
      </w:pPr>
    </w:p>
    <w:p w14:paraId="33F5F03C">
      <w:pPr>
        <w:rPr>
          <w:rFonts w:ascii="宋体" w:hAnsi="宋体" w:cs="宋体"/>
          <w:b/>
          <w:bCs/>
          <w:color w:val="auto"/>
          <w:sz w:val="28"/>
        </w:rPr>
      </w:pPr>
    </w:p>
    <w:p w14:paraId="76F490EE">
      <w:pPr>
        <w:jc w:val="center"/>
        <w:rPr>
          <w:rFonts w:ascii="宋体" w:hAnsi="宋体" w:cs="宋体"/>
          <w:color w:val="auto"/>
          <w:sz w:val="32"/>
        </w:rPr>
      </w:pPr>
    </w:p>
    <w:p w14:paraId="5FA73592">
      <w:pPr>
        <w:rPr>
          <w:rFonts w:ascii="宋体" w:hAnsi="宋体" w:cs="宋体"/>
          <w:color w:val="auto"/>
          <w:sz w:val="32"/>
        </w:rPr>
      </w:pPr>
    </w:p>
    <w:p w14:paraId="7530DDB2">
      <w:pPr>
        <w:pStyle w:val="45"/>
        <w:jc w:val="both"/>
        <w:rPr>
          <w:rFonts w:ascii="宋体" w:hAnsi="宋体" w:cs="宋体"/>
          <w:color w:val="auto"/>
          <w:sz w:val="32"/>
          <w:lang w:eastAsia="zh-CN"/>
        </w:rPr>
      </w:pPr>
    </w:p>
    <w:p w14:paraId="0E8A23D7">
      <w:pPr>
        <w:pStyle w:val="45"/>
        <w:jc w:val="both"/>
        <w:rPr>
          <w:rFonts w:ascii="宋体" w:hAnsi="宋体" w:cs="宋体"/>
          <w:color w:val="auto"/>
          <w:sz w:val="32"/>
          <w:lang w:eastAsia="zh-CN"/>
        </w:rPr>
      </w:pPr>
      <w:bookmarkStart w:id="670" w:name="_GoBack"/>
      <w:bookmarkEnd w:id="670"/>
    </w:p>
    <w:p w14:paraId="3BF0B799">
      <w:pPr>
        <w:pStyle w:val="45"/>
        <w:jc w:val="both"/>
        <w:rPr>
          <w:rFonts w:ascii="宋体" w:hAnsi="宋体" w:cs="宋体"/>
          <w:color w:val="auto"/>
          <w:sz w:val="32"/>
          <w:lang w:eastAsia="zh-CN"/>
        </w:rPr>
      </w:pPr>
    </w:p>
    <w:p w14:paraId="664769F4">
      <w:pPr>
        <w:rPr>
          <w:color w:val="auto"/>
          <w:lang w:eastAsia="zh-CN"/>
        </w:rPr>
      </w:pPr>
    </w:p>
    <w:p w14:paraId="12B32866">
      <w:pPr>
        <w:widowControl/>
        <w:ind w:firstLine="562" w:firstLineChars="200"/>
        <w:jc w:val="left"/>
        <w:rPr>
          <w:rFonts w:ascii="宋体" w:hAnsi="宋体" w:cs="宋体"/>
          <w:b/>
          <w:color w:val="auto"/>
          <w:sz w:val="28"/>
          <w:szCs w:val="22"/>
        </w:rPr>
      </w:pPr>
    </w:p>
    <w:p w14:paraId="4DD47309">
      <w:pPr>
        <w:keepNext w:val="0"/>
        <w:keepLines w:val="0"/>
        <w:pageBreakBefore w:val="0"/>
        <w:widowControl w:val="0"/>
        <w:kinsoku/>
        <w:wordWrap/>
        <w:overflowPunct/>
        <w:topLinePunct w:val="0"/>
        <w:autoSpaceDE w:val="0"/>
        <w:autoSpaceDN w:val="0"/>
        <w:bidi w:val="0"/>
        <w:adjustRightInd/>
        <w:snapToGrid/>
        <w:spacing w:line="360" w:lineRule="auto"/>
        <w:ind w:firstLine="337" w:firstLineChars="100"/>
        <w:textAlignment w:val="auto"/>
        <w:rPr>
          <w:rFonts w:ascii="宋体" w:hAnsi="宋体" w:cs="宋体"/>
          <w:b/>
          <w:color w:val="auto"/>
          <w:spacing w:val="8"/>
          <w:sz w:val="32"/>
          <w:szCs w:val="32"/>
          <w:highlight w:val="none"/>
        </w:rPr>
      </w:pPr>
      <w:r>
        <w:rPr>
          <w:rFonts w:hint="eastAsia" w:ascii="宋体" w:hAnsi="宋体" w:cs="宋体"/>
          <w:b/>
          <w:color w:val="auto"/>
          <w:spacing w:val="8"/>
          <w:sz w:val="32"/>
          <w:szCs w:val="32"/>
          <w:highlight w:val="none"/>
        </w:rPr>
        <w:t>比</w:t>
      </w:r>
      <w:r>
        <w:rPr>
          <w:rFonts w:hint="eastAsia" w:ascii="宋体" w:hAnsi="宋体" w:cs="宋体"/>
          <w:b/>
          <w:color w:val="auto"/>
          <w:spacing w:val="8"/>
          <w:sz w:val="32"/>
          <w:szCs w:val="32"/>
          <w:highlight w:val="none"/>
          <w:lang w:val="en-US" w:eastAsia="zh-CN"/>
        </w:rPr>
        <w:t xml:space="preserve">  </w:t>
      </w:r>
      <w:r>
        <w:rPr>
          <w:rFonts w:hint="eastAsia" w:ascii="宋体" w:hAnsi="宋体" w:cs="宋体"/>
          <w:b/>
          <w:color w:val="auto"/>
          <w:spacing w:val="8"/>
          <w:sz w:val="32"/>
          <w:szCs w:val="32"/>
          <w:highlight w:val="none"/>
        </w:rPr>
        <w:t>选</w:t>
      </w:r>
      <w:r>
        <w:rPr>
          <w:rFonts w:hint="eastAsia" w:ascii="宋体" w:hAnsi="宋体" w:cs="宋体"/>
          <w:b/>
          <w:color w:val="auto"/>
          <w:spacing w:val="8"/>
          <w:sz w:val="32"/>
          <w:szCs w:val="32"/>
          <w:highlight w:val="none"/>
          <w:lang w:val="en-US" w:eastAsia="zh-CN"/>
        </w:rPr>
        <w:t xml:space="preserve">  </w:t>
      </w:r>
      <w:r>
        <w:rPr>
          <w:rFonts w:hint="eastAsia" w:ascii="宋体" w:hAnsi="宋体" w:cs="宋体"/>
          <w:b/>
          <w:color w:val="auto"/>
          <w:spacing w:val="8"/>
          <w:sz w:val="32"/>
          <w:szCs w:val="32"/>
          <w:highlight w:val="none"/>
        </w:rPr>
        <w:t>人：</w:t>
      </w:r>
      <w:r>
        <w:rPr>
          <w:rFonts w:hint="eastAsia" w:ascii="宋体" w:hAnsi="宋体" w:cs="宋体"/>
          <w:b/>
          <w:color w:val="auto"/>
          <w:spacing w:val="8"/>
          <w:sz w:val="32"/>
          <w:szCs w:val="32"/>
          <w:highlight w:val="none"/>
          <w:u w:val="single"/>
        </w:rPr>
        <w:t>重庆科学城明远未来中学校</w:t>
      </w:r>
    </w:p>
    <w:p w14:paraId="33E5AD6C">
      <w:pPr>
        <w:keepNext w:val="0"/>
        <w:keepLines w:val="0"/>
        <w:pageBreakBefore w:val="0"/>
        <w:widowControl w:val="0"/>
        <w:kinsoku/>
        <w:wordWrap/>
        <w:overflowPunct/>
        <w:topLinePunct w:val="0"/>
        <w:autoSpaceDE w:val="0"/>
        <w:autoSpaceDN w:val="0"/>
        <w:bidi w:val="0"/>
        <w:adjustRightInd/>
        <w:snapToGrid/>
        <w:spacing w:line="360" w:lineRule="auto"/>
        <w:ind w:firstLine="337" w:firstLineChars="100"/>
        <w:textAlignment w:val="auto"/>
        <w:rPr>
          <w:rFonts w:hint="eastAsia" w:ascii="宋体" w:hAnsi="宋体" w:cs="宋体"/>
          <w:b/>
          <w:color w:val="auto"/>
          <w:w w:val="99"/>
          <w:kern w:val="0"/>
          <w:sz w:val="32"/>
          <w:szCs w:val="32"/>
        </w:rPr>
      </w:pPr>
      <w:r>
        <w:rPr>
          <w:rFonts w:hint="eastAsia" w:ascii="宋体" w:hAnsi="宋体" w:cs="宋体"/>
          <w:b/>
          <w:color w:val="auto"/>
          <w:spacing w:val="8"/>
          <w:sz w:val="32"/>
          <w:szCs w:val="32"/>
        </w:rPr>
        <w:t>比选代理机构：</w:t>
      </w:r>
      <w:r>
        <w:rPr>
          <w:rFonts w:hint="eastAsia" w:ascii="宋体" w:hAnsi="宋体" w:cs="宋体"/>
          <w:b/>
          <w:color w:val="auto"/>
          <w:spacing w:val="8"/>
          <w:sz w:val="32"/>
          <w:szCs w:val="32"/>
          <w:u w:val="single"/>
          <w:lang w:eastAsia="zh-CN"/>
        </w:rPr>
        <w:t>重庆爱采招标代理有限公司</w:t>
      </w:r>
    </w:p>
    <w:p w14:paraId="04AA3129">
      <w:pPr>
        <w:pStyle w:val="19"/>
        <w:rPr>
          <w:color w:val="auto"/>
        </w:rPr>
      </w:pPr>
    </w:p>
    <w:p w14:paraId="7A87988B">
      <w:pPr>
        <w:rPr>
          <w:color w:val="auto"/>
        </w:rPr>
      </w:pPr>
    </w:p>
    <w:p w14:paraId="1D5B00C4">
      <w:pPr>
        <w:pStyle w:val="19"/>
        <w:rPr>
          <w:color w:val="auto"/>
        </w:rPr>
      </w:pPr>
    </w:p>
    <w:p w14:paraId="7DA3CCA1">
      <w:pPr>
        <w:autoSpaceDE w:val="0"/>
        <w:autoSpaceDN w:val="0"/>
        <w:spacing w:line="800" w:lineRule="exact"/>
        <w:jc w:val="center"/>
        <w:rPr>
          <w:rFonts w:ascii="宋体" w:hAnsi="宋体" w:cs="宋体"/>
          <w:b/>
          <w:color w:val="auto"/>
          <w:spacing w:val="8"/>
          <w:sz w:val="32"/>
          <w:szCs w:val="32"/>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134" w:header="567" w:footer="567" w:gutter="0"/>
          <w:pgNumType w:start="0"/>
          <w:cols w:space="720" w:num="1"/>
          <w:docGrid w:linePitch="312" w:charSpace="0"/>
        </w:sectPr>
      </w:pPr>
      <w:r>
        <w:rPr>
          <w:rFonts w:hint="eastAsia" w:ascii="宋体" w:hAnsi="宋体" w:cs="宋体"/>
          <w:b/>
          <w:color w:val="auto"/>
          <w:spacing w:val="8"/>
          <w:sz w:val="32"/>
          <w:szCs w:val="32"/>
          <w:highlight w:val="none"/>
        </w:rPr>
        <w:t>二〇二</w:t>
      </w:r>
      <w:r>
        <w:rPr>
          <w:rFonts w:hint="eastAsia" w:ascii="宋体" w:hAnsi="宋体" w:cs="宋体"/>
          <w:b/>
          <w:color w:val="auto"/>
          <w:spacing w:val="8"/>
          <w:sz w:val="32"/>
          <w:szCs w:val="32"/>
          <w:highlight w:val="none"/>
          <w:lang w:val="en-US" w:eastAsia="zh-CN"/>
        </w:rPr>
        <w:t>五</w:t>
      </w:r>
      <w:r>
        <w:rPr>
          <w:rFonts w:hint="eastAsia" w:ascii="宋体" w:hAnsi="宋体" w:cs="宋体"/>
          <w:b/>
          <w:color w:val="auto"/>
          <w:spacing w:val="8"/>
          <w:sz w:val="32"/>
          <w:szCs w:val="32"/>
          <w:highlight w:val="none"/>
        </w:rPr>
        <w:t>年</w:t>
      </w:r>
      <w:r>
        <w:rPr>
          <w:rFonts w:hint="eastAsia" w:ascii="宋体" w:hAnsi="宋体" w:cs="宋体"/>
          <w:b/>
          <w:color w:val="auto"/>
          <w:spacing w:val="8"/>
          <w:sz w:val="32"/>
          <w:szCs w:val="32"/>
          <w:highlight w:val="none"/>
          <w:u w:val="none"/>
          <w:lang w:val="en-US" w:eastAsia="zh-CN"/>
        </w:rPr>
        <w:t>九</w:t>
      </w:r>
      <w:r>
        <w:rPr>
          <w:rFonts w:hint="eastAsia" w:ascii="宋体" w:hAnsi="宋体" w:cs="宋体"/>
          <w:b/>
          <w:color w:val="auto"/>
          <w:spacing w:val="8"/>
          <w:sz w:val="32"/>
          <w:szCs w:val="32"/>
          <w:highlight w:val="none"/>
        </w:rPr>
        <w:t>月</w:t>
      </w:r>
    </w:p>
    <w:p w14:paraId="525D269D">
      <w:pPr>
        <w:spacing w:line="800" w:lineRule="exact"/>
        <w:jc w:val="center"/>
        <w:rPr>
          <w:rFonts w:ascii="宋体" w:hAnsi="宋体" w:cs="宋体"/>
          <w:b/>
          <w:color w:val="auto"/>
          <w:kern w:val="0"/>
          <w:sz w:val="36"/>
          <w:szCs w:val="36"/>
        </w:rPr>
      </w:pPr>
      <w:r>
        <w:rPr>
          <w:rFonts w:hint="eastAsia" w:ascii="宋体" w:hAnsi="宋体" w:cs="宋体"/>
          <w:b/>
          <w:color w:val="auto"/>
          <w:kern w:val="0"/>
          <w:sz w:val="36"/>
          <w:szCs w:val="36"/>
        </w:rPr>
        <w:t>目 录</w:t>
      </w:r>
    </w:p>
    <w:p w14:paraId="3EB32107">
      <w:pPr>
        <w:pStyle w:val="34"/>
        <w:tabs>
          <w:tab w:val="right" w:leader="dot" w:pos="9638"/>
        </w:tabs>
        <w:rPr>
          <w:color w:val="auto"/>
        </w:rPr>
      </w:pPr>
      <w:r>
        <w:rPr>
          <w:rFonts w:hint="eastAsia" w:ascii="宋体" w:hAnsi="宋体" w:eastAsia="宋体" w:cs="宋体"/>
          <w:caps w:val="0"/>
          <w:smallCaps/>
          <w:color w:val="auto"/>
          <w:kern w:val="0"/>
          <w:sz w:val="24"/>
          <w:szCs w:val="24"/>
        </w:rPr>
        <w:fldChar w:fldCharType="begin"/>
      </w:r>
      <w:r>
        <w:rPr>
          <w:rFonts w:hint="eastAsia" w:ascii="宋体" w:hAnsi="宋体" w:eastAsia="宋体" w:cs="宋体"/>
          <w:caps w:val="0"/>
          <w:smallCaps/>
          <w:color w:val="auto"/>
          <w:kern w:val="0"/>
          <w:sz w:val="24"/>
          <w:szCs w:val="24"/>
        </w:rPr>
        <w:instrText xml:space="preserve"> TOC \o "1-1" \h \z \u </w:instrText>
      </w:r>
      <w:r>
        <w:rPr>
          <w:rFonts w:hint="eastAsia" w:ascii="宋体" w:hAnsi="宋体" w:eastAsia="宋体" w:cs="宋体"/>
          <w:caps w:val="0"/>
          <w:smallCaps/>
          <w:color w:val="auto"/>
          <w:kern w:val="0"/>
          <w:sz w:val="24"/>
          <w:szCs w:val="24"/>
        </w:rPr>
        <w:fldChar w:fldCharType="separate"/>
      </w:r>
      <w:r>
        <w:rPr>
          <w:rFonts w:hint="eastAsia" w:ascii="宋体" w:hAnsi="宋体" w:eastAsia="宋体" w:cs="宋体"/>
          <w:caps w:val="0"/>
          <w:smallCaps/>
          <w:color w:val="auto"/>
          <w:kern w:val="0"/>
          <w:szCs w:val="24"/>
        </w:rPr>
        <w:fldChar w:fldCharType="begin"/>
      </w:r>
      <w:r>
        <w:rPr>
          <w:rFonts w:hint="eastAsia" w:ascii="宋体" w:hAnsi="宋体" w:eastAsia="宋体" w:cs="宋体"/>
          <w:caps w:val="0"/>
          <w:smallCaps/>
          <w:color w:val="auto"/>
          <w:kern w:val="0"/>
          <w:szCs w:val="24"/>
        </w:rPr>
        <w:instrText xml:space="preserve"> HYPERLINK \l _Toc16262 </w:instrText>
      </w:r>
      <w:r>
        <w:rPr>
          <w:rFonts w:hint="eastAsia" w:ascii="宋体" w:hAnsi="宋体" w:eastAsia="宋体" w:cs="宋体"/>
          <w:caps w:val="0"/>
          <w:smallCaps/>
          <w:color w:val="auto"/>
          <w:kern w:val="0"/>
          <w:szCs w:val="24"/>
        </w:rPr>
        <w:fldChar w:fldCharType="separate"/>
      </w:r>
      <w:r>
        <w:rPr>
          <w:rFonts w:hint="eastAsia" w:ascii="宋体" w:hAnsi="宋体" w:eastAsia="宋体" w:cs="宋体"/>
          <w:color w:val="auto"/>
          <w:kern w:val="0"/>
          <w:szCs w:val="36"/>
        </w:rPr>
        <w:t>第一章 比选公告</w:t>
      </w:r>
      <w:r>
        <w:rPr>
          <w:color w:val="auto"/>
        </w:rPr>
        <w:tab/>
      </w:r>
      <w:r>
        <w:rPr>
          <w:color w:val="auto"/>
        </w:rPr>
        <w:fldChar w:fldCharType="begin"/>
      </w:r>
      <w:r>
        <w:rPr>
          <w:color w:val="auto"/>
        </w:rPr>
        <w:instrText xml:space="preserve"> PAGEREF _Toc16262 \h </w:instrText>
      </w:r>
      <w:r>
        <w:rPr>
          <w:color w:val="auto"/>
        </w:rPr>
        <w:fldChar w:fldCharType="separate"/>
      </w:r>
      <w:r>
        <w:rPr>
          <w:color w:val="auto"/>
        </w:rPr>
        <w:t>2</w:t>
      </w:r>
      <w:r>
        <w:rPr>
          <w:color w:val="auto"/>
        </w:rPr>
        <w:fldChar w:fldCharType="end"/>
      </w:r>
      <w:r>
        <w:rPr>
          <w:rFonts w:hint="eastAsia" w:ascii="宋体" w:hAnsi="宋体" w:eastAsia="宋体" w:cs="宋体"/>
          <w:caps w:val="0"/>
          <w:smallCaps/>
          <w:color w:val="auto"/>
          <w:kern w:val="0"/>
          <w:szCs w:val="24"/>
        </w:rPr>
        <w:fldChar w:fldCharType="end"/>
      </w:r>
    </w:p>
    <w:p w14:paraId="7394A7BE">
      <w:pPr>
        <w:pStyle w:val="34"/>
        <w:tabs>
          <w:tab w:val="right" w:leader="dot" w:pos="9638"/>
        </w:tabs>
        <w:rPr>
          <w:color w:val="auto"/>
        </w:rPr>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color w:val="auto"/>
          <w:kern w:val="0"/>
          <w:szCs w:val="24"/>
        </w:rPr>
        <w:instrText xml:space="preserve"> HYPERLINK \l _Toc12142 </w:instrText>
      </w:r>
      <w:r>
        <w:rPr>
          <w:rFonts w:hint="eastAsia" w:ascii="宋体" w:hAnsi="宋体" w:eastAsia="宋体" w:cs="宋体"/>
          <w:caps/>
          <w:smallCaps w:val="0"/>
          <w:color w:val="auto"/>
          <w:kern w:val="0"/>
          <w:szCs w:val="24"/>
        </w:rPr>
        <w:fldChar w:fldCharType="separate"/>
      </w:r>
      <w:r>
        <w:rPr>
          <w:rFonts w:hint="eastAsia" w:ascii="宋体" w:hAnsi="宋体" w:eastAsia="宋体" w:cs="宋体"/>
          <w:color w:val="auto"/>
          <w:kern w:val="0"/>
          <w:szCs w:val="36"/>
        </w:rPr>
        <w:t>第二章 竞选人须知</w:t>
      </w:r>
      <w:r>
        <w:rPr>
          <w:color w:val="auto"/>
        </w:rPr>
        <w:tab/>
      </w:r>
      <w:r>
        <w:rPr>
          <w:color w:val="auto"/>
        </w:rPr>
        <w:fldChar w:fldCharType="begin"/>
      </w:r>
      <w:r>
        <w:rPr>
          <w:color w:val="auto"/>
        </w:rPr>
        <w:instrText xml:space="preserve"> PAGEREF _Toc12142 \h </w:instrText>
      </w:r>
      <w:r>
        <w:rPr>
          <w:color w:val="auto"/>
        </w:rPr>
        <w:fldChar w:fldCharType="separate"/>
      </w:r>
      <w:r>
        <w:rPr>
          <w:color w:val="auto"/>
        </w:rPr>
        <w:t>4</w:t>
      </w:r>
      <w:r>
        <w:rPr>
          <w:color w:val="auto"/>
        </w:rPr>
        <w:fldChar w:fldCharType="end"/>
      </w:r>
      <w:r>
        <w:rPr>
          <w:rFonts w:hint="eastAsia" w:ascii="宋体" w:hAnsi="宋体" w:eastAsia="宋体" w:cs="宋体"/>
          <w:caps/>
          <w:smallCaps w:val="0"/>
          <w:color w:val="auto"/>
          <w:kern w:val="0"/>
          <w:szCs w:val="24"/>
        </w:rPr>
        <w:fldChar w:fldCharType="end"/>
      </w:r>
    </w:p>
    <w:p w14:paraId="77E806DF">
      <w:pPr>
        <w:pStyle w:val="34"/>
        <w:tabs>
          <w:tab w:val="right" w:leader="dot" w:pos="9638"/>
        </w:tabs>
        <w:rPr>
          <w:color w:val="auto"/>
        </w:rPr>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color w:val="auto"/>
          <w:kern w:val="0"/>
          <w:szCs w:val="24"/>
        </w:rPr>
        <w:instrText xml:space="preserve"> HYPERLINK \l _Toc10009 </w:instrText>
      </w:r>
      <w:r>
        <w:rPr>
          <w:rFonts w:hint="eastAsia" w:ascii="宋体" w:hAnsi="宋体" w:eastAsia="宋体" w:cs="宋体"/>
          <w:caps/>
          <w:smallCaps w:val="0"/>
          <w:color w:val="auto"/>
          <w:kern w:val="0"/>
          <w:szCs w:val="24"/>
        </w:rPr>
        <w:fldChar w:fldCharType="separate"/>
      </w:r>
      <w:r>
        <w:rPr>
          <w:rFonts w:hint="eastAsia" w:ascii="宋体" w:hAnsi="宋体" w:eastAsia="宋体" w:cs="宋体"/>
          <w:color w:val="auto"/>
          <w:kern w:val="0"/>
          <w:szCs w:val="36"/>
        </w:rPr>
        <w:t>第三章 评审办法（综合评审法）</w:t>
      </w:r>
      <w:r>
        <w:rPr>
          <w:color w:val="auto"/>
        </w:rPr>
        <w:tab/>
      </w:r>
      <w:r>
        <w:rPr>
          <w:color w:val="auto"/>
        </w:rPr>
        <w:fldChar w:fldCharType="begin"/>
      </w:r>
      <w:r>
        <w:rPr>
          <w:color w:val="auto"/>
        </w:rPr>
        <w:instrText xml:space="preserve"> PAGEREF _Toc10009 \h </w:instrText>
      </w:r>
      <w:r>
        <w:rPr>
          <w:color w:val="auto"/>
        </w:rPr>
        <w:fldChar w:fldCharType="separate"/>
      </w:r>
      <w:r>
        <w:rPr>
          <w:color w:val="auto"/>
        </w:rPr>
        <w:t>18</w:t>
      </w:r>
      <w:r>
        <w:rPr>
          <w:color w:val="auto"/>
        </w:rPr>
        <w:fldChar w:fldCharType="end"/>
      </w:r>
      <w:r>
        <w:rPr>
          <w:rFonts w:hint="eastAsia" w:ascii="宋体" w:hAnsi="宋体" w:eastAsia="宋体" w:cs="宋体"/>
          <w:caps/>
          <w:smallCaps w:val="0"/>
          <w:color w:val="auto"/>
          <w:kern w:val="0"/>
          <w:szCs w:val="24"/>
        </w:rPr>
        <w:fldChar w:fldCharType="end"/>
      </w:r>
    </w:p>
    <w:p w14:paraId="071DD148">
      <w:pPr>
        <w:pStyle w:val="34"/>
        <w:tabs>
          <w:tab w:val="right" w:leader="dot" w:pos="9638"/>
        </w:tabs>
        <w:rPr>
          <w:color w:val="auto"/>
        </w:rPr>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color w:val="auto"/>
          <w:kern w:val="0"/>
          <w:szCs w:val="24"/>
        </w:rPr>
        <w:instrText xml:space="preserve"> HYPERLINK \l _Toc21152 </w:instrText>
      </w:r>
      <w:r>
        <w:rPr>
          <w:rFonts w:hint="eastAsia" w:ascii="宋体" w:hAnsi="宋体" w:eastAsia="宋体" w:cs="宋体"/>
          <w:caps/>
          <w:smallCaps w:val="0"/>
          <w:color w:val="auto"/>
          <w:kern w:val="0"/>
          <w:szCs w:val="24"/>
        </w:rPr>
        <w:fldChar w:fldCharType="separate"/>
      </w:r>
      <w:r>
        <w:rPr>
          <w:rFonts w:hint="eastAsia" w:ascii="宋体" w:hAnsi="宋体" w:eastAsia="宋体" w:cs="宋体"/>
          <w:color w:val="auto"/>
          <w:kern w:val="0"/>
          <w:szCs w:val="36"/>
        </w:rPr>
        <w:t>第四章 合同条款</w:t>
      </w:r>
      <w:r>
        <w:rPr>
          <w:color w:val="auto"/>
        </w:rPr>
        <w:tab/>
      </w:r>
      <w:r>
        <w:rPr>
          <w:color w:val="auto"/>
        </w:rPr>
        <w:fldChar w:fldCharType="begin"/>
      </w:r>
      <w:r>
        <w:rPr>
          <w:color w:val="auto"/>
        </w:rPr>
        <w:instrText xml:space="preserve"> PAGEREF _Toc21152 \h </w:instrText>
      </w:r>
      <w:r>
        <w:rPr>
          <w:color w:val="auto"/>
        </w:rPr>
        <w:fldChar w:fldCharType="separate"/>
      </w:r>
      <w:r>
        <w:rPr>
          <w:color w:val="auto"/>
        </w:rPr>
        <w:t>26</w:t>
      </w:r>
      <w:r>
        <w:rPr>
          <w:color w:val="auto"/>
        </w:rPr>
        <w:fldChar w:fldCharType="end"/>
      </w:r>
      <w:r>
        <w:rPr>
          <w:rFonts w:hint="eastAsia" w:ascii="宋体" w:hAnsi="宋体" w:eastAsia="宋体" w:cs="宋体"/>
          <w:caps/>
          <w:smallCaps w:val="0"/>
          <w:color w:val="auto"/>
          <w:kern w:val="0"/>
          <w:szCs w:val="24"/>
        </w:rPr>
        <w:fldChar w:fldCharType="end"/>
      </w:r>
    </w:p>
    <w:p w14:paraId="052E5B49">
      <w:pPr>
        <w:pStyle w:val="34"/>
        <w:tabs>
          <w:tab w:val="right" w:leader="dot" w:pos="9638"/>
        </w:tabs>
        <w:rPr>
          <w:color w:val="auto"/>
        </w:rPr>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color w:val="auto"/>
          <w:kern w:val="0"/>
          <w:szCs w:val="24"/>
        </w:rPr>
        <w:instrText xml:space="preserve"> HYPERLINK \l _Toc7777 </w:instrText>
      </w:r>
      <w:r>
        <w:rPr>
          <w:rFonts w:hint="eastAsia" w:ascii="宋体" w:hAnsi="宋体" w:eastAsia="宋体" w:cs="宋体"/>
          <w:caps/>
          <w:smallCaps w:val="0"/>
          <w:color w:val="auto"/>
          <w:kern w:val="0"/>
          <w:szCs w:val="24"/>
        </w:rPr>
        <w:fldChar w:fldCharType="separate"/>
      </w:r>
      <w:r>
        <w:rPr>
          <w:rFonts w:hint="eastAsia" w:ascii="宋体" w:hAnsi="宋体" w:eastAsia="宋体" w:cs="宋体"/>
          <w:color w:val="auto"/>
          <w:kern w:val="0"/>
          <w:szCs w:val="36"/>
        </w:rPr>
        <w:t>第五章 工程量清单</w:t>
      </w:r>
      <w:r>
        <w:rPr>
          <w:color w:val="auto"/>
        </w:rPr>
        <w:tab/>
      </w:r>
      <w:r>
        <w:rPr>
          <w:color w:val="auto"/>
        </w:rPr>
        <w:fldChar w:fldCharType="begin"/>
      </w:r>
      <w:r>
        <w:rPr>
          <w:color w:val="auto"/>
        </w:rPr>
        <w:instrText xml:space="preserve"> PAGEREF _Toc7777 \h </w:instrText>
      </w:r>
      <w:r>
        <w:rPr>
          <w:color w:val="auto"/>
        </w:rPr>
        <w:fldChar w:fldCharType="separate"/>
      </w:r>
      <w:r>
        <w:rPr>
          <w:color w:val="auto"/>
        </w:rPr>
        <w:t>29</w:t>
      </w:r>
      <w:r>
        <w:rPr>
          <w:color w:val="auto"/>
        </w:rPr>
        <w:fldChar w:fldCharType="end"/>
      </w:r>
      <w:r>
        <w:rPr>
          <w:rFonts w:hint="eastAsia" w:ascii="宋体" w:hAnsi="宋体" w:eastAsia="宋体" w:cs="宋体"/>
          <w:caps/>
          <w:smallCaps w:val="0"/>
          <w:color w:val="auto"/>
          <w:kern w:val="0"/>
          <w:szCs w:val="24"/>
        </w:rPr>
        <w:fldChar w:fldCharType="end"/>
      </w:r>
    </w:p>
    <w:p w14:paraId="50BC65AF">
      <w:pPr>
        <w:pStyle w:val="34"/>
        <w:tabs>
          <w:tab w:val="right" w:leader="dot" w:pos="9638"/>
        </w:tabs>
        <w:rPr>
          <w:color w:val="auto"/>
        </w:rPr>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color w:val="auto"/>
          <w:kern w:val="0"/>
          <w:szCs w:val="24"/>
        </w:rPr>
        <w:instrText xml:space="preserve"> HYPERLINK \l _Toc32334 </w:instrText>
      </w:r>
      <w:r>
        <w:rPr>
          <w:rFonts w:hint="eastAsia" w:ascii="宋体" w:hAnsi="宋体" w:eastAsia="宋体" w:cs="宋体"/>
          <w:caps/>
          <w:smallCaps w:val="0"/>
          <w:color w:val="auto"/>
          <w:kern w:val="0"/>
          <w:szCs w:val="24"/>
        </w:rPr>
        <w:fldChar w:fldCharType="separate"/>
      </w:r>
      <w:r>
        <w:rPr>
          <w:rFonts w:hint="eastAsia" w:ascii="宋体" w:hAnsi="宋体" w:eastAsia="宋体" w:cs="宋体"/>
          <w:color w:val="auto"/>
          <w:kern w:val="0"/>
          <w:szCs w:val="36"/>
          <w:lang w:val="en-US" w:eastAsia="zh-CN"/>
        </w:rPr>
        <w:t>第六章  图   纸</w:t>
      </w:r>
      <w:r>
        <w:rPr>
          <w:color w:val="auto"/>
        </w:rPr>
        <w:tab/>
      </w:r>
      <w:r>
        <w:rPr>
          <w:color w:val="auto"/>
        </w:rPr>
        <w:fldChar w:fldCharType="begin"/>
      </w:r>
      <w:r>
        <w:rPr>
          <w:color w:val="auto"/>
        </w:rPr>
        <w:instrText xml:space="preserve"> PAGEREF _Toc32334 \h </w:instrText>
      </w:r>
      <w:r>
        <w:rPr>
          <w:color w:val="auto"/>
        </w:rPr>
        <w:fldChar w:fldCharType="separate"/>
      </w:r>
      <w:r>
        <w:rPr>
          <w:color w:val="auto"/>
        </w:rPr>
        <w:t>29</w:t>
      </w:r>
      <w:r>
        <w:rPr>
          <w:color w:val="auto"/>
        </w:rPr>
        <w:fldChar w:fldCharType="end"/>
      </w:r>
      <w:r>
        <w:rPr>
          <w:rFonts w:hint="eastAsia" w:ascii="宋体" w:hAnsi="宋体" w:eastAsia="宋体" w:cs="宋体"/>
          <w:caps/>
          <w:smallCaps w:val="0"/>
          <w:color w:val="auto"/>
          <w:kern w:val="0"/>
          <w:szCs w:val="24"/>
        </w:rPr>
        <w:fldChar w:fldCharType="end"/>
      </w:r>
    </w:p>
    <w:p w14:paraId="423BFE00">
      <w:pPr>
        <w:pStyle w:val="34"/>
        <w:tabs>
          <w:tab w:val="right" w:leader="dot" w:pos="9638"/>
        </w:tabs>
        <w:rPr>
          <w:color w:val="auto"/>
        </w:rPr>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color w:val="auto"/>
          <w:kern w:val="0"/>
          <w:szCs w:val="24"/>
        </w:rPr>
        <w:instrText xml:space="preserve"> HYPERLINK \l _Toc19050 </w:instrText>
      </w:r>
      <w:r>
        <w:rPr>
          <w:rFonts w:hint="eastAsia" w:ascii="宋体" w:hAnsi="宋体" w:eastAsia="宋体" w:cs="宋体"/>
          <w:caps/>
          <w:smallCaps w:val="0"/>
          <w:color w:val="auto"/>
          <w:kern w:val="0"/>
          <w:szCs w:val="24"/>
        </w:rPr>
        <w:fldChar w:fldCharType="separate"/>
      </w:r>
      <w:r>
        <w:rPr>
          <w:rFonts w:hint="eastAsia" w:ascii="宋体" w:hAnsi="宋体" w:eastAsia="宋体" w:cs="宋体"/>
          <w:color w:val="auto"/>
          <w:kern w:val="0"/>
          <w:szCs w:val="36"/>
          <w:lang w:val="en-US" w:eastAsia="zh-CN"/>
        </w:rPr>
        <w:t>第七章  技术标准和要求</w:t>
      </w:r>
      <w:r>
        <w:rPr>
          <w:color w:val="auto"/>
        </w:rPr>
        <w:tab/>
      </w:r>
      <w:r>
        <w:rPr>
          <w:color w:val="auto"/>
        </w:rPr>
        <w:fldChar w:fldCharType="begin"/>
      </w:r>
      <w:r>
        <w:rPr>
          <w:color w:val="auto"/>
        </w:rPr>
        <w:instrText xml:space="preserve"> PAGEREF _Toc19050 \h </w:instrText>
      </w:r>
      <w:r>
        <w:rPr>
          <w:color w:val="auto"/>
        </w:rPr>
        <w:fldChar w:fldCharType="separate"/>
      </w:r>
      <w:r>
        <w:rPr>
          <w:color w:val="auto"/>
        </w:rPr>
        <w:t>29</w:t>
      </w:r>
      <w:r>
        <w:rPr>
          <w:color w:val="auto"/>
        </w:rPr>
        <w:fldChar w:fldCharType="end"/>
      </w:r>
      <w:r>
        <w:rPr>
          <w:rFonts w:hint="eastAsia" w:ascii="宋体" w:hAnsi="宋体" w:eastAsia="宋体" w:cs="宋体"/>
          <w:caps/>
          <w:smallCaps w:val="0"/>
          <w:color w:val="auto"/>
          <w:kern w:val="0"/>
          <w:szCs w:val="24"/>
        </w:rPr>
        <w:fldChar w:fldCharType="end"/>
      </w:r>
    </w:p>
    <w:p w14:paraId="2A1876D9">
      <w:pPr>
        <w:pStyle w:val="34"/>
        <w:tabs>
          <w:tab w:val="right" w:leader="dot" w:pos="9638"/>
        </w:tabs>
        <w:rPr>
          <w:color w:val="auto"/>
        </w:rPr>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color w:val="auto"/>
          <w:kern w:val="0"/>
          <w:szCs w:val="24"/>
        </w:rPr>
        <w:instrText xml:space="preserve"> HYPERLINK \l _Toc16922 </w:instrText>
      </w:r>
      <w:r>
        <w:rPr>
          <w:rFonts w:hint="eastAsia" w:ascii="宋体" w:hAnsi="宋体" w:eastAsia="宋体" w:cs="宋体"/>
          <w:caps/>
          <w:smallCaps w:val="0"/>
          <w:color w:val="auto"/>
          <w:kern w:val="0"/>
          <w:szCs w:val="24"/>
        </w:rPr>
        <w:fldChar w:fldCharType="separate"/>
      </w:r>
      <w:r>
        <w:rPr>
          <w:rFonts w:hint="eastAsia" w:ascii="宋体" w:hAnsi="宋体" w:eastAsia="宋体" w:cs="宋体"/>
          <w:color w:val="auto"/>
          <w:kern w:val="0"/>
          <w:szCs w:val="36"/>
        </w:rPr>
        <w:t>第</w:t>
      </w:r>
      <w:r>
        <w:rPr>
          <w:rFonts w:hint="eastAsia" w:ascii="宋体" w:hAnsi="宋体" w:eastAsia="宋体" w:cs="宋体"/>
          <w:color w:val="auto"/>
          <w:kern w:val="0"/>
          <w:szCs w:val="36"/>
          <w:lang w:val="en-US" w:eastAsia="zh-CN"/>
        </w:rPr>
        <w:t>八</w:t>
      </w:r>
      <w:r>
        <w:rPr>
          <w:rFonts w:hint="eastAsia" w:ascii="宋体" w:hAnsi="宋体" w:eastAsia="宋体" w:cs="宋体"/>
          <w:color w:val="auto"/>
          <w:kern w:val="0"/>
          <w:szCs w:val="36"/>
        </w:rPr>
        <w:t>章  竞选文件格式</w:t>
      </w:r>
      <w:r>
        <w:rPr>
          <w:color w:val="auto"/>
        </w:rPr>
        <w:tab/>
      </w:r>
      <w:r>
        <w:rPr>
          <w:color w:val="auto"/>
        </w:rPr>
        <w:fldChar w:fldCharType="begin"/>
      </w:r>
      <w:r>
        <w:rPr>
          <w:color w:val="auto"/>
        </w:rPr>
        <w:instrText xml:space="preserve"> PAGEREF _Toc16922 \h </w:instrText>
      </w:r>
      <w:r>
        <w:rPr>
          <w:color w:val="auto"/>
        </w:rPr>
        <w:fldChar w:fldCharType="separate"/>
      </w:r>
      <w:r>
        <w:rPr>
          <w:color w:val="auto"/>
        </w:rPr>
        <w:t>30</w:t>
      </w:r>
      <w:r>
        <w:rPr>
          <w:color w:val="auto"/>
        </w:rPr>
        <w:fldChar w:fldCharType="end"/>
      </w:r>
      <w:r>
        <w:rPr>
          <w:rFonts w:hint="eastAsia" w:ascii="宋体" w:hAnsi="宋体" w:eastAsia="宋体" w:cs="宋体"/>
          <w:caps/>
          <w:smallCaps w:val="0"/>
          <w:color w:val="auto"/>
          <w:kern w:val="0"/>
          <w:szCs w:val="24"/>
        </w:rPr>
        <w:fldChar w:fldCharType="end"/>
      </w:r>
    </w:p>
    <w:p w14:paraId="2F777973">
      <w:pPr>
        <w:pStyle w:val="34"/>
        <w:tabs>
          <w:tab w:val="right" w:leader="dot" w:pos="9638"/>
        </w:tabs>
        <w:rPr>
          <w:color w:val="auto"/>
        </w:rPr>
      </w:pPr>
    </w:p>
    <w:p w14:paraId="440BDB16">
      <w:pPr>
        <w:pStyle w:val="40"/>
        <w:tabs>
          <w:tab w:val="right" w:leader="dot" w:pos="9638"/>
          <w:tab w:val="clear" w:pos="8609"/>
        </w:tabs>
        <w:adjustRightInd w:val="0"/>
        <w:snapToGrid w:val="0"/>
        <w:spacing w:line="800" w:lineRule="exact"/>
        <w:ind w:left="0"/>
        <w:jc w:val="both"/>
        <w:rPr>
          <w:rFonts w:ascii="宋体" w:hAnsi="宋体" w:eastAsia="宋体" w:cs="宋体"/>
          <w:bCs/>
          <w:color w:val="auto"/>
          <w:kern w:val="0"/>
          <w:sz w:val="24"/>
          <w:szCs w:val="24"/>
        </w:rPr>
      </w:pPr>
      <w:r>
        <w:rPr>
          <w:rFonts w:hint="eastAsia" w:ascii="宋体" w:hAnsi="宋体" w:eastAsia="宋体" w:cs="宋体"/>
          <w:caps/>
          <w:smallCaps w:val="0"/>
          <w:color w:val="auto"/>
          <w:kern w:val="0"/>
          <w:szCs w:val="24"/>
        </w:rPr>
        <w:fldChar w:fldCharType="end"/>
      </w:r>
    </w:p>
    <w:p w14:paraId="7AE826F9">
      <w:pPr>
        <w:pStyle w:val="2"/>
        <w:numPr>
          <w:ilvl w:val="0"/>
          <w:numId w:val="0"/>
        </w:numPr>
        <w:spacing w:after="156" w:afterLines="50" w:line="500" w:lineRule="exact"/>
        <w:rPr>
          <w:rFonts w:ascii="宋体" w:hAnsi="宋体" w:eastAsia="宋体" w:cs="宋体"/>
          <w:b/>
          <w:color w:val="auto"/>
          <w:kern w:val="0"/>
        </w:rPr>
      </w:pPr>
      <w:r>
        <w:rPr>
          <w:rFonts w:hint="eastAsia" w:ascii="宋体" w:hAnsi="宋体" w:eastAsia="宋体" w:cs="宋体"/>
          <w:b/>
          <w:color w:val="auto"/>
          <w:kern w:val="0"/>
          <w:sz w:val="36"/>
          <w:szCs w:val="36"/>
        </w:rPr>
        <w:br w:type="page"/>
      </w:r>
      <w:bookmarkStart w:id="0" w:name="_Toc16262"/>
      <w:r>
        <w:rPr>
          <w:rFonts w:hint="eastAsia" w:ascii="宋体" w:hAnsi="宋体" w:eastAsia="宋体" w:cs="宋体"/>
          <w:b/>
          <w:color w:val="auto"/>
          <w:kern w:val="0"/>
          <w:sz w:val="36"/>
          <w:szCs w:val="36"/>
        </w:rPr>
        <w:t>第一章 比选公告</w:t>
      </w:r>
      <w:bookmarkEnd w:id="0"/>
    </w:p>
    <w:p w14:paraId="130FD3C3">
      <w:pPr>
        <w:keepNext w:val="0"/>
        <w:keepLines w:val="0"/>
        <w:pageBreakBefore w:val="0"/>
        <w:widowControl w:val="0"/>
        <w:tabs>
          <w:tab w:val="left" w:pos="1418"/>
        </w:tabs>
        <w:kinsoku/>
        <w:wordWrap/>
        <w:overflowPunct/>
        <w:topLinePunct w:val="0"/>
        <w:autoSpaceDE w:val="0"/>
        <w:autoSpaceDN w:val="0"/>
        <w:bidi w:val="0"/>
        <w:adjustRightInd w:val="0"/>
        <w:snapToGrid w:val="0"/>
        <w:spacing w:after="156" w:afterLines="50" w:line="500" w:lineRule="exact"/>
        <w:jc w:val="center"/>
        <w:textAlignment w:val="auto"/>
        <w:outlineLvl w:val="1"/>
        <w:rPr>
          <w:rFonts w:ascii="宋体" w:hAnsi="宋体" w:cs="宋体"/>
          <w:color w:val="auto"/>
          <w:highlight w:val="none"/>
        </w:rPr>
      </w:pPr>
      <w:r>
        <w:rPr>
          <w:rFonts w:hint="eastAsia" w:ascii="宋体" w:hAnsi="宋体" w:cs="宋体"/>
          <w:b/>
          <w:snapToGrid w:val="0"/>
          <w:color w:val="auto"/>
          <w:w w:val="99"/>
          <w:kern w:val="0"/>
          <w:sz w:val="28"/>
          <w:szCs w:val="28"/>
          <w:highlight w:val="none"/>
          <w:lang w:eastAsia="zh-CN"/>
        </w:rPr>
        <w:t>重庆科学城明远未来中学校操场主席台背景墙建设</w:t>
      </w:r>
      <w:r>
        <w:rPr>
          <w:rFonts w:hint="eastAsia" w:ascii="宋体" w:hAnsi="宋体" w:cs="宋体"/>
          <w:b/>
          <w:snapToGrid w:val="0"/>
          <w:color w:val="auto"/>
          <w:w w:val="99"/>
          <w:kern w:val="0"/>
          <w:sz w:val="28"/>
          <w:szCs w:val="28"/>
          <w:highlight w:val="none"/>
        </w:rPr>
        <w:t>比选公告</w:t>
      </w:r>
    </w:p>
    <w:p w14:paraId="64ECACEB">
      <w:pPr>
        <w:pStyle w:val="3"/>
        <w:keepNext/>
        <w:keepLines/>
        <w:autoSpaceDE/>
        <w:autoSpaceDN/>
        <w:spacing w:line="500" w:lineRule="exact"/>
        <w:jc w:val="both"/>
        <w:rPr>
          <w:rFonts w:ascii="宋体" w:hAnsi="宋体" w:eastAsia="宋体" w:cs="宋体"/>
          <w:bCs/>
          <w:color w:val="auto"/>
          <w:spacing w:val="0"/>
          <w:w w:val="100"/>
          <w:kern w:val="0"/>
          <w:sz w:val="21"/>
          <w:szCs w:val="21"/>
          <w:highlight w:val="none"/>
        </w:rPr>
      </w:pPr>
      <w:bookmarkStart w:id="1" w:name="_Toc16223"/>
      <w:r>
        <w:rPr>
          <w:rFonts w:hint="eastAsia" w:ascii="宋体" w:hAnsi="宋体" w:eastAsia="宋体" w:cs="宋体"/>
          <w:bCs/>
          <w:color w:val="auto"/>
          <w:spacing w:val="0"/>
          <w:w w:val="100"/>
          <w:kern w:val="0"/>
          <w:sz w:val="21"/>
          <w:szCs w:val="21"/>
          <w:highlight w:val="none"/>
        </w:rPr>
        <w:t>1.比选条件</w:t>
      </w:r>
      <w:bookmarkEnd w:id="1"/>
    </w:p>
    <w:p w14:paraId="7C882129">
      <w:pPr>
        <w:widowControl/>
        <w:adjustRightInd w:val="0"/>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u w:val="single"/>
          <w:lang w:val="en-US" w:eastAsia="zh-CN"/>
        </w:rPr>
        <w:t>重庆科学城明远未来中学校操场主席台背景墙建设</w:t>
      </w:r>
      <w:r>
        <w:rPr>
          <w:rFonts w:hint="eastAsia" w:ascii="宋体" w:hAnsi="宋体" w:cs="宋体"/>
          <w:color w:val="auto"/>
          <w:szCs w:val="21"/>
          <w:highlight w:val="none"/>
        </w:rPr>
        <w:t>已由</w:t>
      </w:r>
      <w:r>
        <w:rPr>
          <w:rFonts w:hint="eastAsia" w:ascii="宋体" w:hAnsi="宋体" w:cs="宋体"/>
          <w:color w:val="auto"/>
          <w:szCs w:val="21"/>
          <w:highlight w:val="none"/>
          <w:u w:val="single"/>
          <w:lang w:val="en-US" w:eastAsia="zh-CN"/>
        </w:rPr>
        <w:t>重庆科学城明远未来中学校</w:t>
      </w:r>
      <w:r>
        <w:rPr>
          <w:rFonts w:hint="eastAsia" w:ascii="宋体" w:hAnsi="宋体" w:cs="宋体"/>
          <w:color w:val="auto"/>
          <w:szCs w:val="21"/>
          <w:highlight w:val="none"/>
        </w:rPr>
        <w:t>批准实施，项目业主为</w:t>
      </w:r>
      <w:r>
        <w:rPr>
          <w:rFonts w:hint="eastAsia" w:ascii="宋体" w:hAnsi="宋体" w:cs="宋体"/>
          <w:color w:val="auto"/>
          <w:szCs w:val="21"/>
          <w:highlight w:val="none"/>
          <w:u w:val="single"/>
          <w:lang w:val="en-US" w:eastAsia="zh-CN"/>
        </w:rPr>
        <w:t>重庆科学城明远未来中学校</w:t>
      </w:r>
      <w:r>
        <w:rPr>
          <w:rFonts w:hint="eastAsia" w:ascii="宋体" w:hAnsi="宋体" w:cs="宋体"/>
          <w:color w:val="auto"/>
          <w:szCs w:val="21"/>
          <w:highlight w:val="none"/>
        </w:rPr>
        <w:t>，项目资金</w:t>
      </w:r>
      <w:r>
        <w:rPr>
          <w:rFonts w:hint="eastAsia" w:ascii="宋体" w:hAnsi="宋体" w:cs="宋体"/>
          <w:color w:val="auto"/>
          <w:szCs w:val="21"/>
          <w:highlight w:val="none"/>
          <w:u w:val="single"/>
        </w:rPr>
        <w:t>财政预算资金</w:t>
      </w:r>
      <w:r>
        <w:rPr>
          <w:rFonts w:hint="eastAsia" w:ascii="宋体" w:hAnsi="宋体" w:cs="宋体"/>
          <w:color w:val="auto"/>
          <w:szCs w:val="21"/>
          <w:highlight w:val="none"/>
        </w:rPr>
        <w:t>，出资比例为</w:t>
      </w:r>
      <w:r>
        <w:rPr>
          <w:rFonts w:hint="eastAsia" w:ascii="宋体" w:hAnsi="宋体" w:cs="宋体"/>
          <w:color w:val="auto"/>
          <w:szCs w:val="21"/>
          <w:highlight w:val="none"/>
          <w:u w:val="single"/>
        </w:rPr>
        <w:t>100%</w:t>
      </w:r>
      <w:r>
        <w:rPr>
          <w:rFonts w:hint="eastAsia" w:ascii="宋体" w:hAnsi="宋体" w:cs="宋体"/>
          <w:color w:val="auto"/>
          <w:szCs w:val="21"/>
          <w:highlight w:val="none"/>
        </w:rPr>
        <w:t>，比选人为</w:t>
      </w:r>
      <w:r>
        <w:rPr>
          <w:rFonts w:hint="eastAsia" w:ascii="宋体" w:hAnsi="宋体" w:cs="宋体"/>
          <w:color w:val="auto"/>
          <w:szCs w:val="21"/>
          <w:highlight w:val="none"/>
          <w:u w:val="single"/>
          <w:lang w:val="en-US" w:eastAsia="zh-CN"/>
        </w:rPr>
        <w:t>重庆科学城明远未来中学校</w:t>
      </w:r>
      <w:r>
        <w:rPr>
          <w:rFonts w:hint="eastAsia" w:ascii="宋体" w:hAnsi="宋体" w:cs="宋体"/>
          <w:color w:val="auto"/>
          <w:szCs w:val="21"/>
          <w:highlight w:val="none"/>
        </w:rPr>
        <w:t>。项目已具备竞争性比选条件，现对该项目进行公开竞争性比选。</w:t>
      </w:r>
    </w:p>
    <w:p w14:paraId="7E71354A">
      <w:pPr>
        <w:pStyle w:val="3"/>
        <w:keepNext/>
        <w:keepLines/>
        <w:autoSpaceDE/>
        <w:autoSpaceDN/>
        <w:spacing w:line="500" w:lineRule="exact"/>
        <w:jc w:val="both"/>
        <w:rPr>
          <w:rFonts w:ascii="宋体" w:hAnsi="宋体" w:eastAsia="宋体" w:cs="宋体"/>
          <w:bCs/>
          <w:color w:val="auto"/>
          <w:spacing w:val="0"/>
          <w:w w:val="100"/>
          <w:kern w:val="0"/>
          <w:sz w:val="21"/>
          <w:szCs w:val="21"/>
          <w:highlight w:val="none"/>
        </w:rPr>
      </w:pPr>
      <w:bookmarkStart w:id="2" w:name="_Toc24523"/>
      <w:r>
        <w:rPr>
          <w:rFonts w:hint="eastAsia" w:ascii="宋体" w:hAnsi="宋体" w:eastAsia="宋体" w:cs="宋体"/>
          <w:bCs/>
          <w:color w:val="auto"/>
          <w:spacing w:val="0"/>
          <w:w w:val="100"/>
          <w:kern w:val="0"/>
          <w:sz w:val="21"/>
          <w:szCs w:val="21"/>
        </w:rPr>
        <w:t>2.项目</w:t>
      </w:r>
      <w:r>
        <w:rPr>
          <w:rFonts w:hint="eastAsia" w:ascii="宋体" w:hAnsi="宋体" w:eastAsia="宋体" w:cs="宋体"/>
          <w:bCs/>
          <w:color w:val="auto"/>
          <w:spacing w:val="0"/>
          <w:w w:val="100"/>
          <w:kern w:val="0"/>
          <w:sz w:val="21"/>
          <w:szCs w:val="21"/>
          <w:highlight w:val="none"/>
        </w:rPr>
        <w:t>概况与比选范围</w:t>
      </w:r>
      <w:bookmarkEnd w:id="2"/>
    </w:p>
    <w:p w14:paraId="241006A7">
      <w:pPr>
        <w:spacing w:line="440" w:lineRule="exact"/>
        <w:ind w:firstLine="420" w:firstLineChars="200"/>
        <w:rPr>
          <w:rFonts w:ascii="宋体" w:hAnsi="宋体" w:cs="宋体"/>
          <w:color w:val="auto"/>
          <w:szCs w:val="21"/>
          <w:highlight w:val="none"/>
        </w:rPr>
      </w:pPr>
      <w:bookmarkStart w:id="3" w:name="_Toc3086"/>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建设</w:t>
      </w:r>
      <w:r>
        <w:rPr>
          <w:rFonts w:hint="eastAsia" w:ascii="宋体" w:hAnsi="宋体" w:cs="宋体"/>
          <w:color w:val="auto"/>
          <w:szCs w:val="21"/>
          <w:highlight w:val="none"/>
        </w:rPr>
        <w:t>地点：</w:t>
      </w:r>
      <w:r>
        <w:rPr>
          <w:rFonts w:hint="eastAsia" w:ascii="宋体" w:hAnsi="宋体" w:cs="宋体"/>
          <w:color w:val="auto"/>
          <w:szCs w:val="21"/>
          <w:highlight w:val="none"/>
          <w:u w:val="none"/>
          <w:lang w:val="en-US" w:eastAsia="zh-CN"/>
        </w:rPr>
        <w:t>重庆科学城明远未来中学校</w:t>
      </w:r>
      <w:r>
        <w:rPr>
          <w:rFonts w:hint="eastAsia" w:ascii="宋体" w:hAnsi="宋体" w:cs="宋体"/>
          <w:color w:val="auto"/>
          <w:szCs w:val="21"/>
          <w:highlight w:val="none"/>
        </w:rPr>
        <w:t>。</w:t>
      </w:r>
    </w:p>
    <w:p w14:paraId="3D5AA88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2.2项目概况：</w:t>
      </w:r>
      <w:r>
        <w:rPr>
          <w:rFonts w:hint="eastAsia" w:ascii="宋体" w:hAnsi="宋体" w:cs="宋体"/>
          <w:color w:val="auto"/>
          <w:szCs w:val="21"/>
          <w:highlight w:val="none"/>
          <w:u w:val="single"/>
          <w:lang w:val="en-US" w:eastAsia="zh-CN"/>
        </w:rPr>
        <w:t>包含不限于挖沟槽土方、沟槽土方回填、余方弃置起运1KM、C15混凝土垫层等工程内容</w:t>
      </w:r>
      <w:r>
        <w:rPr>
          <w:rFonts w:hint="eastAsia" w:ascii="宋体" w:hAnsi="宋体" w:cs="宋体"/>
          <w:color w:val="auto"/>
          <w:szCs w:val="21"/>
          <w:highlight w:val="none"/>
        </w:rPr>
        <w:t>。</w:t>
      </w:r>
    </w:p>
    <w:p w14:paraId="11E18A3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2.3采购金额：</w:t>
      </w:r>
      <w:r>
        <w:rPr>
          <w:rFonts w:hint="eastAsia" w:ascii="宋体" w:hAnsi="宋体" w:cs="宋体"/>
          <w:color w:val="auto"/>
          <w:szCs w:val="21"/>
          <w:highlight w:val="none"/>
          <w:u w:val="single"/>
          <w:lang w:eastAsia="zh-CN"/>
        </w:rPr>
        <w:t>220039.96</w:t>
      </w:r>
      <w:r>
        <w:rPr>
          <w:rFonts w:hint="eastAsia" w:ascii="宋体" w:hAnsi="宋体" w:cs="宋体"/>
          <w:color w:val="auto"/>
          <w:szCs w:val="21"/>
          <w:highlight w:val="none"/>
        </w:rPr>
        <w:t>元。</w:t>
      </w:r>
    </w:p>
    <w:p w14:paraId="4BE18357">
      <w:pPr>
        <w:spacing w:line="440" w:lineRule="exact"/>
        <w:ind w:firstLine="420" w:firstLineChars="200"/>
        <w:rPr>
          <w:rFonts w:ascii="宋体" w:hAnsi="宋体" w:cs="宋体"/>
          <w:color w:val="auto"/>
          <w:szCs w:val="21"/>
        </w:rPr>
      </w:pPr>
      <w:r>
        <w:rPr>
          <w:rFonts w:hint="eastAsia" w:ascii="宋体" w:hAnsi="宋体" w:cs="宋体"/>
          <w:color w:val="auto"/>
          <w:szCs w:val="21"/>
          <w:highlight w:val="none"/>
        </w:rPr>
        <w:t>2.4比选范围：按照</w:t>
      </w:r>
      <w:r>
        <w:rPr>
          <w:rFonts w:hint="eastAsia" w:ascii="宋体" w:hAnsi="宋体" w:cs="宋体"/>
          <w:color w:val="auto"/>
          <w:szCs w:val="21"/>
          <w:highlight w:val="none"/>
          <w:lang w:val="en-US" w:eastAsia="zh-CN"/>
        </w:rPr>
        <w:t>重庆科学城明远</w:t>
      </w:r>
      <w:r>
        <w:rPr>
          <w:rFonts w:hint="eastAsia" w:ascii="宋体" w:hAnsi="宋体" w:cs="宋体"/>
          <w:color w:val="auto"/>
          <w:szCs w:val="21"/>
          <w:lang w:val="en-US" w:eastAsia="zh-CN"/>
        </w:rPr>
        <w:t>未来中学校</w:t>
      </w:r>
      <w:r>
        <w:rPr>
          <w:rFonts w:hint="eastAsia" w:ascii="宋体" w:hAnsi="宋体" w:cs="宋体"/>
          <w:color w:val="auto"/>
          <w:szCs w:val="21"/>
        </w:rPr>
        <w:t>采购要求，</w:t>
      </w:r>
      <w:r>
        <w:rPr>
          <w:rFonts w:hint="eastAsia" w:ascii="宋体" w:hAnsi="宋体" w:cs="宋体"/>
          <w:color w:val="auto"/>
          <w:szCs w:val="21"/>
          <w:highlight w:val="none"/>
          <w:lang w:val="en-US" w:eastAsia="zh-CN"/>
        </w:rPr>
        <w:t>完成</w:t>
      </w:r>
      <w:r>
        <w:rPr>
          <w:rFonts w:hint="eastAsia" w:ascii="宋体" w:hAnsi="宋体" w:cs="宋体"/>
          <w:color w:val="auto"/>
          <w:szCs w:val="21"/>
          <w:highlight w:val="none"/>
          <w:u w:val="none"/>
          <w:lang w:val="en-US" w:eastAsia="zh-CN"/>
        </w:rPr>
        <w:t>建筑工程</w:t>
      </w:r>
      <w:r>
        <w:rPr>
          <w:rFonts w:hint="eastAsia" w:ascii="宋体" w:hAnsi="宋体" w:cs="宋体"/>
          <w:color w:val="auto"/>
          <w:szCs w:val="21"/>
          <w:highlight w:val="none"/>
          <w:lang w:val="en-US" w:eastAsia="zh-CN"/>
        </w:rPr>
        <w:t>，工程量清单和图纸详见附件</w:t>
      </w:r>
      <w:r>
        <w:rPr>
          <w:rFonts w:hint="eastAsia" w:ascii="宋体" w:hAnsi="宋体" w:cs="宋体"/>
          <w:color w:val="auto"/>
          <w:szCs w:val="21"/>
        </w:rPr>
        <w:t>。</w:t>
      </w:r>
    </w:p>
    <w:p w14:paraId="0137D51D">
      <w:pPr>
        <w:spacing w:line="440" w:lineRule="exact"/>
        <w:ind w:firstLine="420" w:firstLineChars="200"/>
        <w:rPr>
          <w:rFonts w:ascii="宋体" w:hAnsi="宋体" w:cs="宋体"/>
          <w:color w:val="auto"/>
          <w:szCs w:val="21"/>
        </w:rPr>
      </w:pPr>
      <w:r>
        <w:rPr>
          <w:rFonts w:hint="eastAsia" w:ascii="宋体" w:hAnsi="宋体" w:cs="宋体"/>
          <w:color w:val="auto"/>
          <w:szCs w:val="21"/>
        </w:rPr>
        <w:t>2.5</w:t>
      </w:r>
      <w:r>
        <w:rPr>
          <w:rFonts w:hint="eastAsia" w:ascii="宋体" w:hAnsi="宋体"/>
          <w:snapToGrid w:val="0"/>
          <w:color w:val="auto"/>
          <w:kern w:val="0"/>
          <w:szCs w:val="21"/>
        </w:rPr>
        <w:t>工期</w:t>
      </w:r>
      <w:r>
        <w:rPr>
          <w:rFonts w:hint="eastAsia" w:ascii="宋体" w:hAnsi="宋体" w:cs="宋体"/>
          <w:color w:val="auto"/>
          <w:szCs w:val="21"/>
        </w:rPr>
        <w:t>：</w:t>
      </w:r>
      <w:bookmarkStart w:id="4" w:name="OLE_LINK6"/>
      <w:r>
        <w:rPr>
          <w:rFonts w:hint="eastAsia" w:ascii="宋体" w:hAnsi="宋体" w:cs="宋体"/>
          <w:snapToGrid w:val="0"/>
          <w:color w:val="auto"/>
          <w:kern w:val="0"/>
          <w:szCs w:val="21"/>
          <w:highlight w:val="none"/>
          <w:u w:val="single"/>
          <w:lang w:val="en-US" w:eastAsia="zh-CN"/>
        </w:rPr>
        <w:t>30</w:t>
      </w:r>
      <w:r>
        <w:rPr>
          <w:rFonts w:hint="eastAsia" w:ascii="宋体" w:hAnsi="宋体" w:cs="宋体"/>
          <w:snapToGrid w:val="0"/>
          <w:color w:val="auto"/>
          <w:kern w:val="0"/>
          <w:szCs w:val="21"/>
          <w:highlight w:val="none"/>
          <w:u w:val="none"/>
          <w:lang w:val="en-US" w:eastAsia="zh-CN"/>
        </w:rPr>
        <w:t>个</w:t>
      </w:r>
      <w:r>
        <w:rPr>
          <w:rFonts w:hint="eastAsia" w:ascii="宋体" w:hAnsi="宋体" w:cs="宋体"/>
          <w:snapToGrid w:val="0"/>
          <w:color w:val="auto"/>
          <w:kern w:val="0"/>
          <w:szCs w:val="21"/>
          <w:highlight w:val="none"/>
          <w:lang w:val="en-US" w:eastAsia="zh-CN"/>
        </w:rPr>
        <w:t>日历日</w:t>
      </w:r>
      <w:r>
        <w:rPr>
          <w:rFonts w:hint="eastAsia" w:ascii="宋体" w:hAnsi="宋体"/>
          <w:snapToGrid w:val="0"/>
          <w:color w:val="auto"/>
          <w:kern w:val="0"/>
          <w:szCs w:val="21"/>
          <w:lang w:eastAsia="zh-CN"/>
        </w:rPr>
        <w:t>，</w:t>
      </w:r>
      <w:r>
        <w:rPr>
          <w:rFonts w:hint="eastAsia" w:ascii="宋体" w:hAnsi="宋体"/>
          <w:snapToGrid w:val="0"/>
          <w:color w:val="auto"/>
          <w:kern w:val="0"/>
          <w:szCs w:val="21"/>
        </w:rPr>
        <w:t>缺陷责任期要求：工程缺陷责任期为两年，其中防水工程部分为五年</w:t>
      </w:r>
      <w:r>
        <w:rPr>
          <w:rFonts w:hint="eastAsia" w:ascii="宋体" w:hAnsi="宋体" w:cs="宋体"/>
          <w:snapToGrid w:val="0"/>
          <w:color w:val="auto"/>
          <w:kern w:val="0"/>
          <w:szCs w:val="21"/>
          <w:lang w:val="en-US" w:eastAsia="zh-CN"/>
        </w:rPr>
        <w:t>。</w:t>
      </w:r>
      <w:bookmarkEnd w:id="4"/>
    </w:p>
    <w:p w14:paraId="7C5A0BD6">
      <w:pPr>
        <w:spacing w:line="440" w:lineRule="exact"/>
        <w:ind w:firstLine="420" w:firstLineChars="200"/>
        <w:rPr>
          <w:rFonts w:ascii="宋体" w:hAnsi="宋体" w:cs="宋体"/>
          <w:color w:val="auto"/>
          <w:szCs w:val="21"/>
        </w:rPr>
      </w:pPr>
      <w:r>
        <w:rPr>
          <w:rFonts w:hint="eastAsia" w:ascii="宋体" w:hAnsi="宋体" w:cs="宋体"/>
          <w:color w:val="auto"/>
          <w:szCs w:val="21"/>
        </w:rPr>
        <w:t>2.6标段划分：</w:t>
      </w:r>
      <w:r>
        <w:rPr>
          <w:rFonts w:hint="eastAsia" w:ascii="宋体" w:hAnsi="宋体" w:cs="宋体"/>
          <w:color w:val="auto"/>
          <w:szCs w:val="21"/>
          <w:highlight w:val="none"/>
          <w:u w:val="single"/>
          <w:lang w:val="en-US" w:eastAsia="zh-CN"/>
        </w:rPr>
        <w:t xml:space="preserve">  /  </w:t>
      </w:r>
      <w:r>
        <w:rPr>
          <w:rFonts w:hint="eastAsia" w:ascii="宋体" w:hAnsi="宋体" w:cs="宋体"/>
          <w:color w:val="auto"/>
          <w:szCs w:val="21"/>
          <w:highlight w:val="none"/>
        </w:rPr>
        <w:t>。</w:t>
      </w:r>
    </w:p>
    <w:p w14:paraId="09DCE6DE">
      <w:pPr>
        <w:pStyle w:val="3"/>
        <w:keepNext/>
        <w:keepLines/>
        <w:autoSpaceDE/>
        <w:autoSpaceDN/>
        <w:spacing w:line="500" w:lineRule="exact"/>
        <w:jc w:val="both"/>
        <w:rPr>
          <w:rFonts w:ascii="宋体" w:hAnsi="宋体" w:eastAsia="宋体" w:cs="宋体"/>
          <w:bCs/>
          <w:color w:val="auto"/>
          <w:spacing w:val="0"/>
          <w:w w:val="100"/>
          <w:kern w:val="0"/>
          <w:sz w:val="21"/>
          <w:szCs w:val="21"/>
          <w:highlight w:val="none"/>
        </w:rPr>
      </w:pPr>
      <w:r>
        <w:rPr>
          <w:rFonts w:hint="eastAsia" w:ascii="宋体" w:hAnsi="宋体" w:eastAsia="宋体" w:cs="宋体"/>
          <w:bCs/>
          <w:color w:val="auto"/>
          <w:spacing w:val="0"/>
          <w:w w:val="100"/>
          <w:kern w:val="0"/>
          <w:sz w:val="21"/>
          <w:szCs w:val="21"/>
          <w:highlight w:val="none"/>
        </w:rPr>
        <w:t>3.竞选人资格要求</w:t>
      </w:r>
      <w:bookmarkEnd w:id="3"/>
    </w:p>
    <w:p w14:paraId="08A29BAC">
      <w:pPr>
        <w:keepNext w:val="0"/>
        <w:keepLines w:val="0"/>
        <w:pageBreakBefore w:val="0"/>
        <w:widowControl w:val="0"/>
        <w:tabs>
          <w:tab w:val="left" w:pos="747"/>
        </w:tabs>
        <w:kinsoku/>
        <w:wordWrap/>
        <w:overflowPunct/>
        <w:topLinePunct w:val="0"/>
        <w:autoSpaceDE/>
        <w:autoSpaceDN/>
        <w:bidi w:val="0"/>
        <w:adjustRightInd/>
        <w:snapToGrid/>
        <w:spacing w:line="440" w:lineRule="exact"/>
        <w:ind w:firstLine="420" w:firstLineChars="200"/>
        <w:textAlignment w:val="auto"/>
        <w:outlineLvl w:val="2"/>
        <w:rPr>
          <w:rFonts w:ascii="宋体" w:hAnsi="宋体" w:cs="宋体"/>
          <w:color w:val="auto"/>
          <w:szCs w:val="21"/>
          <w:highlight w:val="none"/>
        </w:rPr>
      </w:pPr>
      <w:r>
        <w:rPr>
          <w:rFonts w:hint="eastAsia" w:ascii="宋体" w:hAnsi="宋体" w:cs="宋体"/>
          <w:color w:val="auto"/>
          <w:szCs w:val="21"/>
          <w:highlight w:val="none"/>
        </w:rPr>
        <w:t>3.1本项目实行资格后审，竞选人应具备以下资格条件：</w:t>
      </w:r>
    </w:p>
    <w:p w14:paraId="3FDA6FC7">
      <w:pPr>
        <w:tabs>
          <w:tab w:val="left" w:pos="747"/>
        </w:tabs>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3.1.1竞选人须具备独立法人资格，具有有效的营业执照。</w:t>
      </w:r>
    </w:p>
    <w:p w14:paraId="10BDA2BD">
      <w:pPr>
        <w:tabs>
          <w:tab w:val="left" w:pos="747"/>
        </w:tabs>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3.1.2</w:t>
      </w:r>
      <w:r>
        <w:rPr>
          <w:rFonts w:hint="eastAsia" w:ascii="宋体" w:hAnsi="宋体" w:cs="宋体"/>
          <w:color w:val="auto"/>
          <w:szCs w:val="21"/>
          <w:highlight w:val="none"/>
          <w:lang w:val="en-US" w:eastAsia="zh-CN"/>
        </w:rPr>
        <w:t>特定资格条件</w:t>
      </w:r>
    </w:p>
    <w:p w14:paraId="06EDECAA">
      <w:pPr>
        <w:tabs>
          <w:tab w:val="left" w:pos="747"/>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具体要求详见比选文件第二章竞选人须知前附表1.4.1项内容。</w:t>
      </w:r>
    </w:p>
    <w:p w14:paraId="2805229A">
      <w:pPr>
        <w:keepNext w:val="0"/>
        <w:keepLines w:val="0"/>
        <w:pageBreakBefore w:val="0"/>
        <w:widowControl w:val="0"/>
        <w:tabs>
          <w:tab w:val="left" w:pos="747"/>
        </w:tabs>
        <w:kinsoku/>
        <w:wordWrap/>
        <w:overflowPunct/>
        <w:topLinePunct w:val="0"/>
        <w:autoSpaceDE/>
        <w:autoSpaceDN/>
        <w:bidi w:val="0"/>
        <w:adjustRightInd/>
        <w:snapToGrid/>
        <w:spacing w:line="440" w:lineRule="exact"/>
        <w:ind w:firstLine="420" w:firstLineChars="200"/>
        <w:textAlignment w:val="auto"/>
        <w:outlineLvl w:val="2"/>
        <w:rPr>
          <w:rFonts w:ascii="宋体" w:hAnsi="宋体" w:cs="宋体"/>
          <w:color w:val="auto"/>
          <w:szCs w:val="21"/>
        </w:rPr>
      </w:pPr>
      <w:r>
        <w:rPr>
          <w:rFonts w:hint="eastAsia" w:ascii="宋体" w:hAnsi="宋体" w:cs="宋体"/>
          <w:color w:val="auto"/>
          <w:szCs w:val="21"/>
        </w:rPr>
        <w:t>3.2本次比选不接受联合体竞选。</w:t>
      </w:r>
    </w:p>
    <w:p w14:paraId="3E2F1D85">
      <w:pPr>
        <w:pStyle w:val="3"/>
        <w:keepNext/>
        <w:keepLines/>
        <w:autoSpaceDE/>
        <w:autoSpaceDN/>
        <w:spacing w:line="500" w:lineRule="exact"/>
        <w:jc w:val="both"/>
        <w:rPr>
          <w:rFonts w:ascii="宋体" w:hAnsi="宋体" w:eastAsia="宋体" w:cs="宋体"/>
          <w:bCs/>
          <w:color w:val="auto"/>
          <w:spacing w:val="0"/>
          <w:w w:val="100"/>
          <w:kern w:val="0"/>
          <w:sz w:val="21"/>
          <w:szCs w:val="21"/>
        </w:rPr>
      </w:pPr>
      <w:bookmarkStart w:id="5" w:name="_Toc12379"/>
      <w:r>
        <w:rPr>
          <w:rFonts w:hint="eastAsia" w:ascii="宋体" w:hAnsi="宋体" w:eastAsia="宋体" w:cs="宋体"/>
          <w:bCs/>
          <w:color w:val="auto"/>
          <w:spacing w:val="0"/>
          <w:w w:val="100"/>
          <w:kern w:val="0"/>
          <w:sz w:val="21"/>
          <w:szCs w:val="21"/>
        </w:rPr>
        <w:t>4.竞争性比选文件的获取</w:t>
      </w:r>
      <w:bookmarkEnd w:id="5"/>
    </w:p>
    <w:p w14:paraId="41CFB018">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rPr>
        <w:t>4.1 本次比选公告的发布时间为：</w:t>
      </w:r>
      <w:r>
        <w:rPr>
          <w:rFonts w:hint="eastAsia" w:ascii="宋体" w:hAnsi="宋体" w:cs="宋体"/>
          <w:snapToGrid w:val="0"/>
          <w:color w:val="auto"/>
          <w:kern w:val="0"/>
          <w:szCs w:val="21"/>
          <w:lang w:eastAsia="zh-CN"/>
        </w:rPr>
        <w:t>2025</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lang w:val="en-US" w:eastAsia="zh-CN"/>
        </w:rPr>
        <w:t>9</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17</w:t>
      </w:r>
      <w:r>
        <w:rPr>
          <w:rFonts w:hint="eastAsia" w:ascii="宋体" w:hAnsi="宋体" w:cs="宋体"/>
          <w:snapToGrid w:val="0"/>
          <w:color w:val="auto"/>
          <w:kern w:val="0"/>
          <w:szCs w:val="21"/>
          <w:highlight w:val="none"/>
        </w:rPr>
        <w:t>日。</w:t>
      </w:r>
    </w:p>
    <w:p w14:paraId="4786F156">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4.2竞争性比选公告、答疑等比选前的有关资料及相关事宜在</w:t>
      </w:r>
      <w:r>
        <w:rPr>
          <w:rFonts w:hint="eastAsia" w:ascii="宋体" w:hAnsi="宋体" w:cs="宋体"/>
          <w:snapToGrid w:val="0"/>
          <w:color w:val="auto"/>
          <w:kern w:val="0"/>
          <w:szCs w:val="21"/>
          <w:highlight w:val="none"/>
          <w:lang w:eastAsia="zh-CN"/>
        </w:rPr>
        <w:t>行采家（https://www.gec123.com/）</w:t>
      </w:r>
      <w:r>
        <w:rPr>
          <w:rFonts w:hint="eastAsia" w:ascii="宋体" w:hAnsi="宋体" w:cs="宋体"/>
          <w:snapToGrid w:val="0"/>
          <w:color w:val="auto"/>
          <w:kern w:val="0"/>
          <w:szCs w:val="21"/>
          <w:highlight w:val="none"/>
        </w:rPr>
        <w:t>网上下载。不管下载与否都视为竞选人全部知晓有关比选过程和事宜。在比选截止日前，各竞选人应随时关注网上发布的比选补遗通知。</w:t>
      </w:r>
    </w:p>
    <w:p w14:paraId="75BE9FE1">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4.3 比选文件获取时间：</w:t>
      </w:r>
      <w:r>
        <w:rPr>
          <w:rFonts w:hint="eastAsia" w:ascii="宋体" w:hAnsi="宋体" w:cs="宋体"/>
          <w:snapToGrid w:val="0"/>
          <w:color w:val="auto"/>
          <w:kern w:val="0"/>
          <w:szCs w:val="21"/>
          <w:lang w:eastAsia="zh-CN"/>
        </w:rPr>
        <w:t>2025</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lang w:val="en-US" w:eastAsia="zh-CN"/>
        </w:rPr>
        <w:t>9</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17</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lang w:eastAsia="zh-CN"/>
        </w:rPr>
        <w:t>2025</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lang w:val="en-US" w:eastAsia="zh-CN"/>
        </w:rPr>
        <w:t>9</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22</w:t>
      </w:r>
      <w:r>
        <w:rPr>
          <w:rFonts w:hint="eastAsia" w:ascii="宋体" w:hAnsi="宋体" w:cs="宋体"/>
          <w:snapToGrid w:val="0"/>
          <w:color w:val="auto"/>
          <w:kern w:val="0"/>
          <w:szCs w:val="21"/>
          <w:highlight w:val="none"/>
        </w:rPr>
        <w:t>日（上午09:00-下午17:00工作时间）。</w:t>
      </w:r>
    </w:p>
    <w:p w14:paraId="5FE6B1C7">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4.4 比选文件获取方式：</w:t>
      </w:r>
    </w:p>
    <w:p w14:paraId="64E7C7E3">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1</w:t>
      </w:r>
      <w:r>
        <w:rPr>
          <w:rFonts w:hint="eastAsia" w:ascii="宋体" w:hAnsi="宋体" w:cs="宋体"/>
          <w:snapToGrid w:val="0"/>
          <w:color w:val="auto"/>
          <w:kern w:val="0"/>
          <w:szCs w:val="21"/>
          <w:highlight w:val="none"/>
        </w:rPr>
        <w:t>）工本费：人民币</w:t>
      </w:r>
      <w:r>
        <w:rPr>
          <w:rFonts w:hint="eastAsia" w:ascii="宋体" w:hAnsi="宋体" w:cs="宋体"/>
          <w:snapToGrid w:val="0"/>
          <w:color w:val="auto"/>
          <w:kern w:val="0"/>
          <w:szCs w:val="21"/>
          <w:highlight w:val="none"/>
          <w:lang w:val="en-US" w:eastAsia="zh-CN"/>
        </w:rPr>
        <w:t>200</w:t>
      </w:r>
      <w:r>
        <w:rPr>
          <w:rFonts w:hint="eastAsia" w:ascii="宋体" w:hAnsi="宋体" w:cs="宋体"/>
          <w:snapToGrid w:val="0"/>
          <w:color w:val="auto"/>
          <w:kern w:val="0"/>
          <w:szCs w:val="21"/>
          <w:highlight w:val="none"/>
        </w:rPr>
        <w:t>元/份（售后不退），竞选人须将工本费（公司账户）汇至以下账户内进行缴纳竞争性比选文件费用。</w:t>
      </w:r>
    </w:p>
    <w:p w14:paraId="5E4954FE">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户  名：重庆爱采招标代理有限公司</w:t>
      </w:r>
    </w:p>
    <w:p w14:paraId="3D0315E6">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开户行：交通银行重庆巴南支行</w:t>
      </w:r>
    </w:p>
    <w:p w14:paraId="7C68C3E4">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帐号：500122015018000012342。</w:t>
      </w:r>
    </w:p>
    <w:p w14:paraId="2A206A75">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2）</w:t>
      </w:r>
      <w:r>
        <w:rPr>
          <w:rFonts w:hint="eastAsia" w:ascii="宋体" w:hAnsi="宋体" w:cs="宋体"/>
          <w:snapToGrid w:val="0"/>
          <w:color w:val="auto"/>
          <w:kern w:val="0"/>
          <w:szCs w:val="21"/>
          <w:highlight w:val="none"/>
        </w:rPr>
        <w:t>获取方式：在竞争性比选文件获取期限内，竞选人将《</w:t>
      </w:r>
      <w:r>
        <w:rPr>
          <w:rFonts w:hint="eastAsia" w:ascii="宋体" w:hAnsi="宋体" w:cs="宋体"/>
          <w:snapToGrid w:val="0"/>
          <w:color w:val="auto"/>
          <w:kern w:val="0"/>
          <w:szCs w:val="21"/>
          <w:highlight w:val="none"/>
          <w:lang w:eastAsia="zh-CN"/>
        </w:rPr>
        <w:t>比选文件获取确认表</w:t>
      </w:r>
      <w:r>
        <w:rPr>
          <w:rFonts w:hint="eastAsia" w:ascii="宋体" w:hAnsi="宋体" w:cs="宋体"/>
          <w:snapToGrid w:val="0"/>
          <w:color w:val="auto"/>
          <w:kern w:val="0"/>
          <w:szCs w:val="21"/>
          <w:highlight w:val="none"/>
        </w:rPr>
        <w:t>》（加盖竞选人公章）、缴费凭证扫描后发送邮箱</w:t>
      </w:r>
      <w:r>
        <w:rPr>
          <w:rFonts w:hint="eastAsia" w:ascii="宋体" w:hAnsi="宋体" w:cs="宋体"/>
          <w:snapToGrid w:val="0"/>
          <w:color w:val="auto"/>
          <w:kern w:val="0"/>
          <w:szCs w:val="21"/>
          <w:highlight w:val="none"/>
          <w:shd w:val="clear" w:color="auto" w:fill="auto"/>
          <w:lang w:eastAsia="zh-CN"/>
        </w:rPr>
        <w:t>2136746604</w:t>
      </w:r>
      <w:r>
        <w:rPr>
          <w:rFonts w:hint="eastAsia" w:ascii="宋体" w:hAnsi="宋体" w:cs="宋体"/>
          <w:snapToGrid w:val="0"/>
          <w:color w:val="auto"/>
          <w:kern w:val="0"/>
          <w:szCs w:val="21"/>
          <w:highlight w:val="none"/>
        </w:rPr>
        <w:t>@qq.com（邮箱截止时间按邮箱显示邮件达到时间为准）。</w:t>
      </w:r>
    </w:p>
    <w:p w14:paraId="60D9B35E">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3</w:t>
      </w:r>
      <w:r>
        <w:rPr>
          <w:rFonts w:hint="eastAsia" w:ascii="宋体" w:hAnsi="宋体" w:cs="宋体"/>
          <w:snapToGrid w:val="0"/>
          <w:color w:val="auto"/>
          <w:kern w:val="0"/>
          <w:szCs w:val="21"/>
          <w:highlight w:val="none"/>
        </w:rPr>
        <w:t>）在竞争性比选文件获取期限内缴纳了工本费</w:t>
      </w:r>
      <w:r>
        <w:rPr>
          <w:rFonts w:hint="eastAsia" w:ascii="宋体" w:hAnsi="宋体" w:cs="宋体"/>
          <w:snapToGrid w:val="0"/>
          <w:color w:val="auto"/>
          <w:kern w:val="0"/>
          <w:szCs w:val="21"/>
          <w:highlight w:val="none"/>
          <w:lang w:val="en-US" w:eastAsia="zh-CN"/>
        </w:rPr>
        <w:t>和</w:t>
      </w:r>
      <w:r>
        <w:rPr>
          <w:rFonts w:hint="eastAsia" w:ascii="宋体" w:hAnsi="宋体" w:cs="宋体"/>
          <w:snapToGrid w:val="0"/>
          <w:color w:val="auto"/>
          <w:kern w:val="0"/>
          <w:szCs w:val="21"/>
          <w:highlight w:val="none"/>
        </w:rPr>
        <w:t>回传《</w:t>
      </w:r>
      <w:r>
        <w:rPr>
          <w:rFonts w:hint="eastAsia" w:ascii="宋体" w:hAnsi="宋体" w:cs="宋体"/>
          <w:snapToGrid w:val="0"/>
          <w:color w:val="auto"/>
          <w:kern w:val="0"/>
          <w:szCs w:val="21"/>
          <w:highlight w:val="none"/>
          <w:lang w:eastAsia="zh-CN"/>
        </w:rPr>
        <w:t>比选文件获取确认表</w:t>
      </w:r>
      <w:r>
        <w:rPr>
          <w:rFonts w:hint="eastAsia" w:ascii="宋体" w:hAnsi="宋体" w:cs="宋体"/>
          <w:snapToGrid w:val="0"/>
          <w:color w:val="auto"/>
          <w:kern w:val="0"/>
          <w:szCs w:val="21"/>
          <w:highlight w:val="none"/>
        </w:rPr>
        <w:t>》的竞选人，其</w:t>
      </w:r>
      <w:r>
        <w:rPr>
          <w:rFonts w:hint="eastAsia" w:ascii="宋体" w:hAnsi="宋体" w:cs="宋体"/>
          <w:snapToGrid w:val="0"/>
          <w:color w:val="auto"/>
          <w:kern w:val="0"/>
          <w:szCs w:val="21"/>
          <w:highlight w:val="none"/>
          <w:lang w:eastAsia="zh-CN"/>
        </w:rPr>
        <w:t>竞选文件</w:t>
      </w:r>
      <w:r>
        <w:rPr>
          <w:rFonts w:hint="eastAsia" w:ascii="宋体" w:hAnsi="宋体" w:cs="宋体"/>
          <w:snapToGrid w:val="0"/>
          <w:color w:val="auto"/>
          <w:kern w:val="0"/>
          <w:szCs w:val="21"/>
          <w:highlight w:val="none"/>
        </w:rPr>
        <w:t>才能被接收。</w:t>
      </w:r>
    </w:p>
    <w:p w14:paraId="32201D50">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fldChar w:fldCharType="begin"/>
      </w:r>
      <w:r>
        <w:rPr>
          <w:rFonts w:hint="eastAsia" w:ascii="宋体" w:hAnsi="宋体" w:cs="宋体"/>
          <w:snapToGrid w:val="0"/>
          <w:color w:val="auto"/>
          <w:kern w:val="0"/>
          <w:szCs w:val="21"/>
          <w:highlight w:val="none"/>
          <w:lang w:val="en-US" w:eastAsia="zh-CN"/>
        </w:rPr>
        <w:instrText xml:space="preserve"> HYPERLINK "mailto:4.5竞选人可向代理机构提问，提问时间从本公告发布至2024年2月21日12时00分（北京时间）前发送至电子邮箱（1493461299@qq.com）。" </w:instrText>
      </w:r>
      <w:r>
        <w:rPr>
          <w:rFonts w:hint="eastAsia" w:ascii="宋体" w:hAnsi="宋体" w:cs="宋体"/>
          <w:snapToGrid w:val="0"/>
          <w:color w:val="auto"/>
          <w:kern w:val="0"/>
          <w:szCs w:val="21"/>
          <w:highlight w:val="none"/>
          <w:lang w:val="en-US" w:eastAsia="zh-CN"/>
        </w:rPr>
        <w:fldChar w:fldCharType="separate"/>
      </w:r>
      <w:r>
        <w:rPr>
          <w:rFonts w:hint="eastAsia" w:ascii="宋体" w:hAnsi="宋体" w:cs="宋体"/>
          <w:snapToGrid w:val="0"/>
          <w:color w:val="auto"/>
          <w:kern w:val="0"/>
          <w:szCs w:val="21"/>
          <w:highlight w:val="none"/>
          <w:lang w:val="en-US" w:eastAsia="zh-CN"/>
        </w:rPr>
        <w:t>4.5</w:t>
      </w:r>
      <w:r>
        <w:rPr>
          <w:rFonts w:hint="eastAsia" w:ascii="宋体" w:hAnsi="宋体" w:cs="宋体"/>
          <w:snapToGrid w:val="0"/>
          <w:color w:val="auto"/>
          <w:kern w:val="0"/>
          <w:szCs w:val="21"/>
          <w:highlight w:val="none"/>
        </w:rPr>
        <w:t>竞选人可向代理机构提问，提问时间从本公告发布至</w:t>
      </w:r>
      <w:r>
        <w:rPr>
          <w:rFonts w:hint="eastAsia" w:ascii="宋体" w:hAnsi="宋体" w:cs="宋体"/>
          <w:snapToGrid w:val="0"/>
          <w:color w:val="auto"/>
          <w:kern w:val="0"/>
          <w:szCs w:val="21"/>
          <w:highlight w:val="none"/>
          <w:lang w:eastAsia="zh-CN"/>
        </w:rPr>
        <w:t>2025</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lang w:val="en-US" w:eastAsia="zh-CN"/>
        </w:rPr>
        <w:t>9</w:t>
      </w:r>
      <w:r>
        <w:rPr>
          <w:rFonts w:hint="eastAsia" w:ascii="宋体" w:hAnsi="宋体" w:cs="宋体"/>
          <w:color w:val="auto"/>
          <w:highlight w:val="none"/>
        </w:rPr>
        <w:t>月</w:t>
      </w:r>
      <w:r>
        <w:rPr>
          <w:rFonts w:hint="eastAsia" w:ascii="宋体" w:hAnsi="宋体" w:cs="宋体"/>
          <w:snapToGrid w:val="0"/>
          <w:color w:val="auto"/>
          <w:kern w:val="0"/>
          <w:szCs w:val="21"/>
          <w:highlight w:val="none"/>
          <w:u w:val="single"/>
          <w:lang w:val="en-US" w:eastAsia="zh-CN"/>
        </w:rPr>
        <w:t xml:space="preserve">22 </w:t>
      </w:r>
      <w:r>
        <w:rPr>
          <w:rFonts w:hint="eastAsia" w:ascii="宋体" w:hAnsi="宋体" w:cs="宋体"/>
          <w:color w:val="auto"/>
          <w:highlight w:val="none"/>
        </w:rPr>
        <w:t>日</w:t>
      </w:r>
      <w:r>
        <w:rPr>
          <w:rFonts w:hint="eastAsia" w:ascii="宋体" w:hAnsi="宋体" w:cs="宋体"/>
          <w:snapToGrid w:val="0"/>
          <w:color w:val="auto"/>
          <w:kern w:val="0"/>
          <w:szCs w:val="21"/>
          <w:highlight w:val="none"/>
          <w:lang w:val="en-US" w:eastAsia="zh-CN"/>
        </w:rPr>
        <w:t>17</w:t>
      </w:r>
      <w:r>
        <w:rPr>
          <w:rFonts w:hint="eastAsia" w:ascii="宋体" w:hAnsi="宋体" w:cs="宋体"/>
          <w:snapToGrid w:val="0"/>
          <w:color w:val="auto"/>
          <w:kern w:val="0"/>
          <w:szCs w:val="21"/>
          <w:highlight w:val="none"/>
        </w:rPr>
        <w:t>时00分（北京时间）前发送至电子邮箱（</w:t>
      </w:r>
      <w:r>
        <w:rPr>
          <w:rFonts w:hint="eastAsia" w:ascii="宋体" w:hAnsi="宋体" w:cs="宋体"/>
          <w:snapToGrid w:val="0"/>
          <w:color w:val="auto"/>
          <w:kern w:val="0"/>
          <w:szCs w:val="21"/>
          <w:highlight w:val="none"/>
          <w:lang w:eastAsia="zh-CN"/>
        </w:rPr>
        <w:t>2136746604</w:t>
      </w:r>
      <w:r>
        <w:rPr>
          <w:rFonts w:hint="eastAsia" w:ascii="宋体" w:hAnsi="宋体" w:cs="宋体"/>
          <w:snapToGrid w:val="0"/>
          <w:color w:val="auto"/>
          <w:kern w:val="0"/>
          <w:szCs w:val="21"/>
          <w:highlight w:val="none"/>
        </w:rPr>
        <w:t>@qq.com）。</w:t>
      </w:r>
      <w:r>
        <w:rPr>
          <w:rFonts w:hint="eastAsia" w:ascii="宋体" w:hAnsi="宋体" w:cs="宋体"/>
          <w:snapToGrid w:val="0"/>
          <w:color w:val="auto"/>
          <w:kern w:val="0"/>
          <w:szCs w:val="21"/>
          <w:highlight w:val="none"/>
          <w:lang w:val="en-US" w:eastAsia="zh-CN"/>
        </w:rPr>
        <w:fldChar w:fldCharType="end"/>
      </w:r>
    </w:p>
    <w:p w14:paraId="2785909E">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w:t>
      </w:r>
      <w:r>
        <w:rPr>
          <w:rFonts w:hint="eastAsia" w:ascii="宋体" w:hAnsi="宋体" w:cs="宋体"/>
          <w:snapToGrid w:val="0"/>
          <w:color w:val="auto"/>
          <w:kern w:val="0"/>
          <w:szCs w:val="21"/>
          <w:highlight w:val="none"/>
          <w:lang w:val="en-US" w:eastAsia="zh-CN"/>
        </w:rPr>
        <w:t>6</w:t>
      </w:r>
      <w:r>
        <w:rPr>
          <w:rFonts w:hint="eastAsia" w:ascii="宋体" w:hAnsi="宋体" w:cs="宋体"/>
          <w:snapToGrid w:val="0"/>
          <w:color w:val="auto"/>
          <w:kern w:val="0"/>
          <w:szCs w:val="21"/>
          <w:highlight w:val="none"/>
        </w:rPr>
        <w:t>比选人应于</w:t>
      </w:r>
      <w:r>
        <w:rPr>
          <w:rFonts w:hint="eastAsia" w:ascii="宋体" w:hAnsi="宋体" w:cs="宋体"/>
          <w:snapToGrid w:val="0"/>
          <w:color w:val="auto"/>
          <w:kern w:val="0"/>
          <w:szCs w:val="21"/>
          <w:highlight w:val="none"/>
          <w:lang w:eastAsia="zh-CN"/>
        </w:rPr>
        <w:t>2025</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lang w:val="en-US" w:eastAsia="zh-CN"/>
        </w:rPr>
        <w:t>9</w:t>
      </w:r>
      <w:r>
        <w:rPr>
          <w:rFonts w:hint="eastAsia" w:ascii="宋体" w:hAnsi="宋体" w:cs="宋体"/>
          <w:color w:val="auto"/>
          <w:highlight w:val="none"/>
        </w:rPr>
        <w:t>月</w:t>
      </w:r>
      <w:r>
        <w:rPr>
          <w:rFonts w:hint="eastAsia" w:ascii="宋体" w:hAnsi="宋体" w:cs="宋体"/>
          <w:snapToGrid w:val="0"/>
          <w:color w:val="auto"/>
          <w:kern w:val="0"/>
          <w:szCs w:val="21"/>
          <w:highlight w:val="none"/>
          <w:u w:val="single"/>
          <w:lang w:val="en-US" w:eastAsia="zh-CN"/>
        </w:rPr>
        <w:t>23</w:t>
      </w:r>
      <w:r>
        <w:rPr>
          <w:rFonts w:hint="eastAsia" w:ascii="宋体" w:hAnsi="宋体" w:cs="宋体"/>
          <w:color w:val="auto"/>
          <w:highlight w:val="none"/>
        </w:rPr>
        <w:t>日</w:t>
      </w:r>
      <w:r>
        <w:rPr>
          <w:rFonts w:hint="eastAsia" w:ascii="宋体" w:hAnsi="宋体" w:cs="宋体"/>
          <w:snapToGrid w:val="0"/>
          <w:color w:val="auto"/>
          <w:kern w:val="0"/>
          <w:szCs w:val="21"/>
          <w:highlight w:val="none"/>
          <w:lang w:val="en-US" w:eastAsia="zh-CN"/>
        </w:rPr>
        <w:t>11</w:t>
      </w:r>
      <w:r>
        <w:rPr>
          <w:rFonts w:hint="eastAsia" w:ascii="宋体" w:hAnsi="宋体" w:cs="宋体"/>
          <w:snapToGrid w:val="0"/>
          <w:color w:val="auto"/>
          <w:kern w:val="0"/>
          <w:szCs w:val="21"/>
          <w:highlight w:val="none"/>
        </w:rPr>
        <w:t>时00分（北京时间）前在</w:t>
      </w:r>
      <w:r>
        <w:rPr>
          <w:rFonts w:hint="eastAsia" w:ascii="宋体" w:hAnsi="宋体" w:cs="宋体"/>
          <w:snapToGrid w:val="0"/>
          <w:color w:val="auto"/>
          <w:highlight w:val="none"/>
          <w:lang w:eastAsia="zh-CN"/>
        </w:rPr>
        <w:t>行采家（https://www.gec123.com/）</w:t>
      </w:r>
      <w:r>
        <w:rPr>
          <w:rFonts w:hint="eastAsia" w:ascii="宋体" w:hAnsi="宋体" w:cs="宋体"/>
          <w:snapToGrid w:val="0"/>
          <w:color w:val="auto"/>
          <w:highlight w:val="none"/>
        </w:rPr>
        <w:t>网上</w:t>
      </w:r>
      <w:r>
        <w:rPr>
          <w:rFonts w:hint="eastAsia" w:ascii="宋体" w:hAnsi="宋体" w:cs="宋体"/>
          <w:snapToGrid w:val="0"/>
          <w:color w:val="auto"/>
          <w:kern w:val="0"/>
          <w:szCs w:val="21"/>
          <w:highlight w:val="none"/>
        </w:rPr>
        <w:t>发布澄清及补遗文件</w:t>
      </w:r>
      <w:r>
        <w:rPr>
          <w:rFonts w:hint="eastAsia" w:ascii="宋体" w:hAnsi="宋体" w:cs="宋体"/>
          <w:snapToGrid w:val="0"/>
          <w:color w:val="auto"/>
          <w:kern w:val="0"/>
          <w:szCs w:val="21"/>
          <w:highlight w:val="none"/>
          <w:lang w:eastAsia="zh-CN"/>
        </w:rPr>
        <w:t>。</w:t>
      </w:r>
    </w:p>
    <w:p w14:paraId="21F68A80">
      <w:pPr>
        <w:pStyle w:val="3"/>
        <w:keepNext/>
        <w:keepLines/>
        <w:autoSpaceDE/>
        <w:autoSpaceDN/>
        <w:spacing w:line="500" w:lineRule="exact"/>
        <w:jc w:val="both"/>
        <w:rPr>
          <w:rFonts w:ascii="宋体" w:hAnsi="宋体" w:eastAsia="宋体" w:cs="宋体"/>
          <w:bCs/>
          <w:color w:val="auto"/>
          <w:spacing w:val="0"/>
          <w:w w:val="100"/>
          <w:kern w:val="0"/>
          <w:sz w:val="21"/>
          <w:szCs w:val="21"/>
          <w:highlight w:val="none"/>
        </w:rPr>
      </w:pPr>
      <w:bookmarkStart w:id="6" w:name="_Toc4898"/>
      <w:r>
        <w:rPr>
          <w:rFonts w:hint="eastAsia" w:ascii="宋体" w:hAnsi="宋体" w:eastAsia="宋体" w:cs="宋体"/>
          <w:bCs/>
          <w:color w:val="auto"/>
          <w:spacing w:val="0"/>
          <w:w w:val="100"/>
          <w:kern w:val="0"/>
          <w:sz w:val="21"/>
          <w:szCs w:val="21"/>
          <w:highlight w:val="none"/>
        </w:rPr>
        <w:t>5.竞选文件的递交</w:t>
      </w:r>
      <w:bookmarkEnd w:id="6"/>
    </w:p>
    <w:p w14:paraId="4A204CFB">
      <w:pPr>
        <w:tabs>
          <w:tab w:val="left" w:pos="2000"/>
          <w:tab w:val="left" w:pos="5580"/>
          <w:tab w:val="left" w:pos="6220"/>
          <w:tab w:val="left" w:pos="6840"/>
          <w:tab w:val="left" w:pos="7460"/>
          <w:tab w:val="left" w:pos="8100"/>
        </w:tabs>
        <w:autoSpaceDE w:val="0"/>
        <w:autoSpaceDN w:val="0"/>
        <w:adjustRightInd w:val="0"/>
        <w:snapToGrid w:val="0"/>
        <w:spacing w:line="440" w:lineRule="exact"/>
        <w:ind w:firstLine="420" w:firstLineChars="200"/>
        <w:rPr>
          <w:rFonts w:ascii="宋体" w:hAnsi="宋体" w:cs="宋体"/>
          <w:snapToGrid w:val="0"/>
          <w:color w:val="auto"/>
          <w:highlight w:val="none"/>
        </w:rPr>
      </w:pPr>
      <w:r>
        <w:rPr>
          <w:rFonts w:hint="eastAsia" w:ascii="宋体" w:hAnsi="宋体" w:cs="宋体"/>
          <w:snapToGrid w:val="0"/>
          <w:color w:val="auto"/>
          <w:highlight w:val="none"/>
          <w:lang w:val="en-US" w:eastAsia="zh-CN"/>
        </w:rPr>
        <w:t>5.1</w:t>
      </w:r>
      <w:r>
        <w:rPr>
          <w:rFonts w:hint="eastAsia" w:ascii="宋体" w:hAnsi="宋体" w:cs="宋体"/>
          <w:snapToGrid w:val="0"/>
          <w:color w:val="auto"/>
          <w:highlight w:val="none"/>
        </w:rPr>
        <w:t>竞选文件递交</w:t>
      </w:r>
      <w:r>
        <w:rPr>
          <w:rFonts w:hint="eastAsia" w:ascii="宋体" w:hAnsi="宋体" w:cs="宋体"/>
          <w:snapToGrid w:val="0"/>
          <w:color w:val="auto"/>
          <w:highlight w:val="none"/>
          <w:lang w:val="en-US" w:eastAsia="zh-CN"/>
        </w:rPr>
        <w:t>开始</w:t>
      </w:r>
      <w:r>
        <w:rPr>
          <w:rFonts w:hint="eastAsia" w:ascii="宋体" w:hAnsi="宋体" w:cs="宋体"/>
          <w:snapToGrid w:val="0"/>
          <w:color w:val="auto"/>
          <w:highlight w:val="none"/>
        </w:rPr>
        <w:t>时间为</w:t>
      </w:r>
      <w:r>
        <w:rPr>
          <w:rFonts w:hint="eastAsia" w:ascii="宋体" w:hAnsi="宋体" w:cs="宋体"/>
          <w:color w:val="auto"/>
          <w:highlight w:val="none"/>
          <w:u w:val="single"/>
          <w:lang w:eastAsia="zh-CN"/>
        </w:rPr>
        <w:t>2025</w:t>
      </w:r>
      <w:r>
        <w:rPr>
          <w:rFonts w:hint="eastAsia" w:ascii="宋体" w:hAnsi="宋体" w:cs="宋体"/>
          <w:color w:val="auto"/>
          <w:highlight w:val="none"/>
        </w:rPr>
        <w:t>年</w:t>
      </w:r>
      <w:r>
        <w:rPr>
          <w:rFonts w:hint="eastAsia" w:ascii="宋体" w:hAnsi="宋体" w:cs="宋体"/>
          <w:snapToGrid w:val="0"/>
          <w:color w:val="auto"/>
          <w:kern w:val="0"/>
          <w:szCs w:val="21"/>
          <w:highlight w:val="none"/>
          <w:u w:val="single"/>
          <w:lang w:val="en-US" w:eastAsia="zh-CN"/>
        </w:rPr>
        <w:t>9</w:t>
      </w:r>
      <w:r>
        <w:rPr>
          <w:rFonts w:hint="eastAsia" w:ascii="宋体" w:hAnsi="宋体" w:cs="宋体"/>
          <w:color w:val="auto"/>
          <w:highlight w:val="none"/>
        </w:rPr>
        <w:t>月</w:t>
      </w:r>
      <w:r>
        <w:rPr>
          <w:rFonts w:hint="eastAsia" w:ascii="宋体" w:hAnsi="宋体" w:cs="宋体"/>
          <w:snapToGrid w:val="0"/>
          <w:color w:val="auto"/>
          <w:kern w:val="0"/>
          <w:szCs w:val="21"/>
          <w:highlight w:val="none"/>
          <w:u w:val="single"/>
          <w:lang w:val="en-US" w:eastAsia="zh-CN"/>
        </w:rPr>
        <w:t>23</w:t>
      </w:r>
      <w:r>
        <w:rPr>
          <w:rFonts w:hint="eastAsia" w:ascii="宋体" w:hAnsi="宋体" w:cs="宋体"/>
          <w:color w:val="auto"/>
          <w:highlight w:val="non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rPr>
        <w:t>时</w:t>
      </w:r>
      <w:r>
        <w:rPr>
          <w:rFonts w:hint="eastAsia" w:ascii="宋体" w:hAnsi="宋体" w:cs="宋体"/>
          <w:color w:val="auto"/>
          <w:highlight w:val="none"/>
          <w:u w:val="single"/>
          <w:lang w:val="en-US" w:eastAsia="zh-CN"/>
        </w:rPr>
        <w:t>00</w:t>
      </w:r>
      <w:r>
        <w:rPr>
          <w:rFonts w:hint="eastAsia" w:ascii="宋体" w:hAnsi="宋体" w:cs="宋体"/>
          <w:color w:val="auto"/>
          <w:highlight w:val="none"/>
        </w:rPr>
        <w:t>分</w:t>
      </w:r>
      <w:r>
        <w:rPr>
          <w:rFonts w:hint="eastAsia" w:ascii="宋体" w:hAnsi="宋体" w:cs="宋体"/>
          <w:color w:val="auto"/>
          <w:highlight w:val="none"/>
          <w:lang w:eastAsia="zh-CN"/>
        </w:rPr>
        <w:t>；</w:t>
      </w:r>
      <w:r>
        <w:rPr>
          <w:rFonts w:hint="eastAsia" w:ascii="宋体" w:hAnsi="宋体" w:cs="宋体"/>
          <w:snapToGrid w:val="0"/>
          <w:color w:val="auto"/>
          <w:highlight w:val="none"/>
        </w:rPr>
        <w:t>竞选文件递交截止时间（竞选截止时间，下同）为</w:t>
      </w:r>
      <w:r>
        <w:rPr>
          <w:rFonts w:hint="eastAsia" w:ascii="宋体" w:hAnsi="宋体" w:cs="宋体"/>
          <w:color w:val="auto"/>
          <w:highlight w:val="none"/>
          <w:u w:val="single"/>
          <w:lang w:eastAsia="zh-CN"/>
        </w:rPr>
        <w:t>2025</w:t>
      </w:r>
      <w:r>
        <w:rPr>
          <w:rFonts w:hint="eastAsia" w:ascii="宋体" w:hAnsi="宋体" w:cs="宋体"/>
          <w:color w:val="auto"/>
          <w:highlight w:val="none"/>
        </w:rPr>
        <w:t>年</w:t>
      </w:r>
      <w:r>
        <w:rPr>
          <w:rFonts w:hint="eastAsia" w:ascii="宋体" w:hAnsi="宋体" w:cs="宋体"/>
          <w:snapToGrid w:val="0"/>
          <w:color w:val="auto"/>
          <w:kern w:val="0"/>
          <w:szCs w:val="21"/>
          <w:highlight w:val="none"/>
          <w:u w:val="single"/>
          <w:lang w:val="en-US" w:eastAsia="zh-CN"/>
        </w:rPr>
        <w:t>9</w:t>
      </w:r>
      <w:r>
        <w:rPr>
          <w:rFonts w:hint="eastAsia" w:ascii="宋体" w:hAnsi="宋体" w:cs="宋体"/>
          <w:color w:val="auto"/>
          <w:highlight w:val="none"/>
        </w:rPr>
        <w:t>月</w:t>
      </w:r>
      <w:r>
        <w:rPr>
          <w:rFonts w:hint="eastAsia" w:ascii="宋体" w:hAnsi="宋体" w:cs="宋体"/>
          <w:snapToGrid w:val="0"/>
          <w:color w:val="auto"/>
          <w:kern w:val="0"/>
          <w:szCs w:val="21"/>
          <w:highlight w:val="none"/>
          <w:u w:val="single"/>
          <w:lang w:val="en-US" w:eastAsia="zh-CN"/>
        </w:rPr>
        <w:t>23</w:t>
      </w:r>
      <w:r>
        <w:rPr>
          <w:rFonts w:hint="eastAsia" w:ascii="宋体" w:hAnsi="宋体" w:cs="宋体"/>
          <w:color w:val="auto"/>
          <w:highlight w:val="non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rPr>
        <w:t>时</w:t>
      </w:r>
      <w:r>
        <w:rPr>
          <w:rFonts w:hint="eastAsia" w:ascii="宋体" w:hAnsi="宋体" w:cs="宋体"/>
          <w:color w:val="auto"/>
          <w:highlight w:val="none"/>
          <w:u w:val="single"/>
          <w:lang w:val="en-US" w:eastAsia="zh-CN"/>
        </w:rPr>
        <w:t>30</w:t>
      </w:r>
      <w:r>
        <w:rPr>
          <w:rFonts w:hint="eastAsia" w:ascii="宋体" w:hAnsi="宋体" w:cs="宋体"/>
          <w:color w:val="auto"/>
          <w:highlight w:val="none"/>
        </w:rPr>
        <w:t>分</w:t>
      </w:r>
      <w:r>
        <w:rPr>
          <w:rFonts w:hint="eastAsia" w:ascii="宋体" w:hAnsi="宋体" w:cs="宋体"/>
          <w:snapToGrid w:val="0"/>
          <w:color w:val="auto"/>
          <w:highlight w:val="none"/>
        </w:rPr>
        <w:t>，地点为</w:t>
      </w:r>
      <w:r>
        <w:rPr>
          <w:rFonts w:hint="eastAsia" w:ascii="宋体" w:hAnsi="宋体" w:cs="宋体"/>
          <w:snapToGrid w:val="0"/>
          <w:color w:val="auto"/>
          <w:highlight w:val="none"/>
          <w:u w:val="single"/>
        </w:rPr>
        <w:t>重庆爱采招标代理有限公司（重庆市巴南区李渡路59号（李家沱大融城B4栋）2-1、2-2）</w:t>
      </w:r>
      <w:r>
        <w:rPr>
          <w:rFonts w:hint="eastAsia" w:ascii="宋体" w:hAnsi="宋体" w:cs="宋体"/>
          <w:snapToGrid w:val="0"/>
          <w:color w:val="auto"/>
          <w:highlight w:val="none"/>
        </w:rPr>
        <w:t>。</w:t>
      </w:r>
    </w:p>
    <w:p w14:paraId="421D7866">
      <w:pPr>
        <w:tabs>
          <w:tab w:val="left" w:pos="4950"/>
        </w:tabs>
        <w:autoSpaceDE w:val="0"/>
        <w:autoSpaceDN w:val="0"/>
        <w:adjustRightInd w:val="0"/>
        <w:snapToGrid w:val="0"/>
        <w:spacing w:line="440" w:lineRule="exact"/>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5.</w:t>
      </w:r>
      <w:r>
        <w:rPr>
          <w:rFonts w:hint="eastAsia" w:ascii="宋体" w:hAnsi="宋体" w:cs="宋体"/>
          <w:snapToGrid w:val="0"/>
          <w:color w:val="auto"/>
          <w:kern w:val="0"/>
          <w:szCs w:val="21"/>
          <w:lang w:val="en-US" w:eastAsia="zh-CN"/>
        </w:rPr>
        <w:t>2</w:t>
      </w:r>
      <w:r>
        <w:rPr>
          <w:rFonts w:hint="eastAsia" w:ascii="宋体" w:hAnsi="宋体" w:cs="宋体"/>
          <w:snapToGrid w:val="0"/>
          <w:color w:val="auto"/>
          <w:kern w:val="0"/>
          <w:szCs w:val="21"/>
        </w:rPr>
        <w:t>逾期送达的或者未送达指定地点的竞选文件，比选人不予受理。</w:t>
      </w:r>
    </w:p>
    <w:p w14:paraId="61E038C2">
      <w:pPr>
        <w:pStyle w:val="3"/>
        <w:keepNext/>
        <w:keepLines/>
        <w:autoSpaceDE/>
        <w:autoSpaceDN/>
        <w:spacing w:line="500" w:lineRule="exact"/>
        <w:jc w:val="both"/>
        <w:rPr>
          <w:rFonts w:ascii="宋体" w:hAnsi="宋体" w:eastAsia="宋体" w:cs="宋体"/>
          <w:bCs/>
          <w:color w:val="auto"/>
          <w:spacing w:val="0"/>
          <w:w w:val="100"/>
          <w:kern w:val="0"/>
          <w:sz w:val="21"/>
          <w:szCs w:val="21"/>
        </w:rPr>
      </w:pPr>
      <w:bookmarkStart w:id="7" w:name="_Toc12359"/>
      <w:bookmarkStart w:id="8" w:name="_Toc23284"/>
      <w:bookmarkStart w:id="9" w:name="_Toc121128921"/>
      <w:bookmarkStart w:id="10" w:name="_Toc21885"/>
      <w:r>
        <w:rPr>
          <w:rFonts w:hint="eastAsia" w:ascii="宋体" w:hAnsi="宋体" w:eastAsia="宋体" w:cs="宋体"/>
          <w:bCs/>
          <w:color w:val="auto"/>
          <w:spacing w:val="0"/>
          <w:w w:val="100"/>
          <w:kern w:val="0"/>
          <w:sz w:val="21"/>
          <w:szCs w:val="21"/>
        </w:rPr>
        <w:t>6.发布公告的媒介</w:t>
      </w:r>
      <w:bookmarkEnd w:id="7"/>
      <w:bookmarkEnd w:id="8"/>
      <w:bookmarkEnd w:id="9"/>
    </w:p>
    <w:p w14:paraId="60AD0CA8">
      <w:pPr>
        <w:tabs>
          <w:tab w:val="left" w:pos="8520"/>
        </w:tabs>
        <w:autoSpaceDE w:val="0"/>
        <w:autoSpaceDN w:val="0"/>
        <w:adjustRightInd w:val="0"/>
        <w:snapToGrid w:val="0"/>
        <w:spacing w:line="440" w:lineRule="exact"/>
        <w:ind w:firstLine="420" w:firstLineChars="200"/>
        <w:jc w:val="left"/>
        <w:rPr>
          <w:rFonts w:ascii="宋体" w:hAnsi="宋体" w:cs="宋体"/>
          <w:snapToGrid w:val="0"/>
          <w:color w:val="auto"/>
          <w:kern w:val="0"/>
          <w:szCs w:val="21"/>
        </w:rPr>
      </w:pPr>
      <w:r>
        <w:rPr>
          <w:rFonts w:hint="eastAsia" w:ascii="宋体" w:hAnsi="宋体" w:cs="宋体"/>
          <w:snapToGrid w:val="0"/>
          <w:color w:val="auto"/>
        </w:rPr>
        <w:t>本次比</w:t>
      </w:r>
      <w:r>
        <w:rPr>
          <w:rFonts w:hint="eastAsia" w:ascii="宋体" w:hAnsi="宋体" w:cs="宋体"/>
          <w:snapToGrid w:val="0"/>
          <w:color w:val="auto"/>
          <w:highlight w:val="none"/>
        </w:rPr>
        <w:t>选公告在</w:t>
      </w:r>
      <w:r>
        <w:rPr>
          <w:rFonts w:hint="eastAsia" w:ascii="宋体" w:hAnsi="宋体" w:cs="宋体"/>
          <w:snapToGrid w:val="0"/>
          <w:color w:val="auto"/>
          <w:highlight w:val="none"/>
          <w:lang w:eastAsia="zh-CN"/>
        </w:rPr>
        <w:t>行采家（https://www.gec123.com/）</w:t>
      </w:r>
      <w:r>
        <w:rPr>
          <w:rFonts w:hint="eastAsia" w:ascii="宋体" w:hAnsi="宋体" w:cs="宋体"/>
          <w:snapToGrid w:val="0"/>
          <w:color w:val="auto"/>
          <w:highlight w:val="none"/>
        </w:rPr>
        <w:t>网上发</w:t>
      </w:r>
      <w:r>
        <w:rPr>
          <w:rFonts w:hint="eastAsia" w:ascii="宋体" w:hAnsi="宋体" w:cs="宋体"/>
          <w:snapToGrid w:val="0"/>
          <w:color w:val="auto"/>
        </w:rPr>
        <w:t>布。</w:t>
      </w:r>
    </w:p>
    <w:p w14:paraId="2C3E522E">
      <w:pPr>
        <w:pStyle w:val="3"/>
        <w:keepNext/>
        <w:keepLines/>
        <w:autoSpaceDE/>
        <w:autoSpaceDN/>
        <w:spacing w:line="500" w:lineRule="exact"/>
        <w:jc w:val="both"/>
        <w:rPr>
          <w:rFonts w:ascii="宋体" w:hAnsi="宋体" w:eastAsia="宋体" w:cs="宋体"/>
          <w:bCs/>
          <w:color w:val="auto"/>
          <w:spacing w:val="0"/>
          <w:w w:val="100"/>
          <w:kern w:val="0"/>
          <w:sz w:val="21"/>
          <w:szCs w:val="21"/>
        </w:rPr>
      </w:pPr>
      <w:r>
        <w:rPr>
          <w:rFonts w:hint="eastAsia" w:ascii="宋体" w:hAnsi="宋体" w:eastAsia="宋体" w:cs="宋体"/>
          <w:bCs/>
          <w:color w:val="auto"/>
          <w:spacing w:val="0"/>
          <w:w w:val="100"/>
          <w:kern w:val="0"/>
          <w:sz w:val="21"/>
          <w:szCs w:val="21"/>
        </w:rPr>
        <w:t>7.联系方式</w:t>
      </w:r>
      <w:bookmarkEnd w:id="10"/>
    </w:p>
    <w:p w14:paraId="06ADBA2A">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highlight w:val="none"/>
          <w:lang w:eastAsia="zh-CN"/>
        </w:rPr>
      </w:pPr>
      <w:r>
        <w:rPr>
          <w:rFonts w:hint="eastAsia" w:ascii="宋体" w:hAnsi="宋体" w:cs="宋体"/>
          <w:snapToGrid w:val="0"/>
          <w:color w:val="auto"/>
          <w:highlight w:val="none"/>
        </w:rPr>
        <w:t>比 选 人：重庆科学城明远未来中学校</w:t>
      </w:r>
    </w:p>
    <w:p w14:paraId="681CE7F0">
      <w:pPr>
        <w:tabs>
          <w:tab w:val="left" w:pos="8520"/>
        </w:tabs>
        <w:autoSpaceDE w:val="0"/>
        <w:autoSpaceDN w:val="0"/>
        <w:adjustRightInd w:val="0"/>
        <w:snapToGrid w:val="0"/>
        <w:spacing w:line="440" w:lineRule="exact"/>
        <w:ind w:firstLine="420" w:firstLineChars="200"/>
        <w:jc w:val="left"/>
        <w:rPr>
          <w:rFonts w:ascii="宋体" w:hAnsi="宋体" w:cs="宋体"/>
          <w:snapToGrid w:val="0"/>
          <w:color w:val="auto"/>
          <w:highlight w:val="none"/>
        </w:rPr>
      </w:pPr>
      <w:bookmarkStart w:id="11" w:name="OLE_LINK33"/>
      <w:r>
        <w:rPr>
          <w:rFonts w:hint="eastAsia" w:ascii="宋体" w:hAnsi="宋体" w:cs="宋体"/>
          <w:snapToGrid w:val="0"/>
          <w:color w:val="auto"/>
          <w:highlight w:val="none"/>
        </w:rPr>
        <w:t>地    址</w:t>
      </w:r>
      <w:bookmarkEnd w:id="11"/>
      <w:r>
        <w:rPr>
          <w:rFonts w:hint="eastAsia" w:ascii="宋体" w:hAnsi="宋体" w:cs="宋体"/>
          <w:snapToGrid w:val="0"/>
          <w:color w:val="auto"/>
          <w:highlight w:val="none"/>
        </w:rPr>
        <w:t>：重庆市沙坪坝区西尊路与永祥路交叉路口往东约200米</w:t>
      </w:r>
    </w:p>
    <w:p w14:paraId="09B3CCB9">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highlight w:val="none"/>
          <w:lang w:eastAsia="zh-CN"/>
        </w:rPr>
      </w:pPr>
      <w:r>
        <w:rPr>
          <w:rFonts w:hint="eastAsia" w:ascii="宋体" w:hAnsi="宋体" w:cs="宋体"/>
          <w:snapToGrid w:val="0"/>
          <w:color w:val="auto"/>
          <w:highlight w:val="none"/>
        </w:rPr>
        <w:t>联 系 人：</w:t>
      </w:r>
      <w:r>
        <w:rPr>
          <w:rFonts w:hint="eastAsia" w:ascii="宋体" w:hAnsi="宋体" w:cs="宋体"/>
          <w:snapToGrid w:val="0"/>
          <w:color w:val="auto"/>
          <w:highlight w:val="none"/>
          <w:lang w:eastAsia="zh-CN"/>
        </w:rPr>
        <w:t>王老师</w:t>
      </w:r>
    </w:p>
    <w:p w14:paraId="394D0D7C">
      <w:pPr>
        <w:tabs>
          <w:tab w:val="left" w:pos="8520"/>
        </w:tabs>
        <w:autoSpaceDE w:val="0"/>
        <w:autoSpaceDN w:val="0"/>
        <w:adjustRightInd w:val="0"/>
        <w:snapToGrid w:val="0"/>
        <w:spacing w:line="440" w:lineRule="exact"/>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电    话：19112198567</w:t>
      </w:r>
    </w:p>
    <w:p w14:paraId="4A07915A">
      <w:pPr>
        <w:tabs>
          <w:tab w:val="left" w:pos="8520"/>
        </w:tabs>
        <w:autoSpaceDE w:val="0"/>
        <w:autoSpaceDN w:val="0"/>
        <w:adjustRightInd w:val="0"/>
        <w:snapToGrid w:val="0"/>
        <w:spacing w:line="500" w:lineRule="exact"/>
        <w:ind w:firstLine="420" w:firstLineChars="200"/>
        <w:jc w:val="left"/>
        <w:rPr>
          <w:rFonts w:ascii="宋体" w:hAnsi="宋体" w:cs="宋体"/>
          <w:snapToGrid w:val="0"/>
          <w:color w:val="auto"/>
        </w:rPr>
      </w:pPr>
    </w:p>
    <w:p w14:paraId="429DD226">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lang w:eastAsia="zh-CN"/>
        </w:rPr>
      </w:pPr>
      <w:r>
        <w:rPr>
          <w:rFonts w:hint="eastAsia" w:ascii="宋体" w:hAnsi="宋体" w:cs="宋体"/>
          <w:snapToGrid w:val="0"/>
          <w:color w:val="auto"/>
        </w:rPr>
        <w:t>比选代理机构：</w:t>
      </w:r>
      <w:r>
        <w:rPr>
          <w:rFonts w:hint="eastAsia" w:ascii="宋体" w:hAnsi="宋体" w:cs="宋体"/>
          <w:snapToGrid w:val="0"/>
          <w:color w:val="auto"/>
          <w:lang w:eastAsia="zh-CN"/>
        </w:rPr>
        <w:t>重庆爱采招标代理有限公司</w:t>
      </w:r>
    </w:p>
    <w:p w14:paraId="7CB40B10">
      <w:pPr>
        <w:tabs>
          <w:tab w:val="left" w:pos="8520"/>
        </w:tabs>
        <w:autoSpaceDE w:val="0"/>
        <w:autoSpaceDN w:val="0"/>
        <w:adjustRightInd w:val="0"/>
        <w:snapToGrid w:val="0"/>
        <w:spacing w:line="440" w:lineRule="exact"/>
        <w:ind w:firstLine="420" w:firstLineChars="200"/>
        <w:jc w:val="left"/>
        <w:rPr>
          <w:rFonts w:hint="default" w:ascii="宋体" w:hAnsi="宋体" w:eastAsia="宋体" w:cs="宋体"/>
          <w:snapToGrid w:val="0"/>
          <w:color w:val="auto"/>
          <w:lang w:val="en-US" w:eastAsia="zh-CN"/>
        </w:rPr>
      </w:pPr>
      <w:r>
        <w:rPr>
          <w:rFonts w:hint="eastAsia" w:ascii="宋体" w:hAnsi="宋体" w:cs="宋体"/>
          <w:snapToGrid w:val="0"/>
          <w:color w:val="auto"/>
        </w:rPr>
        <w:t>地址：重庆市巴南区李渡路59号（李家沱大融城B4栋）2-1、2-2</w:t>
      </w:r>
    </w:p>
    <w:p w14:paraId="65E85CBA">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lang w:val="en-US" w:eastAsia="zh-CN"/>
        </w:rPr>
      </w:pPr>
      <w:r>
        <w:rPr>
          <w:rFonts w:hint="eastAsia" w:ascii="宋体" w:hAnsi="宋体" w:cs="宋体"/>
          <w:snapToGrid w:val="0"/>
          <w:color w:val="auto"/>
        </w:rPr>
        <w:t xml:space="preserve">联系人：李老师 </w:t>
      </w:r>
    </w:p>
    <w:p w14:paraId="1F834397">
      <w:pPr>
        <w:tabs>
          <w:tab w:val="left" w:pos="8520"/>
        </w:tabs>
        <w:autoSpaceDE w:val="0"/>
        <w:autoSpaceDN w:val="0"/>
        <w:adjustRightInd w:val="0"/>
        <w:snapToGrid w:val="0"/>
        <w:spacing w:line="440" w:lineRule="exact"/>
        <w:ind w:firstLine="420" w:firstLineChars="200"/>
        <w:jc w:val="left"/>
        <w:rPr>
          <w:rFonts w:hint="default" w:ascii="宋体" w:hAnsi="宋体" w:eastAsia="宋体" w:cs="宋体"/>
          <w:snapToGrid w:val="0"/>
          <w:color w:val="auto"/>
          <w:lang w:val="en-US" w:eastAsia="zh-CN"/>
        </w:rPr>
      </w:pPr>
      <w:r>
        <w:rPr>
          <w:rFonts w:hint="eastAsia" w:ascii="宋体" w:hAnsi="宋体" w:cs="宋体"/>
          <w:snapToGrid w:val="0"/>
          <w:color w:val="auto"/>
        </w:rPr>
        <w:t>电</w:t>
      </w:r>
      <w:r>
        <w:rPr>
          <w:rFonts w:hint="eastAsia" w:ascii="宋体" w:hAnsi="宋体" w:cs="宋体"/>
          <w:snapToGrid w:val="0"/>
          <w:color w:val="auto"/>
          <w:lang w:val="en-US" w:eastAsia="zh-CN"/>
        </w:rPr>
        <w:t xml:space="preserve"> </w:t>
      </w:r>
      <w:r>
        <w:rPr>
          <w:rFonts w:hint="eastAsia" w:ascii="宋体" w:hAnsi="宋体" w:cs="宋体"/>
          <w:snapToGrid w:val="0"/>
          <w:color w:val="auto"/>
        </w:rPr>
        <w:t>话：023-62551600，17323966875</w:t>
      </w:r>
    </w:p>
    <w:p w14:paraId="7B60704C">
      <w:pPr>
        <w:tabs>
          <w:tab w:val="left" w:pos="4950"/>
        </w:tabs>
        <w:autoSpaceDE w:val="0"/>
        <w:autoSpaceDN w:val="0"/>
        <w:adjustRightInd w:val="0"/>
        <w:snapToGrid w:val="0"/>
        <w:spacing w:line="360" w:lineRule="auto"/>
        <w:jc w:val="right"/>
        <w:rPr>
          <w:rFonts w:ascii="宋体" w:hAnsi="宋体" w:cs="宋体"/>
          <w:snapToGrid w:val="0"/>
          <w:color w:val="auto"/>
          <w:kern w:val="0"/>
          <w:szCs w:val="21"/>
        </w:rPr>
      </w:pPr>
    </w:p>
    <w:p w14:paraId="0AE84366">
      <w:pPr>
        <w:pStyle w:val="2"/>
        <w:numPr>
          <w:ilvl w:val="0"/>
          <w:numId w:val="0"/>
        </w:numPr>
        <w:rPr>
          <w:rFonts w:ascii="宋体" w:hAnsi="宋体" w:eastAsia="宋体" w:cs="宋体"/>
          <w:b/>
          <w:color w:val="auto"/>
          <w:kern w:val="0"/>
          <w:szCs w:val="22"/>
        </w:rPr>
      </w:pPr>
      <w:r>
        <w:rPr>
          <w:rFonts w:hint="eastAsia" w:ascii="宋体" w:hAnsi="宋体" w:eastAsia="宋体" w:cs="宋体"/>
          <w:snapToGrid w:val="0"/>
          <w:color w:val="auto"/>
          <w:kern w:val="0"/>
          <w:szCs w:val="21"/>
        </w:rPr>
        <w:br w:type="page"/>
      </w:r>
      <w:bookmarkStart w:id="12" w:name="_Toc25441"/>
      <w:bookmarkStart w:id="13" w:name="_Toc20583"/>
      <w:bookmarkStart w:id="14" w:name="_Toc444155909"/>
      <w:bookmarkStart w:id="15" w:name="_Toc16932"/>
      <w:bookmarkStart w:id="16" w:name="_Toc12142"/>
      <w:bookmarkStart w:id="17" w:name="_Toc4239"/>
      <w:r>
        <w:rPr>
          <w:rFonts w:hint="eastAsia" w:ascii="宋体" w:hAnsi="宋体" w:eastAsia="宋体" w:cs="宋体"/>
          <w:b/>
          <w:color w:val="auto"/>
          <w:kern w:val="0"/>
          <w:sz w:val="36"/>
          <w:szCs w:val="36"/>
        </w:rPr>
        <w:t>第二章 竞选人须知</w:t>
      </w:r>
      <w:bookmarkEnd w:id="12"/>
      <w:bookmarkEnd w:id="13"/>
      <w:bookmarkEnd w:id="14"/>
      <w:bookmarkEnd w:id="15"/>
      <w:bookmarkEnd w:id="16"/>
      <w:bookmarkEnd w:id="17"/>
    </w:p>
    <w:p w14:paraId="20D91398">
      <w:pPr>
        <w:pStyle w:val="3"/>
        <w:jc w:val="both"/>
        <w:rPr>
          <w:rFonts w:ascii="宋体" w:hAnsi="宋体" w:eastAsia="宋体" w:cs="宋体"/>
          <w:color w:val="auto"/>
          <w:w w:val="100"/>
          <w:sz w:val="21"/>
          <w:szCs w:val="21"/>
        </w:rPr>
      </w:pPr>
      <w:bookmarkStart w:id="18" w:name="_Toc444155910"/>
      <w:bookmarkStart w:id="19" w:name="_Toc13397"/>
      <w:bookmarkStart w:id="20" w:name="_Toc19448"/>
      <w:bookmarkStart w:id="21" w:name="_Toc32029"/>
      <w:bookmarkStart w:id="22" w:name="_Toc356243614"/>
      <w:bookmarkStart w:id="23" w:name="_Toc18771"/>
      <w:bookmarkStart w:id="24" w:name="_Toc354386951"/>
      <w:bookmarkStart w:id="25" w:name="_Toc22072"/>
      <w:r>
        <w:rPr>
          <w:rFonts w:hint="eastAsia" w:ascii="宋体" w:hAnsi="宋体" w:eastAsia="宋体" w:cs="宋体"/>
          <w:color w:val="auto"/>
          <w:w w:val="100"/>
          <w:sz w:val="21"/>
          <w:szCs w:val="21"/>
        </w:rPr>
        <w:t>竞选人须知前附表</w:t>
      </w:r>
      <w:bookmarkEnd w:id="18"/>
      <w:bookmarkEnd w:id="19"/>
      <w:bookmarkEnd w:id="20"/>
      <w:bookmarkEnd w:id="21"/>
      <w:bookmarkEnd w:id="22"/>
      <w:bookmarkEnd w:id="23"/>
      <w:bookmarkEnd w:id="24"/>
      <w:bookmarkEnd w:id="25"/>
    </w:p>
    <w:p w14:paraId="61000818">
      <w:pPr>
        <w:spacing w:line="360" w:lineRule="auto"/>
        <w:ind w:firstLine="420" w:firstLineChars="200"/>
        <w:rPr>
          <w:rFonts w:ascii="宋体" w:hAnsi="宋体" w:cs="宋体"/>
          <w:color w:val="auto"/>
        </w:rPr>
      </w:pPr>
      <w:r>
        <w:rPr>
          <w:rFonts w:hint="eastAsia" w:ascii="宋体" w:hAnsi="宋体" w:cs="宋体"/>
          <w:color w:val="auto"/>
          <w:szCs w:val="21"/>
        </w:rPr>
        <w:t>正文内容不允许修改。若竞选人须知前附表与正文不一致的地方，以竞选人须知前附表为准。</w:t>
      </w:r>
    </w:p>
    <w:tbl>
      <w:tblPr>
        <w:tblStyle w:val="49"/>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768"/>
        <w:gridCol w:w="6978"/>
      </w:tblGrid>
      <w:tr w14:paraId="4276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80" w:type="dxa"/>
            <w:vAlign w:val="center"/>
          </w:tcPr>
          <w:p w14:paraId="7FFE86C1">
            <w:pPr>
              <w:keepNext w:val="0"/>
              <w:keepLines w:val="0"/>
              <w:pageBreakBefore w:val="0"/>
              <w:kinsoku/>
              <w:wordWrap w:val="0"/>
              <w:overflowPunct/>
              <w:topLinePunct w:val="0"/>
              <w:bidi w:val="0"/>
              <w:snapToGrid w:val="0"/>
              <w:spacing w:line="400" w:lineRule="exact"/>
              <w:jc w:val="center"/>
              <w:textAlignment w:val="auto"/>
              <w:rPr>
                <w:rFonts w:ascii="宋体" w:hAnsi="宋体" w:cs="宋体"/>
                <w:b/>
                <w:color w:val="auto"/>
                <w:kern w:val="0"/>
                <w:szCs w:val="21"/>
              </w:rPr>
            </w:pPr>
            <w:r>
              <w:rPr>
                <w:rFonts w:hint="eastAsia" w:ascii="宋体" w:hAnsi="宋体" w:cs="宋体"/>
                <w:b/>
                <w:color w:val="auto"/>
                <w:kern w:val="0"/>
                <w:szCs w:val="21"/>
              </w:rPr>
              <w:t>条款号</w:t>
            </w:r>
          </w:p>
        </w:tc>
        <w:tc>
          <w:tcPr>
            <w:tcW w:w="1768" w:type="dxa"/>
            <w:vAlign w:val="center"/>
          </w:tcPr>
          <w:p w14:paraId="04FB2B20">
            <w:pPr>
              <w:keepNext w:val="0"/>
              <w:keepLines w:val="0"/>
              <w:pageBreakBefore w:val="0"/>
              <w:kinsoku/>
              <w:wordWrap w:val="0"/>
              <w:overflowPunct/>
              <w:topLinePunct w:val="0"/>
              <w:bidi w:val="0"/>
              <w:snapToGrid w:val="0"/>
              <w:spacing w:line="400" w:lineRule="exact"/>
              <w:jc w:val="center"/>
              <w:textAlignment w:val="auto"/>
              <w:rPr>
                <w:rFonts w:ascii="宋体" w:hAnsi="宋体" w:cs="宋体"/>
                <w:b/>
                <w:color w:val="auto"/>
                <w:kern w:val="0"/>
                <w:szCs w:val="21"/>
              </w:rPr>
            </w:pPr>
            <w:r>
              <w:rPr>
                <w:rFonts w:hint="eastAsia" w:ascii="宋体" w:hAnsi="宋体" w:cs="宋体"/>
                <w:b/>
                <w:color w:val="auto"/>
                <w:kern w:val="0"/>
                <w:szCs w:val="21"/>
              </w:rPr>
              <w:t>条款名称</w:t>
            </w:r>
          </w:p>
        </w:tc>
        <w:tc>
          <w:tcPr>
            <w:tcW w:w="6978" w:type="dxa"/>
            <w:vAlign w:val="center"/>
          </w:tcPr>
          <w:p w14:paraId="4FBA2300">
            <w:pPr>
              <w:keepNext w:val="0"/>
              <w:keepLines w:val="0"/>
              <w:pageBreakBefore w:val="0"/>
              <w:kinsoku/>
              <w:wordWrap w:val="0"/>
              <w:overflowPunct/>
              <w:topLinePunct w:val="0"/>
              <w:bidi w:val="0"/>
              <w:snapToGrid w:val="0"/>
              <w:spacing w:line="400" w:lineRule="exact"/>
              <w:jc w:val="center"/>
              <w:textAlignment w:val="auto"/>
              <w:rPr>
                <w:rFonts w:ascii="宋体" w:hAnsi="宋体" w:cs="宋体"/>
                <w:b/>
                <w:color w:val="auto"/>
                <w:kern w:val="0"/>
                <w:szCs w:val="21"/>
              </w:rPr>
            </w:pPr>
            <w:r>
              <w:rPr>
                <w:rFonts w:hint="eastAsia" w:ascii="宋体" w:hAnsi="宋体" w:cs="宋体"/>
                <w:b/>
                <w:color w:val="auto"/>
                <w:kern w:val="0"/>
                <w:szCs w:val="21"/>
              </w:rPr>
              <w:t>编  列  内  容</w:t>
            </w:r>
          </w:p>
        </w:tc>
      </w:tr>
      <w:tr w14:paraId="34DE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3AEC03F1">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1.1.2</w:t>
            </w:r>
          </w:p>
        </w:tc>
        <w:tc>
          <w:tcPr>
            <w:tcW w:w="1768" w:type="dxa"/>
            <w:vAlign w:val="center"/>
          </w:tcPr>
          <w:p w14:paraId="669ED682">
            <w:pPr>
              <w:keepNext w:val="0"/>
              <w:keepLines w:val="0"/>
              <w:pageBreakBefore w:val="0"/>
              <w:kinsoku/>
              <w:wordWrap w:val="0"/>
              <w:overflowPunct/>
              <w:topLinePunct w:val="0"/>
              <w:bidi w:val="0"/>
              <w:snapToGrid w:val="0"/>
              <w:spacing w:line="400" w:lineRule="exact"/>
              <w:jc w:val="center"/>
              <w:textAlignment w:val="auto"/>
              <w:rPr>
                <w:rFonts w:ascii="宋体" w:hAnsi="宋体" w:cs="宋体"/>
                <w:snapToGrid w:val="0"/>
                <w:color w:val="auto"/>
                <w:kern w:val="0"/>
                <w:szCs w:val="21"/>
              </w:rPr>
            </w:pPr>
            <w:r>
              <w:rPr>
                <w:rFonts w:hint="eastAsia" w:ascii="宋体" w:hAnsi="宋体" w:cs="宋体"/>
                <w:snapToGrid w:val="0"/>
                <w:color w:val="auto"/>
                <w:kern w:val="0"/>
                <w:szCs w:val="21"/>
              </w:rPr>
              <w:t>比选人</w:t>
            </w:r>
          </w:p>
        </w:tc>
        <w:tc>
          <w:tcPr>
            <w:tcW w:w="6978" w:type="dxa"/>
            <w:vAlign w:val="center"/>
          </w:tcPr>
          <w:p w14:paraId="6E3BC6B3">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highlight w:val="none"/>
                <w:lang w:eastAsia="zh-CN"/>
              </w:rPr>
            </w:pPr>
            <w:r>
              <w:rPr>
                <w:rFonts w:hint="eastAsia" w:ascii="宋体" w:hAnsi="宋体" w:cs="宋体"/>
                <w:snapToGrid w:val="0"/>
                <w:color w:val="auto"/>
                <w:highlight w:val="none"/>
              </w:rPr>
              <w:t>比 选 人：重庆科学城明远未来中学校</w:t>
            </w:r>
          </w:p>
          <w:p w14:paraId="4D40ABD6">
            <w:pPr>
              <w:tabs>
                <w:tab w:val="left" w:pos="8520"/>
              </w:tabs>
              <w:autoSpaceDE w:val="0"/>
              <w:autoSpaceDN w:val="0"/>
              <w:adjustRightInd w:val="0"/>
              <w:snapToGrid w:val="0"/>
              <w:spacing w:line="440" w:lineRule="exact"/>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地    址：重庆市沙坪坝区西尊路与永祥路交叉路口往东约200米</w:t>
            </w:r>
          </w:p>
          <w:p w14:paraId="40CAFDBC">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highlight w:val="none"/>
                <w:lang w:eastAsia="zh-CN"/>
              </w:rPr>
            </w:pPr>
            <w:r>
              <w:rPr>
                <w:rFonts w:hint="eastAsia" w:ascii="宋体" w:hAnsi="宋体" w:cs="宋体"/>
                <w:snapToGrid w:val="0"/>
                <w:color w:val="auto"/>
                <w:highlight w:val="none"/>
              </w:rPr>
              <w:t>联 系 人：</w:t>
            </w:r>
            <w:r>
              <w:rPr>
                <w:rFonts w:hint="eastAsia" w:ascii="宋体" w:hAnsi="宋体" w:cs="宋体"/>
                <w:snapToGrid w:val="0"/>
                <w:color w:val="auto"/>
                <w:highlight w:val="none"/>
                <w:lang w:eastAsia="zh-CN"/>
              </w:rPr>
              <w:t>王老师</w:t>
            </w:r>
          </w:p>
          <w:p w14:paraId="5B9817DD">
            <w:pPr>
              <w:tabs>
                <w:tab w:val="left" w:pos="8520"/>
              </w:tabs>
              <w:autoSpaceDE w:val="0"/>
              <w:autoSpaceDN w:val="0"/>
              <w:adjustRightInd w:val="0"/>
              <w:snapToGrid w:val="0"/>
              <w:spacing w:line="440" w:lineRule="exact"/>
              <w:ind w:firstLine="420" w:firstLineChars="200"/>
              <w:jc w:val="left"/>
              <w:rPr>
                <w:rFonts w:ascii="宋体" w:hAnsi="宋体" w:cs="宋体"/>
                <w:color w:val="auto"/>
                <w:szCs w:val="21"/>
              </w:rPr>
            </w:pPr>
            <w:r>
              <w:rPr>
                <w:rFonts w:hint="eastAsia" w:ascii="宋体" w:hAnsi="宋体" w:cs="宋体"/>
                <w:snapToGrid w:val="0"/>
                <w:color w:val="auto"/>
                <w:highlight w:val="none"/>
              </w:rPr>
              <w:t>电    话：19112198567</w:t>
            </w:r>
          </w:p>
        </w:tc>
      </w:tr>
      <w:tr w14:paraId="2513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46ED9EE">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1.1.3</w:t>
            </w:r>
          </w:p>
        </w:tc>
        <w:tc>
          <w:tcPr>
            <w:tcW w:w="1768" w:type="dxa"/>
            <w:vAlign w:val="center"/>
          </w:tcPr>
          <w:p w14:paraId="6A55053F">
            <w:pPr>
              <w:keepNext w:val="0"/>
              <w:keepLines w:val="0"/>
              <w:pageBreakBefore w:val="0"/>
              <w:kinsoku/>
              <w:wordWrap w:val="0"/>
              <w:overflowPunct/>
              <w:topLinePunct w:val="0"/>
              <w:bidi w:val="0"/>
              <w:snapToGrid w:val="0"/>
              <w:spacing w:line="400" w:lineRule="exact"/>
              <w:jc w:val="center"/>
              <w:textAlignment w:val="auto"/>
              <w:rPr>
                <w:rFonts w:ascii="宋体" w:hAnsi="宋体" w:cs="宋体"/>
                <w:snapToGrid w:val="0"/>
                <w:color w:val="auto"/>
                <w:kern w:val="0"/>
                <w:szCs w:val="21"/>
              </w:rPr>
            </w:pPr>
            <w:r>
              <w:rPr>
                <w:rFonts w:hint="eastAsia" w:ascii="宋体" w:hAnsi="宋体" w:cs="宋体"/>
                <w:snapToGrid w:val="0"/>
                <w:color w:val="auto"/>
                <w:kern w:val="0"/>
                <w:szCs w:val="21"/>
              </w:rPr>
              <w:t>比选代理机构</w:t>
            </w:r>
          </w:p>
        </w:tc>
        <w:tc>
          <w:tcPr>
            <w:tcW w:w="6978" w:type="dxa"/>
            <w:vAlign w:val="center"/>
          </w:tcPr>
          <w:p w14:paraId="3AD84CD2">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比选代理机构：重庆爱采招标代理有限公司</w:t>
            </w:r>
          </w:p>
          <w:p w14:paraId="0E9C9CBF">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地址：重庆市巴南区李渡路59号（李家沱大融城B4栋）2-1、2-2</w:t>
            </w:r>
          </w:p>
          <w:p w14:paraId="768CB19B">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 xml:space="preserve">联系人：李老师 </w:t>
            </w:r>
          </w:p>
          <w:p w14:paraId="2DACCB57">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电话：023-62551600，17323966875</w:t>
            </w:r>
          </w:p>
        </w:tc>
      </w:tr>
      <w:tr w14:paraId="70C2D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4541F7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1.1.4</w:t>
            </w:r>
          </w:p>
        </w:tc>
        <w:tc>
          <w:tcPr>
            <w:tcW w:w="1768" w:type="dxa"/>
            <w:vAlign w:val="center"/>
          </w:tcPr>
          <w:p w14:paraId="44ED32D0">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项目名称</w:t>
            </w:r>
          </w:p>
        </w:tc>
        <w:tc>
          <w:tcPr>
            <w:tcW w:w="6978" w:type="dxa"/>
            <w:vAlign w:val="center"/>
          </w:tcPr>
          <w:p w14:paraId="2B33BB80">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snapToGrid w:val="0"/>
                <w:color w:val="auto"/>
                <w:kern w:val="0"/>
                <w:szCs w:val="21"/>
                <w:lang w:eastAsia="zh-CN"/>
              </w:rPr>
            </w:pPr>
            <w:r>
              <w:rPr>
                <w:rFonts w:hint="eastAsia" w:ascii="宋体" w:hAnsi="宋体" w:cs="宋体"/>
                <w:snapToGrid w:val="0"/>
                <w:color w:val="auto"/>
                <w:kern w:val="0"/>
                <w:szCs w:val="21"/>
                <w:lang w:eastAsia="zh-CN"/>
              </w:rPr>
              <w:t>重庆科学城明远未来中学校操场主席台背景墙建设</w:t>
            </w:r>
          </w:p>
        </w:tc>
      </w:tr>
      <w:tr w14:paraId="76E73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80" w:type="dxa"/>
            <w:vAlign w:val="center"/>
          </w:tcPr>
          <w:p w14:paraId="66349B62">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1.1.5</w:t>
            </w:r>
          </w:p>
        </w:tc>
        <w:tc>
          <w:tcPr>
            <w:tcW w:w="1768" w:type="dxa"/>
            <w:vAlign w:val="center"/>
          </w:tcPr>
          <w:p w14:paraId="597BA73A">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snapToGrid w:val="0"/>
                <w:color w:val="auto"/>
                <w:kern w:val="0"/>
                <w:szCs w:val="21"/>
                <w:lang w:val="en-US" w:eastAsia="zh-CN"/>
              </w:rPr>
              <w:t>建设</w:t>
            </w:r>
            <w:r>
              <w:rPr>
                <w:rFonts w:hint="eastAsia" w:ascii="宋体" w:hAnsi="宋体" w:cs="宋体"/>
                <w:snapToGrid w:val="0"/>
                <w:color w:val="auto"/>
                <w:kern w:val="0"/>
                <w:szCs w:val="21"/>
              </w:rPr>
              <w:t>地点</w:t>
            </w:r>
          </w:p>
        </w:tc>
        <w:tc>
          <w:tcPr>
            <w:tcW w:w="6978" w:type="dxa"/>
            <w:vAlign w:val="center"/>
          </w:tcPr>
          <w:p w14:paraId="36C22F83">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重庆科学城明远未来中学校</w:t>
            </w:r>
          </w:p>
        </w:tc>
      </w:tr>
      <w:tr w14:paraId="5CE2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43ACF20">
            <w:pPr>
              <w:keepNext w:val="0"/>
              <w:keepLines w:val="0"/>
              <w:pageBreakBefore w:val="0"/>
              <w:kinsoku/>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1.1.6</w:t>
            </w:r>
          </w:p>
        </w:tc>
        <w:tc>
          <w:tcPr>
            <w:tcW w:w="1768" w:type="dxa"/>
            <w:vAlign w:val="center"/>
          </w:tcPr>
          <w:p w14:paraId="52019ACD">
            <w:pPr>
              <w:keepNext w:val="0"/>
              <w:keepLines w:val="0"/>
              <w:pageBreakBefore w:val="0"/>
              <w:kinsoku/>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项目概况</w:t>
            </w:r>
          </w:p>
        </w:tc>
        <w:tc>
          <w:tcPr>
            <w:tcW w:w="6978" w:type="dxa"/>
            <w:vAlign w:val="center"/>
          </w:tcPr>
          <w:p w14:paraId="00716CD5">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1"/>
                <w:highlight w:val="none"/>
                <w:u w:val="single"/>
                <w:lang w:val="en-US" w:eastAsia="zh-CN"/>
              </w:rPr>
              <w:t>包含不限于挖沟槽土方、沟槽土方回填、余方弃置起运1KM、C15混凝土垫层等工程内容。</w:t>
            </w:r>
          </w:p>
        </w:tc>
      </w:tr>
      <w:tr w14:paraId="1F2A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BEE3C62">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1.2.1</w:t>
            </w:r>
          </w:p>
        </w:tc>
        <w:tc>
          <w:tcPr>
            <w:tcW w:w="1768" w:type="dxa"/>
            <w:vAlign w:val="center"/>
          </w:tcPr>
          <w:p w14:paraId="6E897ED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资金来源</w:t>
            </w:r>
          </w:p>
        </w:tc>
        <w:tc>
          <w:tcPr>
            <w:tcW w:w="6978" w:type="dxa"/>
            <w:vAlign w:val="center"/>
          </w:tcPr>
          <w:p w14:paraId="66862036">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snapToGrid w:val="0"/>
                <w:color w:val="auto"/>
                <w:kern w:val="0"/>
                <w:szCs w:val="21"/>
              </w:rPr>
            </w:pPr>
            <w:r>
              <w:rPr>
                <w:rFonts w:hint="eastAsia" w:ascii="宋体" w:hAnsi="宋体" w:cs="宋体"/>
                <w:color w:val="auto"/>
                <w:szCs w:val="21"/>
                <w:highlight w:val="none"/>
                <w:u w:val="single"/>
              </w:rPr>
              <w:t>财政预算资金</w:t>
            </w:r>
          </w:p>
        </w:tc>
      </w:tr>
      <w:tr w14:paraId="5B24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60CDF0CB">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1.2.2</w:t>
            </w:r>
          </w:p>
        </w:tc>
        <w:tc>
          <w:tcPr>
            <w:tcW w:w="1768" w:type="dxa"/>
            <w:vAlign w:val="center"/>
          </w:tcPr>
          <w:p w14:paraId="0C301166">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出资比例</w:t>
            </w:r>
          </w:p>
        </w:tc>
        <w:tc>
          <w:tcPr>
            <w:tcW w:w="6978" w:type="dxa"/>
            <w:vAlign w:val="center"/>
          </w:tcPr>
          <w:p w14:paraId="1EE57CA5">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100%</w:t>
            </w:r>
          </w:p>
        </w:tc>
      </w:tr>
      <w:tr w14:paraId="2ABF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5B3BB7E">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1.2.3</w:t>
            </w:r>
          </w:p>
        </w:tc>
        <w:tc>
          <w:tcPr>
            <w:tcW w:w="1768" w:type="dxa"/>
            <w:vAlign w:val="center"/>
          </w:tcPr>
          <w:p w14:paraId="640EA6C5">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资金落实情况</w:t>
            </w:r>
          </w:p>
        </w:tc>
        <w:tc>
          <w:tcPr>
            <w:tcW w:w="6978" w:type="dxa"/>
            <w:vAlign w:val="center"/>
          </w:tcPr>
          <w:p w14:paraId="20ED869A">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已落实</w:t>
            </w:r>
          </w:p>
        </w:tc>
      </w:tr>
      <w:tr w14:paraId="0EC25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35789F2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1.3.1</w:t>
            </w:r>
          </w:p>
        </w:tc>
        <w:tc>
          <w:tcPr>
            <w:tcW w:w="1768" w:type="dxa"/>
            <w:vAlign w:val="center"/>
          </w:tcPr>
          <w:p w14:paraId="7450BC36">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snapToGrid w:val="0"/>
                <w:color w:val="auto"/>
                <w:szCs w:val="21"/>
              </w:rPr>
              <w:t>比选</w:t>
            </w:r>
            <w:r>
              <w:rPr>
                <w:rFonts w:hint="eastAsia" w:ascii="宋体" w:hAnsi="宋体" w:cs="宋体"/>
                <w:color w:val="auto"/>
                <w:kern w:val="0"/>
                <w:szCs w:val="21"/>
              </w:rPr>
              <w:t>范围</w:t>
            </w:r>
          </w:p>
        </w:tc>
        <w:tc>
          <w:tcPr>
            <w:tcW w:w="6978" w:type="dxa"/>
            <w:vAlign w:val="center"/>
          </w:tcPr>
          <w:p w14:paraId="12D5557E">
            <w:pPr>
              <w:keepNext w:val="0"/>
              <w:keepLines w:val="0"/>
              <w:pageBreakBefore w:val="0"/>
              <w:kinsoku/>
              <w:overflowPunct/>
              <w:topLinePunct w:val="0"/>
              <w:bidi w:val="0"/>
              <w:snapToGrid w:val="0"/>
              <w:spacing w:line="400" w:lineRule="exact"/>
              <w:ind w:firstLine="420" w:firstLineChars="200"/>
              <w:textAlignment w:val="auto"/>
              <w:rPr>
                <w:rFonts w:hint="default" w:ascii="宋体" w:hAnsi="宋体" w:eastAsia="宋体" w:cs="宋体"/>
                <w:snapToGrid w:val="0"/>
                <w:color w:val="auto"/>
                <w:kern w:val="0"/>
                <w:szCs w:val="21"/>
                <w:lang w:val="en-US" w:eastAsia="zh-CN"/>
              </w:rPr>
            </w:pPr>
            <w:r>
              <w:rPr>
                <w:rFonts w:hint="eastAsia" w:ascii="宋体" w:hAnsi="宋体" w:cs="宋体"/>
                <w:color w:val="auto"/>
                <w:szCs w:val="21"/>
                <w:highlight w:val="none"/>
              </w:rPr>
              <w:t>按照</w:t>
            </w:r>
            <w:r>
              <w:rPr>
                <w:rFonts w:hint="eastAsia" w:ascii="宋体" w:hAnsi="宋体" w:cs="宋体"/>
                <w:color w:val="auto"/>
                <w:szCs w:val="21"/>
                <w:highlight w:val="none"/>
                <w:lang w:val="en-US" w:eastAsia="zh-CN"/>
              </w:rPr>
              <w:t>重庆科学城明远</w:t>
            </w:r>
            <w:r>
              <w:rPr>
                <w:rFonts w:hint="eastAsia" w:ascii="宋体" w:hAnsi="宋体" w:cs="宋体"/>
                <w:color w:val="auto"/>
                <w:szCs w:val="21"/>
                <w:lang w:val="en-US" w:eastAsia="zh-CN"/>
              </w:rPr>
              <w:t>未来中学校</w:t>
            </w:r>
            <w:r>
              <w:rPr>
                <w:rFonts w:hint="eastAsia" w:ascii="宋体" w:hAnsi="宋体" w:cs="宋体"/>
                <w:color w:val="auto"/>
                <w:szCs w:val="21"/>
              </w:rPr>
              <w:t>采购要求，</w:t>
            </w:r>
            <w:r>
              <w:rPr>
                <w:rFonts w:hint="eastAsia" w:ascii="宋体" w:hAnsi="宋体" w:cs="宋体"/>
                <w:color w:val="auto"/>
                <w:szCs w:val="21"/>
                <w:highlight w:val="none"/>
                <w:lang w:val="en-US" w:eastAsia="zh-CN"/>
              </w:rPr>
              <w:t>完成</w:t>
            </w:r>
            <w:r>
              <w:rPr>
                <w:rFonts w:hint="eastAsia" w:ascii="宋体" w:hAnsi="宋体" w:cs="宋体"/>
                <w:color w:val="auto"/>
                <w:szCs w:val="21"/>
                <w:highlight w:val="none"/>
                <w:u w:val="none"/>
                <w:lang w:val="en-US" w:eastAsia="zh-CN"/>
              </w:rPr>
              <w:t>建筑工程</w:t>
            </w:r>
            <w:r>
              <w:rPr>
                <w:rFonts w:hint="eastAsia" w:ascii="宋体" w:hAnsi="宋体" w:cs="宋体"/>
                <w:color w:val="auto"/>
                <w:szCs w:val="21"/>
                <w:highlight w:val="none"/>
                <w:lang w:val="en-US" w:eastAsia="zh-CN"/>
              </w:rPr>
              <w:t>，工程量清单和图纸详见附件。</w:t>
            </w:r>
          </w:p>
        </w:tc>
      </w:tr>
      <w:tr w14:paraId="75DC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4CFA5D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1.3.2</w:t>
            </w:r>
          </w:p>
        </w:tc>
        <w:tc>
          <w:tcPr>
            <w:tcW w:w="1768" w:type="dxa"/>
            <w:vAlign w:val="center"/>
          </w:tcPr>
          <w:p w14:paraId="3BCAE255">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工期</w:t>
            </w:r>
          </w:p>
        </w:tc>
        <w:tc>
          <w:tcPr>
            <w:tcW w:w="6978" w:type="dxa"/>
            <w:vAlign w:val="center"/>
          </w:tcPr>
          <w:p w14:paraId="0ED6CC2E">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default" w:ascii="宋体" w:hAnsi="宋体" w:eastAsia="宋体" w:cs="宋体"/>
                <w:snapToGrid w:val="0"/>
                <w:color w:val="auto"/>
                <w:kern w:val="0"/>
                <w:szCs w:val="21"/>
                <w:lang w:val="en-US" w:eastAsia="zh-CN"/>
              </w:rPr>
            </w:pPr>
            <w:r>
              <w:rPr>
                <w:rFonts w:hint="eastAsia" w:ascii="宋体" w:hAnsi="宋体" w:cs="宋体"/>
                <w:snapToGrid w:val="0"/>
                <w:color w:val="auto"/>
                <w:kern w:val="0"/>
                <w:szCs w:val="21"/>
                <w:highlight w:val="none"/>
                <w:u w:val="single"/>
                <w:lang w:val="en-US" w:eastAsia="zh-CN"/>
              </w:rPr>
              <w:t>30</w:t>
            </w:r>
            <w:r>
              <w:rPr>
                <w:rFonts w:hint="eastAsia" w:ascii="宋体" w:hAnsi="宋体" w:cs="宋体"/>
                <w:snapToGrid w:val="0"/>
                <w:color w:val="auto"/>
                <w:kern w:val="0"/>
                <w:szCs w:val="21"/>
                <w:highlight w:val="none"/>
                <w:u w:val="none"/>
                <w:lang w:val="en-US" w:eastAsia="zh-CN"/>
              </w:rPr>
              <w:t>个</w:t>
            </w:r>
            <w:r>
              <w:rPr>
                <w:rFonts w:hint="eastAsia" w:ascii="宋体" w:hAnsi="宋体" w:cs="宋体"/>
                <w:snapToGrid w:val="0"/>
                <w:color w:val="auto"/>
                <w:kern w:val="0"/>
                <w:szCs w:val="21"/>
                <w:highlight w:val="none"/>
                <w:lang w:val="en-US" w:eastAsia="zh-CN"/>
              </w:rPr>
              <w:t>日历日</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lang w:eastAsia="zh-CN"/>
              </w:rPr>
              <w:t>，</w:t>
            </w:r>
            <w:r>
              <w:rPr>
                <w:rFonts w:hint="eastAsia" w:ascii="宋体" w:hAnsi="宋体"/>
                <w:snapToGrid w:val="0"/>
                <w:color w:val="auto"/>
                <w:kern w:val="0"/>
                <w:szCs w:val="21"/>
              </w:rPr>
              <w:t>缺陷责任期要求：工程缺陷责任期为两年，其中防水工程部分为五年</w:t>
            </w:r>
            <w:r>
              <w:rPr>
                <w:rFonts w:hint="eastAsia" w:ascii="宋体" w:hAnsi="宋体" w:cs="宋体"/>
                <w:snapToGrid w:val="0"/>
                <w:color w:val="auto"/>
                <w:kern w:val="0"/>
                <w:szCs w:val="21"/>
                <w:lang w:val="en-US" w:eastAsia="zh-CN"/>
              </w:rPr>
              <w:t>。</w:t>
            </w:r>
          </w:p>
        </w:tc>
      </w:tr>
      <w:tr w14:paraId="4787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1CFFA6FC">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1.3.3</w:t>
            </w:r>
          </w:p>
        </w:tc>
        <w:tc>
          <w:tcPr>
            <w:tcW w:w="1768" w:type="dxa"/>
            <w:vAlign w:val="center"/>
          </w:tcPr>
          <w:p w14:paraId="45420A4A">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质量要求</w:t>
            </w:r>
          </w:p>
        </w:tc>
        <w:tc>
          <w:tcPr>
            <w:tcW w:w="6978" w:type="dxa"/>
            <w:vAlign w:val="center"/>
          </w:tcPr>
          <w:p w14:paraId="3506C57A">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snapToGrid w:val="0"/>
                <w:color w:val="auto"/>
                <w:kern w:val="0"/>
                <w:szCs w:val="21"/>
                <w:u w:val="single"/>
              </w:rPr>
            </w:pPr>
            <w:r>
              <w:rPr>
                <w:rFonts w:hint="eastAsia" w:ascii="宋体" w:hAnsi="宋体" w:cs="宋体"/>
                <w:snapToGrid w:val="0"/>
                <w:color w:val="auto"/>
                <w:kern w:val="0"/>
                <w:szCs w:val="22"/>
              </w:rPr>
              <w:t>必须满足国家、重庆市现行相关规定和要求规范，符合比选人的质量要求。</w:t>
            </w:r>
          </w:p>
        </w:tc>
      </w:tr>
      <w:tr w14:paraId="09280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6511F535">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1.4.1</w:t>
            </w:r>
          </w:p>
        </w:tc>
        <w:tc>
          <w:tcPr>
            <w:tcW w:w="1768" w:type="dxa"/>
            <w:vAlign w:val="center"/>
          </w:tcPr>
          <w:p w14:paraId="1C0CA11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bookmarkStart w:id="26" w:name="OLE_LINK117"/>
            <w:bookmarkStart w:id="27" w:name="OLE_LINK116"/>
            <w:bookmarkStart w:id="28" w:name="OLE_LINK115"/>
            <w:r>
              <w:rPr>
                <w:rFonts w:hint="eastAsia" w:ascii="宋体" w:hAnsi="宋体" w:cs="宋体"/>
                <w:color w:val="auto"/>
                <w:kern w:val="0"/>
                <w:szCs w:val="21"/>
              </w:rPr>
              <w:t>竞选人资质条件、能力和信誉</w:t>
            </w:r>
            <w:bookmarkEnd w:id="26"/>
            <w:bookmarkEnd w:id="27"/>
            <w:bookmarkEnd w:id="28"/>
          </w:p>
        </w:tc>
        <w:tc>
          <w:tcPr>
            <w:tcW w:w="6978" w:type="dxa"/>
            <w:vAlign w:val="center"/>
          </w:tcPr>
          <w:p w14:paraId="5F07659A">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本比选项目实行资格后审，竞选人应具备以下资格条件：</w:t>
            </w:r>
          </w:p>
          <w:p w14:paraId="716ABF8B">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1.营业执照</w:t>
            </w:r>
          </w:p>
          <w:p w14:paraId="65149558">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竞选人须具备独立法人资格，具有有效的营业执照。</w:t>
            </w:r>
          </w:p>
          <w:p w14:paraId="3AFABF11">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竞选人须在竞选文件中提供营业执照复印件。</w:t>
            </w:r>
          </w:p>
          <w:p w14:paraId="3D7241EA">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2"/>
                <w:highlight w:val="none"/>
                <w:lang w:val="en-US" w:eastAsia="zh-CN"/>
              </w:rPr>
            </w:pPr>
            <w:r>
              <w:rPr>
                <w:rFonts w:hint="eastAsia" w:ascii="宋体" w:hAnsi="宋体" w:cs="宋体"/>
                <w:color w:val="auto"/>
                <w:szCs w:val="22"/>
                <w:highlight w:val="none"/>
                <w:lang w:val="en-US" w:eastAsia="zh-CN"/>
              </w:rPr>
              <w:t>2.特定资格条件</w:t>
            </w:r>
          </w:p>
          <w:p w14:paraId="5E92AC9E">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Cs w:val="22"/>
                <w:lang w:eastAsia="zh-CN"/>
              </w:rPr>
            </w:pPr>
            <w:r>
              <w:rPr>
                <w:rFonts w:hint="eastAsia" w:ascii="宋体" w:hAnsi="宋体" w:cs="宋体"/>
                <w:color w:val="auto"/>
                <w:szCs w:val="22"/>
                <w:lang w:val="en-US" w:eastAsia="zh-CN"/>
              </w:rPr>
              <w:t>（1）</w:t>
            </w:r>
            <w:r>
              <w:rPr>
                <w:rFonts w:hint="eastAsia" w:ascii="宋体" w:hAnsi="宋体" w:eastAsia="宋体" w:cs="宋体"/>
                <w:color w:val="auto"/>
                <w:szCs w:val="22"/>
                <w:lang w:val="en-US" w:eastAsia="zh-CN"/>
              </w:rPr>
              <w:t>竞选人</w:t>
            </w:r>
            <w:r>
              <w:rPr>
                <w:rFonts w:hint="eastAsia" w:ascii="宋体" w:hAnsi="宋体" w:eastAsia="宋体" w:cs="宋体"/>
                <w:color w:val="auto"/>
                <w:szCs w:val="22"/>
              </w:rPr>
              <w:t>须具有建设行政主管部门颁发的建筑工程施工总承包三级（含）及以上资质</w:t>
            </w:r>
            <w:r>
              <w:rPr>
                <w:rFonts w:hint="eastAsia" w:ascii="宋体" w:hAnsi="宋体" w:eastAsia="宋体" w:cs="宋体"/>
                <w:color w:val="auto"/>
                <w:szCs w:val="22"/>
                <w:lang w:eastAsia="zh-CN"/>
              </w:rPr>
              <w:t>。</w:t>
            </w:r>
          </w:p>
          <w:p w14:paraId="1D824936">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default" w:ascii="宋体" w:hAnsi="宋体" w:eastAsia="宋体" w:cs="宋体"/>
                <w:color w:val="auto"/>
                <w:szCs w:val="22"/>
                <w:lang w:val="en-US" w:eastAsia="zh-CN"/>
              </w:rPr>
            </w:pPr>
            <w:r>
              <w:rPr>
                <w:rFonts w:hint="eastAsia" w:ascii="宋体" w:hAnsi="宋体" w:cs="宋体"/>
                <w:color w:val="auto"/>
                <w:szCs w:val="22"/>
                <w:lang w:val="en-US" w:eastAsia="zh-CN"/>
              </w:rPr>
              <w:t>（2）</w:t>
            </w:r>
            <w:r>
              <w:rPr>
                <w:rFonts w:hint="eastAsia" w:ascii="宋体" w:hAnsi="宋体" w:eastAsia="宋体" w:cs="宋体"/>
                <w:color w:val="auto"/>
                <w:szCs w:val="22"/>
                <w:lang w:val="en-US" w:eastAsia="zh-CN"/>
              </w:rPr>
              <w:t>竞选人</w:t>
            </w:r>
            <w:r>
              <w:rPr>
                <w:rFonts w:hint="eastAsia" w:ascii="宋体" w:hAnsi="宋体" w:eastAsia="宋体" w:cs="宋体"/>
                <w:color w:val="auto"/>
                <w:szCs w:val="22"/>
              </w:rPr>
              <w:t>须</w:t>
            </w:r>
            <w:r>
              <w:rPr>
                <w:rFonts w:hint="eastAsia" w:ascii="宋体" w:hAnsi="宋体" w:eastAsia="宋体" w:cs="宋体"/>
                <w:color w:val="auto"/>
                <w:szCs w:val="22"/>
                <w:lang w:eastAsia="zh-CN"/>
              </w:rPr>
              <w:t>具备建设行政主管部门颁发的有效的安全生产许可证。</w:t>
            </w:r>
          </w:p>
          <w:p w14:paraId="0D4CEFC4">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竞选人须在竞选文件中提供资质</w:t>
            </w:r>
            <w:r>
              <w:rPr>
                <w:rFonts w:hint="eastAsia" w:ascii="宋体" w:hAnsi="宋体" w:cs="宋体"/>
                <w:color w:val="auto"/>
                <w:szCs w:val="22"/>
                <w:lang w:val="en-US" w:eastAsia="zh-CN"/>
              </w:rPr>
              <w:t>证书</w:t>
            </w:r>
            <w:r>
              <w:rPr>
                <w:rFonts w:hint="eastAsia" w:ascii="宋体" w:hAnsi="宋体" w:cs="宋体"/>
                <w:color w:val="auto"/>
                <w:szCs w:val="22"/>
              </w:rPr>
              <w:t>复印件。</w:t>
            </w:r>
          </w:p>
          <w:p w14:paraId="79CF0105">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highlight w:val="none"/>
                <w:lang w:val="en-US" w:eastAsia="zh-CN"/>
              </w:rPr>
              <w:t>3</w:t>
            </w:r>
            <w:r>
              <w:rPr>
                <w:rFonts w:hint="eastAsia" w:ascii="宋体" w:hAnsi="宋体" w:cs="宋体"/>
                <w:color w:val="auto"/>
                <w:szCs w:val="22"/>
                <w:highlight w:val="none"/>
              </w:rPr>
              <w:t>.</w:t>
            </w:r>
            <w:r>
              <w:rPr>
                <w:rFonts w:hint="eastAsia" w:ascii="宋体" w:hAnsi="宋体" w:cs="宋体"/>
                <w:color w:val="auto"/>
                <w:szCs w:val="22"/>
              </w:rPr>
              <w:t>竞选截止日竞选资格情况</w:t>
            </w:r>
          </w:p>
          <w:p w14:paraId="36C46760">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竞选人自行承诺不得存在下列情形之一（格式详见第</w:t>
            </w:r>
            <w:r>
              <w:rPr>
                <w:rFonts w:hint="eastAsia" w:ascii="宋体" w:hAnsi="宋体" w:cs="宋体"/>
                <w:color w:val="auto"/>
                <w:szCs w:val="22"/>
                <w:lang w:val="en-US" w:eastAsia="zh-CN"/>
              </w:rPr>
              <w:t>八</w:t>
            </w:r>
            <w:r>
              <w:rPr>
                <w:rFonts w:hint="eastAsia" w:ascii="宋体" w:hAnsi="宋体" w:cs="宋体"/>
                <w:color w:val="auto"/>
                <w:szCs w:val="22"/>
              </w:rPr>
              <w:t>章竞选文件格式）：</w:t>
            </w:r>
          </w:p>
          <w:p w14:paraId="0134A0A5">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lang w:val="en-US" w:eastAsia="zh-CN"/>
              </w:rPr>
              <w:t>3</w:t>
            </w:r>
            <w:r>
              <w:rPr>
                <w:rFonts w:hint="eastAsia" w:ascii="宋体" w:hAnsi="宋体" w:cs="宋体"/>
                <w:color w:val="auto"/>
                <w:szCs w:val="22"/>
              </w:rPr>
              <w:t>.1被人民法院列入失信被执行人名单且在被执行期内；</w:t>
            </w:r>
          </w:p>
          <w:p w14:paraId="18E4EB6E">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lang w:val="en-US" w:eastAsia="zh-CN"/>
              </w:rPr>
              <w:t>3</w:t>
            </w:r>
            <w:r>
              <w:rPr>
                <w:rFonts w:hint="eastAsia" w:ascii="宋体" w:hAnsi="宋体" w:cs="宋体"/>
                <w:color w:val="auto"/>
                <w:szCs w:val="22"/>
              </w:rPr>
              <w:t>.2被国家、重庆市（含市或任意区县）有关行政部门处以暂停投标资格行政处罚，且在处罚期限内；</w:t>
            </w:r>
          </w:p>
          <w:p w14:paraId="7F12E6C2">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竞选人须在竞选文件中提供承诺。</w:t>
            </w:r>
          </w:p>
          <w:p w14:paraId="3E88809D">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特别说明：</w:t>
            </w:r>
          </w:p>
          <w:p w14:paraId="77AAEABA">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rPr>
              <w:t>以上所有复印件均须加盖竞选人单位</w:t>
            </w:r>
            <w:r>
              <w:rPr>
                <w:rFonts w:hint="eastAsia" w:ascii="宋体" w:hAnsi="宋体" w:cs="宋体"/>
                <w:color w:val="auto"/>
                <w:szCs w:val="21"/>
                <w:lang w:val="en-US" w:eastAsia="zh-CN"/>
              </w:rPr>
              <w:t>公</w:t>
            </w:r>
            <w:r>
              <w:rPr>
                <w:rFonts w:hint="eastAsia" w:ascii="宋体" w:hAnsi="宋体" w:cs="宋体"/>
                <w:color w:val="auto"/>
                <w:szCs w:val="21"/>
              </w:rPr>
              <w:t>章。竞选人应对上述资料真实性负责，如提供虚假材料，比选人一经查实，将取消竞选资格或中选资格。</w:t>
            </w:r>
          </w:p>
          <w:p w14:paraId="216A8E02">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rPr>
              <w:t>不满足上述条件的，评审小组作否决比选处理。</w:t>
            </w:r>
          </w:p>
          <w:p w14:paraId="7A3966B9">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4.法律、行政法规规定的其他条件</w:t>
            </w:r>
          </w:p>
          <w:p w14:paraId="1CE1D664">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1）评审时将通过“国家企业信用信息公示系统”（www.gsxt.gov.cn）查询竞选人“股东及出资信息”，对单位负责人为同一人或者存在直接控股、管理关系的不同竞选人，参加同一合同项（分包）下的采购活动的，所涉竞选人均将被拒绝参与该合同项（分包）下的采购活动。</w:t>
            </w:r>
          </w:p>
          <w:p w14:paraId="25C3DD3D">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1"/>
                <w:lang w:val="en-US" w:eastAsia="zh-CN"/>
              </w:rPr>
              <w:t>（2）法律、行政法规规定的其他条件。</w:t>
            </w:r>
          </w:p>
        </w:tc>
      </w:tr>
      <w:tr w14:paraId="09BE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2CF57A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1.4.2</w:t>
            </w:r>
          </w:p>
        </w:tc>
        <w:tc>
          <w:tcPr>
            <w:tcW w:w="1768" w:type="dxa"/>
            <w:vAlign w:val="center"/>
          </w:tcPr>
          <w:p w14:paraId="2F4D8206">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是否接受联合体参加</w:t>
            </w:r>
            <w:r>
              <w:rPr>
                <w:rFonts w:hint="eastAsia" w:ascii="宋体" w:hAnsi="宋体" w:cs="宋体"/>
                <w:color w:val="auto"/>
                <w:kern w:val="0"/>
                <w:szCs w:val="21"/>
                <w:lang w:val="en-US" w:eastAsia="zh-CN"/>
              </w:rPr>
              <w:t>竞</w:t>
            </w:r>
            <w:r>
              <w:rPr>
                <w:rFonts w:hint="eastAsia" w:ascii="宋体" w:hAnsi="宋体" w:cs="宋体"/>
                <w:color w:val="auto"/>
                <w:kern w:val="0"/>
                <w:szCs w:val="21"/>
              </w:rPr>
              <w:t>选</w:t>
            </w:r>
          </w:p>
        </w:tc>
        <w:tc>
          <w:tcPr>
            <w:tcW w:w="6978" w:type="dxa"/>
            <w:vAlign w:val="center"/>
          </w:tcPr>
          <w:p w14:paraId="0F425991">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2"/>
              </w:rPr>
            </w:pPr>
            <w:r>
              <w:rPr>
                <w:rFonts w:hint="eastAsia" w:ascii="宋体" w:hAnsi="宋体" w:cs="宋体"/>
                <w:color w:val="auto"/>
                <w:kern w:val="0"/>
                <w:szCs w:val="21"/>
              </w:rPr>
              <w:t>不接受</w:t>
            </w:r>
          </w:p>
        </w:tc>
      </w:tr>
      <w:tr w14:paraId="7DAEC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5263CA5">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1.9</w:t>
            </w:r>
          </w:p>
        </w:tc>
        <w:tc>
          <w:tcPr>
            <w:tcW w:w="1768" w:type="dxa"/>
            <w:vAlign w:val="center"/>
          </w:tcPr>
          <w:p w14:paraId="6079ED0E">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snapToGrid w:val="0"/>
                <w:color w:val="auto"/>
                <w:szCs w:val="21"/>
              </w:rPr>
              <w:t>比选</w:t>
            </w:r>
            <w:r>
              <w:rPr>
                <w:rFonts w:hint="eastAsia" w:ascii="宋体" w:hAnsi="宋体" w:cs="宋体"/>
                <w:color w:val="auto"/>
                <w:kern w:val="0"/>
                <w:szCs w:val="21"/>
              </w:rPr>
              <w:t>预备会</w:t>
            </w:r>
          </w:p>
        </w:tc>
        <w:tc>
          <w:tcPr>
            <w:tcW w:w="6978" w:type="dxa"/>
            <w:vAlign w:val="center"/>
          </w:tcPr>
          <w:p w14:paraId="4BBB8D03">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2"/>
              </w:rPr>
            </w:pPr>
            <w:r>
              <w:rPr>
                <w:rFonts w:hint="eastAsia" w:ascii="宋体" w:hAnsi="宋体" w:cs="宋体"/>
                <w:color w:val="auto"/>
                <w:kern w:val="0"/>
                <w:szCs w:val="21"/>
              </w:rPr>
              <w:t>不召开</w:t>
            </w:r>
          </w:p>
        </w:tc>
      </w:tr>
      <w:tr w14:paraId="79B4C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6F53731">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1.10</w:t>
            </w:r>
          </w:p>
        </w:tc>
        <w:tc>
          <w:tcPr>
            <w:tcW w:w="1768" w:type="dxa"/>
            <w:vAlign w:val="center"/>
          </w:tcPr>
          <w:p w14:paraId="21C39C6D">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分包</w:t>
            </w:r>
          </w:p>
        </w:tc>
        <w:tc>
          <w:tcPr>
            <w:tcW w:w="6978" w:type="dxa"/>
            <w:vAlign w:val="center"/>
          </w:tcPr>
          <w:p w14:paraId="16BC9BF0">
            <w:pPr>
              <w:keepNext w:val="0"/>
              <w:keepLines w:val="0"/>
              <w:pageBreakBefore w:val="0"/>
              <w:tabs>
                <w:tab w:val="left" w:pos="3045"/>
                <w:tab w:val="left" w:pos="831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不允许</w:t>
            </w:r>
          </w:p>
        </w:tc>
      </w:tr>
      <w:tr w14:paraId="15E50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959BACB">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2.1</w:t>
            </w:r>
          </w:p>
        </w:tc>
        <w:tc>
          <w:tcPr>
            <w:tcW w:w="1768" w:type="dxa"/>
            <w:vAlign w:val="center"/>
          </w:tcPr>
          <w:p w14:paraId="6CE2E485">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构成竞争性比选文件的其他材料</w:t>
            </w:r>
          </w:p>
        </w:tc>
        <w:tc>
          <w:tcPr>
            <w:tcW w:w="6978" w:type="dxa"/>
            <w:vAlign w:val="center"/>
          </w:tcPr>
          <w:p w14:paraId="27BD12C4">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前期资料及比选人发出的澄清与修改书或补充通知</w:t>
            </w:r>
          </w:p>
        </w:tc>
      </w:tr>
      <w:tr w14:paraId="4AD3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EB5B244">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2.2.1</w:t>
            </w:r>
          </w:p>
        </w:tc>
        <w:tc>
          <w:tcPr>
            <w:tcW w:w="1768" w:type="dxa"/>
            <w:vAlign w:val="center"/>
          </w:tcPr>
          <w:p w14:paraId="542980FF">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竞选人要求澄清竞争性比选文件的截止时间</w:t>
            </w:r>
          </w:p>
        </w:tc>
        <w:tc>
          <w:tcPr>
            <w:tcW w:w="6978" w:type="dxa"/>
            <w:vAlign w:val="center"/>
          </w:tcPr>
          <w:p w14:paraId="3E78F77F">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szCs w:val="22"/>
              </w:rPr>
              <w:t>竞选人</w:t>
            </w:r>
            <w:r>
              <w:rPr>
                <w:rFonts w:hint="eastAsia" w:ascii="宋体" w:hAnsi="宋体" w:cs="宋体"/>
                <w:color w:val="auto"/>
                <w:kern w:val="1"/>
                <w:szCs w:val="22"/>
              </w:rPr>
              <w:t>在收到竞争性比选文件及全部资料后，应仔细检查竞争性比选文件的所有内容，如有残缺或文字表述不清，以及存在错、碰、漏、缺、概念模糊和有可能出现歧义或理解上的偏差的内容等应</w:t>
            </w:r>
            <w:r>
              <w:rPr>
                <w:rFonts w:hint="eastAsia" w:ascii="宋体" w:hAnsi="宋体" w:cs="宋体"/>
                <w:color w:val="auto"/>
                <w:szCs w:val="22"/>
              </w:rPr>
              <w:t>以比选公告明确的方式在比选公告规定的时间前提交。</w:t>
            </w:r>
          </w:p>
        </w:tc>
      </w:tr>
      <w:tr w14:paraId="0CAED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719EBD0">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2.2.2</w:t>
            </w:r>
          </w:p>
        </w:tc>
        <w:tc>
          <w:tcPr>
            <w:tcW w:w="1768" w:type="dxa"/>
            <w:vAlign w:val="center"/>
          </w:tcPr>
          <w:p w14:paraId="6F71C4A3">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比选人对竞争性比选文件答疑及对竞争性比选文件的澄清与修改</w:t>
            </w:r>
          </w:p>
        </w:tc>
        <w:tc>
          <w:tcPr>
            <w:tcW w:w="6978" w:type="dxa"/>
            <w:vAlign w:val="center"/>
          </w:tcPr>
          <w:p w14:paraId="43B9F1B7">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szCs w:val="22"/>
                <w:highlight w:val="none"/>
              </w:rPr>
              <w:t>比选人应在比选公告规定的时间前，以比选公告明确的方式发布澄清。</w:t>
            </w:r>
          </w:p>
        </w:tc>
      </w:tr>
      <w:tr w14:paraId="2AEF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80" w:type="dxa"/>
            <w:vAlign w:val="center"/>
          </w:tcPr>
          <w:p w14:paraId="2791AADB">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2.3</w:t>
            </w:r>
          </w:p>
        </w:tc>
        <w:tc>
          <w:tcPr>
            <w:tcW w:w="1768" w:type="dxa"/>
            <w:vAlign w:val="center"/>
          </w:tcPr>
          <w:p w14:paraId="36C8B5F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竞选文件递交截止时间</w:t>
            </w:r>
          </w:p>
        </w:tc>
        <w:tc>
          <w:tcPr>
            <w:tcW w:w="6978" w:type="dxa"/>
            <w:vAlign w:val="center"/>
          </w:tcPr>
          <w:p w14:paraId="57666B56">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szCs w:val="21"/>
              </w:rPr>
              <w:t>详见比选公告规定的竞选</w:t>
            </w:r>
            <w:r>
              <w:rPr>
                <w:rFonts w:hint="eastAsia" w:ascii="宋体" w:hAnsi="宋体" w:cs="宋体"/>
                <w:color w:val="auto"/>
                <w:szCs w:val="21"/>
                <w:lang w:val="en-US" w:eastAsia="zh-CN"/>
              </w:rPr>
              <w:t>文件递交</w:t>
            </w:r>
            <w:r>
              <w:rPr>
                <w:rFonts w:hint="eastAsia" w:ascii="宋体" w:hAnsi="宋体" w:cs="宋体"/>
                <w:color w:val="auto"/>
                <w:szCs w:val="21"/>
              </w:rPr>
              <w:t>截止时间。</w:t>
            </w:r>
          </w:p>
        </w:tc>
      </w:tr>
      <w:tr w14:paraId="5D92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638FAB5E">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3.1.1</w:t>
            </w:r>
          </w:p>
        </w:tc>
        <w:tc>
          <w:tcPr>
            <w:tcW w:w="1768" w:type="dxa"/>
            <w:vAlign w:val="center"/>
          </w:tcPr>
          <w:p w14:paraId="523C9D52">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构成竞选文件的其他材料</w:t>
            </w:r>
          </w:p>
        </w:tc>
        <w:tc>
          <w:tcPr>
            <w:tcW w:w="6978" w:type="dxa"/>
            <w:vAlign w:val="center"/>
          </w:tcPr>
          <w:p w14:paraId="1D11C6FC">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竞选人的书面澄清、说明和补正（但不得改变竞选文件的实质性内容）</w:t>
            </w:r>
          </w:p>
        </w:tc>
      </w:tr>
      <w:tr w14:paraId="2348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14AC3C88">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3.2</w:t>
            </w:r>
          </w:p>
        </w:tc>
        <w:tc>
          <w:tcPr>
            <w:tcW w:w="1768" w:type="dxa"/>
            <w:vAlign w:val="center"/>
          </w:tcPr>
          <w:p w14:paraId="09F0F5A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highlight w:val="none"/>
              </w:rPr>
              <w:t>竞选报价</w:t>
            </w:r>
          </w:p>
        </w:tc>
        <w:tc>
          <w:tcPr>
            <w:tcW w:w="6978" w:type="dxa"/>
            <w:vAlign w:val="center"/>
          </w:tcPr>
          <w:p w14:paraId="0BB681D6">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工程计价方式：本工程采用工程量清单综合单价计价。</w:t>
            </w:r>
          </w:p>
          <w:p w14:paraId="16CDFF06">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清单依据：按照《建设工程工程量清单计价规范》(GB50500-2013)、《重庆市建设工程工程量清单计价规则》(CQJJGZ-2013)及市场行情；《房屋建筑与装饰工程计量规范》（GB500854-2013）、《市政工程工程计量规范》（GB500857-2013）、《通用安装工程计量规范》（GB500856-2013）等其他相关配套文件。</w:t>
            </w:r>
          </w:p>
          <w:p w14:paraId="637AEB08">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定额依据</w:t>
            </w:r>
            <w:r>
              <w:rPr>
                <w:rFonts w:hint="eastAsia" w:ascii="宋体" w:hAnsi="宋体" w:cs="宋体"/>
                <w:color w:val="auto"/>
                <w:szCs w:val="21"/>
                <w:highlight w:val="none"/>
                <w:lang w:eastAsia="zh-CN"/>
              </w:rPr>
              <w:t>：</w:t>
            </w:r>
            <w:r>
              <w:rPr>
                <w:rFonts w:hint="eastAsia" w:ascii="宋体" w:hAnsi="宋体" w:cs="宋体"/>
                <w:color w:val="auto"/>
                <w:szCs w:val="21"/>
                <w:highlight w:val="none"/>
              </w:rPr>
              <w:t>《重庆市房屋建筑与装饰工程计价定额》（CQJZZSDE-2018）、2018年《重庆市市政工程计价定额》（CQSZDE-2018）、《重庆市通用安装工程计价定额》（CQAZDE-2018）、《重庆市房屋修缮工程计价定额》（CQXSDE-2018）、《重庆市建设工程费用定额》（CQFYDE-2018）及相关配套文件。</w:t>
            </w:r>
          </w:p>
          <w:p w14:paraId="3FC8594C">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人工和材料价格：本工程人工单价参照《重庆工程造价》</w:t>
            </w:r>
            <w:r>
              <w:rPr>
                <w:rFonts w:hint="eastAsia" w:ascii="宋体" w:hAnsi="宋体" w:cs="宋体"/>
                <w:color w:val="auto"/>
                <w:szCs w:val="21"/>
                <w:highlight w:val="none"/>
                <w:lang w:val="en-US" w:eastAsia="zh-CN"/>
              </w:rPr>
              <w:t>最新</w:t>
            </w:r>
            <w:r>
              <w:rPr>
                <w:rFonts w:hint="eastAsia" w:ascii="宋体" w:hAnsi="宋体" w:cs="宋体"/>
                <w:color w:val="auto"/>
                <w:szCs w:val="21"/>
                <w:highlight w:val="none"/>
              </w:rPr>
              <w:t>公布的主城区人工单价信息价执行；材料</w:t>
            </w:r>
            <w:r>
              <w:rPr>
                <w:rFonts w:hint="eastAsia" w:ascii="宋体" w:hAnsi="宋体" w:cs="宋体"/>
                <w:color w:val="auto"/>
                <w:szCs w:val="21"/>
                <w:highlight w:val="none"/>
                <w:lang w:val="en-US" w:eastAsia="zh-CN"/>
              </w:rPr>
              <w:t>价格</w:t>
            </w:r>
            <w:r>
              <w:rPr>
                <w:rFonts w:hint="eastAsia" w:ascii="宋体" w:hAnsi="宋体" w:cs="宋体"/>
                <w:color w:val="auto"/>
                <w:szCs w:val="21"/>
                <w:highlight w:val="none"/>
                <w:lang w:eastAsia="zh-CN"/>
              </w:rPr>
              <w:t>：</w:t>
            </w:r>
            <w:r>
              <w:rPr>
                <w:rFonts w:hint="eastAsia" w:ascii="宋体" w:hAnsi="宋体" w:cs="宋体"/>
                <w:color w:val="auto"/>
                <w:szCs w:val="21"/>
                <w:highlight w:val="none"/>
              </w:rPr>
              <w:t>按《重庆工程造价》</w:t>
            </w:r>
            <w:r>
              <w:rPr>
                <w:rFonts w:hint="eastAsia" w:ascii="宋体" w:hAnsi="宋体" w:cs="宋体"/>
                <w:color w:val="auto"/>
                <w:szCs w:val="21"/>
                <w:highlight w:val="none"/>
                <w:lang w:val="en-US" w:eastAsia="zh-CN"/>
              </w:rPr>
              <w:t>最新公布的</w:t>
            </w:r>
            <w:r>
              <w:rPr>
                <w:rFonts w:hint="eastAsia" w:ascii="宋体" w:hAnsi="宋体" w:cs="宋体"/>
                <w:color w:val="auto"/>
                <w:szCs w:val="21"/>
                <w:highlight w:val="none"/>
              </w:rPr>
              <w:t>主城地区信息价执行，供应商根据信息价格结合市场行情以及供应商的自身实力自主报价，成交后材料</w:t>
            </w:r>
            <w:r>
              <w:rPr>
                <w:rFonts w:hint="eastAsia" w:ascii="宋体" w:hAnsi="宋体" w:cs="宋体"/>
                <w:color w:val="auto"/>
                <w:szCs w:val="21"/>
                <w:highlight w:val="none"/>
                <w:lang w:val="en-US" w:eastAsia="zh-CN"/>
              </w:rPr>
              <w:t>价格</w:t>
            </w:r>
            <w:r>
              <w:rPr>
                <w:rFonts w:hint="eastAsia" w:ascii="宋体" w:hAnsi="宋体" w:cs="宋体"/>
                <w:color w:val="auto"/>
                <w:szCs w:val="21"/>
                <w:highlight w:val="none"/>
              </w:rPr>
              <w:t>、设备价格均不作调整。同一种材料，同规格、型号材料报价必须一致，若评标时未发现，结算时按报价最低值计取。成交后，成交供应商自行承担其它材料价格涨跌风险，材料价格不调整。</w:t>
            </w:r>
          </w:p>
          <w:p w14:paraId="5D62AEDA">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报价应包括完成采购范围内工程项目的人工费、材料费、机械费、企业管理费、利润、风险费用、措施费（含安全文明施工措施费、易撒漏物资密闭运输的费用）、</w:t>
            </w:r>
            <w:r>
              <w:rPr>
                <w:rFonts w:hint="eastAsia" w:ascii="宋体" w:hAnsi="宋体" w:cs="宋体"/>
                <w:color w:val="auto"/>
                <w:szCs w:val="21"/>
                <w:highlight w:val="none"/>
                <w:lang w:eastAsia="zh-CN"/>
              </w:rPr>
              <w:t>建设工程竣工档案编制费、</w:t>
            </w:r>
            <w:r>
              <w:rPr>
                <w:rFonts w:hint="eastAsia" w:ascii="宋体" w:hAnsi="宋体" w:cs="宋体"/>
                <w:color w:val="auto"/>
                <w:szCs w:val="21"/>
                <w:highlight w:val="none"/>
              </w:rPr>
              <w:t>规费、税金、政策性文件规定、报建（如需）、验收、后期服务、保险、比选代理服务费等完成本项目所需的一切费用。</w:t>
            </w:r>
          </w:p>
          <w:p w14:paraId="6C331D83">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竞选人在编制</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报价时不得擅自变改比选人提供的分部分项工程量清单中的序号、项目编码、项目名称、项目特征、计量单位</w:t>
            </w:r>
            <w:r>
              <w:rPr>
                <w:rFonts w:hint="eastAsia" w:ascii="宋体" w:hAnsi="宋体" w:cs="宋体"/>
                <w:color w:val="auto"/>
                <w:szCs w:val="21"/>
                <w:highlight w:val="none"/>
                <w:lang w:val="en-US" w:eastAsia="zh-CN"/>
              </w:rPr>
              <w:t>及</w:t>
            </w:r>
            <w:r>
              <w:rPr>
                <w:rFonts w:hint="eastAsia" w:ascii="宋体" w:hAnsi="宋体" w:cs="宋体"/>
                <w:color w:val="auto"/>
                <w:szCs w:val="21"/>
                <w:highlight w:val="none"/>
              </w:rPr>
              <w:t>工程量。</w:t>
            </w:r>
          </w:p>
          <w:p w14:paraId="53F4287E">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eastAsia="zh-CN"/>
              </w:rPr>
              <w:t>.</w:t>
            </w:r>
            <w:r>
              <w:rPr>
                <w:rFonts w:hint="eastAsia" w:ascii="宋体" w:hAnsi="宋体" w:cs="宋体"/>
                <w:color w:val="auto"/>
                <w:szCs w:val="21"/>
                <w:highlight w:val="none"/>
              </w:rPr>
              <w:t>工程量清单里面的安全文明施工费，须按比选人提供的工程量清单里面的安全文明施工费填报，不得改变，否则按</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无效处理。</w:t>
            </w:r>
          </w:p>
          <w:p w14:paraId="7DB8D2B0">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本项比选报价最高限价为</w:t>
            </w:r>
            <w:r>
              <w:rPr>
                <w:rFonts w:hint="eastAsia" w:ascii="宋体" w:hAnsi="宋体" w:cs="宋体"/>
                <w:color w:val="auto"/>
                <w:szCs w:val="21"/>
                <w:highlight w:val="none"/>
                <w:u w:val="single"/>
                <w:lang w:val="en-US" w:eastAsia="zh-CN"/>
              </w:rPr>
              <w:t>220039.96</w:t>
            </w:r>
            <w:r>
              <w:rPr>
                <w:rFonts w:hint="eastAsia" w:ascii="宋体" w:hAnsi="宋体" w:cs="宋体"/>
                <w:color w:val="auto"/>
                <w:szCs w:val="21"/>
                <w:highlight w:val="none"/>
              </w:rPr>
              <w:t>元，竞选人的</w:t>
            </w:r>
            <w:r>
              <w:rPr>
                <w:rFonts w:hint="eastAsia" w:ascii="宋体" w:hAnsi="宋体" w:cs="宋体"/>
                <w:color w:val="auto"/>
                <w:szCs w:val="21"/>
                <w:highlight w:val="none"/>
                <w:lang w:val="en-US" w:eastAsia="zh-CN"/>
              </w:rPr>
              <w:t>比选</w:t>
            </w:r>
            <w:r>
              <w:rPr>
                <w:rFonts w:hint="eastAsia" w:ascii="宋体" w:hAnsi="宋体" w:cs="宋体"/>
                <w:color w:val="auto"/>
                <w:szCs w:val="21"/>
                <w:highlight w:val="none"/>
              </w:rPr>
              <w:t>总报价及工程量清单综合单价均不得超过最高限价，否则按</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无效处理。</w:t>
            </w:r>
          </w:p>
          <w:p w14:paraId="2958FE15">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9.结算原则：</w:t>
            </w:r>
          </w:p>
          <w:p w14:paraId="5E1BAE21">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本合同价款采用固定综合单价合同，以中选人成交总报价作为暂定的合同总价，其最终合同价款以中选人实际完成工程量为依据。本合同含比选文件要求的全部风险。由于在招投标阶段比选人已充分提醒，并要求中选人按招标施工图中的所有项目内容以及给定的工程量清单表充分测算进行综合单价包干，结算时除本合同条款约定的可调内容外不得因任何原因（包括政策性文件调整）进行调整。</w:t>
            </w:r>
          </w:p>
          <w:p w14:paraId="22F941CC">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（一）施工图范围内分部分项工程量清单结算价：</w:t>
            </w:r>
          </w:p>
          <w:p w14:paraId="70152E4D">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结算原则：执行固定综合单价，中选人中标价中的工程量清单综合单价在整个施工过程以及结算中不因市场价格波动和政策变动因素的影响而调整，不因实际完成工程量的多少而调整。</w:t>
            </w:r>
          </w:p>
          <w:p w14:paraId="70034CBC">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结算总价=分部分项工程量清单综合单价×实际完成工程量+暂定价材料的价差＋措施项目费＋规费＋设计变更、招标工程量清单漏项或新增项目价款＋合同约定其它费用＋税金。</w:t>
            </w:r>
          </w:p>
          <w:p w14:paraId="5030D30F">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（1）分部分项工程量清单综合单价按中标报价结算，不因实际完成工程量的变化而调整；</w:t>
            </w:r>
          </w:p>
          <w:p w14:paraId="136BB86D">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（2）工程量按实计算；</w:t>
            </w:r>
          </w:p>
          <w:p w14:paraId="3FAE798A">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暂定价材料价差：数量以工程结算量为准，工程量清单中明确以暂定价计入合同清单的材料，在施工使用前由中选人报价，经比选人审核同意后方可采购、施工。结算时只对比选人核定单价与暂定价的价差部分进行调整。</w:t>
            </w:r>
          </w:p>
          <w:p w14:paraId="388D294D">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（二）新增或工程变更、缺漏项部分的结算原则：</w:t>
            </w:r>
          </w:p>
          <w:p w14:paraId="02D0E727">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设计变更、施工变更或施工过程中出现新增项目、合同范围外的零星项目等均属工程变更。工程变更价款计算方式如下：</w:t>
            </w:r>
          </w:p>
          <w:p w14:paraId="652DC0CC">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（1）变更（包括签证）工程与报价的工程量清单中有相同的子项，则按报价时的相同子项的综合单价报价执行；</w:t>
            </w:r>
          </w:p>
          <w:p w14:paraId="5B2BA237">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（2）变更（包括签证）工程内容与报价的工程量清单中有类似子项的，则按报价时的类似子项的综合单价报价执行（类似子项的综合单价由比选人审定）；</w:t>
            </w:r>
          </w:p>
          <w:p w14:paraId="2E634CFF">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（3）已标价程量清单中无相同子项或类似子项，按比选文件、合同条款、设计图纸及相关说明、</w:t>
            </w:r>
            <w:r>
              <w:rPr>
                <w:rFonts w:hint="eastAsia" w:ascii="宋体" w:hAnsi="宋体" w:cs="宋体"/>
                <w:color w:val="auto"/>
                <w:szCs w:val="21"/>
                <w:highlight w:val="none"/>
              </w:rPr>
              <w:t>《建设工程工程量清单计价规范》(GB50500-2013)、《重庆市建设工程工程量清单计价规则》(CQJJGZ-2013)及市场行情；《房屋建筑与装饰工程计量规范》（GB500854-2013）、《市政工程工程计量规范》（GB500857-2013）、《通用安装工程计量规范》（GB500856-2013）</w:t>
            </w:r>
            <w:r>
              <w:rPr>
                <w:rFonts w:hint="eastAsia" w:ascii="宋体" w:hAnsi="宋体" w:cs="宋体"/>
                <w:color w:val="auto"/>
                <w:szCs w:val="21"/>
                <w:highlight w:val="none"/>
                <w:lang w:eastAsia="zh-CN"/>
              </w:rPr>
              <w:t>、</w:t>
            </w:r>
            <w:r>
              <w:rPr>
                <w:rFonts w:hint="eastAsia" w:ascii="宋体" w:hAnsi="宋体" w:cs="宋体"/>
                <w:color w:val="auto"/>
                <w:szCs w:val="21"/>
                <w:highlight w:val="none"/>
              </w:rPr>
              <w:t>《重庆市房屋建筑与装饰工程计价定额》（CQJZZSDE-2018）、2018年《重庆市市政工程计价定额》（CQSZDE-2018）、《重庆市通用安装工程计价定额》（CQAZDE-2018）、《重庆市房屋修缮工程计价定额》（CQXSDE-2018）、《重庆市建设工程费用定额》（CQFYDE-2018）</w:t>
            </w:r>
            <w:r>
              <w:rPr>
                <w:rFonts w:hint="eastAsia" w:ascii="宋体" w:hAnsi="宋体" w:cs="宋体"/>
                <w:color w:val="auto"/>
                <w:szCs w:val="21"/>
                <w:highlight w:val="none"/>
                <w:lang w:val="en-US" w:eastAsia="zh-CN"/>
              </w:rPr>
              <w:t>以及相关配套文件为依据进行计算。计算后，再按中选人报价浮动率（承包人报价浮动率=（1-中标价/投标总报价最高限价）×100%）进行下浮后结算。</w:t>
            </w:r>
          </w:p>
          <w:p w14:paraId="153A4CCD">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yellow"/>
                <w:lang w:val="en-US" w:eastAsia="zh-CN"/>
              </w:rPr>
            </w:pPr>
            <w:r>
              <w:rPr>
                <w:rFonts w:hint="eastAsia" w:ascii="宋体" w:hAnsi="宋体" w:cs="宋体"/>
                <w:color w:val="auto"/>
                <w:szCs w:val="21"/>
                <w:highlight w:val="none"/>
                <w:lang w:val="en-US" w:eastAsia="zh-CN"/>
              </w:rPr>
              <w:t>（4）材料价格：按《重庆工程造价》最新公布主城地区信息价执行。</w:t>
            </w:r>
          </w:p>
          <w:p w14:paraId="75C2D88C">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yellow"/>
                <w:lang w:val="en-US" w:eastAsia="zh-CN"/>
              </w:rPr>
            </w:pPr>
            <w:r>
              <w:rPr>
                <w:rFonts w:hint="eastAsia" w:ascii="宋体" w:hAnsi="宋体" w:cs="宋体"/>
                <w:color w:val="auto"/>
                <w:szCs w:val="21"/>
                <w:highlight w:val="none"/>
                <w:lang w:val="en-US" w:eastAsia="zh-CN"/>
              </w:rPr>
              <w:t>（5）人工单价：按《重庆工程造价》最新公布的主城区人工单价信息价执行。</w:t>
            </w:r>
          </w:p>
          <w:p w14:paraId="0B7B4F09">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重新组价新增单价下浮：下浮比例按照投标总价与公布的最高限价的下浮比例计算。</w:t>
            </w:r>
          </w:p>
          <w:p w14:paraId="53703FB1">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（三）措施费</w:t>
            </w:r>
          </w:p>
          <w:p w14:paraId="09744C68">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（1）施工组织措施项目费（除安全文明施工费外）：无论因设计变更或施工工艺变化等任何因素而引起实际措施费的变化，均按投标时施工组织措施项目费的报价作为结算价。</w:t>
            </w:r>
          </w:p>
          <w:p w14:paraId="46A240BF">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施工技术措施项目费：技术措施清单中以项计列的项目，无论因设计变更或施工工艺变化等任何因素而引起实际措施费的变化，均按投标时施工技术措施项目费的报价作为结算价；技术措施清单中以项目编码、项目名称、项目特征、工程内容、工程量及计量单位列项的项目，以中选人成交报价的综合单价乘以按</w:t>
            </w:r>
            <w:r>
              <w:rPr>
                <w:rFonts w:hint="eastAsia" w:ascii="宋体" w:hAnsi="宋体" w:cs="宋体"/>
                <w:color w:val="auto"/>
                <w:szCs w:val="21"/>
                <w:highlight w:val="none"/>
              </w:rPr>
              <w:t>《建设工程工程量清单计价规范》(GB50500-2013)、《重庆市建设工程工程量清单计价规则》(CQJJGZ-2013)及市场行情；《房屋建筑与装饰工程计量规范》（GB500854-2013）、《市政工程工程计量规范》（GB500857-2013）、《通用安装工程计量规范》（GB500856-2013）</w:t>
            </w:r>
            <w:r>
              <w:rPr>
                <w:rFonts w:hint="eastAsia" w:ascii="宋体" w:hAnsi="宋体" w:cs="宋体"/>
                <w:color w:val="auto"/>
                <w:szCs w:val="21"/>
                <w:highlight w:val="none"/>
                <w:lang w:eastAsia="zh-CN"/>
              </w:rPr>
              <w:t>、</w:t>
            </w:r>
            <w:r>
              <w:rPr>
                <w:rFonts w:hint="eastAsia" w:ascii="宋体" w:hAnsi="宋体" w:cs="宋体"/>
                <w:color w:val="auto"/>
                <w:szCs w:val="21"/>
                <w:highlight w:val="none"/>
              </w:rPr>
              <w:t>《重庆市房屋建筑与装饰工程计价定额》（CQJZZSDE-2018）、2018年《重庆市市政工程计价定额》（CQSZDE-2018）、《重庆市通用安装工程计价定额》（CQAZDE-2018）、《重庆市房屋修缮工程计价定额》（CQXSDE-2018）、《重庆市建设工程费用定额》（CQFYDE-2018）</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工程量清单和工程量清单编制说明约定的计量规则计算并经监理工程师及比选人审核合格的实际工程量办理结算。</w:t>
            </w:r>
          </w:p>
          <w:p w14:paraId="63BED135">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（3）安全文明施工费：按渝建管〔2024〕38号文件合格标准计取。</w:t>
            </w:r>
          </w:p>
          <w:p w14:paraId="74DCE4AB">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（4）其他项目费</w:t>
            </w:r>
          </w:p>
          <w:p w14:paraId="6EB531C6">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有暂估材料价格或暂估综合单价的，由中选人向比选人、监理人报送材料规格尺寸及价格，由中选人、监理人、比选人三方参照施工期间《重庆建设工程造价信息》公布的各期的算术平均价格的材料（品牌、规格、型号相同）价格执行，若施工期间各期公布的《重庆建设工程造价信息》中给出的材料中没有品牌、规格、型号相同，则由比选人和监理根据市场行情认质认价，并共同签章确认后计入结算。</w:t>
            </w:r>
          </w:p>
          <w:p w14:paraId="719E1F0B">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2）比选人若列有暂列金额的，根据比选人核定的价格按实结算或按照工程变更或新增项目清单结算原则执行。</w:t>
            </w:r>
          </w:p>
          <w:p w14:paraId="70C114AC">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3）计日工：合同施工过程中若发生，根据双方协商的计日工单价和实际工程量按实结算。</w:t>
            </w:r>
          </w:p>
          <w:p w14:paraId="5FEF080F">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（四）调差材料</w:t>
            </w:r>
          </w:p>
          <w:p w14:paraId="2D4336AB">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不调差。</w:t>
            </w:r>
          </w:p>
          <w:p w14:paraId="566A5E35">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（五）规费</w:t>
            </w:r>
          </w:p>
          <w:p w14:paraId="161D5B96">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《重庆市建设工程费用定额》（CQFYDE-2018）标准执行。</w:t>
            </w:r>
          </w:p>
          <w:p w14:paraId="72711B29">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（六）税金</w:t>
            </w:r>
          </w:p>
          <w:p w14:paraId="16F79FD8">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2"/>
              </w:rPr>
            </w:pPr>
            <w:r>
              <w:rPr>
                <w:rFonts w:hint="eastAsia" w:ascii="宋体" w:hAnsi="宋体" w:cs="宋体"/>
                <w:color w:val="auto"/>
                <w:szCs w:val="21"/>
                <w:highlight w:val="none"/>
                <w:lang w:val="en-US" w:eastAsia="zh-CN"/>
              </w:rPr>
              <w:t>按照《重庆市建设工程费用定额》（CQFYDE-2018）标准执行，增值税税率9%，附加税税率12%（计税基础增值税税额）。</w:t>
            </w:r>
          </w:p>
        </w:tc>
      </w:tr>
      <w:tr w14:paraId="663E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3D5B695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bookmarkStart w:id="29" w:name="OLE_LINK165" w:colFirst="1" w:colLast="2"/>
            <w:bookmarkStart w:id="30" w:name="OLE_LINK169" w:colFirst="1" w:colLast="2"/>
            <w:bookmarkStart w:id="31" w:name="_Hlk529015819"/>
            <w:bookmarkStart w:id="32" w:name="OLE_LINK166" w:colFirst="1" w:colLast="2"/>
            <w:bookmarkStart w:id="33" w:name="OLE_LINK168" w:colFirst="1" w:colLast="2"/>
            <w:bookmarkStart w:id="34" w:name="OLE_LINK163" w:colFirst="1" w:colLast="2"/>
            <w:bookmarkStart w:id="35" w:name="OLE_LINK167" w:colFirst="1" w:colLast="2"/>
            <w:bookmarkStart w:id="36" w:name="OLE_LINK162" w:colFirst="1" w:colLast="2"/>
            <w:bookmarkStart w:id="37" w:name="OLE_LINK164" w:colFirst="1" w:colLast="2"/>
            <w:r>
              <w:rPr>
                <w:rFonts w:hint="eastAsia" w:ascii="宋体" w:hAnsi="宋体" w:cs="宋体"/>
                <w:color w:val="auto"/>
                <w:kern w:val="0"/>
                <w:szCs w:val="21"/>
              </w:rPr>
              <w:t>3.3.1</w:t>
            </w:r>
          </w:p>
        </w:tc>
        <w:tc>
          <w:tcPr>
            <w:tcW w:w="1768" w:type="dxa"/>
            <w:vAlign w:val="center"/>
          </w:tcPr>
          <w:p w14:paraId="7089C51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bookmarkStart w:id="38" w:name="OLE_LINK160"/>
            <w:bookmarkStart w:id="39" w:name="OLE_LINK161"/>
            <w:r>
              <w:rPr>
                <w:rFonts w:hint="eastAsia" w:ascii="宋体" w:hAnsi="宋体" w:cs="宋体"/>
                <w:color w:val="auto"/>
                <w:kern w:val="0"/>
                <w:szCs w:val="21"/>
              </w:rPr>
              <w:t>竞选有效期</w:t>
            </w:r>
            <w:bookmarkEnd w:id="38"/>
            <w:bookmarkEnd w:id="39"/>
          </w:p>
        </w:tc>
        <w:tc>
          <w:tcPr>
            <w:tcW w:w="6978" w:type="dxa"/>
            <w:vAlign w:val="center"/>
          </w:tcPr>
          <w:p w14:paraId="29FB5CD1">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90日历天（从提交竞选文件截止日起计算）</w:t>
            </w:r>
          </w:p>
        </w:tc>
      </w:tr>
      <w:bookmarkEnd w:id="29"/>
      <w:bookmarkEnd w:id="30"/>
      <w:bookmarkEnd w:id="31"/>
      <w:bookmarkEnd w:id="32"/>
      <w:bookmarkEnd w:id="33"/>
      <w:bookmarkEnd w:id="34"/>
      <w:bookmarkEnd w:id="35"/>
      <w:bookmarkEnd w:id="36"/>
      <w:bookmarkEnd w:id="37"/>
      <w:tr w14:paraId="43ECE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tcBorders>
            <w:vAlign w:val="center"/>
          </w:tcPr>
          <w:p w14:paraId="0DA60B2D">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3.5</w:t>
            </w:r>
          </w:p>
        </w:tc>
        <w:tc>
          <w:tcPr>
            <w:tcW w:w="1768" w:type="dxa"/>
            <w:tcBorders>
              <w:top w:val="single" w:color="auto" w:sz="4" w:space="0"/>
            </w:tcBorders>
            <w:vAlign w:val="center"/>
          </w:tcPr>
          <w:p w14:paraId="6F680621">
            <w:pPr>
              <w:pStyle w:val="164"/>
              <w:keepNext w:val="0"/>
              <w:keepLines w:val="0"/>
              <w:pageBreakBefore w:val="0"/>
              <w:kinsoku/>
              <w:wordWrap w:val="0"/>
              <w:overflowPunct/>
              <w:topLinePunct w:val="0"/>
              <w:bidi w:val="0"/>
              <w:snapToGrid w:val="0"/>
              <w:spacing w:line="400" w:lineRule="exact"/>
              <w:jc w:val="center"/>
              <w:textAlignment w:val="auto"/>
              <w:rPr>
                <w:rFonts w:cs="宋体"/>
                <w:color w:val="auto"/>
                <w:kern w:val="2"/>
                <w:sz w:val="21"/>
                <w:szCs w:val="21"/>
              </w:rPr>
            </w:pPr>
            <w:r>
              <w:rPr>
                <w:rFonts w:hint="eastAsia" w:cs="宋体"/>
                <w:color w:val="auto"/>
                <w:kern w:val="2"/>
                <w:sz w:val="21"/>
                <w:szCs w:val="21"/>
              </w:rPr>
              <w:t>资格审查资料</w:t>
            </w:r>
          </w:p>
        </w:tc>
        <w:tc>
          <w:tcPr>
            <w:tcW w:w="6978" w:type="dxa"/>
            <w:tcBorders>
              <w:top w:val="single" w:color="auto" w:sz="4" w:space="0"/>
            </w:tcBorders>
            <w:vAlign w:val="center"/>
          </w:tcPr>
          <w:p w14:paraId="17E65E64">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bookmarkStart w:id="40" w:name="OLE_LINK105"/>
            <w:bookmarkStart w:id="41" w:name="OLE_LINK106"/>
            <w:r>
              <w:rPr>
                <w:rFonts w:hint="eastAsia" w:ascii="宋体" w:hAnsi="宋体" w:cs="宋体"/>
                <w:color w:val="auto"/>
                <w:szCs w:val="21"/>
              </w:rPr>
              <w:t>按本章须知1.4.1项规定提供。</w:t>
            </w:r>
            <w:bookmarkEnd w:id="40"/>
            <w:bookmarkEnd w:id="41"/>
          </w:p>
        </w:tc>
      </w:tr>
      <w:tr w14:paraId="44A5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455588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3.6</w:t>
            </w:r>
          </w:p>
        </w:tc>
        <w:tc>
          <w:tcPr>
            <w:tcW w:w="1768" w:type="dxa"/>
            <w:vAlign w:val="center"/>
          </w:tcPr>
          <w:p w14:paraId="733FB2D7">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是否允许递交备选竞选方案</w:t>
            </w:r>
          </w:p>
        </w:tc>
        <w:tc>
          <w:tcPr>
            <w:tcW w:w="6978" w:type="dxa"/>
            <w:vAlign w:val="center"/>
          </w:tcPr>
          <w:p w14:paraId="1CCFC269">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不允许</w:t>
            </w:r>
          </w:p>
        </w:tc>
      </w:tr>
      <w:tr w14:paraId="2029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67479A6">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snapToGrid w:val="0"/>
                <w:color w:val="auto"/>
                <w:kern w:val="0"/>
                <w:szCs w:val="21"/>
              </w:rPr>
              <w:t>3.7.1</w:t>
            </w:r>
          </w:p>
        </w:tc>
        <w:tc>
          <w:tcPr>
            <w:tcW w:w="1768" w:type="dxa"/>
            <w:vAlign w:val="center"/>
          </w:tcPr>
          <w:p w14:paraId="1475284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snapToGrid w:val="0"/>
                <w:color w:val="auto"/>
                <w:szCs w:val="21"/>
              </w:rPr>
              <w:t>竞选文件的编制</w:t>
            </w:r>
          </w:p>
        </w:tc>
        <w:tc>
          <w:tcPr>
            <w:tcW w:w="6978" w:type="dxa"/>
            <w:vAlign w:val="center"/>
          </w:tcPr>
          <w:p w14:paraId="458D448F">
            <w:pPr>
              <w:keepNext w:val="0"/>
              <w:keepLines w:val="0"/>
              <w:pageBreakBefore w:val="0"/>
              <w:kinsoku/>
              <w:overflowPunct/>
              <w:topLinePunct w:val="0"/>
              <w:autoSpaceDE w:val="0"/>
              <w:autoSpaceDN w:val="0"/>
              <w:bidi w:val="0"/>
              <w:adjustRightInd w:val="0"/>
              <w:snapToGrid w:val="0"/>
              <w:spacing w:line="400" w:lineRule="exact"/>
              <w:ind w:firstLine="420"/>
              <w:textAlignment w:val="auto"/>
              <w:rPr>
                <w:rFonts w:ascii="宋体" w:hAnsi="宋体" w:cs="宋体"/>
                <w:color w:val="auto"/>
                <w:szCs w:val="21"/>
              </w:rPr>
            </w:pPr>
            <w:r>
              <w:rPr>
                <w:rFonts w:hint="eastAsia" w:ascii="宋体" w:hAnsi="宋体" w:cs="宋体"/>
                <w:snapToGrid w:val="0"/>
                <w:color w:val="auto"/>
                <w:kern w:val="0"/>
                <w:szCs w:val="21"/>
              </w:rPr>
              <w:t>竞选文件应按</w:t>
            </w:r>
            <w:r>
              <w:rPr>
                <w:rFonts w:hint="eastAsia" w:ascii="宋体" w:hAnsi="宋体" w:cs="宋体"/>
                <w:snapToGrid w:val="0"/>
                <w:color w:val="auto"/>
                <w:kern w:val="0"/>
                <w:szCs w:val="21"/>
                <w:lang w:eastAsia="zh-CN"/>
              </w:rPr>
              <w:t>第八章“竞选文件格式”</w:t>
            </w:r>
            <w:r>
              <w:rPr>
                <w:rFonts w:hint="eastAsia" w:ascii="宋体" w:hAnsi="宋体" w:cs="宋体"/>
                <w:snapToGrid w:val="0"/>
                <w:color w:val="auto"/>
                <w:kern w:val="0"/>
                <w:szCs w:val="21"/>
              </w:rPr>
              <w:t>进行编写，其中技术部分</w:t>
            </w:r>
            <w:r>
              <w:rPr>
                <w:rFonts w:hint="eastAsia" w:ascii="宋体" w:hAnsi="宋体" w:cs="宋体"/>
                <w:snapToGrid w:val="0"/>
                <w:color w:val="auto"/>
                <w:kern w:val="0"/>
                <w:szCs w:val="21"/>
                <w:lang w:val="en-US" w:eastAsia="zh-CN"/>
              </w:rPr>
              <w:t>原则上</w:t>
            </w:r>
            <w:r>
              <w:rPr>
                <w:rFonts w:hint="eastAsia" w:ascii="宋体" w:hAnsi="宋体" w:cs="宋体"/>
                <w:snapToGrid w:val="0"/>
                <w:color w:val="auto"/>
                <w:kern w:val="0"/>
                <w:szCs w:val="21"/>
              </w:rPr>
              <w:t>单面不超过200页，竞选文件可双面打印。</w:t>
            </w:r>
          </w:p>
        </w:tc>
      </w:tr>
      <w:tr w14:paraId="46A6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9BA6C2B">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3.7.3</w:t>
            </w:r>
          </w:p>
        </w:tc>
        <w:tc>
          <w:tcPr>
            <w:tcW w:w="1768" w:type="dxa"/>
            <w:vAlign w:val="center"/>
          </w:tcPr>
          <w:p w14:paraId="065EA81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签字盖章要求</w:t>
            </w:r>
          </w:p>
        </w:tc>
        <w:tc>
          <w:tcPr>
            <w:tcW w:w="6978" w:type="dxa"/>
            <w:vAlign w:val="center"/>
          </w:tcPr>
          <w:p w14:paraId="3A69605E">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按本章竞选人须知3.7.3款执行。</w:t>
            </w:r>
          </w:p>
        </w:tc>
      </w:tr>
      <w:tr w14:paraId="3D39E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D7D3058">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3.7.4</w:t>
            </w:r>
          </w:p>
        </w:tc>
        <w:tc>
          <w:tcPr>
            <w:tcW w:w="1768" w:type="dxa"/>
            <w:vAlign w:val="center"/>
          </w:tcPr>
          <w:p w14:paraId="1F7127DC">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竞选文件的份数</w:t>
            </w:r>
          </w:p>
        </w:tc>
        <w:tc>
          <w:tcPr>
            <w:tcW w:w="6978" w:type="dxa"/>
            <w:vAlign w:val="center"/>
          </w:tcPr>
          <w:p w14:paraId="2BAE67C5">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竞选文件一式叁份（其中：正本</w:t>
            </w:r>
            <w:r>
              <w:rPr>
                <w:rFonts w:hint="default" w:ascii="宋体" w:hAnsi="宋体" w:cs="宋体"/>
                <w:color w:val="auto"/>
                <w:szCs w:val="21"/>
              </w:rPr>
              <w:t>1份；副本2份</w:t>
            </w:r>
            <w:r>
              <w:rPr>
                <w:rFonts w:hint="eastAsia" w:ascii="宋体" w:hAnsi="宋体" w:cs="宋体"/>
                <w:color w:val="auto"/>
                <w:szCs w:val="21"/>
              </w:rPr>
              <w:t>，当副本和正本不一致时，以正本为准）</w:t>
            </w:r>
            <w:r>
              <w:rPr>
                <w:rFonts w:hint="eastAsia" w:ascii="宋体" w:hAnsi="宋体" w:cs="宋体"/>
                <w:color w:val="auto"/>
                <w:szCs w:val="21"/>
                <w:lang w:eastAsia="zh-CN"/>
              </w:rPr>
              <w:t>。</w:t>
            </w:r>
          </w:p>
        </w:tc>
      </w:tr>
      <w:tr w14:paraId="3B83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DF7EC9A">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3.7.5</w:t>
            </w:r>
          </w:p>
        </w:tc>
        <w:tc>
          <w:tcPr>
            <w:tcW w:w="1768" w:type="dxa"/>
            <w:vAlign w:val="center"/>
          </w:tcPr>
          <w:p w14:paraId="3427AB2A">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装订要求</w:t>
            </w:r>
          </w:p>
        </w:tc>
        <w:tc>
          <w:tcPr>
            <w:tcW w:w="6978" w:type="dxa"/>
            <w:vAlign w:val="center"/>
          </w:tcPr>
          <w:p w14:paraId="3D8DF515">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2"/>
              </w:rPr>
            </w:pPr>
            <w:r>
              <w:rPr>
                <w:rFonts w:hint="default" w:ascii="宋体" w:hAnsi="宋体" w:cs="宋体"/>
                <w:color w:val="auto"/>
                <w:szCs w:val="22"/>
              </w:rPr>
              <w:t>1.</w:t>
            </w:r>
            <w:r>
              <w:rPr>
                <w:rFonts w:hint="eastAsia" w:ascii="宋体" w:hAnsi="宋体" w:cs="宋体"/>
                <w:color w:val="auto"/>
                <w:szCs w:val="22"/>
              </w:rPr>
              <w:t>竞选文件须装订成一册，并需编制目录，若装订过厚，也可分订成多册。竞选人应将竞选文件正副本分别装订成册。</w:t>
            </w:r>
          </w:p>
          <w:p w14:paraId="17E0C538">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2"/>
              </w:rPr>
            </w:pPr>
            <w:r>
              <w:rPr>
                <w:rFonts w:hint="default" w:ascii="宋体" w:hAnsi="宋体" w:cs="宋体"/>
                <w:color w:val="auto"/>
                <w:szCs w:val="22"/>
              </w:rPr>
              <w:t>2.</w:t>
            </w:r>
            <w:r>
              <w:rPr>
                <w:rFonts w:hint="eastAsia" w:ascii="宋体" w:hAnsi="宋体" w:cs="宋体"/>
                <w:color w:val="auto"/>
                <w:szCs w:val="22"/>
              </w:rPr>
              <w:t>竞选文件分为正本和副本，正本文件内签字和盖章须为原件。副本可为正本的复印件。</w:t>
            </w:r>
          </w:p>
          <w:p w14:paraId="1731F535">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2"/>
              </w:rPr>
            </w:pPr>
            <w:r>
              <w:rPr>
                <w:rFonts w:hint="default" w:ascii="宋体" w:hAnsi="宋体" w:cs="宋体"/>
                <w:color w:val="auto"/>
                <w:szCs w:val="22"/>
              </w:rPr>
              <w:t>3.</w:t>
            </w:r>
            <w:r>
              <w:rPr>
                <w:rFonts w:hint="eastAsia" w:ascii="宋体" w:hAnsi="宋体" w:cs="宋体"/>
                <w:color w:val="auto"/>
                <w:szCs w:val="22"/>
              </w:rPr>
              <w:t>竞争性比选文件中已提供了竞选文件格式的部分，须按其格式填写和提供。</w:t>
            </w:r>
          </w:p>
        </w:tc>
      </w:tr>
      <w:tr w14:paraId="7382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C9CA0D6">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4.1.1</w:t>
            </w:r>
          </w:p>
        </w:tc>
        <w:tc>
          <w:tcPr>
            <w:tcW w:w="1768" w:type="dxa"/>
            <w:vAlign w:val="center"/>
          </w:tcPr>
          <w:p w14:paraId="0B69C745">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竞选文件的密封</w:t>
            </w:r>
          </w:p>
        </w:tc>
        <w:tc>
          <w:tcPr>
            <w:tcW w:w="6978" w:type="dxa"/>
            <w:vAlign w:val="center"/>
          </w:tcPr>
          <w:p w14:paraId="6A6496E3">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lang w:val="en-GB"/>
              </w:rPr>
            </w:pPr>
            <w:r>
              <w:rPr>
                <w:rFonts w:hint="eastAsia" w:ascii="宋体" w:hAnsi="宋体" w:cs="宋体"/>
                <w:color w:val="auto"/>
                <w:szCs w:val="21"/>
                <w:lang w:val="en-GB"/>
              </w:rPr>
              <w:t>1.</w:t>
            </w:r>
            <w:r>
              <w:rPr>
                <w:rFonts w:hint="eastAsia" w:ascii="宋体" w:hAnsi="宋体" w:cs="宋体"/>
                <w:color w:val="auto"/>
                <w:szCs w:val="21"/>
              </w:rPr>
              <w:t>竞选</w:t>
            </w:r>
            <w:r>
              <w:rPr>
                <w:rFonts w:hint="eastAsia" w:ascii="宋体" w:hAnsi="宋体" w:cs="宋体"/>
                <w:color w:val="auto"/>
                <w:szCs w:val="21"/>
                <w:lang w:val="en-GB"/>
              </w:rPr>
              <w:t>文件袋使用</w:t>
            </w:r>
            <w:r>
              <w:rPr>
                <w:rFonts w:hint="eastAsia" w:ascii="宋体" w:hAnsi="宋体" w:cs="宋体"/>
                <w:color w:val="auto"/>
                <w:szCs w:val="21"/>
              </w:rPr>
              <w:t>竞选人</w:t>
            </w:r>
            <w:r>
              <w:rPr>
                <w:rFonts w:hint="eastAsia" w:ascii="宋体" w:hAnsi="宋体" w:cs="宋体"/>
                <w:color w:val="auto"/>
                <w:szCs w:val="21"/>
                <w:lang w:val="en-GB"/>
              </w:rPr>
              <w:t>自备的“</w:t>
            </w:r>
            <w:r>
              <w:rPr>
                <w:rFonts w:hint="eastAsia" w:ascii="宋体" w:hAnsi="宋体" w:cs="宋体"/>
                <w:color w:val="auto"/>
                <w:szCs w:val="21"/>
              </w:rPr>
              <w:t>竞选</w:t>
            </w:r>
            <w:r>
              <w:rPr>
                <w:rFonts w:hint="eastAsia" w:ascii="宋体" w:hAnsi="宋体" w:cs="宋体"/>
                <w:color w:val="auto"/>
                <w:szCs w:val="21"/>
                <w:lang w:val="en-GB"/>
              </w:rPr>
              <w:t>文件”袋（箱）。</w:t>
            </w:r>
          </w:p>
          <w:p w14:paraId="439C7C1C">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lang w:val="en-GB"/>
              </w:rPr>
            </w:pPr>
            <w:r>
              <w:rPr>
                <w:rFonts w:hint="eastAsia" w:ascii="宋体" w:hAnsi="宋体" w:cs="宋体"/>
                <w:color w:val="auto"/>
                <w:szCs w:val="21"/>
                <w:lang w:val="en-GB"/>
              </w:rPr>
              <w:t>2.“</w:t>
            </w:r>
            <w:r>
              <w:rPr>
                <w:rFonts w:hint="eastAsia" w:ascii="宋体" w:hAnsi="宋体" w:cs="宋体"/>
                <w:color w:val="auto"/>
                <w:szCs w:val="21"/>
              </w:rPr>
              <w:t>竞选</w:t>
            </w:r>
            <w:r>
              <w:rPr>
                <w:rFonts w:hint="eastAsia" w:ascii="宋体" w:hAnsi="宋体" w:cs="宋体"/>
                <w:color w:val="auto"/>
                <w:szCs w:val="21"/>
                <w:lang w:val="en-GB"/>
              </w:rPr>
              <w:t>文件”袋（箱）应按本表第4.1.2项的规定写明相应内容。</w:t>
            </w:r>
          </w:p>
          <w:p w14:paraId="385729E7">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lang w:val="en-GB"/>
              </w:rPr>
            </w:pPr>
            <w:r>
              <w:rPr>
                <w:rFonts w:hint="eastAsia" w:ascii="宋体" w:hAnsi="宋体" w:cs="宋体"/>
                <w:color w:val="auto"/>
                <w:szCs w:val="21"/>
                <w:lang w:val="en-US" w:eastAsia="zh-CN"/>
              </w:rPr>
              <w:t>3</w:t>
            </w:r>
            <w:r>
              <w:rPr>
                <w:rFonts w:hint="eastAsia" w:ascii="宋体" w:hAnsi="宋体" w:cs="宋体"/>
                <w:color w:val="auto"/>
                <w:szCs w:val="21"/>
                <w:lang w:val="en-GB"/>
              </w:rPr>
              <w:t>.如果“</w:t>
            </w:r>
            <w:r>
              <w:rPr>
                <w:rFonts w:hint="eastAsia" w:ascii="宋体" w:hAnsi="宋体" w:cs="宋体"/>
                <w:color w:val="auto"/>
                <w:szCs w:val="21"/>
              </w:rPr>
              <w:t>竞选</w:t>
            </w:r>
            <w:r>
              <w:rPr>
                <w:rFonts w:hint="eastAsia" w:ascii="宋体" w:hAnsi="宋体" w:cs="宋体"/>
                <w:color w:val="auto"/>
                <w:szCs w:val="21"/>
                <w:lang w:val="en-GB"/>
              </w:rPr>
              <w:t>文件”袋</w:t>
            </w:r>
            <w:r>
              <w:rPr>
                <w:rFonts w:hint="eastAsia" w:ascii="宋体" w:hAnsi="宋体" w:cs="宋体"/>
                <w:color w:val="auto"/>
                <w:szCs w:val="21"/>
              </w:rPr>
              <w:t>未</w:t>
            </w:r>
            <w:r>
              <w:rPr>
                <w:rFonts w:hint="eastAsia" w:ascii="宋体" w:hAnsi="宋体" w:cs="宋体"/>
                <w:color w:val="auto"/>
                <w:szCs w:val="21"/>
                <w:lang w:val="en-GB"/>
              </w:rPr>
              <w:t>按本</w:t>
            </w:r>
            <w:r>
              <w:rPr>
                <w:rFonts w:hint="eastAsia" w:ascii="宋体" w:hAnsi="宋体" w:cs="宋体"/>
                <w:color w:val="auto"/>
                <w:szCs w:val="21"/>
              </w:rPr>
              <w:t>竞争性比选文件</w:t>
            </w:r>
            <w:r>
              <w:rPr>
                <w:rFonts w:hint="eastAsia" w:ascii="宋体" w:hAnsi="宋体" w:cs="宋体"/>
                <w:color w:val="auto"/>
                <w:szCs w:val="21"/>
                <w:lang w:val="en-GB"/>
              </w:rPr>
              <w:t>规定密封和盖章的，</w:t>
            </w:r>
            <w:r>
              <w:rPr>
                <w:rFonts w:hint="eastAsia" w:ascii="宋体" w:hAnsi="宋体" w:cs="宋体"/>
                <w:color w:val="auto"/>
                <w:szCs w:val="21"/>
              </w:rPr>
              <w:t>比选</w:t>
            </w:r>
            <w:r>
              <w:rPr>
                <w:rFonts w:hint="eastAsia" w:ascii="宋体" w:hAnsi="宋体" w:cs="宋体"/>
                <w:color w:val="auto"/>
                <w:szCs w:val="21"/>
                <w:lang w:val="en-GB"/>
              </w:rPr>
              <w:t>人或</w:t>
            </w:r>
            <w:r>
              <w:rPr>
                <w:rFonts w:hint="eastAsia" w:ascii="宋体" w:hAnsi="宋体" w:cs="宋体"/>
                <w:color w:val="auto"/>
                <w:szCs w:val="21"/>
              </w:rPr>
              <w:t>比选</w:t>
            </w:r>
            <w:r>
              <w:rPr>
                <w:rFonts w:hint="eastAsia" w:ascii="宋体" w:hAnsi="宋体" w:cs="宋体"/>
                <w:color w:val="auto"/>
                <w:szCs w:val="21"/>
                <w:lang w:val="en-GB"/>
              </w:rPr>
              <w:t>代理机构拒绝接收。</w:t>
            </w:r>
          </w:p>
          <w:p w14:paraId="2E0AC57D">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lang w:val="en-GB"/>
              </w:rPr>
            </w:pPr>
            <w:r>
              <w:rPr>
                <w:rFonts w:hint="eastAsia" w:ascii="宋体" w:hAnsi="宋体" w:cs="宋体"/>
                <w:color w:val="auto"/>
                <w:szCs w:val="21"/>
                <w:lang w:val="en-GB"/>
              </w:rPr>
              <w:t>注：</w:t>
            </w:r>
          </w:p>
          <w:p w14:paraId="6BD71545">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lang w:val="en-GB"/>
              </w:rPr>
            </w:pPr>
            <w:r>
              <w:rPr>
                <w:rFonts w:hint="eastAsia" w:ascii="宋体" w:hAnsi="宋体" w:cs="宋体"/>
                <w:color w:val="auto"/>
                <w:szCs w:val="21"/>
                <w:lang w:val="en-GB"/>
              </w:rPr>
              <w:t>(1)如</w:t>
            </w:r>
            <w:r>
              <w:rPr>
                <w:rFonts w:hint="eastAsia" w:ascii="宋体" w:hAnsi="宋体" w:cs="宋体"/>
                <w:color w:val="auto"/>
                <w:szCs w:val="21"/>
              </w:rPr>
              <w:t>竞选</w:t>
            </w:r>
            <w:r>
              <w:rPr>
                <w:rFonts w:hint="eastAsia" w:ascii="宋体" w:hAnsi="宋体" w:cs="宋体"/>
                <w:color w:val="auto"/>
                <w:szCs w:val="21"/>
                <w:lang w:val="en-GB"/>
              </w:rPr>
              <w:t>文件较厚，上述</w:t>
            </w:r>
            <w:r>
              <w:rPr>
                <w:rFonts w:hint="eastAsia" w:ascii="宋体" w:hAnsi="宋体" w:cs="宋体"/>
                <w:color w:val="auto"/>
                <w:szCs w:val="21"/>
              </w:rPr>
              <w:t>竞选</w:t>
            </w:r>
            <w:r>
              <w:rPr>
                <w:rFonts w:hint="eastAsia" w:ascii="宋体" w:hAnsi="宋体" w:cs="宋体"/>
                <w:color w:val="auto"/>
                <w:szCs w:val="21"/>
                <w:lang w:val="en-GB"/>
              </w:rPr>
              <w:t>文件不能装入相应的一个袋（箱）中，</w:t>
            </w:r>
            <w:r>
              <w:rPr>
                <w:rFonts w:hint="eastAsia" w:ascii="宋体" w:hAnsi="宋体" w:cs="宋体"/>
                <w:color w:val="auto"/>
                <w:szCs w:val="21"/>
              </w:rPr>
              <w:t>竞选人</w:t>
            </w:r>
            <w:r>
              <w:rPr>
                <w:rFonts w:hint="eastAsia" w:ascii="宋体" w:hAnsi="宋体" w:cs="宋体"/>
                <w:color w:val="auto"/>
                <w:szCs w:val="21"/>
                <w:lang w:val="en-GB"/>
              </w:rPr>
              <w:t>可按上述要求增加</w:t>
            </w:r>
            <w:r>
              <w:rPr>
                <w:rFonts w:hint="eastAsia" w:ascii="宋体" w:hAnsi="宋体" w:cs="宋体"/>
                <w:color w:val="auto"/>
                <w:szCs w:val="21"/>
              </w:rPr>
              <w:t>竞选</w:t>
            </w:r>
            <w:r>
              <w:rPr>
                <w:rFonts w:hint="eastAsia" w:ascii="宋体" w:hAnsi="宋体" w:cs="宋体"/>
                <w:color w:val="auto"/>
                <w:szCs w:val="21"/>
                <w:lang w:val="en-GB"/>
              </w:rPr>
              <w:t>文件袋（箱）。</w:t>
            </w:r>
          </w:p>
          <w:p w14:paraId="3D863540">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lang w:val="en-GB"/>
              </w:rPr>
              <w:t>(2)</w:t>
            </w:r>
            <w:r>
              <w:rPr>
                <w:rFonts w:hint="eastAsia" w:ascii="宋体" w:hAnsi="宋体" w:cs="宋体"/>
                <w:color w:val="auto"/>
                <w:szCs w:val="21"/>
              </w:rPr>
              <w:t>竞选</w:t>
            </w:r>
            <w:r>
              <w:rPr>
                <w:rFonts w:hint="eastAsia" w:ascii="宋体" w:hAnsi="宋体" w:cs="宋体"/>
                <w:color w:val="auto"/>
                <w:szCs w:val="21"/>
                <w:lang w:val="en-GB"/>
              </w:rPr>
              <w:t>文件袋可由</w:t>
            </w:r>
            <w:r>
              <w:rPr>
                <w:rFonts w:hint="eastAsia" w:ascii="宋体" w:hAnsi="宋体" w:cs="宋体"/>
                <w:color w:val="auto"/>
                <w:szCs w:val="21"/>
              </w:rPr>
              <w:t>竞选人</w:t>
            </w:r>
            <w:r>
              <w:rPr>
                <w:rFonts w:hint="eastAsia" w:ascii="宋体" w:hAnsi="宋体" w:cs="宋体"/>
                <w:color w:val="auto"/>
                <w:szCs w:val="21"/>
                <w:lang w:val="en-GB"/>
              </w:rPr>
              <w:t>自制，也可采用盒（箱）装的形式，但需满足相关密封及标记要求。</w:t>
            </w:r>
          </w:p>
        </w:tc>
      </w:tr>
      <w:tr w14:paraId="2668C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33BD67F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4.1.2</w:t>
            </w:r>
          </w:p>
        </w:tc>
        <w:tc>
          <w:tcPr>
            <w:tcW w:w="1768" w:type="dxa"/>
            <w:vAlign w:val="center"/>
          </w:tcPr>
          <w:p w14:paraId="6015DDC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封套上写明</w:t>
            </w:r>
          </w:p>
        </w:tc>
        <w:tc>
          <w:tcPr>
            <w:tcW w:w="6978" w:type="dxa"/>
            <w:vAlign w:val="center"/>
          </w:tcPr>
          <w:p w14:paraId="6E586AC8">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rPr>
            </w:pPr>
            <w:r>
              <w:rPr>
                <w:rFonts w:hint="eastAsia" w:ascii="宋体" w:hAnsi="宋体" w:cs="宋体"/>
                <w:color w:val="auto"/>
                <w:szCs w:val="21"/>
              </w:rPr>
              <w:t>应在“竞选文件”袋的封套上写明如下内容：</w:t>
            </w:r>
          </w:p>
          <w:p w14:paraId="52728136">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rPr>
            </w:pPr>
            <w:r>
              <w:rPr>
                <w:rFonts w:hint="eastAsia" w:ascii="宋体" w:hAnsi="宋体" w:cs="宋体"/>
                <w:color w:val="auto"/>
                <w:szCs w:val="21"/>
              </w:rPr>
              <w:t>比选人名称：</w:t>
            </w:r>
            <w:r>
              <w:rPr>
                <w:rFonts w:hint="eastAsia" w:ascii="宋体" w:hAnsi="宋体" w:cs="宋体"/>
                <w:color w:val="auto"/>
                <w:szCs w:val="21"/>
                <w:u w:val="single"/>
              </w:rPr>
              <w:t xml:space="preserve">               </w:t>
            </w:r>
          </w:p>
          <w:p w14:paraId="52D83781">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项目</w:t>
            </w:r>
            <w:r>
              <w:rPr>
                <w:rFonts w:hint="eastAsia" w:ascii="宋体" w:hAnsi="宋体" w:cs="宋体"/>
                <w:color w:val="auto"/>
                <w:szCs w:val="21"/>
                <w:u w:val="single"/>
              </w:rPr>
              <w:t xml:space="preserve">名称)   </w:t>
            </w:r>
            <w:r>
              <w:rPr>
                <w:rFonts w:hint="eastAsia" w:ascii="宋体" w:hAnsi="宋体" w:cs="宋体"/>
                <w:color w:val="auto"/>
                <w:szCs w:val="21"/>
              </w:rPr>
              <w:t>竞选文件</w:t>
            </w:r>
          </w:p>
          <w:p w14:paraId="32F115F3">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rPr>
            </w:pPr>
            <w:r>
              <w:rPr>
                <w:rFonts w:hint="eastAsia" w:ascii="宋体" w:hAnsi="宋体" w:cs="宋体"/>
                <w:color w:val="auto"/>
                <w:szCs w:val="21"/>
              </w:rPr>
              <w:t>在</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color w:val="auto"/>
                <w:szCs w:val="21"/>
                <w:u w:val="single"/>
              </w:rPr>
              <w:t xml:space="preserve">   </w:t>
            </w:r>
            <w:r>
              <w:rPr>
                <w:rFonts w:hint="eastAsia" w:ascii="宋体" w:hAnsi="宋体" w:cs="宋体"/>
                <w:color w:val="auto"/>
                <w:szCs w:val="21"/>
              </w:rPr>
              <w:t>时</w:t>
            </w:r>
            <w:r>
              <w:rPr>
                <w:rFonts w:hint="eastAsia" w:ascii="宋体" w:hAnsi="宋体" w:cs="宋体"/>
                <w:color w:val="auto"/>
                <w:szCs w:val="21"/>
                <w:u w:val="single"/>
              </w:rPr>
              <w:t xml:space="preserve">    </w:t>
            </w:r>
            <w:r>
              <w:rPr>
                <w:rFonts w:hint="eastAsia" w:ascii="宋体" w:hAnsi="宋体" w:cs="宋体"/>
                <w:color w:val="auto"/>
                <w:szCs w:val="21"/>
              </w:rPr>
              <w:t>分（规定的竞选时间）前不得开启</w:t>
            </w:r>
          </w:p>
          <w:p w14:paraId="2090F5EF">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竞选人名称：</w:t>
            </w:r>
            <w:r>
              <w:rPr>
                <w:rFonts w:hint="eastAsia" w:ascii="宋体" w:hAnsi="宋体" w:cs="宋体"/>
                <w:color w:val="auto"/>
                <w:szCs w:val="21"/>
                <w:u w:val="single"/>
              </w:rPr>
              <w:t xml:space="preserve">                </w:t>
            </w:r>
            <w:r>
              <w:rPr>
                <w:rFonts w:hint="eastAsia" w:ascii="宋体" w:hAnsi="宋体" w:cs="宋体"/>
                <w:color w:val="auto"/>
                <w:szCs w:val="21"/>
                <w:lang w:eastAsia="zh-CN"/>
              </w:rPr>
              <w:t>（</w:t>
            </w:r>
            <w:r>
              <w:rPr>
                <w:rFonts w:hint="eastAsia" w:ascii="宋体" w:hAnsi="宋体" w:cs="宋体"/>
                <w:color w:val="auto"/>
                <w:szCs w:val="21"/>
                <w:lang w:val="en-US" w:eastAsia="zh-CN"/>
              </w:rPr>
              <w:t>单位全称</w:t>
            </w:r>
            <w:r>
              <w:rPr>
                <w:rFonts w:hint="eastAsia" w:ascii="宋体" w:hAnsi="宋体" w:cs="宋体"/>
                <w:color w:val="auto"/>
                <w:szCs w:val="21"/>
                <w:lang w:eastAsia="zh-CN"/>
              </w:rPr>
              <w:t>）</w:t>
            </w:r>
          </w:p>
        </w:tc>
      </w:tr>
      <w:tr w14:paraId="7021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5CDF22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4.2.2</w:t>
            </w:r>
          </w:p>
        </w:tc>
        <w:tc>
          <w:tcPr>
            <w:tcW w:w="1768" w:type="dxa"/>
            <w:vAlign w:val="center"/>
          </w:tcPr>
          <w:p w14:paraId="4F98E57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递交竞选文件地点和时间</w:t>
            </w:r>
          </w:p>
        </w:tc>
        <w:tc>
          <w:tcPr>
            <w:tcW w:w="6978" w:type="dxa"/>
            <w:vAlign w:val="center"/>
          </w:tcPr>
          <w:p w14:paraId="24130DF6">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递交时间：同竞选截止时间</w:t>
            </w:r>
          </w:p>
          <w:p w14:paraId="4D9BFB46">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递交地点：重庆爱采招标代理有限公司（重庆市巴南区李渡路59号（李家沱大融城B4栋）2-1、2-2）。</w:t>
            </w:r>
          </w:p>
          <w:p w14:paraId="2E6CE123">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未按时将竞选文件送达指定地点，比选人应拒收。</w:t>
            </w:r>
          </w:p>
        </w:tc>
      </w:tr>
      <w:tr w14:paraId="78C1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DA1BCAA">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4.2.3</w:t>
            </w:r>
          </w:p>
        </w:tc>
        <w:tc>
          <w:tcPr>
            <w:tcW w:w="1768" w:type="dxa"/>
            <w:vAlign w:val="center"/>
          </w:tcPr>
          <w:p w14:paraId="47653C43">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是否退还竞选文件</w:t>
            </w:r>
          </w:p>
        </w:tc>
        <w:tc>
          <w:tcPr>
            <w:tcW w:w="6978" w:type="dxa"/>
            <w:vAlign w:val="center"/>
          </w:tcPr>
          <w:p w14:paraId="2CE03B89">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否</w:t>
            </w:r>
          </w:p>
        </w:tc>
      </w:tr>
      <w:tr w14:paraId="7ECD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444E7D2">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5.1</w:t>
            </w:r>
          </w:p>
        </w:tc>
        <w:tc>
          <w:tcPr>
            <w:tcW w:w="1768" w:type="dxa"/>
            <w:vAlign w:val="center"/>
          </w:tcPr>
          <w:p w14:paraId="7B1AC203">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开启竞选文件时间和地点</w:t>
            </w:r>
          </w:p>
        </w:tc>
        <w:tc>
          <w:tcPr>
            <w:tcW w:w="6978" w:type="dxa"/>
            <w:vAlign w:val="center"/>
          </w:tcPr>
          <w:p w14:paraId="1AB0D01A">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开启竞选文件时间：同竞选截止时间</w:t>
            </w:r>
          </w:p>
          <w:p w14:paraId="51AA3D5B">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开启竞选文件地点：详见竞选公告。</w:t>
            </w:r>
          </w:p>
        </w:tc>
      </w:tr>
      <w:tr w14:paraId="4121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6C8F690">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szCs w:val="21"/>
              </w:rPr>
            </w:pPr>
            <w:r>
              <w:rPr>
                <w:rFonts w:hint="eastAsia" w:ascii="宋体" w:hAnsi="宋体" w:cs="宋体"/>
                <w:color w:val="auto"/>
                <w:kern w:val="0"/>
                <w:szCs w:val="21"/>
              </w:rPr>
              <w:t>5.2</w:t>
            </w:r>
          </w:p>
        </w:tc>
        <w:tc>
          <w:tcPr>
            <w:tcW w:w="1768" w:type="dxa"/>
            <w:vAlign w:val="center"/>
          </w:tcPr>
          <w:p w14:paraId="059EB9C6">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szCs w:val="21"/>
              </w:rPr>
            </w:pPr>
            <w:r>
              <w:rPr>
                <w:rFonts w:hint="eastAsia" w:ascii="宋体" w:hAnsi="宋体" w:cs="宋体"/>
                <w:color w:val="auto"/>
                <w:kern w:val="0"/>
                <w:szCs w:val="21"/>
              </w:rPr>
              <w:t>开启竞选文件程序</w:t>
            </w:r>
          </w:p>
        </w:tc>
        <w:tc>
          <w:tcPr>
            <w:tcW w:w="6978" w:type="dxa"/>
            <w:vAlign w:val="center"/>
          </w:tcPr>
          <w:p w14:paraId="1AE27C9C">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主持人按下列程序进行开启竞选文件：</w:t>
            </w:r>
          </w:p>
          <w:p w14:paraId="2BABBD91">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1.宣布竞选纪律。</w:t>
            </w:r>
          </w:p>
          <w:p w14:paraId="494F78D1">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2.宣布开启竞选文件人、唱标人、记录人、监督人等有关人员姓名。</w:t>
            </w:r>
          </w:p>
          <w:p w14:paraId="214FEE02">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3.公布在递交竞选文件截止时间前递交竞选文件的竞选人名称，并点名确认竞选人是否派人到场。</w:t>
            </w:r>
          </w:p>
          <w:p w14:paraId="4170460C">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4.展示竞选保证金缴款情况。</w:t>
            </w:r>
          </w:p>
          <w:p w14:paraId="1B2088B6">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5.密封情况检查：竞选人或者其推选的代表检查竞选文件的密封情况并确认。</w:t>
            </w:r>
          </w:p>
          <w:p w14:paraId="427C8741">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6.设有最高限价的，公布最高限价。</w:t>
            </w:r>
          </w:p>
          <w:p w14:paraId="648C4789">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7.开启竞选文件顺序：随机开启。</w:t>
            </w:r>
          </w:p>
          <w:p w14:paraId="5F4F8625">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8.当众随机开启“竞选文件”袋，公布竞选人</w:t>
            </w:r>
            <w:r>
              <w:rPr>
                <w:rFonts w:hint="eastAsia" w:ascii="宋体" w:hAnsi="宋体" w:cs="宋体"/>
                <w:color w:val="auto"/>
                <w:kern w:val="0"/>
                <w:szCs w:val="21"/>
                <w:lang w:val="en-US" w:eastAsia="zh-CN"/>
              </w:rPr>
              <w:t>单位</w:t>
            </w:r>
            <w:r>
              <w:rPr>
                <w:rFonts w:hint="eastAsia" w:ascii="宋体" w:hAnsi="宋体" w:cs="宋体"/>
                <w:color w:val="auto"/>
                <w:kern w:val="0"/>
                <w:szCs w:val="21"/>
              </w:rPr>
              <w:t>名称、</w:t>
            </w:r>
            <w:r>
              <w:rPr>
                <w:rFonts w:hint="eastAsia" w:ascii="宋体" w:hAnsi="宋体" w:cs="宋体"/>
                <w:color w:val="auto"/>
                <w:szCs w:val="21"/>
              </w:rPr>
              <w:t>质量</w:t>
            </w:r>
            <w:r>
              <w:rPr>
                <w:rFonts w:hint="eastAsia" w:ascii="宋体" w:hAnsi="宋体" w:cs="宋体"/>
                <w:color w:val="auto"/>
                <w:szCs w:val="21"/>
                <w:lang w:val="en-US" w:eastAsia="zh-CN"/>
              </w:rPr>
              <w:t>要求</w:t>
            </w:r>
            <w:r>
              <w:rPr>
                <w:rFonts w:hint="eastAsia" w:ascii="宋体" w:hAnsi="宋体" w:cs="宋体"/>
                <w:color w:val="auto"/>
                <w:szCs w:val="21"/>
              </w:rPr>
              <w:t>、</w:t>
            </w:r>
            <w:r>
              <w:rPr>
                <w:rFonts w:hint="eastAsia" w:ascii="宋体" w:hAnsi="宋体" w:cs="宋体"/>
                <w:color w:val="auto"/>
                <w:szCs w:val="21"/>
                <w:lang w:val="en-US" w:eastAsia="zh-CN"/>
              </w:rPr>
              <w:t>工期</w:t>
            </w:r>
            <w:r>
              <w:rPr>
                <w:rFonts w:hint="eastAsia" w:ascii="宋体" w:hAnsi="宋体" w:cs="宋体"/>
                <w:color w:val="auto"/>
                <w:szCs w:val="21"/>
              </w:rPr>
              <w:t>及其他内容；并有关人员在开标记录上签字确认后送评审小组评审。</w:t>
            </w:r>
          </w:p>
          <w:p w14:paraId="62143DC4">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9.竞选人代表、比选人代表、监督人、记录人等有关人员在开启竞选文件记录上签字确认。</w:t>
            </w:r>
          </w:p>
          <w:p w14:paraId="7E34B35D">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10.竞选会结束。</w:t>
            </w:r>
          </w:p>
        </w:tc>
      </w:tr>
      <w:tr w14:paraId="2C08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12A5D0E0">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6.1.1</w:t>
            </w:r>
          </w:p>
        </w:tc>
        <w:tc>
          <w:tcPr>
            <w:tcW w:w="1768" w:type="dxa"/>
            <w:vAlign w:val="center"/>
          </w:tcPr>
          <w:p w14:paraId="36943D39">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评审小组的组建</w:t>
            </w:r>
          </w:p>
        </w:tc>
        <w:tc>
          <w:tcPr>
            <w:tcW w:w="6978" w:type="dxa"/>
            <w:vAlign w:val="center"/>
          </w:tcPr>
          <w:p w14:paraId="31616577">
            <w:pPr>
              <w:keepNext w:val="0"/>
              <w:keepLines w:val="0"/>
              <w:pageBreakBefore w:val="0"/>
              <w:kinsoku/>
              <w:wordWrap w:val="0"/>
              <w:overflowPunct/>
              <w:topLinePunct w:val="0"/>
              <w:bidi w:val="0"/>
              <w:snapToGrid w:val="0"/>
              <w:spacing w:line="400" w:lineRule="exact"/>
              <w:ind w:firstLine="420" w:firstLineChars="200"/>
              <w:jc w:val="left"/>
              <w:textAlignment w:val="auto"/>
              <w:rPr>
                <w:rFonts w:ascii="宋体" w:hAnsi="宋体" w:cs="宋体"/>
                <w:color w:val="auto"/>
                <w:kern w:val="0"/>
                <w:szCs w:val="21"/>
              </w:rPr>
            </w:pPr>
            <w:r>
              <w:rPr>
                <w:rFonts w:hint="eastAsia" w:ascii="宋体" w:hAnsi="宋体" w:cs="宋体"/>
                <w:color w:val="auto"/>
                <w:szCs w:val="21"/>
              </w:rPr>
              <w:t>由比选人按法律法规及相关规定依法组建评审小组。</w:t>
            </w:r>
          </w:p>
        </w:tc>
      </w:tr>
      <w:tr w14:paraId="00CE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6D2FB556">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7.1</w:t>
            </w:r>
          </w:p>
        </w:tc>
        <w:tc>
          <w:tcPr>
            <w:tcW w:w="1768" w:type="dxa"/>
            <w:vAlign w:val="center"/>
          </w:tcPr>
          <w:p w14:paraId="6D59336F">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是否授权评审小组确定中选候选人</w:t>
            </w:r>
          </w:p>
        </w:tc>
        <w:tc>
          <w:tcPr>
            <w:tcW w:w="6978" w:type="dxa"/>
            <w:vAlign w:val="center"/>
          </w:tcPr>
          <w:p w14:paraId="0FC680C8">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推荐经评审综合得分由高到低排名前三名为中选候选人。</w:t>
            </w:r>
          </w:p>
        </w:tc>
      </w:tr>
      <w:tr w14:paraId="5638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BDB5BB6">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7.2</w:t>
            </w:r>
          </w:p>
        </w:tc>
        <w:tc>
          <w:tcPr>
            <w:tcW w:w="1768" w:type="dxa"/>
            <w:vAlign w:val="center"/>
          </w:tcPr>
          <w:p w14:paraId="7F72B9EF">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评审结果公示</w:t>
            </w:r>
          </w:p>
        </w:tc>
        <w:tc>
          <w:tcPr>
            <w:tcW w:w="6978" w:type="dxa"/>
            <w:vAlign w:val="center"/>
          </w:tcPr>
          <w:p w14:paraId="6C4B9B5F">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highlight w:val="none"/>
              </w:rPr>
              <w:t>在“</w:t>
            </w:r>
            <w:r>
              <w:rPr>
                <w:rFonts w:hint="eastAsia" w:ascii="宋体" w:hAnsi="宋体" w:cs="宋体"/>
                <w:color w:val="auto"/>
                <w:kern w:val="0"/>
                <w:szCs w:val="21"/>
                <w:highlight w:val="none"/>
                <w:lang w:eastAsia="zh-CN"/>
              </w:rPr>
              <w:t>行采家（https://www.gec123.com/）</w:t>
            </w:r>
            <w:r>
              <w:rPr>
                <w:rFonts w:hint="eastAsia" w:ascii="宋体" w:hAnsi="宋体" w:cs="宋体"/>
                <w:color w:val="auto"/>
                <w:kern w:val="0"/>
                <w:szCs w:val="21"/>
                <w:highlight w:val="none"/>
              </w:rPr>
              <w:t>”网</w:t>
            </w:r>
            <w:r>
              <w:rPr>
                <w:rFonts w:hint="eastAsia" w:ascii="宋体" w:hAnsi="宋体" w:cs="宋体"/>
                <w:color w:val="auto"/>
                <w:kern w:val="0"/>
                <w:szCs w:val="21"/>
              </w:rPr>
              <w:t>上进行公示。</w:t>
            </w:r>
          </w:p>
        </w:tc>
      </w:tr>
      <w:tr w14:paraId="5418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78B3D2E">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7.3.1</w:t>
            </w:r>
          </w:p>
        </w:tc>
        <w:tc>
          <w:tcPr>
            <w:tcW w:w="1768" w:type="dxa"/>
            <w:vAlign w:val="center"/>
          </w:tcPr>
          <w:p w14:paraId="3B5CC748">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履约担保</w:t>
            </w:r>
          </w:p>
        </w:tc>
        <w:tc>
          <w:tcPr>
            <w:tcW w:w="6978" w:type="dxa"/>
            <w:vAlign w:val="center"/>
          </w:tcPr>
          <w:p w14:paraId="7F8756FF">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1.履约保证金的形式：</w:t>
            </w:r>
            <w:bookmarkStart w:id="42" w:name="_Hlk42176084"/>
            <w:r>
              <w:rPr>
                <w:rFonts w:hint="eastAsia" w:ascii="宋体" w:hAnsi="宋体" w:eastAsia="宋体" w:cs="宋体"/>
                <w:color w:val="auto"/>
                <w:kern w:val="0"/>
                <w:szCs w:val="21"/>
              </w:rPr>
              <w:t>中选人应在中选通知书发出后合同签订之前通过转账或保函等非现金方式缴纳履约保证金，从中选人基本账户提交，不得使用现金进账。履约保证金账户由比选人提供。</w:t>
            </w:r>
            <w:bookmarkEnd w:id="42"/>
          </w:p>
          <w:p w14:paraId="271FE95D">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2.履约保证金的金额：</w:t>
            </w:r>
            <w:r>
              <w:rPr>
                <w:rFonts w:hint="eastAsia" w:ascii="宋体" w:hAnsi="宋体" w:cs="宋体"/>
                <w:color w:val="auto"/>
                <w:kern w:val="0"/>
                <w:szCs w:val="21"/>
                <w:lang w:val="en-US" w:eastAsia="zh-CN"/>
              </w:rPr>
              <w:t>合同</w:t>
            </w:r>
            <w:r>
              <w:rPr>
                <w:rFonts w:hint="eastAsia" w:ascii="宋体" w:hAnsi="宋体" w:eastAsia="宋体" w:cs="宋体"/>
                <w:color w:val="auto"/>
                <w:kern w:val="0"/>
                <w:szCs w:val="21"/>
              </w:rPr>
              <w:t>金额的10%。</w:t>
            </w:r>
          </w:p>
          <w:p w14:paraId="57FE509B">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3.提交时间：中选人应在领取中选通知书后，合同签订前提交。若未按时提交，比选人有权取消其中选资格。</w:t>
            </w:r>
          </w:p>
          <w:p w14:paraId="71268981">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4.履约</w:t>
            </w:r>
            <w:r>
              <w:rPr>
                <w:rFonts w:hint="eastAsia" w:ascii="宋体" w:hAnsi="宋体" w:eastAsia="宋体" w:cs="宋体"/>
                <w:color w:val="auto"/>
                <w:kern w:val="0"/>
                <w:szCs w:val="21"/>
                <w:lang w:val="en-US" w:eastAsia="zh-CN"/>
              </w:rPr>
              <w:t>保证金</w:t>
            </w:r>
            <w:r>
              <w:rPr>
                <w:rFonts w:hint="eastAsia" w:ascii="宋体" w:hAnsi="宋体" w:eastAsia="宋体" w:cs="宋体"/>
                <w:color w:val="auto"/>
                <w:kern w:val="0"/>
                <w:szCs w:val="21"/>
              </w:rPr>
              <w:t>的</w:t>
            </w:r>
            <w:r>
              <w:rPr>
                <w:rFonts w:hint="eastAsia" w:ascii="宋体" w:hAnsi="宋体" w:eastAsia="宋体" w:cs="宋体"/>
                <w:color w:val="auto"/>
                <w:kern w:val="0"/>
                <w:szCs w:val="21"/>
                <w:lang w:val="en-US" w:eastAsia="zh-CN"/>
              </w:rPr>
              <w:t>退还</w:t>
            </w:r>
            <w:r>
              <w:rPr>
                <w:rFonts w:hint="eastAsia" w:ascii="宋体" w:hAnsi="宋体" w:eastAsia="宋体" w:cs="宋体"/>
                <w:color w:val="auto"/>
                <w:kern w:val="0"/>
                <w:szCs w:val="21"/>
              </w:rPr>
              <w:t xml:space="preserve">：履约保证金在项目完成且验收合格后全部返还，履约保证金不计息。 </w:t>
            </w:r>
          </w:p>
        </w:tc>
      </w:tr>
      <w:tr w14:paraId="31235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8759C91">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lang w:val="en-US" w:eastAsia="zh-CN"/>
              </w:rPr>
            </w:pPr>
            <w:r>
              <w:rPr>
                <w:rFonts w:hint="eastAsia" w:ascii="宋体" w:hAnsi="宋体" w:cs="宋体"/>
                <w:color w:val="auto"/>
                <w:kern w:val="0"/>
                <w:szCs w:val="21"/>
              </w:rPr>
              <w:t>8.</w:t>
            </w:r>
            <w:r>
              <w:rPr>
                <w:rFonts w:hint="eastAsia" w:ascii="宋体" w:hAnsi="宋体" w:cs="宋体"/>
                <w:color w:val="auto"/>
                <w:kern w:val="0"/>
                <w:szCs w:val="21"/>
                <w:lang w:val="en-US" w:eastAsia="zh-CN"/>
              </w:rPr>
              <w:t>1</w:t>
            </w:r>
          </w:p>
        </w:tc>
        <w:tc>
          <w:tcPr>
            <w:tcW w:w="1768" w:type="dxa"/>
            <w:vAlign w:val="center"/>
          </w:tcPr>
          <w:p w14:paraId="6B641AE0">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bookmarkStart w:id="43" w:name="_Toc509218709"/>
            <w:bookmarkStart w:id="44" w:name="_Toc13210670"/>
            <w:bookmarkStart w:id="45" w:name="_Toc430530434"/>
            <w:bookmarkStart w:id="46" w:name="_Toc536628250"/>
            <w:bookmarkStart w:id="47" w:name="_Toc16930431"/>
            <w:r>
              <w:rPr>
                <w:rFonts w:hint="eastAsia" w:ascii="宋体" w:hAnsi="宋体" w:cs="宋体"/>
                <w:color w:val="auto"/>
                <w:kern w:val="0"/>
                <w:szCs w:val="21"/>
              </w:rPr>
              <w:t>重新比选和不再招标</w:t>
            </w:r>
            <w:bookmarkEnd w:id="43"/>
            <w:bookmarkEnd w:id="44"/>
            <w:bookmarkEnd w:id="45"/>
            <w:bookmarkEnd w:id="46"/>
            <w:bookmarkEnd w:id="47"/>
          </w:p>
        </w:tc>
        <w:tc>
          <w:tcPr>
            <w:tcW w:w="6978" w:type="dxa"/>
            <w:vAlign w:val="center"/>
          </w:tcPr>
          <w:p w14:paraId="0D247655">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出现以下情形本次比选失败：</w:t>
            </w:r>
          </w:p>
          <w:p w14:paraId="727625E2">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1.比选截止时间止，竞选人少于3个的；</w:t>
            </w:r>
          </w:p>
          <w:p w14:paraId="33F700AD">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2.经评审小组评审后否决所有竞选的；</w:t>
            </w:r>
          </w:p>
          <w:p w14:paraId="630D210B">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kern w:val="0"/>
                <w:szCs w:val="21"/>
              </w:rPr>
              <w:t>3.经评审后，因不符合资格审查要求导致合格的竞选人不足三个的，评审小组应当否决全部竞选。</w:t>
            </w:r>
          </w:p>
        </w:tc>
      </w:tr>
      <w:tr w14:paraId="3827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874FE6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10</w:t>
            </w:r>
          </w:p>
        </w:tc>
        <w:tc>
          <w:tcPr>
            <w:tcW w:w="8746" w:type="dxa"/>
            <w:gridSpan w:val="2"/>
            <w:vAlign w:val="center"/>
          </w:tcPr>
          <w:p w14:paraId="3DEC6466">
            <w:pPr>
              <w:keepNext w:val="0"/>
              <w:keepLines w:val="0"/>
              <w:pageBreakBefore w:val="0"/>
              <w:kinsoku/>
              <w:overflowPunct/>
              <w:topLinePunct w:val="0"/>
              <w:bidi w:val="0"/>
              <w:snapToGrid w:val="0"/>
              <w:spacing w:line="400" w:lineRule="exact"/>
              <w:ind w:firstLine="420" w:firstLineChars="200"/>
              <w:jc w:val="center"/>
              <w:textAlignment w:val="auto"/>
              <w:rPr>
                <w:rFonts w:ascii="宋体" w:hAnsi="宋体" w:cs="宋体"/>
                <w:color w:val="auto"/>
                <w:kern w:val="0"/>
                <w:szCs w:val="21"/>
              </w:rPr>
            </w:pPr>
            <w:r>
              <w:rPr>
                <w:rFonts w:hint="eastAsia" w:ascii="宋体" w:hAnsi="宋体" w:cs="宋体"/>
                <w:color w:val="auto"/>
                <w:kern w:val="0"/>
                <w:szCs w:val="21"/>
              </w:rPr>
              <w:t>需要补充的其他内容</w:t>
            </w:r>
          </w:p>
        </w:tc>
      </w:tr>
      <w:tr w14:paraId="6C1B7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36789AC1">
            <w:pPr>
              <w:keepNext w:val="0"/>
              <w:keepLines w:val="0"/>
              <w:pageBreakBefore w:val="0"/>
              <w:kinsoku/>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10.1</w:t>
            </w:r>
          </w:p>
        </w:tc>
        <w:tc>
          <w:tcPr>
            <w:tcW w:w="1768" w:type="dxa"/>
            <w:vAlign w:val="center"/>
          </w:tcPr>
          <w:p w14:paraId="5AACD567">
            <w:pPr>
              <w:keepNext w:val="0"/>
              <w:keepLines w:val="0"/>
              <w:pageBreakBefore w:val="0"/>
              <w:kinsoku/>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异议、投诉处理</w:t>
            </w:r>
          </w:p>
        </w:tc>
        <w:tc>
          <w:tcPr>
            <w:tcW w:w="6978" w:type="dxa"/>
            <w:vAlign w:val="center"/>
          </w:tcPr>
          <w:p w14:paraId="36DC6F13">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1.竞选人或者其他利害关系人就本项目的竞选文件（含澄清修改）、竞选文件开启情况、评审结果等事项提出异议或投诉的，应当向比选人提出异议；比选人应当在规定时间内答复；对比选人的答复不满意，可向行政监督部门投诉。</w:t>
            </w:r>
          </w:p>
          <w:p w14:paraId="12116C3D">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提出异议或投诉时应当包括下列内容：</w:t>
            </w:r>
          </w:p>
          <w:p w14:paraId="4C24037B">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⑴异议人或投诉人的名称、地址及有效联系方式；</w:t>
            </w:r>
          </w:p>
          <w:p w14:paraId="530DDA2F">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⑵被异议人或被投诉人的名称、地址及有效联系方式；</w:t>
            </w:r>
          </w:p>
          <w:p w14:paraId="453F6715">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⑶异议或投诉事项的基本事实；</w:t>
            </w:r>
          </w:p>
          <w:p w14:paraId="5B654117">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⑷请求及主张；</w:t>
            </w:r>
          </w:p>
          <w:p w14:paraId="3379D698">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⑸涉及事项的证据、证明材料。</w:t>
            </w:r>
          </w:p>
          <w:p w14:paraId="317BDC74">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1A69CD6E">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2.行政监督部门依照《中华人民共和国招标投标法》、《中华人民共和国招标投标法实施条例》、《重庆市招标投标条例》、《工程建设项目招标投标活动投诉处理办法》（七部委令第11号（根据九部门2013年第23号令修正））、《关于印发&lt;重庆市招标投标活动投诉处理实施细则（修订）&gt;的通知》（渝公管发〔2021〕54号）等法律法规文件处理投诉。</w:t>
            </w:r>
          </w:p>
          <w:p w14:paraId="7AF75BAC">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kern w:val="0"/>
                <w:szCs w:val="21"/>
                <w:lang w:val="en-US" w:eastAsia="zh-CN"/>
              </w:rPr>
              <w:t>参照</w:t>
            </w:r>
            <w:r>
              <w:rPr>
                <w:rFonts w:hint="eastAsia" w:ascii="宋体" w:hAnsi="宋体" w:cs="宋体"/>
                <w:color w:val="auto"/>
                <w:kern w:val="0"/>
                <w:szCs w:val="21"/>
              </w:rPr>
              <w:t>《重庆市工程建设领域招标投标信用管理暂行办法》的规定，竞选人捏造事实、伪造材料，或者以非法手段获取证明材料进行质疑或者投诉的，将被列入黑名单管理；给他人造成损失的，依法承担赔偿责任。</w:t>
            </w:r>
          </w:p>
          <w:p w14:paraId="52674886">
            <w:pPr>
              <w:keepNext w:val="0"/>
              <w:keepLines w:val="0"/>
              <w:pageBreakBefore w:val="0"/>
              <w:widowControl/>
              <w:kinsoku/>
              <w:overflowPunct/>
              <w:topLinePunct w:val="0"/>
              <w:bidi w:val="0"/>
              <w:snapToGrid w:val="0"/>
              <w:spacing w:line="400" w:lineRule="exact"/>
              <w:ind w:firstLine="420" w:firstLineChars="200"/>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4.异议受理单位：重庆科学城明远未来中学校</w:t>
            </w:r>
          </w:p>
          <w:p w14:paraId="12739EFA">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highlight w:val="none"/>
              </w:rPr>
              <w:t>联系电话：19112198567</w:t>
            </w:r>
          </w:p>
        </w:tc>
      </w:tr>
      <w:tr w14:paraId="0DF6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80" w:type="dxa"/>
            <w:vAlign w:val="center"/>
          </w:tcPr>
          <w:p w14:paraId="0DB6A13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10.2</w:t>
            </w:r>
          </w:p>
        </w:tc>
        <w:tc>
          <w:tcPr>
            <w:tcW w:w="1768" w:type="dxa"/>
            <w:vAlign w:val="center"/>
          </w:tcPr>
          <w:p w14:paraId="20ECF205">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 w:val="22"/>
                <w:szCs w:val="22"/>
              </w:rPr>
            </w:pPr>
            <w:r>
              <w:rPr>
                <w:rFonts w:hint="eastAsia" w:ascii="宋体" w:hAnsi="宋体" w:cs="宋体"/>
                <w:color w:val="auto"/>
                <w:kern w:val="0"/>
                <w:szCs w:val="21"/>
              </w:rPr>
              <w:t>比选代理服务费</w:t>
            </w:r>
          </w:p>
        </w:tc>
        <w:tc>
          <w:tcPr>
            <w:tcW w:w="6978" w:type="dxa"/>
            <w:vAlign w:val="center"/>
          </w:tcPr>
          <w:p w14:paraId="2CE8BE99">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eastAsia="宋体" w:cs="宋体"/>
                <w:color w:val="auto"/>
                <w:szCs w:val="21"/>
                <w:lang w:val="en-US" w:eastAsia="zh-CN"/>
              </w:rPr>
            </w:pPr>
            <w:r>
              <w:rPr>
                <w:rFonts w:hint="eastAsia" w:ascii="宋体" w:hAnsi="宋体" w:cs="宋体"/>
                <w:color w:val="auto"/>
                <w:szCs w:val="21"/>
              </w:rPr>
              <w:t>1.</w:t>
            </w:r>
            <w:r>
              <w:rPr>
                <w:rFonts w:hint="eastAsia" w:ascii="宋体" w:hAnsi="宋体" w:eastAsia="宋体" w:cs="宋体"/>
                <w:color w:val="auto"/>
                <w:szCs w:val="21"/>
              </w:rPr>
              <w:t>本项目比选代理服务费</w:t>
            </w:r>
            <w:r>
              <w:rPr>
                <w:rFonts w:hint="eastAsia" w:ascii="宋体" w:hAnsi="宋体" w:cs="宋体"/>
                <w:color w:val="auto"/>
                <w:szCs w:val="21"/>
                <w:lang w:val="en-US" w:eastAsia="zh-CN"/>
              </w:rPr>
              <w:t>按4500元（大写：肆仟伍佰元整）收取。</w:t>
            </w:r>
          </w:p>
          <w:p w14:paraId="1278E0EB">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2.本项目比选代理服务费由中选人支付，竞选人在竞选时应考虑此因素，但不得单独报价。中选人在领取中选通知书时一次性向比选代理机构缴清比选代理服务费。</w:t>
            </w:r>
          </w:p>
          <w:p w14:paraId="2EE1C49A">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招标代理服务费缴纳账号</w:t>
            </w:r>
          </w:p>
          <w:p w14:paraId="1DB097E3">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户  名：</w:t>
            </w:r>
            <w:r>
              <w:rPr>
                <w:rFonts w:hint="eastAsia" w:ascii="宋体" w:hAnsi="宋体" w:cs="宋体"/>
                <w:color w:val="auto"/>
                <w:szCs w:val="21"/>
                <w:lang w:eastAsia="zh-CN"/>
              </w:rPr>
              <w:t>重庆爱采招标代理有限公司</w:t>
            </w:r>
          </w:p>
          <w:p w14:paraId="522EEE55">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开户行：交通银行重庆分行两路口支行</w:t>
            </w:r>
          </w:p>
          <w:p w14:paraId="2FB37A5E">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账  号：500102081018000005415</w:t>
            </w:r>
          </w:p>
        </w:tc>
      </w:tr>
      <w:tr w14:paraId="1E63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80" w:type="dxa"/>
            <w:vAlign w:val="center"/>
          </w:tcPr>
          <w:p w14:paraId="4FA2C2DD">
            <w:pPr>
              <w:keepNext w:val="0"/>
              <w:keepLines w:val="0"/>
              <w:pageBreakBefore w:val="0"/>
              <w:kinsoku/>
              <w:wordWrap w:val="0"/>
              <w:overflowPunct/>
              <w:topLinePunct w:val="0"/>
              <w:bidi w:val="0"/>
              <w:snapToGrid w:val="0"/>
              <w:spacing w:line="400" w:lineRule="exact"/>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10.3</w:t>
            </w:r>
          </w:p>
        </w:tc>
        <w:tc>
          <w:tcPr>
            <w:tcW w:w="1768" w:type="dxa"/>
            <w:vAlign w:val="center"/>
          </w:tcPr>
          <w:p w14:paraId="3538D2DE">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978" w:type="dxa"/>
            <w:vAlign w:val="center"/>
          </w:tcPr>
          <w:p w14:paraId="21A3501B">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工程款支付方式如下：</w:t>
            </w:r>
          </w:p>
          <w:p w14:paraId="6FF5DA6D">
            <w:pPr>
              <w:keepNext w:val="0"/>
              <w:keepLines w:val="0"/>
              <w:pageBreakBefore w:val="0"/>
              <w:numPr>
                <w:ilvl w:val="0"/>
                <w:numId w:val="2"/>
              </w:numPr>
              <w:kinsoku/>
              <w:wordWrap w:val="0"/>
              <w:overflowPunct/>
              <w:topLinePunct w:val="0"/>
              <w:bidi w:val="0"/>
              <w:snapToGrid w:val="0"/>
              <w:spacing w:line="400" w:lineRule="exact"/>
              <w:ind w:left="0" w:leftChars="0" w:firstLine="420" w:firstLineChars="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工程竣工验收合格后，比选人向中选人支付至合同金额的80%；</w:t>
            </w:r>
          </w:p>
          <w:p w14:paraId="38ABD73D">
            <w:pPr>
              <w:keepNext w:val="0"/>
              <w:keepLines w:val="0"/>
              <w:pageBreakBefore w:val="0"/>
              <w:numPr>
                <w:ilvl w:val="0"/>
                <w:numId w:val="2"/>
              </w:numPr>
              <w:kinsoku/>
              <w:wordWrap w:val="0"/>
              <w:overflowPunct/>
              <w:topLinePunct w:val="0"/>
              <w:bidi w:val="0"/>
              <w:snapToGrid w:val="0"/>
              <w:spacing w:line="400" w:lineRule="exact"/>
              <w:ind w:left="0" w:leftChars="0" w:firstLine="420" w:firstLineChars="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工程结算审计完成，中选人向比选人缴纳结算审定金额的3%作为工程质保金，比选人支付至结算审定金额的100%；</w:t>
            </w:r>
          </w:p>
          <w:p w14:paraId="33542B0C">
            <w:pPr>
              <w:keepNext w:val="0"/>
              <w:keepLines w:val="0"/>
              <w:pageBreakBefore w:val="0"/>
              <w:numPr>
                <w:ilvl w:val="0"/>
                <w:numId w:val="2"/>
              </w:numPr>
              <w:kinsoku/>
              <w:wordWrap w:val="0"/>
              <w:overflowPunct/>
              <w:topLinePunct w:val="0"/>
              <w:bidi w:val="0"/>
              <w:snapToGrid w:val="0"/>
              <w:spacing w:line="400" w:lineRule="exact"/>
              <w:ind w:left="0" w:leftChars="0" w:firstLine="420" w:firstLineChars="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本项目</w:t>
            </w:r>
            <w:r>
              <w:rPr>
                <w:rFonts w:hint="eastAsia" w:ascii="宋体" w:hAnsi="宋体" w:cs="宋体"/>
                <w:color w:val="auto"/>
                <w:kern w:val="0"/>
                <w:szCs w:val="21"/>
                <w:highlight w:val="none"/>
                <w:lang w:val="en-US" w:eastAsia="zh-CN"/>
              </w:rPr>
              <w:t>质保金，在质保期满后无息退还</w:t>
            </w:r>
            <w:r>
              <w:rPr>
                <w:rFonts w:hint="eastAsia" w:ascii="宋体" w:hAnsi="宋体" w:cs="宋体"/>
                <w:color w:val="auto"/>
                <w:kern w:val="0"/>
                <w:szCs w:val="21"/>
                <w:highlight w:val="none"/>
              </w:rPr>
              <w:t>。</w:t>
            </w:r>
          </w:p>
          <w:p w14:paraId="6A1EDDBA">
            <w:pPr>
              <w:keepNext w:val="0"/>
              <w:keepLines w:val="0"/>
              <w:pageBreakBefore w:val="0"/>
              <w:numPr>
                <w:ilvl w:val="0"/>
                <w:numId w:val="2"/>
              </w:numPr>
              <w:kinsoku/>
              <w:wordWrap w:val="0"/>
              <w:overflowPunct/>
              <w:topLinePunct w:val="0"/>
              <w:bidi w:val="0"/>
              <w:snapToGrid w:val="0"/>
              <w:spacing w:line="400" w:lineRule="exact"/>
              <w:ind w:left="0" w:leftChars="0" w:firstLine="42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付款前，中选人应向比选人提前提供相应足额发票，否则比选人可以延迟付款并不承担违约责任。</w:t>
            </w:r>
          </w:p>
          <w:p w14:paraId="22647AEC">
            <w:pPr>
              <w:keepNext w:val="0"/>
              <w:keepLines w:val="0"/>
              <w:pageBreakBefore w:val="0"/>
              <w:numPr>
                <w:ilvl w:val="0"/>
                <w:numId w:val="2"/>
              </w:numPr>
              <w:kinsoku/>
              <w:wordWrap w:val="0"/>
              <w:overflowPunct/>
              <w:topLinePunct w:val="0"/>
              <w:bidi w:val="0"/>
              <w:snapToGrid w:val="0"/>
              <w:spacing w:line="400" w:lineRule="exact"/>
              <w:ind w:left="0" w:leftChars="0" w:firstLine="42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本项目在缺陷责任期内，中选人在接到竞选人维修通知后，应积极配合确认问题情况，若属中选人保修范围，48小时内必须到场进行维修，否则比选人自己修复产生的费用从工程质保金中扣除。</w:t>
            </w:r>
          </w:p>
        </w:tc>
      </w:tr>
    </w:tbl>
    <w:p w14:paraId="7D98E626">
      <w:pPr>
        <w:ind w:firstLine="422" w:firstLineChars="200"/>
        <w:rPr>
          <w:rFonts w:ascii="宋体" w:hAnsi="宋体" w:cs="宋体"/>
          <w:b/>
          <w:color w:val="auto"/>
          <w:kern w:val="0"/>
          <w:szCs w:val="21"/>
        </w:rPr>
      </w:pPr>
    </w:p>
    <w:p w14:paraId="3FCF1C3D">
      <w:pPr>
        <w:pStyle w:val="3"/>
        <w:rPr>
          <w:rFonts w:ascii="宋体" w:hAnsi="宋体" w:eastAsia="宋体" w:cs="宋体"/>
          <w:bCs/>
          <w:color w:val="auto"/>
          <w:spacing w:val="0"/>
          <w:w w:val="100"/>
          <w:kern w:val="0"/>
          <w:sz w:val="21"/>
          <w:szCs w:val="21"/>
        </w:rPr>
      </w:pPr>
      <w:bookmarkStart w:id="48" w:name="_Toc29165"/>
      <w:bookmarkStart w:id="49" w:name="_Toc200513126"/>
      <w:bookmarkStart w:id="50" w:name="_Toc444155913"/>
      <w:bookmarkStart w:id="51" w:name="_Toc17305"/>
      <w:bookmarkStart w:id="52" w:name="_Toc26851"/>
      <w:r>
        <w:rPr>
          <w:rFonts w:hint="eastAsia" w:ascii="宋体" w:hAnsi="宋体" w:eastAsia="宋体" w:cs="宋体"/>
          <w:snapToGrid w:val="0"/>
          <w:color w:val="auto"/>
          <w:szCs w:val="22"/>
        </w:rPr>
        <w:br w:type="page"/>
      </w:r>
      <w:bookmarkStart w:id="53" w:name="_Toc11726"/>
      <w:bookmarkStart w:id="54" w:name="_Toc21570"/>
      <w:r>
        <w:rPr>
          <w:rFonts w:hint="eastAsia" w:ascii="宋体" w:hAnsi="宋体" w:eastAsia="宋体" w:cs="宋体"/>
          <w:bCs/>
          <w:color w:val="auto"/>
          <w:spacing w:val="0"/>
          <w:w w:val="100"/>
          <w:kern w:val="0"/>
          <w:sz w:val="21"/>
          <w:szCs w:val="21"/>
        </w:rPr>
        <w:t>1. 总则</w:t>
      </w:r>
      <w:bookmarkEnd w:id="48"/>
      <w:bookmarkEnd w:id="49"/>
      <w:bookmarkEnd w:id="50"/>
      <w:bookmarkEnd w:id="51"/>
      <w:bookmarkEnd w:id="52"/>
      <w:bookmarkEnd w:id="53"/>
      <w:bookmarkEnd w:id="54"/>
    </w:p>
    <w:p w14:paraId="48C35E41">
      <w:pPr>
        <w:pStyle w:val="4"/>
        <w:snapToGrid w:val="0"/>
        <w:spacing w:before="0" w:line="360" w:lineRule="auto"/>
        <w:rPr>
          <w:rFonts w:ascii="宋体" w:hAnsi="宋体" w:eastAsia="宋体" w:cs="宋体"/>
          <w:snapToGrid w:val="0"/>
          <w:color w:val="auto"/>
          <w:sz w:val="21"/>
          <w:szCs w:val="21"/>
        </w:rPr>
      </w:pPr>
      <w:bookmarkStart w:id="55" w:name="_Toc11776"/>
      <w:bookmarkStart w:id="56" w:name="_Toc200513127"/>
      <w:bookmarkStart w:id="57" w:name="_Toc444155914"/>
      <w:bookmarkStart w:id="58" w:name="_Toc25687"/>
      <w:bookmarkStart w:id="59" w:name="_Toc28398"/>
      <w:bookmarkStart w:id="60" w:name="_Toc19723"/>
      <w:r>
        <w:rPr>
          <w:rFonts w:hint="eastAsia" w:ascii="宋体" w:hAnsi="宋体" w:eastAsia="宋体" w:cs="宋体"/>
          <w:snapToGrid w:val="0"/>
          <w:color w:val="auto"/>
          <w:sz w:val="21"/>
          <w:szCs w:val="21"/>
        </w:rPr>
        <w:t>1.1 项目概况</w:t>
      </w:r>
      <w:bookmarkEnd w:id="55"/>
      <w:bookmarkEnd w:id="56"/>
      <w:bookmarkEnd w:id="57"/>
      <w:bookmarkEnd w:id="58"/>
      <w:bookmarkEnd w:id="59"/>
      <w:bookmarkEnd w:id="60"/>
    </w:p>
    <w:p w14:paraId="234E9A07">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1.1.1 本</w:t>
      </w:r>
      <w:r>
        <w:rPr>
          <w:rFonts w:hint="eastAsia" w:ascii="宋体" w:hAnsi="宋体" w:cs="宋体"/>
          <w:color w:val="auto"/>
          <w:kern w:val="0"/>
          <w:szCs w:val="21"/>
        </w:rPr>
        <w:t>比选</w:t>
      </w:r>
      <w:r>
        <w:rPr>
          <w:rFonts w:hint="eastAsia" w:ascii="宋体" w:hAnsi="宋体" w:cs="宋体"/>
          <w:snapToGrid w:val="0"/>
          <w:color w:val="auto"/>
          <w:kern w:val="0"/>
          <w:szCs w:val="21"/>
        </w:rPr>
        <w:t>项目已具备</w:t>
      </w:r>
      <w:r>
        <w:rPr>
          <w:rFonts w:hint="eastAsia" w:ascii="宋体" w:hAnsi="宋体" w:cs="宋体"/>
          <w:color w:val="auto"/>
          <w:kern w:val="0"/>
          <w:szCs w:val="21"/>
        </w:rPr>
        <w:t>比选</w:t>
      </w:r>
      <w:r>
        <w:rPr>
          <w:rFonts w:hint="eastAsia" w:ascii="宋体" w:hAnsi="宋体" w:cs="宋体"/>
          <w:snapToGrid w:val="0"/>
          <w:color w:val="auto"/>
          <w:kern w:val="0"/>
          <w:szCs w:val="21"/>
        </w:rPr>
        <w:t>条件，现对本项目进行</w:t>
      </w:r>
      <w:r>
        <w:rPr>
          <w:rFonts w:hint="eastAsia" w:ascii="宋体" w:hAnsi="宋体" w:cs="宋体"/>
          <w:color w:val="auto"/>
          <w:kern w:val="0"/>
          <w:szCs w:val="21"/>
        </w:rPr>
        <w:t>比选</w:t>
      </w:r>
      <w:r>
        <w:rPr>
          <w:rFonts w:hint="eastAsia" w:ascii="宋体" w:hAnsi="宋体" w:cs="宋体"/>
          <w:snapToGrid w:val="0"/>
          <w:color w:val="auto"/>
          <w:kern w:val="0"/>
          <w:szCs w:val="21"/>
        </w:rPr>
        <w:t>。</w:t>
      </w:r>
    </w:p>
    <w:p w14:paraId="6971C133">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1.1.2 本项目比选人：见竞选人须知前附表。</w:t>
      </w:r>
    </w:p>
    <w:p w14:paraId="4DB3C08D">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1.1.3 本项目</w:t>
      </w:r>
      <w:r>
        <w:rPr>
          <w:rFonts w:hint="eastAsia" w:ascii="宋体" w:hAnsi="宋体" w:cs="宋体"/>
          <w:color w:val="auto"/>
          <w:kern w:val="0"/>
          <w:szCs w:val="21"/>
        </w:rPr>
        <w:t>比选</w:t>
      </w:r>
      <w:r>
        <w:rPr>
          <w:rFonts w:hint="eastAsia" w:ascii="宋体" w:hAnsi="宋体" w:cs="宋体"/>
          <w:snapToGrid w:val="0"/>
          <w:color w:val="auto"/>
          <w:kern w:val="0"/>
          <w:szCs w:val="21"/>
        </w:rPr>
        <w:t>代理机构：见竞选人须知前附表。</w:t>
      </w:r>
    </w:p>
    <w:p w14:paraId="573F3D0F">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1.1.4 本项目名称：见竞选人须知前附表。</w:t>
      </w:r>
    </w:p>
    <w:p w14:paraId="1157B875">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bookmarkStart w:id="61" w:name="_Toc18578"/>
      <w:bookmarkStart w:id="62" w:name="_Toc22935"/>
      <w:bookmarkStart w:id="63" w:name="_Toc31711"/>
      <w:r>
        <w:rPr>
          <w:rFonts w:hint="eastAsia" w:ascii="宋体" w:hAnsi="宋体" w:cs="宋体"/>
          <w:snapToGrid w:val="0"/>
          <w:color w:val="auto"/>
          <w:kern w:val="0"/>
          <w:szCs w:val="21"/>
        </w:rPr>
        <w:t>1.1.5 本项目</w:t>
      </w:r>
      <w:r>
        <w:rPr>
          <w:rFonts w:hint="eastAsia" w:ascii="宋体" w:hAnsi="宋体" w:cs="宋体"/>
          <w:snapToGrid w:val="0"/>
          <w:color w:val="auto"/>
          <w:kern w:val="0"/>
          <w:szCs w:val="21"/>
          <w:lang w:val="en-US" w:eastAsia="zh-CN"/>
        </w:rPr>
        <w:t>建设</w:t>
      </w:r>
      <w:r>
        <w:rPr>
          <w:rFonts w:hint="eastAsia" w:ascii="宋体" w:hAnsi="宋体" w:cs="宋体"/>
          <w:snapToGrid w:val="0"/>
          <w:color w:val="auto"/>
          <w:kern w:val="0"/>
          <w:szCs w:val="21"/>
        </w:rPr>
        <w:t>地点：见竞选人须知前附表。</w:t>
      </w:r>
      <w:bookmarkEnd w:id="61"/>
      <w:bookmarkEnd w:id="62"/>
      <w:bookmarkEnd w:id="63"/>
    </w:p>
    <w:p w14:paraId="1886EC1B">
      <w:pPr>
        <w:autoSpaceDE w:val="0"/>
        <w:autoSpaceDN w:val="0"/>
        <w:adjustRightInd w:val="0"/>
        <w:snapToGrid w:val="0"/>
        <w:spacing w:line="360" w:lineRule="auto"/>
        <w:ind w:firstLine="420" w:firstLineChars="200"/>
        <w:jc w:val="left"/>
        <w:rPr>
          <w:rFonts w:ascii="宋体" w:hAnsi="宋体" w:cs="宋体"/>
          <w:color w:val="auto"/>
        </w:rPr>
      </w:pPr>
      <w:r>
        <w:rPr>
          <w:rFonts w:hint="eastAsia" w:ascii="宋体" w:hAnsi="宋体" w:cs="宋体"/>
          <w:snapToGrid w:val="0"/>
          <w:color w:val="auto"/>
          <w:kern w:val="0"/>
          <w:szCs w:val="21"/>
        </w:rPr>
        <w:t>1.1.6 本项目项目概况：见竞选人须知前附表。</w:t>
      </w:r>
    </w:p>
    <w:p w14:paraId="028BD0CD">
      <w:pPr>
        <w:pStyle w:val="4"/>
        <w:snapToGrid w:val="0"/>
        <w:spacing w:before="0" w:line="360" w:lineRule="auto"/>
        <w:rPr>
          <w:rFonts w:ascii="宋体" w:hAnsi="宋体" w:eastAsia="宋体" w:cs="宋体"/>
          <w:snapToGrid w:val="0"/>
          <w:color w:val="auto"/>
          <w:sz w:val="21"/>
          <w:szCs w:val="21"/>
        </w:rPr>
      </w:pPr>
      <w:bookmarkStart w:id="64" w:name="_Toc444155915"/>
      <w:bookmarkStart w:id="65" w:name="_Toc6411"/>
      <w:bookmarkStart w:id="66" w:name="_Toc31982"/>
      <w:bookmarkStart w:id="67" w:name="_Toc21808"/>
      <w:bookmarkStart w:id="68" w:name="_Toc200513128"/>
      <w:bookmarkStart w:id="69" w:name="_Toc31530"/>
      <w:r>
        <w:rPr>
          <w:rFonts w:hint="eastAsia" w:ascii="宋体" w:hAnsi="宋体" w:eastAsia="宋体" w:cs="宋体"/>
          <w:snapToGrid w:val="0"/>
          <w:color w:val="auto"/>
          <w:sz w:val="21"/>
          <w:szCs w:val="21"/>
        </w:rPr>
        <w:t>1.2 资金来源和落实情况</w:t>
      </w:r>
      <w:bookmarkEnd w:id="64"/>
      <w:bookmarkEnd w:id="65"/>
      <w:bookmarkEnd w:id="66"/>
      <w:bookmarkEnd w:id="67"/>
      <w:bookmarkEnd w:id="68"/>
      <w:bookmarkEnd w:id="69"/>
    </w:p>
    <w:p w14:paraId="0BB8F3E3">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1.2.1 本项目的资金来源：见竞选人须知前附表。</w:t>
      </w:r>
    </w:p>
    <w:p w14:paraId="22146B03">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1.2.2 本项目的出资比例：见竞选人须知前附表。</w:t>
      </w:r>
    </w:p>
    <w:p w14:paraId="2CA98685">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1.2.3 本项目的资金落实情况：见竞选人须知前附表。</w:t>
      </w:r>
    </w:p>
    <w:p w14:paraId="6D1CA0A1">
      <w:pPr>
        <w:pStyle w:val="4"/>
        <w:snapToGrid w:val="0"/>
        <w:spacing w:before="0" w:line="360" w:lineRule="auto"/>
        <w:rPr>
          <w:rFonts w:ascii="宋体" w:hAnsi="宋体" w:eastAsia="宋体" w:cs="宋体"/>
          <w:snapToGrid w:val="0"/>
          <w:color w:val="auto"/>
          <w:sz w:val="21"/>
          <w:szCs w:val="21"/>
        </w:rPr>
      </w:pPr>
      <w:bookmarkStart w:id="70" w:name="_Toc4115"/>
      <w:bookmarkStart w:id="71" w:name="_Toc7144"/>
      <w:bookmarkStart w:id="72" w:name="_Toc492"/>
      <w:bookmarkStart w:id="73" w:name="_Toc444155916"/>
      <w:bookmarkStart w:id="74" w:name="_Toc20588"/>
      <w:bookmarkStart w:id="75" w:name="_Toc200513129"/>
      <w:r>
        <w:rPr>
          <w:rFonts w:hint="eastAsia" w:ascii="宋体" w:hAnsi="宋体" w:eastAsia="宋体" w:cs="宋体"/>
          <w:snapToGrid w:val="0"/>
          <w:color w:val="auto"/>
          <w:sz w:val="21"/>
          <w:szCs w:val="21"/>
        </w:rPr>
        <w:t>1.3 比选范围、</w:t>
      </w:r>
      <w:r>
        <w:rPr>
          <w:rFonts w:hint="eastAsia" w:ascii="宋体" w:hAnsi="宋体" w:eastAsia="宋体" w:cs="宋体"/>
          <w:snapToGrid w:val="0"/>
          <w:color w:val="auto"/>
          <w:sz w:val="21"/>
          <w:szCs w:val="21"/>
          <w:lang w:val="en-US" w:eastAsia="zh-CN"/>
        </w:rPr>
        <w:t>工期</w:t>
      </w:r>
      <w:r>
        <w:rPr>
          <w:rFonts w:hint="eastAsia" w:ascii="宋体" w:hAnsi="宋体" w:eastAsia="宋体" w:cs="宋体"/>
          <w:snapToGrid w:val="0"/>
          <w:color w:val="auto"/>
          <w:sz w:val="21"/>
          <w:szCs w:val="21"/>
        </w:rPr>
        <w:t>和质量要求</w:t>
      </w:r>
      <w:bookmarkEnd w:id="70"/>
      <w:bookmarkEnd w:id="71"/>
      <w:bookmarkEnd w:id="72"/>
      <w:bookmarkEnd w:id="73"/>
      <w:bookmarkEnd w:id="74"/>
      <w:bookmarkEnd w:id="75"/>
    </w:p>
    <w:p w14:paraId="1205F10F">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1.3.1 本次</w:t>
      </w:r>
      <w:r>
        <w:rPr>
          <w:rFonts w:hint="eastAsia" w:ascii="宋体" w:hAnsi="宋体" w:cs="宋体"/>
          <w:color w:val="auto"/>
          <w:kern w:val="0"/>
          <w:szCs w:val="21"/>
        </w:rPr>
        <w:t>比选</w:t>
      </w:r>
      <w:r>
        <w:rPr>
          <w:rFonts w:hint="eastAsia" w:ascii="宋体" w:hAnsi="宋体" w:cs="宋体"/>
          <w:snapToGrid w:val="0"/>
          <w:color w:val="auto"/>
          <w:kern w:val="0"/>
          <w:szCs w:val="21"/>
        </w:rPr>
        <w:t>范围：见竞选人须知前附表。</w:t>
      </w:r>
    </w:p>
    <w:p w14:paraId="78207BBD">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1.3.2 本项目的</w:t>
      </w:r>
      <w:r>
        <w:rPr>
          <w:rFonts w:hint="eastAsia" w:ascii="宋体" w:hAnsi="宋体" w:cs="宋体"/>
          <w:snapToGrid w:val="0"/>
          <w:color w:val="auto"/>
          <w:kern w:val="0"/>
          <w:szCs w:val="21"/>
          <w:lang w:val="en-US" w:eastAsia="zh-CN"/>
        </w:rPr>
        <w:t>工期</w:t>
      </w:r>
      <w:r>
        <w:rPr>
          <w:rFonts w:hint="eastAsia" w:ascii="宋体" w:hAnsi="宋体" w:cs="宋体"/>
          <w:snapToGrid w:val="0"/>
          <w:color w:val="auto"/>
          <w:kern w:val="0"/>
          <w:szCs w:val="21"/>
        </w:rPr>
        <w:t>：见竞选人须知前附表。</w:t>
      </w:r>
    </w:p>
    <w:p w14:paraId="43D8A31C">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1.3.3</w:t>
      </w:r>
      <w:r>
        <w:rPr>
          <w:rFonts w:hint="eastAsia" w:ascii="宋体" w:hAnsi="宋体" w:cs="宋体"/>
          <w:snapToGrid w:val="0"/>
          <w:color w:val="auto"/>
          <w:kern w:val="0"/>
          <w:szCs w:val="21"/>
          <w:lang w:val="en-US" w:eastAsia="zh-CN"/>
        </w:rPr>
        <w:t xml:space="preserve"> </w:t>
      </w:r>
      <w:r>
        <w:rPr>
          <w:rFonts w:hint="eastAsia" w:ascii="宋体" w:hAnsi="宋体" w:cs="宋体"/>
          <w:snapToGrid w:val="0"/>
          <w:color w:val="auto"/>
          <w:kern w:val="0"/>
          <w:szCs w:val="21"/>
        </w:rPr>
        <w:t>本项目的质量要求：见竞选人须知前附表。</w:t>
      </w:r>
    </w:p>
    <w:p w14:paraId="51B64A02">
      <w:pPr>
        <w:pStyle w:val="4"/>
        <w:snapToGrid w:val="0"/>
        <w:spacing w:before="0" w:line="360" w:lineRule="auto"/>
        <w:rPr>
          <w:rFonts w:ascii="宋体" w:hAnsi="宋体" w:eastAsia="宋体" w:cs="宋体"/>
          <w:snapToGrid w:val="0"/>
          <w:color w:val="auto"/>
          <w:sz w:val="21"/>
          <w:szCs w:val="21"/>
        </w:rPr>
      </w:pPr>
      <w:bookmarkStart w:id="76" w:name="_Toc200513131"/>
      <w:bookmarkStart w:id="77" w:name="_Toc18526"/>
      <w:bookmarkStart w:id="78" w:name="_Toc19241"/>
      <w:bookmarkStart w:id="79" w:name="_Toc28083"/>
      <w:bookmarkStart w:id="80" w:name="_Toc20820"/>
      <w:bookmarkStart w:id="81" w:name="_Toc444155917"/>
      <w:r>
        <w:rPr>
          <w:rFonts w:hint="eastAsia" w:ascii="宋体" w:hAnsi="宋体" w:eastAsia="宋体" w:cs="宋体"/>
          <w:snapToGrid w:val="0"/>
          <w:color w:val="auto"/>
          <w:sz w:val="21"/>
          <w:szCs w:val="21"/>
        </w:rPr>
        <w:t>1.4 竞选人资格要求</w:t>
      </w:r>
      <w:bookmarkEnd w:id="76"/>
      <w:bookmarkEnd w:id="77"/>
      <w:bookmarkEnd w:id="78"/>
      <w:bookmarkEnd w:id="79"/>
      <w:bookmarkEnd w:id="80"/>
      <w:bookmarkEnd w:id="81"/>
    </w:p>
    <w:p w14:paraId="13A1BBFD">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1.4.1 竞选人应具的资质条件、能力和信誉。</w:t>
      </w:r>
    </w:p>
    <w:p w14:paraId="3A2AB6B3">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见竞选人须知前附表</w:t>
      </w:r>
      <w:r>
        <w:rPr>
          <w:rFonts w:hint="eastAsia" w:ascii="宋体" w:hAnsi="宋体" w:cs="宋体"/>
          <w:snapToGrid w:val="0"/>
          <w:color w:val="auto"/>
          <w:kern w:val="0"/>
          <w:szCs w:val="21"/>
        </w:rPr>
        <w:t>。</w:t>
      </w:r>
    </w:p>
    <w:p w14:paraId="66418B31">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1.4.2 本项目不接受联合体参加竞选活动。</w:t>
      </w:r>
    </w:p>
    <w:p w14:paraId="77715A60">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1.4.3 竞选人不得存在下列情形之一：</w:t>
      </w:r>
    </w:p>
    <w:p w14:paraId="6ECD9DD9">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（1）与比选人存在利害关系可能影响</w:t>
      </w:r>
      <w:r>
        <w:rPr>
          <w:rFonts w:hint="eastAsia" w:ascii="宋体" w:hAnsi="宋体" w:cs="宋体"/>
          <w:color w:val="auto"/>
          <w:kern w:val="0"/>
          <w:szCs w:val="21"/>
        </w:rPr>
        <w:t>比选</w:t>
      </w:r>
      <w:r>
        <w:rPr>
          <w:rFonts w:hint="eastAsia" w:ascii="宋体" w:hAnsi="宋体" w:cs="宋体"/>
          <w:color w:val="auto"/>
          <w:szCs w:val="21"/>
        </w:rPr>
        <w:t>公正性的法人、其他组织或者个人；</w:t>
      </w:r>
    </w:p>
    <w:p w14:paraId="7C947CD6">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）为本标段提供</w:t>
      </w:r>
      <w:r>
        <w:rPr>
          <w:rFonts w:hint="eastAsia" w:ascii="宋体" w:hAnsi="宋体" w:cs="宋体"/>
          <w:color w:val="auto"/>
          <w:kern w:val="0"/>
          <w:szCs w:val="21"/>
        </w:rPr>
        <w:t>比选</w:t>
      </w:r>
      <w:r>
        <w:rPr>
          <w:rFonts w:hint="eastAsia" w:ascii="宋体" w:hAnsi="宋体" w:cs="宋体"/>
          <w:color w:val="auto"/>
          <w:szCs w:val="21"/>
        </w:rPr>
        <w:t>代理服务的；</w:t>
      </w:r>
    </w:p>
    <w:p w14:paraId="18CA5CE5">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）与本标段的</w:t>
      </w:r>
      <w:r>
        <w:rPr>
          <w:rFonts w:hint="eastAsia" w:ascii="宋体" w:hAnsi="宋体" w:cs="宋体"/>
          <w:color w:val="auto"/>
          <w:kern w:val="0"/>
          <w:szCs w:val="21"/>
        </w:rPr>
        <w:t>比选</w:t>
      </w:r>
      <w:r>
        <w:rPr>
          <w:rFonts w:hint="eastAsia" w:ascii="宋体" w:hAnsi="宋体" w:cs="宋体"/>
          <w:color w:val="auto"/>
          <w:szCs w:val="21"/>
        </w:rPr>
        <w:t>代理机构同为一个法定代表人的；</w:t>
      </w:r>
    </w:p>
    <w:p w14:paraId="73EA2F61">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）与本标段的</w:t>
      </w:r>
      <w:r>
        <w:rPr>
          <w:rFonts w:hint="eastAsia" w:ascii="宋体" w:hAnsi="宋体" w:cs="宋体"/>
          <w:color w:val="auto"/>
          <w:kern w:val="0"/>
          <w:szCs w:val="21"/>
        </w:rPr>
        <w:t>比选</w:t>
      </w:r>
      <w:r>
        <w:rPr>
          <w:rFonts w:hint="eastAsia" w:ascii="宋体" w:hAnsi="宋体" w:cs="宋体"/>
          <w:color w:val="auto"/>
          <w:szCs w:val="21"/>
        </w:rPr>
        <w:t>代理机构相互控股或参股的；</w:t>
      </w:r>
    </w:p>
    <w:p w14:paraId="5DEB9771">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）与本标段的</w:t>
      </w:r>
      <w:r>
        <w:rPr>
          <w:rFonts w:hint="eastAsia" w:ascii="宋体" w:hAnsi="宋体" w:cs="宋体"/>
          <w:color w:val="auto"/>
          <w:kern w:val="0"/>
          <w:szCs w:val="21"/>
        </w:rPr>
        <w:t>比选</w:t>
      </w:r>
      <w:r>
        <w:rPr>
          <w:rFonts w:hint="eastAsia" w:ascii="宋体" w:hAnsi="宋体" w:cs="宋体"/>
          <w:color w:val="auto"/>
          <w:szCs w:val="21"/>
        </w:rPr>
        <w:t>代理机构相互任职或工作的；</w:t>
      </w:r>
    </w:p>
    <w:p w14:paraId="7A1E1688">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）被责令停业的；</w:t>
      </w:r>
    </w:p>
    <w:p w14:paraId="3CCDF41C">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rPr>
        <w:t>）被暂停或取消竞选资格的；</w:t>
      </w:r>
    </w:p>
    <w:p w14:paraId="5A6383CA">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）财产被接管或冻结的；</w:t>
      </w:r>
    </w:p>
    <w:p w14:paraId="1EEF1C5C">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）单位负责人为同一人或者存在控股、管理关系的不同单位，不得在同一标段中</w:t>
      </w:r>
      <w:bookmarkStart w:id="82" w:name="OLE_LINK120"/>
      <w:bookmarkStart w:id="83" w:name="OLE_LINK119"/>
      <w:bookmarkStart w:id="84" w:name="OLE_LINK118"/>
      <w:r>
        <w:rPr>
          <w:rFonts w:hint="eastAsia" w:ascii="宋体" w:hAnsi="宋体" w:cs="宋体"/>
          <w:color w:val="auto"/>
          <w:szCs w:val="21"/>
        </w:rPr>
        <w:t>同时参加比选活动</w:t>
      </w:r>
      <w:bookmarkEnd w:id="82"/>
      <w:bookmarkEnd w:id="83"/>
      <w:bookmarkEnd w:id="84"/>
      <w:r>
        <w:rPr>
          <w:rFonts w:hint="eastAsia" w:ascii="宋体" w:hAnsi="宋体" w:cs="宋体"/>
          <w:color w:val="auto"/>
          <w:szCs w:val="21"/>
        </w:rPr>
        <w:t>；</w:t>
      </w:r>
    </w:p>
    <w:p w14:paraId="63EF62F4">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）两个以上竞选人的法定代表人为同一人，母公司、全资子公司及其控股公司，不得在同一标段中同时参加比选活动。</w:t>
      </w:r>
    </w:p>
    <w:p w14:paraId="560DA554">
      <w:pPr>
        <w:pStyle w:val="4"/>
        <w:snapToGrid w:val="0"/>
        <w:spacing w:before="0" w:line="360" w:lineRule="auto"/>
        <w:rPr>
          <w:rFonts w:ascii="宋体" w:hAnsi="宋体" w:eastAsia="宋体" w:cs="宋体"/>
          <w:snapToGrid w:val="0"/>
          <w:color w:val="auto"/>
          <w:sz w:val="21"/>
          <w:szCs w:val="21"/>
        </w:rPr>
      </w:pPr>
      <w:bookmarkStart w:id="85" w:name="_Toc200513132"/>
      <w:bookmarkStart w:id="86" w:name="_Toc444155918"/>
      <w:bookmarkStart w:id="87" w:name="_Toc27398"/>
      <w:bookmarkStart w:id="88" w:name="_Toc25414"/>
      <w:bookmarkStart w:id="89" w:name="_Toc21028"/>
      <w:bookmarkStart w:id="90" w:name="_Toc13362"/>
      <w:r>
        <w:rPr>
          <w:rFonts w:hint="eastAsia" w:ascii="宋体" w:hAnsi="宋体" w:eastAsia="宋体" w:cs="宋体"/>
          <w:snapToGrid w:val="0"/>
          <w:color w:val="auto"/>
          <w:sz w:val="21"/>
          <w:szCs w:val="21"/>
        </w:rPr>
        <w:t>1.5 费用承担</w:t>
      </w:r>
      <w:bookmarkEnd w:id="85"/>
      <w:bookmarkEnd w:id="86"/>
      <w:bookmarkEnd w:id="87"/>
      <w:bookmarkEnd w:id="88"/>
      <w:bookmarkEnd w:id="89"/>
      <w:bookmarkEnd w:id="90"/>
    </w:p>
    <w:p w14:paraId="387D5569">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竞选人准备和参加比选活动发生的费用自理。</w:t>
      </w:r>
    </w:p>
    <w:p w14:paraId="71153FFD">
      <w:pPr>
        <w:pStyle w:val="4"/>
        <w:snapToGrid w:val="0"/>
        <w:spacing w:before="0" w:line="360" w:lineRule="auto"/>
        <w:rPr>
          <w:rFonts w:ascii="宋体" w:hAnsi="宋体" w:eastAsia="宋体" w:cs="宋体"/>
          <w:snapToGrid w:val="0"/>
          <w:color w:val="auto"/>
          <w:sz w:val="21"/>
          <w:szCs w:val="21"/>
        </w:rPr>
      </w:pPr>
      <w:bookmarkStart w:id="91" w:name="_Toc200513133"/>
      <w:bookmarkStart w:id="92" w:name="_Toc19783"/>
      <w:bookmarkStart w:id="93" w:name="_Toc444155919"/>
      <w:bookmarkStart w:id="94" w:name="_Toc30130"/>
      <w:bookmarkStart w:id="95" w:name="_Toc2559"/>
      <w:bookmarkStart w:id="96" w:name="_Toc2729"/>
      <w:r>
        <w:rPr>
          <w:rFonts w:hint="eastAsia" w:ascii="宋体" w:hAnsi="宋体" w:eastAsia="宋体" w:cs="宋体"/>
          <w:snapToGrid w:val="0"/>
          <w:color w:val="auto"/>
          <w:sz w:val="21"/>
          <w:szCs w:val="21"/>
        </w:rPr>
        <w:t>1.6 保密</w:t>
      </w:r>
      <w:bookmarkEnd w:id="91"/>
      <w:bookmarkEnd w:id="92"/>
      <w:bookmarkEnd w:id="93"/>
      <w:bookmarkEnd w:id="94"/>
      <w:bookmarkEnd w:id="95"/>
      <w:bookmarkEnd w:id="96"/>
    </w:p>
    <w:p w14:paraId="37168221">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参与</w:t>
      </w:r>
      <w:r>
        <w:rPr>
          <w:rFonts w:hint="eastAsia" w:ascii="宋体" w:hAnsi="宋体" w:cs="宋体"/>
          <w:snapToGrid w:val="0"/>
          <w:color w:val="auto"/>
          <w:kern w:val="0"/>
          <w:szCs w:val="21"/>
          <w:lang w:val="en-US" w:eastAsia="zh-CN"/>
        </w:rPr>
        <w:t>竞</w:t>
      </w:r>
      <w:r>
        <w:rPr>
          <w:rFonts w:hint="eastAsia" w:ascii="宋体" w:hAnsi="宋体" w:cs="宋体"/>
          <w:snapToGrid w:val="0"/>
          <w:color w:val="auto"/>
          <w:kern w:val="0"/>
          <w:szCs w:val="21"/>
        </w:rPr>
        <w:t>选活动的各方应对竞争性比选文件和竞选文件中的商业和技术等秘密保密，违者应对由此造成的后果承担法律责任。</w:t>
      </w:r>
    </w:p>
    <w:p w14:paraId="16DE27C6">
      <w:pPr>
        <w:pStyle w:val="4"/>
        <w:snapToGrid w:val="0"/>
        <w:spacing w:before="0" w:line="360" w:lineRule="auto"/>
        <w:rPr>
          <w:rFonts w:ascii="宋体" w:hAnsi="宋体" w:eastAsia="宋体" w:cs="宋体"/>
          <w:snapToGrid w:val="0"/>
          <w:color w:val="auto"/>
          <w:sz w:val="21"/>
          <w:szCs w:val="21"/>
        </w:rPr>
      </w:pPr>
      <w:bookmarkStart w:id="97" w:name="_Toc28995"/>
      <w:bookmarkStart w:id="98" w:name="_Toc26264"/>
      <w:bookmarkStart w:id="99" w:name="_Toc200513134"/>
      <w:bookmarkStart w:id="100" w:name="_Toc444155920"/>
      <w:bookmarkStart w:id="101" w:name="_Toc843"/>
      <w:bookmarkStart w:id="102" w:name="_Toc18267"/>
      <w:r>
        <w:rPr>
          <w:rFonts w:hint="eastAsia" w:ascii="宋体" w:hAnsi="宋体" w:eastAsia="宋体" w:cs="宋体"/>
          <w:snapToGrid w:val="0"/>
          <w:color w:val="auto"/>
          <w:sz w:val="21"/>
          <w:szCs w:val="21"/>
        </w:rPr>
        <w:t>1.7 语言文字</w:t>
      </w:r>
      <w:bookmarkEnd w:id="97"/>
      <w:bookmarkEnd w:id="98"/>
      <w:bookmarkEnd w:id="99"/>
      <w:bookmarkEnd w:id="100"/>
      <w:bookmarkEnd w:id="101"/>
      <w:bookmarkEnd w:id="102"/>
    </w:p>
    <w:p w14:paraId="09EBD18C">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除专用术语外，与</w:t>
      </w:r>
      <w:r>
        <w:rPr>
          <w:rFonts w:hint="eastAsia" w:ascii="宋体" w:hAnsi="宋体" w:cs="宋体"/>
          <w:color w:val="auto"/>
          <w:kern w:val="0"/>
          <w:szCs w:val="21"/>
        </w:rPr>
        <w:t>比选</w:t>
      </w:r>
      <w:r>
        <w:rPr>
          <w:rFonts w:hint="eastAsia" w:ascii="宋体" w:hAnsi="宋体" w:cs="宋体"/>
          <w:snapToGrid w:val="0"/>
          <w:color w:val="auto"/>
          <w:kern w:val="0"/>
          <w:szCs w:val="21"/>
        </w:rPr>
        <w:t>竞选有关的语言均使用中文。必要时专用术语应附有中文注释。</w:t>
      </w:r>
    </w:p>
    <w:p w14:paraId="124450C6">
      <w:pPr>
        <w:pStyle w:val="4"/>
        <w:snapToGrid w:val="0"/>
        <w:spacing w:before="0" w:line="360" w:lineRule="auto"/>
        <w:rPr>
          <w:rFonts w:ascii="宋体" w:hAnsi="宋体" w:eastAsia="宋体" w:cs="宋体"/>
          <w:snapToGrid w:val="0"/>
          <w:color w:val="auto"/>
          <w:sz w:val="21"/>
          <w:szCs w:val="21"/>
        </w:rPr>
      </w:pPr>
      <w:bookmarkStart w:id="103" w:name="_Toc200513135"/>
      <w:bookmarkStart w:id="104" w:name="_Toc20631"/>
      <w:bookmarkStart w:id="105" w:name="_Toc22681"/>
      <w:bookmarkStart w:id="106" w:name="_Toc444155921"/>
      <w:bookmarkStart w:id="107" w:name="_Toc2534"/>
      <w:bookmarkStart w:id="108" w:name="_Toc17585"/>
      <w:r>
        <w:rPr>
          <w:rFonts w:hint="eastAsia" w:ascii="宋体" w:hAnsi="宋体" w:eastAsia="宋体" w:cs="宋体"/>
          <w:snapToGrid w:val="0"/>
          <w:color w:val="auto"/>
          <w:sz w:val="21"/>
          <w:szCs w:val="21"/>
        </w:rPr>
        <w:t>1.8 计量单位</w:t>
      </w:r>
      <w:bookmarkEnd w:id="103"/>
      <w:r>
        <w:rPr>
          <w:rFonts w:hint="eastAsia" w:ascii="宋体" w:hAnsi="宋体" w:eastAsia="宋体" w:cs="宋体"/>
          <w:snapToGrid w:val="0"/>
          <w:color w:val="auto"/>
          <w:sz w:val="21"/>
          <w:szCs w:val="21"/>
        </w:rPr>
        <w:t>及比选币种</w:t>
      </w:r>
      <w:bookmarkEnd w:id="104"/>
      <w:bookmarkEnd w:id="105"/>
      <w:bookmarkEnd w:id="106"/>
      <w:bookmarkEnd w:id="107"/>
      <w:bookmarkEnd w:id="108"/>
    </w:p>
    <w:p w14:paraId="79161BCF">
      <w:pPr>
        <w:autoSpaceDE w:val="0"/>
        <w:autoSpaceDN w:val="0"/>
        <w:adjustRightInd w:val="0"/>
        <w:snapToGrid w:val="0"/>
        <w:spacing w:line="360" w:lineRule="auto"/>
        <w:ind w:firstLine="424" w:firstLineChars="202"/>
        <w:jc w:val="left"/>
        <w:rPr>
          <w:rFonts w:ascii="宋体" w:hAnsi="宋体" w:cs="宋体"/>
          <w:snapToGrid w:val="0"/>
          <w:color w:val="auto"/>
          <w:kern w:val="0"/>
          <w:szCs w:val="21"/>
        </w:rPr>
      </w:pPr>
      <w:r>
        <w:rPr>
          <w:rFonts w:hint="eastAsia" w:ascii="宋体" w:hAnsi="宋体" w:cs="宋体"/>
          <w:snapToGrid w:val="0"/>
          <w:color w:val="auto"/>
          <w:kern w:val="0"/>
          <w:szCs w:val="21"/>
        </w:rPr>
        <w:t>1.8.1 所有计量均采用中华人民共和国法定计量单位。</w:t>
      </w:r>
    </w:p>
    <w:p w14:paraId="39478C3B">
      <w:pPr>
        <w:autoSpaceDE w:val="0"/>
        <w:autoSpaceDN w:val="0"/>
        <w:adjustRightInd w:val="0"/>
        <w:snapToGrid w:val="0"/>
        <w:spacing w:line="360" w:lineRule="auto"/>
        <w:ind w:firstLine="424" w:firstLineChars="202"/>
        <w:jc w:val="left"/>
        <w:rPr>
          <w:rFonts w:ascii="宋体" w:hAnsi="宋体" w:cs="宋体"/>
          <w:snapToGrid w:val="0"/>
          <w:color w:val="auto"/>
          <w:kern w:val="0"/>
          <w:szCs w:val="21"/>
        </w:rPr>
      </w:pPr>
      <w:r>
        <w:rPr>
          <w:rFonts w:hint="eastAsia" w:ascii="宋体" w:hAnsi="宋体" w:cs="宋体"/>
          <w:snapToGrid w:val="0"/>
          <w:color w:val="auto"/>
          <w:kern w:val="0"/>
          <w:szCs w:val="21"/>
        </w:rPr>
        <w:t>1.8.2 本项目一律采用人民币进行</w:t>
      </w:r>
      <w:r>
        <w:rPr>
          <w:rFonts w:hint="eastAsia" w:ascii="宋体" w:hAnsi="宋体" w:cs="宋体"/>
          <w:snapToGrid w:val="0"/>
          <w:color w:val="auto"/>
          <w:kern w:val="0"/>
          <w:szCs w:val="21"/>
          <w:lang w:val="en-US" w:eastAsia="zh-CN"/>
        </w:rPr>
        <w:t>结算</w:t>
      </w:r>
      <w:r>
        <w:rPr>
          <w:rFonts w:hint="eastAsia" w:ascii="宋体" w:hAnsi="宋体" w:cs="宋体"/>
          <w:snapToGrid w:val="0"/>
          <w:color w:val="auto"/>
          <w:kern w:val="0"/>
          <w:szCs w:val="21"/>
        </w:rPr>
        <w:t>。</w:t>
      </w:r>
    </w:p>
    <w:p w14:paraId="64736C57">
      <w:pPr>
        <w:pStyle w:val="4"/>
        <w:snapToGrid w:val="0"/>
        <w:spacing w:before="0" w:line="360" w:lineRule="auto"/>
        <w:rPr>
          <w:rFonts w:ascii="宋体" w:hAnsi="宋体" w:eastAsia="宋体" w:cs="宋体"/>
          <w:snapToGrid w:val="0"/>
          <w:color w:val="auto"/>
          <w:sz w:val="21"/>
          <w:szCs w:val="21"/>
        </w:rPr>
      </w:pPr>
      <w:bookmarkStart w:id="109" w:name="_Toc200513137"/>
      <w:bookmarkStart w:id="110" w:name="_Toc24355"/>
      <w:bookmarkStart w:id="111" w:name="_Toc444155923"/>
      <w:bookmarkStart w:id="112" w:name="_Toc6190"/>
      <w:bookmarkStart w:id="113" w:name="_Toc21201"/>
      <w:bookmarkStart w:id="114" w:name="_Toc31156"/>
      <w:r>
        <w:rPr>
          <w:rFonts w:hint="eastAsia" w:ascii="宋体" w:hAnsi="宋体" w:eastAsia="宋体" w:cs="宋体"/>
          <w:snapToGrid w:val="0"/>
          <w:color w:val="auto"/>
          <w:sz w:val="21"/>
          <w:szCs w:val="21"/>
        </w:rPr>
        <w:t>1.9 比选预备会</w:t>
      </w:r>
      <w:bookmarkEnd w:id="109"/>
      <w:bookmarkEnd w:id="110"/>
      <w:bookmarkEnd w:id="111"/>
      <w:bookmarkEnd w:id="112"/>
      <w:bookmarkEnd w:id="113"/>
      <w:bookmarkEnd w:id="114"/>
    </w:p>
    <w:p w14:paraId="3D72BF6A">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115" w:name="_Toc200513138"/>
      <w:r>
        <w:rPr>
          <w:rFonts w:hint="eastAsia" w:ascii="宋体" w:hAnsi="宋体" w:cs="宋体"/>
          <w:snapToGrid w:val="0"/>
          <w:color w:val="auto"/>
          <w:kern w:val="0"/>
          <w:szCs w:val="21"/>
        </w:rPr>
        <w:t>见竞选人须知前附表。</w:t>
      </w:r>
    </w:p>
    <w:p w14:paraId="0EFFCEA4">
      <w:pPr>
        <w:pStyle w:val="4"/>
        <w:snapToGrid w:val="0"/>
        <w:spacing w:before="0" w:line="360" w:lineRule="auto"/>
        <w:rPr>
          <w:rFonts w:ascii="宋体" w:hAnsi="宋体" w:eastAsia="宋体" w:cs="宋体"/>
          <w:snapToGrid w:val="0"/>
          <w:color w:val="auto"/>
          <w:sz w:val="21"/>
          <w:szCs w:val="21"/>
        </w:rPr>
      </w:pPr>
      <w:bookmarkStart w:id="116" w:name="_Toc21965"/>
      <w:bookmarkStart w:id="117" w:name="_Toc29538"/>
      <w:bookmarkStart w:id="118" w:name="_Toc444155924"/>
      <w:bookmarkStart w:id="119" w:name="_Toc11435"/>
      <w:bookmarkStart w:id="120" w:name="_Toc28450"/>
      <w:r>
        <w:rPr>
          <w:rFonts w:hint="eastAsia" w:ascii="宋体" w:hAnsi="宋体" w:eastAsia="宋体" w:cs="宋体"/>
          <w:snapToGrid w:val="0"/>
          <w:color w:val="auto"/>
          <w:sz w:val="21"/>
          <w:szCs w:val="21"/>
        </w:rPr>
        <w:t>1.10 分包</w:t>
      </w:r>
      <w:bookmarkEnd w:id="115"/>
      <w:bookmarkEnd w:id="116"/>
      <w:bookmarkEnd w:id="117"/>
      <w:bookmarkEnd w:id="118"/>
      <w:bookmarkEnd w:id="119"/>
      <w:bookmarkEnd w:id="120"/>
    </w:p>
    <w:p w14:paraId="62392BC9">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121" w:name="_Toc19598"/>
      <w:bookmarkStart w:id="122" w:name="_Toc444155926"/>
      <w:bookmarkStart w:id="123" w:name="_Toc200513139"/>
      <w:r>
        <w:rPr>
          <w:rFonts w:hint="eastAsia" w:ascii="宋体" w:hAnsi="宋体" w:cs="宋体"/>
          <w:snapToGrid w:val="0"/>
          <w:color w:val="auto"/>
          <w:kern w:val="0"/>
          <w:szCs w:val="21"/>
        </w:rPr>
        <w:t>见竞选人须知前附表。</w:t>
      </w:r>
    </w:p>
    <w:p w14:paraId="06C4ADE3">
      <w:pPr>
        <w:pStyle w:val="4"/>
        <w:snapToGrid w:val="0"/>
        <w:spacing w:before="0" w:line="360" w:lineRule="auto"/>
        <w:rPr>
          <w:rFonts w:ascii="宋体" w:hAnsi="宋体" w:eastAsia="宋体" w:cs="宋体"/>
          <w:snapToGrid w:val="0"/>
          <w:color w:val="auto"/>
          <w:sz w:val="21"/>
          <w:szCs w:val="21"/>
        </w:rPr>
      </w:pPr>
      <w:bookmarkStart w:id="124" w:name="_Toc1932"/>
      <w:bookmarkStart w:id="125" w:name="_Toc28505"/>
      <w:bookmarkStart w:id="126" w:name="_Toc32641"/>
      <w:r>
        <w:rPr>
          <w:rFonts w:hint="eastAsia" w:ascii="宋体" w:hAnsi="宋体" w:eastAsia="宋体" w:cs="宋体"/>
          <w:snapToGrid w:val="0"/>
          <w:color w:val="auto"/>
          <w:sz w:val="21"/>
          <w:szCs w:val="21"/>
        </w:rPr>
        <w:t>1.1</w:t>
      </w:r>
      <w:r>
        <w:rPr>
          <w:rFonts w:hint="eastAsia" w:ascii="宋体" w:hAnsi="宋体" w:eastAsia="宋体" w:cs="宋体"/>
          <w:snapToGrid w:val="0"/>
          <w:color w:val="auto"/>
          <w:sz w:val="21"/>
          <w:szCs w:val="21"/>
          <w:lang w:val="en-US" w:eastAsia="zh-CN"/>
        </w:rPr>
        <w:t>1</w:t>
      </w:r>
      <w:r>
        <w:rPr>
          <w:rFonts w:hint="eastAsia" w:ascii="宋体" w:hAnsi="宋体" w:eastAsia="宋体" w:cs="宋体"/>
          <w:snapToGrid w:val="0"/>
          <w:color w:val="auto"/>
          <w:sz w:val="21"/>
          <w:szCs w:val="21"/>
        </w:rPr>
        <w:t xml:space="preserve"> 偏离</w:t>
      </w:r>
      <w:bookmarkEnd w:id="121"/>
      <w:bookmarkEnd w:id="122"/>
      <w:bookmarkEnd w:id="123"/>
      <w:bookmarkEnd w:id="124"/>
      <w:bookmarkEnd w:id="125"/>
      <w:bookmarkEnd w:id="126"/>
    </w:p>
    <w:p w14:paraId="4B37C2D4">
      <w:pPr>
        <w:autoSpaceDE w:val="0"/>
        <w:autoSpaceDN w:val="0"/>
        <w:adjustRightInd w:val="0"/>
        <w:snapToGrid w:val="0"/>
        <w:spacing w:line="360" w:lineRule="auto"/>
        <w:ind w:firstLine="426"/>
        <w:jc w:val="left"/>
        <w:rPr>
          <w:rFonts w:ascii="宋体" w:hAnsi="宋体" w:cs="宋体"/>
          <w:snapToGrid w:val="0"/>
          <w:color w:val="auto"/>
          <w:kern w:val="0"/>
          <w:szCs w:val="21"/>
        </w:rPr>
      </w:pPr>
      <w:bookmarkStart w:id="127" w:name="_Toc200513140"/>
      <w:r>
        <w:rPr>
          <w:rFonts w:hint="eastAsia" w:ascii="宋体" w:hAnsi="宋体" w:cs="宋体"/>
          <w:snapToGrid w:val="0"/>
          <w:color w:val="auto"/>
          <w:kern w:val="0"/>
          <w:szCs w:val="21"/>
        </w:rPr>
        <w:t>不允许负偏离。</w:t>
      </w:r>
    </w:p>
    <w:p w14:paraId="55489FD7">
      <w:pPr>
        <w:pStyle w:val="3"/>
        <w:keepNext/>
        <w:keepLines/>
        <w:autoSpaceDE/>
        <w:autoSpaceDN/>
        <w:jc w:val="both"/>
        <w:rPr>
          <w:rFonts w:ascii="宋体" w:hAnsi="宋体" w:eastAsia="宋体" w:cs="宋体"/>
          <w:bCs/>
          <w:color w:val="auto"/>
          <w:spacing w:val="0"/>
          <w:w w:val="100"/>
          <w:kern w:val="0"/>
          <w:sz w:val="21"/>
          <w:szCs w:val="21"/>
        </w:rPr>
      </w:pPr>
      <w:bookmarkStart w:id="128" w:name="_Toc16706"/>
      <w:bookmarkStart w:id="129" w:name="_Toc1562"/>
      <w:bookmarkStart w:id="130" w:name="_Toc444155927"/>
      <w:bookmarkStart w:id="131" w:name="_Toc17741"/>
      <w:bookmarkStart w:id="132" w:name="_Toc30237"/>
      <w:bookmarkStart w:id="133" w:name="_Toc22036"/>
      <w:r>
        <w:rPr>
          <w:rFonts w:hint="eastAsia" w:ascii="宋体" w:hAnsi="宋体" w:eastAsia="宋体" w:cs="宋体"/>
          <w:bCs/>
          <w:color w:val="auto"/>
          <w:spacing w:val="0"/>
          <w:w w:val="100"/>
          <w:kern w:val="0"/>
          <w:sz w:val="21"/>
          <w:szCs w:val="21"/>
        </w:rPr>
        <w:t xml:space="preserve">2. </w:t>
      </w:r>
      <w:bookmarkEnd w:id="127"/>
      <w:bookmarkEnd w:id="128"/>
      <w:bookmarkEnd w:id="129"/>
      <w:bookmarkEnd w:id="130"/>
      <w:bookmarkEnd w:id="131"/>
      <w:r>
        <w:rPr>
          <w:rFonts w:hint="eastAsia" w:ascii="宋体" w:hAnsi="宋体" w:eastAsia="宋体" w:cs="宋体"/>
          <w:bCs/>
          <w:color w:val="auto"/>
          <w:spacing w:val="0"/>
          <w:w w:val="100"/>
          <w:kern w:val="0"/>
          <w:sz w:val="21"/>
          <w:szCs w:val="21"/>
        </w:rPr>
        <w:t>竞争性比选文件</w:t>
      </w:r>
      <w:bookmarkEnd w:id="132"/>
      <w:bookmarkEnd w:id="133"/>
    </w:p>
    <w:p w14:paraId="11D1BCA0">
      <w:pPr>
        <w:pStyle w:val="4"/>
        <w:snapToGrid w:val="0"/>
        <w:spacing w:before="0" w:line="360" w:lineRule="auto"/>
        <w:rPr>
          <w:rFonts w:ascii="宋体" w:hAnsi="宋体" w:eastAsia="宋体" w:cs="宋体"/>
          <w:snapToGrid w:val="0"/>
          <w:color w:val="auto"/>
          <w:sz w:val="21"/>
          <w:szCs w:val="21"/>
        </w:rPr>
      </w:pPr>
      <w:bookmarkStart w:id="134" w:name="_Toc21518"/>
      <w:bookmarkStart w:id="135" w:name="_Toc5120"/>
      <w:bookmarkStart w:id="136" w:name="_Toc444155928"/>
      <w:bookmarkStart w:id="137" w:name="_Toc23724"/>
      <w:bookmarkStart w:id="138" w:name="_Toc200513141"/>
      <w:bookmarkStart w:id="139" w:name="_Toc30552"/>
      <w:r>
        <w:rPr>
          <w:rFonts w:hint="eastAsia" w:ascii="宋体" w:hAnsi="宋体" w:eastAsia="宋体" w:cs="宋体"/>
          <w:snapToGrid w:val="0"/>
          <w:color w:val="auto"/>
          <w:sz w:val="21"/>
          <w:szCs w:val="21"/>
        </w:rPr>
        <w:t>2.1 竞争性比选文件的组成</w:t>
      </w:r>
      <w:bookmarkEnd w:id="134"/>
      <w:bookmarkEnd w:id="135"/>
      <w:bookmarkEnd w:id="136"/>
      <w:bookmarkEnd w:id="137"/>
      <w:bookmarkEnd w:id="138"/>
      <w:bookmarkEnd w:id="139"/>
    </w:p>
    <w:p w14:paraId="1A22FCE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bookmarkStart w:id="140" w:name="OLE_LINK159"/>
      <w:bookmarkStart w:id="141" w:name="OLE_LINK131"/>
      <w:bookmarkStart w:id="142" w:name="OLE_LINK132"/>
      <w:bookmarkStart w:id="143" w:name="OLE_LINK130"/>
      <w:r>
        <w:rPr>
          <w:rFonts w:hint="eastAsia" w:ascii="宋体" w:hAnsi="宋体" w:cs="宋体"/>
          <w:snapToGrid w:val="0"/>
          <w:color w:val="auto"/>
          <w:kern w:val="0"/>
          <w:szCs w:val="21"/>
        </w:rPr>
        <w:t>本竞争性比选文件包括：</w:t>
      </w:r>
    </w:p>
    <w:p w14:paraId="6CCEE79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bookmarkStart w:id="144" w:name="OLE_LINK124"/>
      <w:bookmarkStart w:id="145" w:name="OLE_LINK128"/>
      <w:bookmarkStart w:id="146" w:name="OLE_LINK126"/>
      <w:bookmarkStart w:id="147" w:name="OLE_LINK122"/>
      <w:bookmarkStart w:id="148" w:name="OLE_LINK127"/>
      <w:bookmarkStart w:id="149" w:name="OLE_LINK121"/>
      <w:bookmarkStart w:id="150" w:name="OLE_LINK123"/>
      <w:bookmarkStart w:id="151" w:name="OLE_LINK125"/>
      <w:bookmarkStart w:id="152" w:name="OLE_LINK129"/>
      <w:r>
        <w:rPr>
          <w:rFonts w:hint="eastAsia" w:ascii="宋体" w:hAnsi="宋体" w:cs="宋体"/>
          <w:snapToGrid w:val="0"/>
          <w:color w:val="auto"/>
          <w:kern w:val="0"/>
          <w:szCs w:val="21"/>
        </w:rPr>
        <w:t>（1）</w:t>
      </w:r>
      <w:r>
        <w:rPr>
          <w:rFonts w:hint="eastAsia" w:ascii="宋体" w:hAnsi="宋体" w:cs="宋体"/>
          <w:color w:val="auto"/>
          <w:kern w:val="0"/>
          <w:szCs w:val="21"/>
        </w:rPr>
        <w:t>比选公告</w:t>
      </w:r>
      <w:r>
        <w:rPr>
          <w:rFonts w:hint="eastAsia" w:ascii="宋体" w:hAnsi="宋体" w:cs="宋体"/>
          <w:snapToGrid w:val="0"/>
          <w:color w:val="auto"/>
          <w:kern w:val="0"/>
          <w:szCs w:val="21"/>
        </w:rPr>
        <w:t>；</w:t>
      </w:r>
    </w:p>
    <w:p w14:paraId="45AEA81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（2）竞选人须知；</w:t>
      </w:r>
    </w:p>
    <w:p w14:paraId="109A64B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（3）评审办法；</w:t>
      </w:r>
    </w:p>
    <w:p w14:paraId="71D115E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（4）合同主要条款；</w:t>
      </w:r>
    </w:p>
    <w:p w14:paraId="63EEC00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宋体" w:hAnsi="宋体" w:eastAsia="宋体" w:cs="宋体"/>
          <w:snapToGrid w:val="0"/>
          <w:color w:val="auto"/>
          <w:kern w:val="0"/>
          <w:szCs w:val="21"/>
          <w:lang w:val="en-US" w:eastAsia="zh-CN"/>
        </w:rPr>
      </w:pPr>
      <w:r>
        <w:rPr>
          <w:rFonts w:hint="eastAsia" w:ascii="宋体" w:hAnsi="宋体" w:cs="宋体"/>
          <w:snapToGrid w:val="0"/>
          <w:color w:val="auto"/>
          <w:kern w:val="0"/>
          <w:szCs w:val="21"/>
        </w:rPr>
        <w:t>（5）工程量清单</w:t>
      </w:r>
      <w:r>
        <w:rPr>
          <w:rFonts w:hint="eastAsia" w:ascii="宋体" w:hAnsi="宋体" w:cs="宋体"/>
          <w:snapToGrid w:val="0"/>
          <w:color w:val="auto"/>
          <w:kern w:val="0"/>
          <w:szCs w:val="21"/>
          <w:lang w:val="en-US" w:eastAsia="zh-CN"/>
        </w:rPr>
        <w:t>；</w:t>
      </w:r>
    </w:p>
    <w:p w14:paraId="099C79F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宋体" w:hAnsi="宋体" w:cs="宋体"/>
          <w:snapToGrid w:val="0"/>
          <w:color w:val="auto"/>
          <w:kern w:val="0"/>
          <w:szCs w:val="21"/>
          <w:lang w:val="en-US" w:eastAsia="zh-CN"/>
        </w:rPr>
      </w:pPr>
      <w:r>
        <w:rPr>
          <w:rFonts w:hint="eastAsia" w:ascii="宋体" w:hAnsi="宋体" w:cs="宋体"/>
          <w:snapToGrid w:val="0"/>
          <w:color w:val="auto"/>
          <w:kern w:val="0"/>
          <w:szCs w:val="21"/>
          <w:lang w:eastAsia="zh-CN"/>
        </w:rPr>
        <w:t>（</w:t>
      </w:r>
      <w:r>
        <w:rPr>
          <w:rFonts w:hint="eastAsia" w:ascii="宋体" w:hAnsi="宋体" w:cs="宋体"/>
          <w:snapToGrid w:val="0"/>
          <w:color w:val="auto"/>
          <w:kern w:val="0"/>
          <w:szCs w:val="21"/>
          <w:lang w:val="en-US" w:eastAsia="zh-CN"/>
        </w:rPr>
        <w:t>6）图纸；</w:t>
      </w:r>
    </w:p>
    <w:p w14:paraId="34A7C3F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lang w:eastAsia="zh-CN"/>
        </w:rPr>
        <w:t>（</w:t>
      </w:r>
      <w:r>
        <w:rPr>
          <w:rFonts w:hint="eastAsia" w:ascii="宋体" w:hAnsi="宋体" w:cs="宋体"/>
          <w:snapToGrid w:val="0"/>
          <w:color w:val="auto"/>
          <w:kern w:val="0"/>
          <w:szCs w:val="21"/>
          <w:lang w:val="en-US" w:eastAsia="zh-CN"/>
        </w:rPr>
        <w:t>7）</w:t>
      </w:r>
      <w:r>
        <w:rPr>
          <w:rFonts w:hint="eastAsia" w:ascii="宋体" w:hAnsi="宋体" w:cs="宋体"/>
          <w:snapToGrid w:val="0"/>
          <w:color w:val="auto"/>
          <w:kern w:val="0"/>
          <w:szCs w:val="21"/>
        </w:rPr>
        <w:t>技术标准和要求；</w:t>
      </w:r>
    </w:p>
    <w:p w14:paraId="7F978D5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lang w:eastAsia="zh-CN"/>
        </w:rPr>
      </w:pPr>
      <w:bookmarkStart w:id="153" w:name="OLE_LINK133"/>
      <w:bookmarkStart w:id="154" w:name="OLE_LINK134"/>
      <w:r>
        <w:rPr>
          <w:rFonts w:hint="eastAsia" w:ascii="宋体" w:hAnsi="宋体" w:cs="宋体"/>
          <w:snapToGrid w:val="0"/>
          <w:color w:val="auto"/>
          <w:kern w:val="0"/>
          <w:szCs w:val="21"/>
        </w:rPr>
        <w:t>（</w:t>
      </w:r>
      <w:r>
        <w:rPr>
          <w:rFonts w:hint="eastAsia" w:ascii="宋体" w:hAnsi="宋体" w:cs="宋体"/>
          <w:snapToGrid w:val="0"/>
          <w:color w:val="auto"/>
          <w:kern w:val="0"/>
          <w:szCs w:val="21"/>
          <w:lang w:val="en-US" w:eastAsia="zh-CN"/>
        </w:rPr>
        <w:t>8</w:t>
      </w:r>
      <w:r>
        <w:rPr>
          <w:rFonts w:hint="eastAsia" w:ascii="宋体" w:hAnsi="宋体" w:cs="宋体"/>
          <w:snapToGrid w:val="0"/>
          <w:color w:val="auto"/>
          <w:kern w:val="0"/>
          <w:szCs w:val="21"/>
        </w:rPr>
        <w:t>）竞选文件格式</w:t>
      </w:r>
      <w:r>
        <w:rPr>
          <w:rFonts w:hint="eastAsia" w:ascii="宋体" w:hAnsi="宋体" w:cs="宋体"/>
          <w:snapToGrid w:val="0"/>
          <w:color w:val="auto"/>
          <w:kern w:val="0"/>
          <w:szCs w:val="21"/>
          <w:lang w:eastAsia="zh-CN"/>
        </w:rPr>
        <w:t>；</w:t>
      </w:r>
    </w:p>
    <w:bookmarkEnd w:id="153"/>
    <w:bookmarkEnd w:id="154"/>
    <w:p w14:paraId="29E8782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w:t>
      </w:r>
      <w:r>
        <w:rPr>
          <w:rFonts w:hint="eastAsia" w:ascii="宋体" w:hAnsi="宋体" w:cs="宋体"/>
          <w:snapToGrid w:val="0"/>
          <w:color w:val="auto"/>
          <w:kern w:val="0"/>
          <w:szCs w:val="21"/>
          <w:lang w:val="en-US" w:eastAsia="zh-CN"/>
        </w:rPr>
        <w:t>9</w:t>
      </w:r>
      <w:r>
        <w:rPr>
          <w:rFonts w:hint="eastAsia" w:ascii="宋体" w:hAnsi="宋体" w:cs="宋体"/>
          <w:snapToGrid w:val="0"/>
          <w:color w:val="auto"/>
          <w:kern w:val="0"/>
          <w:szCs w:val="21"/>
        </w:rPr>
        <w:t>）其他材料。</w:t>
      </w:r>
    </w:p>
    <w:bookmarkEnd w:id="144"/>
    <w:bookmarkEnd w:id="145"/>
    <w:bookmarkEnd w:id="146"/>
    <w:bookmarkEnd w:id="147"/>
    <w:bookmarkEnd w:id="148"/>
    <w:bookmarkEnd w:id="149"/>
    <w:bookmarkEnd w:id="150"/>
    <w:bookmarkEnd w:id="151"/>
    <w:bookmarkEnd w:id="152"/>
    <w:p w14:paraId="4213997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根据本章第2.2款对竞争性比选文件所作的澄清、修改，构成竞争性比选文件的组成部</w:t>
      </w:r>
      <w:bookmarkEnd w:id="140"/>
      <w:r>
        <w:rPr>
          <w:rFonts w:hint="eastAsia" w:ascii="宋体" w:hAnsi="宋体" w:cs="宋体"/>
          <w:snapToGrid w:val="0"/>
          <w:color w:val="auto"/>
          <w:kern w:val="0"/>
          <w:szCs w:val="21"/>
        </w:rPr>
        <w:t>分。</w:t>
      </w:r>
    </w:p>
    <w:bookmarkEnd w:id="141"/>
    <w:bookmarkEnd w:id="142"/>
    <w:bookmarkEnd w:id="143"/>
    <w:p w14:paraId="2E216B08">
      <w:pPr>
        <w:pStyle w:val="4"/>
        <w:snapToGrid w:val="0"/>
        <w:spacing w:before="0" w:line="360" w:lineRule="auto"/>
        <w:rPr>
          <w:rFonts w:ascii="宋体" w:hAnsi="宋体" w:eastAsia="宋体" w:cs="宋体"/>
          <w:snapToGrid w:val="0"/>
          <w:color w:val="auto"/>
          <w:sz w:val="21"/>
          <w:szCs w:val="21"/>
        </w:rPr>
      </w:pPr>
      <w:bookmarkStart w:id="155" w:name="_Toc2593"/>
      <w:bookmarkStart w:id="156" w:name="_Toc200513142"/>
      <w:bookmarkStart w:id="157" w:name="_Toc28494"/>
      <w:bookmarkStart w:id="158" w:name="_Toc9907"/>
      <w:bookmarkStart w:id="159" w:name="_Toc16847"/>
      <w:bookmarkStart w:id="160" w:name="_Toc444155929"/>
      <w:bookmarkStart w:id="161" w:name="OLE_LINK89"/>
      <w:r>
        <w:rPr>
          <w:rFonts w:hint="eastAsia" w:ascii="宋体" w:hAnsi="宋体" w:eastAsia="宋体" w:cs="宋体"/>
          <w:snapToGrid w:val="0"/>
          <w:color w:val="auto"/>
          <w:sz w:val="21"/>
          <w:szCs w:val="21"/>
        </w:rPr>
        <w:t>2.2 竞争性比选文件的澄清</w:t>
      </w:r>
      <w:bookmarkEnd w:id="155"/>
      <w:bookmarkEnd w:id="156"/>
      <w:bookmarkEnd w:id="157"/>
      <w:bookmarkEnd w:id="158"/>
      <w:bookmarkEnd w:id="159"/>
      <w:bookmarkEnd w:id="160"/>
    </w:p>
    <w:bookmarkEnd w:id="161"/>
    <w:p w14:paraId="421E3EC4">
      <w:pPr>
        <w:autoSpaceDE w:val="0"/>
        <w:autoSpaceDN w:val="0"/>
        <w:adjustRightInd w:val="0"/>
        <w:snapToGrid w:val="0"/>
        <w:spacing w:line="360" w:lineRule="auto"/>
        <w:ind w:firstLine="357" w:firstLineChars="170"/>
        <w:jc w:val="left"/>
        <w:rPr>
          <w:rFonts w:ascii="宋体" w:hAnsi="宋体" w:cs="宋体"/>
          <w:snapToGrid w:val="0"/>
          <w:color w:val="auto"/>
          <w:kern w:val="0"/>
          <w:szCs w:val="21"/>
        </w:rPr>
      </w:pPr>
      <w:bookmarkStart w:id="162" w:name="_Toc200513143"/>
      <w:r>
        <w:rPr>
          <w:rFonts w:hint="eastAsia" w:ascii="宋体" w:hAnsi="宋体" w:cs="宋体"/>
          <w:snapToGrid w:val="0"/>
          <w:color w:val="auto"/>
          <w:kern w:val="0"/>
          <w:szCs w:val="21"/>
        </w:rPr>
        <w:t>2.2.1</w:t>
      </w:r>
      <w:r>
        <w:rPr>
          <w:rFonts w:hint="eastAsia" w:ascii="宋体" w:hAnsi="宋体" w:cs="宋体"/>
          <w:color w:val="auto"/>
          <w:kern w:val="0"/>
          <w:szCs w:val="21"/>
        </w:rPr>
        <w:t>竞选人要求澄清竞争性比选文件的截止时间</w:t>
      </w:r>
      <w:r>
        <w:rPr>
          <w:rFonts w:hint="eastAsia" w:ascii="宋体" w:hAnsi="宋体" w:cs="宋体"/>
          <w:snapToGrid w:val="0"/>
          <w:color w:val="auto"/>
          <w:kern w:val="0"/>
          <w:szCs w:val="21"/>
        </w:rPr>
        <w:t>见竞选人须知前附表规定。</w:t>
      </w:r>
    </w:p>
    <w:p w14:paraId="0780C7F2">
      <w:pPr>
        <w:autoSpaceDE w:val="0"/>
        <w:autoSpaceDN w:val="0"/>
        <w:adjustRightInd w:val="0"/>
        <w:snapToGrid w:val="0"/>
        <w:spacing w:line="360" w:lineRule="auto"/>
        <w:ind w:firstLine="357" w:firstLineChars="170"/>
        <w:jc w:val="left"/>
        <w:rPr>
          <w:rFonts w:ascii="宋体" w:hAnsi="宋体" w:cs="宋体"/>
          <w:snapToGrid w:val="0"/>
          <w:color w:val="auto"/>
          <w:kern w:val="0"/>
          <w:szCs w:val="21"/>
        </w:rPr>
      </w:pPr>
      <w:r>
        <w:rPr>
          <w:rFonts w:hint="eastAsia" w:ascii="宋体" w:hAnsi="宋体" w:cs="宋体"/>
          <w:snapToGrid w:val="0"/>
          <w:color w:val="auto"/>
          <w:kern w:val="0"/>
          <w:szCs w:val="21"/>
        </w:rPr>
        <w:t>2.2.2</w:t>
      </w:r>
      <w:r>
        <w:rPr>
          <w:rFonts w:hint="eastAsia" w:ascii="宋体" w:hAnsi="宋体" w:cs="宋体"/>
          <w:color w:val="auto"/>
          <w:kern w:val="0"/>
          <w:szCs w:val="21"/>
        </w:rPr>
        <w:t>比选人对竞争性比选文件答疑及对竞争性比选文件的澄清与修改</w:t>
      </w:r>
      <w:r>
        <w:rPr>
          <w:rFonts w:hint="eastAsia" w:ascii="宋体" w:hAnsi="宋体" w:cs="宋体"/>
          <w:snapToGrid w:val="0"/>
          <w:color w:val="auto"/>
          <w:kern w:val="0"/>
          <w:szCs w:val="21"/>
        </w:rPr>
        <w:t>见竞选人须知前附表规定。</w:t>
      </w:r>
    </w:p>
    <w:bookmarkEnd w:id="162"/>
    <w:p w14:paraId="44D8D5DC">
      <w:pPr>
        <w:pStyle w:val="4"/>
        <w:snapToGrid w:val="0"/>
        <w:spacing w:before="0" w:line="360" w:lineRule="auto"/>
        <w:rPr>
          <w:rFonts w:ascii="宋体" w:hAnsi="宋体" w:eastAsia="宋体" w:cs="宋体"/>
          <w:snapToGrid w:val="0"/>
          <w:color w:val="auto"/>
          <w:sz w:val="21"/>
          <w:szCs w:val="21"/>
        </w:rPr>
      </w:pPr>
      <w:bookmarkStart w:id="163" w:name="_Toc200513144"/>
      <w:bookmarkStart w:id="164" w:name="_Toc444155931"/>
      <w:bookmarkStart w:id="165" w:name="_Toc12703"/>
      <w:bookmarkStart w:id="166" w:name="_Toc6600"/>
      <w:bookmarkStart w:id="167" w:name="_Toc10931"/>
      <w:bookmarkStart w:id="168" w:name="_Toc30887"/>
      <w:r>
        <w:rPr>
          <w:rFonts w:hint="eastAsia" w:ascii="宋体" w:hAnsi="宋体" w:eastAsia="宋体" w:cs="宋体"/>
          <w:snapToGrid w:val="0"/>
          <w:color w:val="auto"/>
          <w:sz w:val="21"/>
          <w:szCs w:val="21"/>
        </w:rPr>
        <w:t>2.3 竞选文件递交截止时间</w:t>
      </w:r>
    </w:p>
    <w:p w14:paraId="7CE87FBD">
      <w:pPr>
        <w:autoSpaceDE w:val="0"/>
        <w:autoSpaceDN w:val="0"/>
        <w:adjustRightInd w:val="0"/>
        <w:snapToGrid w:val="0"/>
        <w:spacing w:line="360" w:lineRule="auto"/>
        <w:ind w:firstLine="357" w:firstLineChars="170"/>
        <w:jc w:val="left"/>
        <w:rPr>
          <w:rFonts w:ascii="宋体" w:hAnsi="宋体" w:cs="宋体"/>
          <w:snapToGrid w:val="0"/>
          <w:color w:val="auto"/>
          <w:kern w:val="0"/>
          <w:szCs w:val="21"/>
        </w:rPr>
      </w:pPr>
      <w:r>
        <w:rPr>
          <w:rFonts w:hint="eastAsia" w:ascii="宋体" w:hAnsi="宋体" w:cs="宋体"/>
          <w:snapToGrid w:val="0"/>
          <w:color w:val="auto"/>
          <w:kern w:val="0"/>
          <w:szCs w:val="21"/>
        </w:rPr>
        <w:t>见竞选人须知前附表规定。</w:t>
      </w:r>
    </w:p>
    <w:p w14:paraId="34CE9A60">
      <w:pPr>
        <w:pStyle w:val="3"/>
        <w:keepNext/>
        <w:keepLines/>
        <w:autoSpaceDE/>
        <w:autoSpaceDN/>
        <w:jc w:val="both"/>
        <w:rPr>
          <w:rFonts w:ascii="宋体" w:hAnsi="宋体" w:eastAsia="宋体" w:cs="宋体"/>
          <w:bCs/>
          <w:color w:val="auto"/>
          <w:spacing w:val="0"/>
          <w:w w:val="100"/>
          <w:kern w:val="0"/>
          <w:sz w:val="21"/>
          <w:szCs w:val="21"/>
        </w:rPr>
      </w:pPr>
      <w:bookmarkStart w:id="169" w:name="_Toc19085"/>
      <w:r>
        <w:rPr>
          <w:rFonts w:hint="eastAsia" w:ascii="宋体" w:hAnsi="宋体" w:eastAsia="宋体" w:cs="宋体"/>
          <w:bCs/>
          <w:color w:val="auto"/>
          <w:spacing w:val="0"/>
          <w:w w:val="100"/>
          <w:kern w:val="0"/>
          <w:sz w:val="21"/>
          <w:szCs w:val="21"/>
        </w:rPr>
        <w:t xml:space="preserve">3. </w:t>
      </w:r>
      <w:bookmarkEnd w:id="163"/>
      <w:bookmarkEnd w:id="164"/>
      <w:bookmarkEnd w:id="165"/>
      <w:bookmarkEnd w:id="166"/>
      <w:bookmarkEnd w:id="167"/>
      <w:r>
        <w:rPr>
          <w:rFonts w:hint="eastAsia" w:ascii="宋体" w:hAnsi="宋体" w:eastAsia="宋体" w:cs="宋体"/>
          <w:bCs/>
          <w:color w:val="auto"/>
          <w:spacing w:val="0"/>
          <w:w w:val="100"/>
          <w:kern w:val="0"/>
          <w:sz w:val="21"/>
          <w:szCs w:val="21"/>
        </w:rPr>
        <w:t>竞选文件</w:t>
      </w:r>
      <w:bookmarkEnd w:id="168"/>
      <w:bookmarkEnd w:id="169"/>
    </w:p>
    <w:p w14:paraId="69A88AAE">
      <w:pPr>
        <w:pStyle w:val="4"/>
        <w:snapToGrid w:val="0"/>
        <w:spacing w:before="0" w:line="360" w:lineRule="auto"/>
        <w:rPr>
          <w:rFonts w:ascii="宋体" w:hAnsi="宋体" w:eastAsia="宋体" w:cs="宋体"/>
          <w:snapToGrid w:val="0"/>
          <w:color w:val="auto"/>
          <w:sz w:val="21"/>
          <w:szCs w:val="21"/>
        </w:rPr>
      </w:pPr>
      <w:bookmarkStart w:id="170" w:name="_Toc3690"/>
      <w:bookmarkStart w:id="171" w:name="_Toc444155932"/>
      <w:bookmarkStart w:id="172" w:name="_Toc14726"/>
      <w:bookmarkStart w:id="173" w:name="_Toc200513145"/>
      <w:bookmarkStart w:id="174" w:name="_Toc16394"/>
      <w:bookmarkStart w:id="175" w:name="_Toc13900"/>
      <w:r>
        <w:rPr>
          <w:rFonts w:hint="eastAsia" w:ascii="宋体" w:hAnsi="宋体" w:eastAsia="宋体" w:cs="宋体"/>
          <w:snapToGrid w:val="0"/>
          <w:color w:val="auto"/>
          <w:sz w:val="21"/>
          <w:szCs w:val="21"/>
        </w:rPr>
        <w:t>3.1 竞选文件的组成</w:t>
      </w:r>
      <w:bookmarkEnd w:id="170"/>
      <w:bookmarkEnd w:id="171"/>
      <w:bookmarkEnd w:id="172"/>
      <w:bookmarkEnd w:id="173"/>
      <w:bookmarkEnd w:id="174"/>
      <w:bookmarkEnd w:id="175"/>
    </w:p>
    <w:p w14:paraId="3D302FDD">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bookmarkStart w:id="176" w:name="_Toc200513146"/>
      <w:bookmarkStart w:id="177" w:name="_Toc444155933"/>
      <w:bookmarkStart w:id="178" w:name="_Toc31840"/>
      <w:bookmarkStart w:id="179" w:name="_Toc28017"/>
      <w:bookmarkStart w:id="180" w:name="_Toc9566"/>
      <w:r>
        <w:rPr>
          <w:rFonts w:hint="eastAsia" w:ascii="宋体" w:hAnsi="宋体" w:cs="宋体"/>
          <w:snapToGrid w:val="0"/>
          <w:color w:val="auto"/>
          <w:kern w:val="0"/>
          <w:szCs w:val="21"/>
        </w:rPr>
        <w:t>见第</w:t>
      </w:r>
      <w:r>
        <w:rPr>
          <w:rFonts w:hint="eastAsia" w:ascii="宋体" w:hAnsi="宋体" w:cs="宋体"/>
          <w:snapToGrid w:val="0"/>
          <w:color w:val="auto"/>
          <w:kern w:val="0"/>
          <w:szCs w:val="21"/>
          <w:lang w:val="en-US" w:eastAsia="zh-CN"/>
        </w:rPr>
        <w:t>八</w:t>
      </w:r>
      <w:r>
        <w:rPr>
          <w:rFonts w:hint="eastAsia" w:ascii="宋体" w:hAnsi="宋体" w:cs="宋体"/>
          <w:snapToGrid w:val="0"/>
          <w:color w:val="auto"/>
          <w:kern w:val="0"/>
          <w:szCs w:val="21"/>
        </w:rPr>
        <w:t>章。</w:t>
      </w:r>
    </w:p>
    <w:p w14:paraId="634ABD1C">
      <w:pPr>
        <w:pStyle w:val="4"/>
        <w:snapToGrid w:val="0"/>
        <w:spacing w:before="0" w:line="360" w:lineRule="auto"/>
        <w:rPr>
          <w:rFonts w:ascii="宋体" w:hAnsi="宋体" w:eastAsia="宋体" w:cs="宋体"/>
          <w:snapToGrid w:val="0"/>
          <w:color w:val="auto"/>
          <w:sz w:val="21"/>
          <w:szCs w:val="21"/>
        </w:rPr>
      </w:pPr>
      <w:bookmarkStart w:id="181" w:name="_Toc21895"/>
      <w:r>
        <w:rPr>
          <w:rFonts w:hint="eastAsia" w:ascii="宋体" w:hAnsi="宋体" w:eastAsia="宋体" w:cs="宋体"/>
          <w:snapToGrid w:val="0"/>
          <w:color w:val="auto"/>
          <w:sz w:val="21"/>
          <w:szCs w:val="21"/>
        </w:rPr>
        <w:t xml:space="preserve">3.2 </w:t>
      </w:r>
      <w:bookmarkEnd w:id="176"/>
      <w:bookmarkEnd w:id="177"/>
      <w:bookmarkEnd w:id="178"/>
      <w:r>
        <w:rPr>
          <w:rFonts w:hint="eastAsia" w:ascii="宋体" w:hAnsi="宋体" w:eastAsia="宋体" w:cs="宋体"/>
          <w:snapToGrid w:val="0"/>
          <w:color w:val="auto"/>
          <w:sz w:val="21"/>
          <w:szCs w:val="21"/>
        </w:rPr>
        <w:t>竞选报价</w:t>
      </w:r>
      <w:bookmarkEnd w:id="179"/>
      <w:bookmarkEnd w:id="180"/>
      <w:bookmarkEnd w:id="181"/>
    </w:p>
    <w:p w14:paraId="2A2B5AC2">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竞选人应</w:t>
      </w:r>
      <w:r>
        <w:rPr>
          <w:rFonts w:hint="eastAsia" w:ascii="宋体" w:hAnsi="宋体" w:cs="宋体"/>
          <w:color w:val="auto"/>
          <w:szCs w:val="21"/>
        </w:rPr>
        <w:t>参照竞选人须知前附表3.2款</w:t>
      </w:r>
      <w:r>
        <w:rPr>
          <w:rFonts w:hint="eastAsia" w:ascii="宋体" w:hAnsi="宋体" w:cs="宋体"/>
          <w:snapToGrid w:val="0"/>
          <w:color w:val="auto"/>
          <w:kern w:val="0"/>
          <w:szCs w:val="21"/>
        </w:rPr>
        <w:t>。</w:t>
      </w:r>
    </w:p>
    <w:p w14:paraId="64B4041C">
      <w:pPr>
        <w:pStyle w:val="4"/>
        <w:snapToGrid w:val="0"/>
        <w:spacing w:before="0" w:line="360" w:lineRule="auto"/>
        <w:rPr>
          <w:rFonts w:ascii="宋体" w:hAnsi="宋体" w:eastAsia="宋体" w:cs="宋体"/>
          <w:snapToGrid w:val="0"/>
          <w:color w:val="auto"/>
          <w:sz w:val="21"/>
          <w:szCs w:val="21"/>
        </w:rPr>
      </w:pPr>
      <w:bookmarkStart w:id="182" w:name="_Toc444155934"/>
      <w:bookmarkStart w:id="183" w:name="_Toc17656"/>
      <w:bookmarkStart w:id="184" w:name="_Toc200513147"/>
      <w:bookmarkStart w:id="185" w:name="_Toc4106"/>
      <w:bookmarkStart w:id="186" w:name="_Toc24651"/>
      <w:bookmarkStart w:id="187" w:name="_Toc6616"/>
      <w:r>
        <w:rPr>
          <w:rFonts w:hint="eastAsia" w:ascii="宋体" w:hAnsi="宋体" w:eastAsia="宋体" w:cs="宋体"/>
          <w:snapToGrid w:val="0"/>
          <w:color w:val="auto"/>
          <w:sz w:val="21"/>
          <w:szCs w:val="21"/>
        </w:rPr>
        <w:t xml:space="preserve">3.3 </w:t>
      </w:r>
      <w:bookmarkEnd w:id="182"/>
      <w:bookmarkEnd w:id="183"/>
      <w:bookmarkEnd w:id="184"/>
      <w:r>
        <w:rPr>
          <w:rFonts w:hint="eastAsia" w:ascii="宋体" w:hAnsi="宋体" w:eastAsia="宋体" w:cs="宋体"/>
          <w:snapToGrid w:val="0"/>
          <w:color w:val="auto"/>
          <w:sz w:val="21"/>
          <w:szCs w:val="21"/>
        </w:rPr>
        <w:t>竞选文件有效期</w:t>
      </w:r>
      <w:bookmarkEnd w:id="185"/>
      <w:bookmarkEnd w:id="186"/>
      <w:bookmarkEnd w:id="187"/>
    </w:p>
    <w:p w14:paraId="466FFFD6">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3.3.1 在竞选人须知前附表规定的竞选文件有效期内，竞选人不得要求撤销或修改其竞选文件。</w:t>
      </w:r>
    </w:p>
    <w:p w14:paraId="65049E3C">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3.3.2 出现特殊情况需要延长竞选文件有效期的，比选人以书面形式通知所有竞选人延长竞选文件有效期。竞选人同意延长的，应相应延长其</w:t>
      </w:r>
      <w:r>
        <w:rPr>
          <w:rFonts w:hint="eastAsia" w:ascii="宋体" w:hAnsi="宋体" w:cs="宋体"/>
          <w:color w:val="auto"/>
          <w:szCs w:val="21"/>
        </w:rPr>
        <w:t>竞选</w:t>
      </w:r>
      <w:r>
        <w:rPr>
          <w:rFonts w:hint="eastAsia" w:ascii="宋体" w:hAnsi="宋体" w:cs="宋体"/>
          <w:snapToGrid w:val="0"/>
          <w:color w:val="auto"/>
          <w:kern w:val="0"/>
          <w:szCs w:val="21"/>
        </w:rPr>
        <w:t>保证金的有效期，但不得要求或被允许修改或撤销其竞选文件；竞选人拒绝延长的，其</w:t>
      </w:r>
      <w:r>
        <w:rPr>
          <w:rFonts w:hint="eastAsia" w:ascii="宋体" w:hAnsi="宋体" w:cs="宋体"/>
          <w:color w:val="auto"/>
          <w:kern w:val="0"/>
          <w:szCs w:val="21"/>
        </w:rPr>
        <w:t>比选</w:t>
      </w:r>
      <w:r>
        <w:rPr>
          <w:rFonts w:hint="eastAsia" w:ascii="宋体" w:hAnsi="宋体" w:cs="宋体"/>
          <w:snapToGrid w:val="0"/>
          <w:color w:val="auto"/>
          <w:kern w:val="0"/>
          <w:szCs w:val="21"/>
        </w:rPr>
        <w:t>竞选文件失效。</w:t>
      </w:r>
    </w:p>
    <w:p w14:paraId="2326E42F">
      <w:pPr>
        <w:pStyle w:val="4"/>
        <w:snapToGrid w:val="0"/>
        <w:spacing w:before="0" w:line="360" w:lineRule="auto"/>
        <w:rPr>
          <w:rFonts w:ascii="宋体" w:hAnsi="宋体" w:eastAsia="宋体" w:cs="宋体"/>
          <w:snapToGrid w:val="0"/>
          <w:color w:val="auto"/>
          <w:sz w:val="21"/>
          <w:szCs w:val="21"/>
        </w:rPr>
      </w:pPr>
      <w:bookmarkStart w:id="188" w:name="_Toc200513150"/>
      <w:bookmarkStart w:id="189" w:name="_Toc17678"/>
      <w:bookmarkStart w:id="190" w:name="_Toc28288"/>
      <w:bookmarkStart w:id="191" w:name="_Toc21763"/>
      <w:bookmarkStart w:id="192" w:name="_Toc444155936"/>
      <w:bookmarkStart w:id="193" w:name="_Toc30056"/>
      <w:r>
        <w:rPr>
          <w:rFonts w:hint="eastAsia" w:ascii="宋体" w:hAnsi="宋体" w:eastAsia="宋体" w:cs="宋体"/>
          <w:snapToGrid w:val="0"/>
          <w:color w:val="auto"/>
          <w:sz w:val="21"/>
          <w:szCs w:val="21"/>
        </w:rPr>
        <w:t>3.5 资格审查资料</w:t>
      </w:r>
      <w:bookmarkEnd w:id="188"/>
      <w:bookmarkEnd w:id="189"/>
      <w:bookmarkEnd w:id="190"/>
      <w:bookmarkEnd w:id="191"/>
      <w:bookmarkEnd w:id="192"/>
      <w:bookmarkEnd w:id="193"/>
    </w:p>
    <w:p w14:paraId="1DD5E684">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按</w:t>
      </w:r>
      <w:r>
        <w:rPr>
          <w:rFonts w:hint="eastAsia" w:ascii="宋体" w:hAnsi="宋体" w:cs="宋体"/>
          <w:snapToGrid w:val="0"/>
          <w:color w:val="auto"/>
          <w:kern w:val="0"/>
          <w:szCs w:val="21"/>
          <w:lang w:val="en-US" w:eastAsia="zh-CN"/>
        </w:rPr>
        <w:t>竞选人</w:t>
      </w:r>
      <w:r>
        <w:rPr>
          <w:rFonts w:hint="eastAsia" w:ascii="宋体" w:hAnsi="宋体" w:cs="宋体"/>
          <w:snapToGrid w:val="0"/>
          <w:color w:val="auto"/>
          <w:kern w:val="0"/>
          <w:szCs w:val="21"/>
        </w:rPr>
        <w:t>须知第1.4.1项的规定执行。</w:t>
      </w:r>
    </w:p>
    <w:p w14:paraId="0AA3087D">
      <w:pPr>
        <w:pStyle w:val="4"/>
        <w:snapToGrid w:val="0"/>
        <w:spacing w:before="0" w:line="360" w:lineRule="auto"/>
        <w:rPr>
          <w:rFonts w:ascii="宋体" w:hAnsi="宋体" w:eastAsia="宋体" w:cs="宋体"/>
          <w:snapToGrid w:val="0"/>
          <w:color w:val="auto"/>
          <w:sz w:val="21"/>
          <w:szCs w:val="21"/>
        </w:rPr>
      </w:pPr>
      <w:bookmarkStart w:id="194" w:name="_Toc23582"/>
      <w:bookmarkStart w:id="195" w:name="_Toc32516"/>
      <w:bookmarkStart w:id="196" w:name="_Toc200513151"/>
      <w:bookmarkStart w:id="197" w:name="_Toc444155937"/>
      <w:bookmarkStart w:id="198" w:name="_Toc13792"/>
      <w:bookmarkStart w:id="199" w:name="_Toc22565"/>
      <w:r>
        <w:rPr>
          <w:rFonts w:hint="eastAsia" w:ascii="宋体" w:hAnsi="宋体" w:eastAsia="宋体" w:cs="宋体"/>
          <w:snapToGrid w:val="0"/>
          <w:color w:val="auto"/>
          <w:sz w:val="21"/>
          <w:szCs w:val="21"/>
        </w:rPr>
        <w:t>3.6 备选竞选方案</w:t>
      </w:r>
      <w:bookmarkEnd w:id="194"/>
      <w:bookmarkEnd w:id="195"/>
      <w:bookmarkEnd w:id="196"/>
      <w:bookmarkEnd w:id="197"/>
      <w:bookmarkEnd w:id="198"/>
      <w:bookmarkEnd w:id="199"/>
    </w:p>
    <w:p w14:paraId="184643A2">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竞选人不得递交备选方案。</w:t>
      </w:r>
    </w:p>
    <w:p w14:paraId="2900B79E">
      <w:pPr>
        <w:pStyle w:val="4"/>
        <w:snapToGrid w:val="0"/>
        <w:spacing w:before="0" w:line="360" w:lineRule="auto"/>
        <w:rPr>
          <w:rFonts w:ascii="宋体" w:hAnsi="宋体" w:eastAsia="宋体" w:cs="宋体"/>
          <w:snapToGrid w:val="0"/>
          <w:color w:val="auto"/>
          <w:sz w:val="21"/>
          <w:szCs w:val="21"/>
        </w:rPr>
      </w:pPr>
      <w:bookmarkStart w:id="200" w:name="_Toc11016"/>
      <w:bookmarkStart w:id="201" w:name="_Toc444155938"/>
      <w:bookmarkStart w:id="202" w:name="_Toc23962"/>
      <w:bookmarkStart w:id="203" w:name="_Toc186"/>
      <w:bookmarkStart w:id="204" w:name="_Toc10960"/>
      <w:r>
        <w:rPr>
          <w:rFonts w:hint="eastAsia" w:ascii="宋体" w:hAnsi="宋体" w:eastAsia="宋体" w:cs="宋体"/>
          <w:snapToGrid w:val="0"/>
          <w:color w:val="auto"/>
          <w:sz w:val="21"/>
          <w:szCs w:val="21"/>
        </w:rPr>
        <w:t>3.7 竞选文件的编制</w:t>
      </w:r>
      <w:bookmarkEnd w:id="200"/>
      <w:bookmarkEnd w:id="201"/>
      <w:bookmarkEnd w:id="202"/>
      <w:bookmarkEnd w:id="203"/>
      <w:bookmarkEnd w:id="204"/>
    </w:p>
    <w:p w14:paraId="0281CDA6">
      <w:pPr>
        <w:autoSpaceDE w:val="0"/>
        <w:autoSpaceDN w:val="0"/>
        <w:adjustRightInd w:val="0"/>
        <w:snapToGrid w:val="0"/>
        <w:spacing w:line="360" w:lineRule="auto"/>
        <w:ind w:firstLine="420"/>
        <w:rPr>
          <w:rFonts w:ascii="宋体" w:hAnsi="宋体" w:cs="宋体"/>
          <w:snapToGrid w:val="0"/>
          <w:color w:val="auto"/>
          <w:kern w:val="0"/>
          <w:szCs w:val="21"/>
        </w:rPr>
      </w:pPr>
      <w:bookmarkStart w:id="205" w:name="_Toc200513153"/>
      <w:r>
        <w:rPr>
          <w:rFonts w:hint="eastAsia" w:ascii="宋体" w:hAnsi="宋体" w:cs="宋体"/>
          <w:snapToGrid w:val="0"/>
          <w:color w:val="auto"/>
          <w:kern w:val="0"/>
          <w:szCs w:val="21"/>
        </w:rPr>
        <w:t>3.7.1 竞选文件应按</w:t>
      </w:r>
      <w:r>
        <w:rPr>
          <w:rFonts w:hint="eastAsia" w:ascii="宋体" w:hAnsi="宋体" w:cs="宋体"/>
          <w:snapToGrid w:val="0"/>
          <w:color w:val="auto"/>
          <w:kern w:val="0"/>
          <w:szCs w:val="21"/>
          <w:lang w:eastAsia="zh-CN"/>
        </w:rPr>
        <w:t>第八章“竞选文件格式”</w:t>
      </w:r>
      <w:r>
        <w:rPr>
          <w:rFonts w:hint="eastAsia" w:ascii="宋体" w:hAnsi="宋体" w:cs="宋体"/>
          <w:snapToGrid w:val="0"/>
          <w:color w:val="auto"/>
          <w:kern w:val="0"/>
          <w:szCs w:val="21"/>
        </w:rPr>
        <w:t>进行编写，如有必要，可以增加附页，作为竞选文件的组成部分。可以提出比竞争性比选文件要求更有利于比选人的承诺。</w:t>
      </w:r>
    </w:p>
    <w:p w14:paraId="56319025">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3.7.2 竞选文件应当对竞争性比选文件有关</w:t>
      </w:r>
      <w:r>
        <w:rPr>
          <w:rFonts w:hint="eastAsia" w:ascii="宋体" w:hAnsi="宋体" w:cs="宋体"/>
          <w:snapToGrid w:val="0"/>
          <w:color w:val="auto"/>
          <w:kern w:val="0"/>
          <w:szCs w:val="21"/>
          <w:lang w:val="en-US" w:eastAsia="zh-CN"/>
        </w:rPr>
        <w:t>工期</w:t>
      </w:r>
      <w:r>
        <w:rPr>
          <w:rFonts w:hint="eastAsia" w:ascii="宋体" w:hAnsi="宋体" w:cs="宋体"/>
          <w:snapToGrid w:val="0"/>
          <w:color w:val="auto"/>
          <w:kern w:val="0"/>
          <w:szCs w:val="21"/>
        </w:rPr>
        <w:t>、竞选有效期、质量要求、技术标准和要求、</w:t>
      </w:r>
      <w:r>
        <w:rPr>
          <w:rFonts w:hint="eastAsia" w:ascii="宋体" w:hAnsi="宋体" w:cs="宋体"/>
          <w:color w:val="auto"/>
          <w:kern w:val="0"/>
          <w:szCs w:val="21"/>
        </w:rPr>
        <w:t>比选</w:t>
      </w:r>
      <w:r>
        <w:rPr>
          <w:rFonts w:hint="eastAsia" w:ascii="宋体" w:hAnsi="宋体" w:cs="宋体"/>
          <w:snapToGrid w:val="0"/>
          <w:color w:val="auto"/>
          <w:kern w:val="0"/>
          <w:szCs w:val="21"/>
        </w:rPr>
        <w:t>范围等实质性内容做出响应。</w:t>
      </w:r>
    </w:p>
    <w:p w14:paraId="7AA95BD1">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3.7.3 竞选文件应用不褪色的材料书写或打印，并由竞选人的法定代表人或其委托代理人签字或盖章并加盖单位公章。委托代理人签字或盖章的，竞选文件应附法定代表人签署的授权委托书。竞选文件应尽量避免涂改、行间插字或删除。如果出现上述情况，改动之处应加盖单位公章或由竞选人的法定代表人或其授权的代理人签字或盖章确认。</w:t>
      </w:r>
    </w:p>
    <w:p w14:paraId="501F0B12">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3.7.4 竞选文件正本一份，副本份数见竞选人须知前附表。正本和副本的封面上应清楚地标记“正本”或“副本”的字样，正本封面均须加盖单位公章（鲜章）。当副本和正本不一致时，以正本为准。</w:t>
      </w:r>
    </w:p>
    <w:p w14:paraId="5EB42E37">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3.7.5 竞选文件的正本与副本应分别装订成册，并编制目录，具体装订要求见竞选人须知前附表规定。</w:t>
      </w:r>
    </w:p>
    <w:p w14:paraId="11A2B919">
      <w:pPr>
        <w:pStyle w:val="3"/>
        <w:keepNext/>
        <w:keepLines/>
        <w:autoSpaceDE/>
        <w:autoSpaceDN/>
        <w:jc w:val="both"/>
        <w:rPr>
          <w:rFonts w:ascii="宋体" w:hAnsi="宋体" w:eastAsia="宋体" w:cs="宋体"/>
          <w:bCs/>
          <w:color w:val="auto"/>
          <w:spacing w:val="0"/>
          <w:w w:val="100"/>
          <w:kern w:val="0"/>
          <w:sz w:val="21"/>
          <w:szCs w:val="21"/>
        </w:rPr>
      </w:pPr>
      <w:bookmarkStart w:id="206" w:name="_Toc22541"/>
      <w:bookmarkStart w:id="207" w:name="_Toc444155939"/>
      <w:bookmarkStart w:id="208" w:name="_Toc20250"/>
      <w:bookmarkStart w:id="209" w:name="_Toc29832"/>
      <w:bookmarkStart w:id="210" w:name="_Toc18299"/>
      <w:bookmarkStart w:id="211" w:name="_Toc4165"/>
      <w:r>
        <w:rPr>
          <w:rFonts w:hint="eastAsia" w:ascii="宋体" w:hAnsi="宋体" w:eastAsia="宋体" w:cs="宋体"/>
          <w:bCs/>
          <w:color w:val="auto"/>
          <w:spacing w:val="0"/>
          <w:w w:val="100"/>
          <w:kern w:val="0"/>
          <w:sz w:val="21"/>
          <w:szCs w:val="21"/>
        </w:rPr>
        <w:t xml:space="preserve">4. </w:t>
      </w:r>
      <w:bookmarkEnd w:id="205"/>
      <w:bookmarkEnd w:id="206"/>
      <w:bookmarkEnd w:id="207"/>
      <w:bookmarkEnd w:id="208"/>
      <w:bookmarkEnd w:id="209"/>
      <w:bookmarkEnd w:id="210"/>
      <w:r>
        <w:rPr>
          <w:rFonts w:hint="eastAsia" w:ascii="宋体" w:hAnsi="宋体" w:eastAsia="宋体" w:cs="宋体"/>
          <w:bCs/>
          <w:color w:val="auto"/>
          <w:spacing w:val="0"/>
          <w:w w:val="100"/>
          <w:kern w:val="0"/>
          <w:sz w:val="21"/>
          <w:szCs w:val="21"/>
        </w:rPr>
        <w:t>竞选</w:t>
      </w:r>
      <w:bookmarkEnd w:id="211"/>
    </w:p>
    <w:p w14:paraId="55D554D9">
      <w:pPr>
        <w:pStyle w:val="4"/>
        <w:snapToGrid w:val="0"/>
        <w:spacing w:before="0" w:line="360" w:lineRule="auto"/>
        <w:rPr>
          <w:rFonts w:ascii="宋体" w:hAnsi="宋体" w:eastAsia="宋体" w:cs="宋体"/>
          <w:snapToGrid w:val="0"/>
          <w:color w:val="auto"/>
          <w:sz w:val="21"/>
          <w:szCs w:val="21"/>
        </w:rPr>
      </w:pPr>
      <w:bookmarkStart w:id="212" w:name="_Toc200513154"/>
      <w:bookmarkStart w:id="213" w:name="_Toc14282"/>
      <w:bookmarkStart w:id="214" w:name="_Toc7204"/>
      <w:bookmarkStart w:id="215" w:name="_Toc3204"/>
      <w:bookmarkStart w:id="216" w:name="_Toc444155940"/>
      <w:bookmarkStart w:id="217" w:name="_Toc9316"/>
      <w:r>
        <w:rPr>
          <w:rFonts w:hint="eastAsia" w:ascii="宋体" w:hAnsi="宋体" w:eastAsia="宋体" w:cs="宋体"/>
          <w:snapToGrid w:val="0"/>
          <w:color w:val="auto"/>
          <w:sz w:val="21"/>
          <w:szCs w:val="21"/>
        </w:rPr>
        <w:t>4.1 竞选文件的密封和标记</w:t>
      </w:r>
      <w:bookmarkEnd w:id="212"/>
      <w:bookmarkEnd w:id="213"/>
      <w:bookmarkEnd w:id="214"/>
      <w:bookmarkEnd w:id="215"/>
      <w:bookmarkEnd w:id="216"/>
      <w:bookmarkEnd w:id="217"/>
    </w:p>
    <w:p w14:paraId="41A5AE75">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bookmarkStart w:id="218" w:name="_Toc200513155"/>
      <w:r>
        <w:rPr>
          <w:rFonts w:hint="eastAsia" w:ascii="宋体" w:hAnsi="宋体" w:cs="宋体"/>
          <w:snapToGrid w:val="0"/>
          <w:color w:val="auto"/>
          <w:kern w:val="0"/>
          <w:szCs w:val="21"/>
        </w:rPr>
        <w:t>4.1.1 竞选文件的正本与副本密封见竞选人须知前附表。</w:t>
      </w:r>
    </w:p>
    <w:p w14:paraId="1C9AC7F6">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4.1.2 竞选文件的封套上应写明的内容见竞选人须知前附表。</w:t>
      </w:r>
      <w:bookmarkStart w:id="219" w:name="OLE_LINK136"/>
      <w:bookmarkStart w:id="220" w:name="OLE_LINK135"/>
    </w:p>
    <w:bookmarkEnd w:id="219"/>
    <w:bookmarkEnd w:id="220"/>
    <w:p w14:paraId="55198C1E">
      <w:pPr>
        <w:pStyle w:val="4"/>
        <w:snapToGrid w:val="0"/>
        <w:spacing w:before="0" w:line="360" w:lineRule="auto"/>
        <w:rPr>
          <w:rFonts w:ascii="宋体" w:hAnsi="宋体" w:eastAsia="宋体" w:cs="宋体"/>
          <w:snapToGrid w:val="0"/>
          <w:color w:val="auto"/>
          <w:sz w:val="21"/>
          <w:szCs w:val="21"/>
        </w:rPr>
      </w:pPr>
      <w:bookmarkStart w:id="221" w:name="_Toc10680"/>
      <w:bookmarkStart w:id="222" w:name="_Toc32182"/>
      <w:bookmarkStart w:id="223" w:name="_Toc24971"/>
      <w:bookmarkStart w:id="224" w:name="_Toc444155941"/>
      <w:bookmarkStart w:id="225" w:name="_Toc18168"/>
      <w:r>
        <w:rPr>
          <w:rFonts w:hint="eastAsia" w:ascii="宋体" w:hAnsi="宋体" w:eastAsia="宋体" w:cs="宋体"/>
          <w:snapToGrid w:val="0"/>
          <w:color w:val="auto"/>
          <w:sz w:val="21"/>
          <w:szCs w:val="21"/>
        </w:rPr>
        <w:t>4.2 竞选文件的递交</w:t>
      </w:r>
      <w:bookmarkEnd w:id="218"/>
      <w:bookmarkEnd w:id="221"/>
      <w:bookmarkEnd w:id="222"/>
      <w:bookmarkEnd w:id="223"/>
      <w:bookmarkEnd w:id="224"/>
      <w:bookmarkEnd w:id="225"/>
    </w:p>
    <w:p w14:paraId="774211BE">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bookmarkStart w:id="226" w:name="OLE_LINK137"/>
      <w:bookmarkStart w:id="227" w:name="OLE_LINK138"/>
      <w:r>
        <w:rPr>
          <w:rFonts w:hint="eastAsia" w:ascii="宋体" w:hAnsi="宋体" w:cs="宋体"/>
          <w:snapToGrid w:val="0"/>
          <w:color w:val="auto"/>
          <w:kern w:val="0"/>
          <w:szCs w:val="21"/>
        </w:rPr>
        <w:t>4.2.1 竞选人应在本章第2.3项规定的递交竞选文件截止时间前递交竞选文件。</w:t>
      </w:r>
    </w:p>
    <w:p w14:paraId="4522CA79">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4.2.2 竞选人递交竞选文件的地点：见竞选人须知前附表。</w:t>
      </w:r>
    </w:p>
    <w:p w14:paraId="266D82FA">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4.2.3 除竞选人须知前附表另有规定外，竞选人所递交的竞选文件不予退还。</w:t>
      </w:r>
    </w:p>
    <w:p w14:paraId="030FB454">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4.2.4 逾期送达的或者未送达指定地点的竞选文件，比选人不予受理。</w:t>
      </w:r>
    </w:p>
    <w:bookmarkEnd w:id="226"/>
    <w:bookmarkEnd w:id="227"/>
    <w:p w14:paraId="65F9A4A0">
      <w:pPr>
        <w:pStyle w:val="4"/>
        <w:snapToGrid w:val="0"/>
        <w:spacing w:before="0" w:line="360" w:lineRule="auto"/>
        <w:rPr>
          <w:rFonts w:ascii="宋体" w:hAnsi="宋体" w:eastAsia="宋体" w:cs="宋体"/>
          <w:snapToGrid w:val="0"/>
          <w:color w:val="auto"/>
          <w:sz w:val="21"/>
          <w:szCs w:val="21"/>
        </w:rPr>
      </w:pPr>
      <w:bookmarkStart w:id="228" w:name="_Toc444155942"/>
      <w:bookmarkStart w:id="229" w:name="_Toc27488"/>
      <w:bookmarkStart w:id="230" w:name="_Toc200513156"/>
      <w:bookmarkStart w:id="231" w:name="_Toc31565"/>
      <w:bookmarkStart w:id="232" w:name="_Toc23600"/>
      <w:bookmarkStart w:id="233" w:name="_Toc610"/>
      <w:r>
        <w:rPr>
          <w:rFonts w:hint="eastAsia" w:ascii="宋体" w:hAnsi="宋体" w:eastAsia="宋体" w:cs="宋体"/>
          <w:snapToGrid w:val="0"/>
          <w:color w:val="auto"/>
          <w:sz w:val="21"/>
          <w:szCs w:val="21"/>
        </w:rPr>
        <w:t>4.3 竞选文件的修改与撤回</w:t>
      </w:r>
      <w:bookmarkEnd w:id="228"/>
      <w:bookmarkEnd w:id="229"/>
      <w:bookmarkEnd w:id="230"/>
      <w:bookmarkEnd w:id="231"/>
      <w:bookmarkEnd w:id="232"/>
      <w:bookmarkEnd w:id="233"/>
    </w:p>
    <w:p w14:paraId="07DD8745">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4.3.1 在本章第2.3项规定的递交竞选文件截止时间前，竞选人可以修改或撤回已递交的竞选文件，但应以书面形式通知比选人。</w:t>
      </w:r>
    </w:p>
    <w:p w14:paraId="71ED3191">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4.3.2 竞选人修改或撤回已递交竞选文件的书面通知应按照本章第3.7.3项的要求签字或盖章。比选人收到书面通知后，向竞选人出具签收凭证。</w:t>
      </w:r>
    </w:p>
    <w:p w14:paraId="067B8E05">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4.3.3 修改的内容为竞选文件的组成部分。修改的竞选文件应按照本章第3条、第4条规定进行编制、密封、标记和递交，并标明“修改”字样。</w:t>
      </w:r>
    </w:p>
    <w:p w14:paraId="5854DA99">
      <w:pPr>
        <w:pStyle w:val="3"/>
        <w:keepNext/>
        <w:keepLines/>
        <w:autoSpaceDE/>
        <w:autoSpaceDN/>
        <w:jc w:val="both"/>
        <w:rPr>
          <w:rFonts w:ascii="宋体" w:hAnsi="宋体" w:eastAsia="宋体" w:cs="宋体"/>
          <w:bCs/>
          <w:color w:val="auto"/>
          <w:spacing w:val="0"/>
          <w:w w:val="100"/>
          <w:kern w:val="0"/>
          <w:sz w:val="21"/>
          <w:szCs w:val="21"/>
        </w:rPr>
      </w:pPr>
      <w:bookmarkStart w:id="234" w:name="_Toc200513157"/>
      <w:bookmarkStart w:id="235" w:name="_Toc19714"/>
      <w:bookmarkStart w:id="236" w:name="_Toc444155943"/>
      <w:bookmarkStart w:id="237" w:name="_Toc5249"/>
      <w:bookmarkStart w:id="238" w:name="_Toc26099"/>
      <w:bookmarkStart w:id="239" w:name="_Toc29216"/>
      <w:bookmarkStart w:id="240" w:name="_Toc25319"/>
      <w:r>
        <w:rPr>
          <w:rFonts w:hint="eastAsia" w:ascii="宋体" w:hAnsi="宋体" w:eastAsia="宋体" w:cs="宋体"/>
          <w:bCs/>
          <w:color w:val="auto"/>
          <w:spacing w:val="0"/>
          <w:w w:val="100"/>
          <w:kern w:val="0"/>
          <w:sz w:val="21"/>
          <w:szCs w:val="21"/>
        </w:rPr>
        <w:t xml:space="preserve">5. </w:t>
      </w:r>
      <w:bookmarkEnd w:id="234"/>
      <w:bookmarkEnd w:id="235"/>
      <w:bookmarkEnd w:id="236"/>
      <w:r>
        <w:rPr>
          <w:rFonts w:hint="eastAsia" w:ascii="宋体" w:hAnsi="宋体" w:eastAsia="宋体" w:cs="宋体"/>
          <w:bCs/>
          <w:color w:val="auto"/>
          <w:spacing w:val="0"/>
          <w:w w:val="100"/>
          <w:kern w:val="0"/>
          <w:sz w:val="21"/>
          <w:szCs w:val="21"/>
        </w:rPr>
        <w:t>开</w:t>
      </w:r>
      <w:bookmarkEnd w:id="237"/>
      <w:bookmarkEnd w:id="238"/>
      <w:bookmarkEnd w:id="239"/>
      <w:r>
        <w:rPr>
          <w:rFonts w:hint="eastAsia" w:ascii="宋体" w:hAnsi="宋体" w:eastAsia="宋体" w:cs="宋体"/>
          <w:bCs/>
          <w:color w:val="auto"/>
          <w:spacing w:val="0"/>
          <w:w w:val="100"/>
          <w:kern w:val="0"/>
          <w:sz w:val="21"/>
          <w:szCs w:val="21"/>
        </w:rPr>
        <w:t>标</w:t>
      </w:r>
      <w:bookmarkEnd w:id="240"/>
    </w:p>
    <w:p w14:paraId="710DAF98">
      <w:pPr>
        <w:pStyle w:val="4"/>
        <w:snapToGrid w:val="0"/>
        <w:spacing w:before="0" w:line="360" w:lineRule="auto"/>
        <w:rPr>
          <w:rFonts w:ascii="宋体" w:hAnsi="宋体" w:eastAsia="宋体" w:cs="宋体"/>
          <w:snapToGrid w:val="0"/>
          <w:color w:val="auto"/>
          <w:sz w:val="21"/>
          <w:szCs w:val="21"/>
        </w:rPr>
      </w:pPr>
      <w:bookmarkStart w:id="241" w:name="_Toc11901"/>
      <w:bookmarkStart w:id="242" w:name="_Toc277082584"/>
      <w:bookmarkStart w:id="243" w:name="_Toc200513158"/>
      <w:bookmarkStart w:id="244" w:name="_Toc445821125"/>
      <w:bookmarkStart w:id="245" w:name="_Toc287607778"/>
      <w:bookmarkStart w:id="246" w:name="_Toc425350170"/>
      <w:bookmarkStart w:id="247" w:name="_Toc31602"/>
      <w:bookmarkStart w:id="248" w:name="_Toc224103349"/>
      <w:bookmarkStart w:id="249" w:name="_Toc425327680"/>
      <w:bookmarkStart w:id="250" w:name="_Toc1789"/>
      <w:bookmarkStart w:id="251" w:name="_Toc26082"/>
      <w:bookmarkStart w:id="252" w:name="_Toc425327560"/>
      <w:bookmarkStart w:id="253" w:name="_Toc200513160"/>
      <w:r>
        <w:rPr>
          <w:rFonts w:hint="eastAsia" w:ascii="宋体" w:hAnsi="宋体" w:eastAsia="宋体" w:cs="宋体"/>
          <w:snapToGrid w:val="0"/>
          <w:color w:val="auto"/>
          <w:sz w:val="21"/>
          <w:szCs w:val="21"/>
        </w:rPr>
        <w:t>5.1开启竞选文件时间和地点</w:t>
      </w:r>
      <w:bookmarkEnd w:id="241"/>
      <w:bookmarkEnd w:id="242"/>
      <w:bookmarkEnd w:id="243"/>
      <w:bookmarkEnd w:id="244"/>
      <w:bookmarkEnd w:id="245"/>
      <w:bookmarkEnd w:id="246"/>
      <w:bookmarkEnd w:id="247"/>
      <w:bookmarkEnd w:id="248"/>
      <w:bookmarkEnd w:id="249"/>
      <w:bookmarkEnd w:id="250"/>
      <w:bookmarkEnd w:id="251"/>
      <w:bookmarkEnd w:id="252"/>
    </w:p>
    <w:p w14:paraId="2C546DA4">
      <w:pPr>
        <w:autoSpaceDE w:val="0"/>
        <w:autoSpaceDN w:val="0"/>
        <w:adjustRightInd w:val="0"/>
        <w:snapToGrid w:val="0"/>
        <w:spacing w:line="360" w:lineRule="auto"/>
        <w:ind w:firstLine="420"/>
        <w:rPr>
          <w:rFonts w:ascii="宋体" w:hAnsi="宋体" w:cs="宋体"/>
          <w:snapToGrid w:val="0"/>
          <w:color w:val="auto"/>
          <w:kern w:val="0"/>
          <w:szCs w:val="21"/>
        </w:rPr>
      </w:pPr>
      <w:bookmarkStart w:id="254" w:name="_Toc224103350"/>
      <w:bookmarkStart w:id="255" w:name="_Toc425327561"/>
      <w:bookmarkStart w:id="256" w:name="_Toc277082585"/>
      <w:bookmarkStart w:id="257" w:name="_Toc200513159"/>
      <w:bookmarkStart w:id="258" w:name="_Toc445821126"/>
      <w:bookmarkStart w:id="259" w:name="_Toc425350171"/>
      <w:bookmarkStart w:id="260" w:name="_Toc287607779"/>
      <w:bookmarkStart w:id="261" w:name="_Toc425327681"/>
      <w:r>
        <w:rPr>
          <w:rFonts w:hint="eastAsia" w:ascii="宋体" w:hAnsi="宋体" w:cs="宋体"/>
          <w:snapToGrid w:val="0"/>
          <w:color w:val="auto"/>
          <w:kern w:val="0"/>
          <w:szCs w:val="21"/>
        </w:rPr>
        <w:t>见竞选人须知前附表。</w:t>
      </w:r>
    </w:p>
    <w:p w14:paraId="07184FB4">
      <w:pPr>
        <w:pStyle w:val="4"/>
        <w:snapToGrid w:val="0"/>
        <w:spacing w:before="0" w:line="360" w:lineRule="auto"/>
        <w:rPr>
          <w:rFonts w:ascii="宋体" w:hAnsi="宋体" w:eastAsia="宋体" w:cs="宋体"/>
          <w:snapToGrid w:val="0"/>
          <w:color w:val="auto"/>
          <w:sz w:val="21"/>
          <w:szCs w:val="21"/>
        </w:rPr>
      </w:pPr>
      <w:bookmarkStart w:id="262" w:name="_Toc11177"/>
      <w:bookmarkStart w:id="263" w:name="_Toc32113"/>
      <w:bookmarkStart w:id="264" w:name="_Toc31618"/>
      <w:bookmarkStart w:id="265" w:name="_Toc1751"/>
      <w:r>
        <w:rPr>
          <w:rFonts w:hint="eastAsia" w:ascii="宋体" w:hAnsi="宋体" w:eastAsia="宋体" w:cs="宋体"/>
          <w:snapToGrid w:val="0"/>
          <w:color w:val="auto"/>
          <w:sz w:val="21"/>
          <w:szCs w:val="21"/>
        </w:rPr>
        <w:t>5.2开启竞选文件程序</w:t>
      </w:r>
      <w:bookmarkEnd w:id="254"/>
      <w:bookmarkEnd w:id="255"/>
      <w:bookmarkEnd w:id="256"/>
      <w:bookmarkEnd w:id="257"/>
      <w:bookmarkEnd w:id="258"/>
      <w:bookmarkEnd w:id="259"/>
      <w:bookmarkEnd w:id="260"/>
      <w:bookmarkEnd w:id="261"/>
      <w:bookmarkEnd w:id="262"/>
      <w:bookmarkEnd w:id="263"/>
      <w:bookmarkEnd w:id="264"/>
      <w:bookmarkEnd w:id="265"/>
    </w:p>
    <w:p w14:paraId="38DEA0E2">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见竞选人须知前附表。</w:t>
      </w:r>
    </w:p>
    <w:p w14:paraId="14227F21">
      <w:pPr>
        <w:pStyle w:val="3"/>
        <w:textAlignment w:val="baseline"/>
        <w:rPr>
          <w:rFonts w:ascii="宋体" w:hAnsi="宋体" w:eastAsia="宋体" w:cs="宋体"/>
          <w:snapToGrid w:val="0"/>
          <w:color w:val="auto"/>
          <w:spacing w:val="0"/>
          <w:w w:val="100"/>
          <w:sz w:val="21"/>
          <w:szCs w:val="21"/>
        </w:rPr>
      </w:pPr>
      <w:bookmarkStart w:id="266" w:name="_Toc22268"/>
      <w:bookmarkStart w:id="267" w:name="_Toc2331"/>
      <w:bookmarkStart w:id="268" w:name="_Toc444155946"/>
      <w:bookmarkStart w:id="269" w:name="_Toc6159"/>
      <w:bookmarkStart w:id="270" w:name="_Toc5896"/>
      <w:bookmarkStart w:id="271" w:name="_Toc24696"/>
      <w:r>
        <w:rPr>
          <w:rFonts w:hint="eastAsia" w:ascii="宋体" w:hAnsi="宋体" w:eastAsia="宋体" w:cs="宋体"/>
          <w:snapToGrid w:val="0"/>
          <w:color w:val="auto"/>
          <w:spacing w:val="0"/>
          <w:w w:val="100"/>
          <w:sz w:val="21"/>
          <w:szCs w:val="21"/>
        </w:rPr>
        <w:t xml:space="preserve">6. </w:t>
      </w:r>
      <w:bookmarkEnd w:id="253"/>
      <w:bookmarkEnd w:id="266"/>
      <w:bookmarkEnd w:id="267"/>
      <w:bookmarkEnd w:id="268"/>
      <w:r>
        <w:rPr>
          <w:rFonts w:hint="eastAsia" w:ascii="宋体" w:hAnsi="宋体" w:eastAsia="宋体" w:cs="宋体"/>
          <w:snapToGrid w:val="0"/>
          <w:color w:val="auto"/>
          <w:spacing w:val="0"/>
          <w:w w:val="100"/>
          <w:sz w:val="21"/>
          <w:szCs w:val="21"/>
        </w:rPr>
        <w:t>评审</w:t>
      </w:r>
      <w:bookmarkEnd w:id="269"/>
      <w:bookmarkEnd w:id="270"/>
      <w:bookmarkEnd w:id="271"/>
    </w:p>
    <w:p w14:paraId="46A3F91C">
      <w:pPr>
        <w:pStyle w:val="4"/>
        <w:snapToGrid w:val="0"/>
        <w:spacing w:before="0" w:line="360" w:lineRule="auto"/>
        <w:rPr>
          <w:rFonts w:ascii="宋体" w:hAnsi="宋体" w:eastAsia="宋体" w:cs="宋体"/>
          <w:snapToGrid w:val="0"/>
          <w:color w:val="auto"/>
          <w:sz w:val="21"/>
          <w:szCs w:val="21"/>
        </w:rPr>
      </w:pPr>
      <w:bookmarkStart w:id="272" w:name="_Toc444155947"/>
      <w:bookmarkStart w:id="273" w:name="_Toc200513161"/>
      <w:bookmarkStart w:id="274" w:name="_Toc2212"/>
      <w:bookmarkStart w:id="275" w:name="_Toc5489"/>
      <w:bookmarkStart w:id="276" w:name="_Toc24412"/>
      <w:bookmarkStart w:id="277" w:name="_Toc19076"/>
      <w:r>
        <w:rPr>
          <w:rFonts w:hint="eastAsia" w:ascii="宋体" w:hAnsi="宋体" w:eastAsia="宋体" w:cs="宋体"/>
          <w:snapToGrid w:val="0"/>
          <w:color w:val="auto"/>
          <w:sz w:val="21"/>
          <w:szCs w:val="21"/>
        </w:rPr>
        <w:t xml:space="preserve">6.1 </w:t>
      </w:r>
      <w:bookmarkEnd w:id="272"/>
      <w:bookmarkEnd w:id="273"/>
      <w:bookmarkEnd w:id="274"/>
      <w:bookmarkEnd w:id="275"/>
      <w:r>
        <w:rPr>
          <w:rFonts w:hint="eastAsia" w:ascii="宋体" w:hAnsi="宋体" w:eastAsia="宋体" w:cs="宋体"/>
          <w:snapToGrid w:val="0"/>
          <w:color w:val="auto"/>
          <w:sz w:val="21"/>
          <w:szCs w:val="21"/>
        </w:rPr>
        <w:t>评审小组</w:t>
      </w:r>
      <w:bookmarkEnd w:id="276"/>
      <w:bookmarkEnd w:id="277"/>
    </w:p>
    <w:p w14:paraId="2CE82685">
      <w:pPr>
        <w:autoSpaceDE w:val="0"/>
        <w:autoSpaceDN w:val="0"/>
        <w:adjustRightInd w:val="0"/>
        <w:snapToGrid w:val="0"/>
        <w:spacing w:line="360" w:lineRule="auto"/>
        <w:ind w:firstLine="420"/>
        <w:rPr>
          <w:rFonts w:ascii="宋体" w:hAnsi="宋体" w:cs="宋体"/>
          <w:snapToGrid w:val="0"/>
          <w:color w:val="auto"/>
          <w:kern w:val="0"/>
          <w:szCs w:val="21"/>
        </w:rPr>
      </w:pPr>
      <w:bookmarkStart w:id="278" w:name="_Toc200513162"/>
      <w:r>
        <w:rPr>
          <w:rFonts w:hint="eastAsia" w:ascii="宋体" w:hAnsi="宋体" w:cs="宋体"/>
          <w:snapToGrid w:val="0"/>
          <w:color w:val="auto"/>
          <w:kern w:val="0"/>
          <w:szCs w:val="21"/>
        </w:rPr>
        <w:t>6.1.1 评审由评审小组负责。</w:t>
      </w:r>
      <w:bookmarkStart w:id="279" w:name="OLE_LINK139"/>
      <w:bookmarkStart w:id="280" w:name="OLE_LINK140"/>
      <w:r>
        <w:rPr>
          <w:rFonts w:hint="eastAsia" w:ascii="宋体" w:hAnsi="宋体" w:cs="宋体"/>
          <w:snapToGrid w:val="0"/>
          <w:color w:val="auto"/>
          <w:kern w:val="0"/>
          <w:szCs w:val="21"/>
        </w:rPr>
        <w:t>评审小组由</w:t>
      </w:r>
      <w:r>
        <w:rPr>
          <w:rFonts w:hint="eastAsia" w:ascii="宋体" w:hAnsi="宋体" w:cs="宋体"/>
          <w:color w:val="auto"/>
          <w:kern w:val="0"/>
          <w:szCs w:val="21"/>
        </w:rPr>
        <w:t>比选</w:t>
      </w:r>
      <w:r>
        <w:rPr>
          <w:rFonts w:hint="eastAsia" w:ascii="宋体" w:hAnsi="宋体" w:cs="宋体"/>
          <w:snapToGrid w:val="0"/>
          <w:color w:val="auto"/>
          <w:kern w:val="0"/>
          <w:szCs w:val="21"/>
        </w:rPr>
        <w:t>代理机构按相关要求抽取的技术、经济等方面专家组成。评审小组成员人数以及技术、经济等方面专家的确定方式见竞选人须知前附表。</w:t>
      </w:r>
    </w:p>
    <w:bookmarkEnd w:id="279"/>
    <w:bookmarkEnd w:id="280"/>
    <w:p w14:paraId="6214AB62">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6.1.2 评审小组成员有下列情形之一的，应当回避：</w:t>
      </w:r>
    </w:p>
    <w:p w14:paraId="21235F36">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（1）竞选人或竞选人的主要负责人的近亲属；</w:t>
      </w:r>
    </w:p>
    <w:p w14:paraId="76A33D71">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（2）项目主管部门或者行政监督部门的人员；</w:t>
      </w:r>
    </w:p>
    <w:p w14:paraId="58CCE797">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（3）与竞选人有利害关系，可能影响对竞选文件公正评审的；</w:t>
      </w:r>
    </w:p>
    <w:p w14:paraId="7F646A90">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（4）曾因在比选、评审以及其他与招标投标有关活动中从事违法行为而受过行政处罚或刑事处罚的。</w:t>
      </w:r>
    </w:p>
    <w:p w14:paraId="05A92770">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6.1.3 评审过程中，评审小组成员有回避事由、擅离职守或者因健康等原因不能继续评审的，应当及时更换。被更换的评审小组成员作出的评审结论无效，由更换后的评审小组成员重新进行评审。</w:t>
      </w:r>
    </w:p>
    <w:p w14:paraId="7DFEB814">
      <w:pPr>
        <w:pStyle w:val="4"/>
        <w:snapToGrid w:val="0"/>
        <w:spacing w:before="0" w:line="360" w:lineRule="auto"/>
        <w:rPr>
          <w:rFonts w:ascii="宋体" w:hAnsi="宋体" w:eastAsia="宋体" w:cs="宋体"/>
          <w:snapToGrid w:val="0"/>
          <w:color w:val="auto"/>
          <w:sz w:val="21"/>
          <w:szCs w:val="21"/>
        </w:rPr>
      </w:pPr>
      <w:bookmarkStart w:id="281" w:name="_Toc23544"/>
      <w:bookmarkStart w:id="282" w:name="_Toc444155948"/>
      <w:bookmarkStart w:id="283" w:name="_Toc24050"/>
      <w:bookmarkStart w:id="284" w:name="_Toc25157"/>
      <w:bookmarkStart w:id="285" w:name="_Toc25412"/>
      <w:r>
        <w:rPr>
          <w:rFonts w:hint="eastAsia" w:ascii="宋体" w:hAnsi="宋体" w:eastAsia="宋体" w:cs="宋体"/>
          <w:snapToGrid w:val="0"/>
          <w:color w:val="auto"/>
          <w:sz w:val="21"/>
          <w:szCs w:val="21"/>
        </w:rPr>
        <w:t>6.2 评审原则</w:t>
      </w:r>
      <w:bookmarkEnd w:id="278"/>
      <w:bookmarkEnd w:id="281"/>
      <w:bookmarkEnd w:id="282"/>
      <w:bookmarkEnd w:id="283"/>
      <w:bookmarkEnd w:id="284"/>
      <w:bookmarkEnd w:id="285"/>
    </w:p>
    <w:p w14:paraId="0D44675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评审活动遵循公平、公正、科学和择优的原则。</w:t>
      </w:r>
    </w:p>
    <w:p w14:paraId="6C8C52C6">
      <w:pPr>
        <w:pStyle w:val="4"/>
        <w:snapToGrid w:val="0"/>
        <w:spacing w:before="0" w:line="360" w:lineRule="auto"/>
        <w:rPr>
          <w:rFonts w:ascii="宋体" w:hAnsi="宋体" w:eastAsia="宋体" w:cs="宋体"/>
          <w:snapToGrid w:val="0"/>
          <w:color w:val="auto"/>
          <w:sz w:val="21"/>
          <w:szCs w:val="21"/>
        </w:rPr>
      </w:pPr>
      <w:bookmarkStart w:id="286" w:name="_Toc200513163"/>
      <w:bookmarkStart w:id="287" w:name="_Toc26939"/>
      <w:bookmarkStart w:id="288" w:name="_Toc19298"/>
      <w:bookmarkStart w:id="289" w:name="_Toc444155949"/>
      <w:bookmarkStart w:id="290" w:name="_Toc10567"/>
      <w:bookmarkStart w:id="291" w:name="_Toc11346"/>
      <w:r>
        <w:rPr>
          <w:rFonts w:hint="eastAsia" w:ascii="宋体" w:hAnsi="宋体" w:eastAsia="宋体" w:cs="宋体"/>
          <w:snapToGrid w:val="0"/>
          <w:color w:val="auto"/>
          <w:sz w:val="21"/>
          <w:szCs w:val="21"/>
        </w:rPr>
        <w:t xml:space="preserve">6.3 </w:t>
      </w:r>
      <w:bookmarkEnd w:id="286"/>
      <w:bookmarkEnd w:id="287"/>
      <w:bookmarkEnd w:id="288"/>
      <w:bookmarkEnd w:id="289"/>
      <w:r>
        <w:rPr>
          <w:rFonts w:hint="eastAsia" w:ascii="宋体" w:hAnsi="宋体" w:eastAsia="宋体" w:cs="宋体"/>
          <w:snapToGrid w:val="0"/>
          <w:color w:val="auto"/>
          <w:sz w:val="21"/>
          <w:szCs w:val="21"/>
        </w:rPr>
        <w:t>评审</w:t>
      </w:r>
      <w:bookmarkEnd w:id="290"/>
      <w:bookmarkEnd w:id="291"/>
    </w:p>
    <w:p w14:paraId="74836B05">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评审小组按照第三章“评审办法”规定的方法、评审因素、标准和程序对竞选文件进行评审。第三章“评审办法”没有规定的方法、评审因素和标准，不作为评审依据。</w:t>
      </w:r>
    </w:p>
    <w:p w14:paraId="31236854">
      <w:pPr>
        <w:pStyle w:val="3"/>
        <w:rPr>
          <w:rFonts w:ascii="宋体" w:hAnsi="宋体" w:eastAsia="宋体" w:cs="宋体"/>
          <w:snapToGrid w:val="0"/>
          <w:color w:val="auto"/>
          <w:spacing w:val="0"/>
          <w:w w:val="100"/>
          <w:sz w:val="21"/>
          <w:szCs w:val="21"/>
        </w:rPr>
      </w:pPr>
      <w:bookmarkStart w:id="292" w:name="_Toc14750"/>
      <w:bookmarkStart w:id="293" w:name="_Toc444155950"/>
      <w:bookmarkStart w:id="294" w:name="_Toc1965"/>
      <w:bookmarkStart w:id="295" w:name="_Toc25443"/>
      <w:bookmarkStart w:id="296" w:name="_Toc26655"/>
      <w:bookmarkStart w:id="297" w:name="_Toc200513164"/>
      <w:bookmarkStart w:id="298" w:name="_Toc20620"/>
      <w:r>
        <w:rPr>
          <w:rFonts w:hint="eastAsia" w:ascii="宋体" w:hAnsi="宋体" w:eastAsia="宋体" w:cs="宋体"/>
          <w:snapToGrid w:val="0"/>
          <w:color w:val="auto"/>
          <w:spacing w:val="0"/>
          <w:w w:val="100"/>
          <w:sz w:val="21"/>
          <w:szCs w:val="21"/>
        </w:rPr>
        <w:t>7. 合同授予</w:t>
      </w:r>
      <w:bookmarkEnd w:id="292"/>
      <w:bookmarkEnd w:id="293"/>
      <w:bookmarkEnd w:id="294"/>
      <w:bookmarkEnd w:id="295"/>
      <w:bookmarkEnd w:id="296"/>
      <w:bookmarkEnd w:id="297"/>
      <w:bookmarkEnd w:id="298"/>
    </w:p>
    <w:p w14:paraId="05709C8C">
      <w:pPr>
        <w:pStyle w:val="4"/>
        <w:snapToGrid w:val="0"/>
        <w:spacing w:before="0" w:line="360" w:lineRule="auto"/>
        <w:rPr>
          <w:rFonts w:ascii="宋体" w:hAnsi="宋体" w:eastAsia="宋体" w:cs="宋体"/>
          <w:snapToGrid w:val="0"/>
          <w:color w:val="auto"/>
          <w:sz w:val="21"/>
          <w:szCs w:val="21"/>
        </w:rPr>
      </w:pPr>
      <w:bookmarkStart w:id="299" w:name="_Toc444155951"/>
      <w:bookmarkStart w:id="300" w:name="_Toc16724"/>
      <w:bookmarkStart w:id="301" w:name="_Toc26610"/>
      <w:bookmarkStart w:id="302" w:name="_Toc200513165"/>
      <w:bookmarkStart w:id="303" w:name="_Toc11422"/>
      <w:bookmarkStart w:id="304" w:name="_Toc24419"/>
      <w:r>
        <w:rPr>
          <w:rFonts w:hint="eastAsia" w:ascii="宋体" w:hAnsi="宋体" w:eastAsia="宋体" w:cs="宋体"/>
          <w:snapToGrid w:val="0"/>
          <w:color w:val="auto"/>
          <w:sz w:val="21"/>
          <w:szCs w:val="21"/>
        </w:rPr>
        <w:t>7.1 定标方式</w:t>
      </w:r>
      <w:bookmarkEnd w:id="299"/>
      <w:bookmarkEnd w:id="300"/>
      <w:bookmarkEnd w:id="301"/>
      <w:bookmarkEnd w:id="302"/>
      <w:bookmarkEnd w:id="303"/>
      <w:bookmarkEnd w:id="304"/>
    </w:p>
    <w:p w14:paraId="492AFC47">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305" w:name="_Toc200513166"/>
      <w:r>
        <w:rPr>
          <w:rFonts w:hint="eastAsia" w:ascii="宋体" w:hAnsi="宋体" w:cs="宋体"/>
          <w:snapToGrid w:val="0"/>
          <w:color w:val="auto"/>
          <w:kern w:val="0"/>
          <w:szCs w:val="21"/>
        </w:rPr>
        <w:t>比选人应当确定排名第一的</w:t>
      </w:r>
      <w:r>
        <w:rPr>
          <w:rFonts w:hint="eastAsia" w:ascii="宋体" w:hAnsi="宋体" w:cs="宋体"/>
          <w:color w:val="auto"/>
          <w:kern w:val="0"/>
          <w:szCs w:val="21"/>
        </w:rPr>
        <w:t>中选候选人</w:t>
      </w:r>
      <w:r>
        <w:rPr>
          <w:rFonts w:hint="eastAsia" w:ascii="宋体" w:hAnsi="宋体" w:cs="宋体"/>
          <w:snapToGrid w:val="0"/>
          <w:color w:val="auto"/>
          <w:kern w:val="0"/>
          <w:szCs w:val="21"/>
        </w:rPr>
        <w:t>为中选人。排名第一的</w:t>
      </w:r>
      <w:r>
        <w:rPr>
          <w:rFonts w:hint="eastAsia" w:ascii="宋体" w:hAnsi="宋体" w:cs="宋体"/>
          <w:color w:val="auto"/>
          <w:kern w:val="0"/>
          <w:szCs w:val="21"/>
        </w:rPr>
        <w:t>中选候选人</w:t>
      </w:r>
      <w:r>
        <w:rPr>
          <w:rFonts w:hint="eastAsia" w:ascii="宋体" w:hAnsi="宋体" w:cs="宋体"/>
          <w:snapToGrid w:val="0"/>
          <w:color w:val="auto"/>
          <w:kern w:val="0"/>
          <w:szCs w:val="21"/>
        </w:rPr>
        <w:t>放弃中选、因不可抗力不能履行合同、不按照竞争性比选文件要求提交履约保证金，或者被查实存在影响</w:t>
      </w:r>
      <w:r>
        <w:rPr>
          <w:rFonts w:hint="eastAsia" w:ascii="宋体" w:hAnsi="宋体" w:cs="宋体"/>
          <w:color w:val="auto"/>
          <w:kern w:val="0"/>
          <w:szCs w:val="21"/>
        </w:rPr>
        <w:t>中选候选人</w:t>
      </w:r>
      <w:r>
        <w:rPr>
          <w:rFonts w:hint="eastAsia" w:ascii="宋体" w:hAnsi="宋体" w:cs="宋体"/>
          <w:snapToGrid w:val="0"/>
          <w:color w:val="auto"/>
          <w:kern w:val="0"/>
          <w:szCs w:val="21"/>
        </w:rPr>
        <w:t>结果的违法行为等情形，不符合中选条件的，比选人可以按照评审小组提出的</w:t>
      </w:r>
      <w:r>
        <w:rPr>
          <w:rFonts w:hint="eastAsia" w:ascii="宋体" w:hAnsi="宋体" w:cs="宋体"/>
          <w:color w:val="auto"/>
          <w:kern w:val="0"/>
          <w:szCs w:val="21"/>
        </w:rPr>
        <w:t>中选候选人</w:t>
      </w:r>
      <w:r>
        <w:rPr>
          <w:rFonts w:hint="eastAsia" w:ascii="宋体" w:hAnsi="宋体" w:cs="宋体"/>
          <w:snapToGrid w:val="0"/>
          <w:color w:val="auto"/>
          <w:kern w:val="0"/>
          <w:szCs w:val="21"/>
        </w:rPr>
        <w:t>名单排序依次确定其他</w:t>
      </w:r>
      <w:r>
        <w:rPr>
          <w:rFonts w:hint="eastAsia" w:ascii="宋体" w:hAnsi="宋体" w:cs="宋体"/>
          <w:color w:val="auto"/>
          <w:kern w:val="0"/>
          <w:szCs w:val="21"/>
        </w:rPr>
        <w:t>中选候选人</w:t>
      </w:r>
      <w:r>
        <w:rPr>
          <w:rFonts w:hint="eastAsia" w:ascii="宋体" w:hAnsi="宋体" w:cs="宋体"/>
          <w:snapToGrid w:val="0"/>
          <w:color w:val="auto"/>
          <w:kern w:val="0"/>
          <w:szCs w:val="21"/>
        </w:rPr>
        <w:t>为中选人，也可以重新</w:t>
      </w:r>
      <w:r>
        <w:rPr>
          <w:rFonts w:hint="eastAsia" w:ascii="宋体" w:hAnsi="宋体" w:cs="宋体"/>
          <w:color w:val="auto"/>
          <w:kern w:val="0"/>
          <w:szCs w:val="21"/>
        </w:rPr>
        <w:t>比选</w:t>
      </w:r>
      <w:r>
        <w:rPr>
          <w:rFonts w:hint="eastAsia" w:ascii="宋体" w:hAnsi="宋体" w:cs="宋体"/>
          <w:snapToGrid w:val="0"/>
          <w:color w:val="auto"/>
          <w:kern w:val="0"/>
          <w:szCs w:val="21"/>
        </w:rPr>
        <w:t>。</w:t>
      </w:r>
    </w:p>
    <w:p w14:paraId="573F0E00">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评审小组推荐中选候选人的人数见竞选人须知前附表。</w:t>
      </w:r>
    </w:p>
    <w:p w14:paraId="765A7F7D">
      <w:pPr>
        <w:pStyle w:val="4"/>
        <w:snapToGrid w:val="0"/>
        <w:spacing w:before="0" w:line="360" w:lineRule="auto"/>
        <w:rPr>
          <w:rFonts w:ascii="宋体" w:hAnsi="宋体" w:eastAsia="宋体" w:cs="宋体"/>
          <w:snapToGrid w:val="0"/>
          <w:color w:val="auto"/>
          <w:sz w:val="21"/>
          <w:szCs w:val="21"/>
        </w:rPr>
      </w:pPr>
      <w:r>
        <w:rPr>
          <w:rFonts w:hint="eastAsia" w:ascii="宋体" w:hAnsi="宋体" w:eastAsia="宋体" w:cs="宋体"/>
          <w:snapToGrid w:val="0"/>
          <w:color w:val="auto"/>
          <w:sz w:val="21"/>
          <w:szCs w:val="21"/>
        </w:rPr>
        <w:t>7.2  中选候选人公示及中选通知</w:t>
      </w:r>
    </w:p>
    <w:p w14:paraId="0B451794">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比选人在竞选人须知前附表规定的媒介公示中选候选人。</w:t>
      </w:r>
    </w:p>
    <w:p w14:paraId="53ED97EA">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306" w:name="_Toc10580"/>
      <w:bookmarkStart w:id="307" w:name="_Toc9040"/>
      <w:bookmarkStart w:id="308" w:name="_Toc444155952"/>
      <w:bookmarkStart w:id="309" w:name="_Toc27538"/>
      <w:bookmarkStart w:id="310" w:name="_Toc20635"/>
      <w:r>
        <w:rPr>
          <w:rFonts w:hint="eastAsia" w:ascii="宋体" w:hAnsi="宋体" w:cs="宋体"/>
          <w:snapToGrid w:val="0"/>
          <w:color w:val="auto"/>
          <w:kern w:val="0"/>
          <w:szCs w:val="21"/>
        </w:rPr>
        <w:t>在本章第3.3款规定的竞选文件有效期内，且未有竞选人的异议与投诉，比选人以书面形式向中选人发出中选通知书，并将结果通知其他竞选人。</w:t>
      </w:r>
    </w:p>
    <w:bookmarkEnd w:id="305"/>
    <w:bookmarkEnd w:id="306"/>
    <w:bookmarkEnd w:id="307"/>
    <w:bookmarkEnd w:id="308"/>
    <w:bookmarkEnd w:id="309"/>
    <w:bookmarkEnd w:id="310"/>
    <w:p w14:paraId="78F88927">
      <w:pPr>
        <w:pStyle w:val="4"/>
        <w:snapToGrid w:val="0"/>
        <w:spacing w:before="0" w:line="360" w:lineRule="auto"/>
        <w:rPr>
          <w:rFonts w:ascii="宋体" w:hAnsi="宋体" w:eastAsia="宋体" w:cs="宋体"/>
          <w:snapToGrid w:val="0"/>
          <w:color w:val="auto"/>
          <w:sz w:val="21"/>
          <w:szCs w:val="21"/>
        </w:rPr>
      </w:pPr>
      <w:bookmarkStart w:id="311" w:name="_Toc235966566"/>
      <w:bookmarkStart w:id="312" w:name="_Toc444155953"/>
      <w:bookmarkStart w:id="313" w:name="_Toc18079"/>
      <w:bookmarkStart w:id="314" w:name="_Toc32475"/>
      <w:bookmarkStart w:id="315" w:name="_Toc2511"/>
      <w:bookmarkStart w:id="316" w:name="_Toc16084"/>
      <w:bookmarkStart w:id="317" w:name="_Toc200513168"/>
      <w:r>
        <w:rPr>
          <w:rFonts w:hint="eastAsia" w:ascii="宋体" w:hAnsi="宋体" w:eastAsia="宋体" w:cs="宋体"/>
          <w:snapToGrid w:val="0"/>
          <w:color w:val="auto"/>
          <w:sz w:val="21"/>
          <w:szCs w:val="21"/>
        </w:rPr>
        <w:t xml:space="preserve">7.3 </w:t>
      </w:r>
      <w:bookmarkEnd w:id="311"/>
      <w:r>
        <w:rPr>
          <w:rFonts w:hint="eastAsia" w:ascii="宋体" w:hAnsi="宋体" w:eastAsia="宋体" w:cs="宋体"/>
          <w:snapToGrid w:val="0"/>
          <w:color w:val="auto"/>
          <w:sz w:val="21"/>
          <w:szCs w:val="21"/>
        </w:rPr>
        <w:t>履约担保</w:t>
      </w:r>
      <w:bookmarkEnd w:id="312"/>
      <w:bookmarkEnd w:id="313"/>
      <w:bookmarkEnd w:id="314"/>
      <w:bookmarkEnd w:id="315"/>
      <w:bookmarkEnd w:id="316"/>
    </w:p>
    <w:p w14:paraId="0539453A">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7.3.1 在签订合同前，中选人应按竞选人须知前附表规定的金额、担保形式和竞争性比选文件第四章“合同条款及格式”规定的履约担保格式向比选人提交履约担保。并应符合竞选人须知前附表规定的金额、担保形式和竞争性比选文件第四章“合同条款及格式”规定的履约担保格式要求。</w:t>
      </w:r>
    </w:p>
    <w:p w14:paraId="4534FA7E">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7.3.2 中选人不能按本章第7.3.1项要求提交履约担保的，视为放弃中选。</w:t>
      </w:r>
    </w:p>
    <w:p w14:paraId="45C887F9">
      <w:pPr>
        <w:pStyle w:val="4"/>
        <w:snapToGrid w:val="0"/>
        <w:spacing w:before="0" w:line="360" w:lineRule="auto"/>
        <w:rPr>
          <w:rFonts w:ascii="宋体" w:hAnsi="宋体" w:eastAsia="宋体" w:cs="宋体"/>
          <w:snapToGrid w:val="0"/>
          <w:color w:val="auto"/>
          <w:sz w:val="21"/>
          <w:szCs w:val="21"/>
        </w:rPr>
      </w:pPr>
      <w:bookmarkStart w:id="318" w:name="_Toc17711"/>
      <w:bookmarkStart w:id="319" w:name="_Toc29643"/>
      <w:bookmarkStart w:id="320" w:name="_Toc24570"/>
      <w:bookmarkStart w:id="321" w:name="_Toc13455"/>
      <w:bookmarkStart w:id="322" w:name="_Toc444155954"/>
      <w:r>
        <w:rPr>
          <w:rFonts w:hint="eastAsia" w:ascii="宋体" w:hAnsi="宋体" w:eastAsia="宋体" w:cs="宋体"/>
          <w:snapToGrid w:val="0"/>
          <w:color w:val="auto"/>
          <w:sz w:val="21"/>
          <w:szCs w:val="21"/>
        </w:rPr>
        <w:t>7.4 签订合同</w:t>
      </w:r>
      <w:bookmarkEnd w:id="317"/>
      <w:bookmarkEnd w:id="318"/>
      <w:bookmarkEnd w:id="319"/>
      <w:bookmarkEnd w:id="320"/>
      <w:bookmarkEnd w:id="321"/>
      <w:bookmarkEnd w:id="322"/>
    </w:p>
    <w:p w14:paraId="001CD503">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7.4.1 比选人和中选人应当自中选通知书发出之日起30天内，根据竞争性比选文件和中选人的竞选文件订立书面合同。中选人无正当理由拒签合同的，比选人取消其中选资格。</w:t>
      </w:r>
    </w:p>
    <w:p w14:paraId="0A645F60">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7.4.2 发出中选通知书后，比选人无正当理由拒签合同的；给中选人造成损失的，还应当赔偿损失。</w:t>
      </w:r>
    </w:p>
    <w:p w14:paraId="03EBEFDD">
      <w:pPr>
        <w:pStyle w:val="3"/>
        <w:keepNext/>
        <w:keepLines/>
        <w:autoSpaceDE/>
        <w:autoSpaceDN/>
        <w:jc w:val="both"/>
        <w:rPr>
          <w:rFonts w:ascii="宋体" w:hAnsi="宋体" w:eastAsia="宋体" w:cs="宋体"/>
          <w:bCs/>
          <w:color w:val="auto"/>
          <w:spacing w:val="0"/>
          <w:w w:val="100"/>
          <w:kern w:val="0"/>
          <w:sz w:val="21"/>
          <w:szCs w:val="21"/>
        </w:rPr>
      </w:pPr>
      <w:bookmarkStart w:id="323" w:name="_Toc1355"/>
      <w:bookmarkStart w:id="324" w:name="_Toc8469"/>
      <w:bookmarkStart w:id="325" w:name="_Toc200513169"/>
      <w:bookmarkStart w:id="326" w:name="_Toc444155955"/>
      <w:bookmarkStart w:id="327" w:name="_Toc30051"/>
      <w:bookmarkStart w:id="328" w:name="_Toc2419"/>
      <w:bookmarkStart w:id="329" w:name="_Toc5261"/>
      <w:r>
        <w:rPr>
          <w:rFonts w:hint="eastAsia" w:ascii="宋体" w:hAnsi="宋体" w:eastAsia="宋体" w:cs="宋体"/>
          <w:bCs/>
          <w:color w:val="auto"/>
          <w:spacing w:val="0"/>
          <w:w w:val="100"/>
          <w:kern w:val="0"/>
          <w:sz w:val="21"/>
          <w:szCs w:val="21"/>
        </w:rPr>
        <w:t xml:space="preserve">8. </w:t>
      </w:r>
      <w:bookmarkEnd w:id="323"/>
      <w:bookmarkEnd w:id="324"/>
      <w:bookmarkEnd w:id="325"/>
      <w:bookmarkEnd w:id="326"/>
      <w:bookmarkEnd w:id="327"/>
      <w:bookmarkEnd w:id="328"/>
      <w:bookmarkEnd w:id="329"/>
      <w:r>
        <w:rPr>
          <w:rFonts w:hint="eastAsia" w:ascii="宋体" w:hAnsi="宋体" w:eastAsia="宋体" w:cs="宋体"/>
          <w:bCs/>
          <w:color w:val="auto"/>
          <w:spacing w:val="0"/>
          <w:w w:val="100"/>
          <w:kern w:val="0"/>
          <w:sz w:val="21"/>
          <w:szCs w:val="21"/>
        </w:rPr>
        <w:t>重新比选和不再招标</w:t>
      </w:r>
    </w:p>
    <w:p w14:paraId="2820D7FB">
      <w:pPr>
        <w:pStyle w:val="4"/>
        <w:snapToGrid w:val="0"/>
        <w:spacing w:before="0" w:line="360" w:lineRule="auto"/>
        <w:rPr>
          <w:rFonts w:ascii="宋体" w:hAnsi="宋体" w:eastAsia="宋体" w:cs="宋体"/>
          <w:snapToGrid w:val="0"/>
          <w:color w:val="auto"/>
          <w:sz w:val="21"/>
          <w:szCs w:val="21"/>
        </w:rPr>
      </w:pPr>
      <w:bookmarkStart w:id="330" w:name="_Toc200513170"/>
      <w:bookmarkStart w:id="331" w:name="_Toc444155956"/>
      <w:bookmarkStart w:id="332" w:name="_Toc4282"/>
      <w:bookmarkStart w:id="333" w:name="_Toc16885"/>
      <w:bookmarkStart w:id="334" w:name="_Toc4988"/>
      <w:bookmarkStart w:id="335" w:name="_Toc28925"/>
      <w:r>
        <w:rPr>
          <w:rFonts w:hint="eastAsia" w:ascii="宋体" w:hAnsi="宋体" w:eastAsia="宋体" w:cs="宋体"/>
          <w:snapToGrid w:val="0"/>
          <w:color w:val="auto"/>
          <w:sz w:val="21"/>
          <w:szCs w:val="21"/>
        </w:rPr>
        <w:t>8.</w:t>
      </w:r>
      <w:bookmarkEnd w:id="330"/>
      <w:bookmarkEnd w:id="331"/>
      <w:bookmarkEnd w:id="332"/>
      <w:bookmarkEnd w:id="333"/>
      <w:bookmarkEnd w:id="334"/>
      <w:bookmarkEnd w:id="335"/>
      <w:r>
        <w:rPr>
          <w:rFonts w:hint="eastAsia" w:ascii="宋体" w:hAnsi="宋体" w:eastAsia="宋体" w:cs="宋体"/>
          <w:snapToGrid w:val="0"/>
          <w:color w:val="auto"/>
          <w:sz w:val="21"/>
          <w:szCs w:val="21"/>
          <w:lang w:val="en-US" w:eastAsia="zh-CN"/>
        </w:rPr>
        <w:t>1</w:t>
      </w:r>
      <w:r>
        <w:rPr>
          <w:rFonts w:hint="eastAsia" w:ascii="宋体" w:hAnsi="宋体" w:eastAsia="宋体" w:cs="宋体"/>
          <w:snapToGrid w:val="0"/>
          <w:color w:val="auto"/>
          <w:sz w:val="21"/>
          <w:szCs w:val="21"/>
        </w:rPr>
        <w:t>重新比选和不再招标</w:t>
      </w:r>
    </w:p>
    <w:p w14:paraId="5D43A871">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336" w:name="_Toc28991"/>
      <w:r>
        <w:rPr>
          <w:rFonts w:hint="eastAsia" w:ascii="宋体" w:hAnsi="宋体" w:cs="宋体"/>
          <w:snapToGrid w:val="0"/>
          <w:color w:val="auto"/>
          <w:kern w:val="0"/>
          <w:szCs w:val="21"/>
        </w:rPr>
        <w:t>按须知前附表规定执行。</w:t>
      </w:r>
      <w:bookmarkEnd w:id="336"/>
      <w:bookmarkStart w:id="337" w:name="_Toc24265"/>
      <w:bookmarkStart w:id="338" w:name="_Toc444155957"/>
      <w:bookmarkStart w:id="339" w:name="_Toc32764"/>
      <w:bookmarkStart w:id="340" w:name="_Toc200513171"/>
    </w:p>
    <w:bookmarkEnd w:id="337"/>
    <w:bookmarkEnd w:id="338"/>
    <w:bookmarkEnd w:id="339"/>
    <w:bookmarkEnd w:id="340"/>
    <w:p w14:paraId="2C47A233">
      <w:pPr>
        <w:pStyle w:val="3"/>
        <w:rPr>
          <w:rFonts w:ascii="宋体" w:hAnsi="宋体" w:eastAsia="宋体" w:cs="宋体"/>
          <w:snapToGrid w:val="0"/>
          <w:color w:val="auto"/>
          <w:spacing w:val="0"/>
          <w:w w:val="100"/>
          <w:sz w:val="21"/>
          <w:szCs w:val="21"/>
        </w:rPr>
      </w:pPr>
      <w:bookmarkStart w:id="341" w:name="_Toc7282"/>
      <w:bookmarkStart w:id="342" w:name="_Toc200513172"/>
      <w:bookmarkStart w:id="343" w:name="_Toc10320"/>
      <w:bookmarkStart w:id="344" w:name="_Toc12766"/>
      <w:bookmarkStart w:id="345" w:name="_Toc6731"/>
      <w:bookmarkStart w:id="346" w:name="_Toc12698"/>
      <w:bookmarkStart w:id="347" w:name="_Toc444155958"/>
      <w:r>
        <w:rPr>
          <w:rFonts w:hint="eastAsia" w:ascii="宋体" w:hAnsi="宋体" w:eastAsia="宋体" w:cs="宋体"/>
          <w:snapToGrid w:val="0"/>
          <w:color w:val="auto"/>
          <w:spacing w:val="0"/>
          <w:w w:val="100"/>
          <w:sz w:val="21"/>
          <w:szCs w:val="21"/>
        </w:rPr>
        <w:t>9. 纪律和监督</w:t>
      </w:r>
      <w:bookmarkEnd w:id="341"/>
      <w:bookmarkEnd w:id="342"/>
      <w:bookmarkEnd w:id="343"/>
      <w:bookmarkEnd w:id="344"/>
      <w:bookmarkEnd w:id="345"/>
      <w:bookmarkEnd w:id="346"/>
      <w:bookmarkEnd w:id="347"/>
    </w:p>
    <w:p w14:paraId="636CC957">
      <w:pPr>
        <w:pStyle w:val="4"/>
        <w:snapToGrid w:val="0"/>
        <w:spacing w:before="0" w:line="360" w:lineRule="auto"/>
        <w:rPr>
          <w:rFonts w:ascii="宋体" w:hAnsi="宋体" w:eastAsia="宋体" w:cs="宋体"/>
          <w:snapToGrid w:val="0"/>
          <w:color w:val="auto"/>
          <w:sz w:val="21"/>
          <w:szCs w:val="21"/>
        </w:rPr>
      </w:pPr>
      <w:bookmarkStart w:id="348" w:name="_Toc20325"/>
      <w:bookmarkStart w:id="349" w:name="_Toc1584"/>
      <w:bookmarkStart w:id="350" w:name="_Toc200513173"/>
      <w:bookmarkStart w:id="351" w:name="_Toc444155959"/>
      <w:bookmarkStart w:id="352" w:name="_Toc10975"/>
      <w:bookmarkStart w:id="353" w:name="_Toc13293"/>
      <w:r>
        <w:rPr>
          <w:rFonts w:hint="eastAsia" w:ascii="宋体" w:hAnsi="宋体" w:eastAsia="宋体" w:cs="宋体"/>
          <w:snapToGrid w:val="0"/>
          <w:color w:val="auto"/>
          <w:sz w:val="21"/>
          <w:szCs w:val="21"/>
        </w:rPr>
        <w:t>9.1 对比选人的纪律要求</w:t>
      </w:r>
      <w:bookmarkEnd w:id="348"/>
      <w:bookmarkEnd w:id="349"/>
      <w:bookmarkEnd w:id="350"/>
      <w:bookmarkEnd w:id="351"/>
      <w:bookmarkEnd w:id="352"/>
      <w:bookmarkEnd w:id="353"/>
    </w:p>
    <w:p w14:paraId="2C801B02">
      <w:pPr>
        <w:adjustRightInd w:val="0"/>
        <w:snapToGrid w:val="0"/>
        <w:spacing w:line="360" w:lineRule="auto"/>
        <w:ind w:firstLine="365" w:firstLineChars="174"/>
        <w:rPr>
          <w:rFonts w:ascii="宋体" w:hAnsi="宋体" w:cs="宋体"/>
          <w:color w:val="auto"/>
          <w:kern w:val="0"/>
          <w:szCs w:val="21"/>
        </w:rPr>
      </w:pPr>
      <w:bookmarkStart w:id="354" w:name="_Toc200513174"/>
      <w:r>
        <w:rPr>
          <w:rFonts w:hint="eastAsia" w:ascii="宋体" w:hAnsi="宋体" w:cs="宋体"/>
          <w:color w:val="auto"/>
        </w:rPr>
        <w:t>比选人不得泄露比选竞选活动中应当保密的情况和资料，不得与竞选人串通损害国家利益、社会公共利益或者他人合法权益。</w:t>
      </w:r>
    </w:p>
    <w:p w14:paraId="2A8B6E82">
      <w:pPr>
        <w:pStyle w:val="4"/>
        <w:snapToGrid w:val="0"/>
        <w:spacing w:before="0" w:line="360" w:lineRule="auto"/>
        <w:rPr>
          <w:rFonts w:ascii="宋体" w:hAnsi="宋体" w:eastAsia="宋体" w:cs="宋体"/>
          <w:snapToGrid w:val="0"/>
          <w:color w:val="auto"/>
          <w:sz w:val="21"/>
          <w:szCs w:val="21"/>
        </w:rPr>
      </w:pPr>
      <w:bookmarkStart w:id="355" w:name="_Toc6290"/>
      <w:bookmarkStart w:id="356" w:name="_Toc444155960"/>
      <w:bookmarkStart w:id="357" w:name="_Toc1290"/>
      <w:bookmarkStart w:id="358" w:name="_Toc31876"/>
      <w:bookmarkStart w:id="359" w:name="_Toc22066"/>
      <w:r>
        <w:rPr>
          <w:rFonts w:hint="eastAsia" w:ascii="宋体" w:hAnsi="宋体" w:eastAsia="宋体" w:cs="宋体"/>
          <w:snapToGrid w:val="0"/>
          <w:color w:val="auto"/>
          <w:sz w:val="21"/>
          <w:szCs w:val="21"/>
        </w:rPr>
        <w:t>9.2 对竞选人的纪律要求</w:t>
      </w:r>
      <w:bookmarkEnd w:id="354"/>
      <w:bookmarkEnd w:id="355"/>
      <w:bookmarkEnd w:id="356"/>
      <w:bookmarkEnd w:id="357"/>
      <w:bookmarkEnd w:id="358"/>
      <w:bookmarkEnd w:id="359"/>
    </w:p>
    <w:p w14:paraId="3E3B03D8">
      <w:pPr>
        <w:adjustRightInd w:val="0"/>
        <w:snapToGrid w:val="0"/>
        <w:spacing w:line="360" w:lineRule="auto"/>
        <w:ind w:firstLine="420" w:firstLineChars="200"/>
        <w:rPr>
          <w:rFonts w:ascii="宋体" w:hAnsi="宋体" w:cs="宋体"/>
          <w:color w:val="auto"/>
          <w:kern w:val="0"/>
          <w:szCs w:val="21"/>
        </w:rPr>
      </w:pPr>
      <w:bookmarkStart w:id="360" w:name="_Toc200513175"/>
      <w:r>
        <w:rPr>
          <w:rFonts w:hint="eastAsia" w:ascii="宋体" w:hAnsi="宋体" w:cs="宋体"/>
          <w:color w:val="auto"/>
        </w:rPr>
        <w:t>竞选人不得相互串通竞选或者与比选人串通竞选，不得向比选人或者评审小组成员行贿谋取中选，不得以他人名义竞选或者以其他方式弄虚作假骗取中选；竞选人不得以任何方式干扰、影响评审工作。</w:t>
      </w:r>
    </w:p>
    <w:p w14:paraId="67352175">
      <w:pPr>
        <w:pStyle w:val="4"/>
        <w:snapToGrid w:val="0"/>
        <w:spacing w:before="0" w:line="360" w:lineRule="auto"/>
        <w:rPr>
          <w:rFonts w:ascii="宋体" w:hAnsi="宋体" w:eastAsia="宋体" w:cs="宋体"/>
          <w:snapToGrid w:val="0"/>
          <w:color w:val="auto"/>
          <w:sz w:val="21"/>
          <w:szCs w:val="21"/>
        </w:rPr>
      </w:pPr>
      <w:bookmarkStart w:id="361" w:name="_Toc444155961"/>
      <w:bookmarkStart w:id="362" w:name="_Toc21499"/>
      <w:bookmarkStart w:id="363" w:name="_Toc30953"/>
      <w:bookmarkStart w:id="364" w:name="_Toc13155"/>
      <w:bookmarkStart w:id="365" w:name="_Toc24095"/>
      <w:r>
        <w:rPr>
          <w:rFonts w:hint="eastAsia" w:ascii="宋体" w:hAnsi="宋体" w:eastAsia="宋体" w:cs="宋体"/>
          <w:snapToGrid w:val="0"/>
          <w:color w:val="auto"/>
          <w:sz w:val="21"/>
          <w:szCs w:val="21"/>
        </w:rPr>
        <w:t>9.3 对评审小组成员的纪律要求</w:t>
      </w:r>
      <w:bookmarkEnd w:id="360"/>
      <w:bookmarkEnd w:id="361"/>
      <w:bookmarkEnd w:id="362"/>
      <w:bookmarkEnd w:id="363"/>
      <w:bookmarkEnd w:id="364"/>
      <w:bookmarkEnd w:id="365"/>
    </w:p>
    <w:p w14:paraId="5A03C658">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color w:val="auto"/>
        </w:rPr>
        <w:t>评审小组成员不得收受他人的财物或者其他好处，不得向他人透露对竞选文件的评审和比较、中选候选人的推荐情况以及评审有关的其他情况。在评审活动中，评审小组成员应当客观、公正地履行职责，遵守职业道德，不得擅离职守，影响评审程序正常进行，不得使用第</w:t>
      </w:r>
      <w:r>
        <w:rPr>
          <w:rFonts w:hint="eastAsia" w:ascii="宋体" w:hAnsi="宋体" w:cs="宋体"/>
          <w:color w:val="auto"/>
          <w:position w:val="-1"/>
        </w:rPr>
        <w:t>三章“评审办法”没有规定的评审因素和标准进行评审。</w:t>
      </w:r>
    </w:p>
    <w:p w14:paraId="08751A07">
      <w:pPr>
        <w:pStyle w:val="4"/>
        <w:snapToGrid w:val="0"/>
        <w:spacing w:before="0" w:line="360" w:lineRule="auto"/>
        <w:rPr>
          <w:rFonts w:ascii="宋体" w:hAnsi="宋体" w:eastAsia="宋体" w:cs="宋体"/>
          <w:snapToGrid w:val="0"/>
          <w:color w:val="auto"/>
          <w:sz w:val="21"/>
          <w:szCs w:val="21"/>
        </w:rPr>
      </w:pPr>
      <w:bookmarkStart w:id="366" w:name="_Toc8486"/>
      <w:bookmarkStart w:id="367" w:name="_Toc18998"/>
      <w:bookmarkStart w:id="368" w:name="_Toc20019"/>
      <w:bookmarkStart w:id="369" w:name="_Toc200513176"/>
      <w:bookmarkStart w:id="370" w:name="_Toc444155962"/>
      <w:bookmarkStart w:id="371" w:name="_Toc12062"/>
      <w:r>
        <w:rPr>
          <w:rFonts w:hint="eastAsia" w:ascii="宋体" w:hAnsi="宋体" w:eastAsia="宋体" w:cs="宋体"/>
          <w:snapToGrid w:val="0"/>
          <w:color w:val="auto"/>
          <w:sz w:val="21"/>
          <w:szCs w:val="21"/>
        </w:rPr>
        <w:t>9.4 对与评审活动有关的工作人员的纪律要求</w:t>
      </w:r>
      <w:bookmarkEnd w:id="366"/>
      <w:bookmarkEnd w:id="367"/>
      <w:bookmarkEnd w:id="368"/>
      <w:bookmarkEnd w:id="369"/>
      <w:bookmarkEnd w:id="370"/>
      <w:bookmarkEnd w:id="371"/>
    </w:p>
    <w:p w14:paraId="54E7018D">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color w:val="auto"/>
        </w:rPr>
        <w:t>与评审活动有关的工作人员不得收受他人的财物或者其他好处，不得向他人透露对竞选文件的评审和比较、中选候选人的推荐情况以及评审有关的其他情况。在评审活动中，与评审活动有关的工作人员不得擅离职守，影响评审程序正常进行。</w:t>
      </w:r>
    </w:p>
    <w:p w14:paraId="76DD9322">
      <w:pPr>
        <w:pStyle w:val="4"/>
        <w:snapToGrid w:val="0"/>
        <w:spacing w:before="0" w:line="360" w:lineRule="auto"/>
        <w:rPr>
          <w:rFonts w:ascii="宋体" w:hAnsi="宋体" w:eastAsia="宋体" w:cs="宋体"/>
          <w:snapToGrid w:val="0"/>
          <w:color w:val="auto"/>
          <w:sz w:val="21"/>
          <w:szCs w:val="21"/>
        </w:rPr>
      </w:pPr>
      <w:bookmarkStart w:id="372" w:name="_Toc22229"/>
      <w:bookmarkStart w:id="373" w:name="_Toc444155963"/>
      <w:bookmarkStart w:id="374" w:name="_Toc18718"/>
      <w:bookmarkStart w:id="375" w:name="_Toc9829"/>
      <w:bookmarkStart w:id="376" w:name="_Toc200513177"/>
      <w:bookmarkStart w:id="377" w:name="_Toc22328"/>
      <w:bookmarkStart w:id="378" w:name="OLE_LINK141"/>
      <w:bookmarkStart w:id="379" w:name="OLE_LINK143"/>
      <w:bookmarkStart w:id="380" w:name="OLE_LINK142"/>
      <w:r>
        <w:rPr>
          <w:rFonts w:hint="eastAsia" w:ascii="宋体" w:hAnsi="宋体" w:eastAsia="宋体" w:cs="宋体"/>
          <w:snapToGrid w:val="0"/>
          <w:color w:val="auto"/>
          <w:sz w:val="21"/>
          <w:szCs w:val="21"/>
        </w:rPr>
        <w:t>9.5 投诉</w:t>
      </w:r>
      <w:bookmarkEnd w:id="372"/>
      <w:bookmarkEnd w:id="373"/>
      <w:bookmarkEnd w:id="374"/>
      <w:bookmarkEnd w:id="375"/>
      <w:bookmarkEnd w:id="376"/>
      <w:bookmarkEnd w:id="377"/>
    </w:p>
    <w:p w14:paraId="14576367">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竞选人和其他利害关系人认为本次比选活动违反法律、法规和规章规定的，有权向有关行政监督部门投诉。</w:t>
      </w:r>
    </w:p>
    <w:bookmarkEnd w:id="378"/>
    <w:bookmarkEnd w:id="379"/>
    <w:bookmarkEnd w:id="380"/>
    <w:p w14:paraId="2B172754">
      <w:pPr>
        <w:pStyle w:val="3"/>
        <w:keepNext/>
        <w:keepLines/>
        <w:pageBreakBefore w:val="0"/>
        <w:widowControl w:val="0"/>
        <w:kinsoku/>
        <w:wordWrap/>
        <w:overflowPunct/>
        <w:topLinePunct w:val="0"/>
        <w:autoSpaceDE/>
        <w:autoSpaceDN/>
        <w:bidi w:val="0"/>
        <w:adjustRightInd w:val="0"/>
        <w:snapToGrid w:val="0"/>
        <w:ind w:firstLine="0" w:firstLineChars="0"/>
        <w:jc w:val="both"/>
        <w:textAlignment w:val="auto"/>
        <w:rPr>
          <w:rFonts w:ascii="宋体" w:hAnsi="宋体" w:eastAsia="宋体" w:cs="宋体"/>
          <w:bCs/>
          <w:color w:val="auto"/>
          <w:spacing w:val="0"/>
          <w:w w:val="100"/>
          <w:kern w:val="0"/>
          <w:sz w:val="21"/>
          <w:szCs w:val="21"/>
        </w:rPr>
      </w:pPr>
      <w:bookmarkStart w:id="381" w:name="_Toc14781"/>
      <w:bookmarkStart w:id="382" w:name="_Toc200513178"/>
      <w:bookmarkStart w:id="383" w:name="_Toc22950"/>
      <w:bookmarkStart w:id="384" w:name="_Toc10393"/>
      <w:bookmarkStart w:id="385" w:name="_Toc23374"/>
      <w:bookmarkStart w:id="386" w:name="_Toc444155964"/>
      <w:bookmarkStart w:id="387" w:name="_Toc21517"/>
      <w:r>
        <w:rPr>
          <w:rFonts w:hint="eastAsia" w:ascii="宋体" w:hAnsi="宋体" w:eastAsia="宋体" w:cs="宋体"/>
          <w:bCs/>
          <w:color w:val="auto"/>
          <w:spacing w:val="0"/>
          <w:w w:val="100"/>
          <w:kern w:val="0"/>
          <w:sz w:val="21"/>
          <w:szCs w:val="21"/>
        </w:rPr>
        <w:t>10. 需要补充的其他内容</w:t>
      </w:r>
      <w:bookmarkEnd w:id="381"/>
      <w:bookmarkEnd w:id="382"/>
      <w:bookmarkEnd w:id="383"/>
      <w:bookmarkEnd w:id="384"/>
      <w:bookmarkEnd w:id="385"/>
      <w:bookmarkEnd w:id="386"/>
      <w:bookmarkEnd w:id="387"/>
    </w:p>
    <w:p w14:paraId="11017296">
      <w:pPr>
        <w:autoSpaceDE w:val="0"/>
        <w:autoSpaceDN w:val="0"/>
        <w:adjustRightInd w:val="0"/>
        <w:snapToGrid w:val="0"/>
        <w:spacing w:line="360" w:lineRule="auto"/>
        <w:ind w:firstLine="420"/>
        <w:jc w:val="left"/>
        <w:rPr>
          <w:rFonts w:ascii="宋体" w:hAnsi="宋体" w:cs="宋体"/>
          <w:snapToGrid w:val="0"/>
          <w:color w:val="auto"/>
          <w:kern w:val="0"/>
        </w:rPr>
      </w:pPr>
      <w:r>
        <w:rPr>
          <w:rFonts w:hint="eastAsia" w:ascii="宋体" w:hAnsi="宋体" w:cs="宋体"/>
          <w:snapToGrid w:val="0"/>
          <w:color w:val="auto"/>
          <w:kern w:val="0"/>
          <w:szCs w:val="21"/>
        </w:rPr>
        <w:t>需要补充的其他内容：见竞选人须知前附表。</w:t>
      </w:r>
    </w:p>
    <w:p w14:paraId="6D21CD51">
      <w:pPr>
        <w:autoSpaceDE w:val="0"/>
        <w:autoSpaceDN w:val="0"/>
        <w:adjustRightInd w:val="0"/>
        <w:snapToGrid w:val="0"/>
        <w:spacing w:line="360" w:lineRule="auto"/>
        <w:jc w:val="left"/>
        <w:rPr>
          <w:rFonts w:ascii="宋体" w:hAnsi="宋体" w:cs="宋体"/>
          <w:snapToGrid w:val="0"/>
          <w:color w:val="auto"/>
          <w:kern w:val="0"/>
          <w:szCs w:val="21"/>
        </w:rPr>
      </w:pPr>
    </w:p>
    <w:p w14:paraId="2B26BE62">
      <w:pPr>
        <w:pStyle w:val="2"/>
        <w:numPr>
          <w:ilvl w:val="0"/>
          <w:numId w:val="0"/>
        </w:numPr>
        <w:rPr>
          <w:rFonts w:ascii="宋体" w:hAnsi="宋体" w:eastAsia="宋体" w:cs="宋体"/>
          <w:color w:val="auto"/>
        </w:rPr>
      </w:pPr>
      <w:r>
        <w:rPr>
          <w:rFonts w:hint="eastAsia" w:ascii="宋体" w:hAnsi="宋体" w:eastAsia="宋体" w:cs="宋体"/>
          <w:b/>
          <w:color w:val="auto"/>
          <w:kern w:val="0"/>
        </w:rPr>
        <w:br w:type="page"/>
      </w:r>
      <w:bookmarkStart w:id="388" w:name="_Toc10625"/>
      <w:bookmarkStart w:id="389" w:name="_Toc11534"/>
      <w:bookmarkStart w:id="390" w:name="_Toc17243"/>
      <w:bookmarkStart w:id="391" w:name="_Toc444155965"/>
      <w:bookmarkStart w:id="392" w:name="_Toc440022824"/>
      <w:bookmarkStart w:id="393" w:name="_Toc18073"/>
      <w:bookmarkStart w:id="394" w:name="_Toc10009"/>
      <w:r>
        <w:rPr>
          <w:rFonts w:hint="eastAsia" w:ascii="宋体" w:hAnsi="宋体" w:eastAsia="宋体" w:cs="宋体"/>
          <w:b/>
          <w:color w:val="auto"/>
          <w:kern w:val="0"/>
          <w:sz w:val="36"/>
          <w:szCs w:val="36"/>
        </w:rPr>
        <w:t>第三章 评审办法</w:t>
      </w:r>
      <w:bookmarkEnd w:id="388"/>
      <w:bookmarkEnd w:id="389"/>
      <w:bookmarkEnd w:id="390"/>
      <w:bookmarkEnd w:id="391"/>
      <w:bookmarkEnd w:id="392"/>
      <w:bookmarkEnd w:id="393"/>
      <w:r>
        <w:rPr>
          <w:rFonts w:hint="eastAsia" w:ascii="宋体" w:hAnsi="宋体" w:eastAsia="宋体" w:cs="宋体"/>
          <w:b/>
          <w:color w:val="auto"/>
          <w:kern w:val="0"/>
          <w:sz w:val="36"/>
          <w:szCs w:val="36"/>
        </w:rPr>
        <w:t>（综合评审法）</w:t>
      </w:r>
      <w:bookmarkEnd w:id="394"/>
    </w:p>
    <w:p w14:paraId="3970F37F">
      <w:pPr>
        <w:keepNext/>
        <w:keepLines/>
        <w:adjustRightInd w:val="0"/>
        <w:snapToGrid w:val="0"/>
        <w:spacing w:line="400" w:lineRule="exact"/>
        <w:outlineLvl w:val="1"/>
        <w:rPr>
          <w:rFonts w:ascii="宋体" w:hAnsi="宋体" w:cs="宋体"/>
          <w:b/>
          <w:color w:val="auto"/>
          <w:spacing w:val="1"/>
          <w:szCs w:val="21"/>
        </w:rPr>
      </w:pPr>
      <w:bookmarkStart w:id="395" w:name="_Toc27076"/>
      <w:r>
        <w:rPr>
          <w:rFonts w:hint="eastAsia" w:ascii="宋体" w:hAnsi="宋体" w:cs="宋体"/>
          <w:b/>
          <w:color w:val="auto"/>
          <w:spacing w:val="1"/>
          <w:szCs w:val="21"/>
        </w:rPr>
        <w:t>评审办法前附表</w:t>
      </w:r>
      <w:bookmarkEnd w:id="395"/>
    </w:p>
    <w:p w14:paraId="4C6D0057">
      <w:pPr>
        <w:adjustRightInd w:val="0"/>
        <w:snapToGrid w:val="0"/>
        <w:spacing w:line="400" w:lineRule="exact"/>
        <w:ind w:firstLine="427" w:firstLineChars="196"/>
        <w:rPr>
          <w:rFonts w:ascii="宋体" w:hAnsi="宋体" w:cs="宋体"/>
          <w:color w:val="auto"/>
          <w:spacing w:val="4"/>
          <w:kern w:val="0"/>
          <w:szCs w:val="21"/>
        </w:rPr>
      </w:pPr>
      <w:r>
        <w:rPr>
          <w:rFonts w:hint="eastAsia" w:ascii="宋体" w:hAnsi="宋体" w:cs="宋体"/>
          <w:color w:val="auto"/>
          <w:spacing w:val="4"/>
          <w:kern w:val="0"/>
          <w:szCs w:val="21"/>
        </w:rPr>
        <w:t>评审办法前附表与正文不一致的，以评审办法前附表为准。</w:t>
      </w:r>
    </w:p>
    <w:tbl>
      <w:tblPr>
        <w:tblStyle w:val="49"/>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643"/>
        <w:gridCol w:w="510"/>
        <w:gridCol w:w="197"/>
        <w:gridCol w:w="1351"/>
        <w:gridCol w:w="2091"/>
        <w:gridCol w:w="3845"/>
      </w:tblGrid>
      <w:tr w14:paraId="1AF4D3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76" w:type="dxa"/>
            <w:gridSpan w:val="2"/>
            <w:noWrap w:val="0"/>
            <w:vAlign w:val="center"/>
          </w:tcPr>
          <w:p w14:paraId="1D24190E">
            <w:pPr>
              <w:spacing w:line="400" w:lineRule="exact"/>
              <w:jc w:val="center"/>
              <w:rPr>
                <w:rFonts w:ascii="宋体" w:hAnsi="宋体" w:cs="宋体"/>
                <w:b/>
                <w:color w:val="auto"/>
                <w:kern w:val="0"/>
                <w:szCs w:val="22"/>
              </w:rPr>
            </w:pPr>
            <w:bookmarkStart w:id="396" w:name="_Toc27466"/>
            <w:bookmarkStart w:id="397" w:name="_Toc377115418"/>
            <w:bookmarkStart w:id="398" w:name="_Toc440022826"/>
            <w:bookmarkStart w:id="399" w:name="_Toc32032"/>
            <w:bookmarkStart w:id="400" w:name="_Toc636"/>
            <w:bookmarkStart w:id="401" w:name="_Toc21111"/>
            <w:bookmarkStart w:id="402" w:name="_Toc444155967"/>
            <w:bookmarkStart w:id="403" w:name="_Toc27912"/>
            <w:bookmarkStart w:id="404" w:name="_Toc376114119"/>
            <w:bookmarkStart w:id="405" w:name="_Toc377067338"/>
            <w:bookmarkStart w:id="406" w:name="_Toc407195378"/>
            <w:r>
              <w:rPr>
                <w:rFonts w:hint="eastAsia" w:ascii="宋体" w:hAnsi="宋体" w:cs="宋体"/>
                <w:b/>
                <w:color w:val="auto"/>
                <w:kern w:val="0"/>
                <w:szCs w:val="22"/>
              </w:rPr>
              <w:t>条款号</w:t>
            </w:r>
          </w:p>
        </w:tc>
        <w:tc>
          <w:tcPr>
            <w:tcW w:w="2058" w:type="dxa"/>
            <w:gridSpan w:val="3"/>
            <w:noWrap w:val="0"/>
            <w:vAlign w:val="center"/>
          </w:tcPr>
          <w:p w14:paraId="0088ABE9">
            <w:pPr>
              <w:spacing w:line="400" w:lineRule="exact"/>
              <w:jc w:val="center"/>
              <w:rPr>
                <w:rFonts w:ascii="宋体" w:hAnsi="宋体" w:cs="宋体"/>
                <w:b/>
                <w:color w:val="auto"/>
                <w:kern w:val="0"/>
                <w:szCs w:val="22"/>
              </w:rPr>
            </w:pPr>
            <w:r>
              <w:rPr>
                <w:rFonts w:hint="eastAsia" w:ascii="宋体" w:hAnsi="宋体" w:cs="宋体"/>
                <w:b/>
                <w:color w:val="auto"/>
                <w:kern w:val="0"/>
                <w:szCs w:val="22"/>
              </w:rPr>
              <w:t>评审因素</w:t>
            </w:r>
          </w:p>
        </w:tc>
        <w:tc>
          <w:tcPr>
            <w:tcW w:w="5936" w:type="dxa"/>
            <w:gridSpan w:val="2"/>
            <w:noWrap w:val="0"/>
            <w:vAlign w:val="center"/>
          </w:tcPr>
          <w:p w14:paraId="49BB5591">
            <w:pPr>
              <w:spacing w:line="400" w:lineRule="exact"/>
              <w:jc w:val="center"/>
              <w:rPr>
                <w:rFonts w:ascii="宋体" w:hAnsi="宋体" w:cs="宋体"/>
                <w:b/>
                <w:color w:val="auto"/>
                <w:kern w:val="0"/>
                <w:szCs w:val="22"/>
              </w:rPr>
            </w:pPr>
            <w:r>
              <w:rPr>
                <w:rFonts w:hint="eastAsia" w:ascii="宋体" w:hAnsi="宋体" w:cs="宋体"/>
                <w:b/>
                <w:color w:val="auto"/>
                <w:kern w:val="0"/>
                <w:szCs w:val="22"/>
              </w:rPr>
              <w:t>评审标准</w:t>
            </w:r>
          </w:p>
        </w:tc>
      </w:tr>
      <w:tr w14:paraId="0932A2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76" w:type="dxa"/>
            <w:gridSpan w:val="2"/>
            <w:noWrap w:val="0"/>
            <w:vAlign w:val="center"/>
          </w:tcPr>
          <w:p w14:paraId="47081974">
            <w:pPr>
              <w:spacing w:line="400" w:lineRule="exact"/>
              <w:jc w:val="center"/>
              <w:rPr>
                <w:rFonts w:ascii="宋体" w:hAnsi="宋体" w:cs="宋体"/>
                <w:color w:val="auto"/>
                <w:kern w:val="0"/>
                <w:szCs w:val="22"/>
              </w:rPr>
            </w:pPr>
            <w:r>
              <w:rPr>
                <w:rFonts w:hint="eastAsia" w:ascii="宋体" w:hAnsi="宋体" w:cs="宋体"/>
                <w:color w:val="auto"/>
                <w:kern w:val="0"/>
                <w:szCs w:val="22"/>
              </w:rPr>
              <w:t>1</w:t>
            </w:r>
          </w:p>
        </w:tc>
        <w:tc>
          <w:tcPr>
            <w:tcW w:w="2058" w:type="dxa"/>
            <w:gridSpan w:val="3"/>
            <w:noWrap w:val="0"/>
            <w:vAlign w:val="center"/>
          </w:tcPr>
          <w:p w14:paraId="294DC536">
            <w:pPr>
              <w:spacing w:line="400" w:lineRule="exact"/>
              <w:jc w:val="center"/>
              <w:rPr>
                <w:rFonts w:ascii="宋体" w:hAnsi="宋体" w:cs="宋体"/>
                <w:color w:val="auto"/>
                <w:kern w:val="0"/>
                <w:szCs w:val="22"/>
              </w:rPr>
            </w:pPr>
            <w:r>
              <w:rPr>
                <w:rFonts w:hint="eastAsia" w:ascii="宋体" w:hAnsi="宋体" w:cs="宋体"/>
                <w:color w:val="auto"/>
                <w:kern w:val="0"/>
                <w:szCs w:val="22"/>
              </w:rPr>
              <w:t>评审办法</w:t>
            </w:r>
          </w:p>
        </w:tc>
        <w:tc>
          <w:tcPr>
            <w:tcW w:w="5936" w:type="dxa"/>
            <w:gridSpan w:val="2"/>
            <w:noWrap w:val="0"/>
            <w:vAlign w:val="center"/>
          </w:tcPr>
          <w:p w14:paraId="1DF312BF">
            <w:pPr>
              <w:spacing w:line="400" w:lineRule="exact"/>
              <w:ind w:firstLine="420" w:firstLineChars="200"/>
              <w:jc w:val="left"/>
              <w:rPr>
                <w:rFonts w:ascii="宋体" w:hAnsi="宋体" w:cs="宋体"/>
                <w:color w:val="auto"/>
                <w:kern w:val="0"/>
                <w:szCs w:val="22"/>
              </w:rPr>
            </w:pPr>
            <w:r>
              <w:rPr>
                <w:rFonts w:hint="eastAsia" w:ascii="宋体" w:hAnsi="宋体" w:cs="宋体"/>
                <w:color w:val="auto"/>
                <w:kern w:val="0"/>
                <w:szCs w:val="21"/>
              </w:rPr>
              <w:t>本次评审采用综合评估法</w:t>
            </w:r>
            <w:r>
              <w:rPr>
                <w:rFonts w:hint="eastAsia" w:ascii="宋体" w:hAnsi="宋体" w:cs="宋体"/>
                <w:color w:val="auto"/>
                <w:spacing w:val="-47"/>
                <w:kern w:val="0"/>
                <w:szCs w:val="21"/>
              </w:rPr>
              <w:t>。</w:t>
            </w:r>
            <w:r>
              <w:rPr>
                <w:rFonts w:hint="eastAsia" w:ascii="宋体" w:hAnsi="宋体" w:cs="宋体"/>
                <w:color w:val="auto"/>
                <w:kern w:val="0"/>
                <w:szCs w:val="21"/>
              </w:rPr>
              <w:t>评审小组按照本章第</w:t>
            </w:r>
            <w:r>
              <w:rPr>
                <w:rFonts w:hint="eastAsia" w:ascii="宋体" w:hAnsi="宋体" w:cs="宋体"/>
                <w:color w:val="auto"/>
                <w:spacing w:val="1"/>
                <w:kern w:val="0"/>
                <w:szCs w:val="21"/>
              </w:rPr>
              <w:t>2</w:t>
            </w:r>
            <w:r>
              <w:rPr>
                <w:rFonts w:hint="eastAsia" w:ascii="宋体" w:hAnsi="宋体" w:cs="宋体"/>
                <w:color w:val="auto"/>
                <w:spacing w:val="-1"/>
                <w:kern w:val="0"/>
                <w:szCs w:val="21"/>
              </w:rPr>
              <w:t>.</w:t>
            </w:r>
            <w:r>
              <w:rPr>
                <w:rFonts w:hint="eastAsia" w:ascii="宋体" w:hAnsi="宋体" w:cs="宋体"/>
                <w:color w:val="auto"/>
                <w:kern w:val="0"/>
                <w:szCs w:val="21"/>
              </w:rPr>
              <w:t>2款</w:t>
            </w:r>
            <w:r>
              <w:rPr>
                <w:rFonts w:hint="eastAsia" w:ascii="宋体" w:hAnsi="宋体" w:cs="宋体"/>
                <w:color w:val="auto"/>
                <w:spacing w:val="-1"/>
                <w:kern w:val="0"/>
                <w:szCs w:val="21"/>
              </w:rPr>
              <w:t>规</w:t>
            </w:r>
            <w:r>
              <w:rPr>
                <w:rFonts w:hint="eastAsia" w:ascii="宋体" w:hAnsi="宋体" w:cs="宋体"/>
                <w:color w:val="auto"/>
                <w:kern w:val="0"/>
                <w:szCs w:val="21"/>
              </w:rPr>
              <w:t>定的评分标准进行评分，按得分由高到低顺序推荐中选候选人</w:t>
            </w:r>
            <w:r>
              <w:rPr>
                <w:rFonts w:hint="eastAsia" w:ascii="宋体" w:hAnsi="宋体" w:cs="宋体"/>
                <w:color w:val="auto"/>
                <w:spacing w:val="-31"/>
                <w:kern w:val="0"/>
                <w:szCs w:val="21"/>
              </w:rPr>
              <w:t>。</w:t>
            </w:r>
            <w:r>
              <w:rPr>
                <w:rFonts w:hint="eastAsia" w:ascii="宋体" w:hAnsi="宋体" w:cs="宋体"/>
                <w:color w:val="auto"/>
                <w:kern w:val="0"/>
                <w:szCs w:val="21"/>
              </w:rPr>
              <w:t>综合评分相等时</w:t>
            </w:r>
            <w:r>
              <w:rPr>
                <w:rFonts w:hint="eastAsia" w:ascii="宋体" w:hAnsi="宋体" w:cs="宋体"/>
                <w:color w:val="auto"/>
                <w:spacing w:val="-31"/>
                <w:kern w:val="0"/>
                <w:szCs w:val="21"/>
              </w:rPr>
              <w:t>，</w:t>
            </w:r>
            <w:r>
              <w:rPr>
                <w:rFonts w:hint="eastAsia" w:ascii="宋体" w:hAnsi="宋体" w:cs="宋体"/>
                <w:color w:val="auto"/>
                <w:kern w:val="0"/>
                <w:szCs w:val="21"/>
              </w:rPr>
              <w:t>以</w:t>
            </w:r>
            <w:r>
              <w:rPr>
                <w:rFonts w:hint="eastAsia" w:ascii="宋体" w:hAnsi="宋体" w:cs="宋体"/>
                <w:color w:val="auto"/>
                <w:kern w:val="0"/>
                <w:szCs w:val="21"/>
                <w:lang w:val="en-US" w:eastAsia="zh-CN"/>
              </w:rPr>
              <w:t>经济部分得分高</w:t>
            </w:r>
            <w:r>
              <w:rPr>
                <w:rFonts w:hint="eastAsia" w:ascii="宋体" w:hAnsi="宋体" w:cs="宋体"/>
                <w:color w:val="auto"/>
                <w:kern w:val="0"/>
                <w:szCs w:val="21"/>
              </w:rPr>
              <w:t>的优先；</w:t>
            </w:r>
            <w:r>
              <w:rPr>
                <w:rFonts w:hint="eastAsia" w:ascii="宋体" w:hAnsi="宋体" w:cs="宋体"/>
                <w:color w:val="auto"/>
                <w:kern w:val="0"/>
                <w:szCs w:val="21"/>
                <w:lang w:val="en-US" w:eastAsia="zh-CN"/>
              </w:rPr>
              <w:t>经济部分得分</w:t>
            </w:r>
            <w:r>
              <w:rPr>
                <w:rFonts w:hint="eastAsia" w:ascii="宋体" w:hAnsi="宋体" w:cs="宋体"/>
                <w:color w:val="auto"/>
                <w:kern w:val="0"/>
                <w:szCs w:val="21"/>
              </w:rPr>
              <w:t>相等的</w:t>
            </w:r>
            <w:r>
              <w:rPr>
                <w:rFonts w:hint="eastAsia" w:ascii="宋体" w:hAnsi="宋体" w:cs="宋体"/>
                <w:color w:val="auto"/>
                <w:kern w:val="0"/>
                <w:szCs w:val="21"/>
                <w:lang w:eastAsia="zh-CN"/>
              </w:rPr>
              <w:t>，</w:t>
            </w:r>
            <w:r>
              <w:rPr>
                <w:rFonts w:hint="eastAsia" w:ascii="宋体" w:hAnsi="宋体" w:cs="宋体"/>
                <w:color w:val="auto"/>
                <w:kern w:val="0"/>
                <w:szCs w:val="21"/>
              </w:rPr>
              <w:t>以</w:t>
            </w:r>
            <w:r>
              <w:rPr>
                <w:rFonts w:hint="eastAsia" w:ascii="宋体" w:hAnsi="宋体" w:cs="宋体"/>
                <w:color w:val="auto"/>
                <w:kern w:val="0"/>
                <w:szCs w:val="21"/>
                <w:lang w:val="en-US" w:eastAsia="zh-CN"/>
              </w:rPr>
              <w:t>技术部分得分高</w:t>
            </w:r>
            <w:r>
              <w:rPr>
                <w:rFonts w:hint="eastAsia" w:ascii="宋体" w:hAnsi="宋体" w:cs="宋体"/>
                <w:color w:val="auto"/>
                <w:kern w:val="0"/>
                <w:szCs w:val="21"/>
              </w:rPr>
              <w:t>的优先；</w:t>
            </w:r>
            <w:r>
              <w:rPr>
                <w:rFonts w:hint="eastAsia" w:ascii="宋体" w:hAnsi="宋体" w:cs="宋体"/>
                <w:color w:val="auto"/>
                <w:kern w:val="0"/>
                <w:szCs w:val="21"/>
                <w:lang w:val="en-US" w:eastAsia="zh-CN"/>
              </w:rPr>
              <w:t>技术部分得分</w:t>
            </w:r>
            <w:r>
              <w:rPr>
                <w:rFonts w:hint="eastAsia" w:ascii="宋体" w:hAnsi="宋体" w:cs="宋体"/>
                <w:color w:val="auto"/>
                <w:kern w:val="0"/>
                <w:szCs w:val="21"/>
              </w:rPr>
              <w:t>相等的，则由评审小组按照</w:t>
            </w:r>
            <w:r>
              <w:rPr>
                <w:rFonts w:hint="eastAsia" w:ascii="宋体" w:hAnsi="宋体" w:cs="宋体"/>
                <w:color w:val="auto"/>
                <w:kern w:val="0"/>
                <w:szCs w:val="21"/>
                <w:highlight w:val="none"/>
                <w:u w:val="single"/>
                <w:lang w:val="en-US" w:eastAsia="zh-CN"/>
              </w:rPr>
              <w:t>投票</w:t>
            </w:r>
            <w:r>
              <w:rPr>
                <w:rFonts w:hint="eastAsia" w:ascii="宋体" w:hAnsi="宋体" w:cs="宋体"/>
                <w:color w:val="auto"/>
                <w:kern w:val="0"/>
                <w:szCs w:val="21"/>
                <w:u w:val="single"/>
                <w:lang w:val="en-US" w:eastAsia="zh-CN"/>
              </w:rPr>
              <w:t>的</w:t>
            </w:r>
            <w:r>
              <w:rPr>
                <w:rFonts w:hint="eastAsia" w:ascii="宋体" w:hAnsi="宋体" w:cs="宋体"/>
                <w:color w:val="auto"/>
                <w:kern w:val="0"/>
                <w:szCs w:val="21"/>
              </w:rPr>
              <w:t>原则排序。</w:t>
            </w:r>
          </w:p>
        </w:tc>
      </w:tr>
      <w:tr w14:paraId="0E997B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restart"/>
            <w:noWrap w:val="0"/>
            <w:vAlign w:val="center"/>
          </w:tcPr>
          <w:p w14:paraId="622704FE">
            <w:pPr>
              <w:spacing w:line="400" w:lineRule="exact"/>
              <w:jc w:val="center"/>
              <w:rPr>
                <w:rFonts w:ascii="宋体" w:hAnsi="宋体" w:cs="宋体"/>
                <w:color w:val="auto"/>
                <w:kern w:val="0"/>
                <w:szCs w:val="22"/>
              </w:rPr>
            </w:pPr>
            <w:r>
              <w:rPr>
                <w:rFonts w:hint="eastAsia" w:ascii="宋体" w:hAnsi="宋体" w:cs="宋体"/>
                <w:color w:val="auto"/>
                <w:kern w:val="0"/>
                <w:szCs w:val="22"/>
              </w:rPr>
              <w:t>2.1.1</w:t>
            </w:r>
          </w:p>
        </w:tc>
        <w:tc>
          <w:tcPr>
            <w:tcW w:w="643" w:type="dxa"/>
            <w:vMerge w:val="restart"/>
            <w:noWrap w:val="0"/>
            <w:vAlign w:val="center"/>
          </w:tcPr>
          <w:p w14:paraId="0E6777FF">
            <w:pPr>
              <w:spacing w:line="400" w:lineRule="exact"/>
              <w:jc w:val="center"/>
              <w:rPr>
                <w:rFonts w:ascii="宋体" w:hAnsi="宋体" w:cs="宋体"/>
                <w:color w:val="auto"/>
                <w:kern w:val="0"/>
                <w:szCs w:val="22"/>
              </w:rPr>
            </w:pPr>
            <w:r>
              <w:rPr>
                <w:rFonts w:hint="eastAsia" w:ascii="宋体" w:hAnsi="宋体" w:cs="宋体"/>
                <w:color w:val="auto"/>
                <w:kern w:val="0"/>
                <w:szCs w:val="22"/>
              </w:rPr>
              <w:t>资格评审标准</w:t>
            </w:r>
          </w:p>
        </w:tc>
        <w:tc>
          <w:tcPr>
            <w:tcW w:w="2058" w:type="dxa"/>
            <w:gridSpan w:val="3"/>
            <w:tcBorders>
              <w:bottom w:val="single" w:color="auto" w:sz="4" w:space="0"/>
            </w:tcBorders>
            <w:noWrap w:val="0"/>
            <w:vAlign w:val="center"/>
          </w:tcPr>
          <w:p w14:paraId="316D32BD">
            <w:pPr>
              <w:spacing w:line="400" w:lineRule="exact"/>
              <w:rPr>
                <w:rFonts w:ascii="宋体" w:hAnsi="宋体" w:cs="宋体"/>
                <w:color w:val="auto"/>
                <w:kern w:val="0"/>
                <w:szCs w:val="22"/>
              </w:rPr>
            </w:pPr>
            <w:r>
              <w:rPr>
                <w:rFonts w:hint="eastAsia" w:ascii="宋体" w:hAnsi="宋体" w:cs="宋体"/>
                <w:color w:val="auto"/>
                <w:kern w:val="0"/>
                <w:szCs w:val="22"/>
              </w:rPr>
              <w:t>营业执照</w:t>
            </w:r>
          </w:p>
        </w:tc>
        <w:tc>
          <w:tcPr>
            <w:tcW w:w="5936" w:type="dxa"/>
            <w:gridSpan w:val="2"/>
            <w:noWrap w:val="0"/>
            <w:vAlign w:val="center"/>
          </w:tcPr>
          <w:p w14:paraId="3CC56882">
            <w:pPr>
              <w:spacing w:line="400" w:lineRule="exact"/>
              <w:ind w:firstLine="420" w:firstLineChars="200"/>
              <w:rPr>
                <w:rFonts w:ascii="宋体" w:hAnsi="宋体" w:cs="宋体"/>
                <w:color w:val="auto"/>
                <w:kern w:val="0"/>
                <w:szCs w:val="22"/>
              </w:rPr>
            </w:pPr>
            <w:r>
              <w:rPr>
                <w:rFonts w:hint="eastAsia" w:ascii="宋体" w:hAnsi="宋体" w:cs="宋体"/>
                <w:color w:val="auto"/>
                <w:kern w:val="0"/>
                <w:szCs w:val="22"/>
              </w:rPr>
              <w:t>符合第二章“</w:t>
            </w:r>
            <w:r>
              <w:rPr>
                <w:rFonts w:hint="eastAsia" w:ascii="宋体" w:hAnsi="宋体" w:cs="宋体"/>
                <w:color w:val="auto"/>
                <w:kern w:val="0"/>
                <w:szCs w:val="21"/>
              </w:rPr>
              <w:t>竞选人须知前附表</w:t>
            </w:r>
            <w:r>
              <w:rPr>
                <w:rFonts w:hint="eastAsia" w:ascii="宋体" w:hAnsi="宋体" w:cs="宋体"/>
                <w:color w:val="auto"/>
                <w:kern w:val="0"/>
                <w:szCs w:val="22"/>
              </w:rPr>
              <w:t>”第1.4.1项规定。</w:t>
            </w:r>
          </w:p>
        </w:tc>
      </w:tr>
      <w:tr w14:paraId="38DC52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22" w:hRule="atLeast"/>
          <w:jc w:val="center"/>
        </w:trPr>
        <w:tc>
          <w:tcPr>
            <w:tcW w:w="833" w:type="dxa"/>
            <w:vMerge w:val="continue"/>
            <w:noWrap w:val="0"/>
            <w:vAlign w:val="top"/>
          </w:tcPr>
          <w:p w14:paraId="7DAEF14E">
            <w:pPr>
              <w:spacing w:line="400" w:lineRule="exact"/>
              <w:rPr>
                <w:rFonts w:ascii="宋体" w:hAnsi="宋体" w:cs="宋体"/>
                <w:color w:val="auto"/>
                <w:szCs w:val="22"/>
              </w:rPr>
            </w:pPr>
          </w:p>
        </w:tc>
        <w:tc>
          <w:tcPr>
            <w:tcW w:w="643" w:type="dxa"/>
            <w:vMerge w:val="continue"/>
            <w:noWrap w:val="0"/>
            <w:vAlign w:val="top"/>
          </w:tcPr>
          <w:p w14:paraId="1BEFA942">
            <w:pPr>
              <w:spacing w:line="400" w:lineRule="exact"/>
              <w:rPr>
                <w:rFonts w:ascii="宋体" w:hAnsi="宋体" w:cs="宋体"/>
                <w:color w:val="auto"/>
                <w:szCs w:val="22"/>
              </w:rPr>
            </w:pPr>
          </w:p>
        </w:tc>
        <w:tc>
          <w:tcPr>
            <w:tcW w:w="2058" w:type="dxa"/>
            <w:gridSpan w:val="3"/>
            <w:tcBorders>
              <w:top w:val="single" w:color="auto" w:sz="4" w:space="0"/>
              <w:bottom w:val="single" w:color="auto" w:sz="4" w:space="0"/>
            </w:tcBorders>
            <w:noWrap w:val="0"/>
            <w:vAlign w:val="center"/>
          </w:tcPr>
          <w:p w14:paraId="71AAC4E2">
            <w:pPr>
              <w:spacing w:line="400" w:lineRule="exact"/>
              <w:rPr>
                <w:rFonts w:hint="default" w:ascii="宋体" w:hAnsi="宋体" w:eastAsia="宋体" w:cs="宋体"/>
                <w:color w:val="auto"/>
                <w:kern w:val="0"/>
                <w:szCs w:val="22"/>
                <w:lang w:val="en-US" w:eastAsia="zh-CN"/>
              </w:rPr>
            </w:pPr>
            <w:r>
              <w:rPr>
                <w:rFonts w:hint="eastAsia" w:ascii="宋体" w:hAnsi="宋体" w:cs="宋体"/>
                <w:color w:val="auto"/>
                <w:kern w:val="0"/>
                <w:szCs w:val="22"/>
                <w:lang w:val="en-US" w:eastAsia="zh-CN"/>
              </w:rPr>
              <w:t>特定资格条件</w:t>
            </w:r>
          </w:p>
        </w:tc>
        <w:tc>
          <w:tcPr>
            <w:tcW w:w="5936" w:type="dxa"/>
            <w:gridSpan w:val="2"/>
            <w:tcBorders>
              <w:bottom w:val="single" w:color="auto" w:sz="4" w:space="0"/>
            </w:tcBorders>
            <w:noWrap w:val="0"/>
            <w:vAlign w:val="center"/>
          </w:tcPr>
          <w:p w14:paraId="7A86F7EA">
            <w:pPr>
              <w:spacing w:line="400" w:lineRule="exact"/>
              <w:ind w:firstLine="420" w:firstLineChars="200"/>
              <w:rPr>
                <w:rFonts w:ascii="宋体" w:hAnsi="宋体" w:cs="宋体"/>
                <w:color w:val="auto"/>
                <w:kern w:val="0"/>
                <w:szCs w:val="22"/>
              </w:rPr>
            </w:pPr>
            <w:r>
              <w:rPr>
                <w:rFonts w:hint="eastAsia" w:ascii="宋体" w:hAnsi="宋体" w:cs="宋体"/>
                <w:color w:val="auto"/>
                <w:kern w:val="0"/>
                <w:szCs w:val="22"/>
              </w:rPr>
              <w:t>符合第二章“</w:t>
            </w:r>
            <w:r>
              <w:rPr>
                <w:rFonts w:hint="eastAsia" w:ascii="宋体" w:hAnsi="宋体" w:cs="宋体"/>
                <w:color w:val="auto"/>
                <w:kern w:val="0"/>
                <w:szCs w:val="21"/>
              </w:rPr>
              <w:t>竞选人须知前附表</w:t>
            </w:r>
            <w:r>
              <w:rPr>
                <w:rFonts w:hint="eastAsia" w:ascii="宋体" w:hAnsi="宋体" w:cs="宋体"/>
                <w:color w:val="auto"/>
                <w:kern w:val="0"/>
                <w:szCs w:val="22"/>
              </w:rPr>
              <w:t>”第1.4.1项规定。</w:t>
            </w:r>
          </w:p>
        </w:tc>
      </w:tr>
      <w:tr w14:paraId="27712D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96" w:hRule="atLeast"/>
          <w:jc w:val="center"/>
        </w:trPr>
        <w:tc>
          <w:tcPr>
            <w:tcW w:w="833" w:type="dxa"/>
            <w:vMerge w:val="continue"/>
            <w:noWrap w:val="0"/>
            <w:vAlign w:val="top"/>
          </w:tcPr>
          <w:p w14:paraId="4A34F18D">
            <w:pPr>
              <w:spacing w:line="400" w:lineRule="exact"/>
              <w:rPr>
                <w:rFonts w:ascii="宋体" w:hAnsi="宋体" w:cs="宋体"/>
                <w:color w:val="auto"/>
                <w:szCs w:val="22"/>
              </w:rPr>
            </w:pPr>
          </w:p>
        </w:tc>
        <w:tc>
          <w:tcPr>
            <w:tcW w:w="643" w:type="dxa"/>
            <w:vMerge w:val="continue"/>
            <w:noWrap w:val="0"/>
            <w:vAlign w:val="top"/>
          </w:tcPr>
          <w:p w14:paraId="62A92339">
            <w:pPr>
              <w:spacing w:line="400" w:lineRule="exact"/>
              <w:rPr>
                <w:rFonts w:ascii="宋体" w:hAnsi="宋体" w:cs="宋体"/>
                <w:color w:val="auto"/>
                <w:szCs w:val="22"/>
              </w:rPr>
            </w:pPr>
          </w:p>
        </w:tc>
        <w:tc>
          <w:tcPr>
            <w:tcW w:w="2058" w:type="dxa"/>
            <w:gridSpan w:val="3"/>
            <w:tcBorders>
              <w:top w:val="single" w:color="auto" w:sz="4" w:space="0"/>
              <w:bottom w:val="single" w:color="auto" w:sz="4" w:space="0"/>
            </w:tcBorders>
            <w:noWrap w:val="0"/>
            <w:vAlign w:val="center"/>
          </w:tcPr>
          <w:p w14:paraId="580F0295">
            <w:pPr>
              <w:spacing w:line="400" w:lineRule="exact"/>
              <w:rPr>
                <w:rFonts w:hint="eastAsia" w:ascii="宋体" w:hAnsi="宋体" w:cs="宋体"/>
                <w:color w:val="auto"/>
                <w:kern w:val="0"/>
                <w:szCs w:val="22"/>
              </w:rPr>
            </w:pPr>
            <w:r>
              <w:rPr>
                <w:rFonts w:hint="eastAsia" w:ascii="宋体" w:hAnsi="宋体" w:cs="宋体"/>
                <w:color w:val="auto"/>
                <w:kern w:val="0"/>
                <w:szCs w:val="22"/>
              </w:rPr>
              <w:t>竞选截止日竞选资格情况</w:t>
            </w:r>
          </w:p>
        </w:tc>
        <w:tc>
          <w:tcPr>
            <w:tcW w:w="5936" w:type="dxa"/>
            <w:gridSpan w:val="2"/>
            <w:tcBorders>
              <w:top w:val="single" w:color="auto" w:sz="4" w:space="0"/>
              <w:bottom w:val="single" w:color="auto" w:sz="4" w:space="0"/>
            </w:tcBorders>
            <w:noWrap w:val="0"/>
            <w:vAlign w:val="center"/>
          </w:tcPr>
          <w:p w14:paraId="3410549D">
            <w:pPr>
              <w:spacing w:line="400" w:lineRule="exact"/>
              <w:ind w:firstLine="420" w:firstLineChars="200"/>
              <w:rPr>
                <w:rFonts w:hint="eastAsia" w:ascii="宋体" w:hAnsi="宋体" w:cs="宋体"/>
                <w:color w:val="auto"/>
                <w:kern w:val="0"/>
                <w:szCs w:val="22"/>
              </w:rPr>
            </w:pPr>
            <w:r>
              <w:rPr>
                <w:rFonts w:hint="eastAsia" w:ascii="宋体" w:hAnsi="宋体" w:cs="宋体"/>
                <w:color w:val="auto"/>
                <w:kern w:val="0"/>
                <w:szCs w:val="22"/>
              </w:rPr>
              <w:t>符合第二章“</w:t>
            </w:r>
            <w:r>
              <w:rPr>
                <w:rFonts w:hint="eastAsia" w:ascii="宋体" w:hAnsi="宋体" w:cs="宋体"/>
                <w:color w:val="auto"/>
                <w:kern w:val="0"/>
                <w:szCs w:val="21"/>
              </w:rPr>
              <w:t>竞选人须知前附表</w:t>
            </w:r>
            <w:r>
              <w:rPr>
                <w:rFonts w:hint="eastAsia" w:ascii="宋体" w:hAnsi="宋体" w:cs="宋体"/>
                <w:color w:val="auto"/>
                <w:kern w:val="0"/>
                <w:szCs w:val="22"/>
              </w:rPr>
              <w:t>”第1.4.1项规定。</w:t>
            </w:r>
          </w:p>
        </w:tc>
      </w:tr>
      <w:tr w14:paraId="44F66B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214" w:hRule="atLeast"/>
          <w:jc w:val="center"/>
        </w:trPr>
        <w:tc>
          <w:tcPr>
            <w:tcW w:w="833" w:type="dxa"/>
            <w:vMerge w:val="continue"/>
            <w:noWrap w:val="0"/>
            <w:vAlign w:val="top"/>
          </w:tcPr>
          <w:p w14:paraId="2DB60EFE">
            <w:pPr>
              <w:spacing w:line="400" w:lineRule="exact"/>
              <w:rPr>
                <w:rFonts w:ascii="宋体" w:hAnsi="宋体" w:cs="宋体"/>
                <w:color w:val="auto"/>
                <w:szCs w:val="22"/>
              </w:rPr>
            </w:pPr>
          </w:p>
        </w:tc>
        <w:tc>
          <w:tcPr>
            <w:tcW w:w="643" w:type="dxa"/>
            <w:vMerge w:val="continue"/>
            <w:noWrap w:val="0"/>
            <w:vAlign w:val="top"/>
          </w:tcPr>
          <w:p w14:paraId="465F4024">
            <w:pPr>
              <w:spacing w:line="400" w:lineRule="exact"/>
              <w:rPr>
                <w:rFonts w:ascii="宋体" w:hAnsi="宋体" w:cs="宋体"/>
                <w:color w:val="auto"/>
                <w:szCs w:val="22"/>
              </w:rPr>
            </w:pPr>
          </w:p>
        </w:tc>
        <w:tc>
          <w:tcPr>
            <w:tcW w:w="2058" w:type="dxa"/>
            <w:gridSpan w:val="3"/>
            <w:tcBorders>
              <w:top w:val="single" w:color="auto" w:sz="4" w:space="0"/>
            </w:tcBorders>
            <w:noWrap w:val="0"/>
            <w:vAlign w:val="center"/>
          </w:tcPr>
          <w:p w14:paraId="627AAC15">
            <w:pPr>
              <w:spacing w:line="400" w:lineRule="exact"/>
              <w:rPr>
                <w:rFonts w:hint="eastAsia" w:ascii="宋体" w:hAnsi="宋体" w:cs="宋体"/>
                <w:color w:val="auto"/>
                <w:kern w:val="0"/>
                <w:szCs w:val="22"/>
              </w:rPr>
            </w:pPr>
            <w:r>
              <w:rPr>
                <w:rFonts w:hint="eastAsia" w:ascii="宋体" w:hAnsi="宋体" w:cs="宋体"/>
                <w:color w:val="auto"/>
                <w:szCs w:val="21"/>
                <w:lang w:val="en-US" w:eastAsia="zh-CN"/>
              </w:rPr>
              <w:t>法律、行政法规规定的其他条件</w:t>
            </w:r>
          </w:p>
        </w:tc>
        <w:tc>
          <w:tcPr>
            <w:tcW w:w="5936" w:type="dxa"/>
            <w:gridSpan w:val="2"/>
            <w:tcBorders>
              <w:top w:val="single" w:color="auto" w:sz="4" w:space="0"/>
            </w:tcBorders>
            <w:noWrap w:val="0"/>
            <w:vAlign w:val="center"/>
          </w:tcPr>
          <w:p w14:paraId="3245CE09">
            <w:pPr>
              <w:spacing w:line="400" w:lineRule="exact"/>
              <w:ind w:firstLine="420" w:firstLineChars="200"/>
              <w:rPr>
                <w:rFonts w:hint="eastAsia" w:ascii="宋体" w:hAnsi="宋体" w:cs="宋体"/>
                <w:color w:val="auto"/>
                <w:kern w:val="0"/>
                <w:szCs w:val="22"/>
              </w:rPr>
            </w:pPr>
            <w:r>
              <w:rPr>
                <w:rFonts w:hint="eastAsia" w:ascii="宋体" w:hAnsi="宋体" w:cs="宋体"/>
                <w:color w:val="auto"/>
                <w:kern w:val="0"/>
                <w:szCs w:val="22"/>
              </w:rPr>
              <w:t>符合第二章“</w:t>
            </w:r>
            <w:r>
              <w:rPr>
                <w:rFonts w:hint="eastAsia" w:ascii="宋体" w:hAnsi="宋体" w:cs="宋体"/>
                <w:color w:val="auto"/>
                <w:kern w:val="0"/>
                <w:szCs w:val="21"/>
              </w:rPr>
              <w:t>竞选人须知前附表</w:t>
            </w:r>
            <w:r>
              <w:rPr>
                <w:rFonts w:hint="eastAsia" w:ascii="宋体" w:hAnsi="宋体" w:cs="宋体"/>
                <w:color w:val="auto"/>
                <w:kern w:val="0"/>
                <w:szCs w:val="22"/>
              </w:rPr>
              <w:t>”第1.4.1项规定。</w:t>
            </w:r>
          </w:p>
        </w:tc>
      </w:tr>
      <w:tr w14:paraId="675C12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restart"/>
            <w:noWrap w:val="0"/>
            <w:vAlign w:val="center"/>
          </w:tcPr>
          <w:p w14:paraId="4981495F">
            <w:pPr>
              <w:spacing w:line="400" w:lineRule="exact"/>
              <w:jc w:val="center"/>
              <w:rPr>
                <w:rFonts w:ascii="宋体" w:hAnsi="宋体" w:cs="宋体"/>
                <w:color w:val="auto"/>
                <w:szCs w:val="22"/>
              </w:rPr>
            </w:pPr>
            <w:r>
              <w:rPr>
                <w:rFonts w:hint="eastAsia" w:ascii="宋体" w:hAnsi="宋体" w:cs="宋体"/>
                <w:color w:val="auto"/>
                <w:kern w:val="0"/>
                <w:szCs w:val="22"/>
              </w:rPr>
              <w:t>2.1.2</w:t>
            </w:r>
          </w:p>
        </w:tc>
        <w:tc>
          <w:tcPr>
            <w:tcW w:w="643" w:type="dxa"/>
            <w:vMerge w:val="restart"/>
            <w:noWrap w:val="0"/>
            <w:vAlign w:val="center"/>
          </w:tcPr>
          <w:p w14:paraId="25F25281">
            <w:pPr>
              <w:spacing w:line="400" w:lineRule="exact"/>
              <w:jc w:val="center"/>
              <w:rPr>
                <w:rFonts w:ascii="宋体" w:hAnsi="宋体" w:cs="宋体"/>
                <w:color w:val="auto"/>
                <w:szCs w:val="22"/>
              </w:rPr>
            </w:pPr>
            <w:r>
              <w:rPr>
                <w:rFonts w:hint="eastAsia" w:ascii="宋体" w:hAnsi="宋体" w:cs="宋体"/>
                <w:color w:val="auto"/>
                <w:kern w:val="0"/>
                <w:szCs w:val="22"/>
              </w:rPr>
              <w:t>形式评审标准</w:t>
            </w:r>
          </w:p>
        </w:tc>
        <w:tc>
          <w:tcPr>
            <w:tcW w:w="2058" w:type="dxa"/>
            <w:gridSpan w:val="3"/>
            <w:tcBorders>
              <w:top w:val="single" w:color="auto" w:sz="4" w:space="0"/>
              <w:bottom w:val="single" w:color="auto" w:sz="4" w:space="0"/>
            </w:tcBorders>
            <w:noWrap w:val="0"/>
            <w:vAlign w:val="center"/>
          </w:tcPr>
          <w:p w14:paraId="2CF9B4CC">
            <w:pPr>
              <w:spacing w:line="400" w:lineRule="exact"/>
              <w:jc w:val="left"/>
              <w:rPr>
                <w:rFonts w:ascii="宋体" w:hAnsi="宋体" w:cs="宋体"/>
                <w:color w:val="auto"/>
                <w:kern w:val="0"/>
                <w:szCs w:val="22"/>
              </w:rPr>
            </w:pPr>
            <w:r>
              <w:rPr>
                <w:rFonts w:hint="eastAsia" w:ascii="宋体" w:hAnsi="宋体" w:cs="宋体"/>
                <w:color w:val="auto"/>
                <w:kern w:val="0"/>
                <w:szCs w:val="22"/>
              </w:rPr>
              <w:t>竞选人名称</w:t>
            </w:r>
          </w:p>
        </w:tc>
        <w:tc>
          <w:tcPr>
            <w:tcW w:w="5936" w:type="dxa"/>
            <w:gridSpan w:val="2"/>
            <w:noWrap w:val="0"/>
            <w:vAlign w:val="center"/>
          </w:tcPr>
          <w:p w14:paraId="51BB93B2">
            <w:pPr>
              <w:spacing w:line="400" w:lineRule="exact"/>
              <w:ind w:firstLine="420" w:firstLineChars="200"/>
              <w:rPr>
                <w:rFonts w:ascii="宋体" w:hAnsi="宋体" w:cs="宋体"/>
                <w:color w:val="auto"/>
                <w:kern w:val="0"/>
                <w:szCs w:val="22"/>
              </w:rPr>
            </w:pPr>
            <w:r>
              <w:rPr>
                <w:rFonts w:hint="eastAsia" w:ascii="宋体" w:hAnsi="宋体" w:cs="宋体"/>
                <w:color w:val="auto"/>
                <w:kern w:val="0"/>
                <w:szCs w:val="22"/>
              </w:rPr>
              <w:t>与营业执照一致，依法变更名称的应提交相应证明材料。</w:t>
            </w:r>
          </w:p>
        </w:tc>
      </w:tr>
      <w:tr w14:paraId="260F5D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noWrap w:val="0"/>
            <w:vAlign w:val="top"/>
          </w:tcPr>
          <w:p w14:paraId="573763A5">
            <w:pPr>
              <w:spacing w:line="400" w:lineRule="exact"/>
              <w:rPr>
                <w:rFonts w:ascii="宋体" w:hAnsi="宋体" w:cs="宋体"/>
                <w:color w:val="auto"/>
                <w:szCs w:val="22"/>
              </w:rPr>
            </w:pPr>
          </w:p>
        </w:tc>
        <w:tc>
          <w:tcPr>
            <w:tcW w:w="643" w:type="dxa"/>
            <w:vMerge w:val="continue"/>
            <w:noWrap w:val="0"/>
            <w:vAlign w:val="top"/>
          </w:tcPr>
          <w:p w14:paraId="07D89D63">
            <w:pPr>
              <w:spacing w:line="400" w:lineRule="exact"/>
              <w:rPr>
                <w:rFonts w:ascii="宋体" w:hAnsi="宋体" w:cs="宋体"/>
                <w:color w:val="auto"/>
                <w:szCs w:val="22"/>
              </w:rPr>
            </w:pPr>
          </w:p>
        </w:tc>
        <w:tc>
          <w:tcPr>
            <w:tcW w:w="2058" w:type="dxa"/>
            <w:gridSpan w:val="3"/>
            <w:tcBorders>
              <w:top w:val="single" w:color="auto" w:sz="4" w:space="0"/>
              <w:bottom w:val="single" w:color="auto" w:sz="4" w:space="0"/>
            </w:tcBorders>
            <w:noWrap w:val="0"/>
            <w:vAlign w:val="center"/>
          </w:tcPr>
          <w:p w14:paraId="074A297B">
            <w:pPr>
              <w:spacing w:line="400" w:lineRule="exact"/>
              <w:jc w:val="left"/>
              <w:rPr>
                <w:rFonts w:ascii="宋体" w:hAnsi="宋体" w:cs="宋体"/>
                <w:color w:val="auto"/>
                <w:kern w:val="0"/>
                <w:szCs w:val="22"/>
              </w:rPr>
            </w:pPr>
            <w:r>
              <w:rPr>
                <w:rFonts w:hint="eastAsia" w:ascii="宋体" w:hAnsi="宋体" w:cs="宋体"/>
                <w:color w:val="auto"/>
                <w:kern w:val="0"/>
                <w:szCs w:val="22"/>
              </w:rPr>
              <w:t>竞选函签名盖章</w:t>
            </w:r>
          </w:p>
        </w:tc>
        <w:tc>
          <w:tcPr>
            <w:tcW w:w="5936" w:type="dxa"/>
            <w:gridSpan w:val="2"/>
            <w:noWrap w:val="0"/>
            <w:vAlign w:val="center"/>
          </w:tcPr>
          <w:p w14:paraId="255D7B4A">
            <w:pPr>
              <w:spacing w:line="400" w:lineRule="exact"/>
              <w:ind w:firstLine="420" w:firstLineChars="200"/>
              <w:rPr>
                <w:rFonts w:ascii="宋体" w:hAnsi="宋体" w:cs="宋体"/>
                <w:color w:val="auto"/>
                <w:kern w:val="0"/>
                <w:szCs w:val="22"/>
              </w:rPr>
            </w:pPr>
            <w:r>
              <w:rPr>
                <w:rFonts w:hint="eastAsia" w:ascii="宋体" w:hAnsi="宋体" w:cs="宋体"/>
                <w:color w:val="auto"/>
                <w:kern w:val="0"/>
                <w:szCs w:val="22"/>
              </w:rPr>
              <w:t>竞选函格式规定签名、盖章的位置有法定代表人或其委托代理人签名（或盖章）、加盖单位</w:t>
            </w:r>
            <w:r>
              <w:rPr>
                <w:rFonts w:hint="eastAsia" w:ascii="宋体" w:hAnsi="宋体" w:cs="宋体"/>
                <w:color w:val="auto"/>
                <w:kern w:val="0"/>
                <w:szCs w:val="22"/>
                <w:lang w:val="en-US" w:eastAsia="zh-CN"/>
              </w:rPr>
              <w:t>公</w:t>
            </w:r>
            <w:r>
              <w:rPr>
                <w:rFonts w:hint="eastAsia" w:ascii="宋体" w:hAnsi="宋体" w:cs="宋体"/>
                <w:color w:val="auto"/>
                <w:kern w:val="0"/>
                <w:szCs w:val="22"/>
              </w:rPr>
              <w:t>章。</w:t>
            </w:r>
          </w:p>
        </w:tc>
      </w:tr>
      <w:tr w14:paraId="6AA8ED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noWrap w:val="0"/>
            <w:vAlign w:val="top"/>
          </w:tcPr>
          <w:p w14:paraId="66777135">
            <w:pPr>
              <w:spacing w:line="400" w:lineRule="exact"/>
              <w:rPr>
                <w:rFonts w:ascii="宋体" w:hAnsi="宋体" w:cs="宋体"/>
                <w:color w:val="auto"/>
                <w:szCs w:val="22"/>
              </w:rPr>
            </w:pPr>
          </w:p>
        </w:tc>
        <w:tc>
          <w:tcPr>
            <w:tcW w:w="643" w:type="dxa"/>
            <w:vMerge w:val="continue"/>
            <w:noWrap w:val="0"/>
            <w:vAlign w:val="top"/>
          </w:tcPr>
          <w:p w14:paraId="68413C45">
            <w:pPr>
              <w:spacing w:line="400" w:lineRule="exact"/>
              <w:rPr>
                <w:rFonts w:ascii="宋体" w:hAnsi="宋体" w:cs="宋体"/>
                <w:color w:val="auto"/>
                <w:szCs w:val="22"/>
              </w:rPr>
            </w:pPr>
          </w:p>
        </w:tc>
        <w:tc>
          <w:tcPr>
            <w:tcW w:w="2058" w:type="dxa"/>
            <w:gridSpan w:val="3"/>
            <w:tcBorders>
              <w:top w:val="single" w:color="auto" w:sz="4" w:space="0"/>
              <w:bottom w:val="single" w:color="auto" w:sz="4" w:space="0"/>
            </w:tcBorders>
            <w:noWrap w:val="0"/>
            <w:vAlign w:val="center"/>
          </w:tcPr>
          <w:p w14:paraId="6AFBD724">
            <w:pPr>
              <w:spacing w:line="400" w:lineRule="exact"/>
              <w:jc w:val="left"/>
              <w:rPr>
                <w:rFonts w:ascii="宋体" w:hAnsi="宋体" w:cs="宋体"/>
                <w:color w:val="auto"/>
                <w:kern w:val="0"/>
                <w:szCs w:val="22"/>
              </w:rPr>
            </w:pPr>
            <w:r>
              <w:rPr>
                <w:rFonts w:hint="eastAsia" w:ascii="宋体" w:hAnsi="宋体" w:cs="宋体"/>
                <w:color w:val="auto"/>
                <w:kern w:val="0"/>
                <w:szCs w:val="22"/>
              </w:rPr>
              <w:t>竞选文件格式</w:t>
            </w:r>
          </w:p>
        </w:tc>
        <w:tc>
          <w:tcPr>
            <w:tcW w:w="5936" w:type="dxa"/>
            <w:gridSpan w:val="2"/>
            <w:noWrap w:val="0"/>
            <w:vAlign w:val="center"/>
          </w:tcPr>
          <w:p w14:paraId="30C1AA27">
            <w:pPr>
              <w:spacing w:line="400" w:lineRule="exact"/>
              <w:ind w:firstLine="420" w:firstLineChars="200"/>
              <w:rPr>
                <w:rFonts w:ascii="宋体" w:hAnsi="宋体" w:cs="宋体"/>
                <w:color w:val="auto"/>
                <w:kern w:val="0"/>
                <w:szCs w:val="22"/>
              </w:rPr>
            </w:pPr>
            <w:r>
              <w:rPr>
                <w:rFonts w:hint="eastAsia" w:ascii="宋体" w:hAnsi="宋体" w:cs="宋体"/>
                <w:color w:val="auto"/>
                <w:kern w:val="0"/>
                <w:szCs w:val="22"/>
              </w:rPr>
              <w:t>符合第二章“竞选人须知”第3.7款的要求。</w:t>
            </w:r>
          </w:p>
        </w:tc>
      </w:tr>
      <w:tr w14:paraId="38062C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noWrap w:val="0"/>
            <w:vAlign w:val="top"/>
          </w:tcPr>
          <w:p w14:paraId="298E1FF3">
            <w:pPr>
              <w:spacing w:line="400" w:lineRule="exact"/>
              <w:rPr>
                <w:rFonts w:ascii="宋体" w:hAnsi="宋体" w:cs="宋体"/>
                <w:color w:val="auto"/>
                <w:szCs w:val="22"/>
              </w:rPr>
            </w:pPr>
          </w:p>
        </w:tc>
        <w:tc>
          <w:tcPr>
            <w:tcW w:w="643" w:type="dxa"/>
            <w:vMerge w:val="continue"/>
            <w:noWrap w:val="0"/>
            <w:vAlign w:val="top"/>
          </w:tcPr>
          <w:p w14:paraId="29CE3D9A">
            <w:pPr>
              <w:spacing w:line="400" w:lineRule="exact"/>
              <w:rPr>
                <w:rFonts w:ascii="宋体" w:hAnsi="宋体" w:cs="宋体"/>
                <w:color w:val="auto"/>
                <w:szCs w:val="22"/>
              </w:rPr>
            </w:pPr>
          </w:p>
        </w:tc>
        <w:tc>
          <w:tcPr>
            <w:tcW w:w="2058" w:type="dxa"/>
            <w:gridSpan w:val="3"/>
            <w:tcBorders>
              <w:top w:val="single" w:color="auto" w:sz="4" w:space="0"/>
              <w:bottom w:val="single" w:color="auto" w:sz="4" w:space="0"/>
            </w:tcBorders>
            <w:noWrap w:val="0"/>
            <w:vAlign w:val="center"/>
          </w:tcPr>
          <w:p w14:paraId="05115F6A">
            <w:pPr>
              <w:spacing w:line="400" w:lineRule="exact"/>
              <w:jc w:val="left"/>
              <w:rPr>
                <w:rFonts w:ascii="宋体" w:hAnsi="宋体" w:cs="宋体"/>
                <w:color w:val="auto"/>
                <w:kern w:val="0"/>
                <w:szCs w:val="22"/>
              </w:rPr>
            </w:pPr>
            <w:r>
              <w:rPr>
                <w:rFonts w:hint="eastAsia" w:ascii="宋体" w:hAnsi="宋体" w:cs="宋体"/>
                <w:color w:val="auto"/>
                <w:kern w:val="0"/>
                <w:szCs w:val="22"/>
              </w:rPr>
              <w:t>竞选文件份数</w:t>
            </w:r>
          </w:p>
        </w:tc>
        <w:tc>
          <w:tcPr>
            <w:tcW w:w="5936" w:type="dxa"/>
            <w:gridSpan w:val="2"/>
            <w:noWrap w:val="0"/>
            <w:vAlign w:val="center"/>
          </w:tcPr>
          <w:p w14:paraId="554BE959">
            <w:pPr>
              <w:spacing w:line="400" w:lineRule="exact"/>
              <w:ind w:firstLine="420" w:firstLineChars="200"/>
              <w:rPr>
                <w:rFonts w:ascii="宋体" w:hAnsi="宋体" w:cs="宋体"/>
                <w:color w:val="auto"/>
                <w:kern w:val="0"/>
                <w:szCs w:val="22"/>
              </w:rPr>
            </w:pPr>
            <w:r>
              <w:rPr>
                <w:rFonts w:hint="eastAsia" w:ascii="宋体" w:hAnsi="宋体" w:cs="宋体"/>
                <w:color w:val="auto"/>
                <w:kern w:val="0"/>
                <w:szCs w:val="22"/>
              </w:rPr>
              <w:t>符合第二章“竞选人须知”第3.7.4项规定。</w:t>
            </w:r>
          </w:p>
        </w:tc>
      </w:tr>
      <w:tr w14:paraId="682414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noWrap w:val="0"/>
            <w:vAlign w:val="top"/>
          </w:tcPr>
          <w:p w14:paraId="3F097080">
            <w:pPr>
              <w:spacing w:line="400" w:lineRule="exact"/>
              <w:rPr>
                <w:rFonts w:ascii="宋体" w:hAnsi="宋体" w:cs="宋体"/>
                <w:color w:val="auto"/>
                <w:szCs w:val="22"/>
              </w:rPr>
            </w:pPr>
          </w:p>
        </w:tc>
        <w:tc>
          <w:tcPr>
            <w:tcW w:w="643" w:type="dxa"/>
            <w:vMerge w:val="continue"/>
            <w:noWrap w:val="0"/>
            <w:vAlign w:val="top"/>
          </w:tcPr>
          <w:p w14:paraId="1A486FB2">
            <w:pPr>
              <w:spacing w:line="400" w:lineRule="exact"/>
              <w:rPr>
                <w:rFonts w:ascii="宋体" w:hAnsi="宋体" w:cs="宋体"/>
                <w:color w:val="auto"/>
                <w:szCs w:val="22"/>
              </w:rPr>
            </w:pPr>
          </w:p>
        </w:tc>
        <w:tc>
          <w:tcPr>
            <w:tcW w:w="2058" w:type="dxa"/>
            <w:gridSpan w:val="3"/>
            <w:tcBorders>
              <w:top w:val="single" w:color="auto" w:sz="4" w:space="0"/>
              <w:bottom w:val="single" w:color="auto" w:sz="4" w:space="0"/>
            </w:tcBorders>
            <w:noWrap w:val="0"/>
            <w:vAlign w:val="center"/>
          </w:tcPr>
          <w:p w14:paraId="50BB571F">
            <w:pPr>
              <w:spacing w:line="400" w:lineRule="exact"/>
              <w:jc w:val="left"/>
              <w:rPr>
                <w:rFonts w:ascii="宋体" w:hAnsi="宋体" w:cs="宋体"/>
                <w:color w:val="auto"/>
                <w:kern w:val="0"/>
                <w:szCs w:val="22"/>
              </w:rPr>
            </w:pPr>
            <w:r>
              <w:rPr>
                <w:rFonts w:hint="eastAsia" w:ascii="宋体" w:hAnsi="宋体" w:cs="宋体"/>
                <w:color w:val="auto"/>
                <w:kern w:val="0"/>
                <w:szCs w:val="22"/>
              </w:rPr>
              <w:t>竞选文件的签署</w:t>
            </w:r>
          </w:p>
        </w:tc>
        <w:tc>
          <w:tcPr>
            <w:tcW w:w="5936" w:type="dxa"/>
            <w:gridSpan w:val="2"/>
            <w:noWrap w:val="0"/>
            <w:vAlign w:val="center"/>
          </w:tcPr>
          <w:p w14:paraId="309C2D91">
            <w:pPr>
              <w:spacing w:line="400" w:lineRule="exact"/>
              <w:ind w:firstLine="420" w:firstLineChars="200"/>
              <w:rPr>
                <w:rFonts w:ascii="宋体" w:hAnsi="宋体" w:cs="宋体"/>
                <w:color w:val="auto"/>
                <w:kern w:val="0"/>
                <w:szCs w:val="22"/>
              </w:rPr>
            </w:pPr>
            <w:r>
              <w:rPr>
                <w:rFonts w:hint="eastAsia" w:ascii="宋体" w:hAnsi="宋体" w:cs="宋体"/>
                <w:color w:val="auto"/>
                <w:kern w:val="0"/>
                <w:szCs w:val="22"/>
              </w:rPr>
              <w:t>第</w:t>
            </w:r>
            <w:r>
              <w:rPr>
                <w:rFonts w:hint="eastAsia" w:ascii="宋体" w:hAnsi="宋体" w:cs="宋体"/>
                <w:color w:val="auto"/>
                <w:kern w:val="0"/>
                <w:szCs w:val="22"/>
                <w:lang w:val="en-US" w:eastAsia="zh-CN"/>
              </w:rPr>
              <w:t>八</w:t>
            </w:r>
            <w:r>
              <w:rPr>
                <w:rFonts w:hint="eastAsia" w:ascii="宋体" w:hAnsi="宋体" w:cs="宋体"/>
                <w:color w:val="auto"/>
                <w:kern w:val="0"/>
                <w:szCs w:val="22"/>
              </w:rPr>
              <w:t>章 竞选文件格式要求法定代表人或其委托代理人签名（或盖章）的须齐全。</w:t>
            </w:r>
          </w:p>
        </w:tc>
      </w:tr>
      <w:tr w14:paraId="0F42B9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77" w:hRule="atLeast"/>
          <w:jc w:val="center"/>
        </w:trPr>
        <w:tc>
          <w:tcPr>
            <w:tcW w:w="833" w:type="dxa"/>
            <w:vMerge w:val="continue"/>
            <w:noWrap w:val="0"/>
            <w:vAlign w:val="top"/>
          </w:tcPr>
          <w:p w14:paraId="4AF2EC47">
            <w:pPr>
              <w:spacing w:line="400" w:lineRule="exact"/>
              <w:rPr>
                <w:rFonts w:ascii="宋体" w:hAnsi="宋体" w:cs="宋体"/>
                <w:color w:val="auto"/>
                <w:szCs w:val="22"/>
              </w:rPr>
            </w:pPr>
          </w:p>
        </w:tc>
        <w:tc>
          <w:tcPr>
            <w:tcW w:w="643" w:type="dxa"/>
            <w:vMerge w:val="continue"/>
            <w:noWrap w:val="0"/>
            <w:vAlign w:val="top"/>
          </w:tcPr>
          <w:p w14:paraId="6ACB58D7">
            <w:pPr>
              <w:spacing w:line="400" w:lineRule="exact"/>
              <w:rPr>
                <w:rFonts w:ascii="宋体" w:hAnsi="宋体" w:cs="宋体"/>
                <w:color w:val="auto"/>
                <w:szCs w:val="22"/>
              </w:rPr>
            </w:pPr>
          </w:p>
        </w:tc>
        <w:tc>
          <w:tcPr>
            <w:tcW w:w="2058" w:type="dxa"/>
            <w:gridSpan w:val="3"/>
            <w:tcBorders>
              <w:top w:val="single" w:color="auto" w:sz="4" w:space="0"/>
              <w:bottom w:val="single" w:color="auto" w:sz="4" w:space="0"/>
            </w:tcBorders>
            <w:noWrap w:val="0"/>
            <w:vAlign w:val="center"/>
          </w:tcPr>
          <w:p w14:paraId="3B6E512F">
            <w:pPr>
              <w:spacing w:line="400" w:lineRule="exact"/>
              <w:jc w:val="left"/>
              <w:rPr>
                <w:rFonts w:hint="eastAsia" w:ascii="宋体" w:hAnsi="宋体" w:cs="宋体"/>
                <w:color w:val="auto"/>
                <w:kern w:val="0"/>
                <w:szCs w:val="22"/>
              </w:rPr>
            </w:pPr>
            <w:r>
              <w:rPr>
                <w:rFonts w:hint="eastAsia" w:ascii="宋体" w:hAnsi="宋体" w:cs="宋体"/>
                <w:color w:val="auto"/>
                <w:kern w:val="0"/>
                <w:szCs w:val="22"/>
              </w:rPr>
              <w:t>委托代理人</w:t>
            </w:r>
          </w:p>
        </w:tc>
        <w:tc>
          <w:tcPr>
            <w:tcW w:w="5936" w:type="dxa"/>
            <w:gridSpan w:val="2"/>
            <w:tcBorders>
              <w:bottom w:val="single" w:color="auto" w:sz="4" w:space="0"/>
            </w:tcBorders>
            <w:noWrap w:val="0"/>
            <w:vAlign w:val="center"/>
          </w:tcPr>
          <w:p w14:paraId="3F11BE36">
            <w:pPr>
              <w:spacing w:line="400" w:lineRule="exact"/>
              <w:jc w:val="left"/>
              <w:rPr>
                <w:rFonts w:hint="eastAsia" w:ascii="宋体" w:hAnsi="宋体" w:cs="宋体"/>
                <w:color w:val="auto"/>
                <w:kern w:val="0"/>
                <w:szCs w:val="22"/>
              </w:rPr>
            </w:pPr>
            <w:r>
              <w:rPr>
                <w:rFonts w:hint="eastAsia" w:ascii="宋体" w:hAnsi="宋体" w:cs="宋体"/>
                <w:color w:val="auto"/>
                <w:kern w:val="0"/>
                <w:szCs w:val="22"/>
              </w:rPr>
              <w:t>竞选人法定代表人的委托代理人有法定代表人签署的授权委托书。</w:t>
            </w:r>
          </w:p>
        </w:tc>
      </w:tr>
      <w:tr w14:paraId="106AA1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33" w:hRule="atLeast"/>
          <w:jc w:val="center"/>
        </w:trPr>
        <w:tc>
          <w:tcPr>
            <w:tcW w:w="833" w:type="dxa"/>
            <w:vMerge w:val="continue"/>
            <w:noWrap w:val="0"/>
            <w:vAlign w:val="top"/>
          </w:tcPr>
          <w:p w14:paraId="70132EFB">
            <w:pPr>
              <w:spacing w:line="400" w:lineRule="exact"/>
              <w:rPr>
                <w:rFonts w:ascii="宋体" w:hAnsi="宋体" w:cs="宋体"/>
                <w:color w:val="auto"/>
                <w:szCs w:val="22"/>
              </w:rPr>
            </w:pPr>
          </w:p>
        </w:tc>
        <w:tc>
          <w:tcPr>
            <w:tcW w:w="643" w:type="dxa"/>
            <w:vMerge w:val="continue"/>
            <w:noWrap w:val="0"/>
            <w:vAlign w:val="top"/>
          </w:tcPr>
          <w:p w14:paraId="29796802">
            <w:pPr>
              <w:spacing w:line="400" w:lineRule="exact"/>
              <w:rPr>
                <w:rFonts w:ascii="宋体" w:hAnsi="宋体" w:cs="宋体"/>
                <w:color w:val="auto"/>
                <w:szCs w:val="22"/>
              </w:rPr>
            </w:pPr>
          </w:p>
        </w:tc>
        <w:tc>
          <w:tcPr>
            <w:tcW w:w="2058" w:type="dxa"/>
            <w:gridSpan w:val="3"/>
            <w:tcBorders>
              <w:top w:val="single" w:color="auto" w:sz="4" w:space="0"/>
              <w:bottom w:val="single" w:color="auto" w:sz="4" w:space="0"/>
            </w:tcBorders>
            <w:noWrap w:val="0"/>
            <w:vAlign w:val="center"/>
          </w:tcPr>
          <w:p w14:paraId="3C405773">
            <w:pPr>
              <w:spacing w:line="400" w:lineRule="exact"/>
              <w:jc w:val="left"/>
              <w:rPr>
                <w:rFonts w:hint="eastAsia" w:ascii="宋体" w:hAnsi="宋体" w:cs="宋体"/>
                <w:color w:val="auto"/>
                <w:kern w:val="0"/>
                <w:szCs w:val="22"/>
              </w:rPr>
            </w:pPr>
            <w:r>
              <w:rPr>
                <w:rFonts w:hint="eastAsia" w:ascii="宋体" w:hAnsi="宋体" w:cs="宋体"/>
                <w:color w:val="auto"/>
                <w:kern w:val="0"/>
                <w:szCs w:val="22"/>
                <w:lang w:val="en-US" w:eastAsia="zh-CN"/>
              </w:rPr>
              <w:t>竞选</w:t>
            </w:r>
            <w:r>
              <w:rPr>
                <w:rFonts w:hint="eastAsia" w:ascii="宋体" w:hAnsi="宋体" w:cs="宋体"/>
                <w:color w:val="auto"/>
                <w:kern w:val="0"/>
                <w:szCs w:val="22"/>
              </w:rPr>
              <w:t>报价</w:t>
            </w:r>
          </w:p>
        </w:tc>
        <w:tc>
          <w:tcPr>
            <w:tcW w:w="5936" w:type="dxa"/>
            <w:gridSpan w:val="2"/>
            <w:tcBorders>
              <w:top w:val="single" w:color="auto" w:sz="4" w:space="0"/>
            </w:tcBorders>
            <w:noWrap w:val="0"/>
            <w:vAlign w:val="center"/>
          </w:tcPr>
          <w:p w14:paraId="2A051363">
            <w:pPr>
              <w:spacing w:line="400" w:lineRule="exact"/>
              <w:jc w:val="left"/>
              <w:rPr>
                <w:rFonts w:hint="eastAsia" w:ascii="宋体" w:hAnsi="宋体" w:cs="宋体"/>
                <w:color w:val="auto"/>
                <w:kern w:val="0"/>
                <w:szCs w:val="22"/>
              </w:rPr>
            </w:pPr>
            <w:r>
              <w:rPr>
                <w:rFonts w:hint="eastAsia" w:ascii="宋体" w:hAnsi="宋体" w:cs="宋体"/>
                <w:color w:val="auto"/>
                <w:kern w:val="0"/>
                <w:lang w:val="en-US" w:eastAsia="zh-CN"/>
              </w:rPr>
              <w:t>竞选</w:t>
            </w:r>
            <w:r>
              <w:rPr>
                <w:rFonts w:hint="eastAsia" w:ascii="宋体" w:hAnsi="宋体" w:cs="宋体"/>
                <w:color w:val="auto"/>
                <w:kern w:val="0"/>
              </w:rPr>
              <w:t>总报价不得高于</w:t>
            </w:r>
            <w:r>
              <w:rPr>
                <w:rFonts w:hint="eastAsia" w:ascii="宋体" w:hAnsi="宋体" w:cs="宋体"/>
                <w:color w:val="auto"/>
                <w:kern w:val="0"/>
                <w:lang w:val="en-US" w:eastAsia="zh-CN"/>
              </w:rPr>
              <w:t>比选</w:t>
            </w:r>
            <w:r>
              <w:rPr>
                <w:rFonts w:hint="eastAsia" w:ascii="宋体" w:hAnsi="宋体" w:cs="宋体"/>
                <w:color w:val="auto"/>
                <w:kern w:val="0"/>
              </w:rPr>
              <w:t>人公布的</w:t>
            </w:r>
            <w:r>
              <w:rPr>
                <w:rFonts w:hint="eastAsia" w:ascii="宋体" w:hAnsi="宋体" w:cs="宋体"/>
                <w:color w:val="auto"/>
                <w:kern w:val="0"/>
                <w:lang w:val="en-US" w:eastAsia="zh-CN"/>
              </w:rPr>
              <w:t>竞选</w:t>
            </w:r>
            <w:r>
              <w:rPr>
                <w:rFonts w:hint="eastAsia" w:ascii="宋体" w:hAnsi="宋体" w:cs="宋体"/>
                <w:color w:val="auto"/>
                <w:kern w:val="0"/>
              </w:rPr>
              <w:t>总报价最高限价。</w:t>
            </w:r>
            <w:r>
              <w:rPr>
                <w:rFonts w:hint="eastAsia" w:ascii="宋体" w:hAnsi="宋体" w:cs="宋体"/>
                <w:color w:val="auto"/>
                <w:kern w:val="0"/>
                <w:lang w:val="en-US" w:eastAsia="zh-CN"/>
              </w:rPr>
              <w:t>竞选</w:t>
            </w:r>
            <w:r>
              <w:rPr>
                <w:rFonts w:hint="eastAsia" w:ascii="宋体" w:hAnsi="宋体" w:cs="宋体"/>
                <w:color w:val="auto"/>
                <w:kern w:val="0"/>
              </w:rPr>
              <w:t>分项报价不得高于</w:t>
            </w:r>
            <w:r>
              <w:rPr>
                <w:rFonts w:hint="eastAsia" w:ascii="宋体" w:hAnsi="宋体" w:cs="宋体"/>
                <w:color w:val="auto"/>
                <w:kern w:val="0"/>
                <w:lang w:val="en-US" w:eastAsia="zh-CN"/>
              </w:rPr>
              <w:t>比选</w:t>
            </w:r>
            <w:r>
              <w:rPr>
                <w:rFonts w:hint="eastAsia" w:ascii="宋体" w:hAnsi="宋体" w:cs="宋体"/>
                <w:color w:val="auto"/>
                <w:kern w:val="0"/>
              </w:rPr>
              <w:t>人公布的</w:t>
            </w:r>
            <w:r>
              <w:rPr>
                <w:rFonts w:hint="eastAsia" w:ascii="宋体" w:hAnsi="宋体" w:cs="宋体"/>
                <w:color w:val="auto"/>
                <w:kern w:val="0"/>
                <w:lang w:val="en-US" w:eastAsia="zh-CN"/>
              </w:rPr>
              <w:t>竞选</w:t>
            </w:r>
            <w:r>
              <w:rPr>
                <w:rFonts w:hint="eastAsia" w:ascii="宋体" w:hAnsi="宋体" w:cs="宋体"/>
                <w:color w:val="auto"/>
                <w:kern w:val="0"/>
              </w:rPr>
              <w:t>分项报价最高限价。</w:t>
            </w:r>
          </w:p>
        </w:tc>
      </w:tr>
      <w:tr w14:paraId="6B6C7C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noWrap w:val="0"/>
            <w:vAlign w:val="top"/>
          </w:tcPr>
          <w:p w14:paraId="747AA172">
            <w:pPr>
              <w:spacing w:line="400" w:lineRule="exact"/>
              <w:rPr>
                <w:rFonts w:ascii="宋体" w:hAnsi="宋体" w:cs="宋体"/>
                <w:color w:val="auto"/>
                <w:szCs w:val="22"/>
              </w:rPr>
            </w:pPr>
          </w:p>
        </w:tc>
        <w:tc>
          <w:tcPr>
            <w:tcW w:w="643" w:type="dxa"/>
            <w:vMerge w:val="continue"/>
            <w:noWrap w:val="0"/>
            <w:vAlign w:val="top"/>
          </w:tcPr>
          <w:p w14:paraId="1169B14F">
            <w:pPr>
              <w:spacing w:line="400" w:lineRule="exact"/>
              <w:rPr>
                <w:rFonts w:ascii="宋体" w:hAnsi="宋体" w:cs="宋体"/>
                <w:color w:val="auto"/>
                <w:szCs w:val="22"/>
              </w:rPr>
            </w:pPr>
          </w:p>
        </w:tc>
        <w:tc>
          <w:tcPr>
            <w:tcW w:w="2058" w:type="dxa"/>
            <w:gridSpan w:val="3"/>
            <w:tcBorders>
              <w:top w:val="single" w:color="auto" w:sz="4" w:space="0"/>
              <w:bottom w:val="single" w:color="auto" w:sz="4" w:space="0"/>
            </w:tcBorders>
            <w:noWrap w:val="0"/>
            <w:vAlign w:val="center"/>
          </w:tcPr>
          <w:p w14:paraId="78FF9BA0">
            <w:pPr>
              <w:spacing w:line="400" w:lineRule="exact"/>
              <w:jc w:val="left"/>
              <w:rPr>
                <w:rFonts w:hint="eastAsia" w:ascii="宋体" w:hAnsi="宋体" w:cs="宋体"/>
                <w:color w:val="auto"/>
                <w:kern w:val="0"/>
                <w:szCs w:val="22"/>
              </w:rPr>
            </w:pPr>
            <w:r>
              <w:rPr>
                <w:rFonts w:hint="eastAsia" w:ascii="宋体" w:hAnsi="宋体" w:cs="宋体"/>
                <w:color w:val="auto"/>
                <w:kern w:val="0"/>
                <w:szCs w:val="22"/>
              </w:rPr>
              <w:t>报价唯一</w:t>
            </w:r>
          </w:p>
        </w:tc>
        <w:tc>
          <w:tcPr>
            <w:tcW w:w="5936" w:type="dxa"/>
            <w:gridSpan w:val="2"/>
            <w:noWrap w:val="0"/>
            <w:vAlign w:val="center"/>
          </w:tcPr>
          <w:p w14:paraId="18CA9061">
            <w:pPr>
              <w:spacing w:line="400" w:lineRule="exact"/>
              <w:jc w:val="left"/>
              <w:rPr>
                <w:rFonts w:hint="eastAsia" w:ascii="宋体" w:hAnsi="宋体" w:cs="宋体"/>
                <w:color w:val="auto"/>
                <w:kern w:val="0"/>
                <w:szCs w:val="22"/>
              </w:rPr>
            </w:pPr>
            <w:r>
              <w:rPr>
                <w:rFonts w:hint="eastAsia" w:ascii="宋体" w:hAnsi="宋体" w:cs="宋体"/>
                <w:color w:val="auto"/>
                <w:kern w:val="0"/>
                <w:szCs w:val="22"/>
              </w:rPr>
              <w:t>只能有一个有效报价。</w:t>
            </w:r>
          </w:p>
        </w:tc>
      </w:tr>
      <w:tr w14:paraId="5DA43C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350" w:hRule="atLeast"/>
          <w:jc w:val="center"/>
        </w:trPr>
        <w:tc>
          <w:tcPr>
            <w:tcW w:w="833" w:type="dxa"/>
            <w:vMerge w:val="restart"/>
            <w:noWrap w:val="0"/>
            <w:vAlign w:val="center"/>
          </w:tcPr>
          <w:p w14:paraId="433B9AF3">
            <w:pPr>
              <w:spacing w:line="400" w:lineRule="exact"/>
              <w:jc w:val="center"/>
              <w:rPr>
                <w:rFonts w:ascii="宋体" w:hAnsi="宋体" w:cs="宋体"/>
                <w:color w:val="auto"/>
                <w:szCs w:val="22"/>
              </w:rPr>
            </w:pPr>
            <w:r>
              <w:rPr>
                <w:rFonts w:hint="eastAsia" w:ascii="宋体" w:hAnsi="宋体" w:cs="宋体"/>
                <w:color w:val="auto"/>
                <w:kern w:val="0"/>
                <w:szCs w:val="22"/>
              </w:rPr>
              <w:t>2.1.3</w:t>
            </w:r>
          </w:p>
        </w:tc>
        <w:tc>
          <w:tcPr>
            <w:tcW w:w="643" w:type="dxa"/>
            <w:vMerge w:val="restart"/>
            <w:noWrap w:val="0"/>
            <w:vAlign w:val="center"/>
          </w:tcPr>
          <w:p w14:paraId="22F95F37">
            <w:pPr>
              <w:spacing w:line="400" w:lineRule="exact"/>
              <w:jc w:val="center"/>
              <w:rPr>
                <w:rFonts w:ascii="宋体" w:hAnsi="宋体" w:cs="宋体"/>
                <w:color w:val="auto"/>
                <w:szCs w:val="22"/>
              </w:rPr>
            </w:pPr>
            <w:r>
              <w:rPr>
                <w:rFonts w:hint="eastAsia" w:ascii="宋体" w:hAnsi="宋体" w:cs="宋体"/>
                <w:color w:val="auto"/>
                <w:kern w:val="0"/>
                <w:szCs w:val="22"/>
              </w:rPr>
              <w:t>响应性评审标准</w:t>
            </w:r>
          </w:p>
        </w:tc>
        <w:tc>
          <w:tcPr>
            <w:tcW w:w="2058" w:type="dxa"/>
            <w:gridSpan w:val="3"/>
            <w:tcBorders>
              <w:bottom w:val="single" w:color="auto" w:sz="4" w:space="0"/>
            </w:tcBorders>
            <w:noWrap w:val="0"/>
            <w:vAlign w:val="center"/>
          </w:tcPr>
          <w:p w14:paraId="5C60F3D3">
            <w:pPr>
              <w:spacing w:line="400" w:lineRule="exact"/>
              <w:jc w:val="left"/>
              <w:rPr>
                <w:rFonts w:ascii="宋体" w:hAnsi="宋体" w:eastAsia="宋体" w:cs="宋体"/>
                <w:color w:val="auto"/>
                <w:kern w:val="0"/>
                <w:sz w:val="21"/>
                <w:szCs w:val="22"/>
                <w:lang w:val="en-US" w:eastAsia="zh-CN" w:bidi="ar-SA"/>
              </w:rPr>
            </w:pPr>
            <w:r>
              <w:rPr>
                <w:rFonts w:hint="eastAsia" w:ascii="宋体" w:hAnsi="宋体" w:cs="宋体"/>
                <w:color w:val="auto"/>
                <w:kern w:val="0"/>
                <w:szCs w:val="22"/>
              </w:rPr>
              <w:t>比选范围</w:t>
            </w:r>
          </w:p>
        </w:tc>
        <w:tc>
          <w:tcPr>
            <w:tcW w:w="5936" w:type="dxa"/>
            <w:gridSpan w:val="2"/>
            <w:tcBorders>
              <w:bottom w:val="single" w:color="auto" w:sz="4" w:space="0"/>
            </w:tcBorders>
            <w:noWrap w:val="0"/>
            <w:vAlign w:val="center"/>
          </w:tcPr>
          <w:p w14:paraId="3BB11895">
            <w:pPr>
              <w:spacing w:line="400" w:lineRule="exact"/>
              <w:ind w:firstLine="420" w:firstLineChars="200"/>
              <w:jc w:val="left"/>
              <w:rPr>
                <w:rFonts w:ascii="宋体" w:hAnsi="宋体" w:eastAsia="宋体" w:cs="宋体"/>
                <w:color w:val="auto"/>
                <w:kern w:val="0"/>
                <w:sz w:val="21"/>
                <w:szCs w:val="22"/>
                <w:lang w:val="en-US" w:eastAsia="zh-CN" w:bidi="ar-SA"/>
              </w:rPr>
            </w:pPr>
            <w:r>
              <w:rPr>
                <w:rFonts w:hint="eastAsia" w:ascii="宋体" w:hAnsi="宋体" w:cs="宋体"/>
                <w:color w:val="auto"/>
                <w:kern w:val="0"/>
                <w:szCs w:val="21"/>
              </w:rPr>
              <w:t>符合第二章“竞选人须知前附表”第1.3.1项规定</w:t>
            </w:r>
          </w:p>
        </w:tc>
      </w:tr>
      <w:tr w14:paraId="7B2C8A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15" w:hRule="atLeast"/>
          <w:jc w:val="center"/>
        </w:trPr>
        <w:tc>
          <w:tcPr>
            <w:tcW w:w="833" w:type="dxa"/>
            <w:vMerge w:val="continue"/>
            <w:noWrap w:val="0"/>
            <w:vAlign w:val="center"/>
          </w:tcPr>
          <w:p w14:paraId="32867EEB">
            <w:pPr>
              <w:spacing w:line="400" w:lineRule="exact"/>
              <w:jc w:val="center"/>
              <w:rPr>
                <w:rFonts w:hint="eastAsia" w:ascii="宋体" w:hAnsi="宋体" w:cs="宋体"/>
                <w:color w:val="auto"/>
                <w:kern w:val="0"/>
                <w:szCs w:val="22"/>
              </w:rPr>
            </w:pPr>
          </w:p>
        </w:tc>
        <w:tc>
          <w:tcPr>
            <w:tcW w:w="643" w:type="dxa"/>
            <w:vMerge w:val="continue"/>
            <w:noWrap w:val="0"/>
            <w:vAlign w:val="center"/>
          </w:tcPr>
          <w:p w14:paraId="7AAD1FE8">
            <w:pPr>
              <w:spacing w:line="400" w:lineRule="exact"/>
              <w:jc w:val="center"/>
              <w:rPr>
                <w:rFonts w:hint="eastAsia" w:ascii="宋体" w:hAnsi="宋体" w:cs="宋体"/>
                <w:color w:val="auto"/>
                <w:kern w:val="0"/>
                <w:szCs w:val="22"/>
              </w:rPr>
            </w:pPr>
          </w:p>
        </w:tc>
        <w:tc>
          <w:tcPr>
            <w:tcW w:w="2058" w:type="dxa"/>
            <w:gridSpan w:val="3"/>
            <w:tcBorders>
              <w:top w:val="single" w:color="auto" w:sz="4" w:space="0"/>
            </w:tcBorders>
            <w:noWrap w:val="0"/>
            <w:vAlign w:val="center"/>
          </w:tcPr>
          <w:p w14:paraId="5DD5E969">
            <w:pPr>
              <w:spacing w:line="400" w:lineRule="exact"/>
              <w:jc w:val="left"/>
              <w:rPr>
                <w:rFonts w:hint="eastAsia" w:ascii="宋体" w:hAnsi="宋体" w:eastAsia="宋体" w:cs="宋体"/>
                <w:color w:val="auto"/>
                <w:kern w:val="0"/>
                <w:szCs w:val="22"/>
                <w:lang w:eastAsia="zh-CN"/>
              </w:rPr>
            </w:pPr>
            <w:r>
              <w:rPr>
                <w:rFonts w:hint="eastAsia" w:ascii="宋体" w:hAnsi="宋体" w:cs="宋体"/>
                <w:color w:val="auto"/>
                <w:kern w:val="0"/>
                <w:szCs w:val="22"/>
                <w:lang w:val="en-US" w:eastAsia="zh-CN"/>
              </w:rPr>
              <w:t>工期</w:t>
            </w:r>
          </w:p>
        </w:tc>
        <w:tc>
          <w:tcPr>
            <w:tcW w:w="5936" w:type="dxa"/>
            <w:gridSpan w:val="2"/>
            <w:tcBorders>
              <w:top w:val="single" w:color="auto" w:sz="4" w:space="0"/>
            </w:tcBorders>
            <w:noWrap w:val="0"/>
            <w:vAlign w:val="center"/>
          </w:tcPr>
          <w:p w14:paraId="6CB1C0EC">
            <w:pPr>
              <w:spacing w:line="400" w:lineRule="exact"/>
              <w:ind w:firstLine="420" w:firstLineChars="200"/>
              <w:jc w:val="left"/>
              <w:rPr>
                <w:rFonts w:ascii="宋体" w:hAnsi="宋体" w:cs="宋体"/>
                <w:color w:val="auto"/>
                <w:kern w:val="0"/>
                <w:szCs w:val="22"/>
              </w:rPr>
            </w:pPr>
            <w:r>
              <w:rPr>
                <w:rFonts w:hint="eastAsia" w:ascii="宋体" w:hAnsi="宋体" w:cs="宋体"/>
                <w:color w:val="auto"/>
                <w:kern w:val="0"/>
                <w:szCs w:val="21"/>
              </w:rPr>
              <w:t>符合第二章“竞选人须知前附表”第1.3.2项规定</w:t>
            </w:r>
          </w:p>
        </w:tc>
      </w:tr>
      <w:tr w14:paraId="0DFD63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noWrap w:val="0"/>
            <w:vAlign w:val="top"/>
          </w:tcPr>
          <w:p w14:paraId="2312EDFB">
            <w:pPr>
              <w:spacing w:line="400" w:lineRule="exact"/>
              <w:jc w:val="center"/>
              <w:rPr>
                <w:rFonts w:ascii="宋体" w:hAnsi="宋体" w:cs="宋体"/>
                <w:color w:val="auto"/>
                <w:szCs w:val="22"/>
              </w:rPr>
            </w:pPr>
          </w:p>
        </w:tc>
        <w:tc>
          <w:tcPr>
            <w:tcW w:w="643" w:type="dxa"/>
            <w:vMerge w:val="continue"/>
            <w:noWrap w:val="0"/>
            <w:vAlign w:val="top"/>
          </w:tcPr>
          <w:p w14:paraId="14115BE0">
            <w:pPr>
              <w:spacing w:line="400" w:lineRule="exact"/>
              <w:jc w:val="center"/>
              <w:rPr>
                <w:rFonts w:ascii="宋体" w:hAnsi="宋体" w:cs="宋体"/>
                <w:color w:val="auto"/>
                <w:szCs w:val="22"/>
              </w:rPr>
            </w:pPr>
          </w:p>
        </w:tc>
        <w:tc>
          <w:tcPr>
            <w:tcW w:w="2058" w:type="dxa"/>
            <w:gridSpan w:val="3"/>
            <w:noWrap w:val="0"/>
            <w:vAlign w:val="center"/>
          </w:tcPr>
          <w:p w14:paraId="0B578B31">
            <w:pPr>
              <w:spacing w:line="400" w:lineRule="exact"/>
              <w:jc w:val="left"/>
              <w:rPr>
                <w:rFonts w:ascii="宋体" w:hAnsi="宋体" w:cs="宋体"/>
                <w:color w:val="auto"/>
                <w:kern w:val="0"/>
                <w:szCs w:val="22"/>
              </w:rPr>
            </w:pPr>
            <w:r>
              <w:rPr>
                <w:rFonts w:hint="eastAsia" w:ascii="宋体" w:hAnsi="宋体" w:cs="宋体"/>
                <w:color w:val="auto"/>
                <w:kern w:val="0"/>
                <w:szCs w:val="22"/>
              </w:rPr>
              <w:t>质量要求</w:t>
            </w:r>
          </w:p>
        </w:tc>
        <w:tc>
          <w:tcPr>
            <w:tcW w:w="5936" w:type="dxa"/>
            <w:gridSpan w:val="2"/>
            <w:noWrap w:val="0"/>
            <w:vAlign w:val="center"/>
          </w:tcPr>
          <w:p w14:paraId="15110190">
            <w:pPr>
              <w:spacing w:line="400" w:lineRule="exact"/>
              <w:ind w:firstLine="420" w:firstLineChars="200"/>
              <w:jc w:val="left"/>
              <w:rPr>
                <w:rFonts w:ascii="宋体" w:hAnsi="宋体" w:cs="宋体"/>
                <w:color w:val="auto"/>
                <w:kern w:val="0"/>
                <w:szCs w:val="22"/>
              </w:rPr>
            </w:pPr>
            <w:r>
              <w:rPr>
                <w:rFonts w:hint="eastAsia" w:ascii="宋体" w:hAnsi="宋体" w:cs="宋体"/>
                <w:color w:val="auto"/>
                <w:kern w:val="0"/>
                <w:szCs w:val="22"/>
              </w:rPr>
              <w:t>符合第二章“</w:t>
            </w:r>
            <w:r>
              <w:rPr>
                <w:rFonts w:hint="eastAsia" w:ascii="宋体" w:hAnsi="宋体" w:cs="宋体"/>
                <w:color w:val="auto"/>
                <w:kern w:val="0"/>
                <w:szCs w:val="21"/>
              </w:rPr>
              <w:t>竞选人须知前附表</w:t>
            </w:r>
            <w:r>
              <w:rPr>
                <w:rFonts w:hint="eastAsia" w:ascii="宋体" w:hAnsi="宋体" w:cs="宋体"/>
                <w:color w:val="auto"/>
                <w:kern w:val="0"/>
                <w:szCs w:val="22"/>
              </w:rPr>
              <w:t>”第1.3.3项规定</w:t>
            </w:r>
          </w:p>
        </w:tc>
      </w:tr>
      <w:tr w14:paraId="53AF0B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79" w:hRule="atLeast"/>
          <w:jc w:val="center"/>
        </w:trPr>
        <w:tc>
          <w:tcPr>
            <w:tcW w:w="833" w:type="dxa"/>
            <w:vMerge w:val="continue"/>
            <w:noWrap w:val="0"/>
            <w:vAlign w:val="top"/>
          </w:tcPr>
          <w:p w14:paraId="6DA96FEF">
            <w:pPr>
              <w:spacing w:line="400" w:lineRule="exact"/>
              <w:jc w:val="center"/>
              <w:rPr>
                <w:rFonts w:ascii="宋体" w:hAnsi="宋体" w:cs="宋体"/>
                <w:color w:val="auto"/>
                <w:szCs w:val="22"/>
              </w:rPr>
            </w:pPr>
          </w:p>
        </w:tc>
        <w:tc>
          <w:tcPr>
            <w:tcW w:w="643" w:type="dxa"/>
            <w:vMerge w:val="continue"/>
            <w:noWrap w:val="0"/>
            <w:vAlign w:val="top"/>
          </w:tcPr>
          <w:p w14:paraId="6611883A">
            <w:pPr>
              <w:spacing w:line="400" w:lineRule="exact"/>
              <w:jc w:val="center"/>
              <w:rPr>
                <w:rFonts w:ascii="宋体" w:hAnsi="宋体" w:cs="宋体"/>
                <w:color w:val="auto"/>
                <w:szCs w:val="22"/>
              </w:rPr>
            </w:pPr>
          </w:p>
        </w:tc>
        <w:tc>
          <w:tcPr>
            <w:tcW w:w="2058" w:type="dxa"/>
            <w:gridSpan w:val="3"/>
            <w:tcBorders>
              <w:bottom w:val="single" w:color="auto" w:sz="4" w:space="0"/>
            </w:tcBorders>
            <w:noWrap w:val="0"/>
            <w:vAlign w:val="center"/>
          </w:tcPr>
          <w:p w14:paraId="6DBAC6C7">
            <w:pPr>
              <w:spacing w:line="400" w:lineRule="exact"/>
              <w:jc w:val="left"/>
              <w:rPr>
                <w:rFonts w:ascii="宋体" w:hAnsi="宋体" w:cs="宋体"/>
                <w:color w:val="auto"/>
                <w:kern w:val="0"/>
                <w:szCs w:val="22"/>
              </w:rPr>
            </w:pPr>
            <w:r>
              <w:rPr>
                <w:rFonts w:hint="eastAsia" w:ascii="宋体" w:hAnsi="宋体" w:cs="宋体"/>
                <w:color w:val="auto"/>
                <w:kern w:val="0"/>
                <w:szCs w:val="22"/>
              </w:rPr>
              <w:t>竞选有效期</w:t>
            </w:r>
          </w:p>
        </w:tc>
        <w:tc>
          <w:tcPr>
            <w:tcW w:w="5936" w:type="dxa"/>
            <w:gridSpan w:val="2"/>
            <w:tcBorders>
              <w:bottom w:val="single" w:color="auto" w:sz="4" w:space="0"/>
            </w:tcBorders>
            <w:noWrap w:val="0"/>
            <w:vAlign w:val="center"/>
          </w:tcPr>
          <w:p w14:paraId="1AC69480">
            <w:pPr>
              <w:spacing w:line="400" w:lineRule="exact"/>
              <w:ind w:firstLine="420" w:firstLineChars="200"/>
              <w:jc w:val="left"/>
              <w:rPr>
                <w:rFonts w:ascii="宋体" w:hAnsi="宋体" w:cs="宋体"/>
                <w:color w:val="auto"/>
                <w:kern w:val="0"/>
                <w:szCs w:val="22"/>
              </w:rPr>
            </w:pPr>
            <w:r>
              <w:rPr>
                <w:rFonts w:hint="eastAsia" w:ascii="宋体" w:hAnsi="宋体" w:cs="宋体"/>
                <w:color w:val="auto"/>
                <w:kern w:val="0"/>
                <w:szCs w:val="22"/>
              </w:rPr>
              <w:t>符合第二章“</w:t>
            </w:r>
            <w:r>
              <w:rPr>
                <w:rFonts w:hint="eastAsia" w:ascii="宋体" w:hAnsi="宋体" w:cs="宋体"/>
                <w:color w:val="auto"/>
                <w:kern w:val="0"/>
                <w:szCs w:val="21"/>
              </w:rPr>
              <w:t>竞选人须知前附表</w:t>
            </w:r>
            <w:r>
              <w:rPr>
                <w:rFonts w:hint="eastAsia" w:ascii="宋体" w:hAnsi="宋体" w:cs="宋体"/>
                <w:color w:val="auto"/>
                <w:kern w:val="0"/>
                <w:szCs w:val="22"/>
              </w:rPr>
              <w:t>”第3.3.1项规定</w:t>
            </w:r>
          </w:p>
        </w:tc>
      </w:tr>
      <w:tr w14:paraId="19DDB8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231" w:hRule="atLeast"/>
          <w:jc w:val="center"/>
        </w:trPr>
        <w:tc>
          <w:tcPr>
            <w:tcW w:w="833" w:type="dxa"/>
            <w:vMerge w:val="continue"/>
            <w:noWrap w:val="0"/>
            <w:vAlign w:val="top"/>
          </w:tcPr>
          <w:p w14:paraId="6BD3BD91">
            <w:pPr>
              <w:spacing w:line="400" w:lineRule="exact"/>
              <w:jc w:val="center"/>
              <w:rPr>
                <w:rFonts w:ascii="宋体" w:hAnsi="宋体" w:cs="宋体"/>
                <w:color w:val="auto"/>
                <w:szCs w:val="22"/>
              </w:rPr>
            </w:pPr>
          </w:p>
        </w:tc>
        <w:tc>
          <w:tcPr>
            <w:tcW w:w="643" w:type="dxa"/>
            <w:vMerge w:val="continue"/>
            <w:noWrap w:val="0"/>
            <w:vAlign w:val="top"/>
          </w:tcPr>
          <w:p w14:paraId="181C1680">
            <w:pPr>
              <w:spacing w:line="400" w:lineRule="exact"/>
              <w:jc w:val="center"/>
              <w:rPr>
                <w:rFonts w:ascii="宋体" w:hAnsi="宋体" w:cs="宋体"/>
                <w:color w:val="auto"/>
                <w:szCs w:val="22"/>
              </w:rPr>
            </w:pPr>
          </w:p>
        </w:tc>
        <w:tc>
          <w:tcPr>
            <w:tcW w:w="2058" w:type="dxa"/>
            <w:gridSpan w:val="3"/>
            <w:tcBorders>
              <w:top w:val="single" w:color="auto" w:sz="4" w:space="0"/>
            </w:tcBorders>
            <w:noWrap w:val="0"/>
            <w:vAlign w:val="center"/>
          </w:tcPr>
          <w:p w14:paraId="20137D43">
            <w:pPr>
              <w:snapToGrid w:val="0"/>
              <w:spacing w:line="400" w:lineRule="exact"/>
              <w:jc w:val="left"/>
              <w:rPr>
                <w:rFonts w:hint="eastAsia" w:ascii="宋体" w:hAnsi="宋体" w:cs="宋体"/>
                <w:color w:val="auto"/>
                <w:kern w:val="0"/>
                <w:szCs w:val="22"/>
              </w:rPr>
            </w:pPr>
            <w:r>
              <w:rPr>
                <w:rFonts w:hint="eastAsia" w:ascii="宋体" w:hAnsi="宋体" w:cs="宋体"/>
                <w:color w:val="auto"/>
                <w:kern w:val="0"/>
              </w:rPr>
              <w:t>已标价工程量清单</w:t>
            </w:r>
          </w:p>
        </w:tc>
        <w:tc>
          <w:tcPr>
            <w:tcW w:w="5936" w:type="dxa"/>
            <w:gridSpan w:val="2"/>
            <w:tcBorders>
              <w:top w:val="single" w:color="auto" w:sz="4" w:space="0"/>
            </w:tcBorders>
            <w:noWrap w:val="0"/>
            <w:vAlign w:val="center"/>
          </w:tcPr>
          <w:p w14:paraId="3E4343D8">
            <w:pPr>
              <w:spacing w:after="62" w:afterLines="20" w:line="400" w:lineRule="exact"/>
              <w:ind w:firstLine="420" w:firstLineChars="200"/>
              <w:rPr>
                <w:rFonts w:ascii="宋体" w:hAnsi="宋体" w:cs="宋体"/>
                <w:color w:val="auto"/>
                <w:kern w:val="0"/>
              </w:rPr>
            </w:pPr>
            <w:r>
              <w:rPr>
                <w:rFonts w:hint="eastAsia" w:ascii="宋体" w:hAnsi="宋体" w:cs="宋体"/>
                <w:color w:val="auto"/>
                <w:kern w:val="0"/>
              </w:rPr>
              <w:t>1.</w:t>
            </w:r>
            <w:r>
              <w:rPr>
                <w:rFonts w:hint="eastAsia" w:ascii="宋体" w:hAnsi="宋体" w:cs="宋体"/>
                <w:color w:val="auto"/>
                <w:kern w:val="0"/>
                <w:lang w:val="en-US" w:eastAsia="zh-CN"/>
              </w:rPr>
              <w:t>竞选人</w:t>
            </w:r>
            <w:r>
              <w:rPr>
                <w:rFonts w:hint="eastAsia" w:ascii="宋体" w:hAnsi="宋体"/>
                <w:color w:val="auto"/>
                <w:szCs w:val="21"/>
                <w:lang w:val="en-US" w:eastAsia="zh-CN"/>
              </w:rPr>
              <w:t>应当</w:t>
            </w:r>
            <w:r>
              <w:rPr>
                <w:rFonts w:hint="eastAsia" w:ascii="宋体" w:hAnsi="宋体"/>
                <w:color w:val="auto"/>
                <w:szCs w:val="21"/>
              </w:rPr>
              <w:t>按工程量清单填报价格。项目名称、计量单位、工程量</w:t>
            </w:r>
            <w:r>
              <w:rPr>
                <w:rFonts w:hint="eastAsia" w:ascii="宋体" w:hAnsi="宋体"/>
                <w:color w:val="auto"/>
                <w:szCs w:val="21"/>
                <w:lang w:val="en-US" w:eastAsia="zh-CN"/>
              </w:rPr>
              <w:t>应当</w:t>
            </w:r>
            <w:r>
              <w:rPr>
                <w:rFonts w:hint="eastAsia" w:ascii="宋体" w:hAnsi="宋体"/>
                <w:color w:val="auto"/>
                <w:szCs w:val="21"/>
              </w:rPr>
              <w:t>与招标工程量清单一致</w:t>
            </w:r>
            <w:r>
              <w:rPr>
                <w:rFonts w:hint="eastAsia" w:ascii="宋体" w:hAnsi="宋体" w:cs="宋体"/>
                <w:color w:val="auto"/>
                <w:kern w:val="0"/>
              </w:rPr>
              <w:t>。</w:t>
            </w:r>
          </w:p>
          <w:p w14:paraId="5FB2C7DB">
            <w:pPr>
              <w:snapToGrid w:val="0"/>
              <w:spacing w:after="31" w:afterLines="10" w:line="400" w:lineRule="exact"/>
              <w:ind w:firstLine="420" w:firstLineChars="200"/>
              <w:rPr>
                <w:rFonts w:hint="eastAsia" w:ascii="宋体" w:hAnsi="宋体" w:cs="宋体"/>
                <w:color w:val="auto"/>
                <w:kern w:val="0"/>
                <w:szCs w:val="22"/>
              </w:rPr>
            </w:pPr>
            <w:r>
              <w:rPr>
                <w:rFonts w:hint="eastAsia" w:ascii="宋体" w:hAnsi="宋体" w:cs="宋体"/>
                <w:color w:val="auto"/>
                <w:kern w:val="0"/>
              </w:rPr>
              <w:t>2.每项清单综合单价报价不得高于每项清单综合单价最高限价。</w:t>
            </w:r>
          </w:p>
        </w:tc>
      </w:tr>
      <w:tr w14:paraId="5BE54D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077" w:hRule="atLeast"/>
          <w:jc w:val="center"/>
        </w:trPr>
        <w:tc>
          <w:tcPr>
            <w:tcW w:w="833" w:type="dxa"/>
            <w:vMerge w:val="continue"/>
            <w:noWrap w:val="0"/>
            <w:vAlign w:val="top"/>
          </w:tcPr>
          <w:p w14:paraId="6656DB09">
            <w:pPr>
              <w:spacing w:line="400" w:lineRule="exact"/>
              <w:jc w:val="center"/>
              <w:rPr>
                <w:rFonts w:ascii="宋体" w:hAnsi="宋体" w:cs="宋体"/>
                <w:color w:val="auto"/>
                <w:szCs w:val="22"/>
              </w:rPr>
            </w:pPr>
          </w:p>
        </w:tc>
        <w:tc>
          <w:tcPr>
            <w:tcW w:w="643" w:type="dxa"/>
            <w:vMerge w:val="continue"/>
            <w:noWrap w:val="0"/>
            <w:vAlign w:val="top"/>
          </w:tcPr>
          <w:p w14:paraId="27384AF6">
            <w:pPr>
              <w:spacing w:line="400" w:lineRule="exact"/>
              <w:jc w:val="center"/>
              <w:rPr>
                <w:rFonts w:ascii="宋体" w:hAnsi="宋体" w:cs="宋体"/>
                <w:color w:val="auto"/>
                <w:szCs w:val="22"/>
              </w:rPr>
            </w:pPr>
          </w:p>
        </w:tc>
        <w:tc>
          <w:tcPr>
            <w:tcW w:w="2058" w:type="dxa"/>
            <w:gridSpan w:val="3"/>
            <w:tcBorders>
              <w:bottom w:val="single" w:color="auto" w:sz="4" w:space="0"/>
            </w:tcBorders>
            <w:noWrap w:val="0"/>
            <w:vAlign w:val="center"/>
          </w:tcPr>
          <w:p w14:paraId="03EC79EC">
            <w:pPr>
              <w:spacing w:line="400" w:lineRule="exact"/>
              <w:jc w:val="left"/>
              <w:rPr>
                <w:rFonts w:ascii="宋体" w:hAnsi="宋体" w:cs="宋体"/>
                <w:color w:val="auto"/>
                <w:kern w:val="0"/>
                <w:szCs w:val="22"/>
              </w:rPr>
            </w:pPr>
            <w:r>
              <w:rPr>
                <w:rFonts w:hint="eastAsia" w:ascii="宋体" w:hAnsi="宋体" w:cs="宋体"/>
                <w:color w:val="auto"/>
                <w:kern w:val="0"/>
                <w:szCs w:val="22"/>
              </w:rPr>
              <w:t>权利义务</w:t>
            </w:r>
          </w:p>
        </w:tc>
        <w:tc>
          <w:tcPr>
            <w:tcW w:w="5936" w:type="dxa"/>
            <w:gridSpan w:val="2"/>
            <w:tcBorders>
              <w:bottom w:val="single" w:color="auto" w:sz="4" w:space="0"/>
            </w:tcBorders>
            <w:noWrap w:val="0"/>
            <w:vAlign w:val="center"/>
          </w:tcPr>
          <w:p w14:paraId="41229A1D">
            <w:pPr>
              <w:spacing w:after="62" w:afterLines="20" w:line="400" w:lineRule="exact"/>
              <w:ind w:firstLine="420" w:firstLineChars="200"/>
              <w:rPr>
                <w:rFonts w:ascii="宋体" w:hAnsi="宋体" w:cs="宋体"/>
                <w:color w:val="auto"/>
                <w:kern w:val="0"/>
                <w:szCs w:val="22"/>
              </w:rPr>
            </w:pPr>
            <w:r>
              <w:rPr>
                <w:rFonts w:hint="eastAsia" w:ascii="宋体" w:hAnsi="宋体" w:cs="宋体"/>
                <w:color w:val="auto"/>
                <w:kern w:val="0"/>
                <w:szCs w:val="22"/>
              </w:rPr>
              <w:t>符合第四章“合同条款及格式”规定，竞选文件不应附有比选人不能接受的条件。（由竞选人承诺，承诺书格式详见第</w:t>
            </w:r>
            <w:r>
              <w:rPr>
                <w:rFonts w:hint="eastAsia" w:ascii="宋体" w:hAnsi="宋体" w:cs="宋体"/>
                <w:color w:val="auto"/>
                <w:kern w:val="0"/>
                <w:szCs w:val="22"/>
                <w:lang w:val="en-US" w:eastAsia="zh-CN"/>
              </w:rPr>
              <w:t>八</w:t>
            </w:r>
            <w:r>
              <w:rPr>
                <w:rFonts w:hint="eastAsia" w:ascii="宋体" w:hAnsi="宋体" w:cs="宋体"/>
                <w:color w:val="auto"/>
                <w:kern w:val="0"/>
                <w:szCs w:val="22"/>
              </w:rPr>
              <w:t>章竞选文件格式。）</w:t>
            </w:r>
          </w:p>
        </w:tc>
      </w:tr>
      <w:tr w14:paraId="31378A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95" w:hRule="atLeast"/>
          <w:jc w:val="center"/>
        </w:trPr>
        <w:tc>
          <w:tcPr>
            <w:tcW w:w="833" w:type="dxa"/>
            <w:vMerge w:val="continue"/>
            <w:noWrap w:val="0"/>
            <w:vAlign w:val="top"/>
          </w:tcPr>
          <w:p w14:paraId="26AED2BA">
            <w:pPr>
              <w:spacing w:line="400" w:lineRule="exact"/>
              <w:jc w:val="center"/>
              <w:rPr>
                <w:rFonts w:ascii="宋体" w:hAnsi="宋体" w:cs="宋体"/>
                <w:color w:val="auto"/>
                <w:szCs w:val="22"/>
              </w:rPr>
            </w:pPr>
          </w:p>
        </w:tc>
        <w:tc>
          <w:tcPr>
            <w:tcW w:w="643" w:type="dxa"/>
            <w:vMerge w:val="continue"/>
            <w:noWrap w:val="0"/>
            <w:vAlign w:val="top"/>
          </w:tcPr>
          <w:p w14:paraId="5CD50AC7">
            <w:pPr>
              <w:spacing w:line="400" w:lineRule="exact"/>
              <w:jc w:val="center"/>
              <w:rPr>
                <w:rFonts w:ascii="宋体" w:hAnsi="宋体" w:cs="宋体"/>
                <w:color w:val="auto"/>
                <w:szCs w:val="22"/>
              </w:rPr>
            </w:pPr>
          </w:p>
        </w:tc>
        <w:tc>
          <w:tcPr>
            <w:tcW w:w="2058" w:type="dxa"/>
            <w:gridSpan w:val="3"/>
            <w:tcBorders>
              <w:top w:val="single" w:color="auto" w:sz="4" w:space="0"/>
            </w:tcBorders>
            <w:noWrap w:val="0"/>
            <w:vAlign w:val="center"/>
          </w:tcPr>
          <w:p w14:paraId="5AE3EDE5">
            <w:pPr>
              <w:snapToGrid w:val="0"/>
              <w:spacing w:line="400" w:lineRule="exact"/>
              <w:jc w:val="left"/>
              <w:rPr>
                <w:rFonts w:hint="eastAsia" w:ascii="宋体" w:hAnsi="宋体" w:cs="宋体"/>
                <w:color w:val="auto"/>
                <w:kern w:val="0"/>
                <w:szCs w:val="22"/>
              </w:rPr>
            </w:pPr>
            <w:r>
              <w:rPr>
                <w:rFonts w:hint="eastAsia" w:ascii="宋体" w:hAnsi="宋体" w:cs="宋体"/>
                <w:color w:val="auto"/>
                <w:kern w:val="0"/>
              </w:rPr>
              <w:t>技术标准和要求</w:t>
            </w:r>
          </w:p>
        </w:tc>
        <w:tc>
          <w:tcPr>
            <w:tcW w:w="5936" w:type="dxa"/>
            <w:gridSpan w:val="2"/>
            <w:tcBorders>
              <w:top w:val="single" w:color="auto" w:sz="4" w:space="0"/>
            </w:tcBorders>
            <w:noWrap w:val="0"/>
            <w:vAlign w:val="center"/>
          </w:tcPr>
          <w:p w14:paraId="12032A51">
            <w:pPr>
              <w:snapToGrid w:val="0"/>
              <w:spacing w:after="31" w:afterLines="10" w:line="400" w:lineRule="exact"/>
              <w:ind w:firstLine="420" w:firstLineChars="200"/>
              <w:rPr>
                <w:rFonts w:hint="eastAsia" w:ascii="宋体" w:hAnsi="宋体" w:cs="宋体"/>
                <w:color w:val="auto"/>
                <w:kern w:val="0"/>
                <w:szCs w:val="22"/>
              </w:rPr>
            </w:pPr>
            <w:r>
              <w:rPr>
                <w:rFonts w:hint="eastAsia" w:ascii="宋体" w:hAnsi="宋体" w:cs="宋体"/>
                <w:color w:val="auto"/>
                <w:kern w:val="0"/>
              </w:rPr>
              <w:t>符合第七章“技术标准和要求”规定。（由</w:t>
            </w:r>
            <w:r>
              <w:rPr>
                <w:rFonts w:hint="eastAsia" w:ascii="宋体" w:hAnsi="宋体" w:cs="宋体"/>
                <w:color w:val="auto"/>
                <w:kern w:val="0"/>
                <w:lang w:val="en-US" w:eastAsia="zh-CN"/>
              </w:rPr>
              <w:t>竞选人</w:t>
            </w:r>
            <w:r>
              <w:rPr>
                <w:rFonts w:hint="eastAsia" w:ascii="宋体" w:hAnsi="宋体" w:cs="宋体"/>
                <w:color w:val="auto"/>
                <w:kern w:val="0"/>
              </w:rPr>
              <w:t>承诺，承诺书格式详见第八章</w:t>
            </w:r>
            <w:r>
              <w:rPr>
                <w:rFonts w:hint="eastAsia" w:ascii="宋体" w:hAnsi="宋体" w:cs="宋体"/>
                <w:color w:val="auto"/>
                <w:kern w:val="0"/>
                <w:lang w:eastAsia="zh-CN"/>
              </w:rPr>
              <w:t>竞选文件</w:t>
            </w:r>
            <w:r>
              <w:rPr>
                <w:rFonts w:hint="eastAsia" w:ascii="宋体" w:hAnsi="宋体" w:cs="宋体"/>
                <w:color w:val="auto"/>
                <w:kern w:val="0"/>
              </w:rPr>
              <w:t>格式。）</w:t>
            </w:r>
          </w:p>
        </w:tc>
      </w:tr>
      <w:tr w14:paraId="58F802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Merge w:val="continue"/>
            <w:noWrap w:val="0"/>
            <w:vAlign w:val="top"/>
          </w:tcPr>
          <w:p w14:paraId="266022ED">
            <w:pPr>
              <w:spacing w:line="400" w:lineRule="exact"/>
              <w:rPr>
                <w:rFonts w:ascii="宋体" w:hAnsi="宋体" w:cs="宋体"/>
                <w:color w:val="auto"/>
                <w:szCs w:val="22"/>
              </w:rPr>
            </w:pPr>
          </w:p>
        </w:tc>
        <w:tc>
          <w:tcPr>
            <w:tcW w:w="643" w:type="dxa"/>
            <w:vMerge w:val="continue"/>
            <w:noWrap w:val="0"/>
            <w:vAlign w:val="top"/>
          </w:tcPr>
          <w:p w14:paraId="31D55A4C">
            <w:pPr>
              <w:spacing w:line="400" w:lineRule="exact"/>
              <w:rPr>
                <w:rFonts w:ascii="宋体" w:hAnsi="宋体" w:cs="宋体"/>
                <w:color w:val="auto"/>
                <w:szCs w:val="22"/>
              </w:rPr>
            </w:pPr>
          </w:p>
        </w:tc>
        <w:tc>
          <w:tcPr>
            <w:tcW w:w="2058" w:type="dxa"/>
            <w:gridSpan w:val="3"/>
            <w:noWrap w:val="0"/>
            <w:vAlign w:val="center"/>
          </w:tcPr>
          <w:p w14:paraId="328D6B1A">
            <w:pPr>
              <w:spacing w:line="400" w:lineRule="exact"/>
              <w:jc w:val="left"/>
              <w:rPr>
                <w:rFonts w:ascii="宋体" w:hAnsi="宋体" w:cs="宋体"/>
                <w:color w:val="auto"/>
                <w:kern w:val="0"/>
                <w:szCs w:val="22"/>
              </w:rPr>
            </w:pPr>
            <w:r>
              <w:rPr>
                <w:rFonts w:hint="eastAsia" w:ascii="宋体" w:hAnsi="宋体" w:cs="宋体"/>
                <w:color w:val="auto"/>
                <w:kern w:val="0"/>
                <w:szCs w:val="22"/>
              </w:rPr>
              <w:t>实质性要求</w:t>
            </w:r>
          </w:p>
        </w:tc>
        <w:tc>
          <w:tcPr>
            <w:tcW w:w="5936" w:type="dxa"/>
            <w:gridSpan w:val="2"/>
            <w:noWrap w:val="0"/>
            <w:vAlign w:val="center"/>
          </w:tcPr>
          <w:p w14:paraId="74E1195C">
            <w:pPr>
              <w:spacing w:after="62" w:afterLines="20" w:line="400" w:lineRule="exact"/>
              <w:ind w:firstLine="420" w:firstLineChars="200"/>
              <w:rPr>
                <w:rFonts w:ascii="宋体" w:hAnsi="宋体" w:cs="宋体"/>
                <w:color w:val="auto"/>
                <w:kern w:val="0"/>
                <w:szCs w:val="22"/>
              </w:rPr>
            </w:pPr>
            <w:r>
              <w:rPr>
                <w:rFonts w:hint="eastAsia" w:ascii="宋体" w:hAnsi="宋体" w:cs="宋体"/>
                <w:color w:val="auto"/>
                <w:kern w:val="0"/>
                <w:szCs w:val="22"/>
              </w:rPr>
              <w:t>符合第二章“竞选人须知”第1.4.3项规定。</w:t>
            </w:r>
          </w:p>
          <w:p w14:paraId="6B0E6B27">
            <w:pPr>
              <w:spacing w:after="62" w:afterLines="20" w:line="400" w:lineRule="exact"/>
              <w:ind w:firstLine="420" w:firstLineChars="200"/>
              <w:rPr>
                <w:rFonts w:ascii="宋体" w:hAnsi="宋体" w:cs="宋体"/>
                <w:color w:val="auto"/>
                <w:kern w:val="0"/>
                <w:szCs w:val="22"/>
              </w:rPr>
            </w:pPr>
            <w:r>
              <w:rPr>
                <w:rFonts w:hint="eastAsia" w:ascii="宋体" w:hAnsi="宋体" w:cs="宋体"/>
                <w:color w:val="auto"/>
                <w:kern w:val="0"/>
                <w:szCs w:val="22"/>
              </w:rPr>
              <w:t>本次竞选不得有串通投标、弄虚作假等其他违反招投标相关法律、法规行为。</w:t>
            </w:r>
          </w:p>
          <w:p w14:paraId="4D150E01">
            <w:pPr>
              <w:spacing w:after="62" w:afterLines="20" w:line="400" w:lineRule="exact"/>
              <w:ind w:firstLine="420" w:firstLineChars="200"/>
              <w:rPr>
                <w:rFonts w:ascii="宋体" w:hAnsi="宋体" w:cs="宋体"/>
                <w:color w:val="auto"/>
                <w:kern w:val="0"/>
                <w:szCs w:val="22"/>
              </w:rPr>
            </w:pPr>
            <w:r>
              <w:rPr>
                <w:rFonts w:hint="eastAsia" w:ascii="宋体" w:hAnsi="宋体" w:cs="宋体"/>
                <w:color w:val="auto"/>
                <w:kern w:val="0"/>
                <w:szCs w:val="22"/>
              </w:rPr>
              <w:t>按评审小组要求澄清、说明或补正。</w:t>
            </w:r>
          </w:p>
        </w:tc>
      </w:tr>
      <w:tr w14:paraId="24A197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76" w:type="dxa"/>
            <w:gridSpan w:val="2"/>
            <w:noWrap w:val="0"/>
            <w:vAlign w:val="center"/>
          </w:tcPr>
          <w:p w14:paraId="78889C4E">
            <w:pPr>
              <w:spacing w:line="400" w:lineRule="exact"/>
              <w:ind w:firstLine="210" w:firstLineChars="100"/>
              <w:jc w:val="center"/>
              <w:rPr>
                <w:rFonts w:ascii="宋体" w:hAnsi="宋体" w:cs="宋体"/>
                <w:color w:val="auto"/>
                <w:kern w:val="0"/>
                <w:szCs w:val="22"/>
              </w:rPr>
            </w:pPr>
            <w:r>
              <w:rPr>
                <w:rFonts w:hint="eastAsia" w:ascii="宋体" w:hAnsi="宋体" w:cs="宋体"/>
                <w:color w:val="auto"/>
                <w:kern w:val="0"/>
                <w:szCs w:val="22"/>
              </w:rPr>
              <w:t>2.2.1</w:t>
            </w:r>
          </w:p>
        </w:tc>
        <w:tc>
          <w:tcPr>
            <w:tcW w:w="2058" w:type="dxa"/>
            <w:gridSpan w:val="3"/>
            <w:noWrap w:val="0"/>
            <w:vAlign w:val="center"/>
          </w:tcPr>
          <w:p w14:paraId="734CCDF3">
            <w:pPr>
              <w:tabs>
                <w:tab w:val="left" w:pos="1875"/>
              </w:tabs>
              <w:spacing w:line="400" w:lineRule="exact"/>
              <w:jc w:val="center"/>
              <w:rPr>
                <w:rFonts w:hint="eastAsia" w:ascii="宋体" w:hAnsi="宋体" w:cs="宋体"/>
                <w:color w:val="auto"/>
                <w:kern w:val="0"/>
                <w:szCs w:val="22"/>
              </w:rPr>
            </w:pPr>
            <w:r>
              <w:rPr>
                <w:rFonts w:hint="eastAsia" w:ascii="宋体" w:hAnsi="宋体" w:cs="宋体"/>
                <w:color w:val="auto"/>
                <w:kern w:val="0"/>
                <w:szCs w:val="22"/>
              </w:rPr>
              <w:t>分值构成</w:t>
            </w:r>
          </w:p>
          <w:p w14:paraId="1A33CA16">
            <w:pPr>
              <w:tabs>
                <w:tab w:val="left" w:pos="1875"/>
              </w:tabs>
              <w:spacing w:line="400" w:lineRule="exact"/>
              <w:jc w:val="center"/>
              <w:rPr>
                <w:rFonts w:ascii="宋体" w:hAnsi="宋体" w:cs="宋体"/>
                <w:color w:val="auto"/>
                <w:kern w:val="0"/>
                <w:szCs w:val="22"/>
              </w:rPr>
            </w:pPr>
            <w:r>
              <w:rPr>
                <w:rFonts w:hint="eastAsia" w:ascii="宋体" w:hAnsi="宋体" w:cs="宋体"/>
                <w:color w:val="auto"/>
                <w:kern w:val="0"/>
                <w:szCs w:val="22"/>
              </w:rPr>
              <w:t>（总分100分）</w:t>
            </w:r>
          </w:p>
        </w:tc>
        <w:tc>
          <w:tcPr>
            <w:tcW w:w="5936" w:type="dxa"/>
            <w:gridSpan w:val="2"/>
            <w:noWrap w:val="0"/>
            <w:vAlign w:val="center"/>
          </w:tcPr>
          <w:p w14:paraId="3E99A34D">
            <w:pPr>
              <w:snapToGrid w:val="0"/>
              <w:spacing w:line="400" w:lineRule="exact"/>
              <w:ind w:firstLine="420" w:firstLineChars="200"/>
              <w:rPr>
                <w:rFonts w:ascii="宋体" w:hAnsi="宋体" w:cs="宋体"/>
                <w:color w:val="auto"/>
                <w:kern w:val="0"/>
                <w:szCs w:val="22"/>
                <w:highlight w:val="none"/>
              </w:rPr>
            </w:pPr>
            <w:r>
              <w:rPr>
                <w:rFonts w:hint="eastAsia" w:ascii="宋体" w:hAnsi="宋体" w:cs="宋体"/>
                <w:color w:val="auto"/>
                <w:kern w:val="0"/>
                <w:szCs w:val="22"/>
                <w:highlight w:val="none"/>
              </w:rPr>
              <w:t>1.技术部分</w:t>
            </w:r>
            <w:r>
              <w:rPr>
                <w:rFonts w:hint="eastAsia" w:ascii="宋体" w:hAnsi="宋体" w:cs="宋体"/>
                <w:color w:val="auto"/>
                <w:kern w:val="0"/>
                <w:szCs w:val="22"/>
                <w:highlight w:val="none"/>
                <w:lang w:val="en-US" w:eastAsia="zh-CN"/>
              </w:rPr>
              <w:t>50</w:t>
            </w:r>
            <w:r>
              <w:rPr>
                <w:rFonts w:hint="eastAsia" w:ascii="宋体" w:hAnsi="宋体" w:cs="宋体"/>
                <w:color w:val="auto"/>
                <w:kern w:val="0"/>
                <w:szCs w:val="22"/>
                <w:highlight w:val="none"/>
              </w:rPr>
              <w:t>分；</w:t>
            </w:r>
          </w:p>
          <w:p w14:paraId="1EF6B3F6">
            <w:pPr>
              <w:snapToGrid w:val="0"/>
              <w:spacing w:line="400" w:lineRule="exact"/>
              <w:ind w:firstLine="420" w:firstLineChars="200"/>
              <w:rPr>
                <w:rFonts w:hint="eastAsia" w:ascii="宋体" w:hAnsi="宋体" w:eastAsia="宋体" w:cs="宋体"/>
                <w:color w:val="auto"/>
                <w:kern w:val="0"/>
                <w:szCs w:val="22"/>
                <w:highlight w:val="none"/>
                <w:lang w:eastAsia="zh-CN"/>
              </w:rPr>
            </w:pPr>
            <w:r>
              <w:rPr>
                <w:rFonts w:hint="eastAsia" w:ascii="宋体" w:hAnsi="宋体" w:cs="宋体"/>
                <w:color w:val="auto"/>
                <w:kern w:val="0"/>
                <w:szCs w:val="22"/>
                <w:highlight w:val="none"/>
              </w:rPr>
              <w:t>2.商务部分</w:t>
            </w:r>
            <w:r>
              <w:rPr>
                <w:rFonts w:hint="eastAsia" w:ascii="宋体" w:hAnsi="宋体" w:cs="宋体"/>
                <w:color w:val="auto"/>
                <w:kern w:val="0"/>
                <w:szCs w:val="22"/>
                <w:highlight w:val="none"/>
                <w:lang w:val="en-US" w:eastAsia="zh-CN"/>
              </w:rPr>
              <w:t>10</w:t>
            </w:r>
            <w:r>
              <w:rPr>
                <w:rFonts w:hint="eastAsia" w:ascii="宋体" w:hAnsi="宋体" w:cs="宋体"/>
                <w:color w:val="auto"/>
                <w:kern w:val="0"/>
                <w:szCs w:val="22"/>
                <w:highlight w:val="none"/>
              </w:rPr>
              <w:t>分</w:t>
            </w:r>
            <w:r>
              <w:rPr>
                <w:rFonts w:hint="eastAsia" w:ascii="宋体" w:hAnsi="宋体" w:cs="宋体"/>
                <w:color w:val="auto"/>
                <w:kern w:val="0"/>
                <w:szCs w:val="22"/>
                <w:highlight w:val="none"/>
                <w:lang w:eastAsia="zh-CN"/>
              </w:rPr>
              <w:t>；</w:t>
            </w:r>
          </w:p>
          <w:p w14:paraId="4F641576">
            <w:pPr>
              <w:snapToGrid w:val="0"/>
              <w:spacing w:line="400" w:lineRule="exact"/>
              <w:ind w:firstLine="420" w:firstLineChars="200"/>
              <w:rPr>
                <w:rFonts w:hint="default" w:ascii="宋体" w:hAnsi="宋体" w:eastAsia="宋体" w:cs="宋体"/>
                <w:i/>
                <w:color w:val="auto"/>
                <w:kern w:val="0"/>
                <w:szCs w:val="22"/>
                <w:lang w:val="en-US" w:eastAsia="zh-CN"/>
              </w:rPr>
            </w:pPr>
            <w:r>
              <w:rPr>
                <w:rFonts w:hint="eastAsia" w:ascii="宋体" w:hAnsi="宋体" w:cs="宋体"/>
                <w:color w:val="auto"/>
                <w:kern w:val="0"/>
                <w:szCs w:val="22"/>
                <w:highlight w:val="none"/>
                <w:lang w:val="en-US" w:eastAsia="zh-CN"/>
              </w:rPr>
              <w:t>3.价格部分40</w:t>
            </w:r>
            <w:r>
              <w:rPr>
                <w:rFonts w:hint="eastAsia" w:ascii="宋体" w:hAnsi="宋体" w:cs="宋体"/>
                <w:color w:val="auto"/>
                <w:kern w:val="0"/>
                <w:szCs w:val="22"/>
                <w:highlight w:val="none"/>
              </w:rPr>
              <w:t>分</w:t>
            </w:r>
            <w:r>
              <w:rPr>
                <w:rFonts w:hint="eastAsia" w:ascii="宋体" w:hAnsi="宋体" w:cs="宋体"/>
                <w:color w:val="auto"/>
                <w:kern w:val="0"/>
                <w:szCs w:val="22"/>
                <w:highlight w:val="none"/>
                <w:lang w:val="en-US" w:eastAsia="zh-CN"/>
              </w:rPr>
              <w:t>。</w:t>
            </w:r>
          </w:p>
        </w:tc>
      </w:tr>
      <w:tr w14:paraId="2156B7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1476" w:type="dxa"/>
            <w:gridSpan w:val="2"/>
            <w:noWrap w:val="0"/>
            <w:vAlign w:val="center"/>
          </w:tcPr>
          <w:p w14:paraId="194F8492">
            <w:pPr>
              <w:spacing w:line="400" w:lineRule="exact"/>
              <w:jc w:val="center"/>
              <w:rPr>
                <w:rFonts w:hint="eastAsia" w:ascii="宋体" w:hAnsi="宋体" w:cs="宋体"/>
                <w:color w:val="auto"/>
                <w:kern w:val="0"/>
                <w:szCs w:val="22"/>
              </w:rPr>
            </w:pPr>
            <w:r>
              <w:rPr>
                <w:rFonts w:hint="eastAsia" w:ascii="宋体" w:hAnsi="宋体" w:cs="宋体"/>
                <w:color w:val="auto"/>
                <w:kern w:val="0"/>
                <w:szCs w:val="22"/>
              </w:rPr>
              <w:t>2.2.</w:t>
            </w:r>
            <w:r>
              <w:rPr>
                <w:rFonts w:hint="eastAsia" w:ascii="宋体" w:hAnsi="宋体" w:cs="宋体"/>
                <w:color w:val="auto"/>
                <w:kern w:val="0"/>
                <w:szCs w:val="22"/>
                <w:lang w:val="en-US" w:eastAsia="zh-CN"/>
              </w:rPr>
              <w:t>2</w:t>
            </w:r>
          </w:p>
        </w:tc>
        <w:tc>
          <w:tcPr>
            <w:tcW w:w="2058" w:type="dxa"/>
            <w:gridSpan w:val="3"/>
            <w:noWrap w:val="0"/>
            <w:vAlign w:val="center"/>
          </w:tcPr>
          <w:p w14:paraId="3F76D1DD">
            <w:pPr>
              <w:tabs>
                <w:tab w:val="left" w:pos="1875"/>
              </w:tabs>
              <w:spacing w:line="400" w:lineRule="exact"/>
              <w:jc w:val="center"/>
              <w:rPr>
                <w:rFonts w:hint="eastAsia" w:ascii="宋体" w:hAnsi="宋体" w:cs="宋体"/>
                <w:color w:val="auto"/>
                <w:kern w:val="0"/>
                <w:szCs w:val="22"/>
              </w:rPr>
            </w:pPr>
            <w:r>
              <w:rPr>
                <w:rFonts w:hint="eastAsia" w:ascii="宋体" w:hAnsi="宋体" w:cs="宋体"/>
                <w:color w:val="auto"/>
                <w:kern w:val="0"/>
                <w:szCs w:val="22"/>
              </w:rPr>
              <w:t>评标基准价计算方法</w:t>
            </w:r>
          </w:p>
        </w:tc>
        <w:tc>
          <w:tcPr>
            <w:tcW w:w="5936" w:type="dxa"/>
            <w:gridSpan w:val="2"/>
            <w:tcBorders>
              <w:bottom w:val="single" w:color="auto" w:sz="4" w:space="0"/>
            </w:tcBorders>
            <w:noWrap w:val="0"/>
            <w:vAlign w:val="center"/>
          </w:tcPr>
          <w:p w14:paraId="21836819">
            <w:pPr>
              <w:tabs>
                <w:tab w:val="left" w:pos="1875"/>
              </w:tabs>
              <w:spacing w:line="400" w:lineRule="exact"/>
              <w:ind w:firstLine="420" w:firstLineChars="200"/>
              <w:rPr>
                <w:rFonts w:hint="eastAsia" w:ascii="宋体" w:hAnsi="宋体" w:cs="宋体"/>
                <w:color w:val="auto"/>
                <w:kern w:val="0"/>
                <w:szCs w:val="22"/>
                <w:highlight w:val="none"/>
              </w:rPr>
            </w:pPr>
            <w:r>
              <w:rPr>
                <w:rFonts w:hint="eastAsia" w:ascii="宋体" w:hAnsi="宋体" w:cs="宋体"/>
                <w:color w:val="auto"/>
                <w:kern w:val="0"/>
                <w:szCs w:val="22"/>
                <w:highlight w:val="none"/>
              </w:rPr>
              <w:t>所有通过初步评审合格的</w:t>
            </w:r>
            <w:r>
              <w:rPr>
                <w:rFonts w:hint="eastAsia" w:ascii="宋体" w:hAnsi="宋体" w:cs="宋体"/>
                <w:color w:val="auto"/>
                <w:kern w:val="0"/>
                <w:szCs w:val="22"/>
                <w:highlight w:val="none"/>
                <w:lang w:eastAsia="zh-CN"/>
              </w:rPr>
              <w:t>竞选人</w:t>
            </w:r>
            <w:r>
              <w:rPr>
                <w:rFonts w:hint="eastAsia" w:ascii="宋体" w:hAnsi="宋体" w:cs="宋体"/>
                <w:color w:val="auto"/>
                <w:kern w:val="0"/>
                <w:szCs w:val="22"/>
                <w:highlight w:val="none"/>
              </w:rPr>
              <w:t>的投标报价（或暂定投标报价）中去掉六分之一（不能整除的按小数点前整数取整，不足六家报价则不去掉）的最低价和相同家数的最高价后计算出的算术平均值，即为本项目投标报价的评标基准价。</w:t>
            </w:r>
          </w:p>
          <w:p w14:paraId="1F74BAE6">
            <w:pPr>
              <w:tabs>
                <w:tab w:val="left" w:pos="1875"/>
              </w:tabs>
              <w:spacing w:line="400" w:lineRule="exact"/>
              <w:ind w:firstLine="420" w:firstLineChars="200"/>
              <w:rPr>
                <w:rFonts w:hint="eastAsia" w:ascii="宋体" w:hAnsi="宋体" w:cs="宋体"/>
                <w:color w:val="auto"/>
                <w:kern w:val="0"/>
                <w:szCs w:val="22"/>
              </w:rPr>
            </w:pPr>
            <w:r>
              <w:rPr>
                <w:rFonts w:hint="eastAsia" w:ascii="宋体" w:hAnsi="宋体" w:cs="宋体"/>
                <w:color w:val="auto"/>
                <w:kern w:val="0"/>
                <w:szCs w:val="22"/>
                <w:highlight w:val="none"/>
              </w:rPr>
              <w:t>评标基准价计算的最终结果保留两位小数，小数点后第三位四舍五入。在评标基准价计算完成后（除计算错误外），在后续的评审中不得再对其做出调整。</w:t>
            </w:r>
          </w:p>
        </w:tc>
      </w:tr>
      <w:tr w14:paraId="7B5514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833" w:type="dxa"/>
            <w:vMerge w:val="restart"/>
            <w:tcBorders>
              <w:right w:val="single" w:color="auto" w:sz="4" w:space="0"/>
            </w:tcBorders>
            <w:noWrap w:val="0"/>
            <w:vAlign w:val="center"/>
          </w:tcPr>
          <w:p w14:paraId="62CBEA0F">
            <w:pPr>
              <w:spacing w:line="400" w:lineRule="exact"/>
              <w:jc w:val="center"/>
              <w:rPr>
                <w:rFonts w:ascii="宋体" w:hAnsi="宋体" w:cs="宋体"/>
                <w:color w:val="auto"/>
                <w:kern w:val="0"/>
                <w:szCs w:val="22"/>
              </w:rPr>
            </w:pPr>
            <w:r>
              <w:rPr>
                <w:rFonts w:hint="eastAsia" w:ascii="宋体" w:hAnsi="宋体" w:cs="宋体"/>
                <w:color w:val="auto"/>
                <w:kern w:val="0"/>
                <w:szCs w:val="22"/>
              </w:rPr>
              <w:t>2.2.</w:t>
            </w:r>
            <w:r>
              <w:rPr>
                <w:rFonts w:hint="eastAsia" w:ascii="宋体" w:hAnsi="宋体" w:cs="宋体"/>
                <w:color w:val="auto"/>
                <w:kern w:val="0"/>
                <w:szCs w:val="22"/>
                <w:lang w:val="en-US" w:eastAsia="zh-CN"/>
              </w:rPr>
              <w:t>3</w:t>
            </w:r>
            <w:r>
              <w:rPr>
                <w:rFonts w:hint="eastAsia" w:ascii="宋体" w:hAnsi="宋体" w:cs="宋体"/>
                <w:color w:val="auto"/>
                <w:kern w:val="0"/>
                <w:szCs w:val="22"/>
              </w:rPr>
              <w:t>（1）</w:t>
            </w:r>
          </w:p>
        </w:tc>
        <w:tc>
          <w:tcPr>
            <w:tcW w:w="643" w:type="dxa"/>
            <w:vMerge w:val="restart"/>
            <w:tcBorders>
              <w:left w:val="single" w:color="auto" w:sz="4" w:space="0"/>
            </w:tcBorders>
            <w:noWrap w:val="0"/>
            <w:vAlign w:val="center"/>
          </w:tcPr>
          <w:p w14:paraId="5F661C6C">
            <w:pPr>
              <w:spacing w:line="400" w:lineRule="exact"/>
              <w:jc w:val="center"/>
              <w:rPr>
                <w:rFonts w:ascii="宋体" w:hAnsi="宋体" w:cs="宋体"/>
                <w:color w:val="auto"/>
                <w:kern w:val="0"/>
                <w:szCs w:val="22"/>
              </w:rPr>
            </w:pPr>
            <w:r>
              <w:rPr>
                <w:rFonts w:hint="eastAsia" w:ascii="宋体" w:hAnsi="宋体" w:cs="宋体"/>
                <w:color w:val="auto"/>
                <w:kern w:val="0"/>
                <w:szCs w:val="22"/>
              </w:rPr>
              <w:t>技术部分评分标准（</w:t>
            </w:r>
            <w:r>
              <w:rPr>
                <w:rFonts w:hint="eastAsia" w:ascii="宋体" w:hAnsi="宋体" w:cs="宋体"/>
                <w:color w:val="auto"/>
                <w:kern w:val="0"/>
                <w:szCs w:val="22"/>
                <w:highlight w:val="none"/>
                <w:lang w:val="en-US" w:eastAsia="zh-CN"/>
              </w:rPr>
              <w:t>50</w:t>
            </w:r>
            <w:r>
              <w:rPr>
                <w:rFonts w:hint="eastAsia" w:ascii="宋体" w:hAnsi="宋体" w:cs="宋体"/>
                <w:color w:val="auto"/>
                <w:kern w:val="0"/>
                <w:szCs w:val="22"/>
                <w:highlight w:val="none"/>
              </w:rPr>
              <w:t>分）</w:t>
            </w:r>
          </w:p>
        </w:tc>
        <w:tc>
          <w:tcPr>
            <w:tcW w:w="510" w:type="dxa"/>
            <w:vMerge w:val="restart"/>
            <w:tcBorders>
              <w:right w:val="single" w:color="auto" w:sz="4" w:space="0"/>
            </w:tcBorders>
            <w:noWrap w:val="0"/>
            <w:vAlign w:val="center"/>
          </w:tcPr>
          <w:p w14:paraId="16D8E4FC">
            <w:pPr>
              <w:tabs>
                <w:tab w:val="left" w:pos="1875"/>
              </w:tabs>
              <w:spacing w:line="400" w:lineRule="exact"/>
              <w:jc w:val="center"/>
              <w:rPr>
                <w:rFonts w:ascii="宋体" w:hAnsi="宋体" w:cs="宋体"/>
                <w:color w:val="auto"/>
                <w:kern w:val="0"/>
                <w:szCs w:val="22"/>
              </w:rPr>
            </w:pPr>
            <w:r>
              <w:rPr>
                <w:rFonts w:hint="eastAsia" w:ascii="宋体" w:hAnsi="宋体" w:cs="宋体"/>
                <w:color w:val="auto"/>
                <w:kern w:val="0"/>
                <w:szCs w:val="22"/>
              </w:rPr>
              <w:t>技术评</w:t>
            </w:r>
          </w:p>
          <w:p w14:paraId="73448EB7">
            <w:pPr>
              <w:tabs>
                <w:tab w:val="left" w:pos="1875"/>
              </w:tabs>
              <w:spacing w:line="400" w:lineRule="exact"/>
              <w:jc w:val="center"/>
              <w:rPr>
                <w:rFonts w:ascii="宋体" w:hAnsi="宋体" w:cs="宋体"/>
                <w:color w:val="auto"/>
                <w:kern w:val="0"/>
                <w:szCs w:val="22"/>
              </w:rPr>
            </w:pPr>
            <w:r>
              <w:rPr>
                <w:rFonts w:hint="eastAsia" w:ascii="宋体" w:hAnsi="宋体" w:cs="宋体"/>
                <w:color w:val="auto"/>
                <w:kern w:val="0"/>
                <w:szCs w:val="22"/>
              </w:rPr>
              <w:t>审</w:t>
            </w:r>
          </w:p>
        </w:tc>
        <w:tc>
          <w:tcPr>
            <w:tcW w:w="1548" w:type="dxa"/>
            <w:gridSpan w:val="2"/>
            <w:tcBorders>
              <w:left w:val="single" w:color="auto" w:sz="4" w:space="0"/>
              <w:bottom w:val="single" w:color="auto" w:sz="4" w:space="0"/>
            </w:tcBorders>
            <w:noWrap w:val="0"/>
            <w:vAlign w:val="center"/>
          </w:tcPr>
          <w:p w14:paraId="7FC7873F">
            <w:pPr>
              <w:tabs>
                <w:tab w:val="left" w:pos="1875"/>
              </w:tabs>
              <w:spacing w:line="400" w:lineRule="exact"/>
              <w:jc w:val="center"/>
              <w:rPr>
                <w:rFonts w:hint="eastAsia" w:ascii="宋体" w:hAnsi="宋体" w:cs="宋体"/>
                <w:color w:val="auto"/>
                <w:kern w:val="0"/>
                <w:szCs w:val="22"/>
              </w:rPr>
            </w:pPr>
            <w:r>
              <w:rPr>
                <w:rFonts w:hint="eastAsia" w:ascii="宋体" w:hAnsi="宋体" w:cs="宋体"/>
                <w:color w:val="auto"/>
                <w:kern w:val="0"/>
                <w:szCs w:val="22"/>
              </w:rPr>
              <w:t>施工方案与技术措施</w:t>
            </w:r>
          </w:p>
          <w:p w14:paraId="438865BF">
            <w:pPr>
              <w:tabs>
                <w:tab w:val="left" w:pos="1875"/>
              </w:tabs>
              <w:spacing w:line="400" w:lineRule="exact"/>
              <w:jc w:val="center"/>
              <w:rPr>
                <w:rFonts w:hint="default" w:ascii="宋体" w:hAnsi="宋体" w:eastAsia="宋体" w:cs="宋体"/>
                <w:color w:val="auto"/>
                <w:kern w:val="0"/>
                <w:szCs w:val="22"/>
                <w:highlight w:val="yellow"/>
                <w:lang w:val="en-US" w:eastAsia="zh-CN"/>
              </w:rPr>
            </w:pPr>
            <w:r>
              <w:rPr>
                <w:rFonts w:hint="eastAsia" w:ascii="宋体" w:hAnsi="宋体" w:cs="宋体"/>
                <w:color w:val="auto"/>
                <w:kern w:val="0"/>
                <w:szCs w:val="22"/>
              </w:rPr>
              <w:t>（</w:t>
            </w:r>
            <w:r>
              <w:rPr>
                <w:rFonts w:hint="eastAsia" w:ascii="宋体" w:hAnsi="宋体" w:cs="宋体"/>
                <w:color w:val="auto"/>
                <w:kern w:val="0"/>
                <w:szCs w:val="22"/>
                <w:lang w:val="en-US" w:eastAsia="zh-CN"/>
              </w:rPr>
              <w:t>10</w:t>
            </w:r>
            <w:r>
              <w:rPr>
                <w:rFonts w:hint="eastAsia" w:ascii="宋体" w:hAnsi="宋体" w:cs="宋体"/>
                <w:color w:val="auto"/>
                <w:kern w:val="0"/>
                <w:szCs w:val="22"/>
              </w:rPr>
              <w:t>分）</w:t>
            </w:r>
          </w:p>
        </w:tc>
        <w:tc>
          <w:tcPr>
            <w:tcW w:w="5936" w:type="dxa"/>
            <w:gridSpan w:val="2"/>
            <w:tcBorders>
              <w:bottom w:val="single" w:color="auto" w:sz="4" w:space="0"/>
            </w:tcBorders>
            <w:noWrap w:val="0"/>
            <w:vAlign w:val="center"/>
          </w:tcPr>
          <w:p w14:paraId="797CB598">
            <w:pPr>
              <w:tabs>
                <w:tab w:val="left" w:pos="1875"/>
              </w:tabs>
              <w:spacing w:line="400" w:lineRule="exact"/>
              <w:ind w:firstLine="420" w:firstLineChars="200"/>
              <w:rPr>
                <w:rFonts w:hint="eastAsia" w:ascii="宋体" w:hAnsi="宋体" w:cs="宋体"/>
                <w:color w:val="auto"/>
                <w:kern w:val="0"/>
                <w:szCs w:val="22"/>
                <w:highlight w:val="none"/>
              </w:rPr>
            </w:pPr>
            <w:r>
              <w:rPr>
                <w:rFonts w:hint="eastAsia" w:ascii="宋体" w:hAnsi="宋体" w:cs="宋体"/>
                <w:color w:val="auto"/>
                <w:kern w:val="0"/>
                <w:szCs w:val="22"/>
              </w:rPr>
              <w:t>竞选人根据本项目的实际情况，提供施工方案与技术措施，包含不限于施工方法、施工顺序、施工技术、</w:t>
            </w:r>
            <w:r>
              <w:rPr>
                <w:rFonts w:hint="eastAsia" w:ascii="宋体" w:hAnsi="宋体" w:cs="宋体"/>
                <w:color w:val="auto"/>
                <w:kern w:val="0"/>
                <w:szCs w:val="22"/>
                <w:highlight w:val="none"/>
              </w:rPr>
              <w:t>对施工现场周围环境污染的保护措施等内容</w:t>
            </w:r>
            <w:r>
              <w:rPr>
                <w:rFonts w:hint="eastAsia" w:ascii="宋体" w:hAnsi="宋体" w:cs="宋体"/>
                <w:color w:val="auto"/>
                <w:kern w:val="0"/>
                <w:szCs w:val="22"/>
                <w:highlight w:val="none"/>
                <w:lang w:eastAsia="zh-CN"/>
              </w:rPr>
              <w:t>，</w:t>
            </w:r>
            <w:r>
              <w:rPr>
                <w:rFonts w:hint="eastAsia" w:ascii="宋体" w:hAnsi="宋体" w:cs="宋体"/>
                <w:color w:val="auto"/>
                <w:kern w:val="0"/>
                <w:szCs w:val="22"/>
                <w:highlight w:val="none"/>
              </w:rPr>
              <w:t>根据</w:t>
            </w:r>
            <w:r>
              <w:rPr>
                <w:rFonts w:hint="eastAsia" w:ascii="宋体" w:hAnsi="宋体" w:cs="宋体"/>
                <w:color w:val="auto"/>
                <w:kern w:val="0"/>
                <w:szCs w:val="22"/>
                <w:highlight w:val="none"/>
                <w:lang w:val="en-US" w:eastAsia="zh-CN"/>
              </w:rPr>
              <w:t>方案</w:t>
            </w:r>
            <w:r>
              <w:rPr>
                <w:rFonts w:hint="eastAsia" w:ascii="宋体" w:hAnsi="宋体" w:cs="宋体"/>
                <w:color w:val="auto"/>
                <w:kern w:val="0"/>
                <w:szCs w:val="22"/>
                <w:highlight w:val="none"/>
              </w:rPr>
              <w:t>内容进行评分</w:t>
            </w:r>
            <w:r>
              <w:rPr>
                <w:rFonts w:hint="eastAsia" w:ascii="宋体" w:hAnsi="宋体" w:cs="宋体"/>
                <w:color w:val="auto"/>
                <w:kern w:val="0"/>
                <w:szCs w:val="22"/>
                <w:highlight w:val="none"/>
                <w:lang w:eastAsia="zh-CN"/>
              </w:rPr>
              <w:t>。</w:t>
            </w:r>
            <w:r>
              <w:rPr>
                <w:rFonts w:hint="eastAsia" w:ascii="宋体" w:hAnsi="宋体" w:cs="宋体"/>
                <w:color w:val="auto"/>
                <w:kern w:val="0"/>
                <w:szCs w:val="22"/>
                <w:highlight w:val="none"/>
              </w:rPr>
              <w:t>方案内容完整、详尽、无缺项、符合项目实际情况得</w:t>
            </w:r>
            <w:r>
              <w:rPr>
                <w:rFonts w:hint="eastAsia" w:ascii="宋体" w:hAnsi="宋体" w:cs="宋体"/>
                <w:color w:val="auto"/>
                <w:kern w:val="0"/>
                <w:szCs w:val="22"/>
                <w:highlight w:val="none"/>
                <w:lang w:val="en-US" w:eastAsia="zh-CN"/>
              </w:rPr>
              <w:t>10</w:t>
            </w:r>
            <w:r>
              <w:rPr>
                <w:rFonts w:hint="eastAsia" w:ascii="宋体" w:hAnsi="宋体" w:cs="宋体"/>
                <w:color w:val="auto"/>
                <w:kern w:val="0"/>
                <w:szCs w:val="22"/>
                <w:highlight w:val="none"/>
              </w:rPr>
              <w:t>分</w:t>
            </w:r>
            <w:r>
              <w:rPr>
                <w:rFonts w:hint="eastAsia" w:ascii="宋体" w:hAnsi="宋体" w:cs="宋体"/>
                <w:color w:val="auto"/>
                <w:kern w:val="0"/>
                <w:szCs w:val="22"/>
                <w:highlight w:val="none"/>
                <w:lang w:eastAsia="zh-CN"/>
              </w:rPr>
              <w:t>；</w:t>
            </w:r>
            <w:r>
              <w:rPr>
                <w:rFonts w:hint="eastAsia" w:ascii="宋体" w:hAnsi="宋体" w:cs="宋体"/>
                <w:color w:val="auto"/>
                <w:kern w:val="0"/>
                <w:szCs w:val="22"/>
                <w:highlight w:val="none"/>
              </w:rPr>
              <w:t>方案内容较完整、较详尽、无缺项、较符合项目实际情况得</w:t>
            </w:r>
            <w:r>
              <w:rPr>
                <w:rFonts w:hint="eastAsia" w:ascii="宋体" w:hAnsi="宋体" w:cs="宋体"/>
                <w:color w:val="auto"/>
                <w:kern w:val="0"/>
                <w:szCs w:val="22"/>
                <w:highlight w:val="none"/>
                <w:lang w:val="en-US" w:eastAsia="zh-CN"/>
              </w:rPr>
              <w:t>7</w:t>
            </w:r>
            <w:r>
              <w:rPr>
                <w:rFonts w:hint="eastAsia" w:ascii="宋体" w:hAnsi="宋体" w:cs="宋体"/>
                <w:color w:val="auto"/>
                <w:kern w:val="0"/>
                <w:szCs w:val="22"/>
                <w:highlight w:val="none"/>
              </w:rPr>
              <w:t>分</w:t>
            </w:r>
            <w:r>
              <w:rPr>
                <w:rFonts w:hint="eastAsia" w:ascii="宋体" w:hAnsi="宋体" w:cs="宋体"/>
                <w:color w:val="auto"/>
                <w:kern w:val="0"/>
                <w:szCs w:val="22"/>
                <w:highlight w:val="none"/>
                <w:lang w:eastAsia="zh-CN"/>
              </w:rPr>
              <w:t>；</w:t>
            </w:r>
            <w:r>
              <w:rPr>
                <w:rFonts w:hint="eastAsia" w:ascii="宋体" w:hAnsi="宋体" w:cs="宋体"/>
                <w:color w:val="auto"/>
                <w:kern w:val="0"/>
                <w:szCs w:val="22"/>
                <w:highlight w:val="none"/>
              </w:rPr>
              <w:t>方案内容基本完整、基本符合项目实际情况得</w:t>
            </w:r>
            <w:r>
              <w:rPr>
                <w:rFonts w:hint="eastAsia" w:ascii="宋体" w:hAnsi="宋体" w:cs="宋体"/>
                <w:color w:val="auto"/>
                <w:kern w:val="0"/>
                <w:szCs w:val="22"/>
                <w:highlight w:val="none"/>
                <w:lang w:val="en-US" w:eastAsia="zh-CN"/>
              </w:rPr>
              <w:t>4</w:t>
            </w:r>
            <w:r>
              <w:rPr>
                <w:rFonts w:hint="eastAsia" w:ascii="宋体" w:hAnsi="宋体" w:cs="宋体"/>
                <w:color w:val="auto"/>
                <w:kern w:val="0"/>
                <w:szCs w:val="22"/>
                <w:highlight w:val="none"/>
              </w:rPr>
              <w:t>分</w:t>
            </w:r>
            <w:r>
              <w:rPr>
                <w:rFonts w:hint="eastAsia" w:ascii="宋体" w:hAnsi="宋体" w:cs="宋体"/>
                <w:color w:val="auto"/>
                <w:kern w:val="0"/>
                <w:szCs w:val="22"/>
                <w:highlight w:val="none"/>
                <w:lang w:eastAsia="zh-CN"/>
              </w:rPr>
              <w:t>；</w:t>
            </w:r>
            <w:r>
              <w:rPr>
                <w:rFonts w:hint="eastAsia" w:ascii="宋体" w:hAnsi="宋体" w:cs="宋体"/>
                <w:color w:val="auto"/>
                <w:kern w:val="0"/>
                <w:szCs w:val="22"/>
                <w:highlight w:val="none"/>
              </w:rPr>
              <w:t>方案内容存在缺项、不太符合项目实际情况得1分</w:t>
            </w:r>
            <w:r>
              <w:rPr>
                <w:rFonts w:hint="eastAsia" w:ascii="宋体" w:hAnsi="宋体" w:cs="宋体"/>
                <w:color w:val="auto"/>
                <w:kern w:val="0"/>
                <w:szCs w:val="22"/>
                <w:highlight w:val="none"/>
                <w:lang w:eastAsia="zh-CN"/>
              </w:rPr>
              <w:t>；</w:t>
            </w:r>
            <w:r>
              <w:rPr>
                <w:rFonts w:hint="eastAsia" w:ascii="宋体" w:hAnsi="宋体" w:cs="宋体"/>
                <w:color w:val="auto"/>
                <w:kern w:val="0"/>
                <w:szCs w:val="22"/>
                <w:highlight w:val="none"/>
              </w:rPr>
              <w:t>没有提供不得分。</w:t>
            </w:r>
          </w:p>
          <w:p w14:paraId="5EEF5383">
            <w:pPr>
              <w:tabs>
                <w:tab w:val="left" w:pos="1875"/>
              </w:tabs>
              <w:spacing w:line="400" w:lineRule="exact"/>
              <w:ind w:firstLine="420" w:firstLineChars="200"/>
              <w:rPr>
                <w:rFonts w:ascii="宋体" w:hAnsi="宋体" w:cs="宋体"/>
                <w:color w:val="auto"/>
                <w:kern w:val="0"/>
                <w:szCs w:val="22"/>
                <w:highlight w:val="yellow"/>
              </w:rPr>
            </w:pPr>
            <w:r>
              <w:rPr>
                <w:rFonts w:hint="eastAsia" w:ascii="宋体" w:hAnsi="宋体" w:cs="宋体"/>
                <w:color w:val="auto"/>
                <w:kern w:val="0"/>
                <w:szCs w:val="22"/>
                <w:highlight w:val="none"/>
              </w:rPr>
              <w:t>注：提供施工方案与技术措施方案，格式自拟。</w:t>
            </w:r>
          </w:p>
        </w:tc>
      </w:tr>
      <w:tr w14:paraId="316321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833" w:type="dxa"/>
            <w:vMerge w:val="continue"/>
            <w:tcBorders>
              <w:right w:val="single" w:color="auto" w:sz="4" w:space="0"/>
            </w:tcBorders>
            <w:noWrap w:val="0"/>
            <w:vAlign w:val="center"/>
          </w:tcPr>
          <w:p w14:paraId="39BA2FEE">
            <w:pPr>
              <w:spacing w:line="400" w:lineRule="exact"/>
              <w:jc w:val="center"/>
              <w:rPr>
                <w:rFonts w:ascii="宋体" w:hAnsi="宋体" w:cs="宋体"/>
                <w:color w:val="auto"/>
                <w:kern w:val="0"/>
                <w:szCs w:val="22"/>
              </w:rPr>
            </w:pPr>
          </w:p>
        </w:tc>
        <w:tc>
          <w:tcPr>
            <w:tcW w:w="643" w:type="dxa"/>
            <w:vMerge w:val="continue"/>
            <w:tcBorders>
              <w:left w:val="single" w:color="auto" w:sz="4" w:space="0"/>
            </w:tcBorders>
            <w:noWrap w:val="0"/>
            <w:vAlign w:val="center"/>
          </w:tcPr>
          <w:p w14:paraId="304830F3">
            <w:pPr>
              <w:spacing w:line="400" w:lineRule="exact"/>
              <w:jc w:val="center"/>
              <w:rPr>
                <w:rFonts w:ascii="宋体" w:hAnsi="宋体" w:cs="宋体"/>
                <w:color w:val="auto"/>
                <w:kern w:val="0"/>
                <w:szCs w:val="22"/>
              </w:rPr>
            </w:pPr>
          </w:p>
        </w:tc>
        <w:tc>
          <w:tcPr>
            <w:tcW w:w="510" w:type="dxa"/>
            <w:vMerge w:val="continue"/>
            <w:tcBorders>
              <w:right w:val="single" w:color="auto" w:sz="4" w:space="0"/>
            </w:tcBorders>
            <w:noWrap w:val="0"/>
            <w:vAlign w:val="center"/>
          </w:tcPr>
          <w:p w14:paraId="2C1C144A">
            <w:pPr>
              <w:tabs>
                <w:tab w:val="left" w:pos="1875"/>
              </w:tabs>
              <w:spacing w:line="400" w:lineRule="exact"/>
              <w:jc w:val="center"/>
              <w:rPr>
                <w:rFonts w:ascii="宋体" w:hAnsi="宋体" w:cs="宋体"/>
                <w:color w:val="auto"/>
                <w:kern w:val="0"/>
                <w:szCs w:val="22"/>
              </w:rPr>
            </w:pPr>
          </w:p>
        </w:tc>
        <w:tc>
          <w:tcPr>
            <w:tcW w:w="1548" w:type="dxa"/>
            <w:gridSpan w:val="2"/>
            <w:tcBorders>
              <w:top w:val="single" w:color="auto" w:sz="4" w:space="0"/>
              <w:left w:val="single" w:color="auto" w:sz="4" w:space="0"/>
            </w:tcBorders>
            <w:noWrap w:val="0"/>
            <w:vAlign w:val="center"/>
          </w:tcPr>
          <w:p w14:paraId="46109AF0">
            <w:pPr>
              <w:tabs>
                <w:tab w:val="left" w:pos="1875"/>
              </w:tabs>
              <w:spacing w:line="400" w:lineRule="exact"/>
              <w:jc w:val="center"/>
              <w:rPr>
                <w:rFonts w:hint="eastAsia" w:ascii="宋体" w:hAnsi="宋体" w:cs="宋体"/>
                <w:color w:val="auto"/>
                <w:kern w:val="0"/>
                <w:szCs w:val="22"/>
              </w:rPr>
            </w:pPr>
            <w:r>
              <w:rPr>
                <w:rFonts w:hint="eastAsia" w:ascii="宋体" w:hAnsi="宋体" w:cs="宋体"/>
                <w:color w:val="auto"/>
                <w:kern w:val="0"/>
                <w:szCs w:val="22"/>
              </w:rPr>
              <w:t>资源配备计划和施工设备配置情况</w:t>
            </w:r>
          </w:p>
          <w:p w14:paraId="3A493654">
            <w:pPr>
              <w:tabs>
                <w:tab w:val="left" w:pos="1875"/>
              </w:tabs>
              <w:spacing w:line="400" w:lineRule="exact"/>
              <w:jc w:val="center"/>
              <w:rPr>
                <w:rFonts w:hint="eastAsia" w:ascii="宋体" w:hAnsi="宋体" w:cs="宋体"/>
                <w:color w:val="auto"/>
                <w:kern w:val="0"/>
                <w:szCs w:val="22"/>
              </w:rPr>
            </w:pPr>
            <w:r>
              <w:rPr>
                <w:rFonts w:hint="eastAsia" w:ascii="宋体" w:hAnsi="宋体" w:cs="宋体"/>
                <w:color w:val="auto"/>
                <w:kern w:val="0"/>
                <w:szCs w:val="22"/>
              </w:rPr>
              <w:t>（</w:t>
            </w:r>
            <w:r>
              <w:rPr>
                <w:rFonts w:hint="eastAsia" w:ascii="宋体" w:hAnsi="宋体" w:cs="宋体"/>
                <w:color w:val="auto"/>
                <w:kern w:val="0"/>
                <w:szCs w:val="22"/>
                <w:lang w:val="en-US" w:eastAsia="zh-CN"/>
              </w:rPr>
              <w:t>10</w:t>
            </w:r>
            <w:r>
              <w:rPr>
                <w:rFonts w:hint="eastAsia" w:ascii="宋体" w:hAnsi="宋体" w:cs="宋体"/>
                <w:color w:val="auto"/>
                <w:kern w:val="0"/>
                <w:szCs w:val="22"/>
              </w:rPr>
              <w:t>分）</w:t>
            </w:r>
          </w:p>
        </w:tc>
        <w:tc>
          <w:tcPr>
            <w:tcW w:w="5936" w:type="dxa"/>
            <w:gridSpan w:val="2"/>
            <w:tcBorders>
              <w:top w:val="single" w:color="auto" w:sz="4" w:space="0"/>
            </w:tcBorders>
            <w:noWrap w:val="0"/>
            <w:vAlign w:val="center"/>
          </w:tcPr>
          <w:p w14:paraId="3B247A2B">
            <w:pPr>
              <w:tabs>
                <w:tab w:val="left" w:pos="1875"/>
              </w:tabs>
              <w:spacing w:line="400" w:lineRule="exact"/>
              <w:ind w:firstLine="420" w:firstLineChars="200"/>
              <w:rPr>
                <w:rFonts w:hint="eastAsia" w:ascii="宋体" w:hAnsi="宋体" w:cs="宋体"/>
                <w:color w:val="auto"/>
                <w:kern w:val="0"/>
                <w:szCs w:val="22"/>
              </w:rPr>
            </w:pPr>
            <w:r>
              <w:rPr>
                <w:rFonts w:hint="eastAsia" w:ascii="宋体" w:hAnsi="宋体" w:cs="宋体"/>
                <w:color w:val="auto"/>
                <w:kern w:val="0"/>
                <w:szCs w:val="22"/>
              </w:rPr>
              <w:t>竞选人根据本项目的实际情况，提供资源配备计划和施工设备配置情况，包含不限于施工组织架构、人员配备、资源配备及设备配置等内容</w:t>
            </w:r>
            <w:r>
              <w:rPr>
                <w:rFonts w:hint="eastAsia" w:ascii="宋体" w:hAnsi="宋体" w:cs="宋体"/>
                <w:color w:val="auto"/>
                <w:kern w:val="0"/>
                <w:szCs w:val="22"/>
                <w:lang w:eastAsia="zh-CN"/>
              </w:rPr>
              <w:t>，</w:t>
            </w:r>
            <w:r>
              <w:rPr>
                <w:rFonts w:hint="eastAsia" w:ascii="宋体" w:hAnsi="宋体" w:cs="宋体"/>
                <w:color w:val="auto"/>
                <w:kern w:val="0"/>
                <w:szCs w:val="22"/>
              </w:rPr>
              <w:t>根据</w:t>
            </w:r>
            <w:r>
              <w:rPr>
                <w:rFonts w:hint="eastAsia" w:ascii="宋体" w:hAnsi="宋体" w:cs="宋体"/>
                <w:color w:val="auto"/>
                <w:kern w:val="0"/>
                <w:szCs w:val="22"/>
                <w:lang w:val="en-US" w:eastAsia="zh-CN"/>
              </w:rPr>
              <w:t>方案</w:t>
            </w:r>
            <w:r>
              <w:rPr>
                <w:rFonts w:hint="eastAsia" w:ascii="宋体" w:hAnsi="宋体" w:cs="宋体"/>
                <w:color w:val="auto"/>
                <w:kern w:val="0"/>
                <w:szCs w:val="22"/>
              </w:rPr>
              <w:t>内容进行评分</w:t>
            </w:r>
            <w:r>
              <w:rPr>
                <w:rFonts w:hint="eastAsia" w:ascii="宋体" w:hAnsi="宋体" w:cs="宋体"/>
                <w:color w:val="auto"/>
                <w:kern w:val="0"/>
                <w:szCs w:val="22"/>
                <w:lang w:eastAsia="zh-CN"/>
              </w:rPr>
              <w:t>。</w:t>
            </w:r>
            <w:r>
              <w:rPr>
                <w:rFonts w:hint="eastAsia" w:ascii="宋体" w:hAnsi="宋体" w:cs="宋体"/>
                <w:color w:val="auto"/>
                <w:kern w:val="0"/>
                <w:szCs w:val="22"/>
              </w:rPr>
              <w:t>方案内容完整、详尽、无缺项、符合项目实际情况得</w:t>
            </w:r>
            <w:r>
              <w:rPr>
                <w:rFonts w:hint="eastAsia" w:ascii="宋体" w:hAnsi="宋体" w:cs="宋体"/>
                <w:color w:val="auto"/>
                <w:kern w:val="0"/>
                <w:szCs w:val="22"/>
                <w:lang w:val="en-US" w:eastAsia="zh-CN"/>
              </w:rPr>
              <w:t>10</w:t>
            </w:r>
            <w:r>
              <w:rPr>
                <w:rFonts w:hint="eastAsia" w:ascii="宋体" w:hAnsi="宋体" w:cs="宋体"/>
                <w:color w:val="auto"/>
                <w:kern w:val="0"/>
                <w:szCs w:val="22"/>
              </w:rPr>
              <w:t>分</w:t>
            </w:r>
            <w:r>
              <w:rPr>
                <w:rFonts w:hint="eastAsia" w:ascii="宋体" w:hAnsi="宋体" w:cs="宋体"/>
                <w:color w:val="auto"/>
                <w:kern w:val="0"/>
                <w:szCs w:val="22"/>
                <w:lang w:eastAsia="zh-CN"/>
              </w:rPr>
              <w:t>；</w:t>
            </w:r>
            <w:r>
              <w:rPr>
                <w:rFonts w:hint="eastAsia" w:ascii="宋体" w:hAnsi="宋体" w:cs="宋体"/>
                <w:color w:val="auto"/>
                <w:kern w:val="0"/>
                <w:szCs w:val="22"/>
              </w:rPr>
              <w:t>方案内容较完整、较详尽、无缺项、较符合项目实际情况得</w:t>
            </w:r>
            <w:r>
              <w:rPr>
                <w:rFonts w:hint="eastAsia" w:ascii="宋体" w:hAnsi="宋体" w:cs="宋体"/>
                <w:color w:val="auto"/>
                <w:kern w:val="0"/>
                <w:szCs w:val="22"/>
                <w:lang w:val="en-US" w:eastAsia="zh-CN"/>
              </w:rPr>
              <w:t>7</w:t>
            </w:r>
            <w:r>
              <w:rPr>
                <w:rFonts w:hint="eastAsia" w:ascii="宋体" w:hAnsi="宋体" w:cs="宋体"/>
                <w:color w:val="auto"/>
                <w:kern w:val="0"/>
                <w:szCs w:val="22"/>
              </w:rPr>
              <w:t>分</w:t>
            </w:r>
            <w:r>
              <w:rPr>
                <w:rFonts w:hint="eastAsia" w:ascii="宋体" w:hAnsi="宋体" w:cs="宋体"/>
                <w:color w:val="auto"/>
                <w:kern w:val="0"/>
                <w:szCs w:val="22"/>
                <w:lang w:eastAsia="zh-CN"/>
              </w:rPr>
              <w:t>；</w:t>
            </w:r>
            <w:r>
              <w:rPr>
                <w:rFonts w:hint="eastAsia" w:ascii="宋体" w:hAnsi="宋体" w:cs="宋体"/>
                <w:color w:val="auto"/>
                <w:kern w:val="0"/>
                <w:szCs w:val="22"/>
              </w:rPr>
              <w:t>方案内容基本完整、基本符合项目实际情况得</w:t>
            </w:r>
            <w:r>
              <w:rPr>
                <w:rFonts w:hint="eastAsia" w:ascii="宋体" w:hAnsi="宋体" w:cs="宋体"/>
                <w:color w:val="auto"/>
                <w:kern w:val="0"/>
                <w:szCs w:val="22"/>
                <w:lang w:val="en-US" w:eastAsia="zh-CN"/>
              </w:rPr>
              <w:t>4</w:t>
            </w:r>
            <w:r>
              <w:rPr>
                <w:rFonts w:hint="eastAsia" w:ascii="宋体" w:hAnsi="宋体" w:cs="宋体"/>
                <w:color w:val="auto"/>
                <w:kern w:val="0"/>
                <w:szCs w:val="22"/>
              </w:rPr>
              <w:t>分</w:t>
            </w:r>
            <w:r>
              <w:rPr>
                <w:rFonts w:hint="eastAsia" w:ascii="宋体" w:hAnsi="宋体" w:cs="宋体"/>
                <w:color w:val="auto"/>
                <w:kern w:val="0"/>
                <w:szCs w:val="22"/>
                <w:lang w:eastAsia="zh-CN"/>
              </w:rPr>
              <w:t>；</w:t>
            </w:r>
            <w:r>
              <w:rPr>
                <w:rFonts w:hint="eastAsia" w:ascii="宋体" w:hAnsi="宋体" w:cs="宋体"/>
                <w:color w:val="auto"/>
                <w:kern w:val="0"/>
                <w:szCs w:val="22"/>
              </w:rPr>
              <w:t>方案内容存在缺项、不太符合项目实际情况得1分</w:t>
            </w:r>
            <w:r>
              <w:rPr>
                <w:rFonts w:hint="eastAsia" w:ascii="宋体" w:hAnsi="宋体" w:cs="宋体"/>
                <w:color w:val="auto"/>
                <w:kern w:val="0"/>
                <w:szCs w:val="22"/>
                <w:lang w:eastAsia="zh-CN"/>
              </w:rPr>
              <w:t>；</w:t>
            </w:r>
            <w:r>
              <w:rPr>
                <w:rFonts w:hint="eastAsia" w:ascii="宋体" w:hAnsi="宋体" w:cs="宋体"/>
                <w:color w:val="auto"/>
                <w:kern w:val="0"/>
                <w:szCs w:val="22"/>
              </w:rPr>
              <w:t>没有提供不得分。</w:t>
            </w:r>
          </w:p>
          <w:p w14:paraId="32810137">
            <w:pPr>
              <w:tabs>
                <w:tab w:val="left" w:pos="1875"/>
              </w:tabs>
              <w:spacing w:line="400" w:lineRule="exact"/>
              <w:ind w:firstLine="420" w:firstLineChars="200"/>
              <w:rPr>
                <w:rFonts w:hint="eastAsia" w:ascii="宋体" w:hAnsi="宋体" w:cs="宋体"/>
                <w:color w:val="auto"/>
                <w:kern w:val="0"/>
                <w:szCs w:val="22"/>
              </w:rPr>
            </w:pPr>
            <w:r>
              <w:rPr>
                <w:rFonts w:hint="eastAsia" w:ascii="宋体" w:hAnsi="宋体" w:cs="宋体"/>
                <w:color w:val="auto"/>
                <w:kern w:val="0"/>
                <w:szCs w:val="22"/>
              </w:rPr>
              <w:t>注：提供资源配备计划和施工设备配置情况方案，格式自拟。</w:t>
            </w:r>
          </w:p>
        </w:tc>
      </w:tr>
      <w:tr w14:paraId="799E0B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026" w:hRule="atLeast"/>
          <w:jc w:val="center"/>
        </w:trPr>
        <w:tc>
          <w:tcPr>
            <w:tcW w:w="833" w:type="dxa"/>
            <w:vMerge w:val="continue"/>
            <w:tcBorders>
              <w:right w:val="single" w:color="auto" w:sz="4" w:space="0"/>
            </w:tcBorders>
            <w:noWrap w:val="0"/>
            <w:vAlign w:val="center"/>
          </w:tcPr>
          <w:p w14:paraId="5DEA98AB">
            <w:pPr>
              <w:spacing w:line="400" w:lineRule="exact"/>
              <w:jc w:val="center"/>
              <w:rPr>
                <w:rFonts w:ascii="宋体" w:hAnsi="宋体" w:cs="宋体"/>
                <w:color w:val="auto"/>
                <w:kern w:val="0"/>
                <w:szCs w:val="22"/>
              </w:rPr>
            </w:pPr>
          </w:p>
        </w:tc>
        <w:tc>
          <w:tcPr>
            <w:tcW w:w="643" w:type="dxa"/>
            <w:vMerge w:val="continue"/>
            <w:tcBorders>
              <w:left w:val="single" w:color="auto" w:sz="4" w:space="0"/>
            </w:tcBorders>
            <w:noWrap w:val="0"/>
            <w:vAlign w:val="center"/>
          </w:tcPr>
          <w:p w14:paraId="2EF1CFBC">
            <w:pPr>
              <w:spacing w:line="400" w:lineRule="exact"/>
              <w:jc w:val="center"/>
              <w:rPr>
                <w:rFonts w:ascii="宋体" w:hAnsi="宋体" w:cs="宋体"/>
                <w:color w:val="auto"/>
                <w:kern w:val="0"/>
                <w:szCs w:val="22"/>
              </w:rPr>
            </w:pPr>
          </w:p>
        </w:tc>
        <w:tc>
          <w:tcPr>
            <w:tcW w:w="510" w:type="dxa"/>
            <w:vMerge w:val="continue"/>
            <w:tcBorders>
              <w:right w:val="single" w:color="auto" w:sz="4" w:space="0"/>
            </w:tcBorders>
            <w:noWrap w:val="0"/>
            <w:vAlign w:val="center"/>
          </w:tcPr>
          <w:p w14:paraId="0E750E6A">
            <w:pPr>
              <w:tabs>
                <w:tab w:val="left" w:pos="1875"/>
              </w:tabs>
              <w:spacing w:line="400" w:lineRule="exact"/>
              <w:jc w:val="center"/>
              <w:rPr>
                <w:rFonts w:ascii="宋体" w:hAnsi="宋体" w:cs="宋体"/>
                <w:color w:val="auto"/>
                <w:kern w:val="0"/>
                <w:szCs w:val="22"/>
              </w:rPr>
            </w:pPr>
          </w:p>
        </w:tc>
        <w:tc>
          <w:tcPr>
            <w:tcW w:w="1548" w:type="dxa"/>
            <w:gridSpan w:val="2"/>
            <w:tcBorders>
              <w:top w:val="single" w:color="auto" w:sz="4" w:space="0"/>
              <w:left w:val="single" w:color="auto" w:sz="4" w:space="0"/>
              <w:bottom w:val="single" w:color="auto" w:sz="4" w:space="0"/>
            </w:tcBorders>
            <w:noWrap w:val="0"/>
            <w:vAlign w:val="center"/>
          </w:tcPr>
          <w:p w14:paraId="116C6823">
            <w:pPr>
              <w:tabs>
                <w:tab w:val="left" w:pos="1875"/>
              </w:tabs>
              <w:spacing w:line="400" w:lineRule="exact"/>
              <w:jc w:val="center"/>
              <w:rPr>
                <w:rFonts w:hint="eastAsia" w:ascii="宋体" w:hAnsi="宋体" w:eastAsia="宋体" w:cs="宋体"/>
                <w:color w:val="auto"/>
                <w:kern w:val="0"/>
                <w:szCs w:val="22"/>
                <w:lang w:val="en-US" w:eastAsia="zh-CN"/>
              </w:rPr>
            </w:pPr>
            <w:r>
              <w:rPr>
                <w:rFonts w:hint="eastAsia" w:ascii="宋体" w:hAnsi="宋体" w:cs="宋体"/>
                <w:color w:val="auto"/>
                <w:kern w:val="0"/>
                <w:szCs w:val="22"/>
              </w:rPr>
              <w:t>质量管理</w:t>
            </w:r>
            <w:r>
              <w:rPr>
                <w:rFonts w:hint="eastAsia" w:ascii="宋体" w:hAnsi="宋体" w:cs="宋体"/>
                <w:color w:val="auto"/>
                <w:kern w:val="0"/>
                <w:szCs w:val="22"/>
                <w:lang w:val="en-US" w:eastAsia="zh-CN"/>
              </w:rPr>
              <w:t>方案</w:t>
            </w:r>
          </w:p>
          <w:p w14:paraId="5239B5C9">
            <w:pPr>
              <w:tabs>
                <w:tab w:val="left" w:pos="1875"/>
              </w:tabs>
              <w:spacing w:line="400" w:lineRule="exact"/>
              <w:jc w:val="center"/>
              <w:rPr>
                <w:rFonts w:hint="eastAsia" w:ascii="宋体" w:hAnsi="宋体" w:cs="宋体"/>
                <w:color w:val="auto"/>
                <w:kern w:val="0"/>
                <w:szCs w:val="22"/>
              </w:rPr>
            </w:pPr>
            <w:r>
              <w:rPr>
                <w:rFonts w:hint="eastAsia" w:ascii="宋体" w:hAnsi="宋体" w:cs="宋体"/>
                <w:color w:val="auto"/>
                <w:kern w:val="0"/>
                <w:szCs w:val="22"/>
                <w:lang w:eastAsia="zh-CN"/>
              </w:rPr>
              <w:t>（</w:t>
            </w:r>
            <w:r>
              <w:rPr>
                <w:rFonts w:hint="eastAsia" w:ascii="宋体" w:hAnsi="宋体" w:cs="宋体"/>
                <w:color w:val="auto"/>
                <w:kern w:val="0"/>
                <w:szCs w:val="22"/>
                <w:lang w:val="en-US" w:eastAsia="zh-CN"/>
              </w:rPr>
              <w:t>10分）</w:t>
            </w:r>
          </w:p>
        </w:tc>
        <w:tc>
          <w:tcPr>
            <w:tcW w:w="5936" w:type="dxa"/>
            <w:gridSpan w:val="2"/>
            <w:tcBorders>
              <w:top w:val="single" w:color="auto" w:sz="4" w:space="0"/>
              <w:bottom w:val="single" w:color="auto" w:sz="4" w:space="0"/>
            </w:tcBorders>
            <w:noWrap w:val="0"/>
            <w:vAlign w:val="center"/>
          </w:tcPr>
          <w:p w14:paraId="6DDCABF0">
            <w:pPr>
              <w:tabs>
                <w:tab w:val="left" w:pos="1875"/>
              </w:tabs>
              <w:spacing w:line="400" w:lineRule="exact"/>
              <w:ind w:firstLine="420" w:firstLineChars="200"/>
              <w:rPr>
                <w:rFonts w:hint="eastAsia" w:ascii="宋体" w:hAnsi="宋体" w:cs="宋体"/>
                <w:color w:val="auto"/>
              </w:rPr>
            </w:pPr>
            <w:r>
              <w:rPr>
                <w:rFonts w:hint="eastAsia" w:ascii="宋体" w:hAnsi="宋体" w:cs="宋体"/>
                <w:color w:val="auto"/>
              </w:rPr>
              <w:t>竞选人根据本项目的实际情况，提供质量管理</w:t>
            </w:r>
            <w:r>
              <w:rPr>
                <w:rFonts w:hint="eastAsia" w:ascii="宋体" w:hAnsi="宋体" w:cs="宋体"/>
                <w:color w:val="auto"/>
                <w:lang w:val="en-US" w:eastAsia="zh-CN"/>
              </w:rPr>
              <w:t>方案</w:t>
            </w:r>
            <w:r>
              <w:rPr>
                <w:rFonts w:hint="eastAsia" w:ascii="宋体" w:hAnsi="宋体" w:cs="宋体"/>
                <w:color w:val="auto"/>
              </w:rPr>
              <w:t>，包含不限于硬性措施、限期工程的赶工措施、保证措施、材料的质量保证措施等内容</w:t>
            </w:r>
            <w:r>
              <w:rPr>
                <w:rFonts w:hint="eastAsia" w:ascii="宋体" w:hAnsi="宋体" w:cs="宋体"/>
                <w:color w:val="auto"/>
                <w:kern w:val="0"/>
                <w:szCs w:val="22"/>
                <w:lang w:eastAsia="zh-CN"/>
              </w:rPr>
              <w:t>，</w:t>
            </w:r>
            <w:r>
              <w:rPr>
                <w:rFonts w:hint="eastAsia" w:ascii="宋体" w:hAnsi="宋体" w:cs="宋体"/>
                <w:color w:val="auto"/>
                <w:kern w:val="0"/>
                <w:szCs w:val="22"/>
              </w:rPr>
              <w:t>根据</w:t>
            </w:r>
            <w:r>
              <w:rPr>
                <w:rFonts w:hint="eastAsia" w:ascii="宋体" w:hAnsi="宋体" w:cs="宋体"/>
                <w:color w:val="auto"/>
                <w:kern w:val="0"/>
                <w:szCs w:val="22"/>
                <w:lang w:val="en-US" w:eastAsia="zh-CN"/>
              </w:rPr>
              <w:t>方案</w:t>
            </w:r>
            <w:r>
              <w:rPr>
                <w:rFonts w:hint="eastAsia" w:ascii="宋体" w:hAnsi="宋体" w:cs="宋体"/>
                <w:color w:val="auto"/>
                <w:kern w:val="0"/>
                <w:szCs w:val="22"/>
              </w:rPr>
              <w:t>内容进行评分</w:t>
            </w:r>
            <w:r>
              <w:rPr>
                <w:rFonts w:hint="eastAsia" w:ascii="宋体" w:hAnsi="宋体" w:cs="宋体"/>
                <w:color w:val="auto"/>
                <w:kern w:val="0"/>
                <w:szCs w:val="22"/>
                <w:lang w:eastAsia="zh-CN"/>
              </w:rPr>
              <w:t>。</w:t>
            </w:r>
            <w:r>
              <w:rPr>
                <w:rFonts w:hint="eastAsia" w:ascii="宋体" w:hAnsi="宋体" w:cs="宋体"/>
                <w:color w:val="auto"/>
                <w:kern w:val="0"/>
                <w:szCs w:val="22"/>
              </w:rPr>
              <w:t>方案内容完整、详尽、无缺项、符合项目实际情况得</w:t>
            </w:r>
            <w:r>
              <w:rPr>
                <w:rFonts w:hint="eastAsia" w:ascii="宋体" w:hAnsi="宋体" w:cs="宋体"/>
                <w:color w:val="auto"/>
                <w:kern w:val="0"/>
                <w:szCs w:val="22"/>
                <w:lang w:val="en-US" w:eastAsia="zh-CN"/>
              </w:rPr>
              <w:t>10</w:t>
            </w:r>
            <w:r>
              <w:rPr>
                <w:rFonts w:hint="eastAsia" w:ascii="宋体" w:hAnsi="宋体" w:cs="宋体"/>
                <w:color w:val="auto"/>
                <w:kern w:val="0"/>
                <w:szCs w:val="22"/>
              </w:rPr>
              <w:t>分</w:t>
            </w:r>
            <w:r>
              <w:rPr>
                <w:rFonts w:hint="eastAsia" w:ascii="宋体" w:hAnsi="宋体" w:cs="宋体"/>
                <w:color w:val="auto"/>
                <w:kern w:val="0"/>
                <w:szCs w:val="22"/>
                <w:lang w:eastAsia="zh-CN"/>
              </w:rPr>
              <w:t>；</w:t>
            </w:r>
            <w:r>
              <w:rPr>
                <w:rFonts w:hint="eastAsia" w:ascii="宋体" w:hAnsi="宋体" w:cs="宋体"/>
                <w:color w:val="auto"/>
                <w:kern w:val="0"/>
                <w:szCs w:val="22"/>
              </w:rPr>
              <w:t>方案内容较完整、较详尽、无缺项、较符合项目实际情况得</w:t>
            </w:r>
            <w:r>
              <w:rPr>
                <w:rFonts w:hint="eastAsia" w:ascii="宋体" w:hAnsi="宋体" w:cs="宋体"/>
                <w:color w:val="auto"/>
                <w:kern w:val="0"/>
                <w:szCs w:val="22"/>
                <w:lang w:val="en-US" w:eastAsia="zh-CN"/>
              </w:rPr>
              <w:t>7</w:t>
            </w:r>
            <w:r>
              <w:rPr>
                <w:rFonts w:hint="eastAsia" w:ascii="宋体" w:hAnsi="宋体" w:cs="宋体"/>
                <w:color w:val="auto"/>
                <w:kern w:val="0"/>
                <w:szCs w:val="22"/>
              </w:rPr>
              <w:t>分</w:t>
            </w:r>
            <w:r>
              <w:rPr>
                <w:rFonts w:hint="eastAsia" w:ascii="宋体" w:hAnsi="宋体" w:cs="宋体"/>
                <w:color w:val="auto"/>
                <w:kern w:val="0"/>
                <w:szCs w:val="22"/>
                <w:lang w:eastAsia="zh-CN"/>
              </w:rPr>
              <w:t>；</w:t>
            </w:r>
            <w:r>
              <w:rPr>
                <w:rFonts w:hint="eastAsia" w:ascii="宋体" w:hAnsi="宋体" w:cs="宋体"/>
                <w:color w:val="auto"/>
                <w:kern w:val="0"/>
                <w:szCs w:val="22"/>
              </w:rPr>
              <w:t>方案内容基本完整、基本符合项目实际情况得</w:t>
            </w:r>
            <w:r>
              <w:rPr>
                <w:rFonts w:hint="eastAsia" w:ascii="宋体" w:hAnsi="宋体" w:cs="宋体"/>
                <w:color w:val="auto"/>
                <w:kern w:val="0"/>
                <w:szCs w:val="22"/>
                <w:lang w:val="en-US" w:eastAsia="zh-CN"/>
              </w:rPr>
              <w:t>4</w:t>
            </w:r>
            <w:r>
              <w:rPr>
                <w:rFonts w:hint="eastAsia" w:ascii="宋体" w:hAnsi="宋体" w:cs="宋体"/>
                <w:color w:val="auto"/>
                <w:kern w:val="0"/>
                <w:szCs w:val="22"/>
              </w:rPr>
              <w:t>分</w:t>
            </w:r>
            <w:r>
              <w:rPr>
                <w:rFonts w:hint="eastAsia" w:ascii="宋体" w:hAnsi="宋体" w:cs="宋体"/>
                <w:color w:val="auto"/>
                <w:kern w:val="0"/>
                <w:szCs w:val="22"/>
                <w:lang w:eastAsia="zh-CN"/>
              </w:rPr>
              <w:t>；</w:t>
            </w:r>
            <w:r>
              <w:rPr>
                <w:rFonts w:hint="eastAsia" w:ascii="宋体" w:hAnsi="宋体" w:cs="宋体"/>
                <w:color w:val="auto"/>
                <w:kern w:val="0"/>
                <w:szCs w:val="22"/>
              </w:rPr>
              <w:t>方案内容存在缺项、不太符合项目实际情况得1分</w:t>
            </w:r>
            <w:r>
              <w:rPr>
                <w:rFonts w:hint="eastAsia" w:ascii="宋体" w:hAnsi="宋体" w:cs="宋体"/>
                <w:color w:val="auto"/>
                <w:kern w:val="0"/>
                <w:szCs w:val="22"/>
                <w:lang w:eastAsia="zh-CN"/>
              </w:rPr>
              <w:t>；</w:t>
            </w:r>
            <w:r>
              <w:rPr>
                <w:rFonts w:hint="eastAsia" w:ascii="宋体" w:hAnsi="宋体" w:cs="宋体"/>
                <w:color w:val="auto"/>
                <w:kern w:val="0"/>
                <w:szCs w:val="22"/>
              </w:rPr>
              <w:t>没有提供不得分。</w:t>
            </w:r>
          </w:p>
          <w:p w14:paraId="3D62D027">
            <w:pPr>
              <w:tabs>
                <w:tab w:val="left" w:pos="1875"/>
              </w:tabs>
              <w:spacing w:line="400" w:lineRule="exact"/>
              <w:ind w:firstLine="420" w:firstLineChars="200"/>
              <w:rPr>
                <w:rFonts w:hint="eastAsia" w:ascii="宋体" w:hAnsi="宋体" w:cs="宋体"/>
                <w:color w:val="auto"/>
                <w:kern w:val="0"/>
                <w:szCs w:val="22"/>
              </w:rPr>
            </w:pPr>
            <w:r>
              <w:rPr>
                <w:rFonts w:hint="eastAsia" w:ascii="宋体" w:hAnsi="宋体" w:cs="宋体"/>
                <w:color w:val="auto"/>
              </w:rPr>
              <w:t>注：提供质量管理方案，格式自拟。</w:t>
            </w:r>
          </w:p>
        </w:tc>
      </w:tr>
      <w:tr w14:paraId="444B38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14" w:hRule="atLeast"/>
          <w:jc w:val="center"/>
        </w:trPr>
        <w:tc>
          <w:tcPr>
            <w:tcW w:w="833" w:type="dxa"/>
            <w:vMerge w:val="continue"/>
            <w:tcBorders>
              <w:right w:val="single" w:color="auto" w:sz="4" w:space="0"/>
            </w:tcBorders>
            <w:noWrap w:val="0"/>
            <w:vAlign w:val="center"/>
          </w:tcPr>
          <w:p w14:paraId="36211D2C">
            <w:pPr>
              <w:spacing w:line="400" w:lineRule="exact"/>
              <w:jc w:val="center"/>
              <w:rPr>
                <w:rFonts w:ascii="宋体" w:hAnsi="宋体" w:cs="宋体"/>
                <w:color w:val="auto"/>
                <w:kern w:val="0"/>
                <w:szCs w:val="22"/>
              </w:rPr>
            </w:pPr>
          </w:p>
        </w:tc>
        <w:tc>
          <w:tcPr>
            <w:tcW w:w="643" w:type="dxa"/>
            <w:vMerge w:val="continue"/>
            <w:tcBorders>
              <w:left w:val="single" w:color="auto" w:sz="4" w:space="0"/>
            </w:tcBorders>
            <w:noWrap w:val="0"/>
            <w:vAlign w:val="center"/>
          </w:tcPr>
          <w:p w14:paraId="53F93625">
            <w:pPr>
              <w:spacing w:line="400" w:lineRule="exact"/>
              <w:jc w:val="center"/>
              <w:rPr>
                <w:rFonts w:ascii="宋体" w:hAnsi="宋体" w:cs="宋体"/>
                <w:color w:val="auto"/>
                <w:kern w:val="0"/>
                <w:szCs w:val="22"/>
              </w:rPr>
            </w:pPr>
          </w:p>
        </w:tc>
        <w:tc>
          <w:tcPr>
            <w:tcW w:w="510" w:type="dxa"/>
            <w:vMerge w:val="continue"/>
            <w:tcBorders>
              <w:right w:val="single" w:color="auto" w:sz="4" w:space="0"/>
            </w:tcBorders>
            <w:noWrap w:val="0"/>
            <w:vAlign w:val="center"/>
          </w:tcPr>
          <w:p w14:paraId="4798349E">
            <w:pPr>
              <w:tabs>
                <w:tab w:val="left" w:pos="1875"/>
              </w:tabs>
              <w:spacing w:line="400" w:lineRule="exact"/>
              <w:jc w:val="center"/>
              <w:rPr>
                <w:rFonts w:ascii="宋体" w:hAnsi="宋体" w:cs="宋体"/>
                <w:color w:val="auto"/>
                <w:kern w:val="0"/>
                <w:szCs w:val="22"/>
              </w:rPr>
            </w:pPr>
          </w:p>
        </w:tc>
        <w:tc>
          <w:tcPr>
            <w:tcW w:w="1548" w:type="dxa"/>
            <w:gridSpan w:val="2"/>
            <w:tcBorders>
              <w:top w:val="single" w:color="auto" w:sz="4" w:space="0"/>
              <w:left w:val="single" w:color="auto" w:sz="4" w:space="0"/>
              <w:bottom w:val="single" w:color="auto" w:sz="4" w:space="0"/>
            </w:tcBorders>
            <w:noWrap w:val="0"/>
            <w:vAlign w:val="center"/>
          </w:tcPr>
          <w:p w14:paraId="1BF28062">
            <w:pPr>
              <w:pStyle w:val="19"/>
              <w:spacing w:line="360" w:lineRule="auto"/>
              <w:jc w:val="center"/>
              <w:rPr>
                <w:rFonts w:hint="eastAsia" w:ascii="宋体" w:hAnsi="宋体" w:cs="宋体"/>
                <w:color w:val="auto"/>
                <w:kern w:val="0"/>
                <w:szCs w:val="22"/>
                <w:lang w:eastAsia="zh-CN"/>
              </w:rPr>
            </w:pPr>
            <w:r>
              <w:rPr>
                <w:rFonts w:hint="eastAsia" w:ascii="宋体" w:hAnsi="宋体" w:cs="宋体"/>
                <w:color w:val="auto"/>
                <w:kern w:val="0"/>
                <w:sz w:val="21"/>
                <w:szCs w:val="22"/>
              </w:rPr>
              <w:t>安全管理方案</w:t>
            </w:r>
            <w:r>
              <w:rPr>
                <w:rFonts w:hint="eastAsia" w:ascii="宋体" w:hAnsi="宋体" w:cs="宋体"/>
                <w:color w:val="auto"/>
                <w:kern w:val="0"/>
                <w:sz w:val="21"/>
                <w:szCs w:val="22"/>
                <w:lang w:eastAsia="zh-CN"/>
              </w:rPr>
              <w:t>（</w:t>
            </w:r>
            <w:r>
              <w:rPr>
                <w:rFonts w:hint="eastAsia" w:ascii="宋体" w:hAnsi="宋体" w:cs="宋体"/>
                <w:color w:val="auto"/>
                <w:kern w:val="0"/>
                <w:sz w:val="21"/>
                <w:szCs w:val="22"/>
                <w:lang w:val="en-US" w:eastAsia="zh-CN"/>
              </w:rPr>
              <w:t>10分）</w:t>
            </w:r>
          </w:p>
        </w:tc>
        <w:tc>
          <w:tcPr>
            <w:tcW w:w="5936" w:type="dxa"/>
            <w:gridSpan w:val="2"/>
            <w:tcBorders>
              <w:top w:val="single" w:color="auto" w:sz="4" w:space="0"/>
              <w:bottom w:val="single" w:color="auto" w:sz="4" w:space="0"/>
            </w:tcBorders>
            <w:noWrap w:val="0"/>
            <w:vAlign w:val="center"/>
          </w:tcPr>
          <w:p w14:paraId="3712691E">
            <w:pPr>
              <w:tabs>
                <w:tab w:val="left" w:pos="1875"/>
              </w:tabs>
              <w:spacing w:line="400" w:lineRule="exact"/>
              <w:ind w:firstLine="420" w:firstLineChars="200"/>
              <w:rPr>
                <w:rFonts w:hint="eastAsia" w:ascii="宋体" w:hAnsi="宋体" w:cs="宋体"/>
                <w:color w:val="auto"/>
                <w:kern w:val="0"/>
                <w:szCs w:val="22"/>
              </w:rPr>
            </w:pPr>
            <w:r>
              <w:rPr>
                <w:rFonts w:hint="eastAsia" w:ascii="宋体" w:hAnsi="宋体" w:cs="宋体"/>
                <w:color w:val="auto"/>
                <w:kern w:val="0"/>
                <w:szCs w:val="22"/>
              </w:rPr>
              <w:t>竞选人根据本项目的实际情况，提供安全管理</w:t>
            </w:r>
            <w:r>
              <w:rPr>
                <w:rFonts w:hint="eastAsia" w:ascii="宋体" w:hAnsi="宋体" w:cs="宋体"/>
                <w:color w:val="auto"/>
                <w:kern w:val="0"/>
                <w:szCs w:val="22"/>
                <w:lang w:val="en-US" w:eastAsia="zh-CN"/>
              </w:rPr>
              <w:t>方案</w:t>
            </w:r>
            <w:r>
              <w:rPr>
                <w:rFonts w:hint="eastAsia" w:ascii="宋体" w:hAnsi="宋体" w:cs="宋体"/>
                <w:color w:val="auto"/>
                <w:kern w:val="0"/>
                <w:szCs w:val="22"/>
              </w:rPr>
              <w:t>，包含不限于施工安全专项方案、安全管理保证措施、文明施工和防止扰民措施等内容</w:t>
            </w:r>
            <w:r>
              <w:rPr>
                <w:rFonts w:hint="eastAsia" w:ascii="宋体" w:hAnsi="宋体" w:cs="宋体"/>
                <w:color w:val="auto"/>
                <w:kern w:val="0"/>
                <w:szCs w:val="22"/>
                <w:lang w:eastAsia="zh-CN"/>
              </w:rPr>
              <w:t>，</w:t>
            </w:r>
            <w:r>
              <w:rPr>
                <w:rFonts w:hint="eastAsia" w:ascii="宋体" w:hAnsi="宋体" w:cs="宋体"/>
                <w:color w:val="auto"/>
                <w:kern w:val="0"/>
                <w:szCs w:val="22"/>
              </w:rPr>
              <w:t>根据</w:t>
            </w:r>
            <w:r>
              <w:rPr>
                <w:rFonts w:hint="eastAsia" w:ascii="宋体" w:hAnsi="宋体" w:cs="宋体"/>
                <w:color w:val="auto"/>
                <w:kern w:val="0"/>
                <w:szCs w:val="22"/>
                <w:lang w:val="en-US" w:eastAsia="zh-CN"/>
              </w:rPr>
              <w:t>方案</w:t>
            </w:r>
            <w:r>
              <w:rPr>
                <w:rFonts w:hint="eastAsia" w:ascii="宋体" w:hAnsi="宋体" w:cs="宋体"/>
                <w:color w:val="auto"/>
                <w:kern w:val="0"/>
                <w:szCs w:val="22"/>
              </w:rPr>
              <w:t>内容进行评分</w:t>
            </w:r>
            <w:r>
              <w:rPr>
                <w:rFonts w:hint="eastAsia" w:ascii="宋体" w:hAnsi="宋体" w:cs="宋体"/>
                <w:color w:val="auto"/>
                <w:kern w:val="0"/>
                <w:szCs w:val="22"/>
                <w:lang w:eastAsia="zh-CN"/>
              </w:rPr>
              <w:t>。</w:t>
            </w:r>
            <w:r>
              <w:rPr>
                <w:rFonts w:hint="eastAsia" w:ascii="宋体" w:hAnsi="宋体" w:cs="宋体"/>
                <w:color w:val="auto"/>
                <w:kern w:val="0"/>
                <w:szCs w:val="22"/>
              </w:rPr>
              <w:t>方案内容完整、详尽、无缺项、符合项目实际情况得</w:t>
            </w:r>
            <w:r>
              <w:rPr>
                <w:rFonts w:hint="eastAsia" w:ascii="宋体" w:hAnsi="宋体" w:cs="宋体"/>
                <w:color w:val="auto"/>
                <w:kern w:val="0"/>
                <w:szCs w:val="22"/>
                <w:lang w:val="en-US" w:eastAsia="zh-CN"/>
              </w:rPr>
              <w:t>10</w:t>
            </w:r>
            <w:r>
              <w:rPr>
                <w:rFonts w:hint="eastAsia" w:ascii="宋体" w:hAnsi="宋体" w:cs="宋体"/>
                <w:color w:val="auto"/>
                <w:kern w:val="0"/>
                <w:szCs w:val="22"/>
              </w:rPr>
              <w:t>分</w:t>
            </w:r>
            <w:r>
              <w:rPr>
                <w:rFonts w:hint="eastAsia" w:ascii="宋体" w:hAnsi="宋体" w:cs="宋体"/>
                <w:color w:val="auto"/>
                <w:kern w:val="0"/>
                <w:szCs w:val="22"/>
                <w:lang w:eastAsia="zh-CN"/>
              </w:rPr>
              <w:t>；</w:t>
            </w:r>
            <w:r>
              <w:rPr>
                <w:rFonts w:hint="eastAsia" w:ascii="宋体" w:hAnsi="宋体" w:cs="宋体"/>
                <w:color w:val="auto"/>
                <w:kern w:val="0"/>
                <w:szCs w:val="22"/>
              </w:rPr>
              <w:t>方案内容较完整、较详尽、无缺项、较符合项目实际情况得</w:t>
            </w:r>
            <w:r>
              <w:rPr>
                <w:rFonts w:hint="eastAsia" w:ascii="宋体" w:hAnsi="宋体" w:cs="宋体"/>
                <w:color w:val="auto"/>
                <w:kern w:val="0"/>
                <w:szCs w:val="22"/>
                <w:lang w:val="en-US" w:eastAsia="zh-CN"/>
              </w:rPr>
              <w:t>7</w:t>
            </w:r>
            <w:r>
              <w:rPr>
                <w:rFonts w:hint="eastAsia" w:ascii="宋体" w:hAnsi="宋体" w:cs="宋体"/>
                <w:color w:val="auto"/>
                <w:kern w:val="0"/>
                <w:szCs w:val="22"/>
              </w:rPr>
              <w:t>分</w:t>
            </w:r>
            <w:r>
              <w:rPr>
                <w:rFonts w:hint="eastAsia" w:ascii="宋体" w:hAnsi="宋体" w:cs="宋体"/>
                <w:color w:val="auto"/>
                <w:kern w:val="0"/>
                <w:szCs w:val="22"/>
                <w:lang w:eastAsia="zh-CN"/>
              </w:rPr>
              <w:t>；</w:t>
            </w:r>
            <w:r>
              <w:rPr>
                <w:rFonts w:hint="eastAsia" w:ascii="宋体" w:hAnsi="宋体" w:cs="宋体"/>
                <w:color w:val="auto"/>
                <w:kern w:val="0"/>
                <w:szCs w:val="22"/>
              </w:rPr>
              <w:t>方案内容基本完整、基本符合项目实际情况得</w:t>
            </w:r>
            <w:r>
              <w:rPr>
                <w:rFonts w:hint="eastAsia" w:ascii="宋体" w:hAnsi="宋体" w:cs="宋体"/>
                <w:color w:val="auto"/>
                <w:kern w:val="0"/>
                <w:szCs w:val="22"/>
                <w:lang w:val="en-US" w:eastAsia="zh-CN"/>
              </w:rPr>
              <w:t>4</w:t>
            </w:r>
            <w:r>
              <w:rPr>
                <w:rFonts w:hint="eastAsia" w:ascii="宋体" w:hAnsi="宋体" w:cs="宋体"/>
                <w:color w:val="auto"/>
                <w:kern w:val="0"/>
                <w:szCs w:val="22"/>
              </w:rPr>
              <w:t>分</w:t>
            </w:r>
            <w:r>
              <w:rPr>
                <w:rFonts w:hint="eastAsia" w:ascii="宋体" w:hAnsi="宋体" w:cs="宋体"/>
                <w:color w:val="auto"/>
                <w:kern w:val="0"/>
                <w:szCs w:val="22"/>
                <w:lang w:eastAsia="zh-CN"/>
              </w:rPr>
              <w:t>；</w:t>
            </w:r>
            <w:r>
              <w:rPr>
                <w:rFonts w:hint="eastAsia" w:ascii="宋体" w:hAnsi="宋体" w:cs="宋体"/>
                <w:color w:val="auto"/>
                <w:kern w:val="0"/>
                <w:szCs w:val="22"/>
              </w:rPr>
              <w:t>方案内容存在缺项、不太符合项目实际情况得1分</w:t>
            </w:r>
            <w:r>
              <w:rPr>
                <w:rFonts w:hint="eastAsia" w:ascii="宋体" w:hAnsi="宋体" w:cs="宋体"/>
                <w:color w:val="auto"/>
                <w:kern w:val="0"/>
                <w:szCs w:val="22"/>
                <w:lang w:eastAsia="zh-CN"/>
              </w:rPr>
              <w:t>；</w:t>
            </w:r>
            <w:r>
              <w:rPr>
                <w:rFonts w:hint="eastAsia" w:ascii="宋体" w:hAnsi="宋体" w:cs="宋体"/>
                <w:color w:val="auto"/>
                <w:kern w:val="0"/>
                <w:szCs w:val="22"/>
              </w:rPr>
              <w:t>没有提供不得分。</w:t>
            </w:r>
          </w:p>
          <w:p w14:paraId="1BE64603">
            <w:pPr>
              <w:adjustRightInd w:val="0"/>
              <w:snapToGrid w:val="0"/>
              <w:spacing w:line="400" w:lineRule="exact"/>
              <w:ind w:firstLine="420" w:firstLineChars="200"/>
              <w:jc w:val="left"/>
              <w:rPr>
                <w:rFonts w:hint="eastAsia" w:ascii="宋体" w:hAnsi="宋体" w:cs="宋体"/>
                <w:color w:val="auto"/>
              </w:rPr>
            </w:pPr>
            <w:r>
              <w:rPr>
                <w:rFonts w:hint="eastAsia" w:ascii="宋体" w:hAnsi="宋体" w:cs="宋体"/>
                <w:color w:val="auto"/>
                <w:kern w:val="0"/>
                <w:szCs w:val="22"/>
              </w:rPr>
              <w:t>注：提供安全管理方案，格式自拟。</w:t>
            </w:r>
          </w:p>
        </w:tc>
      </w:tr>
      <w:tr w14:paraId="1D9A29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833" w:type="dxa"/>
            <w:vMerge w:val="continue"/>
            <w:tcBorders>
              <w:right w:val="single" w:color="auto" w:sz="4" w:space="0"/>
            </w:tcBorders>
            <w:noWrap w:val="0"/>
            <w:vAlign w:val="center"/>
          </w:tcPr>
          <w:p w14:paraId="0F3ED764">
            <w:pPr>
              <w:spacing w:line="400" w:lineRule="exact"/>
              <w:jc w:val="center"/>
              <w:rPr>
                <w:rFonts w:ascii="宋体" w:hAnsi="宋体" w:cs="宋体"/>
                <w:color w:val="auto"/>
                <w:kern w:val="0"/>
                <w:szCs w:val="22"/>
              </w:rPr>
            </w:pPr>
          </w:p>
        </w:tc>
        <w:tc>
          <w:tcPr>
            <w:tcW w:w="643" w:type="dxa"/>
            <w:vMerge w:val="continue"/>
            <w:tcBorders>
              <w:left w:val="single" w:color="auto" w:sz="4" w:space="0"/>
            </w:tcBorders>
            <w:noWrap w:val="0"/>
            <w:vAlign w:val="center"/>
          </w:tcPr>
          <w:p w14:paraId="559A2AEB">
            <w:pPr>
              <w:spacing w:line="400" w:lineRule="exact"/>
              <w:jc w:val="center"/>
              <w:rPr>
                <w:rFonts w:ascii="宋体" w:hAnsi="宋体" w:cs="宋体"/>
                <w:color w:val="auto"/>
                <w:kern w:val="0"/>
                <w:szCs w:val="22"/>
              </w:rPr>
            </w:pPr>
          </w:p>
        </w:tc>
        <w:tc>
          <w:tcPr>
            <w:tcW w:w="510" w:type="dxa"/>
            <w:vMerge w:val="continue"/>
            <w:tcBorders>
              <w:right w:val="single" w:color="auto" w:sz="4" w:space="0"/>
            </w:tcBorders>
            <w:noWrap w:val="0"/>
            <w:vAlign w:val="center"/>
          </w:tcPr>
          <w:p w14:paraId="21B50D49">
            <w:pPr>
              <w:tabs>
                <w:tab w:val="left" w:pos="1875"/>
              </w:tabs>
              <w:spacing w:line="400" w:lineRule="exact"/>
              <w:jc w:val="center"/>
              <w:rPr>
                <w:rFonts w:ascii="宋体" w:hAnsi="宋体" w:cs="宋体"/>
                <w:color w:val="auto"/>
                <w:kern w:val="0"/>
                <w:szCs w:val="22"/>
              </w:rPr>
            </w:pPr>
          </w:p>
        </w:tc>
        <w:tc>
          <w:tcPr>
            <w:tcW w:w="1548" w:type="dxa"/>
            <w:gridSpan w:val="2"/>
            <w:tcBorders>
              <w:top w:val="single" w:color="auto" w:sz="4" w:space="0"/>
              <w:left w:val="single" w:color="auto" w:sz="4" w:space="0"/>
            </w:tcBorders>
            <w:noWrap w:val="0"/>
            <w:vAlign w:val="center"/>
          </w:tcPr>
          <w:p w14:paraId="5BA49FF1">
            <w:pPr>
              <w:pStyle w:val="19"/>
              <w:spacing w:line="360" w:lineRule="auto"/>
              <w:jc w:val="center"/>
              <w:rPr>
                <w:rFonts w:hint="default" w:ascii="宋体" w:hAnsi="宋体" w:eastAsia="宋体" w:cs="宋体"/>
                <w:color w:val="auto"/>
                <w:kern w:val="0"/>
                <w:sz w:val="21"/>
                <w:szCs w:val="22"/>
                <w:lang w:val="en-US" w:eastAsia="zh-CN"/>
              </w:rPr>
            </w:pPr>
            <w:r>
              <w:rPr>
                <w:rFonts w:hint="eastAsia" w:ascii="宋体" w:hAnsi="宋体" w:cs="宋体"/>
                <w:color w:val="auto"/>
                <w:kern w:val="0"/>
                <w:sz w:val="21"/>
                <w:szCs w:val="22"/>
                <w:lang w:val="en-US" w:eastAsia="zh-CN"/>
              </w:rPr>
              <w:t>售后服务方案（10分）</w:t>
            </w:r>
          </w:p>
        </w:tc>
        <w:tc>
          <w:tcPr>
            <w:tcW w:w="5936" w:type="dxa"/>
            <w:gridSpan w:val="2"/>
            <w:tcBorders>
              <w:top w:val="single" w:color="auto" w:sz="4" w:space="0"/>
            </w:tcBorders>
            <w:noWrap w:val="0"/>
            <w:vAlign w:val="center"/>
          </w:tcPr>
          <w:p w14:paraId="392D8E94">
            <w:pPr>
              <w:tabs>
                <w:tab w:val="left" w:pos="1875"/>
              </w:tabs>
              <w:spacing w:line="400" w:lineRule="exact"/>
              <w:ind w:firstLine="420" w:firstLineChars="200"/>
              <w:rPr>
                <w:rFonts w:hint="eastAsia" w:ascii="宋体" w:hAnsi="宋体" w:cs="宋体"/>
                <w:color w:val="auto"/>
                <w:kern w:val="0"/>
                <w:szCs w:val="22"/>
              </w:rPr>
            </w:pPr>
            <w:r>
              <w:rPr>
                <w:rFonts w:hint="eastAsia" w:ascii="宋体" w:hAnsi="宋体" w:cs="宋体"/>
                <w:color w:val="auto"/>
                <w:kern w:val="0"/>
                <w:szCs w:val="22"/>
                <w:lang w:val="en-US" w:eastAsia="zh-CN"/>
              </w:rPr>
              <w:t>供应商提供针对本项目的售后服务方案</w:t>
            </w:r>
            <w:r>
              <w:rPr>
                <w:rFonts w:hint="eastAsia" w:ascii="宋体" w:hAnsi="宋体" w:cs="宋体"/>
                <w:color w:val="auto"/>
                <w:kern w:val="0"/>
                <w:szCs w:val="22"/>
                <w:lang w:val="en-GB"/>
              </w:rPr>
              <w:t>，包含不限于</w:t>
            </w:r>
            <w:r>
              <w:rPr>
                <w:rFonts w:hint="eastAsia" w:ascii="宋体" w:hAnsi="宋体" w:cs="宋体"/>
                <w:color w:val="auto"/>
                <w:kern w:val="0"/>
                <w:szCs w:val="22"/>
                <w:lang w:val="en-US" w:eastAsia="zh-CN"/>
              </w:rPr>
              <w:t>售后</w:t>
            </w:r>
            <w:r>
              <w:rPr>
                <w:rFonts w:hint="eastAsia" w:ascii="宋体" w:hAnsi="宋体" w:cs="宋体"/>
                <w:color w:val="auto"/>
                <w:kern w:val="0"/>
                <w:szCs w:val="22"/>
                <w:lang w:val="en-GB"/>
              </w:rPr>
              <w:t>响应时间、</w:t>
            </w:r>
            <w:r>
              <w:rPr>
                <w:rFonts w:hint="eastAsia" w:ascii="宋体" w:hAnsi="宋体" w:cs="宋体"/>
                <w:color w:val="auto"/>
                <w:kern w:val="0"/>
                <w:szCs w:val="22"/>
                <w:lang w:val="en-US" w:eastAsia="zh-CN"/>
              </w:rPr>
              <w:t>售后人员配置、</w:t>
            </w:r>
            <w:r>
              <w:rPr>
                <w:rFonts w:hint="eastAsia" w:ascii="宋体" w:hAnsi="宋体" w:cs="宋体"/>
                <w:color w:val="auto"/>
                <w:kern w:val="0"/>
                <w:szCs w:val="22"/>
                <w:lang w:val="en-GB"/>
              </w:rPr>
              <w:t>应急预案等内容；</w:t>
            </w:r>
            <w:r>
              <w:rPr>
                <w:rFonts w:hint="eastAsia" w:ascii="宋体" w:hAnsi="宋体" w:cs="宋体"/>
                <w:color w:val="auto"/>
                <w:kern w:val="0"/>
                <w:szCs w:val="22"/>
              </w:rPr>
              <w:t>根据</w:t>
            </w:r>
            <w:r>
              <w:rPr>
                <w:rFonts w:hint="eastAsia" w:ascii="宋体" w:hAnsi="宋体" w:cs="宋体"/>
                <w:color w:val="auto"/>
                <w:kern w:val="0"/>
                <w:szCs w:val="22"/>
                <w:lang w:val="en-US" w:eastAsia="zh-CN"/>
              </w:rPr>
              <w:t>方案</w:t>
            </w:r>
            <w:r>
              <w:rPr>
                <w:rFonts w:hint="eastAsia" w:ascii="宋体" w:hAnsi="宋体" w:cs="宋体"/>
                <w:color w:val="auto"/>
                <w:kern w:val="0"/>
                <w:szCs w:val="22"/>
              </w:rPr>
              <w:t>内容进行评分</w:t>
            </w:r>
            <w:r>
              <w:rPr>
                <w:rFonts w:hint="eastAsia" w:ascii="宋体" w:hAnsi="宋体" w:cs="宋体"/>
                <w:color w:val="auto"/>
                <w:kern w:val="0"/>
                <w:szCs w:val="22"/>
                <w:lang w:eastAsia="zh-CN"/>
              </w:rPr>
              <w:t>。</w:t>
            </w:r>
            <w:r>
              <w:rPr>
                <w:rFonts w:hint="eastAsia" w:ascii="宋体" w:hAnsi="宋体" w:cs="宋体"/>
                <w:color w:val="auto"/>
                <w:kern w:val="0"/>
                <w:szCs w:val="22"/>
              </w:rPr>
              <w:t>方案内容完整、详尽、无缺项、符合项目实际情况得</w:t>
            </w:r>
            <w:r>
              <w:rPr>
                <w:rFonts w:hint="eastAsia" w:ascii="宋体" w:hAnsi="宋体" w:cs="宋体"/>
                <w:color w:val="auto"/>
                <w:kern w:val="0"/>
                <w:szCs w:val="22"/>
                <w:lang w:val="en-US" w:eastAsia="zh-CN"/>
              </w:rPr>
              <w:t>10</w:t>
            </w:r>
            <w:r>
              <w:rPr>
                <w:rFonts w:hint="eastAsia" w:ascii="宋体" w:hAnsi="宋体" w:cs="宋体"/>
                <w:color w:val="auto"/>
                <w:kern w:val="0"/>
                <w:szCs w:val="22"/>
              </w:rPr>
              <w:t>分</w:t>
            </w:r>
            <w:r>
              <w:rPr>
                <w:rFonts w:hint="eastAsia" w:ascii="宋体" w:hAnsi="宋体" w:cs="宋体"/>
                <w:color w:val="auto"/>
                <w:kern w:val="0"/>
                <w:szCs w:val="22"/>
                <w:lang w:eastAsia="zh-CN"/>
              </w:rPr>
              <w:t>；</w:t>
            </w:r>
            <w:r>
              <w:rPr>
                <w:rFonts w:hint="eastAsia" w:ascii="宋体" w:hAnsi="宋体" w:cs="宋体"/>
                <w:color w:val="auto"/>
                <w:kern w:val="0"/>
                <w:szCs w:val="22"/>
              </w:rPr>
              <w:t>方案内容较完整、较详尽、无缺项、较符合项目实际情况得</w:t>
            </w:r>
            <w:r>
              <w:rPr>
                <w:rFonts w:hint="eastAsia" w:ascii="宋体" w:hAnsi="宋体" w:cs="宋体"/>
                <w:color w:val="auto"/>
                <w:kern w:val="0"/>
                <w:szCs w:val="22"/>
                <w:lang w:val="en-US" w:eastAsia="zh-CN"/>
              </w:rPr>
              <w:t>7</w:t>
            </w:r>
            <w:r>
              <w:rPr>
                <w:rFonts w:hint="eastAsia" w:ascii="宋体" w:hAnsi="宋体" w:cs="宋体"/>
                <w:color w:val="auto"/>
                <w:kern w:val="0"/>
                <w:szCs w:val="22"/>
              </w:rPr>
              <w:t>分</w:t>
            </w:r>
            <w:r>
              <w:rPr>
                <w:rFonts w:hint="eastAsia" w:ascii="宋体" w:hAnsi="宋体" w:cs="宋体"/>
                <w:color w:val="auto"/>
                <w:kern w:val="0"/>
                <w:szCs w:val="22"/>
                <w:lang w:eastAsia="zh-CN"/>
              </w:rPr>
              <w:t>；</w:t>
            </w:r>
            <w:r>
              <w:rPr>
                <w:rFonts w:hint="eastAsia" w:ascii="宋体" w:hAnsi="宋体" w:cs="宋体"/>
                <w:color w:val="auto"/>
                <w:kern w:val="0"/>
                <w:szCs w:val="22"/>
              </w:rPr>
              <w:t>方案内容基本完整、基本符合项目实际情况得</w:t>
            </w:r>
            <w:r>
              <w:rPr>
                <w:rFonts w:hint="eastAsia" w:ascii="宋体" w:hAnsi="宋体" w:cs="宋体"/>
                <w:color w:val="auto"/>
                <w:kern w:val="0"/>
                <w:szCs w:val="22"/>
                <w:lang w:val="en-US" w:eastAsia="zh-CN"/>
              </w:rPr>
              <w:t>4</w:t>
            </w:r>
            <w:r>
              <w:rPr>
                <w:rFonts w:hint="eastAsia" w:ascii="宋体" w:hAnsi="宋体" w:cs="宋体"/>
                <w:color w:val="auto"/>
                <w:kern w:val="0"/>
                <w:szCs w:val="22"/>
              </w:rPr>
              <w:t>分</w:t>
            </w:r>
            <w:r>
              <w:rPr>
                <w:rFonts w:hint="eastAsia" w:ascii="宋体" w:hAnsi="宋体" w:cs="宋体"/>
                <w:color w:val="auto"/>
                <w:kern w:val="0"/>
                <w:szCs w:val="22"/>
                <w:lang w:eastAsia="zh-CN"/>
              </w:rPr>
              <w:t>；</w:t>
            </w:r>
            <w:r>
              <w:rPr>
                <w:rFonts w:hint="eastAsia" w:ascii="宋体" w:hAnsi="宋体" w:cs="宋体"/>
                <w:color w:val="auto"/>
                <w:kern w:val="0"/>
                <w:szCs w:val="22"/>
              </w:rPr>
              <w:t>方案内容存在缺项、不太符合项目实际情况得1分</w:t>
            </w:r>
            <w:r>
              <w:rPr>
                <w:rFonts w:hint="eastAsia" w:ascii="宋体" w:hAnsi="宋体" w:cs="宋体"/>
                <w:color w:val="auto"/>
                <w:kern w:val="0"/>
                <w:szCs w:val="22"/>
                <w:lang w:eastAsia="zh-CN"/>
              </w:rPr>
              <w:t>；</w:t>
            </w:r>
            <w:r>
              <w:rPr>
                <w:rFonts w:hint="eastAsia" w:ascii="宋体" w:hAnsi="宋体" w:cs="宋体"/>
                <w:color w:val="auto"/>
                <w:kern w:val="0"/>
                <w:szCs w:val="22"/>
              </w:rPr>
              <w:t>没有提供不得分。</w:t>
            </w:r>
          </w:p>
          <w:p w14:paraId="5BA53FF1">
            <w:pPr>
              <w:adjustRightInd w:val="0"/>
              <w:snapToGrid w:val="0"/>
              <w:spacing w:line="400" w:lineRule="exact"/>
              <w:ind w:firstLine="420" w:firstLineChars="200"/>
              <w:jc w:val="left"/>
              <w:rPr>
                <w:rFonts w:hint="eastAsia" w:ascii="宋体" w:hAnsi="宋体" w:cs="宋体"/>
                <w:color w:val="auto"/>
                <w:kern w:val="0"/>
                <w:szCs w:val="22"/>
              </w:rPr>
            </w:pPr>
            <w:r>
              <w:rPr>
                <w:rFonts w:hint="eastAsia" w:ascii="宋体" w:hAnsi="宋体" w:cs="宋体"/>
                <w:color w:val="auto"/>
                <w:kern w:val="0"/>
                <w:szCs w:val="22"/>
              </w:rPr>
              <w:t>注：提供</w:t>
            </w:r>
            <w:r>
              <w:rPr>
                <w:rFonts w:hint="eastAsia" w:ascii="宋体" w:hAnsi="宋体" w:cs="宋体"/>
                <w:color w:val="auto"/>
                <w:kern w:val="0"/>
                <w:szCs w:val="22"/>
                <w:lang w:val="en-US" w:eastAsia="zh-CN"/>
              </w:rPr>
              <w:t>售后服务</w:t>
            </w:r>
            <w:r>
              <w:rPr>
                <w:rFonts w:hint="eastAsia" w:ascii="宋体" w:hAnsi="宋体" w:cs="宋体"/>
                <w:color w:val="auto"/>
                <w:kern w:val="0"/>
                <w:szCs w:val="22"/>
              </w:rPr>
              <w:t>方案，格式自拟。</w:t>
            </w:r>
          </w:p>
        </w:tc>
      </w:tr>
      <w:tr w14:paraId="097FD1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73" w:hRule="atLeast"/>
          <w:jc w:val="center"/>
        </w:trPr>
        <w:tc>
          <w:tcPr>
            <w:tcW w:w="833" w:type="dxa"/>
            <w:tcBorders>
              <w:right w:val="single" w:color="auto" w:sz="4" w:space="0"/>
            </w:tcBorders>
            <w:noWrap w:val="0"/>
            <w:vAlign w:val="center"/>
          </w:tcPr>
          <w:p w14:paraId="45521E09">
            <w:pPr>
              <w:spacing w:line="400" w:lineRule="exact"/>
              <w:jc w:val="center"/>
              <w:rPr>
                <w:rFonts w:ascii="宋体" w:hAnsi="宋体" w:cs="宋体"/>
                <w:color w:val="auto"/>
                <w:kern w:val="0"/>
                <w:szCs w:val="22"/>
              </w:rPr>
            </w:pPr>
            <w:r>
              <w:rPr>
                <w:rFonts w:hint="eastAsia" w:ascii="宋体" w:hAnsi="宋体" w:cs="宋体"/>
                <w:color w:val="auto"/>
                <w:kern w:val="0"/>
                <w:szCs w:val="22"/>
              </w:rPr>
              <w:t>2.2.</w:t>
            </w:r>
            <w:r>
              <w:rPr>
                <w:rFonts w:hint="eastAsia" w:ascii="宋体" w:hAnsi="宋体" w:cs="宋体"/>
                <w:color w:val="auto"/>
                <w:kern w:val="0"/>
                <w:szCs w:val="22"/>
                <w:lang w:val="en-US" w:eastAsia="zh-CN"/>
              </w:rPr>
              <w:t>3</w:t>
            </w:r>
            <w:r>
              <w:rPr>
                <w:rFonts w:hint="eastAsia" w:ascii="宋体" w:hAnsi="宋体" w:cs="宋体"/>
                <w:color w:val="auto"/>
                <w:kern w:val="0"/>
                <w:szCs w:val="22"/>
              </w:rPr>
              <w:t>（2）</w:t>
            </w:r>
          </w:p>
        </w:tc>
        <w:tc>
          <w:tcPr>
            <w:tcW w:w="643" w:type="dxa"/>
            <w:tcBorders>
              <w:left w:val="single" w:color="auto" w:sz="4" w:space="0"/>
            </w:tcBorders>
            <w:noWrap w:val="0"/>
            <w:vAlign w:val="center"/>
          </w:tcPr>
          <w:p w14:paraId="1D6C7C95">
            <w:pPr>
              <w:spacing w:line="400" w:lineRule="exact"/>
              <w:rPr>
                <w:rFonts w:ascii="宋体" w:hAnsi="宋体" w:cs="宋体"/>
                <w:color w:val="auto"/>
                <w:kern w:val="0"/>
                <w:szCs w:val="22"/>
              </w:rPr>
            </w:pPr>
            <w:r>
              <w:rPr>
                <w:rFonts w:hint="eastAsia" w:ascii="宋体" w:hAnsi="宋体" w:cs="宋体"/>
                <w:color w:val="auto"/>
                <w:kern w:val="0"/>
                <w:szCs w:val="22"/>
              </w:rPr>
              <w:t>商务部分评分标准（</w:t>
            </w:r>
            <w:r>
              <w:rPr>
                <w:rFonts w:hint="eastAsia" w:ascii="宋体" w:hAnsi="宋体" w:cs="宋体"/>
                <w:color w:val="auto"/>
                <w:kern w:val="0"/>
                <w:szCs w:val="22"/>
                <w:highlight w:val="none"/>
                <w:lang w:val="en-US" w:eastAsia="zh-CN"/>
              </w:rPr>
              <w:t>10</w:t>
            </w:r>
            <w:r>
              <w:rPr>
                <w:rFonts w:hint="eastAsia" w:ascii="宋体" w:hAnsi="宋体" w:cs="宋体"/>
                <w:color w:val="auto"/>
                <w:kern w:val="0"/>
                <w:szCs w:val="22"/>
                <w:highlight w:val="none"/>
              </w:rPr>
              <w:t>分）</w:t>
            </w:r>
          </w:p>
        </w:tc>
        <w:tc>
          <w:tcPr>
            <w:tcW w:w="510" w:type="dxa"/>
            <w:tcBorders>
              <w:right w:val="single" w:color="auto" w:sz="4" w:space="0"/>
            </w:tcBorders>
            <w:noWrap w:val="0"/>
            <w:vAlign w:val="center"/>
          </w:tcPr>
          <w:p w14:paraId="38400690">
            <w:pPr>
              <w:tabs>
                <w:tab w:val="left" w:pos="1875"/>
              </w:tabs>
              <w:spacing w:line="400" w:lineRule="exact"/>
              <w:rPr>
                <w:rFonts w:ascii="宋体" w:hAnsi="宋体" w:cs="宋体"/>
                <w:color w:val="auto"/>
                <w:kern w:val="0"/>
                <w:szCs w:val="22"/>
              </w:rPr>
            </w:pPr>
            <w:r>
              <w:rPr>
                <w:rFonts w:hint="eastAsia" w:ascii="宋体" w:hAnsi="宋体" w:cs="宋体"/>
                <w:color w:val="auto"/>
                <w:kern w:val="0"/>
                <w:szCs w:val="22"/>
              </w:rPr>
              <w:t>商务评</w:t>
            </w:r>
          </w:p>
          <w:p w14:paraId="6E23B32C">
            <w:pPr>
              <w:tabs>
                <w:tab w:val="left" w:pos="1875"/>
              </w:tabs>
              <w:spacing w:line="400" w:lineRule="exact"/>
              <w:jc w:val="left"/>
              <w:rPr>
                <w:rFonts w:ascii="宋体" w:hAnsi="宋体" w:cs="宋体"/>
                <w:color w:val="auto"/>
                <w:kern w:val="0"/>
                <w:szCs w:val="22"/>
              </w:rPr>
            </w:pPr>
            <w:r>
              <w:rPr>
                <w:rFonts w:hint="eastAsia" w:ascii="宋体" w:hAnsi="宋体" w:cs="宋体"/>
                <w:color w:val="auto"/>
                <w:kern w:val="0"/>
                <w:szCs w:val="22"/>
              </w:rPr>
              <w:t>审</w:t>
            </w:r>
          </w:p>
        </w:tc>
        <w:tc>
          <w:tcPr>
            <w:tcW w:w="1548" w:type="dxa"/>
            <w:gridSpan w:val="2"/>
            <w:tcBorders>
              <w:left w:val="single" w:color="auto" w:sz="4" w:space="0"/>
            </w:tcBorders>
            <w:noWrap w:val="0"/>
            <w:vAlign w:val="center"/>
          </w:tcPr>
          <w:p w14:paraId="166C02C9">
            <w:pPr>
              <w:spacing w:after="62" w:afterLines="20" w:line="400" w:lineRule="exact"/>
              <w:jc w:val="center"/>
              <w:rPr>
                <w:rFonts w:hint="eastAsia" w:ascii="宋体" w:hAnsi="宋体" w:cs="宋体"/>
                <w:color w:val="auto"/>
                <w:kern w:val="0"/>
                <w:szCs w:val="22"/>
                <w:highlight w:val="none"/>
              </w:rPr>
            </w:pPr>
            <w:r>
              <w:rPr>
                <w:rFonts w:hint="eastAsia" w:ascii="宋体" w:hAnsi="宋体" w:cs="宋体"/>
                <w:color w:val="auto"/>
                <w:kern w:val="0"/>
                <w:szCs w:val="22"/>
                <w:highlight w:val="none"/>
              </w:rPr>
              <w:t>项目业绩</w:t>
            </w:r>
          </w:p>
          <w:p w14:paraId="18FFF639">
            <w:pPr>
              <w:spacing w:after="62" w:afterLines="20" w:line="400" w:lineRule="exact"/>
              <w:jc w:val="center"/>
              <w:rPr>
                <w:rFonts w:hint="eastAsia" w:ascii="宋体" w:hAnsi="宋体" w:cs="宋体"/>
                <w:color w:val="auto"/>
                <w:kern w:val="0"/>
                <w:szCs w:val="22"/>
                <w:highlight w:val="none"/>
              </w:rPr>
            </w:pPr>
            <w:r>
              <w:rPr>
                <w:rFonts w:hint="eastAsia" w:ascii="宋体" w:hAnsi="宋体" w:cs="宋体"/>
                <w:color w:val="auto"/>
                <w:kern w:val="0"/>
                <w:szCs w:val="22"/>
                <w:highlight w:val="none"/>
              </w:rPr>
              <w:t>（</w:t>
            </w:r>
            <w:r>
              <w:rPr>
                <w:rFonts w:hint="eastAsia" w:ascii="宋体" w:hAnsi="宋体" w:cs="宋体"/>
                <w:color w:val="auto"/>
                <w:kern w:val="0"/>
                <w:szCs w:val="22"/>
                <w:highlight w:val="none"/>
                <w:lang w:val="en-US" w:eastAsia="zh-CN"/>
              </w:rPr>
              <w:t>10</w:t>
            </w:r>
            <w:r>
              <w:rPr>
                <w:rFonts w:hint="eastAsia" w:ascii="宋体" w:hAnsi="宋体" w:cs="宋体"/>
                <w:color w:val="auto"/>
                <w:kern w:val="0"/>
                <w:szCs w:val="22"/>
                <w:highlight w:val="none"/>
              </w:rPr>
              <w:t>分）</w:t>
            </w:r>
          </w:p>
        </w:tc>
        <w:tc>
          <w:tcPr>
            <w:tcW w:w="5936" w:type="dxa"/>
            <w:gridSpan w:val="2"/>
            <w:noWrap w:val="0"/>
            <w:vAlign w:val="center"/>
          </w:tcPr>
          <w:p w14:paraId="1F6E46DE">
            <w:pPr>
              <w:spacing w:after="62" w:afterLines="20" w:line="400" w:lineRule="exact"/>
              <w:ind w:firstLine="420" w:firstLineChars="200"/>
              <w:rPr>
                <w:rFonts w:ascii="宋体" w:hAnsi="宋体" w:cs="宋体"/>
                <w:color w:val="auto"/>
                <w:kern w:val="0"/>
                <w:szCs w:val="22"/>
              </w:rPr>
            </w:pPr>
            <w:r>
              <w:rPr>
                <w:rFonts w:hint="eastAsia" w:ascii="宋体" w:hAnsi="宋体" w:cs="宋体"/>
                <w:color w:val="auto"/>
                <w:kern w:val="0"/>
                <w:szCs w:val="22"/>
              </w:rPr>
              <w:t>竞选人</w:t>
            </w:r>
            <w:r>
              <w:rPr>
                <w:rFonts w:hint="eastAsia" w:ascii="宋体" w:hAnsi="宋体" w:cs="宋体"/>
                <w:color w:val="auto"/>
                <w:kern w:val="0"/>
                <w:szCs w:val="22"/>
                <w:lang w:val="en-US" w:eastAsia="zh-CN"/>
              </w:rPr>
              <w:t>自</w:t>
            </w:r>
            <w:r>
              <w:rPr>
                <w:rFonts w:hint="eastAsia" w:ascii="宋体" w:hAnsi="宋体" w:cs="宋体"/>
                <w:color w:val="auto"/>
                <w:kern w:val="0"/>
                <w:szCs w:val="22"/>
              </w:rPr>
              <w:t>20</w:t>
            </w:r>
            <w:r>
              <w:rPr>
                <w:rFonts w:hint="eastAsia" w:ascii="宋体" w:hAnsi="宋体" w:cs="宋体"/>
                <w:color w:val="auto"/>
                <w:kern w:val="0"/>
                <w:szCs w:val="22"/>
                <w:lang w:val="en-US" w:eastAsia="zh-CN"/>
              </w:rPr>
              <w:t>21</w:t>
            </w:r>
            <w:r>
              <w:rPr>
                <w:rFonts w:hint="eastAsia" w:ascii="宋体" w:hAnsi="宋体" w:cs="宋体"/>
                <w:color w:val="auto"/>
                <w:kern w:val="0"/>
                <w:szCs w:val="22"/>
              </w:rPr>
              <w:t>年1月1日至比选截止日止（以合同签订时间为准），</w:t>
            </w:r>
            <w:r>
              <w:rPr>
                <w:rFonts w:hint="eastAsia" w:ascii="宋体" w:hAnsi="宋体" w:cs="宋体"/>
                <w:color w:val="auto"/>
                <w:kern w:val="0"/>
                <w:szCs w:val="22"/>
                <w:highlight w:val="none"/>
                <w:lang w:val="en-US" w:eastAsia="zh-CN"/>
              </w:rPr>
              <w:t>提供1个类似业绩的</w:t>
            </w:r>
            <w:r>
              <w:rPr>
                <w:rFonts w:hint="eastAsia" w:ascii="宋体" w:hAnsi="宋体" w:cs="宋体"/>
                <w:color w:val="auto"/>
                <w:kern w:val="0"/>
                <w:szCs w:val="22"/>
                <w:highlight w:val="none"/>
              </w:rPr>
              <w:t>得</w:t>
            </w:r>
            <w:r>
              <w:rPr>
                <w:rFonts w:hint="eastAsia" w:ascii="宋体" w:hAnsi="宋体" w:cs="宋体"/>
                <w:color w:val="auto"/>
                <w:kern w:val="0"/>
                <w:szCs w:val="22"/>
                <w:highlight w:val="none"/>
                <w:lang w:val="en-US" w:eastAsia="zh-CN"/>
              </w:rPr>
              <w:t>5</w:t>
            </w:r>
            <w:r>
              <w:rPr>
                <w:rFonts w:hint="eastAsia" w:ascii="宋体" w:hAnsi="宋体" w:cs="宋体"/>
                <w:color w:val="auto"/>
                <w:kern w:val="0"/>
                <w:szCs w:val="22"/>
                <w:highlight w:val="none"/>
              </w:rPr>
              <w:t>分</w:t>
            </w:r>
            <w:r>
              <w:rPr>
                <w:rFonts w:hint="eastAsia" w:ascii="宋体" w:hAnsi="宋体" w:cs="宋体"/>
                <w:color w:val="auto"/>
                <w:kern w:val="0"/>
                <w:szCs w:val="22"/>
              </w:rPr>
              <w:t>，</w:t>
            </w:r>
            <w:r>
              <w:rPr>
                <w:rFonts w:hint="eastAsia" w:ascii="宋体" w:hAnsi="宋体" w:cs="宋体"/>
                <w:color w:val="auto"/>
                <w:kern w:val="0"/>
                <w:szCs w:val="22"/>
                <w:lang w:val="en-US" w:eastAsia="zh-CN"/>
              </w:rPr>
              <w:t>本项</w:t>
            </w:r>
            <w:r>
              <w:rPr>
                <w:rFonts w:hint="eastAsia" w:ascii="宋体" w:hAnsi="宋体" w:cs="宋体"/>
                <w:color w:val="auto"/>
                <w:kern w:val="0"/>
                <w:szCs w:val="22"/>
              </w:rPr>
              <w:t>最</w:t>
            </w:r>
            <w:r>
              <w:rPr>
                <w:rFonts w:hint="eastAsia" w:ascii="宋体" w:hAnsi="宋体" w:cs="宋体"/>
                <w:color w:val="auto"/>
                <w:kern w:val="0"/>
                <w:szCs w:val="22"/>
                <w:lang w:val="en-US" w:eastAsia="zh-CN"/>
              </w:rPr>
              <w:t>多</w:t>
            </w:r>
            <w:r>
              <w:rPr>
                <w:rFonts w:hint="eastAsia" w:ascii="宋体" w:hAnsi="宋体" w:cs="宋体"/>
                <w:color w:val="auto"/>
                <w:kern w:val="0"/>
                <w:szCs w:val="22"/>
              </w:rPr>
              <w:t>得</w:t>
            </w:r>
            <w:r>
              <w:rPr>
                <w:rFonts w:hint="eastAsia" w:ascii="宋体" w:hAnsi="宋体" w:cs="宋体"/>
                <w:color w:val="auto"/>
                <w:kern w:val="0"/>
                <w:szCs w:val="22"/>
                <w:lang w:val="en-US" w:eastAsia="zh-CN"/>
              </w:rPr>
              <w:t>10</w:t>
            </w:r>
            <w:r>
              <w:rPr>
                <w:rFonts w:hint="eastAsia" w:ascii="宋体" w:hAnsi="宋体" w:cs="宋体"/>
                <w:color w:val="auto"/>
                <w:kern w:val="0"/>
                <w:szCs w:val="22"/>
              </w:rPr>
              <w:t>分。</w:t>
            </w:r>
          </w:p>
          <w:p w14:paraId="21B595EE">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2"/>
              </w:rPr>
            </w:pPr>
            <w:r>
              <w:rPr>
                <w:rFonts w:hint="eastAsia" w:ascii="宋体" w:hAnsi="宋体" w:cs="宋体"/>
                <w:color w:val="auto"/>
                <w:szCs w:val="22"/>
                <w:lang w:val="en-US" w:eastAsia="zh-CN"/>
              </w:rPr>
              <w:t>注：</w:t>
            </w:r>
            <w:r>
              <w:rPr>
                <w:rFonts w:hint="eastAsia" w:ascii="宋体" w:hAnsi="宋体" w:cs="宋体"/>
                <w:color w:val="auto"/>
                <w:szCs w:val="22"/>
              </w:rPr>
              <w:t>竞选人须在竞选文件中提供合同</w:t>
            </w:r>
            <w:r>
              <w:rPr>
                <w:rFonts w:hint="eastAsia" w:ascii="宋体" w:hAnsi="宋体" w:cs="宋体"/>
                <w:color w:val="auto"/>
                <w:szCs w:val="22"/>
                <w:lang w:val="en-US" w:eastAsia="zh-CN"/>
              </w:rPr>
              <w:t>等相关证明材料</w:t>
            </w:r>
            <w:r>
              <w:rPr>
                <w:rFonts w:hint="eastAsia" w:ascii="宋体" w:hAnsi="宋体" w:cs="宋体"/>
                <w:color w:val="auto"/>
                <w:szCs w:val="22"/>
              </w:rPr>
              <w:t>复印件。</w:t>
            </w:r>
          </w:p>
        </w:tc>
      </w:tr>
      <w:tr w14:paraId="2CFEF4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noWrap w:val="0"/>
            <w:vAlign w:val="center"/>
          </w:tcPr>
          <w:p w14:paraId="63F6D3BB">
            <w:pPr>
              <w:spacing w:line="400" w:lineRule="exact"/>
              <w:jc w:val="center"/>
              <w:rPr>
                <w:rFonts w:ascii="宋体" w:hAnsi="宋体" w:cs="宋体"/>
                <w:color w:val="auto"/>
                <w:kern w:val="0"/>
                <w:szCs w:val="22"/>
              </w:rPr>
            </w:pPr>
            <w:r>
              <w:rPr>
                <w:rFonts w:hint="eastAsia" w:ascii="宋体" w:hAnsi="宋体" w:cs="宋体"/>
                <w:color w:val="auto"/>
                <w:szCs w:val="22"/>
              </w:rPr>
              <w:t>3</w:t>
            </w:r>
          </w:p>
        </w:tc>
        <w:tc>
          <w:tcPr>
            <w:tcW w:w="2701" w:type="dxa"/>
            <w:gridSpan w:val="4"/>
            <w:noWrap w:val="0"/>
            <w:vAlign w:val="center"/>
          </w:tcPr>
          <w:p w14:paraId="1BB860A2">
            <w:pPr>
              <w:spacing w:line="400" w:lineRule="exact"/>
              <w:jc w:val="center"/>
              <w:rPr>
                <w:rFonts w:ascii="宋体" w:hAnsi="宋体" w:cs="宋体"/>
                <w:color w:val="auto"/>
                <w:kern w:val="0"/>
                <w:szCs w:val="22"/>
              </w:rPr>
            </w:pPr>
            <w:r>
              <w:rPr>
                <w:rFonts w:hint="eastAsia" w:ascii="宋体" w:hAnsi="宋体" w:cs="宋体"/>
                <w:color w:val="auto"/>
                <w:szCs w:val="22"/>
              </w:rPr>
              <w:t>评审程序</w:t>
            </w:r>
          </w:p>
        </w:tc>
        <w:tc>
          <w:tcPr>
            <w:tcW w:w="5936" w:type="dxa"/>
            <w:gridSpan w:val="2"/>
            <w:noWrap w:val="0"/>
            <w:vAlign w:val="top"/>
          </w:tcPr>
          <w:p w14:paraId="74F7B33A">
            <w:pPr>
              <w:spacing w:line="400" w:lineRule="exact"/>
              <w:ind w:firstLine="420" w:firstLineChars="200"/>
              <w:rPr>
                <w:rFonts w:ascii="宋体" w:hAnsi="宋体" w:cs="宋体"/>
                <w:color w:val="auto"/>
                <w:szCs w:val="21"/>
              </w:rPr>
            </w:pPr>
            <w:r>
              <w:rPr>
                <w:rFonts w:hint="eastAsia" w:ascii="宋体" w:hAnsi="宋体" w:cs="宋体"/>
                <w:color w:val="auto"/>
                <w:szCs w:val="21"/>
              </w:rPr>
              <w:t>1.按本章评审办法第3.1款进行初步评审。未通过初步评审或评审小组认定为无效的竞选文件的不再进行后续评审。</w:t>
            </w:r>
          </w:p>
          <w:p w14:paraId="6B1E5DDA">
            <w:pPr>
              <w:spacing w:line="400" w:lineRule="exact"/>
              <w:ind w:firstLine="420" w:firstLineChars="200"/>
              <w:rPr>
                <w:rFonts w:ascii="宋体" w:hAnsi="宋体" w:cs="宋体"/>
                <w:color w:val="auto"/>
                <w:szCs w:val="21"/>
              </w:rPr>
            </w:pPr>
            <w:r>
              <w:rPr>
                <w:rFonts w:hint="eastAsia" w:ascii="宋体" w:hAnsi="宋体" w:cs="宋体"/>
                <w:color w:val="auto"/>
                <w:szCs w:val="21"/>
              </w:rPr>
              <w:t>2.按本章评</w:t>
            </w:r>
            <w:r>
              <w:rPr>
                <w:rFonts w:hint="eastAsia" w:ascii="宋体" w:hAnsi="宋体" w:cs="宋体"/>
                <w:color w:val="auto"/>
                <w:szCs w:val="21"/>
                <w:highlight w:val="none"/>
              </w:rPr>
              <w:t>审办法前附表第2.2.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项及第3.2.1（1）</w:t>
            </w:r>
            <w:r>
              <w:rPr>
                <w:rFonts w:hint="eastAsia" w:ascii="宋体" w:hAnsi="宋体" w:cs="宋体"/>
                <w:color w:val="auto"/>
                <w:szCs w:val="21"/>
                <w:highlight w:val="none"/>
                <w:lang w:eastAsia="zh-CN"/>
              </w:rPr>
              <w:t>、</w:t>
            </w:r>
            <w:r>
              <w:rPr>
                <w:rFonts w:hint="eastAsia" w:ascii="宋体" w:hAnsi="宋体" w:cs="宋体"/>
                <w:color w:val="auto"/>
                <w:szCs w:val="21"/>
                <w:highlight w:val="none"/>
              </w:rPr>
              <w:t>3.2.1（2）</w:t>
            </w:r>
            <w:r>
              <w:rPr>
                <w:rFonts w:hint="eastAsia" w:ascii="宋体" w:hAnsi="宋体" w:cs="宋体"/>
                <w:color w:val="auto"/>
                <w:szCs w:val="21"/>
                <w:highlight w:val="none"/>
                <w:lang w:val="en-US" w:eastAsia="zh-CN"/>
              </w:rPr>
              <w:t>和3.2.1（3）</w:t>
            </w:r>
            <w:r>
              <w:rPr>
                <w:rFonts w:hint="eastAsia" w:ascii="宋体" w:hAnsi="宋体" w:cs="宋体"/>
                <w:color w:val="auto"/>
                <w:szCs w:val="21"/>
                <w:highlight w:val="none"/>
              </w:rPr>
              <w:t>的规定对</w:t>
            </w:r>
            <w:r>
              <w:rPr>
                <w:rFonts w:hint="eastAsia" w:ascii="宋体" w:hAnsi="宋体" w:cs="宋体"/>
                <w:color w:val="auto"/>
                <w:szCs w:val="21"/>
                <w:highlight w:val="none"/>
                <w:lang w:val="en-US" w:eastAsia="zh-CN"/>
              </w:rPr>
              <w:t>经济部分、</w:t>
            </w:r>
            <w:r>
              <w:rPr>
                <w:rFonts w:hint="eastAsia" w:ascii="宋体" w:hAnsi="宋体" w:cs="宋体"/>
                <w:color w:val="auto"/>
                <w:szCs w:val="21"/>
                <w:highlight w:val="none"/>
              </w:rPr>
              <w:t>技术部分和商务部分进行评审。</w:t>
            </w:r>
          </w:p>
          <w:p w14:paraId="396C8E02">
            <w:pPr>
              <w:spacing w:line="400" w:lineRule="exact"/>
              <w:ind w:firstLine="420" w:firstLineChars="200"/>
              <w:rPr>
                <w:rFonts w:ascii="宋体" w:hAnsi="宋体" w:cs="宋体"/>
                <w:color w:val="auto"/>
                <w:szCs w:val="21"/>
              </w:rPr>
            </w:pPr>
            <w:r>
              <w:rPr>
                <w:rFonts w:hint="eastAsia" w:ascii="宋体" w:hAnsi="宋体" w:cs="宋体"/>
                <w:color w:val="auto"/>
                <w:szCs w:val="21"/>
              </w:rPr>
              <w:t>3.因评审小组作否决比选处理导致有效竞选人不足三个的，评审小组应当否决所有竞选。</w:t>
            </w:r>
          </w:p>
          <w:p w14:paraId="44C6D957">
            <w:pPr>
              <w:spacing w:line="400" w:lineRule="exact"/>
              <w:ind w:firstLine="420" w:firstLineChars="200"/>
              <w:rPr>
                <w:rFonts w:ascii="宋体" w:hAnsi="宋体" w:cs="宋体"/>
                <w:color w:val="auto"/>
                <w:szCs w:val="21"/>
              </w:rPr>
            </w:pPr>
            <w:r>
              <w:rPr>
                <w:rFonts w:hint="eastAsia" w:ascii="宋体" w:hAnsi="宋体" w:cs="宋体"/>
                <w:color w:val="auto"/>
                <w:szCs w:val="21"/>
              </w:rPr>
              <w:t>4.对</w:t>
            </w:r>
            <w:r>
              <w:rPr>
                <w:rFonts w:hint="eastAsia" w:ascii="宋体" w:hAnsi="宋体" w:cs="宋体"/>
                <w:color w:val="auto"/>
                <w:szCs w:val="21"/>
                <w:lang w:val="en-US" w:eastAsia="zh-CN"/>
              </w:rPr>
              <w:t>经济部分、</w:t>
            </w:r>
            <w:r>
              <w:rPr>
                <w:rFonts w:hint="eastAsia" w:ascii="宋体" w:hAnsi="宋体" w:cs="宋体"/>
                <w:color w:val="auto"/>
                <w:szCs w:val="21"/>
              </w:rPr>
              <w:t>技术部分、商务部分得分进行汇总，确定得分由高至低前三名竞选人为中</w:t>
            </w:r>
            <w:r>
              <w:rPr>
                <w:rFonts w:hint="eastAsia" w:ascii="宋体" w:hAnsi="宋体" w:cs="宋体"/>
                <w:color w:val="auto"/>
                <w:szCs w:val="21"/>
                <w:lang w:val="en-US" w:eastAsia="zh-CN"/>
              </w:rPr>
              <w:t>选</w:t>
            </w:r>
            <w:r>
              <w:rPr>
                <w:rFonts w:hint="eastAsia" w:ascii="宋体" w:hAnsi="宋体" w:cs="宋体"/>
                <w:color w:val="auto"/>
                <w:szCs w:val="21"/>
              </w:rPr>
              <w:t>候选人。</w:t>
            </w:r>
          </w:p>
        </w:tc>
      </w:tr>
      <w:tr w14:paraId="52D49B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noWrap w:val="0"/>
            <w:vAlign w:val="center"/>
          </w:tcPr>
          <w:p w14:paraId="42CE0C3E">
            <w:pPr>
              <w:spacing w:line="400" w:lineRule="exact"/>
              <w:jc w:val="center"/>
              <w:rPr>
                <w:rFonts w:ascii="宋体" w:hAnsi="宋体" w:cs="宋体"/>
                <w:color w:val="auto"/>
                <w:szCs w:val="22"/>
              </w:rPr>
            </w:pPr>
            <w:r>
              <w:rPr>
                <w:rFonts w:hint="eastAsia" w:ascii="宋体" w:hAnsi="宋体" w:cs="宋体"/>
                <w:color w:val="auto"/>
                <w:szCs w:val="22"/>
              </w:rPr>
              <w:t>3.2.1</w:t>
            </w:r>
          </w:p>
          <w:p w14:paraId="0002A038">
            <w:pPr>
              <w:spacing w:line="400" w:lineRule="exact"/>
              <w:jc w:val="center"/>
              <w:rPr>
                <w:rFonts w:hint="eastAsia" w:ascii="宋体" w:hAnsi="宋体" w:cs="宋体"/>
                <w:color w:val="auto"/>
                <w:szCs w:val="22"/>
              </w:rPr>
            </w:pPr>
            <w:r>
              <w:rPr>
                <w:rFonts w:hint="eastAsia" w:ascii="宋体" w:hAnsi="宋体" w:cs="宋体"/>
                <w:color w:val="auto"/>
                <w:szCs w:val="22"/>
              </w:rPr>
              <w:t>（1）</w:t>
            </w:r>
          </w:p>
        </w:tc>
        <w:tc>
          <w:tcPr>
            <w:tcW w:w="1350" w:type="dxa"/>
            <w:gridSpan w:val="3"/>
            <w:noWrap w:val="0"/>
            <w:vAlign w:val="center"/>
          </w:tcPr>
          <w:p w14:paraId="3BD73F04">
            <w:pPr>
              <w:spacing w:line="400" w:lineRule="exact"/>
              <w:jc w:val="center"/>
              <w:rPr>
                <w:rFonts w:hint="default" w:ascii="宋体" w:hAnsi="宋体" w:eastAsia="宋体" w:cs="宋体"/>
                <w:color w:val="auto"/>
                <w:szCs w:val="22"/>
                <w:lang w:val="en-US" w:eastAsia="zh-CN"/>
              </w:rPr>
            </w:pPr>
            <w:r>
              <w:rPr>
                <w:rFonts w:hint="eastAsia" w:ascii="宋体" w:hAnsi="宋体" w:cs="宋体"/>
                <w:color w:val="auto"/>
                <w:szCs w:val="22"/>
              </w:rPr>
              <w:t>比选报价得分</w:t>
            </w:r>
            <w:r>
              <w:rPr>
                <w:rFonts w:hint="eastAsia" w:ascii="宋体" w:hAnsi="宋体" w:cs="宋体"/>
                <w:color w:val="auto"/>
                <w:szCs w:val="22"/>
                <w:lang w:eastAsia="zh-CN"/>
              </w:rPr>
              <w:t>（</w:t>
            </w:r>
            <w:r>
              <w:rPr>
                <w:rFonts w:hint="eastAsia" w:ascii="宋体" w:hAnsi="宋体" w:cs="宋体"/>
                <w:color w:val="auto"/>
                <w:szCs w:val="22"/>
                <w:lang w:val="en-US" w:eastAsia="zh-CN"/>
              </w:rPr>
              <w:t xml:space="preserve">A） </w:t>
            </w:r>
          </w:p>
        </w:tc>
        <w:tc>
          <w:tcPr>
            <w:tcW w:w="1351" w:type="dxa"/>
            <w:noWrap w:val="0"/>
            <w:vAlign w:val="center"/>
          </w:tcPr>
          <w:p w14:paraId="56642642">
            <w:pPr>
              <w:spacing w:line="400" w:lineRule="exact"/>
              <w:jc w:val="center"/>
              <w:rPr>
                <w:rFonts w:hint="default" w:ascii="宋体" w:hAnsi="宋体" w:eastAsia="宋体" w:cs="宋体"/>
                <w:color w:val="auto"/>
                <w:szCs w:val="22"/>
                <w:highlight w:val="none"/>
                <w:lang w:val="en-US" w:eastAsia="zh-CN"/>
              </w:rPr>
            </w:pPr>
            <w:r>
              <w:rPr>
                <w:rFonts w:hint="eastAsia" w:ascii="宋体" w:hAnsi="宋体" w:cs="宋体"/>
                <w:color w:val="auto"/>
                <w:szCs w:val="22"/>
                <w:highlight w:val="none"/>
              </w:rPr>
              <w:t>比选总报价</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40分）</w:t>
            </w:r>
          </w:p>
        </w:tc>
        <w:tc>
          <w:tcPr>
            <w:tcW w:w="5936" w:type="dxa"/>
            <w:gridSpan w:val="2"/>
            <w:noWrap w:val="0"/>
            <w:vAlign w:val="top"/>
          </w:tcPr>
          <w:p w14:paraId="5E0E6B9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所有通过初步评审合格的</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，投标报价得本附表第2.2.1项规定分值的满分</w:t>
            </w: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分。在此基础上，投标报价与评标基准价相比，每增加1%扣</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 xml:space="preserve"> 分，每减少1%扣</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分，扣完为止。</w:t>
            </w:r>
          </w:p>
          <w:p w14:paraId="4F423B6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按插入法计算得分。</w:t>
            </w:r>
          </w:p>
          <w:p w14:paraId="64DE127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未参与评标基准价计算的投标报价，仍应参加计算相应分值。</w:t>
            </w:r>
          </w:p>
          <w:p w14:paraId="5F043C6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投标报价得分最终结果保留两位小数，小数点后第三位四舍五入。</w:t>
            </w:r>
          </w:p>
        </w:tc>
      </w:tr>
      <w:tr w14:paraId="7A06A0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3" w:type="dxa"/>
            <w:vMerge w:val="restart"/>
            <w:tcBorders>
              <w:bottom w:val="single" w:color="000000" w:sz="4" w:space="0"/>
            </w:tcBorders>
            <w:noWrap w:val="0"/>
            <w:vAlign w:val="center"/>
          </w:tcPr>
          <w:p w14:paraId="1718E217">
            <w:pPr>
              <w:spacing w:line="400" w:lineRule="exact"/>
              <w:jc w:val="center"/>
              <w:rPr>
                <w:rFonts w:ascii="宋体" w:hAnsi="宋体" w:cs="宋体"/>
                <w:color w:val="auto"/>
                <w:szCs w:val="22"/>
              </w:rPr>
            </w:pPr>
            <w:r>
              <w:rPr>
                <w:rFonts w:hint="eastAsia" w:ascii="宋体" w:hAnsi="宋体" w:cs="宋体"/>
                <w:color w:val="auto"/>
                <w:szCs w:val="22"/>
              </w:rPr>
              <w:t>3.2.1</w:t>
            </w:r>
          </w:p>
          <w:p w14:paraId="7B61885A">
            <w:pPr>
              <w:spacing w:line="400" w:lineRule="exact"/>
              <w:jc w:val="center"/>
              <w:rPr>
                <w:rFonts w:ascii="宋体" w:hAnsi="宋体" w:cs="宋体"/>
                <w:color w:val="auto"/>
                <w:szCs w:val="22"/>
              </w:rPr>
            </w:pPr>
            <w:r>
              <w:rPr>
                <w:rFonts w:hint="eastAsia" w:ascii="宋体" w:hAnsi="宋体" w:cs="宋体"/>
                <w:color w:val="auto"/>
                <w:szCs w:val="22"/>
              </w:rPr>
              <w:t>（</w:t>
            </w:r>
            <w:r>
              <w:rPr>
                <w:rFonts w:hint="eastAsia" w:ascii="宋体" w:hAnsi="宋体" w:cs="宋体"/>
                <w:color w:val="auto"/>
                <w:szCs w:val="22"/>
                <w:lang w:val="en-US" w:eastAsia="zh-CN"/>
              </w:rPr>
              <w:t>2</w:t>
            </w:r>
            <w:r>
              <w:rPr>
                <w:rFonts w:hint="eastAsia" w:ascii="宋体" w:hAnsi="宋体" w:cs="宋体"/>
                <w:color w:val="auto"/>
                <w:szCs w:val="22"/>
              </w:rPr>
              <w:t>）</w:t>
            </w:r>
          </w:p>
        </w:tc>
        <w:tc>
          <w:tcPr>
            <w:tcW w:w="2701" w:type="dxa"/>
            <w:gridSpan w:val="4"/>
            <w:vMerge w:val="restart"/>
            <w:noWrap w:val="0"/>
            <w:vAlign w:val="center"/>
          </w:tcPr>
          <w:p w14:paraId="65AFAC95">
            <w:pPr>
              <w:spacing w:line="400" w:lineRule="exact"/>
              <w:jc w:val="center"/>
              <w:rPr>
                <w:rFonts w:ascii="宋体" w:hAnsi="宋体" w:cs="宋体"/>
                <w:color w:val="auto"/>
                <w:szCs w:val="22"/>
              </w:rPr>
            </w:pPr>
            <w:r>
              <w:rPr>
                <w:rFonts w:hint="eastAsia" w:ascii="宋体" w:hAnsi="宋体" w:cs="宋体"/>
                <w:color w:val="auto"/>
                <w:szCs w:val="22"/>
              </w:rPr>
              <w:t>技术部分</w:t>
            </w:r>
            <w:r>
              <w:rPr>
                <w:rFonts w:hint="eastAsia" w:ascii="宋体" w:hAnsi="宋体" w:cs="宋体"/>
                <w:color w:val="auto"/>
                <w:kern w:val="0"/>
                <w:szCs w:val="22"/>
              </w:rPr>
              <w:t>得分</w:t>
            </w:r>
            <w:r>
              <w:rPr>
                <w:rFonts w:hint="eastAsia" w:ascii="宋体" w:hAnsi="宋体" w:cs="宋体"/>
                <w:color w:val="auto"/>
                <w:spacing w:val="-4"/>
                <w:szCs w:val="22"/>
              </w:rPr>
              <w:t>（</w:t>
            </w:r>
            <w:r>
              <w:rPr>
                <w:rFonts w:hint="eastAsia" w:ascii="宋体" w:hAnsi="宋体" w:cs="宋体"/>
                <w:color w:val="auto"/>
                <w:spacing w:val="-4"/>
                <w:szCs w:val="22"/>
                <w:lang w:val="en-US" w:eastAsia="zh-CN"/>
              </w:rPr>
              <w:t>B</w:t>
            </w:r>
            <w:r>
              <w:rPr>
                <w:rFonts w:hint="eastAsia" w:ascii="宋体" w:hAnsi="宋体" w:cs="宋体"/>
                <w:color w:val="auto"/>
                <w:spacing w:val="-4"/>
                <w:szCs w:val="22"/>
              </w:rPr>
              <w:t>）</w:t>
            </w:r>
          </w:p>
        </w:tc>
        <w:tc>
          <w:tcPr>
            <w:tcW w:w="2091" w:type="dxa"/>
            <w:tcBorders>
              <w:bottom w:val="single" w:color="auto" w:sz="4" w:space="0"/>
            </w:tcBorders>
            <w:noWrap w:val="0"/>
            <w:vAlign w:val="center"/>
          </w:tcPr>
          <w:p w14:paraId="38942ECC">
            <w:pPr>
              <w:tabs>
                <w:tab w:val="left" w:pos="1875"/>
              </w:tabs>
              <w:spacing w:line="400" w:lineRule="exact"/>
              <w:jc w:val="center"/>
              <w:rPr>
                <w:rFonts w:hint="eastAsia" w:ascii="宋体" w:hAnsi="宋体" w:cs="宋体"/>
                <w:color w:val="auto"/>
                <w:kern w:val="0"/>
                <w:szCs w:val="22"/>
              </w:rPr>
            </w:pPr>
            <w:r>
              <w:rPr>
                <w:rFonts w:hint="eastAsia" w:ascii="宋体" w:hAnsi="宋体" w:cs="宋体"/>
                <w:color w:val="auto"/>
                <w:kern w:val="0"/>
                <w:szCs w:val="22"/>
              </w:rPr>
              <w:t>施工方案与技术措施</w:t>
            </w:r>
          </w:p>
          <w:p w14:paraId="787ABD4C">
            <w:pPr>
              <w:tabs>
                <w:tab w:val="left" w:pos="1875"/>
              </w:tabs>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2"/>
              </w:rPr>
              <w:t>（</w:t>
            </w:r>
            <w:r>
              <w:rPr>
                <w:rFonts w:hint="eastAsia" w:ascii="宋体" w:hAnsi="宋体" w:cs="宋体"/>
                <w:color w:val="auto"/>
                <w:kern w:val="0"/>
                <w:szCs w:val="22"/>
                <w:lang w:val="en-US" w:eastAsia="zh-CN"/>
              </w:rPr>
              <w:t>10</w:t>
            </w:r>
            <w:r>
              <w:rPr>
                <w:rFonts w:hint="eastAsia" w:ascii="宋体" w:hAnsi="宋体" w:cs="宋体"/>
                <w:color w:val="auto"/>
                <w:kern w:val="0"/>
                <w:szCs w:val="22"/>
              </w:rPr>
              <w:t>分）</w:t>
            </w:r>
          </w:p>
        </w:tc>
        <w:tc>
          <w:tcPr>
            <w:tcW w:w="3845" w:type="dxa"/>
            <w:vMerge w:val="restart"/>
            <w:noWrap w:val="0"/>
            <w:vAlign w:val="center"/>
          </w:tcPr>
          <w:p w14:paraId="5DAF0D58">
            <w:pPr>
              <w:snapToGrid w:val="0"/>
              <w:spacing w:line="400" w:lineRule="exact"/>
              <w:ind w:firstLine="420" w:firstLineChars="200"/>
              <w:jc w:val="both"/>
              <w:rPr>
                <w:rFonts w:ascii="宋体" w:hAnsi="宋体" w:cs="宋体"/>
                <w:color w:val="auto"/>
                <w:kern w:val="0"/>
                <w:szCs w:val="21"/>
              </w:rPr>
            </w:pPr>
            <w:r>
              <w:rPr>
                <w:rFonts w:hint="eastAsia" w:ascii="宋体" w:hAnsi="宋体" w:cs="宋体"/>
                <w:color w:val="auto"/>
                <w:szCs w:val="21"/>
              </w:rPr>
              <w:t>评审小组按第2.2.</w:t>
            </w:r>
            <w:r>
              <w:rPr>
                <w:rFonts w:hint="eastAsia" w:ascii="宋体" w:hAnsi="宋体" w:cs="宋体"/>
                <w:color w:val="auto"/>
                <w:szCs w:val="21"/>
                <w:lang w:val="en-US" w:eastAsia="zh-CN"/>
              </w:rPr>
              <w:t>3</w:t>
            </w:r>
            <w:r>
              <w:rPr>
                <w:rFonts w:hint="eastAsia" w:ascii="宋体" w:hAnsi="宋体" w:cs="宋体"/>
                <w:color w:val="auto"/>
                <w:szCs w:val="21"/>
              </w:rPr>
              <w:t>项各评审因素设定的分值评分，取其算术平均值作为最后得分。</w:t>
            </w:r>
            <w:r>
              <w:rPr>
                <w:rFonts w:hint="eastAsia" w:ascii="宋体" w:hAnsi="宋体" w:cs="宋体"/>
                <w:color w:val="auto"/>
                <w:kern w:val="0"/>
                <w:szCs w:val="21"/>
              </w:rPr>
              <w:t>最终结果取小数点后两位，第三位四舍五入。</w:t>
            </w:r>
          </w:p>
        </w:tc>
      </w:tr>
      <w:tr w14:paraId="495C53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33" w:type="dxa"/>
            <w:vMerge w:val="continue"/>
            <w:noWrap w:val="0"/>
            <w:vAlign w:val="center"/>
          </w:tcPr>
          <w:p w14:paraId="36721E39">
            <w:pPr>
              <w:spacing w:line="400" w:lineRule="exact"/>
              <w:jc w:val="center"/>
              <w:rPr>
                <w:rFonts w:ascii="宋体" w:hAnsi="宋体" w:cs="宋体"/>
                <w:color w:val="auto"/>
                <w:szCs w:val="22"/>
              </w:rPr>
            </w:pPr>
          </w:p>
        </w:tc>
        <w:tc>
          <w:tcPr>
            <w:tcW w:w="2701" w:type="dxa"/>
            <w:gridSpan w:val="4"/>
            <w:vMerge w:val="continue"/>
            <w:noWrap w:val="0"/>
            <w:vAlign w:val="center"/>
          </w:tcPr>
          <w:p w14:paraId="263E44C7">
            <w:pPr>
              <w:spacing w:line="400" w:lineRule="exact"/>
              <w:jc w:val="center"/>
              <w:rPr>
                <w:rFonts w:ascii="宋体" w:hAnsi="宋体" w:cs="宋体"/>
                <w:color w:val="auto"/>
                <w:szCs w:val="22"/>
              </w:rPr>
            </w:pPr>
          </w:p>
        </w:tc>
        <w:tc>
          <w:tcPr>
            <w:tcW w:w="2091" w:type="dxa"/>
            <w:tcBorders>
              <w:top w:val="single" w:color="auto" w:sz="4" w:space="0"/>
              <w:bottom w:val="single" w:color="auto" w:sz="4" w:space="0"/>
            </w:tcBorders>
            <w:noWrap w:val="0"/>
            <w:vAlign w:val="center"/>
          </w:tcPr>
          <w:p w14:paraId="25BE24C1">
            <w:pPr>
              <w:tabs>
                <w:tab w:val="left" w:pos="1875"/>
              </w:tabs>
              <w:spacing w:line="400" w:lineRule="exact"/>
              <w:jc w:val="center"/>
              <w:rPr>
                <w:rFonts w:hint="eastAsia" w:ascii="宋体" w:hAnsi="宋体" w:cs="宋体"/>
                <w:color w:val="auto"/>
                <w:kern w:val="0"/>
                <w:szCs w:val="22"/>
              </w:rPr>
            </w:pPr>
            <w:r>
              <w:rPr>
                <w:rFonts w:hint="eastAsia" w:ascii="宋体" w:hAnsi="宋体" w:cs="宋体"/>
                <w:color w:val="auto"/>
                <w:kern w:val="0"/>
                <w:szCs w:val="22"/>
              </w:rPr>
              <w:t>资源配备计划和施工设备配置情况</w:t>
            </w:r>
          </w:p>
          <w:p w14:paraId="02CCE5F6">
            <w:pPr>
              <w:tabs>
                <w:tab w:val="left" w:pos="1875"/>
              </w:tabs>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2"/>
              </w:rPr>
              <w:t>（</w:t>
            </w:r>
            <w:r>
              <w:rPr>
                <w:rFonts w:hint="eastAsia" w:ascii="宋体" w:hAnsi="宋体" w:cs="宋体"/>
                <w:color w:val="auto"/>
                <w:kern w:val="0"/>
                <w:szCs w:val="22"/>
                <w:lang w:val="en-US" w:eastAsia="zh-CN"/>
              </w:rPr>
              <w:t>10</w:t>
            </w:r>
            <w:r>
              <w:rPr>
                <w:rFonts w:hint="eastAsia" w:ascii="宋体" w:hAnsi="宋体" w:cs="宋体"/>
                <w:color w:val="auto"/>
                <w:kern w:val="0"/>
                <w:szCs w:val="22"/>
              </w:rPr>
              <w:t>分）</w:t>
            </w:r>
          </w:p>
        </w:tc>
        <w:tc>
          <w:tcPr>
            <w:tcW w:w="3845" w:type="dxa"/>
            <w:vMerge w:val="continue"/>
            <w:noWrap w:val="0"/>
            <w:vAlign w:val="center"/>
          </w:tcPr>
          <w:p w14:paraId="0F88C0A4">
            <w:pPr>
              <w:autoSpaceDE w:val="0"/>
              <w:autoSpaceDN w:val="0"/>
              <w:adjustRightInd w:val="0"/>
              <w:snapToGrid w:val="0"/>
              <w:spacing w:line="400" w:lineRule="exact"/>
              <w:ind w:firstLine="420" w:firstLineChars="200"/>
              <w:rPr>
                <w:rFonts w:ascii="宋体" w:hAnsi="宋体" w:cs="宋体"/>
                <w:color w:val="auto"/>
                <w:szCs w:val="21"/>
              </w:rPr>
            </w:pPr>
          </w:p>
        </w:tc>
      </w:tr>
      <w:tr w14:paraId="2D058A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833" w:type="dxa"/>
            <w:vMerge w:val="continue"/>
            <w:noWrap w:val="0"/>
            <w:vAlign w:val="center"/>
          </w:tcPr>
          <w:p w14:paraId="1A9FC669">
            <w:pPr>
              <w:spacing w:line="400" w:lineRule="exact"/>
              <w:jc w:val="center"/>
              <w:rPr>
                <w:rFonts w:ascii="宋体" w:hAnsi="宋体" w:cs="宋体"/>
                <w:color w:val="auto"/>
                <w:szCs w:val="22"/>
              </w:rPr>
            </w:pPr>
          </w:p>
        </w:tc>
        <w:tc>
          <w:tcPr>
            <w:tcW w:w="2701" w:type="dxa"/>
            <w:gridSpan w:val="4"/>
            <w:vMerge w:val="continue"/>
            <w:noWrap w:val="0"/>
            <w:vAlign w:val="center"/>
          </w:tcPr>
          <w:p w14:paraId="2E0E367B">
            <w:pPr>
              <w:spacing w:line="400" w:lineRule="exact"/>
              <w:jc w:val="center"/>
              <w:rPr>
                <w:rFonts w:ascii="宋体" w:hAnsi="宋体" w:cs="宋体"/>
                <w:color w:val="auto"/>
                <w:szCs w:val="22"/>
              </w:rPr>
            </w:pPr>
          </w:p>
        </w:tc>
        <w:tc>
          <w:tcPr>
            <w:tcW w:w="2091" w:type="dxa"/>
            <w:tcBorders>
              <w:top w:val="single" w:color="auto" w:sz="4" w:space="0"/>
              <w:bottom w:val="single" w:color="auto" w:sz="4" w:space="0"/>
            </w:tcBorders>
            <w:noWrap w:val="0"/>
            <w:vAlign w:val="center"/>
          </w:tcPr>
          <w:p w14:paraId="1795E846">
            <w:pPr>
              <w:tabs>
                <w:tab w:val="left" w:pos="1875"/>
              </w:tabs>
              <w:spacing w:line="400" w:lineRule="exact"/>
              <w:jc w:val="center"/>
              <w:rPr>
                <w:rFonts w:hint="eastAsia" w:ascii="宋体" w:hAnsi="宋体" w:eastAsia="宋体" w:cs="宋体"/>
                <w:color w:val="auto"/>
                <w:kern w:val="0"/>
                <w:szCs w:val="22"/>
                <w:lang w:val="en-US" w:eastAsia="zh-CN"/>
              </w:rPr>
            </w:pPr>
            <w:r>
              <w:rPr>
                <w:rFonts w:hint="eastAsia" w:ascii="宋体" w:hAnsi="宋体" w:cs="宋体"/>
                <w:color w:val="auto"/>
                <w:kern w:val="0"/>
                <w:szCs w:val="22"/>
              </w:rPr>
              <w:t>质量管理</w:t>
            </w:r>
            <w:r>
              <w:rPr>
                <w:rFonts w:hint="eastAsia" w:ascii="宋体" w:hAnsi="宋体" w:cs="宋体"/>
                <w:color w:val="auto"/>
                <w:kern w:val="0"/>
                <w:szCs w:val="22"/>
                <w:lang w:val="en-US" w:eastAsia="zh-CN"/>
              </w:rPr>
              <w:t>方案</w:t>
            </w:r>
          </w:p>
          <w:p w14:paraId="07256116">
            <w:pPr>
              <w:tabs>
                <w:tab w:val="left" w:pos="1875"/>
              </w:tabs>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2"/>
                <w:lang w:eastAsia="zh-CN"/>
              </w:rPr>
              <w:t>（</w:t>
            </w:r>
            <w:r>
              <w:rPr>
                <w:rFonts w:hint="eastAsia" w:ascii="宋体" w:hAnsi="宋体" w:cs="宋体"/>
                <w:color w:val="auto"/>
                <w:kern w:val="0"/>
                <w:szCs w:val="22"/>
                <w:lang w:val="en-US" w:eastAsia="zh-CN"/>
              </w:rPr>
              <w:t>10</w:t>
            </w:r>
            <w:r>
              <w:rPr>
                <w:rFonts w:hint="eastAsia" w:ascii="宋体" w:hAnsi="宋体" w:cs="宋体"/>
                <w:color w:val="auto"/>
                <w:kern w:val="0"/>
                <w:szCs w:val="22"/>
              </w:rPr>
              <w:t>分</w:t>
            </w:r>
            <w:r>
              <w:rPr>
                <w:rFonts w:hint="eastAsia" w:ascii="宋体" w:hAnsi="宋体" w:cs="宋体"/>
                <w:color w:val="auto"/>
                <w:kern w:val="0"/>
                <w:szCs w:val="22"/>
                <w:lang w:val="en-US" w:eastAsia="zh-CN"/>
              </w:rPr>
              <w:t>）</w:t>
            </w:r>
          </w:p>
        </w:tc>
        <w:tc>
          <w:tcPr>
            <w:tcW w:w="3845" w:type="dxa"/>
            <w:vMerge w:val="continue"/>
            <w:noWrap w:val="0"/>
            <w:vAlign w:val="center"/>
          </w:tcPr>
          <w:p w14:paraId="5D99D842">
            <w:pPr>
              <w:autoSpaceDE w:val="0"/>
              <w:autoSpaceDN w:val="0"/>
              <w:adjustRightInd w:val="0"/>
              <w:snapToGrid w:val="0"/>
              <w:spacing w:line="400" w:lineRule="exact"/>
              <w:ind w:firstLine="420" w:firstLineChars="200"/>
              <w:rPr>
                <w:rFonts w:ascii="宋体" w:hAnsi="宋体" w:cs="宋体"/>
                <w:color w:val="auto"/>
                <w:szCs w:val="21"/>
              </w:rPr>
            </w:pPr>
          </w:p>
        </w:tc>
      </w:tr>
      <w:tr w14:paraId="0E3A74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833" w:type="dxa"/>
            <w:vMerge w:val="continue"/>
            <w:noWrap w:val="0"/>
            <w:vAlign w:val="center"/>
          </w:tcPr>
          <w:p w14:paraId="7CBFCD5F">
            <w:pPr>
              <w:spacing w:line="400" w:lineRule="exact"/>
              <w:jc w:val="center"/>
              <w:rPr>
                <w:rFonts w:ascii="宋体" w:hAnsi="宋体" w:cs="宋体"/>
                <w:color w:val="auto"/>
                <w:szCs w:val="22"/>
              </w:rPr>
            </w:pPr>
          </w:p>
        </w:tc>
        <w:tc>
          <w:tcPr>
            <w:tcW w:w="2701" w:type="dxa"/>
            <w:gridSpan w:val="4"/>
            <w:vMerge w:val="continue"/>
            <w:noWrap w:val="0"/>
            <w:vAlign w:val="center"/>
          </w:tcPr>
          <w:p w14:paraId="52CA3186">
            <w:pPr>
              <w:spacing w:line="400" w:lineRule="exact"/>
              <w:jc w:val="center"/>
              <w:rPr>
                <w:rFonts w:ascii="宋体" w:hAnsi="宋体" w:cs="宋体"/>
                <w:color w:val="auto"/>
                <w:szCs w:val="22"/>
              </w:rPr>
            </w:pPr>
          </w:p>
        </w:tc>
        <w:tc>
          <w:tcPr>
            <w:tcW w:w="2091" w:type="dxa"/>
            <w:tcBorders>
              <w:top w:val="single" w:color="auto" w:sz="4" w:space="0"/>
              <w:bottom w:val="single" w:color="auto" w:sz="4" w:space="0"/>
            </w:tcBorders>
            <w:noWrap w:val="0"/>
            <w:vAlign w:val="center"/>
          </w:tcPr>
          <w:p w14:paraId="644A7DCB">
            <w:pPr>
              <w:pStyle w:val="19"/>
              <w:spacing w:line="360" w:lineRule="auto"/>
              <w:jc w:val="center"/>
              <w:rPr>
                <w:rFonts w:hint="eastAsia" w:ascii="宋体" w:hAnsi="宋体" w:cs="宋体"/>
                <w:color w:val="auto"/>
                <w:kern w:val="0"/>
                <w:sz w:val="21"/>
                <w:szCs w:val="22"/>
              </w:rPr>
            </w:pPr>
            <w:r>
              <w:rPr>
                <w:rFonts w:hint="eastAsia" w:ascii="宋体" w:hAnsi="宋体" w:cs="宋体"/>
                <w:color w:val="auto"/>
                <w:kern w:val="0"/>
                <w:sz w:val="21"/>
                <w:szCs w:val="22"/>
              </w:rPr>
              <w:t>安全管理方案</w:t>
            </w:r>
          </w:p>
          <w:p w14:paraId="4A60E5F8">
            <w:pPr>
              <w:pStyle w:val="19"/>
              <w:spacing w:line="360" w:lineRule="auto"/>
              <w:jc w:val="center"/>
              <w:rPr>
                <w:rFonts w:hint="eastAsia" w:ascii="宋体" w:hAnsi="宋体" w:cs="宋体"/>
                <w:color w:val="auto"/>
                <w:kern w:val="0"/>
                <w:szCs w:val="22"/>
                <w:lang w:eastAsia="zh-CN"/>
              </w:rPr>
            </w:pPr>
            <w:r>
              <w:rPr>
                <w:rFonts w:hint="eastAsia" w:ascii="宋体" w:hAnsi="宋体" w:cs="宋体"/>
                <w:color w:val="auto"/>
                <w:kern w:val="0"/>
                <w:sz w:val="21"/>
                <w:szCs w:val="22"/>
                <w:lang w:eastAsia="zh-CN"/>
              </w:rPr>
              <w:t>（10分</w:t>
            </w:r>
            <w:r>
              <w:rPr>
                <w:rFonts w:hint="eastAsia" w:ascii="宋体" w:hAnsi="宋体" w:cs="宋体"/>
                <w:color w:val="auto"/>
                <w:kern w:val="0"/>
                <w:sz w:val="21"/>
                <w:szCs w:val="22"/>
                <w:lang w:val="en-US" w:eastAsia="zh-CN"/>
              </w:rPr>
              <w:t>）</w:t>
            </w:r>
          </w:p>
        </w:tc>
        <w:tc>
          <w:tcPr>
            <w:tcW w:w="3845" w:type="dxa"/>
            <w:vMerge w:val="continue"/>
            <w:noWrap w:val="0"/>
            <w:vAlign w:val="center"/>
          </w:tcPr>
          <w:p w14:paraId="4AEDA545">
            <w:pPr>
              <w:autoSpaceDE w:val="0"/>
              <w:autoSpaceDN w:val="0"/>
              <w:adjustRightInd w:val="0"/>
              <w:snapToGrid w:val="0"/>
              <w:spacing w:line="400" w:lineRule="exact"/>
              <w:ind w:firstLine="420" w:firstLineChars="200"/>
              <w:rPr>
                <w:rFonts w:ascii="宋体" w:hAnsi="宋体" w:cs="宋体"/>
                <w:color w:val="auto"/>
                <w:szCs w:val="21"/>
              </w:rPr>
            </w:pPr>
          </w:p>
        </w:tc>
      </w:tr>
      <w:tr w14:paraId="3A5D0E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92" w:hRule="atLeast"/>
          <w:jc w:val="center"/>
        </w:trPr>
        <w:tc>
          <w:tcPr>
            <w:tcW w:w="833" w:type="dxa"/>
            <w:vMerge w:val="continue"/>
            <w:noWrap w:val="0"/>
            <w:vAlign w:val="center"/>
          </w:tcPr>
          <w:p w14:paraId="47E7641E">
            <w:pPr>
              <w:spacing w:line="400" w:lineRule="exact"/>
              <w:jc w:val="center"/>
              <w:rPr>
                <w:rFonts w:ascii="宋体" w:hAnsi="宋体" w:cs="宋体"/>
                <w:color w:val="auto"/>
                <w:szCs w:val="22"/>
              </w:rPr>
            </w:pPr>
          </w:p>
        </w:tc>
        <w:tc>
          <w:tcPr>
            <w:tcW w:w="2701" w:type="dxa"/>
            <w:gridSpan w:val="4"/>
            <w:vMerge w:val="continue"/>
            <w:noWrap w:val="0"/>
            <w:vAlign w:val="center"/>
          </w:tcPr>
          <w:p w14:paraId="5E68E4DA">
            <w:pPr>
              <w:spacing w:line="400" w:lineRule="exact"/>
              <w:jc w:val="center"/>
              <w:rPr>
                <w:rFonts w:ascii="宋体" w:hAnsi="宋体" w:cs="宋体"/>
                <w:color w:val="auto"/>
                <w:szCs w:val="22"/>
              </w:rPr>
            </w:pPr>
          </w:p>
        </w:tc>
        <w:tc>
          <w:tcPr>
            <w:tcW w:w="2091" w:type="dxa"/>
            <w:tcBorders>
              <w:top w:val="single" w:color="auto" w:sz="4" w:space="0"/>
              <w:bottom w:val="single" w:color="auto" w:sz="4" w:space="0"/>
            </w:tcBorders>
            <w:noWrap w:val="0"/>
            <w:vAlign w:val="center"/>
          </w:tcPr>
          <w:p w14:paraId="52D299A5">
            <w:pPr>
              <w:pStyle w:val="19"/>
              <w:spacing w:line="360" w:lineRule="auto"/>
              <w:jc w:val="center"/>
              <w:rPr>
                <w:rFonts w:hint="eastAsia" w:ascii="宋体" w:hAnsi="宋体" w:cs="宋体"/>
                <w:color w:val="auto"/>
                <w:kern w:val="0"/>
                <w:sz w:val="21"/>
                <w:szCs w:val="22"/>
              </w:rPr>
            </w:pPr>
            <w:r>
              <w:rPr>
                <w:rFonts w:hint="eastAsia" w:ascii="宋体" w:hAnsi="宋体" w:cs="宋体"/>
                <w:color w:val="auto"/>
                <w:kern w:val="0"/>
                <w:sz w:val="21"/>
                <w:szCs w:val="22"/>
                <w:lang w:val="en-US" w:eastAsia="zh-CN"/>
              </w:rPr>
              <w:t>售后服务</w:t>
            </w:r>
            <w:r>
              <w:rPr>
                <w:rFonts w:hint="eastAsia" w:ascii="宋体" w:hAnsi="宋体" w:cs="宋体"/>
                <w:color w:val="auto"/>
                <w:kern w:val="0"/>
                <w:sz w:val="21"/>
                <w:szCs w:val="22"/>
              </w:rPr>
              <w:t>方案</w:t>
            </w:r>
          </w:p>
          <w:p w14:paraId="46EBAD5C">
            <w:pPr>
              <w:pStyle w:val="19"/>
              <w:spacing w:line="360" w:lineRule="auto"/>
              <w:jc w:val="center"/>
              <w:rPr>
                <w:rFonts w:hint="eastAsia" w:ascii="宋体" w:hAnsi="宋体" w:cs="宋体"/>
                <w:color w:val="auto"/>
                <w:kern w:val="0"/>
                <w:sz w:val="21"/>
                <w:szCs w:val="22"/>
              </w:rPr>
            </w:pPr>
            <w:r>
              <w:rPr>
                <w:rFonts w:hint="eastAsia" w:ascii="宋体" w:hAnsi="宋体" w:cs="宋体"/>
                <w:color w:val="auto"/>
                <w:kern w:val="0"/>
                <w:sz w:val="21"/>
                <w:szCs w:val="22"/>
                <w:lang w:eastAsia="zh-CN"/>
              </w:rPr>
              <w:t>（10分</w:t>
            </w:r>
            <w:r>
              <w:rPr>
                <w:rFonts w:hint="eastAsia" w:ascii="宋体" w:hAnsi="宋体" w:cs="宋体"/>
                <w:color w:val="auto"/>
                <w:kern w:val="0"/>
                <w:sz w:val="21"/>
                <w:szCs w:val="22"/>
                <w:lang w:val="en-US" w:eastAsia="zh-CN"/>
              </w:rPr>
              <w:t>）</w:t>
            </w:r>
          </w:p>
        </w:tc>
        <w:tc>
          <w:tcPr>
            <w:tcW w:w="3845" w:type="dxa"/>
            <w:vMerge w:val="continue"/>
            <w:noWrap w:val="0"/>
            <w:vAlign w:val="center"/>
          </w:tcPr>
          <w:p w14:paraId="221A3601">
            <w:pPr>
              <w:autoSpaceDE w:val="0"/>
              <w:autoSpaceDN w:val="0"/>
              <w:adjustRightInd w:val="0"/>
              <w:snapToGrid w:val="0"/>
              <w:spacing w:line="400" w:lineRule="exact"/>
              <w:ind w:firstLine="420" w:firstLineChars="200"/>
              <w:rPr>
                <w:rFonts w:ascii="宋体" w:hAnsi="宋体" w:cs="宋体"/>
                <w:color w:val="auto"/>
                <w:szCs w:val="21"/>
              </w:rPr>
            </w:pPr>
          </w:p>
        </w:tc>
      </w:tr>
      <w:tr w14:paraId="3A172C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33" w:type="dxa"/>
            <w:noWrap w:val="0"/>
            <w:vAlign w:val="center"/>
          </w:tcPr>
          <w:p w14:paraId="3A0EA5F9">
            <w:pPr>
              <w:spacing w:line="400" w:lineRule="exact"/>
              <w:jc w:val="center"/>
              <w:rPr>
                <w:rFonts w:ascii="宋体" w:hAnsi="宋体" w:cs="宋体"/>
                <w:color w:val="auto"/>
                <w:szCs w:val="22"/>
              </w:rPr>
            </w:pPr>
            <w:r>
              <w:rPr>
                <w:rFonts w:hint="eastAsia" w:ascii="宋体" w:hAnsi="宋体" w:cs="宋体"/>
                <w:color w:val="auto"/>
                <w:szCs w:val="22"/>
              </w:rPr>
              <w:t>3.2.1（</w:t>
            </w:r>
            <w:r>
              <w:rPr>
                <w:rFonts w:hint="eastAsia" w:ascii="宋体" w:hAnsi="宋体" w:cs="宋体"/>
                <w:color w:val="auto"/>
                <w:szCs w:val="22"/>
                <w:lang w:val="en-US" w:eastAsia="zh-CN"/>
              </w:rPr>
              <w:t>3</w:t>
            </w:r>
            <w:r>
              <w:rPr>
                <w:rFonts w:hint="eastAsia" w:ascii="宋体" w:hAnsi="宋体" w:cs="宋体"/>
                <w:color w:val="auto"/>
                <w:szCs w:val="22"/>
              </w:rPr>
              <w:t>）</w:t>
            </w:r>
          </w:p>
        </w:tc>
        <w:tc>
          <w:tcPr>
            <w:tcW w:w="2701" w:type="dxa"/>
            <w:gridSpan w:val="4"/>
            <w:noWrap w:val="0"/>
            <w:vAlign w:val="center"/>
          </w:tcPr>
          <w:p w14:paraId="25A4A744">
            <w:pPr>
              <w:spacing w:line="400" w:lineRule="exact"/>
              <w:jc w:val="center"/>
              <w:rPr>
                <w:rFonts w:ascii="宋体" w:hAnsi="宋体" w:cs="宋体"/>
                <w:color w:val="auto"/>
                <w:szCs w:val="22"/>
              </w:rPr>
            </w:pPr>
            <w:r>
              <w:rPr>
                <w:rFonts w:hint="eastAsia" w:ascii="宋体" w:hAnsi="宋体" w:cs="宋体"/>
                <w:color w:val="auto"/>
                <w:szCs w:val="22"/>
              </w:rPr>
              <w:t>商务部分</w:t>
            </w:r>
            <w:r>
              <w:rPr>
                <w:rFonts w:hint="eastAsia" w:ascii="宋体" w:hAnsi="宋体" w:cs="宋体"/>
                <w:color w:val="auto"/>
                <w:kern w:val="0"/>
                <w:szCs w:val="22"/>
              </w:rPr>
              <w:t>得分</w:t>
            </w:r>
            <w:r>
              <w:rPr>
                <w:rFonts w:hint="eastAsia" w:ascii="宋体" w:hAnsi="宋体" w:cs="宋体"/>
                <w:color w:val="auto"/>
                <w:spacing w:val="-8"/>
                <w:szCs w:val="22"/>
              </w:rPr>
              <w:t>（</w:t>
            </w:r>
            <w:r>
              <w:rPr>
                <w:rFonts w:hint="eastAsia" w:ascii="宋体" w:hAnsi="宋体" w:cs="宋体"/>
                <w:color w:val="auto"/>
                <w:spacing w:val="-8"/>
                <w:szCs w:val="22"/>
                <w:lang w:val="en-US" w:eastAsia="zh-CN"/>
              </w:rPr>
              <w:t>C</w:t>
            </w:r>
            <w:r>
              <w:rPr>
                <w:rFonts w:hint="eastAsia" w:ascii="宋体" w:hAnsi="宋体" w:cs="宋体"/>
                <w:color w:val="auto"/>
                <w:spacing w:val="-8"/>
                <w:szCs w:val="22"/>
              </w:rPr>
              <w:t>）</w:t>
            </w:r>
          </w:p>
        </w:tc>
        <w:tc>
          <w:tcPr>
            <w:tcW w:w="5936" w:type="dxa"/>
            <w:gridSpan w:val="2"/>
            <w:noWrap w:val="0"/>
            <w:vAlign w:val="center"/>
          </w:tcPr>
          <w:p w14:paraId="67FE91E8">
            <w:pPr>
              <w:spacing w:line="400" w:lineRule="exact"/>
              <w:ind w:firstLine="420" w:firstLineChars="200"/>
              <w:rPr>
                <w:rFonts w:ascii="宋体" w:hAnsi="宋体" w:cs="宋体"/>
                <w:bCs/>
                <w:color w:val="auto"/>
                <w:kern w:val="0"/>
                <w:szCs w:val="21"/>
              </w:rPr>
            </w:pPr>
            <w:r>
              <w:rPr>
                <w:rFonts w:hint="eastAsia" w:ascii="宋体" w:hAnsi="宋体" w:cs="宋体"/>
                <w:color w:val="auto"/>
                <w:szCs w:val="21"/>
              </w:rPr>
              <w:t>评审小组按第2.2.</w:t>
            </w:r>
            <w:r>
              <w:rPr>
                <w:rFonts w:hint="eastAsia" w:ascii="宋体" w:hAnsi="宋体" w:cs="宋体"/>
                <w:color w:val="auto"/>
                <w:szCs w:val="21"/>
                <w:lang w:val="en-US" w:eastAsia="zh-CN"/>
              </w:rPr>
              <w:t>3</w:t>
            </w:r>
            <w:r>
              <w:rPr>
                <w:rFonts w:hint="eastAsia" w:ascii="宋体" w:hAnsi="宋体" w:cs="宋体"/>
                <w:color w:val="auto"/>
                <w:szCs w:val="21"/>
              </w:rPr>
              <w:t>项各评审因素设定的分值评分。</w:t>
            </w:r>
          </w:p>
        </w:tc>
      </w:tr>
      <w:tr w14:paraId="2113A5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1986" w:type="dxa"/>
            <w:gridSpan w:val="3"/>
            <w:noWrap w:val="0"/>
            <w:vAlign w:val="center"/>
          </w:tcPr>
          <w:p w14:paraId="72CFCA23">
            <w:pPr>
              <w:spacing w:line="400" w:lineRule="exact"/>
              <w:ind w:firstLine="18" w:firstLineChars="9"/>
              <w:jc w:val="center"/>
              <w:rPr>
                <w:rFonts w:ascii="宋体" w:hAnsi="宋体" w:cs="宋体"/>
                <w:color w:val="auto"/>
                <w:szCs w:val="21"/>
              </w:rPr>
            </w:pPr>
            <w:r>
              <w:rPr>
                <w:rFonts w:hint="eastAsia" w:ascii="宋体" w:hAnsi="宋体" w:cs="宋体"/>
                <w:color w:val="auto"/>
                <w:szCs w:val="21"/>
              </w:rPr>
              <w:t>3.2.3</w:t>
            </w:r>
          </w:p>
        </w:tc>
        <w:tc>
          <w:tcPr>
            <w:tcW w:w="3639" w:type="dxa"/>
            <w:gridSpan w:val="3"/>
            <w:noWrap w:val="0"/>
            <w:vAlign w:val="center"/>
          </w:tcPr>
          <w:p w14:paraId="668484A7">
            <w:pPr>
              <w:spacing w:line="400" w:lineRule="exact"/>
              <w:ind w:firstLine="18" w:firstLineChars="9"/>
              <w:jc w:val="center"/>
              <w:rPr>
                <w:rFonts w:ascii="宋体" w:hAnsi="宋体" w:cs="宋体"/>
                <w:color w:val="auto"/>
                <w:szCs w:val="21"/>
              </w:rPr>
            </w:pPr>
            <w:r>
              <w:rPr>
                <w:rFonts w:hint="eastAsia" w:ascii="宋体" w:hAnsi="宋体" w:cs="宋体"/>
                <w:color w:val="auto"/>
                <w:szCs w:val="21"/>
              </w:rPr>
              <w:t>竞选人得分</w:t>
            </w:r>
          </w:p>
        </w:tc>
        <w:tc>
          <w:tcPr>
            <w:tcW w:w="3845" w:type="dxa"/>
            <w:noWrap w:val="0"/>
            <w:vAlign w:val="center"/>
          </w:tcPr>
          <w:p w14:paraId="11214227">
            <w:pPr>
              <w:spacing w:line="400" w:lineRule="exact"/>
              <w:jc w:val="center"/>
              <w:rPr>
                <w:rFonts w:hint="default" w:ascii="宋体" w:hAnsi="宋体" w:eastAsia="宋体" w:cs="宋体"/>
                <w:color w:val="auto"/>
                <w:szCs w:val="21"/>
                <w:u w:val="single"/>
                <w:lang w:val="en-US" w:eastAsia="zh-CN"/>
              </w:rPr>
            </w:pPr>
            <w:r>
              <w:rPr>
                <w:rFonts w:hint="eastAsia" w:ascii="宋体" w:hAnsi="宋体" w:cs="宋体"/>
                <w:color w:val="auto"/>
                <w:szCs w:val="21"/>
                <w:u w:val="single"/>
              </w:rPr>
              <w:t>竞选人得分=A+B</w:t>
            </w:r>
            <w:r>
              <w:rPr>
                <w:rFonts w:hint="eastAsia" w:ascii="宋体" w:hAnsi="宋体" w:cs="宋体"/>
                <w:color w:val="auto"/>
                <w:szCs w:val="21"/>
                <w:u w:val="single"/>
                <w:lang w:val="en-US" w:eastAsia="zh-CN"/>
              </w:rPr>
              <w:t>+C</w:t>
            </w:r>
          </w:p>
        </w:tc>
      </w:tr>
    </w:tbl>
    <w:p w14:paraId="10444800">
      <w:pPr>
        <w:bidi w:val="0"/>
        <w:rPr>
          <w:color w:val="auto"/>
        </w:rPr>
      </w:pPr>
    </w:p>
    <w:p w14:paraId="681C2E22">
      <w:pPr>
        <w:widowControl/>
        <w:jc w:val="left"/>
        <w:rPr>
          <w:rFonts w:ascii="宋体" w:hAnsi="宋体" w:cs="宋体"/>
          <w:b/>
          <w:snapToGrid w:val="0"/>
          <w:color w:val="auto"/>
          <w:szCs w:val="21"/>
        </w:rPr>
      </w:pPr>
      <w:r>
        <w:rPr>
          <w:rFonts w:hint="eastAsia" w:ascii="宋体" w:hAnsi="宋体" w:cs="宋体"/>
          <w:snapToGrid w:val="0"/>
          <w:color w:val="auto"/>
          <w:szCs w:val="21"/>
        </w:rPr>
        <w:br w:type="page"/>
      </w:r>
    </w:p>
    <w:p w14:paraId="3DABB573">
      <w:pPr>
        <w:pStyle w:val="3"/>
        <w:rPr>
          <w:rFonts w:ascii="宋体" w:hAnsi="宋体" w:eastAsia="宋体" w:cs="宋体"/>
          <w:snapToGrid w:val="0"/>
          <w:color w:val="auto"/>
          <w:spacing w:val="0"/>
          <w:w w:val="100"/>
          <w:sz w:val="21"/>
          <w:szCs w:val="21"/>
        </w:rPr>
      </w:pPr>
      <w:r>
        <w:rPr>
          <w:rFonts w:hint="eastAsia" w:ascii="宋体" w:hAnsi="宋体" w:eastAsia="宋体" w:cs="宋体"/>
          <w:snapToGrid w:val="0"/>
          <w:color w:val="auto"/>
          <w:spacing w:val="0"/>
          <w:w w:val="100"/>
          <w:sz w:val="21"/>
          <w:szCs w:val="21"/>
        </w:rPr>
        <w:t>1. 评审方法</w:t>
      </w:r>
      <w:bookmarkEnd w:id="396"/>
      <w:bookmarkEnd w:id="397"/>
      <w:bookmarkEnd w:id="398"/>
      <w:bookmarkEnd w:id="399"/>
      <w:bookmarkEnd w:id="400"/>
      <w:bookmarkEnd w:id="401"/>
      <w:bookmarkEnd w:id="402"/>
      <w:bookmarkEnd w:id="403"/>
      <w:bookmarkEnd w:id="404"/>
      <w:bookmarkEnd w:id="405"/>
      <w:bookmarkEnd w:id="406"/>
    </w:p>
    <w:p w14:paraId="08DD460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bookmarkStart w:id="407" w:name="_Toc287607813"/>
      <w:bookmarkStart w:id="408" w:name="_Toc224103385"/>
      <w:bookmarkStart w:id="409" w:name="_Toc287620752"/>
      <w:bookmarkStart w:id="410" w:name="_Toc27406"/>
      <w:bookmarkStart w:id="411" w:name="_Toc440022827"/>
      <w:bookmarkStart w:id="412" w:name="_Toc377115419"/>
      <w:bookmarkStart w:id="413" w:name="_Toc23969"/>
      <w:bookmarkStart w:id="414" w:name="_Toc2274"/>
      <w:bookmarkStart w:id="415" w:name="_Toc16716"/>
      <w:bookmarkStart w:id="416" w:name="_Toc407195379"/>
      <w:bookmarkStart w:id="417" w:name="_Toc5950"/>
      <w:bookmarkStart w:id="418" w:name="_Toc444155968"/>
      <w:bookmarkStart w:id="419" w:name="_Toc200513199"/>
      <w:bookmarkStart w:id="420" w:name="_Toc376114120"/>
      <w:bookmarkStart w:id="421" w:name="_Toc330569206"/>
      <w:bookmarkStart w:id="422" w:name="_Toc377067339"/>
      <w:bookmarkStart w:id="423" w:name="_Toc277082619"/>
      <w:r>
        <w:rPr>
          <w:rFonts w:hint="eastAsia" w:ascii="宋体" w:hAnsi="宋体" w:cs="宋体"/>
          <w:color w:val="auto"/>
          <w:kern w:val="0"/>
          <w:szCs w:val="21"/>
        </w:rPr>
        <w:t>本次评审采用综合评估法</w:t>
      </w:r>
      <w:r>
        <w:rPr>
          <w:rFonts w:hint="eastAsia" w:ascii="宋体" w:hAnsi="宋体" w:cs="宋体"/>
          <w:color w:val="auto"/>
          <w:spacing w:val="-47"/>
          <w:kern w:val="0"/>
          <w:szCs w:val="21"/>
        </w:rPr>
        <w:t>。</w:t>
      </w:r>
      <w:r>
        <w:rPr>
          <w:rFonts w:hint="eastAsia" w:ascii="宋体" w:hAnsi="宋体" w:cs="宋体"/>
          <w:color w:val="auto"/>
          <w:kern w:val="0"/>
          <w:szCs w:val="21"/>
        </w:rPr>
        <w:t>评审小组按照本章第</w:t>
      </w:r>
      <w:r>
        <w:rPr>
          <w:rFonts w:hint="eastAsia" w:ascii="宋体" w:hAnsi="宋体" w:cs="宋体"/>
          <w:color w:val="auto"/>
          <w:spacing w:val="1"/>
          <w:kern w:val="0"/>
          <w:szCs w:val="21"/>
        </w:rPr>
        <w:t>2</w:t>
      </w:r>
      <w:r>
        <w:rPr>
          <w:rFonts w:hint="eastAsia" w:ascii="宋体" w:hAnsi="宋体" w:cs="宋体"/>
          <w:color w:val="auto"/>
          <w:spacing w:val="-1"/>
          <w:kern w:val="0"/>
          <w:szCs w:val="21"/>
        </w:rPr>
        <w:t>.</w:t>
      </w:r>
      <w:r>
        <w:rPr>
          <w:rFonts w:hint="eastAsia" w:ascii="宋体" w:hAnsi="宋体" w:cs="宋体"/>
          <w:color w:val="auto"/>
          <w:kern w:val="0"/>
          <w:szCs w:val="21"/>
        </w:rPr>
        <w:t>2款</w:t>
      </w:r>
      <w:r>
        <w:rPr>
          <w:rFonts w:hint="eastAsia" w:ascii="宋体" w:hAnsi="宋体" w:cs="宋体"/>
          <w:color w:val="auto"/>
          <w:spacing w:val="-1"/>
          <w:kern w:val="0"/>
          <w:szCs w:val="21"/>
        </w:rPr>
        <w:t>规</w:t>
      </w:r>
      <w:r>
        <w:rPr>
          <w:rFonts w:hint="eastAsia" w:ascii="宋体" w:hAnsi="宋体" w:cs="宋体"/>
          <w:color w:val="auto"/>
          <w:kern w:val="0"/>
          <w:szCs w:val="21"/>
        </w:rPr>
        <w:t>定的评分标准进行评分，按得分由高到低顺序推荐中选候选人。综合评分相等时，以</w:t>
      </w:r>
      <w:r>
        <w:rPr>
          <w:rFonts w:hint="eastAsia" w:ascii="宋体" w:hAnsi="宋体" w:cs="宋体"/>
          <w:color w:val="auto"/>
          <w:kern w:val="0"/>
          <w:szCs w:val="21"/>
          <w:lang w:val="en-US" w:eastAsia="zh-CN"/>
        </w:rPr>
        <w:t>经济部分得分高</w:t>
      </w:r>
      <w:r>
        <w:rPr>
          <w:rFonts w:hint="eastAsia" w:ascii="宋体" w:hAnsi="宋体" w:cs="宋体"/>
          <w:color w:val="auto"/>
          <w:kern w:val="0"/>
          <w:szCs w:val="21"/>
        </w:rPr>
        <w:t>的优先；</w:t>
      </w:r>
      <w:r>
        <w:rPr>
          <w:rFonts w:hint="eastAsia" w:ascii="宋体" w:hAnsi="宋体" w:cs="宋体"/>
          <w:color w:val="auto"/>
          <w:kern w:val="0"/>
          <w:szCs w:val="21"/>
          <w:lang w:val="en-US" w:eastAsia="zh-CN"/>
        </w:rPr>
        <w:t>经济部分得分</w:t>
      </w:r>
      <w:r>
        <w:rPr>
          <w:rFonts w:hint="eastAsia" w:ascii="宋体" w:hAnsi="宋体" w:cs="宋体"/>
          <w:color w:val="auto"/>
          <w:kern w:val="0"/>
          <w:szCs w:val="21"/>
        </w:rPr>
        <w:t>相等的</w:t>
      </w:r>
      <w:r>
        <w:rPr>
          <w:rFonts w:hint="eastAsia" w:ascii="宋体" w:hAnsi="宋体" w:cs="宋体"/>
          <w:color w:val="auto"/>
          <w:kern w:val="0"/>
          <w:szCs w:val="21"/>
          <w:lang w:eastAsia="zh-CN"/>
        </w:rPr>
        <w:t>，</w:t>
      </w:r>
      <w:r>
        <w:rPr>
          <w:rFonts w:hint="eastAsia" w:ascii="宋体" w:hAnsi="宋体" w:cs="宋体"/>
          <w:color w:val="auto"/>
          <w:kern w:val="0"/>
          <w:szCs w:val="21"/>
        </w:rPr>
        <w:t>以</w:t>
      </w:r>
      <w:r>
        <w:rPr>
          <w:rFonts w:hint="eastAsia" w:ascii="宋体" w:hAnsi="宋体" w:cs="宋体"/>
          <w:color w:val="auto"/>
          <w:kern w:val="0"/>
          <w:szCs w:val="21"/>
          <w:lang w:val="en-US" w:eastAsia="zh-CN"/>
        </w:rPr>
        <w:t>技术部分得分高</w:t>
      </w:r>
      <w:r>
        <w:rPr>
          <w:rFonts w:hint="eastAsia" w:ascii="宋体" w:hAnsi="宋体" w:cs="宋体"/>
          <w:color w:val="auto"/>
          <w:kern w:val="0"/>
          <w:szCs w:val="21"/>
        </w:rPr>
        <w:t>的优先；</w:t>
      </w:r>
      <w:r>
        <w:rPr>
          <w:rFonts w:hint="eastAsia" w:ascii="宋体" w:hAnsi="宋体" w:cs="宋体"/>
          <w:color w:val="auto"/>
          <w:kern w:val="0"/>
          <w:szCs w:val="21"/>
          <w:lang w:val="en-US" w:eastAsia="zh-CN"/>
        </w:rPr>
        <w:t>技术部分得分</w:t>
      </w:r>
      <w:r>
        <w:rPr>
          <w:rFonts w:hint="eastAsia" w:ascii="宋体" w:hAnsi="宋体" w:cs="宋体"/>
          <w:color w:val="auto"/>
          <w:kern w:val="0"/>
          <w:szCs w:val="21"/>
        </w:rPr>
        <w:t>相等的，以评审办法前附表约定的原则确定排序</w:t>
      </w:r>
      <w:r>
        <w:rPr>
          <w:rFonts w:hint="eastAsia" w:ascii="宋体" w:hAnsi="宋体" w:cs="宋体"/>
          <w:color w:val="auto"/>
          <w:spacing w:val="-31"/>
          <w:kern w:val="0"/>
          <w:szCs w:val="21"/>
        </w:rPr>
        <w:t>。</w:t>
      </w:r>
    </w:p>
    <w:p w14:paraId="6079DA72">
      <w:pPr>
        <w:pStyle w:val="3"/>
        <w:rPr>
          <w:rFonts w:ascii="宋体" w:hAnsi="宋体" w:eastAsia="宋体" w:cs="宋体"/>
          <w:snapToGrid w:val="0"/>
          <w:color w:val="auto"/>
          <w:spacing w:val="0"/>
          <w:w w:val="100"/>
          <w:sz w:val="21"/>
          <w:szCs w:val="21"/>
        </w:rPr>
      </w:pPr>
      <w:r>
        <w:rPr>
          <w:rFonts w:hint="eastAsia" w:ascii="宋体" w:hAnsi="宋体" w:eastAsia="宋体" w:cs="宋体"/>
          <w:snapToGrid w:val="0"/>
          <w:color w:val="auto"/>
          <w:spacing w:val="0"/>
          <w:w w:val="100"/>
          <w:sz w:val="21"/>
          <w:szCs w:val="21"/>
        </w:rPr>
        <w:t>2. 评审标准</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1A1FDD24">
      <w:pPr>
        <w:pStyle w:val="4"/>
        <w:snapToGrid w:val="0"/>
        <w:spacing w:before="0" w:line="360" w:lineRule="auto"/>
        <w:rPr>
          <w:rFonts w:ascii="宋体" w:hAnsi="宋体" w:eastAsia="宋体" w:cs="宋体"/>
          <w:color w:val="auto"/>
          <w:sz w:val="21"/>
          <w:szCs w:val="21"/>
        </w:rPr>
      </w:pPr>
      <w:bookmarkStart w:id="424" w:name="_Toc57820618"/>
      <w:bookmarkStart w:id="425" w:name="_Toc277082622"/>
      <w:bookmarkStart w:id="426" w:name="_Toc440022830"/>
      <w:bookmarkStart w:id="427" w:name="_Toc12538"/>
      <w:bookmarkStart w:id="428" w:name="_Toc15132"/>
      <w:bookmarkStart w:id="429" w:name="_Toc407195382"/>
      <w:bookmarkStart w:id="430" w:name="_Toc287607816"/>
      <w:bookmarkStart w:id="431" w:name="_Toc377115422"/>
      <w:bookmarkStart w:id="432" w:name="_Toc224103388"/>
      <w:bookmarkStart w:id="433" w:name="_Toc377067342"/>
      <w:bookmarkStart w:id="434" w:name="_Toc330569209"/>
      <w:bookmarkStart w:id="435" w:name="_Toc444155971"/>
      <w:bookmarkStart w:id="436" w:name="_Toc287620755"/>
      <w:bookmarkStart w:id="437" w:name="_Toc200513202"/>
      <w:bookmarkStart w:id="438" w:name="_Toc14353"/>
      <w:bookmarkStart w:id="439" w:name="_Toc9488"/>
      <w:bookmarkStart w:id="440" w:name="_Toc8004"/>
      <w:bookmarkStart w:id="441" w:name="_Toc376114123"/>
      <w:r>
        <w:rPr>
          <w:rFonts w:hint="eastAsia" w:ascii="宋体" w:hAnsi="宋体" w:eastAsia="宋体" w:cs="宋体"/>
          <w:color w:val="auto"/>
          <w:sz w:val="21"/>
          <w:szCs w:val="21"/>
        </w:rPr>
        <w:t>2.1</w:t>
      </w:r>
      <w:bookmarkEnd w:id="424"/>
      <w:r>
        <w:rPr>
          <w:rFonts w:hint="eastAsia" w:ascii="宋体" w:hAnsi="宋体" w:eastAsia="宋体" w:cs="宋体"/>
          <w:color w:val="auto"/>
          <w:sz w:val="21"/>
          <w:szCs w:val="21"/>
        </w:rPr>
        <w:t>初步评审标准</w:t>
      </w:r>
    </w:p>
    <w:p w14:paraId="39BC3D58">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bookmarkStart w:id="442" w:name="_Toc57820619"/>
      <w:r>
        <w:rPr>
          <w:rFonts w:hint="eastAsia" w:ascii="宋体" w:hAnsi="宋体" w:cs="宋体"/>
          <w:color w:val="auto"/>
          <w:kern w:val="0"/>
          <w:szCs w:val="21"/>
        </w:rPr>
        <w:t>2.1.1 资格评审标准：见评审办法前附表。</w:t>
      </w:r>
    </w:p>
    <w:p w14:paraId="450FA2E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2.1.2 形式评审标准：见评审办法前附表。</w:t>
      </w:r>
    </w:p>
    <w:p w14:paraId="184E80F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2.1.3 响应性评审标准：见评审办法前附表。</w:t>
      </w:r>
    </w:p>
    <w:p w14:paraId="482DC319">
      <w:pPr>
        <w:pStyle w:val="4"/>
        <w:snapToGrid w:val="0"/>
        <w:spacing w:before="0" w:line="360" w:lineRule="auto"/>
        <w:rPr>
          <w:rFonts w:ascii="宋体" w:hAnsi="宋体" w:eastAsia="宋体" w:cs="宋体"/>
          <w:color w:val="auto"/>
          <w:sz w:val="21"/>
          <w:szCs w:val="21"/>
        </w:rPr>
      </w:pPr>
      <w:r>
        <w:rPr>
          <w:rFonts w:hint="eastAsia" w:ascii="宋体" w:hAnsi="宋体" w:eastAsia="宋体" w:cs="宋体"/>
          <w:color w:val="auto"/>
          <w:sz w:val="21"/>
          <w:szCs w:val="21"/>
        </w:rPr>
        <w:t>2.2</w:t>
      </w:r>
      <w:bookmarkEnd w:id="442"/>
      <w:r>
        <w:rPr>
          <w:rFonts w:hint="eastAsia" w:ascii="宋体" w:hAnsi="宋体" w:eastAsia="宋体" w:cs="宋体"/>
          <w:color w:val="auto"/>
          <w:sz w:val="21"/>
          <w:szCs w:val="21"/>
        </w:rPr>
        <w:t>分值构成与评分标准</w:t>
      </w:r>
    </w:p>
    <w:p w14:paraId="1C7694D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2.2.1  分值构成</w:t>
      </w:r>
    </w:p>
    <w:p w14:paraId="48C2D07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（1）技术部分：见评审办法前附表；</w:t>
      </w:r>
    </w:p>
    <w:p w14:paraId="51B8812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（2）商务部分：见评审办法前附表</w:t>
      </w:r>
      <w:r>
        <w:rPr>
          <w:rFonts w:hint="eastAsia" w:ascii="宋体" w:hAnsi="宋体" w:eastAsia="宋体" w:cs="宋体"/>
          <w:color w:val="auto"/>
          <w:kern w:val="0"/>
          <w:szCs w:val="21"/>
          <w:lang w:eastAsia="zh-CN"/>
        </w:rPr>
        <w:t>；</w:t>
      </w:r>
    </w:p>
    <w:p w14:paraId="5F527AB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3）经济部分：</w:t>
      </w:r>
      <w:r>
        <w:rPr>
          <w:rFonts w:hint="eastAsia" w:ascii="宋体" w:hAnsi="宋体" w:eastAsia="宋体" w:cs="宋体"/>
          <w:color w:val="auto"/>
          <w:kern w:val="0"/>
          <w:szCs w:val="21"/>
        </w:rPr>
        <w:t>见评审办法前附表</w:t>
      </w:r>
      <w:r>
        <w:rPr>
          <w:rFonts w:hint="eastAsia" w:ascii="宋体" w:hAnsi="宋体" w:eastAsia="宋体" w:cs="宋体"/>
          <w:color w:val="auto"/>
          <w:kern w:val="0"/>
          <w:szCs w:val="21"/>
          <w:lang w:eastAsia="zh-CN"/>
        </w:rPr>
        <w:t>。</w:t>
      </w:r>
    </w:p>
    <w:p w14:paraId="155D3C0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2.2.2  评分标准</w:t>
      </w:r>
    </w:p>
    <w:p w14:paraId="7F27ADC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技术部分评分标准：见评审办法前附表。</w:t>
      </w:r>
    </w:p>
    <w:p w14:paraId="0BC9EE5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rPr>
        <w:t>商务部分评分标准：见评审办法前附表。</w:t>
      </w:r>
    </w:p>
    <w:p w14:paraId="04A0A48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经济部分评分标准：见评审办法前附表。</w:t>
      </w:r>
    </w:p>
    <w:p w14:paraId="5095C526">
      <w:pPr>
        <w:pStyle w:val="3"/>
        <w:rPr>
          <w:rFonts w:ascii="宋体" w:hAnsi="宋体" w:eastAsia="宋体" w:cs="宋体"/>
          <w:snapToGrid w:val="0"/>
          <w:color w:val="auto"/>
          <w:spacing w:val="0"/>
          <w:w w:val="100"/>
          <w:sz w:val="21"/>
          <w:szCs w:val="21"/>
        </w:rPr>
      </w:pPr>
      <w:r>
        <w:rPr>
          <w:rFonts w:hint="eastAsia" w:ascii="宋体" w:hAnsi="宋体" w:eastAsia="宋体" w:cs="宋体"/>
          <w:snapToGrid w:val="0"/>
          <w:color w:val="auto"/>
          <w:spacing w:val="0"/>
          <w:w w:val="100"/>
          <w:sz w:val="21"/>
          <w:szCs w:val="21"/>
        </w:rPr>
        <w:t>3. 评审程序</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45531401">
      <w:pPr>
        <w:pStyle w:val="4"/>
        <w:snapToGrid w:val="0"/>
        <w:spacing w:before="0" w:line="360" w:lineRule="auto"/>
        <w:rPr>
          <w:rFonts w:ascii="宋体" w:hAnsi="宋体" w:eastAsia="宋体" w:cs="宋体"/>
          <w:color w:val="auto"/>
          <w:sz w:val="21"/>
          <w:szCs w:val="21"/>
        </w:rPr>
      </w:pPr>
      <w:bookmarkStart w:id="443" w:name="_Toc57820621"/>
      <w:bookmarkStart w:id="444" w:name="_Toc11246"/>
      <w:bookmarkStart w:id="445" w:name="_Toc377115425"/>
      <w:bookmarkStart w:id="446" w:name="_Toc287607818"/>
      <w:bookmarkStart w:id="447" w:name="_Toc377067345"/>
      <w:bookmarkStart w:id="448" w:name="_Toc277082624"/>
      <w:bookmarkStart w:id="449" w:name="_Toc224103390"/>
      <w:bookmarkStart w:id="450" w:name="_Toc200513204"/>
      <w:bookmarkStart w:id="451" w:name="_Toc444155974"/>
      <w:bookmarkStart w:id="452" w:name="_Toc29925"/>
      <w:bookmarkStart w:id="453" w:name="_Toc287620757"/>
      <w:bookmarkStart w:id="454" w:name="_Toc376114126"/>
      <w:bookmarkStart w:id="455" w:name="_Toc22246"/>
      <w:bookmarkStart w:id="456" w:name="_Toc440022833"/>
      <w:bookmarkStart w:id="457" w:name="_Toc19604"/>
      <w:bookmarkStart w:id="458" w:name="_Toc330569212"/>
      <w:bookmarkStart w:id="459" w:name="_Toc407195385"/>
      <w:r>
        <w:rPr>
          <w:rFonts w:hint="eastAsia" w:ascii="宋体" w:hAnsi="宋体" w:eastAsia="宋体" w:cs="宋体"/>
          <w:color w:val="auto"/>
          <w:sz w:val="21"/>
          <w:szCs w:val="21"/>
        </w:rPr>
        <w:t>3.1</w:t>
      </w:r>
      <w:bookmarkEnd w:id="443"/>
      <w:r>
        <w:rPr>
          <w:rFonts w:hint="eastAsia" w:ascii="宋体" w:hAnsi="宋体" w:eastAsia="宋体" w:cs="宋体"/>
          <w:color w:val="auto"/>
          <w:sz w:val="21"/>
          <w:szCs w:val="21"/>
        </w:rPr>
        <w:t>初步评审</w:t>
      </w:r>
    </w:p>
    <w:p w14:paraId="73D8626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bookmarkStart w:id="460" w:name="_Toc57820622"/>
      <w:r>
        <w:rPr>
          <w:rFonts w:hint="eastAsia" w:ascii="宋体" w:hAnsi="宋体" w:cs="宋体"/>
          <w:color w:val="auto"/>
          <w:kern w:val="0"/>
          <w:szCs w:val="21"/>
        </w:rPr>
        <w:t>3.1.1  评审小组依据本章第 2.1 款规定的标准对竞选文件进行初步评审。有一项不符合评审标准的，作否决比选处理。</w:t>
      </w:r>
    </w:p>
    <w:p w14:paraId="7487237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3.1.2  竞选人有以下情形之一的，其竞选作否决比选处理：</w:t>
      </w:r>
    </w:p>
    <w:p w14:paraId="7DEE89F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pacing w:val="1"/>
          <w:kern w:val="0"/>
          <w:szCs w:val="21"/>
        </w:rPr>
        <w:t>1</w:t>
      </w:r>
      <w:r>
        <w:rPr>
          <w:rFonts w:hint="eastAsia" w:ascii="宋体" w:hAnsi="宋体" w:cs="宋体"/>
          <w:color w:val="auto"/>
          <w:kern w:val="0"/>
          <w:szCs w:val="21"/>
        </w:rPr>
        <w:t>）第二</w:t>
      </w:r>
      <w:r>
        <w:rPr>
          <w:rFonts w:hint="eastAsia" w:ascii="宋体" w:hAnsi="宋体" w:cs="宋体"/>
          <w:color w:val="auto"/>
          <w:spacing w:val="-1"/>
          <w:kern w:val="0"/>
          <w:szCs w:val="21"/>
        </w:rPr>
        <w:t>章</w:t>
      </w:r>
      <w:r>
        <w:rPr>
          <w:rFonts w:hint="eastAsia" w:ascii="宋体" w:hAnsi="宋体" w:cs="宋体"/>
          <w:color w:val="auto"/>
          <w:kern w:val="0"/>
          <w:szCs w:val="21"/>
        </w:rPr>
        <w:t>“竞选人须知”第</w:t>
      </w:r>
      <w:r>
        <w:rPr>
          <w:rFonts w:hint="eastAsia" w:ascii="宋体" w:hAnsi="宋体" w:cs="宋体"/>
          <w:color w:val="auto"/>
          <w:spacing w:val="1"/>
          <w:kern w:val="0"/>
          <w:szCs w:val="21"/>
        </w:rPr>
        <w:t>1</w:t>
      </w:r>
      <w:r>
        <w:rPr>
          <w:rFonts w:hint="eastAsia" w:ascii="宋体" w:hAnsi="宋体" w:cs="宋体"/>
          <w:color w:val="auto"/>
          <w:spacing w:val="-1"/>
          <w:kern w:val="0"/>
          <w:szCs w:val="21"/>
        </w:rPr>
        <w:t>.</w:t>
      </w:r>
      <w:r>
        <w:rPr>
          <w:rFonts w:hint="eastAsia" w:ascii="宋体" w:hAnsi="宋体" w:cs="宋体"/>
          <w:color w:val="auto"/>
          <w:spacing w:val="1"/>
          <w:kern w:val="0"/>
          <w:szCs w:val="21"/>
        </w:rPr>
        <w:t>4</w:t>
      </w:r>
      <w:r>
        <w:rPr>
          <w:rFonts w:hint="eastAsia" w:ascii="宋体" w:hAnsi="宋体" w:cs="宋体"/>
          <w:color w:val="auto"/>
          <w:spacing w:val="-1"/>
          <w:kern w:val="0"/>
          <w:szCs w:val="21"/>
        </w:rPr>
        <w:t>.</w:t>
      </w:r>
      <w:r>
        <w:rPr>
          <w:rFonts w:hint="eastAsia" w:ascii="宋体" w:hAnsi="宋体" w:cs="宋体"/>
          <w:color w:val="auto"/>
          <w:kern w:val="0"/>
          <w:szCs w:val="21"/>
        </w:rPr>
        <w:t>3项规定的任何一种情形的；</w:t>
      </w:r>
    </w:p>
    <w:p w14:paraId="2CBC160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pacing w:val="1"/>
          <w:kern w:val="0"/>
          <w:szCs w:val="21"/>
        </w:rPr>
        <w:t>2</w:t>
      </w:r>
      <w:r>
        <w:rPr>
          <w:rFonts w:hint="eastAsia" w:ascii="宋体" w:hAnsi="宋体" w:cs="宋体"/>
          <w:color w:val="auto"/>
          <w:kern w:val="0"/>
          <w:szCs w:val="21"/>
        </w:rPr>
        <w:t>）</w:t>
      </w:r>
      <w:r>
        <w:rPr>
          <w:rFonts w:hint="eastAsia" w:ascii="宋体" w:hAnsi="宋体" w:cs="宋体"/>
          <w:color w:val="auto"/>
          <w:szCs w:val="21"/>
        </w:rPr>
        <w:t>本次竞选有串通投标、弄虚作假等其他违反招投标相关法律、法规行为的</w:t>
      </w:r>
      <w:r>
        <w:rPr>
          <w:rFonts w:hint="eastAsia" w:ascii="宋体" w:hAnsi="宋体" w:cs="宋体"/>
          <w:color w:val="auto"/>
          <w:kern w:val="0"/>
          <w:szCs w:val="21"/>
        </w:rPr>
        <w:t>；</w:t>
      </w:r>
    </w:p>
    <w:p w14:paraId="0EF7A14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pacing w:val="1"/>
          <w:kern w:val="0"/>
          <w:szCs w:val="21"/>
        </w:rPr>
        <w:t>3</w:t>
      </w:r>
      <w:r>
        <w:rPr>
          <w:rFonts w:hint="eastAsia" w:ascii="宋体" w:hAnsi="宋体" w:cs="宋体"/>
          <w:color w:val="auto"/>
          <w:kern w:val="0"/>
          <w:szCs w:val="21"/>
        </w:rPr>
        <w:t>）拒绝按</w:t>
      </w:r>
      <w:r>
        <w:rPr>
          <w:rFonts w:hint="eastAsia" w:ascii="宋体" w:hAnsi="宋体" w:cs="宋体"/>
          <w:color w:val="auto"/>
          <w:spacing w:val="-1"/>
          <w:kern w:val="0"/>
          <w:szCs w:val="21"/>
        </w:rPr>
        <w:t>评</w:t>
      </w:r>
      <w:r>
        <w:rPr>
          <w:rFonts w:hint="eastAsia" w:ascii="宋体" w:hAnsi="宋体" w:cs="宋体"/>
          <w:color w:val="auto"/>
          <w:kern w:val="0"/>
          <w:szCs w:val="21"/>
        </w:rPr>
        <w:t>审小组要求澄清、说明或补正的。</w:t>
      </w:r>
    </w:p>
    <w:p w14:paraId="145BF549">
      <w:pPr>
        <w:pStyle w:val="4"/>
        <w:snapToGrid w:val="0"/>
        <w:spacing w:before="0" w:line="360" w:lineRule="auto"/>
        <w:rPr>
          <w:rFonts w:ascii="宋体" w:hAnsi="宋体" w:eastAsia="宋体" w:cs="宋体"/>
          <w:color w:val="auto"/>
          <w:sz w:val="21"/>
          <w:szCs w:val="21"/>
        </w:rPr>
      </w:pPr>
      <w:r>
        <w:rPr>
          <w:rFonts w:hint="eastAsia" w:ascii="宋体" w:hAnsi="宋体" w:eastAsia="宋体" w:cs="宋体"/>
          <w:color w:val="auto"/>
          <w:sz w:val="21"/>
          <w:szCs w:val="21"/>
        </w:rPr>
        <w:t>3.2</w:t>
      </w:r>
      <w:bookmarkEnd w:id="460"/>
      <w:r>
        <w:rPr>
          <w:rFonts w:hint="eastAsia" w:ascii="宋体" w:hAnsi="宋体" w:eastAsia="宋体" w:cs="宋体"/>
          <w:color w:val="auto"/>
          <w:sz w:val="21"/>
          <w:szCs w:val="21"/>
        </w:rPr>
        <w:t>详细评审</w:t>
      </w:r>
    </w:p>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14:paraId="6769A69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bookmarkStart w:id="461" w:name="_Toc440022834"/>
      <w:bookmarkStart w:id="462" w:name="_Toc407195386"/>
      <w:bookmarkStart w:id="463" w:name="_Toc376114127"/>
      <w:bookmarkStart w:id="464" w:name="_Toc224103391"/>
      <w:bookmarkStart w:id="465" w:name="_Toc1080"/>
      <w:bookmarkStart w:id="466" w:name="_Toc287620758"/>
      <w:bookmarkStart w:id="467" w:name="_Toc277082625"/>
      <w:bookmarkStart w:id="468" w:name="_Toc377115426"/>
      <w:bookmarkStart w:id="469" w:name="_Toc200513205"/>
      <w:bookmarkStart w:id="470" w:name="_Toc377067346"/>
      <w:bookmarkStart w:id="471" w:name="_Toc444155975"/>
      <w:bookmarkStart w:id="472" w:name="_Toc330569213"/>
      <w:bookmarkStart w:id="473" w:name="_Toc20948"/>
      <w:bookmarkStart w:id="474" w:name="_Toc18708"/>
      <w:bookmarkStart w:id="475" w:name="_Toc287607819"/>
      <w:bookmarkStart w:id="476" w:name="_Toc29261"/>
      <w:r>
        <w:rPr>
          <w:rFonts w:hint="eastAsia" w:ascii="宋体" w:hAnsi="宋体" w:cs="宋体"/>
          <w:color w:val="auto"/>
          <w:kern w:val="0"/>
          <w:szCs w:val="21"/>
        </w:rPr>
        <w:t>3.2.1 评审小组按本章第3.2款规定的量化因素和分值进行打分，并计算出综合评估得分。</w:t>
      </w:r>
    </w:p>
    <w:p w14:paraId="05AC461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kern w:val="0"/>
          <w:szCs w:val="21"/>
        </w:rPr>
      </w:pPr>
      <w:r>
        <w:rPr>
          <w:rFonts w:hint="eastAsia" w:ascii="宋体" w:hAnsi="宋体" w:cs="宋体"/>
          <w:color w:val="auto"/>
          <w:kern w:val="0"/>
          <w:szCs w:val="21"/>
        </w:rPr>
        <w:t>（1）按本章第3.2.1（1）目规定的评审因素和分值对</w:t>
      </w:r>
      <w:r>
        <w:rPr>
          <w:rFonts w:hint="eastAsia" w:ascii="宋体" w:hAnsi="宋体" w:cs="宋体"/>
          <w:color w:val="auto"/>
          <w:kern w:val="0"/>
          <w:szCs w:val="21"/>
          <w:lang w:val="en-US" w:eastAsia="zh-CN"/>
        </w:rPr>
        <w:t>经济</w:t>
      </w:r>
      <w:r>
        <w:rPr>
          <w:rFonts w:hint="eastAsia" w:ascii="宋体" w:hAnsi="宋体" w:cs="宋体"/>
          <w:color w:val="auto"/>
          <w:kern w:val="0"/>
          <w:szCs w:val="21"/>
        </w:rPr>
        <w:t>部分计算出得分A</w:t>
      </w:r>
    </w:p>
    <w:p w14:paraId="1097665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2）</w:t>
      </w:r>
      <w:r>
        <w:rPr>
          <w:rFonts w:hint="eastAsia" w:ascii="宋体" w:hAnsi="宋体" w:cs="宋体"/>
          <w:color w:val="auto"/>
          <w:kern w:val="0"/>
          <w:szCs w:val="21"/>
        </w:rPr>
        <w:t>按本章第3.2.1（1）目规定的评审因素和分值对技术部分计算出得分</w:t>
      </w:r>
      <w:r>
        <w:rPr>
          <w:rFonts w:hint="eastAsia" w:ascii="宋体" w:hAnsi="宋体" w:cs="宋体"/>
          <w:color w:val="auto"/>
          <w:kern w:val="0"/>
          <w:szCs w:val="21"/>
          <w:lang w:val="en-US" w:eastAsia="zh-CN"/>
        </w:rPr>
        <w:t>B</w:t>
      </w:r>
      <w:r>
        <w:rPr>
          <w:rFonts w:hint="eastAsia" w:ascii="宋体" w:hAnsi="宋体" w:cs="宋体"/>
          <w:color w:val="auto"/>
          <w:kern w:val="0"/>
          <w:szCs w:val="21"/>
        </w:rPr>
        <w:t>；</w:t>
      </w:r>
    </w:p>
    <w:p w14:paraId="47CFCBE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lang w:eastAsia="zh-CN"/>
        </w:rPr>
      </w:pPr>
      <w:r>
        <w:rPr>
          <w:rFonts w:hint="eastAsia" w:ascii="宋体" w:hAnsi="宋体" w:cs="宋体"/>
          <w:color w:val="auto"/>
          <w:kern w:val="0"/>
          <w:szCs w:val="21"/>
        </w:rPr>
        <w:t>（</w:t>
      </w:r>
      <w:r>
        <w:rPr>
          <w:rFonts w:hint="eastAsia" w:ascii="宋体" w:hAnsi="宋体" w:cs="宋体"/>
          <w:color w:val="auto"/>
          <w:kern w:val="0"/>
          <w:szCs w:val="21"/>
          <w:lang w:val="en-US" w:eastAsia="zh-CN"/>
        </w:rPr>
        <w:t>3</w:t>
      </w:r>
      <w:r>
        <w:rPr>
          <w:rFonts w:hint="eastAsia" w:ascii="宋体" w:hAnsi="宋体" w:cs="宋体"/>
          <w:color w:val="auto"/>
          <w:kern w:val="0"/>
          <w:szCs w:val="21"/>
        </w:rPr>
        <w:t>）按本章第3.2.1（2）目规定的评审因素和分值对商务部分计算出得分</w:t>
      </w:r>
      <w:r>
        <w:rPr>
          <w:rFonts w:hint="eastAsia" w:ascii="宋体" w:hAnsi="宋体" w:cs="宋体"/>
          <w:color w:val="auto"/>
          <w:kern w:val="0"/>
          <w:szCs w:val="21"/>
          <w:lang w:val="en-US" w:eastAsia="zh-CN"/>
        </w:rPr>
        <w:t>C</w:t>
      </w:r>
      <w:r>
        <w:rPr>
          <w:rFonts w:hint="eastAsia" w:ascii="宋体" w:hAnsi="宋体" w:cs="宋体"/>
          <w:color w:val="auto"/>
          <w:kern w:val="0"/>
          <w:szCs w:val="21"/>
          <w:lang w:eastAsia="zh-CN"/>
        </w:rPr>
        <w:t>。</w:t>
      </w:r>
    </w:p>
    <w:p w14:paraId="3539F10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3.2.2 评分分值计算保留小数点后两位，小数点后第三位“四舍五入”。</w:t>
      </w:r>
    </w:p>
    <w:p w14:paraId="1BA6DB1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3.2.3 竞选人得分=A+B</w:t>
      </w:r>
      <w:r>
        <w:rPr>
          <w:rFonts w:hint="eastAsia" w:ascii="宋体" w:hAnsi="宋体" w:cs="宋体"/>
          <w:color w:val="auto"/>
          <w:kern w:val="0"/>
          <w:szCs w:val="21"/>
          <w:lang w:val="en-US" w:eastAsia="zh-CN"/>
        </w:rPr>
        <w:t>+C</w:t>
      </w:r>
      <w:r>
        <w:rPr>
          <w:rFonts w:hint="eastAsia" w:ascii="宋体" w:hAnsi="宋体" w:cs="宋体"/>
          <w:color w:val="auto"/>
          <w:kern w:val="0"/>
          <w:szCs w:val="21"/>
        </w:rPr>
        <w:t>。</w:t>
      </w:r>
    </w:p>
    <w:p w14:paraId="162CABDF">
      <w:pPr>
        <w:pStyle w:val="4"/>
        <w:snapToGrid w:val="0"/>
        <w:spacing w:before="0" w:line="360" w:lineRule="auto"/>
        <w:rPr>
          <w:rFonts w:ascii="宋体" w:hAnsi="宋体" w:eastAsia="宋体" w:cs="宋体"/>
          <w:color w:val="auto"/>
          <w:sz w:val="21"/>
          <w:szCs w:val="21"/>
        </w:rPr>
      </w:pPr>
      <w:r>
        <w:rPr>
          <w:rFonts w:hint="eastAsia" w:ascii="宋体" w:hAnsi="宋体" w:eastAsia="宋体" w:cs="宋体"/>
          <w:color w:val="auto"/>
          <w:sz w:val="21"/>
          <w:szCs w:val="21"/>
        </w:rPr>
        <w:t>3.3 竞选文件的澄清和补正</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2399A03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3.3.1 在评审过程中，评审小组可以书面形式要求竞选人对所提交竞选文件中不明确的内容进行书面澄清或说明，或者对细微偏差进行补正。评审小组不接受竞选人主动提出的澄清、说明或补正。</w:t>
      </w:r>
    </w:p>
    <w:p w14:paraId="47F5BE8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3.3.2 澄清、说明和补正不得改变竞选文件的实质性内容（算术性错误修正的除外）。竞选人的书面澄清、说明和补正属于竞选文件的组成部分。</w:t>
      </w:r>
    </w:p>
    <w:p w14:paraId="0B59AB9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3.3.3 评审小组对竞选人提交的澄清、说明或补正有疑问的，可以要求竞选人进一步澄清、说明或补正，直至满足评审小组的要求。</w:t>
      </w:r>
    </w:p>
    <w:p w14:paraId="2D292B68">
      <w:pPr>
        <w:pStyle w:val="4"/>
        <w:snapToGrid w:val="0"/>
        <w:spacing w:before="0" w:line="360" w:lineRule="auto"/>
        <w:rPr>
          <w:rFonts w:ascii="宋体" w:hAnsi="宋体" w:eastAsia="宋体" w:cs="宋体"/>
          <w:color w:val="auto"/>
          <w:sz w:val="21"/>
          <w:szCs w:val="21"/>
        </w:rPr>
      </w:pPr>
      <w:bookmarkStart w:id="477" w:name="_Toc19054"/>
      <w:bookmarkStart w:id="478" w:name="_Toc407195387"/>
      <w:bookmarkStart w:id="479" w:name="_Toc377067347"/>
      <w:bookmarkStart w:id="480" w:name="_Toc287620759"/>
      <w:bookmarkStart w:id="481" w:name="_Toc31270"/>
      <w:bookmarkStart w:id="482" w:name="_Toc330569214"/>
      <w:bookmarkStart w:id="483" w:name="_Toc440022835"/>
      <w:bookmarkStart w:id="484" w:name="_Toc287607820"/>
      <w:bookmarkStart w:id="485" w:name="_Toc30672"/>
      <w:bookmarkStart w:id="486" w:name="_Toc14840"/>
      <w:bookmarkStart w:id="487" w:name="_Toc444155976"/>
      <w:bookmarkStart w:id="488" w:name="_Toc200513206"/>
      <w:bookmarkStart w:id="489" w:name="_Toc224103392"/>
      <w:bookmarkStart w:id="490" w:name="_Toc277082626"/>
      <w:bookmarkStart w:id="491" w:name="_Toc376114128"/>
      <w:bookmarkStart w:id="492" w:name="_Toc377115427"/>
      <w:r>
        <w:rPr>
          <w:rFonts w:hint="eastAsia" w:ascii="宋体" w:hAnsi="宋体" w:eastAsia="宋体" w:cs="宋体"/>
          <w:color w:val="auto"/>
          <w:sz w:val="21"/>
          <w:szCs w:val="21"/>
        </w:rPr>
        <w:t>3.4 评审结果</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0CAA7E1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kern w:val="0"/>
          <w:szCs w:val="21"/>
        </w:rPr>
      </w:pPr>
      <w:r>
        <w:rPr>
          <w:rFonts w:hint="eastAsia" w:ascii="宋体" w:hAnsi="宋体" w:cs="宋体"/>
          <w:color w:val="auto"/>
          <w:kern w:val="0"/>
          <w:szCs w:val="21"/>
        </w:rPr>
        <w:t>3.4.1 除第二章“竞选人须知”前附表授权直接确定中选人外，评审小组按照得分由高到低的顺序推荐中选候选人。</w:t>
      </w:r>
    </w:p>
    <w:p w14:paraId="7B41D24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3.4.2 评审小组完成评审后，应当向比选人提交书面评审报告。</w:t>
      </w:r>
    </w:p>
    <w:p w14:paraId="782B13C5">
      <w:pPr>
        <w:autoSpaceDE w:val="0"/>
        <w:autoSpaceDN w:val="0"/>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br w:type="page"/>
      </w:r>
    </w:p>
    <w:p w14:paraId="6C65CAD1">
      <w:pPr>
        <w:outlineLvl w:val="1"/>
        <w:rPr>
          <w:rFonts w:ascii="宋体" w:hAnsi="宋体" w:cs="宋体"/>
          <w:color w:val="auto"/>
        </w:rPr>
      </w:pPr>
      <w:bookmarkStart w:id="493" w:name="_Toc19078"/>
      <w:r>
        <w:rPr>
          <w:rFonts w:hint="eastAsia" w:ascii="宋体" w:hAnsi="宋体" w:cs="宋体"/>
          <w:color w:val="auto"/>
        </w:rPr>
        <w:t>附件A：否决比选条件</w:t>
      </w:r>
      <w:bookmarkEnd w:id="493"/>
    </w:p>
    <w:p w14:paraId="4C7821D6">
      <w:pPr>
        <w:pStyle w:val="36"/>
        <w:spacing w:line="360" w:lineRule="auto"/>
        <w:rPr>
          <w:rFonts w:ascii="宋体" w:hAnsi="宋体" w:cs="宋体"/>
          <w:b/>
          <w:color w:val="auto"/>
          <w:szCs w:val="21"/>
          <w:lang w:eastAsia="zh-CN"/>
        </w:rPr>
      </w:pPr>
      <w:bookmarkStart w:id="494" w:name="招标文件04章合同条款及格式"/>
      <w:bookmarkEnd w:id="494"/>
      <w:bookmarkStart w:id="495" w:name="招标文件03章02评标办法综合评估法02附件02"/>
      <w:bookmarkEnd w:id="495"/>
      <w:bookmarkStart w:id="496" w:name="_Toc230410480"/>
      <w:bookmarkStart w:id="497" w:name="_Toc277082627"/>
      <w:r>
        <w:rPr>
          <w:rFonts w:hint="eastAsia" w:ascii="宋体" w:hAnsi="宋体" w:cs="宋体"/>
          <w:b/>
          <w:color w:val="auto"/>
          <w:szCs w:val="21"/>
          <w:lang w:eastAsia="zh-CN"/>
        </w:rPr>
        <w:t>附件A：否决比选情况一览表</w:t>
      </w:r>
      <w:bookmarkEnd w:id="496"/>
    </w:p>
    <w:p w14:paraId="3AA67A0D">
      <w:pPr>
        <w:pStyle w:val="36"/>
        <w:spacing w:line="360" w:lineRule="auto"/>
        <w:ind w:firstLine="211" w:firstLineChars="100"/>
        <w:jc w:val="both"/>
        <w:rPr>
          <w:rFonts w:ascii="宋体" w:hAnsi="宋体" w:cs="宋体"/>
          <w:b/>
          <w:color w:val="auto"/>
          <w:szCs w:val="21"/>
          <w:u w:val="none"/>
          <w:lang w:eastAsia="zh-CN"/>
        </w:rPr>
      </w:pPr>
      <w:r>
        <w:rPr>
          <w:rFonts w:hint="eastAsia" w:ascii="宋体" w:hAnsi="宋体" w:cs="宋体"/>
          <w:b/>
          <w:color w:val="auto"/>
          <w:szCs w:val="21"/>
          <w:u w:val="none"/>
          <w:lang w:eastAsia="zh-CN"/>
        </w:rPr>
        <w:t>否决比选条件一览表之外的评审小组不得判为重大偏差。</w:t>
      </w:r>
    </w:p>
    <w:bookmarkEnd w:id="497"/>
    <w:tbl>
      <w:tblPr>
        <w:tblStyle w:val="4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1"/>
        <w:gridCol w:w="1425"/>
        <w:gridCol w:w="6275"/>
      </w:tblGrid>
      <w:tr w14:paraId="7E1CD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501" w:type="dxa"/>
            <w:vAlign w:val="center"/>
          </w:tcPr>
          <w:p w14:paraId="625BD76D">
            <w:pPr>
              <w:adjustRightInd w:val="0"/>
              <w:snapToGrid w:val="0"/>
              <w:spacing w:line="400" w:lineRule="exact"/>
              <w:jc w:val="center"/>
              <w:rPr>
                <w:rFonts w:ascii="宋体" w:hAnsi="宋体" w:cs="宋体"/>
                <w:b/>
                <w:color w:val="auto"/>
                <w:szCs w:val="21"/>
              </w:rPr>
            </w:pPr>
            <w:r>
              <w:rPr>
                <w:rFonts w:hint="eastAsia" w:ascii="宋体" w:hAnsi="宋体" w:cs="宋体"/>
                <w:b/>
                <w:color w:val="auto"/>
                <w:szCs w:val="21"/>
              </w:rPr>
              <w:t>竞争性比选文件章节号</w:t>
            </w:r>
          </w:p>
        </w:tc>
        <w:tc>
          <w:tcPr>
            <w:tcW w:w="1425" w:type="dxa"/>
            <w:vAlign w:val="center"/>
          </w:tcPr>
          <w:p w14:paraId="2DE65B28">
            <w:pPr>
              <w:adjustRightInd w:val="0"/>
              <w:snapToGrid w:val="0"/>
              <w:spacing w:line="400" w:lineRule="exact"/>
              <w:jc w:val="center"/>
              <w:rPr>
                <w:rFonts w:ascii="宋体" w:hAnsi="宋体" w:cs="宋体"/>
                <w:b/>
                <w:color w:val="auto"/>
                <w:szCs w:val="21"/>
              </w:rPr>
            </w:pPr>
            <w:r>
              <w:rPr>
                <w:rFonts w:hint="eastAsia" w:ascii="宋体" w:hAnsi="宋体" w:cs="宋体"/>
                <w:b/>
                <w:color w:val="auto"/>
                <w:szCs w:val="21"/>
              </w:rPr>
              <w:t>条款名称</w:t>
            </w:r>
          </w:p>
        </w:tc>
        <w:tc>
          <w:tcPr>
            <w:tcW w:w="6275" w:type="dxa"/>
            <w:vAlign w:val="center"/>
          </w:tcPr>
          <w:p w14:paraId="1BEAAAE6">
            <w:pPr>
              <w:adjustRightInd w:val="0"/>
              <w:snapToGrid w:val="0"/>
              <w:spacing w:line="400" w:lineRule="exact"/>
              <w:jc w:val="center"/>
              <w:rPr>
                <w:rFonts w:ascii="宋体" w:hAnsi="宋体" w:cs="宋体"/>
                <w:b/>
                <w:color w:val="auto"/>
                <w:szCs w:val="21"/>
              </w:rPr>
            </w:pPr>
            <w:r>
              <w:rPr>
                <w:rFonts w:hint="eastAsia" w:ascii="宋体" w:hAnsi="宋体" w:cs="宋体"/>
                <w:b/>
                <w:color w:val="auto"/>
                <w:szCs w:val="21"/>
              </w:rPr>
              <w:t>否决比选条件</w:t>
            </w:r>
          </w:p>
        </w:tc>
      </w:tr>
      <w:tr w14:paraId="17590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Align w:val="center"/>
          </w:tcPr>
          <w:p w14:paraId="439D6009">
            <w:pPr>
              <w:adjustRightInd w:val="0"/>
              <w:snapToGrid w:val="0"/>
              <w:spacing w:line="400" w:lineRule="exact"/>
              <w:jc w:val="center"/>
              <w:rPr>
                <w:rFonts w:ascii="宋体" w:hAnsi="宋体" w:cs="宋体"/>
                <w:b/>
                <w:color w:val="auto"/>
                <w:szCs w:val="21"/>
              </w:rPr>
            </w:pPr>
            <w:r>
              <w:rPr>
                <w:rFonts w:hint="eastAsia" w:ascii="宋体" w:hAnsi="宋体" w:cs="宋体"/>
                <w:color w:val="auto"/>
                <w:szCs w:val="21"/>
              </w:rPr>
              <w:t>第二章3.2</w:t>
            </w:r>
          </w:p>
        </w:tc>
        <w:tc>
          <w:tcPr>
            <w:tcW w:w="1425" w:type="dxa"/>
            <w:vAlign w:val="center"/>
          </w:tcPr>
          <w:p w14:paraId="5ABCD957">
            <w:pPr>
              <w:adjustRightInd w:val="0"/>
              <w:snapToGrid w:val="0"/>
              <w:spacing w:line="400" w:lineRule="exact"/>
              <w:jc w:val="center"/>
              <w:rPr>
                <w:rFonts w:ascii="宋体" w:hAnsi="宋体" w:cs="宋体"/>
                <w:b/>
                <w:color w:val="auto"/>
                <w:szCs w:val="21"/>
              </w:rPr>
            </w:pPr>
            <w:r>
              <w:rPr>
                <w:rFonts w:hint="eastAsia" w:ascii="宋体" w:hAnsi="宋体" w:cs="宋体"/>
                <w:color w:val="auto"/>
                <w:szCs w:val="21"/>
              </w:rPr>
              <w:t>竞选报价</w:t>
            </w:r>
          </w:p>
        </w:tc>
        <w:tc>
          <w:tcPr>
            <w:tcW w:w="6275" w:type="dxa"/>
            <w:vAlign w:val="center"/>
          </w:tcPr>
          <w:p w14:paraId="7F017289">
            <w:pPr>
              <w:adjustRightInd w:val="0"/>
              <w:snapToGrid w:val="0"/>
              <w:spacing w:line="400" w:lineRule="exact"/>
              <w:ind w:firstLine="420" w:firstLineChars="200"/>
              <w:jc w:val="left"/>
              <w:rPr>
                <w:rFonts w:ascii="宋体" w:hAnsi="宋体" w:cs="宋体"/>
                <w:b/>
                <w:color w:val="auto"/>
                <w:szCs w:val="21"/>
              </w:rPr>
            </w:pPr>
            <w:r>
              <w:rPr>
                <w:rFonts w:hint="eastAsia" w:ascii="宋体" w:hAnsi="宋体" w:cs="宋体"/>
                <w:color w:val="auto"/>
                <w:szCs w:val="21"/>
              </w:rPr>
              <w:t>满足第二章竞选人须知前附表3.2“</w:t>
            </w:r>
            <w:r>
              <w:rPr>
                <w:rFonts w:hint="eastAsia" w:ascii="宋体" w:hAnsi="宋体" w:cs="宋体"/>
                <w:color w:val="auto"/>
                <w:kern w:val="0"/>
                <w:szCs w:val="21"/>
              </w:rPr>
              <w:t>竞选报价</w:t>
            </w:r>
            <w:r>
              <w:rPr>
                <w:rFonts w:hint="eastAsia" w:ascii="宋体" w:hAnsi="宋体" w:cs="宋体"/>
                <w:color w:val="auto"/>
                <w:szCs w:val="21"/>
              </w:rPr>
              <w:t>”要求</w:t>
            </w:r>
          </w:p>
        </w:tc>
      </w:tr>
      <w:tr w14:paraId="1D0F7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Merge w:val="restart"/>
            <w:vAlign w:val="center"/>
          </w:tcPr>
          <w:p w14:paraId="5130FE44">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第三章3.1</w:t>
            </w:r>
          </w:p>
        </w:tc>
        <w:tc>
          <w:tcPr>
            <w:tcW w:w="1425" w:type="dxa"/>
            <w:vMerge w:val="restart"/>
            <w:vAlign w:val="center"/>
          </w:tcPr>
          <w:p w14:paraId="7182DA16">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初步评审</w:t>
            </w:r>
          </w:p>
        </w:tc>
        <w:tc>
          <w:tcPr>
            <w:tcW w:w="6275" w:type="dxa"/>
          </w:tcPr>
          <w:p w14:paraId="40CCB131">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评审小组依据本章第2.1款规定的标准对竞选文件进行初步评审。有一项不符合评审标准的，竞选文件按否决比选处理。</w:t>
            </w:r>
          </w:p>
        </w:tc>
      </w:tr>
      <w:tr w14:paraId="7DF14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Merge w:val="continue"/>
          </w:tcPr>
          <w:p w14:paraId="7A91F7C0">
            <w:pPr>
              <w:adjustRightInd w:val="0"/>
              <w:snapToGrid w:val="0"/>
              <w:spacing w:line="400" w:lineRule="exact"/>
              <w:jc w:val="center"/>
              <w:rPr>
                <w:rFonts w:ascii="宋体" w:hAnsi="宋体" w:cs="宋体"/>
                <w:color w:val="auto"/>
                <w:szCs w:val="21"/>
              </w:rPr>
            </w:pPr>
          </w:p>
        </w:tc>
        <w:tc>
          <w:tcPr>
            <w:tcW w:w="1425" w:type="dxa"/>
            <w:vMerge w:val="continue"/>
          </w:tcPr>
          <w:p w14:paraId="26F7C1EF">
            <w:pPr>
              <w:adjustRightInd w:val="0"/>
              <w:snapToGrid w:val="0"/>
              <w:spacing w:line="400" w:lineRule="exact"/>
              <w:rPr>
                <w:rFonts w:ascii="宋体" w:hAnsi="宋体" w:cs="宋体"/>
                <w:color w:val="auto"/>
                <w:szCs w:val="21"/>
              </w:rPr>
            </w:pPr>
          </w:p>
        </w:tc>
        <w:tc>
          <w:tcPr>
            <w:tcW w:w="6275" w:type="dxa"/>
          </w:tcPr>
          <w:p w14:paraId="28A03166">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竞选人有以下情形之一的，其竞选文件按否决比选处理：</w:t>
            </w:r>
          </w:p>
          <w:p w14:paraId="1840394F">
            <w:pPr>
              <w:adjustRightInd w:val="0"/>
              <w:snapToGri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（1）第二章“竞选人须知”第1.4.3项规定的任何一种情形的；</w:t>
            </w:r>
          </w:p>
          <w:p w14:paraId="3E85A763">
            <w:pPr>
              <w:adjustRightInd w:val="0"/>
              <w:snapToGri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（2）串通竞选或弄虚作假或有其他违法行为的；</w:t>
            </w:r>
          </w:p>
          <w:p w14:paraId="0FC8A166">
            <w:pPr>
              <w:adjustRightInd w:val="0"/>
              <w:snapToGri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（3）不按评审小组要求澄清、说明或补正的。</w:t>
            </w:r>
          </w:p>
          <w:p w14:paraId="2DD9EED0">
            <w:pPr>
              <w:adjustRightInd w:val="0"/>
              <w:snapToGrid w:val="0"/>
              <w:spacing w:line="400" w:lineRule="exact"/>
              <w:ind w:firstLine="420" w:firstLineChars="200"/>
              <w:jc w:val="left"/>
              <w:rPr>
                <w:rFonts w:ascii="宋体" w:hAnsi="宋体" w:cs="宋体"/>
                <w:color w:val="auto"/>
                <w:szCs w:val="21"/>
              </w:rPr>
            </w:pPr>
            <w:r>
              <w:rPr>
                <w:rFonts w:hint="eastAsia" w:ascii="宋体" w:hAnsi="宋体" w:cs="宋体"/>
                <w:color w:val="auto"/>
                <w:kern w:val="0"/>
                <w:szCs w:val="21"/>
              </w:rPr>
              <w:t>（4）本竞争性比选文件约定的其它情形。</w:t>
            </w:r>
          </w:p>
        </w:tc>
      </w:tr>
    </w:tbl>
    <w:p w14:paraId="09063093">
      <w:pPr>
        <w:pStyle w:val="39"/>
        <w:spacing w:after="0" w:line="400" w:lineRule="exact"/>
        <w:ind w:left="0" w:leftChars="0" w:firstLine="321" w:firstLineChars="200"/>
        <w:rPr>
          <w:rFonts w:ascii="宋体" w:hAnsi="宋体" w:cs="宋体"/>
          <w:b/>
          <w:bCs/>
          <w:color w:val="auto"/>
        </w:rPr>
      </w:pPr>
      <w:bookmarkStart w:id="498" w:name="_Toc16033"/>
      <w:bookmarkEnd w:id="498"/>
      <w:bookmarkStart w:id="499" w:name="_Toc12655"/>
      <w:bookmarkEnd w:id="499"/>
      <w:bookmarkStart w:id="500" w:name="_Toc359588084"/>
      <w:bookmarkStart w:id="501" w:name="_Toc454967660"/>
      <w:bookmarkStart w:id="502" w:name="_Toc224103476"/>
      <w:bookmarkStart w:id="503" w:name="_Toc444155988"/>
      <w:bookmarkStart w:id="504" w:name="_Toc24282"/>
      <w:bookmarkStart w:id="505" w:name="_Toc27237"/>
      <w:bookmarkStart w:id="506" w:name="_Toc26213"/>
      <w:bookmarkStart w:id="507" w:name="_Toc359587985"/>
      <w:bookmarkStart w:id="508" w:name="_Toc277543153"/>
    </w:p>
    <w:p w14:paraId="50AAEE1E">
      <w:pPr>
        <w:pStyle w:val="2"/>
        <w:numPr>
          <w:ilvl w:val="0"/>
          <w:numId w:val="0"/>
        </w:numPr>
        <w:rPr>
          <w:rFonts w:hint="eastAsia" w:ascii="宋体" w:hAnsi="宋体" w:eastAsia="宋体" w:cs="宋体"/>
          <w:b/>
          <w:color w:val="auto"/>
          <w:kern w:val="0"/>
          <w:sz w:val="36"/>
          <w:szCs w:val="36"/>
        </w:rPr>
      </w:pPr>
      <w:r>
        <w:rPr>
          <w:rFonts w:hint="eastAsia" w:ascii="宋体" w:hAnsi="宋体" w:eastAsia="宋体" w:cs="宋体"/>
          <w:b/>
          <w:bCs/>
          <w:color w:val="auto"/>
        </w:rPr>
        <w:br w:type="page"/>
      </w:r>
      <w:bookmarkStart w:id="509" w:name="_Toc27248"/>
      <w:bookmarkStart w:id="510" w:name="_Toc21152"/>
      <w:r>
        <w:rPr>
          <w:rFonts w:hint="eastAsia" w:ascii="宋体" w:hAnsi="宋体" w:eastAsia="宋体" w:cs="宋体"/>
          <w:b/>
          <w:color w:val="auto"/>
          <w:kern w:val="0"/>
          <w:sz w:val="36"/>
          <w:szCs w:val="36"/>
        </w:rPr>
        <w:t>第四章 合同条款</w:t>
      </w:r>
      <w:bookmarkEnd w:id="509"/>
      <w:bookmarkEnd w:id="510"/>
    </w:p>
    <w:bookmarkEnd w:id="500"/>
    <w:bookmarkEnd w:id="501"/>
    <w:bookmarkEnd w:id="502"/>
    <w:bookmarkEnd w:id="503"/>
    <w:bookmarkEnd w:id="504"/>
    <w:bookmarkEnd w:id="505"/>
    <w:bookmarkEnd w:id="506"/>
    <w:bookmarkEnd w:id="507"/>
    <w:bookmarkEnd w:id="508"/>
    <w:p w14:paraId="3A2AD29C">
      <w:pPr>
        <w:widowControl/>
        <w:jc w:val="left"/>
        <w:rPr>
          <w:rFonts w:hint="default" w:ascii="方正仿宋_GBK" w:hAnsi="方正仿宋_GBK" w:eastAsia="方正仿宋_GBK" w:cs="方正仿宋_GBK"/>
          <w:color w:val="auto"/>
          <w:sz w:val="24"/>
          <w:szCs w:val="24"/>
          <w:highlight w:val="none"/>
          <w:lang w:val="en-US" w:eastAsia="zh-CN"/>
        </w:rPr>
      </w:pPr>
      <w:bookmarkStart w:id="511" w:name="_Toc312326143"/>
      <w:bookmarkStart w:id="512" w:name="_Toc312326142"/>
      <w:bookmarkStart w:id="513" w:name="_Toc312326017"/>
      <w:bookmarkStart w:id="514" w:name="_Toc312325929"/>
      <w:bookmarkStart w:id="515" w:name="_Toc475703884"/>
      <w:bookmarkStart w:id="516" w:name="_Toc13570"/>
      <w:bookmarkStart w:id="517" w:name="_Toc312326016"/>
      <w:bookmarkStart w:id="518" w:name="_Toc310932781"/>
      <w:bookmarkStart w:id="519" w:name="_Toc312325930"/>
      <w:bookmarkStart w:id="520" w:name="_Toc312326634"/>
      <w:r>
        <w:rPr>
          <w:rFonts w:hint="eastAsia" w:ascii="方正仿宋_GBK" w:hAnsi="方正仿宋_GBK" w:eastAsia="方正仿宋_GBK" w:cs="方正仿宋_GBK"/>
          <w:color w:val="auto"/>
          <w:sz w:val="24"/>
          <w:szCs w:val="24"/>
          <w:highlight w:val="none"/>
          <w:lang w:eastAsia="zh-CN"/>
        </w:rPr>
        <w:t>本合同为参考版本，可根据项目情况</w:t>
      </w:r>
      <w:r>
        <w:rPr>
          <w:rFonts w:hint="eastAsia" w:ascii="方正仿宋_GBK" w:hAnsi="方正仿宋_GBK" w:eastAsia="方正仿宋_GBK" w:cs="方正仿宋_GBK"/>
          <w:color w:val="auto"/>
          <w:sz w:val="24"/>
          <w:szCs w:val="24"/>
          <w:highlight w:val="none"/>
          <w:lang w:val="en-US" w:eastAsia="zh-CN"/>
        </w:rPr>
        <w:t>按相关规定调整。</w:t>
      </w:r>
    </w:p>
    <w:p w14:paraId="3B6E8F43">
      <w:pPr>
        <w:keepNext w:val="0"/>
        <w:keepLines w:val="0"/>
        <w:pageBreakBefore w:val="0"/>
        <w:kinsoku/>
        <w:wordWrap/>
        <w:overflowPunct/>
        <w:topLinePunct w:val="0"/>
        <w:bidi w:val="0"/>
        <w:spacing w:line="240" w:lineRule="auto"/>
        <w:jc w:val="center"/>
        <w:textAlignment w:val="auto"/>
        <w:rPr>
          <w:rFonts w:hint="eastAsia" w:ascii="方正仿宋_GBK" w:hAnsi="方正仿宋_GBK" w:eastAsia="方正仿宋_GBK" w:cs="方正仿宋_GBK"/>
          <w:b/>
          <w:bCs/>
          <w:color w:val="auto"/>
          <w:sz w:val="44"/>
          <w:szCs w:val="44"/>
          <w:highlight w:val="none"/>
        </w:rPr>
      </w:pPr>
      <w:bookmarkStart w:id="521" w:name="_Toc32072"/>
      <w:bookmarkStart w:id="522" w:name="_Toc1837"/>
      <w:r>
        <w:rPr>
          <w:rFonts w:hint="eastAsia" w:ascii="方正仿宋_GBK" w:hAnsi="方正仿宋_GBK" w:eastAsia="方正仿宋_GBK" w:cs="方正仿宋_GBK"/>
          <w:b/>
          <w:bCs/>
          <w:color w:val="auto"/>
          <w:sz w:val="44"/>
          <w:szCs w:val="44"/>
          <w:highlight w:val="none"/>
        </w:rPr>
        <w:t>合同协议书</w:t>
      </w:r>
      <w:bookmarkEnd w:id="521"/>
      <w:bookmarkEnd w:id="522"/>
    </w:p>
    <w:p w14:paraId="48FA2507">
      <w:pPr>
        <w:keepNext w:val="0"/>
        <w:keepLines w:val="0"/>
        <w:pageBreakBefore w:val="0"/>
        <w:kinsoku/>
        <w:wordWrap/>
        <w:overflowPunct/>
        <w:topLinePunct w:val="0"/>
        <w:bidi w:val="0"/>
        <w:spacing w:line="240" w:lineRule="auto"/>
        <w:textAlignment w:val="auto"/>
        <w:rPr>
          <w:rFonts w:hint="eastAsia" w:ascii="方正仿宋_GBK" w:hAnsi="方正仿宋_GBK" w:eastAsia="方正仿宋_GBK" w:cs="方正仿宋_GBK"/>
          <w:b/>
          <w:color w:val="auto"/>
          <w:sz w:val="24"/>
          <w:szCs w:val="24"/>
          <w:highlight w:val="none"/>
        </w:rPr>
      </w:pPr>
    </w:p>
    <w:p w14:paraId="2BE52D62">
      <w:pPr>
        <w:keepNext w:val="0"/>
        <w:keepLines w:val="0"/>
        <w:pageBreakBefore w:val="0"/>
        <w:widowControl w:val="0"/>
        <w:kinsoku/>
        <w:wordWrap/>
        <w:overflowPunct/>
        <w:topLinePunct w:val="0"/>
        <w:bidi w:val="0"/>
        <w:spacing w:line="360" w:lineRule="exact"/>
        <w:textAlignment w:val="auto"/>
        <w:rPr>
          <w:rFonts w:hint="eastAsia" w:ascii="方正仿宋_GBK" w:hAnsi="方正仿宋_GBK" w:eastAsia="方正仿宋_GBK" w:cs="方正仿宋_GBK"/>
          <w:b/>
          <w:color w:val="auto"/>
          <w:sz w:val="24"/>
          <w:szCs w:val="24"/>
          <w:highlight w:val="none"/>
          <w:u w:val="single"/>
        </w:rPr>
      </w:pPr>
      <w:r>
        <w:rPr>
          <w:rFonts w:hint="eastAsia" w:ascii="方正仿宋_GBK" w:hAnsi="方正仿宋_GBK" w:eastAsia="方正仿宋_GBK" w:cs="方正仿宋_GBK"/>
          <w:b/>
          <w:color w:val="auto"/>
          <w:sz w:val="24"/>
          <w:szCs w:val="24"/>
          <w:highlight w:val="none"/>
        </w:rPr>
        <w:t>发包人（全称）：</w:t>
      </w:r>
      <w:r>
        <w:rPr>
          <w:rFonts w:hint="eastAsia" w:ascii="方正仿宋_GBK" w:hAnsi="方正仿宋_GBK" w:eastAsia="方正仿宋_GBK" w:cs="方正仿宋_GBK"/>
          <w:b/>
          <w:color w:val="auto"/>
          <w:sz w:val="24"/>
          <w:szCs w:val="24"/>
          <w:highlight w:val="none"/>
          <w:u w:val="single"/>
        </w:rPr>
        <w:t xml:space="preserve">                                     </w:t>
      </w:r>
    </w:p>
    <w:p w14:paraId="5A21CBA0">
      <w:pPr>
        <w:keepNext w:val="0"/>
        <w:keepLines w:val="0"/>
        <w:pageBreakBefore w:val="0"/>
        <w:widowControl w:val="0"/>
        <w:kinsoku/>
        <w:wordWrap/>
        <w:overflowPunct/>
        <w:topLinePunct w:val="0"/>
        <w:bidi w:val="0"/>
        <w:spacing w:line="360" w:lineRule="exact"/>
        <w:textAlignment w:val="auto"/>
        <w:rPr>
          <w:rFonts w:hint="eastAsia" w:ascii="方正仿宋_GBK" w:hAnsi="方正仿宋_GBK" w:eastAsia="方正仿宋_GBK" w:cs="方正仿宋_GBK"/>
          <w:b/>
          <w:color w:val="auto"/>
          <w:sz w:val="24"/>
          <w:szCs w:val="24"/>
          <w:highlight w:val="none"/>
          <w:u w:val="single"/>
        </w:rPr>
      </w:pPr>
      <w:r>
        <w:rPr>
          <w:rFonts w:hint="eastAsia" w:ascii="方正仿宋_GBK" w:hAnsi="方正仿宋_GBK" w:eastAsia="方正仿宋_GBK" w:cs="方正仿宋_GBK"/>
          <w:b/>
          <w:color w:val="auto"/>
          <w:sz w:val="24"/>
          <w:szCs w:val="24"/>
          <w:highlight w:val="none"/>
        </w:rPr>
        <w:t>承包人（全称）：</w:t>
      </w:r>
      <w:r>
        <w:rPr>
          <w:rFonts w:hint="eastAsia" w:ascii="方正仿宋_GBK" w:hAnsi="方正仿宋_GBK" w:eastAsia="方正仿宋_GBK" w:cs="方正仿宋_GBK"/>
          <w:b/>
          <w:color w:val="auto"/>
          <w:sz w:val="24"/>
          <w:szCs w:val="24"/>
          <w:highlight w:val="none"/>
          <w:u w:val="single"/>
        </w:rPr>
        <w:t xml:space="preserve">                                     </w:t>
      </w:r>
    </w:p>
    <w:p w14:paraId="573EFBF6">
      <w:pPr>
        <w:keepNext w:val="0"/>
        <w:keepLines w:val="0"/>
        <w:pageBreakBefore w:val="0"/>
        <w:widowControl w:val="0"/>
        <w:kinsoku/>
        <w:wordWrap/>
        <w:overflowPunct/>
        <w:topLinePunct w:val="0"/>
        <w:autoSpaceDE w:val="0"/>
        <w:autoSpaceDN w:val="0"/>
        <w:bidi w:val="0"/>
        <w:adjustRightInd w:val="0"/>
        <w:snapToGrid w:val="0"/>
        <w:spacing w:line="360" w:lineRule="exact"/>
        <w:ind w:firstLine="480" w:firstLineChars="200"/>
        <w:jc w:val="left"/>
        <w:textAlignment w:val="auto"/>
        <w:rPr>
          <w:rFonts w:hint="eastAsia" w:ascii="方正仿宋_GBK" w:hAnsi="方正仿宋_GBK" w:eastAsia="方正仿宋_GBK" w:cs="方正仿宋_GBK"/>
          <w:b/>
          <w:color w:val="auto"/>
          <w:kern w:val="0"/>
          <w:sz w:val="24"/>
          <w:szCs w:val="24"/>
          <w:highlight w:val="none"/>
          <w:u w:val="single"/>
        </w:rPr>
      </w:pPr>
      <w:r>
        <w:rPr>
          <w:rFonts w:hint="eastAsia" w:ascii="方正仿宋_GBK" w:hAnsi="方正仿宋_GBK" w:eastAsia="方正仿宋_GBK" w:cs="方正仿宋_GBK"/>
          <w:color w:val="auto"/>
          <w:sz w:val="24"/>
          <w:szCs w:val="24"/>
          <w:highlight w:val="none"/>
        </w:rPr>
        <w:t>根据《中华人民共和国</w:t>
      </w:r>
      <w:r>
        <w:rPr>
          <w:rFonts w:hint="eastAsia" w:ascii="方正仿宋_GBK" w:hAnsi="方正仿宋_GBK" w:eastAsia="方正仿宋_GBK" w:cs="方正仿宋_GBK"/>
          <w:color w:val="auto"/>
          <w:sz w:val="24"/>
          <w:szCs w:val="24"/>
          <w:highlight w:val="none"/>
          <w:lang w:eastAsia="zh-CN"/>
        </w:rPr>
        <w:t>民法典</w:t>
      </w:r>
      <w:r>
        <w:rPr>
          <w:rFonts w:hint="eastAsia" w:ascii="方正仿宋_GBK" w:hAnsi="方正仿宋_GBK" w:eastAsia="方正仿宋_GBK" w:cs="方正仿宋_GBK"/>
          <w:color w:val="auto"/>
          <w:sz w:val="24"/>
          <w:szCs w:val="24"/>
          <w:highlight w:val="none"/>
        </w:rPr>
        <w:t>》、《中华人民共和国建筑法》及有关法律规定，遵循平等、自愿、公平和诚实信用的原则，双方就</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施工及有关事项协商一致，共同达成如下协议：</w:t>
      </w:r>
    </w:p>
    <w:p w14:paraId="6CE85773">
      <w:pPr>
        <w:keepNext w:val="0"/>
        <w:keepLines w:val="0"/>
        <w:pageBreakBefore w:val="0"/>
        <w:widowControl w:val="0"/>
        <w:kinsoku/>
        <w:wordWrap/>
        <w:overflowPunct/>
        <w:topLinePunct w:val="0"/>
        <w:bidi w:val="0"/>
        <w:spacing w:line="360" w:lineRule="exact"/>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 xml:space="preserve">   </w:t>
      </w:r>
      <w:r>
        <w:rPr>
          <w:rFonts w:hint="eastAsia" w:ascii="方正仿宋_GBK" w:hAnsi="方正仿宋_GBK" w:eastAsia="方正仿宋_GBK" w:cs="方正仿宋_GBK"/>
          <w:b/>
          <w:color w:val="auto"/>
          <w:sz w:val="24"/>
          <w:szCs w:val="24"/>
          <w:highlight w:val="none"/>
        </w:rPr>
        <w:t xml:space="preserve"> </w:t>
      </w:r>
      <w:bookmarkStart w:id="523" w:name="_Toc25789"/>
      <w:bookmarkStart w:id="524" w:name="_Toc351203481"/>
      <w:bookmarkStart w:id="525" w:name="_Toc6202"/>
      <w:r>
        <w:rPr>
          <w:rFonts w:hint="eastAsia" w:ascii="方正仿宋_GBK" w:hAnsi="方正仿宋_GBK" w:eastAsia="方正仿宋_GBK" w:cs="方正仿宋_GBK"/>
          <w:b/>
          <w:color w:val="auto"/>
          <w:sz w:val="24"/>
          <w:szCs w:val="24"/>
          <w:highlight w:val="none"/>
        </w:rPr>
        <w:t>一、工程概况</w:t>
      </w:r>
      <w:bookmarkEnd w:id="523"/>
      <w:bookmarkEnd w:id="524"/>
      <w:bookmarkEnd w:id="525"/>
    </w:p>
    <w:p w14:paraId="75F4615C">
      <w:pPr>
        <w:keepNext w:val="0"/>
        <w:keepLines w:val="0"/>
        <w:pageBreakBefore w:val="0"/>
        <w:widowControl w:val="0"/>
        <w:kinsoku/>
        <w:wordWrap/>
        <w:overflowPunct/>
        <w:topLinePunct w:val="0"/>
        <w:bidi w:val="0"/>
        <w:spacing w:line="360" w:lineRule="exact"/>
        <w:ind w:firstLine="470" w:firstLineChars="196"/>
        <w:textAlignment w:val="auto"/>
        <w:rPr>
          <w:rFonts w:hint="eastAsia" w:ascii="方正仿宋_GBK" w:hAnsi="方正仿宋_GBK" w:eastAsia="方正仿宋_GBK" w:cs="方正仿宋_GBK"/>
          <w:color w:val="auto"/>
          <w:sz w:val="24"/>
          <w:szCs w:val="24"/>
          <w:highlight w:val="none"/>
          <w:u w:val="single"/>
        </w:rPr>
      </w:pPr>
      <w:r>
        <w:rPr>
          <w:rFonts w:hint="eastAsia" w:ascii="方正仿宋_GBK" w:hAnsi="方正仿宋_GBK" w:eastAsia="方正仿宋_GBK" w:cs="方正仿宋_GBK"/>
          <w:bCs/>
          <w:color w:val="auto"/>
          <w:sz w:val="24"/>
          <w:szCs w:val="24"/>
          <w:highlight w:val="none"/>
        </w:rPr>
        <w:t>1.工程名称</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b/>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b/>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w:t>
      </w:r>
    </w:p>
    <w:p w14:paraId="56F0B0D9">
      <w:pPr>
        <w:keepNext w:val="0"/>
        <w:keepLines w:val="0"/>
        <w:pageBreakBefore w:val="0"/>
        <w:widowControl w:val="0"/>
        <w:tabs>
          <w:tab w:val="left" w:pos="2580"/>
          <w:tab w:val="left" w:pos="3280"/>
          <w:tab w:val="left" w:pos="6120"/>
          <w:tab w:val="left" w:pos="7540"/>
          <w:tab w:val="left" w:pos="8320"/>
        </w:tabs>
        <w:kinsoku/>
        <w:wordWrap/>
        <w:overflowPunct/>
        <w:topLinePunct w:val="0"/>
        <w:autoSpaceDE w:val="0"/>
        <w:autoSpaceDN w:val="0"/>
        <w:bidi w:val="0"/>
        <w:adjustRightInd w:val="0"/>
        <w:snapToGrid w:val="0"/>
        <w:spacing w:line="360" w:lineRule="exact"/>
        <w:ind w:firstLine="480" w:firstLineChars="200"/>
        <w:textAlignment w:val="auto"/>
        <w:rPr>
          <w:rFonts w:hint="eastAsia" w:ascii="方正仿宋_GBK" w:hAnsi="方正仿宋_GBK" w:eastAsia="方正仿宋_GBK" w:cs="方正仿宋_GBK"/>
          <w:snapToGrid w:val="0"/>
          <w:color w:val="auto"/>
          <w:kern w:val="0"/>
          <w:position w:val="-2"/>
          <w:sz w:val="24"/>
          <w:szCs w:val="24"/>
          <w:highlight w:val="none"/>
        </w:rPr>
      </w:pPr>
      <w:r>
        <w:rPr>
          <w:rFonts w:hint="eastAsia" w:ascii="方正仿宋_GBK" w:hAnsi="方正仿宋_GBK" w:eastAsia="方正仿宋_GBK" w:cs="方正仿宋_GBK"/>
          <w:bCs/>
          <w:color w:val="auto"/>
          <w:sz w:val="24"/>
          <w:szCs w:val="24"/>
          <w:highlight w:val="none"/>
        </w:rPr>
        <w:t>2.工程地点：</w:t>
      </w:r>
      <w:r>
        <w:rPr>
          <w:rFonts w:hint="eastAsia" w:ascii="方正仿宋_GBK" w:hAnsi="方正仿宋_GBK" w:eastAsia="方正仿宋_GBK" w:cs="方正仿宋_GBK"/>
          <w:b/>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w:t>
      </w:r>
    </w:p>
    <w:p w14:paraId="3AEED9C0">
      <w:pPr>
        <w:keepNext w:val="0"/>
        <w:keepLines w:val="0"/>
        <w:pageBreakBefore w:val="0"/>
        <w:widowControl w:val="0"/>
        <w:kinsoku/>
        <w:wordWrap/>
        <w:overflowPunct/>
        <w:topLinePunct w:val="0"/>
        <w:bidi w:val="0"/>
        <w:spacing w:line="360" w:lineRule="exact"/>
        <w:ind w:firstLine="470" w:firstLineChars="196"/>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3.工程立项批准文号：</w:t>
      </w:r>
      <w:r>
        <w:rPr>
          <w:rFonts w:hint="eastAsia" w:ascii="方正仿宋_GBK" w:hAnsi="方正仿宋_GBK" w:eastAsia="方正仿宋_GBK" w:cs="方正仿宋_GBK"/>
          <w:b/>
          <w:color w:val="auto"/>
          <w:sz w:val="24"/>
          <w:szCs w:val="24"/>
          <w:highlight w:val="none"/>
          <w:u w:val="single"/>
        </w:rPr>
        <w:t xml:space="preserve">                              </w:t>
      </w:r>
      <w:r>
        <w:rPr>
          <w:rFonts w:hint="eastAsia" w:ascii="方正仿宋_GBK" w:hAnsi="方正仿宋_GBK" w:eastAsia="方正仿宋_GBK" w:cs="方正仿宋_GBK"/>
          <w:bCs/>
          <w:color w:val="auto"/>
          <w:sz w:val="24"/>
          <w:szCs w:val="24"/>
          <w:highlight w:val="none"/>
        </w:rPr>
        <w:t>。</w:t>
      </w:r>
    </w:p>
    <w:p w14:paraId="30A353B5">
      <w:pPr>
        <w:keepNext w:val="0"/>
        <w:keepLines w:val="0"/>
        <w:pageBreakBefore w:val="0"/>
        <w:widowControl w:val="0"/>
        <w:kinsoku/>
        <w:wordWrap/>
        <w:overflowPunct/>
        <w:topLinePunct w:val="0"/>
        <w:bidi w:val="0"/>
        <w:spacing w:line="360" w:lineRule="exact"/>
        <w:ind w:firstLine="470" w:firstLineChars="196"/>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4.资金来源：</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bCs/>
          <w:color w:val="auto"/>
          <w:sz w:val="24"/>
          <w:szCs w:val="24"/>
          <w:highlight w:val="none"/>
        </w:rPr>
        <w:t>。</w:t>
      </w:r>
    </w:p>
    <w:p w14:paraId="00DCCA6D">
      <w:pPr>
        <w:keepNext w:val="0"/>
        <w:keepLines w:val="0"/>
        <w:pageBreakBefore w:val="0"/>
        <w:widowControl w:val="0"/>
        <w:kinsoku/>
        <w:wordWrap/>
        <w:overflowPunct/>
        <w:topLinePunct w:val="0"/>
        <w:bidi w:val="0"/>
        <w:spacing w:line="360" w:lineRule="exact"/>
        <w:ind w:firstLine="470" w:firstLineChars="196"/>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5.工程内容：</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bCs/>
          <w:color w:val="auto"/>
          <w:sz w:val="24"/>
          <w:szCs w:val="24"/>
          <w:highlight w:val="none"/>
        </w:rPr>
        <w:t>。</w:t>
      </w:r>
      <w:r>
        <w:rPr>
          <w:rFonts w:hint="eastAsia" w:ascii="方正仿宋_GBK" w:hAnsi="方正仿宋_GBK" w:eastAsia="方正仿宋_GBK" w:cs="方正仿宋_GBK"/>
          <w:snapToGrid w:val="0"/>
          <w:color w:val="auto"/>
          <w:kern w:val="0"/>
          <w:position w:val="-2"/>
          <w:sz w:val="24"/>
          <w:szCs w:val="24"/>
          <w:highlight w:val="none"/>
        </w:rPr>
        <w:t xml:space="preserve"> </w:t>
      </w:r>
    </w:p>
    <w:p w14:paraId="274ADFD1">
      <w:pPr>
        <w:keepNext w:val="0"/>
        <w:keepLines w:val="0"/>
        <w:pageBreakBefore w:val="0"/>
        <w:widowControl w:val="0"/>
        <w:kinsoku/>
        <w:wordWrap/>
        <w:overflowPunct/>
        <w:topLinePunct w:val="0"/>
        <w:bidi w:val="0"/>
        <w:spacing w:line="360" w:lineRule="exact"/>
        <w:ind w:firstLine="470" w:firstLineChars="196"/>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6.工程承包范围：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bCs/>
          <w:color w:val="auto"/>
          <w:sz w:val="24"/>
          <w:szCs w:val="24"/>
          <w:highlight w:val="none"/>
        </w:rPr>
        <w:t>。</w:t>
      </w:r>
    </w:p>
    <w:p w14:paraId="4F94BEDD">
      <w:pPr>
        <w:keepNext w:val="0"/>
        <w:keepLines w:val="0"/>
        <w:pageBreakBefore w:val="0"/>
        <w:widowControl w:val="0"/>
        <w:kinsoku/>
        <w:wordWrap/>
        <w:overflowPunct/>
        <w:topLinePunct w:val="0"/>
        <w:bidi w:val="0"/>
        <w:spacing w:line="360" w:lineRule="exact"/>
        <w:textAlignment w:val="auto"/>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 xml:space="preserve">   </w:t>
      </w:r>
      <w:bookmarkStart w:id="526" w:name="_Toc1829"/>
      <w:bookmarkStart w:id="527" w:name="_Toc31111"/>
      <w:bookmarkStart w:id="528" w:name="_Toc351203482"/>
      <w:r>
        <w:rPr>
          <w:rFonts w:hint="eastAsia" w:ascii="方正仿宋_GBK" w:hAnsi="方正仿宋_GBK" w:eastAsia="方正仿宋_GBK" w:cs="方正仿宋_GBK"/>
          <w:b/>
          <w:color w:val="auto"/>
          <w:sz w:val="24"/>
          <w:szCs w:val="24"/>
          <w:highlight w:val="none"/>
          <w:lang w:val="en-US" w:eastAsia="zh-CN"/>
        </w:rPr>
        <w:t xml:space="preserve"> </w:t>
      </w:r>
      <w:r>
        <w:rPr>
          <w:rFonts w:hint="eastAsia" w:ascii="方正仿宋_GBK" w:hAnsi="方正仿宋_GBK" w:eastAsia="方正仿宋_GBK" w:cs="方正仿宋_GBK"/>
          <w:b/>
          <w:color w:val="auto"/>
          <w:sz w:val="24"/>
          <w:szCs w:val="24"/>
          <w:highlight w:val="none"/>
        </w:rPr>
        <w:t>二、合同工期</w:t>
      </w:r>
      <w:bookmarkEnd w:id="526"/>
      <w:bookmarkEnd w:id="527"/>
      <w:bookmarkEnd w:id="528"/>
    </w:p>
    <w:p w14:paraId="7958361D">
      <w:pPr>
        <w:keepNext w:val="0"/>
        <w:keepLines w:val="0"/>
        <w:pageBreakBefore w:val="0"/>
        <w:widowControl w:val="0"/>
        <w:kinsoku/>
        <w:wordWrap/>
        <w:overflowPunct/>
        <w:topLinePunct w:val="0"/>
        <w:bidi w:val="0"/>
        <w:spacing w:line="360" w:lineRule="exact"/>
        <w:ind w:firstLine="459"/>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计划开工日期：</w:t>
      </w:r>
      <w:r>
        <w:rPr>
          <w:rFonts w:hint="eastAsia" w:ascii="方正仿宋_GBK" w:hAnsi="方正仿宋_GBK" w:eastAsia="方正仿宋_GBK" w:cs="方正仿宋_GBK"/>
          <w:b/>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b/>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b/>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日。</w:t>
      </w:r>
    </w:p>
    <w:p w14:paraId="2D442563">
      <w:pPr>
        <w:keepNext w:val="0"/>
        <w:keepLines w:val="0"/>
        <w:pageBreakBefore w:val="0"/>
        <w:widowControl w:val="0"/>
        <w:kinsoku/>
        <w:wordWrap/>
        <w:overflowPunct/>
        <w:topLinePunct w:val="0"/>
        <w:bidi w:val="0"/>
        <w:spacing w:line="360" w:lineRule="exact"/>
        <w:ind w:firstLine="459"/>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计划竣工日期：</w:t>
      </w:r>
      <w:r>
        <w:rPr>
          <w:rFonts w:hint="eastAsia" w:ascii="方正仿宋_GBK" w:hAnsi="方正仿宋_GBK" w:eastAsia="方正仿宋_GBK" w:cs="方正仿宋_GBK"/>
          <w:b/>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b/>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b/>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日。</w:t>
      </w:r>
    </w:p>
    <w:p w14:paraId="3C875FC7">
      <w:pPr>
        <w:keepNext w:val="0"/>
        <w:keepLines w:val="0"/>
        <w:pageBreakBefore w:val="0"/>
        <w:widowControl w:val="0"/>
        <w:kinsoku/>
        <w:wordWrap/>
        <w:overflowPunct/>
        <w:topLinePunct w:val="0"/>
        <w:bidi w:val="0"/>
        <w:spacing w:line="360" w:lineRule="exact"/>
        <w:ind w:firstLine="459"/>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工期总日历天数：</w:t>
      </w:r>
      <w:r>
        <w:rPr>
          <w:rFonts w:hint="eastAsia" w:ascii="方正仿宋_GBK" w:hAnsi="方正仿宋_GBK" w:eastAsia="方正仿宋_GBK" w:cs="方正仿宋_GBK"/>
          <w:b/>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天。工期总日历天数与根据前述计划开竣工日期计算的工期天数不一致的，以工期总日历天数为准。</w:t>
      </w:r>
    </w:p>
    <w:p w14:paraId="59636F96">
      <w:pPr>
        <w:keepNext w:val="0"/>
        <w:keepLines w:val="0"/>
        <w:pageBreakBefore w:val="0"/>
        <w:widowControl w:val="0"/>
        <w:kinsoku/>
        <w:wordWrap/>
        <w:overflowPunct/>
        <w:topLinePunct w:val="0"/>
        <w:bidi w:val="0"/>
        <w:spacing w:line="360" w:lineRule="exact"/>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 xml:space="preserve">    </w:t>
      </w:r>
      <w:bookmarkStart w:id="529" w:name="_Toc17490"/>
      <w:bookmarkStart w:id="530" w:name="_Toc351203483"/>
      <w:bookmarkStart w:id="531" w:name="_Toc27926"/>
      <w:r>
        <w:rPr>
          <w:rFonts w:hint="eastAsia" w:ascii="方正仿宋_GBK" w:hAnsi="方正仿宋_GBK" w:eastAsia="方正仿宋_GBK" w:cs="方正仿宋_GBK"/>
          <w:b/>
          <w:color w:val="auto"/>
          <w:sz w:val="24"/>
          <w:szCs w:val="24"/>
          <w:highlight w:val="none"/>
        </w:rPr>
        <w:t>三、质量标准</w:t>
      </w:r>
      <w:bookmarkEnd w:id="529"/>
      <w:bookmarkEnd w:id="530"/>
      <w:bookmarkEnd w:id="531"/>
    </w:p>
    <w:p w14:paraId="713EEAA6">
      <w:pPr>
        <w:keepNext w:val="0"/>
        <w:keepLines w:val="0"/>
        <w:pageBreakBefore w:val="0"/>
        <w:widowControl w:val="0"/>
        <w:kinsoku/>
        <w:wordWrap/>
        <w:overflowPunct/>
        <w:topLinePunct w:val="0"/>
        <w:bidi w:val="0"/>
        <w:spacing w:line="360" w:lineRule="exact"/>
        <w:ind w:firstLine="459"/>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工程质量达到国家现行有关施工质量验收规范要求，并达到合格标准。</w:t>
      </w:r>
    </w:p>
    <w:p w14:paraId="4082B353">
      <w:pPr>
        <w:keepNext w:val="0"/>
        <w:keepLines w:val="0"/>
        <w:pageBreakBefore w:val="0"/>
        <w:widowControl w:val="0"/>
        <w:kinsoku/>
        <w:wordWrap/>
        <w:overflowPunct/>
        <w:topLinePunct w:val="0"/>
        <w:bidi w:val="0"/>
        <w:spacing w:line="360" w:lineRule="exact"/>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 xml:space="preserve">   </w:t>
      </w:r>
      <w:r>
        <w:rPr>
          <w:rFonts w:hint="eastAsia" w:ascii="方正仿宋_GBK" w:hAnsi="方正仿宋_GBK" w:eastAsia="方正仿宋_GBK" w:cs="方正仿宋_GBK"/>
          <w:b/>
          <w:color w:val="auto"/>
          <w:sz w:val="24"/>
          <w:szCs w:val="24"/>
          <w:highlight w:val="none"/>
        </w:rPr>
        <w:t xml:space="preserve"> </w:t>
      </w:r>
      <w:bookmarkStart w:id="532" w:name="_Toc24210"/>
      <w:bookmarkStart w:id="533" w:name="_Toc351203484"/>
      <w:bookmarkStart w:id="534" w:name="_Toc12594"/>
      <w:r>
        <w:rPr>
          <w:rFonts w:hint="eastAsia" w:ascii="方正仿宋_GBK" w:hAnsi="方正仿宋_GBK" w:eastAsia="方正仿宋_GBK" w:cs="方正仿宋_GBK"/>
          <w:b/>
          <w:color w:val="auto"/>
          <w:sz w:val="24"/>
          <w:szCs w:val="24"/>
          <w:highlight w:val="none"/>
        </w:rPr>
        <w:t>四、签约合同价与合同价格形式</w:t>
      </w:r>
      <w:bookmarkEnd w:id="532"/>
      <w:bookmarkEnd w:id="533"/>
      <w:bookmarkEnd w:id="534"/>
      <w:r>
        <w:rPr>
          <w:rFonts w:hint="eastAsia" w:ascii="方正仿宋_GBK" w:hAnsi="方正仿宋_GBK" w:eastAsia="方正仿宋_GBK" w:cs="方正仿宋_GBK"/>
          <w:b/>
          <w:color w:val="auto"/>
          <w:sz w:val="24"/>
          <w:szCs w:val="24"/>
          <w:highlight w:val="none"/>
        </w:rPr>
        <w:tab/>
      </w:r>
    </w:p>
    <w:p w14:paraId="3CE52CF2">
      <w:pPr>
        <w:keepNext w:val="0"/>
        <w:keepLines w:val="0"/>
        <w:pageBreakBefore w:val="0"/>
        <w:widowControl w:val="0"/>
        <w:kinsoku/>
        <w:wordWrap/>
        <w:overflowPunct/>
        <w:topLinePunct w:val="0"/>
        <w:bidi w:val="0"/>
        <w:spacing w:line="36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1.签约合同价为：</w:t>
      </w:r>
    </w:p>
    <w:p w14:paraId="223A3F12">
      <w:pPr>
        <w:keepNext w:val="0"/>
        <w:keepLines w:val="0"/>
        <w:pageBreakBefore w:val="0"/>
        <w:widowControl w:val="0"/>
        <w:kinsoku/>
        <w:wordWrap/>
        <w:overflowPunct/>
        <w:topLinePunct w:val="0"/>
        <w:bidi w:val="0"/>
        <w:spacing w:line="360" w:lineRule="exact"/>
        <w:ind w:firstLine="600" w:firstLineChars="25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人民币（大写）</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元)；</w:t>
      </w:r>
    </w:p>
    <w:p w14:paraId="19502A49">
      <w:pPr>
        <w:keepNext w:val="0"/>
        <w:keepLines w:val="0"/>
        <w:pageBreakBefore w:val="0"/>
        <w:widowControl w:val="0"/>
        <w:kinsoku/>
        <w:wordWrap/>
        <w:overflowPunct/>
        <w:topLinePunct w:val="0"/>
        <w:bidi w:val="0"/>
        <w:spacing w:line="36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（1）安全文明施工费：</w:t>
      </w:r>
    </w:p>
    <w:p w14:paraId="045C4997">
      <w:pPr>
        <w:keepNext w:val="0"/>
        <w:keepLines w:val="0"/>
        <w:pageBreakBefore w:val="0"/>
        <w:widowControl w:val="0"/>
        <w:kinsoku/>
        <w:wordWrap/>
        <w:overflowPunct/>
        <w:topLinePunct w:val="0"/>
        <w:bidi w:val="0"/>
        <w:spacing w:line="360" w:lineRule="exact"/>
        <w:ind w:firstLine="1080" w:firstLineChars="450"/>
        <w:textAlignment w:val="auto"/>
        <w:rPr>
          <w:rFonts w:hint="eastAsia"/>
          <w:color w:val="auto"/>
        </w:rPr>
      </w:pPr>
      <w:r>
        <w:rPr>
          <w:rFonts w:hint="eastAsia" w:ascii="方正仿宋_GBK" w:hAnsi="方正仿宋_GBK" w:eastAsia="方正仿宋_GBK" w:cs="方正仿宋_GBK"/>
          <w:color w:val="auto"/>
          <w:sz w:val="24"/>
          <w:szCs w:val="24"/>
          <w:highlight w:val="none"/>
        </w:rPr>
        <w:t>人民币（大写）</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元)；</w:t>
      </w:r>
    </w:p>
    <w:p w14:paraId="4BEFDB35">
      <w:pPr>
        <w:keepNext w:val="0"/>
        <w:keepLines w:val="0"/>
        <w:pageBreakBefore w:val="0"/>
        <w:widowControl w:val="0"/>
        <w:numPr>
          <w:ilvl w:val="0"/>
          <w:numId w:val="0"/>
        </w:numPr>
        <w:kinsoku/>
        <w:wordWrap/>
        <w:overflowPunct/>
        <w:topLinePunct w:val="0"/>
        <w:bidi w:val="0"/>
        <w:spacing w:line="36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2"/>
          <w:sz w:val="24"/>
          <w:szCs w:val="24"/>
          <w:lang w:val="en-US" w:eastAsia="zh-CN" w:bidi="ar-SA"/>
        </w:rPr>
        <w:t>2.</w:t>
      </w:r>
      <w:r>
        <w:rPr>
          <w:rFonts w:hint="eastAsia" w:ascii="方正仿宋_GBK" w:hAnsi="方正仿宋_GBK" w:eastAsia="方正仿宋_GBK" w:cs="方正仿宋_GBK"/>
          <w:color w:val="auto"/>
          <w:sz w:val="24"/>
          <w:szCs w:val="24"/>
          <w:highlight w:val="none"/>
        </w:rPr>
        <w:t>合同价格形式：</w:t>
      </w:r>
      <w:r>
        <w:rPr>
          <w:rFonts w:hint="eastAsia" w:ascii="方正仿宋_GBK" w:hAnsi="方正仿宋_GBK" w:eastAsia="方正仿宋_GBK" w:cs="方正仿宋_GBK"/>
          <w:b/>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w:t>
      </w:r>
    </w:p>
    <w:p w14:paraId="3F8A2713">
      <w:pPr>
        <w:keepNext w:val="0"/>
        <w:keepLines w:val="0"/>
        <w:pageBreakBefore w:val="0"/>
        <w:widowControl w:val="0"/>
        <w:kinsoku/>
        <w:wordWrap/>
        <w:overflowPunct/>
        <w:topLinePunct w:val="0"/>
        <w:bidi w:val="0"/>
        <w:spacing w:line="360" w:lineRule="exact"/>
        <w:ind w:firstLine="240" w:firstLineChars="100"/>
        <w:textAlignment w:val="auto"/>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Cs/>
          <w:color w:val="auto"/>
          <w:sz w:val="24"/>
          <w:szCs w:val="24"/>
          <w:highlight w:val="none"/>
        </w:rPr>
        <w:t xml:space="preserve"> </w:t>
      </w:r>
      <w:r>
        <w:rPr>
          <w:rFonts w:hint="eastAsia" w:ascii="方正仿宋_GBK" w:hAnsi="方正仿宋_GBK" w:eastAsia="方正仿宋_GBK" w:cs="方正仿宋_GBK"/>
          <w:b/>
          <w:color w:val="auto"/>
          <w:sz w:val="24"/>
          <w:szCs w:val="24"/>
          <w:highlight w:val="none"/>
        </w:rPr>
        <w:t xml:space="preserve"> </w:t>
      </w:r>
      <w:bookmarkStart w:id="535" w:name="_Toc351203485"/>
      <w:bookmarkStart w:id="536" w:name="_Toc7595"/>
      <w:bookmarkStart w:id="537" w:name="_Toc6386"/>
      <w:r>
        <w:rPr>
          <w:rFonts w:hint="eastAsia" w:ascii="方正仿宋_GBK" w:hAnsi="方正仿宋_GBK" w:eastAsia="方正仿宋_GBK" w:cs="方正仿宋_GBK"/>
          <w:b/>
          <w:color w:val="auto"/>
          <w:sz w:val="24"/>
          <w:szCs w:val="24"/>
          <w:highlight w:val="none"/>
        </w:rPr>
        <w:t>五、</w:t>
      </w:r>
      <w:bookmarkEnd w:id="535"/>
      <w:r>
        <w:rPr>
          <w:rFonts w:hint="eastAsia" w:ascii="方正仿宋_GBK" w:hAnsi="方正仿宋_GBK" w:eastAsia="方正仿宋_GBK" w:cs="方正仿宋_GBK"/>
          <w:b/>
          <w:color w:val="auto"/>
          <w:sz w:val="24"/>
          <w:szCs w:val="24"/>
          <w:highlight w:val="none"/>
        </w:rPr>
        <w:t>项目经理</w:t>
      </w:r>
      <w:bookmarkEnd w:id="536"/>
      <w:bookmarkEnd w:id="537"/>
    </w:p>
    <w:p w14:paraId="4BA05A79">
      <w:pPr>
        <w:keepNext w:val="0"/>
        <w:keepLines w:val="0"/>
        <w:pageBreakBefore w:val="0"/>
        <w:widowControl w:val="0"/>
        <w:kinsoku/>
        <w:wordWrap/>
        <w:overflowPunct/>
        <w:topLinePunct w:val="0"/>
        <w:bidi w:val="0"/>
        <w:spacing w:line="36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承包人项目经理：</w:t>
      </w:r>
      <w:r>
        <w:rPr>
          <w:rFonts w:hint="eastAsia" w:ascii="方正仿宋_GBK" w:hAnsi="方正仿宋_GBK" w:eastAsia="方正仿宋_GBK" w:cs="方正仿宋_GBK"/>
          <w:b/>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w:t>
      </w:r>
    </w:p>
    <w:p w14:paraId="02ED5A05">
      <w:pPr>
        <w:keepNext w:val="0"/>
        <w:keepLines w:val="0"/>
        <w:pageBreakBefore w:val="0"/>
        <w:widowControl w:val="0"/>
        <w:kinsoku/>
        <w:wordWrap/>
        <w:overflowPunct/>
        <w:topLinePunct w:val="0"/>
        <w:bidi w:val="0"/>
        <w:spacing w:line="360" w:lineRule="exact"/>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 xml:space="preserve">   </w:t>
      </w:r>
      <w:r>
        <w:rPr>
          <w:rFonts w:hint="eastAsia" w:ascii="方正仿宋_GBK" w:hAnsi="方正仿宋_GBK" w:eastAsia="方正仿宋_GBK" w:cs="方正仿宋_GBK"/>
          <w:b/>
          <w:color w:val="auto"/>
          <w:sz w:val="24"/>
          <w:szCs w:val="24"/>
          <w:highlight w:val="none"/>
        </w:rPr>
        <w:t xml:space="preserve"> </w:t>
      </w:r>
      <w:bookmarkStart w:id="538" w:name="_Toc21544"/>
      <w:bookmarkStart w:id="539" w:name="_Toc27968"/>
      <w:bookmarkStart w:id="540" w:name="_Toc351203486"/>
      <w:r>
        <w:rPr>
          <w:rFonts w:hint="eastAsia" w:ascii="方正仿宋_GBK" w:hAnsi="方正仿宋_GBK" w:eastAsia="方正仿宋_GBK" w:cs="方正仿宋_GBK"/>
          <w:b/>
          <w:color w:val="auto"/>
          <w:sz w:val="24"/>
          <w:szCs w:val="24"/>
          <w:highlight w:val="none"/>
        </w:rPr>
        <w:t>六、合同文件构成</w:t>
      </w:r>
      <w:bookmarkEnd w:id="538"/>
      <w:bookmarkEnd w:id="539"/>
      <w:bookmarkEnd w:id="540"/>
    </w:p>
    <w:p w14:paraId="2DAA4926">
      <w:pPr>
        <w:keepNext w:val="0"/>
        <w:keepLines w:val="0"/>
        <w:pageBreakBefore w:val="0"/>
        <w:widowControl w:val="0"/>
        <w:kinsoku/>
        <w:wordWrap/>
        <w:overflowPunct/>
        <w:topLinePunct w:val="0"/>
        <w:bidi w:val="0"/>
        <w:spacing w:line="360" w:lineRule="exact"/>
        <w:ind w:firstLine="480" w:firstLineChars="20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本协议书与下列文件一起构成合同文件：</w:t>
      </w:r>
    </w:p>
    <w:p w14:paraId="6CC7F2CD">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eastAsia="zh-CN"/>
        </w:rPr>
        <w:t>中选通知书</w:t>
      </w:r>
      <w:r>
        <w:rPr>
          <w:rFonts w:hint="eastAsia" w:ascii="方正仿宋_GBK" w:hAnsi="方正仿宋_GBK" w:eastAsia="方正仿宋_GBK" w:cs="方正仿宋_GBK"/>
          <w:color w:val="auto"/>
          <w:sz w:val="24"/>
          <w:szCs w:val="24"/>
          <w:highlight w:val="none"/>
        </w:rPr>
        <w:t>；</w:t>
      </w:r>
    </w:p>
    <w:p w14:paraId="5F4981D5">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（2）竞标函； </w:t>
      </w:r>
    </w:p>
    <w:p w14:paraId="4BC54517">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（3）技术标准和要求；</w:t>
      </w:r>
    </w:p>
    <w:p w14:paraId="3CF1E4E5">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）图纸；</w:t>
      </w:r>
    </w:p>
    <w:p w14:paraId="18800BF3">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已标价工程量清单</w:t>
      </w:r>
      <w:r>
        <w:rPr>
          <w:rFonts w:hint="eastAsia" w:ascii="方正仿宋_GBK" w:hAnsi="方正仿宋_GBK" w:eastAsia="方正仿宋_GBK" w:cs="方正仿宋_GBK"/>
          <w:color w:val="auto"/>
          <w:sz w:val="24"/>
          <w:szCs w:val="24"/>
          <w:highlight w:val="none"/>
        </w:rPr>
        <w:t>；</w:t>
      </w:r>
    </w:p>
    <w:p w14:paraId="6534B7FA">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方正仿宋_GBK" w:eastAsia="方正仿宋_GBK" w:cs="方正仿宋_GBK"/>
          <w:color w:val="auto"/>
          <w:sz w:val="24"/>
          <w:szCs w:val="24"/>
          <w:highlight w:val="none"/>
        </w:rPr>
        <w:t>）其他合同文件。</w:t>
      </w:r>
    </w:p>
    <w:p w14:paraId="00284153">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在合同订立及履行过程中形成的与合同有关的文件均构成合同文件组成部分。</w:t>
      </w:r>
    </w:p>
    <w:p w14:paraId="4712A6CB">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5FC5F420">
      <w:pPr>
        <w:keepNext w:val="0"/>
        <w:keepLines w:val="0"/>
        <w:pageBreakBefore w:val="0"/>
        <w:widowControl w:val="0"/>
        <w:kinsoku/>
        <w:wordWrap/>
        <w:overflowPunct/>
        <w:topLinePunct w:val="0"/>
        <w:bidi w:val="0"/>
        <w:spacing w:line="360" w:lineRule="exact"/>
        <w:textAlignment w:val="auto"/>
        <w:rPr>
          <w:rFonts w:hint="eastAsia" w:ascii="方正仿宋_GBK" w:hAnsi="方正仿宋_GBK" w:eastAsia="方正仿宋_GBK" w:cs="方正仿宋_GBK"/>
          <w:b/>
          <w:bCs/>
          <w:color w:val="auto"/>
          <w:sz w:val="24"/>
          <w:szCs w:val="24"/>
          <w:highlight w:val="none"/>
        </w:rPr>
      </w:pPr>
      <w:bookmarkStart w:id="541" w:name="_Toc24344"/>
      <w:bookmarkStart w:id="542" w:name="_Toc351203487"/>
      <w:bookmarkStart w:id="543" w:name="_Toc29844"/>
      <w:r>
        <w:rPr>
          <w:rFonts w:hint="eastAsia" w:ascii="方正仿宋_GBK" w:hAnsi="方正仿宋_GBK" w:eastAsia="方正仿宋_GBK" w:cs="方正仿宋_GBK"/>
          <w:b/>
          <w:color w:val="auto"/>
          <w:sz w:val="24"/>
          <w:szCs w:val="24"/>
          <w:highlight w:val="none"/>
        </w:rPr>
        <w:t>七、承诺</w:t>
      </w:r>
      <w:bookmarkEnd w:id="541"/>
      <w:bookmarkEnd w:id="542"/>
      <w:bookmarkEnd w:id="543"/>
    </w:p>
    <w:p w14:paraId="063AA6C5">
      <w:pPr>
        <w:keepNext w:val="0"/>
        <w:keepLines w:val="0"/>
        <w:pageBreakBefore w:val="0"/>
        <w:widowControl w:val="0"/>
        <w:kinsoku/>
        <w:wordWrap/>
        <w:overflowPunct/>
        <w:topLinePunct w:val="0"/>
        <w:bidi w:val="0"/>
        <w:spacing w:line="360" w:lineRule="exact"/>
        <w:ind w:firstLine="480" w:firstLineChars="20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1.发包人承诺按照法律规定履行项目审批手续、筹集工程建设资金并按照合同约定的期限和方式支付合同价款。</w:t>
      </w:r>
    </w:p>
    <w:p w14:paraId="0E206BD1">
      <w:pPr>
        <w:keepNext w:val="0"/>
        <w:keepLines w:val="0"/>
        <w:pageBreakBefore w:val="0"/>
        <w:widowControl w:val="0"/>
        <w:kinsoku/>
        <w:wordWrap/>
        <w:overflowPunct/>
        <w:topLinePunct w:val="0"/>
        <w:bidi w:val="0"/>
        <w:spacing w:line="360" w:lineRule="exact"/>
        <w:ind w:firstLine="480" w:firstLineChars="20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562C2CFC">
      <w:pPr>
        <w:keepNext w:val="0"/>
        <w:keepLines w:val="0"/>
        <w:pageBreakBefore w:val="0"/>
        <w:widowControl w:val="0"/>
        <w:kinsoku/>
        <w:wordWrap/>
        <w:overflowPunct/>
        <w:topLinePunct w:val="0"/>
        <w:bidi w:val="0"/>
        <w:spacing w:line="360" w:lineRule="exact"/>
        <w:ind w:firstLine="480" w:firstLineChars="20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3.发包人和承包人通过招投标形式签订合同的，双方理解并承诺不再就同一工程另行签订与合同实质性内容相背离的协议。</w:t>
      </w:r>
    </w:p>
    <w:p w14:paraId="4081B14C">
      <w:pPr>
        <w:keepNext w:val="0"/>
        <w:keepLines w:val="0"/>
        <w:pageBreakBefore w:val="0"/>
        <w:widowControl w:val="0"/>
        <w:kinsoku/>
        <w:wordWrap/>
        <w:overflowPunct/>
        <w:topLinePunct w:val="0"/>
        <w:bidi w:val="0"/>
        <w:spacing w:line="360" w:lineRule="exact"/>
        <w:ind w:firstLine="480" w:firstLineChars="20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lang w:val="en-US" w:eastAsia="zh-CN"/>
        </w:rPr>
        <w:t>4.</w:t>
      </w:r>
      <w:r>
        <w:rPr>
          <w:rFonts w:hint="eastAsia" w:ascii="方正仿宋_GBK" w:hAnsi="方正仿宋_GBK" w:eastAsia="方正仿宋_GBK" w:cs="方正仿宋_GBK"/>
          <w:bCs/>
          <w:color w:val="auto"/>
          <w:sz w:val="24"/>
          <w:szCs w:val="24"/>
          <w:highlight w:val="none"/>
          <w:lang w:eastAsia="zh-CN"/>
        </w:rPr>
        <w:t>竞选人</w:t>
      </w:r>
      <w:r>
        <w:rPr>
          <w:rFonts w:hint="eastAsia" w:ascii="方正仿宋_GBK" w:hAnsi="方正仿宋_GBK" w:eastAsia="方正仿宋_GBK" w:cs="方正仿宋_GBK"/>
          <w:bCs/>
          <w:color w:val="auto"/>
          <w:sz w:val="24"/>
          <w:szCs w:val="24"/>
          <w:highlight w:val="none"/>
        </w:rPr>
        <w:t>必须及时支付人工费、材料费等费用，如有投诉材料费、人工费未结清的情况，</w:t>
      </w:r>
      <w:r>
        <w:rPr>
          <w:rFonts w:hint="eastAsia" w:ascii="方正仿宋_GBK" w:hAnsi="方正仿宋_GBK" w:eastAsia="方正仿宋_GBK" w:cs="方正仿宋_GBK"/>
          <w:bCs/>
          <w:color w:val="auto"/>
          <w:sz w:val="24"/>
          <w:szCs w:val="24"/>
          <w:highlight w:val="none"/>
          <w:lang w:eastAsia="zh-CN"/>
        </w:rPr>
        <w:t>比选人</w:t>
      </w:r>
      <w:r>
        <w:rPr>
          <w:rFonts w:hint="eastAsia" w:ascii="方正仿宋_GBK" w:hAnsi="方正仿宋_GBK" w:eastAsia="方正仿宋_GBK" w:cs="方正仿宋_GBK"/>
          <w:bCs/>
          <w:color w:val="auto"/>
          <w:sz w:val="24"/>
          <w:szCs w:val="24"/>
          <w:highlight w:val="none"/>
        </w:rPr>
        <w:t>有权动用乙方一切费用解决属实投诉纠纷。</w:t>
      </w:r>
    </w:p>
    <w:p w14:paraId="4C4A6234">
      <w:pPr>
        <w:keepNext w:val="0"/>
        <w:keepLines w:val="0"/>
        <w:pageBreakBefore w:val="0"/>
        <w:widowControl w:val="0"/>
        <w:kinsoku/>
        <w:wordWrap/>
        <w:overflowPunct/>
        <w:topLinePunct w:val="0"/>
        <w:bidi w:val="0"/>
        <w:spacing w:line="360" w:lineRule="exact"/>
        <w:textAlignment w:val="auto"/>
        <w:rPr>
          <w:rFonts w:hint="eastAsia" w:ascii="方正仿宋_GBK" w:hAnsi="方正仿宋_GBK" w:eastAsia="方正仿宋_GBK" w:cs="方正仿宋_GBK"/>
          <w:bCs/>
          <w:color w:val="auto"/>
          <w:sz w:val="24"/>
          <w:szCs w:val="24"/>
          <w:highlight w:val="none"/>
        </w:rPr>
      </w:pPr>
      <w:bookmarkStart w:id="544" w:name="_Toc351203488"/>
      <w:r>
        <w:rPr>
          <w:rFonts w:hint="eastAsia" w:ascii="方正仿宋_GBK" w:hAnsi="方正仿宋_GBK" w:eastAsia="方正仿宋_GBK" w:cs="方正仿宋_GBK"/>
          <w:b/>
          <w:color w:val="auto"/>
          <w:sz w:val="24"/>
          <w:szCs w:val="24"/>
          <w:highlight w:val="none"/>
        </w:rPr>
        <w:t xml:space="preserve">    八、词语含义</w:t>
      </w:r>
      <w:bookmarkEnd w:id="544"/>
    </w:p>
    <w:p w14:paraId="2AD46FE1">
      <w:pPr>
        <w:keepNext w:val="0"/>
        <w:keepLines w:val="0"/>
        <w:pageBreakBefore w:val="0"/>
        <w:widowControl w:val="0"/>
        <w:kinsoku/>
        <w:wordWrap/>
        <w:overflowPunct/>
        <w:topLinePunct w:val="0"/>
        <w:bidi w:val="0"/>
        <w:spacing w:line="360" w:lineRule="exact"/>
        <w:ind w:firstLine="480" w:firstLineChars="20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本协议书中词语含义与第二部分通用合同条款中赋予的含义相同。</w:t>
      </w:r>
    </w:p>
    <w:p w14:paraId="5F4E9165">
      <w:pPr>
        <w:keepNext w:val="0"/>
        <w:keepLines w:val="0"/>
        <w:pageBreakBefore w:val="0"/>
        <w:widowControl w:val="0"/>
        <w:kinsoku/>
        <w:wordWrap/>
        <w:overflowPunct/>
        <w:topLinePunct w:val="0"/>
        <w:bidi w:val="0"/>
        <w:spacing w:line="360" w:lineRule="exact"/>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 xml:space="preserve">  </w:t>
      </w:r>
      <w:r>
        <w:rPr>
          <w:rFonts w:hint="eastAsia" w:ascii="方正仿宋_GBK" w:hAnsi="方正仿宋_GBK" w:eastAsia="方正仿宋_GBK" w:cs="方正仿宋_GBK"/>
          <w:b/>
          <w:color w:val="auto"/>
          <w:sz w:val="24"/>
          <w:szCs w:val="24"/>
          <w:highlight w:val="none"/>
        </w:rPr>
        <w:t xml:space="preserve">  </w:t>
      </w:r>
      <w:bookmarkStart w:id="545" w:name="_Toc26194"/>
      <w:bookmarkStart w:id="546" w:name="_Toc351203489"/>
      <w:bookmarkStart w:id="547" w:name="_Toc3263"/>
      <w:r>
        <w:rPr>
          <w:rFonts w:hint="eastAsia" w:ascii="方正仿宋_GBK" w:hAnsi="方正仿宋_GBK" w:eastAsia="方正仿宋_GBK" w:cs="方正仿宋_GBK"/>
          <w:b/>
          <w:color w:val="auto"/>
          <w:sz w:val="24"/>
          <w:szCs w:val="24"/>
          <w:highlight w:val="none"/>
        </w:rPr>
        <w:t>九、签订时间</w:t>
      </w:r>
      <w:bookmarkEnd w:id="545"/>
      <w:bookmarkEnd w:id="546"/>
      <w:bookmarkEnd w:id="547"/>
    </w:p>
    <w:p w14:paraId="7FAE737B">
      <w:pPr>
        <w:keepNext w:val="0"/>
        <w:keepLines w:val="0"/>
        <w:pageBreakBefore w:val="0"/>
        <w:widowControl w:val="0"/>
        <w:kinsoku/>
        <w:wordWrap/>
        <w:overflowPunct/>
        <w:topLinePunct w:val="0"/>
        <w:bidi w:val="0"/>
        <w:spacing w:line="360" w:lineRule="exact"/>
        <w:ind w:firstLine="480" w:firstLineChars="20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本合同于</w:t>
      </w:r>
      <w:r>
        <w:rPr>
          <w:rFonts w:hint="eastAsia" w:ascii="方正仿宋_GBK" w:hAnsi="方正仿宋_GBK" w:eastAsia="方正仿宋_GBK" w:cs="方正仿宋_GBK"/>
          <w:bCs/>
          <w:color w:val="auto"/>
          <w:sz w:val="24"/>
          <w:szCs w:val="24"/>
          <w:highlight w:val="none"/>
          <w:u w:val="single"/>
        </w:rPr>
        <w:t xml:space="preserve">         </w:t>
      </w:r>
      <w:r>
        <w:rPr>
          <w:rFonts w:hint="eastAsia" w:ascii="方正仿宋_GBK" w:hAnsi="方正仿宋_GBK" w:eastAsia="方正仿宋_GBK" w:cs="方正仿宋_GBK"/>
          <w:bCs/>
          <w:color w:val="auto"/>
          <w:sz w:val="24"/>
          <w:szCs w:val="24"/>
          <w:highlight w:val="none"/>
        </w:rPr>
        <w:t>年</w:t>
      </w:r>
      <w:r>
        <w:rPr>
          <w:rFonts w:hint="eastAsia" w:ascii="方正仿宋_GBK" w:hAnsi="方正仿宋_GBK" w:eastAsia="方正仿宋_GBK" w:cs="方正仿宋_GBK"/>
          <w:bCs/>
          <w:color w:val="auto"/>
          <w:sz w:val="24"/>
          <w:szCs w:val="24"/>
          <w:highlight w:val="none"/>
          <w:u w:val="single"/>
        </w:rPr>
        <w:t xml:space="preserve">    </w:t>
      </w:r>
      <w:r>
        <w:rPr>
          <w:rFonts w:hint="eastAsia" w:ascii="方正仿宋_GBK" w:hAnsi="方正仿宋_GBK" w:eastAsia="方正仿宋_GBK" w:cs="方正仿宋_GBK"/>
          <w:bCs/>
          <w:color w:val="auto"/>
          <w:sz w:val="24"/>
          <w:szCs w:val="24"/>
          <w:highlight w:val="none"/>
        </w:rPr>
        <w:t>月</w:t>
      </w:r>
      <w:r>
        <w:rPr>
          <w:rFonts w:hint="eastAsia" w:ascii="方正仿宋_GBK" w:hAnsi="方正仿宋_GBK" w:eastAsia="方正仿宋_GBK" w:cs="方正仿宋_GBK"/>
          <w:bCs/>
          <w:color w:val="auto"/>
          <w:sz w:val="24"/>
          <w:szCs w:val="24"/>
          <w:highlight w:val="none"/>
          <w:u w:val="single"/>
        </w:rPr>
        <w:t xml:space="preserve">    </w:t>
      </w:r>
      <w:r>
        <w:rPr>
          <w:rFonts w:hint="eastAsia" w:ascii="方正仿宋_GBK" w:hAnsi="方正仿宋_GBK" w:eastAsia="方正仿宋_GBK" w:cs="方正仿宋_GBK"/>
          <w:bCs/>
          <w:color w:val="auto"/>
          <w:sz w:val="24"/>
          <w:szCs w:val="24"/>
          <w:highlight w:val="none"/>
        </w:rPr>
        <w:t>日签订。</w:t>
      </w:r>
    </w:p>
    <w:p w14:paraId="5ADEF2C7">
      <w:pPr>
        <w:keepNext w:val="0"/>
        <w:keepLines w:val="0"/>
        <w:pageBreakBefore w:val="0"/>
        <w:widowControl w:val="0"/>
        <w:kinsoku/>
        <w:wordWrap/>
        <w:overflowPunct/>
        <w:topLinePunct w:val="0"/>
        <w:bidi w:val="0"/>
        <w:spacing w:line="360" w:lineRule="exact"/>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 xml:space="preserve">    </w:t>
      </w:r>
      <w:bookmarkStart w:id="548" w:name="_Toc19415"/>
      <w:bookmarkStart w:id="549" w:name="_Toc351203490"/>
      <w:bookmarkStart w:id="550" w:name="_Toc31767"/>
      <w:r>
        <w:rPr>
          <w:rFonts w:hint="eastAsia" w:ascii="方正仿宋_GBK" w:hAnsi="方正仿宋_GBK" w:eastAsia="方正仿宋_GBK" w:cs="方正仿宋_GBK"/>
          <w:b/>
          <w:color w:val="auto"/>
          <w:sz w:val="24"/>
          <w:szCs w:val="24"/>
          <w:highlight w:val="none"/>
        </w:rPr>
        <w:t>十、签订地点</w:t>
      </w:r>
      <w:bookmarkEnd w:id="548"/>
      <w:bookmarkEnd w:id="549"/>
      <w:bookmarkEnd w:id="550"/>
    </w:p>
    <w:p w14:paraId="2B8554CD">
      <w:pPr>
        <w:keepNext w:val="0"/>
        <w:keepLines w:val="0"/>
        <w:pageBreakBefore w:val="0"/>
        <w:widowControl w:val="0"/>
        <w:kinsoku/>
        <w:wordWrap/>
        <w:overflowPunct/>
        <w:topLinePunct w:val="0"/>
        <w:bidi w:val="0"/>
        <w:spacing w:line="360" w:lineRule="exact"/>
        <w:ind w:firstLine="480" w:firstLineChars="20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本合同在</w:t>
      </w:r>
      <w:r>
        <w:rPr>
          <w:rFonts w:hint="eastAsia" w:ascii="方正仿宋_GBK" w:hAnsi="方正仿宋_GBK" w:eastAsia="方正仿宋_GBK" w:cs="方正仿宋_GBK"/>
          <w:bCs/>
          <w:color w:val="auto"/>
          <w:sz w:val="24"/>
          <w:szCs w:val="24"/>
          <w:highlight w:val="none"/>
          <w:u w:val="single"/>
        </w:rPr>
        <w:t xml:space="preserve">                                    </w:t>
      </w:r>
      <w:r>
        <w:rPr>
          <w:rFonts w:hint="eastAsia" w:ascii="方正仿宋_GBK" w:hAnsi="方正仿宋_GBK" w:eastAsia="方正仿宋_GBK" w:cs="方正仿宋_GBK"/>
          <w:bCs/>
          <w:color w:val="auto"/>
          <w:sz w:val="24"/>
          <w:szCs w:val="24"/>
          <w:highlight w:val="none"/>
        </w:rPr>
        <w:t>签订。</w:t>
      </w:r>
    </w:p>
    <w:p w14:paraId="7D458A8E">
      <w:pPr>
        <w:keepNext w:val="0"/>
        <w:keepLines w:val="0"/>
        <w:pageBreakBefore w:val="0"/>
        <w:widowControl w:val="0"/>
        <w:kinsoku/>
        <w:wordWrap/>
        <w:overflowPunct/>
        <w:topLinePunct w:val="0"/>
        <w:bidi w:val="0"/>
        <w:spacing w:line="360" w:lineRule="exact"/>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 xml:space="preserve">    </w:t>
      </w:r>
      <w:bookmarkStart w:id="551" w:name="_Toc351203491"/>
      <w:bookmarkStart w:id="552" w:name="_Toc13113"/>
      <w:bookmarkStart w:id="553" w:name="_Toc23575"/>
      <w:r>
        <w:rPr>
          <w:rFonts w:hint="eastAsia" w:ascii="方正仿宋_GBK" w:hAnsi="方正仿宋_GBK" w:eastAsia="方正仿宋_GBK" w:cs="方正仿宋_GBK"/>
          <w:b/>
          <w:color w:val="auto"/>
          <w:sz w:val="24"/>
          <w:szCs w:val="24"/>
          <w:highlight w:val="none"/>
        </w:rPr>
        <w:t>十一、补充协议</w:t>
      </w:r>
      <w:bookmarkEnd w:id="551"/>
      <w:bookmarkEnd w:id="552"/>
      <w:bookmarkEnd w:id="553"/>
    </w:p>
    <w:p w14:paraId="7CA8F538">
      <w:pPr>
        <w:keepNext w:val="0"/>
        <w:keepLines w:val="0"/>
        <w:pageBreakBefore w:val="0"/>
        <w:widowControl w:val="0"/>
        <w:kinsoku/>
        <w:wordWrap/>
        <w:overflowPunct/>
        <w:topLinePunct w:val="0"/>
        <w:bidi w:val="0"/>
        <w:spacing w:line="360" w:lineRule="exact"/>
        <w:ind w:firstLine="480" w:firstLineChars="200"/>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Cs/>
          <w:color w:val="auto"/>
          <w:sz w:val="24"/>
          <w:szCs w:val="24"/>
          <w:highlight w:val="none"/>
        </w:rPr>
        <w:t>合同未尽事宜，合同当事人另行签订补充协议，补充协议是合同的组成部分。</w:t>
      </w:r>
    </w:p>
    <w:p w14:paraId="2B8C77ED">
      <w:pPr>
        <w:keepNext w:val="0"/>
        <w:keepLines w:val="0"/>
        <w:pageBreakBefore w:val="0"/>
        <w:widowControl w:val="0"/>
        <w:kinsoku/>
        <w:wordWrap/>
        <w:overflowPunct/>
        <w:topLinePunct w:val="0"/>
        <w:bidi w:val="0"/>
        <w:spacing w:line="360" w:lineRule="exact"/>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 xml:space="preserve">    </w:t>
      </w:r>
      <w:bookmarkStart w:id="554" w:name="_Toc14385"/>
      <w:bookmarkStart w:id="555" w:name="_Toc4528"/>
      <w:bookmarkStart w:id="556" w:name="_Toc351203492"/>
      <w:r>
        <w:rPr>
          <w:rFonts w:hint="eastAsia" w:ascii="方正仿宋_GBK" w:hAnsi="方正仿宋_GBK" w:eastAsia="方正仿宋_GBK" w:cs="方正仿宋_GBK"/>
          <w:b/>
          <w:color w:val="auto"/>
          <w:sz w:val="24"/>
          <w:szCs w:val="24"/>
          <w:highlight w:val="none"/>
        </w:rPr>
        <w:t>十二、合同生效</w:t>
      </w:r>
      <w:bookmarkEnd w:id="554"/>
      <w:bookmarkEnd w:id="555"/>
      <w:bookmarkEnd w:id="556"/>
    </w:p>
    <w:p w14:paraId="2E6B0072">
      <w:pPr>
        <w:keepNext w:val="0"/>
        <w:keepLines w:val="0"/>
        <w:pageBreakBefore w:val="0"/>
        <w:widowControl w:val="0"/>
        <w:kinsoku/>
        <w:wordWrap/>
        <w:overflowPunct/>
        <w:topLinePunct w:val="0"/>
        <w:bidi w:val="0"/>
        <w:spacing w:line="360" w:lineRule="exact"/>
        <w:ind w:firstLine="480" w:firstLineChars="20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本合同自</w:t>
      </w:r>
      <w:r>
        <w:rPr>
          <w:rFonts w:hint="eastAsia" w:ascii="方正仿宋_GBK" w:hAnsi="方正仿宋_GBK" w:eastAsia="方正仿宋_GBK" w:cs="方正仿宋_GBK"/>
          <w:bCs/>
          <w:color w:val="auto"/>
          <w:sz w:val="24"/>
          <w:szCs w:val="24"/>
          <w:highlight w:val="none"/>
          <w:u w:val="single"/>
        </w:rPr>
        <w:t xml:space="preserve">                                   </w:t>
      </w:r>
      <w:r>
        <w:rPr>
          <w:rFonts w:hint="eastAsia" w:ascii="方正仿宋_GBK" w:hAnsi="方正仿宋_GBK" w:eastAsia="方正仿宋_GBK" w:cs="方正仿宋_GBK"/>
          <w:bCs/>
          <w:color w:val="auto"/>
          <w:sz w:val="24"/>
          <w:szCs w:val="24"/>
          <w:highlight w:val="none"/>
        </w:rPr>
        <w:t>生效。</w:t>
      </w:r>
    </w:p>
    <w:p w14:paraId="41064E5D">
      <w:pPr>
        <w:keepNext w:val="0"/>
        <w:keepLines w:val="0"/>
        <w:pageBreakBefore w:val="0"/>
        <w:widowControl w:val="0"/>
        <w:kinsoku/>
        <w:wordWrap/>
        <w:overflowPunct/>
        <w:topLinePunct w:val="0"/>
        <w:bidi w:val="0"/>
        <w:spacing w:line="360" w:lineRule="exact"/>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 xml:space="preserve">    </w:t>
      </w:r>
      <w:bookmarkStart w:id="557" w:name="_Toc4358"/>
      <w:bookmarkStart w:id="558" w:name="_Toc12068"/>
      <w:bookmarkStart w:id="559" w:name="_Toc351203493"/>
      <w:r>
        <w:rPr>
          <w:rFonts w:hint="eastAsia" w:ascii="方正仿宋_GBK" w:hAnsi="方正仿宋_GBK" w:eastAsia="方正仿宋_GBK" w:cs="方正仿宋_GBK"/>
          <w:b/>
          <w:color w:val="auto"/>
          <w:sz w:val="24"/>
          <w:szCs w:val="24"/>
          <w:highlight w:val="none"/>
        </w:rPr>
        <w:t>十三、合同份数</w:t>
      </w:r>
      <w:bookmarkEnd w:id="557"/>
      <w:bookmarkEnd w:id="558"/>
      <w:bookmarkEnd w:id="559"/>
    </w:p>
    <w:p w14:paraId="349DD4BD">
      <w:pPr>
        <w:keepNext w:val="0"/>
        <w:keepLines w:val="0"/>
        <w:pageBreakBefore w:val="0"/>
        <w:widowControl w:val="0"/>
        <w:kinsoku/>
        <w:wordWrap/>
        <w:overflowPunct/>
        <w:topLinePunct w:val="0"/>
        <w:bidi w:val="0"/>
        <w:spacing w:line="360" w:lineRule="exact"/>
        <w:ind w:firstLine="480" w:firstLineChars="200"/>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本合同一式</w:t>
      </w:r>
      <w:r>
        <w:rPr>
          <w:rFonts w:hint="eastAsia" w:ascii="方正仿宋_GBK" w:hAnsi="方正仿宋_GBK" w:eastAsia="方正仿宋_GBK" w:cs="方正仿宋_GBK"/>
          <w:bCs/>
          <w:color w:val="auto"/>
          <w:sz w:val="24"/>
          <w:szCs w:val="24"/>
          <w:highlight w:val="none"/>
          <w:u w:val="single"/>
        </w:rPr>
        <w:t xml:space="preserve">    </w:t>
      </w:r>
      <w:r>
        <w:rPr>
          <w:rFonts w:hint="eastAsia" w:ascii="方正仿宋_GBK" w:hAnsi="方正仿宋_GBK" w:eastAsia="方正仿宋_GBK" w:cs="方正仿宋_GBK"/>
          <w:bCs/>
          <w:color w:val="auto"/>
          <w:sz w:val="24"/>
          <w:szCs w:val="24"/>
          <w:highlight w:val="none"/>
        </w:rPr>
        <w:t>份，均具有同等法律效力，发包人执</w:t>
      </w:r>
      <w:r>
        <w:rPr>
          <w:rFonts w:hint="eastAsia" w:ascii="方正仿宋_GBK" w:hAnsi="方正仿宋_GBK" w:eastAsia="方正仿宋_GBK" w:cs="方正仿宋_GBK"/>
          <w:bCs/>
          <w:color w:val="auto"/>
          <w:sz w:val="24"/>
          <w:szCs w:val="24"/>
          <w:highlight w:val="none"/>
          <w:u w:val="single"/>
        </w:rPr>
        <w:t xml:space="preserve">    </w:t>
      </w:r>
      <w:r>
        <w:rPr>
          <w:rFonts w:hint="eastAsia" w:ascii="方正仿宋_GBK" w:hAnsi="方正仿宋_GBK" w:eastAsia="方正仿宋_GBK" w:cs="方正仿宋_GBK"/>
          <w:bCs/>
          <w:color w:val="auto"/>
          <w:sz w:val="24"/>
          <w:szCs w:val="24"/>
          <w:highlight w:val="none"/>
        </w:rPr>
        <w:t>份，承包人执</w:t>
      </w:r>
      <w:r>
        <w:rPr>
          <w:rFonts w:hint="eastAsia" w:ascii="方正仿宋_GBK" w:hAnsi="方正仿宋_GBK" w:eastAsia="方正仿宋_GBK" w:cs="方正仿宋_GBK"/>
          <w:bCs/>
          <w:color w:val="auto"/>
          <w:sz w:val="24"/>
          <w:szCs w:val="24"/>
          <w:highlight w:val="none"/>
          <w:u w:val="single"/>
        </w:rPr>
        <w:t xml:space="preserve">    </w:t>
      </w:r>
      <w:r>
        <w:rPr>
          <w:rFonts w:hint="eastAsia" w:ascii="方正仿宋_GBK" w:hAnsi="方正仿宋_GBK" w:eastAsia="方正仿宋_GBK" w:cs="方正仿宋_GBK"/>
          <w:bCs/>
          <w:color w:val="auto"/>
          <w:sz w:val="24"/>
          <w:szCs w:val="24"/>
          <w:highlight w:val="none"/>
        </w:rPr>
        <w:t>份。</w:t>
      </w:r>
    </w:p>
    <w:p w14:paraId="472E40C6">
      <w:pPr>
        <w:keepNext w:val="0"/>
        <w:keepLines w:val="0"/>
        <w:pageBreakBefore w:val="0"/>
        <w:widowControl w:val="0"/>
        <w:kinsoku/>
        <w:wordWrap/>
        <w:overflowPunct/>
        <w:topLinePunct w:val="0"/>
        <w:bidi w:val="0"/>
        <w:spacing w:line="360" w:lineRule="exact"/>
        <w:textAlignment w:val="auto"/>
        <w:rPr>
          <w:rFonts w:hint="eastAsia" w:ascii="方正仿宋_GBK" w:hAnsi="方正仿宋_GBK" w:eastAsia="方正仿宋_GBK" w:cs="方正仿宋_GBK"/>
          <w:color w:val="auto"/>
          <w:sz w:val="24"/>
          <w:szCs w:val="24"/>
          <w:highlight w:val="none"/>
        </w:rPr>
      </w:pPr>
    </w:p>
    <w:p w14:paraId="6C599B4E">
      <w:pPr>
        <w:keepNext w:val="0"/>
        <w:keepLines w:val="0"/>
        <w:pageBreakBefore w:val="0"/>
        <w:widowControl w:val="0"/>
        <w:kinsoku/>
        <w:wordWrap/>
        <w:overflowPunct/>
        <w:topLinePunct w:val="0"/>
        <w:bidi w:val="0"/>
        <w:spacing w:line="3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发包人：  (公章)             承包人：  (公章)</w:t>
      </w:r>
    </w:p>
    <w:p w14:paraId="7B68EA98">
      <w:pPr>
        <w:keepNext w:val="0"/>
        <w:keepLines w:val="0"/>
        <w:pageBreakBefore w:val="0"/>
        <w:widowControl w:val="0"/>
        <w:kinsoku/>
        <w:wordWrap/>
        <w:overflowPunct/>
        <w:topLinePunct w:val="0"/>
        <w:bidi w:val="0"/>
        <w:spacing w:line="360" w:lineRule="exact"/>
        <w:textAlignment w:val="auto"/>
        <w:rPr>
          <w:rFonts w:hint="eastAsia" w:ascii="方正仿宋_GBK" w:hAnsi="方正仿宋_GBK" w:eastAsia="方正仿宋_GBK" w:cs="方正仿宋_GBK"/>
          <w:color w:val="auto"/>
          <w:sz w:val="24"/>
          <w:szCs w:val="24"/>
          <w:highlight w:val="none"/>
          <w:u w:val="single"/>
        </w:rPr>
      </w:pPr>
      <w:r>
        <w:rPr>
          <w:rFonts w:hint="eastAsia" w:ascii="方正仿宋_GBK" w:hAnsi="方正仿宋_GBK" w:eastAsia="方正仿宋_GBK" w:cs="方正仿宋_GBK"/>
          <w:color w:val="auto"/>
          <w:sz w:val="24"/>
          <w:szCs w:val="24"/>
          <w:highlight w:val="none"/>
        </w:rPr>
        <w:t xml:space="preserve">                                 </w:t>
      </w:r>
    </w:p>
    <w:p w14:paraId="13A1A49B">
      <w:pPr>
        <w:keepNext w:val="0"/>
        <w:keepLines w:val="0"/>
        <w:pageBreakBefore w:val="0"/>
        <w:widowControl w:val="0"/>
        <w:kinsoku/>
        <w:wordWrap/>
        <w:overflowPunct/>
        <w:topLinePunct w:val="0"/>
        <w:bidi w:val="0"/>
        <w:spacing w:line="3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法定代表人或其委托代理人：  法定代表人或其委托代理人：</w:t>
      </w:r>
    </w:p>
    <w:p w14:paraId="7EE8AC57">
      <w:pPr>
        <w:keepNext w:val="0"/>
        <w:keepLines w:val="0"/>
        <w:pageBreakBefore w:val="0"/>
        <w:widowControl w:val="0"/>
        <w:kinsoku/>
        <w:wordWrap/>
        <w:overflowPunct/>
        <w:topLinePunct w:val="0"/>
        <w:bidi w:val="0"/>
        <w:spacing w:line="3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（签字）                    （签字）</w:t>
      </w:r>
    </w:p>
    <w:p w14:paraId="2274556C">
      <w:pPr>
        <w:keepNext w:val="0"/>
        <w:keepLines w:val="0"/>
        <w:pageBreakBefore w:val="0"/>
        <w:widowControl w:val="0"/>
        <w:kinsoku/>
        <w:wordWrap/>
        <w:overflowPunct/>
        <w:topLinePunct w:val="0"/>
        <w:bidi w:val="0"/>
        <w:spacing w:line="360" w:lineRule="exact"/>
        <w:textAlignment w:val="auto"/>
        <w:rPr>
          <w:rFonts w:hint="eastAsia" w:ascii="方正仿宋_GBK" w:hAnsi="方正仿宋_GBK" w:eastAsia="方正仿宋_GBK" w:cs="方正仿宋_GBK"/>
          <w:color w:val="auto"/>
          <w:sz w:val="24"/>
          <w:szCs w:val="24"/>
          <w:highlight w:val="none"/>
          <w:u w:val="single"/>
        </w:rPr>
      </w:pPr>
    </w:p>
    <w:p w14:paraId="060D30D5">
      <w:pPr>
        <w:keepNext w:val="0"/>
        <w:keepLines w:val="0"/>
        <w:pageBreakBefore w:val="0"/>
        <w:widowControl w:val="0"/>
        <w:tabs>
          <w:tab w:val="left" w:pos="4410"/>
        </w:tabs>
        <w:kinsoku/>
        <w:wordWrap/>
        <w:overflowPunct/>
        <w:topLinePunct w:val="0"/>
        <w:bidi w:val="0"/>
        <w:spacing w:line="3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组织机构代码：</w:t>
      </w:r>
      <w:r>
        <w:rPr>
          <w:rFonts w:hint="eastAsia" w:ascii="方正仿宋_GBK" w:hAnsi="方正仿宋_GBK" w:eastAsia="方正仿宋_GBK" w:cs="方正仿宋_GBK"/>
          <w:b/>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 xml:space="preserve">  组织机构代码：</w:t>
      </w:r>
      <w:r>
        <w:rPr>
          <w:rFonts w:hint="eastAsia" w:ascii="方正仿宋_GBK" w:hAnsi="方正仿宋_GBK" w:eastAsia="方正仿宋_GBK" w:cs="方正仿宋_GBK"/>
          <w:b/>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 xml:space="preserve"> </w:t>
      </w:r>
    </w:p>
    <w:p w14:paraId="7A77011E">
      <w:pPr>
        <w:keepNext w:val="0"/>
        <w:keepLines w:val="0"/>
        <w:pageBreakBefore w:val="0"/>
        <w:widowControl w:val="0"/>
        <w:kinsoku/>
        <w:wordWrap/>
        <w:overflowPunct/>
        <w:topLinePunct w:val="0"/>
        <w:bidi w:val="0"/>
        <w:spacing w:line="3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地  址：</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 xml:space="preserve">  地  址：</w:t>
      </w:r>
      <w:r>
        <w:rPr>
          <w:rFonts w:hint="eastAsia" w:ascii="方正仿宋_GBK" w:hAnsi="方正仿宋_GBK" w:eastAsia="方正仿宋_GBK" w:cs="方正仿宋_GBK"/>
          <w:color w:val="auto"/>
          <w:sz w:val="24"/>
          <w:szCs w:val="24"/>
          <w:highlight w:val="none"/>
          <w:u w:val="single"/>
        </w:rPr>
        <w:t xml:space="preserve">                    </w:t>
      </w:r>
    </w:p>
    <w:p w14:paraId="71FC915D">
      <w:pPr>
        <w:keepNext w:val="0"/>
        <w:keepLines w:val="0"/>
        <w:pageBreakBefore w:val="0"/>
        <w:widowControl w:val="0"/>
        <w:kinsoku/>
        <w:wordWrap/>
        <w:overflowPunct/>
        <w:topLinePunct w:val="0"/>
        <w:bidi w:val="0"/>
        <w:spacing w:line="3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邮政编码：</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 xml:space="preserve">  邮政编码：</w:t>
      </w:r>
      <w:r>
        <w:rPr>
          <w:rFonts w:hint="eastAsia" w:ascii="方正仿宋_GBK" w:hAnsi="方正仿宋_GBK" w:eastAsia="方正仿宋_GBK" w:cs="方正仿宋_GBK"/>
          <w:color w:val="auto"/>
          <w:sz w:val="24"/>
          <w:szCs w:val="24"/>
          <w:highlight w:val="none"/>
          <w:u w:val="single"/>
        </w:rPr>
        <w:t xml:space="preserve">                  </w:t>
      </w:r>
    </w:p>
    <w:p w14:paraId="791D9C5A">
      <w:pPr>
        <w:keepNext w:val="0"/>
        <w:keepLines w:val="0"/>
        <w:pageBreakBefore w:val="0"/>
        <w:widowControl w:val="0"/>
        <w:kinsoku/>
        <w:wordWrap/>
        <w:overflowPunct/>
        <w:topLinePunct w:val="0"/>
        <w:bidi w:val="0"/>
        <w:spacing w:line="3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 xml:space="preserve">  法定代表人：</w:t>
      </w:r>
      <w:r>
        <w:rPr>
          <w:rFonts w:hint="eastAsia" w:ascii="方正仿宋_GBK" w:hAnsi="方正仿宋_GBK" w:eastAsia="方正仿宋_GBK" w:cs="方正仿宋_GBK"/>
          <w:color w:val="auto"/>
          <w:sz w:val="24"/>
          <w:szCs w:val="24"/>
          <w:highlight w:val="none"/>
          <w:u w:val="single"/>
        </w:rPr>
        <w:t xml:space="preserve">                </w:t>
      </w:r>
    </w:p>
    <w:p w14:paraId="541A9CF7">
      <w:pPr>
        <w:keepNext w:val="0"/>
        <w:keepLines w:val="0"/>
        <w:pageBreakBefore w:val="0"/>
        <w:widowControl w:val="0"/>
        <w:kinsoku/>
        <w:wordWrap/>
        <w:overflowPunct/>
        <w:topLinePunct w:val="0"/>
        <w:bidi w:val="0"/>
        <w:spacing w:line="3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委托代理人：</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 xml:space="preserve">  委托代理人：</w:t>
      </w:r>
      <w:r>
        <w:rPr>
          <w:rFonts w:hint="eastAsia" w:ascii="方正仿宋_GBK" w:hAnsi="方正仿宋_GBK" w:eastAsia="方正仿宋_GBK" w:cs="方正仿宋_GBK"/>
          <w:color w:val="auto"/>
          <w:sz w:val="24"/>
          <w:szCs w:val="24"/>
          <w:highlight w:val="none"/>
          <w:u w:val="single"/>
        </w:rPr>
        <w:t xml:space="preserve">                </w:t>
      </w:r>
    </w:p>
    <w:p w14:paraId="0CBA5B22">
      <w:pPr>
        <w:keepNext w:val="0"/>
        <w:keepLines w:val="0"/>
        <w:pageBreakBefore w:val="0"/>
        <w:widowControl w:val="0"/>
        <w:kinsoku/>
        <w:wordWrap/>
        <w:overflowPunct/>
        <w:topLinePunct w:val="0"/>
        <w:bidi w:val="0"/>
        <w:spacing w:line="3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电  话：</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 xml:space="preserve">  电  话：</w:t>
      </w:r>
      <w:r>
        <w:rPr>
          <w:rFonts w:hint="eastAsia" w:ascii="方正仿宋_GBK" w:hAnsi="方正仿宋_GBK" w:eastAsia="方正仿宋_GBK" w:cs="方正仿宋_GBK"/>
          <w:color w:val="auto"/>
          <w:sz w:val="24"/>
          <w:szCs w:val="24"/>
          <w:highlight w:val="none"/>
          <w:u w:val="single"/>
        </w:rPr>
        <w:t xml:space="preserve">                    </w:t>
      </w:r>
    </w:p>
    <w:p w14:paraId="5C998CEA">
      <w:pPr>
        <w:keepNext w:val="0"/>
        <w:keepLines w:val="0"/>
        <w:pageBreakBefore w:val="0"/>
        <w:widowControl w:val="0"/>
        <w:kinsoku/>
        <w:wordWrap/>
        <w:overflowPunct/>
        <w:topLinePunct w:val="0"/>
        <w:bidi w:val="0"/>
        <w:spacing w:line="3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传  真：</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 xml:space="preserve">  传  真：</w:t>
      </w:r>
      <w:r>
        <w:rPr>
          <w:rFonts w:hint="eastAsia" w:ascii="方正仿宋_GBK" w:hAnsi="方正仿宋_GBK" w:eastAsia="方正仿宋_GBK" w:cs="方正仿宋_GBK"/>
          <w:color w:val="auto"/>
          <w:sz w:val="24"/>
          <w:szCs w:val="24"/>
          <w:highlight w:val="none"/>
          <w:u w:val="single"/>
        </w:rPr>
        <w:t xml:space="preserve">                    </w:t>
      </w:r>
    </w:p>
    <w:p w14:paraId="1E45BF9A">
      <w:pPr>
        <w:keepNext w:val="0"/>
        <w:keepLines w:val="0"/>
        <w:pageBreakBefore w:val="0"/>
        <w:widowControl w:val="0"/>
        <w:kinsoku/>
        <w:wordWrap/>
        <w:overflowPunct/>
        <w:topLinePunct w:val="0"/>
        <w:bidi w:val="0"/>
        <w:spacing w:line="3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电子信箱：</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 xml:space="preserve">  电子信箱：</w:t>
      </w:r>
      <w:r>
        <w:rPr>
          <w:rFonts w:hint="eastAsia" w:ascii="方正仿宋_GBK" w:hAnsi="方正仿宋_GBK" w:eastAsia="方正仿宋_GBK" w:cs="方正仿宋_GBK"/>
          <w:color w:val="auto"/>
          <w:sz w:val="24"/>
          <w:szCs w:val="24"/>
          <w:highlight w:val="none"/>
          <w:u w:val="single"/>
        </w:rPr>
        <w:t xml:space="preserve">                  </w:t>
      </w:r>
    </w:p>
    <w:p w14:paraId="0DA27299">
      <w:pPr>
        <w:widowControl/>
        <w:jc w:val="left"/>
        <w:rPr>
          <w:rFonts w:ascii="宋体" w:hAnsi="宋体" w:cs="宋体"/>
          <w:color w:val="auto"/>
          <w:sz w:val="28"/>
          <w:szCs w:val="28"/>
        </w:rPr>
      </w:pPr>
      <w:r>
        <w:rPr>
          <w:rFonts w:hint="eastAsia" w:ascii="方正仿宋_GBK" w:hAnsi="方正仿宋_GBK" w:eastAsia="方正仿宋_GBK" w:cs="方正仿宋_GBK"/>
          <w:color w:val="auto"/>
          <w:sz w:val="24"/>
          <w:szCs w:val="24"/>
          <w:highlight w:val="none"/>
        </w:rPr>
        <w:t>开户银行：</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 xml:space="preserve">  开户银行：</w:t>
      </w:r>
      <w:r>
        <w:rPr>
          <w:rFonts w:hint="eastAsia" w:ascii="方正仿宋_GBK" w:hAnsi="方正仿宋_GBK" w:eastAsia="方正仿宋_GBK" w:cs="方正仿宋_GBK"/>
          <w:color w:val="auto"/>
          <w:sz w:val="24"/>
          <w:szCs w:val="24"/>
          <w:highlight w:val="none"/>
          <w:u w:val="single"/>
        </w:rPr>
        <w:t xml:space="preserve">                  </w:t>
      </w:r>
      <w:r>
        <w:rPr>
          <w:rFonts w:hint="eastAsia" w:ascii="宋体" w:hAnsi="宋体" w:cs="宋体"/>
          <w:color w:val="auto"/>
          <w:sz w:val="28"/>
          <w:szCs w:val="28"/>
        </w:rPr>
        <w:br w:type="page"/>
      </w:r>
    </w:p>
    <w:p w14:paraId="206C3FBE">
      <w:pPr>
        <w:pStyle w:val="2"/>
        <w:numPr>
          <w:ilvl w:val="0"/>
          <w:numId w:val="0"/>
        </w:numPr>
        <w:rPr>
          <w:rFonts w:hint="eastAsia" w:ascii="宋体" w:hAnsi="宋体" w:eastAsia="宋体" w:cs="宋体"/>
          <w:b/>
          <w:color w:val="auto"/>
          <w:kern w:val="0"/>
          <w:sz w:val="36"/>
          <w:szCs w:val="36"/>
        </w:rPr>
      </w:pPr>
      <w:bookmarkStart w:id="560" w:name="_Toc7777"/>
      <w:r>
        <w:rPr>
          <w:rFonts w:hint="eastAsia" w:ascii="宋体" w:hAnsi="宋体" w:eastAsia="宋体" w:cs="宋体"/>
          <w:b/>
          <w:color w:val="auto"/>
          <w:kern w:val="0"/>
          <w:sz w:val="36"/>
          <w:szCs w:val="36"/>
        </w:rPr>
        <w:t>第五章 工程量清单</w:t>
      </w:r>
      <w:bookmarkEnd w:id="560"/>
    </w:p>
    <w:p w14:paraId="7903EA41">
      <w:pPr>
        <w:tabs>
          <w:tab w:val="left" w:pos="425"/>
        </w:tabs>
        <w:spacing w:before="0" w:after="0" w:line="360" w:lineRule="auto"/>
        <w:ind w:firstLine="420" w:firstLineChars="200"/>
        <w:jc w:val="both"/>
        <w:outlineLvl w:val="9"/>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详见行采家（https://www.gec123.com/）下载。</w:t>
      </w:r>
    </w:p>
    <w:p w14:paraId="6036E3AC">
      <w:pPr>
        <w:numPr>
          <w:ilvl w:val="0"/>
          <w:numId w:val="0"/>
        </w:numPr>
        <w:spacing w:before="0" w:after="0" w:line="360" w:lineRule="auto"/>
        <w:jc w:val="both"/>
        <w:outlineLvl w:val="9"/>
        <w:rPr>
          <w:rFonts w:hint="eastAsia" w:ascii="方正仿宋_GBK" w:hAnsi="方正仿宋_GBK" w:eastAsia="方正仿宋_GBK" w:cs="方正仿宋_GBK"/>
          <w:b/>
          <w:bCs w:val="0"/>
          <w:color w:val="auto"/>
          <w:sz w:val="32"/>
          <w:szCs w:val="22"/>
          <w:lang w:val="en-US" w:eastAsia="zh-CN"/>
        </w:rPr>
      </w:pPr>
      <w:bookmarkStart w:id="561" w:name="_Hlt228003518"/>
      <w:bookmarkEnd w:id="561"/>
      <w:bookmarkStart w:id="562" w:name="_Toc18408"/>
      <w:bookmarkStart w:id="563" w:name="_Toc323825718"/>
    </w:p>
    <w:p w14:paraId="1E23747A">
      <w:pPr>
        <w:numPr>
          <w:ilvl w:val="0"/>
          <w:numId w:val="0"/>
        </w:numPr>
        <w:spacing w:before="0" w:after="0" w:line="360" w:lineRule="auto"/>
        <w:jc w:val="both"/>
        <w:outlineLvl w:val="9"/>
        <w:rPr>
          <w:rFonts w:hint="eastAsia" w:ascii="方正仿宋_GBK" w:hAnsi="方正仿宋_GBK" w:eastAsia="方正仿宋_GBK" w:cs="方正仿宋_GBK"/>
          <w:b/>
          <w:bCs w:val="0"/>
          <w:color w:val="auto"/>
          <w:sz w:val="32"/>
          <w:szCs w:val="22"/>
          <w:lang w:val="en-US" w:eastAsia="zh-CN"/>
        </w:rPr>
      </w:pPr>
    </w:p>
    <w:p w14:paraId="3E5EAF42">
      <w:pPr>
        <w:pStyle w:val="2"/>
        <w:numPr>
          <w:ilvl w:val="0"/>
          <w:numId w:val="0"/>
        </w:numPr>
        <w:rPr>
          <w:rFonts w:hint="eastAsia" w:ascii="宋体" w:hAnsi="宋体" w:eastAsia="宋体" w:cs="宋体"/>
          <w:b/>
          <w:color w:val="auto"/>
          <w:kern w:val="0"/>
          <w:sz w:val="36"/>
          <w:szCs w:val="36"/>
        </w:rPr>
      </w:pPr>
      <w:bookmarkStart w:id="564" w:name="_Toc32334"/>
      <w:r>
        <w:rPr>
          <w:rFonts w:hint="eastAsia" w:ascii="宋体" w:hAnsi="宋体" w:eastAsia="宋体" w:cs="宋体"/>
          <w:b/>
          <w:color w:val="auto"/>
          <w:kern w:val="0"/>
          <w:sz w:val="36"/>
          <w:szCs w:val="36"/>
          <w:lang w:val="en-US" w:eastAsia="zh-CN"/>
        </w:rPr>
        <w:t>第六章  图   纸</w:t>
      </w:r>
      <w:bookmarkEnd w:id="562"/>
      <w:bookmarkEnd w:id="563"/>
      <w:bookmarkEnd w:id="564"/>
    </w:p>
    <w:p w14:paraId="5BBDDCC3">
      <w:pPr>
        <w:tabs>
          <w:tab w:val="left" w:pos="425"/>
        </w:tabs>
        <w:spacing w:before="0" w:after="0" w:line="360" w:lineRule="auto"/>
        <w:ind w:firstLine="420" w:firstLineChars="200"/>
        <w:jc w:val="both"/>
        <w:outlineLvl w:val="9"/>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详见行采家（https://www.gec123.com/）下载。</w:t>
      </w:r>
      <w:bookmarkStart w:id="565" w:name="_Hlt228003520"/>
      <w:bookmarkEnd w:id="565"/>
      <w:bookmarkStart w:id="566" w:name="_Toc20773"/>
      <w:bookmarkStart w:id="567" w:name="_Toc323825719"/>
    </w:p>
    <w:p w14:paraId="18962999">
      <w:pPr>
        <w:tabs>
          <w:tab w:val="left" w:pos="425"/>
        </w:tabs>
        <w:spacing w:before="0" w:after="0" w:line="360" w:lineRule="auto"/>
        <w:ind w:firstLine="420" w:firstLineChars="200"/>
        <w:jc w:val="both"/>
        <w:outlineLvl w:val="9"/>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若工程清单和图纸不一致以工程量清单为准。</w:t>
      </w:r>
    </w:p>
    <w:p w14:paraId="351416FC">
      <w:pPr>
        <w:tabs>
          <w:tab w:val="left" w:pos="425"/>
        </w:tabs>
        <w:spacing w:before="0" w:after="0" w:line="360" w:lineRule="auto"/>
        <w:jc w:val="center"/>
        <w:outlineLvl w:val="9"/>
        <w:rPr>
          <w:rFonts w:hint="eastAsia" w:ascii="方正仿宋_GBK" w:hAnsi="方正仿宋_GBK" w:eastAsia="方正仿宋_GBK" w:cs="方正仿宋_GBK"/>
          <w:color w:val="auto"/>
        </w:rPr>
      </w:pPr>
    </w:p>
    <w:p w14:paraId="547E4675">
      <w:pPr>
        <w:pStyle w:val="2"/>
        <w:numPr>
          <w:ilvl w:val="0"/>
          <w:numId w:val="0"/>
        </w:numPr>
        <w:rPr>
          <w:rFonts w:hint="eastAsia" w:ascii="宋体" w:hAnsi="宋体" w:eastAsia="宋体" w:cs="宋体"/>
          <w:b/>
          <w:color w:val="auto"/>
          <w:kern w:val="0"/>
          <w:sz w:val="36"/>
          <w:szCs w:val="36"/>
          <w:lang w:val="en-US" w:eastAsia="zh-CN"/>
        </w:rPr>
      </w:pPr>
      <w:r>
        <w:rPr>
          <w:rFonts w:hint="eastAsia" w:ascii="宋体" w:hAnsi="宋体" w:eastAsia="宋体" w:cs="宋体"/>
          <w:b/>
          <w:color w:val="auto"/>
          <w:kern w:val="0"/>
          <w:sz w:val="36"/>
          <w:szCs w:val="36"/>
          <w:lang w:val="en-US" w:eastAsia="zh-CN"/>
        </w:rPr>
        <w:t xml:space="preserve">  </w:t>
      </w:r>
      <w:bookmarkStart w:id="568" w:name="_Toc19050"/>
      <w:r>
        <w:rPr>
          <w:rFonts w:hint="eastAsia" w:ascii="宋体" w:hAnsi="宋体" w:eastAsia="宋体" w:cs="宋体"/>
          <w:b/>
          <w:color w:val="auto"/>
          <w:kern w:val="0"/>
          <w:sz w:val="36"/>
          <w:szCs w:val="36"/>
          <w:lang w:val="en-US" w:eastAsia="zh-CN"/>
        </w:rPr>
        <w:t>第七章  技术标准和要求</w:t>
      </w:r>
      <w:bookmarkEnd w:id="566"/>
      <w:bookmarkEnd w:id="567"/>
      <w:bookmarkEnd w:id="568"/>
    </w:p>
    <w:p w14:paraId="454F4E16">
      <w:pPr>
        <w:wordWrap w:val="0"/>
        <w:snapToGrid w:val="0"/>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按现行国家和重庆市相关技术规定和要求执行。</w:t>
      </w:r>
    </w:p>
    <w:p w14:paraId="03C0F902">
      <w:pPr>
        <w:wordWrap w:val="0"/>
        <w:snapToGrid w:val="0"/>
        <w:spacing w:line="440" w:lineRule="exact"/>
        <w:ind w:firstLine="723" w:firstLineChars="200"/>
        <w:jc w:val="center"/>
        <w:rPr>
          <w:rFonts w:ascii="宋体" w:hAnsi="宋体" w:cs="宋体"/>
          <w:b/>
          <w:color w:val="auto"/>
          <w:kern w:val="0"/>
          <w:sz w:val="36"/>
          <w:szCs w:val="36"/>
        </w:rPr>
      </w:pPr>
    </w:p>
    <w:bookmarkEnd w:id="511"/>
    <w:bookmarkEnd w:id="512"/>
    <w:bookmarkEnd w:id="513"/>
    <w:bookmarkEnd w:id="514"/>
    <w:bookmarkEnd w:id="515"/>
    <w:bookmarkEnd w:id="516"/>
    <w:bookmarkEnd w:id="517"/>
    <w:bookmarkEnd w:id="518"/>
    <w:bookmarkEnd w:id="519"/>
    <w:bookmarkEnd w:id="520"/>
    <w:p w14:paraId="5C1A74E8">
      <w:pPr>
        <w:pStyle w:val="2"/>
        <w:numPr>
          <w:ilvl w:val="0"/>
          <w:numId w:val="0"/>
        </w:numPr>
        <w:ind w:firstLine="422"/>
        <w:rPr>
          <w:rFonts w:ascii="宋体" w:hAnsi="宋体" w:eastAsia="宋体" w:cs="宋体"/>
          <w:b/>
          <w:color w:val="auto"/>
          <w:kern w:val="0"/>
        </w:rPr>
      </w:pPr>
      <w:bookmarkStart w:id="569" w:name="_Toc11387"/>
      <w:bookmarkStart w:id="570" w:name="_Toc444155995"/>
      <w:bookmarkStart w:id="571" w:name="_Toc30368"/>
      <w:bookmarkStart w:id="572" w:name="_Toc14326"/>
      <w:r>
        <w:rPr>
          <w:rFonts w:hint="eastAsia" w:ascii="宋体" w:hAnsi="宋体" w:eastAsia="宋体" w:cs="宋体"/>
          <w:b/>
          <w:color w:val="auto"/>
          <w:kern w:val="0"/>
        </w:rPr>
        <w:br w:type="page"/>
      </w:r>
      <w:bookmarkStart w:id="573" w:name="_Toc16922"/>
      <w:bookmarkStart w:id="574" w:name="_Toc315"/>
      <w:r>
        <w:rPr>
          <w:rFonts w:hint="eastAsia" w:ascii="宋体" w:hAnsi="宋体" w:eastAsia="宋体" w:cs="宋体"/>
          <w:b/>
          <w:color w:val="auto"/>
          <w:kern w:val="0"/>
          <w:sz w:val="36"/>
          <w:szCs w:val="36"/>
        </w:rPr>
        <w:t>第</w:t>
      </w:r>
      <w:r>
        <w:rPr>
          <w:rFonts w:hint="eastAsia" w:ascii="宋体" w:hAnsi="宋体" w:eastAsia="宋体" w:cs="宋体"/>
          <w:b/>
          <w:color w:val="auto"/>
          <w:kern w:val="0"/>
          <w:sz w:val="36"/>
          <w:szCs w:val="36"/>
          <w:lang w:val="en-US" w:eastAsia="zh-CN"/>
        </w:rPr>
        <w:t>八</w:t>
      </w:r>
      <w:r>
        <w:rPr>
          <w:rFonts w:hint="eastAsia" w:ascii="宋体" w:hAnsi="宋体" w:eastAsia="宋体" w:cs="宋体"/>
          <w:b/>
          <w:color w:val="auto"/>
          <w:kern w:val="0"/>
          <w:sz w:val="36"/>
          <w:szCs w:val="36"/>
        </w:rPr>
        <w:t>章  竞选文件格式</w:t>
      </w:r>
      <w:bookmarkEnd w:id="569"/>
      <w:bookmarkEnd w:id="570"/>
      <w:bookmarkEnd w:id="571"/>
      <w:bookmarkEnd w:id="572"/>
      <w:bookmarkEnd w:id="573"/>
      <w:bookmarkEnd w:id="574"/>
    </w:p>
    <w:p w14:paraId="1DF725E9">
      <w:pPr>
        <w:widowControl/>
        <w:jc w:val="left"/>
        <w:rPr>
          <w:rFonts w:ascii="宋体" w:hAnsi="宋体" w:cs="宋体"/>
          <w:color w:val="auto"/>
          <w:kern w:val="0"/>
          <w:sz w:val="28"/>
        </w:rPr>
      </w:pPr>
      <w:r>
        <w:rPr>
          <w:rFonts w:hint="eastAsia" w:ascii="宋体" w:hAnsi="宋体" w:cs="宋体"/>
          <w:color w:val="auto"/>
          <w:kern w:val="0"/>
          <w:sz w:val="28"/>
        </w:rPr>
        <w:br w:type="page"/>
      </w:r>
    </w:p>
    <w:p w14:paraId="2A3C0317">
      <w:pPr>
        <w:tabs>
          <w:tab w:val="left" w:pos="1418"/>
        </w:tabs>
        <w:autoSpaceDE w:val="0"/>
        <w:autoSpaceDN w:val="0"/>
        <w:adjustRightInd w:val="0"/>
        <w:snapToGrid w:val="0"/>
        <w:spacing w:line="360" w:lineRule="auto"/>
        <w:ind w:firstLine="635" w:firstLineChars="200"/>
        <w:jc w:val="left"/>
        <w:outlineLvl w:val="0"/>
        <w:rPr>
          <w:rFonts w:ascii="宋体" w:hAnsi="宋体" w:cs="宋体"/>
          <w:b/>
          <w:snapToGrid w:val="0"/>
          <w:color w:val="auto"/>
          <w:w w:val="99"/>
          <w:sz w:val="32"/>
          <w:szCs w:val="32"/>
        </w:rPr>
      </w:pPr>
      <w:bookmarkStart w:id="575" w:name="_Toc17455"/>
      <w:bookmarkStart w:id="576" w:name="_Toc10224"/>
      <w:bookmarkStart w:id="577" w:name="_Toc17485"/>
      <w:r>
        <w:rPr>
          <w:rFonts w:hint="eastAsia" w:ascii="宋体" w:hAnsi="宋体" w:cs="宋体"/>
          <w:b/>
          <w:snapToGrid w:val="0"/>
          <w:color w:val="auto"/>
          <w:w w:val="99"/>
          <w:sz w:val="32"/>
          <w:szCs w:val="32"/>
        </w:rPr>
        <w:t>项目名称：</w:t>
      </w:r>
      <w:bookmarkEnd w:id="575"/>
      <w:bookmarkEnd w:id="576"/>
      <w:bookmarkEnd w:id="577"/>
    </w:p>
    <w:p w14:paraId="37019D08">
      <w:pPr>
        <w:adjustRightInd w:val="0"/>
        <w:snapToGrid w:val="0"/>
        <w:jc w:val="center"/>
        <w:rPr>
          <w:rFonts w:ascii="宋体" w:hAnsi="宋体" w:cs="宋体"/>
          <w:b/>
          <w:color w:val="auto"/>
          <w:sz w:val="32"/>
          <w:szCs w:val="32"/>
        </w:rPr>
      </w:pPr>
    </w:p>
    <w:p w14:paraId="69AC2037">
      <w:pPr>
        <w:adjustRightInd w:val="0"/>
        <w:snapToGrid w:val="0"/>
        <w:rPr>
          <w:rFonts w:ascii="宋体" w:hAnsi="宋体" w:cs="宋体"/>
          <w:b/>
          <w:color w:val="auto"/>
          <w:sz w:val="116"/>
        </w:rPr>
      </w:pPr>
    </w:p>
    <w:p w14:paraId="724E4114">
      <w:pPr>
        <w:pStyle w:val="19"/>
        <w:rPr>
          <w:rFonts w:ascii="宋体" w:hAnsi="宋体" w:cs="宋体"/>
          <w:b/>
          <w:color w:val="auto"/>
        </w:rPr>
      </w:pPr>
    </w:p>
    <w:p w14:paraId="2E4C3834">
      <w:pPr>
        <w:rPr>
          <w:rFonts w:ascii="宋体" w:hAnsi="宋体" w:cs="宋体"/>
          <w:b/>
          <w:color w:val="auto"/>
        </w:rPr>
      </w:pPr>
    </w:p>
    <w:p w14:paraId="30919279">
      <w:pPr>
        <w:pStyle w:val="19"/>
        <w:rPr>
          <w:rFonts w:ascii="宋体" w:hAnsi="宋体" w:cs="宋体"/>
          <w:b/>
          <w:color w:val="auto"/>
        </w:rPr>
      </w:pPr>
    </w:p>
    <w:p w14:paraId="0BDB170B">
      <w:pPr>
        <w:rPr>
          <w:rFonts w:ascii="宋体" w:hAnsi="宋体" w:cs="宋体"/>
          <w:b/>
          <w:color w:val="auto"/>
        </w:rPr>
      </w:pPr>
    </w:p>
    <w:p w14:paraId="61586A1A">
      <w:pPr>
        <w:pStyle w:val="19"/>
        <w:rPr>
          <w:rFonts w:ascii="宋体" w:hAnsi="宋体" w:cs="宋体"/>
          <w:b/>
          <w:color w:val="auto"/>
        </w:rPr>
      </w:pPr>
    </w:p>
    <w:p w14:paraId="528DF177">
      <w:pPr>
        <w:pStyle w:val="19"/>
        <w:rPr>
          <w:rFonts w:ascii="宋体" w:hAnsi="宋体" w:cs="宋体"/>
          <w:b/>
          <w:color w:val="auto"/>
        </w:rPr>
      </w:pPr>
    </w:p>
    <w:p w14:paraId="2FF8BE47">
      <w:pPr>
        <w:adjustRightInd w:val="0"/>
        <w:snapToGrid w:val="0"/>
        <w:jc w:val="center"/>
        <w:outlineLvl w:val="1"/>
        <w:rPr>
          <w:rFonts w:ascii="宋体" w:hAnsi="宋体" w:cs="宋体"/>
          <w:b/>
          <w:color w:val="auto"/>
          <w:sz w:val="96"/>
        </w:rPr>
      </w:pPr>
      <w:r>
        <w:rPr>
          <w:rFonts w:hint="eastAsia" w:ascii="宋体" w:hAnsi="宋体" w:cs="宋体"/>
          <w:b/>
          <w:color w:val="auto"/>
          <w:sz w:val="96"/>
        </w:rPr>
        <w:t>竞 选 文 件</w:t>
      </w:r>
    </w:p>
    <w:p w14:paraId="72A35955">
      <w:pPr>
        <w:adjustRightInd w:val="0"/>
        <w:snapToGrid w:val="0"/>
        <w:spacing w:line="500" w:lineRule="exact"/>
        <w:jc w:val="center"/>
        <w:rPr>
          <w:rFonts w:ascii="宋体" w:hAnsi="宋体" w:cs="宋体"/>
          <w:b/>
          <w:color w:val="auto"/>
          <w:sz w:val="36"/>
          <w:szCs w:val="36"/>
        </w:rPr>
      </w:pPr>
    </w:p>
    <w:p w14:paraId="05B64417">
      <w:pPr>
        <w:adjustRightInd w:val="0"/>
        <w:snapToGrid w:val="0"/>
        <w:spacing w:line="500" w:lineRule="exact"/>
        <w:rPr>
          <w:rFonts w:ascii="宋体" w:hAnsi="宋体" w:cs="宋体"/>
          <w:b/>
          <w:color w:val="auto"/>
          <w:sz w:val="32"/>
        </w:rPr>
      </w:pPr>
    </w:p>
    <w:p w14:paraId="454E3D13">
      <w:pPr>
        <w:adjustRightInd w:val="0"/>
        <w:snapToGrid w:val="0"/>
        <w:spacing w:line="500" w:lineRule="exact"/>
        <w:rPr>
          <w:rFonts w:ascii="宋体" w:hAnsi="宋体" w:cs="宋体"/>
          <w:b/>
          <w:color w:val="auto"/>
          <w:sz w:val="32"/>
        </w:rPr>
      </w:pPr>
    </w:p>
    <w:p w14:paraId="3A4CB12B">
      <w:pPr>
        <w:adjustRightInd w:val="0"/>
        <w:snapToGrid w:val="0"/>
        <w:spacing w:line="500" w:lineRule="exact"/>
        <w:rPr>
          <w:rFonts w:ascii="宋体" w:hAnsi="宋体" w:cs="宋体"/>
          <w:b/>
          <w:color w:val="auto"/>
          <w:sz w:val="28"/>
          <w:szCs w:val="28"/>
        </w:rPr>
      </w:pPr>
    </w:p>
    <w:p w14:paraId="4009B39B">
      <w:pPr>
        <w:adjustRightInd w:val="0"/>
        <w:snapToGrid w:val="0"/>
        <w:spacing w:line="500" w:lineRule="exact"/>
        <w:jc w:val="center"/>
        <w:rPr>
          <w:rFonts w:ascii="宋体" w:hAnsi="宋体" w:cs="宋体"/>
          <w:b/>
          <w:color w:val="auto"/>
          <w:sz w:val="28"/>
          <w:szCs w:val="28"/>
        </w:rPr>
      </w:pPr>
    </w:p>
    <w:p w14:paraId="69BA404F">
      <w:pPr>
        <w:pStyle w:val="19"/>
        <w:rPr>
          <w:rFonts w:ascii="宋体" w:hAnsi="宋体" w:cs="宋体"/>
          <w:b/>
          <w:color w:val="auto"/>
        </w:rPr>
      </w:pPr>
    </w:p>
    <w:p w14:paraId="702695B6">
      <w:pPr>
        <w:rPr>
          <w:rFonts w:ascii="宋体" w:hAnsi="宋体" w:cs="宋体"/>
          <w:b/>
          <w:color w:val="auto"/>
        </w:rPr>
      </w:pPr>
    </w:p>
    <w:p w14:paraId="2A38C4EC">
      <w:pPr>
        <w:pStyle w:val="19"/>
        <w:rPr>
          <w:rFonts w:ascii="宋体" w:hAnsi="宋体" w:cs="宋体"/>
          <w:b/>
          <w:color w:val="auto"/>
        </w:rPr>
      </w:pPr>
    </w:p>
    <w:p w14:paraId="222EA82C">
      <w:pPr>
        <w:adjustRightInd w:val="0"/>
        <w:snapToGrid w:val="0"/>
        <w:spacing w:line="500" w:lineRule="exact"/>
        <w:jc w:val="center"/>
        <w:outlineLvl w:val="1"/>
        <w:rPr>
          <w:rFonts w:ascii="宋体" w:hAnsi="宋体" w:cs="宋体"/>
          <w:b/>
          <w:color w:val="auto"/>
          <w:sz w:val="32"/>
          <w:szCs w:val="30"/>
        </w:rPr>
      </w:pPr>
      <w:r>
        <w:rPr>
          <w:rFonts w:hint="eastAsia" w:ascii="宋体" w:hAnsi="宋体" w:cs="宋体"/>
          <w:b/>
          <w:color w:val="auto"/>
          <w:sz w:val="32"/>
          <w:szCs w:val="30"/>
        </w:rPr>
        <w:t>竞选人:</w:t>
      </w:r>
      <w:r>
        <w:rPr>
          <w:rFonts w:hint="eastAsia" w:ascii="宋体" w:hAnsi="宋体" w:cs="宋体"/>
          <w:b/>
          <w:color w:val="auto"/>
          <w:sz w:val="32"/>
          <w:szCs w:val="30"/>
          <w:u w:val="single"/>
        </w:rPr>
        <w:t xml:space="preserve">                               </w:t>
      </w:r>
      <w:r>
        <w:rPr>
          <w:rFonts w:hint="eastAsia" w:ascii="宋体" w:hAnsi="宋体" w:cs="宋体"/>
          <w:b/>
          <w:color w:val="auto"/>
          <w:sz w:val="32"/>
          <w:szCs w:val="30"/>
        </w:rPr>
        <w:t>(盖单位法人章)</w:t>
      </w:r>
    </w:p>
    <w:p w14:paraId="554930FB">
      <w:pPr>
        <w:adjustRightInd w:val="0"/>
        <w:snapToGrid w:val="0"/>
        <w:spacing w:line="500" w:lineRule="exact"/>
        <w:rPr>
          <w:rFonts w:ascii="宋体" w:hAnsi="宋体" w:cs="宋体"/>
          <w:b/>
          <w:color w:val="auto"/>
          <w:sz w:val="32"/>
          <w:szCs w:val="30"/>
        </w:rPr>
      </w:pPr>
    </w:p>
    <w:p w14:paraId="1376938A">
      <w:pPr>
        <w:adjustRightInd w:val="0"/>
        <w:snapToGrid w:val="0"/>
        <w:spacing w:line="276" w:lineRule="auto"/>
        <w:ind w:firstLine="643" w:firstLineChars="200"/>
        <w:outlineLvl w:val="0"/>
        <w:rPr>
          <w:rFonts w:ascii="宋体" w:hAnsi="宋体" w:cs="宋体"/>
          <w:b/>
          <w:color w:val="auto"/>
          <w:sz w:val="32"/>
          <w:szCs w:val="30"/>
        </w:rPr>
      </w:pPr>
      <w:bookmarkStart w:id="578" w:name="_Toc3065"/>
      <w:bookmarkStart w:id="579" w:name="_Toc24566"/>
      <w:bookmarkStart w:id="580" w:name="_Toc11502"/>
      <w:r>
        <w:rPr>
          <w:rFonts w:hint="eastAsia" w:ascii="宋体" w:hAnsi="宋体" w:cs="宋体"/>
          <w:b/>
          <w:color w:val="auto"/>
          <w:sz w:val="32"/>
          <w:szCs w:val="30"/>
        </w:rPr>
        <w:t>法定代表人</w:t>
      </w:r>
      <w:r>
        <w:rPr>
          <w:rFonts w:hint="eastAsia" w:ascii="宋体" w:hAnsi="宋体" w:cs="宋体"/>
          <w:b/>
          <w:color w:val="auto"/>
          <w:w w:val="99"/>
          <w:kern w:val="0"/>
          <w:sz w:val="32"/>
          <w:szCs w:val="30"/>
        </w:rPr>
        <w:t>或其委托代理人</w:t>
      </w:r>
      <w:r>
        <w:rPr>
          <w:rFonts w:hint="eastAsia" w:ascii="宋体" w:hAnsi="宋体" w:cs="宋体"/>
          <w:b/>
          <w:color w:val="auto"/>
          <w:sz w:val="32"/>
          <w:szCs w:val="30"/>
        </w:rPr>
        <w:t>:</w:t>
      </w:r>
      <w:r>
        <w:rPr>
          <w:rFonts w:hint="eastAsia" w:ascii="宋体" w:hAnsi="宋体" w:cs="宋体"/>
          <w:b/>
          <w:color w:val="auto"/>
          <w:sz w:val="32"/>
          <w:szCs w:val="30"/>
          <w:u w:val="single"/>
        </w:rPr>
        <w:t xml:space="preserve">               </w:t>
      </w:r>
      <w:r>
        <w:rPr>
          <w:rFonts w:hint="eastAsia" w:ascii="宋体" w:hAnsi="宋体" w:cs="宋体"/>
          <w:b/>
          <w:color w:val="auto"/>
          <w:sz w:val="32"/>
          <w:szCs w:val="30"/>
        </w:rPr>
        <w:t>(签字或盖章)</w:t>
      </w:r>
      <w:bookmarkEnd w:id="578"/>
      <w:bookmarkEnd w:id="579"/>
      <w:bookmarkEnd w:id="580"/>
    </w:p>
    <w:p w14:paraId="3FE0DAB1">
      <w:pPr>
        <w:adjustRightInd w:val="0"/>
        <w:snapToGrid w:val="0"/>
        <w:spacing w:line="500" w:lineRule="exact"/>
        <w:jc w:val="center"/>
        <w:rPr>
          <w:rFonts w:ascii="宋体" w:hAnsi="宋体" w:cs="宋体"/>
          <w:b/>
          <w:color w:val="auto"/>
          <w:sz w:val="30"/>
          <w:szCs w:val="30"/>
        </w:rPr>
      </w:pPr>
    </w:p>
    <w:p w14:paraId="0E4A8DF7">
      <w:pPr>
        <w:autoSpaceDE w:val="0"/>
        <w:autoSpaceDN w:val="0"/>
        <w:adjustRightInd w:val="0"/>
        <w:spacing w:line="500" w:lineRule="exact"/>
        <w:jc w:val="center"/>
        <w:outlineLvl w:val="0"/>
        <w:rPr>
          <w:rFonts w:ascii="宋体" w:hAnsi="宋体" w:cs="宋体"/>
          <w:color w:val="auto"/>
          <w:sz w:val="28"/>
          <w:szCs w:val="28"/>
        </w:rPr>
      </w:pPr>
      <w:r>
        <w:rPr>
          <w:rFonts w:hint="eastAsia" w:ascii="宋体" w:hAnsi="宋体" w:cs="宋体"/>
          <w:b/>
          <w:color w:val="auto"/>
          <w:sz w:val="30"/>
          <w:szCs w:val="30"/>
          <w:u w:val="single"/>
        </w:rPr>
        <w:t xml:space="preserve">      </w:t>
      </w:r>
      <w:bookmarkStart w:id="581" w:name="_Toc26042"/>
      <w:bookmarkStart w:id="582" w:name="_Toc25316"/>
      <w:bookmarkStart w:id="583" w:name="_Toc21726"/>
      <w:r>
        <w:rPr>
          <w:rFonts w:hint="eastAsia" w:ascii="宋体" w:hAnsi="宋体" w:cs="宋体"/>
          <w:b/>
          <w:color w:val="auto"/>
          <w:sz w:val="30"/>
          <w:szCs w:val="30"/>
        </w:rPr>
        <w:t>年</w:t>
      </w:r>
      <w:r>
        <w:rPr>
          <w:rFonts w:hint="eastAsia" w:ascii="宋体" w:hAnsi="宋体" w:cs="宋体"/>
          <w:b/>
          <w:color w:val="auto"/>
          <w:sz w:val="30"/>
          <w:szCs w:val="30"/>
          <w:u w:val="single"/>
        </w:rPr>
        <w:t xml:space="preserve">    </w:t>
      </w:r>
      <w:r>
        <w:rPr>
          <w:rFonts w:hint="eastAsia" w:ascii="宋体" w:hAnsi="宋体" w:cs="宋体"/>
          <w:b/>
          <w:color w:val="auto"/>
          <w:sz w:val="30"/>
          <w:szCs w:val="30"/>
        </w:rPr>
        <w:t>月</w:t>
      </w:r>
      <w:r>
        <w:rPr>
          <w:rFonts w:hint="eastAsia" w:ascii="宋体" w:hAnsi="宋体" w:cs="宋体"/>
          <w:b/>
          <w:color w:val="auto"/>
          <w:sz w:val="30"/>
          <w:szCs w:val="30"/>
          <w:u w:val="single"/>
        </w:rPr>
        <w:t xml:space="preserve">    </w:t>
      </w:r>
      <w:r>
        <w:rPr>
          <w:rFonts w:hint="eastAsia" w:ascii="宋体" w:hAnsi="宋体" w:cs="宋体"/>
          <w:b/>
          <w:color w:val="auto"/>
          <w:sz w:val="30"/>
          <w:szCs w:val="30"/>
        </w:rPr>
        <w:t>日</w:t>
      </w:r>
      <w:r>
        <w:rPr>
          <w:rFonts w:hint="eastAsia" w:ascii="宋体" w:hAnsi="宋体" w:cs="宋体"/>
          <w:color w:val="auto"/>
          <w:sz w:val="28"/>
          <w:szCs w:val="28"/>
        </w:rPr>
        <w:br w:type="page"/>
      </w:r>
      <w:bookmarkEnd w:id="581"/>
      <w:bookmarkEnd w:id="582"/>
      <w:bookmarkEnd w:id="583"/>
    </w:p>
    <w:p w14:paraId="01E1E1D7">
      <w:pPr>
        <w:pageBreakBefore/>
        <w:autoSpaceDE w:val="0"/>
        <w:autoSpaceDN w:val="0"/>
        <w:adjustRightInd w:val="0"/>
        <w:spacing w:line="700" w:lineRule="exact"/>
        <w:jc w:val="center"/>
        <w:outlineLvl w:val="0"/>
        <w:rPr>
          <w:rFonts w:ascii="宋体" w:hAnsi="宋体" w:cs="宋体"/>
          <w:color w:val="auto"/>
          <w:sz w:val="36"/>
          <w:szCs w:val="36"/>
        </w:rPr>
      </w:pPr>
      <w:bookmarkStart w:id="584" w:name="_Toc6812"/>
      <w:bookmarkStart w:id="585" w:name="_Toc23387"/>
      <w:bookmarkStart w:id="586" w:name="_Toc30942"/>
      <w:r>
        <w:rPr>
          <w:rFonts w:hint="eastAsia" w:ascii="宋体" w:hAnsi="宋体" w:cs="宋体"/>
          <w:color w:val="auto"/>
          <w:sz w:val="36"/>
          <w:szCs w:val="36"/>
        </w:rPr>
        <w:t>目  录</w:t>
      </w:r>
      <w:bookmarkEnd w:id="584"/>
      <w:bookmarkEnd w:id="585"/>
      <w:bookmarkEnd w:id="586"/>
    </w:p>
    <w:p w14:paraId="6AFBA699">
      <w:pPr>
        <w:autoSpaceDE w:val="0"/>
        <w:autoSpaceDN w:val="0"/>
        <w:adjustRightInd w:val="0"/>
        <w:spacing w:line="700" w:lineRule="exact"/>
        <w:ind w:firstLine="480" w:firstLineChars="200"/>
        <w:outlineLvl w:val="0"/>
        <w:rPr>
          <w:rFonts w:ascii="宋体" w:hAnsi="宋体" w:cs="宋体"/>
          <w:color w:val="auto"/>
          <w:sz w:val="24"/>
          <w:szCs w:val="32"/>
        </w:rPr>
      </w:pPr>
      <w:bookmarkStart w:id="587" w:name="_Toc29240"/>
      <w:bookmarkStart w:id="588" w:name="_Toc9325"/>
      <w:bookmarkStart w:id="589" w:name="_Toc15185"/>
      <w:r>
        <w:rPr>
          <w:rFonts w:hint="eastAsia" w:ascii="宋体" w:hAnsi="宋体" w:cs="宋体"/>
          <w:color w:val="auto"/>
          <w:sz w:val="24"/>
          <w:szCs w:val="32"/>
        </w:rPr>
        <w:t>一、竞选函</w:t>
      </w:r>
      <w:bookmarkEnd w:id="587"/>
      <w:bookmarkEnd w:id="588"/>
      <w:bookmarkEnd w:id="589"/>
    </w:p>
    <w:p w14:paraId="56A50ED9">
      <w:pPr>
        <w:autoSpaceDE w:val="0"/>
        <w:autoSpaceDN w:val="0"/>
        <w:adjustRightInd w:val="0"/>
        <w:spacing w:line="700" w:lineRule="exact"/>
        <w:ind w:firstLine="480" w:firstLineChars="200"/>
        <w:outlineLvl w:val="0"/>
        <w:rPr>
          <w:rFonts w:hint="eastAsia" w:ascii="宋体" w:hAnsi="宋体" w:cs="宋体"/>
          <w:color w:val="auto"/>
          <w:sz w:val="24"/>
          <w:szCs w:val="32"/>
        </w:rPr>
      </w:pPr>
      <w:bookmarkStart w:id="590" w:name="_Toc1299"/>
      <w:bookmarkStart w:id="591" w:name="_Toc8965"/>
      <w:bookmarkStart w:id="592" w:name="_Toc23691"/>
      <w:r>
        <w:rPr>
          <w:rFonts w:hint="eastAsia" w:ascii="宋体" w:hAnsi="宋体" w:cs="宋体"/>
          <w:color w:val="auto"/>
          <w:sz w:val="24"/>
          <w:szCs w:val="32"/>
        </w:rPr>
        <w:t>二、</w:t>
      </w:r>
      <w:bookmarkEnd w:id="590"/>
      <w:r>
        <w:rPr>
          <w:rFonts w:hint="eastAsia" w:ascii="宋体" w:hAnsi="宋体" w:cs="宋体"/>
          <w:color w:val="auto"/>
          <w:sz w:val="24"/>
          <w:szCs w:val="32"/>
        </w:rPr>
        <w:t>已标价工程量清单</w:t>
      </w:r>
      <w:bookmarkEnd w:id="591"/>
    </w:p>
    <w:p w14:paraId="0299E089">
      <w:pPr>
        <w:autoSpaceDE w:val="0"/>
        <w:autoSpaceDN w:val="0"/>
        <w:adjustRightInd w:val="0"/>
        <w:spacing w:line="700" w:lineRule="exact"/>
        <w:ind w:firstLine="480" w:firstLineChars="200"/>
        <w:outlineLvl w:val="0"/>
        <w:rPr>
          <w:rFonts w:ascii="宋体" w:hAnsi="宋体" w:cs="宋体"/>
          <w:color w:val="auto"/>
          <w:sz w:val="24"/>
          <w:szCs w:val="32"/>
        </w:rPr>
      </w:pPr>
      <w:bookmarkStart w:id="593" w:name="_Toc18976"/>
      <w:bookmarkStart w:id="594" w:name="_Toc27189"/>
      <w:r>
        <w:rPr>
          <w:rFonts w:hint="eastAsia" w:ascii="宋体" w:hAnsi="宋体" w:cs="宋体"/>
          <w:color w:val="auto"/>
          <w:sz w:val="24"/>
          <w:szCs w:val="32"/>
          <w:lang w:val="en-US" w:eastAsia="zh-CN"/>
        </w:rPr>
        <w:t>三</w:t>
      </w:r>
      <w:r>
        <w:rPr>
          <w:rFonts w:hint="eastAsia" w:ascii="宋体" w:hAnsi="宋体" w:cs="宋体"/>
          <w:color w:val="auto"/>
          <w:sz w:val="24"/>
          <w:szCs w:val="32"/>
        </w:rPr>
        <w:t>、法定代表人身份证明及授权委托书</w:t>
      </w:r>
      <w:bookmarkEnd w:id="592"/>
      <w:bookmarkEnd w:id="593"/>
      <w:bookmarkEnd w:id="594"/>
    </w:p>
    <w:p w14:paraId="27647E77">
      <w:pPr>
        <w:autoSpaceDE w:val="0"/>
        <w:autoSpaceDN w:val="0"/>
        <w:adjustRightInd w:val="0"/>
        <w:spacing w:line="700" w:lineRule="exact"/>
        <w:ind w:firstLine="480" w:firstLineChars="200"/>
        <w:outlineLvl w:val="0"/>
        <w:rPr>
          <w:rFonts w:ascii="宋体" w:hAnsi="宋体" w:cs="宋体"/>
          <w:color w:val="auto"/>
          <w:sz w:val="24"/>
          <w:szCs w:val="32"/>
        </w:rPr>
      </w:pPr>
      <w:bookmarkStart w:id="595" w:name="_Toc16235"/>
      <w:bookmarkStart w:id="596" w:name="_Toc13899"/>
      <w:bookmarkStart w:id="597" w:name="_Toc14194"/>
      <w:r>
        <w:rPr>
          <w:rFonts w:hint="eastAsia" w:ascii="宋体" w:hAnsi="宋体" w:cs="宋体"/>
          <w:color w:val="auto"/>
          <w:sz w:val="24"/>
          <w:szCs w:val="32"/>
          <w:lang w:val="en-US" w:eastAsia="zh-CN"/>
        </w:rPr>
        <w:t>四</w:t>
      </w:r>
      <w:r>
        <w:rPr>
          <w:rFonts w:hint="eastAsia" w:ascii="宋体" w:hAnsi="宋体" w:cs="宋体"/>
          <w:color w:val="auto"/>
          <w:sz w:val="24"/>
          <w:szCs w:val="32"/>
        </w:rPr>
        <w:t>、竞选人基本情况表</w:t>
      </w:r>
      <w:bookmarkEnd w:id="595"/>
      <w:bookmarkEnd w:id="596"/>
      <w:bookmarkEnd w:id="597"/>
    </w:p>
    <w:p w14:paraId="1CD3049D">
      <w:pPr>
        <w:autoSpaceDE w:val="0"/>
        <w:autoSpaceDN w:val="0"/>
        <w:adjustRightInd w:val="0"/>
        <w:spacing w:line="700" w:lineRule="exact"/>
        <w:ind w:firstLine="480" w:firstLineChars="200"/>
        <w:outlineLvl w:val="0"/>
        <w:rPr>
          <w:rFonts w:ascii="宋体" w:hAnsi="宋体" w:cs="宋体"/>
          <w:color w:val="auto"/>
          <w:sz w:val="24"/>
          <w:szCs w:val="32"/>
        </w:rPr>
      </w:pPr>
      <w:bookmarkStart w:id="598" w:name="_Toc4433"/>
      <w:bookmarkStart w:id="599" w:name="_Toc23964"/>
      <w:bookmarkStart w:id="600" w:name="_Toc20035"/>
      <w:r>
        <w:rPr>
          <w:rFonts w:hint="eastAsia" w:ascii="宋体" w:hAnsi="宋体" w:cs="宋体"/>
          <w:color w:val="auto"/>
          <w:sz w:val="24"/>
          <w:szCs w:val="32"/>
          <w:lang w:val="en-US" w:eastAsia="zh-CN"/>
        </w:rPr>
        <w:t>五</w:t>
      </w:r>
      <w:r>
        <w:rPr>
          <w:rFonts w:hint="eastAsia" w:ascii="宋体" w:hAnsi="宋体" w:cs="宋体"/>
          <w:color w:val="auto"/>
          <w:sz w:val="24"/>
          <w:szCs w:val="32"/>
        </w:rPr>
        <w:t>、类似业绩情况表</w:t>
      </w:r>
      <w:bookmarkEnd w:id="598"/>
      <w:bookmarkEnd w:id="599"/>
      <w:bookmarkEnd w:id="600"/>
    </w:p>
    <w:p w14:paraId="3FB953A1">
      <w:pPr>
        <w:autoSpaceDE w:val="0"/>
        <w:autoSpaceDN w:val="0"/>
        <w:adjustRightInd w:val="0"/>
        <w:spacing w:line="700" w:lineRule="exact"/>
        <w:ind w:firstLine="480" w:firstLineChars="200"/>
        <w:outlineLvl w:val="0"/>
        <w:rPr>
          <w:rFonts w:ascii="宋体" w:hAnsi="宋体" w:cs="宋体"/>
          <w:color w:val="auto"/>
          <w:sz w:val="24"/>
          <w:szCs w:val="32"/>
        </w:rPr>
      </w:pPr>
      <w:bookmarkStart w:id="601" w:name="_Toc6017"/>
      <w:bookmarkStart w:id="602" w:name="_Toc10684"/>
      <w:bookmarkStart w:id="603" w:name="_Toc6499"/>
      <w:r>
        <w:rPr>
          <w:rFonts w:hint="eastAsia" w:ascii="宋体" w:hAnsi="宋体" w:cs="宋体"/>
          <w:color w:val="auto"/>
          <w:sz w:val="24"/>
          <w:szCs w:val="32"/>
          <w:lang w:val="en-US" w:eastAsia="zh-CN"/>
        </w:rPr>
        <w:t>六</w:t>
      </w:r>
      <w:r>
        <w:rPr>
          <w:rFonts w:hint="eastAsia" w:ascii="宋体" w:hAnsi="宋体" w:cs="宋体"/>
          <w:color w:val="auto"/>
          <w:sz w:val="24"/>
          <w:szCs w:val="32"/>
        </w:rPr>
        <w:t>、承诺</w:t>
      </w:r>
      <w:bookmarkEnd w:id="601"/>
      <w:bookmarkEnd w:id="602"/>
      <w:bookmarkEnd w:id="603"/>
    </w:p>
    <w:p w14:paraId="0176ADA6">
      <w:pPr>
        <w:autoSpaceDE w:val="0"/>
        <w:autoSpaceDN w:val="0"/>
        <w:adjustRightInd w:val="0"/>
        <w:spacing w:line="700" w:lineRule="exact"/>
        <w:ind w:firstLine="480" w:firstLineChars="200"/>
        <w:outlineLvl w:val="0"/>
        <w:rPr>
          <w:rFonts w:hint="default" w:ascii="宋体" w:hAnsi="宋体" w:eastAsia="宋体" w:cs="宋体"/>
          <w:color w:val="auto"/>
          <w:sz w:val="24"/>
          <w:szCs w:val="32"/>
          <w:lang w:val="en-US" w:eastAsia="zh-CN"/>
        </w:rPr>
      </w:pPr>
      <w:bookmarkStart w:id="604" w:name="_Toc5910"/>
      <w:bookmarkStart w:id="605" w:name="_Toc3829"/>
      <w:bookmarkStart w:id="606" w:name="_Toc10166"/>
      <w:r>
        <w:rPr>
          <w:rFonts w:hint="eastAsia" w:ascii="宋体" w:hAnsi="宋体" w:cs="宋体"/>
          <w:color w:val="auto"/>
          <w:sz w:val="24"/>
          <w:szCs w:val="32"/>
          <w:lang w:val="en-US" w:eastAsia="zh-CN"/>
        </w:rPr>
        <w:t>七</w:t>
      </w:r>
      <w:r>
        <w:rPr>
          <w:rFonts w:hint="eastAsia" w:ascii="宋体" w:hAnsi="宋体" w:cs="宋体"/>
          <w:color w:val="auto"/>
          <w:sz w:val="24"/>
          <w:szCs w:val="32"/>
        </w:rPr>
        <w:t>、</w:t>
      </w:r>
      <w:r>
        <w:rPr>
          <w:rFonts w:hint="eastAsia" w:ascii="宋体" w:hAnsi="宋体" w:cs="宋体"/>
          <w:color w:val="auto"/>
          <w:sz w:val="24"/>
          <w:szCs w:val="32"/>
          <w:lang w:val="en-US" w:eastAsia="zh-CN"/>
        </w:rPr>
        <w:t>技术部分</w:t>
      </w:r>
      <w:bookmarkEnd w:id="604"/>
      <w:bookmarkEnd w:id="605"/>
      <w:bookmarkEnd w:id="606"/>
    </w:p>
    <w:p w14:paraId="23BF7551">
      <w:pPr>
        <w:autoSpaceDE w:val="0"/>
        <w:autoSpaceDN w:val="0"/>
        <w:adjustRightInd w:val="0"/>
        <w:spacing w:line="700" w:lineRule="exact"/>
        <w:ind w:firstLine="480" w:firstLineChars="200"/>
        <w:outlineLvl w:val="0"/>
        <w:rPr>
          <w:rFonts w:ascii="宋体" w:hAnsi="宋体" w:cs="宋体"/>
          <w:color w:val="auto"/>
          <w:sz w:val="24"/>
          <w:szCs w:val="32"/>
        </w:rPr>
      </w:pPr>
      <w:bookmarkStart w:id="607" w:name="_Toc20859"/>
      <w:bookmarkStart w:id="608" w:name="_Toc4697"/>
      <w:bookmarkStart w:id="609" w:name="_Toc4166"/>
      <w:r>
        <w:rPr>
          <w:rFonts w:hint="eastAsia" w:ascii="宋体" w:hAnsi="宋体" w:cs="宋体"/>
          <w:color w:val="auto"/>
          <w:sz w:val="24"/>
          <w:szCs w:val="32"/>
          <w:lang w:val="en-US" w:eastAsia="zh-CN"/>
        </w:rPr>
        <w:t>八</w:t>
      </w:r>
      <w:r>
        <w:rPr>
          <w:rFonts w:hint="eastAsia" w:ascii="宋体" w:hAnsi="宋体" w:cs="宋体"/>
          <w:color w:val="auto"/>
          <w:sz w:val="24"/>
          <w:szCs w:val="32"/>
        </w:rPr>
        <w:t>、其他资料</w:t>
      </w:r>
      <w:bookmarkEnd w:id="607"/>
      <w:bookmarkEnd w:id="608"/>
      <w:bookmarkEnd w:id="609"/>
    </w:p>
    <w:p w14:paraId="3D071498">
      <w:pPr>
        <w:pStyle w:val="19"/>
        <w:rPr>
          <w:rFonts w:ascii="宋体" w:hAnsi="宋体" w:cs="宋体"/>
          <w:color w:val="auto"/>
        </w:rPr>
      </w:pPr>
      <w:r>
        <w:rPr>
          <w:rFonts w:hint="eastAsia" w:ascii="宋体" w:hAnsi="宋体" w:cs="宋体"/>
          <w:color w:val="auto"/>
        </w:rPr>
        <w:br w:type="page"/>
      </w:r>
    </w:p>
    <w:p w14:paraId="57F23185">
      <w:pPr>
        <w:pStyle w:val="3"/>
        <w:jc w:val="center"/>
        <w:outlineLvl w:val="0"/>
        <w:rPr>
          <w:rFonts w:ascii="宋体" w:hAnsi="宋体" w:eastAsia="宋体" w:cs="宋体"/>
          <w:color w:val="auto"/>
          <w:szCs w:val="22"/>
        </w:rPr>
      </w:pPr>
      <w:bookmarkStart w:id="610" w:name="_Toc9100"/>
      <w:bookmarkStart w:id="611" w:name="_Toc32169"/>
      <w:bookmarkStart w:id="612" w:name="_Toc31351"/>
      <w:r>
        <w:rPr>
          <w:rFonts w:hint="eastAsia" w:ascii="宋体" w:hAnsi="宋体" w:eastAsia="宋体" w:cs="宋体"/>
          <w:color w:val="auto"/>
          <w:szCs w:val="22"/>
        </w:rPr>
        <w:t>一、竞选函</w:t>
      </w:r>
      <w:bookmarkEnd w:id="610"/>
      <w:bookmarkEnd w:id="611"/>
      <w:bookmarkEnd w:id="612"/>
    </w:p>
    <w:p w14:paraId="35B2B0B0">
      <w:pPr>
        <w:tabs>
          <w:tab w:val="left" w:pos="2655"/>
          <w:tab w:val="left" w:pos="3520"/>
          <w:tab w:val="left" w:pos="4920"/>
          <w:tab w:val="left" w:pos="5715"/>
          <w:tab w:val="left" w:pos="6945"/>
          <w:tab w:val="left" w:pos="7980"/>
        </w:tabs>
        <w:autoSpaceDE w:val="0"/>
        <w:autoSpaceDN w:val="0"/>
        <w:adjustRightInd w:val="0"/>
        <w:spacing w:line="360" w:lineRule="auto"/>
        <w:rPr>
          <w:rFonts w:ascii="宋体" w:hAnsi="宋体" w:cs="宋体"/>
          <w:snapToGrid w:val="0"/>
          <w:color w:val="auto"/>
          <w:szCs w:val="21"/>
          <w:u w:val="single"/>
        </w:rPr>
      </w:pPr>
      <w:bookmarkStart w:id="613" w:name="_Toc249770226"/>
      <w:r>
        <w:rPr>
          <w:rFonts w:hint="eastAsia" w:ascii="宋体" w:hAnsi="宋体" w:cs="宋体"/>
          <w:snapToGrid w:val="0"/>
          <w:color w:val="auto"/>
          <w:szCs w:val="21"/>
          <w:u w:val="single"/>
        </w:rPr>
        <w:t xml:space="preserve">                     (比选人):</w:t>
      </w:r>
    </w:p>
    <w:p w14:paraId="19A273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ascii="宋体" w:hAnsi="宋体" w:cs="宋体"/>
          <w:snapToGrid w:val="0"/>
          <w:color w:val="auto"/>
          <w:kern w:val="0"/>
        </w:rPr>
      </w:pPr>
      <w:r>
        <w:rPr>
          <w:rFonts w:hint="eastAsia" w:ascii="宋体" w:hAnsi="宋体" w:cs="宋体"/>
          <w:snapToGrid w:val="0"/>
          <w:color w:val="auto"/>
          <w:kern w:val="0"/>
          <w:szCs w:val="21"/>
          <w:lang w:val="en-US" w:eastAsia="zh-CN"/>
        </w:rPr>
        <w:t>1.</w:t>
      </w:r>
      <w:r>
        <w:rPr>
          <w:rFonts w:hint="eastAsia" w:ascii="宋体" w:hAnsi="宋体" w:cs="宋体"/>
          <w:snapToGrid w:val="0"/>
          <w:color w:val="auto"/>
          <w:kern w:val="0"/>
          <w:szCs w:val="21"/>
        </w:rPr>
        <w:t>根据已收到的</w:t>
      </w:r>
      <w:r>
        <w:rPr>
          <w:rFonts w:hint="eastAsia" w:ascii="宋体" w:hAnsi="宋体" w:cs="宋体"/>
          <w:snapToGrid w:val="0"/>
          <w:color w:val="auto"/>
          <w:kern w:val="0"/>
          <w:szCs w:val="21"/>
          <w:u w:val="single"/>
        </w:rPr>
        <w:t xml:space="preserve">          （项目名称）</w:t>
      </w:r>
      <w:r>
        <w:rPr>
          <w:rFonts w:hint="eastAsia" w:ascii="宋体" w:hAnsi="宋体" w:cs="宋体"/>
          <w:snapToGrid w:val="0"/>
          <w:color w:val="auto"/>
          <w:kern w:val="0"/>
          <w:szCs w:val="21"/>
        </w:rPr>
        <w:t>的竞争性比选文件的全部内容，愿意以人民币（大写）</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 xml:space="preserve">             （￥ </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元）的比选总报价完成竞争性比选文件和</w:t>
      </w:r>
      <w:r>
        <w:rPr>
          <w:rFonts w:hint="eastAsia" w:ascii="宋体" w:hAnsi="宋体" w:cs="宋体"/>
          <w:snapToGrid w:val="0"/>
          <w:color w:val="auto"/>
          <w:kern w:val="0"/>
        </w:rPr>
        <w:t>按合同约定的全部内容。</w:t>
      </w:r>
    </w:p>
    <w:p w14:paraId="7217C0C1">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2.我方承诺在竞选有效期内不修改、撤销竞选文件。</w:t>
      </w:r>
    </w:p>
    <w:p w14:paraId="5A182C9A">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3.如我方中选:</w:t>
      </w:r>
    </w:p>
    <w:p w14:paraId="1E975C34">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（1）我方承诺在收到中选通知书后，在中选通知书规定的期限内与你方签订合同。</w:t>
      </w:r>
    </w:p>
    <w:p w14:paraId="060A9CE6">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（2）随同本竞选函递交的竞选函附录属于合同文件的组成部分。</w:t>
      </w:r>
    </w:p>
    <w:p w14:paraId="1D5AFF24">
      <w:pPr>
        <w:tabs>
          <w:tab w:val="left" w:pos="7140"/>
          <w:tab w:val="left" w:pos="7560"/>
          <w:tab w:val="left" w:pos="8300"/>
        </w:tabs>
        <w:autoSpaceDE w:val="0"/>
        <w:autoSpaceDN w:val="0"/>
        <w:adjustRightInd w:val="0"/>
        <w:spacing w:line="360" w:lineRule="auto"/>
        <w:ind w:firstLine="420" w:firstLineChars="200"/>
        <w:rPr>
          <w:rFonts w:hint="eastAsia" w:ascii="宋体" w:hAnsi="宋体" w:eastAsia="宋体" w:cs="宋体"/>
          <w:snapToGrid w:val="0"/>
          <w:color w:val="auto"/>
          <w:kern w:val="0"/>
          <w:szCs w:val="21"/>
          <w:lang w:val="en-US" w:eastAsia="zh-CN"/>
        </w:rPr>
      </w:pPr>
      <w:r>
        <w:rPr>
          <w:rFonts w:hint="eastAsia" w:ascii="宋体" w:hAnsi="宋体" w:cs="宋体"/>
          <w:snapToGrid w:val="0"/>
          <w:color w:val="auto"/>
          <w:kern w:val="0"/>
          <w:szCs w:val="21"/>
        </w:rPr>
        <w:t>（3）我方承诺在合同期限内按合同约定履行义务</w:t>
      </w:r>
      <w:r>
        <w:rPr>
          <w:rFonts w:hint="eastAsia" w:ascii="宋体" w:hAnsi="宋体" w:cs="宋体"/>
          <w:snapToGrid w:val="0"/>
          <w:color w:val="auto"/>
          <w:kern w:val="0"/>
          <w:szCs w:val="21"/>
          <w:lang w:eastAsia="zh-CN"/>
        </w:rPr>
        <w:t>。</w:t>
      </w:r>
    </w:p>
    <w:p w14:paraId="0B67A96E">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（4）我方承诺以不低于竞争性比选文件第五章</w:t>
      </w:r>
      <w:r>
        <w:rPr>
          <w:rFonts w:hint="eastAsia" w:ascii="宋体" w:hAnsi="宋体" w:cs="宋体"/>
          <w:snapToGrid w:val="0"/>
          <w:color w:val="auto"/>
          <w:kern w:val="0"/>
          <w:szCs w:val="21"/>
          <w:lang w:val="en-US" w:eastAsia="zh-CN"/>
        </w:rPr>
        <w:t>工程量清单</w:t>
      </w:r>
      <w:r>
        <w:rPr>
          <w:rFonts w:hint="eastAsia" w:ascii="宋体" w:hAnsi="宋体" w:cs="宋体"/>
          <w:snapToGrid w:val="0"/>
          <w:color w:val="auto"/>
          <w:kern w:val="0"/>
          <w:szCs w:val="21"/>
        </w:rPr>
        <w:t>中所列的技术指标和参数要求完成全部要求。</w:t>
      </w:r>
    </w:p>
    <w:p w14:paraId="0E2E6EE3">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4.我方在此声明，所递交的竞选文件及有关资料内容完整、真实和准确，</w:t>
      </w:r>
      <w:r>
        <w:rPr>
          <w:rFonts w:hint="eastAsia" w:ascii="宋体" w:hAnsi="宋体" w:cs="宋体"/>
          <w:bCs/>
          <w:snapToGrid w:val="0"/>
          <w:color w:val="auto"/>
          <w:kern w:val="0"/>
          <w:szCs w:val="21"/>
        </w:rPr>
        <w:t>符合第四章“合同条款”的规定</w:t>
      </w:r>
      <w:r>
        <w:rPr>
          <w:rFonts w:hint="eastAsia" w:ascii="宋体" w:hAnsi="宋体" w:cs="宋体"/>
          <w:bCs/>
          <w:snapToGrid w:val="0"/>
          <w:color w:val="auto"/>
          <w:kern w:val="0"/>
          <w:szCs w:val="21"/>
          <w:lang w:eastAsia="zh-CN"/>
        </w:rPr>
        <w:t>，</w:t>
      </w:r>
      <w:r>
        <w:rPr>
          <w:rFonts w:hint="eastAsia" w:ascii="宋体" w:hAnsi="宋体" w:cs="宋体"/>
          <w:bCs/>
          <w:snapToGrid w:val="0"/>
          <w:color w:val="auto"/>
          <w:kern w:val="0"/>
          <w:szCs w:val="21"/>
          <w:lang w:val="en-US" w:eastAsia="zh-CN"/>
        </w:rPr>
        <w:t>竞选文件没有比选人不能接受的条件，</w:t>
      </w:r>
      <w:r>
        <w:rPr>
          <w:rFonts w:hint="eastAsia" w:ascii="宋体" w:hAnsi="宋体" w:cs="宋体"/>
          <w:bCs/>
          <w:snapToGrid w:val="0"/>
          <w:color w:val="auto"/>
          <w:kern w:val="0"/>
          <w:szCs w:val="21"/>
        </w:rPr>
        <w:t>且</w:t>
      </w:r>
      <w:r>
        <w:rPr>
          <w:rFonts w:hint="eastAsia" w:ascii="宋体" w:hAnsi="宋体" w:cs="宋体"/>
          <w:snapToGrid w:val="0"/>
          <w:color w:val="auto"/>
          <w:kern w:val="0"/>
          <w:szCs w:val="21"/>
        </w:rPr>
        <w:t>不存在第二章“竞选人须知”第1.4.3项规定的任何一种情形。同时我方承诺接受比选文件及附件、澄清及修改通知中所有的内容。</w:t>
      </w:r>
    </w:p>
    <w:p w14:paraId="69056BF6">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lang w:val="en-US" w:eastAsia="zh-CN"/>
        </w:rPr>
        <w:t>5</w:t>
      </w:r>
      <w:r>
        <w:rPr>
          <w:rFonts w:hint="eastAsia" w:ascii="宋体" w:hAnsi="宋体" w:cs="宋体"/>
          <w:snapToGrid w:val="0"/>
          <w:color w:val="auto"/>
          <w:kern w:val="0"/>
          <w:szCs w:val="21"/>
        </w:rPr>
        <w:t>.</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（其他补充说明）。</w:t>
      </w:r>
    </w:p>
    <w:p w14:paraId="5702CFEF">
      <w:pPr>
        <w:tabs>
          <w:tab w:val="left" w:pos="7140"/>
          <w:tab w:val="left" w:pos="7560"/>
          <w:tab w:val="left" w:pos="8300"/>
        </w:tabs>
        <w:autoSpaceDE w:val="0"/>
        <w:autoSpaceDN w:val="0"/>
        <w:adjustRightInd w:val="0"/>
        <w:spacing w:line="360" w:lineRule="auto"/>
        <w:rPr>
          <w:rFonts w:ascii="宋体" w:hAnsi="宋体" w:cs="宋体"/>
          <w:snapToGrid w:val="0"/>
          <w:color w:val="auto"/>
          <w:kern w:val="0"/>
          <w:szCs w:val="21"/>
        </w:rPr>
      </w:pPr>
    </w:p>
    <w:p w14:paraId="5BF4CD64">
      <w:pPr>
        <w:tabs>
          <w:tab w:val="left" w:pos="7140"/>
          <w:tab w:val="left" w:pos="7560"/>
          <w:tab w:val="left" w:pos="8300"/>
        </w:tabs>
        <w:autoSpaceDE w:val="0"/>
        <w:autoSpaceDN w:val="0"/>
        <w:adjustRightInd w:val="0"/>
        <w:spacing w:line="500" w:lineRule="exact"/>
        <w:ind w:right="210" w:firstLine="1982" w:firstLineChars="944"/>
        <w:rPr>
          <w:rFonts w:ascii="宋体" w:hAnsi="宋体" w:cs="宋体"/>
          <w:snapToGrid w:val="0"/>
          <w:color w:val="auto"/>
          <w:kern w:val="0"/>
        </w:rPr>
      </w:pPr>
      <w:r>
        <w:rPr>
          <w:rFonts w:hint="eastAsia" w:ascii="宋体" w:hAnsi="宋体" w:cs="宋体"/>
          <w:snapToGrid w:val="0"/>
          <w:color w:val="auto"/>
          <w:kern w:val="0"/>
          <w:szCs w:val="21"/>
        </w:rPr>
        <w:t>竞选</w:t>
      </w:r>
      <w:r>
        <w:rPr>
          <w:rFonts w:hint="eastAsia" w:ascii="宋体" w:hAnsi="宋体" w:cs="宋体"/>
          <w:snapToGrid w:val="0"/>
          <w:color w:val="auto"/>
          <w:kern w:val="0"/>
        </w:rPr>
        <w:t xml:space="preserve">人： </w:t>
      </w:r>
      <w:r>
        <w:rPr>
          <w:rFonts w:hint="eastAsia" w:ascii="宋体" w:hAnsi="宋体" w:cs="宋体"/>
          <w:snapToGrid w:val="0"/>
          <w:color w:val="auto"/>
          <w:kern w:val="0"/>
          <w:u w:val="single"/>
        </w:rPr>
        <w:t xml:space="preserve">                              </w:t>
      </w:r>
      <w:r>
        <w:rPr>
          <w:rFonts w:hint="eastAsia" w:ascii="宋体" w:hAnsi="宋体" w:cs="宋体"/>
          <w:snapToGrid w:val="0"/>
          <w:color w:val="auto"/>
          <w:kern w:val="0"/>
        </w:rPr>
        <w:t>（盖单位法人章）</w:t>
      </w:r>
    </w:p>
    <w:p w14:paraId="63927ED9">
      <w:pPr>
        <w:tabs>
          <w:tab w:val="left" w:pos="7140"/>
          <w:tab w:val="left" w:pos="7560"/>
          <w:tab w:val="left" w:pos="8300"/>
        </w:tabs>
        <w:autoSpaceDE w:val="0"/>
        <w:autoSpaceDN w:val="0"/>
        <w:adjustRightInd w:val="0"/>
        <w:spacing w:line="500" w:lineRule="exact"/>
        <w:ind w:right="210" w:firstLine="1995" w:firstLineChars="950"/>
        <w:rPr>
          <w:rFonts w:ascii="宋体" w:hAnsi="宋体" w:cs="宋体"/>
          <w:snapToGrid w:val="0"/>
          <w:color w:val="auto"/>
          <w:kern w:val="0"/>
        </w:rPr>
      </w:pPr>
      <w:r>
        <w:rPr>
          <w:rFonts w:hint="eastAsia" w:ascii="宋体" w:hAnsi="宋体" w:cs="宋体"/>
          <w:snapToGrid w:val="0"/>
          <w:color w:val="auto"/>
          <w:kern w:val="0"/>
        </w:rPr>
        <w:t>法定代表人或其委托代理人：</w:t>
      </w:r>
      <w:r>
        <w:rPr>
          <w:rFonts w:hint="eastAsia" w:ascii="宋体" w:hAnsi="宋体" w:cs="宋体"/>
          <w:snapToGrid w:val="0"/>
          <w:color w:val="auto"/>
          <w:kern w:val="0"/>
          <w:u w:val="single"/>
        </w:rPr>
        <w:t xml:space="preserve">             </w:t>
      </w:r>
      <w:r>
        <w:rPr>
          <w:rFonts w:hint="eastAsia" w:ascii="宋体" w:hAnsi="宋体" w:cs="宋体"/>
          <w:snapToGrid w:val="0"/>
          <w:color w:val="auto"/>
          <w:kern w:val="0"/>
        </w:rPr>
        <w:t>（签字或盖章）</w:t>
      </w:r>
    </w:p>
    <w:p w14:paraId="2FEDC6EB">
      <w:pPr>
        <w:tabs>
          <w:tab w:val="left" w:pos="7035"/>
          <w:tab w:val="left" w:pos="7560"/>
          <w:tab w:val="left" w:pos="8300"/>
        </w:tabs>
        <w:autoSpaceDE w:val="0"/>
        <w:autoSpaceDN w:val="0"/>
        <w:adjustRightInd w:val="0"/>
        <w:spacing w:line="500" w:lineRule="exact"/>
        <w:ind w:right="210" w:firstLine="1982" w:firstLineChars="944"/>
        <w:rPr>
          <w:rFonts w:ascii="宋体" w:hAnsi="宋体" w:cs="宋体"/>
          <w:snapToGrid w:val="0"/>
          <w:color w:val="auto"/>
          <w:kern w:val="0"/>
          <w:szCs w:val="22"/>
        </w:rPr>
      </w:pPr>
      <w:r>
        <w:rPr>
          <w:rFonts w:hint="eastAsia" w:ascii="宋体" w:hAnsi="宋体" w:cs="宋体"/>
          <w:snapToGrid w:val="0"/>
          <w:color w:val="auto"/>
          <w:kern w:val="0"/>
          <w:szCs w:val="22"/>
        </w:rPr>
        <w:t>地址：</w:t>
      </w:r>
      <w:r>
        <w:rPr>
          <w:rFonts w:hint="eastAsia" w:ascii="宋体" w:hAnsi="宋体" w:cs="宋体"/>
          <w:snapToGrid w:val="0"/>
          <w:color w:val="auto"/>
          <w:kern w:val="0"/>
          <w:szCs w:val="22"/>
          <w:u w:val="single"/>
        </w:rPr>
        <w:t xml:space="preserve">                                </w:t>
      </w:r>
      <w:r>
        <w:rPr>
          <w:rFonts w:hint="eastAsia" w:ascii="宋体" w:hAnsi="宋体" w:cs="宋体"/>
          <w:snapToGrid w:val="0"/>
          <w:color w:val="auto"/>
          <w:kern w:val="0"/>
          <w:szCs w:val="22"/>
        </w:rPr>
        <w:t>；</w:t>
      </w:r>
    </w:p>
    <w:p w14:paraId="261B937B">
      <w:pPr>
        <w:tabs>
          <w:tab w:val="left" w:pos="7035"/>
          <w:tab w:val="left" w:pos="7560"/>
          <w:tab w:val="left" w:pos="8300"/>
        </w:tabs>
        <w:autoSpaceDE w:val="0"/>
        <w:autoSpaceDN w:val="0"/>
        <w:adjustRightInd w:val="0"/>
        <w:spacing w:line="500" w:lineRule="exact"/>
        <w:ind w:right="210" w:firstLine="1982" w:firstLineChars="944"/>
        <w:rPr>
          <w:rFonts w:ascii="宋体" w:hAnsi="宋体" w:cs="宋体"/>
          <w:snapToGrid w:val="0"/>
          <w:color w:val="auto"/>
          <w:kern w:val="0"/>
          <w:szCs w:val="22"/>
        </w:rPr>
      </w:pPr>
      <w:r>
        <w:rPr>
          <w:rFonts w:hint="eastAsia" w:ascii="宋体" w:hAnsi="宋体" w:cs="宋体"/>
          <w:color w:val="auto"/>
        </w:rPr>
        <w:t>单 位 电 话（座机）</w:t>
      </w:r>
      <w:r>
        <w:rPr>
          <w:rFonts w:hint="eastAsia" w:ascii="宋体" w:hAnsi="宋体" w:cs="宋体"/>
          <w:snapToGrid w:val="0"/>
          <w:color w:val="auto"/>
          <w:kern w:val="0"/>
          <w:szCs w:val="22"/>
        </w:rPr>
        <w:t>：</w:t>
      </w:r>
      <w:r>
        <w:rPr>
          <w:rFonts w:hint="eastAsia" w:ascii="宋体" w:hAnsi="宋体" w:cs="宋体"/>
          <w:snapToGrid w:val="0"/>
          <w:color w:val="auto"/>
          <w:kern w:val="0"/>
          <w:szCs w:val="22"/>
          <w:u w:val="single"/>
        </w:rPr>
        <w:t xml:space="preserve">                       </w:t>
      </w:r>
      <w:r>
        <w:rPr>
          <w:rFonts w:hint="eastAsia" w:ascii="宋体" w:hAnsi="宋体" w:cs="宋体"/>
          <w:snapToGrid w:val="0"/>
          <w:color w:val="auto"/>
          <w:kern w:val="0"/>
          <w:szCs w:val="22"/>
        </w:rPr>
        <w:t>；</w:t>
      </w:r>
    </w:p>
    <w:p w14:paraId="7CC672BD">
      <w:pPr>
        <w:tabs>
          <w:tab w:val="left" w:pos="7035"/>
          <w:tab w:val="left" w:pos="7560"/>
          <w:tab w:val="left" w:pos="8300"/>
        </w:tabs>
        <w:autoSpaceDE w:val="0"/>
        <w:autoSpaceDN w:val="0"/>
        <w:adjustRightInd w:val="0"/>
        <w:spacing w:line="500" w:lineRule="exact"/>
        <w:ind w:right="210" w:firstLine="1982" w:firstLineChars="944"/>
        <w:rPr>
          <w:rFonts w:ascii="宋体" w:hAnsi="宋体" w:cs="宋体"/>
          <w:snapToGrid w:val="0"/>
          <w:color w:val="auto"/>
          <w:kern w:val="0"/>
          <w:szCs w:val="22"/>
        </w:rPr>
      </w:pPr>
      <w:r>
        <w:rPr>
          <w:rFonts w:hint="eastAsia" w:ascii="宋体" w:hAnsi="宋体" w:cs="宋体"/>
          <w:color w:val="auto"/>
        </w:rPr>
        <w:t>委托代理人电话（手机）</w:t>
      </w:r>
      <w:r>
        <w:rPr>
          <w:rFonts w:hint="eastAsia" w:ascii="宋体" w:hAnsi="宋体" w:cs="宋体"/>
          <w:snapToGrid w:val="0"/>
          <w:color w:val="auto"/>
          <w:kern w:val="0"/>
          <w:szCs w:val="22"/>
        </w:rPr>
        <w:t>：</w:t>
      </w:r>
      <w:r>
        <w:rPr>
          <w:rFonts w:hint="eastAsia" w:ascii="宋体" w:hAnsi="宋体" w:cs="宋体"/>
          <w:snapToGrid w:val="0"/>
          <w:color w:val="auto"/>
          <w:kern w:val="0"/>
          <w:szCs w:val="22"/>
          <w:u w:val="single"/>
        </w:rPr>
        <w:t xml:space="preserve">                   </w:t>
      </w:r>
      <w:r>
        <w:rPr>
          <w:rFonts w:hint="eastAsia" w:ascii="宋体" w:hAnsi="宋体" w:cs="宋体"/>
          <w:snapToGrid w:val="0"/>
          <w:color w:val="auto"/>
          <w:kern w:val="0"/>
          <w:szCs w:val="22"/>
        </w:rPr>
        <w:t xml:space="preserve"> ；</w:t>
      </w:r>
    </w:p>
    <w:p w14:paraId="22DDFF6C">
      <w:pPr>
        <w:tabs>
          <w:tab w:val="left" w:pos="7035"/>
          <w:tab w:val="left" w:pos="7560"/>
          <w:tab w:val="left" w:pos="8300"/>
        </w:tabs>
        <w:autoSpaceDE w:val="0"/>
        <w:autoSpaceDN w:val="0"/>
        <w:adjustRightInd w:val="0"/>
        <w:spacing w:line="500" w:lineRule="exact"/>
        <w:ind w:right="210" w:firstLine="1982" w:firstLineChars="944"/>
        <w:rPr>
          <w:rFonts w:ascii="宋体" w:hAnsi="宋体" w:cs="宋体"/>
          <w:snapToGrid w:val="0"/>
          <w:color w:val="auto"/>
          <w:kern w:val="0"/>
          <w:szCs w:val="22"/>
        </w:rPr>
      </w:pPr>
      <w:r>
        <w:rPr>
          <w:rFonts w:hint="eastAsia" w:ascii="宋体" w:hAnsi="宋体" w:cs="宋体"/>
          <w:snapToGrid w:val="0"/>
          <w:color w:val="auto"/>
          <w:kern w:val="0"/>
          <w:szCs w:val="22"/>
        </w:rPr>
        <w:t>邮政编码：</w:t>
      </w:r>
      <w:r>
        <w:rPr>
          <w:rFonts w:hint="eastAsia" w:ascii="宋体" w:hAnsi="宋体" w:cs="宋体"/>
          <w:snapToGrid w:val="0"/>
          <w:color w:val="auto"/>
          <w:kern w:val="0"/>
          <w:szCs w:val="22"/>
          <w:u w:val="single"/>
        </w:rPr>
        <w:t xml:space="preserve">                              </w:t>
      </w:r>
      <w:r>
        <w:rPr>
          <w:rFonts w:hint="eastAsia" w:ascii="宋体" w:hAnsi="宋体" w:cs="宋体"/>
          <w:snapToGrid w:val="0"/>
          <w:color w:val="auto"/>
          <w:kern w:val="0"/>
          <w:szCs w:val="22"/>
        </w:rPr>
        <w:t>；</w:t>
      </w:r>
    </w:p>
    <w:p w14:paraId="08943B27">
      <w:pPr>
        <w:wordWrap w:val="0"/>
        <w:jc w:val="center"/>
        <w:rPr>
          <w:rFonts w:ascii="宋体" w:hAnsi="宋体" w:cs="宋体"/>
          <w:snapToGrid w:val="0"/>
          <w:color w:val="auto"/>
          <w:kern w:val="0"/>
          <w:sz w:val="24"/>
          <w:szCs w:val="32"/>
          <w:u w:val="single"/>
        </w:rPr>
      </w:pPr>
    </w:p>
    <w:p w14:paraId="33CD7C3D">
      <w:pPr>
        <w:wordWrap w:val="0"/>
        <w:jc w:val="center"/>
        <w:rPr>
          <w:rFonts w:ascii="宋体" w:hAnsi="宋体" w:cs="宋体"/>
          <w:snapToGrid w:val="0"/>
          <w:color w:val="auto"/>
          <w:kern w:val="0"/>
          <w:sz w:val="24"/>
          <w:szCs w:val="32"/>
        </w:rPr>
      </w:pPr>
      <w:r>
        <w:rPr>
          <w:rFonts w:hint="eastAsia" w:ascii="宋体" w:hAnsi="宋体" w:cs="宋体"/>
          <w:snapToGrid w:val="0"/>
          <w:color w:val="auto"/>
          <w:kern w:val="0"/>
          <w:sz w:val="24"/>
          <w:szCs w:val="32"/>
          <w:u w:val="single"/>
        </w:rPr>
        <w:t xml:space="preserve">        </w:t>
      </w:r>
      <w:r>
        <w:rPr>
          <w:rFonts w:hint="eastAsia" w:ascii="宋体" w:hAnsi="宋体" w:cs="宋体"/>
          <w:snapToGrid w:val="0"/>
          <w:color w:val="auto"/>
          <w:kern w:val="0"/>
          <w:sz w:val="24"/>
          <w:szCs w:val="32"/>
        </w:rPr>
        <w:t>年</w:t>
      </w:r>
      <w:r>
        <w:rPr>
          <w:rFonts w:hint="eastAsia" w:ascii="宋体" w:hAnsi="宋体" w:cs="宋体"/>
          <w:snapToGrid w:val="0"/>
          <w:color w:val="auto"/>
          <w:w w:val="200"/>
          <w:kern w:val="0"/>
          <w:sz w:val="24"/>
          <w:szCs w:val="32"/>
          <w:u w:val="single"/>
        </w:rPr>
        <w:t xml:space="preserve">  </w:t>
      </w:r>
      <w:r>
        <w:rPr>
          <w:rFonts w:hint="eastAsia" w:ascii="宋体" w:hAnsi="宋体" w:cs="宋体"/>
          <w:snapToGrid w:val="0"/>
          <w:color w:val="auto"/>
          <w:kern w:val="0"/>
          <w:sz w:val="24"/>
          <w:szCs w:val="32"/>
        </w:rPr>
        <w:t>月</w:t>
      </w:r>
      <w:r>
        <w:rPr>
          <w:rFonts w:hint="eastAsia" w:ascii="宋体" w:hAnsi="宋体" w:cs="宋体"/>
          <w:snapToGrid w:val="0"/>
          <w:color w:val="auto"/>
          <w:w w:val="200"/>
          <w:kern w:val="0"/>
          <w:sz w:val="24"/>
          <w:szCs w:val="32"/>
          <w:u w:val="single"/>
        </w:rPr>
        <w:t xml:space="preserve">  </w:t>
      </w:r>
      <w:r>
        <w:rPr>
          <w:rFonts w:hint="eastAsia" w:ascii="宋体" w:hAnsi="宋体" w:cs="宋体"/>
          <w:snapToGrid w:val="0"/>
          <w:color w:val="auto"/>
          <w:kern w:val="0"/>
          <w:sz w:val="24"/>
          <w:szCs w:val="32"/>
        </w:rPr>
        <w:t>日</w:t>
      </w:r>
    </w:p>
    <w:p w14:paraId="55CD3F22">
      <w:pPr>
        <w:tabs>
          <w:tab w:val="left" w:pos="7140"/>
          <w:tab w:val="left" w:pos="7560"/>
          <w:tab w:val="left" w:pos="8300"/>
        </w:tabs>
        <w:autoSpaceDE w:val="0"/>
        <w:autoSpaceDN w:val="0"/>
        <w:adjustRightInd w:val="0"/>
        <w:spacing w:line="360" w:lineRule="auto"/>
        <w:ind w:firstLine="1680" w:firstLineChars="800"/>
        <w:rPr>
          <w:rFonts w:ascii="宋体" w:hAnsi="宋体" w:cs="宋体"/>
          <w:snapToGrid w:val="0"/>
          <w:color w:val="auto"/>
          <w:kern w:val="0"/>
          <w:szCs w:val="21"/>
        </w:rPr>
      </w:pPr>
    </w:p>
    <w:p w14:paraId="26332874">
      <w:pPr>
        <w:widowControl/>
        <w:jc w:val="left"/>
        <w:rPr>
          <w:rFonts w:ascii="宋体" w:hAnsi="宋体" w:cs="宋体"/>
          <w:snapToGrid w:val="0"/>
          <w:color w:val="auto"/>
          <w:kern w:val="0"/>
          <w:szCs w:val="21"/>
        </w:rPr>
      </w:pPr>
      <w:r>
        <w:rPr>
          <w:rFonts w:hint="eastAsia" w:ascii="宋体" w:hAnsi="宋体" w:cs="宋体"/>
          <w:snapToGrid w:val="0"/>
          <w:color w:val="auto"/>
          <w:kern w:val="0"/>
          <w:szCs w:val="21"/>
        </w:rPr>
        <w:br w:type="page"/>
      </w:r>
    </w:p>
    <w:bookmarkEnd w:id="613"/>
    <w:p w14:paraId="015D620F">
      <w:pPr>
        <w:pStyle w:val="3"/>
        <w:jc w:val="center"/>
        <w:outlineLvl w:val="0"/>
        <w:rPr>
          <w:rFonts w:hint="eastAsia" w:ascii="宋体" w:hAnsi="宋体" w:eastAsia="宋体" w:cs="宋体"/>
          <w:color w:val="auto"/>
          <w:szCs w:val="22"/>
          <w:lang w:eastAsia="zh-CN"/>
        </w:rPr>
      </w:pPr>
      <w:bookmarkStart w:id="614" w:name="_Toc5276"/>
      <w:bookmarkStart w:id="615" w:name="_Toc7299"/>
      <w:bookmarkStart w:id="616" w:name="_Toc1740"/>
      <w:bookmarkStart w:id="617" w:name="_Toc11340"/>
      <w:bookmarkStart w:id="618" w:name="_Toc31455"/>
      <w:bookmarkStart w:id="619" w:name="_Toc17493"/>
      <w:bookmarkStart w:id="620" w:name="_Toc2174"/>
      <w:bookmarkStart w:id="621" w:name="_Toc16070"/>
      <w:bookmarkStart w:id="622" w:name="_Toc2955720"/>
      <w:r>
        <w:rPr>
          <w:rFonts w:hint="eastAsia" w:ascii="宋体" w:hAnsi="宋体" w:eastAsia="宋体" w:cs="宋体"/>
          <w:color w:val="auto"/>
          <w:szCs w:val="22"/>
          <w:lang w:val="en-US" w:eastAsia="zh-CN"/>
        </w:rPr>
        <w:t>二、</w:t>
      </w:r>
      <w:bookmarkEnd w:id="614"/>
      <w:bookmarkEnd w:id="615"/>
      <w:r>
        <w:rPr>
          <w:rFonts w:hint="eastAsia" w:ascii="宋体" w:hAnsi="宋体" w:eastAsia="宋体" w:cs="宋体"/>
          <w:color w:val="auto"/>
          <w:szCs w:val="22"/>
          <w:lang w:eastAsia="zh-CN"/>
        </w:rPr>
        <w:t>已标价工程量清单</w:t>
      </w:r>
      <w:bookmarkEnd w:id="616"/>
    </w:p>
    <w:p w14:paraId="31BF0F20">
      <w:pPr>
        <w:rPr>
          <w:color w:val="auto"/>
          <w:highlight w:val="none"/>
        </w:rPr>
      </w:pPr>
    </w:p>
    <w:p w14:paraId="434B363B">
      <w:pPr>
        <w:pStyle w:val="19"/>
        <w:spacing w:before="7"/>
        <w:rPr>
          <w:rFonts w:hint="eastAsia" w:ascii="宋体" w:hAnsi="宋体" w:eastAsia="宋体" w:cs="宋体"/>
          <w:color w:val="auto"/>
          <w:sz w:val="21"/>
          <w:szCs w:val="21"/>
          <w:highlight w:val="none"/>
        </w:rPr>
      </w:pPr>
    </w:p>
    <w:p w14:paraId="61E016CA">
      <w:pPr>
        <w:tabs>
          <w:tab w:val="left" w:pos="7140"/>
          <w:tab w:val="left" w:pos="7560"/>
          <w:tab w:val="left" w:pos="8300"/>
        </w:tabs>
        <w:autoSpaceDE w:val="0"/>
        <w:autoSpaceDN w:val="0"/>
        <w:adjustRightInd w:val="0"/>
        <w:spacing w:line="360" w:lineRule="auto"/>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根据</w:t>
      </w:r>
      <w:r>
        <w:rPr>
          <w:rFonts w:hint="eastAsia" w:ascii="宋体" w:hAnsi="宋体" w:cs="宋体"/>
          <w:snapToGrid w:val="0"/>
          <w:color w:val="auto"/>
          <w:kern w:val="0"/>
          <w:szCs w:val="21"/>
          <w:lang w:eastAsia="zh-CN"/>
        </w:rPr>
        <w:t>比选人</w:t>
      </w:r>
      <w:r>
        <w:rPr>
          <w:rFonts w:hint="eastAsia" w:ascii="宋体" w:hAnsi="宋体" w:cs="宋体"/>
          <w:snapToGrid w:val="0"/>
          <w:color w:val="auto"/>
          <w:kern w:val="0"/>
          <w:szCs w:val="21"/>
        </w:rPr>
        <w:t>提供的工程量清单报价。</w:t>
      </w:r>
    </w:p>
    <w:p w14:paraId="5A957532">
      <w:pPr>
        <w:tabs>
          <w:tab w:val="left" w:pos="7140"/>
          <w:tab w:val="left" w:pos="7560"/>
          <w:tab w:val="left" w:pos="8300"/>
        </w:tabs>
        <w:autoSpaceDE w:val="0"/>
        <w:autoSpaceDN w:val="0"/>
        <w:adjustRightInd w:val="0"/>
        <w:spacing w:line="360" w:lineRule="auto"/>
        <w:ind w:firstLine="420" w:firstLineChars="200"/>
        <w:rPr>
          <w:rFonts w:hint="eastAsia" w:ascii="宋体" w:hAnsi="宋体" w:cs="宋体"/>
          <w:snapToGrid w:val="0"/>
          <w:color w:val="auto"/>
          <w:kern w:val="0"/>
          <w:szCs w:val="21"/>
          <w:lang w:eastAsia="zh-CN"/>
        </w:rPr>
      </w:pPr>
    </w:p>
    <w:p w14:paraId="2976C779">
      <w:pPr>
        <w:tabs>
          <w:tab w:val="left" w:pos="7140"/>
          <w:tab w:val="left" w:pos="7560"/>
          <w:tab w:val="left" w:pos="8300"/>
        </w:tabs>
        <w:autoSpaceDE w:val="0"/>
        <w:autoSpaceDN w:val="0"/>
        <w:adjustRightInd w:val="0"/>
        <w:spacing w:line="360" w:lineRule="auto"/>
        <w:ind w:firstLine="420" w:firstLineChars="200"/>
        <w:rPr>
          <w:rFonts w:hint="eastAsia" w:ascii="宋体" w:hAnsi="宋体" w:cs="宋体"/>
          <w:snapToGrid w:val="0"/>
          <w:color w:val="auto"/>
          <w:kern w:val="0"/>
          <w:szCs w:val="21"/>
          <w:lang w:eastAsia="zh-CN"/>
        </w:rPr>
      </w:pPr>
      <w:r>
        <w:rPr>
          <w:rFonts w:hint="eastAsia" w:ascii="宋体" w:hAnsi="宋体" w:cs="宋体"/>
          <w:snapToGrid w:val="0"/>
          <w:color w:val="auto"/>
          <w:kern w:val="0"/>
          <w:szCs w:val="21"/>
          <w:lang w:eastAsia="zh-CN"/>
        </w:rPr>
        <w:t>注：1.竞选人应严格按照比选人给出的工程量清单进行填报，不得增减项，不得修改工程量。</w:t>
      </w:r>
    </w:p>
    <w:p w14:paraId="2336C3CE">
      <w:pPr>
        <w:tabs>
          <w:tab w:val="left" w:pos="7140"/>
          <w:tab w:val="left" w:pos="7560"/>
          <w:tab w:val="left" w:pos="8300"/>
        </w:tabs>
        <w:autoSpaceDE w:val="0"/>
        <w:autoSpaceDN w:val="0"/>
        <w:adjustRightInd w:val="0"/>
        <w:spacing w:line="360" w:lineRule="auto"/>
        <w:ind w:firstLine="840" w:firstLineChars="400"/>
        <w:rPr>
          <w:rFonts w:hint="eastAsia" w:ascii="宋体" w:hAnsi="宋体" w:cs="宋体"/>
          <w:snapToGrid w:val="0"/>
          <w:color w:val="auto"/>
          <w:kern w:val="0"/>
          <w:szCs w:val="21"/>
          <w:lang w:eastAsia="zh-CN"/>
        </w:rPr>
      </w:pPr>
      <w:r>
        <w:rPr>
          <w:rFonts w:hint="eastAsia" w:ascii="宋体" w:hAnsi="宋体" w:cs="宋体"/>
          <w:snapToGrid w:val="0"/>
          <w:color w:val="auto"/>
          <w:kern w:val="0"/>
          <w:szCs w:val="21"/>
          <w:lang w:eastAsia="zh-CN"/>
        </w:rPr>
        <w:t xml:space="preserve">    2.工程量清单逐页签字或盖章。</w:t>
      </w:r>
    </w:p>
    <w:p w14:paraId="42FFDF74">
      <w:pPr>
        <w:spacing w:line="360" w:lineRule="auto"/>
        <w:rPr>
          <w:rFonts w:ascii="宋体" w:hAnsi="宋体"/>
          <w:snapToGrid w:val="0"/>
          <w:color w:val="auto"/>
          <w:w w:val="99"/>
          <w:highlight w:val="none"/>
        </w:rPr>
      </w:pPr>
    </w:p>
    <w:p w14:paraId="6A2FA937">
      <w:pPr>
        <w:pStyle w:val="19"/>
        <w:rPr>
          <w:color w:val="auto"/>
          <w:highlight w:val="none"/>
        </w:rPr>
      </w:pPr>
    </w:p>
    <w:p w14:paraId="57DDF211">
      <w:pPr>
        <w:tabs>
          <w:tab w:val="left" w:pos="631"/>
          <w:tab w:val="left" w:pos="1471"/>
          <w:tab w:val="left" w:pos="2311"/>
        </w:tabs>
        <w:autoSpaceDE w:val="0"/>
        <w:autoSpaceDN w:val="0"/>
        <w:spacing w:before="37"/>
        <w:ind w:right="597"/>
        <w:jc w:val="right"/>
        <w:rPr>
          <w:rFonts w:hint="eastAsia" w:ascii="宋体" w:hAnsi="宋体" w:eastAsia="宋体" w:cs="宋体"/>
          <w:color w:val="auto"/>
          <w:szCs w:val="22"/>
        </w:rPr>
        <w:sectPr>
          <w:headerReference r:id="rId8" w:type="default"/>
          <w:footerReference r:id="rId9" w:type="default"/>
          <w:pgSz w:w="11906" w:h="16838"/>
          <w:pgMar w:top="1247" w:right="1134" w:bottom="1247" w:left="1134" w:header="851" w:footer="992" w:gutter="0"/>
          <w:pgNumType w:start="1"/>
          <w:cols w:space="720" w:num="1"/>
          <w:docGrid w:type="lines" w:linePitch="312" w:charSpace="0"/>
        </w:sectPr>
      </w:pPr>
    </w:p>
    <w:p w14:paraId="544F98A4">
      <w:pPr>
        <w:pStyle w:val="3"/>
        <w:jc w:val="center"/>
        <w:outlineLvl w:val="0"/>
        <w:rPr>
          <w:rFonts w:ascii="宋体" w:hAnsi="宋体" w:eastAsia="宋体" w:cs="宋体"/>
          <w:color w:val="auto"/>
          <w:szCs w:val="22"/>
        </w:rPr>
      </w:pPr>
      <w:bookmarkStart w:id="623" w:name="_Toc14832"/>
      <w:bookmarkStart w:id="624" w:name="_Toc1725768"/>
      <w:bookmarkStart w:id="625" w:name="_Toc1725856"/>
      <w:bookmarkStart w:id="626" w:name="_Toc13474"/>
      <w:r>
        <w:rPr>
          <w:rFonts w:hint="eastAsia" w:ascii="宋体" w:hAnsi="宋体" w:eastAsia="宋体" w:cs="宋体"/>
          <w:color w:val="auto"/>
          <w:szCs w:val="22"/>
          <w:lang w:val="en-US" w:eastAsia="zh-CN"/>
        </w:rPr>
        <w:t>三</w:t>
      </w:r>
      <w:r>
        <w:rPr>
          <w:rFonts w:hint="eastAsia" w:ascii="宋体" w:hAnsi="宋体" w:eastAsia="宋体" w:cs="宋体"/>
          <w:color w:val="auto"/>
          <w:szCs w:val="22"/>
        </w:rPr>
        <w:t>、法定代表人身份证明及授权委托书</w:t>
      </w:r>
      <w:bookmarkEnd w:id="617"/>
      <w:bookmarkEnd w:id="618"/>
      <w:bookmarkEnd w:id="619"/>
      <w:bookmarkEnd w:id="620"/>
      <w:bookmarkEnd w:id="621"/>
      <w:bookmarkEnd w:id="623"/>
      <w:bookmarkEnd w:id="624"/>
      <w:bookmarkEnd w:id="625"/>
      <w:bookmarkEnd w:id="626"/>
    </w:p>
    <w:p w14:paraId="3489642A">
      <w:pPr>
        <w:tabs>
          <w:tab w:val="left" w:pos="5760"/>
        </w:tabs>
        <w:autoSpaceDE w:val="0"/>
        <w:autoSpaceDN w:val="0"/>
        <w:adjustRightInd w:val="0"/>
        <w:spacing w:line="300" w:lineRule="exact"/>
        <w:ind w:left="919" w:leftChars="253" w:right="11" w:hanging="388" w:hangingChars="138"/>
        <w:jc w:val="center"/>
        <w:outlineLvl w:val="1"/>
        <w:rPr>
          <w:rFonts w:ascii="宋体" w:hAnsi="宋体" w:cs="宋体"/>
          <w:b/>
          <w:bCs/>
          <w:snapToGrid w:val="0"/>
          <w:color w:val="auto"/>
          <w:kern w:val="32"/>
          <w:sz w:val="28"/>
          <w:szCs w:val="28"/>
        </w:rPr>
      </w:pPr>
      <w:r>
        <w:rPr>
          <w:rFonts w:hint="eastAsia" w:ascii="宋体" w:hAnsi="宋体" w:cs="宋体"/>
          <w:b/>
          <w:bCs/>
          <w:snapToGrid w:val="0"/>
          <w:color w:val="auto"/>
          <w:kern w:val="32"/>
          <w:sz w:val="28"/>
          <w:szCs w:val="28"/>
        </w:rPr>
        <w:t>法定代表人身份证明</w:t>
      </w:r>
    </w:p>
    <w:p w14:paraId="15BE8205">
      <w:pPr>
        <w:jc w:val="center"/>
        <w:rPr>
          <w:rFonts w:ascii="宋体" w:hAnsi="宋体" w:cs="宋体"/>
          <w:b/>
          <w:bCs/>
          <w:snapToGrid w:val="0"/>
          <w:color w:val="auto"/>
          <w:kern w:val="0"/>
          <w:szCs w:val="21"/>
        </w:rPr>
      </w:pPr>
    </w:p>
    <w:p w14:paraId="127C680D">
      <w:pPr>
        <w:ind w:firstLine="420" w:firstLineChars="200"/>
        <w:rPr>
          <w:rFonts w:ascii="宋体" w:hAnsi="宋体" w:cs="宋体"/>
          <w:color w:val="auto"/>
          <w:szCs w:val="21"/>
          <w:u w:val="single"/>
        </w:rPr>
      </w:pPr>
      <w:r>
        <w:rPr>
          <w:rFonts w:hint="eastAsia" w:ascii="宋体" w:hAnsi="宋体" w:cs="宋体"/>
          <w:color w:val="auto"/>
          <w:szCs w:val="21"/>
        </w:rPr>
        <w:t>竞选人名称：</w:t>
      </w:r>
      <w:r>
        <w:rPr>
          <w:rFonts w:hint="eastAsia" w:ascii="宋体" w:hAnsi="宋体" w:cs="宋体"/>
          <w:color w:val="auto"/>
          <w:szCs w:val="21"/>
          <w:u w:val="single"/>
        </w:rPr>
        <w:t xml:space="preserve">                                                          </w:t>
      </w:r>
      <w:r>
        <w:rPr>
          <w:rFonts w:hint="eastAsia" w:ascii="宋体" w:hAnsi="宋体" w:cs="宋体"/>
          <w:color w:val="auto"/>
          <w:szCs w:val="21"/>
        </w:rPr>
        <w:tab/>
      </w:r>
    </w:p>
    <w:p w14:paraId="0DC869E0">
      <w:pPr>
        <w:ind w:firstLine="420" w:firstLineChars="200"/>
        <w:rPr>
          <w:rFonts w:ascii="宋体" w:hAnsi="宋体" w:cs="宋体"/>
          <w:color w:val="auto"/>
          <w:szCs w:val="21"/>
          <w:u w:val="single"/>
        </w:rPr>
      </w:pPr>
    </w:p>
    <w:p w14:paraId="272F4C15">
      <w:pPr>
        <w:ind w:firstLine="420" w:firstLineChars="200"/>
        <w:rPr>
          <w:rFonts w:ascii="宋体" w:hAnsi="宋体" w:cs="宋体"/>
          <w:color w:val="auto"/>
          <w:szCs w:val="21"/>
          <w:u w:val="single"/>
        </w:rPr>
      </w:pPr>
      <w:r>
        <w:rPr>
          <w:rFonts w:hint="eastAsia" w:ascii="宋体" w:hAnsi="宋体" w:cs="宋体"/>
          <w:color w:val="auto"/>
          <w:szCs w:val="21"/>
        </w:rPr>
        <w:t>单位性质：</w:t>
      </w:r>
      <w:r>
        <w:rPr>
          <w:rFonts w:hint="eastAsia" w:ascii="宋体" w:hAnsi="宋体" w:cs="宋体"/>
          <w:color w:val="auto"/>
          <w:szCs w:val="21"/>
          <w:u w:val="single"/>
        </w:rPr>
        <w:t xml:space="preserve">                                                            </w:t>
      </w:r>
      <w:r>
        <w:rPr>
          <w:rFonts w:hint="eastAsia" w:ascii="宋体" w:hAnsi="宋体" w:cs="宋体"/>
          <w:color w:val="auto"/>
          <w:szCs w:val="21"/>
        </w:rPr>
        <w:tab/>
      </w:r>
    </w:p>
    <w:p w14:paraId="00F1D1B5">
      <w:pPr>
        <w:ind w:firstLine="420" w:firstLineChars="200"/>
        <w:rPr>
          <w:rFonts w:ascii="宋体" w:hAnsi="宋体" w:cs="宋体"/>
          <w:color w:val="auto"/>
          <w:szCs w:val="21"/>
        </w:rPr>
      </w:pPr>
    </w:p>
    <w:p w14:paraId="5189FFA1">
      <w:pPr>
        <w:ind w:firstLine="420" w:firstLineChars="200"/>
        <w:rPr>
          <w:rFonts w:ascii="宋体" w:hAnsi="宋体" w:cs="宋体"/>
          <w:color w:val="auto"/>
          <w:szCs w:val="21"/>
          <w:u w:val="single"/>
        </w:rPr>
      </w:pPr>
      <w:r>
        <w:rPr>
          <w:rFonts w:hint="eastAsia" w:ascii="宋体" w:hAnsi="宋体" w:cs="宋体"/>
          <w:color w:val="auto"/>
          <w:szCs w:val="21"/>
        </w:rPr>
        <w:t>地    址：</w:t>
      </w:r>
      <w:r>
        <w:rPr>
          <w:rFonts w:hint="eastAsia" w:ascii="宋体" w:hAnsi="宋体" w:cs="宋体"/>
          <w:color w:val="auto"/>
          <w:szCs w:val="21"/>
          <w:u w:val="single"/>
        </w:rPr>
        <w:t xml:space="preserve">                                                            </w:t>
      </w:r>
      <w:r>
        <w:rPr>
          <w:rFonts w:hint="eastAsia" w:ascii="宋体" w:hAnsi="宋体" w:cs="宋体"/>
          <w:color w:val="auto"/>
          <w:szCs w:val="21"/>
        </w:rPr>
        <w:tab/>
      </w:r>
    </w:p>
    <w:p w14:paraId="74386F0C">
      <w:pPr>
        <w:ind w:firstLine="420" w:firstLineChars="200"/>
        <w:rPr>
          <w:rFonts w:ascii="宋体" w:hAnsi="宋体" w:cs="宋体"/>
          <w:color w:val="auto"/>
          <w:szCs w:val="21"/>
          <w:u w:val="single"/>
        </w:rPr>
      </w:pPr>
    </w:p>
    <w:p w14:paraId="2E66465F">
      <w:pPr>
        <w:ind w:firstLine="420" w:firstLineChars="200"/>
        <w:rPr>
          <w:rFonts w:ascii="宋体" w:hAnsi="宋体" w:cs="宋体"/>
          <w:color w:val="auto"/>
          <w:szCs w:val="21"/>
          <w:u w:val="single"/>
        </w:rPr>
      </w:pPr>
      <w:r>
        <w:rPr>
          <w:rFonts w:hint="eastAsia" w:ascii="宋体" w:hAnsi="宋体" w:cs="宋体"/>
          <w:color w:val="auto"/>
          <w:szCs w:val="21"/>
        </w:rPr>
        <w:t>成立时间：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0B72F355">
      <w:pPr>
        <w:ind w:firstLine="420" w:firstLineChars="200"/>
        <w:rPr>
          <w:rFonts w:ascii="宋体" w:hAnsi="宋体" w:cs="宋体"/>
          <w:color w:val="auto"/>
          <w:szCs w:val="21"/>
        </w:rPr>
      </w:pPr>
    </w:p>
    <w:p w14:paraId="3DB7E32E">
      <w:pPr>
        <w:ind w:firstLine="420" w:firstLineChars="200"/>
        <w:rPr>
          <w:rFonts w:ascii="宋体" w:hAnsi="宋体" w:cs="宋体"/>
          <w:color w:val="auto"/>
          <w:szCs w:val="21"/>
          <w:u w:val="single"/>
        </w:rPr>
      </w:pPr>
      <w:r>
        <w:rPr>
          <w:rFonts w:hint="eastAsia" w:ascii="宋体" w:hAnsi="宋体" w:cs="宋体"/>
          <w:color w:val="auto"/>
          <w:szCs w:val="21"/>
        </w:rPr>
        <w:t>经营期限：</w:t>
      </w:r>
      <w:r>
        <w:rPr>
          <w:rFonts w:hint="eastAsia" w:ascii="宋体" w:hAnsi="宋体" w:cs="宋体"/>
          <w:color w:val="auto"/>
          <w:szCs w:val="21"/>
          <w:u w:val="single"/>
        </w:rPr>
        <w:t xml:space="preserve">                                                            </w:t>
      </w:r>
      <w:r>
        <w:rPr>
          <w:rFonts w:hint="eastAsia" w:ascii="宋体" w:hAnsi="宋体" w:cs="宋体"/>
          <w:color w:val="auto"/>
          <w:szCs w:val="21"/>
        </w:rPr>
        <w:tab/>
      </w:r>
    </w:p>
    <w:p w14:paraId="4615F3FA">
      <w:pPr>
        <w:ind w:firstLine="420" w:firstLineChars="200"/>
        <w:rPr>
          <w:rFonts w:ascii="宋体" w:hAnsi="宋体" w:cs="宋体"/>
          <w:color w:val="auto"/>
          <w:szCs w:val="21"/>
        </w:rPr>
      </w:pPr>
    </w:p>
    <w:p w14:paraId="0848B710">
      <w:pPr>
        <w:ind w:firstLine="420" w:firstLineChars="200"/>
        <w:rPr>
          <w:rFonts w:ascii="宋体" w:hAnsi="宋体" w:cs="宋体"/>
          <w:color w:val="auto"/>
          <w:szCs w:val="21"/>
          <w:u w:val="single"/>
        </w:rPr>
      </w:pPr>
      <w:r>
        <w:rPr>
          <w:rFonts w:hint="eastAsia" w:ascii="宋体" w:hAnsi="宋体" w:cs="宋体"/>
          <w:color w:val="auto"/>
          <w:szCs w:val="21"/>
        </w:rPr>
        <w:t>姓    名：</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rPr>
        <w:tab/>
      </w:r>
      <w:r>
        <w:rPr>
          <w:rFonts w:hint="eastAsia" w:ascii="宋体" w:hAnsi="宋体" w:cs="宋体"/>
          <w:color w:val="auto"/>
          <w:szCs w:val="21"/>
        </w:rPr>
        <w:t>性别：</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rPr>
        <w:tab/>
      </w:r>
      <w:r>
        <w:rPr>
          <w:rFonts w:hint="eastAsia" w:ascii="宋体" w:hAnsi="宋体" w:cs="宋体"/>
          <w:color w:val="auto"/>
          <w:szCs w:val="21"/>
        </w:rPr>
        <w:t>职务：</w:t>
      </w:r>
      <w:r>
        <w:rPr>
          <w:rFonts w:hint="eastAsia" w:ascii="宋体" w:hAnsi="宋体" w:cs="宋体"/>
          <w:color w:val="auto"/>
          <w:szCs w:val="21"/>
          <w:u w:val="single"/>
        </w:rPr>
        <w:t xml:space="preserve">            </w:t>
      </w:r>
      <w:r>
        <w:rPr>
          <w:rFonts w:hint="eastAsia" w:ascii="宋体" w:hAnsi="宋体" w:cs="宋体"/>
          <w:color w:val="auto"/>
          <w:szCs w:val="21"/>
        </w:rPr>
        <w:tab/>
      </w:r>
    </w:p>
    <w:p w14:paraId="3AF65E58">
      <w:pPr>
        <w:rPr>
          <w:rFonts w:ascii="宋体" w:hAnsi="宋体" w:cs="宋体"/>
          <w:color w:val="auto"/>
          <w:szCs w:val="21"/>
        </w:rPr>
      </w:pPr>
    </w:p>
    <w:p w14:paraId="06216884">
      <w:pPr>
        <w:ind w:firstLine="420" w:firstLineChars="200"/>
        <w:rPr>
          <w:rFonts w:ascii="宋体" w:hAnsi="宋体" w:cs="宋体"/>
          <w:color w:val="auto"/>
          <w:szCs w:val="21"/>
        </w:rPr>
      </w:pPr>
      <w:r>
        <w:rPr>
          <w:rFonts w:hint="eastAsia" w:ascii="宋体" w:hAnsi="宋体" w:cs="宋体"/>
          <w:color w:val="auto"/>
          <w:szCs w:val="21"/>
        </w:rPr>
        <w:t>系</w:t>
      </w:r>
      <w:r>
        <w:rPr>
          <w:rFonts w:hint="eastAsia" w:ascii="宋体" w:hAnsi="宋体" w:cs="宋体"/>
          <w:color w:val="auto"/>
          <w:szCs w:val="21"/>
          <w:u w:val="single"/>
        </w:rPr>
        <w:t xml:space="preserve">                   （竞选人名称）             </w:t>
      </w:r>
      <w:r>
        <w:rPr>
          <w:rFonts w:hint="eastAsia" w:ascii="宋体" w:hAnsi="宋体" w:cs="宋体"/>
          <w:color w:val="auto"/>
          <w:szCs w:val="21"/>
        </w:rPr>
        <w:t>的法定代表人。</w:t>
      </w:r>
    </w:p>
    <w:p w14:paraId="1BB7EF34">
      <w:pPr>
        <w:rPr>
          <w:rFonts w:ascii="宋体" w:hAnsi="宋体" w:cs="宋体"/>
          <w:color w:val="auto"/>
          <w:szCs w:val="21"/>
        </w:rPr>
      </w:pPr>
    </w:p>
    <w:p w14:paraId="7229EED0">
      <w:pPr>
        <w:ind w:firstLine="1050" w:firstLineChars="500"/>
        <w:rPr>
          <w:rFonts w:ascii="宋体" w:hAnsi="宋体" w:cs="宋体"/>
          <w:color w:val="auto"/>
          <w:szCs w:val="21"/>
        </w:rPr>
      </w:pPr>
      <w:r>
        <w:rPr>
          <w:rFonts w:hint="eastAsia" w:ascii="宋体" w:hAnsi="宋体" w:cs="宋体"/>
          <w:color w:val="auto"/>
          <w:szCs w:val="21"/>
        </w:rPr>
        <w:t>特此证明。</w:t>
      </w:r>
    </w:p>
    <w:p w14:paraId="5C791995">
      <w:pPr>
        <w:rPr>
          <w:rFonts w:ascii="宋体" w:hAnsi="宋体" w:cs="宋体"/>
          <w:snapToGrid w:val="0"/>
          <w:color w:val="auto"/>
          <w:kern w:val="0"/>
          <w:sz w:val="24"/>
        </w:rPr>
      </w:pPr>
      <w:r>
        <w:rPr>
          <w:rFonts w:hint="eastAsia" w:ascii="宋体" w:hAnsi="宋体" w:cs="宋体"/>
          <w:color w:val="auto"/>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83185</wp:posOffset>
                </wp:positionV>
                <wp:extent cx="2533650" cy="1522730"/>
                <wp:effectExtent l="9525" t="6985" r="9525" b="13335"/>
                <wp:wrapNone/>
                <wp:docPr id="11" name="流程图: 可选过程 11"/>
                <wp:cNvGraphicFramePr/>
                <a:graphic xmlns:a="http://schemas.openxmlformats.org/drawingml/2006/main">
                  <a:graphicData uri="http://schemas.microsoft.com/office/word/2010/wordprocessingShape">
                    <wps:wsp>
                      <wps:cNvSpPr>
                        <a:spLocks noChangeArrowheads="1"/>
                      </wps:cNvSpPr>
                      <wps:spPr bwMode="auto">
                        <a:xfrm>
                          <a:off x="0" y="0"/>
                          <a:ext cx="2533650" cy="1522730"/>
                        </a:xfrm>
                        <a:prstGeom prst="flowChartAlternateProcess">
                          <a:avLst/>
                        </a:prstGeom>
                        <a:solidFill>
                          <a:srgbClr val="FFFFFF"/>
                        </a:solidFill>
                        <a:ln w="9525">
                          <a:solidFill>
                            <a:srgbClr val="000000"/>
                          </a:solidFill>
                          <a:miter lim="800000"/>
                        </a:ln>
                      </wps:spPr>
                      <wps:txbx>
                        <w:txbxContent>
                          <w:p w14:paraId="134C4866">
                            <w:pPr>
                              <w:jc w:val="center"/>
                            </w:pPr>
                          </w:p>
                          <w:p w14:paraId="2A413C93">
                            <w:pPr>
                              <w:jc w:val="center"/>
                            </w:pPr>
                            <w:r>
                              <w:rPr>
                                <w:rFonts w:hint="eastAsia"/>
                              </w:rPr>
                              <w:t>法定代表人身份证复印件</w:t>
                            </w:r>
                          </w:p>
                          <w:p w14:paraId="525F0667">
                            <w:pPr>
                              <w:jc w:val="center"/>
                            </w:pPr>
                            <w:r>
                              <w:rPr>
                                <w:rFonts w:hint="eastAsia"/>
                              </w:rPr>
                              <w:t>（公民身份信息面）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25pt;margin-top:6.55pt;height:119.9pt;width:199.5pt;z-index:251663360;mso-width-relative:page;mso-height-relative:page;" fillcolor="#FFFFFF" filled="t" stroked="t" coordsize="21600,21600" o:gfxdata="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Q7f2NcAAAAJAQAADwAAAAAAAAABACAAAAAiAAAAZHJzL2Rvd25yZXYueG1sUEsBAhQAFAAA&#10;AAgAh07iQFA3IDtiAgAAowQAAA4AAAAAAAAAAQAgAAAAJgEAAGRycy9lMm9Eb2MueG1sUEsFBgAA&#10;AAAGAAYAWQEAAPoFAAAAAA==&#10;">
                <v:fill on="t" focussize="0,0"/>
                <v:stroke color="#000000" miterlimit="8" joinstyle="miter"/>
                <v:imagedata o:title=""/>
                <o:lock v:ext="edit" aspectratio="f"/>
                <v:textbox>
                  <w:txbxContent>
                    <w:p w14:paraId="134C4866">
                      <w:pPr>
                        <w:jc w:val="center"/>
                      </w:pPr>
                    </w:p>
                    <w:p w14:paraId="2A413C93">
                      <w:pPr>
                        <w:jc w:val="center"/>
                      </w:pPr>
                      <w:r>
                        <w:rPr>
                          <w:rFonts w:hint="eastAsia"/>
                        </w:rPr>
                        <w:t>法定代表人身份证复印件</w:t>
                      </w:r>
                    </w:p>
                    <w:p w14:paraId="525F0667">
                      <w:pPr>
                        <w:jc w:val="center"/>
                      </w:pPr>
                      <w:r>
                        <w:rPr>
                          <w:rFonts w:hint="eastAsia"/>
                        </w:rPr>
                        <w:t>（公民身份信息面）</w:t>
                      </w:r>
                    </w:p>
                  </w:txbxContent>
                </v:textbox>
              </v:shape>
            </w:pict>
          </mc:Fallback>
        </mc:AlternateContent>
      </w:r>
      <w:r>
        <w:rPr>
          <w:rFonts w:hint="eastAsia" w:ascii="宋体" w:hAnsi="宋体" w:cs="宋体"/>
          <w:color w:val="auto"/>
        </w:rPr>
        <mc:AlternateContent>
          <mc:Choice Requires="wps">
            <w:drawing>
              <wp:anchor distT="0" distB="0" distL="114300" distR="114300" simplePos="0" relativeHeight="251664384" behindDoc="0" locked="0" layoutInCell="1" allowOverlap="1">
                <wp:simplePos x="0" y="0"/>
                <wp:positionH relativeFrom="column">
                  <wp:posOffset>3067050</wp:posOffset>
                </wp:positionH>
                <wp:positionV relativeFrom="paragraph">
                  <wp:posOffset>83185</wp:posOffset>
                </wp:positionV>
                <wp:extent cx="2533650" cy="1522730"/>
                <wp:effectExtent l="9525" t="6985" r="9525" b="13335"/>
                <wp:wrapNone/>
                <wp:docPr id="10" name="流程图: 可选过程 10"/>
                <wp:cNvGraphicFramePr/>
                <a:graphic xmlns:a="http://schemas.openxmlformats.org/drawingml/2006/main">
                  <a:graphicData uri="http://schemas.microsoft.com/office/word/2010/wordprocessingShape">
                    <wps:wsp>
                      <wps:cNvSpPr>
                        <a:spLocks noChangeArrowheads="1"/>
                      </wps:cNvSpPr>
                      <wps:spPr bwMode="auto">
                        <a:xfrm>
                          <a:off x="0" y="0"/>
                          <a:ext cx="2533650" cy="1522730"/>
                        </a:xfrm>
                        <a:prstGeom prst="flowChartAlternateProcess">
                          <a:avLst/>
                        </a:prstGeom>
                        <a:solidFill>
                          <a:srgbClr val="FFFFFF"/>
                        </a:solidFill>
                        <a:ln w="9525">
                          <a:solidFill>
                            <a:srgbClr val="000000"/>
                          </a:solidFill>
                          <a:miter lim="800000"/>
                        </a:ln>
                      </wps:spPr>
                      <wps:txbx>
                        <w:txbxContent>
                          <w:p w14:paraId="66AE27E9">
                            <w:pPr>
                              <w:jc w:val="center"/>
                            </w:pPr>
                          </w:p>
                          <w:p w14:paraId="68C283C7">
                            <w:pPr>
                              <w:jc w:val="center"/>
                            </w:pPr>
                            <w:r>
                              <w:rPr>
                                <w:rFonts w:hint="eastAsia"/>
                              </w:rPr>
                              <w:t>法定代表人身份证复印件</w:t>
                            </w:r>
                          </w:p>
                          <w:p w14:paraId="6DE3D71C">
                            <w:pPr>
                              <w:jc w:val="center"/>
                            </w:pPr>
                            <w:r>
                              <w:rPr>
                                <w:rFonts w:hint="eastAsia"/>
                              </w:rPr>
                              <w:t>（签发单位面）</w:t>
                            </w:r>
                          </w:p>
                          <w:p w14:paraId="2CDDD303">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41.5pt;margin-top:6.55pt;height:119.9pt;width:199.5pt;z-index:251664384;mso-width-relative:page;mso-height-relative:page;" fillcolor="#FFFFFF" filled="t" stroked="t" coordsize="21600,21600" o:gfxdata="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sfSe/YAAAACgEAAA8AAAAAAAAAAQAgAAAAIgAAAGRycy9kb3ducmV2LnhtbFBLAQIUABQA&#10;AAAIAIdO4kBAiH2UYgIAAKMEAAAOAAAAAAAAAAEAIAAAACcBAABkcnMvZTJvRG9jLnhtbFBLBQYA&#10;AAAABgAGAFkBAAD7BQAAAAA=&#10;">
                <v:fill on="t" focussize="0,0"/>
                <v:stroke color="#000000" miterlimit="8" joinstyle="miter"/>
                <v:imagedata o:title=""/>
                <o:lock v:ext="edit" aspectratio="f"/>
                <v:textbox>
                  <w:txbxContent>
                    <w:p w14:paraId="66AE27E9">
                      <w:pPr>
                        <w:jc w:val="center"/>
                      </w:pPr>
                    </w:p>
                    <w:p w14:paraId="68C283C7">
                      <w:pPr>
                        <w:jc w:val="center"/>
                      </w:pPr>
                      <w:r>
                        <w:rPr>
                          <w:rFonts w:hint="eastAsia"/>
                        </w:rPr>
                        <w:t>法定代表人身份证复印件</w:t>
                      </w:r>
                    </w:p>
                    <w:p w14:paraId="6DE3D71C">
                      <w:pPr>
                        <w:jc w:val="center"/>
                      </w:pPr>
                      <w:r>
                        <w:rPr>
                          <w:rFonts w:hint="eastAsia"/>
                        </w:rPr>
                        <w:t>（签发单位面）</w:t>
                      </w:r>
                    </w:p>
                    <w:p w14:paraId="2CDDD303">
                      <w:pPr>
                        <w:jc w:val="center"/>
                      </w:pPr>
                    </w:p>
                  </w:txbxContent>
                </v:textbox>
              </v:shape>
            </w:pict>
          </mc:Fallback>
        </mc:AlternateContent>
      </w:r>
    </w:p>
    <w:p w14:paraId="42D855A6">
      <w:pPr>
        <w:rPr>
          <w:rFonts w:ascii="宋体" w:hAnsi="宋体" w:cs="宋体"/>
          <w:color w:val="auto"/>
        </w:rPr>
      </w:pPr>
    </w:p>
    <w:p w14:paraId="05E0C8A5">
      <w:pPr>
        <w:rPr>
          <w:rFonts w:ascii="宋体" w:hAnsi="宋体" w:cs="宋体"/>
          <w:color w:val="auto"/>
        </w:rPr>
      </w:pPr>
    </w:p>
    <w:p w14:paraId="1197FB9E">
      <w:pPr>
        <w:rPr>
          <w:rFonts w:ascii="宋体" w:hAnsi="宋体" w:cs="宋体"/>
          <w:color w:val="auto"/>
        </w:rPr>
      </w:pPr>
    </w:p>
    <w:p w14:paraId="6DDFF952">
      <w:pPr>
        <w:rPr>
          <w:rFonts w:ascii="宋体" w:hAnsi="宋体" w:cs="宋体"/>
          <w:color w:val="auto"/>
        </w:rPr>
      </w:pPr>
    </w:p>
    <w:p w14:paraId="5321E0DE">
      <w:pPr>
        <w:rPr>
          <w:rFonts w:ascii="宋体" w:hAnsi="宋体" w:cs="宋体"/>
          <w:color w:val="auto"/>
        </w:rPr>
      </w:pPr>
    </w:p>
    <w:p w14:paraId="265FB9D4">
      <w:pPr>
        <w:rPr>
          <w:rFonts w:ascii="宋体" w:hAnsi="宋体" w:cs="宋体"/>
          <w:color w:val="auto"/>
        </w:rPr>
      </w:pPr>
    </w:p>
    <w:p w14:paraId="222ACAD4">
      <w:pPr>
        <w:rPr>
          <w:rFonts w:ascii="宋体" w:hAnsi="宋体" w:cs="宋体"/>
          <w:color w:val="auto"/>
        </w:rPr>
      </w:pPr>
    </w:p>
    <w:p w14:paraId="4B7CD37F">
      <w:pPr>
        <w:rPr>
          <w:rFonts w:ascii="宋体" w:hAnsi="宋体" w:cs="宋体"/>
          <w:color w:val="auto"/>
        </w:rPr>
      </w:pPr>
    </w:p>
    <w:p w14:paraId="0239C084">
      <w:pPr>
        <w:rPr>
          <w:rFonts w:ascii="宋体" w:hAnsi="宋体" w:cs="宋体"/>
          <w:color w:val="auto"/>
        </w:rPr>
      </w:pPr>
    </w:p>
    <w:p w14:paraId="3333A1F8">
      <w:pPr>
        <w:tabs>
          <w:tab w:val="left" w:pos="4200"/>
          <w:tab w:val="left" w:pos="4620"/>
        </w:tabs>
        <w:autoSpaceDE w:val="0"/>
        <w:autoSpaceDN w:val="0"/>
        <w:adjustRightInd w:val="0"/>
        <w:snapToGrid w:val="0"/>
        <w:spacing w:line="360" w:lineRule="auto"/>
        <w:ind w:firstLine="1694"/>
        <w:jc w:val="left"/>
        <w:rPr>
          <w:rFonts w:ascii="宋体" w:hAnsi="宋体" w:cs="宋体"/>
          <w:color w:val="auto"/>
          <w:kern w:val="0"/>
          <w:szCs w:val="21"/>
        </w:rPr>
      </w:pPr>
    </w:p>
    <w:p w14:paraId="1427D252">
      <w:pPr>
        <w:ind w:firstLine="3150" w:firstLineChars="1500"/>
        <w:rPr>
          <w:rFonts w:ascii="宋体" w:hAnsi="宋体" w:cs="宋体"/>
          <w:color w:val="auto"/>
          <w:szCs w:val="21"/>
          <w:u w:val="single"/>
        </w:rPr>
      </w:pPr>
      <w:r>
        <w:rPr>
          <w:rFonts w:hint="eastAsia" w:ascii="宋体" w:hAnsi="宋体" w:cs="宋体"/>
          <w:color w:val="auto"/>
          <w:szCs w:val="21"/>
        </w:rPr>
        <w:t>竞选人：</w:t>
      </w:r>
      <w:r>
        <w:rPr>
          <w:rFonts w:hint="eastAsia" w:ascii="宋体" w:hAnsi="宋体" w:cs="宋体"/>
          <w:color w:val="auto"/>
          <w:szCs w:val="21"/>
          <w:u w:val="single"/>
        </w:rPr>
        <w:t xml:space="preserve">                            </w:t>
      </w:r>
      <w:r>
        <w:rPr>
          <w:rFonts w:hint="eastAsia" w:ascii="宋体" w:hAnsi="宋体" w:cs="宋体"/>
          <w:color w:val="auto"/>
          <w:szCs w:val="21"/>
        </w:rPr>
        <w:t>（盖单位法人章）</w:t>
      </w:r>
    </w:p>
    <w:p w14:paraId="754E7824">
      <w:pPr>
        <w:ind w:firstLine="420" w:firstLineChars="200"/>
        <w:rPr>
          <w:rFonts w:ascii="宋体" w:hAnsi="宋体" w:cs="宋体"/>
          <w:color w:val="auto"/>
          <w:szCs w:val="21"/>
        </w:rPr>
      </w:pPr>
    </w:p>
    <w:p w14:paraId="6B0F2766">
      <w:pPr>
        <w:ind w:firstLine="3968" w:firstLineChars="1890"/>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 xml:space="preserve"> 月</w:t>
      </w:r>
      <w:r>
        <w:rPr>
          <w:rFonts w:hint="eastAsia" w:ascii="宋体" w:hAnsi="宋体" w:cs="宋体"/>
          <w:color w:val="auto"/>
          <w:szCs w:val="21"/>
          <w:u w:val="single"/>
        </w:rPr>
        <w:t xml:space="preserve">      </w:t>
      </w:r>
      <w:r>
        <w:rPr>
          <w:rFonts w:hint="eastAsia" w:ascii="宋体" w:hAnsi="宋体" w:cs="宋体"/>
          <w:color w:val="auto"/>
          <w:szCs w:val="21"/>
        </w:rPr>
        <w:t>日</w:t>
      </w:r>
    </w:p>
    <w:p w14:paraId="3AFAA1C2">
      <w:pPr>
        <w:autoSpaceDE w:val="0"/>
        <w:autoSpaceDN w:val="0"/>
        <w:jc w:val="left"/>
        <w:rPr>
          <w:rFonts w:ascii="宋体" w:hAnsi="宋体" w:cs="宋体"/>
          <w:color w:val="auto"/>
          <w:kern w:val="0"/>
          <w:sz w:val="22"/>
        </w:rPr>
      </w:pPr>
    </w:p>
    <w:p w14:paraId="1C356DDF">
      <w:pPr>
        <w:autoSpaceDE w:val="0"/>
        <w:autoSpaceDN w:val="0"/>
        <w:spacing w:after="120"/>
        <w:jc w:val="left"/>
        <w:rPr>
          <w:rFonts w:ascii="宋体" w:hAnsi="宋体" w:cs="宋体"/>
          <w:color w:val="auto"/>
          <w:kern w:val="0"/>
          <w:sz w:val="22"/>
        </w:rPr>
      </w:pPr>
    </w:p>
    <w:p w14:paraId="3ACB82A9">
      <w:pPr>
        <w:autoSpaceDE w:val="0"/>
        <w:autoSpaceDN w:val="0"/>
        <w:spacing w:after="120"/>
        <w:jc w:val="left"/>
        <w:rPr>
          <w:rFonts w:ascii="宋体" w:hAnsi="宋体" w:cs="宋体"/>
          <w:color w:val="auto"/>
          <w:kern w:val="0"/>
          <w:sz w:val="22"/>
        </w:rPr>
      </w:pPr>
    </w:p>
    <w:p w14:paraId="45C0F147">
      <w:pPr>
        <w:autoSpaceDE w:val="0"/>
        <w:autoSpaceDN w:val="0"/>
        <w:spacing w:line="360" w:lineRule="auto"/>
        <w:jc w:val="left"/>
        <w:rPr>
          <w:rFonts w:ascii="宋体" w:hAnsi="宋体" w:cs="宋体"/>
          <w:color w:val="auto"/>
          <w:kern w:val="0"/>
          <w:szCs w:val="21"/>
        </w:rPr>
      </w:pPr>
      <w:r>
        <w:rPr>
          <w:rFonts w:hint="eastAsia" w:ascii="宋体" w:hAnsi="宋体" w:cs="宋体"/>
          <w:color w:val="auto"/>
          <w:kern w:val="0"/>
          <w:szCs w:val="21"/>
        </w:rPr>
        <w:t>注：法定代表人身份证明需按上述格式填写完整，不可缺少内容。在此基础上增加内容的不影响其有效性。</w:t>
      </w:r>
    </w:p>
    <w:p w14:paraId="37867735">
      <w:pPr>
        <w:autoSpaceDE w:val="0"/>
        <w:autoSpaceDN w:val="0"/>
        <w:spacing w:after="120"/>
        <w:jc w:val="center"/>
        <w:outlineLvl w:val="1"/>
        <w:rPr>
          <w:rFonts w:ascii="宋体" w:hAnsi="宋体" w:cs="宋体"/>
          <w:b/>
          <w:color w:val="auto"/>
          <w:kern w:val="0"/>
          <w:sz w:val="32"/>
        </w:rPr>
      </w:pPr>
      <w:bookmarkStart w:id="627" w:name="_bookmark158"/>
      <w:bookmarkEnd w:id="627"/>
      <w:r>
        <w:rPr>
          <w:rFonts w:hint="eastAsia" w:ascii="宋体" w:hAnsi="宋体" w:cs="宋体"/>
          <w:b/>
          <w:color w:val="auto"/>
          <w:kern w:val="0"/>
          <w:szCs w:val="21"/>
        </w:rPr>
        <w:br w:type="page"/>
      </w:r>
      <w:r>
        <w:rPr>
          <w:rFonts w:hint="eastAsia" w:ascii="宋体" w:hAnsi="宋体" w:cs="宋体"/>
          <w:b/>
          <w:color w:val="auto"/>
          <w:kern w:val="0"/>
          <w:sz w:val="24"/>
        </w:rPr>
        <w:t>授权委托书</w:t>
      </w:r>
    </w:p>
    <w:p w14:paraId="1340B723">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kern w:val="0"/>
          <w:szCs w:val="21"/>
          <w:u w:val="single"/>
        </w:rPr>
        <w:t xml:space="preserve">   （姓名）   </w:t>
      </w:r>
      <w:r>
        <w:rPr>
          <w:rFonts w:hint="eastAsia" w:ascii="宋体" w:hAnsi="宋体" w:cs="宋体"/>
          <w:color w:val="auto"/>
          <w:kern w:val="0"/>
          <w:szCs w:val="21"/>
        </w:rPr>
        <w:t>系</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w:t>
      </w:r>
      <w:r>
        <w:rPr>
          <w:rFonts w:hint="eastAsia" w:ascii="宋体" w:hAnsi="宋体" w:cs="宋体"/>
          <w:color w:val="auto"/>
          <w:spacing w:val="-1"/>
          <w:kern w:val="0"/>
          <w:szCs w:val="21"/>
          <w:u w:val="single"/>
        </w:rPr>
        <w:t>竞选</w:t>
      </w:r>
      <w:r>
        <w:rPr>
          <w:rFonts w:hint="eastAsia" w:ascii="宋体" w:hAnsi="宋体" w:cs="宋体"/>
          <w:color w:val="auto"/>
          <w:kern w:val="0"/>
          <w:szCs w:val="21"/>
          <w:u w:val="single"/>
        </w:rPr>
        <w:t>人名称</w:t>
      </w:r>
      <w:r>
        <w:rPr>
          <w:rFonts w:hint="eastAsia" w:ascii="宋体" w:hAnsi="宋体" w:cs="宋体"/>
          <w:color w:val="auto"/>
          <w:spacing w:val="1"/>
          <w:kern w:val="0"/>
          <w:szCs w:val="21"/>
          <w:u w:val="single"/>
        </w:rPr>
        <w:t>）</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的法定代</w:t>
      </w:r>
      <w:r>
        <w:rPr>
          <w:rFonts w:hint="eastAsia" w:ascii="宋体" w:hAnsi="宋体" w:cs="宋体"/>
          <w:color w:val="auto"/>
          <w:spacing w:val="1"/>
          <w:kern w:val="0"/>
          <w:szCs w:val="21"/>
        </w:rPr>
        <w:t>表</w:t>
      </w:r>
      <w:r>
        <w:rPr>
          <w:rFonts w:hint="eastAsia" w:ascii="宋体" w:hAnsi="宋体" w:cs="宋体"/>
          <w:color w:val="auto"/>
          <w:kern w:val="0"/>
          <w:szCs w:val="21"/>
        </w:rPr>
        <w:t xml:space="preserve">人，现委托 </w:t>
      </w:r>
      <w:r>
        <w:rPr>
          <w:rFonts w:hint="eastAsia" w:ascii="宋体" w:hAnsi="宋体" w:cs="宋体"/>
          <w:color w:val="auto"/>
          <w:kern w:val="0"/>
          <w:szCs w:val="21"/>
          <w:u w:val="single"/>
        </w:rPr>
        <w:t xml:space="preserve">    （姓名） </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为我方代理人。代理人根据授权，以我方名义签署、澄清、说明、补正、递交、撤回、修改</w:t>
      </w:r>
      <w:r>
        <w:rPr>
          <w:rFonts w:hint="eastAsia" w:ascii="宋体" w:hAnsi="宋体" w:cs="宋体"/>
          <w:bCs/>
          <w:color w:val="auto"/>
          <w:kern w:val="0"/>
          <w:szCs w:val="21"/>
          <w:u w:val="single"/>
        </w:rPr>
        <w:t xml:space="preserve">                    （项目名称）                      </w:t>
      </w:r>
      <w:r>
        <w:rPr>
          <w:rFonts w:hint="eastAsia" w:ascii="宋体" w:hAnsi="宋体" w:cs="宋体"/>
          <w:color w:val="auto"/>
          <w:kern w:val="0"/>
          <w:szCs w:val="21"/>
        </w:rPr>
        <w:t>竞选文件、签订合同及处理有关事宜，其法律责任及后果由我方承担。</w:t>
      </w:r>
    </w:p>
    <w:p w14:paraId="42465A13">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委托</w:t>
      </w:r>
      <w:r>
        <w:rPr>
          <w:rFonts w:hint="eastAsia" w:ascii="宋体" w:hAnsi="宋体" w:cs="宋体"/>
          <w:color w:val="auto"/>
          <w:spacing w:val="-1"/>
          <w:kern w:val="0"/>
          <w:szCs w:val="21"/>
        </w:rPr>
        <w:t>期</w:t>
      </w:r>
      <w:r>
        <w:rPr>
          <w:rFonts w:hint="eastAsia" w:ascii="宋体" w:hAnsi="宋体" w:cs="宋体"/>
          <w:color w:val="auto"/>
          <w:kern w:val="0"/>
          <w:szCs w:val="21"/>
        </w:rPr>
        <w:t>限：</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 xml:space="preserve">。 </w:t>
      </w:r>
    </w:p>
    <w:p w14:paraId="05C9EBCA">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代理人无转委托权。</w:t>
      </w:r>
    </w:p>
    <w:p w14:paraId="777C064F">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p>
    <w:p w14:paraId="75585D4A">
      <w:pPr>
        <w:autoSpaceDE w:val="0"/>
        <w:autoSpaceDN w:val="0"/>
        <w:adjustRightInd w:val="0"/>
        <w:snapToGrid w:val="0"/>
        <w:spacing w:line="360" w:lineRule="auto"/>
        <w:jc w:val="left"/>
        <w:rPr>
          <w:rFonts w:ascii="宋体" w:hAnsi="宋体" w:cs="宋体"/>
          <w:color w:val="auto"/>
          <w:kern w:val="0"/>
          <w:sz w:val="12"/>
          <w:szCs w:val="12"/>
        </w:rPr>
      </w:pPr>
    </w:p>
    <w:p w14:paraId="147EF71D">
      <w:pPr>
        <w:rPr>
          <w:rFonts w:ascii="宋体" w:hAnsi="宋体" w:cs="宋体"/>
          <w:snapToGrid w:val="0"/>
          <w:color w:val="auto"/>
          <w:kern w:val="0"/>
          <w:sz w:val="24"/>
        </w:rPr>
      </w:pPr>
      <w:r>
        <w:rPr>
          <w:rFonts w:hint="eastAsia" w:ascii="宋体" w:hAnsi="宋体" w:cs="宋体"/>
          <w:color w:val="auto"/>
        </w:rPr>
        <mc:AlternateContent>
          <mc:Choice Requires="wps">
            <w:drawing>
              <wp:anchor distT="0" distB="0" distL="114300" distR="114300" simplePos="0" relativeHeight="251665408" behindDoc="0" locked="0" layoutInCell="1" allowOverlap="1">
                <wp:simplePos x="0" y="0"/>
                <wp:positionH relativeFrom="column">
                  <wp:posOffset>66675</wp:posOffset>
                </wp:positionH>
                <wp:positionV relativeFrom="paragraph">
                  <wp:posOffset>83185</wp:posOffset>
                </wp:positionV>
                <wp:extent cx="2533650" cy="1522730"/>
                <wp:effectExtent l="9525" t="6985" r="9525" b="13335"/>
                <wp:wrapNone/>
                <wp:docPr id="13" name="流程图: 可选过程 13"/>
                <wp:cNvGraphicFramePr/>
                <a:graphic xmlns:a="http://schemas.openxmlformats.org/drawingml/2006/main">
                  <a:graphicData uri="http://schemas.microsoft.com/office/word/2010/wordprocessingShape">
                    <wps:wsp>
                      <wps:cNvSpPr>
                        <a:spLocks noChangeArrowheads="1"/>
                      </wps:cNvSpPr>
                      <wps:spPr bwMode="auto">
                        <a:xfrm>
                          <a:off x="0" y="0"/>
                          <a:ext cx="2533650" cy="1522730"/>
                        </a:xfrm>
                        <a:prstGeom prst="flowChartAlternateProcess">
                          <a:avLst/>
                        </a:prstGeom>
                        <a:solidFill>
                          <a:srgbClr val="FFFFFF"/>
                        </a:solidFill>
                        <a:ln w="9525">
                          <a:solidFill>
                            <a:srgbClr val="000000"/>
                          </a:solidFill>
                          <a:miter lim="800000"/>
                        </a:ln>
                      </wps:spPr>
                      <wps:txbx>
                        <w:txbxContent>
                          <w:p w14:paraId="4C21375C">
                            <w:pPr>
                              <w:jc w:val="center"/>
                            </w:pPr>
                          </w:p>
                          <w:p w14:paraId="1C50EC7D">
                            <w:pPr>
                              <w:jc w:val="center"/>
                            </w:pPr>
                            <w:r>
                              <w:rPr>
                                <w:rFonts w:hint="eastAsia"/>
                              </w:rPr>
                              <w:t>委托代理人身份证复印件</w:t>
                            </w:r>
                          </w:p>
                          <w:p w14:paraId="59D79906">
                            <w:pPr>
                              <w:jc w:val="center"/>
                            </w:pPr>
                            <w:r>
                              <w:rPr>
                                <w:rFonts w:hint="eastAsia"/>
                              </w:rPr>
                              <w:t>（公民身份信息面）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25pt;margin-top:6.55pt;height:119.9pt;width:199.5pt;z-index:251665408;mso-width-relative:page;mso-height-relative:page;" fillcolor="#FFFFFF" filled="t" stroked="t" coordsize="21600,21600" o:gfxdata="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Q7f2NcAAAAJAQAADwAAAAAAAAABACAAAAAiAAAAZHJzL2Rvd25yZXYueG1sUEsBAhQAFAAA&#10;AAgAh07iQDFP6r5iAgAAowQAAA4AAAAAAAAAAQAgAAAAJgEAAGRycy9lMm9Eb2MueG1sUEsFBgAA&#10;AAAGAAYAWQEAAPoFAAAAAA==&#10;">
                <v:fill on="t" focussize="0,0"/>
                <v:stroke color="#000000" miterlimit="8" joinstyle="miter"/>
                <v:imagedata o:title=""/>
                <o:lock v:ext="edit" aspectratio="f"/>
                <v:textbox>
                  <w:txbxContent>
                    <w:p w14:paraId="4C21375C">
                      <w:pPr>
                        <w:jc w:val="center"/>
                      </w:pPr>
                    </w:p>
                    <w:p w14:paraId="1C50EC7D">
                      <w:pPr>
                        <w:jc w:val="center"/>
                      </w:pPr>
                      <w:r>
                        <w:rPr>
                          <w:rFonts w:hint="eastAsia"/>
                        </w:rPr>
                        <w:t>委托代理人身份证复印件</w:t>
                      </w:r>
                    </w:p>
                    <w:p w14:paraId="59D79906">
                      <w:pPr>
                        <w:jc w:val="center"/>
                      </w:pPr>
                      <w:r>
                        <w:rPr>
                          <w:rFonts w:hint="eastAsia"/>
                        </w:rPr>
                        <w:t>（公民身份信息面）</w:t>
                      </w:r>
                    </w:p>
                  </w:txbxContent>
                </v:textbox>
              </v:shape>
            </w:pict>
          </mc:Fallback>
        </mc:AlternateContent>
      </w:r>
      <w:r>
        <w:rPr>
          <w:rFonts w:hint="eastAsia" w:ascii="宋体" w:hAnsi="宋体" w:cs="宋体"/>
          <w:color w:val="auto"/>
        </w:rPr>
        <mc:AlternateContent>
          <mc:Choice Requires="wps">
            <w:drawing>
              <wp:anchor distT="0" distB="0" distL="114300" distR="114300" simplePos="0" relativeHeight="251666432" behindDoc="0" locked="0" layoutInCell="1" allowOverlap="1">
                <wp:simplePos x="0" y="0"/>
                <wp:positionH relativeFrom="column">
                  <wp:posOffset>3067050</wp:posOffset>
                </wp:positionH>
                <wp:positionV relativeFrom="paragraph">
                  <wp:posOffset>83185</wp:posOffset>
                </wp:positionV>
                <wp:extent cx="2533650" cy="1522730"/>
                <wp:effectExtent l="9525" t="6985" r="9525" b="13335"/>
                <wp:wrapNone/>
                <wp:docPr id="12" name="流程图: 可选过程 12"/>
                <wp:cNvGraphicFramePr/>
                <a:graphic xmlns:a="http://schemas.openxmlformats.org/drawingml/2006/main">
                  <a:graphicData uri="http://schemas.microsoft.com/office/word/2010/wordprocessingShape">
                    <wps:wsp>
                      <wps:cNvSpPr>
                        <a:spLocks noChangeArrowheads="1"/>
                      </wps:cNvSpPr>
                      <wps:spPr bwMode="auto">
                        <a:xfrm>
                          <a:off x="0" y="0"/>
                          <a:ext cx="2533650" cy="1522730"/>
                        </a:xfrm>
                        <a:prstGeom prst="flowChartAlternateProcess">
                          <a:avLst/>
                        </a:prstGeom>
                        <a:solidFill>
                          <a:srgbClr val="FFFFFF"/>
                        </a:solidFill>
                        <a:ln w="9525">
                          <a:solidFill>
                            <a:srgbClr val="000000"/>
                          </a:solidFill>
                          <a:miter lim="800000"/>
                        </a:ln>
                      </wps:spPr>
                      <wps:txbx>
                        <w:txbxContent>
                          <w:p w14:paraId="0345EC0B">
                            <w:pPr>
                              <w:jc w:val="center"/>
                            </w:pPr>
                          </w:p>
                          <w:p w14:paraId="292F827C">
                            <w:pPr>
                              <w:jc w:val="center"/>
                            </w:pPr>
                            <w:r>
                              <w:rPr>
                                <w:rFonts w:hint="eastAsia"/>
                              </w:rPr>
                              <w:t>委托代理人身份证复印件</w:t>
                            </w:r>
                          </w:p>
                          <w:p w14:paraId="40DCE767">
                            <w:pPr>
                              <w:jc w:val="center"/>
                            </w:pPr>
                            <w:r>
                              <w:rPr>
                                <w:rFonts w:hint="eastAsia"/>
                              </w:rPr>
                              <w:t>（签发单位面）</w:t>
                            </w:r>
                          </w:p>
                          <w:p w14:paraId="1CB98A2A">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41.5pt;margin-top:6.55pt;height:119.9pt;width:199.5pt;z-index:251666432;mso-width-relative:page;mso-height-relative:page;" fillcolor="#FFFFFF" filled="t" stroked="t" coordsize="21600,21600" o:gfxdata="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sfSe/YAAAACgEAAA8AAAAAAAAAAQAgAAAAIgAAAGRycy9kb3ducmV2LnhtbFBLAQIUABQA&#10;AAAIAIdO4kAh8LcRYgIAAKMEAAAOAAAAAAAAAAEAIAAAACcBAABkcnMvZTJvRG9jLnhtbFBLBQYA&#10;AAAABgAGAFkBAAD7BQAAAAA=&#10;">
                <v:fill on="t" focussize="0,0"/>
                <v:stroke color="#000000" miterlimit="8" joinstyle="miter"/>
                <v:imagedata o:title=""/>
                <o:lock v:ext="edit" aspectratio="f"/>
                <v:textbox>
                  <w:txbxContent>
                    <w:p w14:paraId="0345EC0B">
                      <w:pPr>
                        <w:jc w:val="center"/>
                      </w:pPr>
                    </w:p>
                    <w:p w14:paraId="292F827C">
                      <w:pPr>
                        <w:jc w:val="center"/>
                      </w:pPr>
                      <w:r>
                        <w:rPr>
                          <w:rFonts w:hint="eastAsia"/>
                        </w:rPr>
                        <w:t>委托代理人身份证复印件</w:t>
                      </w:r>
                    </w:p>
                    <w:p w14:paraId="40DCE767">
                      <w:pPr>
                        <w:jc w:val="center"/>
                      </w:pPr>
                      <w:r>
                        <w:rPr>
                          <w:rFonts w:hint="eastAsia"/>
                        </w:rPr>
                        <w:t>（签发单位面）</w:t>
                      </w:r>
                    </w:p>
                    <w:p w14:paraId="1CB98A2A">
                      <w:pPr>
                        <w:jc w:val="center"/>
                      </w:pPr>
                    </w:p>
                  </w:txbxContent>
                </v:textbox>
              </v:shape>
            </w:pict>
          </mc:Fallback>
        </mc:AlternateContent>
      </w:r>
      <w:bookmarkStart w:id="628" w:name="_Toc434242234"/>
      <w:bookmarkEnd w:id="628"/>
      <w:bookmarkStart w:id="629" w:name="_Toc434242032"/>
      <w:bookmarkEnd w:id="629"/>
    </w:p>
    <w:p w14:paraId="324F3084">
      <w:pPr>
        <w:rPr>
          <w:rFonts w:ascii="宋体" w:hAnsi="宋体" w:cs="宋体"/>
          <w:color w:val="auto"/>
        </w:rPr>
      </w:pPr>
    </w:p>
    <w:p w14:paraId="68F40015">
      <w:pPr>
        <w:rPr>
          <w:rFonts w:ascii="宋体" w:hAnsi="宋体" w:cs="宋体"/>
          <w:color w:val="auto"/>
        </w:rPr>
      </w:pPr>
    </w:p>
    <w:p w14:paraId="7F357807">
      <w:pPr>
        <w:rPr>
          <w:rFonts w:ascii="宋体" w:hAnsi="宋体" w:cs="宋体"/>
          <w:color w:val="auto"/>
        </w:rPr>
      </w:pPr>
    </w:p>
    <w:p w14:paraId="1F5166EE">
      <w:pPr>
        <w:rPr>
          <w:rFonts w:ascii="宋体" w:hAnsi="宋体" w:cs="宋体"/>
          <w:color w:val="auto"/>
        </w:rPr>
      </w:pPr>
    </w:p>
    <w:p w14:paraId="0892ABBB">
      <w:pPr>
        <w:rPr>
          <w:rFonts w:ascii="宋体" w:hAnsi="宋体" w:cs="宋体"/>
          <w:color w:val="auto"/>
        </w:rPr>
      </w:pPr>
    </w:p>
    <w:p w14:paraId="3C2F82B0">
      <w:pPr>
        <w:rPr>
          <w:rFonts w:ascii="宋体" w:hAnsi="宋体" w:cs="宋体"/>
          <w:color w:val="auto"/>
        </w:rPr>
      </w:pPr>
    </w:p>
    <w:p w14:paraId="51EFFE33">
      <w:pPr>
        <w:rPr>
          <w:rFonts w:ascii="宋体" w:hAnsi="宋体" w:cs="宋体"/>
          <w:color w:val="auto"/>
        </w:rPr>
      </w:pPr>
    </w:p>
    <w:p w14:paraId="530C0304">
      <w:pPr>
        <w:rPr>
          <w:rFonts w:ascii="宋体" w:hAnsi="宋体" w:cs="宋体"/>
          <w:color w:val="auto"/>
        </w:rPr>
      </w:pPr>
    </w:p>
    <w:p w14:paraId="3DA2F339">
      <w:pPr>
        <w:tabs>
          <w:tab w:val="left" w:pos="4200"/>
          <w:tab w:val="left" w:pos="4620"/>
        </w:tabs>
        <w:autoSpaceDE w:val="0"/>
        <w:autoSpaceDN w:val="0"/>
        <w:adjustRightInd w:val="0"/>
        <w:snapToGrid w:val="0"/>
        <w:spacing w:line="360" w:lineRule="auto"/>
        <w:ind w:firstLine="1694"/>
        <w:jc w:val="left"/>
        <w:rPr>
          <w:rFonts w:ascii="宋体" w:hAnsi="宋体" w:cs="宋体"/>
          <w:color w:val="auto"/>
          <w:kern w:val="0"/>
          <w:szCs w:val="21"/>
        </w:rPr>
      </w:pPr>
    </w:p>
    <w:p w14:paraId="56C68AD8">
      <w:pPr>
        <w:tabs>
          <w:tab w:val="left" w:pos="4200"/>
          <w:tab w:val="left" w:pos="4620"/>
        </w:tabs>
        <w:autoSpaceDE w:val="0"/>
        <w:autoSpaceDN w:val="0"/>
        <w:adjustRightInd w:val="0"/>
        <w:snapToGrid w:val="0"/>
        <w:spacing w:line="480" w:lineRule="auto"/>
        <w:ind w:firstLine="1694"/>
        <w:jc w:val="left"/>
        <w:rPr>
          <w:rFonts w:ascii="宋体" w:hAnsi="宋体" w:cs="宋体"/>
          <w:color w:val="auto"/>
          <w:kern w:val="0"/>
          <w:szCs w:val="21"/>
        </w:rPr>
      </w:pPr>
      <w:r>
        <w:rPr>
          <w:rFonts w:hint="eastAsia" w:ascii="宋体" w:hAnsi="宋体" w:cs="宋体"/>
          <w:color w:val="auto"/>
          <w:kern w:val="0"/>
          <w:szCs w:val="21"/>
        </w:rPr>
        <w:t>竞选人：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w:t>
      </w:r>
      <w:r>
        <w:rPr>
          <w:rFonts w:hint="eastAsia" w:ascii="宋体" w:hAnsi="宋体" w:cs="宋体"/>
          <w:color w:val="auto"/>
          <w:spacing w:val="-1"/>
          <w:kern w:val="0"/>
          <w:szCs w:val="21"/>
        </w:rPr>
        <w:t>盖单位法人章</w:t>
      </w:r>
      <w:r>
        <w:rPr>
          <w:rFonts w:hint="eastAsia" w:ascii="宋体" w:hAnsi="宋体" w:cs="宋体"/>
          <w:color w:val="auto"/>
          <w:kern w:val="0"/>
          <w:szCs w:val="21"/>
        </w:rPr>
        <w:t xml:space="preserve">） </w:t>
      </w:r>
    </w:p>
    <w:p w14:paraId="5E0E65C6">
      <w:pPr>
        <w:tabs>
          <w:tab w:val="left" w:pos="6090"/>
        </w:tabs>
        <w:autoSpaceDE w:val="0"/>
        <w:autoSpaceDN w:val="0"/>
        <w:adjustRightInd w:val="0"/>
        <w:snapToGrid w:val="0"/>
        <w:spacing w:line="480" w:lineRule="auto"/>
        <w:ind w:firstLine="1680"/>
        <w:jc w:val="left"/>
        <w:rPr>
          <w:rFonts w:ascii="宋体" w:hAnsi="宋体" w:cs="宋体"/>
          <w:color w:val="auto"/>
          <w:kern w:val="0"/>
          <w:szCs w:val="21"/>
        </w:rPr>
      </w:pPr>
      <w:r>
        <w:rPr>
          <w:rFonts w:hint="eastAsia" w:ascii="宋体" w:hAnsi="宋体" w:cs="宋体"/>
          <w:color w:val="auto"/>
          <w:kern w:val="0"/>
          <w:szCs w:val="21"/>
        </w:rPr>
        <w:t>法定代表人：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（签字）</w:t>
      </w:r>
    </w:p>
    <w:p w14:paraId="530BC315">
      <w:pPr>
        <w:tabs>
          <w:tab w:val="left" w:pos="5260"/>
        </w:tabs>
        <w:autoSpaceDE w:val="0"/>
        <w:autoSpaceDN w:val="0"/>
        <w:adjustRightInd w:val="0"/>
        <w:snapToGrid w:val="0"/>
        <w:spacing w:line="480" w:lineRule="auto"/>
        <w:ind w:firstLine="1680"/>
        <w:jc w:val="left"/>
        <w:rPr>
          <w:rFonts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szCs w:val="21"/>
        </w:rPr>
        <w:tab/>
      </w:r>
    </w:p>
    <w:p w14:paraId="4997ACFB">
      <w:pPr>
        <w:tabs>
          <w:tab w:val="left" w:pos="6090"/>
        </w:tabs>
        <w:autoSpaceDE w:val="0"/>
        <w:autoSpaceDN w:val="0"/>
        <w:adjustRightInd w:val="0"/>
        <w:snapToGrid w:val="0"/>
        <w:spacing w:line="480" w:lineRule="auto"/>
        <w:ind w:firstLine="1680"/>
        <w:jc w:val="left"/>
        <w:rPr>
          <w:rFonts w:ascii="宋体" w:hAnsi="宋体" w:cs="宋体"/>
          <w:color w:val="auto"/>
          <w:kern w:val="0"/>
          <w:szCs w:val="21"/>
        </w:rPr>
      </w:pPr>
      <w:r>
        <w:rPr>
          <w:rFonts w:hint="eastAsia" w:ascii="宋体" w:hAnsi="宋体" w:cs="宋体"/>
          <w:color w:val="auto"/>
          <w:kern w:val="0"/>
          <w:szCs w:val="21"/>
        </w:rPr>
        <w:t>委托代理人：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（签</w:t>
      </w:r>
      <w:r>
        <w:rPr>
          <w:rFonts w:hint="eastAsia" w:ascii="宋体" w:hAnsi="宋体" w:cs="宋体"/>
          <w:color w:val="auto"/>
          <w:spacing w:val="-1"/>
          <w:kern w:val="0"/>
          <w:szCs w:val="21"/>
        </w:rPr>
        <w:t>字</w:t>
      </w:r>
      <w:r>
        <w:rPr>
          <w:rFonts w:hint="eastAsia" w:ascii="宋体" w:hAnsi="宋体" w:cs="宋体"/>
          <w:color w:val="auto"/>
          <w:kern w:val="0"/>
          <w:szCs w:val="21"/>
        </w:rPr>
        <w:t>）</w:t>
      </w:r>
    </w:p>
    <w:p w14:paraId="2C94B25B">
      <w:pPr>
        <w:tabs>
          <w:tab w:val="left" w:pos="6090"/>
        </w:tabs>
        <w:autoSpaceDE w:val="0"/>
        <w:autoSpaceDN w:val="0"/>
        <w:adjustRightInd w:val="0"/>
        <w:snapToGrid w:val="0"/>
        <w:spacing w:line="480" w:lineRule="auto"/>
        <w:ind w:firstLine="1680"/>
        <w:jc w:val="left"/>
        <w:rPr>
          <w:rFonts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14:paraId="64A0CB36">
      <w:pPr>
        <w:spacing w:line="480" w:lineRule="auto"/>
        <w:ind w:firstLine="2975" w:firstLineChars="1417"/>
        <w:rPr>
          <w:rFonts w:ascii="宋体" w:hAnsi="宋体" w:cs="宋体"/>
          <w:color w:val="auto"/>
        </w:rPr>
      </w:pP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14:paraId="70D3A03A">
      <w:pPr>
        <w:rPr>
          <w:rFonts w:ascii="宋体" w:hAnsi="宋体" w:cs="宋体"/>
          <w:color w:val="auto"/>
        </w:rPr>
      </w:pPr>
    </w:p>
    <w:p w14:paraId="5DD208E4">
      <w:pPr>
        <w:pStyle w:val="45"/>
        <w:rPr>
          <w:rFonts w:ascii="宋体" w:hAnsi="宋体" w:cs="宋体"/>
          <w:color w:val="auto"/>
          <w:lang w:eastAsia="zh-CN"/>
        </w:rPr>
      </w:pPr>
    </w:p>
    <w:p w14:paraId="05EB4FD8">
      <w:pPr>
        <w:pStyle w:val="45"/>
        <w:rPr>
          <w:rFonts w:ascii="宋体" w:hAnsi="宋体" w:cs="宋体"/>
          <w:color w:val="auto"/>
          <w:lang w:eastAsia="zh-CN"/>
        </w:rPr>
      </w:pPr>
    </w:p>
    <w:p w14:paraId="165014AF">
      <w:pPr>
        <w:autoSpaceDE w:val="0"/>
        <w:autoSpaceDN w:val="0"/>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注：法定代表人参加竞选活动并签署文件的不需要授权委托书，只需提供法定代表人身份证明；非法定代表人参加竞选活动及签署文件的除提供法定代表人身份证明外还须提供授权委托书。</w:t>
      </w:r>
    </w:p>
    <w:bookmarkEnd w:id="622"/>
    <w:p w14:paraId="44DBB599">
      <w:pPr>
        <w:autoSpaceDE w:val="0"/>
        <w:autoSpaceDN w:val="0"/>
        <w:spacing w:after="120" w:line="360" w:lineRule="auto"/>
        <w:jc w:val="left"/>
        <w:rPr>
          <w:rFonts w:ascii="宋体" w:hAnsi="宋体" w:cs="宋体"/>
          <w:color w:val="auto"/>
          <w:kern w:val="0"/>
          <w:szCs w:val="21"/>
        </w:rPr>
      </w:pPr>
      <w:bookmarkStart w:id="630" w:name="_bookmark160"/>
      <w:bookmarkEnd w:id="630"/>
    </w:p>
    <w:p w14:paraId="29C40D5E">
      <w:pPr>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ascii="宋体" w:hAnsi="宋体" w:eastAsia="宋体" w:cs="宋体"/>
          <w:b w:val="0"/>
          <w:bCs/>
          <w:color w:val="auto"/>
          <w:szCs w:val="21"/>
        </w:rPr>
      </w:pPr>
      <w:bookmarkStart w:id="631" w:name="_bookmark161"/>
      <w:bookmarkEnd w:id="631"/>
      <w:bookmarkStart w:id="632" w:name="_Toc1132"/>
      <w:r>
        <w:rPr>
          <w:rFonts w:hint="eastAsia" w:ascii="宋体" w:hAnsi="宋体" w:eastAsia="宋体" w:cs="宋体"/>
          <w:color w:val="auto"/>
        </w:rPr>
        <w:br w:type="page"/>
      </w:r>
      <w:bookmarkEnd w:id="632"/>
      <w:bookmarkStart w:id="633" w:name="_Toc17055"/>
      <w:bookmarkStart w:id="634" w:name="_Toc277082658"/>
      <w:bookmarkStart w:id="635" w:name="_Toc287620831"/>
      <w:bookmarkStart w:id="636" w:name="_Toc224103512"/>
      <w:bookmarkStart w:id="637" w:name="_Toc430530547"/>
      <w:bookmarkStart w:id="638" w:name="_Toc287607884"/>
      <w:bookmarkStart w:id="639" w:name="_Toc1725776"/>
    </w:p>
    <w:bookmarkEnd w:id="633"/>
    <w:bookmarkEnd w:id="634"/>
    <w:bookmarkEnd w:id="635"/>
    <w:bookmarkEnd w:id="636"/>
    <w:bookmarkEnd w:id="637"/>
    <w:bookmarkEnd w:id="638"/>
    <w:p w14:paraId="10DFDE20">
      <w:pPr>
        <w:pStyle w:val="3"/>
        <w:jc w:val="center"/>
        <w:outlineLvl w:val="0"/>
        <w:rPr>
          <w:rFonts w:ascii="宋体" w:hAnsi="宋体" w:eastAsia="宋体" w:cs="宋体"/>
          <w:color w:val="auto"/>
          <w:szCs w:val="22"/>
        </w:rPr>
      </w:pPr>
      <w:bookmarkStart w:id="640" w:name="_Toc24416"/>
      <w:bookmarkStart w:id="641" w:name="_Toc22392"/>
      <w:bookmarkStart w:id="642" w:name="_Toc21791"/>
      <w:bookmarkStart w:id="643" w:name="_Toc25994"/>
      <w:bookmarkStart w:id="644" w:name="_Toc287607887"/>
      <w:bookmarkStart w:id="645" w:name="_Toc277082659"/>
      <w:r>
        <w:rPr>
          <w:rFonts w:hint="eastAsia" w:ascii="宋体" w:hAnsi="宋体" w:eastAsia="宋体" w:cs="宋体"/>
          <w:color w:val="auto"/>
          <w:szCs w:val="22"/>
          <w:lang w:val="en-US" w:eastAsia="zh-CN"/>
        </w:rPr>
        <w:t>四</w:t>
      </w:r>
      <w:r>
        <w:rPr>
          <w:rFonts w:hint="eastAsia" w:ascii="宋体" w:hAnsi="宋体" w:eastAsia="宋体" w:cs="宋体"/>
          <w:color w:val="auto"/>
          <w:szCs w:val="22"/>
        </w:rPr>
        <w:t>、竞选人基本情况表</w:t>
      </w:r>
      <w:bookmarkEnd w:id="640"/>
      <w:bookmarkEnd w:id="641"/>
      <w:bookmarkEnd w:id="642"/>
      <w:bookmarkEnd w:id="643"/>
    </w:p>
    <w:tbl>
      <w:tblPr>
        <w:tblStyle w:val="49"/>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941"/>
        <w:gridCol w:w="1076"/>
        <w:gridCol w:w="1351"/>
        <w:gridCol w:w="434"/>
        <w:gridCol w:w="914"/>
        <w:gridCol w:w="867"/>
        <w:gridCol w:w="301"/>
        <w:gridCol w:w="1292"/>
      </w:tblGrid>
      <w:tr w14:paraId="184DE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shd w:val="clear" w:color="auto" w:fill="auto"/>
            <w:vAlign w:val="center"/>
          </w:tcPr>
          <w:p w14:paraId="60E99114">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rPr>
              <w:t>竞选</w:t>
            </w:r>
            <w:r>
              <w:rPr>
                <w:rFonts w:hint="eastAsia" w:ascii="宋体" w:hAnsi="宋体" w:cs="宋体"/>
                <w:color w:val="auto"/>
                <w:kern w:val="0"/>
                <w:sz w:val="22"/>
                <w:szCs w:val="22"/>
                <w:lang w:eastAsia="en-US"/>
              </w:rPr>
              <w:t>人名称</w:t>
            </w:r>
          </w:p>
        </w:tc>
        <w:tc>
          <w:tcPr>
            <w:tcW w:w="7176" w:type="dxa"/>
            <w:gridSpan w:val="8"/>
            <w:shd w:val="clear" w:color="auto" w:fill="auto"/>
            <w:vAlign w:val="center"/>
          </w:tcPr>
          <w:p w14:paraId="502F85D6">
            <w:pPr>
              <w:autoSpaceDE w:val="0"/>
              <w:autoSpaceDN w:val="0"/>
              <w:jc w:val="center"/>
              <w:rPr>
                <w:rFonts w:ascii="宋体" w:hAnsi="宋体" w:cs="宋体"/>
                <w:color w:val="auto"/>
                <w:kern w:val="0"/>
                <w:sz w:val="20"/>
                <w:szCs w:val="22"/>
                <w:lang w:eastAsia="en-US"/>
              </w:rPr>
            </w:pPr>
          </w:p>
        </w:tc>
      </w:tr>
      <w:tr w14:paraId="4C707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shd w:val="clear" w:color="auto" w:fill="auto"/>
            <w:vAlign w:val="center"/>
          </w:tcPr>
          <w:p w14:paraId="0250EB49">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注册地址</w:t>
            </w:r>
          </w:p>
        </w:tc>
        <w:tc>
          <w:tcPr>
            <w:tcW w:w="3368" w:type="dxa"/>
            <w:gridSpan w:val="3"/>
            <w:shd w:val="clear" w:color="auto" w:fill="auto"/>
            <w:vAlign w:val="center"/>
          </w:tcPr>
          <w:p w14:paraId="37055168">
            <w:pPr>
              <w:autoSpaceDE w:val="0"/>
              <w:autoSpaceDN w:val="0"/>
              <w:jc w:val="center"/>
              <w:rPr>
                <w:rFonts w:ascii="宋体" w:hAnsi="宋体" w:cs="宋体"/>
                <w:color w:val="auto"/>
                <w:kern w:val="0"/>
                <w:sz w:val="20"/>
                <w:szCs w:val="22"/>
                <w:lang w:eastAsia="en-US"/>
              </w:rPr>
            </w:pPr>
          </w:p>
        </w:tc>
        <w:tc>
          <w:tcPr>
            <w:tcW w:w="1348" w:type="dxa"/>
            <w:gridSpan w:val="2"/>
            <w:shd w:val="clear" w:color="auto" w:fill="auto"/>
            <w:vAlign w:val="center"/>
          </w:tcPr>
          <w:p w14:paraId="65F8E048">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邮政编码</w:t>
            </w:r>
          </w:p>
        </w:tc>
        <w:tc>
          <w:tcPr>
            <w:tcW w:w="2460" w:type="dxa"/>
            <w:gridSpan w:val="3"/>
            <w:shd w:val="clear" w:color="auto" w:fill="auto"/>
            <w:vAlign w:val="center"/>
          </w:tcPr>
          <w:p w14:paraId="74114AED">
            <w:pPr>
              <w:autoSpaceDE w:val="0"/>
              <w:autoSpaceDN w:val="0"/>
              <w:jc w:val="center"/>
              <w:rPr>
                <w:rFonts w:ascii="宋体" w:hAnsi="宋体" w:cs="宋体"/>
                <w:color w:val="auto"/>
                <w:kern w:val="0"/>
                <w:sz w:val="20"/>
                <w:szCs w:val="22"/>
                <w:lang w:eastAsia="en-US"/>
              </w:rPr>
            </w:pPr>
          </w:p>
        </w:tc>
      </w:tr>
      <w:tr w14:paraId="07D61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shd w:val="clear" w:color="auto" w:fill="auto"/>
            <w:vAlign w:val="center"/>
          </w:tcPr>
          <w:p w14:paraId="15A0B4F6">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联系方式</w:t>
            </w:r>
          </w:p>
        </w:tc>
        <w:tc>
          <w:tcPr>
            <w:tcW w:w="941" w:type="dxa"/>
            <w:shd w:val="clear" w:color="auto" w:fill="auto"/>
            <w:vAlign w:val="center"/>
          </w:tcPr>
          <w:p w14:paraId="74A277BE">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联系人</w:t>
            </w:r>
          </w:p>
        </w:tc>
        <w:tc>
          <w:tcPr>
            <w:tcW w:w="2427" w:type="dxa"/>
            <w:gridSpan w:val="2"/>
            <w:shd w:val="clear" w:color="auto" w:fill="auto"/>
            <w:vAlign w:val="center"/>
          </w:tcPr>
          <w:p w14:paraId="7D443B3C">
            <w:pPr>
              <w:autoSpaceDE w:val="0"/>
              <w:autoSpaceDN w:val="0"/>
              <w:jc w:val="center"/>
              <w:rPr>
                <w:rFonts w:ascii="宋体" w:hAnsi="宋体" w:cs="宋体"/>
                <w:color w:val="auto"/>
                <w:kern w:val="0"/>
                <w:sz w:val="20"/>
                <w:szCs w:val="22"/>
                <w:lang w:eastAsia="en-US"/>
              </w:rPr>
            </w:pPr>
          </w:p>
        </w:tc>
        <w:tc>
          <w:tcPr>
            <w:tcW w:w="1348" w:type="dxa"/>
            <w:gridSpan w:val="2"/>
            <w:shd w:val="clear" w:color="auto" w:fill="auto"/>
            <w:vAlign w:val="center"/>
          </w:tcPr>
          <w:p w14:paraId="6AD63C21">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电 话</w:t>
            </w:r>
          </w:p>
        </w:tc>
        <w:tc>
          <w:tcPr>
            <w:tcW w:w="2460" w:type="dxa"/>
            <w:gridSpan w:val="3"/>
            <w:shd w:val="clear" w:color="auto" w:fill="auto"/>
            <w:vAlign w:val="center"/>
          </w:tcPr>
          <w:p w14:paraId="539E871E">
            <w:pPr>
              <w:autoSpaceDE w:val="0"/>
              <w:autoSpaceDN w:val="0"/>
              <w:jc w:val="center"/>
              <w:rPr>
                <w:rFonts w:ascii="宋体" w:hAnsi="宋体" w:cs="宋体"/>
                <w:color w:val="auto"/>
                <w:kern w:val="0"/>
                <w:sz w:val="20"/>
                <w:szCs w:val="22"/>
                <w:lang w:eastAsia="en-US"/>
              </w:rPr>
            </w:pPr>
          </w:p>
        </w:tc>
      </w:tr>
      <w:tr w14:paraId="73E66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Merge w:val="continue"/>
            <w:tcBorders>
              <w:top w:val="nil"/>
            </w:tcBorders>
            <w:shd w:val="clear" w:color="auto" w:fill="auto"/>
            <w:vAlign w:val="center"/>
          </w:tcPr>
          <w:p w14:paraId="44DCA05D">
            <w:pPr>
              <w:autoSpaceDE w:val="0"/>
              <w:autoSpaceDN w:val="0"/>
              <w:jc w:val="center"/>
              <w:rPr>
                <w:rFonts w:ascii="宋体" w:hAnsi="宋体" w:cs="宋体"/>
                <w:color w:val="auto"/>
                <w:kern w:val="0"/>
                <w:sz w:val="2"/>
                <w:szCs w:val="2"/>
                <w:lang w:eastAsia="en-US"/>
              </w:rPr>
            </w:pPr>
          </w:p>
        </w:tc>
        <w:tc>
          <w:tcPr>
            <w:tcW w:w="941" w:type="dxa"/>
            <w:shd w:val="clear" w:color="auto" w:fill="auto"/>
            <w:vAlign w:val="center"/>
          </w:tcPr>
          <w:p w14:paraId="71C72180">
            <w:pPr>
              <w:tabs>
                <w:tab w:val="left" w:pos="432"/>
              </w:tabs>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传</w:t>
            </w:r>
            <w:r>
              <w:rPr>
                <w:rFonts w:hint="eastAsia" w:ascii="宋体" w:hAnsi="宋体" w:cs="宋体"/>
                <w:color w:val="auto"/>
                <w:kern w:val="0"/>
                <w:sz w:val="22"/>
                <w:szCs w:val="22"/>
                <w:lang w:eastAsia="en-US"/>
              </w:rPr>
              <w:tab/>
            </w:r>
            <w:r>
              <w:rPr>
                <w:rFonts w:hint="eastAsia" w:ascii="宋体" w:hAnsi="宋体" w:cs="宋体"/>
                <w:color w:val="auto"/>
                <w:kern w:val="0"/>
                <w:sz w:val="22"/>
                <w:szCs w:val="22"/>
                <w:lang w:eastAsia="en-US"/>
              </w:rPr>
              <w:t>真</w:t>
            </w:r>
          </w:p>
        </w:tc>
        <w:tc>
          <w:tcPr>
            <w:tcW w:w="2427" w:type="dxa"/>
            <w:gridSpan w:val="2"/>
            <w:shd w:val="clear" w:color="auto" w:fill="auto"/>
            <w:vAlign w:val="center"/>
          </w:tcPr>
          <w:p w14:paraId="7A167551">
            <w:pPr>
              <w:autoSpaceDE w:val="0"/>
              <w:autoSpaceDN w:val="0"/>
              <w:jc w:val="center"/>
              <w:rPr>
                <w:rFonts w:ascii="宋体" w:hAnsi="宋体" w:cs="宋体"/>
                <w:color w:val="auto"/>
                <w:kern w:val="0"/>
                <w:sz w:val="20"/>
                <w:szCs w:val="22"/>
                <w:lang w:eastAsia="en-US"/>
              </w:rPr>
            </w:pPr>
          </w:p>
        </w:tc>
        <w:tc>
          <w:tcPr>
            <w:tcW w:w="1348" w:type="dxa"/>
            <w:gridSpan w:val="2"/>
            <w:shd w:val="clear" w:color="auto" w:fill="auto"/>
            <w:vAlign w:val="center"/>
          </w:tcPr>
          <w:p w14:paraId="1D4BE5D0">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网 址</w:t>
            </w:r>
          </w:p>
        </w:tc>
        <w:tc>
          <w:tcPr>
            <w:tcW w:w="2460" w:type="dxa"/>
            <w:gridSpan w:val="3"/>
            <w:shd w:val="clear" w:color="auto" w:fill="auto"/>
            <w:vAlign w:val="center"/>
          </w:tcPr>
          <w:p w14:paraId="3A806A69">
            <w:pPr>
              <w:autoSpaceDE w:val="0"/>
              <w:autoSpaceDN w:val="0"/>
              <w:jc w:val="center"/>
              <w:rPr>
                <w:rFonts w:ascii="宋体" w:hAnsi="宋体" w:cs="宋体"/>
                <w:color w:val="auto"/>
                <w:kern w:val="0"/>
                <w:sz w:val="20"/>
                <w:szCs w:val="22"/>
                <w:lang w:eastAsia="en-US"/>
              </w:rPr>
            </w:pPr>
          </w:p>
        </w:tc>
      </w:tr>
      <w:tr w14:paraId="6921D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shd w:val="clear" w:color="auto" w:fill="auto"/>
            <w:vAlign w:val="center"/>
          </w:tcPr>
          <w:p w14:paraId="75EA6624">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法定代表人</w:t>
            </w:r>
          </w:p>
        </w:tc>
        <w:tc>
          <w:tcPr>
            <w:tcW w:w="941" w:type="dxa"/>
            <w:shd w:val="clear" w:color="auto" w:fill="auto"/>
            <w:vAlign w:val="center"/>
          </w:tcPr>
          <w:p w14:paraId="74E064AE">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姓名</w:t>
            </w:r>
          </w:p>
        </w:tc>
        <w:tc>
          <w:tcPr>
            <w:tcW w:w="1076" w:type="dxa"/>
            <w:shd w:val="clear" w:color="auto" w:fill="auto"/>
            <w:vAlign w:val="center"/>
          </w:tcPr>
          <w:p w14:paraId="6CDEA8EC">
            <w:pPr>
              <w:autoSpaceDE w:val="0"/>
              <w:autoSpaceDN w:val="0"/>
              <w:jc w:val="center"/>
              <w:rPr>
                <w:rFonts w:ascii="宋体" w:hAnsi="宋体" w:cs="宋体"/>
                <w:color w:val="auto"/>
                <w:kern w:val="0"/>
                <w:sz w:val="20"/>
                <w:szCs w:val="22"/>
                <w:lang w:eastAsia="en-US"/>
              </w:rPr>
            </w:pPr>
          </w:p>
        </w:tc>
        <w:tc>
          <w:tcPr>
            <w:tcW w:w="1351" w:type="dxa"/>
            <w:shd w:val="clear" w:color="auto" w:fill="auto"/>
            <w:vAlign w:val="center"/>
          </w:tcPr>
          <w:p w14:paraId="22178A80">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技术职称</w:t>
            </w:r>
          </w:p>
        </w:tc>
        <w:tc>
          <w:tcPr>
            <w:tcW w:w="1348" w:type="dxa"/>
            <w:gridSpan w:val="2"/>
            <w:shd w:val="clear" w:color="auto" w:fill="auto"/>
            <w:vAlign w:val="center"/>
          </w:tcPr>
          <w:p w14:paraId="03C21CF9">
            <w:pPr>
              <w:autoSpaceDE w:val="0"/>
              <w:autoSpaceDN w:val="0"/>
              <w:jc w:val="center"/>
              <w:rPr>
                <w:rFonts w:ascii="宋体" w:hAnsi="宋体" w:cs="宋体"/>
                <w:color w:val="auto"/>
                <w:kern w:val="0"/>
                <w:sz w:val="20"/>
                <w:szCs w:val="22"/>
                <w:lang w:eastAsia="en-US"/>
              </w:rPr>
            </w:pPr>
          </w:p>
        </w:tc>
        <w:tc>
          <w:tcPr>
            <w:tcW w:w="1168" w:type="dxa"/>
            <w:gridSpan w:val="2"/>
            <w:shd w:val="clear" w:color="auto" w:fill="auto"/>
            <w:vAlign w:val="center"/>
          </w:tcPr>
          <w:p w14:paraId="24DF6EAE">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电话</w:t>
            </w:r>
          </w:p>
        </w:tc>
        <w:tc>
          <w:tcPr>
            <w:tcW w:w="1292" w:type="dxa"/>
            <w:shd w:val="clear" w:color="auto" w:fill="auto"/>
            <w:vAlign w:val="center"/>
          </w:tcPr>
          <w:p w14:paraId="25BE66DF">
            <w:pPr>
              <w:autoSpaceDE w:val="0"/>
              <w:autoSpaceDN w:val="0"/>
              <w:jc w:val="center"/>
              <w:rPr>
                <w:rFonts w:ascii="宋体" w:hAnsi="宋体" w:cs="宋体"/>
                <w:color w:val="auto"/>
                <w:kern w:val="0"/>
                <w:sz w:val="20"/>
                <w:szCs w:val="22"/>
                <w:lang w:eastAsia="en-US"/>
              </w:rPr>
            </w:pPr>
          </w:p>
        </w:tc>
      </w:tr>
      <w:tr w14:paraId="61974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2143" w:type="dxa"/>
            <w:shd w:val="clear" w:color="auto" w:fill="auto"/>
            <w:vAlign w:val="center"/>
          </w:tcPr>
          <w:p w14:paraId="64A67BEA">
            <w:pPr>
              <w:autoSpaceDE w:val="0"/>
              <w:autoSpaceDN w:val="0"/>
              <w:jc w:val="center"/>
              <w:rPr>
                <w:rFonts w:ascii="宋体" w:hAnsi="宋体" w:cs="宋体"/>
                <w:color w:val="auto"/>
                <w:kern w:val="0"/>
                <w:sz w:val="22"/>
                <w:szCs w:val="22"/>
              </w:rPr>
            </w:pPr>
            <w:r>
              <w:rPr>
                <w:rFonts w:hint="eastAsia" w:ascii="宋体" w:hAnsi="宋体" w:cs="宋体"/>
                <w:color w:val="auto"/>
                <w:kern w:val="0"/>
                <w:sz w:val="22"/>
                <w:szCs w:val="22"/>
              </w:rPr>
              <w:t>质量管理体系证书</w:t>
            </w:r>
          </w:p>
          <w:p w14:paraId="08FAD2AF">
            <w:pPr>
              <w:autoSpaceDE w:val="0"/>
              <w:autoSpaceDN w:val="0"/>
              <w:jc w:val="center"/>
              <w:rPr>
                <w:rFonts w:ascii="宋体" w:hAnsi="宋体" w:cs="宋体"/>
                <w:color w:val="auto"/>
                <w:kern w:val="0"/>
                <w:sz w:val="22"/>
                <w:szCs w:val="22"/>
              </w:rPr>
            </w:pPr>
            <w:r>
              <w:rPr>
                <w:rFonts w:hint="eastAsia" w:ascii="宋体" w:hAnsi="宋体" w:cs="宋体"/>
                <w:color w:val="auto"/>
                <w:kern w:val="0"/>
                <w:sz w:val="22"/>
                <w:szCs w:val="22"/>
              </w:rPr>
              <w:t>（如有）</w:t>
            </w:r>
          </w:p>
        </w:tc>
        <w:tc>
          <w:tcPr>
            <w:tcW w:w="7176" w:type="dxa"/>
            <w:gridSpan w:val="8"/>
            <w:shd w:val="clear" w:color="auto" w:fill="auto"/>
            <w:vAlign w:val="center"/>
          </w:tcPr>
          <w:p w14:paraId="0B03E683">
            <w:pPr>
              <w:autoSpaceDE w:val="0"/>
              <w:autoSpaceDN w:val="0"/>
              <w:jc w:val="center"/>
              <w:rPr>
                <w:rFonts w:ascii="宋体" w:hAnsi="宋体" w:cs="宋体"/>
                <w:color w:val="auto"/>
                <w:kern w:val="0"/>
                <w:sz w:val="25"/>
                <w:szCs w:val="22"/>
              </w:rPr>
            </w:pPr>
          </w:p>
          <w:p w14:paraId="2ABD2EEB">
            <w:pPr>
              <w:tabs>
                <w:tab w:val="left" w:pos="3790"/>
                <w:tab w:val="left" w:pos="5050"/>
              </w:tabs>
              <w:autoSpaceDE w:val="0"/>
              <w:autoSpaceDN w:val="0"/>
              <w:jc w:val="center"/>
              <w:rPr>
                <w:rFonts w:ascii="宋体" w:hAnsi="宋体" w:cs="宋体"/>
                <w:color w:val="auto"/>
                <w:kern w:val="0"/>
                <w:sz w:val="22"/>
                <w:szCs w:val="22"/>
              </w:rPr>
            </w:pPr>
            <w:r>
              <w:rPr>
                <w:rFonts w:hint="eastAsia" w:ascii="宋体" w:hAnsi="宋体" w:cs="宋体"/>
                <w:color w:val="auto"/>
                <w:kern w:val="0"/>
                <w:sz w:val="22"/>
                <w:szCs w:val="22"/>
              </w:rPr>
              <w:t xml:space="preserve">类型：                </w:t>
            </w:r>
            <w:r>
              <w:rPr>
                <w:rFonts w:hint="eastAsia" w:ascii="宋体" w:hAnsi="宋体" w:cs="宋体"/>
                <w:color w:val="auto"/>
                <w:spacing w:val="-3"/>
                <w:kern w:val="0"/>
                <w:sz w:val="22"/>
                <w:szCs w:val="22"/>
              </w:rPr>
              <w:t>等</w:t>
            </w:r>
            <w:r>
              <w:rPr>
                <w:rFonts w:hint="eastAsia" w:ascii="宋体" w:hAnsi="宋体" w:cs="宋体"/>
                <w:color w:val="auto"/>
                <w:kern w:val="0"/>
                <w:sz w:val="22"/>
                <w:szCs w:val="22"/>
              </w:rPr>
              <w:t>级：</w:t>
            </w:r>
            <w:r>
              <w:rPr>
                <w:rFonts w:hint="eastAsia" w:ascii="宋体" w:hAnsi="宋体" w:cs="宋体"/>
                <w:color w:val="auto"/>
                <w:kern w:val="0"/>
                <w:sz w:val="22"/>
                <w:szCs w:val="22"/>
              </w:rPr>
              <w:tab/>
            </w:r>
            <w:r>
              <w:rPr>
                <w:rFonts w:hint="eastAsia" w:ascii="宋体" w:hAnsi="宋体" w:cs="宋体"/>
                <w:color w:val="auto"/>
                <w:spacing w:val="-3"/>
                <w:kern w:val="0"/>
                <w:sz w:val="22"/>
                <w:szCs w:val="22"/>
              </w:rPr>
              <w:t>证</w:t>
            </w:r>
            <w:r>
              <w:rPr>
                <w:rFonts w:hint="eastAsia" w:ascii="宋体" w:hAnsi="宋体" w:cs="宋体"/>
                <w:color w:val="auto"/>
                <w:kern w:val="0"/>
                <w:sz w:val="22"/>
                <w:szCs w:val="22"/>
              </w:rPr>
              <w:t>书</w:t>
            </w:r>
            <w:r>
              <w:rPr>
                <w:rFonts w:hint="eastAsia" w:ascii="宋体" w:hAnsi="宋体" w:cs="宋体"/>
                <w:color w:val="auto"/>
                <w:spacing w:val="-3"/>
                <w:kern w:val="0"/>
                <w:sz w:val="22"/>
                <w:szCs w:val="22"/>
              </w:rPr>
              <w:t>号</w:t>
            </w:r>
            <w:r>
              <w:rPr>
                <w:rFonts w:hint="eastAsia" w:ascii="宋体" w:hAnsi="宋体" w:cs="宋体"/>
                <w:color w:val="auto"/>
                <w:kern w:val="0"/>
                <w:sz w:val="22"/>
                <w:szCs w:val="22"/>
              </w:rPr>
              <w:t>：</w:t>
            </w:r>
          </w:p>
        </w:tc>
      </w:tr>
      <w:tr w14:paraId="76D82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shd w:val="clear" w:color="auto" w:fill="auto"/>
            <w:vAlign w:val="center"/>
          </w:tcPr>
          <w:p w14:paraId="75041CB7">
            <w:pPr>
              <w:autoSpaceDE w:val="0"/>
              <w:autoSpaceDN w:val="0"/>
              <w:jc w:val="center"/>
              <w:rPr>
                <w:rFonts w:ascii="宋体" w:hAnsi="宋体" w:cs="宋体"/>
                <w:color w:val="auto"/>
                <w:kern w:val="0"/>
                <w:sz w:val="22"/>
                <w:szCs w:val="22"/>
                <w:lang w:eastAsia="en-US"/>
              </w:rPr>
            </w:pPr>
            <w:r>
              <w:rPr>
                <w:rFonts w:hint="eastAsia" w:ascii="宋体" w:hAnsi="宋体" w:cs="宋体"/>
                <w:color w:val="auto"/>
                <w:sz w:val="22"/>
                <w:szCs w:val="22"/>
              </w:rPr>
              <w:t>统一社会信用代码</w:t>
            </w:r>
          </w:p>
        </w:tc>
        <w:tc>
          <w:tcPr>
            <w:tcW w:w="3368" w:type="dxa"/>
            <w:gridSpan w:val="3"/>
            <w:shd w:val="clear" w:color="auto" w:fill="auto"/>
            <w:vAlign w:val="center"/>
          </w:tcPr>
          <w:p w14:paraId="420561AE">
            <w:pPr>
              <w:autoSpaceDE w:val="0"/>
              <w:autoSpaceDN w:val="0"/>
              <w:jc w:val="center"/>
              <w:rPr>
                <w:rFonts w:ascii="宋体" w:hAnsi="宋体" w:cs="宋体"/>
                <w:color w:val="auto"/>
                <w:kern w:val="0"/>
                <w:sz w:val="20"/>
                <w:szCs w:val="22"/>
                <w:lang w:eastAsia="en-US"/>
              </w:rPr>
            </w:pPr>
          </w:p>
        </w:tc>
        <w:tc>
          <w:tcPr>
            <w:tcW w:w="3808" w:type="dxa"/>
            <w:gridSpan w:val="5"/>
            <w:shd w:val="clear" w:color="auto" w:fill="auto"/>
            <w:vAlign w:val="center"/>
          </w:tcPr>
          <w:p w14:paraId="7D04AD23">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员工总人数：</w:t>
            </w:r>
          </w:p>
        </w:tc>
      </w:tr>
      <w:tr w14:paraId="7B556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shd w:val="clear" w:color="auto" w:fill="auto"/>
            <w:vAlign w:val="center"/>
          </w:tcPr>
          <w:p w14:paraId="544FFEBF">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注册资本</w:t>
            </w:r>
          </w:p>
        </w:tc>
        <w:tc>
          <w:tcPr>
            <w:tcW w:w="3368" w:type="dxa"/>
            <w:gridSpan w:val="3"/>
            <w:shd w:val="clear" w:color="auto" w:fill="auto"/>
            <w:vAlign w:val="center"/>
          </w:tcPr>
          <w:p w14:paraId="768744AB">
            <w:pPr>
              <w:autoSpaceDE w:val="0"/>
              <w:autoSpaceDN w:val="0"/>
              <w:jc w:val="center"/>
              <w:rPr>
                <w:rFonts w:ascii="宋体" w:hAnsi="宋体" w:cs="宋体"/>
                <w:color w:val="auto"/>
                <w:kern w:val="0"/>
                <w:sz w:val="20"/>
                <w:szCs w:val="22"/>
                <w:lang w:eastAsia="en-US"/>
              </w:rPr>
            </w:pPr>
          </w:p>
        </w:tc>
        <w:tc>
          <w:tcPr>
            <w:tcW w:w="434" w:type="dxa"/>
            <w:vMerge w:val="restart"/>
            <w:shd w:val="clear" w:color="auto" w:fill="auto"/>
            <w:vAlign w:val="center"/>
          </w:tcPr>
          <w:p w14:paraId="75CDC29B">
            <w:pPr>
              <w:autoSpaceDE w:val="0"/>
              <w:autoSpaceDN w:val="0"/>
              <w:spacing w:line="384" w:lineRule="auto"/>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其中</w:t>
            </w:r>
          </w:p>
        </w:tc>
        <w:tc>
          <w:tcPr>
            <w:tcW w:w="1781" w:type="dxa"/>
            <w:gridSpan w:val="2"/>
            <w:shd w:val="clear" w:color="auto" w:fill="auto"/>
            <w:vAlign w:val="center"/>
          </w:tcPr>
          <w:p w14:paraId="460A33FF">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高级职称人员</w:t>
            </w:r>
          </w:p>
        </w:tc>
        <w:tc>
          <w:tcPr>
            <w:tcW w:w="1593" w:type="dxa"/>
            <w:gridSpan w:val="2"/>
            <w:shd w:val="clear" w:color="auto" w:fill="auto"/>
            <w:vAlign w:val="center"/>
          </w:tcPr>
          <w:p w14:paraId="5C33FB88">
            <w:pPr>
              <w:autoSpaceDE w:val="0"/>
              <w:autoSpaceDN w:val="0"/>
              <w:jc w:val="center"/>
              <w:rPr>
                <w:rFonts w:ascii="宋体" w:hAnsi="宋体" w:cs="宋体"/>
                <w:color w:val="auto"/>
                <w:kern w:val="0"/>
                <w:sz w:val="20"/>
                <w:szCs w:val="22"/>
                <w:lang w:eastAsia="en-US"/>
              </w:rPr>
            </w:pPr>
          </w:p>
        </w:tc>
      </w:tr>
      <w:tr w14:paraId="2C184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shd w:val="clear" w:color="auto" w:fill="auto"/>
            <w:vAlign w:val="center"/>
          </w:tcPr>
          <w:p w14:paraId="75CBE0D6">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成立日期</w:t>
            </w:r>
          </w:p>
        </w:tc>
        <w:tc>
          <w:tcPr>
            <w:tcW w:w="3368" w:type="dxa"/>
            <w:gridSpan w:val="3"/>
            <w:shd w:val="clear" w:color="auto" w:fill="auto"/>
            <w:vAlign w:val="center"/>
          </w:tcPr>
          <w:p w14:paraId="1C2DCEE8">
            <w:pPr>
              <w:autoSpaceDE w:val="0"/>
              <w:autoSpaceDN w:val="0"/>
              <w:jc w:val="center"/>
              <w:rPr>
                <w:rFonts w:ascii="宋体" w:hAnsi="宋体" w:cs="宋体"/>
                <w:color w:val="auto"/>
                <w:kern w:val="0"/>
                <w:sz w:val="20"/>
                <w:szCs w:val="22"/>
                <w:lang w:eastAsia="en-US"/>
              </w:rPr>
            </w:pPr>
          </w:p>
        </w:tc>
        <w:tc>
          <w:tcPr>
            <w:tcW w:w="434" w:type="dxa"/>
            <w:vMerge w:val="continue"/>
            <w:tcBorders>
              <w:top w:val="nil"/>
            </w:tcBorders>
            <w:shd w:val="clear" w:color="auto" w:fill="auto"/>
            <w:vAlign w:val="center"/>
          </w:tcPr>
          <w:p w14:paraId="0AF09471">
            <w:pPr>
              <w:autoSpaceDE w:val="0"/>
              <w:autoSpaceDN w:val="0"/>
              <w:jc w:val="center"/>
              <w:rPr>
                <w:rFonts w:ascii="宋体" w:hAnsi="宋体" w:cs="宋体"/>
                <w:color w:val="auto"/>
                <w:kern w:val="0"/>
                <w:sz w:val="2"/>
                <w:szCs w:val="2"/>
                <w:lang w:eastAsia="en-US"/>
              </w:rPr>
            </w:pPr>
          </w:p>
        </w:tc>
        <w:tc>
          <w:tcPr>
            <w:tcW w:w="1781" w:type="dxa"/>
            <w:gridSpan w:val="2"/>
            <w:shd w:val="clear" w:color="auto" w:fill="auto"/>
            <w:vAlign w:val="center"/>
          </w:tcPr>
          <w:p w14:paraId="6D8932C7">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中级职称人员</w:t>
            </w:r>
          </w:p>
        </w:tc>
        <w:tc>
          <w:tcPr>
            <w:tcW w:w="1593" w:type="dxa"/>
            <w:gridSpan w:val="2"/>
            <w:shd w:val="clear" w:color="auto" w:fill="auto"/>
            <w:vAlign w:val="center"/>
          </w:tcPr>
          <w:p w14:paraId="31C3E0D7">
            <w:pPr>
              <w:autoSpaceDE w:val="0"/>
              <w:autoSpaceDN w:val="0"/>
              <w:jc w:val="center"/>
              <w:rPr>
                <w:rFonts w:ascii="宋体" w:hAnsi="宋体" w:cs="宋体"/>
                <w:color w:val="auto"/>
                <w:kern w:val="0"/>
                <w:sz w:val="20"/>
                <w:szCs w:val="22"/>
                <w:lang w:eastAsia="en-US"/>
              </w:rPr>
            </w:pPr>
          </w:p>
        </w:tc>
      </w:tr>
      <w:tr w14:paraId="5CD7B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shd w:val="clear" w:color="auto" w:fill="auto"/>
            <w:vAlign w:val="center"/>
          </w:tcPr>
          <w:p w14:paraId="119EB919">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基本账户开户银行</w:t>
            </w:r>
          </w:p>
        </w:tc>
        <w:tc>
          <w:tcPr>
            <w:tcW w:w="3368" w:type="dxa"/>
            <w:gridSpan w:val="3"/>
            <w:shd w:val="clear" w:color="auto" w:fill="auto"/>
            <w:vAlign w:val="center"/>
          </w:tcPr>
          <w:p w14:paraId="2B3E099D">
            <w:pPr>
              <w:autoSpaceDE w:val="0"/>
              <w:autoSpaceDN w:val="0"/>
              <w:jc w:val="center"/>
              <w:rPr>
                <w:rFonts w:ascii="宋体" w:hAnsi="宋体" w:cs="宋体"/>
                <w:color w:val="auto"/>
                <w:kern w:val="0"/>
                <w:sz w:val="20"/>
                <w:szCs w:val="22"/>
                <w:lang w:eastAsia="en-US"/>
              </w:rPr>
            </w:pPr>
          </w:p>
        </w:tc>
        <w:tc>
          <w:tcPr>
            <w:tcW w:w="434" w:type="dxa"/>
            <w:vMerge w:val="continue"/>
            <w:tcBorders>
              <w:top w:val="nil"/>
            </w:tcBorders>
            <w:shd w:val="clear" w:color="auto" w:fill="auto"/>
            <w:vAlign w:val="center"/>
          </w:tcPr>
          <w:p w14:paraId="19798CED">
            <w:pPr>
              <w:autoSpaceDE w:val="0"/>
              <w:autoSpaceDN w:val="0"/>
              <w:jc w:val="center"/>
              <w:rPr>
                <w:rFonts w:ascii="宋体" w:hAnsi="宋体" w:cs="宋体"/>
                <w:color w:val="auto"/>
                <w:kern w:val="0"/>
                <w:sz w:val="2"/>
                <w:szCs w:val="2"/>
                <w:lang w:eastAsia="en-US"/>
              </w:rPr>
            </w:pPr>
          </w:p>
        </w:tc>
        <w:tc>
          <w:tcPr>
            <w:tcW w:w="1781" w:type="dxa"/>
            <w:gridSpan w:val="2"/>
            <w:shd w:val="clear" w:color="auto" w:fill="auto"/>
            <w:vAlign w:val="center"/>
          </w:tcPr>
          <w:p w14:paraId="6966E632">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技术人员数量</w:t>
            </w:r>
          </w:p>
        </w:tc>
        <w:tc>
          <w:tcPr>
            <w:tcW w:w="1593" w:type="dxa"/>
            <w:gridSpan w:val="2"/>
            <w:shd w:val="clear" w:color="auto" w:fill="auto"/>
            <w:vAlign w:val="center"/>
          </w:tcPr>
          <w:p w14:paraId="0DD55719">
            <w:pPr>
              <w:autoSpaceDE w:val="0"/>
              <w:autoSpaceDN w:val="0"/>
              <w:jc w:val="center"/>
              <w:rPr>
                <w:rFonts w:ascii="宋体" w:hAnsi="宋体" w:cs="宋体"/>
                <w:color w:val="auto"/>
                <w:kern w:val="0"/>
                <w:sz w:val="20"/>
                <w:szCs w:val="22"/>
                <w:lang w:eastAsia="en-US"/>
              </w:rPr>
            </w:pPr>
          </w:p>
        </w:tc>
      </w:tr>
      <w:tr w14:paraId="3FF5C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shd w:val="clear" w:color="auto" w:fill="auto"/>
            <w:vAlign w:val="center"/>
          </w:tcPr>
          <w:p w14:paraId="4C2B8DEE">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基本账户银行账号</w:t>
            </w:r>
          </w:p>
        </w:tc>
        <w:tc>
          <w:tcPr>
            <w:tcW w:w="3368" w:type="dxa"/>
            <w:gridSpan w:val="3"/>
            <w:shd w:val="clear" w:color="auto" w:fill="auto"/>
            <w:vAlign w:val="center"/>
          </w:tcPr>
          <w:p w14:paraId="0646EC17">
            <w:pPr>
              <w:autoSpaceDE w:val="0"/>
              <w:autoSpaceDN w:val="0"/>
              <w:jc w:val="center"/>
              <w:rPr>
                <w:rFonts w:ascii="宋体" w:hAnsi="宋体" w:cs="宋体"/>
                <w:color w:val="auto"/>
                <w:kern w:val="0"/>
                <w:sz w:val="20"/>
                <w:szCs w:val="22"/>
                <w:lang w:eastAsia="en-US"/>
              </w:rPr>
            </w:pPr>
          </w:p>
        </w:tc>
        <w:tc>
          <w:tcPr>
            <w:tcW w:w="434" w:type="dxa"/>
            <w:vMerge w:val="continue"/>
            <w:tcBorders>
              <w:top w:val="nil"/>
            </w:tcBorders>
            <w:shd w:val="clear" w:color="auto" w:fill="auto"/>
            <w:vAlign w:val="center"/>
          </w:tcPr>
          <w:p w14:paraId="5A964BBE">
            <w:pPr>
              <w:autoSpaceDE w:val="0"/>
              <w:autoSpaceDN w:val="0"/>
              <w:jc w:val="center"/>
              <w:rPr>
                <w:rFonts w:ascii="宋体" w:hAnsi="宋体" w:cs="宋体"/>
                <w:color w:val="auto"/>
                <w:kern w:val="0"/>
                <w:sz w:val="2"/>
                <w:szCs w:val="2"/>
                <w:lang w:eastAsia="en-US"/>
              </w:rPr>
            </w:pPr>
          </w:p>
        </w:tc>
        <w:tc>
          <w:tcPr>
            <w:tcW w:w="1781" w:type="dxa"/>
            <w:gridSpan w:val="2"/>
            <w:shd w:val="clear" w:color="auto" w:fill="auto"/>
            <w:vAlign w:val="center"/>
          </w:tcPr>
          <w:p w14:paraId="7EABEB1A">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各类注册人员</w:t>
            </w:r>
          </w:p>
        </w:tc>
        <w:tc>
          <w:tcPr>
            <w:tcW w:w="1593" w:type="dxa"/>
            <w:gridSpan w:val="2"/>
            <w:shd w:val="clear" w:color="auto" w:fill="auto"/>
            <w:vAlign w:val="center"/>
          </w:tcPr>
          <w:p w14:paraId="1B55C7CF">
            <w:pPr>
              <w:autoSpaceDE w:val="0"/>
              <w:autoSpaceDN w:val="0"/>
              <w:jc w:val="center"/>
              <w:rPr>
                <w:rFonts w:ascii="宋体" w:hAnsi="宋体" w:cs="宋体"/>
                <w:color w:val="auto"/>
                <w:kern w:val="0"/>
                <w:sz w:val="20"/>
                <w:szCs w:val="22"/>
                <w:lang w:eastAsia="en-US"/>
              </w:rPr>
            </w:pPr>
          </w:p>
        </w:tc>
      </w:tr>
      <w:tr w14:paraId="22691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3" w:hRule="atLeast"/>
        </w:trPr>
        <w:tc>
          <w:tcPr>
            <w:tcW w:w="2143" w:type="dxa"/>
            <w:shd w:val="clear" w:color="auto" w:fill="auto"/>
            <w:vAlign w:val="center"/>
          </w:tcPr>
          <w:p w14:paraId="62784810">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经营范围</w:t>
            </w:r>
          </w:p>
        </w:tc>
        <w:tc>
          <w:tcPr>
            <w:tcW w:w="7176" w:type="dxa"/>
            <w:gridSpan w:val="8"/>
            <w:shd w:val="clear" w:color="auto" w:fill="auto"/>
            <w:vAlign w:val="center"/>
          </w:tcPr>
          <w:p w14:paraId="565D5970">
            <w:pPr>
              <w:autoSpaceDE w:val="0"/>
              <w:autoSpaceDN w:val="0"/>
              <w:jc w:val="center"/>
              <w:rPr>
                <w:rFonts w:ascii="宋体" w:hAnsi="宋体" w:cs="宋体"/>
                <w:color w:val="auto"/>
                <w:kern w:val="0"/>
                <w:sz w:val="20"/>
                <w:szCs w:val="22"/>
                <w:lang w:eastAsia="en-US"/>
              </w:rPr>
            </w:pPr>
          </w:p>
        </w:tc>
      </w:tr>
      <w:tr w14:paraId="734A7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4" w:hRule="atLeast"/>
        </w:trPr>
        <w:tc>
          <w:tcPr>
            <w:tcW w:w="2143" w:type="dxa"/>
            <w:shd w:val="clear" w:color="auto" w:fill="auto"/>
            <w:vAlign w:val="center"/>
          </w:tcPr>
          <w:p w14:paraId="005F07FF">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备注</w:t>
            </w:r>
          </w:p>
        </w:tc>
        <w:tc>
          <w:tcPr>
            <w:tcW w:w="7176" w:type="dxa"/>
            <w:gridSpan w:val="8"/>
            <w:shd w:val="clear" w:color="auto" w:fill="auto"/>
            <w:vAlign w:val="center"/>
          </w:tcPr>
          <w:p w14:paraId="3827BE04">
            <w:pPr>
              <w:autoSpaceDE w:val="0"/>
              <w:autoSpaceDN w:val="0"/>
              <w:jc w:val="center"/>
              <w:rPr>
                <w:rFonts w:ascii="宋体" w:hAnsi="宋体" w:cs="宋体"/>
                <w:color w:val="auto"/>
                <w:kern w:val="0"/>
                <w:sz w:val="20"/>
                <w:szCs w:val="22"/>
                <w:lang w:eastAsia="en-US"/>
              </w:rPr>
            </w:pPr>
          </w:p>
        </w:tc>
      </w:tr>
    </w:tbl>
    <w:p w14:paraId="3C967BD8">
      <w:pPr>
        <w:spacing w:line="360" w:lineRule="auto"/>
        <w:jc w:val="center"/>
        <w:rPr>
          <w:rFonts w:ascii="宋体" w:hAnsi="宋体" w:cs="宋体"/>
          <w:color w:val="auto"/>
          <w:szCs w:val="21"/>
        </w:rPr>
      </w:pPr>
    </w:p>
    <w:p w14:paraId="2C3BA587">
      <w:pPr>
        <w:widowControl/>
        <w:jc w:val="left"/>
        <w:rPr>
          <w:rFonts w:ascii="宋体" w:hAnsi="宋体" w:cs="宋体"/>
          <w:color w:val="auto"/>
          <w:szCs w:val="21"/>
        </w:rPr>
      </w:pPr>
      <w:r>
        <w:rPr>
          <w:rFonts w:hint="eastAsia" w:ascii="宋体" w:hAnsi="宋体" w:cs="宋体"/>
          <w:color w:val="auto"/>
          <w:szCs w:val="21"/>
        </w:rPr>
        <w:br w:type="page"/>
      </w:r>
    </w:p>
    <w:p w14:paraId="061565E4">
      <w:pPr>
        <w:pStyle w:val="3"/>
        <w:jc w:val="center"/>
        <w:outlineLvl w:val="0"/>
        <w:rPr>
          <w:rFonts w:ascii="宋体" w:hAnsi="宋体" w:eastAsia="宋体" w:cs="宋体"/>
          <w:color w:val="auto"/>
        </w:rPr>
      </w:pPr>
      <w:bookmarkStart w:id="646" w:name="_Toc16537"/>
      <w:bookmarkStart w:id="647" w:name="_Toc4508"/>
      <w:bookmarkStart w:id="648" w:name="_Toc21090"/>
      <w:bookmarkStart w:id="649" w:name="_Toc509218863"/>
      <w:bookmarkStart w:id="650" w:name="_Toc57820661"/>
      <w:bookmarkStart w:id="651" w:name="_Toc534185840"/>
      <w:r>
        <w:rPr>
          <w:rFonts w:hint="eastAsia" w:ascii="宋体" w:hAnsi="宋体" w:eastAsia="宋体" w:cs="宋体"/>
          <w:color w:val="auto"/>
          <w:szCs w:val="22"/>
          <w:lang w:val="en-US" w:eastAsia="zh-CN"/>
        </w:rPr>
        <w:t>五</w:t>
      </w:r>
      <w:r>
        <w:rPr>
          <w:rFonts w:hint="eastAsia" w:ascii="宋体" w:hAnsi="宋体" w:eastAsia="宋体" w:cs="宋体"/>
          <w:color w:val="auto"/>
          <w:szCs w:val="22"/>
        </w:rPr>
        <w:t>、类似业绩情况表</w:t>
      </w:r>
      <w:bookmarkEnd w:id="646"/>
      <w:bookmarkEnd w:id="647"/>
      <w:bookmarkEnd w:id="648"/>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7007"/>
      </w:tblGrid>
      <w:tr w14:paraId="441F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outset" w:color="auto" w:sz="6" w:space="0"/>
              <w:left w:val="outset" w:color="auto" w:sz="6" w:space="0"/>
              <w:bottom w:val="outset" w:color="auto" w:sz="6" w:space="0"/>
              <w:right w:val="outset" w:color="auto" w:sz="6" w:space="0"/>
            </w:tcBorders>
            <w:vAlign w:val="center"/>
          </w:tcPr>
          <w:p w14:paraId="479C7C4D">
            <w:pPr>
              <w:spacing w:line="360" w:lineRule="auto"/>
              <w:jc w:val="center"/>
              <w:rPr>
                <w:rFonts w:ascii="宋体" w:hAnsi="宋体" w:cs="宋体"/>
                <w:color w:val="auto"/>
                <w:szCs w:val="21"/>
              </w:rPr>
            </w:pPr>
            <w:r>
              <w:rPr>
                <w:rFonts w:hint="eastAsia" w:ascii="宋体" w:hAnsi="宋体" w:cs="宋体"/>
                <w:color w:val="auto"/>
                <w:szCs w:val="21"/>
              </w:rPr>
              <w:t>项目名称</w:t>
            </w:r>
          </w:p>
        </w:tc>
        <w:tc>
          <w:tcPr>
            <w:tcW w:w="7007" w:type="dxa"/>
            <w:tcBorders>
              <w:top w:val="outset" w:color="auto" w:sz="6" w:space="0"/>
              <w:left w:val="outset" w:color="auto" w:sz="6" w:space="0"/>
              <w:bottom w:val="outset" w:color="auto" w:sz="6" w:space="0"/>
              <w:right w:val="outset" w:color="auto" w:sz="6" w:space="0"/>
            </w:tcBorders>
            <w:vAlign w:val="center"/>
          </w:tcPr>
          <w:p w14:paraId="230607C8">
            <w:pPr>
              <w:spacing w:line="360" w:lineRule="auto"/>
              <w:ind w:firstLine="420" w:firstLineChars="200"/>
              <w:jc w:val="center"/>
              <w:rPr>
                <w:rFonts w:ascii="宋体" w:hAnsi="宋体" w:cs="宋体"/>
                <w:color w:val="auto"/>
                <w:szCs w:val="21"/>
              </w:rPr>
            </w:pPr>
          </w:p>
        </w:tc>
      </w:tr>
      <w:tr w14:paraId="0FC8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outset" w:color="auto" w:sz="6" w:space="0"/>
              <w:left w:val="outset" w:color="auto" w:sz="6" w:space="0"/>
              <w:bottom w:val="outset" w:color="auto" w:sz="6" w:space="0"/>
              <w:right w:val="outset" w:color="auto" w:sz="6" w:space="0"/>
            </w:tcBorders>
            <w:vAlign w:val="center"/>
          </w:tcPr>
          <w:p w14:paraId="20AD9CAA">
            <w:pPr>
              <w:spacing w:line="360" w:lineRule="auto"/>
              <w:jc w:val="center"/>
              <w:rPr>
                <w:rFonts w:ascii="宋体" w:hAnsi="宋体" w:cs="宋体"/>
                <w:color w:val="auto"/>
                <w:szCs w:val="21"/>
              </w:rPr>
            </w:pPr>
            <w:r>
              <w:rPr>
                <w:rFonts w:hint="eastAsia" w:ascii="宋体" w:hAnsi="宋体" w:cs="宋体"/>
                <w:color w:val="auto"/>
                <w:szCs w:val="21"/>
              </w:rPr>
              <w:t>发包人名称</w:t>
            </w:r>
          </w:p>
        </w:tc>
        <w:tc>
          <w:tcPr>
            <w:tcW w:w="7007" w:type="dxa"/>
            <w:tcBorders>
              <w:top w:val="outset" w:color="auto" w:sz="6" w:space="0"/>
              <w:left w:val="outset" w:color="auto" w:sz="6" w:space="0"/>
              <w:bottom w:val="outset" w:color="auto" w:sz="6" w:space="0"/>
              <w:right w:val="outset" w:color="auto" w:sz="6" w:space="0"/>
            </w:tcBorders>
            <w:vAlign w:val="center"/>
          </w:tcPr>
          <w:p w14:paraId="69547C30">
            <w:pPr>
              <w:spacing w:line="360" w:lineRule="auto"/>
              <w:ind w:firstLine="420" w:firstLineChars="200"/>
              <w:jc w:val="center"/>
              <w:rPr>
                <w:rFonts w:ascii="宋体" w:hAnsi="宋体" w:cs="宋体"/>
                <w:color w:val="auto"/>
                <w:szCs w:val="21"/>
              </w:rPr>
            </w:pPr>
          </w:p>
        </w:tc>
      </w:tr>
      <w:tr w14:paraId="2674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outset" w:color="auto" w:sz="6" w:space="0"/>
              <w:left w:val="outset" w:color="auto" w:sz="6" w:space="0"/>
              <w:bottom w:val="outset" w:color="auto" w:sz="6" w:space="0"/>
              <w:right w:val="outset" w:color="auto" w:sz="6" w:space="0"/>
            </w:tcBorders>
            <w:vAlign w:val="center"/>
          </w:tcPr>
          <w:p w14:paraId="70B55B8C">
            <w:pPr>
              <w:spacing w:line="360" w:lineRule="auto"/>
              <w:jc w:val="center"/>
              <w:rPr>
                <w:rFonts w:ascii="宋体" w:hAnsi="宋体" w:cs="宋体"/>
                <w:color w:val="auto"/>
                <w:szCs w:val="21"/>
              </w:rPr>
            </w:pPr>
            <w:r>
              <w:rPr>
                <w:rFonts w:hint="eastAsia" w:ascii="宋体" w:hAnsi="宋体" w:cs="宋体"/>
                <w:color w:val="auto"/>
                <w:szCs w:val="21"/>
              </w:rPr>
              <w:t>发包人地址</w:t>
            </w:r>
          </w:p>
        </w:tc>
        <w:tc>
          <w:tcPr>
            <w:tcW w:w="7007" w:type="dxa"/>
            <w:tcBorders>
              <w:top w:val="outset" w:color="auto" w:sz="6" w:space="0"/>
              <w:left w:val="outset" w:color="auto" w:sz="6" w:space="0"/>
              <w:bottom w:val="outset" w:color="auto" w:sz="6" w:space="0"/>
              <w:right w:val="outset" w:color="auto" w:sz="6" w:space="0"/>
            </w:tcBorders>
            <w:vAlign w:val="center"/>
          </w:tcPr>
          <w:p w14:paraId="0F0EFC5C">
            <w:pPr>
              <w:spacing w:line="360" w:lineRule="auto"/>
              <w:ind w:firstLine="420" w:firstLineChars="200"/>
              <w:jc w:val="center"/>
              <w:rPr>
                <w:rFonts w:ascii="宋体" w:hAnsi="宋体" w:cs="宋体"/>
                <w:color w:val="auto"/>
                <w:szCs w:val="21"/>
              </w:rPr>
            </w:pPr>
          </w:p>
        </w:tc>
      </w:tr>
      <w:tr w14:paraId="5E26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outset" w:color="auto" w:sz="6" w:space="0"/>
              <w:left w:val="outset" w:color="auto" w:sz="6" w:space="0"/>
              <w:bottom w:val="outset" w:color="auto" w:sz="6" w:space="0"/>
              <w:right w:val="outset" w:color="auto" w:sz="6" w:space="0"/>
            </w:tcBorders>
            <w:vAlign w:val="center"/>
          </w:tcPr>
          <w:p w14:paraId="7CEFED30">
            <w:pPr>
              <w:spacing w:line="360" w:lineRule="auto"/>
              <w:jc w:val="center"/>
              <w:rPr>
                <w:rFonts w:ascii="宋体" w:hAnsi="宋体" w:cs="宋体"/>
                <w:color w:val="auto"/>
                <w:szCs w:val="21"/>
              </w:rPr>
            </w:pPr>
            <w:r>
              <w:rPr>
                <w:rFonts w:hint="eastAsia" w:ascii="宋体" w:hAnsi="宋体" w:cs="宋体"/>
                <w:color w:val="auto"/>
                <w:szCs w:val="21"/>
              </w:rPr>
              <w:t>发包人电话</w:t>
            </w:r>
          </w:p>
        </w:tc>
        <w:tc>
          <w:tcPr>
            <w:tcW w:w="7007" w:type="dxa"/>
            <w:tcBorders>
              <w:top w:val="outset" w:color="auto" w:sz="6" w:space="0"/>
              <w:left w:val="outset" w:color="auto" w:sz="6" w:space="0"/>
              <w:bottom w:val="outset" w:color="auto" w:sz="6" w:space="0"/>
              <w:right w:val="outset" w:color="auto" w:sz="6" w:space="0"/>
            </w:tcBorders>
            <w:vAlign w:val="center"/>
          </w:tcPr>
          <w:p w14:paraId="2D456C26">
            <w:pPr>
              <w:spacing w:line="360" w:lineRule="auto"/>
              <w:ind w:firstLine="420" w:firstLineChars="200"/>
              <w:jc w:val="center"/>
              <w:rPr>
                <w:rFonts w:ascii="宋体" w:hAnsi="宋体" w:cs="宋体"/>
                <w:color w:val="auto"/>
                <w:szCs w:val="21"/>
              </w:rPr>
            </w:pPr>
          </w:p>
        </w:tc>
      </w:tr>
      <w:tr w14:paraId="6B80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outset" w:color="auto" w:sz="6" w:space="0"/>
              <w:left w:val="outset" w:color="auto" w:sz="6" w:space="0"/>
              <w:bottom w:val="outset" w:color="auto" w:sz="6" w:space="0"/>
              <w:right w:val="outset" w:color="auto" w:sz="6" w:space="0"/>
            </w:tcBorders>
            <w:vAlign w:val="center"/>
          </w:tcPr>
          <w:p w14:paraId="3B98FEF4">
            <w:pPr>
              <w:spacing w:line="360" w:lineRule="auto"/>
              <w:jc w:val="center"/>
              <w:rPr>
                <w:rFonts w:ascii="宋体" w:hAnsi="宋体" w:cs="宋体"/>
                <w:color w:val="auto"/>
                <w:szCs w:val="21"/>
              </w:rPr>
            </w:pPr>
            <w:r>
              <w:rPr>
                <w:rFonts w:hint="eastAsia" w:ascii="宋体" w:hAnsi="宋体" w:cs="宋体"/>
                <w:color w:val="auto"/>
                <w:szCs w:val="21"/>
              </w:rPr>
              <w:t>合同价格（如有）</w:t>
            </w:r>
          </w:p>
        </w:tc>
        <w:tc>
          <w:tcPr>
            <w:tcW w:w="7007" w:type="dxa"/>
            <w:tcBorders>
              <w:top w:val="outset" w:color="auto" w:sz="6" w:space="0"/>
              <w:left w:val="outset" w:color="auto" w:sz="6" w:space="0"/>
              <w:bottom w:val="outset" w:color="auto" w:sz="6" w:space="0"/>
              <w:right w:val="outset" w:color="auto" w:sz="6" w:space="0"/>
            </w:tcBorders>
            <w:vAlign w:val="center"/>
          </w:tcPr>
          <w:p w14:paraId="5F1AE7F4">
            <w:pPr>
              <w:spacing w:line="360" w:lineRule="auto"/>
              <w:ind w:firstLine="420" w:firstLineChars="200"/>
              <w:jc w:val="center"/>
              <w:rPr>
                <w:rFonts w:ascii="宋体" w:hAnsi="宋体" w:cs="宋体"/>
                <w:color w:val="auto"/>
                <w:szCs w:val="21"/>
              </w:rPr>
            </w:pPr>
          </w:p>
        </w:tc>
      </w:tr>
      <w:tr w14:paraId="7B66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outset" w:color="auto" w:sz="6" w:space="0"/>
              <w:left w:val="outset" w:color="auto" w:sz="6" w:space="0"/>
              <w:bottom w:val="outset" w:color="auto" w:sz="6" w:space="0"/>
              <w:right w:val="outset" w:color="auto" w:sz="6" w:space="0"/>
            </w:tcBorders>
            <w:vAlign w:val="center"/>
          </w:tcPr>
          <w:p w14:paraId="04B86540">
            <w:pPr>
              <w:spacing w:line="360" w:lineRule="auto"/>
              <w:jc w:val="center"/>
              <w:rPr>
                <w:rFonts w:ascii="宋体" w:hAnsi="宋体" w:cs="宋体"/>
                <w:color w:val="auto"/>
                <w:szCs w:val="21"/>
              </w:rPr>
            </w:pPr>
            <w:r>
              <w:rPr>
                <w:rFonts w:hint="eastAsia" w:ascii="宋体" w:hAnsi="宋体" w:cs="宋体"/>
                <w:color w:val="auto"/>
                <w:szCs w:val="21"/>
              </w:rPr>
              <w:t>合同期限</w:t>
            </w:r>
          </w:p>
        </w:tc>
        <w:tc>
          <w:tcPr>
            <w:tcW w:w="7007" w:type="dxa"/>
            <w:tcBorders>
              <w:top w:val="outset" w:color="auto" w:sz="6" w:space="0"/>
              <w:left w:val="outset" w:color="auto" w:sz="6" w:space="0"/>
              <w:bottom w:val="outset" w:color="auto" w:sz="6" w:space="0"/>
              <w:right w:val="outset" w:color="auto" w:sz="6" w:space="0"/>
            </w:tcBorders>
            <w:vAlign w:val="center"/>
          </w:tcPr>
          <w:p w14:paraId="44EC1A52">
            <w:pPr>
              <w:spacing w:line="360" w:lineRule="auto"/>
              <w:ind w:firstLine="420" w:firstLineChars="200"/>
              <w:jc w:val="center"/>
              <w:rPr>
                <w:rFonts w:ascii="宋体" w:hAnsi="宋体" w:cs="宋体"/>
                <w:color w:val="auto"/>
                <w:szCs w:val="21"/>
              </w:rPr>
            </w:pPr>
          </w:p>
        </w:tc>
      </w:tr>
      <w:tr w14:paraId="6631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207" w:type="dxa"/>
            <w:tcBorders>
              <w:top w:val="outset" w:color="auto" w:sz="6" w:space="0"/>
              <w:left w:val="outset" w:color="auto" w:sz="6" w:space="0"/>
              <w:bottom w:val="outset" w:color="auto" w:sz="6" w:space="0"/>
              <w:right w:val="outset" w:color="auto" w:sz="6" w:space="0"/>
            </w:tcBorders>
            <w:vAlign w:val="center"/>
          </w:tcPr>
          <w:p w14:paraId="757EDA3F">
            <w:pPr>
              <w:spacing w:line="360" w:lineRule="auto"/>
              <w:jc w:val="center"/>
              <w:rPr>
                <w:rFonts w:ascii="宋体" w:hAnsi="宋体" w:cs="宋体"/>
                <w:color w:val="auto"/>
                <w:szCs w:val="21"/>
              </w:rPr>
            </w:pPr>
            <w:r>
              <w:rPr>
                <w:rFonts w:hint="eastAsia" w:ascii="宋体" w:hAnsi="宋体" w:cs="宋体"/>
                <w:color w:val="auto"/>
                <w:szCs w:val="21"/>
              </w:rPr>
              <w:t>承担的工作</w:t>
            </w:r>
          </w:p>
        </w:tc>
        <w:tc>
          <w:tcPr>
            <w:tcW w:w="7007" w:type="dxa"/>
            <w:tcBorders>
              <w:top w:val="outset" w:color="auto" w:sz="6" w:space="0"/>
              <w:left w:val="outset" w:color="auto" w:sz="6" w:space="0"/>
              <w:bottom w:val="outset" w:color="auto" w:sz="6" w:space="0"/>
              <w:right w:val="outset" w:color="auto" w:sz="6" w:space="0"/>
            </w:tcBorders>
            <w:vAlign w:val="center"/>
          </w:tcPr>
          <w:p w14:paraId="17BA1FFB">
            <w:pPr>
              <w:spacing w:line="360" w:lineRule="auto"/>
              <w:ind w:firstLine="420" w:firstLineChars="200"/>
              <w:jc w:val="center"/>
              <w:rPr>
                <w:rFonts w:ascii="宋体" w:hAnsi="宋体" w:cs="宋体"/>
                <w:color w:val="auto"/>
                <w:szCs w:val="21"/>
              </w:rPr>
            </w:pPr>
          </w:p>
        </w:tc>
      </w:tr>
      <w:tr w14:paraId="4525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7" w:hRule="atLeast"/>
          <w:jc w:val="center"/>
        </w:trPr>
        <w:tc>
          <w:tcPr>
            <w:tcW w:w="2207" w:type="dxa"/>
            <w:tcBorders>
              <w:top w:val="outset" w:color="auto" w:sz="6" w:space="0"/>
              <w:left w:val="outset" w:color="auto" w:sz="6" w:space="0"/>
              <w:bottom w:val="outset" w:color="auto" w:sz="6" w:space="0"/>
              <w:right w:val="outset" w:color="auto" w:sz="6" w:space="0"/>
            </w:tcBorders>
            <w:vAlign w:val="center"/>
          </w:tcPr>
          <w:p w14:paraId="6CEBE485">
            <w:pPr>
              <w:spacing w:line="360" w:lineRule="auto"/>
              <w:jc w:val="center"/>
              <w:rPr>
                <w:rFonts w:ascii="宋体" w:hAnsi="宋体" w:cs="宋体"/>
                <w:color w:val="auto"/>
                <w:szCs w:val="21"/>
              </w:rPr>
            </w:pPr>
            <w:r>
              <w:rPr>
                <w:rFonts w:hint="eastAsia" w:ascii="宋体" w:hAnsi="宋体" w:cs="宋体"/>
                <w:color w:val="auto"/>
                <w:szCs w:val="21"/>
              </w:rPr>
              <w:t>项目描述</w:t>
            </w:r>
          </w:p>
        </w:tc>
        <w:tc>
          <w:tcPr>
            <w:tcW w:w="7007" w:type="dxa"/>
            <w:tcBorders>
              <w:top w:val="outset" w:color="auto" w:sz="6" w:space="0"/>
              <w:left w:val="outset" w:color="auto" w:sz="6" w:space="0"/>
              <w:bottom w:val="outset" w:color="auto" w:sz="6" w:space="0"/>
              <w:right w:val="outset" w:color="auto" w:sz="6" w:space="0"/>
            </w:tcBorders>
            <w:vAlign w:val="center"/>
          </w:tcPr>
          <w:p w14:paraId="7E633FA6">
            <w:pPr>
              <w:spacing w:line="360" w:lineRule="auto"/>
              <w:ind w:firstLine="420" w:firstLineChars="200"/>
              <w:jc w:val="center"/>
              <w:rPr>
                <w:rFonts w:ascii="宋体" w:hAnsi="宋体" w:cs="宋体"/>
                <w:color w:val="auto"/>
                <w:szCs w:val="21"/>
              </w:rPr>
            </w:pPr>
          </w:p>
        </w:tc>
      </w:tr>
      <w:tr w14:paraId="78644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2207" w:type="dxa"/>
            <w:tcBorders>
              <w:top w:val="outset" w:color="auto" w:sz="6" w:space="0"/>
              <w:left w:val="outset" w:color="auto" w:sz="6" w:space="0"/>
              <w:bottom w:val="outset" w:color="auto" w:sz="6" w:space="0"/>
              <w:right w:val="outset" w:color="auto" w:sz="6" w:space="0"/>
            </w:tcBorders>
            <w:vAlign w:val="center"/>
          </w:tcPr>
          <w:p w14:paraId="1852E006">
            <w:pPr>
              <w:spacing w:line="360" w:lineRule="auto"/>
              <w:jc w:val="center"/>
              <w:rPr>
                <w:rFonts w:ascii="宋体" w:hAnsi="宋体" w:cs="宋体"/>
                <w:color w:val="auto"/>
                <w:szCs w:val="21"/>
              </w:rPr>
            </w:pPr>
            <w:r>
              <w:rPr>
                <w:rFonts w:hint="eastAsia" w:ascii="宋体" w:hAnsi="宋体" w:cs="宋体"/>
                <w:color w:val="auto"/>
                <w:szCs w:val="21"/>
              </w:rPr>
              <w:t>备注</w:t>
            </w:r>
          </w:p>
        </w:tc>
        <w:tc>
          <w:tcPr>
            <w:tcW w:w="7007" w:type="dxa"/>
            <w:tcBorders>
              <w:top w:val="outset" w:color="auto" w:sz="6" w:space="0"/>
              <w:left w:val="outset" w:color="auto" w:sz="6" w:space="0"/>
              <w:bottom w:val="outset" w:color="auto" w:sz="6" w:space="0"/>
              <w:right w:val="outset" w:color="auto" w:sz="6" w:space="0"/>
            </w:tcBorders>
            <w:vAlign w:val="center"/>
          </w:tcPr>
          <w:p w14:paraId="0F37EAF5">
            <w:pPr>
              <w:spacing w:line="360" w:lineRule="auto"/>
              <w:ind w:firstLine="420" w:firstLineChars="200"/>
              <w:jc w:val="center"/>
              <w:rPr>
                <w:rFonts w:ascii="宋体" w:hAnsi="宋体" w:cs="宋体"/>
                <w:color w:val="auto"/>
                <w:szCs w:val="21"/>
              </w:rPr>
            </w:pPr>
          </w:p>
        </w:tc>
      </w:tr>
    </w:tbl>
    <w:p w14:paraId="093793ED">
      <w:pPr>
        <w:rPr>
          <w:rFonts w:ascii="宋体" w:hAnsi="宋体" w:cs="宋体"/>
          <w:color w:val="auto"/>
        </w:rPr>
      </w:pPr>
    </w:p>
    <w:p w14:paraId="3CD7E5BE">
      <w:pPr>
        <w:widowControl/>
        <w:jc w:val="left"/>
        <w:rPr>
          <w:rFonts w:ascii="宋体" w:hAnsi="宋体" w:cs="宋体"/>
          <w:b/>
          <w:color w:val="auto"/>
          <w:spacing w:val="1"/>
          <w:w w:val="99"/>
          <w:sz w:val="28"/>
          <w:szCs w:val="22"/>
        </w:rPr>
      </w:pPr>
      <w:r>
        <w:rPr>
          <w:rFonts w:hint="eastAsia" w:ascii="宋体" w:hAnsi="宋体" w:cs="宋体"/>
          <w:color w:val="auto"/>
          <w:szCs w:val="22"/>
        </w:rPr>
        <w:br w:type="page"/>
      </w:r>
    </w:p>
    <w:bookmarkEnd w:id="644"/>
    <w:bookmarkEnd w:id="645"/>
    <w:bookmarkEnd w:id="649"/>
    <w:bookmarkEnd w:id="650"/>
    <w:bookmarkEnd w:id="651"/>
    <w:p w14:paraId="785238B7">
      <w:pPr>
        <w:pStyle w:val="3"/>
        <w:jc w:val="center"/>
        <w:outlineLvl w:val="0"/>
        <w:rPr>
          <w:rFonts w:ascii="宋体" w:hAnsi="宋体" w:eastAsia="宋体" w:cs="宋体"/>
          <w:color w:val="auto"/>
          <w:szCs w:val="22"/>
        </w:rPr>
      </w:pPr>
      <w:bookmarkStart w:id="652" w:name="_Toc30322"/>
      <w:bookmarkStart w:id="653" w:name="_Toc9368"/>
      <w:bookmarkStart w:id="654" w:name="_Toc20230"/>
      <w:bookmarkStart w:id="655" w:name="_Toc8568"/>
      <w:r>
        <w:rPr>
          <w:rFonts w:hint="eastAsia" w:ascii="宋体" w:hAnsi="宋体" w:eastAsia="宋体" w:cs="宋体"/>
          <w:color w:val="auto"/>
          <w:szCs w:val="22"/>
          <w:lang w:val="en-US" w:eastAsia="zh-CN"/>
        </w:rPr>
        <w:t>六</w:t>
      </w:r>
      <w:r>
        <w:rPr>
          <w:rFonts w:hint="eastAsia" w:ascii="宋体" w:hAnsi="宋体" w:eastAsia="宋体" w:cs="宋体"/>
          <w:color w:val="auto"/>
          <w:szCs w:val="22"/>
        </w:rPr>
        <w:t>、</w:t>
      </w:r>
      <w:bookmarkEnd w:id="652"/>
      <w:r>
        <w:rPr>
          <w:rFonts w:hint="eastAsia" w:ascii="宋体" w:hAnsi="宋体" w:eastAsia="宋体" w:cs="宋体"/>
          <w:color w:val="auto"/>
          <w:szCs w:val="22"/>
        </w:rPr>
        <w:t>承诺</w:t>
      </w:r>
      <w:bookmarkEnd w:id="653"/>
      <w:bookmarkEnd w:id="654"/>
      <w:bookmarkEnd w:id="655"/>
    </w:p>
    <w:p w14:paraId="7CD568F4">
      <w:pPr>
        <w:snapToGrid w:val="0"/>
        <w:spacing w:line="500" w:lineRule="exact"/>
        <w:rPr>
          <w:rFonts w:ascii="宋体" w:hAnsi="宋体" w:cs="宋体"/>
          <w:color w:val="auto"/>
          <w:szCs w:val="21"/>
          <w:u w:val="single"/>
        </w:rPr>
      </w:pPr>
      <w:r>
        <w:rPr>
          <w:rFonts w:hint="eastAsia" w:ascii="宋体" w:hAnsi="宋体" w:cs="宋体"/>
          <w:color w:val="auto"/>
          <w:szCs w:val="21"/>
          <w:u w:val="single"/>
        </w:rPr>
        <w:t xml:space="preserve">                 （比选人名称）</w:t>
      </w:r>
      <w:r>
        <w:rPr>
          <w:rFonts w:hint="eastAsia" w:ascii="宋体" w:hAnsi="宋体" w:cs="宋体"/>
          <w:color w:val="auto"/>
          <w:szCs w:val="21"/>
        </w:rPr>
        <w:t>：</w:t>
      </w:r>
    </w:p>
    <w:p w14:paraId="138EA585">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我公司</w:t>
      </w:r>
      <w:r>
        <w:rPr>
          <w:rFonts w:hint="eastAsia" w:ascii="宋体" w:hAnsi="宋体" w:cs="宋体"/>
          <w:color w:val="auto"/>
          <w:szCs w:val="21"/>
          <w:u w:val="single"/>
        </w:rPr>
        <w:t xml:space="preserve">        （竞选人名称）</w:t>
      </w:r>
      <w:r>
        <w:rPr>
          <w:rFonts w:hint="eastAsia" w:ascii="宋体" w:hAnsi="宋体" w:cs="宋体"/>
          <w:color w:val="auto"/>
          <w:szCs w:val="21"/>
        </w:rPr>
        <w:t>参加了贵单位</w:t>
      </w:r>
      <w:r>
        <w:rPr>
          <w:rFonts w:hint="eastAsia" w:ascii="宋体" w:hAnsi="宋体" w:cs="宋体"/>
          <w:color w:val="auto"/>
          <w:szCs w:val="21"/>
          <w:u w:val="single"/>
        </w:rPr>
        <w:t xml:space="preserve">        （项目名称）</w:t>
      </w:r>
      <w:r>
        <w:rPr>
          <w:rFonts w:hint="eastAsia" w:ascii="宋体" w:hAnsi="宋体" w:cs="宋体"/>
          <w:color w:val="auto"/>
          <w:szCs w:val="21"/>
        </w:rPr>
        <w:t>的比选，自愿作出以下承诺：</w:t>
      </w:r>
    </w:p>
    <w:p w14:paraId="67A3E78E">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1.我公司竞选截止日不存在下列情形之一：</w:t>
      </w:r>
    </w:p>
    <w:p w14:paraId="4863FAC8">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⑴被人民法院列入失信被执行人名单且在被执行期内；</w:t>
      </w:r>
    </w:p>
    <w:p w14:paraId="7A320382">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⑵被国家、重庆市（含市或任意区县）有关行政部门处以暂停投标资格行政处罚，且在处罚期限内；</w:t>
      </w:r>
    </w:p>
    <w:p w14:paraId="4E19DB6B">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2.我公司在资格审查部分中提供的相关证明材料真实有效，不存在弄虚作假情形。比选人在合同签订前均有权对我司提供的资料进行核实，若发现弄虚作假，取消中选资格，并按相关法律法规报招标投标监督部门处理，我司自愿承担因此造成的相关责任并赔偿相应损失。</w:t>
      </w:r>
    </w:p>
    <w:p w14:paraId="3906AA40">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3.我公司不存在第二章竞选人须知第 1.4.3 项规定的任何一种情形。</w:t>
      </w:r>
    </w:p>
    <w:p w14:paraId="6EDBC2FC">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4.我公司的竞选文件符合第二章竞选人须知第 1.3.1项的规定。</w:t>
      </w:r>
    </w:p>
    <w:p w14:paraId="6E8E0CE7">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5.我公司的竞选文件符合第四章合同条款及格式规定，竞选文件中没有比选人不能接受的条件。</w:t>
      </w:r>
    </w:p>
    <w:p w14:paraId="71798838">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6.我公司的竞选文件满足第二章竞选人须知全部要求，竞选文件中没有比选人不能接受的条件。</w:t>
      </w:r>
    </w:p>
    <w:p w14:paraId="07A39B43">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7.我公司的竞选文件件符合第</w:t>
      </w:r>
      <w:r>
        <w:rPr>
          <w:rFonts w:hint="eastAsia" w:ascii="宋体" w:hAnsi="宋体" w:cs="宋体"/>
          <w:color w:val="auto"/>
          <w:szCs w:val="21"/>
          <w:lang w:val="en-US" w:eastAsia="zh-CN"/>
        </w:rPr>
        <w:t>七</w:t>
      </w:r>
      <w:r>
        <w:rPr>
          <w:rFonts w:hint="eastAsia" w:ascii="宋体" w:hAnsi="宋体" w:cs="宋体"/>
          <w:color w:val="auto"/>
          <w:szCs w:val="21"/>
        </w:rPr>
        <w:t>章 技术标准和要求。</w:t>
      </w:r>
    </w:p>
    <w:p w14:paraId="60375E4A">
      <w:pPr>
        <w:adjustRightInd w:val="0"/>
        <w:snapToGrid w:val="0"/>
        <w:spacing w:line="480" w:lineRule="auto"/>
        <w:ind w:firstLine="420"/>
        <w:jc w:val="center"/>
        <w:rPr>
          <w:rFonts w:ascii="宋体" w:hAnsi="宋体" w:cs="宋体"/>
          <w:color w:val="auto"/>
          <w:szCs w:val="21"/>
        </w:rPr>
      </w:pPr>
      <w:r>
        <w:rPr>
          <w:rFonts w:hint="eastAsia" w:ascii="宋体" w:hAnsi="宋体" w:cs="宋体"/>
          <w:color w:val="auto"/>
          <w:szCs w:val="21"/>
        </w:rPr>
        <w:t xml:space="preserve">                               </w:t>
      </w:r>
    </w:p>
    <w:p w14:paraId="059ED84A">
      <w:pPr>
        <w:adjustRightInd w:val="0"/>
        <w:snapToGrid w:val="0"/>
        <w:spacing w:line="480" w:lineRule="auto"/>
        <w:ind w:firstLine="420"/>
        <w:jc w:val="center"/>
        <w:rPr>
          <w:rFonts w:ascii="宋体" w:hAnsi="宋体" w:cs="宋体"/>
          <w:color w:val="auto"/>
          <w:szCs w:val="21"/>
        </w:rPr>
      </w:pPr>
    </w:p>
    <w:p w14:paraId="70F12BD1">
      <w:pPr>
        <w:adjustRightInd w:val="0"/>
        <w:snapToGrid w:val="0"/>
        <w:spacing w:line="480" w:lineRule="auto"/>
        <w:ind w:firstLine="420"/>
        <w:jc w:val="right"/>
        <w:rPr>
          <w:rFonts w:ascii="宋体" w:hAnsi="宋体" w:cs="宋体"/>
          <w:color w:val="auto"/>
          <w:szCs w:val="21"/>
        </w:rPr>
      </w:pPr>
      <w:r>
        <w:rPr>
          <w:rFonts w:hint="eastAsia" w:ascii="宋体" w:hAnsi="宋体" w:cs="宋体"/>
          <w:color w:val="auto"/>
          <w:szCs w:val="21"/>
        </w:rPr>
        <w:t>竞选人：</w:t>
      </w:r>
      <w:r>
        <w:rPr>
          <w:rFonts w:hint="eastAsia" w:ascii="宋体" w:hAnsi="宋体" w:cs="宋体"/>
          <w:color w:val="auto"/>
          <w:szCs w:val="21"/>
          <w:u w:val="single"/>
        </w:rPr>
        <w:t xml:space="preserve">                               </w:t>
      </w:r>
      <w:r>
        <w:rPr>
          <w:rFonts w:hint="eastAsia" w:ascii="宋体" w:hAnsi="宋体" w:cs="宋体"/>
          <w:color w:val="auto"/>
          <w:szCs w:val="21"/>
        </w:rPr>
        <w:t>（盖单位法人章）</w:t>
      </w:r>
    </w:p>
    <w:p w14:paraId="3347DEF2">
      <w:pPr>
        <w:adjustRightInd w:val="0"/>
        <w:snapToGrid w:val="0"/>
        <w:spacing w:line="480" w:lineRule="auto"/>
        <w:ind w:firstLine="420"/>
        <w:jc w:val="center"/>
        <w:rPr>
          <w:rFonts w:ascii="宋体" w:hAnsi="宋体" w:cs="宋体"/>
          <w:color w:val="auto"/>
          <w:szCs w:val="21"/>
        </w:rPr>
      </w:pPr>
      <w:r>
        <w:rPr>
          <w:rFonts w:hint="eastAsia" w:ascii="宋体" w:hAnsi="宋体" w:cs="宋体"/>
          <w:color w:val="auto"/>
          <w:szCs w:val="21"/>
        </w:rPr>
        <w:t xml:space="preserve">                          日 期：    年   月  日</w:t>
      </w:r>
    </w:p>
    <w:p w14:paraId="456B2D80">
      <w:pPr>
        <w:pStyle w:val="3"/>
        <w:numPr>
          <w:ilvl w:val="0"/>
          <w:numId w:val="0"/>
        </w:numPr>
        <w:jc w:val="center"/>
        <w:outlineLvl w:val="0"/>
        <w:rPr>
          <w:rFonts w:ascii="宋体" w:hAnsi="宋体" w:eastAsia="宋体" w:cs="宋体"/>
          <w:color w:val="auto"/>
          <w:szCs w:val="22"/>
        </w:rPr>
      </w:pPr>
      <w:r>
        <w:rPr>
          <w:rFonts w:hint="eastAsia" w:ascii="宋体" w:hAnsi="宋体" w:eastAsia="宋体" w:cs="宋体"/>
          <w:color w:val="auto"/>
          <w:szCs w:val="21"/>
        </w:rPr>
        <w:br w:type="page"/>
      </w:r>
      <w:bookmarkEnd w:id="639"/>
      <w:bookmarkStart w:id="656" w:name="_bookmark173"/>
      <w:bookmarkEnd w:id="656"/>
      <w:bookmarkStart w:id="657" w:name="_Toc23927"/>
      <w:bookmarkStart w:id="658" w:name="_Toc9055"/>
      <w:bookmarkStart w:id="659" w:name="_Toc22880"/>
      <w:bookmarkStart w:id="660" w:name="_Toc10675"/>
      <w:bookmarkStart w:id="661" w:name="_Toc2758"/>
      <w:bookmarkStart w:id="662" w:name="_Toc9169"/>
      <w:bookmarkStart w:id="663" w:name="_Toc22364"/>
      <w:bookmarkStart w:id="664" w:name="_Toc1725787"/>
      <w:bookmarkStart w:id="665" w:name="_Toc1725865"/>
      <w:bookmarkStart w:id="666" w:name="_Toc2955727"/>
      <w:r>
        <w:rPr>
          <w:rFonts w:hint="eastAsia" w:ascii="宋体" w:hAnsi="宋体" w:eastAsia="宋体" w:cs="宋体"/>
          <w:color w:val="auto"/>
          <w:szCs w:val="21"/>
          <w:lang w:val="en-US" w:eastAsia="zh-CN"/>
        </w:rPr>
        <w:t>七、</w:t>
      </w:r>
      <w:r>
        <w:rPr>
          <w:rFonts w:hint="eastAsia" w:ascii="宋体" w:hAnsi="宋体" w:eastAsia="宋体" w:cs="宋体"/>
          <w:color w:val="auto"/>
          <w:szCs w:val="22"/>
          <w:lang w:val="en-US" w:eastAsia="zh-CN"/>
        </w:rPr>
        <w:t>技术部分</w:t>
      </w:r>
      <w:bookmarkEnd w:id="657"/>
      <w:bookmarkEnd w:id="658"/>
      <w:bookmarkEnd w:id="659"/>
    </w:p>
    <w:p w14:paraId="6A7BDAA8">
      <w:pPr>
        <w:pStyle w:val="155"/>
        <w:adjustRightInd w:val="0"/>
        <w:snapToGrid w:val="0"/>
        <w:spacing w:line="360" w:lineRule="auto"/>
        <w:jc w:val="center"/>
        <w:rPr>
          <w:rFonts w:ascii="宋体" w:hAnsi="宋体" w:cs="宋体"/>
          <w:color w:val="auto"/>
        </w:rPr>
      </w:pPr>
      <w:r>
        <w:rPr>
          <w:rFonts w:hint="eastAsia" w:ascii="宋体" w:hAnsi="宋体" w:cs="宋体"/>
          <w:color w:val="auto"/>
        </w:rPr>
        <w:t>竞选人自行编制，格式自拟</w:t>
      </w:r>
      <w:r>
        <w:rPr>
          <w:rFonts w:hint="eastAsia" w:ascii="宋体" w:hAnsi="宋体" w:cs="宋体"/>
          <w:snapToGrid w:val="0"/>
          <w:color w:val="auto"/>
        </w:rPr>
        <w:t>，</w:t>
      </w:r>
      <w:r>
        <w:rPr>
          <w:rFonts w:hint="eastAsia" w:ascii="宋体" w:hAnsi="宋体" w:cs="宋体"/>
          <w:snapToGrid w:val="0"/>
          <w:color w:val="auto"/>
          <w:lang w:val="en-US" w:eastAsia="zh-CN"/>
        </w:rPr>
        <w:t>原则上</w:t>
      </w:r>
      <w:r>
        <w:rPr>
          <w:rFonts w:hint="eastAsia" w:ascii="宋体" w:hAnsi="宋体" w:cs="宋体"/>
          <w:snapToGrid w:val="0"/>
          <w:color w:val="auto"/>
        </w:rPr>
        <w:t>不超过200页。</w:t>
      </w:r>
    </w:p>
    <w:p w14:paraId="5B6E96C6">
      <w:pPr>
        <w:widowControl/>
        <w:jc w:val="left"/>
        <w:rPr>
          <w:rFonts w:ascii="宋体" w:hAnsi="宋体" w:cs="宋体"/>
          <w:b/>
          <w:color w:val="auto"/>
          <w:spacing w:val="1"/>
          <w:w w:val="99"/>
          <w:sz w:val="28"/>
          <w:szCs w:val="22"/>
        </w:rPr>
      </w:pPr>
      <w:r>
        <w:rPr>
          <w:rFonts w:hint="eastAsia" w:ascii="宋体" w:hAnsi="宋体" w:cs="宋体"/>
          <w:color w:val="auto"/>
          <w:szCs w:val="22"/>
        </w:rPr>
        <w:br w:type="page"/>
      </w:r>
    </w:p>
    <w:p w14:paraId="4DC95E96">
      <w:pPr>
        <w:pStyle w:val="3"/>
        <w:jc w:val="center"/>
        <w:outlineLvl w:val="0"/>
        <w:rPr>
          <w:rFonts w:ascii="宋体" w:hAnsi="宋体" w:eastAsia="宋体" w:cs="宋体"/>
          <w:color w:val="auto"/>
          <w:szCs w:val="22"/>
        </w:rPr>
      </w:pPr>
      <w:bookmarkStart w:id="667" w:name="_Toc17639"/>
      <w:bookmarkStart w:id="668" w:name="_Toc20681"/>
      <w:bookmarkStart w:id="669" w:name="_Toc7201"/>
      <w:r>
        <w:rPr>
          <w:rFonts w:hint="eastAsia" w:ascii="宋体" w:hAnsi="宋体" w:eastAsia="宋体" w:cs="宋体"/>
          <w:color w:val="auto"/>
          <w:szCs w:val="22"/>
          <w:lang w:val="en-US" w:eastAsia="zh-CN"/>
        </w:rPr>
        <w:t>八</w:t>
      </w:r>
      <w:r>
        <w:rPr>
          <w:rFonts w:hint="eastAsia" w:ascii="宋体" w:hAnsi="宋体" w:eastAsia="宋体" w:cs="宋体"/>
          <w:color w:val="auto"/>
          <w:szCs w:val="22"/>
        </w:rPr>
        <w:t>、其他资料</w:t>
      </w:r>
      <w:bookmarkEnd w:id="660"/>
      <w:bookmarkEnd w:id="661"/>
      <w:bookmarkEnd w:id="662"/>
      <w:bookmarkEnd w:id="663"/>
      <w:bookmarkEnd w:id="664"/>
      <w:bookmarkEnd w:id="665"/>
      <w:bookmarkEnd w:id="666"/>
      <w:bookmarkEnd w:id="667"/>
      <w:bookmarkEnd w:id="668"/>
      <w:bookmarkEnd w:id="669"/>
    </w:p>
    <w:p w14:paraId="4B57F81A">
      <w:pPr>
        <w:pStyle w:val="155"/>
        <w:adjustRightInd w:val="0"/>
        <w:snapToGrid w:val="0"/>
        <w:spacing w:line="360" w:lineRule="auto"/>
        <w:jc w:val="center"/>
        <w:rPr>
          <w:rFonts w:ascii="宋体" w:hAnsi="宋体" w:cs="宋体"/>
          <w:color w:val="auto"/>
        </w:rPr>
      </w:pPr>
      <w:r>
        <w:rPr>
          <w:rFonts w:hint="eastAsia" w:ascii="宋体" w:hAnsi="宋体" w:cs="宋体"/>
          <w:color w:val="auto"/>
        </w:rPr>
        <w:t>竞选人认为有必要提供的其他资料，格式自拟</w:t>
      </w:r>
    </w:p>
    <w:p w14:paraId="0B50D8B1">
      <w:pPr>
        <w:spacing w:line="360" w:lineRule="auto"/>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w:t>
      </w:r>
    </w:p>
    <w:sectPr>
      <w:pgSz w:w="11906" w:h="16838"/>
      <w:pgMar w:top="1247" w:right="1134" w:bottom="1247"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BCA70">
    <w:pPr>
      <w:pStyle w:val="32"/>
      <w:ind w:right="360"/>
      <w:rPr>
        <w:i/>
        <w:lang w:val="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45D4CD5F">
                          <w:pPr>
                            <w:pStyle w:val="32"/>
                          </w:pP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&#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9RL8w4CAAAQBAAADgAAAAAAAAABACAAAAAf&#10;AQAAZHJzL2Uyb0RvYy54bWxQSwUGAAAAAAYABgBZAQAAnwUAAAAA&#10;">
              <v:fill on="f" focussize="0,0"/>
              <v:stroke on="f"/>
              <v:imagedata o:title=""/>
              <o:lock v:ext="edit" aspectratio="f"/>
              <v:textbox inset="0mm,0mm,0mm,0mm" style="mso-fit-shape-to-text:t;">
                <w:txbxContent>
                  <w:p w14:paraId="45D4CD5F">
                    <w:pPr>
                      <w:pStyle w:val="32"/>
                    </w:pPr>
                  </w:p>
                </w:txbxContent>
              </v:textbox>
            </v:shape>
          </w:pict>
        </mc:Fallback>
      </mc:AlternateContent>
    </w:r>
    <w:r>
      <w:rPr>
        <w: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1960DE56">
                          <w:pPr>
                            <w:pStyle w:val="32"/>
                            <w:jc w:val="both"/>
                            <w:rPr>
                              <w:rStyle w:val="53"/>
                            </w:rPr>
                          </w:pPr>
                        </w:p>
                      </w:txbxContent>
                    </wps:txbx>
                    <wps:bodyPr rot="0" vert="horz" wrap="none" lIns="0" tIns="0" rIns="0" bIns="0" anchor="t" anchorCtr="0" upright="1">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5X5J0AAAAAMBAAAPAAAAAAAAAAEAIAAAACIA&#10;AABkcnMvZG93bnJldi54bWxQSwECFAAUAAAACACHTuJAT9estBECAAATBAAADgAAAAAAAAABACAA&#10;AAAfAQAAZHJzL2Uyb0RvYy54bWxQSwUGAAAAAAYABgBZAQAAogUAAAAA&#10;">
              <v:fill on="f" focussize="0,0"/>
              <v:stroke on="f"/>
              <v:imagedata o:title=""/>
              <o:lock v:ext="edit" aspectratio="f"/>
              <v:textbox inset="0mm,0mm,0mm,0mm" style="mso-fit-shape-to-text:t;">
                <w:txbxContent>
                  <w:p w14:paraId="1960DE56">
                    <w:pPr>
                      <w:pStyle w:val="32"/>
                      <w:jc w:val="both"/>
                      <w:rPr>
                        <w:rStyle w:val="53"/>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23A7A">
    <w:pPr>
      <w:pStyle w:val="32"/>
      <w:framePr w:wrap="around" w:vAnchor="text" w:hAnchor="margin" w:xAlign="right" w:y="1"/>
      <w:rPr>
        <w:rStyle w:val="53"/>
      </w:rPr>
    </w:pPr>
    <w:r>
      <w:fldChar w:fldCharType="begin"/>
    </w:r>
    <w:r>
      <w:rPr>
        <w:rStyle w:val="53"/>
      </w:rPr>
      <w:instrText xml:space="preserve">PAGE  </w:instrText>
    </w:r>
    <w:r>
      <w:fldChar w:fldCharType="end"/>
    </w:r>
  </w:p>
  <w:p w14:paraId="4C60C024">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DA0D4">
    <w:pPr>
      <w:pStyle w:val="3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313608CC">
                          <w:pPr>
                            <w:pStyle w:val="3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l5uc8AAAAFAQAADwAAAAAAAAABACAAAAAiAAAAZHJzL2Rv&#10;d25yZXYueG1sUEsBAhQAFAAAAAgAh07iQBP9JTMKAgAAEwQAAA4AAAAAAAAAAQAgAAAAHgEAAGRy&#10;cy9lMm9Eb2MueG1sUEsFBgAAAAAGAAYAWQEAAJoFAAAAAA==&#10;">
              <v:fill on="f" focussize="0,0"/>
              <v:stroke on="f"/>
              <v:imagedata o:title=""/>
              <o:lock v:ext="edit" aspectratio="f"/>
              <v:textbox inset="0mm,0mm,0mm,0mm" style="mso-fit-shape-to-text:t;">
                <w:txbxContent>
                  <w:p w14:paraId="313608CC">
                    <w:pPr>
                      <w:pStyle w:val="3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D8B6449">
                          <w:pPr>
                            <w:pStyle w:val="32"/>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Tpz4TYAQAAsQ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OHbLDA78/OP7+efv&#10;869v5G2Sp/dQY9ajx7w4fHADLs18D3iZWA8ymPRFPgTjKO7pIq4YIuHpUbWqqhJDHGOzg/jF03Mf&#10;IN4JZ0gyGhpwellUdnyAOKbOKamadbdK6zxBbUmPqFfVu6v84hJCdG1TssjLMOEkTmPvyYrDbpiI&#10;7lx7Qp49LkRDLe4/Jfreot5pd2YjzMZuNg4+qH2HLS9zdfDvDxGbyz2nCiMsck0OTjKznrYurcrf&#10;fs56+tM2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tOnPhNgBAACxAwAADgAAAAAAAAAB&#10;ACAAAAAiAQAAZHJzL2Uyb0RvYy54bWxQSwUGAAAAAAYABgBZAQAAbAUAAAAA&#10;">
              <v:fill on="f" focussize="0,0"/>
              <v:stroke on="f" weight="1.25pt"/>
              <v:imagedata o:title=""/>
              <o:lock v:ext="edit" aspectratio="f"/>
              <v:textbox inset="0mm,0mm,0mm,0mm" style="mso-fit-shape-to-text:t;">
                <w:txbxContent>
                  <w:p w14:paraId="7D8B6449">
                    <w:pPr>
                      <w:pStyle w:val="3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211C6">
    <w:pPr>
      <w:pStyle w:val="3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48BF66D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0"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IXGpXMPAgAAEAQAAA4AAAAAAAAAAQAgAAAA&#10;HwEAAGRycy9lMm9Eb2MueG1sUEsFBgAAAAAGAAYAWQEAAKAFAAAAAA==&#10;">
              <v:fill on="f" focussize="0,0"/>
              <v:stroke on="f"/>
              <v:imagedata o:title=""/>
              <o:lock v:ext="edit" aspectratio="f"/>
              <v:textbox inset="0mm,0mm,0mm,0mm" style="mso-fit-shape-to-text:t;">
                <w:txbxContent>
                  <w:p w14:paraId="48BF66D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53DDC">
    <w:pPr>
      <w:tabs>
        <w:tab w:val="left" w:pos="6252"/>
      </w:tabs>
      <w:autoSpaceDE w:val="0"/>
      <w:autoSpaceDN w:val="0"/>
      <w:adjustRightInd w:val="0"/>
      <w:snapToGrid w:val="0"/>
      <w:spacing w:line="312" w:lineRule="auto"/>
      <w:jc w:val="left"/>
      <w:rPr>
        <w:i/>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9D9D4">
    <w:pPr>
      <w:tabs>
        <w:tab w:val="left" w:pos="6252"/>
      </w:tabs>
      <w:autoSpaceDE w:val="0"/>
      <w:autoSpaceDN w:val="0"/>
      <w:adjustRightInd w:val="0"/>
      <w:snapToGrid w:val="0"/>
      <w:spacing w:line="312" w:lineRule="auto"/>
      <w:jc w:val="left"/>
      <w:rPr>
        <w:i/>
        <w:szCs w:val="21"/>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06E34">
    <w:pPr>
      <w:pStyle w:val="33"/>
      <w:pBdr>
        <w:bottom w:val="none" w:color="auto" w:sz="0" w:space="0"/>
      </w:pBdr>
      <w:ind w:firstLine="180" w:firstLineChars="1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japaneseCounting"/>
      <w:pStyle w:val="2"/>
      <w:lvlText w:val="第%1章"/>
      <w:lvlJc w:val="left"/>
      <w:pPr>
        <w:ind w:left="4575" w:hanging="1320"/>
      </w:pPr>
      <w:rPr>
        <w:rFonts w:hint="default" w:ascii="黑体"/>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1">
    <w:nsid w:val="5ED1120C"/>
    <w:multiLevelType w:val="singleLevel"/>
    <w:tmpl w:val="5ED1120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NjM2MTdlZjE1ZTNlM2U2MTBmZGIzNjMxZWI5ZGYifQ=="/>
    <w:docVar w:name="KSO_WPS_MARK_KEY" w:val="7f74d75f-53b2-46be-942c-74e49851cef3"/>
  </w:docVars>
  <w:rsids>
    <w:rsidRoot w:val="00172A27"/>
    <w:rsid w:val="000009A5"/>
    <w:rsid w:val="00000ACF"/>
    <w:rsid w:val="00000F50"/>
    <w:rsid w:val="000025EC"/>
    <w:rsid w:val="00004103"/>
    <w:rsid w:val="00007753"/>
    <w:rsid w:val="00011D00"/>
    <w:rsid w:val="000124FA"/>
    <w:rsid w:val="00012921"/>
    <w:rsid w:val="00014EF7"/>
    <w:rsid w:val="000277A0"/>
    <w:rsid w:val="000354AF"/>
    <w:rsid w:val="0003598B"/>
    <w:rsid w:val="00037046"/>
    <w:rsid w:val="00040C8B"/>
    <w:rsid w:val="000467BF"/>
    <w:rsid w:val="00046F63"/>
    <w:rsid w:val="00052A5C"/>
    <w:rsid w:val="00056841"/>
    <w:rsid w:val="00060891"/>
    <w:rsid w:val="00061029"/>
    <w:rsid w:val="0006109B"/>
    <w:rsid w:val="000673A1"/>
    <w:rsid w:val="00067B72"/>
    <w:rsid w:val="000702F3"/>
    <w:rsid w:val="0007167A"/>
    <w:rsid w:val="00072004"/>
    <w:rsid w:val="00077569"/>
    <w:rsid w:val="0008125B"/>
    <w:rsid w:val="00083A5A"/>
    <w:rsid w:val="00086422"/>
    <w:rsid w:val="0008726D"/>
    <w:rsid w:val="00091622"/>
    <w:rsid w:val="0009207E"/>
    <w:rsid w:val="00092A9D"/>
    <w:rsid w:val="00092AEA"/>
    <w:rsid w:val="00093A45"/>
    <w:rsid w:val="00094AD6"/>
    <w:rsid w:val="00094DB8"/>
    <w:rsid w:val="00095A6A"/>
    <w:rsid w:val="0009631C"/>
    <w:rsid w:val="00096904"/>
    <w:rsid w:val="00096BE3"/>
    <w:rsid w:val="000A165A"/>
    <w:rsid w:val="000B0001"/>
    <w:rsid w:val="000B109B"/>
    <w:rsid w:val="000B154E"/>
    <w:rsid w:val="000B3251"/>
    <w:rsid w:val="000B660D"/>
    <w:rsid w:val="000C122D"/>
    <w:rsid w:val="000C15D5"/>
    <w:rsid w:val="000C4561"/>
    <w:rsid w:val="000C46E6"/>
    <w:rsid w:val="000C597B"/>
    <w:rsid w:val="000D0835"/>
    <w:rsid w:val="000D2B39"/>
    <w:rsid w:val="000D6E8D"/>
    <w:rsid w:val="000E1BA2"/>
    <w:rsid w:val="000E1F21"/>
    <w:rsid w:val="000E3019"/>
    <w:rsid w:val="000E3775"/>
    <w:rsid w:val="000E4147"/>
    <w:rsid w:val="000E4DF4"/>
    <w:rsid w:val="000E4E79"/>
    <w:rsid w:val="000E56AB"/>
    <w:rsid w:val="000E7ED2"/>
    <w:rsid w:val="000F1A18"/>
    <w:rsid w:val="000F684B"/>
    <w:rsid w:val="000F6D31"/>
    <w:rsid w:val="001062FA"/>
    <w:rsid w:val="001137E8"/>
    <w:rsid w:val="00113E47"/>
    <w:rsid w:val="001166BF"/>
    <w:rsid w:val="00117B55"/>
    <w:rsid w:val="001244D9"/>
    <w:rsid w:val="00125B50"/>
    <w:rsid w:val="00130FE8"/>
    <w:rsid w:val="00132D42"/>
    <w:rsid w:val="0014126A"/>
    <w:rsid w:val="001416DE"/>
    <w:rsid w:val="00141CD2"/>
    <w:rsid w:val="00145472"/>
    <w:rsid w:val="001455E1"/>
    <w:rsid w:val="00145DD1"/>
    <w:rsid w:val="001470CF"/>
    <w:rsid w:val="00147616"/>
    <w:rsid w:val="00150C08"/>
    <w:rsid w:val="00152D2E"/>
    <w:rsid w:val="001534FD"/>
    <w:rsid w:val="00153DA0"/>
    <w:rsid w:val="001542CD"/>
    <w:rsid w:val="0015609F"/>
    <w:rsid w:val="00160275"/>
    <w:rsid w:val="001677CF"/>
    <w:rsid w:val="00171A7A"/>
    <w:rsid w:val="00171B28"/>
    <w:rsid w:val="00171D9F"/>
    <w:rsid w:val="00172A27"/>
    <w:rsid w:val="00175BC6"/>
    <w:rsid w:val="001775D5"/>
    <w:rsid w:val="0017763E"/>
    <w:rsid w:val="00180B5D"/>
    <w:rsid w:val="00182762"/>
    <w:rsid w:val="0018560C"/>
    <w:rsid w:val="00186FAC"/>
    <w:rsid w:val="00192FCC"/>
    <w:rsid w:val="0019342F"/>
    <w:rsid w:val="001959CB"/>
    <w:rsid w:val="001A1233"/>
    <w:rsid w:val="001A1D6A"/>
    <w:rsid w:val="001A2299"/>
    <w:rsid w:val="001A32D2"/>
    <w:rsid w:val="001A3FA3"/>
    <w:rsid w:val="001A4FA2"/>
    <w:rsid w:val="001A5088"/>
    <w:rsid w:val="001A582E"/>
    <w:rsid w:val="001A759D"/>
    <w:rsid w:val="001B03E6"/>
    <w:rsid w:val="001B06FE"/>
    <w:rsid w:val="001B44B4"/>
    <w:rsid w:val="001B79B4"/>
    <w:rsid w:val="001C0829"/>
    <w:rsid w:val="001C17F7"/>
    <w:rsid w:val="001D0200"/>
    <w:rsid w:val="001D10FB"/>
    <w:rsid w:val="001D1BF0"/>
    <w:rsid w:val="001D50D6"/>
    <w:rsid w:val="001E1E7F"/>
    <w:rsid w:val="001E3FD8"/>
    <w:rsid w:val="001E4017"/>
    <w:rsid w:val="001E5AB9"/>
    <w:rsid w:val="001F18CE"/>
    <w:rsid w:val="001F2E5A"/>
    <w:rsid w:val="001F3BC6"/>
    <w:rsid w:val="00200D95"/>
    <w:rsid w:val="00201E86"/>
    <w:rsid w:val="002038F8"/>
    <w:rsid w:val="00203B5F"/>
    <w:rsid w:val="0020765F"/>
    <w:rsid w:val="00210B64"/>
    <w:rsid w:val="00211931"/>
    <w:rsid w:val="00213CD5"/>
    <w:rsid w:val="00220C6C"/>
    <w:rsid w:val="00221C4B"/>
    <w:rsid w:val="002240F2"/>
    <w:rsid w:val="002266E2"/>
    <w:rsid w:val="002309E4"/>
    <w:rsid w:val="0023226A"/>
    <w:rsid w:val="002324E8"/>
    <w:rsid w:val="00233CAD"/>
    <w:rsid w:val="002346CD"/>
    <w:rsid w:val="002464AA"/>
    <w:rsid w:val="00246FF6"/>
    <w:rsid w:val="00247627"/>
    <w:rsid w:val="00253A3A"/>
    <w:rsid w:val="00256D84"/>
    <w:rsid w:val="00260369"/>
    <w:rsid w:val="00261006"/>
    <w:rsid w:val="00263ACC"/>
    <w:rsid w:val="00264D23"/>
    <w:rsid w:val="0027024B"/>
    <w:rsid w:val="00274059"/>
    <w:rsid w:val="00275AC9"/>
    <w:rsid w:val="0027764E"/>
    <w:rsid w:val="00280073"/>
    <w:rsid w:val="00280B3A"/>
    <w:rsid w:val="002816BF"/>
    <w:rsid w:val="00282B1B"/>
    <w:rsid w:val="00284ED1"/>
    <w:rsid w:val="00287B07"/>
    <w:rsid w:val="0029000C"/>
    <w:rsid w:val="00292822"/>
    <w:rsid w:val="00292DF4"/>
    <w:rsid w:val="002949CC"/>
    <w:rsid w:val="00294A91"/>
    <w:rsid w:val="0029560B"/>
    <w:rsid w:val="00296B32"/>
    <w:rsid w:val="002A0C83"/>
    <w:rsid w:val="002A28C0"/>
    <w:rsid w:val="002A2AA1"/>
    <w:rsid w:val="002A3750"/>
    <w:rsid w:val="002A69DB"/>
    <w:rsid w:val="002A6C27"/>
    <w:rsid w:val="002A7B45"/>
    <w:rsid w:val="002A7C6F"/>
    <w:rsid w:val="002B2E4A"/>
    <w:rsid w:val="002B4E71"/>
    <w:rsid w:val="002B557D"/>
    <w:rsid w:val="002B6094"/>
    <w:rsid w:val="002C241E"/>
    <w:rsid w:val="002D3788"/>
    <w:rsid w:val="002D3C19"/>
    <w:rsid w:val="002D418F"/>
    <w:rsid w:val="002D51A5"/>
    <w:rsid w:val="002D59D2"/>
    <w:rsid w:val="002E2084"/>
    <w:rsid w:val="002E3481"/>
    <w:rsid w:val="002E36FD"/>
    <w:rsid w:val="002E3A19"/>
    <w:rsid w:val="002E589B"/>
    <w:rsid w:val="002F0961"/>
    <w:rsid w:val="002F1EBB"/>
    <w:rsid w:val="002F348E"/>
    <w:rsid w:val="002F56B1"/>
    <w:rsid w:val="002F69B3"/>
    <w:rsid w:val="002F7E5F"/>
    <w:rsid w:val="003135A0"/>
    <w:rsid w:val="003162EC"/>
    <w:rsid w:val="003203C4"/>
    <w:rsid w:val="003238D8"/>
    <w:rsid w:val="003239FD"/>
    <w:rsid w:val="00324610"/>
    <w:rsid w:val="00324AAD"/>
    <w:rsid w:val="003264D8"/>
    <w:rsid w:val="00327F11"/>
    <w:rsid w:val="00336007"/>
    <w:rsid w:val="00336BB6"/>
    <w:rsid w:val="00337957"/>
    <w:rsid w:val="00340B2A"/>
    <w:rsid w:val="0034167D"/>
    <w:rsid w:val="00342F94"/>
    <w:rsid w:val="00344359"/>
    <w:rsid w:val="00344CFB"/>
    <w:rsid w:val="00350C0D"/>
    <w:rsid w:val="003515EB"/>
    <w:rsid w:val="00352138"/>
    <w:rsid w:val="00352D5C"/>
    <w:rsid w:val="00361F7D"/>
    <w:rsid w:val="003622F3"/>
    <w:rsid w:val="00362851"/>
    <w:rsid w:val="0036296E"/>
    <w:rsid w:val="003630A2"/>
    <w:rsid w:val="00363A7A"/>
    <w:rsid w:val="003652B0"/>
    <w:rsid w:val="003669C5"/>
    <w:rsid w:val="00366B4F"/>
    <w:rsid w:val="00372C34"/>
    <w:rsid w:val="00375B05"/>
    <w:rsid w:val="00381E52"/>
    <w:rsid w:val="00382A66"/>
    <w:rsid w:val="003854E7"/>
    <w:rsid w:val="00387D39"/>
    <w:rsid w:val="003914C0"/>
    <w:rsid w:val="0039215A"/>
    <w:rsid w:val="00394939"/>
    <w:rsid w:val="00396950"/>
    <w:rsid w:val="003A0380"/>
    <w:rsid w:val="003A05AC"/>
    <w:rsid w:val="003A67C1"/>
    <w:rsid w:val="003A703B"/>
    <w:rsid w:val="003B04B7"/>
    <w:rsid w:val="003B58CD"/>
    <w:rsid w:val="003B7A2F"/>
    <w:rsid w:val="003C16AA"/>
    <w:rsid w:val="003C1860"/>
    <w:rsid w:val="003C2FE9"/>
    <w:rsid w:val="003C3D82"/>
    <w:rsid w:val="003C4E8C"/>
    <w:rsid w:val="003C503E"/>
    <w:rsid w:val="003C5607"/>
    <w:rsid w:val="003D6166"/>
    <w:rsid w:val="003D6DBC"/>
    <w:rsid w:val="003E10C4"/>
    <w:rsid w:val="003E1BBC"/>
    <w:rsid w:val="003E493C"/>
    <w:rsid w:val="003E4BAD"/>
    <w:rsid w:val="003E4F75"/>
    <w:rsid w:val="003E6F86"/>
    <w:rsid w:val="003F0A11"/>
    <w:rsid w:val="003F1A34"/>
    <w:rsid w:val="003F1C6D"/>
    <w:rsid w:val="003F284D"/>
    <w:rsid w:val="003F5A6A"/>
    <w:rsid w:val="003F75F5"/>
    <w:rsid w:val="003F7C58"/>
    <w:rsid w:val="00402440"/>
    <w:rsid w:val="00403644"/>
    <w:rsid w:val="00407C89"/>
    <w:rsid w:val="00410D20"/>
    <w:rsid w:val="00411EA5"/>
    <w:rsid w:val="0041295E"/>
    <w:rsid w:val="00414512"/>
    <w:rsid w:val="00415DAD"/>
    <w:rsid w:val="00416275"/>
    <w:rsid w:val="0041721E"/>
    <w:rsid w:val="0042207E"/>
    <w:rsid w:val="00423B06"/>
    <w:rsid w:val="004247F2"/>
    <w:rsid w:val="00425CD0"/>
    <w:rsid w:val="00426B8B"/>
    <w:rsid w:val="00430209"/>
    <w:rsid w:val="00430673"/>
    <w:rsid w:val="00432C3F"/>
    <w:rsid w:val="004330D4"/>
    <w:rsid w:val="00433153"/>
    <w:rsid w:val="0043472B"/>
    <w:rsid w:val="00435467"/>
    <w:rsid w:val="00437C05"/>
    <w:rsid w:val="00437F07"/>
    <w:rsid w:val="004407CC"/>
    <w:rsid w:val="00441B48"/>
    <w:rsid w:val="0044375B"/>
    <w:rsid w:val="00445772"/>
    <w:rsid w:val="00445B88"/>
    <w:rsid w:val="00447817"/>
    <w:rsid w:val="00455A3A"/>
    <w:rsid w:val="004563EC"/>
    <w:rsid w:val="00457F7F"/>
    <w:rsid w:val="004633A6"/>
    <w:rsid w:val="0046409B"/>
    <w:rsid w:val="004659A5"/>
    <w:rsid w:val="00471FD3"/>
    <w:rsid w:val="004757EB"/>
    <w:rsid w:val="0047584C"/>
    <w:rsid w:val="00475B09"/>
    <w:rsid w:val="004802FC"/>
    <w:rsid w:val="004807A1"/>
    <w:rsid w:val="00481443"/>
    <w:rsid w:val="00481899"/>
    <w:rsid w:val="00481F40"/>
    <w:rsid w:val="004853BD"/>
    <w:rsid w:val="004922B7"/>
    <w:rsid w:val="00495E87"/>
    <w:rsid w:val="00497FBD"/>
    <w:rsid w:val="004A02D4"/>
    <w:rsid w:val="004A62AF"/>
    <w:rsid w:val="004B319A"/>
    <w:rsid w:val="004C77B0"/>
    <w:rsid w:val="004D0F95"/>
    <w:rsid w:val="004D1585"/>
    <w:rsid w:val="004D3A86"/>
    <w:rsid w:val="004E1B59"/>
    <w:rsid w:val="004E22BF"/>
    <w:rsid w:val="004E297A"/>
    <w:rsid w:val="004E608B"/>
    <w:rsid w:val="004E6F73"/>
    <w:rsid w:val="004F4C85"/>
    <w:rsid w:val="004F4E78"/>
    <w:rsid w:val="004F6A35"/>
    <w:rsid w:val="00503207"/>
    <w:rsid w:val="005056A7"/>
    <w:rsid w:val="00505B97"/>
    <w:rsid w:val="00506C80"/>
    <w:rsid w:val="005124A9"/>
    <w:rsid w:val="00514B5F"/>
    <w:rsid w:val="00515932"/>
    <w:rsid w:val="00515C45"/>
    <w:rsid w:val="00516E0E"/>
    <w:rsid w:val="00517A3C"/>
    <w:rsid w:val="00521FE9"/>
    <w:rsid w:val="00523452"/>
    <w:rsid w:val="00523FCB"/>
    <w:rsid w:val="00524E82"/>
    <w:rsid w:val="005255C3"/>
    <w:rsid w:val="00526A17"/>
    <w:rsid w:val="00526F7F"/>
    <w:rsid w:val="00530BEC"/>
    <w:rsid w:val="00531732"/>
    <w:rsid w:val="00531CC7"/>
    <w:rsid w:val="00533273"/>
    <w:rsid w:val="00533C0D"/>
    <w:rsid w:val="00535EC8"/>
    <w:rsid w:val="0053673A"/>
    <w:rsid w:val="0054039C"/>
    <w:rsid w:val="00541382"/>
    <w:rsid w:val="00541C29"/>
    <w:rsid w:val="005525DD"/>
    <w:rsid w:val="00556FF3"/>
    <w:rsid w:val="005577D1"/>
    <w:rsid w:val="00557B97"/>
    <w:rsid w:val="00560F19"/>
    <w:rsid w:val="00561379"/>
    <w:rsid w:val="00561A3D"/>
    <w:rsid w:val="00561E43"/>
    <w:rsid w:val="00563A16"/>
    <w:rsid w:val="00563BF2"/>
    <w:rsid w:val="00563F73"/>
    <w:rsid w:val="005675FE"/>
    <w:rsid w:val="00567BED"/>
    <w:rsid w:val="00570088"/>
    <w:rsid w:val="00571099"/>
    <w:rsid w:val="00571B78"/>
    <w:rsid w:val="00571FA1"/>
    <w:rsid w:val="00573FAD"/>
    <w:rsid w:val="0057552B"/>
    <w:rsid w:val="0057586F"/>
    <w:rsid w:val="00576E67"/>
    <w:rsid w:val="005774E0"/>
    <w:rsid w:val="00577BFA"/>
    <w:rsid w:val="00581C19"/>
    <w:rsid w:val="00583443"/>
    <w:rsid w:val="0059319D"/>
    <w:rsid w:val="0059378C"/>
    <w:rsid w:val="005958A8"/>
    <w:rsid w:val="00596C66"/>
    <w:rsid w:val="005A0D63"/>
    <w:rsid w:val="005A1970"/>
    <w:rsid w:val="005A509F"/>
    <w:rsid w:val="005B2010"/>
    <w:rsid w:val="005B2F33"/>
    <w:rsid w:val="005B719A"/>
    <w:rsid w:val="005B7FB0"/>
    <w:rsid w:val="005C2872"/>
    <w:rsid w:val="005C3172"/>
    <w:rsid w:val="005C3AF8"/>
    <w:rsid w:val="005C40D5"/>
    <w:rsid w:val="005D16C8"/>
    <w:rsid w:val="005D27DB"/>
    <w:rsid w:val="005D6B24"/>
    <w:rsid w:val="005D6EBE"/>
    <w:rsid w:val="005D731E"/>
    <w:rsid w:val="005D7F7A"/>
    <w:rsid w:val="005E066F"/>
    <w:rsid w:val="005E1F47"/>
    <w:rsid w:val="005E21EC"/>
    <w:rsid w:val="005E4BFC"/>
    <w:rsid w:val="005F2A37"/>
    <w:rsid w:val="005F4A7F"/>
    <w:rsid w:val="005F5B89"/>
    <w:rsid w:val="005F5E1B"/>
    <w:rsid w:val="00602F5E"/>
    <w:rsid w:val="00607171"/>
    <w:rsid w:val="00610CEE"/>
    <w:rsid w:val="006119DB"/>
    <w:rsid w:val="0061288A"/>
    <w:rsid w:val="00613D5E"/>
    <w:rsid w:val="0061724B"/>
    <w:rsid w:val="00621F83"/>
    <w:rsid w:val="00627E24"/>
    <w:rsid w:val="006365EC"/>
    <w:rsid w:val="0064050A"/>
    <w:rsid w:val="00641FD9"/>
    <w:rsid w:val="00642E73"/>
    <w:rsid w:val="00643F73"/>
    <w:rsid w:val="006441C2"/>
    <w:rsid w:val="00645071"/>
    <w:rsid w:val="00646AC0"/>
    <w:rsid w:val="00650A09"/>
    <w:rsid w:val="00653CE2"/>
    <w:rsid w:val="00655EE0"/>
    <w:rsid w:val="006564AA"/>
    <w:rsid w:val="00660F53"/>
    <w:rsid w:val="006620F4"/>
    <w:rsid w:val="00662892"/>
    <w:rsid w:val="00662EFA"/>
    <w:rsid w:val="0066386F"/>
    <w:rsid w:val="00664F88"/>
    <w:rsid w:val="00666141"/>
    <w:rsid w:val="0066663C"/>
    <w:rsid w:val="00667A95"/>
    <w:rsid w:val="00667D54"/>
    <w:rsid w:val="0067285C"/>
    <w:rsid w:val="00673285"/>
    <w:rsid w:val="00673D1F"/>
    <w:rsid w:val="00681709"/>
    <w:rsid w:val="006819F3"/>
    <w:rsid w:val="00682A19"/>
    <w:rsid w:val="00687FD3"/>
    <w:rsid w:val="00694094"/>
    <w:rsid w:val="00697CA7"/>
    <w:rsid w:val="006A075E"/>
    <w:rsid w:val="006A2279"/>
    <w:rsid w:val="006A28AA"/>
    <w:rsid w:val="006A4735"/>
    <w:rsid w:val="006A47FE"/>
    <w:rsid w:val="006A5029"/>
    <w:rsid w:val="006A5756"/>
    <w:rsid w:val="006A66C7"/>
    <w:rsid w:val="006A69B5"/>
    <w:rsid w:val="006A7522"/>
    <w:rsid w:val="006B58E5"/>
    <w:rsid w:val="006B644C"/>
    <w:rsid w:val="006B7C7D"/>
    <w:rsid w:val="006C0942"/>
    <w:rsid w:val="006C47B1"/>
    <w:rsid w:val="006C4D9D"/>
    <w:rsid w:val="006C7B86"/>
    <w:rsid w:val="006D0DAF"/>
    <w:rsid w:val="006D3600"/>
    <w:rsid w:val="006D366D"/>
    <w:rsid w:val="006D3A41"/>
    <w:rsid w:val="006D54A7"/>
    <w:rsid w:val="006D575A"/>
    <w:rsid w:val="006E0C09"/>
    <w:rsid w:val="006E4BB8"/>
    <w:rsid w:val="006E5AE1"/>
    <w:rsid w:val="006E6FEE"/>
    <w:rsid w:val="006F3C00"/>
    <w:rsid w:val="006F3DFC"/>
    <w:rsid w:val="006F4E38"/>
    <w:rsid w:val="00700E52"/>
    <w:rsid w:val="00700FD6"/>
    <w:rsid w:val="0070149B"/>
    <w:rsid w:val="00702985"/>
    <w:rsid w:val="0070786E"/>
    <w:rsid w:val="00712B96"/>
    <w:rsid w:val="0071384D"/>
    <w:rsid w:val="0071501E"/>
    <w:rsid w:val="00720DD4"/>
    <w:rsid w:val="00724C3F"/>
    <w:rsid w:val="00725DB5"/>
    <w:rsid w:val="007274BE"/>
    <w:rsid w:val="007309EB"/>
    <w:rsid w:val="00730E28"/>
    <w:rsid w:val="0073179E"/>
    <w:rsid w:val="00731EED"/>
    <w:rsid w:val="007326F7"/>
    <w:rsid w:val="007327CB"/>
    <w:rsid w:val="00740490"/>
    <w:rsid w:val="00741F77"/>
    <w:rsid w:val="0074230E"/>
    <w:rsid w:val="0074316B"/>
    <w:rsid w:val="0074350A"/>
    <w:rsid w:val="0074364C"/>
    <w:rsid w:val="00745238"/>
    <w:rsid w:val="00745247"/>
    <w:rsid w:val="00747FAD"/>
    <w:rsid w:val="00752429"/>
    <w:rsid w:val="00753817"/>
    <w:rsid w:val="007540B1"/>
    <w:rsid w:val="00755476"/>
    <w:rsid w:val="00765563"/>
    <w:rsid w:val="00772106"/>
    <w:rsid w:val="00772176"/>
    <w:rsid w:val="0077231B"/>
    <w:rsid w:val="00773C38"/>
    <w:rsid w:val="007741CF"/>
    <w:rsid w:val="0077500C"/>
    <w:rsid w:val="00782292"/>
    <w:rsid w:val="007846A2"/>
    <w:rsid w:val="0078502D"/>
    <w:rsid w:val="00791B89"/>
    <w:rsid w:val="00792497"/>
    <w:rsid w:val="00792F30"/>
    <w:rsid w:val="0079332B"/>
    <w:rsid w:val="007953E4"/>
    <w:rsid w:val="007A051F"/>
    <w:rsid w:val="007A182B"/>
    <w:rsid w:val="007A197C"/>
    <w:rsid w:val="007A3406"/>
    <w:rsid w:val="007A53D3"/>
    <w:rsid w:val="007A5432"/>
    <w:rsid w:val="007A65B0"/>
    <w:rsid w:val="007A7B39"/>
    <w:rsid w:val="007B168E"/>
    <w:rsid w:val="007B1903"/>
    <w:rsid w:val="007B6D6F"/>
    <w:rsid w:val="007C0DC1"/>
    <w:rsid w:val="007C0E22"/>
    <w:rsid w:val="007C2A59"/>
    <w:rsid w:val="007C3519"/>
    <w:rsid w:val="007C36C3"/>
    <w:rsid w:val="007C4C95"/>
    <w:rsid w:val="007C7B48"/>
    <w:rsid w:val="007D458C"/>
    <w:rsid w:val="007D47CF"/>
    <w:rsid w:val="007D59CE"/>
    <w:rsid w:val="007D6293"/>
    <w:rsid w:val="007D6D56"/>
    <w:rsid w:val="007E079A"/>
    <w:rsid w:val="007E6CAE"/>
    <w:rsid w:val="007E72BD"/>
    <w:rsid w:val="007E762E"/>
    <w:rsid w:val="007F512C"/>
    <w:rsid w:val="007F601D"/>
    <w:rsid w:val="007F72A3"/>
    <w:rsid w:val="008003F9"/>
    <w:rsid w:val="00800904"/>
    <w:rsid w:val="00803FB7"/>
    <w:rsid w:val="0080654B"/>
    <w:rsid w:val="008071D4"/>
    <w:rsid w:val="0081091D"/>
    <w:rsid w:val="00813285"/>
    <w:rsid w:val="008201BD"/>
    <w:rsid w:val="00820D0A"/>
    <w:rsid w:val="0082431E"/>
    <w:rsid w:val="00824E65"/>
    <w:rsid w:val="00825BDE"/>
    <w:rsid w:val="008319FC"/>
    <w:rsid w:val="00836B49"/>
    <w:rsid w:val="00837860"/>
    <w:rsid w:val="00840066"/>
    <w:rsid w:val="0084062B"/>
    <w:rsid w:val="008429A5"/>
    <w:rsid w:val="00844635"/>
    <w:rsid w:val="00846044"/>
    <w:rsid w:val="0085227F"/>
    <w:rsid w:val="00852A9F"/>
    <w:rsid w:val="008532A0"/>
    <w:rsid w:val="00853373"/>
    <w:rsid w:val="00854173"/>
    <w:rsid w:val="00854AEC"/>
    <w:rsid w:val="00855BBE"/>
    <w:rsid w:val="00866B5A"/>
    <w:rsid w:val="008722C6"/>
    <w:rsid w:val="00872543"/>
    <w:rsid w:val="00874A5E"/>
    <w:rsid w:val="00876929"/>
    <w:rsid w:val="00877CB1"/>
    <w:rsid w:val="00886455"/>
    <w:rsid w:val="00890B5B"/>
    <w:rsid w:val="00890D8A"/>
    <w:rsid w:val="00890E98"/>
    <w:rsid w:val="00891335"/>
    <w:rsid w:val="00891344"/>
    <w:rsid w:val="00892869"/>
    <w:rsid w:val="008932A0"/>
    <w:rsid w:val="00894D37"/>
    <w:rsid w:val="00895931"/>
    <w:rsid w:val="008A2BC6"/>
    <w:rsid w:val="008A3F5B"/>
    <w:rsid w:val="008A581E"/>
    <w:rsid w:val="008A5912"/>
    <w:rsid w:val="008A5988"/>
    <w:rsid w:val="008A6BCA"/>
    <w:rsid w:val="008A6D61"/>
    <w:rsid w:val="008B0EFA"/>
    <w:rsid w:val="008B2DBA"/>
    <w:rsid w:val="008B4403"/>
    <w:rsid w:val="008B684D"/>
    <w:rsid w:val="008B79C8"/>
    <w:rsid w:val="008C5699"/>
    <w:rsid w:val="008C6A46"/>
    <w:rsid w:val="008D1E75"/>
    <w:rsid w:val="008D31FC"/>
    <w:rsid w:val="008D3BF2"/>
    <w:rsid w:val="008D685B"/>
    <w:rsid w:val="008D75B1"/>
    <w:rsid w:val="008D77F8"/>
    <w:rsid w:val="008D7FE4"/>
    <w:rsid w:val="008E0131"/>
    <w:rsid w:val="008E16D0"/>
    <w:rsid w:val="008E1727"/>
    <w:rsid w:val="008E1F62"/>
    <w:rsid w:val="008E23F5"/>
    <w:rsid w:val="008E5575"/>
    <w:rsid w:val="008F0FDF"/>
    <w:rsid w:val="008F1BD2"/>
    <w:rsid w:val="008F2426"/>
    <w:rsid w:val="008F27F6"/>
    <w:rsid w:val="008F3BE5"/>
    <w:rsid w:val="008F3FAB"/>
    <w:rsid w:val="008F72B2"/>
    <w:rsid w:val="009001DA"/>
    <w:rsid w:val="009002F3"/>
    <w:rsid w:val="00900B73"/>
    <w:rsid w:val="009023C7"/>
    <w:rsid w:val="009027E9"/>
    <w:rsid w:val="009041FC"/>
    <w:rsid w:val="00907BF0"/>
    <w:rsid w:val="00912FC8"/>
    <w:rsid w:val="009175E3"/>
    <w:rsid w:val="00921895"/>
    <w:rsid w:val="009262EC"/>
    <w:rsid w:val="00926566"/>
    <w:rsid w:val="0093039E"/>
    <w:rsid w:val="009315F1"/>
    <w:rsid w:val="009325DD"/>
    <w:rsid w:val="009325FF"/>
    <w:rsid w:val="009334DE"/>
    <w:rsid w:val="00934BD2"/>
    <w:rsid w:val="009350AF"/>
    <w:rsid w:val="00937025"/>
    <w:rsid w:val="009413AD"/>
    <w:rsid w:val="00945866"/>
    <w:rsid w:val="009458D6"/>
    <w:rsid w:val="00946099"/>
    <w:rsid w:val="00951464"/>
    <w:rsid w:val="009527D6"/>
    <w:rsid w:val="00953DC6"/>
    <w:rsid w:val="0096082B"/>
    <w:rsid w:val="00964BCE"/>
    <w:rsid w:val="009654EC"/>
    <w:rsid w:val="009671B0"/>
    <w:rsid w:val="009679ED"/>
    <w:rsid w:val="009706AE"/>
    <w:rsid w:val="00981B32"/>
    <w:rsid w:val="00983299"/>
    <w:rsid w:val="00985E97"/>
    <w:rsid w:val="009874D7"/>
    <w:rsid w:val="00987BA8"/>
    <w:rsid w:val="00990435"/>
    <w:rsid w:val="00993169"/>
    <w:rsid w:val="009955E3"/>
    <w:rsid w:val="00997ACF"/>
    <w:rsid w:val="00997F8C"/>
    <w:rsid w:val="009A00C1"/>
    <w:rsid w:val="009A060A"/>
    <w:rsid w:val="009A2360"/>
    <w:rsid w:val="009A4224"/>
    <w:rsid w:val="009A52F9"/>
    <w:rsid w:val="009A5DED"/>
    <w:rsid w:val="009A7466"/>
    <w:rsid w:val="009B066B"/>
    <w:rsid w:val="009B0F72"/>
    <w:rsid w:val="009B2C70"/>
    <w:rsid w:val="009C41EF"/>
    <w:rsid w:val="009C476C"/>
    <w:rsid w:val="009C4921"/>
    <w:rsid w:val="009C59C8"/>
    <w:rsid w:val="009C65DC"/>
    <w:rsid w:val="009C7FB9"/>
    <w:rsid w:val="009D0DFB"/>
    <w:rsid w:val="009D4133"/>
    <w:rsid w:val="009D613A"/>
    <w:rsid w:val="009D68D6"/>
    <w:rsid w:val="009D7C67"/>
    <w:rsid w:val="009E25FB"/>
    <w:rsid w:val="009E5C3C"/>
    <w:rsid w:val="009E5E1C"/>
    <w:rsid w:val="009E64E7"/>
    <w:rsid w:val="009E72E2"/>
    <w:rsid w:val="009F0D98"/>
    <w:rsid w:val="009F1AC5"/>
    <w:rsid w:val="009F302B"/>
    <w:rsid w:val="009F3E79"/>
    <w:rsid w:val="009F67BE"/>
    <w:rsid w:val="00A022B1"/>
    <w:rsid w:val="00A049A7"/>
    <w:rsid w:val="00A06411"/>
    <w:rsid w:val="00A06C18"/>
    <w:rsid w:val="00A06C9E"/>
    <w:rsid w:val="00A079FF"/>
    <w:rsid w:val="00A07F6E"/>
    <w:rsid w:val="00A15FB6"/>
    <w:rsid w:val="00A16A45"/>
    <w:rsid w:val="00A2329E"/>
    <w:rsid w:val="00A25015"/>
    <w:rsid w:val="00A252CF"/>
    <w:rsid w:val="00A25F0D"/>
    <w:rsid w:val="00A33D17"/>
    <w:rsid w:val="00A34FA5"/>
    <w:rsid w:val="00A37078"/>
    <w:rsid w:val="00A37ABF"/>
    <w:rsid w:val="00A37E73"/>
    <w:rsid w:val="00A407D8"/>
    <w:rsid w:val="00A42E48"/>
    <w:rsid w:val="00A440A8"/>
    <w:rsid w:val="00A45ECF"/>
    <w:rsid w:val="00A461E1"/>
    <w:rsid w:val="00A47BC0"/>
    <w:rsid w:val="00A51409"/>
    <w:rsid w:val="00A51606"/>
    <w:rsid w:val="00A57EF6"/>
    <w:rsid w:val="00A6176F"/>
    <w:rsid w:val="00A625F5"/>
    <w:rsid w:val="00A646BF"/>
    <w:rsid w:val="00A655BE"/>
    <w:rsid w:val="00A711DA"/>
    <w:rsid w:val="00A74FBE"/>
    <w:rsid w:val="00A80227"/>
    <w:rsid w:val="00A81E72"/>
    <w:rsid w:val="00A82220"/>
    <w:rsid w:val="00A85780"/>
    <w:rsid w:val="00A86593"/>
    <w:rsid w:val="00A86B00"/>
    <w:rsid w:val="00A86C98"/>
    <w:rsid w:val="00A87285"/>
    <w:rsid w:val="00A9364B"/>
    <w:rsid w:val="00A94D85"/>
    <w:rsid w:val="00A953FD"/>
    <w:rsid w:val="00A975BB"/>
    <w:rsid w:val="00AA0171"/>
    <w:rsid w:val="00AA0FEF"/>
    <w:rsid w:val="00AA1780"/>
    <w:rsid w:val="00AA2988"/>
    <w:rsid w:val="00AB4601"/>
    <w:rsid w:val="00AB7E7B"/>
    <w:rsid w:val="00AC0143"/>
    <w:rsid w:val="00AC018A"/>
    <w:rsid w:val="00AC1100"/>
    <w:rsid w:val="00AC1C8F"/>
    <w:rsid w:val="00AC321A"/>
    <w:rsid w:val="00AC619E"/>
    <w:rsid w:val="00AC7D9D"/>
    <w:rsid w:val="00AD1988"/>
    <w:rsid w:val="00AE11E0"/>
    <w:rsid w:val="00AF305B"/>
    <w:rsid w:val="00AF3246"/>
    <w:rsid w:val="00AF6188"/>
    <w:rsid w:val="00B0207E"/>
    <w:rsid w:val="00B02B77"/>
    <w:rsid w:val="00B05C40"/>
    <w:rsid w:val="00B060F5"/>
    <w:rsid w:val="00B06E28"/>
    <w:rsid w:val="00B11A49"/>
    <w:rsid w:val="00B17002"/>
    <w:rsid w:val="00B1711C"/>
    <w:rsid w:val="00B20E28"/>
    <w:rsid w:val="00B225A8"/>
    <w:rsid w:val="00B23891"/>
    <w:rsid w:val="00B23B2C"/>
    <w:rsid w:val="00B249D0"/>
    <w:rsid w:val="00B24BF4"/>
    <w:rsid w:val="00B26275"/>
    <w:rsid w:val="00B26C9C"/>
    <w:rsid w:val="00B27E60"/>
    <w:rsid w:val="00B32FD4"/>
    <w:rsid w:val="00B33719"/>
    <w:rsid w:val="00B346E6"/>
    <w:rsid w:val="00B403FC"/>
    <w:rsid w:val="00B5305B"/>
    <w:rsid w:val="00B54984"/>
    <w:rsid w:val="00B555C0"/>
    <w:rsid w:val="00B56E12"/>
    <w:rsid w:val="00B575B0"/>
    <w:rsid w:val="00B57799"/>
    <w:rsid w:val="00B6240D"/>
    <w:rsid w:val="00B6353A"/>
    <w:rsid w:val="00B65C4E"/>
    <w:rsid w:val="00B6603C"/>
    <w:rsid w:val="00B674C6"/>
    <w:rsid w:val="00B67CA8"/>
    <w:rsid w:val="00B7011B"/>
    <w:rsid w:val="00B709B5"/>
    <w:rsid w:val="00B71FDF"/>
    <w:rsid w:val="00B736F4"/>
    <w:rsid w:val="00B752ED"/>
    <w:rsid w:val="00B832EC"/>
    <w:rsid w:val="00B87AE9"/>
    <w:rsid w:val="00B918F2"/>
    <w:rsid w:val="00B93C54"/>
    <w:rsid w:val="00B95EB1"/>
    <w:rsid w:val="00B96E71"/>
    <w:rsid w:val="00B96EF5"/>
    <w:rsid w:val="00B97F54"/>
    <w:rsid w:val="00BA26D0"/>
    <w:rsid w:val="00BA3210"/>
    <w:rsid w:val="00BA32C2"/>
    <w:rsid w:val="00BA489A"/>
    <w:rsid w:val="00BA59C1"/>
    <w:rsid w:val="00BA613C"/>
    <w:rsid w:val="00BA79F0"/>
    <w:rsid w:val="00BB0FCD"/>
    <w:rsid w:val="00BB51D3"/>
    <w:rsid w:val="00BB52AA"/>
    <w:rsid w:val="00BB5885"/>
    <w:rsid w:val="00BB7A86"/>
    <w:rsid w:val="00BC299C"/>
    <w:rsid w:val="00BC34AB"/>
    <w:rsid w:val="00BC3DB9"/>
    <w:rsid w:val="00BC4A08"/>
    <w:rsid w:val="00BC5FB6"/>
    <w:rsid w:val="00BD0C77"/>
    <w:rsid w:val="00BD185D"/>
    <w:rsid w:val="00BD259D"/>
    <w:rsid w:val="00BD2E72"/>
    <w:rsid w:val="00BD2F49"/>
    <w:rsid w:val="00BD60D1"/>
    <w:rsid w:val="00BE0259"/>
    <w:rsid w:val="00BE05F7"/>
    <w:rsid w:val="00BE144C"/>
    <w:rsid w:val="00BE2D3A"/>
    <w:rsid w:val="00BE2E2B"/>
    <w:rsid w:val="00BE4CC5"/>
    <w:rsid w:val="00BE5FF7"/>
    <w:rsid w:val="00BE68FC"/>
    <w:rsid w:val="00BE7495"/>
    <w:rsid w:val="00BF0285"/>
    <w:rsid w:val="00BF2FDE"/>
    <w:rsid w:val="00BF3177"/>
    <w:rsid w:val="00BF3A1A"/>
    <w:rsid w:val="00C00617"/>
    <w:rsid w:val="00C00EAB"/>
    <w:rsid w:val="00C012BB"/>
    <w:rsid w:val="00C035A1"/>
    <w:rsid w:val="00C04531"/>
    <w:rsid w:val="00C106CB"/>
    <w:rsid w:val="00C108FC"/>
    <w:rsid w:val="00C10D88"/>
    <w:rsid w:val="00C12076"/>
    <w:rsid w:val="00C12E15"/>
    <w:rsid w:val="00C13C9D"/>
    <w:rsid w:val="00C17195"/>
    <w:rsid w:val="00C20E3F"/>
    <w:rsid w:val="00C236E8"/>
    <w:rsid w:val="00C2413E"/>
    <w:rsid w:val="00C255F4"/>
    <w:rsid w:val="00C2568C"/>
    <w:rsid w:val="00C266C0"/>
    <w:rsid w:val="00C27484"/>
    <w:rsid w:val="00C3002D"/>
    <w:rsid w:val="00C30923"/>
    <w:rsid w:val="00C311B7"/>
    <w:rsid w:val="00C31980"/>
    <w:rsid w:val="00C32A46"/>
    <w:rsid w:val="00C35D18"/>
    <w:rsid w:val="00C4406A"/>
    <w:rsid w:val="00C44B4D"/>
    <w:rsid w:val="00C4536D"/>
    <w:rsid w:val="00C52725"/>
    <w:rsid w:val="00C530F1"/>
    <w:rsid w:val="00C54A5F"/>
    <w:rsid w:val="00C576DD"/>
    <w:rsid w:val="00C60FCD"/>
    <w:rsid w:val="00C62B5B"/>
    <w:rsid w:val="00C64A09"/>
    <w:rsid w:val="00C714AF"/>
    <w:rsid w:val="00C7368B"/>
    <w:rsid w:val="00C73EA6"/>
    <w:rsid w:val="00C74AB7"/>
    <w:rsid w:val="00C75FB7"/>
    <w:rsid w:val="00C77033"/>
    <w:rsid w:val="00C848C4"/>
    <w:rsid w:val="00C84AF2"/>
    <w:rsid w:val="00C8695B"/>
    <w:rsid w:val="00C900E9"/>
    <w:rsid w:val="00C901CC"/>
    <w:rsid w:val="00C91397"/>
    <w:rsid w:val="00CA17F5"/>
    <w:rsid w:val="00CA1C28"/>
    <w:rsid w:val="00CA2B6E"/>
    <w:rsid w:val="00CA2F6B"/>
    <w:rsid w:val="00CA447C"/>
    <w:rsid w:val="00CA5CBD"/>
    <w:rsid w:val="00CA6B1B"/>
    <w:rsid w:val="00CB2166"/>
    <w:rsid w:val="00CB2BDE"/>
    <w:rsid w:val="00CB474A"/>
    <w:rsid w:val="00CB5F8C"/>
    <w:rsid w:val="00CC0F23"/>
    <w:rsid w:val="00CC367F"/>
    <w:rsid w:val="00CC58C1"/>
    <w:rsid w:val="00CC77B6"/>
    <w:rsid w:val="00CC7E8D"/>
    <w:rsid w:val="00CD46A9"/>
    <w:rsid w:val="00CD686A"/>
    <w:rsid w:val="00CE1351"/>
    <w:rsid w:val="00CE50D5"/>
    <w:rsid w:val="00CE7E59"/>
    <w:rsid w:val="00CF0D76"/>
    <w:rsid w:val="00CF1B0F"/>
    <w:rsid w:val="00CF2475"/>
    <w:rsid w:val="00CF459F"/>
    <w:rsid w:val="00CF4DC4"/>
    <w:rsid w:val="00CF5808"/>
    <w:rsid w:val="00CF70A9"/>
    <w:rsid w:val="00D06107"/>
    <w:rsid w:val="00D14693"/>
    <w:rsid w:val="00D14795"/>
    <w:rsid w:val="00D162F4"/>
    <w:rsid w:val="00D17321"/>
    <w:rsid w:val="00D177A9"/>
    <w:rsid w:val="00D23DAB"/>
    <w:rsid w:val="00D25046"/>
    <w:rsid w:val="00D2538F"/>
    <w:rsid w:val="00D265FD"/>
    <w:rsid w:val="00D26A0B"/>
    <w:rsid w:val="00D27A87"/>
    <w:rsid w:val="00D27D18"/>
    <w:rsid w:val="00D30818"/>
    <w:rsid w:val="00D329CE"/>
    <w:rsid w:val="00D33D4F"/>
    <w:rsid w:val="00D34171"/>
    <w:rsid w:val="00D347D5"/>
    <w:rsid w:val="00D3627E"/>
    <w:rsid w:val="00D37804"/>
    <w:rsid w:val="00D37EEF"/>
    <w:rsid w:val="00D4118C"/>
    <w:rsid w:val="00D466AD"/>
    <w:rsid w:val="00D469DF"/>
    <w:rsid w:val="00D51132"/>
    <w:rsid w:val="00D62609"/>
    <w:rsid w:val="00D673A8"/>
    <w:rsid w:val="00D7282B"/>
    <w:rsid w:val="00D7306D"/>
    <w:rsid w:val="00D736C0"/>
    <w:rsid w:val="00D75C71"/>
    <w:rsid w:val="00D76366"/>
    <w:rsid w:val="00D7659E"/>
    <w:rsid w:val="00D81168"/>
    <w:rsid w:val="00D83F77"/>
    <w:rsid w:val="00D864C6"/>
    <w:rsid w:val="00D87510"/>
    <w:rsid w:val="00D87D8F"/>
    <w:rsid w:val="00D90564"/>
    <w:rsid w:val="00D9268F"/>
    <w:rsid w:val="00D934EF"/>
    <w:rsid w:val="00D946B7"/>
    <w:rsid w:val="00DA44CC"/>
    <w:rsid w:val="00DA5DAF"/>
    <w:rsid w:val="00DB2002"/>
    <w:rsid w:val="00DB5769"/>
    <w:rsid w:val="00DC2420"/>
    <w:rsid w:val="00DD293F"/>
    <w:rsid w:val="00DD2E92"/>
    <w:rsid w:val="00DD44DB"/>
    <w:rsid w:val="00DD596D"/>
    <w:rsid w:val="00DD6E97"/>
    <w:rsid w:val="00DE0088"/>
    <w:rsid w:val="00DE0443"/>
    <w:rsid w:val="00DE1326"/>
    <w:rsid w:val="00DE5E9D"/>
    <w:rsid w:val="00DF2FA4"/>
    <w:rsid w:val="00DF309F"/>
    <w:rsid w:val="00DF3132"/>
    <w:rsid w:val="00DF31ED"/>
    <w:rsid w:val="00DF3C76"/>
    <w:rsid w:val="00DF549A"/>
    <w:rsid w:val="00E00241"/>
    <w:rsid w:val="00E1171E"/>
    <w:rsid w:val="00E1303A"/>
    <w:rsid w:val="00E130D9"/>
    <w:rsid w:val="00E161B3"/>
    <w:rsid w:val="00E17297"/>
    <w:rsid w:val="00E21265"/>
    <w:rsid w:val="00E25182"/>
    <w:rsid w:val="00E2598D"/>
    <w:rsid w:val="00E25B44"/>
    <w:rsid w:val="00E25D3F"/>
    <w:rsid w:val="00E26719"/>
    <w:rsid w:val="00E3037C"/>
    <w:rsid w:val="00E30A12"/>
    <w:rsid w:val="00E327C6"/>
    <w:rsid w:val="00E33DB5"/>
    <w:rsid w:val="00E3408D"/>
    <w:rsid w:val="00E37895"/>
    <w:rsid w:val="00E37BDE"/>
    <w:rsid w:val="00E41362"/>
    <w:rsid w:val="00E43146"/>
    <w:rsid w:val="00E44070"/>
    <w:rsid w:val="00E44936"/>
    <w:rsid w:val="00E47216"/>
    <w:rsid w:val="00E51C56"/>
    <w:rsid w:val="00E52637"/>
    <w:rsid w:val="00E54620"/>
    <w:rsid w:val="00E54B78"/>
    <w:rsid w:val="00E569A9"/>
    <w:rsid w:val="00E56E9B"/>
    <w:rsid w:val="00E60619"/>
    <w:rsid w:val="00E61829"/>
    <w:rsid w:val="00E629EB"/>
    <w:rsid w:val="00E62BA5"/>
    <w:rsid w:val="00E64FB2"/>
    <w:rsid w:val="00E72042"/>
    <w:rsid w:val="00E736D0"/>
    <w:rsid w:val="00E7426F"/>
    <w:rsid w:val="00E746FA"/>
    <w:rsid w:val="00E77B1B"/>
    <w:rsid w:val="00E83177"/>
    <w:rsid w:val="00E84447"/>
    <w:rsid w:val="00E848F7"/>
    <w:rsid w:val="00E84FCD"/>
    <w:rsid w:val="00E86349"/>
    <w:rsid w:val="00E86FA7"/>
    <w:rsid w:val="00E9237B"/>
    <w:rsid w:val="00E92619"/>
    <w:rsid w:val="00E93820"/>
    <w:rsid w:val="00E9584C"/>
    <w:rsid w:val="00E95AF3"/>
    <w:rsid w:val="00E96E68"/>
    <w:rsid w:val="00E96E94"/>
    <w:rsid w:val="00EA1341"/>
    <w:rsid w:val="00EA4078"/>
    <w:rsid w:val="00EA539A"/>
    <w:rsid w:val="00EA6A8E"/>
    <w:rsid w:val="00EA72B2"/>
    <w:rsid w:val="00EB1C5B"/>
    <w:rsid w:val="00EB312A"/>
    <w:rsid w:val="00EB7291"/>
    <w:rsid w:val="00EC0938"/>
    <w:rsid w:val="00EC33D5"/>
    <w:rsid w:val="00EC4E13"/>
    <w:rsid w:val="00EC66A9"/>
    <w:rsid w:val="00EC6BC0"/>
    <w:rsid w:val="00EC7675"/>
    <w:rsid w:val="00EC793C"/>
    <w:rsid w:val="00ED099C"/>
    <w:rsid w:val="00EE2E07"/>
    <w:rsid w:val="00EE4D21"/>
    <w:rsid w:val="00EE54A8"/>
    <w:rsid w:val="00EE7761"/>
    <w:rsid w:val="00EF1AF7"/>
    <w:rsid w:val="00EF21F9"/>
    <w:rsid w:val="00EF3009"/>
    <w:rsid w:val="00EF4025"/>
    <w:rsid w:val="00EF41D9"/>
    <w:rsid w:val="00EF6A70"/>
    <w:rsid w:val="00EF6DEF"/>
    <w:rsid w:val="00EF7112"/>
    <w:rsid w:val="00F01786"/>
    <w:rsid w:val="00F02C86"/>
    <w:rsid w:val="00F04967"/>
    <w:rsid w:val="00F04A59"/>
    <w:rsid w:val="00F04BB4"/>
    <w:rsid w:val="00F0649F"/>
    <w:rsid w:val="00F1167E"/>
    <w:rsid w:val="00F11D9E"/>
    <w:rsid w:val="00F14A75"/>
    <w:rsid w:val="00F15983"/>
    <w:rsid w:val="00F16037"/>
    <w:rsid w:val="00F167F5"/>
    <w:rsid w:val="00F20804"/>
    <w:rsid w:val="00F21417"/>
    <w:rsid w:val="00F21B7A"/>
    <w:rsid w:val="00F21E6A"/>
    <w:rsid w:val="00F22EB7"/>
    <w:rsid w:val="00F24170"/>
    <w:rsid w:val="00F24A89"/>
    <w:rsid w:val="00F3359E"/>
    <w:rsid w:val="00F33E8D"/>
    <w:rsid w:val="00F36E8A"/>
    <w:rsid w:val="00F3730B"/>
    <w:rsid w:val="00F3782D"/>
    <w:rsid w:val="00F408F8"/>
    <w:rsid w:val="00F40F5E"/>
    <w:rsid w:val="00F51363"/>
    <w:rsid w:val="00F53E09"/>
    <w:rsid w:val="00F54D8F"/>
    <w:rsid w:val="00F557BF"/>
    <w:rsid w:val="00F557CF"/>
    <w:rsid w:val="00F56B0B"/>
    <w:rsid w:val="00F62F18"/>
    <w:rsid w:val="00F6395D"/>
    <w:rsid w:val="00F6594A"/>
    <w:rsid w:val="00F67E06"/>
    <w:rsid w:val="00F71A24"/>
    <w:rsid w:val="00F73A95"/>
    <w:rsid w:val="00F73DE4"/>
    <w:rsid w:val="00F82F61"/>
    <w:rsid w:val="00F87C5D"/>
    <w:rsid w:val="00F92018"/>
    <w:rsid w:val="00F931C8"/>
    <w:rsid w:val="00F948C4"/>
    <w:rsid w:val="00F958D5"/>
    <w:rsid w:val="00FA0DEA"/>
    <w:rsid w:val="00FA4E9C"/>
    <w:rsid w:val="00FA5C9F"/>
    <w:rsid w:val="00FA6717"/>
    <w:rsid w:val="00FA6DCE"/>
    <w:rsid w:val="00FA6EA9"/>
    <w:rsid w:val="00FB1388"/>
    <w:rsid w:val="00FB2086"/>
    <w:rsid w:val="00FB20A1"/>
    <w:rsid w:val="00FB266E"/>
    <w:rsid w:val="00FB3B12"/>
    <w:rsid w:val="00FB7EBC"/>
    <w:rsid w:val="00FC1BF3"/>
    <w:rsid w:val="00FC2150"/>
    <w:rsid w:val="00FC24C9"/>
    <w:rsid w:val="00FC326B"/>
    <w:rsid w:val="00FC726B"/>
    <w:rsid w:val="00FD10C6"/>
    <w:rsid w:val="00FD1C78"/>
    <w:rsid w:val="00FD4620"/>
    <w:rsid w:val="00FD7E46"/>
    <w:rsid w:val="00FE3428"/>
    <w:rsid w:val="00FE3AB8"/>
    <w:rsid w:val="00FE3D0A"/>
    <w:rsid w:val="00FE505A"/>
    <w:rsid w:val="00FE7B0A"/>
    <w:rsid w:val="00FF24CC"/>
    <w:rsid w:val="00FF75C8"/>
    <w:rsid w:val="00FF78DB"/>
    <w:rsid w:val="010B3251"/>
    <w:rsid w:val="01135319"/>
    <w:rsid w:val="01185629"/>
    <w:rsid w:val="01412577"/>
    <w:rsid w:val="014760CF"/>
    <w:rsid w:val="014C17E7"/>
    <w:rsid w:val="014E5F3A"/>
    <w:rsid w:val="01541E5F"/>
    <w:rsid w:val="016C2D4F"/>
    <w:rsid w:val="01A36C84"/>
    <w:rsid w:val="01AC62C2"/>
    <w:rsid w:val="01B72F8E"/>
    <w:rsid w:val="01B8713D"/>
    <w:rsid w:val="01BD7F3C"/>
    <w:rsid w:val="01C30466"/>
    <w:rsid w:val="01EC64FE"/>
    <w:rsid w:val="021102C0"/>
    <w:rsid w:val="0224732D"/>
    <w:rsid w:val="022C524D"/>
    <w:rsid w:val="02360F7F"/>
    <w:rsid w:val="023A34E4"/>
    <w:rsid w:val="02451BDB"/>
    <w:rsid w:val="02454C77"/>
    <w:rsid w:val="02455400"/>
    <w:rsid w:val="024F5197"/>
    <w:rsid w:val="02551A35"/>
    <w:rsid w:val="02581525"/>
    <w:rsid w:val="025C1D5F"/>
    <w:rsid w:val="025F3723"/>
    <w:rsid w:val="02620983"/>
    <w:rsid w:val="02745073"/>
    <w:rsid w:val="028B2332"/>
    <w:rsid w:val="028B4851"/>
    <w:rsid w:val="02B477EC"/>
    <w:rsid w:val="02BD74E3"/>
    <w:rsid w:val="02BF2365"/>
    <w:rsid w:val="02D92666"/>
    <w:rsid w:val="02DD4FCB"/>
    <w:rsid w:val="02EF5021"/>
    <w:rsid w:val="02F068B7"/>
    <w:rsid w:val="02F461F7"/>
    <w:rsid w:val="032A6CC6"/>
    <w:rsid w:val="03320E40"/>
    <w:rsid w:val="035D7CC3"/>
    <w:rsid w:val="037E4F76"/>
    <w:rsid w:val="039D37B9"/>
    <w:rsid w:val="03A24FB8"/>
    <w:rsid w:val="03B06E66"/>
    <w:rsid w:val="03DD0530"/>
    <w:rsid w:val="03EF2CE9"/>
    <w:rsid w:val="040F3D0C"/>
    <w:rsid w:val="04132B98"/>
    <w:rsid w:val="041D17CF"/>
    <w:rsid w:val="04225728"/>
    <w:rsid w:val="04494B18"/>
    <w:rsid w:val="044F44C2"/>
    <w:rsid w:val="045C00A3"/>
    <w:rsid w:val="046E6DDE"/>
    <w:rsid w:val="046F57A6"/>
    <w:rsid w:val="047D665D"/>
    <w:rsid w:val="048823FD"/>
    <w:rsid w:val="0489702C"/>
    <w:rsid w:val="04962264"/>
    <w:rsid w:val="04972866"/>
    <w:rsid w:val="049F168E"/>
    <w:rsid w:val="04AD6E52"/>
    <w:rsid w:val="04C45F51"/>
    <w:rsid w:val="04DB5070"/>
    <w:rsid w:val="04E00053"/>
    <w:rsid w:val="04E03157"/>
    <w:rsid w:val="04E864D7"/>
    <w:rsid w:val="04F97A5F"/>
    <w:rsid w:val="05173421"/>
    <w:rsid w:val="051871AC"/>
    <w:rsid w:val="0529526E"/>
    <w:rsid w:val="053D096B"/>
    <w:rsid w:val="058E496B"/>
    <w:rsid w:val="058E77EE"/>
    <w:rsid w:val="059347EB"/>
    <w:rsid w:val="059B3928"/>
    <w:rsid w:val="059B5FCF"/>
    <w:rsid w:val="05A35969"/>
    <w:rsid w:val="05AB6C9C"/>
    <w:rsid w:val="05B62759"/>
    <w:rsid w:val="05C375FE"/>
    <w:rsid w:val="06115F14"/>
    <w:rsid w:val="06181A7E"/>
    <w:rsid w:val="062563DB"/>
    <w:rsid w:val="063446BA"/>
    <w:rsid w:val="06361B7E"/>
    <w:rsid w:val="066A35A8"/>
    <w:rsid w:val="066E7569"/>
    <w:rsid w:val="066F3954"/>
    <w:rsid w:val="06AE292B"/>
    <w:rsid w:val="06B65CD0"/>
    <w:rsid w:val="06C9729F"/>
    <w:rsid w:val="06CC11DC"/>
    <w:rsid w:val="06CD339A"/>
    <w:rsid w:val="06DB2D93"/>
    <w:rsid w:val="06E53DBD"/>
    <w:rsid w:val="071427CE"/>
    <w:rsid w:val="071C366B"/>
    <w:rsid w:val="072A7934"/>
    <w:rsid w:val="07380693"/>
    <w:rsid w:val="07534F71"/>
    <w:rsid w:val="07640FE3"/>
    <w:rsid w:val="07651C3E"/>
    <w:rsid w:val="0772408F"/>
    <w:rsid w:val="077C1481"/>
    <w:rsid w:val="078738E5"/>
    <w:rsid w:val="07C350FC"/>
    <w:rsid w:val="07E0038B"/>
    <w:rsid w:val="07E22343"/>
    <w:rsid w:val="07E63290"/>
    <w:rsid w:val="07F0331B"/>
    <w:rsid w:val="07F330AF"/>
    <w:rsid w:val="082519CD"/>
    <w:rsid w:val="082940FA"/>
    <w:rsid w:val="083815F3"/>
    <w:rsid w:val="0849009F"/>
    <w:rsid w:val="08591B53"/>
    <w:rsid w:val="08680D99"/>
    <w:rsid w:val="086D17A6"/>
    <w:rsid w:val="087B01EC"/>
    <w:rsid w:val="08980B81"/>
    <w:rsid w:val="089B22B1"/>
    <w:rsid w:val="08A37219"/>
    <w:rsid w:val="08C71104"/>
    <w:rsid w:val="08D60E0C"/>
    <w:rsid w:val="08EE549F"/>
    <w:rsid w:val="08F929D4"/>
    <w:rsid w:val="08F9463F"/>
    <w:rsid w:val="09071E76"/>
    <w:rsid w:val="090919EB"/>
    <w:rsid w:val="090B5646"/>
    <w:rsid w:val="092E3A4F"/>
    <w:rsid w:val="0937247C"/>
    <w:rsid w:val="0941189C"/>
    <w:rsid w:val="09480DFD"/>
    <w:rsid w:val="0978513B"/>
    <w:rsid w:val="097B235C"/>
    <w:rsid w:val="097E023F"/>
    <w:rsid w:val="098C76F4"/>
    <w:rsid w:val="09905A49"/>
    <w:rsid w:val="09DB4584"/>
    <w:rsid w:val="09DE49C3"/>
    <w:rsid w:val="09F56C35"/>
    <w:rsid w:val="0A0B5E4F"/>
    <w:rsid w:val="0A202BDB"/>
    <w:rsid w:val="0A312E98"/>
    <w:rsid w:val="0A4970DF"/>
    <w:rsid w:val="0A643FF9"/>
    <w:rsid w:val="0A71097F"/>
    <w:rsid w:val="0A76322F"/>
    <w:rsid w:val="0A804025"/>
    <w:rsid w:val="0A817AC5"/>
    <w:rsid w:val="0A947529"/>
    <w:rsid w:val="0A9E23A2"/>
    <w:rsid w:val="0AAA070D"/>
    <w:rsid w:val="0AB03154"/>
    <w:rsid w:val="0AC2744D"/>
    <w:rsid w:val="0AC6595D"/>
    <w:rsid w:val="0ACD49DD"/>
    <w:rsid w:val="0ADC601D"/>
    <w:rsid w:val="0B052C79"/>
    <w:rsid w:val="0B2F2F05"/>
    <w:rsid w:val="0B760218"/>
    <w:rsid w:val="0B814064"/>
    <w:rsid w:val="0B8E5F07"/>
    <w:rsid w:val="0BB71C78"/>
    <w:rsid w:val="0BC344B8"/>
    <w:rsid w:val="0BC36BAC"/>
    <w:rsid w:val="0BCA7E13"/>
    <w:rsid w:val="0BD13EDE"/>
    <w:rsid w:val="0BD87233"/>
    <w:rsid w:val="0C0B0A36"/>
    <w:rsid w:val="0C0B5801"/>
    <w:rsid w:val="0C0E5A61"/>
    <w:rsid w:val="0C18189B"/>
    <w:rsid w:val="0C250C89"/>
    <w:rsid w:val="0C322C54"/>
    <w:rsid w:val="0C384C2D"/>
    <w:rsid w:val="0C3C45A5"/>
    <w:rsid w:val="0C3E5B11"/>
    <w:rsid w:val="0C433C4C"/>
    <w:rsid w:val="0C4A6E3B"/>
    <w:rsid w:val="0C594918"/>
    <w:rsid w:val="0C5C6470"/>
    <w:rsid w:val="0C624075"/>
    <w:rsid w:val="0C721C12"/>
    <w:rsid w:val="0C932E62"/>
    <w:rsid w:val="0CAA3B17"/>
    <w:rsid w:val="0CCD775F"/>
    <w:rsid w:val="0CCF1C67"/>
    <w:rsid w:val="0CDB0E3A"/>
    <w:rsid w:val="0CEC5B65"/>
    <w:rsid w:val="0CFE2CC9"/>
    <w:rsid w:val="0D33083B"/>
    <w:rsid w:val="0D3A7BF6"/>
    <w:rsid w:val="0D3D1A44"/>
    <w:rsid w:val="0D5720D6"/>
    <w:rsid w:val="0D943D26"/>
    <w:rsid w:val="0D9D6643"/>
    <w:rsid w:val="0DA4265D"/>
    <w:rsid w:val="0DDD1D89"/>
    <w:rsid w:val="0DE5766B"/>
    <w:rsid w:val="0E217715"/>
    <w:rsid w:val="0E230543"/>
    <w:rsid w:val="0E262E77"/>
    <w:rsid w:val="0E4E0519"/>
    <w:rsid w:val="0E775145"/>
    <w:rsid w:val="0E7D62A0"/>
    <w:rsid w:val="0E862666"/>
    <w:rsid w:val="0E894029"/>
    <w:rsid w:val="0E9519F4"/>
    <w:rsid w:val="0E970006"/>
    <w:rsid w:val="0EA351E9"/>
    <w:rsid w:val="0EB23591"/>
    <w:rsid w:val="0EC54F95"/>
    <w:rsid w:val="0EE15C9A"/>
    <w:rsid w:val="0F121DB0"/>
    <w:rsid w:val="0F2C4AE3"/>
    <w:rsid w:val="0F4916F4"/>
    <w:rsid w:val="0F4D3DD2"/>
    <w:rsid w:val="0F615F71"/>
    <w:rsid w:val="0F6C03BE"/>
    <w:rsid w:val="0F716409"/>
    <w:rsid w:val="0F9242C9"/>
    <w:rsid w:val="0F961439"/>
    <w:rsid w:val="0F995909"/>
    <w:rsid w:val="0FB74BD2"/>
    <w:rsid w:val="0FBD4832"/>
    <w:rsid w:val="0FDE334F"/>
    <w:rsid w:val="0FE73EF4"/>
    <w:rsid w:val="10086C08"/>
    <w:rsid w:val="100A4622"/>
    <w:rsid w:val="101C4C40"/>
    <w:rsid w:val="10216D79"/>
    <w:rsid w:val="10323DD1"/>
    <w:rsid w:val="10331D1F"/>
    <w:rsid w:val="10362ED7"/>
    <w:rsid w:val="103A7EF0"/>
    <w:rsid w:val="10456598"/>
    <w:rsid w:val="104E1DDF"/>
    <w:rsid w:val="10AC2212"/>
    <w:rsid w:val="10AD1CE9"/>
    <w:rsid w:val="10B87347"/>
    <w:rsid w:val="10C94242"/>
    <w:rsid w:val="10DB5671"/>
    <w:rsid w:val="10E906BE"/>
    <w:rsid w:val="10F65BB2"/>
    <w:rsid w:val="10FD7E68"/>
    <w:rsid w:val="10FE38DC"/>
    <w:rsid w:val="110E410B"/>
    <w:rsid w:val="110E44B0"/>
    <w:rsid w:val="1111746F"/>
    <w:rsid w:val="111C694E"/>
    <w:rsid w:val="111E4A51"/>
    <w:rsid w:val="11234C44"/>
    <w:rsid w:val="112722D1"/>
    <w:rsid w:val="11274EE5"/>
    <w:rsid w:val="112C65D5"/>
    <w:rsid w:val="113B087D"/>
    <w:rsid w:val="11760EA5"/>
    <w:rsid w:val="117D320D"/>
    <w:rsid w:val="11863F32"/>
    <w:rsid w:val="119D1432"/>
    <w:rsid w:val="11A258BC"/>
    <w:rsid w:val="11A560B7"/>
    <w:rsid w:val="11A675AA"/>
    <w:rsid w:val="11AF7BEF"/>
    <w:rsid w:val="11B01290"/>
    <w:rsid w:val="11F22FD8"/>
    <w:rsid w:val="12103BB7"/>
    <w:rsid w:val="121E1215"/>
    <w:rsid w:val="122B27B2"/>
    <w:rsid w:val="122D5C93"/>
    <w:rsid w:val="122D61E0"/>
    <w:rsid w:val="122D65C3"/>
    <w:rsid w:val="123C5EC2"/>
    <w:rsid w:val="124679B3"/>
    <w:rsid w:val="124A041A"/>
    <w:rsid w:val="126A332D"/>
    <w:rsid w:val="12706417"/>
    <w:rsid w:val="12791A6B"/>
    <w:rsid w:val="129A55BA"/>
    <w:rsid w:val="12A93FDD"/>
    <w:rsid w:val="12AB6F21"/>
    <w:rsid w:val="12AE685D"/>
    <w:rsid w:val="12E47B36"/>
    <w:rsid w:val="12E62CF7"/>
    <w:rsid w:val="12E70326"/>
    <w:rsid w:val="12ED6E01"/>
    <w:rsid w:val="12F22931"/>
    <w:rsid w:val="12F549DA"/>
    <w:rsid w:val="12FD68C7"/>
    <w:rsid w:val="1327073B"/>
    <w:rsid w:val="13273320"/>
    <w:rsid w:val="132D60B6"/>
    <w:rsid w:val="13524E04"/>
    <w:rsid w:val="13531FC1"/>
    <w:rsid w:val="13556AB7"/>
    <w:rsid w:val="13594C6D"/>
    <w:rsid w:val="135C230F"/>
    <w:rsid w:val="13842771"/>
    <w:rsid w:val="13BB16CB"/>
    <w:rsid w:val="13C66C37"/>
    <w:rsid w:val="13D12EE6"/>
    <w:rsid w:val="13E02B4C"/>
    <w:rsid w:val="13EB1F9D"/>
    <w:rsid w:val="140B6DFF"/>
    <w:rsid w:val="141D098F"/>
    <w:rsid w:val="14261254"/>
    <w:rsid w:val="143E4201"/>
    <w:rsid w:val="144C07BE"/>
    <w:rsid w:val="14504ADF"/>
    <w:rsid w:val="145942DE"/>
    <w:rsid w:val="145E3EFA"/>
    <w:rsid w:val="14626B51"/>
    <w:rsid w:val="14711557"/>
    <w:rsid w:val="14A03622"/>
    <w:rsid w:val="14AE09F5"/>
    <w:rsid w:val="14C0465F"/>
    <w:rsid w:val="14C37EF3"/>
    <w:rsid w:val="14D90D9A"/>
    <w:rsid w:val="14DB7BA0"/>
    <w:rsid w:val="1507525E"/>
    <w:rsid w:val="151B6B0E"/>
    <w:rsid w:val="152E1374"/>
    <w:rsid w:val="152E46BB"/>
    <w:rsid w:val="15334E58"/>
    <w:rsid w:val="1545025A"/>
    <w:rsid w:val="1548703D"/>
    <w:rsid w:val="154D4A2D"/>
    <w:rsid w:val="154F2ADA"/>
    <w:rsid w:val="155467B9"/>
    <w:rsid w:val="15633FEB"/>
    <w:rsid w:val="15697F6D"/>
    <w:rsid w:val="15987BD3"/>
    <w:rsid w:val="15A451BB"/>
    <w:rsid w:val="15B04FE5"/>
    <w:rsid w:val="15B55E9F"/>
    <w:rsid w:val="15C61C55"/>
    <w:rsid w:val="15CA107C"/>
    <w:rsid w:val="15EE0CC0"/>
    <w:rsid w:val="15F86715"/>
    <w:rsid w:val="1600259C"/>
    <w:rsid w:val="16227C7A"/>
    <w:rsid w:val="163B5D63"/>
    <w:rsid w:val="16525527"/>
    <w:rsid w:val="166632A8"/>
    <w:rsid w:val="16925C65"/>
    <w:rsid w:val="16957C35"/>
    <w:rsid w:val="16A70971"/>
    <w:rsid w:val="16A7566D"/>
    <w:rsid w:val="16AE2143"/>
    <w:rsid w:val="16B32E16"/>
    <w:rsid w:val="16BD0B5E"/>
    <w:rsid w:val="16CD47FE"/>
    <w:rsid w:val="16DD6BE8"/>
    <w:rsid w:val="16E742E5"/>
    <w:rsid w:val="16E91748"/>
    <w:rsid w:val="16ED2ED8"/>
    <w:rsid w:val="16F72FE9"/>
    <w:rsid w:val="170344B7"/>
    <w:rsid w:val="17362267"/>
    <w:rsid w:val="1739327C"/>
    <w:rsid w:val="173F5012"/>
    <w:rsid w:val="17465510"/>
    <w:rsid w:val="17570670"/>
    <w:rsid w:val="17752957"/>
    <w:rsid w:val="17843C78"/>
    <w:rsid w:val="179539B3"/>
    <w:rsid w:val="17A11B1A"/>
    <w:rsid w:val="17A8018F"/>
    <w:rsid w:val="17BD3500"/>
    <w:rsid w:val="17C56CB2"/>
    <w:rsid w:val="17E71D96"/>
    <w:rsid w:val="17F21C0F"/>
    <w:rsid w:val="17F60AD4"/>
    <w:rsid w:val="181E2545"/>
    <w:rsid w:val="18226012"/>
    <w:rsid w:val="182A68C4"/>
    <w:rsid w:val="182E2225"/>
    <w:rsid w:val="184D6CCD"/>
    <w:rsid w:val="18982224"/>
    <w:rsid w:val="189A5F9C"/>
    <w:rsid w:val="18A26F81"/>
    <w:rsid w:val="18A91971"/>
    <w:rsid w:val="18D40C27"/>
    <w:rsid w:val="18E10285"/>
    <w:rsid w:val="18F63582"/>
    <w:rsid w:val="1917478C"/>
    <w:rsid w:val="1925076B"/>
    <w:rsid w:val="193F52C7"/>
    <w:rsid w:val="195E6AFC"/>
    <w:rsid w:val="19767A36"/>
    <w:rsid w:val="19845827"/>
    <w:rsid w:val="19891E26"/>
    <w:rsid w:val="19965C3B"/>
    <w:rsid w:val="19995FEF"/>
    <w:rsid w:val="19B06428"/>
    <w:rsid w:val="19B24017"/>
    <w:rsid w:val="19B5474D"/>
    <w:rsid w:val="19B7394B"/>
    <w:rsid w:val="19C6215B"/>
    <w:rsid w:val="19C7004D"/>
    <w:rsid w:val="19D1087E"/>
    <w:rsid w:val="19D41C35"/>
    <w:rsid w:val="1A023DF9"/>
    <w:rsid w:val="1A0A1868"/>
    <w:rsid w:val="1A0F2BBB"/>
    <w:rsid w:val="1A2B5153"/>
    <w:rsid w:val="1A3D7527"/>
    <w:rsid w:val="1A4841F6"/>
    <w:rsid w:val="1A5F2FF9"/>
    <w:rsid w:val="1A6266B1"/>
    <w:rsid w:val="1A6B75C1"/>
    <w:rsid w:val="1A6F4C7E"/>
    <w:rsid w:val="1A7828B8"/>
    <w:rsid w:val="1A8020C3"/>
    <w:rsid w:val="1A815B98"/>
    <w:rsid w:val="1A8E0A25"/>
    <w:rsid w:val="1A952EBF"/>
    <w:rsid w:val="1ABB634D"/>
    <w:rsid w:val="1ABD4F6B"/>
    <w:rsid w:val="1ABE4F37"/>
    <w:rsid w:val="1AD07418"/>
    <w:rsid w:val="1AE12880"/>
    <w:rsid w:val="1AE76412"/>
    <w:rsid w:val="1AF73E39"/>
    <w:rsid w:val="1B0822A1"/>
    <w:rsid w:val="1B23671D"/>
    <w:rsid w:val="1B2A04B8"/>
    <w:rsid w:val="1B405D79"/>
    <w:rsid w:val="1B4F12C0"/>
    <w:rsid w:val="1B541E65"/>
    <w:rsid w:val="1B644FBE"/>
    <w:rsid w:val="1B6C2B1A"/>
    <w:rsid w:val="1B762CF0"/>
    <w:rsid w:val="1B794315"/>
    <w:rsid w:val="1B7E6473"/>
    <w:rsid w:val="1B9542BC"/>
    <w:rsid w:val="1B9C5626"/>
    <w:rsid w:val="1BC111D7"/>
    <w:rsid w:val="1BDF5C99"/>
    <w:rsid w:val="1BE45F55"/>
    <w:rsid w:val="1BEE19EA"/>
    <w:rsid w:val="1BF97687"/>
    <w:rsid w:val="1C090CA8"/>
    <w:rsid w:val="1C0C48EF"/>
    <w:rsid w:val="1C144689"/>
    <w:rsid w:val="1C4A30B1"/>
    <w:rsid w:val="1C4A55AD"/>
    <w:rsid w:val="1C4E2C2F"/>
    <w:rsid w:val="1C4F5BA6"/>
    <w:rsid w:val="1C6F7B8D"/>
    <w:rsid w:val="1C887C1C"/>
    <w:rsid w:val="1CA53FD8"/>
    <w:rsid w:val="1CAF5288"/>
    <w:rsid w:val="1CBC7D45"/>
    <w:rsid w:val="1CD5220D"/>
    <w:rsid w:val="1CDB39FF"/>
    <w:rsid w:val="1CDC33EA"/>
    <w:rsid w:val="1CDF6673"/>
    <w:rsid w:val="1CE93C9D"/>
    <w:rsid w:val="1CE974F2"/>
    <w:rsid w:val="1CF74ED1"/>
    <w:rsid w:val="1D034A1B"/>
    <w:rsid w:val="1D0C724A"/>
    <w:rsid w:val="1D14451E"/>
    <w:rsid w:val="1D1B0675"/>
    <w:rsid w:val="1D2C1952"/>
    <w:rsid w:val="1D401E7C"/>
    <w:rsid w:val="1D5B00C8"/>
    <w:rsid w:val="1D5C2BCA"/>
    <w:rsid w:val="1D63115F"/>
    <w:rsid w:val="1D6A6625"/>
    <w:rsid w:val="1D761F6D"/>
    <w:rsid w:val="1DA7437D"/>
    <w:rsid w:val="1DC3584A"/>
    <w:rsid w:val="1DD83C00"/>
    <w:rsid w:val="1DE53F6E"/>
    <w:rsid w:val="1DF423B5"/>
    <w:rsid w:val="1E0167F0"/>
    <w:rsid w:val="1E062A89"/>
    <w:rsid w:val="1E200A0C"/>
    <w:rsid w:val="1E396D5E"/>
    <w:rsid w:val="1E3B509B"/>
    <w:rsid w:val="1E422DCD"/>
    <w:rsid w:val="1E4C6A06"/>
    <w:rsid w:val="1E705716"/>
    <w:rsid w:val="1E762002"/>
    <w:rsid w:val="1E946CAF"/>
    <w:rsid w:val="1E96141D"/>
    <w:rsid w:val="1EA17B80"/>
    <w:rsid w:val="1EBC40B5"/>
    <w:rsid w:val="1EBE413C"/>
    <w:rsid w:val="1EC324C6"/>
    <w:rsid w:val="1EC80AFE"/>
    <w:rsid w:val="1ECF6725"/>
    <w:rsid w:val="1ED609B5"/>
    <w:rsid w:val="1EE07CF1"/>
    <w:rsid w:val="1EE81709"/>
    <w:rsid w:val="1EEC3166"/>
    <w:rsid w:val="1F1046BD"/>
    <w:rsid w:val="1F1202A0"/>
    <w:rsid w:val="1F150B21"/>
    <w:rsid w:val="1F1A4A70"/>
    <w:rsid w:val="1F1B27B9"/>
    <w:rsid w:val="1F220E80"/>
    <w:rsid w:val="1F3A07F9"/>
    <w:rsid w:val="1F5F375D"/>
    <w:rsid w:val="1F64439F"/>
    <w:rsid w:val="1F791110"/>
    <w:rsid w:val="1F7D1A7A"/>
    <w:rsid w:val="1F7F15FB"/>
    <w:rsid w:val="1F853B4E"/>
    <w:rsid w:val="1FAC7B25"/>
    <w:rsid w:val="1FAE3E88"/>
    <w:rsid w:val="1FB11828"/>
    <w:rsid w:val="201160F9"/>
    <w:rsid w:val="2011735E"/>
    <w:rsid w:val="20271012"/>
    <w:rsid w:val="203D6492"/>
    <w:rsid w:val="2053420E"/>
    <w:rsid w:val="206E7307"/>
    <w:rsid w:val="207A194A"/>
    <w:rsid w:val="208B1FB8"/>
    <w:rsid w:val="208C3E81"/>
    <w:rsid w:val="2093738A"/>
    <w:rsid w:val="20A63C3D"/>
    <w:rsid w:val="20B52003"/>
    <w:rsid w:val="20CF4055"/>
    <w:rsid w:val="20DB35F6"/>
    <w:rsid w:val="20FB548E"/>
    <w:rsid w:val="20FC3516"/>
    <w:rsid w:val="21016838"/>
    <w:rsid w:val="211875B6"/>
    <w:rsid w:val="21211AEC"/>
    <w:rsid w:val="21243E24"/>
    <w:rsid w:val="2126611F"/>
    <w:rsid w:val="2144625F"/>
    <w:rsid w:val="214D2F3E"/>
    <w:rsid w:val="21503EE9"/>
    <w:rsid w:val="215108FA"/>
    <w:rsid w:val="216A5288"/>
    <w:rsid w:val="21914BDF"/>
    <w:rsid w:val="21A16099"/>
    <w:rsid w:val="21A44AD3"/>
    <w:rsid w:val="21AC474F"/>
    <w:rsid w:val="21B60D96"/>
    <w:rsid w:val="21C5599A"/>
    <w:rsid w:val="21C873C6"/>
    <w:rsid w:val="21D85A61"/>
    <w:rsid w:val="21E73283"/>
    <w:rsid w:val="21FB6384"/>
    <w:rsid w:val="220B6D2D"/>
    <w:rsid w:val="22282379"/>
    <w:rsid w:val="224935F6"/>
    <w:rsid w:val="224E4C81"/>
    <w:rsid w:val="225D7D10"/>
    <w:rsid w:val="22827C17"/>
    <w:rsid w:val="228E7B0F"/>
    <w:rsid w:val="229569DE"/>
    <w:rsid w:val="22AA5908"/>
    <w:rsid w:val="22B639B7"/>
    <w:rsid w:val="22BE3A86"/>
    <w:rsid w:val="22CA0E2D"/>
    <w:rsid w:val="22EB219D"/>
    <w:rsid w:val="22EF4620"/>
    <w:rsid w:val="230D64BA"/>
    <w:rsid w:val="23187D6B"/>
    <w:rsid w:val="232D5D5D"/>
    <w:rsid w:val="232E2103"/>
    <w:rsid w:val="233174F1"/>
    <w:rsid w:val="23356C71"/>
    <w:rsid w:val="234F5D1E"/>
    <w:rsid w:val="23511BBD"/>
    <w:rsid w:val="235278E2"/>
    <w:rsid w:val="23895957"/>
    <w:rsid w:val="23963260"/>
    <w:rsid w:val="239A286B"/>
    <w:rsid w:val="239E61DC"/>
    <w:rsid w:val="23D75967"/>
    <w:rsid w:val="23EA3A5D"/>
    <w:rsid w:val="23FF13A9"/>
    <w:rsid w:val="24057CF1"/>
    <w:rsid w:val="24073700"/>
    <w:rsid w:val="241A3187"/>
    <w:rsid w:val="241D35CB"/>
    <w:rsid w:val="241F1A4B"/>
    <w:rsid w:val="242E6397"/>
    <w:rsid w:val="242F6132"/>
    <w:rsid w:val="243E46A6"/>
    <w:rsid w:val="244A6CD8"/>
    <w:rsid w:val="244C5FBF"/>
    <w:rsid w:val="24741728"/>
    <w:rsid w:val="24760F1F"/>
    <w:rsid w:val="248F097F"/>
    <w:rsid w:val="24CA6C8E"/>
    <w:rsid w:val="24D33D37"/>
    <w:rsid w:val="24D551C2"/>
    <w:rsid w:val="24D664D1"/>
    <w:rsid w:val="24D8608F"/>
    <w:rsid w:val="24E372C9"/>
    <w:rsid w:val="24EF6316"/>
    <w:rsid w:val="24F23FCB"/>
    <w:rsid w:val="24FB1B6E"/>
    <w:rsid w:val="24FB7DC2"/>
    <w:rsid w:val="24FD7366"/>
    <w:rsid w:val="25207829"/>
    <w:rsid w:val="252B275E"/>
    <w:rsid w:val="255810AA"/>
    <w:rsid w:val="255D3C9C"/>
    <w:rsid w:val="256B13EC"/>
    <w:rsid w:val="25755DC7"/>
    <w:rsid w:val="258353D7"/>
    <w:rsid w:val="258B4548"/>
    <w:rsid w:val="25956469"/>
    <w:rsid w:val="25D7018F"/>
    <w:rsid w:val="260D56BF"/>
    <w:rsid w:val="26263EB4"/>
    <w:rsid w:val="26421C47"/>
    <w:rsid w:val="26621D57"/>
    <w:rsid w:val="26680C8E"/>
    <w:rsid w:val="266D56D5"/>
    <w:rsid w:val="26764D65"/>
    <w:rsid w:val="26805443"/>
    <w:rsid w:val="26916DC9"/>
    <w:rsid w:val="269867F5"/>
    <w:rsid w:val="269C607B"/>
    <w:rsid w:val="26B87422"/>
    <w:rsid w:val="26C22FE2"/>
    <w:rsid w:val="26E50D2A"/>
    <w:rsid w:val="2706779E"/>
    <w:rsid w:val="27084A19"/>
    <w:rsid w:val="27131A27"/>
    <w:rsid w:val="271A7202"/>
    <w:rsid w:val="271B1790"/>
    <w:rsid w:val="27293DBF"/>
    <w:rsid w:val="274C6A10"/>
    <w:rsid w:val="2755710A"/>
    <w:rsid w:val="27623821"/>
    <w:rsid w:val="27632EE8"/>
    <w:rsid w:val="276B4B90"/>
    <w:rsid w:val="278510AC"/>
    <w:rsid w:val="2795721C"/>
    <w:rsid w:val="27A17800"/>
    <w:rsid w:val="27A9576F"/>
    <w:rsid w:val="27A961FC"/>
    <w:rsid w:val="27B81492"/>
    <w:rsid w:val="27B90089"/>
    <w:rsid w:val="27C46C19"/>
    <w:rsid w:val="27DD38E7"/>
    <w:rsid w:val="27E2432D"/>
    <w:rsid w:val="27EE4507"/>
    <w:rsid w:val="28083753"/>
    <w:rsid w:val="282867FB"/>
    <w:rsid w:val="283A464C"/>
    <w:rsid w:val="28425787"/>
    <w:rsid w:val="28746F02"/>
    <w:rsid w:val="28756281"/>
    <w:rsid w:val="287B2660"/>
    <w:rsid w:val="288051AE"/>
    <w:rsid w:val="288E4849"/>
    <w:rsid w:val="28A164B8"/>
    <w:rsid w:val="28A618C9"/>
    <w:rsid w:val="28C00D29"/>
    <w:rsid w:val="28CF515C"/>
    <w:rsid w:val="28FD02C4"/>
    <w:rsid w:val="290C0220"/>
    <w:rsid w:val="29124DF2"/>
    <w:rsid w:val="291E2106"/>
    <w:rsid w:val="291F4F54"/>
    <w:rsid w:val="292006F3"/>
    <w:rsid w:val="29466532"/>
    <w:rsid w:val="29486FEB"/>
    <w:rsid w:val="29552A36"/>
    <w:rsid w:val="295D7F92"/>
    <w:rsid w:val="295E4DC4"/>
    <w:rsid w:val="296C52CF"/>
    <w:rsid w:val="297732AA"/>
    <w:rsid w:val="29904D79"/>
    <w:rsid w:val="299A5855"/>
    <w:rsid w:val="299F686F"/>
    <w:rsid w:val="29B35110"/>
    <w:rsid w:val="29BF2DB3"/>
    <w:rsid w:val="29C03402"/>
    <w:rsid w:val="29D25583"/>
    <w:rsid w:val="29DC0A6F"/>
    <w:rsid w:val="29FC3DED"/>
    <w:rsid w:val="2A206DDC"/>
    <w:rsid w:val="2A3D34DB"/>
    <w:rsid w:val="2A3F72A6"/>
    <w:rsid w:val="2A441EE0"/>
    <w:rsid w:val="2A5E32CD"/>
    <w:rsid w:val="2A5E6B23"/>
    <w:rsid w:val="2A763E68"/>
    <w:rsid w:val="2AA1013F"/>
    <w:rsid w:val="2AAF705C"/>
    <w:rsid w:val="2AC115D1"/>
    <w:rsid w:val="2AC341E7"/>
    <w:rsid w:val="2AC57C68"/>
    <w:rsid w:val="2ACB25A7"/>
    <w:rsid w:val="2ADD06EC"/>
    <w:rsid w:val="2AE73DEB"/>
    <w:rsid w:val="2AF84366"/>
    <w:rsid w:val="2B0A0D5F"/>
    <w:rsid w:val="2B22578F"/>
    <w:rsid w:val="2B310A8A"/>
    <w:rsid w:val="2B472552"/>
    <w:rsid w:val="2B551E1E"/>
    <w:rsid w:val="2B55457C"/>
    <w:rsid w:val="2B5B5105"/>
    <w:rsid w:val="2B5C20D8"/>
    <w:rsid w:val="2B5E510B"/>
    <w:rsid w:val="2B6E1F74"/>
    <w:rsid w:val="2B876854"/>
    <w:rsid w:val="2B8C666C"/>
    <w:rsid w:val="2B9806D5"/>
    <w:rsid w:val="2BA27974"/>
    <w:rsid w:val="2BCA0757"/>
    <w:rsid w:val="2BDB6308"/>
    <w:rsid w:val="2BDB7638"/>
    <w:rsid w:val="2BFE3303"/>
    <w:rsid w:val="2C033417"/>
    <w:rsid w:val="2C0B7BC3"/>
    <w:rsid w:val="2C324805"/>
    <w:rsid w:val="2C36281C"/>
    <w:rsid w:val="2C3B3354"/>
    <w:rsid w:val="2C3C3543"/>
    <w:rsid w:val="2C4445F8"/>
    <w:rsid w:val="2CBB6832"/>
    <w:rsid w:val="2CC004EA"/>
    <w:rsid w:val="2CC47DA8"/>
    <w:rsid w:val="2CCF7935"/>
    <w:rsid w:val="2CE14444"/>
    <w:rsid w:val="2CEA6D74"/>
    <w:rsid w:val="2D275921"/>
    <w:rsid w:val="2D656946"/>
    <w:rsid w:val="2D6B1768"/>
    <w:rsid w:val="2D720E3E"/>
    <w:rsid w:val="2D7743FE"/>
    <w:rsid w:val="2D9035E4"/>
    <w:rsid w:val="2D9D14C2"/>
    <w:rsid w:val="2DB15E0A"/>
    <w:rsid w:val="2DB86793"/>
    <w:rsid w:val="2DBC13D4"/>
    <w:rsid w:val="2DD07F22"/>
    <w:rsid w:val="2DE85931"/>
    <w:rsid w:val="2DED049E"/>
    <w:rsid w:val="2DF5112F"/>
    <w:rsid w:val="2DF56BBB"/>
    <w:rsid w:val="2DF77DBF"/>
    <w:rsid w:val="2DFE6086"/>
    <w:rsid w:val="2E0028ED"/>
    <w:rsid w:val="2E236314"/>
    <w:rsid w:val="2E537109"/>
    <w:rsid w:val="2E6C5840"/>
    <w:rsid w:val="2E751DAE"/>
    <w:rsid w:val="2E7D4F34"/>
    <w:rsid w:val="2E7F1508"/>
    <w:rsid w:val="2EBE7A38"/>
    <w:rsid w:val="2EBF4EE5"/>
    <w:rsid w:val="2EC369AF"/>
    <w:rsid w:val="2EC61B28"/>
    <w:rsid w:val="2ECA5B45"/>
    <w:rsid w:val="2ECE02F6"/>
    <w:rsid w:val="2ED2313B"/>
    <w:rsid w:val="2EE101C1"/>
    <w:rsid w:val="2EE36CED"/>
    <w:rsid w:val="2EE51BDD"/>
    <w:rsid w:val="2F1A580E"/>
    <w:rsid w:val="2F326AD7"/>
    <w:rsid w:val="2F411819"/>
    <w:rsid w:val="2F472F3F"/>
    <w:rsid w:val="2F85326E"/>
    <w:rsid w:val="2F8A3679"/>
    <w:rsid w:val="2F99379A"/>
    <w:rsid w:val="2FB233CF"/>
    <w:rsid w:val="2FBC6CD6"/>
    <w:rsid w:val="2FE53482"/>
    <w:rsid w:val="2FE97570"/>
    <w:rsid w:val="30027B95"/>
    <w:rsid w:val="300B0D59"/>
    <w:rsid w:val="302F220E"/>
    <w:rsid w:val="30336FAA"/>
    <w:rsid w:val="3038225E"/>
    <w:rsid w:val="30530088"/>
    <w:rsid w:val="30D35321"/>
    <w:rsid w:val="30DA1D41"/>
    <w:rsid w:val="30E60779"/>
    <w:rsid w:val="30ED53AB"/>
    <w:rsid w:val="30EE4CCC"/>
    <w:rsid w:val="310774DB"/>
    <w:rsid w:val="31445105"/>
    <w:rsid w:val="314A194A"/>
    <w:rsid w:val="315135D9"/>
    <w:rsid w:val="31612800"/>
    <w:rsid w:val="316C34F9"/>
    <w:rsid w:val="31B06987"/>
    <w:rsid w:val="31B625C3"/>
    <w:rsid w:val="31C13A38"/>
    <w:rsid w:val="31D31C30"/>
    <w:rsid w:val="31DA2F13"/>
    <w:rsid w:val="31F213C6"/>
    <w:rsid w:val="32170104"/>
    <w:rsid w:val="321D7F33"/>
    <w:rsid w:val="32254F5A"/>
    <w:rsid w:val="322F4596"/>
    <w:rsid w:val="32306CB3"/>
    <w:rsid w:val="32364B30"/>
    <w:rsid w:val="326C0F21"/>
    <w:rsid w:val="328453F3"/>
    <w:rsid w:val="32981B5A"/>
    <w:rsid w:val="329C245B"/>
    <w:rsid w:val="32EC0B27"/>
    <w:rsid w:val="32ED7679"/>
    <w:rsid w:val="32EF1AD0"/>
    <w:rsid w:val="32FF4D91"/>
    <w:rsid w:val="331C5AD4"/>
    <w:rsid w:val="3356628B"/>
    <w:rsid w:val="335F2C9A"/>
    <w:rsid w:val="337002E0"/>
    <w:rsid w:val="33727C42"/>
    <w:rsid w:val="338F44D7"/>
    <w:rsid w:val="33B33B51"/>
    <w:rsid w:val="33CD3480"/>
    <w:rsid w:val="33D54183"/>
    <w:rsid w:val="33DE722D"/>
    <w:rsid w:val="33F53437"/>
    <w:rsid w:val="341D7D55"/>
    <w:rsid w:val="343135F4"/>
    <w:rsid w:val="34384B8F"/>
    <w:rsid w:val="343E5688"/>
    <w:rsid w:val="347A3ECA"/>
    <w:rsid w:val="348E0A85"/>
    <w:rsid w:val="348F7B63"/>
    <w:rsid w:val="34B23803"/>
    <w:rsid w:val="34C5521E"/>
    <w:rsid w:val="34DA71BC"/>
    <w:rsid w:val="34DD662F"/>
    <w:rsid w:val="34E4685B"/>
    <w:rsid w:val="34EB6DF8"/>
    <w:rsid w:val="34EF4883"/>
    <w:rsid w:val="35115659"/>
    <w:rsid w:val="3529707F"/>
    <w:rsid w:val="3530548F"/>
    <w:rsid w:val="35315FCF"/>
    <w:rsid w:val="354757DC"/>
    <w:rsid w:val="355370EB"/>
    <w:rsid w:val="35550CDB"/>
    <w:rsid w:val="355D7BF4"/>
    <w:rsid w:val="35665A65"/>
    <w:rsid w:val="3575596F"/>
    <w:rsid w:val="358A446C"/>
    <w:rsid w:val="359E086E"/>
    <w:rsid w:val="35A9364A"/>
    <w:rsid w:val="35B20EFF"/>
    <w:rsid w:val="35B9319F"/>
    <w:rsid w:val="35C27B86"/>
    <w:rsid w:val="35DB7D98"/>
    <w:rsid w:val="35E6061B"/>
    <w:rsid w:val="35EE26F1"/>
    <w:rsid w:val="362676D4"/>
    <w:rsid w:val="36550AEB"/>
    <w:rsid w:val="36574C8D"/>
    <w:rsid w:val="36626C27"/>
    <w:rsid w:val="366B6306"/>
    <w:rsid w:val="3685329B"/>
    <w:rsid w:val="36954A77"/>
    <w:rsid w:val="36AB68A9"/>
    <w:rsid w:val="36F7616B"/>
    <w:rsid w:val="36F823B4"/>
    <w:rsid w:val="36F9386F"/>
    <w:rsid w:val="3701025A"/>
    <w:rsid w:val="370F2084"/>
    <w:rsid w:val="371313C7"/>
    <w:rsid w:val="371634BE"/>
    <w:rsid w:val="37203651"/>
    <w:rsid w:val="372F50B7"/>
    <w:rsid w:val="37371DF9"/>
    <w:rsid w:val="37441682"/>
    <w:rsid w:val="375D7D52"/>
    <w:rsid w:val="376D7F8A"/>
    <w:rsid w:val="377D6D5D"/>
    <w:rsid w:val="37A343F9"/>
    <w:rsid w:val="37A4592B"/>
    <w:rsid w:val="37D80A8E"/>
    <w:rsid w:val="37D97769"/>
    <w:rsid w:val="37F46AEE"/>
    <w:rsid w:val="381C0324"/>
    <w:rsid w:val="381E027B"/>
    <w:rsid w:val="38362847"/>
    <w:rsid w:val="386B4E07"/>
    <w:rsid w:val="3875150B"/>
    <w:rsid w:val="387E6F7D"/>
    <w:rsid w:val="388303A3"/>
    <w:rsid w:val="3888158A"/>
    <w:rsid w:val="389417B9"/>
    <w:rsid w:val="389B6B4E"/>
    <w:rsid w:val="38A9615A"/>
    <w:rsid w:val="38BF4441"/>
    <w:rsid w:val="38CA359A"/>
    <w:rsid w:val="38D1063F"/>
    <w:rsid w:val="38EB7D4D"/>
    <w:rsid w:val="38EC6FC5"/>
    <w:rsid w:val="38F57A81"/>
    <w:rsid w:val="38F7405A"/>
    <w:rsid w:val="390503EC"/>
    <w:rsid w:val="390D423A"/>
    <w:rsid w:val="3919300E"/>
    <w:rsid w:val="3930052B"/>
    <w:rsid w:val="39432B77"/>
    <w:rsid w:val="394E64FB"/>
    <w:rsid w:val="3952100E"/>
    <w:rsid w:val="395C0180"/>
    <w:rsid w:val="396D596D"/>
    <w:rsid w:val="397D2973"/>
    <w:rsid w:val="398B650A"/>
    <w:rsid w:val="399272E0"/>
    <w:rsid w:val="39983F81"/>
    <w:rsid w:val="39A54752"/>
    <w:rsid w:val="39A86866"/>
    <w:rsid w:val="39A90CBA"/>
    <w:rsid w:val="39A957C6"/>
    <w:rsid w:val="39AD3D9E"/>
    <w:rsid w:val="39C0784A"/>
    <w:rsid w:val="39C3752B"/>
    <w:rsid w:val="39D6309F"/>
    <w:rsid w:val="3A0C0C49"/>
    <w:rsid w:val="3A1C4F96"/>
    <w:rsid w:val="3A3011E1"/>
    <w:rsid w:val="3A3824CE"/>
    <w:rsid w:val="3A445910"/>
    <w:rsid w:val="3A4532C6"/>
    <w:rsid w:val="3A52570B"/>
    <w:rsid w:val="3A6745EE"/>
    <w:rsid w:val="3A7B560E"/>
    <w:rsid w:val="3A853DBE"/>
    <w:rsid w:val="3A9768D3"/>
    <w:rsid w:val="3AB02FA5"/>
    <w:rsid w:val="3ACB15D1"/>
    <w:rsid w:val="3AD21B41"/>
    <w:rsid w:val="3AE0088E"/>
    <w:rsid w:val="3AE82FE2"/>
    <w:rsid w:val="3AEC57FD"/>
    <w:rsid w:val="3B0948AC"/>
    <w:rsid w:val="3B1106DB"/>
    <w:rsid w:val="3B251017"/>
    <w:rsid w:val="3B483703"/>
    <w:rsid w:val="3B4E4520"/>
    <w:rsid w:val="3B702E61"/>
    <w:rsid w:val="3B917000"/>
    <w:rsid w:val="3BA775F0"/>
    <w:rsid w:val="3BB20390"/>
    <w:rsid w:val="3BB26E2E"/>
    <w:rsid w:val="3BF0568D"/>
    <w:rsid w:val="3BF24F7B"/>
    <w:rsid w:val="3BF642A6"/>
    <w:rsid w:val="3C0A2795"/>
    <w:rsid w:val="3C0E26E6"/>
    <w:rsid w:val="3C126DA0"/>
    <w:rsid w:val="3C1B17C1"/>
    <w:rsid w:val="3C215C0F"/>
    <w:rsid w:val="3C2853C8"/>
    <w:rsid w:val="3C373913"/>
    <w:rsid w:val="3C472DAE"/>
    <w:rsid w:val="3C565F7D"/>
    <w:rsid w:val="3C7A4D7C"/>
    <w:rsid w:val="3C8865D1"/>
    <w:rsid w:val="3C8A1F5C"/>
    <w:rsid w:val="3C8C4E56"/>
    <w:rsid w:val="3CB00A5E"/>
    <w:rsid w:val="3CC80E2E"/>
    <w:rsid w:val="3CCC60CE"/>
    <w:rsid w:val="3CEE78B0"/>
    <w:rsid w:val="3D076FFA"/>
    <w:rsid w:val="3D0F65E2"/>
    <w:rsid w:val="3D146DD3"/>
    <w:rsid w:val="3D7D2811"/>
    <w:rsid w:val="3D8250CD"/>
    <w:rsid w:val="3D8A56FD"/>
    <w:rsid w:val="3D8D1656"/>
    <w:rsid w:val="3DB949B3"/>
    <w:rsid w:val="3DBC58F4"/>
    <w:rsid w:val="3DD15C08"/>
    <w:rsid w:val="3DD36AC6"/>
    <w:rsid w:val="3DE7275D"/>
    <w:rsid w:val="3DFD3A82"/>
    <w:rsid w:val="3E0A7C3D"/>
    <w:rsid w:val="3E45714C"/>
    <w:rsid w:val="3E556ACF"/>
    <w:rsid w:val="3E587CE5"/>
    <w:rsid w:val="3E636882"/>
    <w:rsid w:val="3EAA66DB"/>
    <w:rsid w:val="3EB220F7"/>
    <w:rsid w:val="3ED505EA"/>
    <w:rsid w:val="3EDB13DE"/>
    <w:rsid w:val="3EDE1EF2"/>
    <w:rsid w:val="3EEE5285"/>
    <w:rsid w:val="3F0321C3"/>
    <w:rsid w:val="3F2B2C7C"/>
    <w:rsid w:val="3F327BFC"/>
    <w:rsid w:val="3F4C64B2"/>
    <w:rsid w:val="3F591D3C"/>
    <w:rsid w:val="3FA73041"/>
    <w:rsid w:val="3FBA0B4E"/>
    <w:rsid w:val="3FBB4F3F"/>
    <w:rsid w:val="3FF01152"/>
    <w:rsid w:val="3FF07330"/>
    <w:rsid w:val="3FF341ED"/>
    <w:rsid w:val="40050AA9"/>
    <w:rsid w:val="401864BF"/>
    <w:rsid w:val="402300FD"/>
    <w:rsid w:val="402850D6"/>
    <w:rsid w:val="403A014B"/>
    <w:rsid w:val="40580136"/>
    <w:rsid w:val="406531FD"/>
    <w:rsid w:val="410138D6"/>
    <w:rsid w:val="415D73A8"/>
    <w:rsid w:val="41613183"/>
    <w:rsid w:val="41613DD8"/>
    <w:rsid w:val="41691ABE"/>
    <w:rsid w:val="417F4425"/>
    <w:rsid w:val="419024AE"/>
    <w:rsid w:val="419C6756"/>
    <w:rsid w:val="41C07281"/>
    <w:rsid w:val="41C834AF"/>
    <w:rsid w:val="41D0160B"/>
    <w:rsid w:val="42182615"/>
    <w:rsid w:val="422B0630"/>
    <w:rsid w:val="423F4946"/>
    <w:rsid w:val="424C1B5F"/>
    <w:rsid w:val="4257692F"/>
    <w:rsid w:val="42644F43"/>
    <w:rsid w:val="4272113C"/>
    <w:rsid w:val="42CC543B"/>
    <w:rsid w:val="42CF6401"/>
    <w:rsid w:val="42D22950"/>
    <w:rsid w:val="42D96C5A"/>
    <w:rsid w:val="42E14644"/>
    <w:rsid w:val="42EF6212"/>
    <w:rsid w:val="42F66F50"/>
    <w:rsid w:val="43091F22"/>
    <w:rsid w:val="43130E5D"/>
    <w:rsid w:val="43195B7B"/>
    <w:rsid w:val="43354E11"/>
    <w:rsid w:val="435408A1"/>
    <w:rsid w:val="436E7A23"/>
    <w:rsid w:val="438F1EE6"/>
    <w:rsid w:val="439243A4"/>
    <w:rsid w:val="43DD305D"/>
    <w:rsid w:val="43E22677"/>
    <w:rsid w:val="43F9762E"/>
    <w:rsid w:val="441A1202"/>
    <w:rsid w:val="442028B9"/>
    <w:rsid w:val="442C25A3"/>
    <w:rsid w:val="44372A9D"/>
    <w:rsid w:val="443A2268"/>
    <w:rsid w:val="443A4987"/>
    <w:rsid w:val="44AA518A"/>
    <w:rsid w:val="44B66EE6"/>
    <w:rsid w:val="44FE2748"/>
    <w:rsid w:val="452E6C6E"/>
    <w:rsid w:val="455227A8"/>
    <w:rsid w:val="4552465A"/>
    <w:rsid w:val="455D3F07"/>
    <w:rsid w:val="457E4F5C"/>
    <w:rsid w:val="45903123"/>
    <w:rsid w:val="45933E8A"/>
    <w:rsid w:val="45965BB9"/>
    <w:rsid w:val="45D02414"/>
    <w:rsid w:val="45EE7C0F"/>
    <w:rsid w:val="45F24ED7"/>
    <w:rsid w:val="461A5106"/>
    <w:rsid w:val="465741D5"/>
    <w:rsid w:val="466218D3"/>
    <w:rsid w:val="466730B2"/>
    <w:rsid w:val="46693CA0"/>
    <w:rsid w:val="466C3A26"/>
    <w:rsid w:val="468D12EA"/>
    <w:rsid w:val="46A56C56"/>
    <w:rsid w:val="46AE53E0"/>
    <w:rsid w:val="46B27CDE"/>
    <w:rsid w:val="46C10F45"/>
    <w:rsid w:val="46C14D13"/>
    <w:rsid w:val="46D70238"/>
    <w:rsid w:val="46EF2707"/>
    <w:rsid w:val="46EF5D6B"/>
    <w:rsid w:val="46EF7F27"/>
    <w:rsid w:val="470067F5"/>
    <w:rsid w:val="470111C6"/>
    <w:rsid w:val="4726714C"/>
    <w:rsid w:val="472A5166"/>
    <w:rsid w:val="472B0CA1"/>
    <w:rsid w:val="472F1E22"/>
    <w:rsid w:val="47363975"/>
    <w:rsid w:val="4755433F"/>
    <w:rsid w:val="475734CE"/>
    <w:rsid w:val="476F5068"/>
    <w:rsid w:val="479F24CF"/>
    <w:rsid w:val="47AE13AF"/>
    <w:rsid w:val="47ED73E6"/>
    <w:rsid w:val="47FF4B61"/>
    <w:rsid w:val="48055C38"/>
    <w:rsid w:val="48303FFD"/>
    <w:rsid w:val="48496F13"/>
    <w:rsid w:val="486702D3"/>
    <w:rsid w:val="48742BBF"/>
    <w:rsid w:val="48AF7EBC"/>
    <w:rsid w:val="48CB25C0"/>
    <w:rsid w:val="48CD44C4"/>
    <w:rsid w:val="48DE2FE7"/>
    <w:rsid w:val="48EA52EA"/>
    <w:rsid w:val="49057561"/>
    <w:rsid w:val="49103B16"/>
    <w:rsid w:val="492C67C4"/>
    <w:rsid w:val="492F0879"/>
    <w:rsid w:val="49311755"/>
    <w:rsid w:val="49487290"/>
    <w:rsid w:val="494F6B2B"/>
    <w:rsid w:val="49573057"/>
    <w:rsid w:val="4967026E"/>
    <w:rsid w:val="496E4757"/>
    <w:rsid w:val="497D65E2"/>
    <w:rsid w:val="49954A57"/>
    <w:rsid w:val="49A00386"/>
    <w:rsid w:val="49B42F3D"/>
    <w:rsid w:val="49C03205"/>
    <w:rsid w:val="49D968AD"/>
    <w:rsid w:val="49DA2AF1"/>
    <w:rsid w:val="49DA4E89"/>
    <w:rsid w:val="49E343F2"/>
    <w:rsid w:val="49ED23F8"/>
    <w:rsid w:val="4A0A1DA9"/>
    <w:rsid w:val="4A0C644A"/>
    <w:rsid w:val="4A1E7AA1"/>
    <w:rsid w:val="4A485415"/>
    <w:rsid w:val="4A61240A"/>
    <w:rsid w:val="4A6475E6"/>
    <w:rsid w:val="4A9F4B39"/>
    <w:rsid w:val="4AAE12AF"/>
    <w:rsid w:val="4AB443EC"/>
    <w:rsid w:val="4AC25120"/>
    <w:rsid w:val="4ACC730B"/>
    <w:rsid w:val="4ACE34DA"/>
    <w:rsid w:val="4AD91F38"/>
    <w:rsid w:val="4B0233A9"/>
    <w:rsid w:val="4B294DDA"/>
    <w:rsid w:val="4B8901F2"/>
    <w:rsid w:val="4B8B1474"/>
    <w:rsid w:val="4B8E705A"/>
    <w:rsid w:val="4B99592E"/>
    <w:rsid w:val="4BA32514"/>
    <w:rsid w:val="4BC477E7"/>
    <w:rsid w:val="4BCA1891"/>
    <w:rsid w:val="4BD842DC"/>
    <w:rsid w:val="4BDA3B7C"/>
    <w:rsid w:val="4BE70BE8"/>
    <w:rsid w:val="4BE84CA6"/>
    <w:rsid w:val="4C4243A5"/>
    <w:rsid w:val="4C4462FE"/>
    <w:rsid w:val="4C525D47"/>
    <w:rsid w:val="4C8379B4"/>
    <w:rsid w:val="4CA12D07"/>
    <w:rsid w:val="4CA56685"/>
    <w:rsid w:val="4CBA1C75"/>
    <w:rsid w:val="4CC77DC9"/>
    <w:rsid w:val="4CCB20C7"/>
    <w:rsid w:val="4CD16755"/>
    <w:rsid w:val="4CD72854"/>
    <w:rsid w:val="4CE81B40"/>
    <w:rsid w:val="4CED3CB4"/>
    <w:rsid w:val="4CF60ECE"/>
    <w:rsid w:val="4D07631A"/>
    <w:rsid w:val="4D101B77"/>
    <w:rsid w:val="4D1F606D"/>
    <w:rsid w:val="4D3A78A2"/>
    <w:rsid w:val="4D602AE2"/>
    <w:rsid w:val="4D632267"/>
    <w:rsid w:val="4D7128DD"/>
    <w:rsid w:val="4D7952D5"/>
    <w:rsid w:val="4D812CAB"/>
    <w:rsid w:val="4DA81EEF"/>
    <w:rsid w:val="4DAC6E51"/>
    <w:rsid w:val="4DAF24CE"/>
    <w:rsid w:val="4DAF29BE"/>
    <w:rsid w:val="4DC540DE"/>
    <w:rsid w:val="4DCF1001"/>
    <w:rsid w:val="4DD07015"/>
    <w:rsid w:val="4DF0155C"/>
    <w:rsid w:val="4E1D2AE6"/>
    <w:rsid w:val="4E375A60"/>
    <w:rsid w:val="4E3E2434"/>
    <w:rsid w:val="4E3E651E"/>
    <w:rsid w:val="4E5161F2"/>
    <w:rsid w:val="4E585C33"/>
    <w:rsid w:val="4E5A0E2F"/>
    <w:rsid w:val="4E5A58A1"/>
    <w:rsid w:val="4E6D0570"/>
    <w:rsid w:val="4E8E0835"/>
    <w:rsid w:val="4ED77CE9"/>
    <w:rsid w:val="4EDF6805"/>
    <w:rsid w:val="4EF134FA"/>
    <w:rsid w:val="4EFD55F3"/>
    <w:rsid w:val="4F0224ED"/>
    <w:rsid w:val="4F1A31C4"/>
    <w:rsid w:val="4F2935FA"/>
    <w:rsid w:val="4F2F6B1B"/>
    <w:rsid w:val="4F3B332E"/>
    <w:rsid w:val="4F494165"/>
    <w:rsid w:val="4F4D2AC1"/>
    <w:rsid w:val="4F50355E"/>
    <w:rsid w:val="4F5C409A"/>
    <w:rsid w:val="4F671BD3"/>
    <w:rsid w:val="4F676B5A"/>
    <w:rsid w:val="4F7739D8"/>
    <w:rsid w:val="4F7F183C"/>
    <w:rsid w:val="4FA6214C"/>
    <w:rsid w:val="4FAE3C18"/>
    <w:rsid w:val="4FB42D6F"/>
    <w:rsid w:val="4FC034D1"/>
    <w:rsid w:val="4FCB6460"/>
    <w:rsid w:val="4FD23C8B"/>
    <w:rsid w:val="4FEA5817"/>
    <w:rsid w:val="50045EB0"/>
    <w:rsid w:val="500A78D3"/>
    <w:rsid w:val="500C28DF"/>
    <w:rsid w:val="50330BC6"/>
    <w:rsid w:val="503C2BD4"/>
    <w:rsid w:val="50496F89"/>
    <w:rsid w:val="505928B7"/>
    <w:rsid w:val="50687F2F"/>
    <w:rsid w:val="509A094B"/>
    <w:rsid w:val="50A22D2A"/>
    <w:rsid w:val="50A360D4"/>
    <w:rsid w:val="50A67B3A"/>
    <w:rsid w:val="50B31032"/>
    <w:rsid w:val="50BD72AB"/>
    <w:rsid w:val="50C962A4"/>
    <w:rsid w:val="50D57E8D"/>
    <w:rsid w:val="50E0232C"/>
    <w:rsid w:val="50F45000"/>
    <w:rsid w:val="50FE399F"/>
    <w:rsid w:val="51280B92"/>
    <w:rsid w:val="51365076"/>
    <w:rsid w:val="51526790"/>
    <w:rsid w:val="51677C7C"/>
    <w:rsid w:val="518411A9"/>
    <w:rsid w:val="51A85DA5"/>
    <w:rsid w:val="51A95486"/>
    <w:rsid w:val="51AB323F"/>
    <w:rsid w:val="51AC2D8C"/>
    <w:rsid w:val="51B167EB"/>
    <w:rsid w:val="51B476C7"/>
    <w:rsid w:val="51B7368A"/>
    <w:rsid w:val="51BE40E0"/>
    <w:rsid w:val="51C567B1"/>
    <w:rsid w:val="51CF5A0E"/>
    <w:rsid w:val="51D3252B"/>
    <w:rsid w:val="51E965D8"/>
    <w:rsid w:val="52134AE2"/>
    <w:rsid w:val="52192EC2"/>
    <w:rsid w:val="521C26B4"/>
    <w:rsid w:val="52255D74"/>
    <w:rsid w:val="523B2264"/>
    <w:rsid w:val="524E374B"/>
    <w:rsid w:val="524F49A8"/>
    <w:rsid w:val="52581E25"/>
    <w:rsid w:val="525E3E43"/>
    <w:rsid w:val="52662124"/>
    <w:rsid w:val="52770B21"/>
    <w:rsid w:val="52805020"/>
    <w:rsid w:val="52906CDD"/>
    <w:rsid w:val="5299354E"/>
    <w:rsid w:val="529F0854"/>
    <w:rsid w:val="52B563AA"/>
    <w:rsid w:val="52C23632"/>
    <w:rsid w:val="52CE016A"/>
    <w:rsid w:val="52CF312D"/>
    <w:rsid w:val="52D87BFA"/>
    <w:rsid w:val="52DD79AF"/>
    <w:rsid w:val="52DE163F"/>
    <w:rsid w:val="53000691"/>
    <w:rsid w:val="530436DD"/>
    <w:rsid w:val="5316339E"/>
    <w:rsid w:val="532D65CD"/>
    <w:rsid w:val="53416AE4"/>
    <w:rsid w:val="534B6094"/>
    <w:rsid w:val="535B3F9E"/>
    <w:rsid w:val="537213DE"/>
    <w:rsid w:val="5373753A"/>
    <w:rsid w:val="53755AB6"/>
    <w:rsid w:val="53765649"/>
    <w:rsid w:val="537B453F"/>
    <w:rsid w:val="53830AE9"/>
    <w:rsid w:val="538520C2"/>
    <w:rsid w:val="53884348"/>
    <w:rsid w:val="538C49EB"/>
    <w:rsid w:val="53965E65"/>
    <w:rsid w:val="539B2E82"/>
    <w:rsid w:val="53A96B68"/>
    <w:rsid w:val="53F15A14"/>
    <w:rsid w:val="53F219FD"/>
    <w:rsid w:val="53F82911"/>
    <w:rsid w:val="540F4CEF"/>
    <w:rsid w:val="542D16A3"/>
    <w:rsid w:val="543336A8"/>
    <w:rsid w:val="54366D03"/>
    <w:rsid w:val="545E2120"/>
    <w:rsid w:val="545E3D46"/>
    <w:rsid w:val="546E6BFF"/>
    <w:rsid w:val="549C6E75"/>
    <w:rsid w:val="54A216E3"/>
    <w:rsid w:val="54A93CF3"/>
    <w:rsid w:val="54AC5747"/>
    <w:rsid w:val="54B8163D"/>
    <w:rsid w:val="54C33E7A"/>
    <w:rsid w:val="54CA0677"/>
    <w:rsid w:val="54DF5356"/>
    <w:rsid w:val="54F6654C"/>
    <w:rsid w:val="550C37A2"/>
    <w:rsid w:val="55222EE8"/>
    <w:rsid w:val="553227F1"/>
    <w:rsid w:val="554C1EFF"/>
    <w:rsid w:val="55596211"/>
    <w:rsid w:val="55647E29"/>
    <w:rsid w:val="556722F3"/>
    <w:rsid w:val="557F1478"/>
    <w:rsid w:val="55A16B26"/>
    <w:rsid w:val="55EF5521"/>
    <w:rsid w:val="560A6F64"/>
    <w:rsid w:val="561F3BF6"/>
    <w:rsid w:val="5621137D"/>
    <w:rsid w:val="56580614"/>
    <w:rsid w:val="56581D4F"/>
    <w:rsid w:val="565D36AC"/>
    <w:rsid w:val="56691AD1"/>
    <w:rsid w:val="566B5B49"/>
    <w:rsid w:val="567E247E"/>
    <w:rsid w:val="56880E74"/>
    <w:rsid w:val="56986B9C"/>
    <w:rsid w:val="56A67681"/>
    <w:rsid w:val="56B6090A"/>
    <w:rsid w:val="56D75B32"/>
    <w:rsid w:val="56F551F5"/>
    <w:rsid w:val="57003E89"/>
    <w:rsid w:val="570B7A8A"/>
    <w:rsid w:val="570D0F77"/>
    <w:rsid w:val="570E6751"/>
    <w:rsid w:val="572B7FE9"/>
    <w:rsid w:val="573A53F2"/>
    <w:rsid w:val="57592455"/>
    <w:rsid w:val="575932D9"/>
    <w:rsid w:val="57656856"/>
    <w:rsid w:val="5789104A"/>
    <w:rsid w:val="579267E8"/>
    <w:rsid w:val="57B24BDD"/>
    <w:rsid w:val="57CA4712"/>
    <w:rsid w:val="57CD3163"/>
    <w:rsid w:val="57CE77B8"/>
    <w:rsid w:val="57ED7D21"/>
    <w:rsid w:val="57EE0F72"/>
    <w:rsid w:val="57F80680"/>
    <w:rsid w:val="57FE059D"/>
    <w:rsid w:val="58167DB2"/>
    <w:rsid w:val="582F4F70"/>
    <w:rsid w:val="58347AE3"/>
    <w:rsid w:val="583752B1"/>
    <w:rsid w:val="583C1DFC"/>
    <w:rsid w:val="586C27AA"/>
    <w:rsid w:val="586E7E05"/>
    <w:rsid w:val="586F6D89"/>
    <w:rsid w:val="58726493"/>
    <w:rsid w:val="58952BA8"/>
    <w:rsid w:val="58B30879"/>
    <w:rsid w:val="58C14D1B"/>
    <w:rsid w:val="58FC11B0"/>
    <w:rsid w:val="59022CE9"/>
    <w:rsid w:val="590305D5"/>
    <w:rsid w:val="59081A9C"/>
    <w:rsid w:val="590F1D92"/>
    <w:rsid w:val="593701A6"/>
    <w:rsid w:val="594658A7"/>
    <w:rsid w:val="59536F77"/>
    <w:rsid w:val="596365AC"/>
    <w:rsid w:val="596F2552"/>
    <w:rsid w:val="597B47FC"/>
    <w:rsid w:val="59893E6E"/>
    <w:rsid w:val="598A6C22"/>
    <w:rsid w:val="599041AC"/>
    <w:rsid w:val="59985375"/>
    <w:rsid w:val="59A138AD"/>
    <w:rsid w:val="59C259C8"/>
    <w:rsid w:val="59CC60C7"/>
    <w:rsid w:val="59FE7432"/>
    <w:rsid w:val="5A126D99"/>
    <w:rsid w:val="5A212A54"/>
    <w:rsid w:val="5A312CF9"/>
    <w:rsid w:val="5A32457C"/>
    <w:rsid w:val="5A43479C"/>
    <w:rsid w:val="5A4847EA"/>
    <w:rsid w:val="5A627886"/>
    <w:rsid w:val="5A7B3BAD"/>
    <w:rsid w:val="5A7F4A16"/>
    <w:rsid w:val="5A920F62"/>
    <w:rsid w:val="5AA01C8C"/>
    <w:rsid w:val="5AA75BC5"/>
    <w:rsid w:val="5AA930BB"/>
    <w:rsid w:val="5AAE0598"/>
    <w:rsid w:val="5AB03735"/>
    <w:rsid w:val="5AC369FE"/>
    <w:rsid w:val="5AC46501"/>
    <w:rsid w:val="5AC6374A"/>
    <w:rsid w:val="5AD05214"/>
    <w:rsid w:val="5B151236"/>
    <w:rsid w:val="5B2037B0"/>
    <w:rsid w:val="5B2D2BFB"/>
    <w:rsid w:val="5B444A1A"/>
    <w:rsid w:val="5B553ACC"/>
    <w:rsid w:val="5B564EB4"/>
    <w:rsid w:val="5B706485"/>
    <w:rsid w:val="5B977B3E"/>
    <w:rsid w:val="5B9C7E98"/>
    <w:rsid w:val="5BAC0A09"/>
    <w:rsid w:val="5BB23BD1"/>
    <w:rsid w:val="5BBB7BD4"/>
    <w:rsid w:val="5BBE156E"/>
    <w:rsid w:val="5BC965E5"/>
    <w:rsid w:val="5BD45B85"/>
    <w:rsid w:val="5C05752E"/>
    <w:rsid w:val="5C0A6069"/>
    <w:rsid w:val="5C11407D"/>
    <w:rsid w:val="5C4F3973"/>
    <w:rsid w:val="5C791C1C"/>
    <w:rsid w:val="5C8E06D8"/>
    <w:rsid w:val="5C8F3298"/>
    <w:rsid w:val="5CA245BA"/>
    <w:rsid w:val="5CB9004B"/>
    <w:rsid w:val="5CC11A32"/>
    <w:rsid w:val="5CD572EF"/>
    <w:rsid w:val="5CE12B72"/>
    <w:rsid w:val="5D01455E"/>
    <w:rsid w:val="5D043FF0"/>
    <w:rsid w:val="5D05775C"/>
    <w:rsid w:val="5D0622F1"/>
    <w:rsid w:val="5D2522FB"/>
    <w:rsid w:val="5D2D075A"/>
    <w:rsid w:val="5D363985"/>
    <w:rsid w:val="5D391027"/>
    <w:rsid w:val="5D445C8F"/>
    <w:rsid w:val="5D4535FE"/>
    <w:rsid w:val="5D6D57A8"/>
    <w:rsid w:val="5D716920"/>
    <w:rsid w:val="5D7F0AF2"/>
    <w:rsid w:val="5D836244"/>
    <w:rsid w:val="5D8F6525"/>
    <w:rsid w:val="5D905CD5"/>
    <w:rsid w:val="5D99286F"/>
    <w:rsid w:val="5D9D385C"/>
    <w:rsid w:val="5D9D6119"/>
    <w:rsid w:val="5DA11DA7"/>
    <w:rsid w:val="5DA32805"/>
    <w:rsid w:val="5DA41E94"/>
    <w:rsid w:val="5DA80252"/>
    <w:rsid w:val="5DC670B8"/>
    <w:rsid w:val="5DD2296A"/>
    <w:rsid w:val="5DD34205"/>
    <w:rsid w:val="5DD61D04"/>
    <w:rsid w:val="5DED1760"/>
    <w:rsid w:val="5DF748C4"/>
    <w:rsid w:val="5DFE7EB0"/>
    <w:rsid w:val="5E0445D8"/>
    <w:rsid w:val="5E07270F"/>
    <w:rsid w:val="5E0769BB"/>
    <w:rsid w:val="5E082AAD"/>
    <w:rsid w:val="5E211C41"/>
    <w:rsid w:val="5E213151"/>
    <w:rsid w:val="5E244DF9"/>
    <w:rsid w:val="5E2E6A55"/>
    <w:rsid w:val="5E3254E4"/>
    <w:rsid w:val="5E457D25"/>
    <w:rsid w:val="5E6D66A7"/>
    <w:rsid w:val="5E8672FD"/>
    <w:rsid w:val="5EBE1E5D"/>
    <w:rsid w:val="5EE4753E"/>
    <w:rsid w:val="5EF0286E"/>
    <w:rsid w:val="5EF75916"/>
    <w:rsid w:val="5EFA24D0"/>
    <w:rsid w:val="5F085D58"/>
    <w:rsid w:val="5F100333"/>
    <w:rsid w:val="5F1A101C"/>
    <w:rsid w:val="5F1C5B22"/>
    <w:rsid w:val="5F2E6A0B"/>
    <w:rsid w:val="5F4104AC"/>
    <w:rsid w:val="5F424E12"/>
    <w:rsid w:val="5F534047"/>
    <w:rsid w:val="5F553F98"/>
    <w:rsid w:val="5F603FCD"/>
    <w:rsid w:val="5F631EAF"/>
    <w:rsid w:val="5F76036D"/>
    <w:rsid w:val="5F853FCC"/>
    <w:rsid w:val="5F960998"/>
    <w:rsid w:val="5F962864"/>
    <w:rsid w:val="5FB26FAF"/>
    <w:rsid w:val="5FBC4017"/>
    <w:rsid w:val="5FC60D9F"/>
    <w:rsid w:val="5FC90072"/>
    <w:rsid w:val="5FD12A1E"/>
    <w:rsid w:val="5FDB5D14"/>
    <w:rsid w:val="5FE915F6"/>
    <w:rsid w:val="60251956"/>
    <w:rsid w:val="602876DC"/>
    <w:rsid w:val="60356AD7"/>
    <w:rsid w:val="60413872"/>
    <w:rsid w:val="606624AB"/>
    <w:rsid w:val="607C08DA"/>
    <w:rsid w:val="607E0678"/>
    <w:rsid w:val="608924F9"/>
    <w:rsid w:val="608D7069"/>
    <w:rsid w:val="608D7925"/>
    <w:rsid w:val="60946860"/>
    <w:rsid w:val="60AC519E"/>
    <w:rsid w:val="60AD570E"/>
    <w:rsid w:val="60B265A6"/>
    <w:rsid w:val="60DB227B"/>
    <w:rsid w:val="60E03C99"/>
    <w:rsid w:val="60E375A5"/>
    <w:rsid w:val="61037BAC"/>
    <w:rsid w:val="61083D1B"/>
    <w:rsid w:val="610D059B"/>
    <w:rsid w:val="611E45A3"/>
    <w:rsid w:val="612C6F7A"/>
    <w:rsid w:val="61465D66"/>
    <w:rsid w:val="61492CB3"/>
    <w:rsid w:val="61694A92"/>
    <w:rsid w:val="616D3F2C"/>
    <w:rsid w:val="61777BE6"/>
    <w:rsid w:val="619216B7"/>
    <w:rsid w:val="61A12413"/>
    <w:rsid w:val="61C65943"/>
    <w:rsid w:val="61E0335F"/>
    <w:rsid w:val="61E239A6"/>
    <w:rsid w:val="61E7575B"/>
    <w:rsid w:val="621056C9"/>
    <w:rsid w:val="621A046C"/>
    <w:rsid w:val="623703BA"/>
    <w:rsid w:val="624F2DFA"/>
    <w:rsid w:val="62662B27"/>
    <w:rsid w:val="62775FD3"/>
    <w:rsid w:val="62827433"/>
    <w:rsid w:val="62A50D92"/>
    <w:rsid w:val="62AB4171"/>
    <w:rsid w:val="62D328FA"/>
    <w:rsid w:val="62DA4468"/>
    <w:rsid w:val="62E83073"/>
    <w:rsid w:val="62EE1C10"/>
    <w:rsid w:val="63081829"/>
    <w:rsid w:val="630C68EA"/>
    <w:rsid w:val="630E43DC"/>
    <w:rsid w:val="63173B59"/>
    <w:rsid w:val="63265620"/>
    <w:rsid w:val="632A7697"/>
    <w:rsid w:val="63311505"/>
    <w:rsid w:val="63355EB6"/>
    <w:rsid w:val="63360481"/>
    <w:rsid w:val="63374D65"/>
    <w:rsid w:val="63463A4A"/>
    <w:rsid w:val="63847838"/>
    <w:rsid w:val="639818A0"/>
    <w:rsid w:val="63C0321D"/>
    <w:rsid w:val="63D448EB"/>
    <w:rsid w:val="63F66740"/>
    <w:rsid w:val="63FC4626"/>
    <w:rsid w:val="64065E8B"/>
    <w:rsid w:val="64201B2D"/>
    <w:rsid w:val="64484A19"/>
    <w:rsid w:val="645C2086"/>
    <w:rsid w:val="64640CF6"/>
    <w:rsid w:val="647732A7"/>
    <w:rsid w:val="64870E40"/>
    <w:rsid w:val="64AE4A59"/>
    <w:rsid w:val="64CD28A0"/>
    <w:rsid w:val="64DE3D6A"/>
    <w:rsid w:val="65221E1C"/>
    <w:rsid w:val="65321259"/>
    <w:rsid w:val="65507043"/>
    <w:rsid w:val="657303D7"/>
    <w:rsid w:val="65926E15"/>
    <w:rsid w:val="65AF4A0C"/>
    <w:rsid w:val="65BA6D35"/>
    <w:rsid w:val="65C2671A"/>
    <w:rsid w:val="65C67480"/>
    <w:rsid w:val="65C75C9D"/>
    <w:rsid w:val="65D05CBA"/>
    <w:rsid w:val="65E85BFF"/>
    <w:rsid w:val="65F037A6"/>
    <w:rsid w:val="65F938CF"/>
    <w:rsid w:val="660635F9"/>
    <w:rsid w:val="66300A44"/>
    <w:rsid w:val="6645724E"/>
    <w:rsid w:val="66461DD9"/>
    <w:rsid w:val="665A45C4"/>
    <w:rsid w:val="66611474"/>
    <w:rsid w:val="66625812"/>
    <w:rsid w:val="669E6755"/>
    <w:rsid w:val="66BF694D"/>
    <w:rsid w:val="66C21505"/>
    <w:rsid w:val="66C55540"/>
    <w:rsid w:val="66E06199"/>
    <w:rsid w:val="66E853BF"/>
    <w:rsid w:val="66EF318D"/>
    <w:rsid w:val="672D7995"/>
    <w:rsid w:val="673161D2"/>
    <w:rsid w:val="6745453E"/>
    <w:rsid w:val="674F1064"/>
    <w:rsid w:val="675A2B11"/>
    <w:rsid w:val="6761579B"/>
    <w:rsid w:val="677D578B"/>
    <w:rsid w:val="67805FF3"/>
    <w:rsid w:val="67874F0A"/>
    <w:rsid w:val="6796339F"/>
    <w:rsid w:val="67B10916"/>
    <w:rsid w:val="67BD62B5"/>
    <w:rsid w:val="67CD2B05"/>
    <w:rsid w:val="67E07D57"/>
    <w:rsid w:val="67E44D7F"/>
    <w:rsid w:val="67ED1F29"/>
    <w:rsid w:val="67EF0202"/>
    <w:rsid w:val="680753B0"/>
    <w:rsid w:val="680E2F36"/>
    <w:rsid w:val="68507784"/>
    <w:rsid w:val="68561507"/>
    <w:rsid w:val="68585B7F"/>
    <w:rsid w:val="68696F3D"/>
    <w:rsid w:val="68735894"/>
    <w:rsid w:val="687E6A20"/>
    <w:rsid w:val="688D4BC7"/>
    <w:rsid w:val="689377BB"/>
    <w:rsid w:val="68AE1608"/>
    <w:rsid w:val="68C025AA"/>
    <w:rsid w:val="68DA33DD"/>
    <w:rsid w:val="68FD50FE"/>
    <w:rsid w:val="690713B2"/>
    <w:rsid w:val="6929195C"/>
    <w:rsid w:val="693E5C90"/>
    <w:rsid w:val="693F1E1E"/>
    <w:rsid w:val="694D2D44"/>
    <w:rsid w:val="6954470E"/>
    <w:rsid w:val="69664E3F"/>
    <w:rsid w:val="69712D15"/>
    <w:rsid w:val="69786DCA"/>
    <w:rsid w:val="697D263D"/>
    <w:rsid w:val="698F265A"/>
    <w:rsid w:val="69932194"/>
    <w:rsid w:val="69934DA4"/>
    <w:rsid w:val="699C7B4E"/>
    <w:rsid w:val="69AB1C5D"/>
    <w:rsid w:val="69B413E7"/>
    <w:rsid w:val="69B9312A"/>
    <w:rsid w:val="69C752F7"/>
    <w:rsid w:val="69D0571E"/>
    <w:rsid w:val="69EF2A7C"/>
    <w:rsid w:val="6A0E7CD5"/>
    <w:rsid w:val="6A59434B"/>
    <w:rsid w:val="6A5B2B52"/>
    <w:rsid w:val="6A9504BF"/>
    <w:rsid w:val="6AA40C06"/>
    <w:rsid w:val="6AB74A6D"/>
    <w:rsid w:val="6AC030B5"/>
    <w:rsid w:val="6AC43EC0"/>
    <w:rsid w:val="6AF35574"/>
    <w:rsid w:val="6B070299"/>
    <w:rsid w:val="6B100513"/>
    <w:rsid w:val="6B353C24"/>
    <w:rsid w:val="6B3D2A41"/>
    <w:rsid w:val="6B421874"/>
    <w:rsid w:val="6B6B269B"/>
    <w:rsid w:val="6B6E0FA1"/>
    <w:rsid w:val="6B77662F"/>
    <w:rsid w:val="6B7D1436"/>
    <w:rsid w:val="6B8409A5"/>
    <w:rsid w:val="6B981FC8"/>
    <w:rsid w:val="6BB72AEA"/>
    <w:rsid w:val="6BBA3B00"/>
    <w:rsid w:val="6BC02844"/>
    <w:rsid w:val="6BC427B2"/>
    <w:rsid w:val="6BD365AA"/>
    <w:rsid w:val="6BDF5315"/>
    <w:rsid w:val="6BEB4B29"/>
    <w:rsid w:val="6C063C67"/>
    <w:rsid w:val="6C0703C8"/>
    <w:rsid w:val="6C197B08"/>
    <w:rsid w:val="6C2E2B6D"/>
    <w:rsid w:val="6C5929ED"/>
    <w:rsid w:val="6C61660E"/>
    <w:rsid w:val="6C735D8A"/>
    <w:rsid w:val="6C810784"/>
    <w:rsid w:val="6C9242EA"/>
    <w:rsid w:val="6CA830DE"/>
    <w:rsid w:val="6CAC1ECF"/>
    <w:rsid w:val="6CAE52EE"/>
    <w:rsid w:val="6CE75EA5"/>
    <w:rsid w:val="6D074C2F"/>
    <w:rsid w:val="6D252DE1"/>
    <w:rsid w:val="6D341C97"/>
    <w:rsid w:val="6D5B6C53"/>
    <w:rsid w:val="6D954F35"/>
    <w:rsid w:val="6DAC5479"/>
    <w:rsid w:val="6DB027C0"/>
    <w:rsid w:val="6DC01DB8"/>
    <w:rsid w:val="6DD72555"/>
    <w:rsid w:val="6DDB1B0C"/>
    <w:rsid w:val="6DF373DB"/>
    <w:rsid w:val="6E075259"/>
    <w:rsid w:val="6E080D24"/>
    <w:rsid w:val="6E141E85"/>
    <w:rsid w:val="6E153270"/>
    <w:rsid w:val="6E164BD1"/>
    <w:rsid w:val="6E2F5DCE"/>
    <w:rsid w:val="6E376959"/>
    <w:rsid w:val="6E4140FB"/>
    <w:rsid w:val="6E60184C"/>
    <w:rsid w:val="6E650F24"/>
    <w:rsid w:val="6E813B16"/>
    <w:rsid w:val="6EB41502"/>
    <w:rsid w:val="6ED11E12"/>
    <w:rsid w:val="6ED4707E"/>
    <w:rsid w:val="6EF0156F"/>
    <w:rsid w:val="6F153F6F"/>
    <w:rsid w:val="6F1909DC"/>
    <w:rsid w:val="6F237D85"/>
    <w:rsid w:val="6F2B1A31"/>
    <w:rsid w:val="6F2E3971"/>
    <w:rsid w:val="6F333E65"/>
    <w:rsid w:val="6F4B3740"/>
    <w:rsid w:val="6F4E5E31"/>
    <w:rsid w:val="6F6F6D2B"/>
    <w:rsid w:val="6F776A59"/>
    <w:rsid w:val="6F8E6E35"/>
    <w:rsid w:val="6FB86966"/>
    <w:rsid w:val="6FDA4CEA"/>
    <w:rsid w:val="6FEE3B8C"/>
    <w:rsid w:val="6FF87C20"/>
    <w:rsid w:val="70081CA8"/>
    <w:rsid w:val="70121837"/>
    <w:rsid w:val="701238CF"/>
    <w:rsid w:val="703415F0"/>
    <w:rsid w:val="703D63DA"/>
    <w:rsid w:val="70445671"/>
    <w:rsid w:val="70452370"/>
    <w:rsid w:val="704B7FD9"/>
    <w:rsid w:val="70521D19"/>
    <w:rsid w:val="70686732"/>
    <w:rsid w:val="706A7177"/>
    <w:rsid w:val="706D6543"/>
    <w:rsid w:val="7094201B"/>
    <w:rsid w:val="709749CD"/>
    <w:rsid w:val="70A56A6B"/>
    <w:rsid w:val="70B13E60"/>
    <w:rsid w:val="70BD3D78"/>
    <w:rsid w:val="70C50116"/>
    <w:rsid w:val="70D3036D"/>
    <w:rsid w:val="70DB4B83"/>
    <w:rsid w:val="70E93737"/>
    <w:rsid w:val="70EC5EE5"/>
    <w:rsid w:val="70F808E8"/>
    <w:rsid w:val="70FF01AD"/>
    <w:rsid w:val="7113559E"/>
    <w:rsid w:val="711A6DEF"/>
    <w:rsid w:val="7128397D"/>
    <w:rsid w:val="712E2DE0"/>
    <w:rsid w:val="71374871"/>
    <w:rsid w:val="714A6368"/>
    <w:rsid w:val="717F5010"/>
    <w:rsid w:val="71CA4F2A"/>
    <w:rsid w:val="71DD3BE2"/>
    <w:rsid w:val="71F25676"/>
    <w:rsid w:val="72080D32"/>
    <w:rsid w:val="720D1F4D"/>
    <w:rsid w:val="721052B7"/>
    <w:rsid w:val="722308F4"/>
    <w:rsid w:val="722A0038"/>
    <w:rsid w:val="727C0236"/>
    <w:rsid w:val="72814B83"/>
    <w:rsid w:val="72900561"/>
    <w:rsid w:val="729519B7"/>
    <w:rsid w:val="729C775C"/>
    <w:rsid w:val="72A73F0F"/>
    <w:rsid w:val="72B312A9"/>
    <w:rsid w:val="72D57779"/>
    <w:rsid w:val="72F62983"/>
    <w:rsid w:val="73000AD0"/>
    <w:rsid w:val="73143DF5"/>
    <w:rsid w:val="7318400E"/>
    <w:rsid w:val="73266B91"/>
    <w:rsid w:val="7333230E"/>
    <w:rsid w:val="733D4B5B"/>
    <w:rsid w:val="73467A28"/>
    <w:rsid w:val="7355443D"/>
    <w:rsid w:val="73660DEB"/>
    <w:rsid w:val="73775BB2"/>
    <w:rsid w:val="737B0AD6"/>
    <w:rsid w:val="738568B7"/>
    <w:rsid w:val="73860913"/>
    <w:rsid w:val="73953EEA"/>
    <w:rsid w:val="7396363B"/>
    <w:rsid w:val="73B12FE9"/>
    <w:rsid w:val="73B91CF6"/>
    <w:rsid w:val="73BC6BBA"/>
    <w:rsid w:val="73CB5C5D"/>
    <w:rsid w:val="740C0C71"/>
    <w:rsid w:val="74111D04"/>
    <w:rsid w:val="74171A01"/>
    <w:rsid w:val="74302C64"/>
    <w:rsid w:val="7443263B"/>
    <w:rsid w:val="7444470B"/>
    <w:rsid w:val="74536A3F"/>
    <w:rsid w:val="745F5740"/>
    <w:rsid w:val="747C3D32"/>
    <w:rsid w:val="74810E5A"/>
    <w:rsid w:val="74835AE8"/>
    <w:rsid w:val="74856C75"/>
    <w:rsid w:val="749D5090"/>
    <w:rsid w:val="749F0331"/>
    <w:rsid w:val="749F0C11"/>
    <w:rsid w:val="74A8777D"/>
    <w:rsid w:val="74B854F4"/>
    <w:rsid w:val="74BE18BB"/>
    <w:rsid w:val="74D85F1E"/>
    <w:rsid w:val="750259DD"/>
    <w:rsid w:val="75031A86"/>
    <w:rsid w:val="750A41BF"/>
    <w:rsid w:val="75231E95"/>
    <w:rsid w:val="75432118"/>
    <w:rsid w:val="755D1F6E"/>
    <w:rsid w:val="756E71B1"/>
    <w:rsid w:val="756E770A"/>
    <w:rsid w:val="75717525"/>
    <w:rsid w:val="75750A98"/>
    <w:rsid w:val="757F5863"/>
    <w:rsid w:val="75A01BA0"/>
    <w:rsid w:val="75A3577E"/>
    <w:rsid w:val="75CB076F"/>
    <w:rsid w:val="75E35C87"/>
    <w:rsid w:val="75E87144"/>
    <w:rsid w:val="76270659"/>
    <w:rsid w:val="764056E2"/>
    <w:rsid w:val="76407230"/>
    <w:rsid w:val="76483E2B"/>
    <w:rsid w:val="764A5E39"/>
    <w:rsid w:val="76746FA2"/>
    <w:rsid w:val="767652A9"/>
    <w:rsid w:val="76852153"/>
    <w:rsid w:val="768F16E6"/>
    <w:rsid w:val="76993A01"/>
    <w:rsid w:val="769A7EDF"/>
    <w:rsid w:val="76A30AFA"/>
    <w:rsid w:val="76B0451F"/>
    <w:rsid w:val="76B46D6B"/>
    <w:rsid w:val="76B86E8E"/>
    <w:rsid w:val="76BA3E58"/>
    <w:rsid w:val="76BB072D"/>
    <w:rsid w:val="76DB7291"/>
    <w:rsid w:val="76E70700"/>
    <w:rsid w:val="76E754F2"/>
    <w:rsid w:val="76E8509A"/>
    <w:rsid w:val="76F27926"/>
    <w:rsid w:val="770C63D0"/>
    <w:rsid w:val="7711042E"/>
    <w:rsid w:val="7716366B"/>
    <w:rsid w:val="772E65EA"/>
    <w:rsid w:val="77372ECB"/>
    <w:rsid w:val="77443D39"/>
    <w:rsid w:val="77534E09"/>
    <w:rsid w:val="77783DFC"/>
    <w:rsid w:val="777B3E41"/>
    <w:rsid w:val="778A367F"/>
    <w:rsid w:val="778D0A16"/>
    <w:rsid w:val="77A96719"/>
    <w:rsid w:val="77C24239"/>
    <w:rsid w:val="77D4227E"/>
    <w:rsid w:val="77DF5A8B"/>
    <w:rsid w:val="77FA4943"/>
    <w:rsid w:val="78043E2D"/>
    <w:rsid w:val="783F0EE9"/>
    <w:rsid w:val="78485358"/>
    <w:rsid w:val="784A2879"/>
    <w:rsid w:val="78523BB2"/>
    <w:rsid w:val="786D3CA8"/>
    <w:rsid w:val="788334CC"/>
    <w:rsid w:val="78863C82"/>
    <w:rsid w:val="788D62EB"/>
    <w:rsid w:val="789C58B9"/>
    <w:rsid w:val="78D03957"/>
    <w:rsid w:val="78F107E1"/>
    <w:rsid w:val="790C7AD7"/>
    <w:rsid w:val="791D50EE"/>
    <w:rsid w:val="793925CD"/>
    <w:rsid w:val="795773C0"/>
    <w:rsid w:val="79823784"/>
    <w:rsid w:val="798B7DE0"/>
    <w:rsid w:val="799E3268"/>
    <w:rsid w:val="79AE4579"/>
    <w:rsid w:val="79B748A3"/>
    <w:rsid w:val="79EA6FB1"/>
    <w:rsid w:val="79EB3FC1"/>
    <w:rsid w:val="79FB04FD"/>
    <w:rsid w:val="79FF05B1"/>
    <w:rsid w:val="7A2275F3"/>
    <w:rsid w:val="7A29208A"/>
    <w:rsid w:val="7A3A71B0"/>
    <w:rsid w:val="7A484464"/>
    <w:rsid w:val="7A72434A"/>
    <w:rsid w:val="7A7B7C81"/>
    <w:rsid w:val="7A9C4B42"/>
    <w:rsid w:val="7A9C69F9"/>
    <w:rsid w:val="7A9E1BB2"/>
    <w:rsid w:val="7AA50F65"/>
    <w:rsid w:val="7AC322A6"/>
    <w:rsid w:val="7AD37417"/>
    <w:rsid w:val="7ADB322E"/>
    <w:rsid w:val="7ADB6286"/>
    <w:rsid w:val="7B06720A"/>
    <w:rsid w:val="7B2829EF"/>
    <w:rsid w:val="7B315A2C"/>
    <w:rsid w:val="7B3E7CED"/>
    <w:rsid w:val="7B416C0F"/>
    <w:rsid w:val="7B5C3495"/>
    <w:rsid w:val="7B6930D1"/>
    <w:rsid w:val="7B6A29F2"/>
    <w:rsid w:val="7B6C7A46"/>
    <w:rsid w:val="7B7F6487"/>
    <w:rsid w:val="7B8160C2"/>
    <w:rsid w:val="7B8B0C26"/>
    <w:rsid w:val="7B8C08E9"/>
    <w:rsid w:val="7BA91283"/>
    <w:rsid w:val="7BA92F1A"/>
    <w:rsid w:val="7BC25DD8"/>
    <w:rsid w:val="7C036DFE"/>
    <w:rsid w:val="7C060075"/>
    <w:rsid w:val="7C0C10E4"/>
    <w:rsid w:val="7C0E51CC"/>
    <w:rsid w:val="7C2E4FBE"/>
    <w:rsid w:val="7C647FED"/>
    <w:rsid w:val="7C8A4362"/>
    <w:rsid w:val="7C946D15"/>
    <w:rsid w:val="7C9B46A7"/>
    <w:rsid w:val="7CA459D5"/>
    <w:rsid w:val="7CB34463"/>
    <w:rsid w:val="7CDC7DD4"/>
    <w:rsid w:val="7CE87470"/>
    <w:rsid w:val="7CF005F7"/>
    <w:rsid w:val="7D155CC4"/>
    <w:rsid w:val="7D250FF6"/>
    <w:rsid w:val="7D351B9F"/>
    <w:rsid w:val="7D491718"/>
    <w:rsid w:val="7D500AED"/>
    <w:rsid w:val="7D5A249C"/>
    <w:rsid w:val="7D80622C"/>
    <w:rsid w:val="7D8B0D7C"/>
    <w:rsid w:val="7DA07B9A"/>
    <w:rsid w:val="7DA37F32"/>
    <w:rsid w:val="7DA55C93"/>
    <w:rsid w:val="7DB72E1B"/>
    <w:rsid w:val="7DD5728E"/>
    <w:rsid w:val="7DFF3469"/>
    <w:rsid w:val="7E007461"/>
    <w:rsid w:val="7E343D84"/>
    <w:rsid w:val="7E391A74"/>
    <w:rsid w:val="7E391CC9"/>
    <w:rsid w:val="7E3F3081"/>
    <w:rsid w:val="7E525E1A"/>
    <w:rsid w:val="7E6B3E20"/>
    <w:rsid w:val="7E7E09BD"/>
    <w:rsid w:val="7E803CF0"/>
    <w:rsid w:val="7E8477B4"/>
    <w:rsid w:val="7E861620"/>
    <w:rsid w:val="7E8B7D9C"/>
    <w:rsid w:val="7E942F37"/>
    <w:rsid w:val="7E953C49"/>
    <w:rsid w:val="7E9B7171"/>
    <w:rsid w:val="7EA321D2"/>
    <w:rsid w:val="7EBB72B2"/>
    <w:rsid w:val="7ED61C99"/>
    <w:rsid w:val="7ED6233D"/>
    <w:rsid w:val="7EDA5900"/>
    <w:rsid w:val="7EDC1B9E"/>
    <w:rsid w:val="7EFA283D"/>
    <w:rsid w:val="7EFD52BB"/>
    <w:rsid w:val="7F0346C3"/>
    <w:rsid w:val="7F0A5591"/>
    <w:rsid w:val="7F294505"/>
    <w:rsid w:val="7F350BDD"/>
    <w:rsid w:val="7F4A6516"/>
    <w:rsid w:val="7F5757BE"/>
    <w:rsid w:val="7F690FA9"/>
    <w:rsid w:val="7F6C5FC6"/>
    <w:rsid w:val="7F824865"/>
    <w:rsid w:val="7F8A76B2"/>
    <w:rsid w:val="7F8C1E91"/>
    <w:rsid w:val="7F8F03A1"/>
    <w:rsid w:val="7FAF6024"/>
    <w:rsid w:val="7FB93C21"/>
    <w:rsid w:val="7FBB0F60"/>
    <w:rsid w:val="7FCA1BF6"/>
    <w:rsid w:val="7FDA15FF"/>
    <w:rsid w:val="7FED0079"/>
    <w:rsid w:val="7FF96F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autoRedefine/>
    <w:qFormat/>
    <w:uiPriority w:val="0"/>
    <w:pPr>
      <w:numPr>
        <w:ilvl w:val="0"/>
        <w:numId w:val="1"/>
      </w:numPr>
      <w:autoSpaceDE w:val="0"/>
      <w:autoSpaceDN w:val="0"/>
      <w:adjustRightInd w:val="0"/>
      <w:snapToGrid w:val="0"/>
      <w:spacing w:line="360" w:lineRule="auto"/>
      <w:jc w:val="center"/>
      <w:outlineLvl w:val="0"/>
    </w:pPr>
    <w:rPr>
      <w:rFonts w:eastAsia="黑体"/>
      <w:sz w:val="44"/>
    </w:rPr>
  </w:style>
  <w:style w:type="paragraph" w:styleId="3">
    <w:name w:val="heading 2"/>
    <w:basedOn w:val="1"/>
    <w:next w:val="1"/>
    <w:link w:val="69"/>
    <w:autoRedefine/>
    <w:qFormat/>
    <w:uiPriority w:val="0"/>
    <w:pPr>
      <w:autoSpaceDE w:val="0"/>
      <w:autoSpaceDN w:val="0"/>
      <w:adjustRightInd w:val="0"/>
      <w:snapToGrid w:val="0"/>
      <w:spacing w:line="360" w:lineRule="auto"/>
      <w:jc w:val="left"/>
      <w:outlineLvl w:val="1"/>
    </w:pPr>
    <w:rPr>
      <w:rFonts w:ascii="仿宋_GB2312" w:eastAsia="仿宋_GB2312"/>
      <w:b/>
      <w:spacing w:val="1"/>
      <w:w w:val="99"/>
      <w:sz w:val="28"/>
    </w:rPr>
  </w:style>
  <w:style w:type="paragraph" w:styleId="4">
    <w:name w:val="heading 3"/>
    <w:basedOn w:val="1"/>
    <w:next w:val="1"/>
    <w:link w:val="70"/>
    <w:autoRedefine/>
    <w:qFormat/>
    <w:uiPriority w:val="0"/>
    <w:pPr>
      <w:autoSpaceDE w:val="0"/>
      <w:autoSpaceDN w:val="0"/>
      <w:adjustRightInd w:val="0"/>
      <w:spacing w:before="16"/>
      <w:jc w:val="left"/>
      <w:outlineLvl w:val="2"/>
    </w:pPr>
    <w:rPr>
      <w:rFonts w:ascii="仿宋_GB2312" w:eastAsia="仿宋_GB2312"/>
      <w:b/>
      <w:sz w:val="24"/>
    </w:rPr>
  </w:style>
  <w:style w:type="paragraph" w:styleId="5">
    <w:name w:val="heading 4"/>
    <w:basedOn w:val="1"/>
    <w:next w:val="1"/>
    <w:link w:val="71"/>
    <w:autoRedefine/>
    <w:qFormat/>
    <w:uiPriority w:val="0"/>
    <w:pPr>
      <w:jc w:val="center"/>
      <w:outlineLvl w:val="3"/>
    </w:pPr>
    <w:rPr>
      <w:rFonts w:ascii="仿宋_GB2312" w:eastAsia="仿宋_GB2312"/>
      <w:b/>
      <w:sz w:val="24"/>
    </w:rPr>
  </w:style>
  <w:style w:type="paragraph" w:styleId="6">
    <w:name w:val="heading 5"/>
    <w:basedOn w:val="1"/>
    <w:next w:val="1"/>
    <w:link w:val="72"/>
    <w:autoRedefine/>
    <w:qFormat/>
    <w:uiPriority w:val="0"/>
    <w:pPr>
      <w:keepNext/>
      <w:keepLines/>
      <w:spacing w:before="280" w:after="290" w:line="374" w:lineRule="auto"/>
      <w:outlineLvl w:val="4"/>
    </w:pPr>
    <w:rPr>
      <w:b/>
      <w:bCs/>
      <w:sz w:val="28"/>
      <w:szCs w:val="28"/>
    </w:rPr>
  </w:style>
  <w:style w:type="paragraph" w:styleId="7">
    <w:name w:val="heading 6"/>
    <w:basedOn w:val="1"/>
    <w:next w:val="1"/>
    <w:link w:val="73"/>
    <w:autoRedefine/>
    <w:qFormat/>
    <w:uiPriority w:val="0"/>
    <w:pPr>
      <w:keepNext/>
      <w:keepLines/>
      <w:spacing w:before="240" w:after="64" w:line="319" w:lineRule="auto"/>
      <w:outlineLvl w:val="5"/>
    </w:pPr>
    <w:rPr>
      <w:rFonts w:ascii="Arial" w:hAnsi="Arial" w:eastAsia="黑体"/>
      <w:b/>
      <w:bCs/>
      <w:sz w:val="24"/>
      <w:szCs w:val="24"/>
    </w:rPr>
  </w:style>
  <w:style w:type="paragraph" w:styleId="8">
    <w:name w:val="heading 7"/>
    <w:basedOn w:val="1"/>
    <w:next w:val="1"/>
    <w:link w:val="74"/>
    <w:autoRedefine/>
    <w:qFormat/>
    <w:uiPriority w:val="0"/>
    <w:pPr>
      <w:keepNext/>
      <w:keepLines/>
      <w:spacing w:before="240" w:after="64" w:line="319" w:lineRule="auto"/>
      <w:outlineLvl w:val="6"/>
    </w:pPr>
    <w:rPr>
      <w:b/>
      <w:bCs/>
      <w:sz w:val="24"/>
      <w:szCs w:val="24"/>
    </w:rPr>
  </w:style>
  <w:style w:type="paragraph" w:styleId="9">
    <w:name w:val="heading 8"/>
    <w:basedOn w:val="1"/>
    <w:next w:val="1"/>
    <w:link w:val="75"/>
    <w:autoRedefine/>
    <w:qFormat/>
    <w:uiPriority w:val="0"/>
    <w:pPr>
      <w:keepNext/>
      <w:keepLines/>
      <w:spacing w:before="240" w:after="64" w:line="319" w:lineRule="auto"/>
      <w:outlineLvl w:val="7"/>
    </w:pPr>
    <w:rPr>
      <w:rFonts w:ascii="Arial" w:hAnsi="Arial" w:eastAsia="黑体"/>
      <w:sz w:val="24"/>
      <w:szCs w:val="24"/>
    </w:rPr>
  </w:style>
  <w:style w:type="paragraph" w:styleId="10">
    <w:name w:val="heading 9"/>
    <w:basedOn w:val="1"/>
    <w:next w:val="1"/>
    <w:link w:val="76"/>
    <w:autoRedefine/>
    <w:qFormat/>
    <w:uiPriority w:val="0"/>
    <w:pPr>
      <w:keepNext/>
      <w:keepLines/>
      <w:spacing w:before="240" w:after="64" w:line="319" w:lineRule="auto"/>
      <w:outlineLvl w:val="8"/>
    </w:pPr>
    <w:rPr>
      <w:rFonts w:ascii="Arial" w:hAnsi="Arial" w:eastAsia="黑体"/>
      <w:szCs w:val="21"/>
    </w:rPr>
  </w:style>
  <w:style w:type="character" w:default="1" w:styleId="51">
    <w:name w:val="Default Paragraph Font"/>
    <w:autoRedefine/>
    <w:semiHidden/>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260"/>
      <w:jc w:val="left"/>
    </w:pPr>
    <w:rPr>
      <w:rFonts w:ascii="Calibri" w:hAnsi="Calibri"/>
      <w:sz w:val="18"/>
    </w:rPr>
  </w:style>
  <w:style w:type="paragraph" w:styleId="12">
    <w:name w:val="List Bullet 4"/>
    <w:basedOn w:val="1"/>
    <w:autoRedefine/>
    <w:qFormat/>
    <w:uiPriority w:val="0"/>
    <w:pPr>
      <w:tabs>
        <w:tab w:val="left" w:pos="1620"/>
      </w:tabs>
      <w:ind w:left="1620" w:leftChars="600" w:hanging="360" w:hangingChars="200"/>
    </w:pPr>
    <w:rPr>
      <w:szCs w:val="24"/>
    </w:rPr>
  </w:style>
  <w:style w:type="paragraph" w:styleId="13">
    <w:name w:val="Normal Indent"/>
    <w:basedOn w:val="1"/>
    <w:autoRedefine/>
    <w:qFormat/>
    <w:uiPriority w:val="0"/>
    <w:pPr>
      <w:ind w:firstLine="420" w:firstLineChars="200"/>
    </w:pPr>
    <w:rPr>
      <w:szCs w:val="24"/>
    </w:rPr>
  </w:style>
  <w:style w:type="paragraph" w:styleId="14">
    <w:name w:val="List Bullet"/>
    <w:basedOn w:val="1"/>
    <w:autoRedefine/>
    <w:qFormat/>
    <w:uiPriority w:val="0"/>
    <w:pPr>
      <w:tabs>
        <w:tab w:val="left" w:pos="360"/>
      </w:tabs>
      <w:ind w:left="360" w:hanging="360" w:hangingChars="200"/>
    </w:pPr>
    <w:rPr>
      <w:szCs w:val="24"/>
    </w:rPr>
  </w:style>
  <w:style w:type="paragraph" w:styleId="15">
    <w:name w:val="Document Map"/>
    <w:basedOn w:val="1"/>
    <w:link w:val="77"/>
    <w:autoRedefine/>
    <w:qFormat/>
    <w:uiPriority w:val="0"/>
    <w:pPr>
      <w:shd w:val="clear" w:color="auto" w:fill="000080"/>
    </w:pPr>
    <w:rPr>
      <w:shd w:val="clear" w:color="auto" w:fill="000080"/>
    </w:rPr>
  </w:style>
  <w:style w:type="paragraph" w:styleId="16">
    <w:name w:val="annotation text"/>
    <w:basedOn w:val="1"/>
    <w:link w:val="78"/>
    <w:autoRedefine/>
    <w:qFormat/>
    <w:uiPriority w:val="0"/>
    <w:pPr>
      <w:jc w:val="left"/>
    </w:pPr>
  </w:style>
  <w:style w:type="paragraph" w:styleId="17">
    <w:name w:val="Body Text 3"/>
    <w:basedOn w:val="1"/>
    <w:link w:val="79"/>
    <w:autoRedefine/>
    <w:qFormat/>
    <w:uiPriority w:val="0"/>
    <w:pPr>
      <w:spacing w:after="120"/>
    </w:pPr>
    <w:rPr>
      <w:sz w:val="16"/>
      <w:szCs w:val="16"/>
    </w:rPr>
  </w:style>
  <w:style w:type="paragraph" w:styleId="18">
    <w:name w:val="List Bullet 3"/>
    <w:basedOn w:val="1"/>
    <w:autoRedefine/>
    <w:qFormat/>
    <w:uiPriority w:val="0"/>
    <w:pPr>
      <w:tabs>
        <w:tab w:val="left" w:pos="1200"/>
      </w:tabs>
      <w:ind w:left="1200" w:leftChars="400" w:hanging="360" w:hangingChars="200"/>
    </w:pPr>
    <w:rPr>
      <w:szCs w:val="24"/>
    </w:rPr>
  </w:style>
  <w:style w:type="paragraph" w:styleId="19">
    <w:name w:val="Body Text"/>
    <w:basedOn w:val="1"/>
    <w:next w:val="1"/>
    <w:link w:val="67"/>
    <w:autoRedefine/>
    <w:qFormat/>
    <w:uiPriority w:val="0"/>
    <w:rPr>
      <w:sz w:val="26"/>
    </w:rPr>
  </w:style>
  <w:style w:type="paragraph" w:styleId="20">
    <w:name w:val="Body Text Indent"/>
    <w:basedOn w:val="1"/>
    <w:link w:val="80"/>
    <w:autoRedefine/>
    <w:qFormat/>
    <w:uiPriority w:val="0"/>
    <w:pPr>
      <w:spacing w:line="360" w:lineRule="auto"/>
      <w:ind w:firstLine="560" w:firstLineChars="200"/>
    </w:pPr>
    <w:rPr>
      <w:rFonts w:ascii="黑体" w:hAnsi="宋体" w:eastAsia="黑体"/>
      <w:color w:val="000000"/>
      <w:sz w:val="28"/>
    </w:rPr>
  </w:style>
  <w:style w:type="paragraph" w:styleId="21">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2">
    <w:name w:val="List Bullet 2"/>
    <w:basedOn w:val="1"/>
    <w:autoRedefine/>
    <w:qFormat/>
    <w:uiPriority w:val="0"/>
    <w:pPr>
      <w:tabs>
        <w:tab w:val="left" w:pos="780"/>
      </w:tabs>
      <w:ind w:left="780" w:leftChars="200" w:hanging="360" w:hangingChars="200"/>
    </w:pPr>
    <w:rPr>
      <w:szCs w:val="24"/>
    </w:rPr>
  </w:style>
  <w:style w:type="paragraph" w:styleId="23">
    <w:name w:val="toc 5"/>
    <w:basedOn w:val="1"/>
    <w:next w:val="1"/>
    <w:autoRedefine/>
    <w:qFormat/>
    <w:uiPriority w:val="0"/>
    <w:pPr>
      <w:ind w:left="840"/>
      <w:jc w:val="left"/>
    </w:pPr>
    <w:rPr>
      <w:rFonts w:ascii="Calibri" w:hAnsi="Calibri"/>
      <w:sz w:val="18"/>
    </w:rPr>
  </w:style>
  <w:style w:type="paragraph" w:styleId="24">
    <w:name w:val="toc 3"/>
    <w:basedOn w:val="1"/>
    <w:next w:val="1"/>
    <w:autoRedefine/>
    <w:qFormat/>
    <w:uiPriority w:val="39"/>
    <w:pPr>
      <w:ind w:left="420"/>
      <w:jc w:val="left"/>
    </w:pPr>
    <w:rPr>
      <w:rFonts w:ascii="Calibri" w:hAnsi="Calibri" w:eastAsia="仿宋_GB2312"/>
    </w:rPr>
  </w:style>
  <w:style w:type="paragraph" w:styleId="25">
    <w:name w:val="Plain Text"/>
    <w:basedOn w:val="1"/>
    <w:next w:val="1"/>
    <w:link w:val="81"/>
    <w:autoRedefine/>
    <w:qFormat/>
    <w:uiPriority w:val="0"/>
    <w:rPr>
      <w:rFonts w:ascii="宋体" w:hAnsi="Courier New"/>
      <w:sz w:val="28"/>
    </w:rPr>
  </w:style>
  <w:style w:type="paragraph" w:styleId="26">
    <w:name w:val="List Bullet 5"/>
    <w:basedOn w:val="1"/>
    <w:autoRedefine/>
    <w:qFormat/>
    <w:uiPriority w:val="0"/>
    <w:pPr>
      <w:tabs>
        <w:tab w:val="left" w:pos="2040"/>
      </w:tabs>
      <w:ind w:left="2040" w:leftChars="800" w:hanging="360" w:hangingChars="200"/>
    </w:pPr>
    <w:rPr>
      <w:szCs w:val="24"/>
    </w:rPr>
  </w:style>
  <w:style w:type="paragraph" w:styleId="27">
    <w:name w:val="toc 8"/>
    <w:basedOn w:val="1"/>
    <w:next w:val="1"/>
    <w:autoRedefine/>
    <w:qFormat/>
    <w:uiPriority w:val="0"/>
    <w:pPr>
      <w:ind w:left="1470"/>
      <w:jc w:val="left"/>
    </w:pPr>
    <w:rPr>
      <w:rFonts w:ascii="Calibri" w:hAnsi="Calibri"/>
      <w:sz w:val="18"/>
    </w:rPr>
  </w:style>
  <w:style w:type="paragraph" w:styleId="28">
    <w:name w:val="Date"/>
    <w:basedOn w:val="1"/>
    <w:next w:val="1"/>
    <w:link w:val="82"/>
    <w:autoRedefine/>
    <w:qFormat/>
    <w:uiPriority w:val="0"/>
    <w:rPr>
      <w:sz w:val="24"/>
    </w:rPr>
  </w:style>
  <w:style w:type="paragraph" w:styleId="29">
    <w:name w:val="Body Text Indent 2"/>
    <w:basedOn w:val="1"/>
    <w:link w:val="83"/>
    <w:autoRedefine/>
    <w:qFormat/>
    <w:uiPriority w:val="0"/>
    <w:pPr>
      <w:ind w:left="1005" w:hanging="1005"/>
    </w:pPr>
    <w:rPr>
      <w:rFonts w:eastAsia="仿宋_GB2312"/>
      <w:sz w:val="32"/>
    </w:rPr>
  </w:style>
  <w:style w:type="paragraph" w:styleId="30">
    <w:name w:val="endnote text"/>
    <w:basedOn w:val="1"/>
    <w:link w:val="84"/>
    <w:autoRedefine/>
    <w:qFormat/>
    <w:uiPriority w:val="0"/>
    <w:pPr>
      <w:widowControl/>
      <w:snapToGrid w:val="0"/>
      <w:jc w:val="left"/>
    </w:pPr>
    <w:rPr>
      <w:rFonts w:ascii="Arial" w:hAnsi="Arial"/>
      <w:kern w:val="0"/>
      <w:sz w:val="20"/>
      <w:szCs w:val="24"/>
      <w:lang w:eastAsia="en-US"/>
    </w:rPr>
  </w:style>
  <w:style w:type="paragraph" w:styleId="31">
    <w:name w:val="Balloon Text"/>
    <w:basedOn w:val="1"/>
    <w:link w:val="85"/>
    <w:autoRedefine/>
    <w:qFormat/>
    <w:uiPriority w:val="0"/>
    <w:rPr>
      <w:sz w:val="18"/>
    </w:rPr>
  </w:style>
  <w:style w:type="paragraph" w:styleId="32">
    <w:name w:val="footer"/>
    <w:basedOn w:val="1"/>
    <w:link w:val="86"/>
    <w:autoRedefine/>
    <w:qFormat/>
    <w:uiPriority w:val="99"/>
    <w:pPr>
      <w:tabs>
        <w:tab w:val="center" w:pos="4153"/>
        <w:tab w:val="right" w:pos="8306"/>
      </w:tabs>
      <w:snapToGrid w:val="0"/>
      <w:jc w:val="left"/>
    </w:pPr>
    <w:rPr>
      <w:sz w:val="18"/>
    </w:rPr>
  </w:style>
  <w:style w:type="paragraph" w:styleId="33">
    <w:name w:val="header"/>
    <w:basedOn w:val="1"/>
    <w:link w:val="87"/>
    <w:autoRedefine/>
    <w:qFormat/>
    <w:uiPriority w:val="99"/>
    <w:pPr>
      <w:pBdr>
        <w:bottom w:val="single" w:color="auto" w:sz="6" w:space="1"/>
      </w:pBdr>
      <w:tabs>
        <w:tab w:val="center" w:pos="4153"/>
        <w:tab w:val="right" w:pos="8306"/>
      </w:tabs>
      <w:snapToGrid w:val="0"/>
      <w:jc w:val="center"/>
    </w:pPr>
    <w:rPr>
      <w:sz w:val="18"/>
    </w:rPr>
  </w:style>
  <w:style w:type="paragraph" w:styleId="34">
    <w:name w:val="toc 1"/>
    <w:basedOn w:val="1"/>
    <w:next w:val="1"/>
    <w:autoRedefine/>
    <w:qFormat/>
    <w:uiPriority w:val="39"/>
    <w:pPr>
      <w:spacing w:before="120" w:after="120"/>
      <w:jc w:val="left"/>
    </w:pPr>
    <w:rPr>
      <w:rFonts w:ascii="Calibri" w:hAnsi="Calibri" w:eastAsia="仿宋_GB2312"/>
      <w:b/>
      <w:caps/>
      <w:sz w:val="28"/>
    </w:rPr>
  </w:style>
  <w:style w:type="paragraph" w:styleId="35">
    <w:name w:val="toc 4"/>
    <w:basedOn w:val="1"/>
    <w:next w:val="1"/>
    <w:autoRedefine/>
    <w:qFormat/>
    <w:uiPriority w:val="0"/>
    <w:pPr>
      <w:ind w:left="630"/>
      <w:jc w:val="left"/>
    </w:pPr>
    <w:rPr>
      <w:rFonts w:ascii="Calibri" w:hAnsi="Calibri"/>
      <w:sz w:val="18"/>
    </w:rPr>
  </w:style>
  <w:style w:type="paragraph" w:styleId="36">
    <w:name w:val="Subtitle"/>
    <w:basedOn w:val="1"/>
    <w:link w:val="88"/>
    <w:autoRedefine/>
    <w:qFormat/>
    <w:uiPriority w:val="0"/>
    <w:pPr>
      <w:widowControl/>
      <w:jc w:val="center"/>
    </w:pPr>
    <w:rPr>
      <w:szCs w:val="24"/>
      <w:u w:val="single"/>
      <w:lang w:eastAsia="en-US"/>
    </w:rPr>
  </w:style>
  <w:style w:type="paragraph" w:styleId="37">
    <w:name w:val="footnote text"/>
    <w:basedOn w:val="1"/>
    <w:link w:val="89"/>
    <w:autoRedefine/>
    <w:qFormat/>
    <w:uiPriority w:val="0"/>
    <w:pPr>
      <w:snapToGrid w:val="0"/>
      <w:jc w:val="left"/>
    </w:pPr>
    <w:rPr>
      <w:sz w:val="18"/>
    </w:rPr>
  </w:style>
  <w:style w:type="paragraph" w:styleId="38">
    <w:name w:val="toc 6"/>
    <w:basedOn w:val="1"/>
    <w:next w:val="1"/>
    <w:autoRedefine/>
    <w:qFormat/>
    <w:uiPriority w:val="0"/>
    <w:pPr>
      <w:ind w:left="1050"/>
      <w:jc w:val="left"/>
    </w:pPr>
    <w:rPr>
      <w:rFonts w:ascii="Calibri" w:hAnsi="Calibri"/>
      <w:sz w:val="18"/>
    </w:rPr>
  </w:style>
  <w:style w:type="paragraph" w:styleId="39">
    <w:name w:val="Body Text Indent 3"/>
    <w:basedOn w:val="1"/>
    <w:link w:val="90"/>
    <w:autoRedefine/>
    <w:qFormat/>
    <w:uiPriority w:val="0"/>
    <w:pPr>
      <w:spacing w:after="120"/>
      <w:ind w:left="420" w:leftChars="200"/>
    </w:pPr>
    <w:rPr>
      <w:sz w:val="16"/>
    </w:rPr>
  </w:style>
  <w:style w:type="paragraph" w:styleId="40">
    <w:name w:val="toc 2"/>
    <w:basedOn w:val="1"/>
    <w:next w:val="1"/>
    <w:autoRedefine/>
    <w:qFormat/>
    <w:uiPriority w:val="39"/>
    <w:pPr>
      <w:tabs>
        <w:tab w:val="right" w:leader="dot" w:pos="8609"/>
      </w:tabs>
      <w:ind w:left="210"/>
      <w:jc w:val="distribute"/>
    </w:pPr>
    <w:rPr>
      <w:rFonts w:ascii="Calibri" w:hAnsi="Calibri" w:eastAsia="仿宋_GB2312"/>
      <w:smallCaps/>
    </w:rPr>
  </w:style>
  <w:style w:type="paragraph" w:styleId="41">
    <w:name w:val="toc 9"/>
    <w:basedOn w:val="1"/>
    <w:next w:val="1"/>
    <w:autoRedefine/>
    <w:qFormat/>
    <w:uiPriority w:val="0"/>
    <w:pPr>
      <w:ind w:left="1680"/>
      <w:jc w:val="left"/>
    </w:pPr>
    <w:rPr>
      <w:rFonts w:ascii="Calibri" w:hAnsi="Calibri"/>
      <w:sz w:val="18"/>
    </w:rPr>
  </w:style>
  <w:style w:type="paragraph" w:styleId="42">
    <w:name w:val="Body Text 2"/>
    <w:basedOn w:val="1"/>
    <w:link w:val="91"/>
    <w:autoRedefine/>
    <w:qFormat/>
    <w:uiPriority w:val="0"/>
    <w:rPr>
      <w:i/>
      <w:sz w:val="26"/>
    </w:rPr>
  </w:style>
  <w:style w:type="paragraph" w:styleId="43">
    <w:name w:val="HTML Preformatted"/>
    <w:basedOn w:val="1"/>
    <w:link w:val="9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4">
    <w:name w:val="Normal (Web)"/>
    <w:basedOn w:val="1"/>
    <w:autoRedefine/>
    <w:qFormat/>
    <w:uiPriority w:val="99"/>
    <w:pPr>
      <w:widowControl/>
      <w:spacing w:before="100" w:beforeAutospacing="1" w:after="100" w:afterAutospacing="1"/>
      <w:jc w:val="left"/>
    </w:pPr>
    <w:rPr>
      <w:kern w:val="0"/>
      <w:sz w:val="24"/>
    </w:rPr>
  </w:style>
  <w:style w:type="paragraph" w:styleId="45">
    <w:name w:val="Title"/>
    <w:basedOn w:val="1"/>
    <w:next w:val="1"/>
    <w:link w:val="93"/>
    <w:autoRedefine/>
    <w:qFormat/>
    <w:uiPriority w:val="0"/>
    <w:pPr>
      <w:widowControl/>
      <w:jc w:val="center"/>
    </w:pPr>
    <w:rPr>
      <w:kern w:val="0"/>
      <w:sz w:val="20"/>
      <w:szCs w:val="24"/>
      <w:u w:val="single"/>
      <w:lang w:eastAsia="en-US"/>
    </w:rPr>
  </w:style>
  <w:style w:type="paragraph" w:styleId="46">
    <w:name w:val="annotation subject"/>
    <w:basedOn w:val="16"/>
    <w:next w:val="16"/>
    <w:link w:val="94"/>
    <w:autoRedefine/>
    <w:qFormat/>
    <w:uiPriority w:val="0"/>
    <w:rPr>
      <w:sz w:val="24"/>
    </w:rPr>
  </w:style>
  <w:style w:type="paragraph" w:styleId="47">
    <w:name w:val="Body Text First Indent"/>
    <w:basedOn w:val="19"/>
    <w:autoRedefine/>
    <w:qFormat/>
    <w:uiPriority w:val="99"/>
    <w:pPr>
      <w:spacing w:after="120" w:line="275" w:lineRule="atLeast"/>
      <w:ind w:firstLine="420"/>
      <w:textAlignment w:val="baseline"/>
    </w:pPr>
  </w:style>
  <w:style w:type="paragraph" w:styleId="48">
    <w:name w:val="Body Text First Indent 2"/>
    <w:basedOn w:val="20"/>
    <w:link w:val="95"/>
    <w:autoRedefine/>
    <w:qFormat/>
    <w:uiPriority w:val="0"/>
    <w:pPr>
      <w:spacing w:after="120" w:line="240" w:lineRule="auto"/>
      <w:ind w:left="420" w:leftChars="200" w:firstLine="420"/>
    </w:pPr>
    <w:rPr>
      <w:sz w:val="21"/>
      <w:szCs w:val="24"/>
    </w:rPr>
  </w:style>
  <w:style w:type="table" w:styleId="50">
    <w:name w:val="Table Grid"/>
    <w:basedOn w:val="49"/>
    <w:autoRedefine/>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basedOn w:val="51"/>
    <w:autoRedefine/>
    <w:qFormat/>
    <w:uiPriority w:val="0"/>
    <w:rPr>
      <w:b/>
      <w:bCs/>
    </w:rPr>
  </w:style>
  <w:style w:type="character" w:styleId="53">
    <w:name w:val="page number"/>
    <w:basedOn w:val="51"/>
    <w:autoRedefine/>
    <w:qFormat/>
    <w:uiPriority w:val="0"/>
  </w:style>
  <w:style w:type="character" w:styleId="54">
    <w:name w:val="FollowedHyperlink"/>
    <w:autoRedefine/>
    <w:qFormat/>
    <w:uiPriority w:val="0"/>
    <w:rPr>
      <w:color w:val="333333"/>
      <w:u w:val="none"/>
    </w:rPr>
  </w:style>
  <w:style w:type="character" w:styleId="55">
    <w:name w:val="Emphasis"/>
    <w:autoRedefine/>
    <w:qFormat/>
    <w:uiPriority w:val="0"/>
    <w:rPr>
      <w:i/>
      <w:iCs/>
    </w:rPr>
  </w:style>
  <w:style w:type="character" w:styleId="56">
    <w:name w:val="HTML Definition"/>
    <w:autoRedefine/>
    <w:unhideWhenUsed/>
    <w:qFormat/>
    <w:uiPriority w:val="99"/>
  </w:style>
  <w:style w:type="character" w:styleId="57">
    <w:name w:val="HTML Typewriter"/>
    <w:autoRedefine/>
    <w:unhideWhenUsed/>
    <w:qFormat/>
    <w:uiPriority w:val="99"/>
    <w:rPr>
      <w:rFonts w:ascii="monospace" w:hAnsi="monospace" w:eastAsia="monospace" w:cs="monospace"/>
      <w:sz w:val="20"/>
    </w:rPr>
  </w:style>
  <w:style w:type="character" w:styleId="58">
    <w:name w:val="HTML Acronym"/>
    <w:autoRedefine/>
    <w:unhideWhenUsed/>
    <w:qFormat/>
    <w:uiPriority w:val="99"/>
  </w:style>
  <w:style w:type="character" w:styleId="59">
    <w:name w:val="HTML Variable"/>
    <w:autoRedefine/>
    <w:unhideWhenUsed/>
    <w:qFormat/>
    <w:uiPriority w:val="99"/>
  </w:style>
  <w:style w:type="character" w:styleId="60">
    <w:name w:val="Hyperlink"/>
    <w:autoRedefine/>
    <w:qFormat/>
    <w:uiPriority w:val="99"/>
    <w:rPr>
      <w:color w:val="333333"/>
      <w:u w:val="none"/>
    </w:rPr>
  </w:style>
  <w:style w:type="character" w:styleId="61">
    <w:name w:val="HTML Code"/>
    <w:autoRedefine/>
    <w:unhideWhenUsed/>
    <w:qFormat/>
    <w:uiPriority w:val="99"/>
    <w:rPr>
      <w:rFonts w:hint="default" w:ascii="monospace" w:hAnsi="monospace" w:eastAsia="monospace" w:cs="monospace"/>
      <w:sz w:val="21"/>
      <w:szCs w:val="21"/>
    </w:rPr>
  </w:style>
  <w:style w:type="character" w:styleId="62">
    <w:name w:val="annotation reference"/>
    <w:autoRedefine/>
    <w:qFormat/>
    <w:uiPriority w:val="0"/>
    <w:rPr>
      <w:sz w:val="21"/>
    </w:rPr>
  </w:style>
  <w:style w:type="character" w:styleId="63">
    <w:name w:val="HTML Cite"/>
    <w:autoRedefine/>
    <w:unhideWhenUsed/>
    <w:qFormat/>
    <w:uiPriority w:val="99"/>
  </w:style>
  <w:style w:type="character" w:styleId="64">
    <w:name w:val="footnote reference"/>
    <w:autoRedefine/>
    <w:qFormat/>
    <w:uiPriority w:val="0"/>
    <w:rPr>
      <w:vertAlign w:val="superscript"/>
    </w:rPr>
  </w:style>
  <w:style w:type="character" w:styleId="65">
    <w:name w:val="HTML Keyboard"/>
    <w:autoRedefine/>
    <w:unhideWhenUsed/>
    <w:qFormat/>
    <w:uiPriority w:val="99"/>
    <w:rPr>
      <w:rFonts w:ascii="monospace" w:hAnsi="monospace" w:eastAsia="monospace" w:cs="monospace"/>
      <w:sz w:val="21"/>
      <w:szCs w:val="21"/>
    </w:rPr>
  </w:style>
  <w:style w:type="character" w:styleId="66">
    <w:name w:val="HTML Sample"/>
    <w:autoRedefine/>
    <w:unhideWhenUsed/>
    <w:qFormat/>
    <w:uiPriority w:val="99"/>
    <w:rPr>
      <w:rFonts w:hint="default" w:ascii="monospace" w:hAnsi="monospace" w:eastAsia="monospace" w:cs="monospace"/>
      <w:sz w:val="21"/>
      <w:szCs w:val="21"/>
    </w:rPr>
  </w:style>
  <w:style w:type="character" w:customStyle="1" w:styleId="67">
    <w:name w:val="正文文本 Char"/>
    <w:link w:val="19"/>
    <w:autoRedefine/>
    <w:qFormat/>
    <w:uiPriority w:val="0"/>
    <w:rPr>
      <w:kern w:val="2"/>
      <w:sz w:val="26"/>
    </w:rPr>
  </w:style>
  <w:style w:type="character" w:customStyle="1" w:styleId="68">
    <w:name w:val="标题 1 Char"/>
    <w:link w:val="2"/>
    <w:autoRedefine/>
    <w:qFormat/>
    <w:uiPriority w:val="0"/>
    <w:rPr>
      <w:rFonts w:eastAsia="黑体"/>
      <w:kern w:val="2"/>
      <w:sz w:val="44"/>
    </w:rPr>
  </w:style>
  <w:style w:type="character" w:customStyle="1" w:styleId="69">
    <w:name w:val="标题 2 Char"/>
    <w:link w:val="3"/>
    <w:autoRedefine/>
    <w:qFormat/>
    <w:uiPriority w:val="0"/>
    <w:rPr>
      <w:rFonts w:ascii="仿宋_GB2312" w:eastAsia="仿宋_GB2312"/>
      <w:b/>
      <w:spacing w:val="1"/>
      <w:w w:val="99"/>
      <w:kern w:val="2"/>
      <w:sz w:val="28"/>
      <w:lang w:val="en-US" w:eastAsia="zh-CN" w:bidi="ar-SA"/>
    </w:rPr>
  </w:style>
  <w:style w:type="character" w:customStyle="1" w:styleId="70">
    <w:name w:val="标题 3 Char"/>
    <w:link w:val="4"/>
    <w:autoRedefine/>
    <w:qFormat/>
    <w:uiPriority w:val="0"/>
    <w:rPr>
      <w:rFonts w:ascii="仿宋_GB2312" w:eastAsia="仿宋_GB2312"/>
      <w:b/>
      <w:kern w:val="2"/>
      <w:sz w:val="24"/>
      <w:lang w:val="en-US" w:eastAsia="zh-CN" w:bidi="ar-SA"/>
    </w:rPr>
  </w:style>
  <w:style w:type="character" w:customStyle="1" w:styleId="71">
    <w:name w:val="标题 4 Char"/>
    <w:link w:val="5"/>
    <w:autoRedefine/>
    <w:qFormat/>
    <w:uiPriority w:val="0"/>
    <w:rPr>
      <w:rFonts w:ascii="仿宋_GB2312" w:eastAsia="仿宋_GB2312"/>
      <w:b/>
      <w:kern w:val="2"/>
      <w:sz w:val="24"/>
    </w:rPr>
  </w:style>
  <w:style w:type="character" w:customStyle="1" w:styleId="72">
    <w:name w:val="标题 5 Char"/>
    <w:link w:val="6"/>
    <w:autoRedefine/>
    <w:qFormat/>
    <w:uiPriority w:val="0"/>
    <w:rPr>
      <w:b/>
      <w:bCs/>
      <w:kern w:val="2"/>
      <w:sz w:val="28"/>
      <w:szCs w:val="28"/>
    </w:rPr>
  </w:style>
  <w:style w:type="character" w:customStyle="1" w:styleId="73">
    <w:name w:val="标题 6 Char"/>
    <w:link w:val="7"/>
    <w:autoRedefine/>
    <w:qFormat/>
    <w:uiPriority w:val="0"/>
    <w:rPr>
      <w:rFonts w:ascii="Arial" w:hAnsi="Arial" w:eastAsia="黑体"/>
      <w:b/>
      <w:bCs/>
      <w:kern w:val="2"/>
      <w:sz w:val="24"/>
      <w:szCs w:val="24"/>
    </w:rPr>
  </w:style>
  <w:style w:type="character" w:customStyle="1" w:styleId="74">
    <w:name w:val="标题 7 Char"/>
    <w:link w:val="8"/>
    <w:autoRedefine/>
    <w:qFormat/>
    <w:uiPriority w:val="0"/>
    <w:rPr>
      <w:b/>
      <w:bCs/>
      <w:kern w:val="2"/>
      <w:sz w:val="24"/>
      <w:szCs w:val="24"/>
    </w:rPr>
  </w:style>
  <w:style w:type="character" w:customStyle="1" w:styleId="75">
    <w:name w:val="标题 8 Char"/>
    <w:link w:val="9"/>
    <w:autoRedefine/>
    <w:qFormat/>
    <w:uiPriority w:val="0"/>
    <w:rPr>
      <w:rFonts w:ascii="Arial" w:hAnsi="Arial" w:eastAsia="黑体"/>
      <w:kern w:val="2"/>
      <w:sz w:val="24"/>
      <w:szCs w:val="24"/>
    </w:rPr>
  </w:style>
  <w:style w:type="character" w:customStyle="1" w:styleId="76">
    <w:name w:val="标题 9 Char"/>
    <w:link w:val="10"/>
    <w:autoRedefine/>
    <w:qFormat/>
    <w:uiPriority w:val="0"/>
    <w:rPr>
      <w:rFonts w:ascii="Arial" w:hAnsi="Arial" w:eastAsia="黑体"/>
      <w:kern w:val="2"/>
      <w:sz w:val="21"/>
      <w:szCs w:val="21"/>
    </w:rPr>
  </w:style>
  <w:style w:type="character" w:customStyle="1" w:styleId="77">
    <w:name w:val="文档结构图 Char"/>
    <w:link w:val="15"/>
    <w:autoRedefine/>
    <w:qFormat/>
    <w:uiPriority w:val="0"/>
    <w:rPr>
      <w:kern w:val="2"/>
      <w:sz w:val="21"/>
      <w:shd w:val="clear" w:color="auto" w:fill="000080"/>
    </w:rPr>
  </w:style>
  <w:style w:type="character" w:customStyle="1" w:styleId="78">
    <w:name w:val="批注文字 Char"/>
    <w:link w:val="16"/>
    <w:autoRedefine/>
    <w:qFormat/>
    <w:uiPriority w:val="0"/>
    <w:rPr>
      <w:kern w:val="2"/>
      <w:sz w:val="21"/>
    </w:rPr>
  </w:style>
  <w:style w:type="character" w:customStyle="1" w:styleId="79">
    <w:name w:val="正文文本 3 Char"/>
    <w:link w:val="17"/>
    <w:autoRedefine/>
    <w:qFormat/>
    <w:uiPriority w:val="0"/>
    <w:rPr>
      <w:kern w:val="2"/>
      <w:sz w:val="16"/>
      <w:szCs w:val="16"/>
    </w:rPr>
  </w:style>
  <w:style w:type="character" w:customStyle="1" w:styleId="80">
    <w:name w:val="正文文本缩进 Char"/>
    <w:link w:val="20"/>
    <w:autoRedefine/>
    <w:qFormat/>
    <w:uiPriority w:val="0"/>
    <w:rPr>
      <w:rFonts w:ascii="黑体" w:hAnsi="宋体" w:eastAsia="黑体"/>
      <w:color w:val="000000"/>
      <w:kern w:val="2"/>
      <w:sz w:val="28"/>
    </w:rPr>
  </w:style>
  <w:style w:type="character" w:customStyle="1" w:styleId="81">
    <w:name w:val="纯文本 Char"/>
    <w:link w:val="25"/>
    <w:autoRedefine/>
    <w:qFormat/>
    <w:uiPriority w:val="0"/>
    <w:rPr>
      <w:rFonts w:ascii="宋体" w:hAnsi="Courier New" w:eastAsia="宋体"/>
      <w:kern w:val="2"/>
      <w:sz w:val="28"/>
      <w:lang w:val="en-US" w:eastAsia="zh-CN" w:bidi="ar-SA"/>
    </w:rPr>
  </w:style>
  <w:style w:type="character" w:customStyle="1" w:styleId="82">
    <w:name w:val="日期 Char"/>
    <w:link w:val="28"/>
    <w:autoRedefine/>
    <w:qFormat/>
    <w:uiPriority w:val="0"/>
    <w:rPr>
      <w:kern w:val="2"/>
      <w:sz w:val="24"/>
    </w:rPr>
  </w:style>
  <w:style w:type="character" w:customStyle="1" w:styleId="83">
    <w:name w:val="正文文本缩进 2 Char"/>
    <w:link w:val="29"/>
    <w:autoRedefine/>
    <w:qFormat/>
    <w:uiPriority w:val="0"/>
    <w:rPr>
      <w:rFonts w:eastAsia="仿宋_GB2312"/>
      <w:kern w:val="2"/>
      <w:sz w:val="32"/>
    </w:rPr>
  </w:style>
  <w:style w:type="character" w:customStyle="1" w:styleId="84">
    <w:name w:val="尾注文本 Char"/>
    <w:link w:val="30"/>
    <w:autoRedefine/>
    <w:qFormat/>
    <w:uiPriority w:val="0"/>
    <w:rPr>
      <w:rFonts w:ascii="Arial" w:hAnsi="Arial"/>
      <w:szCs w:val="24"/>
      <w:lang w:eastAsia="en-US"/>
    </w:rPr>
  </w:style>
  <w:style w:type="character" w:customStyle="1" w:styleId="85">
    <w:name w:val="批注框文本 Char"/>
    <w:link w:val="31"/>
    <w:autoRedefine/>
    <w:qFormat/>
    <w:uiPriority w:val="0"/>
    <w:rPr>
      <w:kern w:val="2"/>
      <w:sz w:val="18"/>
    </w:rPr>
  </w:style>
  <w:style w:type="character" w:customStyle="1" w:styleId="86">
    <w:name w:val="页脚 Char"/>
    <w:link w:val="32"/>
    <w:autoRedefine/>
    <w:qFormat/>
    <w:uiPriority w:val="99"/>
    <w:rPr>
      <w:kern w:val="2"/>
      <w:sz w:val="18"/>
    </w:rPr>
  </w:style>
  <w:style w:type="character" w:customStyle="1" w:styleId="87">
    <w:name w:val="页眉 Char"/>
    <w:link w:val="33"/>
    <w:autoRedefine/>
    <w:qFormat/>
    <w:uiPriority w:val="99"/>
    <w:rPr>
      <w:kern w:val="2"/>
      <w:sz w:val="18"/>
    </w:rPr>
  </w:style>
  <w:style w:type="character" w:customStyle="1" w:styleId="88">
    <w:name w:val="副标题 Char"/>
    <w:link w:val="36"/>
    <w:autoRedefine/>
    <w:qFormat/>
    <w:uiPriority w:val="0"/>
    <w:rPr>
      <w:rFonts w:eastAsia="宋体"/>
      <w:kern w:val="2"/>
      <w:sz w:val="21"/>
      <w:szCs w:val="24"/>
      <w:u w:val="single"/>
      <w:lang w:val="en-US" w:eastAsia="en-US" w:bidi="ar-SA"/>
    </w:rPr>
  </w:style>
  <w:style w:type="character" w:customStyle="1" w:styleId="89">
    <w:name w:val="脚注文本 Char"/>
    <w:link w:val="37"/>
    <w:autoRedefine/>
    <w:qFormat/>
    <w:uiPriority w:val="0"/>
    <w:rPr>
      <w:kern w:val="2"/>
      <w:sz w:val="18"/>
    </w:rPr>
  </w:style>
  <w:style w:type="character" w:customStyle="1" w:styleId="90">
    <w:name w:val="正文文本缩进 3 Char"/>
    <w:link w:val="39"/>
    <w:autoRedefine/>
    <w:qFormat/>
    <w:uiPriority w:val="0"/>
    <w:rPr>
      <w:kern w:val="2"/>
      <w:sz w:val="16"/>
    </w:rPr>
  </w:style>
  <w:style w:type="character" w:customStyle="1" w:styleId="91">
    <w:name w:val="正文文本 2 Char"/>
    <w:link w:val="42"/>
    <w:autoRedefine/>
    <w:qFormat/>
    <w:uiPriority w:val="0"/>
    <w:rPr>
      <w:i/>
      <w:kern w:val="2"/>
      <w:sz w:val="26"/>
    </w:rPr>
  </w:style>
  <w:style w:type="character" w:customStyle="1" w:styleId="92">
    <w:name w:val="HTML 预设格式 Char"/>
    <w:link w:val="43"/>
    <w:autoRedefine/>
    <w:qFormat/>
    <w:uiPriority w:val="0"/>
    <w:rPr>
      <w:rFonts w:ascii="Arial" w:hAnsi="Arial" w:cs="Arial"/>
      <w:sz w:val="24"/>
      <w:szCs w:val="24"/>
    </w:rPr>
  </w:style>
  <w:style w:type="character" w:customStyle="1" w:styleId="93">
    <w:name w:val="标题 Char"/>
    <w:link w:val="45"/>
    <w:autoRedefine/>
    <w:qFormat/>
    <w:uiPriority w:val="0"/>
    <w:rPr>
      <w:szCs w:val="24"/>
      <w:u w:val="single"/>
      <w:lang w:eastAsia="en-US"/>
    </w:rPr>
  </w:style>
  <w:style w:type="character" w:customStyle="1" w:styleId="94">
    <w:name w:val="批注主题 Char"/>
    <w:link w:val="46"/>
    <w:autoRedefine/>
    <w:qFormat/>
    <w:uiPriority w:val="0"/>
    <w:rPr>
      <w:kern w:val="2"/>
      <w:sz w:val="24"/>
    </w:rPr>
  </w:style>
  <w:style w:type="character" w:customStyle="1" w:styleId="95">
    <w:name w:val="正文首行缩进 2 Char"/>
    <w:link w:val="48"/>
    <w:autoRedefine/>
    <w:qFormat/>
    <w:uiPriority w:val="0"/>
    <w:rPr>
      <w:rFonts w:ascii="黑体" w:hAnsi="宋体" w:eastAsia="黑体"/>
      <w:color w:val="000000"/>
      <w:kern w:val="2"/>
      <w:sz w:val="21"/>
      <w:szCs w:val="24"/>
    </w:rPr>
  </w:style>
  <w:style w:type="character" w:customStyle="1" w:styleId="96">
    <w:name w:val="Char Char11"/>
    <w:autoRedefine/>
    <w:qFormat/>
    <w:uiPriority w:val="0"/>
    <w:rPr>
      <w:rFonts w:eastAsia="黑体"/>
      <w:kern w:val="2"/>
      <w:sz w:val="44"/>
      <w:lang w:val="en-US" w:eastAsia="zh-CN"/>
    </w:rPr>
  </w:style>
  <w:style w:type="character" w:customStyle="1" w:styleId="97">
    <w:name w:val="icon30"/>
    <w:autoRedefine/>
    <w:qFormat/>
    <w:uiPriority w:val="0"/>
  </w:style>
  <w:style w:type="character" w:customStyle="1" w:styleId="98">
    <w:name w:val="Char Char4"/>
    <w:autoRedefine/>
    <w:qFormat/>
    <w:uiPriority w:val="0"/>
    <w:rPr>
      <w:rFonts w:ascii="宋体" w:hAnsi="Courier New"/>
      <w:kern w:val="2"/>
      <w:sz w:val="28"/>
    </w:rPr>
  </w:style>
  <w:style w:type="character" w:customStyle="1" w:styleId="99">
    <w:name w:val="Char Char5"/>
    <w:autoRedefine/>
    <w:qFormat/>
    <w:uiPriority w:val="0"/>
    <w:rPr>
      <w:kern w:val="2"/>
      <w:sz w:val="18"/>
    </w:rPr>
  </w:style>
  <w:style w:type="character" w:customStyle="1" w:styleId="100">
    <w:name w:val="icon29"/>
    <w:autoRedefine/>
    <w:qFormat/>
    <w:uiPriority w:val="0"/>
  </w:style>
  <w:style w:type="character" w:customStyle="1" w:styleId="101">
    <w:name w:val="Char Char8"/>
    <w:autoRedefine/>
    <w:qFormat/>
    <w:uiPriority w:val="0"/>
    <w:rPr>
      <w:rFonts w:ascii="仿宋_GB2312" w:eastAsia="仿宋_GB2312"/>
      <w:b/>
      <w:sz w:val="24"/>
    </w:rPr>
  </w:style>
  <w:style w:type="character" w:customStyle="1" w:styleId="102">
    <w:name w:val="列出段落 Char"/>
    <w:link w:val="103"/>
    <w:autoRedefine/>
    <w:qFormat/>
    <w:uiPriority w:val="0"/>
    <w:rPr>
      <w:kern w:val="2"/>
      <w:sz w:val="28"/>
    </w:rPr>
  </w:style>
  <w:style w:type="paragraph" w:styleId="103">
    <w:name w:val="List Paragraph"/>
    <w:basedOn w:val="1"/>
    <w:link w:val="102"/>
    <w:autoRedefine/>
    <w:qFormat/>
    <w:uiPriority w:val="0"/>
    <w:pPr>
      <w:ind w:firstLine="420" w:firstLineChars="200"/>
    </w:pPr>
    <w:rPr>
      <w:sz w:val="28"/>
    </w:rPr>
  </w:style>
  <w:style w:type="character" w:customStyle="1" w:styleId="104">
    <w:name w:val="font21"/>
    <w:autoRedefine/>
    <w:qFormat/>
    <w:uiPriority w:val="0"/>
    <w:rPr>
      <w:rFonts w:hint="eastAsia" w:ascii="宋体" w:hAnsi="宋体" w:eastAsia="宋体" w:cs="宋体"/>
      <w:color w:val="000000"/>
      <w:sz w:val="22"/>
      <w:szCs w:val="22"/>
      <w:u w:val="none"/>
    </w:rPr>
  </w:style>
  <w:style w:type="character" w:customStyle="1" w:styleId="105">
    <w:name w:val="Char Char3"/>
    <w:autoRedefine/>
    <w:qFormat/>
    <w:uiPriority w:val="0"/>
    <w:rPr>
      <w:rFonts w:hint="eastAsia" w:ascii="宋体" w:hAnsi="宋体" w:eastAsia="宋体"/>
      <w:kern w:val="2"/>
      <w:sz w:val="18"/>
      <w:szCs w:val="18"/>
      <w:lang w:val="en-US" w:eastAsia="zh-CN" w:bidi="ar-SA"/>
    </w:rPr>
  </w:style>
  <w:style w:type="character" w:customStyle="1" w:styleId="106">
    <w:name w:val="标题 Char Char"/>
    <w:autoRedefine/>
    <w:qFormat/>
    <w:uiPriority w:val="0"/>
    <w:rPr>
      <w:rFonts w:ascii="Cambria" w:hAnsi="Cambria" w:cs="Times New Roman"/>
      <w:b/>
      <w:bCs/>
      <w:kern w:val="2"/>
      <w:sz w:val="32"/>
      <w:szCs w:val="32"/>
    </w:rPr>
  </w:style>
  <w:style w:type="character" w:customStyle="1" w:styleId="107">
    <w:name w:val="Char Char2"/>
    <w:autoRedefine/>
    <w:qFormat/>
    <w:uiPriority w:val="0"/>
    <w:rPr>
      <w:kern w:val="2"/>
      <w:sz w:val="26"/>
    </w:rPr>
  </w:style>
  <w:style w:type="character" w:customStyle="1" w:styleId="108">
    <w:name w:val="样式3 Char Char"/>
    <w:autoRedefine/>
    <w:qFormat/>
    <w:uiPriority w:val="0"/>
    <w:rPr>
      <w:rFonts w:hint="eastAsia" w:ascii="宋体" w:hAnsi="宋体" w:eastAsia="仿宋_GB2312"/>
      <w:b/>
      <w:bCs/>
      <w:kern w:val="2"/>
      <w:sz w:val="24"/>
      <w:szCs w:val="32"/>
      <w:lang w:val="en-US" w:eastAsia="zh-CN" w:bidi="ar-SA"/>
    </w:rPr>
  </w:style>
  <w:style w:type="character" w:customStyle="1" w:styleId="109">
    <w:name w:val="Char Char6"/>
    <w:autoRedefine/>
    <w:qFormat/>
    <w:uiPriority w:val="0"/>
    <w:rPr>
      <w:sz w:val="24"/>
    </w:rPr>
  </w:style>
  <w:style w:type="character" w:customStyle="1" w:styleId="110">
    <w:name w:val="Heading 1 Char"/>
    <w:autoRedefine/>
    <w:qFormat/>
    <w:uiPriority w:val="0"/>
    <w:rPr>
      <w:rFonts w:hint="eastAsia" w:ascii="宋体" w:hAnsi="宋体" w:eastAsia="宋体"/>
      <w:b/>
      <w:bCs/>
      <w:kern w:val="44"/>
      <w:sz w:val="44"/>
      <w:szCs w:val="44"/>
      <w:lang w:val="en-US" w:eastAsia="zh-CN" w:bidi="ar-SA"/>
    </w:rPr>
  </w:style>
  <w:style w:type="character" w:customStyle="1" w:styleId="111">
    <w:name w:val="Char Char111"/>
    <w:autoRedefine/>
    <w:qFormat/>
    <w:uiPriority w:val="0"/>
    <w:rPr>
      <w:rFonts w:eastAsia="黑体"/>
      <w:kern w:val="2"/>
      <w:sz w:val="44"/>
      <w:lang w:val="en-US" w:eastAsia="zh-CN"/>
    </w:rPr>
  </w:style>
  <w:style w:type="character" w:customStyle="1" w:styleId="112">
    <w:name w:val="Char Char31"/>
    <w:autoRedefine/>
    <w:qFormat/>
    <w:uiPriority w:val="0"/>
    <w:rPr>
      <w:kern w:val="2"/>
      <w:sz w:val="18"/>
    </w:rPr>
  </w:style>
  <w:style w:type="character" w:customStyle="1" w:styleId="113">
    <w:name w:val="样式 Char Char"/>
    <w:autoRedefine/>
    <w:qFormat/>
    <w:uiPriority w:val="0"/>
    <w:rPr>
      <w:rFonts w:ascii="宋体" w:hAnsi="宋体" w:eastAsia="宋体"/>
      <w:sz w:val="24"/>
      <w:lang w:val="en-US" w:eastAsia="zh-CN"/>
    </w:rPr>
  </w:style>
  <w:style w:type="character" w:customStyle="1" w:styleId="114">
    <w:name w:val="Char Char21"/>
    <w:autoRedefine/>
    <w:qFormat/>
    <w:uiPriority w:val="0"/>
    <w:rPr>
      <w:rFonts w:hint="eastAsia" w:ascii="宋体" w:hAnsi="宋体" w:eastAsia="宋体"/>
      <w:sz w:val="24"/>
      <w:lang w:val="en-US" w:eastAsia="zh-CN" w:bidi="ar-SA"/>
    </w:rPr>
  </w:style>
  <w:style w:type="character" w:customStyle="1" w:styleId="115">
    <w:name w:val="Char Char Char"/>
    <w:autoRedefine/>
    <w:qFormat/>
    <w:uiPriority w:val="0"/>
    <w:rPr>
      <w:kern w:val="2"/>
      <w:sz w:val="18"/>
    </w:rPr>
  </w:style>
  <w:style w:type="character" w:customStyle="1" w:styleId="116">
    <w:name w:val="Char Char34"/>
    <w:autoRedefine/>
    <w:qFormat/>
    <w:uiPriority w:val="0"/>
    <w:rPr>
      <w:rFonts w:eastAsia="黑体"/>
      <w:kern w:val="2"/>
      <w:sz w:val="44"/>
      <w:lang w:val="en-US" w:eastAsia="zh-CN" w:bidi="ar-SA"/>
    </w:rPr>
  </w:style>
  <w:style w:type="character" w:customStyle="1" w:styleId="117">
    <w:name w:val="active4"/>
    <w:autoRedefine/>
    <w:qFormat/>
    <w:uiPriority w:val="0"/>
    <w:rPr>
      <w:color w:val="FFFFFF"/>
      <w:shd w:val="clear" w:color="auto" w:fill="0084FF"/>
    </w:rPr>
  </w:style>
  <w:style w:type="character" w:customStyle="1" w:styleId="118">
    <w:name w:val="ca-141"/>
    <w:autoRedefine/>
    <w:qFormat/>
    <w:uiPriority w:val="0"/>
    <w:rPr>
      <w:rFonts w:hint="eastAsia" w:ascii="仿宋_GB2312" w:eastAsia="仿宋_GB2312"/>
      <w:sz w:val="21"/>
      <w:szCs w:val="21"/>
    </w:rPr>
  </w:style>
  <w:style w:type="character" w:customStyle="1" w:styleId="119">
    <w:name w:val="Char Char9"/>
    <w:autoRedefine/>
    <w:qFormat/>
    <w:uiPriority w:val="0"/>
    <w:rPr>
      <w:rFonts w:ascii="仿宋_GB2312" w:eastAsia="仿宋_GB2312"/>
      <w:b/>
      <w:sz w:val="24"/>
    </w:rPr>
  </w:style>
  <w:style w:type="character" w:customStyle="1" w:styleId="120">
    <w:name w:val="Char Char10"/>
    <w:autoRedefine/>
    <w:qFormat/>
    <w:uiPriority w:val="0"/>
    <w:rPr>
      <w:rFonts w:ascii="仿宋_GB2312" w:eastAsia="仿宋_GB2312"/>
      <w:b/>
      <w:spacing w:val="1"/>
      <w:w w:val="99"/>
      <w:sz w:val="28"/>
    </w:rPr>
  </w:style>
  <w:style w:type="character" w:customStyle="1" w:styleId="121">
    <w:name w:val="Char Char7"/>
    <w:autoRedefine/>
    <w:qFormat/>
    <w:uiPriority w:val="0"/>
    <w:rPr>
      <w:kern w:val="2"/>
      <w:sz w:val="18"/>
    </w:rPr>
  </w:style>
  <w:style w:type="character" w:customStyle="1" w:styleId="122">
    <w:name w:val="Char Char1"/>
    <w:autoRedefine/>
    <w:qFormat/>
    <w:uiPriority w:val="0"/>
    <w:rPr>
      <w:rFonts w:hint="eastAsia" w:ascii="宋体" w:hAnsi="宋体" w:eastAsia="宋体"/>
      <w:kern w:val="2"/>
      <w:sz w:val="18"/>
      <w:szCs w:val="18"/>
      <w:lang w:val="en-US" w:eastAsia="zh-CN" w:bidi="ar-SA"/>
    </w:rPr>
  </w:style>
  <w:style w:type="character" w:customStyle="1" w:styleId="123">
    <w:name w:val="Char Char12"/>
    <w:autoRedefine/>
    <w:qFormat/>
    <w:uiPriority w:val="0"/>
    <w:rPr>
      <w:i/>
      <w:kern w:val="2"/>
      <w:sz w:val="26"/>
    </w:rPr>
  </w:style>
  <w:style w:type="character" w:customStyle="1" w:styleId="124">
    <w:name w:val="批注主题 Char Char"/>
    <w:autoRedefine/>
    <w:qFormat/>
    <w:uiPriority w:val="0"/>
  </w:style>
  <w:style w:type="character" w:customStyle="1" w:styleId="125">
    <w:name w:val="无间隔 Char"/>
    <w:link w:val="126"/>
    <w:autoRedefine/>
    <w:qFormat/>
    <w:uiPriority w:val="1"/>
    <w:rPr>
      <w:sz w:val="22"/>
      <w:szCs w:val="22"/>
      <w:lang w:val="en-US" w:eastAsia="zh-CN" w:bidi="ar-SA"/>
    </w:rPr>
  </w:style>
  <w:style w:type="paragraph" w:styleId="126">
    <w:name w:val="No Spacing"/>
    <w:link w:val="125"/>
    <w:autoRedefine/>
    <w:qFormat/>
    <w:uiPriority w:val="1"/>
    <w:rPr>
      <w:rFonts w:ascii="Times New Roman" w:hAnsi="Times New Roman" w:eastAsia="宋体" w:cs="Times New Roman"/>
      <w:sz w:val="22"/>
      <w:szCs w:val="22"/>
      <w:lang w:val="en-US" w:eastAsia="zh-CN" w:bidi="ar-SA"/>
    </w:rPr>
  </w:style>
  <w:style w:type="character" w:customStyle="1" w:styleId="127">
    <w:name w:val="first-child"/>
    <w:autoRedefine/>
    <w:qFormat/>
    <w:uiPriority w:val="0"/>
  </w:style>
  <w:style w:type="character" w:customStyle="1" w:styleId="128">
    <w:name w:val="尾注文本 Char Char"/>
    <w:autoRedefine/>
    <w:qFormat/>
    <w:uiPriority w:val="0"/>
    <w:rPr>
      <w:kern w:val="2"/>
      <w:sz w:val="21"/>
    </w:rPr>
  </w:style>
  <w:style w:type="character" w:customStyle="1" w:styleId="129">
    <w:name w:val="icon28"/>
    <w:autoRedefine/>
    <w:qFormat/>
    <w:uiPriority w:val="0"/>
  </w:style>
  <w:style w:type="paragraph" w:customStyle="1" w:styleId="130">
    <w:name w:val="样式1"/>
    <w:basedOn w:val="2"/>
    <w:autoRedefine/>
    <w:qFormat/>
    <w:uiPriority w:val="0"/>
    <w:pPr>
      <w:keepNext/>
      <w:keepLines/>
      <w:numPr>
        <w:numId w:val="0"/>
      </w:numPr>
      <w:snapToGrid/>
      <w:spacing w:before="340" w:after="330" w:line="340" w:lineRule="exact"/>
      <w:ind w:right="-20"/>
    </w:pPr>
    <w:rPr>
      <w:rFonts w:ascii="宋体" w:hAnsi="宋体" w:eastAsia="仿宋_GB2312"/>
      <w:b/>
      <w:bCs/>
      <w:kern w:val="0"/>
      <w:sz w:val="32"/>
      <w:szCs w:val="32"/>
    </w:rPr>
  </w:style>
  <w:style w:type="paragraph" w:customStyle="1" w:styleId="131">
    <w:name w:val="Char"/>
    <w:basedOn w:val="15"/>
    <w:autoRedefine/>
    <w:qFormat/>
    <w:uiPriority w:val="0"/>
    <w:pPr>
      <w:spacing w:line="360" w:lineRule="auto"/>
      <w:ind w:firstLine="200" w:firstLineChars="200"/>
    </w:pPr>
    <w:rPr>
      <w:sz w:val="18"/>
    </w:rPr>
  </w:style>
  <w:style w:type="paragraph" w:customStyle="1" w:styleId="132">
    <w:name w:val="CM95"/>
    <w:basedOn w:val="1"/>
    <w:next w:val="1"/>
    <w:autoRedefine/>
    <w:qFormat/>
    <w:uiPriority w:val="0"/>
    <w:pPr>
      <w:autoSpaceDE w:val="0"/>
      <w:autoSpaceDN w:val="0"/>
      <w:adjustRightInd w:val="0"/>
      <w:spacing w:after="115"/>
      <w:jc w:val="left"/>
    </w:pPr>
    <w:rPr>
      <w:rFonts w:ascii="宋体"/>
      <w:kern w:val="0"/>
      <w:sz w:val="24"/>
      <w:szCs w:val="24"/>
    </w:rPr>
  </w:style>
  <w:style w:type="paragraph" w:customStyle="1" w:styleId="133">
    <w:name w:val="Char Char16 Char Char Char Char"/>
    <w:basedOn w:val="1"/>
    <w:autoRedefine/>
    <w:qFormat/>
    <w:uiPriority w:val="0"/>
    <w:rPr>
      <w:szCs w:val="24"/>
    </w:rPr>
  </w:style>
  <w:style w:type="paragraph" w:customStyle="1" w:styleId="134">
    <w:name w:val="（1节）正文标题"/>
    <w:basedOn w:val="1"/>
    <w:next w:val="4"/>
    <w:autoRedefine/>
    <w:qFormat/>
    <w:uiPriority w:val="0"/>
    <w:pPr>
      <w:spacing w:beforeLines="30" w:afterLines="20" w:line="360" w:lineRule="auto"/>
      <w:jc w:val="left"/>
      <w:outlineLvl w:val="1"/>
    </w:pPr>
    <w:rPr>
      <w:rFonts w:ascii="Calibri" w:hAnsi="Calibri" w:cs="Arial"/>
      <w:b/>
      <w:sz w:val="24"/>
    </w:rPr>
  </w:style>
  <w:style w:type="paragraph" w:customStyle="1" w:styleId="135">
    <w:name w:val="正文（缩进）"/>
    <w:basedOn w:val="1"/>
    <w:next w:val="1"/>
    <w:autoRedefine/>
    <w:qFormat/>
    <w:uiPriority w:val="0"/>
    <w:pPr>
      <w:widowControl/>
      <w:spacing w:before="156" w:after="156" w:line="360" w:lineRule="auto"/>
      <w:ind w:firstLine="480" w:firstLineChars="200"/>
      <w:jc w:val="left"/>
    </w:pPr>
    <w:rPr>
      <w:rFonts w:ascii="仿宋" w:hAnsi="仿宋"/>
      <w:sz w:val="28"/>
      <w:szCs w:val="24"/>
      <w:lang w:bidi="th-TH"/>
    </w:rPr>
  </w:style>
  <w:style w:type="paragraph" w:customStyle="1" w:styleId="136">
    <w:name w:val="目录"/>
    <w:basedOn w:val="1"/>
    <w:autoRedefine/>
    <w:qFormat/>
    <w:uiPriority w:val="0"/>
    <w:pPr>
      <w:widowControl/>
      <w:jc w:val="center"/>
    </w:pPr>
    <w:rPr>
      <w:rFonts w:ascii="宋体"/>
      <w:b/>
      <w:kern w:val="0"/>
      <w:sz w:val="36"/>
    </w:rPr>
  </w:style>
  <w:style w:type="paragraph" w:customStyle="1" w:styleId="137">
    <w:name w:val="Char2"/>
    <w:basedOn w:val="1"/>
    <w:autoRedefine/>
    <w:qFormat/>
    <w:uiPriority w:val="0"/>
    <w:pPr>
      <w:spacing w:beforeLines="50"/>
      <w:ind w:firstLine="200" w:firstLineChars="200"/>
    </w:pPr>
    <w:rPr>
      <w:rFonts w:ascii="宋体" w:hAnsi="宋体" w:cs="Courier New"/>
      <w:spacing w:val="-2"/>
      <w:sz w:val="22"/>
      <w:szCs w:val="32"/>
    </w:rPr>
  </w:style>
  <w:style w:type="paragraph" w:customStyle="1" w:styleId="138">
    <w:name w:val="样式 标题 1 + (西文) 宋体 非加粗 黑色 两端对齐 左侧:  0 厘米 首行缩进:  0.89 厘米"/>
    <w:basedOn w:val="2"/>
    <w:autoRedefine/>
    <w:qFormat/>
    <w:uiPriority w:val="0"/>
    <w:pPr>
      <w:keepNext/>
      <w:numPr>
        <w:numId w:val="0"/>
      </w:numPr>
      <w:tabs>
        <w:tab w:val="left" w:pos="1140"/>
      </w:tabs>
      <w:autoSpaceDE/>
      <w:autoSpaceDN/>
      <w:ind w:left="1140" w:hanging="720"/>
    </w:pPr>
    <w:rPr>
      <w:rFonts w:ascii="宋体" w:hAnsi="宋体"/>
      <w:b/>
      <w:color w:val="000000"/>
      <w:kern w:val="0"/>
      <w:sz w:val="30"/>
      <w:szCs w:val="30"/>
    </w:rPr>
  </w:style>
  <w:style w:type="paragraph" w:customStyle="1" w:styleId="139">
    <w:name w:val="Char Char1 Char Char Char Char Char Char Char"/>
    <w:basedOn w:val="1"/>
    <w:autoRedefine/>
    <w:qFormat/>
    <w:uiPriority w:val="0"/>
    <w:pPr>
      <w:pageBreakBefore/>
    </w:pPr>
  </w:style>
  <w:style w:type="paragraph" w:customStyle="1" w:styleId="140">
    <w:name w:val="Char9"/>
    <w:basedOn w:val="15"/>
    <w:autoRedefine/>
    <w:qFormat/>
    <w:uiPriority w:val="0"/>
    <w:pPr>
      <w:spacing w:line="360" w:lineRule="auto"/>
      <w:ind w:firstLine="200" w:firstLineChars="200"/>
    </w:pPr>
  </w:style>
  <w:style w:type="paragraph" w:customStyle="1" w:styleId="141">
    <w:name w:val="Char Char Char Char Char Char Char"/>
    <w:basedOn w:val="1"/>
    <w:autoRedefine/>
    <w:qFormat/>
    <w:uiPriority w:val="0"/>
    <w:rPr>
      <w:szCs w:val="24"/>
    </w:rPr>
  </w:style>
  <w:style w:type="paragraph" w:customStyle="1" w:styleId="142">
    <w:name w:val="Char Char30 Char Char Char Char"/>
    <w:basedOn w:val="1"/>
    <w:autoRedefine/>
    <w:qFormat/>
    <w:uiPriority w:val="0"/>
    <w:rPr>
      <w:szCs w:val="24"/>
    </w:rPr>
  </w:style>
  <w:style w:type="paragraph" w:customStyle="1" w:styleId="143">
    <w:name w:val="表内容"/>
    <w:basedOn w:val="1"/>
    <w:next w:val="1"/>
    <w:autoRedefine/>
    <w:qFormat/>
    <w:uiPriority w:val="0"/>
    <w:pPr>
      <w:jc w:val="center"/>
    </w:pPr>
    <w:rPr>
      <w:szCs w:val="24"/>
    </w:rPr>
  </w:style>
  <w:style w:type="paragraph" w:customStyle="1" w:styleId="144">
    <w:name w:val="目录文字"/>
    <w:basedOn w:val="1"/>
    <w:autoRedefine/>
    <w:qFormat/>
    <w:uiPriority w:val="0"/>
    <w:pPr>
      <w:widowControl/>
      <w:spacing w:line="480" w:lineRule="auto"/>
      <w:jc w:val="left"/>
    </w:pPr>
    <w:rPr>
      <w:rFonts w:ascii="宋体" w:hAnsi="宋体"/>
      <w:kern w:val="0"/>
      <w:sz w:val="24"/>
    </w:rPr>
  </w:style>
  <w:style w:type="paragraph" w:customStyle="1" w:styleId="145">
    <w:name w:val="样式3"/>
    <w:basedOn w:val="4"/>
    <w:autoRedefine/>
    <w:qFormat/>
    <w:uiPriority w:val="0"/>
    <w:pPr>
      <w:keepNext/>
      <w:keepLines/>
      <w:spacing w:before="0" w:line="360" w:lineRule="auto"/>
      <w:ind w:left="119" w:right="-23"/>
    </w:pPr>
    <w:rPr>
      <w:rFonts w:ascii="宋体" w:hAnsi="宋体"/>
      <w:bCs/>
      <w:kern w:val="0"/>
      <w:szCs w:val="32"/>
    </w:rPr>
  </w:style>
  <w:style w:type="paragraph" w:customStyle="1" w:styleId="146">
    <w:name w:val="TOC 标题1"/>
    <w:basedOn w:val="2"/>
    <w:next w:val="1"/>
    <w:autoRedefine/>
    <w:qFormat/>
    <w:uiPriority w:val="0"/>
    <w:pPr>
      <w:keepNext/>
      <w:keepLines/>
      <w:widowControl/>
      <w:numPr>
        <w:numId w:val="0"/>
      </w:numPr>
      <w:autoSpaceDE/>
      <w:autoSpaceDN/>
      <w:adjustRightInd/>
      <w:snapToGrid/>
      <w:spacing w:before="480" w:line="276" w:lineRule="auto"/>
      <w:jc w:val="left"/>
      <w:outlineLvl w:val="9"/>
    </w:pPr>
    <w:rPr>
      <w:rFonts w:ascii="Cambria" w:hAnsi="Cambria" w:eastAsia="宋体"/>
      <w:b/>
      <w:color w:val="365F91"/>
      <w:kern w:val="0"/>
      <w:sz w:val="28"/>
    </w:rPr>
  </w:style>
  <w:style w:type="paragraph" w:customStyle="1" w:styleId="147">
    <w:name w:val="样式 首行缩进:  2 字符"/>
    <w:basedOn w:val="1"/>
    <w:autoRedefine/>
    <w:qFormat/>
    <w:uiPriority w:val="0"/>
    <w:pPr>
      <w:spacing w:line="400" w:lineRule="exact"/>
      <w:ind w:firstLine="200" w:firstLineChars="200"/>
    </w:pPr>
    <w:rPr>
      <w:rFonts w:ascii="Calibri" w:hAnsi="Calibri" w:cs="宋体"/>
      <w:sz w:val="24"/>
      <w:szCs w:val="24"/>
    </w:rPr>
  </w:style>
  <w:style w:type="paragraph" w:customStyle="1" w:styleId="148">
    <w:name w:val="pa-34"/>
    <w:autoRedefine/>
    <w:qFormat/>
    <w:uiPriority w:val="0"/>
    <w:pPr>
      <w:spacing w:line="360" w:lineRule="atLeast"/>
      <w:ind w:firstLine="420"/>
    </w:pPr>
    <w:rPr>
      <w:rFonts w:ascii="宋体" w:hAnsi="宋体" w:eastAsia="宋体" w:cs="Times New Roman"/>
      <w:sz w:val="24"/>
      <w:lang w:val="en-US" w:eastAsia="zh-CN" w:bidi="ar-SA"/>
    </w:rPr>
  </w:style>
  <w:style w:type="paragraph" w:customStyle="1" w:styleId="149">
    <w:name w:val="Table Paragraph"/>
    <w:basedOn w:val="1"/>
    <w:autoRedefine/>
    <w:qFormat/>
    <w:uiPriority w:val="1"/>
    <w:pPr>
      <w:autoSpaceDE w:val="0"/>
      <w:autoSpaceDN w:val="0"/>
      <w:jc w:val="left"/>
    </w:pPr>
    <w:rPr>
      <w:rFonts w:ascii="宋体" w:hAnsi="宋体" w:cs="宋体"/>
      <w:kern w:val="0"/>
      <w:sz w:val="22"/>
      <w:lang w:eastAsia="en-US"/>
    </w:rPr>
  </w:style>
  <w:style w:type="paragraph" w:customStyle="1" w:styleId="15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1">
    <w:name w:val="修订1"/>
    <w:autoRedefine/>
    <w:qFormat/>
    <w:uiPriority w:val="0"/>
    <w:rPr>
      <w:rFonts w:ascii="Times New Roman" w:hAnsi="Times New Roman" w:eastAsia="宋体" w:cs="Times New Roman"/>
      <w:kern w:val="2"/>
      <w:sz w:val="21"/>
      <w:lang w:val="en-US" w:eastAsia="zh-CN" w:bidi="ar-SA"/>
    </w:rPr>
  </w:style>
  <w:style w:type="paragraph" w:customStyle="1" w:styleId="152">
    <w:name w:val="正文小标题"/>
    <w:basedOn w:val="1"/>
    <w:autoRedefine/>
    <w:qFormat/>
    <w:uiPriority w:val="0"/>
    <w:pPr>
      <w:tabs>
        <w:tab w:val="left" w:pos="1140"/>
      </w:tabs>
      <w:overflowPunct w:val="0"/>
      <w:autoSpaceDE w:val="0"/>
      <w:autoSpaceDN w:val="0"/>
      <w:adjustRightInd w:val="0"/>
      <w:spacing w:line="360" w:lineRule="auto"/>
      <w:ind w:left="1140" w:hanging="720"/>
    </w:pPr>
    <w:rPr>
      <w:rFonts w:ascii="仿宋_GB2312" w:hAnsi="Arial"/>
      <w:kern w:val="0"/>
      <w:sz w:val="24"/>
    </w:rPr>
  </w:style>
  <w:style w:type="paragraph" w:customStyle="1" w:styleId="153">
    <w:name w:val="列出段落1"/>
    <w:basedOn w:val="1"/>
    <w:autoRedefine/>
    <w:qFormat/>
    <w:uiPriority w:val="34"/>
    <w:pPr>
      <w:ind w:firstLine="420" w:firstLineChars="200"/>
    </w:pPr>
  </w:style>
  <w:style w:type="paragraph" w:customStyle="1" w:styleId="154">
    <w:name w:val="样式2"/>
    <w:basedOn w:val="3"/>
    <w:autoRedefine/>
    <w:qFormat/>
    <w:uiPriority w:val="0"/>
    <w:pPr>
      <w:keepNext/>
      <w:keepLines/>
      <w:snapToGrid/>
      <w:spacing w:before="260" w:after="260" w:line="300" w:lineRule="exact"/>
      <w:ind w:left="220" w:right="-20"/>
      <w:jc w:val="center"/>
    </w:pPr>
    <w:rPr>
      <w:rFonts w:ascii="宋体" w:hAnsi="宋体"/>
      <w:bCs/>
      <w:spacing w:val="0"/>
      <w:kern w:val="0"/>
      <w:szCs w:val="28"/>
    </w:rPr>
  </w:style>
  <w:style w:type="paragraph" w:customStyle="1" w:styleId="155">
    <w:name w:val="p0"/>
    <w:basedOn w:val="1"/>
    <w:autoRedefine/>
    <w:qFormat/>
    <w:uiPriority w:val="0"/>
    <w:pPr>
      <w:widowControl/>
    </w:pPr>
    <w:rPr>
      <w:kern w:val="0"/>
      <w:szCs w:val="21"/>
    </w:rPr>
  </w:style>
  <w:style w:type="paragraph" w:customStyle="1" w:styleId="156">
    <w:name w:val="Char7"/>
    <w:basedOn w:val="1"/>
    <w:autoRedefine/>
    <w:qFormat/>
    <w:uiPriority w:val="0"/>
    <w:pPr>
      <w:widowControl/>
      <w:spacing w:after="160" w:line="240" w:lineRule="exact"/>
      <w:jc w:val="left"/>
    </w:pPr>
  </w:style>
  <w:style w:type="paragraph" w:customStyle="1" w:styleId="157">
    <w:name w:val="Char Char Char Char"/>
    <w:basedOn w:val="15"/>
    <w:autoRedefine/>
    <w:qFormat/>
    <w:uiPriority w:val="0"/>
    <w:pPr>
      <w:spacing w:line="360" w:lineRule="auto"/>
      <w:ind w:firstLine="200" w:firstLineChars="200"/>
    </w:pPr>
  </w:style>
  <w:style w:type="paragraph" w:customStyle="1" w:styleId="158">
    <w:name w:val="附件标题-1"/>
    <w:basedOn w:val="1"/>
    <w:autoRedefine/>
    <w:qFormat/>
    <w:uiPriority w:val="0"/>
    <w:pPr>
      <w:spacing w:beforeLines="50"/>
      <w:jc w:val="center"/>
    </w:pPr>
    <w:rPr>
      <w:rFonts w:eastAsia="黑体"/>
      <w:sz w:val="32"/>
      <w:szCs w:val="24"/>
    </w:rPr>
  </w:style>
  <w:style w:type="paragraph" w:customStyle="1" w:styleId="159">
    <w:name w:val="目录 53"/>
    <w:next w:val="1"/>
    <w:autoRedefine/>
    <w:qFormat/>
    <w:uiPriority w:val="0"/>
    <w:pPr>
      <w:wordWrap w:val="0"/>
      <w:ind w:left="1275"/>
      <w:jc w:val="both"/>
    </w:pPr>
    <w:rPr>
      <w:rFonts w:ascii="Calibri" w:hAnsi="Calibri" w:eastAsia="宋体" w:cs="Times New Roman"/>
      <w:kern w:val="2"/>
      <w:sz w:val="21"/>
      <w:lang w:val="en-US" w:eastAsia="zh-CN" w:bidi="ar-SA"/>
    </w:rPr>
  </w:style>
  <w:style w:type="paragraph" w:customStyle="1" w:styleId="160">
    <w:name w:val="BT3"/>
    <w:basedOn w:val="4"/>
    <w:autoRedefine/>
    <w:qFormat/>
    <w:uiPriority w:val="0"/>
    <w:pPr>
      <w:keepNext/>
      <w:keepLines/>
      <w:autoSpaceDE/>
      <w:autoSpaceDN/>
      <w:snapToGrid w:val="0"/>
      <w:spacing w:before="260" w:after="260" w:line="360" w:lineRule="auto"/>
      <w:jc w:val="center"/>
    </w:pPr>
    <w:rPr>
      <w:rFonts w:hAnsi="宋体"/>
      <w:szCs w:val="24"/>
    </w:rPr>
  </w:style>
  <w:style w:type="paragraph" w:customStyle="1" w:styleId="161">
    <w:name w:val="Char1"/>
    <w:basedOn w:val="1"/>
    <w:autoRedefine/>
    <w:qFormat/>
    <w:uiPriority w:val="0"/>
    <w:pPr>
      <w:spacing w:beforeLines="50" w:afterLines="50"/>
    </w:pPr>
    <w:rPr>
      <w:rFonts w:ascii="Tahoma" w:hAnsi="Tahoma"/>
      <w:sz w:val="24"/>
    </w:rPr>
  </w:style>
  <w:style w:type="paragraph" w:customStyle="1" w:styleId="162">
    <w:name w:val="bt1bt1"/>
    <w:basedOn w:val="2"/>
    <w:autoRedefine/>
    <w:qFormat/>
    <w:uiPriority w:val="0"/>
    <w:pPr>
      <w:keepNext/>
      <w:keepLines/>
      <w:numPr>
        <w:numId w:val="0"/>
      </w:numPr>
      <w:autoSpaceDE/>
      <w:autoSpaceDN/>
      <w:adjustRightInd/>
      <w:snapToGrid/>
      <w:spacing w:before="340" w:after="330" w:line="240" w:lineRule="auto"/>
    </w:pPr>
    <w:rPr>
      <w:rFonts w:ascii="黑体"/>
      <w:bCs/>
      <w:kern w:val="44"/>
      <w:sz w:val="36"/>
      <w:szCs w:val="36"/>
    </w:rPr>
  </w:style>
  <w:style w:type="paragraph" w:customStyle="1" w:styleId="163">
    <w:name w:val="Char Char Char Char Char2 Char"/>
    <w:basedOn w:val="1"/>
    <w:autoRedefine/>
    <w:qFormat/>
    <w:uiPriority w:val="0"/>
    <w:pPr>
      <w:adjustRightInd w:val="0"/>
      <w:snapToGrid w:val="0"/>
      <w:spacing w:line="360" w:lineRule="auto"/>
      <w:ind w:firstLine="200" w:firstLineChars="200"/>
    </w:pPr>
  </w:style>
  <w:style w:type="paragraph" w:customStyle="1" w:styleId="164">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165">
    <w:name w:val="Char Char Char Char Char Char Char Char Char Char Char Char Char Char Char Char"/>
    <w:basedOn w:val="1"/>
    <w:autoRedefine/>
    <w:qFormat/>
    <w:uiPriority w:val="0"/>
  </w:style>
  <w:style w:type="paragraph" w:customStyle="1" w:styleId="166">
    <w:name w:val="正  文"/>
    <w:basedOn w:val="1"/>
    <w:autoRedefine/>
    <w:qFormat/>
    <w:uiPriority w:val="0"/>
    <w:pPr>
      <w:spacing w:line="360" w:lineRule="auto"/>
      <w:ind w:firstLine="200" w:firstLineChars="200"/>
    </w:pPr>
    <w:rPr>
      <w:rFonts w:ascii="宋体" w:hAnsi="Calibri"/>
      <w:sz w:val="24"/>
    </w:rPr>
  </w:style>
  <w:style w:type="table" w:customStyle="1" w:styleId="167">
    <w:name w:val="Table Normal"/>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68">
    <w:name w:val="Table Normal1"/>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69">
    <w:name w:val="Table Normal2"/>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70">
    <w:name w:val="列出段落11"/>
    <w:basedOn w:val="1"/>
    <w:autoRedefine/>
    <w:qFormat/>
    <w:uiPriority w:val="0"/>
    <w:pPr>
      <w:ind w:firstLine="420" w:firstLineChars="200"/>
    </w:pPr>
    <w:rPr>
      <w:sz w:val="28"/>
      <w:szCs w:val="28"/>
    </w:rPr>
  </w:style>
  <w:style w:type="character" w:customStyle="1" w:styleId="171">
    <w:name w:val="NormalCharacter"/>
    <w:autoRedefine/>
    <w:semiHidden/>
    <w:qFormat/>
    <w:uiPriority w:val="0"/>
  </w:style>
  <w:style w:type="character" w:customStyle="1" w:styleId="172">
    <w:name w:val="active7"/>
    <w:basedOn w:val="51"/>
    <w:autoRedefine/>
    <w:qFormat/>
    <w:uiPriority w:val="0"/>
    <w:rPr>
      <w:color w:val="FFFFFF"/>
      <w:shd w:val="clear" w:color="auto" w:fill="E02F23"/>
    </w:rPr>
  </w:style>
  <w:style w:type="paragraph" w:customStyle="1" w:styleId="173">
    <w:name w:val="样式 小四"/>
    <w:autoRedefine/>
    <w:qFormat/>
    <w:uiPriority w:val="99"/>
    <w:pPr>
      <w:widowControl w:val="0"/>
      <w:adjustRightInd w:val="0"/>
      <w:spacing w:line="360" w:lineRule="atLeast"/>
      <w:textAlignment w:val="baseline"/>
    </w:pPr>
    <w:rPr>
      <w:rFonts w:ascii="Times New Roman" w:hAnsi="Times New Roman" w:eastAsia="宋体" w:cs="Calibri"/>
      <w:sz w:val="24"/>
      <w:szCs w:val="24"/>
      <w:lang w:val="en-US" w:eastAsia="zh-CN" w:bidi="ar-SA"/>
    </w:rPr>
  </w:style>
  <w:style w:type="paragraph" w:customStyle="1" w:styleId="174">
    <w:name w:val="列表段落1"/>
    <w:basedOn w:val="1"/>
    <w:autoRedefine/>
    <w:qFormat/>
    <w:uiPriority w:val="34"/>
    <w:pPr>
      <w:ind w:firstLine="420" w:firstLineChars="200"/>
    </w:pPr>
    <w:rPr>
      <w:rFonts w:ascii="Calibri" w:hAnsi="Calibri"/>
    </w:rPr>
  </w:style>
  <w:style w:type="character" w:customStyle="1" w:styleId="175">
    <w:name w:val="font41"/>
    <w:basedOn w:val="51"/>
    <w:autoRedefine/>
    <w:qFormat/>
    <w:uiPriority w:val="0"/>
    <w:rPr>
      <w:rFonts w:hint="eastAsia" w:ascii="宋体" w:hAnsi="宋体" w:eastAsia="宋体" w:cs="宋体"/>
      <w:color w:val="333333"/>
      <w:sz w:val="24"/>
      <w:szCs w:val="24"/>
      <w:u w:val="none"/>
    </w:rPr>
  </w:style>
  <w:style w:type="paragraph" w:customStyle="1" w:styleId="176">
    <w:name w:val="正文-表格内文字"/>
    <w:basedOn w:val="1"/>
    <w:autoRedefine/>
    <w:qFormat/>
    <w:uiPriority w:val="0"/>
    <w:pPr>
      <w:spacing w:line="264" w:lineRule="auto"/>
    </w:pPr>
  </w:style>
  <w:style w:type="paragraph" w:customStyle="1" w:styleId="177">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1922F8-2AD0-4D79-BC61-997CBF646661}">
  <ds:schemaRefs/>
</ds:datastoreItem>
</file>

<file path=docProps/app.xml><?xml version="1.0" encoding="utf-8"?>
<Properties xmlns="http://schemas.openxmlformats.org/officeDocument/2006/extended-properties" xmlns:vt="http://schemas.openxmlformats.org/officeDocument/2006/docPropsVTypes">
  <Template>Normal</Template>
  <Pages>42</Pages>
  <Words>18526</Words>
  <Characters>20225</Characters>
  <Lines>191</Lines>
  <Paragraphs>54</Paragraphs>
  <TotalTime>24</TotalTime>
  <ScaleCrop>false</ScaleCrop>
  <LinksUpToDate>false</LinksUpToDate>
  <CharactersWithSpaces>22551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2023-07-18T03:24:00Z</dcterms:created>
  <dc:creator>admin</dc:creator>
  <cp:lastModifiedBy>admin</cp:lastModifiedBy>
  <cp:lastPrinted>2023-07-17T02:42:00Z</cp:lastPrinted>
  <dcterms:modified xsi:type="dcterms:W3CDTF">2025-09-17T12:05:53Z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E566A1A6C54748959F6E0EFBFA4DC32E_13</vt:lpwstr>
  </property>
  <property fmtid="{D5CDD505-2E9C-101B-9397-08002B2CF9AE}" pid="4" name="KSOTemplateDocerSaveRecord">
    <vt:lpwstr>eyJoZGlkIjoiYmRlNjM2MTdlZjE1ZTNlM2U2MTBmZGIzNjMxZWI5ZGYiLCJ1c2VySWQiOiI4NjcxOTQ3MTIifQ==</vt:lpwstr>
  </property>
</Properties>
</file>