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15D3C26C">
      <w:pPr>
        <w:pStyle w:val="22"/>
      </w:pPr>
    </w:p>
    <w:p w14:paraId="2FBFE53D">
      <w:pPr>
        <w:spacing w:line="700" w:lineRule="exact"/>
        <w:ind w:firstLine="321" w:firstLineChars="100"/>
        <w:rPr>
          <w:rFonts w:hint="default" w:ascii="宋体" w:hAnsi="宋体" w:eastAsia="宋体" w:cs="宋体"/>
          <w:b/>
          <w:bCs/>
          <w:sz w:val="32"/>
          <w:szCs w:val="32"/>
          <w:u w:val="single"/>
          <w:lang w:val="en-US" w:eastAsia="zh-CN"/>
        </w:rPr>
      </w:pPr>
      <w:r>
        <w:rPr>
          <w:rFonts w:hint="eastAsia" w:ascii="宋体" w:hAnsi="宋体" w:eastAsia="宋体" w:cs="宋体"/>
          <w:b/>
          <w:bCs/>
          <w:sz w:val="32"/>
          <w:szCs w:val="32"/>
          <w:u w:val="single"/>
        </w:rPr>
        <w:t>项目编号：CQZH2</w:t>
      </w:r>
      <w:r>
        <w:rPr>
          <w:rFonts w:hint="eastAsia" w:ascii="宋体" w:hAnsi="宋体" w:eastAsia="宋体" w:cs="宋体"/>
          <w:b/>
          <w:bCs/>
          <w:sz w:val="32"/>
          <w:szCs w:val="32"/>
          <w:u w:val="single"/>
          <w:lang w:val="en-US" w:eastAsia="zh-CN"/>
        </w:rPr>
        <w:t>5069</w:t>
      </w:r>
    </w:p>
    <w:p w14:paraId="524DE0D5">
      <w:pPr>
        <w:spacing w:line="700" w:lineRule="exact"/>
        <w:ind w:firstLine="321" w:firstLineChars="100"/>
        <w:rPr>
          <w:rFonts w:hint="eastAsia" w:ascii="宋体" w:hAnsi="宋体" w:eastAsia="宋体" w:cs="宋体"/>
          <w:b/>
          <w:bCs/>
          <w:sz w:val="32"/>
          <w:szCs w:val="32"/>
          <w:u w:val="single"/>
          <w:lang w:eastAsia="zh-CN"/>
        </w:rPr>
      </w:pPr>
      <w:r>
        <w:rPr>
          <w:rFonts w:hint="eastAsia" w:ascii="宋体" w:hAnsi="宋体" w:eastAsia="宋体" w:cs="宋体"/>
          <w:b/>
          <w:bCs/>
          <w:sz w:val="32"/>
          <w:szCs w:val="32"/>
          <w:u w:val="single"/>
        </w:rPr>
        <w:t>项目名称：</w:t>
      </w:r>
      <w:r>
        <w:rPr>
          <w:rFonts w:hint="eastAsia" w:ascii="宋体" w:hAnsi="宋体" w:eastAsia="宋体" w:cs="宋体"/>
          <w:b/>
          <w:bCs/>
          <w:sz w:val="32"/>
          <w:szCs w:val="32"/>
          <w:u w:val="single"/>
          <w:lang w:eastAsia="zh-CN"/>
        </w:rPr>
        <w:t>国家青年柔道队（安富训练基地）训练馆窗帘安装项目</w:t>
      </w:r>
    </w:p>
    <w:p w14:paraId="411E0296">
      <w:pPr>
        <w:rPr>
          <w:rFonts w:ascii="宋体" w:hAnsi="宋体" w:eastAsia="宋体" w:cs="宋体"/>
        </w:rPr>
      </w:pPr>
    </w:p>
    <w:p w14:paraId="471E9E9E">
      <w:pPr>
        <w:rPr>
          <w:rFonts w:ascii="宋体" w:hAnsi="宋体" w:eastAsia="宋体" w:cs="宋体"/>
        </w:rPr>
      </w:pPr>
    </w:p>
    <w:p w14:paraId="2287D5D2">
      <w:pPr>
        <w:rPr>
          <w:rFonts w:ascii="宋体" w:hAnsi="宋体" w:eastAsia="宋体" w:cs="宋体"/>
          <w:spacing w:val="80"/>
          <w:sz w:val="112"/>
          <w:szCs w:val="112"/>
        </w:rPr>
      </w:pPr>
    </w:p>
    <w:p w14:paraId="3226CE4B">
      <w:pPr>
        <w:jc w:val="center"/>
        <w:outlineLvl w:val="0"/>
        <w:rPr>
          <w:rFonts w:ascii="宋体" w:hAnsi="宋体" w:eastAsia="宋体" w:cs="宋体"/>
          <w:spacing w:val="80"/>
          <w:sz w:val="100"/>
          <w:szCs w:val="112"/>
        </w:rPr>
      </w:pPr>
      <w:bookmarkStart w:id="0" w:name="_Toc9266"/>
      <w:bookmarkStart w:id="1" w:name="_Toc21413"/>
      <w:bookmarkStart w:id="2" w:name="_Toc19927"/>
      <w:bookmarkStart w:id="3" w:name="_Toc30147"/>
      <w:bookmarkStart w:id="4" w:name="_Toc22706"/>
      <w:bookmarkStart w:id="5" w:name="_Toc9041"/>
      <w:bookmarkStart w:id="6" w:name="_Toc20997"/>
      <w:bookmarkStart w:id="7" w:name="_Toc14400"/>
      <w:r>
        <w:rPr>
          <w:rFonts w:hint="eastAsia" w:ascii="宋体" w:hAnsi="宋体" w:eastAsia="宋体" w:cs="宋体"/>
          <w:b/>
          <w:bCs/>
          <w:spacing w:val="80"/>
          <w:sz w:val="100"/>
          <w:szCs w:val="112"/>
        </w:rPr>
        <w:t>竞争性谈判文件</w:t>
      </w:r>
      <w:bookmarkEnd w:id="0"/>
      <w:bookmarkEnd w:id="1"/>
      <w:bookmarkEnd w:id="2"/>
      <w:bookmarkEnd w:id="3"/>
      <w:bookmarkEnd w:id="4"/>
      <w:bookmarkEnd w:id="5"/>
      <w:bookmarkEnd w:id="6"/>
      <w:bookmarkEnd w:id="7"/>
    </w:p>
    <w:p w14:paraId="110341CF">
      <w:pPr>
        <w:spacing w:line="700" w:lineRule="exact"/>
        <w:ind w:firstLine="840" w:firstLineChars="300"/>
        <w:rPr>
          <w:rFonts w:ascii="宋体" w:hAnsi="宋体" w:eastAsia="宋体" w:cs="宋体"/>
          <w:szCs w:val="28"/>
        </w:rPr>
      </w:pPr>
    </w:p>
    <w:p w14:paraId="6D866E67">
      <w:pPr>
        <w:ind w:firstLine="840" w:firstLineChars="300"/>
        <w:rPr>
          <w:rFonts w:ascii="宋体" w:hAnsi="宋体" w:cs="宋体"/>
        </w:rPr>
      </w:pPr>
    </w:p>
    <w:p w14:paraId="58ABE4A4">
      <w:pPr>
        <w:spacing w:line="700" w:lineRule="exact"/>
        <w:ind w:firstLine="840" w:firstLineChars="300"/>
        <w:rPr>
          <w:rFonts w:ascii="宋体" w:hAnsi="宋体" w:eastAsia="宋体" w:cs="宋体"/>
          <w:szCs w:val="28"/>
        </w:rPr>
      </w:pPr>
    </w:p>
    <w:p w14:paraId="6CC234BA">
      <w:pPr>
        <w:pStyle w:val="2"/>
      </w:pPr>
    </w:p>
    <w:p w14:paraId="20B27DE3">
      <w:pPr>
        <w:spacing w:line="700" w:lineRule="exact"/>
        <w:ind w:firstLine="964" w:firstLineChars="300"/>
        <w:rPr>
          <w:rFonts w:ascii="宋体" w:hAnsi="宋体" w:eastAsia="宋体" w:cs="宋体"/>
          <w:b/>
          <w:bCs/>
          <w:sz w:val="32"/>
          <w:szCs w:val="32"/>
          <w:u w:val="single"/>
        </w:rPr>
      </w:pPr>
      <w:r>
        <w:rPr>
          <w:rFonts w:hint="eastAsia" w:ascii="宋体" w:hAnsi="宋体" w:eastAsia="宋体" w:cs="宋体"/>
          <w:b/>
          <w:bCs/>
          <w:sz w:val="32"/>
          <w:szCs w:val="32"/>
          <w:u w:val="single"/>
        </w:rPr>
        <w:t>采</w:t>
      </w:r>
      <w:r>
        <w:rPr>
          <w:rFonts w:hint="eastAsia" w:ascii="宋体" w:hAnsi="宋体" w:eastAsia="宋体" w:cs="宋体"/>
          <w:b/>
          <w:bCs/>
          <w:sz w:val="32"/>
          <w:szCs w:val="32"/>
          <w:u w:val="single"/>
          <w:lang w:val="en-US" w:eastAsia="zh-CN"/>
        </w:rPr>
        <w:t xml:space="preserve"> </w:t>
      </w:r>
      <w:r>
        <w:rPr>
          <w:rFonts w:hint="eastAsia" w:ascii="宋体" w:hAnsi="宋体" w:eastAsia="宋体" w:cs="宋体"/>
          <w:b/>
          <w:bCs/>
          <w:sz w:val="32"/>
          <w:szCs w:val="32"/>
          <w:u w:val="single"/>
        </w:rPr>
        <w:t>购</w:t>
      </w:r>
      <w:r>
        <w:rPr>
          <w:rFonts w:hint="eastAsia" w:ascii="宋体" w:hAnsi="宋体" w:eastAsia="宋体" w:cs="宋体"/>
          <w:b/>
          <w:bCs/>
          <w:sz w:val="32"/>
          <w:szCs w:val="32"/>
          <w:u w:val="single"/>
          <w:lang w:val="en-US" w:eastAsia="zh-CN"/>
        </w:rPr>
        <w:t xml:space="preserve"> </w:t>
      </w:r>
      <w:r>
        <w:rPr>
          <w:rFonts w:hint="eastAsia" w:ascii="宋体" w:hAnsi="宋体" w:eastAsia="宋体" w:cs="宋体"/>
          <w:b/>
          <w:bCs/>
          <w:sz w:val="32"/>
          <w:szCs w:val="32"/>
          <w:u w:val="single"/>
        </w:rPr>
        <w:t>人：重庆市荣昌区文化和旅游发展委员会</w:t>
      </w:r>
    </w:p>
    <w:p w14:paraId="5B1D0236">
      <w:pPr>
        <w:spacing w:line="700" w:lineRule="exact"/>
        <w:ind w:firstLine="643" w:firstLineChars="200"/>
        <w:rPr>
          <w:rFonts w:hint="eastAsia" w:ascii="宋体" w:hAnsi="宋体" w:eastAsia="宋体" w:cs="宋体"/>
          <w:b/>
          <w:bCs/>
          <w:sz w:val="32"/>
          <w:szCs w:val="32"/>
          <w:u w:val="single"/>
        </w:rPr>
      </w:pPr>
    </w:p>
    <w:p w14:paraId="7F868D14">
      <w:pPr>
        <w:spacing w:line="700" w:lineRule="exact"/>
        <w:ind w:firstLine="964" w:firstLineChars="300"/>
        <w:rPr>
          <w:rFonts w:ascii="宋体" w:hAnsi="宋体" w:eastAsia="宋体" w:cs="宋体"/>
          <w:sz w:val="32"/>
          <w:szCs w:val="32"/>
        </w:rPr>
      </w:pPr>
      <w:r>
        <w:rPr>
          <w:rFonts w:hint="eastAsia" w:ascii="宋体" w:hAnsi="宋体" w:eastAsia="宋体" w:cs="宋体"/>
          <w:b/>
          <w:bCs/>
          <w:sz w:val="32"/>
          <w:szCs w:val="32"/>
          <w:u w:val="single"/>
        </w:rPr>
        <w:t>代理机构：重庆展辉招标代理有限公司</w:t>
      </w:r>
    </w:p>
    <w:p w14:paraId="4511FD6B">
      <w:pPr>
        <w:spacing w:line="720" w:lineRule="exact"/>
        <w:rPr>
          <w:rFonts w:ascii="宋体" w:hAnsi="宋体" w:eastAsia="宋体" w:cs="宋体"/>
          <w:sz w:val="48"/>
          <w:szCs w:val="32"/>
        </w:rPr>
      </w:pPr>
    </w:p>
    <w:p w14:paraId="7C50A17E">
      <w:pPr>
        <w:spacing w:line="420" w:lineRule="exact"/>
        <w:jc w:val="center"/>
        <w:outlineLvl w:val="9"/>
        <w:rPr>
          <w:rFonts w:ascii="宋体" w:hAnsi="宋体" w:eastAsia="宋体" w:cs="宋体"/>
          <w:b/>
          <w:bCs/>
          <w:szCs w:val="28"/>
        </w:rPr>
      </w:pPr>
      <w:bookmarkStart w:id="8" w:name="_Toc31448"/>
      <w:bookmarkStart w:id="9" w:name="_Toc2956"/>
      <w:bookmarkStart w:id="10" w:name="_Toc18387"/>
      <w:bookmarkStart w:id="11" w:name="_Toc27136"/>
      <w:bookmarkStart w:id="12" w:name="_Toc5510"/>
      <w:bookmarkStart w:id="13" w:name="_Toc4256"/>
      <w:bookmarkStart w:id="14" w:name="_Toc11758"/>
    </w:p>
    <w:p w14:paraId="0954A2DC">
      <w:pPr>
        <w:spacing w:line="420" w:lineRule="exact"/>
        <w:ind w:firstLine="3534" w:firstLineChars="1100"/>
        <w:jc w:val="both"/>
        <w:outlineLvl w:val="0"/>
        <w:rPr>
          <w:rFonts w:ascii="宋体" w:hAnsi="宋体" w:eastAsia="宋体" w:cs="宋体"/>
          <w:b/>
          <w:bCs/>
          <w:sz w:val="32"/>
          <w:szCs w:val="32"/>
          <w:u w:val="single"/>
        </w:rPr>
      </w:pPr>
      <w:bookmarkStart w:id="15" w:name="_Toc22686"/>
      <w:r>
        <w:rPr>
          <w:rFonts w:hint="eastAsia" w:ascii="宋体" w:hAnsi="宋体" w:eastAsia="宋体" w:cs="宋体"/>
          <w:b/>
          <w:bCs/>
          <w:sz w:val="32"/>
          <w:szCs w:val="32"/>
          <w:u w:val="single"/>
          <w:lang w:val="en-US" w:eastAsia="zh-CN"/>
        </w:rPr>
        <w:t>2025</w:t>
      </w:r>
      <w:r>
        <w:rPr>
          <w:rFonts w:hint="eastAsia" w:ascii="宋体" w:hAnsi="宋体" w:eastAsia="宋体" w:cs="宋体"/>
          <w:b/>
          <w:bCs/>
          <w:sz w:val="32"/>
          <w:szCs w:val="32"/>
          <w:u w:val="single"/>
        </w:rPr>
        <w:t>年</w:t>
      </w:r>
      <w:r>
        <w:rPr>
          <w:rFonts w:hint="eastAsia" w:ascii="宋体" w:hAnsi="宋体" w:eastAsia="宋体" w:cs="宋体"/>
          <w:b/>
          <w:bCs/>
          <w:sz w:val="32"/>
          <w:szCs w:val="32"/>
          <w:u w:val="single"/>
          <w:lang w:val="en-US" w:eastAsia="zh-CN"/>
        </w:rPr>
        <w:t>7</w:t>
      </w:r>
      <w:r>
        <w:rPr>
          <w:rFonts w:hint="eastAsia" w:ascii="宋体" w:hAnsi="宋体" w:eastAsia="宋体" w:cs="宋体"/>
          <w:b/>
          <w:bCs/>
          <w:sz w:val="32"/>
          <w:szCs w:val="32"/>
          <w:u w:val="single"/>
        </w:rPr>
        <w:t>月</w:t>
      </w:r>
      <w:bookmarkEnd w:id="8"/>
      <w:bookmarkEnd w:id="9"/>
      <w:bookmarkEnd w:id="10"/>
      <w:bookmarkEnd w:id="11"/>
      <w:bookmarkEnd w:id="12"/>
      <w:bookmarkEnd w:id="13"/>
      <w:bookmarkEnd w:id="14"/>
      <w:bookmarkEnd w:id="15"/>
    </w:p>
    <w:p w14:paraId="7001769F">
      <w:pPr>
        <w:jc w:val="center"/>
        <w:rPr>
          <w:rFonts w:ascii="宋体" w:hAnsi="宋体" w:eastAsia="宋体" w:cs="宋体"/>
          <w:sz w:val="44"/>
          <w:szCs w:val="28"/>
        </w:rPr>
      </w:pPr>
    </w:p>
    <w:p w14:paraId="7265B890">
      <w:pPr>
        <w:jc w:val="center"/>
        <w:rPr>
          <w:rFonts w:ascii="宋体" w:hAnsi="宋体" w:eastAsia="宋体" w:cs="宋体"/>
          <w:sz w:val="44"/>
          <w:szCs w:val="28"/>
        </w:rPr>
        <w:sectPr>
          <w:headerReference r:id="rId3" w:type="default"/>
          <w:footerReference r:id="rId4" w:type="default"/>
          <w:pgSz w:w="11915" w:h="16840"/>
          <w:pgMar w:top="1134" w:right="1134" w:bottom="1134" w:left="1134" w:header="964" w:footer="992" w:gutter="0"/>
          <w:pgNumType w:start="0"/>
          <w:cols w:space="720" w:num="1"/>
          <w:docGrid w:type="lines" w:linePitch="393" w:charSpace="0"/>
        </w:sectPr>
      </w:pPr>
    </w:p>
    <w:p w14:paraId="748AC685">
      <w:pPr>
        <w:jc w:val="center"/>
        <w:outlineLvl w:val="0"/>
        <w:rPr>
          <w:rFonts w:ascii="宋体" w:hAnsi="宋体" w:eastAsia="宋体" w:cs="宋体"/>
          <w:sz w:val="32"/>
          <w:szCs w:val="32"/>
        </w:rPr>
      </w:pPr>
      <w:bookmarkStart w:id="16" w:name="_Toc13165"/>
      <w:bookmarkStart w:id="17" w:name="_Toc6880"/>
      <w:bookmarkStart w:id="18" w:name="_Toc14504"/>
      <w:bookmarkStart w:id="19" w:name="_Toc12575"/>
      <w:r>
        <w:rPr>
          <w:rFonts w:hint="eastAsia" w:ascii="宋体" w:hAnsi="宋体" w:eastAsia="宋体" w:cs="宋体"/>
          <w:b/>
          <w:bCs/>
          <w:sz w:val="32"/>
          <w:szCs w:val="32"/>
        </w:rPr>
        <w:t>目  录</w:t>
      </w:r>
      <w:bookmarkEnd w:id="16"/>
      <w:bookmarkEnd w:id="17"/>
      <w:bookmarkEnd w:id="18"/>
      <w:bookmarkEnd w:id="19"/>
    </w:p>
    <w:p w14:paraId="69B1A1D7">
      <w:pPr>
        <w:spacing w:line="400" w:lineRule="exact"/>
        <w:jc w:val="center"/>
        <w:rPr>
          <w:rFonts w:ascii="宋体" w:hAnsi="宋体" w:eastAsia="宋体" w:cs="宋体"/>
          <w:sz w:val="44"/>
          <w:szCs w:val="28"/>
        </w:rPr>
      </w:pPr>
    </w:p>
    <w:p w14:paraId="70D5E52E">
      <w:pPr>
        <w:pStyle w:val="37"/>
        <w:tabs>
          <w:tab w:val="right" w:leader="dot" w:pos="9647"/>
        </w:tabs>
      </w:pPr>
      <w:r>
        <w:rPr>
          <w:rFonts w:hint="eastAsia"/>
          <w:lang w:val="en-US" w:eastAsia="zh-CN"/>
        </w:rPr>
        <w:t xml:space="preserve">  </w:t>
      </w:r>
      <w:r>
        <w:fldChar w:fldCharType="begin"/>
      </w:r>
      <w:r>
        <w:instrText xml:space="preserve">TOC \o "1-4" \h \u </w:instrText>
      </w:r>
      <w:r>
        <w:fldChar w:fldCharType="separate"/>
      </w:r>
      <w:r>
        <w:rPr>
          <w:b/>
          <w:bCs/>
        </w:rPr>
        <w:fldChar w:fldCharType="begin"/>
      </w:r>
      <w:r>
        <w:rPr>
          <w:b/>
          <w:bCs/>
        </w:rPr>
        <w:instrText xml:space="preserve"> HYPERLINK \l _Toc25642 </w:instrText>
      </w:r>
      <w:r>
        <w:rPr>
          <w:b/>
          <w:bCs/>
        </w:rPr>
        <w:fldChar w:fldCharType="separate"/>
      </w:r>
      <w:r>
        <w:rPr>
          <w:rFonts w:hint="eastAsia" w:ascii="宋体" w:hAnsi="宋体" w:eastAsia="宋体" w:cs="宋体"/>
          <w:b/>
          <w:bCs w:val="0"/>
          <w:kern w:val="2"/>
          <w:sz w:val="28"/>
          <w:szCs w:val="30"/>
          <w:lang w:val="en-US" w:eastAsia="zh-CN" w:bidi="ar-SA"/>
        </w:rPr>
        <w:t>第一篇  竞争性谈判邀请书</w:t>
      </w:r>
      <w:r>
        <w:rPr>
          <w:b/>
          <w:bCs/>
        </w:rPr>
        <w:tab/>
      </w:r>
      <w:r>
        <w:rPr>
          <w:b/>
          <w:bCs/>
        </w:rPr>
        <w:fldChar w:fldCharType="begin"/>
      </w:r>
      <w:r>
        <w:rPr>
          <w:b/>
          <w:bCs/>
        </w:rPr>
        <w:instrText xml:space="preserve"> PAGEREF _Toc25642 \h </w:instrText>
      </w:r>
      <w:r>
        <w:rPr>
          <w:b/>
          <w:bCs/>
        </w:rPr>
        <w:fldChar w:fldCharType="separate"/>
      </w:r>
      <w:r>
        <w:rPr>
          <w:b/>
          <w:bCs/>
        </w:rPr>
        <w:t>2</w:t>
      </w:r>
      <w:r>
        <w:rPr>
          <w:b/>
          <w:bCs/>
        </w:rPr>
        <w:fldChar w:fldCharType="end"/>
      </w:r>
      <w:r>
        <w:rPr>
          <w:b/>
          <w:bCs/>
        </w:rPr>
        <w:fldChar w:fldCharType="end"/>
      </w:r>
    </w:p>
    <w:p w14:paraId="24C0AF9A">
      <w:pPr>
        <w:pStyle w:val="46"/>
        <w:tabs>
          <w:tab w:val="right" w:leader="dot" w:pos="9647"/>
        </w:tabs>
        <w:ind w:left="0" w:leftChars="0" w:firstLine="280" w:firstLineChars="100"/>
      </w:pPr>
      <w:r>
        <w:fldChar w:fldCharType="begin"/>
      </w:r>
      <w:r>
        <w:instrText xml:space="preserve"> HYPERLINK \l _Toc23947 </w:instrText>
      </w:r>
      <w:r>
        <w:fldChar w:fldCharType="separate"/>
      </w:r>
      <w:r>
        <w:rPr>
          <w:rFonts w:hint="eastAsia" w:ascii="宋体" w:hAnsi="宋体" w:eastAsia="宋体" w:cs="宋体"/>
          <w:b/>
          <w:bCs w:val="0"/>
          <w:szCs w:val="30"/>
        </w:rPr>
        <w:t>第</w:t>
      </w:r>
      <w:r>
        <w:rPr>
          <w:rFonts w:hint="eastAsia" w:ascii="宋体" w:hAnsi="宋体" w:eastAsia="宋体" w:cs="宋体"/>
          <w:b/>
          <w:bCs w:val="0"/>
          <w:szCs w:val="30"/>
          <w:lang w:eastAsia="zh-CN"/>
        </w:rPr>
        <w:t>二</w:t>
      </w:r>
      <w:r>
        <w:rPr>
          <w:rFonts w:hint="eastAsia" w:ascii="宋体" w:hAnsi="宋体" w:eastAsia="宋体" w:cs="宋体"/>
          <w:b/>
          <w:bCs w:val="0"/>
          <w:szCs w:val="30"/>
        </w:rPr>
        <w:t>篇  谈判项目信息及技术需求</w:t>
      </w:r>
      <w:r>
        <w:tab/>
      </w:r>
      <w:r>
        <w:rPr>
          <w:b/>
          <w:bCs/>
        </w:rPr>
        <w:fldChar w:fldCharType="begin"/>
      </w:r>
      <w:r>
        <w:rPr>
          <w:b/>
          <w:bCs/>
        </w:rPr>
        <w:instrText xml:space="preserve"> PAGEREF _Toc23947 \h </w:instrText>
      </w:r>
      <w:r>
        <w:rPr>
          <w:b/>
          <w:bCs/>
        </w:rPr>
        <w:fldChar w:fldCharType="separate"/>
      </w:r>
      <w:r>
        <w:rPr>
          <w:b/>
          <w:bCs/>
        </w:rPr>
        <w:t>5</w:t>
      </w:r>
      <w:r>
        <w:rPr>
          <w:b/>
          <w:bCs/>
        </w:rPr>
        <w:fldChar w:fldCharType="end"/>
      </w:r>
      <w:r>
        <w:fldChar w:fldCharType="end"/>
      </w:r>
    </w:p>
    <w:p w14:paraId="0E53F856">
      <w:pPr>
        <w:pStyle w:val="46"/>
        <w:tabs>
          <w:tab w:val="right" w:leader="dot" w:pos="9647"/>
        </w:tabs>
        <w:ind w:left="0" w:leftChars="0" w:firstLine="281" w:firstLineChars="100"/>
        <w:rPr>
          <w:b/>
          <w:bCs/>
        </w:rPr>
      </w:pPr>
      <w:r>
        <w:rPr>
          <w:b/>
          <w:bCs/>
        </w:rPr>
        <w:fldChar w:fldCharType="begin"/>
      </w:r>
      <w:r>
        <w:rPr>
          <w:b/>
          <w:bCs/>
        </w:rPr>
        <w:instrText xml:space="preserve"> HYPERLINK \l _Toc11860 </w:instrText>
      </w:r>
      <w:r>
        <w:rPr>
          <w:b/>
          <w:bCs/>
        </w:rPr>
        <w:fldChar w:fldCharType="separate"/>
      </w:r>
      <w:r>
        <w:rPr>
          <w:rFonts w:hint="eastAsia" w:ascii="宋体" w:hAnsi="宋体" w:eastAsia="宋体" w:cs="宋体"/>
          <w:b/>
          <w:bCs/>
          <w:szCs w:val="36"/>
        </w:rPr>
        <w:t>第</w:t>
      </w:r>
      <w:r>
        <w:rPr>
          <w:rFonts w:hint="eastAsia" w:ascii="宋体" w:hAnsi="宋体" w:eastAsia="宋体" w:cs="宋体"/>
          <w:b/>
          <w:bCs/>
          <w:szCs w:val="36"/>
          <w:lang w:eastAsia="zh-CN"/>
        </w:rPr>
        <w:t>三</w:t>
      </w:r>
      <w:r>
        <w:rPr>
          <w:rFonts w:hint="eastAsia" w:ascii="宋体" w:hAnsi="宋体" w:eastAsia="宋体" w:cs="宋体"/>
          <w:b/>
          <w:bCs/>
          <w:szCs w:val="36"/>
        </w:rPr>
        <w:t>篇  谈判项目商务需求</w:t>
      </w:r>
      <w:r>
        <w:rPr>
          <w:b/>
          <w:bCs/>
        </w:rPr>
        <w:tab/>
      </w:r>
      <w:r>
        <w:rPr>
          <w:b/>
          <w:bCs/>
        </w:rPr>
        <w:fldChar w:fldCharType="begin"/>
      </w:r>
      <w:r>
        <w:rPr>
          <w:b/>
          <w:bCs/>
        </w:rPr>
        <w:instrText xml:space="preserve"> PAGEREF _Toc11860 \h </w:instrText>
      </w:r>
      <w:r>
        <w:rPr>
          <w:b/>
          <w:bCs/>
        </w:rPr>
        <w:fldChar w:fldCharType="separate"/>
      </w:r>
      <w:r>
        <w:rPr>
          <w:b/>
          <w:bCs/>
        </w:rPr>
        <w:t>6</w:t>
      </w:r>
      <w:r>
        <w:rPr>
          <w:b/>
          <w:bCs/>
        </w:rPr>
        <w:fldChar w:fldCharType="end"/>
      </w:r>
      <w:r>
        <w:rPr>
          <w:b/>
          <w:bCs/>
        </w:rPr>
        <w:fldChar w:fldCharType="end"/>
      </w:r>
    </w:p>
    <w:p w14:paraId="5DFDCF61">
      <w:pPr>
        <w:pStyle w:val="46"/>
        <w:tabs>
          <w:tab w:val="right" w:leader="dot" w:pos="9647"/>
        </w:tabs>
        <w:ind w:left="0" w:leftChars="0" w:firstLine="281" w:firstLineChars="100"/>
      </w:pPr>
      <w:r>
        <w:rPr>
          <w:b/>
          <w:bCs/>
        </w:rPr>
        <w:fldChar w:fldCharType="begin"/>
      </w:r>
      <w:r>
        <w:rPr>
          <w:b/>
          <w:bCs/>
        </w:rPr>
        <w:instrText xml:space="preserve"> HYPERLINK \l _Toc9716 </w:instrText>
      </w:r>
      <w:r>
        <w:rPr>
          <w:b/>
          <w:bCs/>
        </w:rPr>
        <w:fldChar w:fldCharType="separate"/>
      </w:r>
      <w:r>
        <w:rPr>
          <w:rFonts w:hint="eastAsia" w:ascii="宋体" w:hAnsi="宋体" w:eastAsia="宋体" w:cs="宋体"/>
          <w:b/>
          <w:bCs/>
          <w:szCs w:val="30"/>
        </w:rPr>
        <w:t>第四篇  采购程序、评定成交的标准、无效谈判及采购终止</w:t>
      </w:r>
      <w:r>
        <w:rPr>
          <w:b/>
          <w:bCs/>
        </w:rPr>
        <w:tab/>
      </w:r>
      <w:r>
        <w:rPr>
          <w:b/>
          <w:bCs/>
        </w:rPr>
        <w:fldChar w:fldCharType="begin"/>
      </w:r>
      <w:r>
        <w:rPr>
          <w:b/>
          <w:bCs/>
        </w:rPr>
        <w:instrText xml:space="preserve"> PAGEREF _Toc9716 \h </w:instrText>
      </w:r>
      <w:r>
        <w:rPr>
          <w:b/>
          <w:bCs/>
        </w:rPr>
        <w:fldChar w:fldCharType="separate"/>
      </w:r>
      <w:r>
        <w:rPr>
          <w:b/>
          <w:bCs/>
        </w:rPr>
        <w:t>8</w:t>
      </w:r>
      <w:r>
        <w:rPr>
          <w:b/>
          <w:bCs/>
        </w:rPr>
        <w:fldChar w:fldCharType="end"/>
      </w:r>
      <w:r>
        <w:rPr>
          <w:b/>
          <w:bCs/>
        </w:rPr>
        <w:fldChar w:fldCharType="end"/>
      </w:r>
    </w:p>
    <w:p w14:paraId="2C69929B">
      <w:pPr>
        <w:pStyle w:val="37"/>
        <w:tabs>
          <w:tab w:val="right" w:leader="dot" w:pos="9647"/>
        </w:tabs>
      </w:pPr>
      <w:r>
        <w:rPr>
          <w:rFonts w:hint="eastAsia"/>
          <w:lang w:val="en-US" w:eastAsia="zh-CN"/>
        </w:rPr>
        <w:t xml:space="preserve">  </w:t>
      </w:r>
      <w:r>
        <w:fldChar w:fldCharType="begin"/>
      </w:r>
      <w:r>
        <w:instrText xml:space="preserve"> HYPERLINK \l _Toc14891 </w:instrText>
      </w:r>
      <w:r>
        <w:fldChar w:fldCharType="separate"/>
      </w:r>
      <w:r>
        <w:rPr>
          <w:rFonts w:hint="eastAsia" w:ascii="宋体" w:hAnsi="宋体" w:eastAsia="宋体" w:cs="宋体"/>
          <w:b/>
          <w:bCs/>
          <w:kern w:val="2"/>
          <w:sz w:val="28"/>
          <w:szCs w:val="36"/>
          <w:lang w:val="en-US" w:eastAsia="zh-CN" w:bidi="ar-SA"/>
        </w:rPr>
        <w:t>第五篇  供应商须知</w:t>
      </w:r>
      <w:r>
        <w:tab/>
      </w:r>
      <w:r>
        <w:rPr>
          <w:b/>
          <w:bCs/>
        </w:rPr>
        <w:fldChar w:fldCharType="begin"/>
      </w:r>
      <w:r>
        <w:rPr>
          <w:b/>
          <w:bCs/>
        </w:rPr>
        <w:instrText xml:space="preserve"> PAGEREF _Toc14891 \h </w:instrText>
      </w:r>
      <w:r>
        <w:rPr>
          <w:b/>
          <w:bCs/>
        </w:rPr>
        <w:fldChar w:fldCharType="separate"/>
      </w:r>
      <w:r>
        <w:rPr>
          <w:b/>
          <w:bCs/>
        </w:rPr>
        <w:t>12</w:t>
      </w:r>
      <w:r>
        <w:rPr>
          <w:b/>
          <w:bCs/>
        </w:rPr>
        <w:fldChar w:fldCharType="end"/>
      </w:r>
      <w:r>
        <w:fldChar w:fldCharType="end"/>
      </w:r>
    </w:p>
    <w:p w14:paraId="75790F24">
      <w:pPr>
        <w:pStyle w:val="46"/>
        <w:tabs>
          <w:tab w:val="right" w:leader="dot" w:pos="9647"/>
        </w:tabs>
        <w:ind w:left="0" w:leftChars="0" w:firstLine="281" w:firstLineChars="100"/>
        <w:rPr>
          <w:b/>
          <w:bCs/>
        </w:rPr>
      </w:pPr>
      <w:r>
        <w:rPr>
          <w:b/>
          <w:bCs/>
        </w:rPr>
        <w:fldChar w:fldCharType="begin"/>
      </w:r>
      <w:r>
        <w:rPr>
          <w:b/>
          <w:bCs/>
        </w:rPr>
        <w:instrText xml:space="preserve"> HYPERLINK \l _Toc27242 </w:instrText>
      </w:r>
      <w:r>
        <w:rPr>
          <w:b/>
          <w:bCs/>
        </w:rPr>
        <w:fldChar w:fldCharType="separate"/>
      </w:r>
      <w:r>
        <w:rPr>
          <w:rFonts w:hint="eastAsia" w:ascii="宋体" w:hAnsi="宋体" w:eastAsia="宋体" w:cs="宋体"/>
          <w:b/>
          <w:bCs/>
          <w:szCs w:val="36"/>
        </w:rPr>
        <w:t>第</w:t>
      </w:r>
      <w:r>
        <w:rPr>
          <w:rFonts w:hint="eastAsia" w:ascii="宋体" w:hAnsi="宋体" w:eastAsia="宋体" w:cs="宋体"/>
          <w:b/>
          <w:bCs/>
          <w:szCs w:val="36"/>
          <w:lang w:eastAsia="zh-CN"/>
        </w:rPr>
        <w:t>六</w:t>
      </w:r>
      <w:r>
        <w:rPr>
          <w:rFonts w:hint="eastAsia" w:ascii="宋体" w:hAnsi="宋体" w:eastAsia="宋体" w:cs="宋体"/>
          <w:b/>
          <w:bCs/>
          <w:szCs w:val="36"/>
        </w:rPr>
        <w:t>篇  合同草案条款</w:t>
      </w:r>
      <w:r>
        <w:rPr>
          <w:b/>
          <w:bCs/>
        </w:rPr>
        <w:tab/>
      </w:r>
      <w:r>
        <w:rPr>
          <w:b/>
          <w:bCs/>
        </w:rPr>
        <w:fldChar w:fldCharType="begin"/>
      </w:r>
      <w:r>
        <w:rPr>
          <w:b/>
          <w:bCs/>
        </w:rPr>
        <w:instrText xml:space="preserve"> PAGEREF _Toc27242 \h </w:instrText>
      </w:r>
      <w:r>
        <w:rPr>
          <w:b/>
          <w:bCs/>
        </w:rPr>
        <w:fldChar w:fldCharType="separate"/>
      </w:r>
      <w:r>
        <w:rPr>
          <w:b/>
          <w:bCs/>
        </w:rPr>
        <w:t>16</w:t>
      </w:r>
      <w:r>
        <w:rPr>
          <w:b/>
          <w:bCs/>
        </w:rPr>
        <w:fldChar w:fldCharType="end"/>
      </w:r>
      <w:r>
        <w:rPr>
          <w:b/>
          <w:bCs/>
        </w:rPr>
        <w:fldChar w:fldCharType="end"/>
      </w:r>
    </w:p>
    <w:p w14:paraId="2CB28F13">
      <w:pPr>
        <w:pStyle w:val="46"/>
        <w:tabs>
          <w:tab w:val="right" w:leader="dot" w:pos="9647"/>
        </w:tabs>
        <w:ind w:left="0" w:leftChars="0" w:firstLine="281" w:firstLineChars="100"/>
      </w:pPr>
      <w:r>
        <w:rPr>
          <w:b/>
          <w:bCs/>
        </w:rPr>
        <w:fldChar w:fldCharType="begin"/>
      </w:r>
      <w:r>
        <w:rPr>
          <w:b/>
          <w:bCs/>
        </w:rPr>
        <w:instrText xml:space="preserve"> HYPERLINK \l _Toc14020 </w:instrText>
      </w:r>
      <w:r>
        <w:rPr>
          <w:b/>
          <w:bCs/>
        </w:rPr>
        <w:fldChar w:fldCharType="separate"/>
      </w:r>
      <w:r>
        <w:rPr>
          <w:rFonts w:hint="eastAsia" w:ascii="宋体" w:hAnsi="宋体" w:eastAsia="宋体" w:cs="宋体"/>
          <w:b/>
          <w:bCs/>
          <w:szCs w:val="30"/>
        </w:rPr>
        <w:t>第</w:t>
      </w:r>
      <w:r>
        <w:rPr>
          <w:rFonts w:hint="eastAsia" w:ascii="宋体" w:hAnsi="宋体" w:eastAsia="宋体" w:cs="宋体"/>
          <w:b/>
          <w:bCs/>
          <w:szCs w:val="30"/>
          <w:lang w:eastAsia="zh-CN"/>
        </w:rPr>
        <w:t>七</w:t>
      </w:r>
      <w:r>
        <w:rPr>
          <w:rFonts w:hint="eastAsia" w:ascii="宋体" w:hAnsi="宋体" w:eastAsia="宋体" w:cs="宋体"/>
          <w:b/>
          <w:bCs/>
          <w:szCs w:val="30"/>
        </w:rPr>
        <w:t>篇  响应文件格式要求</w:t>
      </w:r>
      <w:r>
        <w:rPr>
          <w:b/>
          <w:bCs/>
        </w:rPr>
        <w:tab/>
      </w:r>
      <w:r>
        <w:rPr>
          <w:b/>
          <w:bCs/>
        </w:rPr>
        <w:fldChar w:fldCharType="begin"/>
      </w:r>
      <w:r>
        <w:rPr>
          <w:b/>
          <w:bCs/>
        </w:rPr>
        <w:instrText xml:space="preserve"> PAGEREF _Toc14020 \h </w:instrText>
      </w:r>
      <w:r>
        <w:rPr>
          <w:b/>
          <w:bCs/>
        </w:rPr>
        <w:fldChar w:fldCharType="separate"/>
      </w:r>
      <w:r>
        <w:rPr>
          <w:b/>
          <w:bCs/>
        </w:rPr>
        <w:t>33</w:t>
      </w:r>
      <w:r>
        <w:rPr>
          <w:b/>
          <w:bCs/>
        </w:rPr>
        <w:fldChar w:fldCharType="end"/>
      </w:r>
      <w:r>
        <w:rPr>
          <w:b/>
          <w:bCs/>
        </w:rPr>
        <w:fldChar w:fldCharType="end"/>
      </w:r>
    </w:p>
    <w:p w14:paraId="11D5B728">
      <w:r>
        <w:fldChar w:fldCharType="end"/>
      </w:r>
    </w:p>
    <w:p w14:paraId="47713F54"/>
    <w:p w14:paraId="57D621CB">
      <w:pPr>
        <w:rPr>
          <w:rFonts w:ascii="宋体" w:hAnsi="宋体" w:eastAsia="宋体" w:cs="宋体"/>
          <w:sz w:val="44"/>
          <w:szCs w:val="28"/>
        </w:rPr>
      </w:pPr>
    </w:p>
    <w:p w14:paraId="054B6BB3">
      <w:pPr>
        <w:outlineLvl w:val="9"/>
      </w:pPr>
    </w:p>
    <w:p w14:paraId="057B46DD">
      <w:pPr>
        <w:sectPr>
          <w:footerReference r:id="rId5" w:type="default"/>
          <w:pgSz w:w="11915" w:h="16840"/>
          <w:pgMar w:top="1134" w:right="1134" w:bottom="1134" w:left="1134" w:header="850" w:footer="850" w:gutter="0"/>
          <w:pgNumType w:start="1"/>
          <w:cols w:space="720" w:num="1"/>
          <w:docGrid w:type="lines" w:linePitch="393" w:charSpace="0"/>
        </w:sectPr>
      </w:pPr>
    </w:p>
    <w:p w14:paraId="31CD246A">
      <w:pPr>
        <w:pStyle w:val="4"/>
        <w:spacing w:before="0" w:after="0" w:line="440" w:lineRule="exact"/>
        <w:jc w:val="center"/>
        <w:rPr>
          <w:rFonts w:ascii="宋体" w:hAnsi="宋体" w:eastAsia="宋体" w:cs="宋体"/>
          <w:sz w:val="36"/>
          <w:szCs w:val="30"/>
        </w:rPr>
      </w:pPr>
      <w:bookmarkStart w:id="20" w:name="_Toc19557"/>
      <w:bookmarkStart w:id="21" w:name="_Toc17642"/>
      <w:bookmarkStart w:id="22" w:name="_Toc10131"/>
      <w:bookmarkStart w:id="23" w:name="_Toc25642"/>
      <w:bookmarkStart w:id="24" w:name="_Toc6400"/>
      <w:r>
        <w:rPr>
          <w:rFonts w:hint="eastAsia" w:ascii="宋体" w:hAnsi="宋体" w:eastAsia="宋体" w:cs="宋体"/>
          <w:sz w:val="36"/>
          <w:szCs w:val="30"/>
        </w:rPr>
        <w:t>第一篇  竞争性谈判邀请书</w:t>
      </w:r>
      <w:bookmarkEnd w:id="20"/>
      <w:bookmarkEnd w:id="21"/>
      <w:bookmarkEnd w:id="22"/>
      <w:bookmarkEnd w:id="23"/>
      <w:bookmarkEnd w:id="24"/>
    </w:p>
    <w:p w14:paraId="0702AC41">
      <w:pPr>
        <w:spacing w:line="440" w:lineRule="exact"/>
        <w:ind w:firstLine="480" w:firstLineChars="200"/>
        <w:rPr>
          <w:rFonts w:ascii="宋体" w:hAnsi="宋体" w:eastAsia="宋体" w:cs="宋体"/>
          <w:szCs w:val="28"/>
        </w:rPr>
      </w:pPr>
      <w:r>
        <w:rPr>
          <w:rFonts w:hint="eastAsia" w:ascii="宋体" w:hAnsi="宋体" w:eastAsia="宋体" w:cs="宋体"/>
          <w:sz w:val="24"/>
          <w:szCs w:val="24"/>
        </w:rPr>
        <w:t>重庆展辉招标代理有限公司（以下简称：采购代理机构）接受重庆市荣昌区文化和旅游发展委员会的委托，对</w:t>
      </w:r>
      <w:r>
        <w:rPr>
          <w:rFonts w:hint="eastAsia" w:ascii="宋体" w:hAnsi="宋体" w:eastAsia="宋体" w:cs="宋体"/>
          <w:sz w:val="24"/>
          <w:szCs w:val="24"/>
          <w:lang w:eastAsia="zh-CN"/>
        </w:rPr>
        <w:t>国家青年柔道队（安富训练基地）训练馆窗帘安装项目</w:t>
      </w:r>
      <w:r>
        <w:rPr>
          <w:rFonts w:hint="eastAsia" w:ascii="宋体" w:hAnsi="宋体" w:eastAsia="宋体" w:cs="宋体"/>
          <w:sz w:val="24"/>
          <w:szCs w:val="24"/>
        </w:rPr>
        <w:t>进行竞争性谈判采购，欢迎有资格的供应商前来参加谈判。</w:t>
      </w:r>
    </w:p>
    <w:p w14:paraId="6105F121">
      <w:pPr>
        <w:pStyle w:val="5"/>
        <w:spacing w:before="0" w:after="0" w:line="440" w:lineRule="exact"/>
        <w:ind w:firstLine="482" w:firstLineChars="200"/>
        <w:rPr>
          <w:rFonts w:ascii="宋体" w:hAnsi="宋体" w:cs="宋体"/>
          <w:sz w:val="24"/>
          <w:szCs w:val="24"/>
        </w:rPr>
      </w:pPr>
      <w:bookmarkStart w:id="25" w:name="_Toc21954"/>
      <w:bookmarkStart w:id="26" w:name="_Toc7004"/>
      <w:bookmarkStart w:id="27" w:name="_Toc2861"/>
      <w:bookmarkStart w:id="28" w:name="_Toc3700"/>
      <w:bookmarkStart w:id="29" w:name="_Toc22063"/>
      <w:r>
        <w:rPr>
          <w:rFonts w:hint="eastAsia" w:ascii="宋体" w:hAnsi="宋体" w:cs="宋体"/>
          <w:sz w:val="24"/>
          <w:szCs w:val="24"/>
        </w:rPr>
        <w:t>一、竞争性谈判内容</w:t>
      </w:r>
      <w:bookmarkEnd w:id="25"/>
      <w:bookmarkEnd w:id="26"/>
      <w:bookmarkEnd w:id="27"/>
      <w:bookmarkEnd w:id="28"/>
      <w:bookmarkEnd w:id="29"/>
    </w:p>
    <w:tbl>
      <w:tblPr>
        <w:tblStyle w:val="59"/>
        <w:tblW w:w="96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95"/>
        <w:gridCol w:w="1419"/>
        <w:gridCol w:w="1483"/>
        <w:gridCol w:w="1394"/>
        <w:gridCol w:w="2619"/>
      </w:tblGrid>
      <w:tr w14:paraId="3F8AE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5" w:type="dxa"/>
            <w:vAlign w:val="center"/>
          </w:tcPr>
          <w:p w14:paraId="4C5581DC">
            <w:pPr>
              <w:pStyle w:val="23"/>
              <w:spacing w:line="240" w:lineRule="atLeast"/>
              <w:ind w:left="0"/>
              <w:jc w:val="center"/>
              <w:outlineLvl w:val="0"/>
              <w:rPr>
                <w:rFonts w:ascii="宋体" w:hAnsi="宋体" w:eastAsia="宋体" w:cs="宋体"/>
                <w:b/>
                <w:bCs/>
                <w:sz w:val="24"/>
                <w:szCs w:val="24"/>
              </w:rPr>
            </w:pPr>
            <w:bookmarkStart w:id="30" w:name="_Toc6678"/>
            <w:bookmarkStart w:id="31" w:name="_Toc28992"/>
            <w:bookmarkStart w:id="32" w:name="_Toc2886"/>
            <w:bookmarkStart w:id="33" w:name="_Toc3423"/>
            <w:bookmarkStart w:id="34" w:name="_Toc11408"/>
            <w:bookmarkStart w:id="35" w:name="_Toc20011"/>
            <w:r>
              <w:rPr>
                <w:rFonts w:hint="eastAsia" w:ascii="宋体" w:hAnsi="宋体" w:eastAsia="宋体" w:cs="宋体"/>
                <w:b/>
                <w:bCs/>
                <w:sz w:val="24"/>
                <w:szCs w:val="24"/>
              </w:rPr>
              <w:t>项目名称</w:t>
            </w:r>
            <w:bookmarkEnd w:id="30"/>
            <w:bookmarkEnd w:id="31"/>
            <w:bookmarkEnd w:id="32"/>
          </w:p>
        </w:tc>
        <w:tc>
          <w:tcPr>
            <w:tcW w:w="1419" w:type="dxa"/>
            <w:vAlign w:val="center"/>
          </w:tcPr>
          <w:p w14:paraId="307D1C5E">
            <w:pPr>
              <w:pStyle w:val="23"/>
              <w:spacing w:line="240" w:lineRule="atLeast"/>
              <w:ind w:left="0"/>
              <w:jc w:val="center"/>
              <w:outlineLvl w:val="0"/>
              <w:rPr>
                <w:rFonts w:ascii="宋体" w:hAnsi="宋体" w:eastAsia="宋体" w:cs="宋体"/>
                <w:b/>
                <w:bCs/>
                <w:sz w:val="24"/>
                <w:szCs w:val="24"/>
              </w:rPr>
            </w:pPr>
            <w:bookmarkStart w:id="36" w:name="_Toc25364"/>
            <w:bookmarkStart w:id="37" w:name="_Toc25821"/>
            <w:bookmarkStart w:id="38" w:name="_Toc6890"/>
            <w:r>
              <w:rPr>
                <w:rFonts w:hint="eastAsia" w:ascii="宋体" w:hAnsi="宋体" w:eastAsia="宋体" w:cs="宋体"/>
                <w:b/>
                <w:bCs/>
                <w:sz w:val="24"/>
                <w:szCs w:val="24"/>
              </w:rPr>
              <w:t>最高限价（元）</w:t>
            </w:r>
            <w:bookmarkEnd w:id="36"/>
            <w:bookmarkEnd w:id="37"/>
            <w:bookmarkEnd w:id="38"/>
          </w:p>
        </w:tc>
        <w:tc>
          <w:tcPr>
            <w:tcW w:w="1483" w:type="dxa"/>
            <w:vAlign w:val="center"/>
          </w:tcPr>
          <w:p w14:paraId="127AA198">
            <w:pPr>
              <w:pStyle w:val="23"/>
              <w:spacing w:line="240" w:lineRule="atLeast"/>
              <w:ind w:left="0"/>
              <w:jc w:val="center"/>
              <w:outlineLvl w:val="0"/>
              <w:rPr>
                <w:rFonts w:ascii="宋体" w:hAnsi="宋体" w:eastAsia="宋体" w:cs="宋体"/>
                <w:b/>
                <w:bCs/>
                <w:sz w:val="24"/>
                <w:szCs w:val="24"/>
              </w:rPr>
            </w:pPr>
            <w:bookmarkStart w:id="39" w:name="_Toc13735"/>
            <w:bookmarkStart w:id="40" w:name="_Toc14062"/>
            <w:bookmarkStart w:id="41" w:name="_Toc21493"/>
            <w:r>
              <w:rPr>
                <w:rFonts w:hint="eastAsia" w:ascii="宋体" w:hAnsi="宋体" w:eastAsia="宋体" w:cs="宋体"/>
                <w:b/>
                <w:bCs/>
                <w:sz w:val="24"/>
                <w:szCs w:val="24"/>
              </w:rPr>
              <w:t>投标保证金</w:t>
            </w:r>
            <w:bookmarkEnd w:id="39"/>
            <w:bookmarkEnd w:id="40"/>
            <w:bookmarkEnd w:id="41"/>
          </w:p>
          <w:p w14:paraId="7B93828F">
            <w:pPr>
              <w:pStyle w:val="23"/>
              <w:spacing w:line="240" w:lineRule="atLeast"/>
              <w:ind w:left="0"/>
              <w:jc w:val="center"/>
              <w:outlineLvl w:val="0"/>
              <w:rPr>
                <w:rFonts w:ascii="宋体" w:hAnsi="宋体" w:eastAsia="宋体" w:cs="宋体"/>
                <w:b/>
                <w:bCs/>
                <w:sz w:val="24"/>
                <w:szCs w:val="24"/>
              </w:rPr>
            </w:pPr>
            <w:bookmarkStart w:id="42" w:name="_Toc8172"/>
            <w:bookmarkStart w:id="43" w:name="_Toc12172"/>
            <w:bookmarkStart w:id="44" w:name="_Toc3859"/>
            <w:r>
              <w:rPr>
                <w:rFonts w:hint="eastAsia" w:ascii="宋体" w:hAnsi="宋体" w:eastAsia="宋体" w:cs="宋体"/>
                <w:b/>
                <w:bCs/>
                <w:sz w:val="24"/>
                <w:szCs w:val="24"/>
              </w:rPr>
              <w:t>（元）</w:t>
            </w:r>
            <w:bookmarkEnd w:id="42"/>
            <w:bookmarkEnd w:id="43"/>
            <w:bookmarkEnd w:id="44"/>
          </w:p>
        </w:tc>
        <w:tc>
          <w:tcPr>
            <w:tcW w:w="1394" w:type="dxa"/>
            <w:vAlign w:val="center"/>
          </w:tcPr>
          <w:p w14:paraId="390840E9">
            <w:pPr>
              <w:pStyle w:val="23"/>
              <w:spacing w:line="240" w:lineRule="atLeast"/>
              <w:ind w:left="0"/>
              <w:jc w:val="center"/>
              <w:outlineLvl w:val="0"/>
              <w:rPr>
                <w:rFonts w:ascii="宋体" w:hAnsi="宋体" w:eastAsia="宋体" w:cs="宋体"/>
                <w:b/>
                <w:bCs/>
                <w:sz w:val="24"/>
                <w:szCs w:val="24"/>
              </w:rPr>
            </w:pPr>
            <w:bookmarkStart w:id="45" w:name="_Toc11089"/>
            <w:bookmarkStart w:id="46" w:name="_Toc8310"/>
            <w:bookmarkStart w:id="47" w:name="_Toc22693"/>
            <w:r>
              <w:rPr>
                <w:rFonts w:hint="eastAsia" w:ascii="宋体" w:hAnsi="宋体" w:eastAsia="宋体" w:cs="宋体"/>
                <w:b/>
                <w:bCs/>
                <w:sz w:val="24"/>
                <w:szCs w:val="24"/>
              </w:rPr>
              <w:t>成交供应商数量</w:t>
            </w:r>
            <w:bookmarkEnd w:id="45"/>
            <w:bookmarkEnd w:id="46"/>
            <w:bookmarkEnd w:id="47"/>
          </w:p>
        </w:tc>
        <w:tc>
          <w:tcPr>
            <w:tcW w:w="2619" w:type="dxa"/>
            <w:vAlign w:val="center"/>
          </w:tcPr>
          <w:p w14:paraId="51D316A4">
            <w:pPr>
              <w:pStyle w:val="23"/>
              <w:spacing w:line="240" w:lineRule="atLeast"/>
              <w:ind w:left="0"/>
              <w:jc w:val="center"/>
              <w:outlineLvl w:val="0"/>
              <w:rPr>
                <w:rFonts w:ascii="宋体" w:hAnsi="宋体" w:eastAsia="宋体" w:cs="宋体"/>
                <w:b/>
                <w:bCs/>
                <w:sz w:val="24"/>
                <w:szCs w:val="24"/>
              </w:rPr>
            </w:pPr>
            <w:bookmarkStart w:id="48" w:name="_Toc20549"/>
            <w:r>
              <w:rPr>
                <w:rFonts w:hint="eastAsia" w:ascii="宋体" w:hAnsi="宋体" w:eastAsia="宋体" w:cs="宋体"/>
                <w:b/>
                <w:bCs/>
                <w:sz w:val="24"/>
                <w:szCs w:val="24"/>
              </w:rPr>
              <w:t>采购标的对应的中小企业划分标准所属行业</w:t>
            </w:r>
            <w:bookmarkEnd w:id="48"/>
          </w:p>
        </w:tc>
      </w:tr>
      <w:tr w14:paraId="61FAD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5" w:type="dxa"/>
            <w:vAlign w:val="center"/>
          </w:tcPr>
          <w:p w14:paraId="7C3F8D55">
            <w:pPr>
              <w:spacing w:line="400" w:lineRule="exact"/>
              <w:rPr>
                <w:rFonts w:hint="eastAsia" w:ascii="宋体" w:hAnsi="宋体" w:eastAsia="宋体" w:cs="宋体"/>
                <w:sz w:val="24"/>
                <w:szCs w:val="24"/>
                <w:lang w:eastAsia="zh-CN"/>
              </w:rPr>
            </w:pPr>
            <w:r>
              <w:rPr>
                <w:rFonts w:hint="eastAsia" w:ascii="宋体" w:hAnsi="宋体" w:eastAsia="宋体" w:cs="宋体"/>
                <w:sz w:val="24"/>
                <w:szCs w:val="24"/>
                <w:lang w:eastAsia="zh-CN"/>
              </w:rPr>
              <w:t>国家青年柔道队（安富训练基地）训练馆窗帘安装项目</w:t>
            </w:r>
          </w:p>
        </w:tc>
        <w:tc>
          <w:tcPr>
            <w:tcW w:w="1419" w:type="dxa"/>
            <w:vAlign w:val="center"/>
          </w:tcPr>
          <w:p w14:paraId="604FBB86">
            <w:pPr>
              <w:pStyle w:val="23"/>
              <w:spacing w:line="240" w:lineRule="atLeast"/>
              <w:ind w:left="0"/>
              <w:jc w:val="center"/>
              <w:outlineLvl w:val="0"/>
              <w:rPr>
                <w:rFonts w:hint="default" w:ascii="宋体" w:hAnsi="宋体" w:eastAsia="宋体" w:cs="宋体"/>
                <w:color w:val="000000" w:themeColor="text1"/>
                <w:sz w:val="24"/>
                <w:szCs w:val="24"/>
                <w:lang w:val="en-US" w:eastAsia="zh-CN"/>
                <w14:textFill>
                  <w14:solidFill>
                    <w14:schemeClr w14:val="tx1"/>
                  </w14:solidFill>
                </w14:textFill>
              </w:rPr>
            </w:pPr>
            <w:bookmarkStart w:id="49" w:name="_Toc20576"/>
            <w:r>
              <w:rPr>
                <w:rFonts w:hint="eastAsia" w:ascii="宋体" w:hAnsi="宋体" w:eastAsia="宋体" w:cs="宋体"/>
                <w:color w:val="auto"/>
                <w:sz w:val="24"/>
                <w:szCs w:val="24"/>
                <w:lang w:val="en-US" w:eastAsia="zh-CN"/>
              </w:rPr>
              <w:t>1</w:t>
            </w:r>
            <w:bookmarkEnd w:id="49"/>
            <w:r>
              <w:rPr>
                <w:rFonts w:hint="eastAsia" w:ascii="宋体" w:hAnsi="宋体" w:eastAsia="宋体" w:cs="宋体"/>
                <w:color w:val="auto"/>
                <w:sz w:val="24"/>
                <w:szCs w:val="24"/>
                <w:lang w:val="en-US" w:eastAsia="zh-CN"/>
              </w:rPr>
              <w:t>01260.52</w:t>
            </w:r>
          </w:p>
        </w:tc>
        <w:tc>
          <w:tcPr>
            <w:tcW w:w="1483" w:type="dxa"/>
            <w:vAlign w:val="center"/>
          </w:tcPr>
          <w:p w14:paraId="5F91B976">
            <w:pPr>
              <w:pStyle w:val="23"/>
              <w:spacing w:line="240" w:lineRule="atLeast"/>
              <w:ind w:left="0"/>
              <w:jc w:val="center"/>
              <w:outlineLvl w:val="0"/>
              <w:rPr>
                <w:rFonts w:hint="default" w:ascii="宋体" w:hAnsi="宋体" w:eastAsia="宋体" w:cs="宋体"/>
                <w:color w:val="000000" w:themeColor="text1"/>
                <w:sz w:val="24"/>
                <w:szCs w:val="24"/>
                <w:lang w:val="en-US" w:eastAsia="zh-CN"/>
                <w14:textFill>
                  <w14:solidFill>
                    <w14:schemeClr w14:val="tx1"/>
                  </w14:solidFill>
                </w14:textFill>
              </w:rPr>
            </w:pPr>
            <w:bookmarkStart w:id="50" w:name="_Toc12073"/>
            <w:r>
              <w:rPr>
                <w:rFonts w:hint="eastAsia" w:ascii="宋体" w:hAnsi="宋体" w:eastAsia="宋体" w:cs="宋体"/>
                <w:color w:val="000000" w:themeColor="text1"/>
                <w:sz w:val="24"/>
                <w:szCs w:val="24"/>
                <w:lang w:val="en-US" w:eastAsia="zh-CN"/>
                <w14:textFill>
                  <w14:solidFill>
                    <w14:schemeClr w14:val="tx1"/>
                  </w14:solidFill>
                </w14:textFill>
              </w:rPr>
              <w:t>3000</w:t>
            </w:r>
            <w:bookmarkEnd w:id="50"/>
          </w:p>
        </w:tc>
        <w:tc>
          <w:tcPr>
            <w:tcW w:w="1394" w:type="dxa"/>
            <w:vAlign w:val="center"/>
          </w:tcPr>
          <w:p w14:paraId="3375565F">
            <w:pPr>
              <w:pStyle w:val="23"/>
              <w:spacing w:line="240" w:lineRule="atLeast"/>
              <w:ind w:left="0"/>
              <w:jc w:val="center"/>
              <w:outlineLvl w:val="0"/>
              <w:rPr>
                <w:rFonts w:ascii="宋体" w:hAnsi="宋体" w:eastAsia="宋体" w:cs="宋体"/>
                <w:color w:val="000000" w:themeColor="text1"/>
                <w:sz w:val="24"/>
                <w:szCs w:val="24"/>
                <w14:textFill>
                  <w14:solidFill>
                    <w14:schemeClr w14:val="tx1"/>
                  </w14:solidFill>
                </w14:textFill>
              </w:rPr>
            </w:pPr>
            <w:bookmarkStart w:id="51" w:name="_Toc24181"/>
            <w:bookmarkStart w:id="52" w:name="_Toc3187"/>
            <w:bookmarkStart w:id="53" w:name="_Toc18931"/>
            <w:r>
              <w:rPr>
                <w:rFonts w:hint="eastAsia" w:ascii="宋体" w:hAnsi="宋体" w:eastAsia="宋体" w:cs="宋体"/>
                <w:color w:val="000000" w:themeColor="text1"/>
                <w:sz w:val="24"/>
                <w:szCs w:val="24"/>
                <w14:textFill>
                  <w14:solidFill>
                    <w14:schemeClr w14:val="tx1"/>
                  </w14:solidFill>
                </w14:textFill>
              </w:rPr>
              <w:t>1名</w:t>
            </w:r>
            <w:bookmarkEnd w:id="51"/>
            <w:bookmarkEnd w:id="52"/>
            <w:bookmarkEnd w:id="53"/>
          </w:p>
        </w:tc>
        <w:tc>
          <w:tcPr>
            <w:tcW w:w="2619" w:type="dxa"/>
            <w:vAlign w:val="center"/>
          </w:tcPr>
          <w:p w14:paraId="35374D55">
            <w:pPr>
              <w:spacing w:line="400" w:lineRule="exact"/>
              <w:ind w:firstLine="240" w:firstLineChars="1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其他未列明行业</w:t>
            </w:r>
          </w:p>
        </w:tc>
      </w:tr>
    </w:tbl>
    <w:p w14:paraId="538E8B34">
      <w:pPr>
        <w:pStyle w:val="5"/>
        <w:spacing w:before="0" w:after="0" w:line="440" w:lineRule="exact"/>
        <w:ind w:firstLine="482" w:firstLineChars="200"/>
        <w:rPr>
          <w:rFonts w:ascii="宋体" w:hAnsi="宋体" w:cs="宋体"/>
          <w:sz w:val="24"/>
          <w:szCs w:val="24"/>
        </w:rPr>
      </w:pPr>
      <w:bookmarkStart w:id="54" w:name="_Toc727"/>
      <w:bookmarkStart w:id="55" w:name="_Toc9253"/>
      <w:r>
        <w:rPr>
          <w:rFonts w:hint="eastAsia" w:ascii="宋体" w:hAnsi="宋体" w:cs="宋体"/>
          <w:sz w:val="24"/>
          <w:szCs w:val="24"/>
        </w:rPr>
        <w:t>二、资金来源</w:t>
      </w:r>
      <w:bookmarkEnd w:id="33"/>
      <w:bookmarkEnd w:id="34"/>
      <w:bookmarkEnd w:id="35"/>
      <w:bookmarkEnd w:id="54"/>
      <w:bookmarkEnd w:id="55"/>
    </w:p>
    <w:p w14:paraId="6290ECC9">
      <w:pPr>
        <w:spacing w:line="440" w:lineRule="exact"/>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财政资金。</w:t>
      </w:r>
    </w:p>
    <w:p w14:paraId="46A1756D">
      <w:pPr>
        <w:pStyle w:val="5"/>
        <w:spacing w:before="0" w:after="0" w:line="440" w:lineRule="exact"/>
        <w:ind w:firstLine="482" w:firstLineChars="200"/>
        <w:rPr>
          <w:rFonts w:ascii="宋体" w:hAnsi="宋体" w:cs="宋体"/>
          <w:sz w:val="24"/>
          <w:szCs w:val="24"/>
        </w:rPr>
      </w:pPr>
      <w:bookmarkStart w:id="56" w:name="_Toc17239"/>
      <w:bookmarkStart w:id="57" w:name="_Toc8634"/>
      <w:bookmarkStart w:id="58" w:name="_Toc29708"/>
      <w:bookmarkStart w:id="59" w:name="_Toc25566"/>
      <w:bookmarkStart w:id="60" w:name="_Toc19581"/>
      <w:r>
        <w:rPr>
          <w:rFonts w:hint="eastAsia" w:ascii="宋体" w:hAnsi="宋体" w:cs="宋体"/>
          <w:sz w:val="24"/>
          <w:szCs w:val="24"/>
        </w:rPr>
        <w:t>三、谈判资格</w:t>
      </w:r>
      <w:bookmarkEnd w:id="56"/>
      <w:bookmarkEnd w:id="57"/>
      <w:bookmarkEnd w:id="58"/>
      <w:bookmarkEnd w:id="59"/>
      <w:bookmarkEnd w:id="60"/>
    </w:p>
    <w:p w14:paraId="5BC73B43">
      <w:pPr>
        <w:spacing w:line="360" w:lineRule="auto"/>
        <w:ind w:firstLine="480" w:firstLineChars="200"/>
        <w:rPr>
          <w:rFonts w:hint="eastAsia" w:ascii="宋体" w:hAnsi="宋体" w:eastAsia="宋体" w:cs="宋体"/>
          <w:sz w:val="24"/>
          <w:szCs w:val="24"/>
        </w:rPr>
      </w:pPr>
      <w:bookmarkStart w:id="61" w:name="_Toc20987"/>
      <w:bookmarkStart w:id="62" w:name="_Toc3494"/>
      <w:bookmarkStart w:id="63" w:name="_Toc6703"/>
      <w:bookmarkStart w:id="64" w:name="_Toc2454"/>
      <w:r>
        <w:rPr>
          <w:rFonts w:hint="eastAsia" w:ascii="宋体" w:hAnsi="宋体" w:eastAsia="宋体" w:cs="宋体"/>
          <w:sz w:val="24"/>
          <w:szCs w:val="24"/>
        </w:rPr>
        <w:t>（一）满足《中华人民共和国政府采购法》第二十二条规定；</w:t>
      </w:r>
    </w:p>
    <w:p w14:paraId="2E54130E">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（二）落实政府采购政策需满足的资格要求：</w:t>
      </w:r>
      <w:r>
        <w:rPr>
          <w:rFonts w:hint="eastAsia" w:ascii="宋体" w:hAnsi="宋体" w:eastAsia="宋体" w:cs="宋体"/>
          <w:sz w:val="24"/>
          <w:szCs w:val="24"/>
          <w:lang w:eastAsia="zh-CN"/>
        </w:rPr>
        <w:t>无</w:t>
      </w:r>
      <w:r>
        <w:rPr>
          <w:rFonts w:hint="eastAsia" w:ascii="宋体" w:hAnsi="宋体" w:eastAsia="宋体" w:cs="宋体"/>
          <w:sz w:val="24"/>
          <w:szCs w:val="24"/>
        </w:rPr>
        <w:t>；</w:t>
      </w:r>
    </w:p>
    <w:p w14:paraId="4D2F1FED">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（三）特定资格条件</w:t>
      </w:r>
    </w:p>
    <w:p w14:paraId="080A009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具备</w:t>
      </w:r>
      <w:r>
        <w:rPr>
          <w:rFonts w:hint="eastAsia" w:ascii="宋体" w:hAnsi="宋体" w:eastAsia="宋体" w:cs="宋体"/>
          <w:sz w:val="24"/>
          <w:szCs w:val="24"/>
          <w:lang w:val="en-US" w:eastAsia="zh-CN"/>
        </w:rPr>
        <w:t>合格有效的《营业执照》，经营范围包含</w:t>
      </w:r>
      <w:r>
        <w:rPr>
          <w:rFonts w:hint="eastAsia" w:ascii="宋体" w:hAnsi="宋体" w:eastAsia="宋体" w:cs="宋体"/>
          <w:sz w:val="24"/>
          <w:szCs w:val="24"/>
          <w:lang w:eastAsia="zh-CN"/>
        </w:rPr>
        <w:t>窗帘安装或</w:t>
      </w:r>
      <w:r>
        <w:rPr>
          <w:rFonts w:hint="eastAsia" w:ascii="宋体" w:hAnsi="宋体" w:eastAsia="宋体" w:cs="宋体"/>
          <w:sz w:val="24"/>
          <w:szCs w:val="24"/>
          <w:lang w:val="en-US" w:eastAsia="zh-CN"/>
        </w:rPr>
        <w:t>装修装饰等相符经营范围</w:t>
      </w:r>
      <w:bookmarkStart w:id="435" w:name="_GoBack"/>
      <w:bookmarkEnd w:id="435"/>
      <w:r>
        <w:rPr>
          <w:rFonts w:hint="eastAsia" w:ascii="宋体" w:hAnsi="宋体" w:eastAsia="宋体" w:cs="宋体"/>
          <w:sz w:val="24"/>
          <w:szCs w:val="24"/>
        </w:rPr>
        <w:t>。</w:t>
      </w:r>
    </w:p>
    <w:p w14:paraId="658E4814">
      <w:pPr>
        <w:pStyle w:val="5"/>
        <w:spacing w:before="0" w:after="0" w:line="440" w:lineRule="exact"/>
        <w:ind w:firstLine="482" w:firstLineChars="200"/>
        <w:rPr>
          <w:rFonts w:ascii="宋体" w:hAnsi="宋体" w:cs="宋体"/>
          <w:sz w:val="24"/>
          <w:szCs w:val="24"/>
        </w:rPr>
      </w:pPr>
      <w:bookmarkStart w:id="65" w:name="_Toc27518"/>
      <w:r>
        <w:rPr>
          <w:rFonts w:hint="eastAsia" w:ascii="宋体" w:hAnsi="宋体" w:cs="宋体"/>
          <w:sz w:val="24"/>
          <w:szCs w:val="24"/>
        </w:rPr>
        <w:t>四、谈判有关说明</w:t>
      </w:r>
      <w:bookmarkEnd w:id="61"/>
      <w:bookmarkEnd w:id="62"/>
      <w:bookmarkEnd w:id="63"/>
      <w:bookmarkEnd w:id="64"/>
      <w:bookmarkEnd w:id="65"/>
    </w:p>
    <w:p w14:paraId="3833405B">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（一）凡有意参加谈判的供应商，请于公告发布之日起至提交响应文件截止时间之前，在</w:t>
      </w:r>
      <w:r>
        <w:rPr>
          <w:rFonts w:hint="eastAsia" w:ascii="宋体" w:hAnsi="宋体" w:eastAsia="宋体" w:cs="宋体"/>
          <w:sz w:val="24"/>
        </w:rPr>
        <w:t>行采家（https://www.gec123.com/）</w:t>
      </w:r>
      <w:r>
        <w:rPr>
          <w:rFonts w:hint="eastAsia" w:ascii="宋体" w:hAnsi="宋体" w:eastAsia="宋体" w:cs="宋体"/>
          <w:sz w:val="24"/>
          <w:szCs w:val="24"/>
        </w:rPr>
        <w:t>下载本项目竞争性谈判文件以及图纸、补遗等谈判前公布的所有项目资料，无论供应商下载与否，均视为已知晓所有谈判实质性要求内容。</w:t>
      </w:r>
    </w:p>
    <w:p w14:paraId="2624C39A">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（二）报名及采购文件发售</w:t>
      </w:r>
    </w:p>
    <w:p w14:paraId="44CC2C9B">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1.报名和采购文件发售期：202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7</w:t>
      </w:r>
      <w:r>
        <w:rPr>
          <w:rFonts w:hint="eastAsia" w:ascii="宋体" w:hAnsi="宋体" w:eastAsia="宋体" w:cs="宋体"/>
          <w:sz w:val="24"/>
          <w:szCs w:val="24"/>
        </w:rPr>
        <w:t>月</w:t>
      </w:r>
      <w:r>
        <w:rPr>
          <w:rFonts w:hint="eastAsia" w:ascii="宋体" w:hAnsi="宋体" w:eastAsia="宋体" w:cs="宋体"/>
          <w:sz w:val="24"/>
          <w:szCs w:val="24"/>
          <w:lang w:val="en-US" w:eastAsia="zh-CN"/>
        </w:rPr>
        <w:t>29</w:t>
      </w:r>
      <w:r>
        <w:rPr>
          <w:rFonts w:hint="eastAsia" w:ascii="宋体" w:hAnsi="宋体" w:eastAsia="宋体" w:cs="宋体"/>
          <w:sz w:val="24"/>
          <w:szCs w:val="24"/>
        </w:rPr>
        <w:t>日至202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8</w:t>
      </w:r>
      <w:r>
        <w:rPr>
          <w:rFonts w:hint="eastAsia" w:ascii="宋体" w:hAnsi="宋体" w:eastAsia="宋体" w:cs="宋体"/>
          <w:sz w:val="24"/>
          <w:szCs w:val="24"/>
        </w:rPr>
        <w:t>月</w:t>
      </w:r>
      <w:r>
        <w:rPr>
          <w:rFonts w:hint="eastAsia" w:ascii="宋体" w:hAnsi="宋体" w:eastAsia="宋体" w:cs="宋体"/>
          <w:sz w:val="24"/>
          <w:szCs w:val="24"/>
          <w:lang w:val="en-US" w:eastAsia="zh-CN"/>
        </w:rPr>
        <w:t>3</w:t>
      </w:r>
      <w:r>
        <w:rPr>
          <w:rFonts w:hint="eastAsia" w:ascii="宋体" w:hAnsi="宋体" w:eastAsia="宋体" w:cs="宋体"/>
          <w:sz w:val="24"/>
          <w:szCs w:val="24"/>
        </w:rPr>
        <w:t>日（工作时间）</w:t>
      </w:r>
    </w:p>
    <w:p w14:paraId="73B7F764">
      <w:pPr>
        <w:spacing w:line="440" w:lineRule="exact"/>
        <w:ind w:left="-2" w:firstLine="480" w:firstLineChars="200"/>
        <w:rPr>
          <w:rFonts w:ascii="宋体" w:hAnsi="宋体" w:eastAsia="宋体" w:cs="宋体"/>
          <w:sz w:val="24"/>
          <w:szCs w:val="24"/>
        </w:rPr>
      </w:pPr>
      <w:r>
        <w:rPr>
          <w:rFonts w:hint="eastAsia" w:ascii="宋体" w:hAnsi="宋体" w:eastAsia="宋体" w:cs="宋体"/>
          <w:sz w:val="24"/>
          <w:szCs w:val="24"/>
        </w:rPr>
        <w:t>2.采购文件售价：人民币</w:t>
      </w:r>
      <w:r>
        <w:rPr>
          <w:rFonts w:hint="eastAsia" w:ascii="宋体" w:hAnsi="宋体" w:eastAsia="宋体" w:cs="宋体"/>
          <w:sz w:val="24"/>
          <w:szCs w:val="24"/>
          <w:lang w:val="en-US" w:eastAsia="zh-CN"/>
        </w:rPr>
        <w:t>3</w:t>
      </w:r>
      <w:r>
        <w:rPr>
          <w:rFonts w:hint="eastAsia" w:ascii="宋体" w:hAnsi="宋体" w:eastAsia="宋体" w:cs="宋体"/>
          <w:sz w:val="24"/>
          <w:szCs w:val="24"/>
        </w:rPr>
        <w:t>00元/份（售后不退）。</w:t>
      </w:r>
    </w:p>
    <w:p w14:paraId="24F3370D">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3.文件购</w:t>
      </w:r>
      <w:r>
        <w:rPr>
          <w:rFonts w:hint="eastAsia" w:ascii="宋体" w:hAnsi="宋体" w:eastAsia="宋体" w:cs="宋体"/>
          <w:sz w:val="24"/>
        </w:rPr>
        <w:t>买方式</w:t>
      </w:r>
    </w:p>
    <w:p w14:paraId="371BBCC2">
      <w:pPr>
        <w:spacing w:line="380" w:lineRule="exact"/>
        <w:ind w:firstLine="480" w:firstLineChars="200"/>
        <w:rPr>
          <w:rFonts w:ascii="宋体" w:hAnsi="宋体" w:eastAsia="宋体" w:cs="宋体"/>
          <w:sz w:val="24"/>
          <w:szCs w:val="24"/>
        </w:rPr>
      </w:pPr>
      <w:r>
        <w:rPr>
          <w:rFonts w:hint="eastAsia" w:ascii="宋体" w:hAnsi="宋体" w:eastAsia="宋体" w:cs="宋体"/>
          <w:sz w:val="24"/>
          <w:szCs w:val="24"/>
        </w:rPr>
        <w:t>在报名和采购文件发售期内供应商扫描二维码缴纳报名费，填写《重庆展辉招标代理有限公司采购文件发售登记表》，将发售登记表扫描件发送至邮箱404088077@qq.com，邮件主题为：项目名称+供应商单位名称报名资料。</w:t>
      </w:r>
    </w:p>
    <w:p w14:paraId="23398E89">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（三）供应商须满足以下三种要件，其响应文件才被接受：</w:t>
      </w:r>
    </w:p>
    <w:p w14:paraId="6E94E522">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1.按时递交了响应文件；</w:t>
      </w:r>
    </w:p>
    <w:p w14:paraId="20EAA434">
      <w:pPr>
        <w:spacing w:line="400" w:lineRule="exact"/>
        <w:ind w:left="476" w:leftChars="170"/>
        <w:rPr>
          <w:rFonts w:ascii="宋体" w:hAnsi="宋体" w:eastAsia="宋体" w:cs="宋体"/>
          <w:sz w:val="24"/>
          <w:szCs w:val="24"/>
        </w:rPr>
      </w:pPr>
      <w:r>
        <w:rPr>
          <w:rFonts w:hint="eastAsia" w:ascii="宋体" w:hAnsi="宋体" w:eastAsia="宋体" w:cs="宋体"/>
          <w:sz w:val="24"/>
          <w:szCs w:val="24"/>
        </w:rPr>
        <w:t>2.递交《重庆展辉招标代理有限公司采购文件发售登记表》并购买了采购文件；</w:t>
      </w:r>
    </w:p>
    <w:p w14:paraId="7591B5D1">
      <w:pPr>
        <w:spacing w:line="400" w:lineRule="exact"/>
        <w:ind w:left="476" w:leftChars="170"/>
        <w:rPr>
          <w:rFonts w:ascii="宋体" w:hAnsi="宋体" w:eastAsia="宋体" w:cs="宋体"/>
        </w:rPr>
      </w:pPr>
      <w:r>
        <w:rPr>
          <w:rFonts w:hint="eastAsia" w:ascii="宋体" w:hAnsi="宋体" w:eastAsia="宋体" w:cs="宋体"/>
          <w:sz w:val="24"/>
          <w:szCs w:val="24"/>
        </w:rPr>
        <w:t>3.按时足额缴纳了投标保证金。</w:t>
      </w:r>
    </w:p>
    <w:p w14:paraId="5DB768B2">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（四）谈判地点：重庆展辉招标代理有限公司开评标室（重庆市荣昌区昌龙大道37号瑞尔国际</w:t>
      </w:r>
      <w:r>
        <w:rPr>
          <w:rFonts w:hint="eastAsia" w:ascii="宋体" w:hAnsi="宋体" w:eastAsia="宋体" w:cs="宋体"/>
          <w:sz w:val="24"/>
          <w:szCs w:val="24"/>
          <w:lang w:val="en-US" w:eastAsia="zh-CN"/>
        </w:rPr>
        <w:t>3</w:t>
      </w:r>
      <w:r>
        <w:rPr>
          <w:rFonts w:hint="eastAsia" w:ascii="宋体" w:hAnsi="宋体" w:eastAsia="宋体" w:cs="宋体"/>
          <w:sz w:val="24"/>
          <w:szCs w:val="24"/>
        </w:rPr>
        <w:t>号楼</w:t>
      </w:r>
      <w:r>
        <w:rPr>
          <w:rFonts w:hint="eastAsia" w:ascii="宋体" w:hAnsi="宋体" w:eastAsia="宋体" w:cs="宋体"/>
          <w:sz w:val="24"/>
          <w:szCs w:val="24"/>
          <w:lang w:val="en-US" w:eastAsia="zh-CN"/>
        </w:rPr>
        <w:t>808</w:t>
      </w:r>
      <w:r>
        <w:rPr>
          <w:rFonts w:hint="eastAsia" w:ascii="宋体" w:hAnsi="宋体" w:eastAsia="宋体" w:cs="宋体"/>
          <w:sz w:val="24"/>
          <w:szCs w:val="24"/>
        </w:rPr>
        <w:t>）</w:t>
      </w:r>
    </w:p>
    <w:p w14:paraId="19CFC72F">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（五）响应文件递交开始时间：202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8</w:t>
      </w:r>
      <w:r>
        <w:rPr>
          <w:rFonts w:hint="eastAsia" w:ascii="宋体" w:hAnsi="宋体" w:eastAsia="宋体" w:cs="宋体"/>
          <w:sz w:val="24"/>
          <w:szCs w:val="24"/>
        </w:rPr>
        <w:t>月</w:t>
      </w:r>
      <w:r>
        <w:rPr>
          <w:rFonts w:hint="eastAsia" w:ascii="宋体" w:hAnsi="宋体" w:eastAsia="宋体" w:cs="宋体"/>
          <w:sz w:val="24"/>
          <w:szCs w:val="24"/>
          <w:lang w:val="en-US" w:eastAsia="zh-CN"/>
        </w:rPr>
        <w:t>4</w:t>
      </w:r>
      <w:r>
        <w:rPr>
          <w:rFonts w:hint="eastAsia" w:ascii="宋体" w:hAnsi="宋体" w:eastAsia="宋体" w:cs="宋体"/>
          <w:sz w:val="24"/>
          <w:szCs w:val="24"/>
        </w:rPr>
        <w:t>日北京时间9：</w:t>
      </w:r>
      <w:r>
        <w:rPr>
          <w:rFonts w:hint="eastAsia" w:ascii="宋体" w:hAnsi="宋体" w:eastAsia="宋体" w:cs="宋体"/>
          <w:sz w:val="24"/>
          <w:szCs w:val="24"/>
          <w:lang w:val="en-US" w:eastAsia="zh-CN"/>
        </w:rPr>
        <w:t>0</w:t>
      </w:r>
      <w:r>
        <w:rPr>
          <w:rFonts w:hint="eastAsia" w:ascii="宋体" w:hAnsi="宋体" w:eastAsia="宋体" w:cs="宋体"/>
          <w:sz w:val="24"/>
          <w:szCs w:val="24"/>
        </w:rPr>
        <w:t>0</w:t>
      </w:r>
    </w:p>
    <w:p w14:paraId="340A8A8E">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（六）响应文件递交截止时间：202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8</w:t>
      </w:r>
      <w:r>
        <w:rPr>
          <w:rFonts w:hint="eastAsia" w:ascii="宋体" w:hAnsi="宋体" w:eastAsia="宋体" w:cs="宋体"/>
          <w:sz w:val="24"/>
          <w:szCs w:val="24"/>
        </w:rPr>
        <w:t>月</w:t>
      </w:r>
      <w:r>
        <w:rPr>
          <w:rFonts w:hint="eastAsia" w:ascii="宋体" w:hAnsi="宋体" w:eastAsia="宋体" w:cs="宋体"/>
          <w:sz w:val="24"/>
          <w:szCs w:val="24"/>
          <w:lang w:val="en-US" w:eastAsia="zh-CN"/>
        </w:rPr>
        <w:t>4</w:t>
      </w:r>
      <w:r>
        <w:rPr>
          <w:rFonts w:hint="eastAsia" w:ascii="宋体" w:hAnsi="宋体" w:eastAsia="宋体" w:cs="宋体"/>
          <w:sz w:val="24"/>
          <w:szCs w:val="24"/>
        </w:rPr>
        <w:t>日北京时间</w:t>
      </w:r>
      <w:r>
        <w:rPr>
          <w:rFonts w:hint="eastAsia" w:ascii="宋体" w:hAnsi="宋体" w:eastAsia="宋体" w:cs="宋体"/>
          <w:sz w:val="24"/>
          <w:szCs w:val="24"/>
          <w:lang w:val="en-US" w:eastAsia="zh-CN"/>
        </w:rPr>
        <w:t>9</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3</w:t>
      </w:r>
      <w:r>
        <w:rPr>
          <w:rFonts w:hint="eastAsia" w:ascii="宋体" w:hAnsi="宋体" w:eastAsia="宋体" w:cs="宋体"/>
          <w:sz w:val="24"/>
          <w:szCs w:val="24"/>
        </w:rPr>
        <w:t>0</w:t>
      </w:r>
    </w:p>
    <w:p w14:paraId="6CAF11FF">
      <w:pPr>
        <w:spacing w:line="400" w:lineRule="exact"/>
        <w:ind w:left="476" w:leftChars="170"/>
        <w:rPr>
          <w:rFonts w:ascii="宋体" w:hAnsi="宋体" w:eastAsia="宋体" w:cs="宋体"/>
          <w:sz w:val="24"/>
          <w:szCs w:val="24"/>
        </w:rPr>
      </w:pPr>
      <w:r>
        <w:rPr>
          <w:rFonts w:hint="eastAsia" w:ascii="宋体" w:hAnsi="宋体" w:eastAsia="宋体" w:cs="宋体"/>
          <w:sz w:val="24"/>
          <w:szCs w:val="24"/>
        </w:rPr>
        <w:t>（七）谈判开始时间：202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8</w:t>
      </w:r>
      <w:r>
        <w:rPr>
          <w:rFonts w:hint="eastAsia" w:ascii="宋体" w:hAnsi="宋体" w:eastAsia="宋体" w:cs="宋体"/>
          <w:sz w:val="24"/>
          <w:szCs w:val="24"/>
        </w:rPr>
        <w:t>月</w:t>
      </w:r>
      <w:r>
        <w:rPr>
          <w:rFonts w:hint="eastAsia" w:ascii="宋体" w:hAnsi="宋体" w:eastAsia="宋体" w:cs="宋体"/>
          <w:sz w:val="24"/>
          <w:szCs w:val="24"/>
          <w:lang w:val="en-US" w:eastAsia="zh-CN"/>
        </w:rPr>
        <w:t>4</w:t>
      </w:r>
      <w:r>
        <w:rPr>
          <w:rFonts w:hint="eastAsia" w:ascii="宋体" w:hAnsi="宋体" w:eastAsia="宋体" w:cs="宋体"/>
          <w:sz w:val="24"/>
          <w:szCs w:val="24"/>
        </w:rPr>
        <w:t>日北京时间</w:t>
      </w:r>
      <w:r>
        <w:rPr>
          <w:rFonts w:hint="eastAsia" w:ascii="宋体" w:hAnsi="宋体" w:eastAsia="宋体" w:cs="宋体"/>
          <w:sz w:val="24"/>
          <w:szCs w:val="24"/>
          <w:lang w:val="en-US" w:eastAsia="zh-CN"/>
        </w:rPr>
        <w:t>9</w:t>
      </w: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0</w:t>
      </w:r>
    </w:p>
    <w:p w14:paraId="5130305A">
      <w:pPr>
        <w:pStyle w:val="5"/>
        <w:spacing w:before="0" w:after="0" w:line="440" w:lineRule="exact"/>
        <w:ind w:firstLine="482" w:firstLineChars="200"/>
        <w:rPr>
          <w:rFonts w:ascii="宋体" w:hAnsi="宋体" w:cs="宋体"/>
          <w:sz w:val="24"/>
          <w:szCs w:val="24"/>
        </w:rPr>
      </w:pPr>
      <w:bookmarkStart w:id="66" w:name="_Toc16460"/>
      <w:bookmarkStart w:id="67" w:name="_Toc12258"/>
      <w:bookmarkStart w:id="68" w:name="_Toc7740"/>
      <w:bookmarkStart w:id="69" w:name="_Toc30723"/>
      <w:bookmarkStart w:id="70" w:name="_Toc23589"/>
      <w:r>
        <w:rPr>
          <w:rFonts w:hint="eastAsia" w:ascii="宋体" w:hAnsi="宋体" w:cs="宋体"/>
          <w:sz w:val="24"/>
          <w:szCs w:val="24"/>
        </w:rPr>
        <w:t>五、保证金</w:t>
      </w:r>
      <w:bookmarkEnd w:id="66"/>
      <w:bookmarkEnd w:id="67"/>
      <w:bookmarkEnd w:id="68"/>
      <w:bookmarkEnd w:id="69"/>
      <w:bookmarkEnd w:id="70"/>
    </w:p>
    <w:p w14:paraId="0CD2D906">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（一）保证金递交</w:t>
      </w:r>
    </w:p>
    <w:p w14:paraId="3DE8AD3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供应商须按本项目规定的保证金金额进行缴纳（保证金金额详见本篇“一、竞争性谈判邀请书”），由供应商从其基本账户将保证金汇至以下指定账户。保证金的开始缴纳时间为采购公告发布之日，保证金的到账截止时间为响应文件递交</w:t>
      </w:r>
      <w:r>
        <w:rPr>
          <w:rFonts w:hint="eastAsia" w:ascii="宋体" w:hAnsi="宋体" w:eastAsia="宋体" w:cs="宋体"/>
          <w:b w:val="0"/>
          <w:bCs w:val="0"/>
          <w:sz w:val="24"/>
          <w:szCs w:val="24"/>
        </w:rPr>
        <w:t>截止时间</w:t>
      </w:r>
      <w:r>
        <w:rPr>
          <w:rFonts w:hint="eastAsia" w:ascii="宋体" w:hAnsi="宋体" w:eastAsia="宋体" w:cs="宋体"/>
          <w:sz w:val="24"/>
          <w:szCs w:val="24"/>
        </w:rPr>
        <w:t>，供应商应在银行转账（汇款）凭证备注栏中注明“投标保证金— CQZH2</w:t>
      </w:r>
      <w:r>
        <w:rPr>
          <w:rFonts w:hint="eastAsia" w:ascii="宋体" w:hAnsi="宋体" w:eastAsia="宋体" w:cs="宋体"/>
          <w:sz w:val="24"/>
          <w:szCs w:val="24"/>
          <w:lang w:val="en-US" w:eastAsia="zh-CN"/>
        </w:rPr>
        <w:t>5069</w:t>
      </w:r>
      <w:r>
        <w:rPr>
          <w:rFonts w:hint="eastAsia" w:ascii="宋体" w:hAnsi="宋体" w:eastAsia="宋体" w:cs="宋体"/>
          <w:sz w:val="24"/>
          <w:szCs w:val="24"/>
        </w:rPr>
        <w:t>”，不按要求填写备注和缴纳保证金入指定账户而影响对其保证金到账认定和退还的，由供应商自行承担。</w:t>
      </w:r>
    </w:p>
    <w:p w14:paraId="5FE92506">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保证金缴纳账户：</w:t>
      </w:r>
    </w:p>
    <w:p w14:paraId="69AB420D">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户  名：重庆展辉招标代理有限公司</w:t>
      </w:r>
    </w:p>
    <w:p w14:paraId="5D99FF12">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开户行：</w:t>
      </w:r>
      <w:r>
        <w:rPr>
          <w:rFonts w:hint="eastAsia" w:ascii="宋体" w:hAnsi="宋体" w:eastAsia="宋体" w:cs="宋体"/>
          <w:sz w:val="24"/>
        </w:rPr>
        <w:t>中国工商银行重庆荣昌支行</w:t>
      </w:r>
    </w:p>
    <w:p w14:paraId="08BF44D7">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账  号：3100097109200134460</w:t>
      </w:r>
    </w:p>
    <w:p w14:paraId="02A56F10">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各供应商在银行转账（电汇）时，须充分考虑银行转账（电汇）的时间差风险，如同城转账、异地转账或汇款、跨行转账或汇款的时间要求；请供应商使用网银及柜台转账方式缴纳保证金，本项目不接收柜台现金存款、结算卡、刷POS机及通过第三方支付平台缴纳保证金（如：微信支付、支付宝等方式），如果由于供应商未按以上约定方式缴纳保证金导致无法采购和无法退付保证金等后果由供应商自行承担。</w:t>
      </w:r>
    </w:p>
    <w:p w14:paraId="1F06A0BF">
      <w:pPr>
        <w:spacing w:line="440" w:lineRule="exact"/>
        <w:ind w:firstLine="482" w:firstLineChars="200"/>
        <w:rPr>
          <w:rFonts w:ascii="宋体" w:hAnsi="宋体" w:eastAsia="宋体" w:cs="宋体"/>
          <w:b/>
          <w:bCs/>
          <w:sz w:val="24"/>
          <w:szCs w:val="24"/>
        </w:rPr>
      </w:pPr>
      <w:r>
        <w:rPr>
          <w:rFonts w:hint="eastAsia" w:ascii="宋体" w:hAnsi="宋体" w:eastAsia="宋体" w:cs="宋体"/>
          <w:b/>
          <w:bCs/>
          <w:sz w:val="24"/>
          <w:szCs w:val="24"/>
        </w:rPr>
        <w:t>2.为了方便保证金的核查与退还，供应商投标时需现场递交以下材料：</w:t>
      </w:r>
    </w:p>
    <w:p w14:paraId="7FF39BBE">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①递交投标保证金银行转账凭据；</w:t>
      </w:r>
    </w:p>
    <w:p w14:paraId="5AFF4619">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3.保证金必须按采购文件规定的时间和金额缴纳。</w:t>
      </w:r>
    </w:p>
    <w:p w14:paraId="5C48114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（二）保证金退还方式</w:t>
      </w:r>
    </w:p>
    <w:p w14:paraId="69C6318B">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1.未成交供应商的保证金，在中标通知书发出后，由重庆展辉招标代理有限公司在5个工作日内退还至供应商的“开户许可证”基本账户上。</w:t>
      </w:r>
    </w:p>
    <w:p w14:paraId="65CF3925">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2.成交供应商的保证金，在成交供应商和采购人签订合同后，由重庆展辉招标代理有限公司在5个工作日内退还至成交供应商的“开户许可证”基本账户上。</w:t>
      </w:r>
    </w:p>
    <w:p w14:paraId="7A608798">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项目流标的投标保证金，由重庆展辉招标代理有限公司在开标结束后5个工作日内退还至供应商的“开户许可证”基本账户上；未参与投标的供应商的投标保证金，由重庆展辉招标代理有限公司收到手持件后，5个工作日内退还至供应商的“开户许可证”基本账户上。</w:t>
      </w:r>
    </w:p>
    <w:p w14:paraId="050FBFD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特别提醒：为确保投标保证金按规定时间退还，自采购合同签订之日起2个工作日内，成交供应商应将合同原件送达重庆展辉招标代理有限公司，否则造成保证金延迟退还，责任自负。</w:t>
      </w:r>
    </w:p>
    <w:p w14:paraId="77FCFECF">
      <w:pPr>
        <w:pStyle w:val="5"/>
        <w:spacing w:before="0" w:after="0" w:line="440" w:lineRule="exact"/>
        <w:ind w:firstLine="482" w:firstLineChars="200"/>
        <w:rPr>
          <w:rFonts w:ascii="宋体" w:hAnsi="宋体" w:cs="宋体"/>
          <w:sz w:val="24"/>
          <w:szCs w:val="24"/>
        </w:rPr>
      </w:pPr>
      <w:bookmarkStart w:id="71" w:name="_Toc15800"/>
      <w:bookmarkStart w:id="72" w:name="_Toc30587"/>
      <w:bookmarkStart w:id="73" w:name="_Toc16651"/>
      <w:bookmarkStart w:id="74" w:name="_Toc20248"/>
      <w:bookmarkStart w:id="75" w:name="_Toc22384"/>
      <w:r>
        <w:rPr>
          <w:rFonts w:hint="eastAsia" w:ascii="宋体" w:hAnsi="宋体" w:cs="宋体"/>
          <w:sz w:val="24"/>
          <w:szCs w:val="24"/>
        </w:rPr>
        <w:t>六、其它有关规定</w:t>
      </w:r>
      <w:bookmarkEnd w:id="71"/>
      <w:bookmarkEnd w:id="72"/>
      <w:bookmarkEnd w:id="73"/>
      <w:bookmarkEnd w:id="74"/>
      <w:bookmarkEnd w:id="75"/>
    </w:p>
    <w:p w14:paraId="52324908">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（一）单位负责人为同一人或者存在直接控股、管理关系的不同供应商，不得参加同一合同项（分包）下的政府采购活动，否则均为无效响应。</w:t>
      </w:r>
    </w:p>
    <w:p w14:paraId="15DB8411">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（二）为采购项目提供整体设计、规范编制或者项目管理、监理、检测等服务的供应商，不得再参加该采购项目的其他采购活动。</w:t>
      </w:r>
    </w:p>
    <w:p w14:paraId="3A49F73E">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（三）同一合同项（分包）下为单一品目的货物采购中，同一品牌同一型号产品有多家供应商参加响应，只能按照一家供应商计算。</w:t>
      </w:r>
    </w:p>
    <w:p w14:paraId="49BABA3D">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（四）同一合同项（分包）下的货物，制造商参与采购的，不得再委托代理商参与采购。</w:t>
      </w:r>
    </w:p>
    <w:p w14:paraId="3B3F2F15">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（五）本项目在响应文件提交截止时间前发布的采购文件及补遗文件（如果有）一律在</w:t>
      </w:r>
      <w:r>
        <w:rPr>
          <w:rFonts w:hint="eastAsia" w:ascii="宋体" w:hAnsi="宋体" w:eastAsia="宋体" w:cs="宋体"/>
          <w:sz w:val="24"/>
          <w:szCs w:val="24"/>
          <w:lang w:val="en-US" w:eastAsia="zh-CN"/>
        </w:rPr>
        <w:t>行采家</w:t>
      </w:r>
      <w:r>
        <w:rPr>
          <w:rFonts w:hint="eastAsia" w:ascii="宋体" w:hAnsi="宋体" w:eastAsia="宋体" w:cs="宋体"/>
          <w:sz w:val="24"/>
          <w:szCs w:val="24"/>
        </w:rPr>
        <w:t>发布，请各供应商注意查看；无论供应商查看与否，均视同供应商已知晓本项目采购文件、补遗文件（如果有）的内容。</w:t>
      </w:r>
    </w:p>
    <w:p w14:paraId="2682C88E">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（六）超过响应文件截止时间递交的响应文件，恕不接收。</w:t>
      </w:r>
    </w:p>
    <w:p w14:paraId="1F670F2C">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（七）谈判费用：无论谈判结果如何，供应商参与本项目谈判的所有费用均应由供应商自行承担。</w:t>
      </w:r>
    </w:p>
    <w:p w14:paraId="3F936383">
      <w:pPr>
        <w:spacing w:line="440" w:lineRule="exact"/>
        <w:ind w:firstLine="480" w:firstLineChars="200"/>
        <w:rPr>
          <w:rFonts w:ascii="宋体" w:hAnsi="宋体" w:eastAsia="宋体" w:cs="宋体"/>
          <w:sz w:val="24"/>
          <w:szCs w:val="24"/>
        </w:rPr>
      </w:pPr>
      <w:r>
        <w:rPr>
          <w:rFonts w:hint="eastAsia" w:ascii="宋体" w:hAnsi="宋体" w:eastAsia="宋体" w:cs="宋体"/>
          <w:b w:val="0"/>
          <w:bCs w:val="0"/>
          <w:sz w:val="24"/>
          <w:szCs w:val="24"/>
        </w:rPr>
        <w:t>（八）本项目不</w:t>
      </w:r>
      <w:r>
        <w:rPr>
          <w:rFonts w:hint="eastAsia" w:ascii="宋体" w:hAnsi="宋体" w:eastAsia="宋体" w:cs="宋体"/>
          <w:sz w:val="24"/>
          <w:szCs w:val="24"/>
        </w:rPr>
        <w:t>采购活动。</w:t>
      </w:r>
    </w:p>
    <w:p w14:paraId="356D25C1">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（十）为减少响应误差，供应商自行到现场踏勘，并对考察中获取的现场资料负责。不论供应商是否考察过现场，均被认为在递交响应文件前已经了解现场情况。</w:t>
      </w:r>
    </w:p>
    <w:p w14:paraId="384BAEAC">
      <w:pPr>
        <w:spacing w:line="360" w:lineRule="auto"/>
        <w:ind w:firstLine="482" w:firstLineChars="200"/>
        <w:outlineLvl w:val="2"/>
        <w:rPr>
          <w:rFonts w:ascii="宋体" w:hAnsi="宋体" w:eastAsia="宋体" w:cs="宋体"/>
          <w:b/>
          <w:bCs/>
          <w:color w:val="FF0000"/>
          <w:sz w:val="24"/>
          <w:szCs w:val="24"/>
        </w:rPr>
      </w:pPr>
      <w:bookmarkStart w:id="76" w:name="_Toc4570"/>
      <w:bookmarkStart w:id="77" w:name="_Toc6270"/>
      <w:bookmarkStart w:id="78" w:name="_Toc31800"/>
      <w:bookmarkStart w:id="79" w:name="_Toc15891"/>
      <w:r>
        <w:rPr>
          <w:rFonts w:hint="eastAsia" w:ascii="宋体" w:hAnsi="宋体" w:eastAsia="宋体" w:cs="宋体"/>
          <w:b/>
          <w:bCs/>
          <w:sz w:val="24"/>
          <w:szCs w:val="24"/>
        </w:rPr>
        <w:t>七、联系方式</w:t>
      </w:r>
      <w:bookmarkEnd w:id="76"/>
      <w:bookmarkEnd w:id="77"/>
      <w:bookmarkEnd w:id="78"/>
      <w:bookmarkEnd w:id="79"/>
    </w:p>
    <w:p w14:paraId="1C072E85">
      <w:pPr>
        <w:widowControl/>
        <w:ind w:firstLine="480" w:firstLineChars="200"/>
        <w:jc w:val="left"/>
        <w:rPr>
          <w:rFonts w:ascii="宋体" w:hAnsi="宋体" w:eastAsia="宋体" w:cs="宋体"/>
          <w:sz w:val="24"/>
          <w:szCs w:val="24"/>
        </w:rPr>
      </w:pPr>
      <w:r>
        <w:rPr>
          <w:rFonts w:hint="eastAsia" w:ascii="宋体" w:hAnsi="宋体" w:eastAsia="宋体" w:cs="宋体"/>
          <w:sz w:val="24"/>
          <w:szCs w:val="24"/>
        </w:rPr>
        <w:t>（一）采购人：</w:t>
      </w:r>
      <w:r>
        <w:rPr>
          <w:rFonts w:hint="eastAsia" w:ascii="宋体" w:hAnsi="宋体" w:eastAsia="宋体" w:cs="宋体"/>
          <w:kern w:val="0"/>
          <w:sz w:val="24"/>
          <w:szCs w:val="24"/>
          <w:lang w:bidi="ar"/>
        </w:rPr>
        <w:t>重庆市荣昌区文化和旅游发展委员会</w:t>
      </w:r>
    </w:p>
    <w:p w14:paraId="2D28AB51">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1、采购联系人：杨老师</w:t>
      </w:r>
    </w:p>
    <w:p w14:paraId="72FA5CF7">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电  话：023-61471976</w:t>
      </w:r>
    </w:p>
    <w:p w14:paraId="68B130D4">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2、项目负责人：</w:t>
      </w:r>
      <w:r>
        <w:rPr>
          <w:rFonts w:hint="eastAsia" w:ascii="宋体" w:hAnsi="宋体" w:eastAsia="宋体" w:cs="宋体"/>
          <w:sz w:val="24"/>
          <w:szCs w:val="24"/>
          <w:lang w:val="en-US" w:eastAsia="zh-CN"/>
        </w:rPr>
        <w:t>戴</w:t>
      </w:r>
      <w:r>
        <w:rPr>
          <w:rFonts w:hint="eastAsia" w:ascii="宋体" w:hAnsi="宋体" w:eastAsia="宋体" w:cs="宋体"/>
          <w:sz w:val="24"/>
          <w:szCs w:val="24"/>
        </w:rPr>
        <w:t>老师</w:t>
      </w:r>
    </w:p>
    <w:p w14:paraId="2723B8A5">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电  话：</w:t>
      </w:r>
      <w:r>
        <w:rPr>
          <w:rFonts w:hint="eastAsia" w:ascii="宋体" w:hAnsi="宋体"/>
          <w:sz w:val="24"/>
        </w:rPr>
        <w:t>15123303939</w:t>
      </w:r>
    </w:p>
    <w:p w14:paraId="1B630FDD">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地  址：重庆市荣昌区行政中心</w:t>
      </w:r>
    </w:p>
    <w:p w14:paraId="39D36CC9">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（二）采购代理机构：重庆展辉招标代理有限公司</w:t>
      </w:r>
    </w:p>
    <w:p w14:paraId="292BEE80">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1、业务联系人：</w:t>
      </w:r>
      <w:r>
        <w:rPr>
          <w:rFonts w:hint="eastAsia" w:ascii="宋体" w:hAnsi="宋体" w:eastAsia="宋体" w:cs="宋体"/>
          <w:sz w:val="24"/>
          <w:szCs w:val="24"/>
          <w:lang w:eastAsia="zh-CN"/>
        </w:rPr>
        <w:t>于</w:t>
      </w:r>
      <w:r>
        <w:rPr>
          <w:rFonts w:hint="eastAsia" w:ascii="宋体" w:hAnsi="宋体" w:eastAsia="宋体" w:cs="宋体"/>
          <w:sz w:val="24"/>
          <w:szCs w:val="24"/>
        </w:rPr>
        <w:t>老师</w:t>
      </w:r>
    </w:p>
    <w:p w14:paraId="076B86C8">
      <w:pPr>
        <w:spacing w:line="44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电  话：1</w:t>
      </w:r>
      <w:r>
        <w:rPr>
          <w:rFonts w:hint="eastAsia" w:ascii="宋体" w:hAnsi="宋体" w:eastAsia="宋体" w:cs="宋体"/>
          <w:sz w:val="24"/>
          <w:szCs w:val="24"/>
          <w:lang w:val="en-US" w:eastAsia="zh-CN"/>
        </w:rPr>
        <w:t>5998966652</w:t>
      </w:r>
    </w:p>
    <w:p w14:paraId="1EE8C652">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地  址：重庆市荣昌区昌龙大道37号瑞尔国际</w:t>
      </w:r>
      <w:r>
        <w:rPr>
          <w:rFonts w:hint="eastAsia" w:ascii="宋体" w:hAnsi="宋体" w:eastAsia="宋体" w:cs="宋体"/>
          <w:sz w:val="24"/>
          <w:szCs w:val="24"/>
          <w:lang w:val="en-US" w:eastAsia="zh-CN"/>
        </w:rPr>
        <w:t>3</w:t>
      </w:r>
      <w:r>
        <w:rPr>
          <w:rFonts w:hint="eastAsia" w:ascii="宋体" w:hAnsi="宋体" w:eastAsia="宋体" w:cs="宋体"/>
          <w:sz w:val="24"/>
          <w:szCs w:val="24"/>
        </w:rPr>
        <w:t>号楼</w:t>
      </w:r>
      <w:r>
        <w:rPr>
          <w:rFonts w:hint="eastAsia" w:ascii="宋体" w:hAnsi="宋体" w:eastAsia="宋体" w:cs="宋体"/>
          <w:sz w:val="24"/>
          <w:szCs w:val="24"/>
          <w:lang w:val="en-US" w:eastAsia="zh-CN"/>
        </w:rPr>
        <w:t>808</w:t>
      </w:r>
    </w:p>
    <w:p w14:paraId="3617950C">
      <w:pPr>
        <w:pStyle w:val="4"/>
        <w:spacing w:line="440" w:lineRule="exact"/>
        <w:jc w:val="both"/>
        <w:rPr>
          <w:rFonts w:ascii="宋体" w:hAnsi="宋体" w:eastAsia="宋体" w:cs="宋体"/>
          <w:bCs/>
          <w:color w:val="000000"/>
          <w:sz w:val="36"/>
          <w:szCs w:val="30"/>
        </w:rPr>
      </w:pPr>
      <w:r>
        <w:rPr>
          <w:rFonts w:hint="eastAsia" w:ascii="宋体" w:hAnsi="宋体" w:eastAsia="宋体" w:cs="宋体"/>
        </w:rPr>
        <w:br w:type="page"/>
      </w:r>
      <w:bookmarkStart w:id="80" w:name="_Toc5359"/>
      <w:bookmarkStart w:id="81" w:name="_Toc872"/>
      <w:bookmarkStart w:id="82" w:name="_Toc13085"/>
      <w:bookmarkStart w:id="83" w:name="_Toc17873"/>
      <w:r>
        <w:rPr>
          <w:rFonts w:hint="eastAsia" w:ascii="宋体" w:hAnsi="宋体" w:eastAsia="宋体" w:cs="宋体"/>
          <w:lang w:val="en-US" w:eastAsia="zh-CN"/>
        </w:rPr>
        <w:t xml:space="preserve">            </w:t>
      </w:r>
      <w:bookmarkStart w:id="84" w:name="_Toc23947"/>
      <w:r>
        <w:rPr>
          <w:rFonts w:hint="eastAsia" w:ascii="宋体" w:hAnsi="宋体" w:eastAsia="宋体" w:cs="宋体"/>
          <w:bCs/>
          <w:color w:val="000000"/>
          <w:sz w:val="36"/>
          <w:szCs w:val="30"/>
        </w:rPr>
        <w:t>第</w:t>
      </w:r>
      <w:r>
        <w:rPr>
          <w:rFonts w:hint="eastAsia" w:ascii="宋体" w:hAnsi="宋体" w:eastAsia="宋体" w:cs="宋体"/>
          <w:bCs/>
          <w:color w:val="000000"/>
          <w:sz w:val="36"/>
          <w:szCs w:val="30"/>
          <w:lang w:eastAsia="zh-CN"/>
        </w:rPr>
        <w:t>二</w:t>
      </w:r>
      <w:r>
        <w:rPr>
          <w:rFonts w:hint="eastAsia" w:ascii="宋体" w:hAnsi="宋体" w:eastAsia="宋体" w:cs="宋体"/>
          <w:bCs/>
          <w:color w:val="000000"/>
          <w:sz w:val="36"/>
          <w:szCs w:val="30"/>
        </w:rPr>
        <w:t>篇  谈判项目信息及技术需求</w:t>
      </w:r>
      <w:bookmarkEnd w:id="80"/>
      <w:bookmarkEnd w:id="81"/>
      <w:bookmarkEnd w:id="82"/>
      <w:bookmarkEnd w:id="83"/>
      <w:bookmarkEnd w:id="84"/>
    </w:p>
    <w:p w14:paraId="6D2E2B49">
      <w:pPr>
        <w:pStyle w:val="5"/>
        <w:spacing w:before="0" w:after="0" w:line="440" w:lineRule="exact"/>
        <w:ind w:firstLine="482" w:firstLineChars="200"/>
        <w:rPr>
          <w:rFonts w:hint="eastAsia" w:ascii="宋体" w:hAnsi="宋体" w:eastAsia="宋体" w:cs="宋体"/>
          <w:b/>
          <w:bCs/>
          <w:kern w:val="2"/>
          <w:sz w:val="24"/>
          <w:szCs w:val="24"/>
          <w:lang w:val="en-US" w:eastAsia="zh-CN" w:bidi="ar-SA"/>
        </w:rPr>
      </w:pPr>
      <w:bookmarkStart w:id="85" w:name="_Toc80027302"/>
      <w:bookmarkStart w:id="86" w:name="_Toc31598"/>
      <w:bookmarkStart w:id="87" w:name="_Toc16394"/>
      <w:r>
        <w:rPr>
          <w:rFonts w:hint="eastAsia" w:ascii="宋体" w:hAnsi="宋体" w:eastAsia="宋体" w:cs="宋体"/>
          <w:b/>
          <w:bCs/>
          <w:kern w:val="2"/>
          <w:sz w:val="24"/>
          <w:szCs w:val="24"/>
          <w:lang w:val="en-US" w:eastAsia="zh-CN" w:bidi="ar-SA"/>
        </w:rPr>
        <w:t>一、项目</w:t>
      </w:r>
      <w:bookmarkEnd w:id="85"/>
      <w:bookmarkEnd w:id="86"/>
      <w:r>
        <w:rPr>
          <w:rFonts w:hint="eastAsia" w:ascii="宋体" w:hAnsi="宋体" w:cs="宋体"/>
          <w:b/>
          <w:bCs/>
          <w:kern w:val="2"/>
          <w:sz w:val="24"/>
          <w:szCs w:val="24"/>
          <w:lang w:val="en-US" w:eastAsia="zh-CN" w:bidi="ar-SA"/>
        </w:rPr>
        <w:t>内容</w:t>
      </w:r>
      <w:bookmarkEnd w:id="87"/>
    </w:p>
    <w:p w14:paraId="796E01CA">
      <w:pPr>
        <w:spacing w:line="400" w:lineRule="exact"/>
        <w:ind w:firstLine="480" w:firstLineChars="200"/>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详见工程量清单。</w:t>
      </w:r>
    </w:p>
    <w:p w14:paraId="2B06997D">
      <w:pPr>
        <w:spacing w:line="400" w:lineRule="exact"/>
        <w:ind w:firstLine="482" w:firstLineChars="200"/>
        <w:rPr>
          <w:rFonts w:hint="default" w:ascii="宋体" w:hAnsi="宋体" w:eastAsia="宋体" w:cs="宋体"/>
          <w:b/>
          <w:bCs/>
          <w:kern w:val="2"/>
          <w:sz w:val="24"/>
          <w:szCs w:val="24"/>
          <w:lang w:val="en-US" w:eastAsia="zh-CN" w:bidi="ar-SA"/>
        </w:rPr>
      </w:pPr>
      <w:bookmarkStart w:id="88" w:name="_Toc17068"/>
      <w:bookmarkStart w:id="89" w:name="_Toc7818"/>
      <w:bookmarkStart w:id="90" w:name="_Toc21599"/>
      <w:bookmarkStart w:id="91" w:name="_Toc27236"/>
      <w:r>
        <w:rPr>
          <w:rFonts w:hint="eastAsia" w:ascii="宋体" w:hAnsi="宋体" w:eastAsia="宋体" w:cs="宋体"/>
          <w:b/>
          <w:bCs/>
          <w:kern w:val="2"/>
          <w:sz w:val="24"/>
          <w:szCs w:val="24"/>
          <w:lang w:val="en-US" w:eastAsia="zh-CN" w:bidi="ar-SA"/>
        </w:rPr>
        <w:t>二、</w:t>
      </w:r>
      <w:bookmarkEnd w:id="88"/>
      <w:bookmarkEnd w:id="89"/>
      <w:bookmarkEnd w:id="90"/>
      <w:bookmarkEnd w:id="91"/>
      <w:r>
        <w:rPr>
          <w:rFonts w:hint="eastAsia" w:ascii="宋体" w:hAnsi="宋体" w:eastAsia="宋体" w:cs="宋体"/>
          <w:b/>
          <w:bCs/>
          <w:kern w:val="2"/>
          <w:sz w:val="24"/>
          <w:szCs w:val="24"/>
          <w:lang w:val="en-US" w:eastAsia="zh-CN" w:bidi="ar-SA"/>
        </w:rPr>
        <w:t>采购相关要求</w:t>
      </w:r>
    </w:p>
    <w:p w14:paraId="2D729474">
      <w:pPr>
        <w:spacing w:line="400" w:lineRule="exact"/>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1、</w:t>
      </w:r>
      <w:r>
        <w:rPr>
          <w:rFonts w:hint="eastAsia" w:ascii="宋体" w:hAnsi="宋体" w:eastAsia="宋体" w:cs="宋体"/>
          <w:kern w:val="0"/>
          <w:sz w:val="24"/>
          <w:szCs w:val="24"/>
          <w:lang w:eastAsia="zh-CN"/>
        </w:rPr>
        <w:t>成交供应商签定合同时需提供购意外保险复印件（加盖鲜章，原件备查），否则不予进场施工，随时接受采购单位检查及监督。</w:t>
      </w:r>
    </w:p>
    <w:p w14:paraId="1518F4B1">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2、</w:t>
      </w:r>
      <w:r>
        <w:rPr>
          <w:rFonts w:hint="eastAsia" w:ascii="宋体" w:hAnsi="宋体" w:eastAsia="宋体" w:cs="宋体"/>
          <w:kern w:val="0"/>
          <w:sz w:val="24"/>
          <w:szCs w:val="24"/>
        </w:rPr>
        <w:t>须做到安全文明施工，并做好相应的施工安全公告及警戒标识，施工人员需做好安全防护，施工过程中发生的一切安全事故及风险由</w:t>
      </w:r>
      <w:r>
        <w:rPr>
          <w:rFonts w:hint="eastAsia" w:ascii="宋体" w:hAnsi="宋体" w:eastAsia="宋体" w:cs="宋体"/>
          <w:kern w:val="0"/>
          <w:sz w:val="24"/>
          <w:szCs w:val="24"/>
          <w:lang w:val="en-US" w:eastAsia="zh-CN"/>
        </w:rPr>
        <w:t>成交供应商</w:t>
      </w:r>
      <w:r>
        <w:rPr>
          <w:rFonts w:hint="eastAsia" w:ascii="宋体" w:hAnsi="宋体" w:eastAsia="宋体" w:cs="宋体"/>
          <w:kern w:val="0"/>
          <w:sz w:val="24"/>
          <w:szCs w:val="24"/>
        </w:rPr>
        <w:t>自行负责。</w:t>
      </w:r>
    </w:p>
    <w:p w14:paraId="7B6AB789">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3、</w:t>
      </w:r>
      <w:r>
        <w:rPr>
          <w:rFonts w:hint="eastAsia" w:ascii="宋体" w:hAnsi="宋体" w:eastAsia="宋体" w:cs="宋体"/>
          <w:kern w:val="0"/>
          <w:sz w:val="24"/>
          <w:szCs w:val="24"/>
        </w:rPr>
        <w:t>工程结算依据：根据采购人或其委托的质量检测部门对项目进行验收，据实结算。</w:t>
      </w:r>
    </w:p>
    <w:p w14:paraId="4F6DD3E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4</w:t>
      </w:r>
      <w:r>
        <w:rPr>
          <w:rFonts w:hint="eastAsia" w:ascii="宋体" w:hAnsi="宋体" w:eastAsia="宋体" w:cs="宋体"/>
          <w:kern w:val="0"/>
          <w:sz w:val="24"/>
          <w:szCs w:val="24"/>
        </w:rPr>
        <w:t>、符合高空作业规范管理：</w:t>
      </w:r>
    </w:p>
    <w:p w14:paraId="21F4B7F9">
      <w:pPr>
        <w:spacing w:line="400" w:lineRule="exact"/>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rPr>
        <w:t>（1）</w:t>
      </w:r>
      <w:r>
        <w:rPr>
          <w:rFonts w:hint="eastAsia" w:ascii="宋体" w:hAnsi="宋体" w:eastAsia="宋体" w:cs="宋体"/>
          <w:kern w:val="0"/>
          <w:sz w:val="24"/>
          <w:szCs w:val="24"/>
          <w:lang w:val="en-US" w:eastAsia="zh-CN"/>
        </w:rPr>
        <w:t>从事高空作</w:t>
      </w:r>
      <w:r>
        <w:rPr>
          <w:rFonts w:hint="eastAsia" w:ascii="宋体" w:hAnsi="宋体" w:eastAsia="宋体" w:cs="宋体"/>
          <w:kern w:val="0"/>
          <w:sz w:val="24"/>
          <w:szCs w:val="24"/>
        </w:rPr>
        <w:t>业的人员，必须进行身体检查。凡患有高血压、心脏病、癫痫症、恐高症及其他不适应高空作业的人，一律不准从事高空作业</w:t>
      </w:r>
      <w:r>
        <w:rPr>
          <w:rFonts w:hint="eastAsia" w:ascii="宋体" w:hAnsi="宋体" w:eastAsia="宋体" w:cs="宋体"/>
          <w:kern w:val="0"/>
          <w:sz w:val="24"/>
          <w:szCs w:val="24"/>
          <w:lang w:eastAsia="zh-CN"/>
        </w:rPr>
        <w:t>；</w:t>
      </w:r>
    </w:p>
    <w:p w14:paraId="3E44EFB1">
      <w:pPr>
        <w:spacing w:line="400" w:lineRule="exact"/>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2</w:t>
      </w:r>
      <w:r>
        <w:rPr>
          <w:rFonts w:hint="eastAsia" w:ascii="宋体" w:hAnsi="宋体" w:eastAsia="宋体" w:cs="宋体"/>
          <w:kern w:val="0"/>
          <w:sz w:val="24"/>
          <w:szCs w:val="24"/>
        </w:rPr>
        <w:t>）高空作业前，应仔细检查安全用具，如安全帽、安全带、梯子、跳板、脚手架等，如有不符合要求的应立即改进或拒绝登高作业</w:t>
      </w:r>
      <w:r>
        <w:rPr>
          <w:rFonts w:hint="eastAsia" w:ascii="宋体" w:hAnsi="宋体" w:eastAsia="宋体" w:cs="宋体"/>
          <w:kern w:val="0"/>
          <w:sz w:val="24"/>
          <w:szCs w:val="24"/>
          <w:lang w:eastAsia="zh-CN"/>
        </w:rPr>
        <w:t>；</w:t>
      </w:r>
    </w:p>
    <w:p w14:paraId="1A080B56">
      <w:pPr>
        <w:spacing w:line="400" w:lineRule="exact"/>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3</w:t>
      </w:r>
      <w:r>
        <w:rPr>
          <w:rFonts w:hint="eastAsia" w:ascii="宋体" w:hAnsi="宋体" w:eastAsia="宋体" w:cs="宋体"/>
          <w:kern w:val="0"/>
          <w:sz w:val="24"/>
          <w:szCs w:val="24"/>
        </w:rPr>
        <w:t>）所有高空作业人员，不准穿硬底鞋，一律使用安全带。安全带一般应高挂低用，即将安全带绳端的钩子挂在高的地方，而人在较低处进行作业</w:t>
      </w:r>
      <w:r>
        <w:rPr>
          <w:rFonts w:hint="eastAsia" w:ascii="宋体" w:hAnsi="宋体" w:eastAsia="宋体" w:cs="宋体"/>
          <w:kern w:val="0"/>
          <w:sz w:val="24"/>
          <w:szCs w:val="24"/>
          <w:lang w:eastAsia="zh-CN"/>
        </w:rPr>
        <w:t>；</w:t>
      </w:r>
    </w:p>
    <w:p w14:paraId="59BEE95B">
      <w:pPr>
        <w:spacing w:line="400" w:lineRule="exact"/>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4</w:t>
      </w:r>
      <w:r>
        <w:rPr>
          <w:rFonts w:hint="eastAsia" w:ascii="宋体" w:hAnsi="宋体" w:eastAsia="宋体" w:cs="宋体"/>
          <w:kern w:val="0"/>
          <w:sz w:val="24"/>
          <w:szCs w:val="24"/>
        </w:rPr>
        <w:t>）高空作业人员不准从高空往地面抛掷物件，也不准从地面上往高空抛物件，应使用绳索、吊篮等传递物件</w:t>
      </w:r>
      <w:r>
        <w:rPr>
          <w:rFonts w:hint="eastAsia" w:ascii="宋体" w:hAnsi="宋体" w:eastAsia="宋体" w:cs="宋体"/>
          <w:kern w:val="0"/>
          <w:sz w:val="24"/>
          <w:szCs w:val="24"/>
          <w:lang w:eastAsia="zh-CN"/>
        </w:rPr>
        <w:t>；</w:t>
      </w:r>
      <w:r>
        <w:rPr>
          <w:rFonts w:hint="eastAsia" w:ascii="宋体" w:hAnsi="宋体" w:eastAsia="宋体" w:cs="宋体"/>
          <w:kern w:val="0"/>
          <w:sz w:val="24"/>
          <w:szCs w:val="24"/>
        </w:rPr>
        <w:t>特殊情况下，如果必须从高空往地面抛掷物件时，地面应有人看管，以确保不伤害他人和损坏设备</w:t>
      </w:r>
      <w:r>
        <w:rPr>
          <w:rFonts w:hint="eastAsia" w:ascii="宋体" w:hAnsi="宋体" w:eastAsia="宋体" w:cs="宋体"/>
          <w:kern w:val="0"/>
          <w:sz w:val="24"/>
          <w:szCs w:val="24"/>
          <w:lang w:eastAsia="zh-CN"/>
        </w:rPr>
        <w:t>；</w:t>
      </w:r>
    </w:p>
    <w:p w14:paraId="0E796276">
      <w:pPr>
        <w:spacing w:line="400" w:lineRule="exact"/>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5</w:t>
      </w:r>
      <w:r>
        <w:rPr>
          <w:rFonts w:hint="eastAsia" w:ascii="宋体" w:hAnsi="宋体" w:eastAsia="宋体" w:cs="宋体"/>
          <w:kern w:val="0"/>
          <w:sz w:val="24"/>
          <w:szCs w:val="24"/>
        </w:rPr>
        <w:t>）高空作业区的下方地面，严禁堆放脚手架、跳板或其他杂物，地面人员应禁止在高空作业区的正下方停留或通行</w:t>
      </w:r>
      <w:r>
        <w:rPr>
          <w:rFonts w:hint="eastAsia" w:ascii="宋体" w:hAnsi="宋体" w:eastAsia="宋体" w:cs="宋体"/>
          <w:kern w:val="0"/>
          <w:sz w:val="24"/>
          <w:szCs w:val="24"/>
          <w:lang w:eastAsia="zh-CN"/>
        </w:rPr>
        <w:t>；</w:t>
      </w:r>
    </w:p>
    <w:p w14:paraId="575AA136">
      <w:pPr>
        <w:spacing w:line="400" w:lineRule="exact"/>
        <w:ind w:firstLine="480" w:firstLineChars="200"/>
        <w:rPr>
          <w:rFonts w:hint="default" w:ascii="宋体" w:hAnsi="宋体" w:eastAsia="宋体" w:cs="宋体"/>
          <w:kern w:val="0"/>
          <w:sz w:val="24"/>
          <w:szCs w:val="24"/>
          <w:lang w:val="en-US" w:eastAsia="zh-CN"/>
        </w:rPr>
      </w:pP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6</w:t>
      </w:r>
      <w:r>
        <w:rPr>
          <w:rFonts w:hint="eastAsia" w:ascii="宋体" w:hAnsi="宋体" w:eastAsia="宋体" w:cs="宋体"/>
          <w:kern w:val="0"/>
          <w:sz w:val="24"/>
          <w:szCs w:val="24"/>
          <w:lang w:eastAsia="zh-CN"/>
        </w:rPr>
        <w:t>）</w:t>
      </w:r>
      <w:r>
        <w:rPr>
          <w:rFonts w:hint="eastAsia" w:ascii="宋体" w:hAnsi="宋体" w:eastAsia="宋体" w:cs="宋体"/>
          <w:kern w:val="0"/>
          <w:sz w:val="24"/>
          <w:szCs w:val="24"/>
        </w:rPr>
        <w:t>作业</w:t>
      </w:r>
      <w:r>
        <w:rPr>
          <w:rFonts w:hint="eastAsia" w:ascii="宋体" w:hAnsi="宋体" w:eastAsia="宋体" w:cs="宋体"/>
          <w:kern w:val="0"/>
          <w:sz w:val="24"/>
          <w:szCs w:val="24"/>
          <w:lang w:val="en-US" w:eastAsia="zh-CN"/>
        </w:rPr>
        <w:t>期间，禁止饮酒。</w:t>
      </w:r>
    </w:p>
    <w:p w14:paraId="18465D50">
      <w:pPr>
        <w:rPr>
          <w:rFonts w:hint="eastAsia" w:ascii="宋体" w:hAnsi="宋体" w:eastAsia="宋体" w:cs="宋体"/>
          <w:kern w:val="0"/>
          <w:sz w:val="24"/>
          <w:szCs w:val="24"/>
          <w:lang w:val="en-US" w:eastAsia="zh-CN"/>
        </w:rPr>
      </w:pPr>
      <w:bookmarkStart w:id="92" w:name="_Toc29404"/>
      <w:bookmarkStart w:id="93" w:name="_Toc12873"/>
      <w:bookmarkStart w:id="94" w:name="_Toc7016"/>
      <w:r>
        <w:rPr>
          <w:rFonts w:hint="eastAsia" w:ascii="宋体" w:hAnsi="宋体" w:eastAsia="宋体" w:cs="宋体"/>
          <w:kern w:val="0"/>
          <w:sz w:val="24"/>
          <w:szCs w:val="24"/>
          <w:lang w:val="en-US" w:eastAsia="zh-CN"/>
        </w:rPr>
        <w:br w:type="page"/>
      </w:r>
    </w:p>
    <w:p w14:paraId="6B7B1DF4">
      <w:pPr>
        <w:numPr>
          <w:ilvl w:val="0"/>
          <w:numId w:val="0"/>
        </w:numPr>
        <w:spacing w:line="400" w:lineRule="exact"/>
        <w:jc w:val="both"/>
        <w:outlineLvl w:val="1"/>
        <w:rPr>
          <w:rFonts w:ascii="宋体" w:hAnsi="宋体" w:eastAsia="宋体" w:cs="宋体"/>
          <w:b/>
          <w:bCs/>
          <w:color w:val="000000"/>
          <w:sz w:val="36"/>
          <w:szCs w:val="30"/>
        </w:rPr>
      </w:pPr>
      <w:r>
        <w:rPr>
          <w:rFonts w:hint="eastAsia" w:ascii="宋体" w:hAnsi="宋体" w:eastAsia="宋体" w:cs="宋体"/>
          <w:kern w:val="0"/>
          <w:sz w:val="24"/>
          <w:szCs w:val="24"/>
          <w:lang w:val="en-US" w:eastAsia="zh-CN"/>
        </w:rPr>
        <w:t xml:space="preserve">             </w:t>
      </w:r>
      <w:bookmarkStart w:id="95" w:name="_Toc11860"/>
      <w:r>
        <w:rPr>
          <w:rFonts w:hint="eastAsia" w:ascii="宋体" w:hAnsi="宋体" w:eastAsia="宋体" w:cs="宋体"/>
          <w:kern w:val="0"/>
          <w:sz w:val="24"/>
          <w:szCs w:val="24"/>
          <w:lang w:val="en-US" w:eastAsia="zh-CN"/>
        </w:rPr>
        <w:t xml:space="preserve">          </w:t>
      </w:r>
      <w:r>
        <w:rPr>
          <w:rFonts w:hint="eastAsia" w:ascii="宋体" w:hAnsi="宋体" w:eastAsia="宋体" w:cs="宋体"/>
          <w:b/>
          <w:bCs/>
          <w:color w:val="000000"/>
          <w:sz w:val="36"/>
          <w:szCs w:val="36"/>
        </w:rPr>
        <w:t>第</w:t>
      </w:r>
      <w:r>
        <w:rPr>
          <w:rFonts w:hint="eastAsia" w:ascii="宋体" w:hAnsi="宋体" w:eastAsia="宋体" w:cs="宋体"/>
          <w:b/>
          <w:bCs/>
          <w:color w:val="000000"/>
          <w:sz w:val="36"/>
          <w:szCs w:val="36"/>
          <w:lang w:eastAsia="zh-CN"/>
        </w:rPr>
        <w:t>三</w:t>
      </w:r>
      <w:r>
        <w:rPr>
          <w:rFonts w:hint="eastAsia" w:ascii="宋体" w:hAnsi="宋体" w:eastAsia="宋体" w:cs="宋体"/>
          <w:b/>
          <w:bCs/>
          <w:color w:val="000000"/>
          <w:sz w:val="36"/>
          <w:szCs w:val="36"/>
        </w:rPr>
        <w:t>篇  谈判项目商务需求</w:t>
      </w:r>
      <w:bookmarkEnd w:id="92"/>
      <w:bookmarkEnd w:id="93"/>
      <w:bookmarkEnd w:id="94"/>
      <w:bookmarkEnd w:id="95"/>
    </w:p>
    <w:p w14:paraId="212403C8">
      <w:pPr>
        <w:pStyle w:val="5"/>
        <w:spacing w:before="0" w:after="0" w:line="400" w:lineRule="exact"/>
        <w:ind w:firstLine="482" w:firstLineChars="200"/>
        <w:rPr>
          <w:rFonts w:ascii="宋体" w:hAnsi="宋体" w:cs="宋体"/>
          <w:sz w:val="24"/>
          <w:szCs w:val="24"/>
        </w:rPr>
      </w:pPr>
      <w:bookmarkStart w:id="96" w:name="_Toc24421"/>
      <w:bookmarkStart w:id="97" w:name="_Toc7912"/>
      <w:bookmarkStart w:id="98" w:name="_Toc10201"/>
      <w:bookmarkStart w:id="99" w:name="_Toc7191"/>
      <w:bookmarkStart w:id="100" w:name="_Toc26258"/>
      <w:r>
        <w:rPr>
          <w:rFonts w:hint="eastAsia" w:ascii="宋体" w:hAnsi="宋体" w:cs="宋体"/>
          <w:sz w:val="24"/>
          <w:szCs w:val="24"/>
        </w:rPr>
        <w:t>一、实施时间、地点及验收方式</w:t>
      </w:r>
      <w:bookmarkEnd w:id="96"/>
      <w:bookmarkEnd w:id="97"/>
      <w:bookmarkEnd w:id="98"/>
      <w:bookmarkEnd w:id="99"/>
      <w:bookmarkEnd w:id="100"/>
    </w:p>
    <w:p w14:paraId="449BB887">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eastAsia="zh-CN"/>
        </w:rPr>
        <w:t>一</w:t>
      </w:r>
      <w:r>
        <w:rPr>
          <w:rFonts w:hint="eastAsia" w:ascii="宋体" w:hAnsi="宋体" w:eastAsia="宋体" w:cs="宋体"/>
          <w:sz w:val="24"/>
          <w:szCs w:val="24"/>
        </w:rPr>
        <w:t>）实施时间：</w:t>
      </w:r>
      <w:r>
        <w:rPr>
          <w:rFonts w:hint="eastAsia" w:ascii="宋体" w:hAnsi="宋体" w:eastAsia="宋体" w:cs="宋体"/>
          <w:kern w:val="0"/>
          <w:sz w:val="24"/>
          <w:szCs w:val="24"/>
        </w:rPr>
        <w:t>中标供应商签订采购合同后</w:t>
      </w:r>
      <w:r>
        <w:rPr>
          <w:rFonts w:ascii="宋体" w:hAnsi="宋体" w:eastAsia="宋体" w:cs="宋体"/>
          <w:kern w:val="0"/>
          <w:sz w:val="24"/>
          <w:szCs w:val="24"/>
        </w:rPr>
        <w:t>30</w:t>
      </w:r>
      <w:r>
        <w:rPr>
          <w:rFonts w:hint="eastAsia" w:ascii="宋体" w:hAnsi="宋体" w:eastAsia="宋体" w:cs="宋体"/>
          <w:kern w:val="0"/>
          <w:sz w:val="24"/>
          <w:szCs w:val="24"/>
        </w:rPr>
        <w:t>天内完成</w:t>
      </w:r>
      <w:r>
        <w:rPr>
          <w:rFonts w:hint="eastAsia" w:ascii="宋体" w:hAnsi="宋体" w:eastAsia="宋体" w:cs="宋体"/>
          <w:kern w:val="0"/>
          <w:sz w:val="24"/>
          <w:szCs w:val="24"/>
          <w:lang w:eastAsia="zh-CN"/>
        </w:rPr>
        <w:t>安装</w:t>
      </w:r>
      <w:r>
        <w:rPr>
          <w:rFonts w:hint="eastAsia" w:ascii="宋体" w:hAnsi="宋体" w:eastAsia="宋体" w:cs="宋体"/>
          <w:kern w:val="0"/>
          <w:sz w:val="24"/>
          <w:szCs w:val="24"/>
        </w:rPr>
        <w:t>。</w:t>
      </w:r>
    </w:p>
    <w:p w14:paraId="639469F8">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eastAsia="zh-CN"/>
        </w:rPr>
        <w:t>二</w:t>
      </w:r>
      <w:r>
        <w:rPr>
          <w:rFonts w:hint="eastAsia" w:ascii="宋体" w:hAnsi="宋体" w:eastAsia="宋体" w:cs="宋体"/>
          <w:sz w:val="24"/>
          <w:szCs w:val="24"/>
        </w:rPr>
        <w:t>）实施地点：</w:t>
      </w:r>
      <w:r>
        <w:rPr>
          <w:rFonts w:hint="eastAsia" w:ascii="宋体" w:hAnsi="宋体" w:eastAsia="宋体" w:cs="宋体"/>
          <w:sz w:val="24"/>
        </w:rPr>
        <w:t>采购人指定地点</w:t>
      </w:r>
      <w:r>
        <w:rPr>
          <w:rFonts w:hint="eastAsia" w:ascii="宋体" w:hAnsi="宋体" w:eastAsia="宋体" w:cs="宋体"/>
          <w:sz w:val="24"/>
          <w:szCs w:val="24"/>
        </w:rPr>
        <w:t>。</w:t>
      </w:r>
    </w:p>
    <w:p w14:paraId="7C0B9A13">
      <w:pPr>
        <w:spacing w:line="400" w:lineRule="exact"/>
        <w:ind w:firstLine="480" w:firstLineChars="200"/>
        <w:rPr>
          <w:rFonts w:hint="eastAsia" w:ascii="宋体" w:hAnsi="宋体" w:eastAsia="宋体" w:cs="宋体"/>
          <w:kern w:val="0"/>
          <w:sz w:val="24"/>
          <w:szCs w:val="24"/>
        </w:rPr>
      </w:pPr>
      <w:bookmarkStart w:id="101" w:name="_Toc18093"/>
      <w:bookmarkStart w:id="102" w:name="_Toc7515"/>
      <w:bookmarkStart w:id="103" w:name="_Toc21470"/>
      <w:bookmarkStart w:id="104" w:name="_Toc31920"/>
      <w:bookmarkStart w:id="105" w:name="_Toc10376"/>
      <w:r>
        <w:rPr>
          <w:rFonts w:hint="eastAsia" w:ascii="宋体" w:hAnsi="宋体" w:eastAsia="宋体" w:cs="宋体"/>
          <w:kern w:val="0"/>
          <w:sz w:val="24"/>
          <w:szCs w:val="24"/>
        </w:rPr>
        <w:t>（三）验收方式</w:t>
      </w:r>
    </w:p>
    <w:p w14:paraId="49EBF5AC">
      <w:p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1、货物到达现场后，供应商应在使用单位人员在场情况下当面开箱，共同清点、检查外观，作出开箱记录，双方签字确认。</w:t>
      </w:r>
    </w:p>
    <w:p w14:paraId="7FDCDEA4">
      <w:pPr>
        <w:spacing w:line="400" w:lineRule="exact"/>
        <w:ind w:firstLine="480" w:firstLineChars="200"/>
        <w:rPr>
          <w:rFonts w:hint="eastAsia" w:ascii="宋体" w:hAnsi="宋体" w:eastAsia="宋体" w:cs="宋体"/>
          <w:sz w:val="24"/>
          <w:szCs w:val="24"/>
        </w:rPr>
      </w:pPr>
      <w:r>
        <w:rPr>
          <w:rFonts w:hint="eastAsia" w:ascii="宋体" w:hAnsi="宋体" w:eastAsia="宋体" w:cs="宋体"/>
          <w:kern w:val="0"/>
          <w:sz w:val="24"/>
          <w:szCs w:val="24"/>
        </w:rPr>
        <w:t>2、供应商应保证货物到达用户所在地</w:t>
      </w:r>
      <w:r>
        <w:rPr>
          <w:rFonts w:hint="eastAsia" w:ascii="宋体" w:hAnsi="宋体" w:eastAsia="宋体" w:cs="宋体"/>
          <w:sz w:val="24"/>
          <w:szCs w:val="24"/>
        </w:rPr>
        <w:t>完好无损，如有缺漏、损坏，由供应商负责调换、补齐或赔偿。</w:t>
      </w:r>
    </w:p>
    <w:p w14:paraId="062C930B">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3、供应商应提供完备的技术资料、装箱单和合格证及技术文件要求提供的证明材料等，并派遣专业技术人员进行现场安装调试。</w:t>
      </w:r>
    </w:p>
    <w:p w14:paraId="7D509B8F">
      <w:pPr>
        <w:spacing w:line="360" w:lineRule="auto"/>
        <w:ind w:firstLine="480" w:firstLineChars="200"/>
        <w:rPr>
          <w:rFonts w:hint="eastAsia" w:ascii="宋体" w:hAnsi="宋体" w:eastAsia="宋体" w:cs="宋体"/>
          <w:sz w:val="24"/>
          <w:szCs w:val="24"/>
        </w:rPr>
      </w:pPr>
      <w:r>
        <w:rPr>
          <w:rFonts w:ascii="宋体" w:hAnsi="宋体" w:eastAsia="宋体" w:cs="宋体"/>
          <w:sz w:val="24"/>
          <w:szCs w:val="24"/>
        </w:rPr>
        <w:t>4</w:t>
      </w:r>
      <w:r>
        <w:rPr>
          <w:rFonts w:hint="eastAsia" w:ascii="宋体" w:hAnsi="宋体" w:eastAsia="宋体" w:cs="宋体"/>
          <w:sz w:val="24"/>
          <w:szCs w:val="24"/>
        </w:rPr>
        <w:t>、供应商提供的货物未达到招标文件规定要求，且对采购人造成损失的，由供应商承担一切责任，并赔偿所造成的损失。</w:t>
      </w:r>
    </w:p>
    <w:p w14:paraId="2B02017D">
      <w:p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5、采购人需要厂家对成交供应商交付的产品（包括质量、技术参数等）进行确认的，厂家应予以配合，并出具书面意见。</w:t>
      </w:r>
    </w:p>
    <w:p w14:paraId="76E2C793">
      <w:p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 xml:space="preserve">6、产品包装材料归采购人所有。 </w:t>
      </w:r>
    </w:p>
    <w:p w14:paraId="3D8DD8B1">
      <w:pPr>
        <w:spacing w:line="360" w:lineRule="auto"/>
        <w:ind w:firstLine="482" w:firstLineChars="200"/>
        <w:outlineLvl w:val="1"/>
        <w:rPr>
          <w:rFonts w:hint="eastAsia" w:ascii="宋体" w:hAnsi="宋体" w:eastAsia="宋体" w:cs="宋体"/>
          <w:b/>
          <w:sz w:val="24"/>
          <w:szCs w:val="24"/>
        </w:rPr>
      </w:pPr>
      <w:bookmarkStart w:id="106" w:name="_Toc13541"/>
      <w:bookmarkStart w:id="107" w:name="_Toc31348"/>
      <w:r>
        <w:rPr>
          <w:rFonts w:hint="eastAsia" w:ascii="宋体" w:hAnsi="宋体" w:eastAsia="宋体" w:cs="宋体"/>
          <w:b/>
          <w:sz w:val="24"/>
          <w:szCs w:val="24"/>
        </w:rPr>
        <w:t>二、报价要求</w:t>
      </w:r>
      <w:bookmarkEnd w:id="106"/>
      <w:bookmarkEnd w:id="107"/>
    </w:p>
    <w:p w14:paraId="5CB45D93">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本次报价须为人民币报价，包含完成采购项目所需的货物（制造）购买费、包装费、运输费、人工服务费、装卸费、</w:t>
      </w:r>
      <w:r>
        <w:rPr>
          <w:rFonts w:hint="eastAsia" w:ascii="宋体" w:hAnsi="宋体" w:eastAsia="宋体" w:cs="宋体"/>
          <w:sz w:val="24"/>
          <w:szCs w:val="24"/>
          <w:lang w:eastAsia="zh-CN"/>
        </w:rPr>
        <w:t>措施费、安装费、保费费、</w:t>
      </w:r>
      <w:r>
        <w:rPr>
          <w:rFonts w:hint="eastAsia" w:ascii="宋体" w:hAnsi="宋体" w:eastAsia="宋体" w:cs="宋体"/>
          <w:sz w:val="24"/>
          <w:szCs w:val="24"/>
        </w:rPr>
        <w:t>税费等验收合格之前应发生的一切与本项目相关的所有费用，以及免费质保期内可能发生的服务费用等货到采购人指定地点的所有费用（供应商如有漏项，则被认为此项费用已包括在总报价中）。</w:t>
      </w:r>
    </w:p>
    <w:p w14:paraId="222209B7">
      <w:pPr>
        <w:spacing w:line="360" w:lineRule="auto"/>
        <w:ind w:firstLine="482" w:firstLineChars="200"/>
        <w:outlineLvl w:val="1"/>
        <w:rPr>
          <w:rFonts w:hint="eastAsia" w:ascii="宋体" w:hAnsi="宋体" w:eastAsia="宋体" w:cs="宋体"/>
          <w:b/>
          <w:sz w:val="24"/>
          <w:szCs w:val="24"/>
        </w:rPr>
      </w:pPr>
      <w:bookmarkStart w:id="108" w:name="_Toc20450"/>
      <w:bookmarkStart w:id="109" w:name="_Toc16499"/>
      <w:r>
        <w:rPr>
          <w:rFonts w:hint="eastAsia" w:ascii="宋体" w:hAnsi="宋体" w:eastAsia="宋体" w:cs="宋体"/>
          <w:b/>
          <w:sz w:val="24"/>
          <w:szCs w:val="24"/>
        </w:rPr>
        <w:t>三、质量保证及售后服务</w:t>
      </w:r>
      <w:bookmarkEnd w:id="108"/>
      <w:bookmarkEnd w:id="109"/>
    </w:p>
    <w:p w14:paraId="6FC32F6D">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（一）产品质量保证期</w:t>
      </w:r>
    </w:p>
    <w:p w14:paraId="466D9D47">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1、自验收之日起，提供不低于</w:t>
      </w:r>
      <w:r>
        <w:rPr>
          <w:rFonts w:ascii="宋体" w:hAnsi="宋体" w:eastAsia="宋体" w:cs="宋体"/>
          <w:sz w:val="24"/>
          <w:szCs w:val="24"/>
        </w:rPr>
        <w:t>1</w:t>
      </w:r>
      <w:r>
        <w:rPr>
          <w:rFonts w:hint="eastAsia" w:ascii="宋体" w:hAnsi="宋体" w:eastAsia="宋体" w:cs="宋体"/>
          <w:sz w:val="24"/>
          <w:szCs w:val="24"/>
        </w:rPr>
        <w:t>年的免费质保期。质保期从验收合格之日开始计算。质保期内出现产品质量问题，采购人有权提出退货、更换、索赔，中标单位无条件负责维修、更换、赔偿。</w:t>
      </w:r>
    </w:p>
    <w:p w14:paraId="5EE4823D">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2、投标产品属于国家规定“三包”范围的，其产品质量保证期不得低于“三包”规定。</w:t>
      </w:r>
    </w:p>
    <w:p w14:paraId="5E4C57C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3、投标产品的质量保证期承诺优于国家“三包”规定的，按供应商实际承诺执行。</w:t>
      </w:r>
    </w:p>
    <w:p w14:paraId="0BD8BD8D">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4、投标产品由制造商（指产品生产制造商，或其负责售后服务机构，以下同）负责标准售后服务的，应当在投标文件中予以明确说明,并附制造商售后服务承诺。</w:t>
      </w:r>
    </w:p>
    <w:p w14:paraId="733C9960">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 xml:space="preserve"> （二）售后服务内容</w:t>
      </w:r>
    </w:p>
    <w:p w14:paraId="5241680C">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投标制造商在质量保证期内应当为采购人提供以下技术支持和服务：</w:t>
      </w:r>
    </w:p>
    <w:p w14:paraId="05A27680">
      <w:pPr>
        <w:spacing w:line="360" w:lineRule="auto"/>
        <w:ind w:firstLine="480" w:firstLineChars="200"/>
        <w:rPr>
          <w:rFonts w:hint="eastAsia"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、电话咨询：</w:t>
      </w:r>
    </w:p>
    <w:p w14:paraId="08F938F8">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投标人应当为采购人提供技术援助电话，解答采购人在使用中遇到的问题，及时为采购人提出解决问题的建议。</w:t>
      </w:r>
    </w:p>
    <w:p w14:paraId="08567D8A">
      <w:pPr>
        <w:spacing w:line="360" w:lineRule="auto"/>
        <w:ind w:firstLine="480" w:firstLineChars="200"/>
        <w:rPr>
          <w:rFonts w:hint="eastAsia"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、现场响应：</w:t>
      </w:r>
    </w:p>
    <w:p w14:paraId="61FE9084">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采购人遇到使用及技术问题，电话咨询不能解决的，中标人应在4小内到达现场进行处理，确保产品</w:t>
      </w:r>
      <w:r>
        <w:rPr>
          <w:rFonts w:hint="eastAsia" w:ascii="宋体" w:hAnsi="宋体" w:eastAsia="宋体" w:cs="宋体"/>
          <w:sz w:val="24"/>
          <w:szCs w:val="24"/>
          <w:lang w:val="en-US" w:eastAsia="zh-CN"/>
        </w:rPr>
        <w:t>质量</w:t>
      </w:r>
      <w:r>
        <w:rPr>
          <w:rFonts w:hint="eastAsia" w:ascii="宋体" w:hAnsi="宋体" w:eastAsia="宋体" w:cs="宋体"/>
          <w:sz w:val="24"/>
          <w:szCs w:val="24"/>
        </w:rPr>
        <w:t>；无法在4小时内解决的，应在</w:t>
      </w:r>
      <w:r>
        <w:rPr>
          <w:rFonts w:hint="eastAsia" w:ascii="宋体" w:hAnsi="宋体" w:eastAsia="宋体" w:cs="宋体"/>
          <w:sz w:val="24"/>
          <w:szCs w:val="24"/>
          <w:lang w:val="en-US" w:eastAsia="zh-CN"/>
        </w:rPr>
        <w:t>8</w:t>
      </w:r>
      <w:r>
        <w:rPr>
          <w:rFonts w:hint="eastAsia" w:ascii="宋体" w:hAnsi="宋体" w:eastAsia="宋体" w:cs="宋体"/>
          <w:sz w:val="24"/>
          <w:szCs w:val="24"/>
        </w:rPr>
        <w:t>小时内提供备用产品，使采购人能够正常使用。</w:t>
      </w:r>
    </w:p>
    <w:p w14:paraId="0328C1A2">
      <w:pPr>
        <w:spacing w:line="360" w:lineRule="auto"/>
        <w:ind w:firstLine="480" w:firstLineChars="200"/>
        <w:rPr>
          <w:rFonts w:hint="eastAsia" w:ascii="宋体" w:hAnsi="宋体" w:eastAsia="宋体" w:cs="宋体"/>
          <w:sz w:val="24"/>
          <w:szCs w:val="24"/>
        </w:rPr>
      </w:pPr>
      <w:r>
        <w:rPr>
          <w:rFonts w:ascii="宋体" w:hAnsi="宋体" w:eastAsia="宋体" w:cs="宋体"/>
          <w:sz w:val="24"/>
          <w:szCs w:val="24"/>
        </w:rPr>
        <w:t>3</w:t>
      </w:r>
      <w:r>
        <w:rPr>
          <w:rFonts w:hint="eastAsia" w:ascii="宋体" w:hAnsi="宋体" w:eastAsia="宋体" w:cs="宋体"/>
          <w:sz w:val="24"/>
          <w:szCs w:val="24"/>
        </w:rPr>
        <w:t>、质保期外服务要求</w:t>
      </w:r>
    </w:p>
    <w:p w14:paraId="27C0062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（1）质量保证期过后，供应商应同样提供免费电话咨询服务，并应承诺提供产品上门维护服务。</w:t>
      </w:r>
    </w:p>
    <w:p w14:paraId="0301C87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（2）质量保证期过后，采购人需要继续由原供应商提供售后服务的，该供应商应以优惠价格提供售后服务。</w:t>
      </w:r>
    </w:p>
    <w:p w14:paraId="3B3FF506">
      <w:pPr>
        <w:spacing w:line="360" w:lineRule="auto"/>
        <w:ind w:firstLine="482" w:firstLineChars="200"/>
        <w:outlineLvl w:val="1"/>
        <w:rPr>
          <w:rFonts w:hint="eastAsia" w:ascii="宋体" w:hAnsi="宋体" w:eastAsia="宋体" w:cs="宋体"/>
          <w:b/>
          <w:sz w:val="24"/>
          <w:szCs w:val="24"/>
        </w:rPr>
      </w:pPr>
      <w:bookmarkStart w:id="110" w:name="_Toc4704"/>
      <w:bookmarkStart w:id="111" w:name="_Toc28919"/>
      <w:r>
        <w:rPr>
          <w:rFonts w:hint="eastAsia" w:ascii="宋体" w:hAnsi="宋体" w:eastAsia="宋体" w:cs="宋体"/>
          <w:b/>
          <w:sz w:val="24"/>
          <w:szCs w:val="24"/>
        </w:rPr>
        <w:t>四、付款方式</w:t>
      </w:r>
      <w:bookmarkEnd w:id="110"/>
      <w:bookmarkEnd w:id="111"/>
    </w:p>
    <w:p w14:paraId="6C5575DE">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1、付款方式：转账支付。</w:t>
      </w:r>
    </w:p>
    <w:p w14:paraId="6DDEE72D">
      <w:pPr>
        <w:spacing w:line="360" w:lineRule="auto"/>
        <w:ind w:firstLine="480" w:firstLineChars="200"/>
        <w:rPr>
          <w:rFonts w:hint="eastAsia" w:ascii="宋体" w:hAnsi="宋体" w:eastAsia="宋体" w:cs="宋体"/>
          <w:sz w:val="24"/>
          <w:szCs w:val="24"/>
        </w:rPr>
      </w:pPr>
      <w:bookmarkStart w:id="112" w:name="_Toc30552"/>
      <w:r>
        <w:rPr>
          <w:rFonts w:hint="eastAsia" w:ascii="宋体" w:hAnsi="宋体" w:eastAsia="宋体" w:cs="宋体"/>
          <w:sz w:val="24"/>
          <w:szCs w:val="24"/>
        </w:rPr>
        <w:t>2、支付方式：验收</w:t>
      </w:r>
      <w:r>
        <w:rPr>
          <w:rFonts w:hint="eastAsia" w:ascii="宋体" w:hAnsi="宋体" w:eastAsia="宋体" w:cs="宋体"/>
          <w:sz w:val="24"/>
          <w:szCs w:val="24"/>
          <w:lang w:eastAsia="zh-CN"/>
        </w:rPr>
        <w:t>合格</w:t>
      </w:r>
      <w:r>
        <w:rPr>
          <w:rFonts w:hint="eastAsia" w:ascii="宋体" w:hAnsi="宋体" w:eastAsia="宋体" w:cs="宋体"/>
          <w:sz w:val="24"/>
          <w:szCs w:val="24"/>
        </w:rPr>
        <w:t>后，成交供应商向采购单位开具发票，采购单位30日内将合同金额的</w:t>
      </w:r>
      <w:r>
        <w:rPr>
          <w:rFonts w:hint="eastAsia" w:ascii="宋体" w:hAnsi="宋体" w:eastAsia="宋体" w:cs="宋体"/>
          <w:sz w:val="24"/>
          <w:szCs w:val="24"/>
          <w:lang w:val="en-US" w:eastAsia="zh-CN"/>
        </w:rPr>
        <w:t>10</w:t>
      </w:r>
      <w:r>
        <w:rPr>
          <w:rFonts w:hint="eastAsia" w:ascii="宋体" w:hAnsi="宋体" w:eastAsia="宋体" w:cs="宋体"/>
          <w:sz w:val="24"/>
          <w:szCs w:val="24"/>
        </w:rPr>
        <w:t>0%支付至成交供应商银行帐户</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具体付款时间以财政局批复时间为准</w:t>
      </w:r>
      <w:r>
        <w:rPr>
          <w:rFonts w:hint="eastAsia" w:ascii="宋体" w:hAnsi="宋体" w:eastAsia="宋体" w:cs="宋体"/>
          <w:sz w:val="24"/>
          <w:szCs w:val="24"/>
        </w:rPr>
        <w:t xml:space="preserve">。 </w:t>
      </w:r>
    </w:p>
    <w:p w14:paraId="6FF10A5A">
      <w:pPr>
        <w:spacing w:line="360" w:lineRule="auto"/>
        <w:ind w:firstLine="482" w:firstLineChars="200"/>
        <w:outlineLvl w:val="1"/>
        <w:rPr>
          <w:rFonts w:hint="eastAsia" w:ascii="宋体" w:hAnsi="宋体" w:eastAsia="宋体" w:cs="宋体"/>
          <w:b/>
          <w:sz w:val="24"/>
          <w:szCs w:val="24"/>
        </w:rPr>
      </w:pPr>
      <w:bookmarkStart w:id="113" w:name="_Toc9027"/>
      <w:r>
        <w:rPr>
          <w:rFonts w:hint="eastAsia" w:ascii="宋体" w:hAnsi="宋体" w:eastAsia="宋体" w:cs="宋体"/>
          <w:b/>
          <w:sz w:val="24"/>
          <w:szCs w:val="24"/>
        </w:rPr>
        <w:t>五、知识产权</w:t>
      </w:r>
      <w:bookmarkEnd w:id="112"/>
      <w:bookmarkEnd w:id="113"/>
    </w:p>
    <w:p w14:paraId="35BDFC2B">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采购人在中华人民共和国境内使用供应商提供的货物及服务时免受第三方提出的侵犯其专利权或其它知识产权的起诉。如果第三方提出侵权指控，成交供应商应承担由此而引起的一切法律责任和费用。</w:t>
      </w:r>
    </w:p>
    <w:p w14:paraId="1634A4A3">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outlineLvl w:val="2"/>
        <w:rPr>
          <w:rFonts w:ascii="宋体" w:hAnsi="宋体" w:eastAsia="宋体" w:cs="宋体"/>
          <w:b/>
          <w:sz w:val="24"/>
          <w:szCs w:val="24"/>
        </w:rPr>
      </w:pPr>
      <w:r>
        <w:rPr>
          <w:rFonts w:hint="eastAsia" w:ascii="宋体" w:hAnsi="宋体" w:eastAsia="宋体" w:cs="宋体"/>
          <w:b/>
          <w:sz w:val="24"/>
          <w:szCs w:val="24"/>
        </w:rPr>
        <w:t>六、项目要求</w:t>
      </w:r>
      <w:bookmarkEnd w:id="101"/>
    </w:p>
    <w:p w14:paraId="1774681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2"/>
        <w:rPr>
          <w:rFonts w:hint="eastAsia" w:ascii="宋体" w:hAnsi="宋体" w:eastAsia="宋体" w:cs="宋体"/>
          <w:sz w:val="24"/>
          <w:szCs w:val="24"/>
        </w:rPr>
      </w:pPr>
      <w:bookmarkStart w:id="114" w:name="_Toc15399"/>
      <w:r>
        <w:rPr>
          <w:rFonts w:hint="eastAsia" w:ascii="宋体" w:hAnsi="宋体" w:eastAsia="宋体" w:cs="宋体"/>
          <w:sz w:val="24"/>
          <w:szCs w:val="24"/>
        </w:rPr>
        <w:t>成交候选人或成交供应商放弃成交项目，无正当理由不与采购人签订合同，在签订合同时向采购人提出附加条件或者更改合同实质性内容，取消其成交资格，给采购人造成的损失由成交候选人或成交供应商应予以赔偿。</w:t>
      </w:r>
    </w:p>
    <w:p w14:paraId="39604836">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outlineLvl w:val="2"/>
        <w:rPr>
          <w:rFonts w:ascii="宋体" w:hAnsi="宋体" w:eastAsia="宋体" w:cs="宋体"/>
          <w:b/>
          <w:sz w:val="24"/>
          <w:szCs w:val="24"/>
        </w:rPr>
      </w:pPr>
      <w:r>
        <w:rPr>
          <w:rFonts w:hint="eastAsia" w:ascii="宋体" w:hAnsi="宋体" w:eastAsia="宋体" w:cs="宋体"/>
          <w:b/>
          <w:sz w:val="24"/>
          <w:szCs w:val="24"/>
        </w:rPr>
        <w:t>七、其他</w:t>
      </w:r>
      <w:bookmarkEnd w:id="102"/>
      <w:bookmarkEnd w:id="103"/>
      <w:bookmarkEnd w:id="104"/>
      <w:bookmarkEnd w:id="105"/>
      <w:bookmarkEnd w:id="114"/>
    </w:p>
    <w:p w14:paraId="60E5D9A7">
      <w:pPr>
        <w:spacing w:line="400" w:lineRule="exact"/>
        <w:ind w:firstLine="480" w:firstLineChars="200"/>
        <w:rPr>
          <w:rFonts w:ascii="宋体" w:hAnsi="宋体" w:eastAsia="宋体" w:cs="宋体"/>
          <w:bCs/>
          <w:sz w:val="24"/>
          <w:szCs w:val="24"/>
        </w:rPr>
      </w:pPr>
      <w:r>
        <w:rPr>
          <w:rFonts w:hint="eastAsia" w:ascii="宋体" w:hAnsi="宋体" w:eastAsia="宋体" w:cs="宋体"/>
          <w:bCs/>
          <w:sz w:val="24"/>
          <w:szCs w:val="24"/>
        </w:rPr>
        <w:t>（一）供应商必须在响应文件中对以上条款和服务承诺明确列出，承诺内容必须达到本篇及竞争性谈判其他条款的要求。</w:t>
      </w:r>
    </w:p>
    <w:p w14:paraId="7BCA71A3">
      <w:pPr>
        <w:spacing w:line="400" w:lineRule="exact"/>
        <w:ind w:firstLine="480" w:firstLineChars="200"/>
        <w:rPr>
          <w:rFonts w:hint="eastAsia" w:ascii="宋体" w:hAnsi="宋体" w:eastAsia="宋体" w:cs="宋体"/>
          <w:bCs/>
          <w:sz w:val="24"/>
          <w:szCs w:val="24"/>
        </w:rPr>
      </w:pPr>
      <w:r>
        <w:rPr>
          <w:rFonts w:hint="eastAsia" w:ascii="宋体" w:hAnsi="宋体" w:eastAsia="宋体" w:cs="宋体"/>
          <w:bCs/>
          <w:sz w:val="24"/>
          <w:szCs w:val="24"/>
        </w:rPr>
        <w:t>（二）其他未尽事宜由供需双方在采购合同中详细约定。</w:t>
      </w:r>
    </w:p>
    <w:p w14:paraId="63E5E61A">
      <w:pPr>
        <w:widowControl/>
        <w:jc w:val="left"/>
        <w:rPr>
          <w:rStyle w:val="71"/>
          <w:rFonts w:ascii="宋体" w:hAnsi="宋体" w:eastAsia="宋体" w:cs="宋体"/>
          <w:sz w:val="36"/>
          <w:szCs w:val="36"/>
        </w:rPr>
      </w:pPr>
      <w:bookmarkStart w:id="115" w:name="_Toc27258"/>
      <w:bookmarkStart w:id="116" w:name="_Toc23108"/>
      <w:bookmarkStart w:id="117" w:name="_Toc8203"/>
      <w:bookmarkStart w:id="118" w:name="_Toc2776"/>
    </w:p>
    <w:p w14:paraId="7588F085">
      <w:pPr>
        <w:widowControl/>
        <w:jc w:val="left"/>
        <w:rPr>
          <w:rStyle w:val="71"/>
          <w:rFonts w:ascii="宋体" w:hAnsi="宋体" w:eastAsia="宋体" w:cs="宋体"/>
          <w:sz w:val="36"/>
          <w:szCs w:val="36"/>
        </w:rPr>
      </w:pPr>
    </w:p>
    <w:p w14:paraId="1B2A225B">
      <w:pPr>
        <w:rPr>
          <w:rStyle w:val="71"/>
          <w:rFonts w:ascii="宋体" w:hAnsi="宋体" w:eastAsia="宋体" w:cs="宋体"/>
          <w:sz w:val="36"/>
          <w:szCs w:val="36"/>
        </w:rPr>
      </w:pPr>
      <w:r>
        <w:rPr>
          <w:rStyle w:val="71"/>
          <w:rFonts w:ascii="宋体" w:hAnsi="宋体" w:eastAsia="宋体" w:cs="宋体"/>
          <w:sz w:val="36"/>
          <w:szCs w:val="36"/>
        </w:rPr>
        <w:br w:type="page"/>
      </w:r>
    </w:p>
    <w:p w14:paraId="4209F3DC">
      <w:pPr>
        <w:pStyle w:val="4"/>
        <w:snapToGrid w:val="0"/>
        <w:spacing w:before="0" w:after="0" w:line="360" w:lineRule="auto"/>
        <w:rPr>
          <w:rFonts w:hAnsi="宋体" w:eastAsia="宋体" w:cs="宋体"/>
          <w:b w:val="0"/>
          <w:sz w:val="36"/>
          <w:szCs w:val="30"/>
        </w:rPr>
      </w:pPr>
      <w:bookmarkStart w:id="119" w:name="_Toc24195"/>
      <w:bookmarkStart w:id="120" w:name="_Toc106034640"/>
      <w:bookmarkStart w:id="121" w:name="_Toc5272"/>
      <w:bookmarkStart w:id="122" w:name="_Toc141882141"/>
      <w:bookmarkStart w:id="123" w:name="_Toc142059992"/>
      <w:bookmarkStart w:id="124" w:name="_Toc9716"/>
      <w:bookmarkStart w:id="125" w:name="_Toc65660349"/>
      <w:bookmarkStart w:id="126" w:name="_Toc17149"/>
      <w:bookmarkStart w:id="127" w:name="_Toc16123"/>
      <w:r>
        <w:rPr>
          <w:rFonts w:hint="eastAsia" w:ascii="宋体" w:hAnsi="宋体" w:eastAsia="宋体" w:cs="宋体"/>
          <w:bCs/>
          <w:sz w:val="36"/>
          <w:szCs w:val="30"/>
        </w:rPr>
        <w:t>第四篇  采购程序、评定成交的标准、无效谈判及采购终止</w:t>
      </w:r>
      <w:bookmarkEnd w:id="119"/>
      <w:bookmarkEnd w:id="120"/>
      <w:bookmarkEnd w:id="121"/>
      <w:bookmarkEnd w:id="122"/>
      <w:bookmarkEnd w:id="123"/>
      <w:bookmarkEnd w:id="124"/>
      <w:bookmarkEnd w:id="125"/>
      <w:bookmarkEnd w:id="126"/>
      <w:bookmarkEnd w:id="127"/>
    </w:p>
    <w:p w14:paraId="6478CB9B">
      <w:pPr>
        <w:pStyle w:val="4"/>
        <w:adjustRightInd w:val="0"/>
        <w:snapToGrid w:val="0"/>
        <w:spacing w:before="0" w:after="0" w:line="400" w:lineRule="exact"/>
        <w:ind w:firstLine="482" w:firstLineChars="200"/>
        <w:rPr>
          <w:rFonts w:ascii="宋体" w:hAnsi="宋体" w:eastAsia="宋体" w:cs="宋体"/>
          <w:sz w:val="24"/>
        </w:rPr>
      </w:pPr>
      <w:bookmarkStart w:id="128" w:name="_Toc141882142"/>
      <w:bookmarkStart w:id="129" w:name="_Toc5167"/>
      <w:bookmarkStart w:id="130" w:name="_Toc106034641"/>
      <w:bookmarkStart w:id="131" w:name="_Toc14421"/>
      <w:bookmarkStart w:id="132" w:name="_Toc142059993"/>
      <w:bookmarkStart w:id="133" w:name="_Toc1098"/>
      <w:bookmarkStart w:id="134" w:name="_Toc65660350"/>
      <w:bookmarkStart w:id="135" w:name="_Toc17955"/>
      <w:bookmarkStart w:id="136" w:name="_Toc64732012"/>
      <w:bookmarkStart w:id="137" w:name="_Toc9361"/>
      <w:r>
        <w:rPr>
          <w:rFonts w:hint="eastAsia" w:ascii="宋体" w:hAnsi="宋体" w:eastAsia="宋体" w:cs="宋体"/>
          <w:sz w:val="24"/>
        </w:rPr>
        <w:t>一、采购程序</w:t>
      </w:r>
      <w:bookmarkEnd w:id="128"/>
      <w:bookmarkEnd w:id="129"/>
      <w:bookmarkEnd w:id="130"/>
      <w:bookmarkEnd w:id="131"/>
      <w:bookmarkEnd w:id="132"/>
      <w:bookmarkEnd w:id="133"/>
      <w:bookmarkEnd w:id="134"/>
      <w:bookmarkEnd w:id="135"/>
      <w:bookmarkEnd w:id="136"/>
      <w:bookmarkEnd w:id="137"/>
    </w:p>
    <w:p w14:paraId="214C4071">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（一）谈判按竞争性谈判文件规定的时间和地点进行。供应商须有法定代表人（或其授权代表）或自然人参加并签到。</w:t>
      </w:r>
    </w:p>
    <w:p w14:paraId="38DBA95E">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 xml:space="preserve">（二）竞争性谈判以抽签的形式确定谈判顺序，由本项目谈判小组分别与各供应商进行谈判。在谈判前，对各供应商的资格条件、实质性响应等进行审查。 </w:t>
      </w:r>
    </w:p>
    <w:p w14:paraId="0C2A1D5D">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sz w:val="24"/>
          <w:szCs w:val="24"/>
        </w:rPr>
        <w:t>1.资格性审查。依据法律法规和竞争性谈判文件的规定，对响应文件中的资格证明材料、保证金等进行审查。资格性审查内容如下：</w:t>
      </w:r>
    </w:p>
    <w:tbl>
      <w:tblPr>
        <w:tblStyle w:val="59"/>
        <w:tblW w:w="9628"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021"/>
        <w:gridCol w:w="2693"/>
        <w:gridCol w:w="5097"/>
      </w:tblGrid>
      <w:tr w14:paraId="3001D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noWrap w:val="0"/>
            <w:vAlign w:val="center"/>
          </w:tcPr>
          <w:p w14:paraId="3F0F0FC6">
            <w:pPr>
              <w:jc w:val="center"/>
              <w:rPr>
                <w:rFonts w:ascii="宋体" w:hAnsi="宋体" w:eastAsia="宋体" w:cs="宋体"/>
                <w:b/>
                <w:kern w:val="0"/>
                <w:sz w:val="21"/>
                <w:szCs w:val="21"/>
              </w:rPr>
            </w:pPr>
            <w:r>
              <w:rPr>
                <w:rFonts w:hint="eastAsia" w:ascii="宋体" w:hAnsi="宋体" w:eastAsia="宋体" w:cs="宋体"/>
                <w:b/>
                <w:kern w:val="0"/>
                <w:sz w:val="21"/>
                <w:szCs w:val="21"/>
              </w:rPr>
              <w:t>序号</w:t>
            </w:r>
          </w:p>
        </w:tc>
        <w:tc>
          <w:tcPr>
            <w:tcW w:w="3714" w:type="dxa"/>
            <w:gridSpan w:val="2"/>
            <w:tcBorders>
              <w:top w:val="single" w:color="auto" w:sz="4" w:space="0"/>
              <w:left w:val="single" w:color="auto" w:sz="4" w:space="0"/>
              <w:bottom w:val="single" w:color="auto" w:sz="4" w:space="0"/>
              <w:right w:val="single" w:color="auto" w:sz="4" w:space="0"/>
            </w:tcBorders>
            <w:noWrap w:val="0"/>
            <w:vAlign w:val="center"/>
          </w:tcPr>
          <w:p w14:paraId="59F8A864">
            <w:pPr>
              <w:jc w:val="center"/>
              <w:rPr>
                <w:rFonts w:ascii="宋体" w:hAnsi="宋体" w:eastAsia="宋体" w:cs="宋体"/>
                <w:b/>
                <w:kern w:val="0"/>
                <w:sz w:val="21"/>
                <w:szCs w:val="21"/>
              </w:rPr>
            </w:pPr>
            <w:r>
              <w:rPr>
                <w:rFonts w:hint="eastAsia" w:ascii="宋体" w:hAnsi="宋体" w:eastAsia="宋体" w:cs="宋体"/>
                <w:b/>
                <w:kern w:val="0"/>
                <w:sz w:val="21"/>
                <w:szCs w:val="21"/>
              </w:rPr>
              <w:t>检查因素</w:t>
            </w:r>
          </w:p>
        </w:tc>
        <w:tc>
          <w:tcPr>
            <w:tcW w:w="5097" w:type="dxa"/>
            <w:tcBorders>
              <w:top w:val="single" w:color="auto" w:sz="4" w:space="0"/>
              <w:left w:val="single" w:color="auto" w:sz="4" w:space="0"/>
              <w:bottom w:val="single" w:color="auto" w:sz="4" w:space="0"/>
              <w:right w:val="single" w:color="auto" w:sz="4" w:space="0"/>
            </w:tcBorders>
            <w:noWrap w:val="0"/>
            <w:vAlign w:val="center"/>
          </w:tcPr>
          <w:p w14:paraId="4453D739">
            <w:pPr>
              <w:jc w:val="center"/>
              <w:rPr>
                <w:rFonts w:ascii="宋体" w:hAnsi="宋体" w:eastAsia="宋体" w:cs="宋体"/>
                <w:b/>
                <w:kern w:val="0"/>
                <w:sz w:val="21"/>
                <w:szCs w:val="21"/>
              </w:rPr>
            </w:pPr>
            <w:r>
              <w:rPr>
                <w:rFonts w:hint="eastAsia" w:ascii="宋体" w:hAnsi="宋体" w:eastAsia="宋体" w:cs="宋体"/>
                <w:b/>
                <w:kern w:val="0"/>
                <w:sz w:val="21"/>
                <w:szCs w:val="21"/>
              </w:rPr>
              <w:t>检查内容</w:t>
            </w:r>
          </w:p>
        </w:tc>
      </w:tr>
      <w:tr w14:paraId="251BC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noWrap w:val="0"/>
            <w:vAlign w:val="center"/>
          </w:tcPr>
          <w:p w14:paraId="5CFAD70B">
            <w:pPr>
              <w:rPr>
                <w:rFonts w:ascii="宋体" w:hAnsi="宋体" w:eastAsia="宋体" w:cs="宋体"/>
                <w:sz w:val="24"/>
                <w:szCs w:val="24"/>
              </w:rPr>
            </w:pPr>
            <w:r>
              <w:rPr>
                <w:rFonts w:hint="eastAsia" w:ascii="宋体" w:hAnsi="宋体" w:eastAsia="宋体" w:cs="宋体"/>
                <w:sz w:val="24"/>
                <w:szCs w:val="24"/>
              </w:rPr>
              <w:t>（一）</w:t>
            </w:r>
          </w:p>
        </w:tc>
        <w:tc>
          <w:tcPr>
            <w:tcW w:w="1021" w:type="dxa"/>
            <w:vMerge w:val="restart"/>
            <w:noWrap w:val="0"/>
            <w:vAlign w:val="center"/>
          </w:tcPr>
          <w:p w14:paraId="43A40CB2">
            <w:pPr>
              <w:rPr>
                <w:rFonts w:ascii="宋体" w:hAnsi="宋体" w:eastAsia="宋体" w:cs="宋体"/>
                <w:sz w:val="24"/>
                <w:szCs w:val="24"/>
              </w:rPr>
            </w:pPr>
            <w:r>
              <w:rPr>
                <w:rFonts w:hint="eastAsia" w:ascii="宋体" w:hAnsi="宋体" w:eastAsia="宋体" w:cs="宋体"/>
                <w:sz w:val="24"/>
                <w:szCs w:val="24"/>
              </w:rPr>
              <w:t>《中华人民共和国政府采购法》第二十二条规定</w:t>
            </w:r>
          </w:p>
        </w:tc>
        <w:tc>
          <w:tcPr>
            <w:tcW w:w="2693" w:type="dxa"/>
            <w:noWrap w:val="0"/>
            <w:vAlign w:val="center"/>
          </w:tcPr>
          <w:p w14:paraId="16025035">
            <w:pPr>
              <w:rPr>
                <w:rFonts w:ascii="宋体" w:hAnsi="宋体" w:eastAsia="宋体" w:cs="宋体"/>
                <w:sz w:val="24"/>
                <w:szCs w:val="24"/>
              </w:rPr>
            </w:pPr>
            <w:r>
              <w:rPr>
                <w:rFonts w:hint="eastAsia" w:ascii="宋体" w:hAnsi="宋体" w:eastAsia="宋体" w:cs="宋体"/>
                <w:sz w:val="24"/>
                <w:szCs w:val="24"/>
              </w:rPr>
              <w:t>1.具有独立承担民事责任的能力</w:t>
            </w:r>
          </w:p>
        </w:tc>
        <w:tc>
          <w:tcPr>
            <w:tcW w:w="5097" w:type="dxa"/>
            <w:noWrap w:val="0"/>
            <w:vAlign w:val="center"/>
          </w:tcPr>
          <w:p w14:paraId="43B52317">
            <w:pPr>
              <w:rPr>
                <w:rFonts w:ascii="宋体" w:hAnsi="宋体" w:eastAsia="宋体" w:cs="宋体"/>
                <w:sz w:val="24"/>
                <w:szCs w:val="24"/>
              </w:rPr>
            </w:pPr>
            <w:r>
              <w:rPr>
                <w:rFonts w:hint="eastAsia" w:ascii="宋体" w:hAnsi="宋体" w:eastAsia="宋体" w:cs="宋体"/>
                <w:sz w:val="24"/>
                <w:szCs w:val="24"/>
              </w:rPr>
              <w:t xml:space="preserve">1.供应商法人营业执照（副本）或事业单位法人证书（副本）或个体工商户营业执照或有效的自然人身份证明或社会团体法人登记证书（提供复印件）。 </w:t>
            </w:r>
          </w:p>
          <w:p w14:paraId="62FF86B6">
            <w:pPr>
              <w:rPr>
                <w:rFonts w:ascii="宋体" w:hAnsi="宋体" w:eastAsia="宋体" w:cs="宋体"/>
                <w:sz w:val="24"/>
                <w:szCs w:val="24"/>
              </w:rPr>
            </w:pPr>
            <w:r>
              <w:rPr>
                <w:rFonts w:hint="eastAsia" w:ascii="宋体" w:hAnsi="宋体" w:eastAsia="宋体" w:cs="宋体"/>
                <w:sz w:val="24"/>
                <w:szCs w:val="24"/>
              </w:rPr>
              <w:t>2.供应商法定代表人身份证明和法定代表人授权代表委托书。</w:t>
            </w:r>
          </w:p>
        </w:tc>
      </w:tr>
      <w:tr w14:paraId="5F103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noWrap w:val="0"/>
            <w:vAlign w:val="center"/>
          </w:tcPr>
          <w:p w14:paraId="32E1EEF2">
            <w:pPr>
              <w:jc w:val="center"/>
              <w:rPr>
                <w:rFonts w:ascii="宋体" w:hAnsi="宋体" w:eastAsia="宋体" w:cs="宋体"/>
                <w:sz w:val="24"/>
                <w:szCs w:val="24"/>
              </w:rPr>
            </w:pPr>
          </w:p>
        </w:tc>
        <w:tc>
          <w:tcPr>
            <w:tcW w:w="1021" w:type="dxa"/>
            <w:vMerge w:val="continue"/>
            <w:noWrap w:val="0"/>
            <w:vAlign w:val="center"/>
          </w:tcPr>
          <w:p w14:paraId="76807902">
            <w:pPr>
              <w:rPr>
                <w:rFonts w:ascii="宋体" w:hAnsi="宋体" w:eastAsia="宋体" w:cs="宋体"/>
                <w:sz w:val="24"/>
                <w:szCs w:val="24"/>
              </w:rPr>
            </w:pPr>
          </w:p>
        </w:tc>
        <w:tc>
          <w:tcPr>
            <w:tcW w:w="2693" w:type="dxa"/>
            <w:noWrap w:val="0"/>
            <w:vAlign w:val="center"/>
          </w:tcPr>
          <w:p w14:paraId="79262D71">
            <w:pPr>
              <w:rPr>
                <w:rFonts w:ascii="宋体" w:hAnsi="宋体" w:eastAsia="宋体" w:cs="宋体"/>
                <w:sz w:val="24"/>
                <w:szCs w:val="24"/>
              </w:rPr>
            </w:pPr>
            <w:r>
              <w:rPr>
                <w:rFonts w:hint="eastAsia" w:ascii="宋体" w:hAnsi="宋体" w:eastAsia="宋体" w:cs="宋体"/>
                <w:sz w:val="24"/>
                <w:szCs w:val="24"/>
              </w:rPr>
              <w:t>2.具有良好的商业信誉和健全的财务会计制度</w:t>
            </w:r>
          </w:p>
        </w:tc>
        <w:tc>
          <w:tcPr>
            <w:tcW w:w="5097" w:type="dxa"/>
            <w:vMerge w:val="restart"/>
            <w:noWrap w:val="0"/>
            <w:vAlign w:val="center"/>
          </w:tcPr>
          <w:p w14:paraId="18FFAB3B">
            <w:pPr>
              <w:rPr>
                <w:rFonts w:ascii="宋体" w:hAnsi="宋体" w:eastAsia="宋体" w:cs="宋体"/>
                <w:sz w:val="24"/>
                <w:szCs w:val="24"/>
              </w:rPr>
            </w:pPr>
            <w:r>
              <w:rPr>
                <w:rFonts w:hint="eastAsia" w:ascii="宋体" w:hAnsi="宋体" w:eastAsia="宋体" w:cs="宋体"/>
                <w:sz w:val="24"/>
                <w:szCs w:val="24"/>
              </w:rPr>
              <w:t>供应商提供“基本资格条件承诺函”（格式详见第七篇）</w:t>
            </w:r>
          </w:p>
        </w:tc>
      </w:tr>
      <w:tr w14:paraId="383F6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noWrap w:val="0"/>
            <w:vAlign w:val="center"/>
          </w:tcPr>
          <w:p w14:paraId="3C2BDAF5">
            <w:pPr>
              <w:jc w:val="center"/>
              <w:rPr>
                <w:rFonts w:ascii="宋体" w:hAnsi="宋体" w:eastAsia="宋体" w:cs="宋体"/>
                <w:sz w:val="24"/>
                <w:szCs w:val="24"/>
              </w:rPr>
            </w:pPr>
          </w:p>
        </w:tc>
        <w:tc>
          <w:tcPr>
            <w:tcW w:w="1021" w:type="dxa"/>
            <w:vMerge w:val="continue"/>
            <w:noWrap w:val="0"/>
            <w:vAlign w:val="center"/>
          </w:tcPr>
          <w:p w14:paraId="3385955E">
            <w:pPr>
              <w:rPr>
                <w:rFonts w:ascii="宋体" w:hAnsi="宋体" w:eastAsia="宋体" w:cs="宋体"/>
                <w:sz w:val="24"/>
                <w:szCs w:val="24"/>
              </w:rPr>
            </w:pPr>
          </w:p>
        </w:tc>
        <w:tc>
          <w:tcPr>
            <w:tcW w:w="2693" w:type="dxa"/>
            <w:noWrap w:val="0"/>
            <w:vAlign w:val="center"/>
          </w:tcPr>
          <w:p w14:paraId="32F6AD48">
            <w:pPr>
              <w:rPr>
                <w:rFonts w:ascii="宋体" w:hAnsi="宋体" w:eastAsia="宋体" w:cs="宋体"/>
                <w:sz w:val="24"/>
                <w:szCs w:val="24"/>
              </w:rPr>
            </w:pPr>
            <w:r>
              <w:rPr>
                <w:rFonts w:hint="eastAsia" w:ascii="宋体" w:hAnsi="宋体" w:eastAsia="宋体" w:cs="宋体"/>
                <w:sz w:val="24"/>
                <w:szCs w:val="24"/>
              </w:rPr>
              <w:t>3.具有履行合同所必需的设备和专业技术能力</w:t>
            </w:r>
          </w:p>
        </w:tc>
        <w:tc>
          <w:tcPr>
            <w:tcW w:w="5097" w:type="dxa"/>
            <w:vMerge w:val="continue"/>
            <w:noWrap w:val="0"/>
            <w:vAlign w:val="center"/>
          </w:tcPr>
          <w:p w14:paraId="30B809EC">
            <w:pPr>
              <w:rPr>
                <w:rFonts w:ascii="宋体" w:hAnsi="宋体" w:eastAsia="宋体" w:cs="宋体"/>
                <w:sz w:val="24"/>
                <w:szCs w:val="24"/>
              </w:rPr>
            </w:pPr>
          </w:p>
        </w:tc>
      </w:tr>
      <w:tr w14:paraId="0C30F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noWrap w:val="0"/>
            <w:vAlign w:val="center"/>
          </w:tcPr>
          <w:p w14:paraId="12F123E9">
            <w:pPr>
              <w:jc w:val="center"/>
              <w:rPr>
                <w:rFonts w:ascii="宋体" w:hAnsi="宋体" w:eastAsia="宋体" w:cs="宋体"/>
                <w:sz w:val="24"/>
                <w:szCs w:val="24"/>
              </w:rPr>
            </w:pPr>
          </w:p>
        </w:tc>
        <w:tc>
          <w:tcPr>
            <w:tcW w:w="1021" w:type="dxa"/>
            <w:vMerge w:val="continue"/>
            <w:noWrap w:val="0"/>
            <w:vAlign w:val="center"/>
          </w:tcPr>
          <w:p w14:paraId="744166EE">
            <w:pPr>
              <w:rPr>
                <w:rFonts w:ascii="宋体" w:hAnsi="宋体" w:eastAsia="宋体" w:cs="宋体"/>
                <w:sz w:val="24"/>
                <w:szCs w:val="24"/>
              </w:rPr>
            </w:pPr>
          </w:p>
        </w:tc>
        <w:tc>
          <w:tcPr>
            <w:tcW w:w="2693" w:type="dxa"/>
            <w:noWrap w:val="0"/>
            <w:vAlign w:val="center"/>
          </w:tcPr>
          <w:p w14:paraId="7BE2EF7A">
            <w:pPr>
              <w:rPr>
                <w:rFonts w:ascii="宋体" w:hAnsi="宋体" w:eastAsia="宋体" w:cs="宋体"/>
                <w:sz w:val="24"/>
                <w:szCs w:val="24"/>
              </w:rPr>
            </w:pPr>
            <w:r>
              <w:rPr>
                <w:rFonts w:hint="eastAsia" w:ascii="宋体" w:hAnsi="宋体" w:eastAsia="宋体" w:cs="宋体"/>
                <w:sz w:val="24"/>
                <w:szCs w:val="24"/>
              </w:rPr>
              <w:t>4.有依法缴纳税收和社会保障金的良好记录</w:t>
            </w:r>
          </w:p>
        </w:tc>
        <w:tc>
          <w:tcPr>
            <w:tcW w:w="5097" w:type="dxa"/>
            <w:vMerge w:val="continue"/>
            <w:noWrap w:val="0"/>
            <w:vAlign w:val="center"/>
          </w:tcPr>
          <w:p w14:paraId="147C15AF">
            <w:pPr>
              <w:rPr>
                <w:rFonts w:ascii="宋体" w:hAnsi="宋体" w:eastAsia="宋体" w:cs="宋体"/>
                <w:sz w:val="24"/>
                <w:szCs w:val="24"/>
              </w:rPr>
            </w:pPr>
          </w:p>
        </w:tc>
      </w:tr>
      <w:tr w14:paraId="7981C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noWrap w:val="0"/>
            <w:vAlign w:val="center"/>
          </w:tcPr>
          <w:p w14:paraId="24FC3287">
            <w:pPr>
              <w:jc w:val="center"/>
              <w:rPr>
                <w:rFonts w:ascii="宋体" w:hAnsi="宋体" w:eastAsia="宋体" w:cs="宋体"/>
                <w:sz w:val="24"/>
                <w:szCs w:val="24"/>
              </w:rPr>
            </w:pPr>
          </w:p>
        </w:tc>
        <w:tc>
          <w:tcPr>
            <w:tcW w:w="1021" w:type="dxa"/>
            <w:vMerge w:val="continue"/>
            <w:noWrap w:val="0"/>
            <w:vAlign w:val="center"/>
          </w:tcPr>
          <w:p w14:paraId="55E99C9D">
            <w:pPr>
              <w:rPr>
                <w:rFonts w:ascii="宋体" w:hAnsi="宋体" w:eastAsia="宋体" w:cs="宋体"/>
                <w:sz w:val="24"/>
                <w:szCs w:val="24"/>
              </w:rPr>
            </w:pPr>
          </w:p>
        </w:tc>
        <w:tc>
          <w:tcPr>
            <w:tcW w:w="2693" w:type="dxa"/>
            <w:noWrap w:val="0"/>
            <w:vAlign w:val="center"/>
          </w:tcPr>
          <w:p w14:paraId="716E1B56">
            <w:pPr>
              <w:rPr>
                <w:rFonts w:ascii="宋体" w:hAnsi="宋体" w:eastAsia="宋体" w:cs="宋体"/>
                <w:sz w:val="24"/>
                <w:szCs w:val="24"/>
              </w:rPr>
            </w:pPr>
            <w:r>
              <w:rPr>
                <w:rFonts w:hint="eastAsia" w:ascii="宋体" w:hAnsi="宋体" w:eastAsia="宋体" w:cs="宋体"/>
                <w:sz w:val="24"/>
                <w:szCs w:val="24"/>
              </w:rPr>
              <w:t>5.参加政府采购活动前三年内，在经营活动中没有重大违法记录</w:t>
            </w:r>
          </w:p>
        </w:tc>
        <w:tc>
          <w:tcPr>
            <w:tcW w:w="5097" w:type="dxa"/>
            <w:vMerge w:val="continue"/>
            <w:noWrap w:val="0"/>
            <w:vAlign w:val="center"/>
          </w:tcPr>
          <w:p w14:paraId="4FC3B155">
            <w:pPr>
              <w:rPr>
                <w:rFonts w:ascii="宋体" w:hAnsi="宋体" w:eastAsia="宋体" w:cs="宋体"/>
                <w:sz w:val="24"/>
                <w:szCs w:val="24"/>
              </w:rPr>
            </w:pPr>
          </w:p>
        </w:tc>
      </w:tr>
      <w:tr w14:paraId="088FB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817" w:type="dxa"/>
            <w:vMerge w:val="continue"/>
            <w:noWrap w:val="0"/>
            <w:vAlign w:val="center"/>
          </w:tcPr>
          <w:p w14:paraId="76D6ED56">
            <w:pPr>
              <w:jc w:val="center"/>
              <w:rPr>
                <w:rFonts w:ascii="宋体" w:hAnsi="宋体" w:eastAsia="宋体" w:cs="宋体"/>
                <w:sz w:val="24"/>
                <w:szCs w:val="24"/>
              </w:rPr>
            </w:pPr>
          </w:p>
        </w:tc>
        <w:tc>
          <w:tcPr>
            <w:tcW w:w="1021" w:type="dxa"/>
            <w:vMerge w:val="continue"/>
            <w:noWrap w:val="0"/>
            <w:vAlign w:val="center"/>
          </w:tcPr>
          <w:p w14:paraId="231D77A5">
            <w:pPr>
              <w:rPr>
                <w:rFonts w:ascii="宋体" w:hAnsi="宋体" w:eastAsia="宋体" w:cs="宋体"/>
                <w:sz w:val="24"/>
                <w:szCs w:val="24"/>
              </w:rPr>
            </w:pPr>
          </w:p>
        </w:tc>
        <w:tc>
          <w:tcPr>
            <w:tcW w:w="2693" w:type="dxa"/>
            <w:noWrap w:val="0"/>
            <w:vAlign w:val="center"/>
          </w:tcPr>
          <w:p w14:paraId="195F3530">
            <w:pPr>
              <w:rPr>
                <w:rFonts w:ascii="宋体" w:hAnsi="宋体" w:eastAsia="宋体" w:cs="宋体"/>
                <w:sz w:val="24"/>
                <w:szCs w:val="24"/>
              </w:rPr>
            </w:pPr>
            <w:r>
              <w:rPr>
                <w:rFonts w:hint="eastAsia" w:ascii="宋体" w:hAnsi="宋体" w:eastAsia="宋体" w:cs="宋体"/>
                <w:sz w:val="24"/>
                <w:szCs w:val="24"/>
              </w:rPr>
              <w:t>6.法律、行政法规规定的其他条件</w:t>
            </w:r>
          </w:p>
        </w:tc>
        <w:tc>
          <w:tcPr>
            <w:tcW w:w="5097" w:type="dxa"/>
            <w:noWrap w:val="0"/>
            <w:vAlign w:val="center"/>
          </w:tcPr>
          <w:p w14:paraId="6DD00A45">
            <w:pPr>
              <w:rPr>
                <w:rFonts w:ascii="宋体" w:hAnsi="宋体" w:eastAsia="宋体" w:cs="宋体"/>
                <w:sz w:val="24"/>
                <w:szCs w:val="24"/>
              </w:rPr>
            </w:pPr>
          </w:p>
        </w:tc>
      </w:tr>
      <w:tr w14:paraId="10A15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817" w:type="dxa"/>
            <w:vMerge w:val="continue"/>
            <w:noWrap w:val="0"/>
            <w:vAlign w:val="center"/>
          </w:tcPr>
          <w:p w14:paraId="064B7D76">
            <w:pPr>
              <w:jc w:val="center"/>
              <w:rPr>
                <w:rFonts w:ascii="宋体" w:hAnsi="宋体" w:eastAsia="宋体" w:cs="宋体"/>
                <w:sz w:val="24"/>
                <w:szCs w:val="24"/>
              </w:rPr>
            </w:pPr>
          </w:p>
        </w:tc>
        <w:tc>
          <w:tcPr>
            <w:tcW w:w="1021" w:type="dxa"/>
            <w:vMerge w:val="continue"/>
            <w:noWrap w:val="0"/>
            <w:vAlign w:val="center"/>
          </w:tcPr>
          <w:p w14:paraId="4A8C0AE5">
            <w:pPr>
              <w:rPr>
                <w:rFonts w:ascii="宋体" w:hAnsi="宋体" w:eastAsia="宋体" w:cs="宋体"/>
                <w:sz w:val="24"/>
                <w:szCs w:val="24"/>
              </w:rPr>
            </w:pPr>
          </w:p>
        </w:tc>
        <w:tc>
          <w:tcPr>
            <w:tcW w:w="2693" w:type="dxa"/>
            <w:noWrap w:val="0"/>
            <w:vAlign w:val="center"/>
          </w:tcPr>
          <w:p w14:paraId="0B9AD87C">
            <w:pPr>
              <w:rPr>
                <w:rFonts w:ascii="宋体" w:hAnsi="宋体" w:eastAsia="宋体" w:cs="宋体"/>
                <w:sz w:val="24"/>
                <w:szCs w:val="24"/>
              </w:rPr>
            </w:pPr>
            <w:r>
              <w:rPr>
                <w:rFonts w:hint="eastAsia" w:ascii="宋体" w:hAnsi="宋体" w:eastAsia="宋体" w:cs="宋体"/>
                <w:sz w:val="24"/>
                <w:szCs w:val="24"/>
              </w:rPr>
              <w:t>7.本项目的特定资格要求</w:t>
            </w:r>
          </w:p>
        </w:tc>
        <w:tc>
          <w:tcPr>
            <w:tcW w:w="5097" w:type="dxa"/>
            <w:noWrap w:val="0"/>
            <w:vAlign w:val="center"/>
          </w:tcPr>
          <w:p w14:paraId="78BF996A">
            <w:pPr>
              <w:rPr>
                <w:rFonts w:ascii="宋体" w:hAnsi="宋体" w:eastAsia="宋体" w:cs="宋体"/>
                <w:sz w:val="24"/>
                <w:szCs w:val="24"/>
              </w:rPr>
            </w:pPr>
            <w:r>
              <w:rPr>
                <w:rFonts w:hint="eastAsia" w:ascii="宋体" w:hAnsi="宋体" w:eastAsia="宋体" w:cs="宋体"/>
                <w:sz w:val="24"/>
                <w:szCs w:val="24"/>
              </w:rPr>
              <w:t>按“第一篇三、供应商资格要求（三）本项目的特定资格要求”的要求提交（如果有）。</w:t>
            </w:r>
          </w:p>
        </w:tc>
      </w:tr>
      <w:tr w14:paraId="57A8D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14:paraId="1C089BA9">
            <w:pPr>
              <w:rPr>
                <w:rFonts w:ascii="宋体" w:hAnsi="宋体" w:eastAsia="宋体" w:cs="宋体"/>
                <w:sz w:val="24"/>
                <w:szCs w:val="24"/>
              </w:rPr>
            </w:pPr>
            <w:r>
              <w:rPr>
                <w:rFonts w:hint="eastAsia" w:ascii="宋体" w:hAnsi="宋体" w:eastAsia="宋体" w:cs="宋体"/>
                <w:sz w:val="24"/>
                <w:szCs w:val="24"/>
              </w:rPr>
              <w:t>（二）</w:t>
            </w:r>
          </w:p>
        </w:tc>
        <w:tc>
          <w:tcPr>
            <w:tcW w:w="3714" w:type="dxa"/>
            <w:gridSpan w:val="2"/>
            <w:noWrap w:val="0"/>
            <w:vAlign w:val="center"/>
          </w:tcPr>
          <w:p w14:paraId="717368AA">
            <w:pPr>
              <w:rPr>
                <w:rFonts w:ascii="宋体" w:hAnsi="宋体" w:eastAsia="宋体" w:cs="宋体"/>
                <w:sz w:val="24"/>
                <w:szCs w:val="24"/>
              </w:rPr>
            </w:pPr>
            <w:r>
              <w:rPr>
                <w:rFonts w:hint="eastAsia" w:ascii="宋体" w:hAnsi="宋体" w:eastAsia="宋体" w:cs="宋体"/>
                <w:sz w:val="24"/>
                <w:szCs w:val="24"/>
              </w:rPr>
              <w:t>落实政府采购政策需满足的资格要求</w:t>
            </w:r>
          </w:p>
        </w:tc>
        <w:tc>
          <w:tcPr>
            <w:tcW w:w="5097" w:type="dxa"/>
            <w:noWrap w:val="0"/>
            <w:vAlign w:val="center"/>
          </w:tcPr>
          <w:p w14:paraId="6C803196">
            <w:pPr>
              <w:rPr>
                <w:rFonts w:ascii="宋体" w:hAnsi="宋体" w:eastAsia="宋体" w:cs="宋体"/>
                <w:sz w:val="24"/>
                <w:szCs w:val="24"/>
              </w:rPr>
            </w:pPr>
            <w:r>
              <w:rPr>
                <w:rFonts w:hint="eastAsia" w:ascii="宋体" w:hAnsi="宋体" w:eastAsia="宋体" w:cs="宋体"/>
                <w:sz w:val="24"/>
                <w:szCs w:val="24"/>
              </w:rPr>
              <w:t>按“第一篇三、供应商资格要求（二）落实政府采购政策需满足的资格要求”的要求提交。</w:t>
            </w:r>
          </w:p>
        </w:tc>
      </w:tr>
      <w:tr w14:paraId="2612F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top"/>
          </w:tcPr>
          <w:p w14:paraId="3E8C2861">
            <w:pPr>
              <w:rPr>
                <w:rFonts w:ascii="宋体" w:hAnsi="宋体" w:eastAsia="宋体" w:cs="宋体"/>
                <w:sz w:val="24"/>
                <w:szCs w:val="24"/>
              </w:rPr>
            </w:pPr>
            <w:r>
              <w:rPr>
                <w:rFonts w:hint="eastAsia" w:ascii="宋体" w:hAnsi="宋体" w:eastAsia="宋体" w:cs="宋体"/>
                <w:sz w:val="24"/>
                <w:szCs w:val="24"/>
              </w:rPr>
              <w:t>（三）</w:t>
            </w:r>
          </w:p>
        </w:tc>
        <w:tc>
          <w:tcPr>
            <w:tcW w:w="3714" w:type="dxa"/>
            <w:gridSpan w:val="2"/>
            <w:noWrap w:val="0"/>
            <w:vAlign w:val="top"/>
          </w:tcPr>
          <w:p w14:paraId="1E1CAEEB">
            <w:pPr>
              <w:jc w:val="left"/>
              <w:rPr>
                <w:rFonts w:ascii="宋体" w:hAnsi="宋体" w:eastAsia="宋体" w:cs="宋体"/>
                <w:sz w:val="24"/>
                <w:szCs w:val="24"/>
              </w:rPr>
            </w:pPr>
            <w:r>
              <w:rPr>
                <w:rFonts w:hint="eastAsia" w:ascii="宋体" w:hAnsi="宋体" w:eastAsia="宋体" w:cs="宋体"/>
                <w:sz w:val="24"/>
                <w:szCs w:val="24"/>
                <w:lang w:val="en-US" w:eastAsia="zh-CN"/>
              </w:rPr>
              <w:t>投标</w:t>
            </w:r>
            <w:r>
              <w:rPr>
                <w:rFonts w:hint="eastAsia" w:ascii="宋体" w:hAnsi="宋体" w:eastAsia="宋体" w:cs="宋体"/>
                <w:sz w:val="24"/>
                <w:szCs w:val="24"/>
              </w:rPr>
              <w:t>保证金</w:t>
            </w:r>
          </w:p>
        </w:tc>
        <w:tc>
          <w:tcPr>
            <w:tcW w:w="5097" w:type="dxa"/>
            <w:noWrap w:val="0"/>
            <w:vAlign w:val="top"/>
          </w:tcPr>
          <w:p w14:paraId="0C03F54B">
            <w:pPr>
              <w:rPr>
                <w:rFonts w:ascii="宋体" w:hAnsi="宋体" w:eastAsia="宋体" w:cs="宋体"/>
                <w:sz w:val="24"/>
                <w:szCs w:val="24"/>
              </w:rPr>
            </w:pPr>
            <w:r>
              <w:rPr>
                <w:rFonts w:hint="eastAsia" w:ascii="宋体" w:hAnsi="宋体" w:eastAsia="宋体" w:cs="宋体"/>
                <w:sz w:val="24"/>
                <w:szCs w:val="24"/>
              </w:rPr>
              <w:t>按照竞争性谈判文件要求足额交纳所参与包的</w:t>
            </w:r>
            <w:r>
              <w:rPr>
                <w:rFonts w:hint="eastAsia" w:ascii="宋体" w:hAnsi="宋体" w:eastAsia="宋体" w:cs="宋体"/>
                <w:sz w:val="24"/>
                <w:szCs w:val="24"/>
                <w:lang w:val="en-US" w:eastAsia="zh-CN"/>
              </w:rPr>
              <w:t>投标</w:t>
            </w:r>
            <w:r>
              <w:rPr>
                <w:rFonts w:hint="eastAsia" w:ascii="宋体" w:hAnsi="宋体" w:eastAsia="宋体" w:cs="宋体"/>
                <w:sz w:val="24"/>
                <w:szCs w:val="24"/>
              </w:rPr>
              <w:t>保证金。</w:t>
            </w:r>
          </w:p>
        </w:tc>
      </w:tr>
    </w:tbl>
    <w:p w14:paraId="24C840EE">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注：</w:t>
      </w:r>
    </w:p>
    <w:p w14:paraId="4CDEA586">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根据《中华人民共和国政府采购法实施条例》第十九条“参加政府采购活动前三年内，在经营活动中没有重大违法记录”中“重大违法记录”，是指供应商因违法经营受到刑事处罚或者责令停产停业、吊销许可证或者执照、较大数额罚款等行政处罚。行政处罚中“较大数额”的认定标准，按照“财政部关于《中华人民共和国政府采购法实施条例》第十九条第一款“较大数额罚款”具体适用问题的意见（财库〔2022〕3 号）”执行。供应商可于响应文件递交截止时间前通过 “信用中国”网站(www.creditchina.gov.cn)、"中国政府采购网"(www.ccgp.gov.cn)等渠道查询信用记录。</w:t>
      </w:r>
    </w:p>
    <w:p w14:paraId="1038CB22">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sz w:val="24"/>
          <w:szCs w:val="24"/>
        </w:rPr>
        <w:t>2.实质性响应审查。谈判小组应当对响应文件进行评审，并根据谈判文件规定的采购程序、评定成交的标准等事项与实质性响应谈判文件要求的供应商进行谈判。未实质性响应谈判文件的响应文件按无效处理，谈判小组应当告知有关供应商。实质性响应审查内容如下：</w:t>
      </w:r>
    </w:p>
    <w:tbl>
      <w:tblPr>
        <w:tblStyle w:val="59"/>
        <w:tblW w:w="9628"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694"/>
        <w:gridCol w:w="6259"/>
      </w:tblGrid>
      <w:tr w14:paraId="69BD2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675" w:type="dxa"/>
            <w:noWrap w:val="0"/>
            <w:vAlign w:val="center"/>
          </w:tcPr>
          <w:p w14:paraId="14B36736">
            <w:pPr>
              <w:jc w:val="center"/>
              <w:rPr>
                <w:rFonts w:ascii="宋体" w:hAnsi="宋体" w:eastAsia="宋体" w:cs="宋体"/>
                <w:b/>
                <w:kern w:val="0"/>
                <w:sz w:val="21"/>
                <w:szCs w:val="21"/>
              </w:rPr>
            </w:pPr>
            <w:r>
              <w:rPr>
                <w:rFonts w:hint="eastAsia" w:ascii="宋体" w:hAnsi="宋体" w:eastAsia="宋体" w:cs="宋体"/>
                <w:b/>
                <w:kern w:val="0"/>
                <w:sz w:val="21"/>
                <w:szCs w:val="21"/>
              </w:rPr>
              <w:t>序号</w:t>
            </w:r>
          </w:p>
        </w:tc>
        <w:tc>
          <w:tcPr>
            <w:tcW w:w="2694" w:type="dxa"/>
            <w:noWrap w:val="0"/>
            <w:vAlign w:val="center"/>
          </w:tcPr>
          <w:p w14:paraId="35C2695C">
            <w:pPr>
              <w:jc w:val="center"/>
              <w:rPr>
                <w:rFonts w:ascii="宋体" w:hAnsi="宋体" w:eastAsia="宋体" w:cs="宋体"/>
                <w:b/>
                <w:kern w:val="0"/>
                <w:sz w:val="21"/>
                <w:szCs w:val="21"/>
              </w:rPr>
            </w:pPr>
            <w:r>
              <w:rPr>
                <w:rFonts w:hint="eastAsia" w:ascii="宋体" w:hAnsi="宋体" w:eastAsia="宋体" w:cs="宋体"/>
                <w:b/>
                <w:kern w:val="0"/>
                <w:sz w:val="21"/>
                <w:szCs w:val="21"/>
              </w:rPr>
              <w:t>审查因素</w:t>
            </w:r>
          </w:p>
        </w:tc>
        <w:tc>
          <w:tcPr>
            <w:tcW w:w="6259" w:type="dxa"/>
            <w:noWrap w:val="0"/>
            <w:vAlign w:val="center"/>
          </w:tcPr>
          <w:p w14:paraId="596BB739">
            <w:pPr>
              <w:jc w:val="center"/>
              <w:rPr>
                <w:rFonts w:ascii="宋体" w:hAnsi="宋体" w:eastAsia="宋体" w:cs="宋体"/>
                <w:b/>
                <w:kern w:val="0"/>
                <w:sz w:val="21"/>
                <w:szCs w:val="21"/>
              </w:rPr>
            </w:pPr>
            <w:r>
              <w:rPr>
                <w:rFonts w:hint="eastAsia" w:ascii="宋体" w:hAnsi="宋体" w:eastAsia="宋体" w:cs="宋体"/>
                <w:b/>
                <w:kern w:val="0"/>
                <w:sz w:val="21"/>
                <w:szCs w:val="21"/>
              </w:rPr>
              <w:t>审查标准</w:t>
            </w:r>
          </w:p>
        </w:tc>
      </w:tr>
      <w:tr w14:paraId="10DC5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675" w:type="dxa"/>
            <w:vMerge w:val="restart"/>
            <w:noWrap w:val="0"/>
            <w:vAlign w:val="center"/>
          </w:tcPr>
          <w:p w14:paraId="0D8DA61A">
            <w:pPr>
              <w:jc w:val="center"/>
              <w:rPr>
                <w:rFonts w:ascii="宋体" w:hAnsi="宋体" w:eastAsia="宋体" w:cs="宋体"/>
                <w:sz w:val="24"/>
                <w:szCs w:val="24"/>
              </w:rPr>
            </w:pPr>
            <w:r>
              <w:rPr>
                <w:rFonts w:hint="eastAsia" w:ascii="宋体" w:hAnsi="宋体" w:eastAsia="宋体" w:cs="宋体"/>
                <w:sz w:val="24"/>
                <w:szCs w:val="24"/>
              </w:rPr>
              <w:t>1</w:t>
            </w:r>
          </w:p>
        </w:tc>
        <w:tc>
          <w:tcPr>
            <w:tcW w:w="2694" w:type="dxa"/>
            <w:noWrap w:val="0"/>
            <w:vAlign w:val="center"/>
          </w:tcPr>
          <w:p w14:paraId="685F77B8">
            <w:pPr>
              <w:rPr>
                <w:rFonts w:ascii="宋体" w:hAnsi="宋体" w:eastAsia="宋体" w:cs="宋体"/>
                <w:sz w:val="24"/>
                <w:szCs w:val="24"/>
              </w:rPr>
            </w:pPr>
            <w:r>
              <w:rPr>
                <w:rFonts w:hint="eastAsia" w:ascii="宋体" w:hAnsi="宋体" w:eastAsia="宋体" w:cs="宋体"/>
                <w:sz w:val="24"/>
                <w:szCs w:val="24"/>
              </w:rPr>
              <w:t>响应文件签署或盖章</w:t>
            </w:r>
          </w:p>
        </w:tc>
        <w:tc>
          <w:tcPr>
            <w:tcW w:w="6259" w:type="dxa"/>
            <w:noWrap w:val="0"/>
            <w:vAlign w:val="center"/>
          </w:tcPr>
          <w:p w14:paraId="6924333F">
            <w:pPr>
              <w:rPr>
                <w:rFonts w:ascii="宋体" w:hAnsi="宋体" w:eastAsia="宋体" w:cs="宋体"/>
                <w:sz w:val="24"/>
                <w:szCs w:val="24"/>
              </w:rPr>
            </w:pPr>
            <w:r>
              <w:rPr>
                <w:rFonts w:hint="eastAsia" w:ascii="宋体" w:hAnsi="宋体" w:eastAsia="宋体" w:cs="宋体"/>
                <w:sz w:val="24"/>
                <w:szCs w:val="24"/>
              </w:rPr>
              <w:t>按“第七篇响应文件格式要求”要求签署或盖章</w:t>
            </w:r>
          </w:p>
        </w:tc>
      </w:tr>
      <w:tr w14:paraId="0FE6B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675" w:type="dxa"/>
            <w:vMerge w:val="continue"/>
            <w:noWrap w:val="0"/>
            <w:vAlign w:val="center"/>
          </w:tcPr>
          <w:p w14:paraId="5A5D40E0">
            <w:pPr>
              <w:jc w:val="center"/>
              <w:rPr>
                <w:rFonts w:ascii="宋体" w:hAnsi="宋体" w:eastAsia="宋体" w:cs="宋体"/>
                <w:sz w:val="24"/>
                <w:szCs w:val="24"/>
              </w:rPr>
            </w:pPr>
          </w:p>
        </w:tc>
        <w:tc>
          <w:tcPr>
            <w:tcW w:w="2694" w:type="dxa"/>
            <w:noWrap w:val="0"/>
            <w:vAlign w:val="center"/>
          </w:tcPr>
          <w:p w14:paraId="30DFA00F">
            <w:pPr>
              <w:rPr>
                <w:rFonts w:ascii="宋体" w:hAnsi="宋体" w:eastAsia="宋体" w:cs="宋体"/>
                <w:sz w:val="24"/>
                <w:szCs w:val="24"/>
              </w:rPr>
            </w:pPr>
            <w:r>
              <w:rPr>
                <w:rFonts w:hint="eastAsia" w:ascii="宋体" w:hAnsi="宋体" w:eastAsia="宋体" w:cs="宋体"/>
                <w:sz w:val="24"/>
                <w:szCs w:val="24"/>
              </w:rPr>
              <w:t>法定代表人身份证明及授权委托书</w:t>
            </w:r>
          </w:p>
        </w:tc>
        <w:tc>
          <w:tcPr>
            <w:tcW w:w="6259" w:type="dxa"/>
            <w:noWrap w:val="0"/>
            <w:vAlign w:val="center"/>
          </w:tcPr>
          <w:p w14:paraId="7B67F01E">
            <w:pPr>
              <w:rPr>
                <w:rFonts w:ascii="宋体" w:hAnsi="宋体" w:eastAsia="宋体" w:cs="宋体"/>
                <w:sz w:val="24"/>
                <w:szCs w:val="24"/>
              </w:rPr>
            </w:pPr>
            <w:r>
              <w:rPr>
                <w:rFonts w:hint="eastAsia" w:ascii="宋体" w:hAnsi="宋体" w:eastAsia="宋体" w:cs="宋体"/>
                <w:sz w:val="24"/>
                <w:szCs w:val="24"/>
              </w:rPr>
              <w:t>法定代表人身份证明及授权委托书有效，符合竞争性谈判文件规定的格式，签署或盖章齐全。</w:t>
            </w:r>
          </w:p>
        </w:tc>
      </w:tr>
      <w:tr w14:paraId="6F1A2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Merge w:val="continue"/>
            <w:noWrap w:val="0"/>
            <w:vAlign w:val="center"/>
          </w:tcPr>
          <w:p w14:paraId="044B0AC9">
            <w:pPr>
              <w:jc w:val="center"/>
              <w:rPr>
                <w:rFonts w:ascii="宋体" w:hAnsi="宋体" w:eastAsia="宋体" w:cs="宋体"/>
                <w:sz w:val="24"/>
                <w:szCs w:val="24"/>
              </w:rPr>
            </w:pPr>
          </w:p>
        </w:tc>
        <w:tc>
          <w:tcPr>
            <w:tcW w:w="2694" w:type="dxa"/>
            <w:noWrap w:val="0"/>
            <w:vAlign w:val="center"/>
          </w:tcPr>
          <w:p w14:paraId="4699B431">
            <w:pPr>
              <w:rPr>
                <w:rFonts w:ascii="宋体" w:hAnsi="宋体" w:eastAsia="宋体" w:cs="宋体"/>
                <w:sz w:val="24"/>
                <w:szCs w:val="24"/>
              </w:rPr>
            </w:pPr>
            <w:r>
              <w:rPr>
                <w:rFonts w:hint="eastAsia" w:ascii="宋体" w:hAnsi="宋体" w:eastAsia="宋体" w:cs="宋体"/>
                <w:sz w:val="24"/>
                <w:szCs w:val="24"/>
              </w:rPr>
              <w:t>响应方案</w:t>
            </w:r>
          </w:p>
        </w:tc>
        <w:tc>
          <w:tcPr>
            <w:tcW w:w="6259" w:type="dxa"/>
            <w:noWrap w:val="0"/>
            <w:vAlign w:val="center"/>
          </w:tcPr>
          <w:p w14:paraId="79130C0A">
            <w:pPr>
              <w:rPr>
                <w:rFonts w:ascii="宋体" w:hAnsi="宋体" w:eastAsia="宋体" w:cs="宋体"/>
                <w:sz w:val="24"/>
                <w:szCs w:val="24"/>
              </w:rPr>
            </w:pPr>
            <w:r>
              <w:rPr>
                <w:rFonts w:hint="eastAsia" w:ascii="宋体" w:hAnsi="宋体" w:eastAsia="宋体" w:cs="宋体"/>
                <w:sz w:val="24"/>
                <w:szCs w:val="24"/>
              </w:rPr>
              <w:t>只能有一个响应方案。</w:t>
            </w:r>
          </w:p>
        </w:tc>
      </w:tr>
      <w:tr w14:paraId="43AB8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75" w:type="dxa"/>
            <w:vMerge w:val="continue"/>
            <w:noWrap w:val="0"/>
            <w:vAlign w:val="center"/>
          </w:tcPr>
          <w:p w14:paraId="0B86B3DD">
            <w:pPr>
              <w:jc w:val="center"/>
              <w:rPr>
                <w:rFonts w:ascii="宋体" w:hAnsi="宋体" w:eastAsia="宋体" w:cs="宋体"/>
                <w:sz w:val="24"/>
                <w:szCs w:val="24"/>
              </w:rPr>
            </w:pPr>
          </w:p>
        </w:tc>
        <w:tc>
          <w:tcPr>
            <w:tcW w:w="2694" w:type="dxa"/>
            <w:noWrap w:val="0"/>
            <w:vAlign w:val="center"/>
          </w:tcPr>
          <w:p w14:paraId="19252F01">
            <w:pPr>
              <w:rPr>
                <w:rFonts w:ascii="宋体" w:hAnsi="宋体" w:eastAsia="宋体" w:cs="宋体"/>
                <w:sz w:val="24"/>
                <w:szCs w:val="24"/>
              </w:rPr>
            </w:pPr>
            <w:r>
              <w:rPr>
                <w:rFonts w:hint="eastAsia" w:ascii="宋体" w:hAnsi="宋体" w:eastAsia="宋体" w:cs="宋体"/>
                <w:sz w:val="24"/>
                <w:szCs w:val="24"/>
              </w:rPr>
              <w:t>报价唯一</w:t>
            </w:r>
          </w:p>
        </w:tc>
        <w:tc>
          <w:tcPr>
            <w:tcW w:w="6259" w:type="dxa"/>
            <w:noWrap w:val="0"/>
            <w:vAlign w:val="center"/>
          </w:tcPr>
          <w:p w14:paraId="35C5DBCC">
            <w:pPr>
              <w:rPr>
                <w:rFonts w:ascii="宋体" w:hAnsi="宋体" w:eastAsia="宋体" w:cs="宋体"/>
                <w:sz w:val="24"/>
                <w:szCs w:val="24"/>
              </w:rPr>
            </w:pPr>
            <w:r>
              <w:rPr>
                <w:rFonts w:hint="eastAsia" w:ascii="宋体" w:hAnsi="宋体" w:eastAsia="宋体" w:cs="宋体"/>
                <w:sz w:val="24"/>
                <w:szCs w:val="24"/>
              </w:rPr>
              <w:t>只能有一个有效报价，不得提交选择性报价。</w:t>
            </w:r>
          </w:p>
        </w:tc>
      </w:tr>
      <w:tr w14:paraId="12AD6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675" w:type="dxa"/>
            <w:noWrap w:val="0"/>
            <w:vAlign w:val="center"/>
          </w:tcPr>
          <w:p w14:paraId="5207D918">
            <w:pPr>
              <w:jc w:val="center"/>
              <w:rPr>
                <w:rFonts w:ascii="宋体" w:hAnsi="宋体" w:eastAsia="宋体" w:cs="宋体"/>
                <w:sz w:val="24"/>
                <w:szCs w:val="24"/>
              </w:rPr>
            </w:pPr>
            <w:r>
              <w:rPr>
                <w:rFonts w:hint="eastAsia" w:ascii="宋体" w:hAnsi="宋体" w:eastAsia="宋体" w:cs="宋体"/>
                <w:sz w:val="24"/>
                <w:szCs w:val="24"/>
              </w:rPr>
              <w:t>2</w:t>
            </w:r>
          </w:p>
        </w:tc>
        <w:tc>
          <w:tcPr>
            <w:tcW w:w="2694" w:type="dxa"/>
            <w:noWrap w:val="0"/>
            <w:vAlign w:val="center"/>
          </w:tcPr>
          <w:p w14:paraId="77061EC7">
            <w:pPr>
              <w:rPr>
                <w:rFonts w:ascii="宋体" w:hAnsi="宋体" w:eastAsia="宋体" w:cs="宋体"/>
                <w:sz w:val="24"/>
                <w:szCs w:val="24"/>
              </w:rPr>
            </w:pPr>
            <w:r>
              <w:rPr>
                <w:rFonts w:hint="eastAsia" w:ascii="宋体" w:hAnsi="宋体" w:eastAsia="宋体" w:cs="宋体"/>
                <w:sz w:val="24"/>
                <w:szCs w:val="24"/>
              </w:rPr>
              <w:t>响应文件份数</w:t>
            </w:r>
          </w:p>
        </w:tc>
        <w:tc>
          <w:tcPr>
            <w:tcW w:w="6259" w:type="dxa"/>
            <w:noWrap w:val="0"/>
            <w:vAlign w:val="center"/>
          </w:tcPr>
          <w:p w14:paraId="208855E0">
            <w:pPr>
              <w:rPr>
                <w:rFonts w:ascii="宋体" w:hAnsi="宋体" w:eastAsia="宋体" w:cs="宋体"/>
                <w:sz w:val="24"/>
                <w:szCs w:val="24"/>
              </w:rPr>
            </w:pPr>
            <w:r>
              <w:rPr>
                <w:rFonts w:hint="eastAsia" w:ascii="宋体" w:hAnsi="宋体" w:eastAsia="宋体" w:cs="宋体"/>
                <w:sz w:val="24"/>
                <w:szCs w:val="24"/>
              </w:rPr>
              <w:t>响应文件正、副本数量符合竞争性谈判文件要求。</w:t>
            </w:r>
          </w:p>
        </w:tc>
      </w:tr>
      <w:tr w14:paraId="26A7C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675" w:type="dxa"/>
            <w:vMerge w:val="restart"/>
            <w:noWrap w:val="0"/>
            <w:vAlign w:val="center"/>
          </w:tcPr>
          <w:p w14:paraId="2CF20C19">
            <w:pPr>
              <w:jc w:val="center"/>
              <w:rPr>
                <w:rFonts w:ascii="宋体" w:hAnsi="宋体" w:eastAsia="宋体" w:cs="宋体"/>
                <w:sz w:val="24"/>
                <w:szCs w:val="24"/>
              </w:rPr>
            </w:pPr>
            <w:r>
              <w:rPr>
                <w:rFonts w:hint="eastAsia" w:ascii="宋体" w:hAnsi="宋体" w:eastAsia="宋体" w:cs="宋体"/>
                <w:sz w:val="24"/>
                <w:szCs w:val="24"/>
              </w:rPr>
              <w:t>3</w:t>
            </w:r>
          </w:p>
        </w:tc>
        <w:tc>
          <w:tcPr>
            <w:tcW w:w="2694" w:type="dxa"/>
            <w:noWrap w:val="0"/>
            <w:vAlign w:val="center"/>
          </w:tcPr>
          <w:p w14:paraId="12B5F909">
            <w:pPr>
              <w:rPr>
                <w:rFonts w:ascii="宋体" w:hAnsi="宋体" w:eastAsia="宋体" w:cs="宋体"/>
                <w:sz w:val="24"/>
                <w:szCs w:val="24"/>
              </w:rPr>
            </w:pPr>
            <w:r>
              <w:rPr>
                <w:rFonts w:hint="eastAsia" w:ascii="宋体" w:hAnsi="宋体" w:eastAsia="宋体" w:cs="宋体"/>
                <w:sz w:val="24"/>
                <w:szCs w:val="24"/>
              </w:rPr>
              <w:t>响应文件内容</w:t>
            </w:r>
          </w:p>
        </w:tc>
        <w:tc>
          <w:tcPr>
            <w:tcW w:w="6259" w:type="dxa"/>
            <w:noWrap w:val="0"/>
            <w:vAlign w:val="center"/>
          </w:tcPr>
          <w:p w14:paraId="50B9A4BC">
            <w:pPr>
              <w:pStyle w:val="32"/>
              <w:rPr>
                <w:rFonts w:ascii="宋体" w:hAnsi="宋体" w:eastAsia="宋体" w:cs="宋体"/>
                <w:sz w:val="24"/>
                <w:szCs w:val="24"/>
              </w:rPr>
            </w:pPr>
            <w:r>
              <w:rPr>
                <w:rFonts w:hint="eastAsia" w:ascii="宋体" w:hAnsi="宋体" w:eastAsia="宋体" w:cs="宋体"/>
                <w:sz w:val="24"/>
                <w:szCs w:val="24"/>
              </w:rPr>
              <w:t>对竞争性谈判文件第二篇、第三篇规定的谈判内容进行实质性响应。</w:t>
            </w:r>
          </w:p>
        </w:tc>
      </w:tr>
      <w:tr w14:paraId="05851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75" w:type="dxa"/>
            <w:vMerge w:val="continue"/>
            <w:noWrap w:val="0"/>
            <w:vAlign w:val="center"/>
          </w:tcPr>
          <w:p w14:paraId="6616A0AC">
            <w:pPr>
              <w:jc w:val="center"/>
              <w:rPr>
                <w:rFonts w:ascii="宋体" w:hAnsi="宋体" w:eastAsia="宋体" w:cs="宋体"/>
                <w:sz w:val="24"/>
                <w:szCs w:val="24"/>
              </w:rPr>
            </w:pPr>
          </w:p>
        </w:tc>
        <w:tc>
          <w:tcPr>
            <w:tcW w:w="2694" w:type="dxa"/>
            <w:noWrap w:val="0"/>
            <w:vAlign w:val="center"/>
          </w:tcPr>
          <w:p w14:paraId="0E0F66DF">
            <w:pPr>
              <w:rPr>
                <w:rFonts w:ascii="宋体" w:hAnsi="宋体" w:eastAsia="宋体" w:cs="宋体"/>
                <w:sz w:val="24"/>
                <w:szCs w:val="24"/>
              </w:rPr>
            </w:pPr>
            <w:r>
              <w:rPr>
                <w:rFonts w:hint="eastAsia" w:ascii="宋体" w:hAnsi="宋体" w:eastAsia="宋体" w:cs="宋体"/>
                <w:sz w:val="24"/>
                <w:szCs w:val="24"/>
              </w:rPr>
              <w:t>谈判有效期</w:t>
            </w:r>
          </w:p>
        </w:tc>
        <w:tc>
          <w:tcPr>
            <w:tcW w:w="6259" w:type="dxa"/>
            <w:noWrap w:val="0"/>
            <w:vAlign w:val="center"/>
          </w:tcPr>
          <w:p w14:paraId="7F536B1D">
            <w:pPr>
              <w:rPr>
                <w:rFonts w:ascii="宋体" w:hAnsi="宋体" w:eastAsia="宋体" w:cs="宋体"/>
                <w:sz w:val="24"/>
                <w:szCs w:val="24"/>
              </w:rPr>
            </w:pPr>
            <w:r>
              <w:rPr>
                <w:rFonts w:hint="eastAsia" w:ascii="宋体" w:hAnsi="宋体" w:eastAsia="宋体" w:cs="宋体"/>
                <w:sz w:val="24"/>
                <w:szCs w:val="24"/>
              </w:rPr>
              <w:t>响应文件及有关承诺文件有效期为提交响应文件截止时间起90天。</w:t>
            </w:r>
          </w:p>
        </w:tc>
      </w:tr>
    </w:tbl>
    <w:p w14:paraId="3D3EDCBE">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三）谈判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2E957DC6">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谈判小组要求供应商澄清、说明或者更正响应文件应当以书面形式作出。供应商的澄清、说明或者更正应当由法定代表人（或其授权代表）或自然人（供应商为自然人）签署或者加盖公章。由授权代表签署的，应当附法定代表人授权书。供应商为自然人的，应当由本人签署并附身份证明。</w:t>
      </w:r>
    </w:p>
    <w:p w14:paraId="33A5FC45">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（四）在谈判过程中谈判的任何一方不得向他人透露与谈判有关的技术资料、价格或其他信息。</w:t>
      </w:r>
    </w:p>
    <w:p w14:paraId="2BD095BD">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五）在谈判过程中，谈判小组可以根据竞争性谈判文件和谈判情况实质性变动采购需求中的技术（质量）、服务要求以及合同草案条款，但不得变动竞争性谈判文件中的其他内容。实质性变动的内容，须经采购人代表确认。对竞争性谈判文件作出的实质性变动是竞争性谈判文件的有效组成部分，谈判小组应当及时以书面形式同时通知所有参加谈判的供应商。供应商应当按照谈判文件的变动情况和谈判小组的要求重新提交响应文件，并由其法定代表人或授权代表签字或者加盖公章。由授权代表签字的，应当附法定代表人授权书。供应商为自然人的，应当由本人签字并附身份证明。</w:t>
      </w:r>
    </w:p>
    <w:p w14:paraId="475099D9">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（六）供应商在谈判时作出的所有书面承诺须由法定代表人（或其授权代表）或自然人（供应商为自然人）签署。</w:t>
      </w:r>
    </w:p>
    <w:p w14:paraId="147A4BBF">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七）谈判结束后，谈判小组要求所有参加正式谈判的供应商在规定时间内同时书面提交最后报价及有关承诺（《最后报价表》在谈判现场向供应商提供）。已提交响应文件但未在规定时间内进行最后报价的供应商，视为放弃最后报价，以供应商响应文件中的报价为准。</w:t>
      </w:r>
    </w:p>
    <w:p w14:paraId="4E621D18">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（八）评审的依据为竞争性谈判文件和响应文件（含有效的补充文件）。谈判小组判断响应文件对竞争性谈判文件的响应，仅基于响应文件本身而不靠外部证据。</w:t>
      </w:r>
    </w:p>
    <w:p w14:paraId="4D86D7AB">
      <w:pPr>
        <w:pStyle w:val="4"/>
        <w:adjustRightInd w:val="0"/>
        <w:snapToGrid w:val="0"/>
        <w:spacing w:before="0" w:after="0" w:line="400" w:lineRule="exact"/>
        <w:ind w:firstLine="482" w:firstLineChars="200"/>
        <w:rPr>
          <w:rFonts w:ascii="宋体" w:hAnsi="宋体" w:eastAsia="宋体" w:cs="宋体"/>
          <w:sz w:val="24"/>
        </w:rPr>
      </w:pPr>
      <w:bookmarkStart w:id="138" w:name="_Toc30755"/>
      <w:bookmarkStart w:id="139" w:name="_Toc30639"/>
      <w:bookmarkStart w:id="140" w:name="_Toc64732013"/>
      <w:bookmarkStart w:id="141" w:name="_Toc65660351"/>
      <w:bookmarkStart w:id="142" w:name="_Toc11302"/>
      <w:bookmarkStart w:id="143" w:name="_Toc141882143"/>
      <w:bookmarkStart w:id="144" w:name="_Toc142059994"/>
      <w:bookmarkStart w:id="145" w:name="_Toc11713"/>
      <w:bookmarkStart w:id="146" w:name="_Toc106034642"/>
      <w:bookmarkStart w:id="147" w:name="_Toc26309"/>
      <w:r>
        <w:rPr>
          <w:rFonts w:hint="eastAsia" w:ascii="宋体" w:hAnsi="宋体" w:eastAsia="宋体" w:cs="宋体"/>
          <w:sz w:val="24"/>
        </w:rPr>
        <w:t>二、评定成交的标准</w:t>
      </w:r>
      <w:bookmarkEnd w:id="138"/>
      <w:bookmarkEnd w:id="139"/>
      <w:bookmarkEnd w:id="140"/>
      <w:bookmarkEnd w:id="141"/>
      <w:bookmarkEnd w:id="142"/>
      <w:bookmarkEnd w:id="143"/>
      <w:bookmarkEnd w:id="144"/>
      <w:bookmarkEnd w:id="145"/>
      <w:bookmarkEnd w:id="146"/>
      <w:bookmarkEnd w:id="147"/>
    </w:p>
    <w:p w14:paraId="6B56025F">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（一）谈判小组将依照本竞争性谈判文件相关规定对技术（质量）和服务均能满足竞争性谈判实质性响应要求的供应商所提交的最后报价进行政策性扣减，并依据扣减后的价格按照由低到高的顺序提出3名</w:t>
      </w:r>
      <w:r>
        <w:rPr>
          <w:rFonts w:hint="eastAsia" w:ascii="宋体" w:hAnsi="宋体" w:eastAsia="宋体" w:cs="宋体"/>
          <w:sz w:val="24"/>
          <w:szCs w:val="24"/>
          <w:lang w:val="en-US" w:eastAsia="zh-CN"/>
        </w:rPr>
        <w:t>及</w:t>
      </w:r>
      <w:r>
        <w:rPr>
          <w:rFonts w:hint="eastAsia" w:ascii="宋体" w:hAnsi="宋体" w:eastAsia="宋体" w:cs="宋体"/>
          <w:sz w:val="24"/>
          <w:szCs w:val="24"/>
        </w:rPr>
        <w:t>以上成交候选人，并编写评审报告。</w:t>
      </w:r>
    </w:p>
    <w:p w14:paraId="4DCE6545">
      <w:pPr>
        <w:pStyle w:val="33"/>
        <w:spacing w:line="400" w:lineRule="exact"/>
        <w:ind w:left="560"/>
        <w:rPr>
          <w:rFonts w:ascii="宋体" w:hAnsi="宋体" w:eastAsia="宋体" w:cs="宋体"/>
          <w:sz w:val="24"/>
          <w:szCs w:val="24"/>
        </w:rPr>
      </w:pPr>
      <w:r>
        <w:rPr>
          <w:rFonts w:hint="eastAsia" w:ascii="宋体" w:hAnsi="宋体" w:eastAsia="宋体" w:cs="宋体"/>
          <w:sz w:val="24"/>
          <w:szCs w:val="24"/>
        </w:rPr>
        <w:t>注：政策性扣减方式</w:t>
      </w:r>
    </w:p>
    <w:p w14:paraId="580242B7">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1.供应商为非联合体参与谈判的，对小微型企业给予</w:t>
      </w:r>
      <w:r>
        <w:rPr>
          <w:rFonts w:hint="eastAsia" w:ascii="宋体" w:hAnsi="宋体" w:eastAsia="宋体" w:cs="宋体"/>
          <w:sz w:val="24"/>
          <w:szCs w:val="24"/>
          <w:u w:val="single"/>
        </w:rPr>
        <w:t xml:space="preserve"> 10 </w:t>
      </w:r>
      <w:r>
        <w:rPr>
          <w:rFonts w:hint="eastAsia" w:ascii="宋体" w:hAnsi="宋体" w:eastAsia="宋体" w:cs="宋体"/>
          <w:sz w:val="24"/>
          <w:szCs w:val="24"/>
        </w:rPr>
        <w:t>%的扣除，以扣除后的报价参与评审。</w:t>
      </w:r>
    </w:p>
    <w:p w14:paraId="69E9F802">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2.监狱企业、残疾人福利性单位视同小型、微型企业。</w:t>
      </w:r>
    </w:p>
    <w:p w14:paraId="0855B10A">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（二）若供应商的最后报价经扣减后价格相同，按技术（质量）的优劣顺序排列；以上都相同的，按服务条款的优劣顺序排列。</w:t>
      </w:r>
    </w:p>
    <w:p w14:paraId="144AB31D">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（三）成交价格=成交供应商的最后报价。</w:t>
      </w:r>
    </w:p>
    <w:p w14:paraId="7785FA94">
      <w:pPr>
        <w:pStyle w:val="4"/>
        <w:adjustRightInd w:val="0"/>
        <w:snapToGrid w:val="0"/>
        <w:spacing w:before="0" w:after="0" w:line="400" w:lineRule="exact"/>
        <w:ind w:firstLine="482" w:firstLineChars="200"/>
        <w:rPr>
          <w:rFonts w:ascii="宋体" w:hAnsi="宋体" w:eastAsia="宋体" w:cs="宋体"/>
          <w:sz w:val="24"/>
        </w:rPr>
      </w:pPr>
      <w:bookmarkStart w:id="148" w:name="_Toc29113"/>
      <w:bookmarkStart w:id="149" w:name="_Toc106034643"/>
      <w:bookmarkStart w:id="150" w:name="_Toc5332"/>
      <w:bookmarkStart w:id="151" w:name="_Toc12644"/>
      <w:bookmarkStart w:id="152" w:name="_Toc7023"/>
      <w:bookmarkStart w:id="153" w:name="_Toc141882144"/>
      <w:bookmarkStart w:id="154" w:name="_Toc65660352"/>
      <w:bookmarkStart w:id="155" w:name="_Toc142059995"/>
      <w:bookmarkStart w:id="156" w:name="_Toc22356"/>
      <w:r>
        <w:rPr>
          <w:rFonts w:hint="eastAsia" w:ascii="宋体" w:hAnsi="宋体" w:eastAsia="宋体" w:cs="宋体"/>
          <w:sz w:val="24"/>
        </w:rPr>
        <w:t>三、无效谈判</w:t>
      </w:r>
      <w:bookmarkEnd w:id="148"/>
      <w:bookmarkEnd w:id="149"/>
      <w:bookmarkEnd w:id="150"/>
      <w:bookmarkEnd w:id="151"/>
      <w:bookmarkEnd w:id="152"/>
      <w:bookmarkEnd w:id="153"/>
      <w:bookmarkEnd w:id="154"/>
      <w:bookmarkEnd w:id="155"/>
      <w:bookmarkEnd w:id="156"/>
    </w:p>
    <w:p w14:paraId="02CF1550">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供应商发生以下条款情况之一者，视为无效谈判：</w:t>
      </w:r>
    </w:p>
    <w:p w14:paraId="4CB8A53F">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（一）供应商不符合规定的资格条件的；</w:t>
      </w:r>
    </w:p>
    <w:p w14:paraId="3789BEA5">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（二）供应商未通过实质性响应审查的；</w:t>
      </w:r>
    </w:p>
    <w:p w14:paraId="7A93AA60">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（三）供应商的法定代表人（或其授权代表）或自然人未参加谈判的；</w:t>
      </w:r>
    </w:p>
    <w:p w14:paraId="0917703A">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（四）供应商未在保证金到账截止时间前足额交纳所参与包保证金的；</w:t>
      </w:r>
    </w:p>
    <w:p w14:paraId="3BA7396D">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（五）供应商所提交的响应文件未按“第七篇响应文件格式要求”要求签署或盖章的；</w:t>
      </w:r>
    </w:p>
    <w:p w14:paraId="23678D0B">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（六）供应商的最后报价超过采购预算或最高限价的；</w:t>
      </w:r>
    </w:p>
    <w:p w14:paraId="398720F2">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（七）供应商不接受谈判小组修正后的价格的；</w:t>
      </w:r>
    </w:p>
    <w:p w14:paraId="5FEDEF44">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（八）单位负责人为同一人或者存在直接控股、管理关系的不同供应商，参加同一合同项（包）谈判的；</w:t>
      </w:r>
    </w:p>
    <w:p w14:paraId="40D47D52">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（九）为采购项目提供整体设计、规范编制或者项目管理、监理、检测等服务的供应商再参加该采购项目的其他采购活动的；</w:t>
      </w:r>
    </w:p>
    <w:p w14:paraId="692681B0">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（十）同一合同项（包）下的货物，制造商参与谈判，再委托代理商参与谈判的；</w:t>
      </w:r>
    </w:p>
    <w:p w14:paraId="52F5BFBE">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（十一）供应商响应文件内容有与国家现行法律法规相违背的内容，或附有采购人无法接受条件的；</w:t>
      </w:r>
    </w:p>
    <w:p w14:paraId="0F263367">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（十二）法律、法规和竞争性谈判文件规定的其他无效情形。</w:t>
      </w:r>
    </w:p>
    <w:p w14:paraId="732294A2">
      <w:pPr>
        <w:pStyle w:val="4"/>
        <w:adjustRightInd w:val="0"/>
        <w:snapToGrid w:val="0"/>
        <w:spacing w:before="0" w:after="0" w:line="400" w:lineRule="exact"/>
        <w:ind w:firstLine="482" w:firstLineChars="200"/>
        <w:rPr>
          <w:rFonts w:ascii="宋体" w:hAnsi="宋体" w:eastAsia="宋体" w:cs="宋体"/>
          <w:sz w:val="24"/>
        </w:rPr>
      </w:pPr>
      <w:bookmarkStart w:id="157" w:name="_Toc65660353"/>
      <w:bookmarkStart w:id="158" w:name="_Toc31579"/>
      <w:bookmarkStart w:id="159" w:name="_Toc142059996"/>
      <w:bookmarkStart w:id="160" w:name="_Toc24663"/>
      <w:bookmarkStart w:id="161" w:name="_Toc106034644"/>
      <w:bookmarkStart w:id="162" w:name="_Toc28422"/>
      <w:bookmarkStart w:id="163" w:name="_Toc29298"/>
      <w:bookmarkStart w:id="164" w:name="_Toc141882145"/>
      <w:bookmarkStart w:id="165" w:name="_Toc7704"/>
      <w:r>
        <w:rPr>
          <w:rFonts w:hint="eastAsia" w:ascii="宋体" w:hAnsi="宋体" w:eastAsia="宋体" w:cs="宋体"/>
          <w:sz w:val="24"/>
        </w:rPr>
        <w:t>四、采购终止</w:t>
      </w:r>
      <w:bookmarkEnd w:id="157"/>
      <w:bookmarkEnd w:id="158"/>
      <w:bookmarkEnd w:id="159"/>
      <w:bookmarkEnd w:id="160"/>
      <w:bookmarkEnd w:id="161"/>
      <w:bookmarkEnd w:id="162"/>
      <w:bookmarkEnd w:id="163"/>
      <w:bookmarkEnd w:id="164"/>
      <w:bookmarkEnd w:id="165"/>
    </w:p>
    <w:p w14:paraId="2447C528">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出现下列情形之一的，采购人或者采购代理机构应当终止竞争性谈判采购活动，发布项目终止公告并说明原因，重新开展采购活动：</w:t>
      </w:r>
    </w:p>
    <w:p w14:paraId="11336BCA">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（一）因情况变化，不再符合规定的竞争性谈判采购方式适用情形的；</w:t>
      </w:r>
    </w:p>
    <w:p w14:paraId="271586B1">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（二）出现影响采购公正的违法、违规行为的；</w:t>
      </w:r>
    </w:p>
    <w:p w14:paraId="4CFDCD5E">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（三）在采购过程中符合竞争要求的供应商或者报价未超过采购预算的供应商不足3家的，但《政府采购非招标采购方式管理办法》第二十七条第二款规定的情形除外。</w:t>
      </w:r>
    </w:p>
    <w:p w14:paraId="35495214">
      <w:pPr>
        <w:spacing w:line="360" w:lineRule="auto"/>
        <w:ind w:firstLine="480" w:firstLineChars="200"/>
        <w:rPr>
          <w:rFonts w:ascii="宋体" w:hAnsi="宋体" w:eastAsia="宋体" w:cs="宋体"/>
          <w:kern w:val="0"/>
          <w:sz w:val="24"/>
          <w:szCs w:val="24"/>
        </w:rPr>
        <w:sectPr>
          <w:footerReference r:id="rId6" w:type="default"/>
          <w:pgSz w:w="11907" w:h="16840"/>
          <w:pgMar w:top="1134" w:right="1134" w:bottom="1134" w:left="1134" w:header="851" w:footer="850" w:gutter="0"/>
          <w:cols w:space="720" w:num="1"/>
          <w:docGrid w:linePitch="380" w:charSpace="-5735"/>
        </w:sectPr>
      </w:pPr>
    </w:p>
    <w:p w14:paraId="5FA7D7A2">
      <w:pPr>
        <w:pStyle w:val="3"/>
        <w:keepLines/>
        <w:snapToGrid/>
        <w:spacing w:line="360" w:lineRule="auto"/>
        <w:ind w:firstLine="3253" w:firstLineChars="900"/>
        <w:jc w:val="both"/>
        <w:rPr>
          <w:rFonts w:hAnsi="宋体" w:eastAsia="宋体" w:cs="宋体"/>
          <w:b/>
          <w:sz w:val="36"/>
          <w:szCs w:val="30"/>
        </w:rPr>
      </w:pPr>
      <w:bookmarkStart w:id="166" w:name="_Toc10768"/>
      <w:bookmarkStart w:id="167" w:name="_Toc106034645"/>
      <w:bookmarkStart w:id="168" w:name="_Toc18209"/>
      <w:bookmarkStart w:id="169" w:name="_Toc65660354"/>
      <w:bookmarkStart w:id="170" w:name="_Toc142059997"/>
      <w:bookmarkStart w:id="171" w:name="_Toc20055"/>
      <w:bookmarkStart w:id="172" w:name="_Toc14891"/>
      <w:r>
        <w:rPr>
          <w:rFonts w:hint="eastAsia" w:hAnsi="宋体" w:eastAsia="宋体" w:cs="宋体"/>
          <w:b/>
          <w:bCs/>
          <w:sz w:val="36"/>
          <w:szCs w:val="30"/>
        </w:rPr>
        <w:t>第五篇  供应商须知</w:t>
      </w:r>
      <w:bookmarkEnd w:id="166"/>
      <w:bookmarkEnd w:id="167"/>
      <w:bookmarkEnd w:id="168"/>
      <w:bookmarkEnd w:id="169"/>
      <w:bookmarkEnd w:id="170"/>
      <w:bookmarkEnd w:id="171"/>
      <w:bookmarkEnd w:id="172"/>
    </w:p>
    <w:p w14:paraId="21D9965A">
      <w:pPr>
        <w:pStyle w:val="4"/>
        <w:adjustRightInd w:val="0"/>
        <w:snapToGrid w:val="0"/>
        <w:spacing w:before="0" w:after="0" w:line="400" w:lineRule="exact"/>
        <w:ind w:firstLine="482" w:firstLineChars="200"/>
        <w:rPr>
          <w:rFonts w:ascii="宋体" w:hAnsi="宋体" w:eastAsia="宋体" w:cs="宋体"/>
          <w:sz w:val="24"/>
        </w:rPr>
      </w:pPr>
      <w:bookmarkStart w:id="173" w:name="_Toc65660355"/>
      <w:bookmarkStart w:id="174" w:name="_Toc5290"/>
      <w:bookmarkStart w:id="175" w:name="_Toc142059998"/>
      <w:bookmarkStart w:id="176" w:name="_Toc16524"/>
      <w:bookmarkStart w:id="177" w:name="_Toc32580"/>
      <w:bookmarkStart w:id="178" w:name="_Toc5347"/>
      <w:bookmarkStart w:id="179" w:name="_Toc106034646"/>
      <w:r>
        <w:rPr>
          <w:rFonts w:hint="eastAsia" w:ascii="宋体" w:hAnsi="宋体" w:eastAsia="宋体" w:cs="宋体"/>
          <w:sz w:val="24"/>
        </w:rPr>
        <w:t>一、谈判费用</w:t>
      </w:r>
      <w:bookmarkEnd w:id="173"/>
      <w:bookmarkEnd w:id="174"/>
      <w:bookmarkEnd w:id="175"/>
      <w:bookmarkEnd w:id="176"/>
      <w:bookmarkEnd w:id="177"/>
      <w:bookmarkEnd w:id="178"/>
      <w:bookmarkEnd w:id="179"/>
    </w:p>
    <w:p w14:paraId="3C336D21">
      <w:pPr>
        <w:pStyle w:val="146"/>
        <w:spacing w:line="400" w:lineRule="exact"/>
        <w:ind w:firstLine="480" w:firstLineChars="200"/>
        <w:rPr>
          <w:rFonts w:hAnsi="宋体" w:eastAsia="宋体" w:cs="宋体"/>
          <w:sz w:val="24"/>
          <w:szCs w:val="24"/>
        </w:rPr>
      </w:pPr>
      <w:r>
        <w:rPr>
          <w:rFonts w:hint="eastAsia" w:hAnsi="宋体" w:eastAsia="宋体" w:cs="宋体"/>
          <w:sz w:val="24"/>
          <w:szCs w:val="24"/>
        </w:rPr>
        <w:t>参与谈判的供应商应承担其编制响应文件与递交响应文件所涉及的一切费用，不论谈判结果如何，采购人和采购代理机构在任何情况下无义务也无责任承担这些费用。</w:t>
      </w:r>
    </w:p>
    <w:p w14:paraId="49D4F93B">
      <w:pPr>
        <w:pStyle w:val="4"/>
        <w:adjustRightInd w:val="0"/>
        <w:snapToGrid w:val="0"/>
        <w:spacing w:before="0" w:after="0" w:line="400" w:lineRule="exact"/>
        <w:ind w:firstLine="482" w:firstLineChars="200"/>
        <w:rPr>
          <w:rFonts w:ascii="宋体" w:hAnsi="宋体" w:eastAsia="宋体" w:cs="宋体"/>
          <w:sz w:val="24"/>
        </w:rPr>
      </w:pPr>
      <w:bookmarkStart w:id="180" w:name="_Toc31739"/>
      <w:bookmarkStart w:id="181" w:name="_Toc106034647"/>
      <w:bookmarkStart w:id="182" w:name="_Toc32054"/>
      <w:bookmarkStart w:id="183" w:name="_Toc65660356"/>
      <w:bookmarkStart w:id="184" w:name="_Toc142059999"/>
      <w:bookmarkStart w:id="185" w:name="_Toc5915"/>
      <w:bookmarkStart w:id="186" w:name="_Toc24874"/>
      <w:r>
        <w:rPr>
          <w:rFonts w:hint="eastAsia" w:ascii="宋体" w:hAnsi="宋体" w:eastAsia="宋体" w:cs="宋体"/>
          <w:sz w:val="24"/>
        </w:rPr>
        <w:t>二、竞争性谈判文件</w:t>
      </w:r>
      <w:bookmarkEnd w:id="180"/>
      <w:bookmarkEnd w:id="181"/>
      <w:bookmarkEnd w:id="182"/>
      <w:bookmarkEnd w:id="183"/>
      <w:bookmarkEnd w:id="184"/>
      <w:bookmarkEnd w:id="185"/>
      <w:bookmarkEnd w:id="186"/>
      <w:r>
        <w:rPr>
          <w:rFonts w:hint="eastAsia" w:ascii="宋体" w:hAnsi="宋体" w:eastAsia="宋体" w:cs="宋体"/>
          <w:sz w:val="24"/>
        </w:rPr>
        <w:tab/>
      </w:r>
    </w:p>
    <w:p w14:paraId="7F26BC51">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（一）竞争性谈判文件由竞争性谈判邀请书、谈判项目技术需求、谈判项目服务需求、采购程序、评定成交的标准、无效谈判及采购终止、供应商须知、合同草案条款、响应文件格式要求七部分组成。</w:t>
      </w:r>
    </w:p>
    <w:p w14:paraId="7DC02182">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（二）采购人（或采购代理机构）所作的一切有效的书面通知、修改及补充，都是竞争性谈判文件不可分割的部分。</w:t>
      </w:r>
    </w:p>
    <w:p w14:paraId="62D921F4">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（三）本竞争性谈判文件中，谈判小组根据与供应商谈判情况可能实质性变动的内容为竞争性谈判文件第二、三、六篇全部内容。</w:t>
      </w:r>
    </w:p>
    <w:p w14:paraId="387CE673">
      <w:pPr>
        <w:pStyle w:val="4"/>
        <w:adjustRightInd w:val="0"/>
        <w:snapToGrid w:val="0"/>
        <w:spacing w:before="0" w:after="0" w:line="400" w:lineRule="exact"/>
        <w:ind w:firstLine="482" w:firstLineChars="200"/>
        <w:rPr>
          <w:rFonts w:ascii="宋体" w:hAnsi="宋体" w:eastAsia="宋体" w:cs="宋体"/>
          <w:sz w:val="24"/>
        </w:rPr>
      </w:pPr>
      <w:bookmarkStart w:id="187" w:name="_Toc142060000"/>
      <w:bookmarkStart w:id="188" w:name="_Toc9532"/>
      <w:bookmarkStart w:id="189" w:name="_Toc27930"/>
      <w:bookmarkStart w:id="190" w:name="_Toc2790"/>
      <w:bookmarkStart w:id="191" w:name="_Toc3061"/>
      <w:bookmarkStart w:id="192" w:name="_Toc106034648"/>
      <w:bookmarkStart w:id="193" w:name="_Toc65660357"/>
      <w:r>
        <w:rPr>
          <w:rFonts w:hint="eastAsia" w:ascii="宋体" w:hAnsi="宋体" w:eastAsia="宋体" w:cs="宋体"/>
          <w:sz w:val="24"/>
        </w:rPr>
        <w:t>三、谈判要求</w:t>
      </w:r>
      <w:bookmarkEnd w:id="187"/>
      <w:bookmarkEnd w:id="188"/>
      <w:bookmarkEnd w:id="189"/>
      <w:bookmarkEnd w:id="190"/>
      <w:bookmarkEnd w:id="191"/>
      <w:bookmarkEnd w:id="192"/>
      <w:bookmarkEnd w:id="193"/>
    </w:p>
    <w:p w14:paraId="07448CE3">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（一）响应文件</w:t>
      </w:r>
    </w:p>
    <w:p w14:paraId="4AB4CFC1">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供应商应当按照竞争性谈判文件的要求编制响应文件，并对竞争性谈判文件提出的要求和条件作出实质性响应，响应文件原则上采用软面订本。</w:t>
      </w:r>
    </w:p>
    <w:p w14:paraId="5EF7BB88">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1.响应文件组成</w:t>
      </w:r>
    </w:p>
    <w:p w14:paraId="4ABC74C0">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响应文件由“第七篇响应文件格式要求”规定的部分和供应商所作的一切有效补充、修改和承诺等文件组成，供应商应按照“第七篇响应文件格式”规定进行编写和装订，也可在基本格式基础上对表格进行扩展，未规定格式的由供应商自定格式。</w:t>
      </w:r>
    </w:p>
    <w:p w14:paraId="490237D5">
      <w:pPr>
        <w:spacing w:line="400" w:lineRule="exact"/>
        <w:ind w:firstLine="480" w:firstLineChars="200"/>
        <w:rPr>
          <w:rFonts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.谈判有效期：响应文件及有关承诺文件有效期为提交响应文件截止时间起90天。</w:t>
      </w:r>
    </w:p>
    <w:p w14:paraId="7E9EEA41">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（二）保证金：</w:t>
      </w:r>
    </w:p>
    <w:p w14:paraId="0724E131">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1.供应商提交保证金金额和方式详见“</w:t>
      </w:r>
      <w:r>
        <w:rPr>
          <w:rFonts w:hint="eastAsia" w:ascii="宋体" w:hAnsi="宋体" w:eastAsia="宋体" w:cs="宋体"/>
          <w:b/>
          <w:sz w:val="24"/>
          <w:szCs w:val="24"/>
          <w:u w:val="single"/>
        </w:rPr>
        <w:t>第一篇  五、保证金”</w:t>
      </w:r>
      <w:r>
        <w:rPr>
          <w:rFonts w:hint="eastAsia" w:ascii="宋体" w:hAnsi="宋体" w:eastAsia="宋体" w:cs="宋体"/>
          <w:sz w:val="24"/>
          <w:szCs w:val="24"/>
        </w:rPr>
        <w:t>；</w:t>
      </w:r>
    </w:p>
    <w:p w14:paraId="66C11C42">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2.发生以下情况之一者，保证金不予退还：</w:t>
      </w:r>
    </w:p>
    <w:p w14:paraId="3654D3B1">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2.1供应商在提交响应文件截止时间后撤回响应文件的；</w:t>
      </w:r>
    </w:p>
    <w:p w14:paraId="3996BEEC">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2.2供应商在响应文件中提供虚假材料的；</w:t>
      </w:r>
    </w:p>
    <w:p w14:paraId="603731B8">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2.3除因不可抗力或竞争性谈判文件认可的情形以外，成交供应商不与采购人签订合同的；</w:t>
      </w:r>
    </w:p>
    <w:p w14:paraId="465D8644">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2.4供应商与采购人、其他供应商或者采购代理机构恶意串通的；</w:t>
      </w:r>
    </w:p>
    <w:p w14:paraId="36A9539F">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2.5成交供应商不按规定的时间或拒绝按成交状态签订合同（即不按照采购文件确定的合同文本以及采购标的、规格型号、采购金额、采购数量、技术（质量）和服务要求等事项签订政府采购合同的）。</w:t>
      </w:r>
    </w:p>
    <w:p w14:paraId="7F6123A6">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rPr>
        <w:t>保证金的有效期限在谈判有效期过后三十天继续有效。</w:t>
      </w:r>
    </w:p>
    <w:p w14:paraId="2EB0C28A">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（三）修正错误</w:t>
      </w:r>
    </w:p>
    <w:p w14:paraId="2775338F">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若供应商所递交的响应文件或最后报价中的价格出现大写金额和小写金额不一致的错误，以大写金额修正为准。</w:t>
      </w:r>
    </w:p>
    <w:p w14:paraId="6D7E9CA5">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谈判小组按上述修正错误的原则及方法修正供应商的报价，供应商同意并签署确认后，修正后的报价对供应商具有约束作用。如果供应商不接受修正后的价格，将视为无效谈判。</w:t>
      </w:r>
    </w:p>
    <w:p w14:paraId="145DA805">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（四）提交响应文件的份数和签署</w:t>
      </w:r>
    </w:p>
    <w:p w14:paraId="5FD9F972">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b/>
          <w:bCs/>
          <w:sz w:val="24"/>
          <w:szCs w:val="24"/>
        </w:rPr>
        <w:t>响应文件一式二份，其中正本一份，副本</w:t>
      </w:r>
      <w:r>
        <w:rPr>
          <w:rFonts w:hint="eastAsia" w:ascii="宋体" w:hAnsi="宋体" w:eastAsia="宋体" w:cs="宋体"/>
          <w:b/>
          <w:bCs/>
          <w:sz w:val="24"/>
          <w:szCs w:val="24"/>
          <w:lang w:val="en-US" w:eastAsia="zh-CN"/>
        </w:rPr>
        <w:t>一</w:t>
      </w:r>
      <w:r>
        <w:rPr>
          <w:rFonts w:hint="eastAsia" w:ascii="宋体" w:hAnsi="宋体" w:eastAsia="宋体" w:cs="宋体"/>
          <w:b/>
          <w:bCs/>
          <w:sz w:val="24"/>
          <w:szCs w:val="24"/>
        </w:rPr>
        <w:t>份</w:t>
      </w:r>
      <w:r>
        <w:rPr>
          <w:rFonts w:hint="eastAsia" w:ascii="宋体" w:hAnsi="宋体" w:eastAsia="宋体" w:cs="宋体"/>
          <w:sz w:val="24"/>
          <w:szCs w:val="24"/>
        </w:rPr>
        <w:t>；副本可为正本的复印件，应与正本一致，如出现不一致情况以正本为准。</w:t>
      </w:r>
    </w:p>
    <w:p w14:paraId="5484C654">
      <w:pPr>
        <w:snapToGrid w:val="0"/>
        <w:spacing w:line="400" w:lineRule="exact"/>
        <w:ind w:firstLine="480" w:firstLineChars="200"/>
        <w:rPr>
          <w:rFonts w:ascii="宋体" w:hAnsi="宋体" w:eastAsia="宋体" w:cs="宋体"/>
          <w:sz w:val="24"/>
        </w:rPr>
      </w:pPr>
      <w:r>
        <w:rPr>
          <w:rFonts w:hint="eastAsia" w:ascii="宋体" w:hAnsi="宋体" w:eastAsia="宋体" w:cs="宋体"/>
          <w:sz w:val="24"/>
          <w:szCs w:val="24"/>
        </w:rPr>
        <w:t>2.</w:t>
      </w:r>
      <w:r>
        <w:rPr>
          <w:rFonts w:hint="eastAsia" w:ascii="宋体" w:hAnsi="宋体" w:eastAsia="宋体" w:cs="宋体"/>
          <w:sz w:val="24"/>
        </w:rPr>
        <w:t>在响应文件正本中，竞争性谈判文件第七篇响应文件格式中规定签署、盖章的地方必须按其规定签署、盖章。</w:t>
      </w:r>
    </w:p>
    <w:p w14:paraId="7AE67429">
      <w:pPr>
        <w:snapToGrid w:val="0"/>
        <w:spacing w:line="400" w:lineRule="exact"/>
        <w:ind w:firstLine="480" w:firstLineChars="200"/>
        <w:rPr>
          <w:rFonts w:ascii="宋体" w:hAnsi="宋体" w:eastAsia="宋体" w:cs="宋体"/>
          <w:sz w:val="24"/>
        </w:rPr>
      </w:pPr>
      <w:r>
        <w:rPr>
          <w:rFonts w:hint="eastAsia" w:ascii="宋体" w:hAnsi="宋体" w:eastAsia="宋体" w:cs="宋体"/>
          <w:sz w:val="24"/>
        </w:rPr>
        <w:t>3.若供应商对响应文件的错处作必要修改，则应在修改处加盖供应商公章或由法定代表人（或其授权代表）或自然人</w:t>
      </w:r>
      <w:r>
        <w:rPr>
          <w:rFonts w:hint="eastAsia" w:ascii="宋体" w:hAnsi="宋体" w:eastAsia="宋体" w:cs="宋体"/>
          <w:sz w:val="24"/>
          <w:szCs w:val="24"/>
        </w:rPr>
        <w:t>（供应商为自然人）签署</w:t>
      </w:r>
      <w:r>
        <w:rPr>
          <w:rFonts w:hint="eastAsia" w:ascii="宋体" w:hAnsi="宋体" w:eastAsia="宋体" w:cs="宋体"/>
          <w:sz w:val="24"/>
        </w:rPr>
        <w:t>确认。</w:t>
      </w:r>
    </w:p>
    <w:p w14:paraId="4C456021">
      <w:pPr>
        <w:snapToGrid w:val="0"/>
        <w:spacing w:line="400" w:lineRule="exact"/>
        <w:ind w:firstLine="480" w:firstLineChars="200"/>
        <w:rPr>
          <w:rFonts w:ascii="宋体" w:hAnsi="宋体" w:eastAsia="宋体" w:cs="宋体"/>
          <w:sz w:val="24"/>
        </w:rPr>
      </w:pPr>
      <w:r>
        <w:rPr>
          <w:rFonts w:hint="eastAsia" w:ascii="宋体" w:hAnsi="宋体" w:eastAsia="宋体" w:cs="宋体"/>
          <w:sz w:val="24"/>
        </w:rPr>
        <w:t>4.电报、电话、传真形式的响应文件概不接受。</w:t>
      </w:r>
    </w:p>
    <w:p w14:paraId="113EB656">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（五）响应文件的递交</w:t>
      </w:r>
    </w:p>
    <w:p w14:paraId="1CE07568">
      <w:pPr>
        <w:pStyle w:val="30"/>
        <w:spacing w:line="400" w:lineRule="exact"/>
        <w:ind w:firstLine="480" w:firstLineChars="200"/>
        <w:rPr>
          <w:rFonts w:hAnsi="宋体" w:eastAsia="宋体" w:cs="宋体"/>
          <w:sz w:val="24"/>
        </w:rPr>
      </w:pPr>
      <w:r>
        <w:rPr>
          <w:rFonts w:hint="eastAsia" w:hAnsi="宋体" w:eastAsia="宋体" w:cs="宋体"/>
          <w:sz w:val="24"/>
          <w:szCs w:val="24"/>
        </w:rPr>
        <w:t>响应文件的正本、副本应密封送达谈判地点，应在封套上注明谈判项目名称、供应商名称。若正本、副本分别进行密封的，还应在封套上注明“正本”、“副本”字样。</w:t>
      </w:r>
    </w:p>
    <w:p w14:paraId="0085BB4F">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（六）响应文件语言：简体中文</w:t>
      </w:r>
    </w:p>
    <w:p w14:paraId="7F8188E3">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（七）供应商参与人员</w:t>
      </w:r>
    </w:p>
    <w:p w14:paraId="21E9BD61">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各供应商应当派1-2名代表参与谈判，至少1人应为法定代表人（或其授权代表）或自然人（供应商为自然人）。</w:t>
      </w:r>
    </w:p>
    <w:p w14:paraId="59C38E37">
      <w:pPr>
        <w:pStyle w:val="4"/>
        <w:adjustRightInd w:val="0"/>
        <w:snapToGrid w:val="0"/>
        <w:spacing w:before="0" w:after="0" w:line="400" w:lineRule="exact"/>
        <w:ind w:firstLine="482" w:firstLineChars="200"/>
        <w:rPr>
          <w:rFonts w:ascii="宋体" w:hAnsi="宋体" w:eastAsia="宋体" w:cs="宋体"/>
          <w:sz w:val="24"/>
        </w:rPr>
      </w:pPr>
      <w:bookmarkStart w:id="194" w:name="_Toc65660358"/>
      <w:bookmarkStart w:id="195" w:name="_Toc14702"/>
      <w:bookmarkStart w:id="196" w:name="_Toc106034649"/>
      <w:bookmarkStart w:id="197" w:name="_Toc9430"/>
      <w:bookmarkStart w:id="198" w:name="_Toc6242"/>
      <w:bookmarkStart w:id="199" w:name="_Toc7053"/>
      <w:bookmarkStart w:id="200" w:name="_Toc142060001"/>
      <w:r>
        <w:rPr>
          <w:rFonts w:hint="eastAsia" w:ascii="宋体" w:hAnsi="宋体" w:eastAsia="宋体" w:cs="宋体"/>
          <w:sz w:val="24"/>
        </w:rPr>
        <w:t>四、成交供应商的确定和变更</w:t>
      </w:r>
      <w:bookmarkEnd w:id="194"/>
      <w:bookmarkEnd w:id="195"/>
      <w:bookmarkEnd w:id="196"/>
      <w:bookmarkEnd w:id="197"/>
      <w:bookmarkEnd w:id="198"/>
      <w:bookmarkEnd w:id="199"/>
      <w:bookmarkEnd w:id="200"/>
    </w:p>
    <w:p w14:paraId="78B54D68">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采购代理机构应当在评审结束后2个工作日内将评审报告送采购人确认。采购人应当在收到评审报告后5个工作日内，从评审报告提出的成交候选人中，根据质量和服务均能满足采购文件实质性响应要求且最后报价最低的原则确定成交供应商，也可以书面授权谈判小组直接确定成交供应商。采购人逾期未确定成交供应商且不提出异议的，视为确定评审报告提出的最后报价最低的供应商为成交供应商。</w:t>
      </w:r>
    </w:p>
    <w:p w14:paraId="2898E66C">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（二）成交供应商的变更</w:t>
      </w:r>
    </w:p>
    <w:p w14:paraId="4901D1AC">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成交供应商拒绝签订政府采购合同的，采购人可以按照评审报告推荐的成交候选人顺序，确定排名下一位的候选人为成交供应商，也可以重新开展政府采购活动。拒绝签订政府采购合同的成交供应商不得参加对该项目重新开展的采购活动。</w:t>
      </w:r>
    </w:p>
    <w:p w14:paraId="1FCD1166">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2.成交供应商无充分理由放弃成交的，采购人将向同级财政部门报告，财政部门将根据相关法律法规的规定进行处理。</w:t>
      </w:r>
    </w:p>
    <w:p w14:paraId="6A3856F8">
      <w:pPr>
        <w:pStyle w:val="4"/>
        <w:adjustRightInd w:val="0"/>
        <w:snapToGrid w:val="0"/>
        <w:spacing w:before="0" w:after="0" w:line="400" w:lineRule="exact"/>
        <w:ind w:firstLine="482" w:firstLineChars="200"/>
        <w:rPr>
          <w:rFonts w:ascii="宋体" w:hAnsi="宋体" w:eastAsia="宋体" w:cs="宋体"/>
          <w:sz w:val="24"/>
        </w:rPr>
      </w:pPr>
      <w:bookmarkStart w:id="201" w:name="_Toc21342"/>
      <w:bookmarkStart w:id="202" w:name="_Toc65660359"/>
      <w:bookmarkStart w:id="203" w:name="_Toc1092"/>
      <w:bookmarkStart w:id="204" w:name="_Toc106034650"/>
      <w:bookmarkStart w:id="205" w:name="_Toc142060002"/>
      <w:bookmarkStart w:id="206" w:name="_Toc29821"/>
      <w:bookmarkStart w:id="207" w:name="_Toc22956"/>
      <w:r>
        <w:rPr>
          <w:rFonts w:hint="eastAsia" w:ascii="宋体" w:hAnsi="宋体" w:eastAsia="宋体" w:cs="宋体"/>
          <w:sz w:val="24"/>
        </w:rPr>
        <w:t>五、成交通知</w:t>
      </w:r>
      <w:bookmarkEnd w:id="201"/>
      <w:bookmarkEnd w:id="202"/>
      <w:bookmarkEnd w:id="203"/>
      <w:bookmarkEnd w:id="204"/>
      <w:bookmarkEnd w:id="205"/>
      <w:bookmarkEnd w:id="206"/>
      <w:bookmarkEnd w:id="207"/>
    </w:p>
    <w:p w14:paraId="0901F7A3">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（一）成交供应商确定后，采购代理机构将在行采家上发布成交结果公告。</w:t>
      </w:r>
    </w:p>
    <w:p w14:paraId="56996844">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（二）结果公告发出同时，采购代理机构将以书面形式发出《成交通知书》。《成交通知书》一经发出即发生法律效力。</w:t>
      </w:r>
    </w:p>
    <w:p w14:paraId="6C54FCF5">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（三）《成交通知书》将作为签订合同的依据。</w:t>
      </w:r>
    </w:p>
    <w:p w14:paraId="38040CB9">
      <w:pPr>
        <w:pStyle w:val="4"/>
        <w:adjustRightInd w:val="0"/>
        <w:snapToGrid w:val="0"/>
        <w:spacing w:before="0" w:after="0" w:line="400" w:lineRule="exact"/>
        <w:ind w:firstLine="482" w:firstLineChars="200"/>
        <w:rPr>
          <w:rFonts w:ascii="宋体" w:hAnsi="宋体" w:eastAsia="宋体" w:cs="宋体"/>
          <w:sz w:val="24"/>
        </w:rPr>
      </w:pPr>
      <w:bookmarkStart w:id="208" w:name="_Toc106034651"/>
      <w:bookmarkStart w:id="209" w:name="_Toc6902"/>
      <w:bookmarkStart w:id="210" w:name="_Toc27084"/>
      <w:bookmarkStart w:id="211" w:name="_Toc142060003"/>
      <w:bookmarkStart w:id="212" w:name="_Toc65660360"/>
      <w:bookmarkStart w:id="213" w:name="_Toc30909"/>
      <w:bookmarkStart w:id="214" w:name="_Toc1010"/>
      <w:r>
        <w:rPr>
          <w:rFonts w:hint="eastAsia" w:ascii="宋体" w:hAnsi="宋体" w:eastAsia="宋体" w:cs="宋体"/>
          <w:sz w:val="24"/>
        </w:rPr>
        <w:t>六、关于质疑和投诉</w:t>
      </w:r>
      <w:bookmarkEnd w:id="208"/>
      <w:bookmarkEnd w:id="209"/>
      <w:bookmarkEnd w:id="210"/>
      <w:bookmarkEnd w:id="211"/>
      <w:bookmarkEnd w:id="212"/>
      <w:bookmarkEnd w:id="213"/>
      <w:bookmarkEnd w:id="214"/>
    </w:p>
    <w:p w14:paraId="4BD480B0">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（一）质疑</w:t>
      </w:r>
    </w:p>
    <w:p w14:paraId="389B1A89">
      <w:pPr>
        <w:spacing w:line="400" w:lineRule="exact"/>
        <w:ind w:right="12" w:firstLine="480"/>
        <w:rPr>
          <w:rFonts w:ascii="宋体" w:hAnsi="宋体" w:eastAsia="宋体" w:cs="宋体"/>
          <w:sz w:val="24"/>
        </w:rPr>
      </w:pPr>
      <w:r>
        <w:rPr>
          <w:rFonts w:hint="eastAsia" w:ascii="宋体" w:hAnsi="宋体" w:eastAsia="宋体" w:cs="宋体"/>
          <w:sz w:val="24"/>
        </w:rPr>
        <w:t>供应商认为采购文件、采购过程和成交结果使自己的权益收到伤害的，可向采购人或采购代理机构以书面形式提出质疑。</w:t>
      </w:r>
    </w:p>
    <w:p w14:paraId="47677B1D">
      <w:pPr>
        <w:spacing w:line="400" w:lineRule="exact"/>
        <w:ind w:right="12" w:firstLine="480"/>
        <w:rPr>
          <w:rFonts w:ascii="宋体" w:hAnsi="宋体" w:eastAsia="宋体" w:cs="宋体"/>
          <w:sz w:val="24"/>
        </w:rPr>
      </w:pPr>
      <w:r>
        <w:rPr>
          <w:rFonts w:hint="eastAsia" w:ascii="宋体" w:hAnsi="宋体" w:eastAsia="宋体" w:cs="宋体"/>
          <w:sz w:val="24"/>
        </w:rPr>
        <w:t xml:space="preserve">提出质疑的应当是参与所质疑项目采购活动的供应商。 </w:t>
      </w:r>
    </w:p>
    <w:p w14:paraId="6E986C54">
      <w:pPr>
        <w:spacing w:line="400" w:lineRule="exact"/>
        <w:ind w:right="12" w:firstLine="480"/>
        <w:rPr>
          <w:rFonts w:ascii="宋体" w:hAnsi="宋体" w:eastAsia="宋体" w:cs="宋体"/>
          <w:sz w:val="24"/>
        </w:rPr>
      </w:pPr>
      <w:r>
        <w:rPr>
          <w:rFonts w:hint="eastAsia" w:ascii="宋体" w:hAnsi="宋体" w:eastAsia="宋体" w:cs="宋体"/>
          <w:sz w:val="24"/>
        </w:rPr>
        <w:t>1.质疑时限、内容</w:t>
      </w:r>
    </w:p>
    <w:p w14:paraId="4E2C05FF">
      <w:pPr>
        <w:spacing w:line="400" w:lineRule="exact"/>
        <w:ind w:right="12" w:firstLine="480"/>
        <w:rPr>
          <w:rFonts w:ascii="宋体" w:hAnsi="宋体" w:eastAsia="宋体" w:cs="宋体"/>
          <w:sz w:val="24"/>
        </w:rPr>
      </w:pPr>
      <w:r>
        <w:rPr>
          <w:rFonts w:hint="eastAsia" w:ascii="宋体" w:hAnsi="宋体" w:eastAsia="宋体" w:cs="宋体"/>
          <w:sz w:val="24"/>
        </w:rPr>
        <w:t>1.1供应商认为采购文件、采购过程、成交结果使自己的权益受到损害的，可以在知道或者应知其权益受到损害之日起7个工作日内，以书面形式向采购人、采购代理机构提出质疑。</w:t>
      </w:r>
    </w:p>
    <w:p w14:paraId="34F343CA">
      <w:pPr>
        <w:spacing w:line="400" w:lineRule="exact"/>
        <w:ind w:right="12" w:firstLine="480"/>
        <w:rPr>
          <w:rFonts w:ascii="宋体" w:hAnsi="宋体" w:eastAsia="宋体" w:cs="宋体"/>
          <w:sz w:val="24"/>
        </w:rPr>
      </w:pPr>
      <w:r>
        <w:rPr>
          <w:rFonts w:hint="eastAsia" w:ascii="宋体" w:hAnsi="宋体" w:eastAsia="宋体" w:cs="宋体"/>
          <w:sz w:val="24"/>
        </w:rPr>
        <w:t>1.2供应商提出质疑应当提交质疑函和必要的证明材料，质疑函应当包括下列内容：</w:t>
      </w:r>
    </w:p>
    <w:p w14:paraId="4407A5E2">
      <w:pPr>
        <w:spacing w:line="400" w:lineRule="exact"/>
        <w:ind w:right="12" w:firstLine="480"/>
        <w:rPr>
          <w:rFonts w:ascii="宋体" w:hAnsi="宋体" w:eastAsia="宋体" w:cs="宋体"/>
          <w:sz w:val="24"/>
        </w:rPr>
      </w:pPr>
      <w:r>
        <w:rPr>
          <w:rFonts w:hint="eastAsia" w:ascii="宋体" w:hAnsi="宋体" w:eastAsia="宋体" w:cs="宋体"/>
          <w:sz w:val="24"/>
        </w:rPr>
        <w:t>1.2.1供应商的姓名或者名称、地址、邮编、联系人及联系电话；</w:t>
      </w:r>
    </w:p>
    <w:p w14:paraId="6E9735FC">
      <w:pPr>
        <w:spacing w:line="400" w:lineRule="exact"/>
        <w:ind w:right="12" w:firstLine="480"/>
        <w:rPr>
          <w:rFonts w:ascii="宋体" w:hAnsi="宋体" w:eastAsia="宋体" w:cs="宋体"/>
          <w:sz w:val="24"/>
        </w:rPr>
      </w:pPr>
      <w:r>
        <w:rPr>
          <w:rFonts w:hint="eastAsia" w:ascii="宋体" w:hAnsi="宋体" w:eastAsia="宋体" w:cs="宋体"/>
          <w:sz w:val="24"/>
        </w:rPr>
        <w:t>1.2.2</w:t>
      </w:r>
      <w:r>
        <w:rPr>
          <w:rFonts w:hint="eastAsia" w:ascii="宋体" w:hAnsi="宋体" w:eastAsia="宋体" w:cs="宋体"/>
          <w:sz w:val="24"/>
          <w:szCs w:val="24"/>
        </w:rPr>
        <w:t>质疑项目的项目名称、项目号以及采购执行编号</w:t>
      </w:r>
      <w:r>
        <w:rPr>
          <w:rFonts w:hint="eastAsia" w:ascii="宋体" w:hAnsi="宋体" w:eastAsia="宋体" w:cs="宋体"/>
          <w:sz w:val="24"/>
        </w:rPr>
        <w:t>；</w:t>
      </w:r>
    </w:p>
    <w:p w14:paraId="0019D5C1">
      <w:pPr>
        <w:spacing w:line="400" w:lineRule="exact"/>
        <w:ind w:right="12" w:firstLine="480"/>
        <w:rPr>
          <w:rFonts w:ascii="宋体" w:hAnsi="宋体" w:eastAsia="宋体" w:cs="宋体"/>
          <w:sz w:val="24"/>
        </w:rPr>
      </w:pPr>
      <w:r>
        <w:rPr>
          <w:rFonts w:hint="eastAsia" w:ascii="宋体" w:hAnsi="宋体" w:eastAsia="宋体" w:cs="宋体"/>
          <w:sz w:val="24"/>
        </w:rPr>
        <w:t>1.2.3具体、明确的质疑事项和与质疑事项相关的请求；</w:t>
      </w:r>
    </w:p>
    <w:p w14:paraId="543D3B91">
      <w:pPr>
        <w:spacing w:line="400" w:lineRule="exact"/>
        <w:ind w:right="12" w:firstLine="480"/>
        <w:rPr>
          <w:rFonts w:ascii="宋体" w:hAnsi="宋体" w:eastAsia="宋体" w:cs="宋体"/>
          <w:sz w:val="24"/>
        </w:rPr>
      </w:pPr>
      <w:r>
        <w:rPr>
          <w:rFonts w:hint="eastAsia" w:ascii="宋体" w:hAnsi="宋体" w:eastAsia="宋体" w:cs="宋体"/>
          <w:sz w:val="24"/>
        </w:rPr>
        <w:t>1.2.4事实依据；</w:t>
      </w:r>
    </w:p>
    <w:p w14:paraId="32336196">
      <w:pPr>
        <w:spacing w:line="400" w:lineRule="exact"/>
        <w:ind w:right="12" w:firstLine="480"/>
        <w:rPr>
          <w:rFonts w:ascii="宋体" w:hAnsi="宋体" w:eastAsia="宋体" w:cs="宋体"/>
          <w:sz w:val="24"/>
        </w:rPr>
      </w:pPr>
      <w:r>
        <w:rPr>
          <w:rFonts w:hint="eastAsia" w:ascii="宋体" w:hAnsi="宋体" w:eastAsia="宋体" w:cs="宋体"/>
          <w:sz w:val="24"/>
        </w:rPr>
        <w:t>1.2.5必要的法律依据；</w:t>
      </w:r>
    </w:p>
    <w:p w14:paraId="03B7395B">
      <w:pPr>
        <w:spacing w:line="400" w:lineRule="exact"/>
        <w:ind w:right="12" w:firstLine="480"/>
        <w:rPr>
          <w:rFonts w:ascii="宋体" w:hAnsi="宋体" w:eastAsia="宋体" w:cs="宋体"/>
          <w:sz w:val="24"/>
        </w:rPr>
      </w:pPr>
      <w:r>
        <w:rPr>
          <w:rFonts w:hint="eastAsia" w:ascii="宋体" w:hAnsi="宋体" w:eastAsia="宋体" w:cs="宋体"/>
          <w:sz w:val="24"/>
        </w:rPr>
        <w:t>1.2.6提出质疑的日期；</w:t>
      </w:r>
    </w:p>
    <w:p w14:paraId="4A0CE4CF">
      <w:pPr>
        <w:spacing w:line="400" w:lineRule="exact"/>
        <w:ind w:right="12" w:firstLine="480"/>
        <w:rPr>
          <w:rFonts w:ascii="宋体" w:hAnsi="宋体" w:eastAsia="宋体" w:cs="宋体"/>
          <w:sz w:val="24"/>
        </w:rPr>
      </w:pPr>
      <w:r>
        <w:rPr>
          <w:rFonts w:hint="eastAsia" w:ascii="宋体" w:hAnsi="宋体" w:eastAsia="宋体" w:cs="宋体"/>
          <w:sz w:val="24"/>
        </w:rPr>
        <w:t>1.2.7营业执照（或事业单位法人证书，或个体工商户营业执照或有效的自然人身份证明）复印件；</w:t>
      </w:r>
    </w:p>
    <w:p w14:paraId="5DE5F0E9">
      <w:pPr>
        <w:spacing w:line="400" w:lineRule="exact"/>
        <w:ind w:right="12" w:firstLine="480"/>
        <w:rPr>
          <w:rFonts w:ascii="宋体" w:hAnsi="宋体" w:eastAsia="宋体" w:cs="宋体"/>
          <w:sz w:val="24"/>
        </w:rPr>
      </w:pPr>
      <w:r>
        <w:rPr>
          <w:rFonts w:hint="eastAsia" w:ascii="宋体" w:hAnsi="宋体" w:eastAsia="宋体" w:cs="宋体"/>
          <w:sz w:val="24"/>
        </w:rPr>
        <w:t>1.2.8法定代表人授权委托书原件、法定代表人身份证复印件和其授权代表的身份证复印件（供应商为自然人的提供自然人身份证复印件）；</w:t>
      </w:r>
    </w:p>
    <w:p w14:paraId="1D1895D7">
      <w:pPr>
        <w:spacing w:line="400" w:lineRule="exact"/>
        <w:ind w:right="12" w:firstLine="480"/>
        <w:rPr>
          <w:rFonts w:ascii="宋体" w:hAnsi="宋体" w:eastAsia="宋体" w:cs="宋体"/>
          <w:sz w:val="24"/>
        </w:rPr>
      </w:pPr>
      <w:r>
        <w:rPr>
          <w:rFonts w:hint="eastAsia" w:ascii="宋体" w:hAnsi="宋体" w:eastAsia="宋体" w:cs="宋体"/>
          <w:sz w:val="24"/>
        </w:rPr>
        <w:t>1.3供应商为自然人的，质疑函应当由本人签字；供应商为法人或者其他组织的，质疑函应当由法定代表人、主要负责人，或者其授权代表签字或者盖章，并加盖公章。</w:t>
      </w:r>
    </w:p>
    <w:p w14:paraId="6731BDE5">
      <w:pPr>
        <w:spacing w:line="400" w:lineRule="exact"/>
        <w:ind w:right="12" w:firstLine="480"/>
        <w:rPr>
          <w:rFonts w:ascii="宋体" w:hAnsi="宋体" w:eastAsia="宋体" w:cs="宋体"/>
          <w:sz w:val="24"/>
        </w:rPr>
      </w:pPr>
      <w:r>
        <w:rPr>
          <w:rFonts w:hint="eastAsia" w:ascii="宋体" w:hAnsi="宋体" w:eastAsia="宋体" w:cs="宋体"/>
          <w:sz w:val="24"/>
        </w:rPr>
        <w:t>2.质疑答复</w:t>
      </w:r>
    </w:p>
    <w:p w14:paraId="154BDF8E">
      <w:pPr>
        <w:spacing w:line="400" w:lineRule="exact"/>
        <w:ind w:right="12" w:firstLine="480"/>
        <w:rPr>
          <w:rFonts w:ascii="宋体" w:hAnsi="宋体" w:eastAsia="宋体" w:cs="宋体"/>
          <w:sz w:val="24"/>
        </w:rPr>
      </w:pPr>
      <w:r>
        <w:rPr>
          <w:rFonts w:hint="eastAsia" w:ascii="宋体" w:hAnsi="宋体" w:eastAsia="宋体" w:cs="宋体"/>
          <w:sz w:val="24"/>
        </w:rPr>
        <w:t>采购人、采购代理机构应当在收到供应商的书面质疑后七个工作日内作出答复，并以书面形式通知质疑供应商和其他有关供应商。</w:t>
      </w:r>
    </w:p>
    <w:p w14:paraId="23BDB357">
      <w:pPr>
        <w:spacing w:line="400" w:lineRule="exact"/>
        <w:ind w:right="12" w:firstLine="480"/>
        <w:rPr>
          <w:rFonts w:ascii="宋体" w:hAnsi="宋体" w:eastAsia="宋体" w:cs="宋体"/>
          <w:sz w:val="24"/>
        </w:rPr>
      </w:pPr>
      <w:r>
        <w:rPr>
          <w:rFonts w:hint="eastAsia" w:ascii="宋体" w:hAnsi="宋体" w:eastAsia="宋体" w:cs="宋体"/>
          <w:sz w:val="24"/>
        </w:rPr>
        <w:t>3.其他</w:t>
      </w:r>
    </w:p>
    <w:p w14:paraId="022EBAB2">
      <w:pPr>
        <w:spacing w:line="400" w:lineRule="exact"/>
        <w:ind w:right="12" w:firstLine="480"/>
        <w:rPr>
          <w:rFonts w:ascii="宋体" w:hAnsi="宋体" w:eastAsia="宋体" w:cs="宋体"/>
          <w:sz w:val="24"/>
        </w:rPr>
      </w:pPr>
      <w:r>
        <w:rPr>
          <w:rFonts w:hint="eastAsia" w:ascii="宋体" w:hAnsi="宋体" w:eastAsia="宋体" w:cs="宋体"/>
          <w:sz w:val="24"/>
        </w:rPr>
        <w:t>3.1供应商应按照《政府采购质疑和投诉办法》（财政部令第94号）及相关法律法规要求，在法定质疑期内一次性提出针对同一采购程序环节的质疑。</w:t>
      </w:r>
    </w:p>
    <w:p w14:paraId="17B628E4">
      <w:pPr>
        <w:spacing w:line="400" w:lineRule="exact"/>
        <w:ind w:right="12" w:firstLine="480"/>
        <w:rPr>
          <w:rFonts w:ascii="宋体" w:hAnsi="宋体" w:eastAsia="宋体" w:cs="宋体"/>
          <w:sz w:val="24"/>
        </w:rPr>
      </w:pPr>
      <w:r>
        <w:rPr>
          <w:rFonts w:hint="eastAsia" w:ascii="宋体" w:hAnsi="宋体" w:eastAsia="宋体" w:cs="宋体"/>
          <w:sz w:val="24"/>
        </w:rPr>
        <w:t>3.2质疑函范本可在财政部门户网站和中国政府采购网下载。</w:t>
      </w:r>
    </w:p>
    <w:p w14:paraId="6AF6946E">
      <w:pPr>
        <w:spacing w:line="400" w:lineRule="exact"/>
        <w:ind w:right="12" w:firstLine="480"/>
        <w:rPr>
          <w:rFonts w:ascii="宋体" w:hAnsi="宋体" w:eastAsia="宋体" w:cs="宋体"/>
          <w:sz w:val="24"/>
        </w:rPr>
      </w:pPr>
      <w:r>
        <w:rPr>
          <w:rFonts w:hint="eastAsia" w:ascii="宋体" w:hAnsi="宋体" w:eastAsia="宋体" w:cs="宋体"/>
          <w:sz w:val="24"/>
        </w:rPr>
        <w:t>（二）投诉</w:t>
      </w:r>
    </w:p>
    <w:p w14:paraId="2F6BBCE7">
      <w:pPr>
        <w:spacing w:line="400" w:lineRule="exact"/>
        <w:ind w:right="12" w:firstLine="480"/>
        <w:rPr>
          <w:rFonts w:ascii="宋体" w:hAnsi="宋体" w:eastAsia="宋体" w:cs="宋体"/>
          <w:sz w:val="24"/>
        </w:rPr>
      </w:pPr>
      <w:r>
        <w:rPr>
          <w:rFonts w:hint="eastAsia" w:ascii="宋体" w:hAnsi="宋体" w:eastAsia="宋体" w:cs="宋体"/>
          <w:sz w:val="24"/>
        </w:rPr>
        <w:t>1.供应商对采购人、采购代理机构的答复不满意，或者采购人、采购代理机构未在规定时间内作出答复的，可以在答复期满后15个工作日内按照相关法律法规向财政部门提起投诉。</w:t>
      </w:r>
    </w:p>
    <w:p w14:paraId="43E3F3FF">
      <w:pPr>
        <w:spacing w:line="400" w:lineRule="exact"/>
        <w:ind w:right="12" w:firstLine="480"/>
        <w:rPr>
          <w:rFonts w:ascii="宋体" w:hAnsi="宋体" w:eastAsia="宋体" w:cs="宋体"/>
          <w:sz w:val="24"/>
        </w:rPr>
      </w:pPr>
      <w:r>
        <w:rPr>
          <w:rFonts w:hint="eastAsia" w:ascii="宋体" w:hAnsi="宋体" w:eastAsia="宋体" w:cs="宋体"/>
          <w:sz w:val="24"/>
        </w:rPr>
        <w:t>2.供应商应按照《政府采购质疑和投诉办法》（财政部令第94号）及相关法律法规要求递交投诉书和必要的证明材料。投诉书范本可在财政部门户网站和中国政府采购网下载。</w:t>
      </w:r>
    </w:p>
    <w:p w14:paraId="017AE216">
      <w:pPr>
        <w:spacing w:line="400" w:lineRule="exact"/>
        <w:ind w:right="12" w:firstLine="480"/>
        <w:rPr>
          <w:rFonts w:ascii="宋体" w:hAnsi="宋体" w:eastAsia="宋体" w:cs="宋体"/>
          <w:sz w:val="24"/>
        </w:rPr>
      </w:pPr>
      <w:r>
        <w:rPr>
          <w:rFonts w:hint="eastAsia" w:ascii="宋体" w:hAnsi="宋体" w:eastAsia="宋体" w:cs="宋体"/>
          <w:sz w:val="24"/>
        </w:rPr>
        <w:t>3.投诉书应当使用中文，相关当事人提供外文书证或者外国语视听资料的，应当附有中文译本，由翻译机构盖章或者翻译人员签名；相关当事人向财政部门提供的在中华人民共和国领域外形成的证据，应当说明来源，经所在国公证机关证明，并经中华人民共和国驻该国使领馆认证，或者履行中华人民共和国与证据所在国订立的有关条约中规定的证明手续；相关当事人提供的在香港特别行政区、澳门特别行政区和台湾地区内形成的证据，应当履行相关的证明手续。</w:t>
      </w:r>
    </w:p>
    <w:p w14:paraId="7D19E841">
      <w:pPr>
        <w:spacing w:line="400" w:lineRule="exact"/>
        <w:ind w:firstLine="480" w:firstLineChars="200"/>
        <w:rPr>
          <w:rFonts w:ascii="宋体" w:hAnsi="宋体" w:eastAsia="宋体" w:cs="宋体"/>
          <w:sz w:val="24"/>
          <w:szCs w:val="24"/>
        </w:rPr>
      </w:pPr>
      <w:r>
        <w:rPr>
          <w:rFonts w:hint="eastAsia" w:ascii="宋体" w:hAnsi="宋体" w:eastAsia="宋体" w:cs="宋体"/>
          <w:sz w:val="24"/>
        </w:rPr>
        <w:t>4.在确定受理投诉后，财政部门自受理投诉之日起30个工作日内（需要检验、检测、鉴定、专家评审以及需要投诉人补正材料的，所需时间不计算在投诉处理期限内）对投诉事项做出处理决定。</w:t>
      </w:r>
    </w:p>
    <w:p w14:paraId="017530F0">
      <w:pPr>
        <w:pStyle w:val="4"/>
        <w:adjustRightInd w:val="0"/>
        <w:snapToGrid w:val="0"/>
        <w:spacing w:before="0" w:after="0" w:line="400" w:lineRule="exact"/>
        <w:ind w:firstLine="482" w:firstLineChars="200"/>
        <w:rPr>
          <w:rFonts w:ascii="宋体" w:hAnsi="宋体" w:eastAsia="宋体" w:cs="宋体"/>
          <w:sz w:val="24"/>
        </w:rPr>
      </w:pPr>
      <w:bookmarkStart w:id="215" w:name="_Toc65660361"/>
      <w:bookmarkStart w:id="216" w:name="_Toc3127"/>
      <w:bookmarkStart w:id="217" w:name="_Toc106034652"/>
      <w:bookmarkStart w:id="218" w:name="_Toc15183"/>
      <w:bookmarkStart w:id="219" w:name="_Toc142060004"/>
      <w:bookmarkStart w:id="220" w:name="_Toc16648"/>
      <w:bookmarkStart w:id="221" w:name="_Toc7144"/>
      <w:r>
        <w:rPr>
          <w:rFonts w:hint="eastAsia" w:ascii="宋体" w:hAnsi="宋体" w:eastAsia="宋体" w:cs="宋体"/>
          <w:sz w:val="24"/>
        </w:rPr>
        <w:t>七、签订合同</w:t>
      </w:r>
      <w:bookmarkEnd w:id="215"/>
      <w:bookmarkEnd w:id="216"/>
      <w:bookmarkEnd w:id="217"/>
      <w:bookmarkEnd w:id="218"/>
      <w:bookmarkEnd w:id="219"/>
      <w:bookmarkEnd w:id="220"/>
      <w:bookmarkEnd w:id="221"/>
    </w:p>
    <w:p w14:paraId="01DEAA01">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w:t>
      </w:r>
      <w:r>
        <w:rPr>
          <w:rFonts w:hint="eastAsia" w:ascii="宋体" w:hAnsi="宋体" w:eastAsia="宋体" w:cs="宋体"/>
          <w:sz w:val="24"/>
        </w:rPr>
        <w:t>采购人原则上应在成交通知书发出之日起二十日内和成交供应商签订政府采购合同，无正当理由不得拒绝或拖延合同签订</w:t>
      </w:r>
      <w:r>
        <w:rPr>
          <w:rFonts w:hint="eastAsia" w:ascii="宋体" w:hAnsi="宋体" w:eastAsia="宋体" w:cs="宋体"/>
          <w:sz w:val="24"/>
          <w:szCs w:val="24"/>
        </w:rPr>
        <w:t>。所签订的合同不得对竞争性谈判文件和供应商的响应文件作实质性修改。其他未尽事宜由采购人和成交供应商在采购合同中详细约定。</w:t>
      </w:r>
    </w:p>
    <w:p w14:paraId="2F3E3A88">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（二）竞争性谈判文件、供应商的响应文件及澄清文件等，均为签订政府采购合同的依据。</w:t>
      </w:r>
    </w:p>
    <w:p w14:paraId="07F0D6F8">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三</w:t>
      </w:r>
      <w:r>
        <w:rPr>
          <w:rFonts w:hint="eastAsia" w:ascii="宋体" w:hAnsi="宋体" w:eastAsia="宋体" w:cs="宋体"/>
          <w:sz w:val="24"/>
          <w:szCs w:val="24"/>
        </w:rPr>
        <w:t>）合同生效条款由供需双方约定，法律、行政法规规定应当办理批准、登记等手续后生效的合同，依照其规定。</w:t>
      </w:r>
    </w:p>
    <w:p w14:paraId="7A25B80E">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四</w:t>
      </w:r>
      <w:r>
        <w:rPr>
          <w:rFonts w:hint="eastAsia" w:ascii="宋体" w:hAnsi="宋体" w:eastAsia="宋体" w:cs="宋体"/>
          <w:sz w:val="24"/>
          <w:szCs w:val="24"/>
        </w:rPr>
        <w:t>）合同原则上应按照《重庆市政府采购合同》签订，相关单位要求适用合同通用格式版本的，应按其要求另行签订其他合同。</w:t>
      </w:r>
    </w:p>
    <w:p w14:paraId="4E3E8602">
      <w:pPr>
        <w:pStyle w:val="4"/>
        <w:adjustRightInd w:val="0"/>
        <w:snapToGrid w:val="0"/>
        <w:spacing w:before="0" w:after="0" w:line="400" w:lineRule="exact"/>
        <w:ind w:firstLine="482" w:firstLineChars="200"/>
        <w:rPr>
          <w:rFonts w:ascii="宋体" w:hAnsi="宋体" w:eastAsia="宋体" w:cs="宋体"/>
          <w:sz w:val="24"/>
        </w:rPr>
      </w:pPr>
      <w:bookmarkStart w:id="222" w:name="_Toc23822"/>
      <w:bookmarkStart w:id="223" w:name="_Toc24087"/>
      <w:bookmarkStart w:id="224" w:name="_Toc142060005"/>
      <w:bookmarkStart w:id="225" w:name="_Toc106034653"/>
      <w:r>
        <w:rPr>
          <w:rFonts w:hint="eastAsia" w:ascii="宋体" w:hAnsi="宋体" w:eastAsia="宋体" w:cs="宋体"/>
          <w:sz w:val="24"/>
        </w:rPr>
        <w:t>八、项目验收</w:t>
      </w:r>
      <w:bookmarkEnd w:id="222"/>
      <w:bookmarkEnd w:id="223"/>
      <w:bookmarkEnd w:id="224"/>
      <w:bookmarkEnd w:id="225"/>
    </w:p>
    <w:p w14:paraId="3F6E8B4F">
      <w:pPr>
        <w:spacing w:line="360" w:lineRule="auto"/>
        <w:ind w:firstLine="360" w:firstLineChars="150"/>
        <w:rPr>
          <w:rFonts w:ascii="宋体" w:hAnsi="宋体" w:eastAsia="宋体" w:cs="宋体"/>
          <w:sz w:val="24"/>
          <w:szCs w:val="24"/>
        </w:rPr>
      </w:pPr>
      <w:r>
        <w:rPr>
          <w:rFonts w:hint="eastAsia" w:ascii="宋体" w:hAnsi="宋体" w:eastAsia="宋体" w:cs="宋体"/>
          <w:sz w:val="24"/>
        </w:rPr>
        <w:t>合同执行完毕，采购人或采购代理机构在</w:t>
      </w:r>
      <w:r>
        <w:rPr>
          <w:rFonts w:hint="eastAsia" w:ascii="宋体" w:hAnsi="宋体" w:eastAsia="宋体" w:cs="宋体"/>
          <w:sz w:val="24"/>
          <w:lang w:val="en-US" w:eastAsia="zh-CN"/>
        </w:rPr>
        <w:t>15</w:t>
      </w:r>
      <w:r>
        <w:rPr>
          <w:rFonts w:hint="eastAsia" w:ascii="宋体" w:hAnsi="宋体" w:eastAsia="宋体" w:cs="宋体"/>
          <w:sz w:val="24"/>
        </w:rPr>
        <w:t>个工作日内组织履约情况验收，不得无故拖延或附加额外条件。</w:t>
      </w:r>
    </w:p>
    <w:p w14:paraId="2230E56E">
      <w:pPr>
        <w:pStyle w:val="4"/>
        <w:adjustRightInd w:val="0"/>
        <w:snapToGrid w:val="0"/>
        <w:spacing w:before="0" w:after="0" w:line="360" w:lineRule="auto"/>
        <w:ind w:firstLine="482" w:firstLineChars="200"/>
        <w:rPr>
          <w:rFonts w:ascii="宋体" w:hAnsi="宋体" w:eastAsia="宋体" w:cs="宋体"/>
          <w:sz w:val="24"/>
        </w:rPr>
      </w:pPr>
      <w:bookmarkStart w:id="226" w:name="_Toc20009"/>
      <w:bookmarkStart w:id="227" w:name="_Toc142060006"/>
      <w:bookmarkStart w:id="228" w:name="_Toc32594"/>
      <w:bookmarkStart w:id="229" w:name="_Toc65660362"/>
      <w:bookmarkStart w:id="230" w:name="_Toc29513"/>
      <w:bookmarkStart w:id="231" w:name="_Toc106034654"/>
      <w:bookmarkStart w:id="232" w:name="_Toc30443"/>
      <w:r>
        <w:rPr>
          <w:rFonts w:hint="eastAsia" w:ascii="宋体" w:hAnsi="宋体" w:eastAsia="宋体" w:cs="宋体"/>
          <w:sz w:val="24"/>
        </w:rPr>
        <w:t>九、采购代理服务费</w:t>
      </w:r>
      <w:bookmarkEnd w:id="226"/>
      <w:bookmarkEnd w:id="227"/>
      <w:bookmarkEnd w:id="228"/>
      <w:bookmarkEnd w:id="229"/>
      <w:bookmarkEnd w:id="230"/>
      <w:bookmarkEnd w:id="231"/>
      <w:bookmarkEnd w:id="232"/>
    </w:p>
    <w:p w14:paraId="41A5A1C5">
      <w:pPr>
        <w:spacing w:line="360" w:lineRule="auto"/>
        <w:ind w:right="12" w:firstLine="480"/>
        <w:rPr>
          <w:rFonts w:ascii="宋体" w:hAnsi="宋体" w:eastAsia="宋体" w:cs="宋体"/>
          <w:sz w:val="24"/>
        </w:rPr>
      </w:pPr>
      <w:r>
        <w:rPr>
          <w:rFonts w:hint="eastAsia" w:ascii="宋体" w:hAnsi="宋体" w:eastAsia="宋体" w:cs="宋体"/>
          <w:sz w:val="24"/>
        </w:rPr>
        <w:t>1</w:t>
      </w:r>
      <w:r>
        <w:rPr>
          <w:rFonts w:ascii="宋体" w:hAnsi="宋体" w:eastAsia="宋体" w:cs="宋体"/>
          <w:sz w:val="24"/>
        </w:rPr>
        <w:t>.</w:t>
      </w:r>
      <w:r>
        <w:rPr>
          <w:rFonts w:hint="eastAsia" w:ascii="宋体" w:hAnsi="宋体" w:eastAsia="宋体" w:cs="宋体"/>
          <w:sz w:val="24"/>
        </w:rPr>
        <w:t>本项目采购代理服务费</w:t>
      </w:r>
      <w:r>
        <w:rPr>
          <w:rFonts w:hint="eastAsia" w:ascii="宋体" w:hAnsi="宋体" w:eastAsia="宋体" w:cs="宋体"/>
          <w:sz w:val="24"/>
          <w:lang w:eastAsia="zh-CN"/>
        </w:rPr>
        <w:t>人民币</w:t>
      </w:r>
      <w:r>
        <w:rPr>
          <w:rFonts w:hint="eastAsia" w:ascii="宋体" w:hAnsi="宋体" w:eastAsia="宋体" w:cs="宋体"/>
          <w:sz w:val="24"/>
          <w:lang w:val="en-US" w:eastAsia="zh-CN"/>
        </w:rPr>
        <w:t>30</w:t>
      </w:r>
      <w:r>
        <w:rPr>
          <w:rFonts w:ascii="宋体" w:hAnsi="宋体" w:eastAsia="宋体" w:cs="宋体"/>
          <w:color w:val="000000"/>
          <w:sz w:val="24"/>
        </w:rPr>
        <w:t>00</w:t>
      </w:r>
      <w:r>
        <w:rPr>
          <w:rFonts w:hint="eastAsia" w:ascii="宋体" w:hAnsi="宋体" w:eastAsia="宋体" w:cs="宋体"/>
          <w:sz w:val="24"/>
        </w:rPr>
        <w:t>元整</w:t>
      </w:r>
      <w:r>
        <w:rPr>
          <w:rFonts w:hint="eastAsia" w:ascii="宋体" w:hAnsi="宋体" w:eastAsia="宋体" w:cs="宋体"/>
          <w:sz w:val="24"/>
          <w:lang w:eastAsia="zh-CN"/>
        </w:rPr>
        <w:t>（大写：叁仟元整）</w:t>
      </w:r>
      <w:r>
        <w:rPr>
          <w:rFonts w:hint="eastAsia" w:ascii="宋体" w:hAnsi="宋体" w:eastAsia="宋体" w:cs="宋体"/>
          <w:sz w:val="24"/>
        </w:rPr>
        <w:t>，由中标人支付，即中标人在领取中标通知书之前以转账形式一次性支付给代理机构。</w:t>
      </w:r>
    </w:p>
    <w:p w14:paraId="66F19A91">
      <w:pPr>
        <w:spacing w:line="360" w:lineRule="auto"/>
        <w:ind w:right="12" w:firstLine="480"/>
        <w:rPr>
          <w:rFonts w:ascii="宋体" w:hAnsi="宋体" w:eastAsia="宋体" w:cs="宋体"/>
          <w:sz w:val="24"/>
        </w:rPr>
      </w:pPr>
      <w:r>
        <w:rPr>
          <w:rFonts w:hint="eastAsia" w:ascii="宋体" w:hAnsi="宋体" w:eastAsia="宋体" w:cs="宋体"/>
          <w:sz w:val="24"/>
        </w:rPr>
        <w:t>2</w:t>
      </w:r>
      <w:r>
        <w:rPr>
          <w:rFonts w:ascii="宋体" w:hAnsi="宋体" w:eastAsia="宋体" w:cs="宋体"/>
          <w:sz w:val="24"/>
        </w:rPr>
        <w:t>.</w:t>
      </w:r>
      <w:r>
        <w:rPr>
          <w:rFonts w:hint="eastAsia" w:ascii="宋体" w:hAnsi="宋体" w:eastAsia="宋体" w:cs="宋体"/>
          <w:sz w:val="24"/>
        </w:rPr>
        <w:t>成交供应商如未按上述规定缴纳采购代理服务费，其投标保证金将不予退还。</w:t>
      </w:r>
    </w:p>
    <w:p w14:paraId="4A990B2B">
      <w:pPr>
        <w:spacing w:line="360" w:lineRule="auto"/>
        <w:ind w:right="12" w:firstLine="480"/>
        <w:rPr>
          <w:rFonts w:ascii="宋体" w:hAnsi="宋体" w:eastAsia="宋体" w:cs="宋体"/>
          <w:sz w:val="24"/>
        </w:rPr>
      </w:pPr>
      <w:r>
        <w:rPr>
          <w:rFonts w:hint="eastAsia" w:ascii="宋体" w:hAnsi="宋体" w:eastAsia="宋体" w:cs="宋体"/>
          <w:sz w:val="24"/>
        </w:rPr>
        <w:t>3</w:t>
      </w:r>
      <w:r>
        <w:rPr>
          <w:rFonts w:ascii="宋体" w:hAnsi="宋体" w:eastAsia="宋体" w:cs="宋体"/>
          <w:sz w:val="24"/>
        </w:rPr>
        <w:t>.</w:t>
      </w:r>
      <w:r>
        <w:rPr>
          <w:rFonts w:hint="eastAsia" w:ascii="宋体" w:hAnsi="宋体" w:eastAsia="宋体" w:cs="宋体"/>
          <w:sz w:val="24"/>
        </w:rPr>
        <w:t>采购代理服务费缴纳账户信息：</w:t>
      </w:r>
    </w:p>
    <w:p w14:paraId="1082A961">
      <w:pPr>
        <w:spacing w:line="360" w:lineRule="auto"/>
        <w:ind w:right="12" w:firstLine="480"/>
        <w:rPr>
          <w:rFonts w:ascii="宋体" w:hAnsi="宋体" w:eastAsia="宋体" w:cs="宋体"/>
          <w:sz w:val="24"/>
        </w:rPr>
      </w:pPr>
      <w:r>
        <w:rPr>
          <w:rFonts w:hint="eastAsia" w:ascii="宋体" w:hAnsi="宋体" w:eastAsia="宋体" w:cs="宋体"/>
          <w:sz w:val="24"/>
        </w:rPr>
        <w:t>户  名：重庆展辉招标代理有限公司</w:t>
      </w:r>
    </w:p>
    <w:p w14:paraId="585A8719">
      <w:pPr>
        <w:spacing w:line="360" w:lineRule="auto"/>
        <w:ind w:right="12" w:firstLine="480"/>
        <w:rPr>
          <w:rFonts w:ascii="宋体" w:hAnsi="宋体" w:eastAsia="宋体" w:cs="宋体"/>
          <w:sz w:val="24"/>
        </w:rPr>
      </w:pPr>
      <w:r>
        <w:rPr>
          <w:rFonts w:hint="eastAsia" w:ascii="宋体" w:hAnsi="宋体" w:eastAsia="宋体" w:cs="宋体"/>
          <w:sz w:val="24"/>
        </w:rPr>
        <w:t>开户行：工商银行荣昌支行</w:t>
      </w:r>
    </w:p>
    <w:p w14:paraId="23C9A6AB">
      <w:pPr>
        <w:spacing w:line="360" w:lineRule="auto"/>
        <w:ind w:right="12" w:firstLine="480"/>
        <w:rPr>
          <w:rFonts w:ascii="宋体" w:hAnsi="宋体" w:eastAsia="宋体" w:cs="宋体"/>
          <w:sz w:val="24"/>
          <w:szCs w:val="22"/>
        </w:rPr>
      </w:pPr>
      <w:r>
        <w:rPr>
          <w:rFonts w:hint="eastAsia" w:ascii="宋体" w:hAnsi="宋体" w:eastAsia="宋体" w:cs="宋体"/>
          <w:sz w:val="24"/>
        </w:rPr>
        <w:t>账  号：3100097109200134460</w:t>
      </w:r>
    </w:p>
    <w:p w14:paraId="0748AB0F">
      <w:pPr>
        <w:rPr>
          <w:rStyle w:val="71"/>
          <w:rFonts w:hint="eastAsia" w:ascii="宋体" w:hAnsi="宋体" w:eastAsia="宋体" w:cs="宋体"/>
          <w:sz w:val="36"/>
          <w:szCs w:val="36"/>
        </w:rPr>
      </w:pPr>
      <w:bookmarkStart w:id="233" w:name="_Toc27242"/>
      <w:r>
        <w:rPr>
          <w:rStyle w:val="71"/>
          <w:rFonts w:hint="eastAsia" w:ascii="宋体" w:hAnsi="宋体" w:eastAsia="宋体" w:cs="宋体"/>
          <w:sz w:val="36"/>
          <w:szCs w:val="36"/>
        </w:rPr>
        <w:br w:type="page"/>
      </w:r>
    </w:p>
    <w:p w14:paraId="4A28A649">
      <w:pPr>
        <w:ind w:firstLine="2530" w:firstLineChars="700"/>
        <w:rPr>
          <w:rFonts w:ascii="宋体" w:hAnsi="宋体" w:eastAsia="宋体" w:cs="宋体"/>
          <w:sz w:val="36"/>
          <w:szCs w:val="36"/>
        </w:rPr>
      </w:pPr>
      <w:r>
        <w:rPr>
          <w:rStyle w:val="71"/>
          <w:rFonts w:hint="eastAsia" w:ascii="宋体" w:hAnsi="宋体" w:eastAsia="宋体" w:cs="宋体"/>
          <w:sz w:val="36"/>
          <w:szCs w:val="36"/>
        </w:rPr>
        <w:t>第</w:t>
      </w:r>
      <w:r>
        <w:rPr>
          <w:rStyle w:val="71"/>
          <w:rFonts w:hint="eastAsia" w:ascii="宋体" w:hAnsi="宋体" w:eastAsia="宋体" w:cs="宋体"/>
          <w:sz w:val="36"/>
          <w:szCs w:val="36"/>
          <w:lang w:eastAsia="zh-CN"/>
        </w:rPr>
        <w:t>六</w:t>
      </w:r>
      <w:r>
        <w:rPr>
          <w:rStyle w:val="71"/>
          <w:rFonts w:hint="eastAsia" w:ascii="宋体" w:hAnsi="宋体" w:eastAsia="宋体" w:cs="宋体"/>
          <w:sz w:val="36"/>
          <w:szCs w:val="36"/>
        </w:rPr>
        <w:t>篇  合同草案条款</w:t>
      </w:r>
      <w:bookmarkEnd w:id="115"/>
      <w:bookmarkEnd w:id="116"/>
      <w:bookmarkEnd w:id="117"/>
      <w:bookmarkEnd w:id="118"/>
      <w:bookmarkEnd w:id="233"/>
    </w:p>
    <w:p w14:paraId="0118160A">
      <w:pPr>
        <w:jc w:val="center"/>
        <w:rPr>
          <w:rFonts w:hint="eastAsia" w:ascii="宋体" w:hAnsi="宋体" w:cs="宋体"/>
          <w:b/>
          <w:bCs/>
          <w:sz w:val="28"/>
          <w:szCs w:val="21"/>
        </w:rPr>
      </w:pPr>
      <w:bookmarkStart w:id="234" w:name="_Toc523218899"/>
      <w:bookmarkStart w:id="235" w:name="_Toc4568865"/>
      <w:bookmarkStart w:id="236" w:name="_Toc14337141"/>
      <w:bookmarkStart w:id="237" w:name="_Toc351203494"/>
    </w:p>
    <w:p w14:paraId="4B4443BA">
      <w:pPr>
        <w:jc w:val="center"/>
        <w:rPr>
          <w:rFonts w:ascii="宋体" w:hAnsi="宋体"/>
          <w:b/>
          <w:bCs/>
          <w:sz w:val="32"/>
          <w:szCs w:val="21"/>
        </w:rPr>
      </w:pPr>
      <w:r>
        <w:rPr>
          <w:rFonts w:hint="eastAsia" w:ascii="宋体" w:hAnsi="宋体" w:cs="宋体"/>
          <w:b/>
          <w:bCs/>
          <w:sz w:val="28"/>
          <w:szCs w:val="21"/>
        </w:rPr>
        <w:t>第一节  合同协议书</w:t>
      </w:r>
      <w:bookmarkEnd w:id="234"/>
      <w:bookmarkEnd w:id="235"/>
      <w:bookmarkEnd w:id="236"/>
    </w:p>
    <w:p w14:paraId="23D5D8DC">
      <w:pPr>
        <w:rPr>
          <w:rFonts w:ascii="宋体" w:hAnsi="宋体"/>
        </w:rPr>
      </w:pPr>
    </w:p>
    <w:p w14:paraId="1BDB0A84">
      <w:pPr>
        <w:spacing w:line="360" w:lineRule="auto"/>
        <w:ind w:right="-392" w:rightChars="-140"/>
        <w:rPr>
          <w:rFonts w:ascii="宋体" w:hAnsi="宋体" w:cs="宋体"/>
          <w:b/>
          <w:sz w:val="24"/>
          <w:szCs w:val="24"/>
        </w:rPr>
      </w:pPr>
      <w:r>
        <w:rPr>
          <w:rFonts w:hint="eastAsia" w:ascii="宋体" w:hAnsi="宋体" w:cs="宋体"/>
          <w:b/>
          <w:sz w:val="24"/>
          <w:szCs w:val="24"/>
        </w:rPr>
        <w:t>发包人（全称）：</w:t>
      </w:r>
      <w:r>
        <w:rPr>
          <w:rFonts w:hint="eastAsia" w:ascii="宋体" w:hAnsi="宋体" w:cs="宋体"/>
          <w:sz w:val="24"/>
          <w:szCs w:val="24"/>
        </w:rPr>
        <w:t xml:space="preserve">  </w:t>
      </w:r>
      <w:r>
        <w:rPr>
          <w:rFonts w:hint="eastAsia" w:ascii="宋体" w:hAnsi="宋体" w:cs="宋体"/>
          <w:sz w:val="24"/>
          <w:szCs w:val="24"/>
          <w:u w:val="single"/>
        </w:rPr>
        <w:t xml:space="preserve">                           </w:t>
      </w:r>
      <w:r>
        <w:rPr>
          <w:rFonts w:hint="eastAsia" w:ascii="宋体" w:hAnsi="宋体" w:cs="MingLiU_HKSCS"/>
          <w:b/>
          <w:sz w:val="24"/>
          <w:szCs w:val="24"/>
          <w:u w:val="single"/>
        </w:rPr>
        <w:t xml:space="preserve">      </w:t>
      </w:r>
      <w:r>
        <w:rPr>
          <w:rFonts w:hint="eastAsia" w:ascii="宋体" w:hAnsi="宋体" w:cs="MingLiU_HKSCS"/>
          <w:b/>
          <w:sz w:val="24"/>
          <w:szCs w:val="24"/>
        </w:rPr>
        <w:t xml:space="preserve">                   </w:t>
      </w:r>
    </w:p>
    <w:p w14:paraId="564B6DFB">
      <w:pPr>
        <w:spacing w:line="360" w:lineRule="auto"/>
        <w:rPr>
          <w:rFonts w:ascii="宋体" w:hAnsi="宋体" w:cs="宋体"/>
          <w:b/>
          <w:sz w:val="24"/>
          <w:szCs w:val="24"/>
          <w:u w:val="single"/>
        </w:rPr>
      </w:pPr>
      <w:r>
        <w:rPr>
          <w:rFonts w:hint="eastAsia" w:ascii="宋体" w:hAnsi="宋体" w:cs="宋体"/>
          <w:b/>
          <w:sz w:val="24"/>
          <w:szCs w:val="24"/>
        </w:rPr>
        <w:t>承包人（全称）：</w:t>
      </w:r>
      <w:r>
        <w:rPr>
          <w:rFonts w:hint="eastAsia" w:ascii="宋体" w:hAnsi="宋体" w:cs="MingLiU_HKSCS"/>
          <w:b/>
          <w:sz w:val="24"/>
          <w:szCs w:val="24"/>
        </w:rPr>
        <w:t xml:space="preserve">  </w:t>
      </w:r>
      <w:r>
        <w:rPr>
          <w:rFonts w:hint="eastAsia" w:ascii="宋体" w:hAnsi="宋体" w:cs="MingLiU_HKSCS"/>
          <w:b/>
          <w:sz w:val="24"/>
          <w:szCs w:val="24"/>
          <w:u w:val="single"/>
        </w:rPr>
        <w:t xml:space="preserve">                                 </w:t>
      </w:r>
    </w:p>
    <w:p w14:paraId="0F7F271B">
      <w:pPr>
        <w:spacing w:line="360" w:lineRule="auto"/>
        <w:ind w:firstLine="480" w:firstLineChars="200"/>
        <w:rPr>
          <w:rFonts w:ascii="宋体" w:hAnsi="宋体" w:cs="宋体"/>
          <w:sz w:val="24"/>
          <w:szCs w:val="24"/>
        </w:rPr>
      </w:pPr>
      <w:r>
        <w:rPr>
          <w:rFonts w:hint="eastAsia" w:ascii="宋体" w:hAnsi="宋体" w:cs="宋体"/>
          <w:sz w:val="24"/>
          <w:szCs w:val="24"/>
        </w:rPr>
        <w:t>根据《中华人民共和国</w:t>
      </w:r>
      <w:r>
        <w:rPr>
          <w:rFonts w:hint="eastAsia" w:ascii="宋体" w:hAnsi="宋体" w:cs="宋体"/>
          <w:sz w:val="24"/>
          <w:szCs w:val="24"/>
          <w:lang w:eastAsia="zh-CN"/>
        </w:rPr>
        <w:t>民法典</w:t>
      </w:r>
      <w:r>
        <w:rPr>
          <w:rFonts w:hint="eastAsia" w:ascii="宋体" w:hAnsi="宋体" w:cs="宋体"/>
          <w:sz w:val="24"/>
          <w:szCs w:val="24"/>
        </w:rPr>
        <w:t>》、《中华人民共和国建筑法》及有关法律规定，遵循平等、自愿、公平和诚实信用的原则，双方就</w:t>
      </w:r>
      <w:r>
        <w:rPr>
          <w:rFonts w:hint="eastAsia" w:ascii="宋体" w:hAnsi="宋体" w:cs="宋体"/>
          <w:sz w:val="24"/>
          <w:szCs w:val="24"/>
          <w:u w:val="single"/>
        </w:rPr>
        <w:t xml:space="preserve">       </w:t>
      </w:r>
      <w:r>
        <w:rPr>
          <w:rFonts w:hint="eastAsia" w:ascii="宋体" w:hAnsi="宋体" w:cs="宋体"/>
          <w:sz w:val="24"/>
          <w:szCs w:val="24"/>
        </w:rPr>
        <w:t>施工及有关事项协商一致，共同达成如下协议：</w:t>
      </w:r>
    </w:p>
    <w:p w14:paraId="4DFAB79C">
      <w:pPr>
        <w:spacing w:line="360" w:lineRule="auto"/>
        <w:rPr>
          <w:rFonts w:ascii="宋体" w:hAnsi="宋体" w:cs="宋体"/>
          <w:sz w:val="24"/>
          <w:szCs w:val="24"/>
        </w:rPr>
      </w:pPr>
      <w:r>
        <w:rPr>
          <w:rFonts w:hint="eastAsia" w:ascii="宋体" w:hAnsi="宋体" w:cs="宋体"/>
          <w:sz w:val="24"/>
          <w:szCs w:val="24"/>
        </w:rPr>
        <w:t>一、工程概况</w:t>
      </w:r>
    </w:p>
    <w:p w14:paraId="0D86644B">
      <w:pPr>
        <w:spacing w:line="360" w:lineRule="auto"/>
        <w:ind w:firstLine="470" w:firstLineChars="196"/>
        <w:rPr>
          <w:rFonts w:ascii="宋体" w:hAnsi="宋体" w:cs="宋体"/>
          <w:sz w:val="24"/>
          <w:szCs w:val="24"/>
          <w:u w:val="single"/>
        </w:rPr>
      </w:pPr>
      <w:r>
        <w:rPr>
          <w:rFonts w:hint="eastAsia" w:ascii="宋体" w:hAnsi="宋体" w:cs="宋体"/>
          <w:bCs/>
          <w:sz w:val="24"/>
          <w:szCs w:val="24"/>
        </w:rPr>
        <w:t>1.工程名称</w:t>
      </w:r>
      <w:r>
        <w:rPr>
          <w:rFonts w:hint="eastAsia" w:ascii="宋体" w:hAnsi="宋体" w:cs="宋体"/>
          <w:sz w:val="24"/>
          <w:szCs w:val="24"/>
        </w:rPr>
        <w:t>：</w:t>
      </w:r>
      <w:r>
        <w:rPr>
          <w:rFonts w:hint="eastAsia" w:ascii="宋体" w:hAnsi="宋体" w:cs="宋体"/>
          <w:sz w:val="24"/>
          <w:szCs w:val="24"/>
          <w:u w:val="single"/>
        </w:rPr>
        <w:t xml:space="preserve">                                        </w:t>
      </w:r>
      <w:r>
        <w:rPr>
          <w:rFonts w:hint="eastAsia" w:ascii="宋体" w:hAnsi="宋体" w:cs="宋体"/>
          <w:sz w:val="24"/>
          <w:szCs w:val="24"/>
        </w:rPr>
        <w:t>。</w:t>
      </w:r>
    </w:p>
    <w:p w14:paraId="29A97DA9">
      <w:pPr>
        <w:spacing w:line="360" w:lineRule="auto"/>
        <w:ind w:firstLine="470" w:firstLineChars="196"/>
        <w:rPr>
          <w:rFonts w:ascii="宋体" w:hAnsi="宋体" w:cs="宋体"/>
          <w:bCs/>
          <w:sz w:val="24"/>
          <w:szCs w:val="24"/>
        </w:rPr>
      </w:pPr>
      <w:r>
        <w:rPr>
          <w:rFonts w:hint="eastAsia" w:ascii="宋体" w:hAnsi="宋体" w:cs="宋体"/>
          <w:bCs/>
          <w:sz w:val="24"/>
          <w:szCs w:val="24"/>
        </w:rPr>
        <w:t>2.工程地点：</w:t>
      </w:r>
      <w:r>
        <w:rPr>
          <w:rFonts w:hint="eastAsia" w:ascii="宋体" w:hAnsi="宋体" w:cs="MingLiU_HKSCS"/>
          <w:sz w:val="24"/>
          <w:szCs w:val="24"/>
          <w:u w:val="single"/>
        </w:rPr>
        <w:t xml:space="preserve">                                    </w:t>
      </w:r>
      <w:r>
        <w:rPr>
          <w:rFonts w:hint="eastAsia" w:ascii="宋体" w:hAnsi="宋体" w:cs="宋体"/>
          <w:sz w:val="24"/>
          <w:szCs w:val="24"/>
        </w:rPr>
        <w:t>。</w:t>
      </w:r>
    </w:p>
    <w:p w14:paraId="33AEB98C">
      <w:pPr>
        <w:spacing w:line="360" w:lineRule="auto"/>
        <w:ind w:firstLine="470" w:firstLineChars="196"/>
        <w:rPr>
          <w:rFonts w:ascii="宋体" w:hAnsi="宋体" w:cs="宋体"/>
          <w:bCs/>
          <w:sz w:val="24"/>
          <w:szCs w:val="24"/>
        </w:rPr>
      </w:pPr>
      <w:r>
        <w:rPr>
          <w:rFonts w:hint="eastAsia" w:ascii="宋体" w:hAnsi="宋体" w:cs="宋体"/>
          <w:bCs/>
          <w:sz w:val="24"/>
          <w:szCs w:val="24"/>
        </w:rPr>
        <w:t>3.工程立项批准文号：</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bCs/>
          <w:sz w:val="24"/>
          <w:szCs w:val="24"/>
        </w:rPr>
        <w:t>。</w:t>
      </w:r>
    </w:p>
    <w:p w14:paraId="6264F52B">
      <w:pPr>
        <w:spacing w:line="360" w:lineRule="auto"/>
        <w:ind w:firstLine="470" w:firstLineChars="196"/>
        <w:rPr>
          <w:rFonts w:ascii="宋体" w:hAnsi="宋体" w:cs="宋体"/>
          <w:bCs/>
          <w:sz w:val="24"/>
          <w:szCs w:val="24"/>
        </w:rPr>
      </w:pPr>
      <w:r>
        <w:rPr>
          <w:rFonts w:hint="eastAsia" w:ascii="宋体" w:hAnsi="宋体" w:cs="宋体"/>
          <w:bCs/>
          <w:sz w:val="24"/>
          <w:szCs w:val="24"/>
        </w:rPr>
        <w:t>4.资金来源：</w:t>
      </w:r>
      <w:r>
        <w:rPr>
          <w:rFonts w:hint="eastAsia" w:ascii="宋体" w:hAnsi="宋体" w:cs="MingLiU_HKSCS"/>
          <w:sz w:val="24"/>
          <w:szCs w:val="24"/>
          <w:u w:val="single"/>
        </w:rPr>
        <w:t xml:space="preserve">                                   </w:t>
      </w:r>
      <w:r>
        <w:rPr>
          <w:rFonts w:hint="eastAsia" w:ascii="宋体" w:hAnsi="宋体" w:cs="宋体"/>
          <w:bCs/>
          <w:sz w:val="24"/>
          <w:szCs w:val="24"/>
        </w:rPr>
        <w:t>。</w:t>
      </w:r>
    </w:p>
    <w:p w14:paraId="1E622B57">
      <w:pPr>
        <w:spacing w:line="360" w:lineRule="auto"/>
        <w:ind w:firstLine="470" w:firstLineChars="196"/>
        <w:rPr>
          <w:rFonts w:ascii="宋体" w:hAnsi="宋体" w:cs="宋体"/>
          <w:bCs/>
          <w:sz w:val="24"/>
          <w:szCs w:val="24"/>
        </w:rPr>
      </w:pPr>
      <w:r>
        <w:rPr>
          <w:rFonts w:hint="eastAsia" w:ascii="宋体" w:hAnsi="宋体" w:cs="宋体"/>
          <w:bCs/>
          <w:sz w:val="24"/>
          <w:szCs w:val="24"/>
        </w:rPr>
        <w:t>5.工程内容：</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bCs/>
          <w:sz w:val="24"/>
          <w:szCs w:val="24"/>
        </w:rPr>
        <w:t>。</w:t>
      </w:r>
    </w:p>
    <w:p w14:paraId="40AE4616">
      <w:pPr>
        <w:spacing w:line="360" w:lineRule="auto"/>
        <w:ind w:firstLine="470" w:firstLineChars="196"/>
        <w:rPr>
          <w:rFonts w:ascii="宋体" w:hAnsi="宋体" w:cs="宋体"/>
          <w:bCs/>
          <w:sz w:val="24"/>
          <w:szCs w:val="24"/>
        </w:rPr>
      </w:pPr>
      <w:r>
        <w:rPr>
          <w:rFonts w:hint="eastAsia" w:ascii="宋体" w:hAnsi="宋体" w:cs="宋体"/>
          <w:sz w:val="24"/>
          <w:szCs w:val="24"/>
        </w:rPr>
        <w:t>群体工程应附《承包人承揽工程项目一览表》（附件1）。</w:t>
      </w:r>
    </w:p>
    <w:p w14:paraId="3CB52414">
      <w:pPr>
        <w:spacing w:line="360" w:lineRule="auto"/>
        <w:ind w:firstLine="470" w:firstLineChars="196"/>
        <w:rPr>
          <w:rFonts w:ascii="宋体" w:hAnsi="宋体" w:cs="宋体"/>
          <w:bCs/>
          <w:sz w:val="24"/>
          <w:szCs w:val="24"/>
        </w:rPr>
      </w:pPr>
      <w:r>
        <w:rPr>
          <w:rFonts w:hint="eastAsia" w:ascii="宋体" w:hAnsi="宋体" w:cs="宋体"/>
          <w:bCs/>
          <w:sz w:val="24"/>
          <w:szCs w:val="24"/>
        </w:rPr>
        <w:t>6.工程承包范围：</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bCs/>
          <w:sz w:val="24"/>
          <w:szCs w:val="24"/>
        </w:rPr>
        <w:t>。</w:t>
      </w:r>
    </w:p>
    <w:p w14:paraId="70D7DBBF">
      <w:pPr>
        <w:spacing w:line="360" w:lineRule="auto"/>
        <w:rPr>
          <w:rFonts w:ascii="宋体" w:hAnsi="宋体" w:cs="宋体"/>
          <w:sz w:val="24"/>
          <w:szCs w:val="24"/>
        </w:rPr>
      </w:pPr>
      <w:r>
        <w:rPr>
          <w:rFonts w:hint="eastAsia" w:ascii="宋体" w:hAnsi="宋体" w:cs="宋体"/>
          <w:sz w:val="24"/>
          <w:szCs w:val="24"/>
        </w:rPr>
        <w:t>二、合同工期</w:t>
      </w:r>
    </w:p>
    <w:p w14:paraId="6B4D7581">
      <w:pPr>
        <w:spacing w:line="360" w:lineRule="auto"/>
        <w:ind w:firstLine="459"/>
        <w:rPr>
          <w:rFonts w:ascii="宋体" w:hAnsi="宋体" w:cs="宋体"/>
          <w:sz w:val="24"/>
          <w:szCs w:val="24"/>
        </w:rPr>
      </w:pPr>
      <w:r>
        <w:rPr>
          <w:rFonts w:hint="eastAsia" w:ascii="宋体" w:hAnsi="宋体" w:cs="宋体"/>
          <w:sz w:val="24"/>
          <w:szCs w:val="24"/>
        </w:rPr>
        <w:t>计划开工日期：</w:t>
      </w:r>
      <w:r>
        <w:rPr>
          <w:rFonts w:hint="eastAsia" w:ascii="宋体" w:hAnsi="宋体" w:cs="宋体"/>
          <w:sz w:val="24"/>
          <w:szCs w:val="24"/>
          <w:u w:val="single"/>
        </w:rPr>
        <w:t xml:space="preserve">      </w:t>
      </w:r>
      <w:r>
        <w:rPr>
          <w:rFonts w:hint="eastAsia" w:ascii="宋体" w:hAnsi="宋体" w:cs="宋体"/>
          <w:sz w:val="24"/>
          <w:szCs w:val="24"/>
        </w:rPr>
        <w:t>年</w:t>
      </w:r>
      <w:r>
        <w:rPr>
          <w:rFonts w:hint="eastAsia" w:ascii="宋体" w:hAnsi="宋体" w:cs="宋体"/>
          <w:sz w:val="24"/>
          <w:szCs w:val="24"/>
          <w:u w:val="single"/>
        </w:rPr>
        <w:t xml:space="preserve">    </w:t>
      </w:r>
      <w:r>
        <w:rPr>
          <w:rFonts w:hint="eastAsia" w:ascii="宋体" w:hAnsi="宋体" w:cs="宋体"/>
          <w:sz w:val="24"/>
          <w:szCs w:val="24"/>
        </w:rPr>
        <w:t>月</w:t>
      </w:r>
      <w:r>
        <w:rPr>
          <w:rFonts w:hint="eastAsia" w:ascii="宋体" w:hAnsi="宋体" w:cs="宋体"/>
          <w:sz w:val="24"/>
          <w:szCs w:val="24"/>
          <w:u w:val="single"/>
        </w:rPr>
        <w:t xml:space="preserve">    </w:t>
      </w:r>
      <w:r>
        <w:rPr>
          <w:rFonts w:hint="eastAsia" w:ascii="宋体" w:hAnsi="宋体" w:cs="宋体"/>
          <w:sz w:val="24"/>
          <w:szCs w:val="24"/>
        </w:rPr>
        <w:t>日（具体开工时间</w:t>
      </w:r>
      <w:r>
        <w:rPr>
          <w:rFonts w:hint="eastAsia" w:ascii="宋体" w:hAnsi="宋体" w:cs="宋体"/>
          <w:sz w:val="24"/>
          <w:szCs w:val="24"/>
          <w:u w:val="single"/>
        </w:rPr>
        <w:t>以监理确认的开工令为准</w:t>
      </w:r>
      <w:r>
        <w:rPr>
          <w:rFonts w:hint="eastAsia" w:ascii="宋体" w:hAnsi="宋体" w:cs="宋体"/>
          <w:sz w:val="24"/>
          <w:szCs w:val="24"/>
        </w:rPr>
        <w:t>。）</w:t>
      </w:r>
    </w:p>
    <w:p w14:paraId="015EA078">
      <w:pPr>
        <w:spacing w:line="360" w:lineRule="auto"/>
        <w:ind w:firstLine="459"/>
        <w:rPr>
          <w:rFonts w:ascii="宋体" w:hAnsi="宋体" w:cs="宋体"/>
          <w:sz w:val="24"/>
          <w:szCs w:val="24"/>
          <w:u w:val="single"/>
        </w:rPr>
      </w:pPr>
      <w:r>
        <w:rPr>
          <w:rFonts w:hint="eastAsia" w:ascii="宋体" w:hAnsi="宋体" w:cs="宋体"/>
          <w:sz w:val="24"/>
          <w:szCs w:val="24"/>
        </w:rPr>
        <w:t>计划竣工日期：</w:t>
      </w:r>
      <w:r>
        <w:rPr>
          <w:rFonts w:hint="eastAsia" w:ascii="宋体" w:hAnsi="宋体" w:cs="宋体"/>
          <w:sz w:val="24"/>
          <w:szCs w:val="24"/>
          <w:u w:val="single"/>
        </w:rPr>
        <w:t xml:space="preserve">      </w:t>
      </w:r>
      <w:r>
        <w:rPr>
          <w:rFonts w:hint="eastAsia" w:ascii="宋体" w:hAnsi="宋体" w:cs="宋体"/>
          <w:sz w:val="24"/>
          <w:szCs w:val="24"/>
        </w:rPr>
        <w:t>年</w:t>
      </w:r>
      <w:r>
        <w:rPr>
          <w:rFonts w:hint="eastAsia" w:ascii="宋体" w:hAnsi="宋体" w:cs="宋体"/>
          <w:sz w:val="24"/>
          <w:szCs w:val="24"/>
          <w:u w:val="single"/>
        </w:rPr>
        <w:t xml:space="preserve">    </w:t>
      </w:r>
      <w:r>
        <w:rPr>
          <w:rFonts w:hint="eastAsia" w:ascii="宋体" w:hAnsi="宋体" w:cs="宋体"/>
          <w:sz w:val="24"/>
          <w:szCs w:val="24"/>
        </w:rPr>
        <w:t>月</w:t>
      </w:r>
      <w:r>
        <w:rPr>
          <w:rFonts w:hint="eastAsia" w:ascii="宋体" w:hAnsi="宋体" w:cs="宋体"/>
          <w:sz w:val="24"/>
          <w:szCs w:val="24"/>
          <w:u w:val="single"/>
        </w:rPr>
        <w:t xml:space="preserve">    </w:t>
      </w:r>
      <w:r>
        <w:rPr>
          <w:rFonts w:hint="eastAsia" w:ascii="宋体" w:hAnsi="宋体" w:cs="宋体"/>
          <w:sz w:val="24"/>
          <w:szCs w:val="24"/>
        </w:rPr>
        <w:t>日（竣工日期</w:t>
      </w:r>
      <w:r>
        <w:rPr>
          <w:rFonts w:hint="eastAsia" w:ascii="宋体" w:hAnsi="宋体" w:cs="宋体"/>
          <w:sz w:val="24"/>
          <w:szCs w:val="24"/>
          <w:u w:val="single"/>
        </w:rPr>
        <w:t>以竣工报告时间为准。）</w:t>
      </w:r>
    </w:p>
    <w:p w14:paraId="6A34B520">
      <w:pPr>
        <w:spacing w:line="360" w:lineRule="auto"/>
        <w:ind w:firstLine="459"/>
        <w:rPr>
          <w:rFonts w:ascii="宋体" w:hAnsi="宋体" w:cs="宋体"/>
          <w:sz w:val="24"/>
          <w:szCs w:val="24"/>
        </w:rPr>
      </w:pPr>
      <w:r>
        <w:rPr>
          <w:rFonts w:hint="eastAsia" w:ascii="宋体" w:hAnsi="宋体" w:cs="宋体"/>
          <w:sz w:val="24"/>
          <w:szCs w:val="24"/>
        </w:rPr>
        <w:t>工期总日历天数：</w:t>
      </w:r>
      <w:r>
        <w:rPr>
          <w:rFonts w:hint="eastAsia" w:ascii="宋体" w:hAnsi="宋体" w:cs="宋体"/>
          <w:sz w:val="24"/>
          <w:szCs w:val="24"/>
          <w:u w:val="single"/>
        </w:rPr>
        <w:t xml:space="preserve">           </w:t>
      </w:r>
      <w:r>
        <w:rPr>
          <w:rFonts w:hint="eastAsia" w:ascii="宋体" w:hAnsi="宋体" w:cs="宋体"/>
          <w:sz w:val="24"/>
          <w:szCs w:val="24"/>
        </w:rPr>
        <w:t>日历天。</w:t>
      </w:r>
    </w:p>
    <w:p w14:paraId="4036ECF8">
      <w:pPr>
        <w:spacing w:line="360" w:lineRule="auto"/>
        <w:rPr>
          <w:rFonts w:ascii="宋体" w:hAnsi="宋体" w:cs="宋体"/>
          <w:sz w:val="24"/>
          <w:szCs w:val="24"/>
        </w:rPr>
      </w:pPr>
      <w:r>
        <w:rPr>
          <w:rFonts w:hint="eastAsia" w:ascii="宋体" w:hAnsi="宋体" w:cs="宋体"/>
          <w:sz w:val="24"/>
          <w:szCs w:val="24"/>
        </w:rPr>
        <w:t>三、质量标准</w:t>
      </w:r>
    </w:p>
    <w:p w14:paraId="0F6C86EB">
      <w:pPr>
        <w:spacing w:line="360" w:lineRule="auto"/>
        <w:ind w:firstLine="459"/>
        <w:rPr>
          <w:rFonts w:ascii="宋体" w:hAnsi="宋体" w:cs="宋体"/>
          <w:sz w:val="24"/>
          <w:szCs w:val="24"/>
          <w:u w:val="single"/>
        </w:rPr>
      </w:pPr>
      <w:r>
        <w:rPr>
          <w:rFonts w:ascii="宋体" w:hAnsi="宋体"/>
          <w:sz w:val="24"/>
          <w:szCs w:val="24"/>
          <w:u w:val="single"/>
        </w:rPr>
        <w:t>工程质量符合</w:t>
      </w:r>
      <w:r>
        <w:rPr>
          <w:rFonts w:hint="eastAsia" w:ascii="宋体" w:hAnsi="宋体"/>
          <w:sz w:val="24"/>
          <w:szCs w:val="24"/>
          <w:u w:val="single"/>
        </w:rPr>
        <w:t>国家现行有关施工质量验收规范要求，并达到合格标准</w:t>
      </w:r>
      <w:r>
        <w:rPr>
          <w:rFonts w:ascii="宋体" w:hAnsi="宋体"/>
          <w:sz w:val="24"/>
          <w:szCs w:val="24"/>
          <w:u w:val="single"/>
        </w:rPr>
        <w:t>。</w:t>
      </w:r>
    </w:p>
    <w:p w14:paraId="26F09217">
      <w:pPr>
        <w:spacing w:line="360" w:lineRule="auto"/>
        <w:rPr>
          <w:rFonts w:ascii="宋体" w:hAnsi="宋体" w:cs="宋体"/>
          <w:sz w:val="24"/>
          <w:szCs w:val="24"/>
        </w:rPr>
      </w:pPr>
      <w:r>
        <w:rPr>
          <w:rFonts w:hint="eastAsia" w:ascii="宋体" w:hAnsi="宋体" w:cs="宋体"/>
          <w:sz w:val="24"/>
          <w:szCs w:val="24"/>
        </w:rPr>
        <w:t>四、签约合同价与合同价格形式</w:t>
      </w:r>
      <w:r>
        <w:rPr>
          <w:rFonts w:hint="eastAsia" w:ascii="宋体" w:hAnsi="宋体" w:cs="宋体"/>
          <w:sz w:val="24"/>
          <w:szCs w:val="24"/>
        </w:rPr>
        <w:tab/>
      </w:r>
    </w:p>
    <w:p w14:paraId="67BEED22">
      <w:pPr>
        <w:spacing w:line="360" w:lineRule="auto"/>
        <w:ind w:firstLine="480" w:firstLineChars="200"/>
        <w:rPr>
          <w:rFonts w:ascii="宋体" w:hAnsi="宋体" w:cs="宋体"/>
          <w:sz w:val="24"/>
          <w:szCs w:val="24"/>
          <w:u w:val="single"/>
        </w:rPr>
      </w:pPr>
      <w:r>
        <w:rPr>
          <w:rFonts w:hint="eastAsia" w:ascii="宋体" w:hAnsi="宋体" w:cs="宋体"/>
          <w:sz w:val="24"/>
          <w:szCs w:val="24"/>
        </w:rPr>
        <w:t xml:space="preserve">1.签约合同价为： </w:t>
      </w:r>
      <w:r>
        <w:rPr>
          <w:rFonts w:hint="eastAsia" w:ascii="宋体" w:hAnsi="宋体" w:cs="宋体"/>
          <w:sz w:val="24"/>
          <w:szCs w:val="24"/>
          <w:u w:val="single"/>
        </w:rPr>
        <w:t xml:space="preserve">                              </w:t>
      </w:r>
    </w:p>
    <w:p w14:paraId="4154D8C1">
      <w:pPr>
        <w:spacing w:line="360" w:lineRule="auto"/>
        <w:ind w:firstLine="600" w:firstLineChars="2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xml:space="preserve">）(¥ </w:t>
      </w:r>
      <w:r>
        <w:rPr>
          <w:rFonts w:hint="eastAsia" w:ascii="宋体" w:hAnsi="宋体" w:cs="宋体"/>
          <w:sz w:val="24"/>
          <w:szCs w:val="24"/>
          <w:u w:val="single"/>
        </w:rPr>
        <w:t xml:space="preserve">                    </w:t>
      </w:r>
      <w:r>
        <w:rPr>
          <w:rFonts w:hint="eastAsia" w:ascii="宋体" w:hAnsi="宋体" w:cs="宋体"/>
          <w:sz w:val="24"/>
          <w:szCs w:val="24"/>
        </w:rPr>
        <w:t>元)；</w:t>
      </w:r>
    </w:p>
    <w:p w14:paraId="0EFB03AC">
      <w:pPr>
        <w:spacing w:line="360" w:lineRule="auto"/>
        <w:ind w:firstLine="480" w:firstLineChars="200"/>
        <w:rPr>
          <w:rFonts w:ascii="宋体" w:hAnsi="宋体" w:cs="宋体"/>
          <w:sz w:val="24"/>
          <w:szCs w:val="24"/>
        </w:rPr>
      </w:pPr>
      <w:r>
        <w:rPr>
          <w:rFonts w:hint="eastAsia" w:ascii="宋体" w:hAnsi="宋体" w:cs="宋体"/>
          <w:sz w:val="24"/>
          <w:szCs w:val="24"/>
        </w:rPr>
        <w:t>其中：</w:t>
      </w:r>
    </w:p>
    <w:p w14:paraId="1F51CE8F">
      <w:pPr>
        <w:spacing w:line="360" w:lineRule="auto"/>
        <w:ind w:firstLine="480" w:firstLineChars="200"/>
        <w:rPr>
          <w:rFonts w:ascii="宋体" w:hAnsi="宋体" w:cs="宋体"/>
          <w:sz w:val="24"/>
          <w:szCs w:val="24"/>
        </w:rPr>
      </w:pPr>
      <w:r>
        <w:rPr>
          <w:rFonts w:hint="eastAsia" w:ascii="宋体" w:hAnsi="宋体" w:cs="宋体"/>
          <w:sz w:val="24"/>
          <w:szCs w:val="24"/>
        </w:rPr>
        <w:t>（1）安全文明施工费：</w:t>
      </w:r>
      <w:r>
        <w:rPr>
          <w:rFonts w:hint="eastAsia" w:ascii="宋体" w:hAnsi="宋体" w:cs="宋体"/>
          <w:sz w:val="24"/>
          <w:szCs w:val="24"/>
          <w:u w:val="single"/>
        </w:rPr>
        <w:t xml:space="preserve">                      </w:t>
      </w:r>
      <w:r>
        <w:rPr>
          <w:rFonts w:hint="eastAsia" w:ascii="宋体" w:hAnsi="宋体" w:cs="宋体"/>
          <w:sz w:val="24"/>
          <w:szCs w:val="24"/>
        </w:rPr>
        <w:t xml:space="preserve">                        </w:t>
      </w:r>
    </w:p>
    <w:p w14:paraId="442D073E">
      <w:pPr>
        <w:spacing w:line="360" w:lineRule="auto"/>
        <w:ind w:firstLine="1080" w:firstLineChars="4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w:t>
      </w:r>
      <w:r>
        <w:rPr>
          <w:rFonts w:hint="eastAsia" w:ascii="宋体" w:hAnsi="宋体" w:cs="宋体"/>
          <w:sz w:val="24"/>
          <w:szCs w:val="24"/>
          <w:u w:val="single"/>
        </w:rPr>
        <w:t xml:space="preserve">                      </w:t>
      </w:r>
      <w:r>
        <w:rPr>
          <w:rFonts w:hint="eastAsia" w:ascii="宋体" w:hAnsi="宋体" w:cs="宋体"/>
          <w:sz w:val="24"/>
          <w:szCs w:val="24"/>
        </w:rPr>
        <w:t>元)；</w:t>
      </w:r>
    </w:p>
    <w:p w14:paraId="54AFAF3C">
      <w:pPr>
        <w:spacing w:line="360" w:lineRule="auto"/>
        <w:ind w:firstLine="480" w:firstLineChars="200"/>
        <w:rPr>
          <w:rFonts w:ascii="宋体" w:hAnsi="宋体" w:cs="宋体"/>
          <w:sz w:val="24"/>
          <w:szCs w:val="24"/>
        </w:rPr>
      </w:pPr>
      <w:r>
        <w:rPr>
          <w:rFonts w:hint="eastAsia" w:ascii="宋体" w:hAnsi="宋体" w:cs="宋体"/>
          <w:sz w:val="24"/>
          <w:szCs w:val="24"/>
        </w:rPr>
        <w:t>（2）材料和工程设备暂估价金额：</w:t>
      </w:r>
      <w:r>
        <w:rPr>
          <w:rFonts w:hint="eastAsia" w:ascii="宋体" w:hAnsi="宋体" w:cs="宋体"/>
          <w:sz w:val="24"/>
          <w:szCs w:val="24"/>
          <w:u w:val="single"/>
        </w:rPr>
        <w:t xml:space="preserve">                     </w:t>
      </w:r>
      <w:r>
        <w:rPr>
          <w:rFonts w:hint="eastAsia" w:ascii="宋体" w:hAnsi="宋体" w:cs="宋体"/>
          <w:sz w:val="24"/>
          <w:szCs w:val="24"/>
        </w:rPr>
        <w:t xml:space="preserve"> </w:t>
      </w:r>
    </w:p>
    <w:p w14:paraId="44B1BABA">
      <w:pPr>
        <w:spacing w:line="360" w:lineRule="auto"/>
        <w:ind w:firstLine="1080" w:firstLineChars="4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w:t>
      </w:r>
      <w:r>
        <w:rPr>
          <w:rFonts w:hint="eastAsia" w:ascii="宋体" w:hAnsi="宋体" w:cs="宋体"/>
          <w:sz w:val="24"/>
          <w:szCs w:val="24"/>
          <w:u w:val="single"/>
        </w:rPr>
        <w:t xml:space="preserve">                     </w:t>
      </w:r>
      <w:r>
        <w:rPr>
          <w:rFonts w:hint="eastAsia" w:ascii="宋体" w:hAnsi="宋体" w:cs="宋体"/>
          <w:sz w:val="24"/>
          <w:szCs w:val="24"/>
        </w:rPr>
        <w:t xml:space="preserve"> 元)；</w:t>
      </w:r>
    </w:p>
    <w:p w14:paraId="6CDEA6B4">
      <w:pPr>
        <w:spacing w:line="360" w:lineRule="auto"/>
        <w:ind w:firstLine="480" w:firstLineChars="200"/>
        <w:rPr>
          <w:rFonts w:ascii="宋体" w:hAnsi="宋体" w:cs="宋体"/>
          <w:sz w:val="24"/>
          <w:szCs w:val="24"/>
        </w:rPr>
      </w:pPr>
      <w:r>
        <w:rPr>
          <w:rFonts w:hint="eastAsia" w:ascii="宋体" w:hAnsi="宋体" w:cs="宋体"/>
          <w:sz w:val="24"/>
          <w:szCs w:val="24"/>
        </w:rPr>
        <w:t>（3）专业工程暂估价金额：</w:t>
      </w:r>
      <w:r>
        <w:rPr>
          <w:rFonts w:hint="eastAsia" w:ascii="宋体" w:hAnsi="宋体" w:cs="宋体"/>
          <w:sz w:val="24"/>
          <w:szCs w:val="24"/>
          <w:u w:val="single"/>
        </w:rPr>
        <w:t xml:space="preserve">                     </w:t>
      </w:r>
      <w:r>
        <w:rPr>
          <w:rFonts w:hint="eastAsia" w:ascii="宋体" w:hAnsi="宋体" w:cs="宋体"/>
          <w:sz w:val="24"/>
          <w:szCs w:val="24"/>
        </w:rPr>
        <w:t xml:space="preserve"> </w:t>
      </w:r>
    </w:p>
    <w:p w14:paraId="39A5E84D">
      <w:pPr>
        <w:spacing w:line="360" w:lineRule="auto"/>
        <w:ind w:firstLine="1080" w:firstLineChars="4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w:t>
      </w:r>
      <w:r>
        <w:rPr>
          <w:rFonts w:hint="eastAsia" w:ascii="宋体" w:hAnsi="宋体" w:cs="宋体"/>
          <w:sz w:val="24"/>
          <w:szCs w:val="24"/>
          <w:u w:val="single"/>
        </w:rPr>
        <w:t xml:space="preserve">                     </w:t>
      </w:r>
      <w:r>
        <w:rPr>
          <w:rFonts w:hint="eastAsia" w:ascii="宋体" w:hAnsi="宋体" w:cs="宋体"/>
          <w:sz w:val="24"/>
          <w:szCs w:val="24"/>
        </w:rPr>
        <w:t xml:space="preserve"> 元)；</w:t>
      </w:r>
    </w:p>
    <w:p w14:paraId="261B3C19">
      <w:pPr>
        <w:spacing w:line="360" w:lineRule="auto"/>
        <w:ind w:firstLine="480" w:firstLineChars="200"/>
        <w:rPr>
          <w:rFonts w:ascii="宋体" w:hAnsi="宋体" w:cs="宋体"/>
          <w:sz w:val="24"/>
          <w:szCs w:val="24"/>
        </w:rPr>
      </w:pPr>
      <w:r>
        <w:rPr>
          <w:rFonts w:hint="eastAsia" w:ascii="宋体" w:hAnsi="宋体" w:cs="宋体"/>
          <w:sz w:val="24"/>
          <w:szCs w:val="24"/>
        </w:rPr>
        <w:t>（4）暂列金额：</w:t>
      </w:r>
      <w:r>
        <w:rPr>
          <w:rFonts w:hint="eastAsia" w:ascii="宋体" w:hAnsi="宋体" w:cs="宋体"/>
          <w:sz w:val="24"/>
          <w:szCs w:val="24"/>
          <w:u w:val="single"/>
        </w:rPr>
        <w:t xml:space="preserve">                     </w:t>
      </w:r>
      <w:r>
        <w:rPr>
          <w:rFonts w:hint="eastAsia" w:ascii="宋体" w:hAnsi="宋体" w:cs="宋体"/>
          <w:sz w:val="24"/>
          <w:szCs w:val="24"/>
        </w:rPr>
        <w:t xml:space="preserve"> </w:t>
      </w:r>
    </w:p>
    <w:p w14:paraId="19910EA7">
      <w:pPr>
        <w:spacing w:line="360" w:lineRule="auto"/>
        <w:ind w:firstLine="1080" w:firstLineChars="4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w:t>
      </w:r>
      <w:r>
        <w:rPr>
          <w:rFonts w:hint="eastAsia" w:ascii="宋体" w:hAnsi="宋体" w:cs="宋体"/>
          <w:sz w:val="24"/>
          <w:szCs w:val="24"/>
          <w:u w:val="single"/>
        </w:rPr>
        <w:t xml:space="preserve">                     </w:t>
      </w:r>
      <w:r>
        <w:rPr>
          <w:rFonts w:hint="eastAsia" w:ascii="宋体" w:hAnsi="宋体" w:cs="宋体"/>
          <w:sz w:val="24"/>
          <w:szCs w:val="24"/>
        </w:rPr>
        <w:t xml:space="preserve"> 元)。</w:t>
      </w:r>
    </w:p>
    <w:p w14:paraId="1270CA5D">
      <w:pPr>
        <w:spacing w:line="360" w:lineRule="auto"/>
        <w:ind w:firstLine="480" w:firstLineChars="200"/>
        <w:rPr>
          <w:rFonts w:ascii="宋体" w:hAnsi="宋体" w:cs="宋体"/>
          <w:sz w:val="24"/>
          <w:szCs w:val="24"/>
        </w:rPr>
      </w:pPr>
      <w:r>
        <w:rPr>
          <w:rFonts w:hint="eastAsia" w:ascii="宋体" w:hAnsi="宋体" w:cs="宋体"/>
          <w:sz w:val="24"/>
          <w:szCs w:val="24"/>
        </w:rPr>
        <w:t>2.合同价格形式：</w:t>
      </w:r>
      <w:r>
        <w:rPr>
          <w:rFonts w:hint="eastAsia" w:ascii="宋体" w:hAnsi="宋体" w:cs="MingLiU_HKSCS"/>
          <w:sz w:val="24"/>
          <w:szCs w:val="24"/>
          <w:u w:val="single"/>
        </w:rPr>
        <w:t xml:space="preserve">                           </w:t>
      </w:r>
      <w:r>
        <w:rPr>
          <w:rFonts w:hint="eastAsia" w:ascii="宋体" w:hAnsi="宋体" w:cs="宋体"/>
          <w:sz w:val="24"/>
          <w:szCs w:val="24"/>
        </w:rPr>
        <w:t>。</w:t>
      </w:r>
    </w:p>
    <w:p w14:paraId="66DF8406">
      <w:pPr>
        <w:spacing w:line="360" w:lineRule="auto"/>
        <w:rPr>
          <w:rFonts w:ascii="宋体" w:hAnsi="宋体" w:cs="宋体"/>
          <w:sz w:val="24"/>
          <w:szCs w:val="24"/>
        </w:rPr>
      </w:pPr>
      <w:r>
        <w:rPr>
          <w:rFonts w:hint="eastAsia" w:ascii="宋体" w:hAnsi="宋体" w:cs="宋体"/>
          <w:sz w:val="24"/>
          <w:szCs w:val="24"/>
        </w:rPr>
        <w:t>五、项目经理</w:t>
      </w:r>
    </w:p>
    <w:p w14:paraId="783B31D2">
      <w:pPr>
        <w:spacing w:line="360" w:lineRule="auto"/>
        <w:ind w:firstLine="480" w:firstLineChars="200"/>
        <w:rPr>
          <w:rFonts w:ascii="宋体" w:hAnsi="宋体" w:cs="宋体"/>
          <w:sz w:val="24"/>
          <w:szCs w:val="24"/>
        </w:rPr>
      </w:pPr>
      <w:r>
        <w:rPr>
          <w:rFonts w:hint="eastAsia" w:ascii="宋体" w:hAnsi="宋体" w:cs="宋体"/>
          <w:sz w:val="24"/>
          <w:szCs w:val="24"/>
        </w:rPr>
        <w:t>承包人项目经理：</w:t>
      </w:r>
      <w:r>
        <w:rPr>
          <w:rFonts w:hint="eastAsia" w:ascii="宋体" w:hAnsi="宋体" w:cs="MingLiU_HKSCS"/>
          <w:sz w:val="24"/>
          <w:szCs w:val="24"/>
          <w:u w:val="single"/>
        </w:rPr>
        <w:t xml:space="preserve">                              </w:t>
      </w:r>
      <w:r>
        <w:rPr>
          <w:rFonts w:hint="eastAsia" w:ascii="宋体" w:hAnsi="宋体" w:cs="宋体"/>
          <w:sz w:val="24"/>
          <w:szCs w:val="24"/>
        </w:rPr>
        <w:t>。</w:t>
      </w:r>
    </w:p>
    <w:p w14:paraId="111C9693">
      <w:pPr>
        <w:spacing w:line="360" w:lineRule="auto"/>
        <w:ind w:firstLine="480" w:firstLineChars="200"/>
        <w:rPr>
          <w:rFonts w:ascii="宋体" w:hAnsi="宋体" w:cs="宋体"/>
          <w:sz w:val="24"/>
          <w:szCs w:val="24"/>
        </w:rPr>
      </w:pPr>
      <w:r>
        <w:rPr>
          <w:rFonts w:hint="eastAsia" w:ascii="宋体" w:hAnsi="宋体" w:cs="宋体"/>
          <w:sz w:val="24"/>
          <w:szCs w:val="24"/>
        </w:rPr>
        <w:t>执业资格证号：</w:t>
      </w:r>
      <w:r>
        <w:rPr>
          <w:rFonts w:hint="eastAsia" w:ascii="宋体" w:hAnsi="宋体" w:cs="MingLiU_HKSCS"/>
          <w:sz w:val="24"/>
          <w:szCs w:val="24"/>
          <w:u w:val="single"/>
        </w:rPr>
        <w:t xml:space="preserve">                         </w:t>
      </w:r>
      <w:r>
        <w:rPr>
          <w:rFonts w:hint="eastAsia" w:ascii="宋体" w:hAnsi="宋体" w:cs="宋体"/>
          <w:sz w:val="24"/>
          <w:szCs w:val="24"/>
          <w:u w:val="single"/>
        </w:rPr>
        <w:t>。</w:t>
      </w:r>
      <w:r>
        <w:rPr>
          <w:rFonts w:hint="eastAsia" w:ascii="宋体" w:hAnsi="宋体" w:cs="宋体"/>
          <w:sz w:val="24"/>
          <w:szCs w:val="24"/>
        </w:rPr>
        <w:t>联系电话：</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5F06C592">
      <w:pPr>
        <w:spacing w:line="360" w:lineRule="auto"/>
        <w:rPr>
          <w:rFonts w:ascii="宋体" w:hAnsi="宋体" w:cs="宋体"/>
          <w:sz w:val="24"/>
          <w:szCs w:val="24"/>
        </w:rPr>
      </w:pPr>
      <w:r>
        <w:rPr>
          <w:rFonts w:hint="eastAsia" w:ascii="宋体" w:hAnsi="宋体" w:cs="宋体"/>
          <w:sz w:val="24"/>
          <w:szCs w:val="24"/>
        </w:rPr>
        <w:t>六、合同文件构成</w:t>
      </w:r>
    </w:p>
    <w:p w14:paraId="1A621997">
      <w:pPr>
        <w:spacing w:line="360" w:lineRule="auto"/>
        <w:ind w:firstLine="480" w:firstLineChars="200"/>
        <w:rPr>
          <w:rFonts w:ascii="宋体" w:hAnsi="宋体" w:cs="宋体"/>
          <w:bCs/>
          <w:sz w:val="24"/>
          <w:szCs w:val="24"/>
        </w:rPr>
      </w:pPr>
      <w:r>
        <w:rPr>
          <w:rFonts w:hint="eastAsia" w:ascii="宋体" w:hAnsi="宋体" w:cs="宋体"/>
          <w:bCs/>
          <w:sz w:val="24"/>
          <w:szCs w:val="24"/>
        </w:rPr>
        <w:t>本协议书与下列文件一起构成合同文件：</w:t>
      </w:r>
    </w:p>
    <w:p w14:paraId="7E4EC487">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（1）中标通知书；</w:t>
      </w:r>
    </w:p>
    <w:p w14:paraId="1C315804">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 xml:space="preserve">（2）投标函及其附录； </w:t>
      </w:r>
    </w:p>
    <w:p w14:paraId="0BB5F945">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（3）专用合同条款及其附件；</w:t>
      </w:r>
    </w:p>
    <w:p w14:paraId="61A0A0A0">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（4）通用合同条款；</w:t>
      </w:r>
    </w:p>
    <w:p w14:paraId="2C87CCB1">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（5）</w:t>
      </w:r>
      <w:r>
        <w:rPr>
          <w:rFonts w:hint="eastAsia" w:ascii="宋体" w:hAnsi="宋体"/>
          <w:sz w:val="24"/>
          <w:szCs w:val="24"/>
        </w:rPr>
        <w:t>相关方安全环境实施细则；</w:t>
      </w:r>
    </w:p>
    <w:p w14:paraId="146C66B1">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（6）技术标准和要求；</w:t>
      </w:r>
    </w:p>
    <w:p w14:paraId="02EC8043">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（7）图纸；</w:t>
      </w:r>
    </w:p>
    <w:p w14:paraId="43C4B8F1">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（8）已标价工程量清单或预算书；</w:t>
      </w:r>
    </w:p>
    <w:p w14:paraId="64B6E93B">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（9）其他合同文件。</w:t>
      </w:r>
    </w:p>
    <w:p w14:paraId="6085575E">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在合同订立及履行过程中形成的与合同有关的文件均构成合同文件组成部分。</w:t>
      </w:r>
    </w:p>
    <w:p w14:paraId="7ED4E64E">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上述各项合同文件包括合同当事人就该项合同文件所作出的补充和修改，属于同一类内容的文件，应以最新签署的为准。专用合同条款及其附件须经合同当事人签字或盖章。</w:t>
      </w:r>
    </w:p>
    <w:p w14:paraId="545D1DEA">
      <w:pPr>
        <w:spacing w:line="360" w:lineRule="auto"/>
        <w:rPr>
          <w:rFonts w:ascii="宋体" w:hAnsi="宋体" w:cs="宋体"/>
          <w:sz w:val="24"/>
          <w:szCs w:val="24"/>
        </w:rPr>
      </w:pPr>
      <w:r>
        <w:rPr>
          <w:rFonts w:hint="eastAsia" w:ascii="宋体" w:hAnsi="宋体" w:cs="宋体"/>
          <w:sz w:val="24"/>
          <w:szCs w:val="24"/>
        </w:rPr>
        <w:t>七、承诺</w:t>
      </w:r>
    </w:p>
    <w:p w14:paraId="23C39FD7">
      <w:pPr>
        <w:spacing w:line="360" w:lineRule="auto"/>
        <w:ind w:firstLine="480" w:firstLineChars="200"/>
        <w:rPr>
          <w:rFonts w:ascii="宋体" w:hAnsi="宋体" w:cs="宋体"/>
          <w:bCs/>
          <w:sz w:val="24"/>
          <w:szCs w:val="24"/>
        </w:rPr>
      </w:pPr>
      <w:r>
        <w:rPr>
          <w:rFonts w:hint="eastAsia" w:ascii="宋体" w:hAnsi="宋体" w:cs="宋体"/>
          <w:bCs/>
          <w:sz w:val="24"/>
          <w:szCs w:val="24"/>
        </w:rPr>
        <w:t>1.发包人承诺按照法律规定履行项目审批手续、筹集工程建设资金并按照合同约定的期限和方式支付合同价款。</w:t>
      </w:r>
    </w:p>
    <w:p w14:paraId="18F2FE8B">
      <w:pPr>
        <w:spacing w:line="360" w:lineRule="auto"/>
        <w:ind w:firstLine="480" w:firstLineChars="200"/>
        <w:rPr>
          <w:rFonts w:ascii="宋体" w:hAnsi="宋体" w:cs="宋体"/>
          <w:bCs/>
          <w:sz w:val="24"/>
          <w:szCs w:val="24"/>
        </w:rPr>
      </w:pPr>
      <w:r>
        <w:rPr>
          <w:rFonts w:hint="eastAsia" w:ascii="宋体" w:hAnsi="宋体" w:cs="宋体"/>
          <w:bCs/>
          <w:sz w:val="24"/>
          <w:szCs w:val="24"/>
        </w:rPr>
        <w:t>2.承包人承诺按照法律规定及合同约定组织完成工程施工，确保工程质量和安全，不进行转包及违法分包，并在缺陷责任期及保修期内承担相应的工程维修责任。</w:t>
      </w:r>
    </w:p>
    <w:p w14:paraId="58F3F1C4">
      <w:pPr>
        <w:spacing w:line="360" w:lineRule="auto"/>
        <w:ind w:firstLine="480" w:firstLineChars="200"/>
        <w:rPr>
          <w:rFonts w:ascii="宋体" w:hAnsi="宋体" w:cs="宋体"/>
          <w:bCs/>
          <w:sz w:val="24"/>
          <w:szCs w:val="24"/>
        </w:rPr>
      </w:pPr>
      <w:r>
        <w:rPr>
          <w:rFonts w:hint="eastAsia" w:ascii="宋体" w:hAnsi="宋体" w:cs="宋体"/>
          <w:bCs/>
          <w:sz w:val="24"/>
          <w:szCs w:val="24"/>
        </w:rPr>
        <w:t>3.发包人和承包人通过招投标形式签订合同的，双方理解并承诺不再就同一工程另行签订与合同实质性内容相背离的协议。</w:t>
      </w:r>
    </w:p>
    <w:p w14:paraId="67A6087F">
      <w:pPr>
        <w:spacing w:line="360" w:lineRule="auto"/>
        <w:rPr>
          <w:rFonts w:ascii="宋体" w:hAnsi="宋体" w:cs="宋体"/>
          <w:sz w:val="24"/>
          <w:szCs w:val="24"/>
        </w:rPr>
      </w:pPr>
      <w:r>
        <w:rPr>
          <w:rFonts w:hint="eastAsia" w:ascii="宋体" w:hAnsi="宋体" w:cs="宋体"/>
          <w:sz w:val="24"/>
          <w:szCs w:val="24"/>
        </w:rPr>
        <w:t>八、词语含义</w:t>
      </w:r>
    </w:p>
    <w:p w14:paraId="56F2125B">
      <w:pPr>
        <w:spacing w:line="360" w:lineRule="auto"/>
        <w:ind w:firstLine="480" w:firstLineChars="200"/>
        <w:rPr>
          <w:rFonts w:ascii="宋体" w:hAnsi="宋体" w:cs="宋体"/>
          <w:bCs/>
          <w:sz w:val="24"/>
          <w:szCs w:val="24"/>
        </w:rPr>
      </w:pPr>
      <w:r>
        <w:rPr>
          <w:rFonts w:hint="eastAsia" w:ascii="宋体" w:hAnsi="宋体" w:cs="宋体"/>
          <w:bCs/>
          <w:sz w:val="24"/>
          <w:szCs w:val="24"/>
        </w:rPr>
        <w:t>本协议书中词语含义与第二部分通用合同条款中赋予的含义相同。</w:t>
      </w:r>
    </w:p>
    <w:p w14:paraId="7FB6D36B">
      <w:pPr>
        <w:spacing w:line="360" w:lineRule="auto"/>
        <w:rPr>
          <w:rFonts w:ascii="宋体" w:hAnsi="宋体" w:cs="宋体"/>
          <w:sz w:val="24"/>
          <w:szCs w:val="24"/>
        </w:rPr>
      </w:pPr>
      <w:r>
        <w:rPr>
          <w:rFonts w:hint="eastAsia" w:ascii="宋体" w:hAnsi="宋体" w:cs="宋体"/>
          <w:sz w:val="24"/>
          <w:szCs w:val="24"/>
        </w:rPr>
        <w:t>九、签订时间</w:t>
      </w:r>
    </w:p>
    <w:p w14:paraId="7A266299">
      <w:pPr>
        <w:spacing w:line="360" w:lineRule="auto"/>
        <w:ind w:firstLine="480" w:firstLineChars="200"/>
        <w:rPr>
          <w:rFonts w:ascii="宋体" w:hAnsi="宋体" w:cs="宋体"/>
          <w:bCs/>
          <w:sz w:val="24"/>
          <w:szCs w:val="24"/>
        </w:rPr>
      </w:pPr>
      <w:r>
        <w:rPr>
          <w:rFonts w:hint="eastAsia" w:ascii="宋体" w:hAnsi="宋体" w:cs="宋体"/>
          <w:bCs/>
          <w:sz w:val="24"/>
          <w:szCs w:val="24"/>
        </w:rPr>
        <w:t>本合同于</w:t>
      </w:r>
      <w:r>
        <w:rPr>
          <w:rFonts w:hint="eastAsia" w:ascii="宋体" w:hAnsi="宋体" w:cs="宋体"/>
          <w:bCs/>
          <w:sz w:val="24"/>
          <w:szCs w:val="24"/>
          <w:u w:val="single"/>
        </w:rPr>
        <w:t xml:space="preserve">       </w:t>
      </w:r>
      <w:r>
        <w:rPr>
          <w:rFonts w:hint="eastAsia" w:ascii="宋体" w:hAnsi="宋体" w:cs="宋体"/>
          <w:bCs/>
          <w:sz w:val="24"/>
          <w:szCs w:val="24"/>
        </w:rPr>
        <w:t>年</w:t>
      </w:r>
      <w:r>
        <w:rPr>
          <w:rFonts w:hint="eastAsia" w:ascii="宋体" w:hAnsi="宋体" w:cs="宋体"/>
          <w:bCs/>
          <w:sz w:val="24"/>
          <w:szCs w:val="24"/>
          <w:u w:val="single"/>
        </w:rPr>
        <w:t xml:space="preserve">   </w:t>
      </w:r>
      <w:r>
        <w:rPr>
          <w:rFonts w:hint="eastAsia" w:ascii="宋体" w:hAnsi="宋体" w:cs="宋体"/>
          <w:bCs/>
          <w:sz w:val="24"/>
          <w:szCs w:val="24"/>
        </w:rPr>
        <w:t>月</w:t>
      </w:r>
      <w:r>
        <w:rPr>
          <w:rFonts w:hint="eastAsia" w:ascii="宋体" w:hAnsi="宋体" w:cs="宋体"/>
          <w:bCs/>
          <w:sz w:val="24"/>
          <w:szCs w:val="24"/>
          <w:u w:val="single"/>
        </w:rPr>
        <w:t xml:space="preserve">    </w:t>
      </w:r>
      <w:r>
        <w:rPr>
          <w:rFonts w:hint="eastAsia" w:ascii="宋体" w:hAnsi="宋体" w:cs="宋体"/>
          <w:bCs/>
          <w:sz w:val="24"/>
          <w:szCs w:val="24"/>
        </w:rPr>
        <w:t>日签订。</w:t>
      </w:r>
    </w:p>
    <w:p w14:paraId="1F0B9F71">
      <w:pPr>
        <w:spacing w:line="360" w:lineRule="auto"/>
        <w:rPr>
          <w:rFonts w:ascii="宋体" w:hAnsi="宋体" w:cs="宋体"/>
          <w:sz w:val="24"/>
          <w:szCs w:val="24"/>
        </w:rPr>
      </w:pPr>
      <w:r>
        <w:rPr>
          <w:rFonts w:hint="eastAsia" w:ascii="宋体" w:hAnsi="宋体" w:cs="宋体"/>
          <w:sz w:val="24"/>
          <w:szCs w:val="24"/>
        </w:rPr>
        <w:t>十、签订地点</w:t>
      </w:r>
    </w:p>
    <w:p w14:paraId="00E1A7D8">
      <w:pPr>
        <w:spacing w:line="360" w:lineRule="auto"/>
        <w:ind w:firstLine="480" w:firstLineChars="200"/>
        <w:rPr>
          <w:rFonts w:ascii="宋体" w:hAnsi="宋体" w:cs="宋体"/>
          <w:bCs/>
          <w:sz w:val="24"/>
          <w:szCs w:val="24"/>
        </w:rPr>
      </w:pPr>
      <w:r>
        <w:rPr>
          <w:rFonts w:hint="eastAsia" w:ascii="宋体" w:hAnsi="宋体" w:cs="宋体"/>
          <w:bCs/>
          <w:sz w:val="24"/>
          <w:szCs w:val="24"/>
        </w:rPr>
        <w:t>本合同在</w:t>
      </w:r>
      <w:r>
        <w:rPr>
          <w:rFonts w:hint="eastAsia" w:ascii="宋体" w:hAnsi="宋体" w:cs="宋体"/>
          <w:bCs/>
          <w:sz w:val="24"/>
          <w:szCs w:val="24"/>
          <w:u w:val="single"/>
        </w:rPr>
        <w:t xml:space="preserve">                  </w:t>
      </w:r>
      <w:r>
        <w:rPr>
          <w:rFonts w:hint="eastAsia" w:ascii="宋体" w:hAnsi="宋体" w:cs="宋体"/>
          <w:bCs/>
          <w:sz w:val="24"/>
          <w:szCs w:val="24"/>
        </w:rPr>
        <w:t>签订。</w:t>
      </w:r>
    </w:p>
    <w:p w14:paraId="0DF32D70">
      <w:pPr>
        <w:spacing w:line="360" w:lineRule="auto"/>
        <w:rPr>
          <w:rFonts w:ascii="宋体" w:hAnsi="宋体" w:cs="宋体"/>
          <w:sz w:val="24"/>
          <w:szCs w:val="24"/>
        </w:rPr>
      </w:pPr>
      <w:r>
        <w:rPr>
          <w:rFonts w:hint="eastAsia" w:ascii="宋体" w:hAnsi="宋体" w:cs="宋体"/>
          <w:sz w:val="24"/>
          <w:szCs w:val="24"/>
        </w:rPr>
        <w:t>十一、补充协议</w:t>
      </w:r>
    </w:p>
    <w:p w14:paraId="402127BE">
      <w:pPr>
        <w:spacing w:line="360" w:lineRule="auto"/>
        <w:ind w:firstLine="480" w:firstLineChars="200"/>
        <w:rPr>
          <w:rFonts w:ascii="宋体" w:hAnsi="宋体" w:cs="宋体"/>
          <w:b/>
          <w:bCs/>
          <w:sz w:val="24"/>
          <w:szCs w:val="24"/>
        </w:rPr>
      </w:pPr>
      <w:r>
        <w:rPr>
          <w:rFonts w:hint="eastAsia" w:ascii="宋体" w:hAnsi="宋体" w:cs="宋体"/>
          <w:bCs/>
          <w:sz w:val="24"/>
          <w:szCs w:val="24"/>
        </w:rPr>
        <w:t>合同未尽事宜，合同当事人另行签订补充协议，补充协议是合同的组成部分。</w:t>
      </w:r>
    </w:p>
    <w:p w14:paraId="75C37E65">
      <w:pPr>
        <w:spacing w:line="360" w:lineRule="auto"/>
        <w:rPr>
          <w:rFonts w:ascii="宋体" w:hAnsi="宋体" w:cs="宋体"/>
          <w:sz w:val="24"/>
          <w:szCs w:val="24"/>
        </w:rPr>
      </w:pPr>
      <w:r>
        <w:rPr>
          <w:rFonts w:hint="eastAsia" w:ascii="宋体" w:hAnsi="宋体" w:cs="宋体"/>
          <w:sz w:val="24"/>
          <w:szCs w:val="24"/>
        </w:rPr>
        <w:t>十二、合同生效</w:t>
      </w:r>
    </w:p>
    <w:p w14:paraId="33F276EF">
      <w:pPr>
        <w:spacing w:line="360" w:lineRule="auto"/>
        <w:ind w:firstLine="480" w:firstLineChars="200"/>
        <w:rPr>
          <w:rFonts w:ascii="宋体" w:hAnsi="宋体" w:cs="宋体"/>
          <w:bCs/>
          <w:sz w:val="24"/>
          <w:szCs w:val="24"/>
        </w:rPr>
      </w:pPr>
      <w:r>
        <w:rPr>
          <w:rFonts w:hint="eastAsia" w:ascii="宋体" w:hAnsi="宋体" w:cs="宋体"/>
          <w:bCs/>
          <w:sz w:val="24"/>
          <w:szCs w:val="24"/>
        </w:rPr>
        <w:t>本合同自</w:t>
      </w:r>
      <w:r>
        <w:rPr>
          <w:rFonts w:hint="eastAsia" w:ascii="宋体" w:hAnsi="宋体" w:cs="宋体"/>
          <w:bCs/>
          <w:sz w:val="24"/>
          <w:szCs w:val="24"/>
          <w:u w:val="single"/>
        </w:rPr>
        <w:t xml:space="preserve">                 </w:t>
      </w:r>
      <w:r>
        <w:rPr>
          <w:rFonts w:hint="eastAsia" w:ascii="宋体" w:hAnsi="宋体" w:cs="宋体"/>
          <w:bCs/>
          <w:sz w:val="24"/>
          <w:szCs w:val="24"/>
        </w:rPr>
        <w:t>生效。</w:t>
      </w:r>
    </w:p>
    <w:p w14:paraId="5D166FD2">
      <w:pPr>
        <w:spacing w:line="360" w:lineRule="auto"/>
        <w:rPr>
          <w:rFonts w:ascii="宋体" w:hAnsi="宋体" w:cs="宋体"/>
          <w:sz w:val="24"/>
          <w:szCs w:val="24"/>
        </w:rPr>
      </w:pPr>
      <w:r>
        <w:rPr>
          <w:rFonts w:hint="eastAsia" w:ascii="宋体" w:hAnsi="宋体" w:cs="宋体"/>
          <w:sz w:val="24"/>
          <w:szCs w:val="24"/>
        </w:rPr>
        <w:t>十三、合同份数</w:t>
      </w:r>
    </w:p>
    <w:p w14:paraId="5D211F04">
      <w:pPr>
        <w:spacing w:line="360" w:lineRule="auto"/>
        <w:ind w:firstLine="480" w:firstLineChars="200"/>
        <w:rPr>
          <w:rFonts w:ascii="宋体" w:hAnsi="宋体" w:cs="宋体"/>
          <w:bCs/>
          <w:sz w:val="24"/>
          <w:szCs w:val="24"/>
        </w:rPr>
      </w:pPr>
      <w:r>
        <w:rPr>
          <w:rFonts w:hint="eastAsia" w:ascii="宋体" w:hAnsi="宋体" w:cs="宋体"/>
          <w:bCs/>
          <w:sz w:val="24"/>
          <w:szCs w:val="24"/>
        </w:rPr>
        <w:t>本合同一式</w:t>
      </w:r>
      <w:r>
        <w:rPr>
          <w:rFonts w:hint="eastAsia" w:ascii="宋体" w:hAnsi="宋体" w:cs="宋体"/>
          <w:bCs/>
          <w:sz w:val="24"/>
          <w:szCs w:val="24"/>
          <w:u w:val="single"/>
        </w:rPr>
        <w:t xml:space="preserve">    </w:t>
      </w:r>
      <w:r>
        <w:rPr>
          <w:rFonts w:hint="eastAsia" w:ascii="宋体" w:hAnsi="宋体" w:cs="宋体"/>
          <w:bCs/>
          <w:sz w:val="24"/>
          <w:szCs w:val="24"/>
        </w:rPr>
        <w:t>份，均具有同等法律效力，发包人执</w:t>
      </w:r>
      <w:r>
        <w:rPr>
          <w:rFonts w:hint="eastAsia" w:ascii="宋体" w:hAnsi="宋体" w:cs="宋体"/>
          <w:bCs/>
          <w:sz w:val="24"/>
          <w:szCs w:val="24"/>
          <w:u w:val="single"/>
        </w:rPr>
        <w:t xml:space="preserve">    </w:t>
      </w:r>
      <w:r>
        <w:rPr>
          <w:rFonts w:hint="eastAsia" w:ascii="宋体" w:hAnsi="宋体" w:cs="宋体"/>
          <w:bCs/>
          <w:sz w:val="24"/>
          <w:szCs w:val="24"/>
        </w:rPr>
        <w:t>份，承包人执</w:t>
      </w:r>
      <w:r>
        <w:rPr>
          <w:rFonts w:hint="eastAsia" w:ascii="宋体" w:hAnsi="宋体" w:cs="宋体"/>
          <w:bCs/>
          <w:sz w:val="24"/>
          <w:szCs w:val="24"/>
          <w:u w:val="single"/>
        </w:rPr>
        <w:t xml:space="preserve">    </w:t>
      </w:r>
      <w:r>
        <w:rPr>
          <w:rFonts w:hint="eastAsia" w:ascii="宋体" w:hAnsi="宋体" w:cs="宋体"/>
          <w:bCs/>
          <w:sz w:val="24"/>
          <w:szCs w:val="24"/>
        </w:rPr>
        <w:t>份。</w:t>
      </w:r>
    </w:p>
    <w:p w14:paraId="01019737">
      <w:pPr>
        <w:spacing w:line="360" w:lineRule="auto"/>
        <w:rPr>
          <w:rFonts w:ascii="宋体" w:hAnsi="宋体" w:cs="宋体"/>
          <w:sz w:val="24"/>
          <w:szCs w:val="24"/>
        </w:rPr>
      </w:pPr>
    </w:p>
    <w:p w14:paraId="29297591">
      <w:pPr>
        <w:spacing w:line="360" w:lineRule="auto"/>
        <w:rPr>
          <w:rFonts w:ascii="宋体" w:hAnsi="宋体" w:cs="宋体"/>
          <w:sz w:val="24"/>
          <w:szCs w:val="24"/>
        </w:rPr>
      </w:pPr>
      <w:r>
        <w:rPr>
          <w:rFonts w:hint="eastAsia" w:ascii="宋体" w:hAnsi="宋体" w:cs="宋体"/>
          <w:sz w:val="24"/>
          <w:szCs w:val="24"/>
        </w:rPr>
        <w:t>发包人：  (公章)                       承包人：  (公章)</w:t>
      </w:r>
    </w:p>
    <w:p w14:paraId="6410CE00">
      <w:pPr>
        <w:spacing w:line="360" w:lineRule="auto"/>
        <w:rPr>
          <w:rFonts w:ascii="宋体" w:hAnsi="宋体" w:cs="宋体"/>
          <w:sz w:val="24"/>
          <w:szCs w:val="24"/>
        </w:rPr>
      </w:pPr>
      <w:r>
        <w:rPr>
          <w:rFonts w:hint="eastAsia" w:ascii="宋体" w:hAnsi="宋体" w:cs="宋体"/>
          <w:sz w:val="24"/>
          <w:szCs w:val="24"/>
        </w:rPr>
        <w:t>法定代表人或其委托代理人：             法定代表人或其委托代理人：</w:t>
      </w:r>
    </w:p>
    <w:p w14:paraId="14CEF4C5">
      <w:pPr>
        <w:spacing w:line="360" w:lineRule="auto"/>
        <w:rPr>
          <w:rFonts w:ascii="宋体" w:hAnsi="宋体" w:cs="宋体"/>
          <w:sz w:val="24"/>
          <w:szCs w:val="24"/>
        </w:rPr>
      </w:pPr>
      <w:r>
        <w:rPr>
          <w:rFonts w:hint="eastAsia" w:ascii="宋体" w:hAnsi="宋体" w:cs="宋体"/>
          <w:sz w:val="24"/>
          <w:szCs w:val="24"/>
        </w:rPr>
        <w:t>（签字）                              （签字）</w:t>
      </w:r>
    </w:p>
    <w:p w14:paraId="2521B2E3">
      <w:pPr>
        <w:tabs>
          <w:tab w:val="left" w:pos="4410"/>
        </w:tabs>
        <w:spacing w:line="360" w:lineRule="auto"/>
        <w:rPr>
          <w:rFonts w:ascii="宋体" w:hAnsi="宋体" w:cs="宋体"/>
          <w:sz w:val="24"/>
          <w:szCs w:val="24"/>
        </w:rPr>
      </w:pPr>
      <w:r>
        <w:rPr>
          <w:rFonts w:hint="eastAsia" w:ascii="宋体" w:hAnsi="宋体" w:cs="宋体"/>
          <w:sz w:val="24"/>
          <w:szCs w:val="24"/>
        </w:rPr>
        <w:t>组织机构代码：</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组织机构代码：</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32DDFCFC">
      <w:pPr>
        <w:spacing w:line="360" w:lineRule="auto"/>
        <w:rPr>
          <w:rFonts w:ascii="宋体" w:hAnsi="宋体" w:cs="宋体"/>
          <w:sz w:val="24"/>
          <w:szCs w:val="24"/>
        </w:rPr>
      </w:pPr>
      <w:r>
        <w:rPr>
          <w:rFonts w:hint="eastAsia" w:ascii="宋体" w:hAnsi="宋体" w:cs="宋体"/>
          <w:sz w:val="24"/>
          <w:szCs w:val="24"/>
        </w:rPr>
        <w:t>地  址：</w:t>
      </w:r>
      <w:r>
        <w:rPr>
          <w:rFonts w:hint="eastAsia" w:ascii="宋体" w:hAnsi="宋体" w:cs="MingLiU_HKSCS"/>
          <w:sz w:val="24"/>
          <w:szCs w:val="24"/>
          <w:u w:val="single"/>
        </w:rPr>
        <w:t xml:space="preserve">                          </w:t>
      </w:r>
      <w:r>
        <w:rPr>
          <w:rFonts w:hint="eastAsia" w:ascii="宋体" w:hAnsi="宋体" w:cs="MingLiU_HKSCS"/>
          <w:sz w:val="24"/>
          <w:szCs w:val="24"/>
        </w:rPr>
        <w:t xml:space="preserve">    </w:t>
      </w:r>
      <w:r>
        <w:rPr>
          <w:rFonts w:hint="eastAsia" w:ascii="宋体" w:hAnsi="宋体" w:cs="宋体"/>
          <w:sz w:val="24"/>
          <w:szCs w:val="24"/>
        </w:rPr>
        <w:t>地  址：</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0B55F4A3">
      <w:pPr>
        <w:spacing w:line="360" w:lineRule="auto"/>
        <w:rPr>
          <w:rFonts w:ascii="宋体" w:hAnsi="宋体" w:cs="宋体"/>
          <w:sz w:val="24"/>
          <w:szCs w:val="24"/>
        </w:rPr>
      </w:pPr>
      <w:r>
        <w:rPr>
          <w:rFonts w:hint="eastAsia" w:ascii="宋体" w:hAnsi="宋体" w:cs="宋体"/>
          <w:sz w:val="24"/>
          <w:szCs w:val="24"/>
        </w:rPr>
        <w:t>邮政编码：</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邮政编码：</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2E30DD5A">
      <w:pPr>
        <w:spacing w:line="360" w:lineRule="auto"/>
        <w:rPr>
          <w:rFonts w:ascii="宋体" w:hAnsi="宋体" w:cs="宋体"/>
          <w:sz w:val="24"/>
          <w:szCs w:val="24"/>
        </w:rPr>
      </w:pPr>
      <w:r>
        <w:rPr>
          <w:rFonts w:hint="eastAsia" w:ascii="宋体" w:hAnsi="宋体" w:cs="宋体"/>
          <w:sz w:val="24"/>
          <w:szCs w:val="24"/>
        </w:rPr>
        <w:t>法定代表人：</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法定代表人：</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44482B9D">
      <w:pPr>
        <w:spacing w:line="360" w:lineRule="auto"/>
        <w:rPr>
          <w:rFonts w:ascii="宋体" w:hAnsi="宋体" w:cs="宋体"/>
          <w:sz w:val="24"/>
          <w:szCs w:val="24"/>
        </w:rPr>
      </w:pPr>
      <w:r>
        <w:rPr>
          <w:rFonts w:hint="eastAsia" w:ascii="宋体" w:hAnsi="宋体" w:cs="宋体"/>
          <w:sz w:val="24"/>
          <w:szCs w:val="24"/>
        </w:rPr>
        <w:t>委托代理人：</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委托代理人：</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0EC6C874">
      <w:pPr>
        <w:spacing w:line="360" w:lineRule="auto"/>
        <w:rPr>
          <w:rFonts w:ascii="宋体" w:hAnsi="宋体" w:cs="宋体"/>
          <w:sz w:val="24"/>
          <w:szCs w:val="24"/>
        </w:rPr>
      </w:pPr>
      <w:r>
        <w:rPr>
          <w:rFonts w:hint="eastAsia" w:ascii="宋体" w:hAnsi="宋体" w:cs="宋体"/>
          <w:sz w:val="24"/>
          <w:szCs w:val="24"/>
        </w:rPr>
        <w:t>电  话：</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电  话：</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1564A634">
      <w:pPr>
        <w:spacing w:line="360" w:lineRule="auto"/>
        <w:rPr>
          <w:rFonts w:ascii="宋体" w:hAnsi="宋体" w:cs="宋体"/>
          <w:sz w:val="24"/>
          <w:szCs w:val="24"/>
        </w:rPr>
      </w:pPr>
      <w:r>
        <w:rPr>
          <w:rFonts w:hint="eastAsia" w:ascii="宋体" w:hAnsi="宋体" w:cs="宋体"/>
          <w:sz w:val="24"/>
          <w:szCs w:val="24"/>
        </w:rPr>
        <w:t>传  真：</w:t>
      </w:r>
      <w:r>
        <w:rPr>
          <w:rFonts w:hint="eastAsia" w:ascii="宋体" w:hAnsi="宋体" w:cs="MingLiU_HKSCS"/>
          <w:sz w:val="24"/>
          <w:szCs w:val="24"/>
          <w:u w:val="single"/>
        </w:rPr>
        <w:t xml:space="preserve">                         </w:t>
      </w:r>
      <w:r>
        <w:rPr>
          <w:rFonts w:hint="eastAsia" w:ascii="宋体" w:hAnsi="宋体" w:cs="MingLiU_HKSCS"/>
          <w:sz w:val="24"/>
          <w:szCs w:val="24"/>
        </w:rPr>
        <w:t xml:space="preserve">    </w:t>
      </w:r>
      <w:r>
        <w:rPr>
          <w:rFonts w:hint="eastAsia" w:ascii="宋体" w:hAnsi="宋体" w:cs="宋体"/>
          <w:sz w:val="24"/>
          <w:szCs w:val="24"/>
        </w:rPr>
        <w:t>传  真：</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355786C3">
      <w:pPr>
        <w:spacing w:line="360" w:lineRule="auto"/>
        <w:rPr>
          <w:rFonts w:ascii="宋体" w:hAnsi="宋体" w:cs="宋体"/>
          <w:sz w:val="24"/>
          <w:szCs w:val="24"/>
        </w:rPr>
      </w:pPr>
      <w:r>
        <w:rPr>
          <w:rFonts w:hint="eastAsia" w:ascii="宋体" w:hAnsi="宋体" w:cs="宋体"/>
          <w:sz w:val="24"/>
          <w:szCs w:val="24"/>
        </w:rPr>
        <w:t>电子信箱：</w:t>
      </w:r>
      <w:r>
        <w:rPr>
          <w:rFonts w:hint="eastAsia" w:ascii="宋体" w:hAnsi="宋体" w:cs="宋体"/>
          <w:sz w:val="24"/>
          <w:szCs w:val="24"/>
          <w:u w:val="single"/>
        </w:rPr>
        <w:t xml:space="preserve">                       </w:t>
      </w:r>
      <w:r>
        <w:rPr>
          <w:rFonts w:hint="eastAsia" w:ascii="宋体" w:hAnsi="宋体" w:cs="宋体"/>
          <w:sz w:val="24"/>
          <w:szCs w:val="24"/>
        </w:rPr>
        <w:t xml:space="preserve">    电子信箱：</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56B298F1">
      <w:pPr>
        <w:spacing w:line="360" w:lineRule="auto"/>
        <w:rPr>
          <w:rFonts w:ascii="宋体" w:hAnsi="宋体" w:cs="宋体"/>
          <w:sz w:val="24"/>
          <w:szCs w:val="24"/>
        </w:rPr>
      </w:pPr>
      <w:r>
        <w:rPr>
          <w:rFonts w:hint="eastAsia" w:ascii="宋体" w:hAnsi="宋体" w:cs="宋体"/>
          <w:sz w:val="24"/>
          <w:szCs w:val="24"/>
        </w:rPr>
        <w:t>开户银行：</w:t>
      </w:r>
      <w:r>
        <w:rPr>
          <w:rFonts w:hint="eastAsia" w:ascii="宋体" w:hAnsi="宋体" w:cs="MingLiU_HKSCS"/>
          <w:sz w:val="24"/>
          <w:szCs w:val="24"/>
          <w:u w:val="single"/>
        </w:rPr>
        <w:t xml:space="preserve">                      </w:t>
      </w:r>
      <w:r>
        <w:rPr>
          <w:rFonts w:hint="eastAsia" w:ascii="宋体" w:hAnsi="宋体" w:cs="宋体"/>
          <w:sz w:val="24"/>
          <w:szCs w:val="24"/>
        </w:rPr>
        <w:t xml:space="preserve">     开户银行：</w:t>
      </w:r>
      <w:r>
        <w:rPr>
          <w:rFonts w:hint="eastAsia" w:ascii="宋体" w:hAnsi="宋体" w:cs="MingLiU_HKSCS"/>
          <w:sz w:val="24"/>
          <w:szCs w:val="24"/>
          <w:u w:val="single"/>
        </w:rPr>
        <w:t xml:space="preserve">                      </w:t>
      </w:r>
    </w:p>
    <w:p w14:paraId="2E960ECD">
      <w:pPr>
        <w:adjustRightInd w:val="0"/>
        <w:snapToGrid w:val="0"/>
        <w:spacing w:line="360" w:lineRule="auto"/>
        <w:rPr>
          <w:rFonts w:ascii="宋体" w:hAnsi="宋体"/>
          <w:szCs w:val="21"/>
        </w:rPr>
      </w:pPr>
      <w:r>
        <w:rPr>
          <w:rFonts w:hint="eastAsia" w:ascii="宋体" w:hAnsi="宋体" w:cs="宋体"/>
          <w:sz w:val="24"/>
          <w:szCs w:val="24"/>
        </w:rPr>
        <w:t>账  号：</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账  号：</w:t>
      </w:r>
      <w:r>
        <w:rPr>
          <w:rFonts w:hint="eastAsia" w:ascii="宋体" w:hAnsi="宋体" w:cs="MingLiU_HKSCS"/>
          <w:sz w:val="24"/>
          <w:szCs w:val="24"/>
          <w:u w:val="single"/>
        </w:rPr>
        <w:t xml:space="preserve">     </w:t>
      </w:r>
      <w:r>
        <w:rPr>
          <w:rFonts w:hint="eastAsia" w:ascii="宋体" w:hAnsi="宋体" w:cs="MingLiU_HKSCS"/>
          <w:szCs w:val="21"/>
          <w:u w:val="single"/>
        </w:rPr>
        <w:t xml:space="preserve">               </w:t>
      </w:r>
      <w:r>
        <w:rPr>
          <w:rFonts w:hint="eastAsia" w:ascii="宋体" w:hAnsi="宋体" w:cs="宋体"/>
          <w:szCs w:val="21"/>
          <w:u w:val="single"/>
        </w:rPr>
        <w:t xml:space="preserve">    </w:t>
      </w:r>
    </w:p>
    <w:p w14:paraId="63136C48">
      <w:pPr>
        <w:widowControl/>
        <w:jc w:val="left"/>
        <w:rPr>
          <w:rFonts w:ascii="宋体" w:hAnsi="宋体"/>
          <w:b/>
          <w:sz w:val="24"/>
          <w:szCs w:val="24"/>
        </w:rPr>
      </w:pPr>
      <w:bookmarkStart w:id="238" w:name="_Toc4568866"/>
      <w:bookmarkStart w:id="239" w:name="_Toc21118207"/>
      <w:bookmarkStart w:id="240" w:name="_Toc18001050"/>
      <w:bookmarkStart w:id="241" w:name="_Toc18000992"/>
      <w:bookmarkStart w:id="242" w:name="_Toc14337142"/>
      <w:r>
        <w:rPr>
          <w:rFonts w:ascii="宋体" w:hAnsi="宋体"/>
          <w:b/>
          <w:sz w:val="24"/>
          <w:szCs w:val="24"/>
        </w:rPr>
        <w:br w:type="page"/>
      </w:r>
    </w:p>
    <w:p w14:paraId="54796D4C">
      <w:pPr>
        <w:adjustRightInd w:val="0"/>
        <w:snapToGrid w:val="0"/>
        <w:spacing w:line="500" w:lineRule="exact"/>
        <w:jc w:val="center"/>
        <w:rPr>
          <w:rFonts w:ascii="宋体" w:hAnsi="宋体"/>
          <w:b/>
          <w:sz w:val="24"/>
          <w:szCs w:val="24"/>
        </w:rPr>
      </w:pPr>
      <w:r>
        <w:rPr>
          <w:rFonts w:ascii="宋体" w:hAnsi="宋体"/>
          <w:b/>
          <w:sz w:val="24"/>
          <w:szCs w:val="24"/>
        </w:rPr>
        <w:t>第二</w:t>
      </w:r>
      <w:r>
        <w:rPr>
          <w:rFonts w:hint="eastAsia" w:ascii="宋体" w:hAnsi="宋体"/>
          <w:b/>
          <w:sz w:val="24"/>
          <w:szCs w:val="24"/>
        </w:rPr>
        <w:t>节</w:t>
      </w:r>
      <w:r>
        <w:rPr>
          <w:rFonts w:ascii="宋体" w:hAnsi="宋体"/>
          <w:b/>
          <w:sz w:val="24"/>
          <w:szCs w:val="24"/>
        </w:rPr>
        <w:t xml:space="preserve"> 通用合同条款</w:t>
      </w:r>
      <w:bookmarkEnd w:id="237"/>
      <w:bookmarkEnd w:id="238"/>
      <w:bookmarkEnd w:id="239"/>
      <w:bookmarkEnd w:id="240"/>
      <w:bookmarkEnd w:id="241"/>
      <w:bookmarkEnd w:id="242"/>
    </w:p>
    <w:p w14:paraId="6FED4804">
      <w:pPr>
        <w:autoSpaceDE w:val="0"/>
        <w:autoSpaceDN w:val="0"/>
        <w:adjustRightInd w:val="0"/>
        <w:spacing w:line="360" w:lineRule="auto"/>
        <w:ind w:firstLine="480" w:firstLineChars="200"/>
        <w:rPr>
          <w:rFonts w:ascii="宋体" w:hAnsi="宋体"/>
          <w:sz w:val="24"/>
          <w:szCs w:val="24"/>
        </w:rPr>
      </w:pPr>
      <w:r>
        <w:rPr>
          <w:rFonts w:hint="eastAsia" w:ascii="宋体" w:hAnsi="宋体"/>
          <w:sz w:val="24"/>
          <w:szCs w:val="24"/>
        </w:rPr>
        <w:t>通用合同条款直接采用中华人民共和国住房和城乡建设部与国家工商行政管理总局联合制定的《建设工程施工合同》（GF-2017-0201）示范文本第二部分《通用合同条款》。</w:t>
      </w:r>
    </w:p>
    <w:p w14:paraId="421CCAB1">
      <w:pPr>
        <w:autoSpaceDE w:val="0"/>
        <w:autoSpaceDN w:val="0"/>
        <w:adjustRightInd w:val="0"/>
        <w:spacing w:line="360" w:lineRule="auto"/>
        <w:ind w:firstLine="560" w:firstLineChars="200"/>
        <w:rPr>
          <w:rFonts w:ascii="宋体" w:hAnsi="宋体" w:cs="宋体"/>
          <w:szCs w:val="28"/>
        </w:rPr>
      </w:pPr>
    </w:p>
    <w:p w14:paraId="3482EDAD">
      <w:pPr>
        <w:autoSpaceDE w:val="0"/>
        <w:autoSpaceDN w:val="0"/>
        <w:adjustRightInd w:val="0"/>
        <w:spacing w:line="360" w:lineRule="auto"/>
        <w:ind w:firstLine="560" w:firstLineChars="200"/>
        <w:rPr>
          <w:rFonts w:ascii="宋体" w:hAnsi="宋体" w:cs="宋体"/>
          <w:szCs w:val="28"/>
        </w:rPr>
      </w:pPr>
    </w:p>
    <w:p w14:paraId="2A4C1C66">
      <w:pPr>
        <w:autoSpaceDE w:val="0"/>
        <w:autoSpaceDN w:val="0"/>
        <w:adjustRightInd w:val="0"/>
        <w:spacing w:line="360" w:lineRule="auto"/>
        <w:ind w:firstLine="560" w:firstLineChars="200"/>
        <w:rPr>
          <w:rFonts w:ascii="宋体" w:hAnsi="宋体" w:cs="宋体"/>
          <w:szCs w:val="28"/>
        </w:rPr>
      </w:pPr>
    </w:p>
    <w:p w14:paraId="1FBB4F68">
      <w:pPr>
        <w:autoSpaceDE w:val="0"/>
        <w:autoSpaceDN w:val="0"/>
        <w:adjustRightInd w:val="0"/>
        <w:spacing w:line="360" w:lineRule="auto"/>
        <w:ind w:firstLine="560" w:firstLineChars="200"/>
        <w:rPr>
          <w:rFonts w:ascii="宋体" w:hAnsi="宋体" w:cs="宋体"/>
          <w:szCs w:val="28"/>
        </w:rPr>
      </w:pPr>
    </w:p>
    <w:p w14:paraId="77C47E8D">
      <w:pPr>
        <w:autoSpaceDE w:val="0"/>
        <w:autoSpaceDN w:val="0"/>
        <w:adjustRightInd w:val="0"/>
        <w:spacing w:line="360" w:lineRule="auto"/>
        <w:ind w:firstLine="560" w:firstLineChars="200"/>
        <w:rPr>
          <w:rFonts w:ascii="宋体" w:hAnsi="宋体" w:cs="宋体"/>
          <w:szCs w:val="28"/>
        </w:rPr>
      </w:pPr>
    </w:p>
    <w:p w14:paraId="7DCDCEF3">
      <w:pPr>
        <w:autoSpaceDE w:val="0"/>
        <w:autoSpaceDN w:val="0"/>
        <w:adjustRightInd w:val="0"/>
        <w:spacing w:line="360" w:lineRule="auto"/>
        <w:ind w:firstLine="560" w:firstLineChars="200"/>
        <w:rPr>
          <w:rFonts w:ascii="宋体" w:hAnsi="宋体" w:cs="宋体"/>
          <w:szCs w:val="28"/>
        </w:rPr>
      </w:pPr>
    </w:p>
    <w:p w14:paraId="6B6D0A09">
      <w:pPr>
        <w:autoSpaceDE w:val="0"/>
        <w:autoSpaceDN w:val="0"/>
        <w:adjustRightInd w:val="0"/>
        <w:spacing w:line="360" w:lineRule="auto"/>
        <w:ind w:firstLine="560" w:firstLineChars="200"/>
        <w:rPr>
          <w:rFonts w:ascii="宋体" w:hAnsi="宋体" w:cs="宋体"/>
          <w:szCs w:val="28"/>
        </w:rPr>
      </w:pPr>
    </w:p>
    <w:p w14:paraId="378048A6">
      <w:pPr>
        <w:autoSpaceDE w:val="0"/>
        <w:autoSpaceDN w:val="0"/>
        <w:adjustRightInd w:val="0"/>
        <w:spacing w:line="360" w:lineRule="auto"/>
        <w:ind w:firstLine="560" w:firstLineChars="200"/>
        <w:rPr>
          <w:rFonts w:ascii="宋体" w:hAnsi="宋体" w:cs="宋体"/>
          <w:szCs w:val="28"/>
        </w:rPr>
      </w:pPr>
    </w:p>
    <w:p w14:paraId="3EB3650C">
      <w:pPr>
        <w:autoSpaceDE w:val="0"/>
        <w:autoSpaceDN w:val="0"/>
        <w:adjustRightInd w:val="0"/>
        <w:spacing w:line="360" w:lineRule="auto"/>
        <w:ind w:firstLine="560" w:firstLineChars="200"/>
        <w:rPr>
          <w:rFonts w:ascii="宋体" w:hAnsi="宋体" w:cs="宋体"/>
          <w:szCs w:val="28"/>
        </w:rPr>
      </w:pPr>
    </w:p>
    <w:p w14:paraId="5F4D17E3">
      <w:pPr>
        <w:autoSpaceDE w:val="0"/>
        <w:autoSpaceDN w:val="0"/>
        <w:adjustRightInd w:val="0"/>
        <w:spacing w:line="360" w:lineRule="auto"/>
        <w:ind w:firstLine="560" w:firstLineChars="200"/>
        <w:rPr>
          <w:rFonts w:ascii="宋体" w:hAnsi="宋体" w:cs="宋体"/>
          <w:szCs w:val="28"/>
        </w:rPr>
      </w:pPr>
    </w:p>
    <w:p w14:paraId="71714F22">
      <w:pPr>
        <w:autoSpaceDE w:val="0"/>
        <w:autoSpaceDN w:val="0"/>
        <w:adjustRightInd w:val="0"/>
        <w:spacing w:line="360" w:lineRule="auto"/>
        <w:ind w:firstLine="560" w:firstLineChars="200"/>
        <w:rPr>
          <w:rFonts w:ascii="宋体" w:hAnsi="宋体" w:cs="宋体"/>
          <w:szCs w:val="28"/>
        </w:rPr>
      </w:pPr>
    </w:p>
    <w:p w14:paraId="614419E9">
      <w:pPr>
        <w:autoSpaceDE w:val="0"/>
        <w:autoSpaceDN w:val="0"/>
        <w:adjustRightInd w:val="0"/>
        <w:spacing w:line="360" w:lineRule="auto"/>
        <w:ind w:firstLine="560" w:firstLineChars="200"/>
        <w:rPr>
          <w:rFonts w:ascii="宋体" w:hAnsi="宋体" w:cs="宋体"/>
          <w:szCs w:val="28"/>
        </w:rPr>
      </w:pPr>
    </w:p>
    <w:p w14:paraId="739FE564">
      <w:pPr>
        <w:autoSpaceDE w:val="0"/>
        <w:autoSpaceDN w:val="0"/>
        <w:adjustRightInd w:val="0"/>
        <w:spacing w:line="360" w:lineRule="auto"/>
        <w:ind w:firstLine="560" w:firstLineChars="200"/>
        <w:rPr>
          <w:rFonts w:ascii="宋体" w:hAnsi="宋体" w:cs="宋体"/>
          <w:szCs w:val="28"/>
        </w:rPr>
      </w:pPr>
    </w:p>
    <w:p w14:paraId="76629903">
      <w:pPr>
        <w:autoSpaceDE w:val="0"/>
        <w:autoSpaceDN w:val="0"/>
        <w:adjustRightInd w:val="0"/>
        <w:spacing w:line="360" w:lineRule="auto"/>
        <w:ind w:firstLine="560" w:firstLineChars="200"/>
        <w:rPr>
          <w:rFonts w:ascii="宋体" w:hAnsi="宋体" w:cs="宋体"/>
          <w:szCs w:val="28"/>
        </w:rPr>
      </w:pPr>
    </w:p>
    <w:p w14:paraId="06FC27DB">
      <w:pPr>
        <w:autoSpaceDE w:val="0"/>
        <w:autoSpaceDN w:val="0"/>
        <w:adjustRightInd w:val="0"/>
        <w:spacing w:line="360" w:lineRule="auto"/>
        <w:ind w:firstLine="560" w:firstLineChars="200"/>
        <w:rPr>
          <w:rFonts w:ascii="宋体" w:hAnsi="宋体" w:cs="宋体"/>
          <w:szCs w:val="28"/>
        </w:rPr>
      </w:pPr>
    </w:p>
    <w:p w14:paraId="3599DB5B">
      <w:pPr>
        <w:autoSpaceDE w:val="0"/>
        <w:autoSpaceDN w:val="0"/>
        <w:adjustRightInd w:val="0"/>
        <w:spacing w:line="360" w:lineRule="auto"/>
        <w:ind w:firstLine="560" w:firstLineChars="200"/>
        <w:rPr>
          <w:rFonts w:ascii="宋体" w:hAnsi="宋体" w:cs="宋体"/>
          <w:szCs w:val="28"/>
        </w:rPr>
      </w:pPr>
    </w:p>
    <w:p w14:paraId="34EC3829">
      <w:pPr>
        <w:autoSpaceDE w:val="0"/>
        <w:autoSpaceDN w:val="0"/>
        <w:adjustRightInd w:val="0"/>
        <w:spacing w:line="360" w:lineRule="auto"/>
        <w:ind w:firstLine="560" w:firstLineChars="200"/>
        <w:rPr>
          <w:rFonts w:ascii="宋体" w:hAnsi="宋体" w:cs="宋体"/>
          <w:szCs w:val="28"/>
        </w:rPr>
      </w:pPr>
    </w:p>
    <w:p w14:paraId="194BD24C">
      <w:pPr>
        <w:autoSpaceDE w:val="0"/>
        <w:autoSpaceDN w:val="0"/>
        <w:adjustRightInd w:val="0"/>
        <w:spacing w:line="360" w:lineRule="auto"/>
        <w:ind w:firstLine="560" w:firstLineChars="200"/>
        <w:rPr>
          <w:rFonts w:ascii="宋体" w:hAnsi="宋体" w:cs="宋体"/>
          <w:szCs w:val="28"/>
        </w:rPr>
      </w:pPr>
    </w:p>
    <w:p w14:paraId="492EDA7B">
      <w:pPr>
        <w:autoSpaceDE w:val="0"/>
        <w:autoSpaceDN w:val="0"/>
        <w:adjustRightInd w:val="0"/>
        <w:spacing w:line="360" w:lineRule="auto"/>
        <w:ind w:firstLine="560" w:firstLineChars="200"/>
        <w:rPr>
          <w:rFonts w:ascii="宋体" w:hAnsi="宋体" w:cs="宋体"/>
          <w:szCs w:val="28"/>
        </w:rPr>
      </w:pPr>
    </w:p>
    <w:p w14:paraId="5DB1C77D">
      <w:pPr>
        <w:adjustRightInd w:val="0"/>
        <w:snapToGrid w:val="0"/>
        <w:spacing w:line="500" w:lineRule="exact"/>
        <w:jc w:val="center"/>
        <w:rPr>
          <w:rFonts w:ascii="宋体" w:hAnsi="宋体"/>
          <w:b/>
          <w:sz w:val="24"/>
          <w:szCs w:val="24"/>
        </w:rPr>
      </w:pPr>
      <w:bookmarkStart w:id="243" w:name="_Toc21118208"/>
      <w:bookmarkStart w:id="244" w:name="_Toc18000993"/>
      <w:bookmarkStart w:id="245" w:name="_Toc18001051"/>
      <w:bookmarkStart w:id="246" w:name="_Toc14337143"/>
      <w:r>
        <w:rPr>
          <w:rFonts w:ascii="宋体" w:hAnsi="宋体"/>
          <w:b/>
          <w:sz w:val="24"/>
          <w:szCs w:val="24"/>
        </w:rPr>
        <w:br w:type="page"/>
      </w:r>
      <w:r>
        <w:rPr>
          <w:rFonts w:ascii="宋体" w:hAnsi="宋体"/>
          <w:b/>
          <w:sz w:val="24"/>
          <w:szCs w:val="24"/>
        </w:rPr>
        <w:t>第三</w:t>
      </w:r>
      <w:r>
        <w:rPr>
          <w:rFonts w:hint="eastAsia" w:ascii="宋体" w:hAnsi="宋体"/>
          <w:b/>
          <w:sz w:val="24"/>
          <w:szCs w:val="24"/>
        </w:rPr>
        <w:t>节</w:t>
      </w:r>
      <w:r>
        <w:rPr>
          <w:rFonts w:ascii="宋体" w:hAnsi="宋体"/>
          <w:b/>
          <w:sz w:val="24"/>
          <w:szCs w:val="24"/>
        </w:rPr>
        <w:t xml:space="preserve"> </w:t>
      </w:r>
      <w:r>
        <w:rPr>
          <w:rFonts w:hint="eastAsia" w:ascii="宋体" w:hAnsi="宋体"/>
          <w:b/>
          <w:sz w:val="24"/>
          <w:szCs w:val="24"/>
        </w:rPr>
        <w:t>专用合同条款</w:t>
      </w:r>
      <w:bookmarkEnd w:id="243"/>
      <w:bookmarkEnd w:id="244"/>
      <w:bookmarkEnd w:id="245"/>
      <w:bookmarkEnd w:id="246"/>
    </w:p>
    <w:p w14:paraId="34BDAC14">
      <w:pPr>
        <w:adjustRightInd w:val="0"/>
        <w:snapToGrid w:val="0"/>
        <w:spacing w:line="400" w:lineRule="exact"/>
        <w:rPr>
          <w:rFonts w:ascii="宋体" w:hAnsi="宋体"/>
          <w:sz w:val="24"/>
          <w:szCs w:val="24"/>
        </w:rPr>
      </w:pPr>
      <w:r>
        <w:rPr>
          <w:rFonts w:hint="eastAsia" w:ascii="宋体" w:hAnsi="宋体"/>
          <w:sz w:val="24"/>
          <w:szCs w:val="24"/>
        </w:rPr>
        <w:t>[专用合同条款是对通用合同条款原则性约定的细化、完善、补充的条款。]</w:t>
      </w:r>
    </w:p>
    <w:p w14:paraId="6DEB4F3C">
      <w:pPr>
        <w:pStyle w:val="158"/>
        <w:spacing w:line="500" w:lineRule="exact"/>
        <w:ind w:firstLine="480"/>
        <w:rPr>
          <w:rFonts w:ascii="宋体" w:hAnsi="宋体"/>
          <w:b/>
          <w:bCs/>
          <w:szCs w:val="24"/>
        </w:rPr>
      </w:pPr>
      <w:bookmarkStart w:id="247" w:name="_Toc351203633"/>
      <w:r>
        <w:rPr>
          <w:rFonts w:ascii="宋体" w:hAnsi="宋体"/>
          <w:b/>
          <w:bCs/>
          <w:szCs w:val="24"/>
        </w:rPr>
        <w:t>1. 一般约定</w:t>
      </w:r>
      <w:bookmarkEnd w:id="247"/>
    </w:p>
    <w:p w14:paraId="7F835D3C">
      <w:pPr>
        <w:pStyle w:val="158"/>
        <w:spacing w:line="500" w:lineRule="exact"/>
        <w:ind w:firstLine="480"/>
        <w:rPr>
          <w:rFonts w:ascii="宋体" w:hAnsi="宋体"/>
          <w:szCs w:val="24"/>
        </w:rPr>
      </w:pPr>
      <w:r>
        <w:rPr>
          <w:rFonts w:ascii="宋体" w:hAnsi="宋体"/>
          <w:szCs w:val="24"/>
        </w:rPr>
        <w:t>1.1 词语定义</w:t>
      </w:r>
    </w:p>
    <w:p w14:paraId="5FDB45EE">
      <w:pPr>
        <w:pStyle w:val="158"/>
        <w:spacing w:line="500" w:lineRule="exact"/>
        <w:ind w:firstLine="480"/>
        <w:rPr>
          <w:rStyle w:val="261"/>
          <w:szCs w:val="24"/>
        </w:rPr>
      </w:pPr>
      <w:r>
        <w:rPr>
          <w:rStyle w:val="261"/>
          <w:szCs w:val="24"/>
        </w:rPr>
        <w:t>1.1.1合同</w:t>
      </w:r>
    </w:p>
    <w:p w14:paraId="4A1A069E">
      <w:pPr>
        <w:pStyle w:val="158"/>
        <w:spacing w:line="500" w:lineRule="exact"/>
        <w:ind w:firstLine="480"/>
        <w:rPr>
          <w:rFonts w:ascii="宋体" w:hAnsi="宋体"/>
          <w:szCs w:val="24"/>
        </w:rPr>
      </w:pPr>
      <w:r>
        <w:rPr>
          <w:rStyle w:val="261"/>
          <w:szCs w:val="24"/>
        </w:rPr>
        <w:t>1.1.1.10其他合同文件包括：</w:t>
      </w:r>
      <w:r>
        <w:rPr>
          <w:rStyle w:val="261"/>
          <w:rFonts w:hint="eastAsia"/>
          <w:szCs w:val="24"/>
        </w:rPr>
        <w:t>补充协议、发包人或监理人发布的变更指示、工程签证、会议纪要、备忘录等</w:t>
      </w:r>
      <w:r>
        <w:rPr>
          <w:rStyle w:val="261"/>
          <w:szCs w:val="24"/>
        </w:rPr>
        <w:t>。</w:t>
      </w:r>
    </w:p>
    <w:p w14:paraId="4FB37272">
      <w:pPr>
        <w:adjustRightInd w:val="0"/>
        <w:snapToGrid w:val="0"/>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1.1.2  </w:t>
      </w:r>
      <w:r>
        <w:rPr>
          <w:rFonts w:hint="eastAsia" w:ascii="宋体" w:hAnsi="宋体"/>
          <w:sz w:val="24"/>
          <w:szCs w:val="24"/>
        </w:rPr>
        <w:t>合同当事人和人员</w:t>
      </w:r>
    </w:p>
    <w:p w14:paraId="454D7F56">
      <w:pPr>
        <w:adjustRightInd w:val="0"/>
        <w:snapToGrid w:val="0"/>
        <w:spacing w:line="500" w:lineRule="exact"/>
        <w:rPr>
          <w:rFonts w:ascii="宋体" w:hAnsi="宋体"/>
          <w:sz w:val="24"/>
          <w:szCs w:val="24"/>
        </w:rPr>
      </w:pPr>
      <w:r>
        <w:rPr>
          <w:rFonts w:ascii="宋体" w:hAnsi="宋体"/>
          <w:sz w:val="24"/>
          <w:szCs w:val="24"/>
        </w:rPr>
        <w:t xml:space="preserve">    1.1.2.2  </w:t>
      </w:r>
      <w:r>
        <w:rPr>
          <w:rFonts w:hint="eastAsia" w:ascii="宋体" w:hAnsi="宋体"/>
          <w:sz w:val="24"/>
          <w:szCs w:val="24"/>
        </w:rPr>
        <w:t>招标人：</w:t>
      </w:r>
      <w:r>
        <w:rPr>
          <w:rFonts w:ascii="宋体" w:hAnsi="宋体"/>
          <w:sz w:val="24"/>
          <w:szCs w:val="24"/>
          <w:u w:val="single"/>
        </w:rPr>
        <w:t xml:space="preserve">                                                     </w:t>
      </w:r>
    </w:p>
    <w:p w14:paraId="6D643083">
      <w:pPr>
        <w:adjustRightInd w:val="0"/>
        <w:snapToGrid w:val="0"/>
        <w:spacing w:line="500" w:lineRule="exact"/>
        <w:rPr>
          <w:rFonts w:ascii="宋体" w:hAnsi="宋体"/>
          <w:sz w:val="24"/>
          <w:szCs w:val="24"/>
        </w:rPr>
      </w:pPr>
      <w:r>
        <w:rPr>
          <w:rFonts w:ascii="宋体" w:hAnsi="宋体"/>
          <w:sz w:val="24"/>
          <w:szCs w:val="24"/>
        </w:rPr>
        <w:t xml:space="preserve">    1.1.2.3  </w:t>
      </w:r>
      <w:r>
        <w:rPr>
          <w:rFonts w:hint="eastAsia" w:ascii="宋体" w:hAnsi="宋体"/>
          <w:sz w:val="24"/>
          <w:szCs w:val="24"/>
        </w:rPr>
        <w:t>中标人：</w:t>
      </w:r>
      <w:r>
        <w:rPr>
          <w:rFonts w:ascii="宋体" w:hAnsi="宋体"/>
          <w:sz w:val="24"/>
          <w:szCs w:val="24"/>
          <w:u w:val="single"/>
        </w:rPr>
        <w:t xml:space="preserve">                                                     </w:t>
      </w:r>
    </w:p>
    <w:p w14:paraId="065FA5EB">
      <w:pPr>
        <w:adjustRightInd w:val="0"/>
        <w:snapToGrid w:val="0"/>
        <w:spacing w:line="500" w:lineRule="exact"/>
        <w:rPr>
          <w:rFonts w:ascii="宋体" w:hAnsi="宋体"/>
          <w:sz w:val="24"/>
          <w:szCs w:val="24"/>
        </w:rPr>
      </w:pPr>
      <w:r>
        <w:rPr>
          <w:rFonts w:ascii="宋体" w:hAnsi="宋体"/>
          <w:sz w:val="24"/>
          <w:szCs w:val="24"/>
        </w:rPr>
        <w:t xml:space="preserve">    1.1.2.6  </w:t>
      </w:r>
      <w:r>
        <w:rPr>
          <w:rFonts w:hint="eastAsia" w:ascii="宋体" w:hAnsi="宋体"/>
          <w:sz w:val="24"/>
          <w:szCs w:val="24"/>
        </w:rPr>
        <w:t>监理人：</w:t>
      </w:r>
      <w:r>
        <w:rPr>
          <w:rFonts w:ascii="宋体" w:hAnsi="宋体"/>
          <w:sz w:val="24"/>
          <w:szCs w:val="24"/>
          <w:u w:val="single"/>
        </w:rPr>
        <w:t xml:space="preserve">                                                     </w:t>
      </w:r>
    </w:p>
    <w:p w14:paraId="1AB6603B">
      <w:pPr>
        <w:adjustRightInd w:val="0"/>
        <w:snapToGrid w:val="0"/>
        <w:spacing w:line="500" w:lineRule="exact"/>
        <w:rPr>
          <w:rFonts w:ascii="宋体" w:hAnsi="宋体"/>
          <w:sz w:val="24"/>
          <w:szCs w:val="24"/>
        </w:rPr>
      </w:pPr>
      <w:r>
        <w:rPr>
          <w:rFonts w:ascii="宋体" w:hAnsi="宋体"/>
          <w:sz w:val="24"/>
          <w:szCs w:val="24"/>
        </w:rPr>
        <w:t xml:space="preserve">    1.1.3  </w:t>
      </w:r>
      <w:r>
        <w:rPr>
          <w:rFonts w:hint="eastAsia" w:ascii="宋体" w:hAnsi="宋体"/>
          <w:sz w:val="24"/>
          <w:szCs w:val="24"/>
        </w:rPr>
        <w:t>工程和设备</w:t>
      </w:r>
    </w:p>
    <w:p w14:paraId="46C1B615">
      <w:pPr>
        <w:adjustRightInd w:val="0"/>
        <w:snapToGrid w:val="0"/>
        <w:spacing w:line="500" w:lineRule="exact"/>
        <w:rPr>
          <w:rFonts w:ascii="宋体" w:hAnsi="宋体"/>
          <w:sz w:val="24"/>
          <w:szCs w:val="24"/>
        </w:rPr>
      </w:pPr>
      <w:r>
        <w:rPr>
          <w:rFonts w:ascii="宋体" w:hAnsi="宋体"/>
          <w:sz w:val="24"/>
          <w:szCs w:val="24"/>
        </w:rPr>
        <w:t xml:space="preserve">    1.1.3.2  </w:t>
      </w:r>
      <w:r>
        <w:rPr>
          <w:rFonts w:hint="eastAsia" w:ascii="宋体" w:hAnsi="宋体"/>
          <w:sz w:val="24"/>
          <w:szCs w:val="24"/>
        </w:rPr>
        <w:t>永久工程：</w:t>
      </w:r>
      <w:r>
        <w:rPr>
          <w:rFonts w:ascii="宋体" w:hAnsi="宋体"/>
          <w:sz w:val="24"/>
          <w:szCs w:val="24"/>
          <w:u w:val="single"/>
        </w:rPr>
        <w:t xml:space="preserve">                                                   </w:t>
      </w:r>
    </w:p>
    <w:p w14:paraId="43140A71">
      <w:pPr>
        <w:adjustRightInd w:val="0"/>
        <w:snapToGrid w:val="0"/>
        <w:spacing w:line="500" w:lineRule="exact"/>
        <w:ind w:firstLine="435"/>
        <w:rPr>
          <w:rFonts w:ascii="宋体" w:hAnsi="宋体"/>
          <w:sz w:val="24"/>
          <w:szCs w:val="24"/>
          <w:u w:val="single"/>
        </w:rPr>
      </w:pPr>
      <w:r>
        <w:rPr>
          <w:rFonts w:ascii="宋体" w:hAnsi="宋体"/>
          <w:sz w:val="24"/>
          <w:szCs w:val="24"/>
        </w:rPr>
        <w:t xml:space="preserve">1.1.3.3  </w:t>
      </w:r>
      <w:r>
        <w:rPr>
          <w:rFonts w:hint="eastAsia" w:ascii="宋体" w:hAnsi="宋体"/>
          <w:sz w:val="24"/>
          <w:szCs w:val="24"/>
        </w:rPr>
        <w:t>临时工程：</w:t>
      </w:r>
      <w:r>
        <w:rPr>
          <w:rFonts w:ascii="宋体" w:hAnsi="宋体"/>
          <w:sz w:val="24"/>
          <w:szCs w:val="24"/>
          <w:u w:val="single"/>
        </w:rPr>
        <w:t xml:space="preserve"> </w:t>
      </w:r>
      <w:r>
        <w:rPr>
          <w:rFonts w:hint="eastAsia" w:ascii="宋体" w:hAnsi="宋体"/>
          <w:sz w:val="24"/>
          <w:szCs w:val="24"/>
          <w:u w:val="single"/>
        </w:rPr>
        <w:t xml:space="preserve">                             </w:t>
      </w:r>
      <w:r>
        <w:rPr>
          <w:rFonts w:ascii="宋体" w:hAnsi="宋体"/>
          <w:sz w:val="24"/>
          <w:szCs w:val="24"/>
          <w:u w:val="single"/>
        </w:rPr>
        <w:t xml:space="preserve"> </w:t>
      </w:r>
    </w:p>
    <w:p w14:paraId="5E3DFBAD">
      <w:pPr>
        <w:adjustRightInd w:val="0"/>
        <w:snapToGrid w:val="0"/>
        <w:spacing w:line="500" w:lineRule="exact"/>
        <w:ind w:firstLine="435"/>
        <w:rPr>
          <w:rFonts w:ascii="宋体" w:hAnsi="宋体"/>
          <w:sz w:val="24"/>
          <w:szCs w:val="24"/>
        </w:rPr>
      </w:pPr>
      <w:r>
        <w:rPr>
          <w:rFonts w:ascii="宋体" w:hAnsi="宋体"/>
          <w:sz w:val="24"/>
          <w:szCs w:val="24"/>
        </w:rPr>
        <w:t xml:space="preserve">1.1.3.4  </w:t>
      </w:r>
      <w:r>
        <w:rPr>
          <w:rFonts w:hint="eastAsia" w:ascii="宋体" w:hAnsi="宋体"/>
          <w:sz w:val="24"/>
          <w:szCs w:val="24"/>
        </w:rPr>
        <w:t>单位工程：</w:t>
      </w:r>
      <w:r>
        <w:rPr>
          <w:rFonts w:ascii="宋体" w:hAnsi="宋体"/>
          <w:sz w:val="24"/>
          <w:szCs w:val="24"/>
          <w:u w:val="single"/>
        </w:rPr>
        <w:t xml:space="preserve">    根据工程实际确定      </w:t>
      </w:r>
    </w:p>
    <w:p w14:paraId="7A80BF99">
      <w:pPr>
        <w:adjustRightInd w:val="0"/>
        <w:snapToGrid w:val="0"/>
        <w:spacing w:line="500" w:lineRule="exact"/>
        <w:rPr>
          <w:rFonts w:ascii="宋体" w:hAnsi="宋体"/>
          <w:sz w:val="24"/>
          <w:szCs w:val="24"/>
        </w:rPr>
      </w:pPr>
      <w:r>
        <w:rPr>
          <w:rFonts w:ascii="宋体" w:hAnsi="宋体"/>
          <w:sz w:val="24"/>
          <w:szCs w:val="24"/>
        </w:rPr>
        <w:t xml:space="preserve">    1.1.3.10  </w:t>
      </w:r>
      <w:r>
        <w:rPr>
          <w:rFonts w:hint="eastAsia" w:ascii="宋体" w:hAnsi="宋体"/>
          <w:sz w:val="24"/>
          <w:szCs w:val="24"/>
        </w:rPr>
        <w:t>永久占地：</w:t>
      </w:r>
      <w:r>
        <w:rPr>
          <w:rFonts w:ascii="宋体" w:hAnsi="宋体"/>
          <w:sz w:val="24"/>
          <w:szCs w:val="24"/>
          <w:u w:val="single"/>
        </w:rPr>
        <w:t xml:space="preserve">                                                  </w:t>
      </w:r>
    </w:p>
    <w:p w14:paraId="16C666C8">
      <w:pPr>
        <w:adjustRightInd w:val="0"/>
        <w:snapToGrid w:val="0"/>
        <w:spacing w:line="500" w:lineRule="exact"/>
        <w:rPr>
          <w:rFonts w:ascii="宋体" w:hAnsi="宋体"/>
          <w:sz w:val="24"/>
          <w:szCs w:val="24"/>
        </w:rPr>
      </w:pPr>
      <w:r>
        <w:rPr>
          <w:rFonts w:ascii="宋体" w:hAnsi="宋体"/>
          <w:sz w:val="24"/>
          <w:szCs w:val="24"/>
        </w:rPr>
        <w:t xml:space="preserve">    1.1.3.11  </w:t>
      </w:r>
      <w:r>
        <w:rPr>
          <w:rFonts w:hint="eastAsia" w:ascii="宋体" w:hAnsi="宋体"/>
          <w:sz w:val="24"/>
          <w:szCs w:val="24"/>
        </w:rPr>
        <w:t>临时占地：</w:t>
      </w:r>
      <w:r>
        <w:rPr>
          <w:rFonts w:ascii="宋体" w:hAnsi="宋体"/>
          <w:sz w:val="24"/>
          <w:szCs w:val="24"/>
          <w:u w:val="single"/>
        </w:rPr>
        <w:t xml:space="preserve">                                                  </w:t>
      </w:r>
    </w:p>
    <w:p w14:paraId="59F26390">
      <w:pPr>
        <w:adjustRightInd w:val="0"/>
        <w:snapToGrid w:val="0"/>
        <w:spacing w:line="500" w:lineRule="exact"/>
        <w:rPr>
          <w:rFonts w:ascii="宋体" w:hAnsi="宋体"/>
          <w:sz w:val="24"/>
          <w:szCs w:val="24"/>
        </w:rPr>
      </w:pPr>
      <w:r>
        <w:rPr>
          <w:rFonts w:ascii="宋体" w:hAnsi="宋体"/>
          <w:sz w:val="24"/>
          <w:szCs w:val="24"/>
        </w:rPr>
        <w:t xml:space="preserve">    1.1.4  </w:t>
      </w:r>
      <w:r>
        <w:rPr>
          <w:rFonts w:hint="eastAsia" w:ascii="宋体" w:hAnsi="宋体"/>
          <w:sz w:val="24"/>
          <w:szCs w:val="24"/>
        </w:rPr>
        <w:t>日期</w:t>
      </w:r>
    </w:p>
    <w:p w14:paraId="59C84CDA">
      <w:pPr>
        <w:adjustRightInd w:val="0"/>
        <w:snapToGrid w:val="0"/>
        <w:spacing w:line="500" w:lineRule="exact"/>
        <w:ind w:firstLine="420"/>
        <w:rPr>
          <w:rFonts w:ascii="宋体" w:hAnsi="宋体"/>
          <w:sz w:val="24"/>
          <w:szCs w:val="24"/>
          <w:u w:val="single"/>
        </w:rPr>
      </w:pPr>
      <w:r>
        <w:rPr>
          <w:rFonts w:ascii="宋体" w:hAnsi="宋体"/>
          <w:sz w:val="24"/>
          <w:szCs w:val="24"/>
        </w:rPr>
        <w:t xml:space="preserve">1.1.4.5 </w:t>
      </w:r>
      <w:r>
        <w:rPr>
          <w:rFonts w:hint="eastAsia" w:ascii="宋体" w:hAnsi="宋体"/>
          <w:sz w:val="24"/>
          <w:szCs w:val="24"/>
        </w:rPr>
        <w:t>缺陷责任期：</w:t>
      </w:r>
      <w:r>
        <w:rPr>
          <w:rFonts w:hint="eastAsia" w:ascii="宋体" w:hAnsi="宋体"/>
          <w:sz w:val="24"/>
          <w:szCs w:val="24"/>
          <w:u w:val="single"/>
        </w:rPr>
        <w:t>24个月</w:t>
      </w:r>
    </w:p>
    <w:p w14:paraId="14D6F963">
      <w:pPr>
        <w:spacing w:line="500" w:lineRule="exact"/>
        <w:rPr>
          <w:rFonts w:ascii="宋体" w:hAnsi="宋体"/>
          <w:sz w:val="24"/>
          <w:szCs w:val="24"/>
        </w:rPr>
      </w:pPr>
      <w:bookmarkStart w:id="248" w:name="_Toc351203634"/>
      <w:r>
        <w:rPr>
          <w:rFonts w:hint="eastAsia" w:ascii="宋体" w:hAnsi="宋体"/>
          <w:b/>
          <w:bCs/>
          <w:sz w:val="24"/>
          <w:szCs w:val="24"/>
        </w:rPr>
        <w:t xml:space="preserve">    </w:t>
      </w:r>
      <w:r>
        <w:rPr>
          <w:rFonts w:ascii="宋体" w:hAnsi="宋体"/>
          <w:b/>
          <w:bCs/>
          <w:sz w:val="24"/>
          <w:szCs w:val="24"/>
        </w:rPr>
        <w:t>1.</w:t>
      </w:r>
      <w:r>
        <w:rPr>
          <w:rFonts w:hint="eastAsia" w:ascii="宋体" w:hAnsi="宋体"/>
          <w:b/>
          <w:bCs/>
          <w:sz w:val="24"/>
          <w:szCs w:val="24"/>
        </w:rPr>
        <w:t>4</w:t>
      </w:r>
      <w:r>
        <w:rPr>
          <w:rFonts w:ascii="宋体" w:hAnsi="宋体"/>
          <w:b/>
          <w:bCs/>
          <w:sz w:val="24"/>
          <w:szCs w:val="24"/>
        </w:rPr>
        <w:t xml:space="preserve">  合同文件的优先顺序 </w:t>
      </w:r>
      <w:r>
        <w:rPr>
          <w:rFonts w:ascii="宋体" w:hAnsi="宋体"/>
          <w:sz w:val="24"/>
          <w:szCs w:val="24"/>
        </w:rPr>
        <w:t xml:space="preserve">                                                  </w:t>
      </w:r>
    </w:p>
    <w:p w14:paraId="5AB3B2F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合同文件的优先顺序：施工工程中的书面补充协议；本合同协议书；中标通知书；本合同专用条款；招标文件及附件；本合同通用条款；投标书及其附件；标准、规范及有关技术文件；图纸；已标价工程量清单及其单价分析表；经招标人和监理批准的施工组织设计和方案。</w:t>
      </w:r>
    </w:p>
    <w:p w14:paraId="63297D5F">
      <w:pPr>
        <w:spacing w:line="500" w:lineRule="exact"/>
        <w:rPr>
          <w:rFonts w:ascii="宋体" w:hAnsi="宋体"/>
          <w:b/>
          <w:bCs/>
          <w:sz w:val="24"/>
          <w:szCs w:val="24"/>
        </w:rPr>
      </w:pPr>
      <w:r>
        <w:rPr>
          <w:rFonts w:hint="eastAsia" w:ascii="宋体" w:hAnsi="宋体"/>
          <w:b/>
          <w:bCs/>
          <w:sz w:val="24"/>
          <w:szCs w:val="24"/>
        </w:rPr>
        <w:t xml:space="preserve">    </w:t>
      </w:r>
      <w:r>
        <w:rPr>
          <w:rFonts w:ascii="宋体" w:hAnsi="宋体"/>
          <w:b/>
          <w:bCs/>
          <w:sz w:val="24"/>
          <w:szCs w:val="24"/>
        </w:rPr>
        <w:t>1.</w:t>
      </w:r>
      <w:r>
        <w:rPr>
          <w:rFonts w:hint="eastAsia" w:ascii="宋体" w:hAnsi="宋体"/>
          <w:b/>
          <w:bCs/>
          <w:sz w:val="24"/>
          <w:szCs w:val="24"/>
        </w:rPr>
        <w:t xml:space="preserve">5 </w:t>
      </w:r>
      <w:r>
        <w:rPr>
          <w:rFonts w:ascii="宋体" w:hAnsi="宋体"/>
          <w:b/>
          <w:bCs/>
          <w:sz w:val="24"/>
          <w:szCs w:val="24"/>
        </w:rPr>
        <w:t xml:space="preserve"> 合同生效的条件</w:t>
      </w:r>
    </w:p>
    <w:p w14:paraId="3CA12093">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合同生效的条件：中标人提交履约保证金后，双方签订合同后生效。    </w:t>
      </w:r>
    </w:p>
    <w:p w14:paraId="1FDB7A11">
      <w:pPr>
        <w:spacing w:line="500" w:lineRule="exact"/>
        <w:rPr>
          <w:rFonts w:ascii="宋体" w:hAnsi="宋体"/>
          <w:b/>
          <w:bCs/>
          <w:sz w:val="24"/>
          <w:szCs w:val="24"/>
        </w:rPr>
      </w:pPr>
      <w:r>
        <w:rPr>
          <w:rFonts w:ascii="宋体" w:hAnsi="宋体"/>
          <w:b/>
          <w:bCs/>
          <w:sz w:val="24"/>
          <w:szCs w:val="24"/>
        </w:rPr>
        <w:t>1.6  图纸和中标人文件</w:t>
      </w:r>
    </w:p>
    <w:p w14:paraId="7E291EA6">
      <w:pPr>
        <w:spacing w:line="500" w:lineRule="exact"/>
        <w:rPr>
          <w:rFonts w:ascii="宋体" w:hAnsi="宋体"/>
          <w:sz w:val="24"/>
          <w:szCs w:val="24"/>
        </w:rPr>
      </w:pPr>
      <w:r>
        <w:rPr>
          <w:rFonts w:ascii="宋体" w:hAnsi="宋体"/>
          <w:sz w:val="24"/>
          <w:szCs w:val="24"/>
        </w:rPr>
        <w:t xml:space="preserve">    1.6.1  招标人提供图纸的期限、数量：合同签订后2日内向中标人提供图纸肆套。      </w:t>
      </w:r>
    </w:p>
    <w:p w14:paraId="25EC1AB3">
      <w:pPr>
        <w:spacing w:line="500" w:lineRule="exact"/>
        <w:rPr>
          <w:rFonts w:ascii="宋体" w:hAnsi="宋体"/>
          <w:sz w:val="24"/>
          <w:szCs w:val="24"/>
        </w:rPr>
      </w:pPr>
      <w:r>
        <w:rPr>
          <w:rFonts w:ascii="宋体" w:hAnsi="宋体"/>
          <w:sz w:val="24"/>
          <w:szCs w:val="24"/>
        </w:rPr>
        <w:t xml:space="preserve">    1.6.2  中标人提供的文件范围：按通用条款执行          </w:t>
      </w:r>
    </w:p>
    <w:p w14:paraId="666DF7A1">
      <w:pPr>
        <w:spacing w:line="500" w:lineRule="exact"/>
        <w:rPr>
          <w:rFonts w:ascii="宋体" w:hAnsi="宋体"/>
          <w:sz w:val="24"/>
          <w:szCs w:val="24"/>
        </w:rPr>
      </w:pPr>
      <w:r>
        <w:rPr>
          <w:rFonts w:ascii="宋体" w:hAnsi="宋体"/>
          <w:sz w:val="24"/>
          <w:szCs w:val="24"/>
        </w:rPr>
        <w:t xml:space="preserve">     </w:t>
      </w:r>
      <w:r>
        <w:rPr>
          <w:rFonts w:hint="eastAsia" w:ascii="宋体" w:hAnsi="宋体"/>
          <w:sz w:val="24"/>
          <w:szCs w:val="24"/>
        </w:rPr>
        <w:t xml:space="preserve">     </w:t>
      </w:r>
      <w:r>
        <w:rPr>
          <w:rFonts w:ascii="宋体" w:hAnsi="宋体"/>
          <w:sz w:val="24"/>
          <w:szCs w:val="24"/>
        </w:rPr>
        <w:t xml:space="preserve">中标人提供文件的期限、数量：根据实际需要确定                 </w:t>
      </w:r>
    </w:p>
    <w:p w14:paraId="5ABFEA58">
      <w:pPr>
        <w:spacing w:line="500" w:lineRule="exact"/>
        <w:rPr>
          <w:rFonts w:ascii="宋体" w:hAnsi="宋体"/>
          <w:sz w:val="24"/>
          <w:szCs w:val="24"/>
        </w:rPr>
      </w:pPr>
      <w:r>
        <w:rPr>
          <w:rFonts w:ascii="宋体" w:hAnsi="宋体"/>
          <w:sz w:val="24"/>
          <w:szCs w:val="24"/>
        </w:rPr>
        <w:t xml:space="preserve">    </w:t>
      </w:r>
      <w:r>
        <w:rPr>
          <w:rFonts w:hint="eastAsia" w:ascii="宋体" w:hAnsi="宋体"/>
          <w:sz w:val="24"/>
          <w:szCs w:val="24"/>
        </w:rPr>
        <w:t xml:space="preserve">      </w:t>
      </w:r>
      <w:r>
        <w:rPr>
          <w:rFonts w:ascii="宋体" w:hAnsi="宋体"/>
          <w:sz w:val="24"/>
          <w:szCs w:val="24"/>
        </w:rPr>
        <w:t>监理人批复中标人提供文件的期限：收到中标人提供的文件后</w:t>
      </w:r>
      <w:r>
        <w:rPr>
          <w:rFonts w:hint="eastAsia" w:ascii="宋体" w:hAnsi="宋体"/>
          <w:sz w:val="24"/>
          <w:szCs w:val="24"/>
        </w:rPr>
        <w:t>7</w:t>
      </w:r>
      <w:r>
        <w:rPr>
          <w:rFonts w:ascii="宋体" w:hAnsi="宋体"/>
          <w:sz w:val="24"/>
          <w:szCs w:val="24"/>
        </w:rPr>
        <w:t>天内。</w:t>
      </w:r>
    </w:p>
    <w:p w14:paraId="5B645CCA">
      <w:pPr>
        <w:spacing w:line="500" w:lineRule="exact"/>
        <w:rPr>
          <w:rFonts w:ascii="宋体" w:hAnsi="宋体"/>
          <w:sz w:val="24"/>
          <w:szCs w:val="24"/>
        </w:rPr>
      </w:pPr>
      <w:r>
        <w:rPr>
          <w:rFonts w:ascii="宋体" w:hAnsi="宋体"/>
          <w:sz w:val="24"/>
          <w:szCs w:val="24"/>
        </w:rPr>
        <w:t xml:space="preserve">    1.6.3  监理人签发图纸修改的期限：该项工作施工前7天。   </w:t>
      </w:r>
    </w:p>
    <w:bookmarkEnd w:id="248"/>
    <w:p w14:paraId="30AEB937">
      <w:pPr>
        <w:spacing w:line="500" w:lineRule="exact"/>
        <w:rPr>
          <w:rFonts w:ascii="宋体" w:hAnsi="宋体"/>
          <w:b/>
          <w:bCs/>
          <w:sz w:val="24"/>
          <w:szCs w:val="24"/>
        </w:rPr>
      </w:pPr>
      <w:bookmarkStart w:id="249" w:name="_Toc446108025"/>
      <w:bookmarkStart w:id="250" w:name="_Toc361653985"/>
      <w:bookmarkStart w:id="251" w:name="_Toc410381402"/>
      <w:bookmarkStart w:id="252" w:name="_Toc442514365"/>
      <w:bookmarkStart w:id="253" w:name="_Toc351203635"/>
      <w:r>
        <w:rPr>
          <w:rFonts w:ascii="宋体" w:hAnsi="宋体"/>
          <w:b/>
          <w:bCs/>
          <w:sz w:val="24"/>
          <w:szCs w:val="24"/>
        </w:rPr>
        <w:t>2.  招标人义务</w:t>
      </w:r>
      <w:bookmarkEnd w:id="249"/>
      <w:bookmarkEnd w:id="250"/>
      <w:bookmarkEnd w:id="251"/>
      <w:bookmarkEnd w:id="252"/>
    </w:p>
    <w:p w14:paraId="3AB77C80">
      <w:pPr>
        <w:spacing w:line="500" w:lineRule="exact"/>
        <w:rPr>
          <w:rFonts w:ascii="宋体" w:hAnsi="宋体"/>
          <w:b/>
          <w:bCs/>
          <w:sz w:val="24"/>
          <w:szCs w:val="24"/>
        </w:rPr>
      </w:pPr>
      <w:r>
        <w:rPr>
          <w:rFonts w:ascii="宋体" w:hAnsi="宋体"/>
          <w:b/>
          <w:bCs/>
          <w:sz w:val="24"/>
          <w:szCs w:val="24"/>
        </w:rPr>
        <w:t>2.3  提供施工场地</w:t>
      </w:r>
    </w:p>
    <w:p w14:paraId="1EAE049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招标人提供施工场地和有关资料的时间：发出开工通知前提供。          </w:t>
      </w:r>
    </w:p>
    <w:p w14:paraId="42F7F9DA">
      <w:pPr>
        <w:spacing w:line="500" w:lineRule="exact"/>
        <w:rPr>
          <w:rFonts w:ascii="宋体" w:hAnsi="宋体"/>
          <w:b/>
          <w:bCs/>
          <w:sz w:val="24"/>
          <w:szCs w:val="24"/>
        </w:rPr>
      </w:pPr>
      <w:bookmarkStart w:id="254" w:name="_Toc236130790"/>
      <w:bookmarkStart w:id="255" w:name="_Toc253651577"/>
      <w:bookmarkStart w:id="256" w:name="_Toc346896521"/>
      <w:r>
        <w:rPr>
          <w:rFonts w:ascii="宋体" w:hAnsi="宋体"/>
          <w:b/>
          <w:bCs/>
          <w:sz w:val="24"/>
          <w:szCs w:val="24"/>
        </w:rPr>
        <w:t>2.5组织设计交底</w:t>
      </w:r>
      <w:bookmarkEnd w:id="254"/>
      <w:bookmarkEnd w:id="255"/>
      <w:bookmarkEnd w:id="256"/>
    </w:p>
    <w:p w14:paraId="6495DA1C">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施工图纸到现场后48小时内，由监理单位组织相关人员进行图纸会审和技术交底。</w:t>
      </w:r>
    </w:p>
    <w:p w14:paraId="5DEDF1AB">
      <w:pPr>
        <w:tabs>
          <w:tab w:val="left" w:pos="2835"/>
        </w:tabs>
        <w:spacing w:line="500" w:lineRule="exact"/>
        <w:rPr>
          <w:rFonts w:ascii="宋体" w:hAnsi="宋体"/>
          <w:sz w:val="24"/>
          <w:szCs w:val="24"/>
        </w:rPr>
      </w:pPr>
      <w:bookmarkStart w:id="257" w:name="_Toc346896522"/>
      <w:bookmarkStart w:id="258" w:name="_Toc253651578"/>
      <w:r>
        <w:rPr>
          <w:rFonts w:ascii="宋体" w:hAnsi="宋体"/>
          <w:b/>
          <w:bCs/>
          <w:sz w:val="24"/>
          <w:szCs w:val="24"/>
        </w:rPr>
        <w:t>2.8 其他义务</w:t>
      </w:r>
      <w:bookmarkEnd w:id="257"/>
      <w:bookmarkEnd w:id="258"/>
      <w:r>
        <w:rPr>
          <w:rFonts w:ascii="宋体" w:hAnsi="宋体"/>
          <w:b/>
          <w:bCs/>
          <w:sz w:val="24"/>
          <w:szCs w:val="24"/>
        </w:rPr>
        <w:t xml:space="preserve"> </w:t>
      </w:r>
      <w:r>
        <w:rPr>
          <w:rFonts w:ascii="宋体" w:hAnsi="宋体"/>
          <w:sz w:val="24"/>
          <w:szCs w:val="24"/>
        </w:rPr>
        <w:tab/>
      </w:r>
    </w:p>
    <w:p w14:paraId="555B83CF">
      <w:pPr>
        <w:spacing w:line="500" w:lineRule="exact"/>
        <w:rPr>
          <w:rFonts w:ascii="宋体" w:hAnsi="宋体"/>
          <w:sz w:val="24"/>
          <w:szCs w:val="24"/>
        </w:rPr>
      </w:pPr>
      <w:r>
        <w:rPr>
          <w:rFonts w:ascii="宋体" w:hAnsi="宋体"/>
          <w:sz w:val="24"/>
          <w:szCs w:val="24"/>
        </w:rPr>
        <w:t>2.8.1双方约定招标人应做的其他工作：双方协商。</w:t>
      </w:r>
    </w:p>
    <w:p w14:paraId="13040380">
      <w:pPr>
        <w:tabs>
          <w:tab w:val="left" w:pos="2835"/>
        </w:tabs>
        <w:spacing w:line="500" w:lineRule="exact"/>
        <w:rPr>
          <w:rFonts w:ascii="宋体" w:hAnsi="宋体"/>
          <w:b/>
          <w:bCs/>
          <w:sz w:val="24"/>
          <w:szCs w:val="24"/>
        </w:rPr>
      </w:pPr>
      <w:bookmarkStart w:id="259" w:name="_Toc346896523"/>
      <w:r>
        <w:rPr>
          <w:rFonts w:ascii="宋体" w:hAnsi="宋体"/>
          <w:b/>
          <w:bCs/>
          <w:sz w:val="24"/>
          <w:szCs w:val="24"/>
        </w:rPr>
        <w:t>2.9 招标人委派的驻工地代表</w:t>
      </w:r>
      <w:bookmarkEnd w:id="259"/>
    </w:p>
    <w:p w14:paraId="4F0595BB">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姓名：</w:t>
      </w:r>
      <w:r>
        <w:rPr>
          <w:rFonts w:ascii="宋体" w:hAnsi="宋体"/>
          <w:sz w:val="24"/>
          <w:szCs w:val="24"/>
          <w:u w:val="single"/>
        </w:rPr>
        <w:t xml:space="preserve">   </w:t>
      </w:r>
      <w:r>
        <w:rPr>
          <w:rFonts w:hint="eastAsia" w:ascii="宋体" w:hAnsi="宋体"/>
          <w:sz w:val="24"/>
          <w:szCs w:val="24"/>
          <w:u w:val="single"/>
        </w:rPr>
        <w:t xml:space="preserve">  </w:t>
      </w:r>
      <w:r>
        <w:rPr>
          <w:rFonts w:ascii="宋体" w:hAnsi="宋体"/>
          <w:sz w:val="24"/>
          <w:szCs w:val="24"/>
          <w:u w:val="single"/>
        </w:rPr>
        <w:t xml:space="preserve">  </w:t>
      </w:r>
      <w:r>
        <w:rPr>
          <w:rFonts w:ascii="宋体" w:hAnsi="宋体"/>
          <w:sz w:val="24"/>
          <w:szCs w:val="24"/>
        </w:rPr>
        <w:t>职务:</w:t>
      </w:r>
      <w:r>
        <w:rPr>
          <w:rFonts w:ascii="宋体" w:hAnsi="宋体"/>
          <w:sz w:val="24"/>
          <w:szCs w:val="24"/>
        </w:rPr>
        <w:softHyphen/>
      </w:r>
      <w:r>
        <w:rPr>
          <w:rFonts w:ascii="宋体" w:hAnsi="宋体"/>
          <w:sz w:val="24"/>
          <w:szCs w:val="24"/>
        </w:rPr>
        <w:softHyphen/>
      </w:r>
      <w:r>
        <w:rPr>
          <w:rFonts w:ascii="宋体" w:hAnsi="宋体"/>
          <w:sz w:val="24"/>
          <w:szCs w:val="24"/>
        </w:rPr>
        <w:t xml:space="preserve"> </w:t>
      </w:r>
      <w:r>
        <w:rPr>
          <w:rFonts w:ascii="宋体" w:hAnsi="宋体"/>
          <w:sz w:val="24"/>
          <w:szCs w:val="24"/>
          <w:u w:val="single"/>
        </w:rPr>
        <w:t xml:space="preserve">     </w:t>
      </w:r>
      <w:r>
        <w:rPr>
          <w:rFonts w:hint="eastAsia" w:ascii="宋体" w:hAnsi="宋体"/>
          <w:sz w:val="24"/>
          <w:szCs w:val="24"/>
          <w:u w:val="single"/>
        </w:rPr>
        <w:t xml:space="preserve">    </w:t>
      </w:r>
      <w:r>
        <w:rPr>
          <w:rFonts w:ascii="宋体" w:hAnsi="宋体"/>
          <w:sz w:val="24"/>
          <w:szCs w:val="24"/>
          <w:u w:val="single"/>
        </w:rPr>
        <w:t xml:space="preserve">  </w:t>
      </w:r>
    </w:p>
    <w:p w14:paraId="3D142A44">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职权：</w:t>
      </w:r>
      <w:r>
        <w:rPr>
          <w:rFonts w:ascii="宋体" w:hAnsi="宋体"/>
          <w:sz w:val="24"/>
          <w:szCs w:val="24"/>
          <w:u w:val="single"/>
        </w:rPr>
        <w:t>代表招标人对本工程施工过程的质量、进度、造价、安全文明施工等进行监督和检查，协调解决由招标人处理的有关问题，并对工程质量和现场签证进行确认。</w:t>
      </w:r>
    </w:p>
    <w:p w14:paraId="08D0A9EA">
      <w:pPr>
        <w:spacing w:line="500" w:lineRule="exact"/>
        <w:rPr>
          <w:rFonts w:ascii="宋体" w:hAnsi="宋体"/>
          <w:b/>
          <w:bCs/>
          <w:sz w:val="24"/>
          <w:szCs w:val="24"/>
        </w:rPr>
      </w:pPr>
      <w:bookmarkStart w:id="260" w:name="_Toc446108026"/>
      <w:bookmarkStart w:id="261" w:name="_Toc410381403"/>
      <w:bookmarkStart w:id="262" w:name="_Toc361653986"/>
      <w:bookmarkStart w:id="263" w:name="_Toc442514366"/>
      <w:r>
        <w:rPr>
          <w:rFonts w:ascii="宋体" w:hAnsi="宋体"/>
          <w:b/>
          <w:bCs/>
          <w:sz w:val="24"/>
          <w:szCs w:val="24"/>
        </w:rPr>
        <w:t>3.  监理人</w:t>
      </w:r>
      <w:bookmarkEnd w:id="260"/>
      <w:bookmarkEnd w:id="261"/>
      <w:bookmarkEnd w:id="262"/>
      <w:bookmarkEnd w:id="263"/>
    </w:p>
    <w:p w14:paraId="6AFAC7B0">
      <w:pPr>
        <w:spacing w:line="500" w:lineRule="exact"/>
        <w:rPr>
          <w:rFonts w:ascii="宋体" w:hAnsi="宋体"/>
          <w:b/>
          <w:bCs/>
          <w:sz w:val="24"/>
          <w:szCs w:val="24"/>
        </w:rPr>
      </w:pPr>
      <w:r>
        <w:rPr>
          <w:rFonts w:ascii="宋体" w:hAnsi="宋体"/>
          <w:b/>
          <w:bCs/>
          <w:sz w:val="24"/>
          <w:szCs w:val="24"/>
        </w:rPr>
        <w:t>3.1  监理人的职责和权力</w:t>
      </w:r>
    </w:p>
    <w:p w14:paraId="796A4DEF">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姓名：</w:t>
      </w:r>
      <w:r>
        <w:rPr>
          <w:rFonts w:ascii="宋体" w:hAnsi="宋体"/>
          <w:sz w:val="24"/>
          <w:szCs w:val="24"/>
          <w:u w:val="single"/>
        </w:rPr>
        <w:t xml:space="preserve">         </w:t>
      </w:r>
      <w:r>
        <w:rPr>
          <w:rFonts w:ascii="宋体" w:hAnsi="宋体"/>
          <w:sz w:val="24"/>
          <w:szCs w:val="24"/>
        </w:rPr>
        <w:t>职务：</w:t>
      </w:r>
      <w:r>
        <w:rPr>
          <w:rFonts w:ascii="宋体" w:hAnsi="宋体"/>
          <w:sz w:val="24"/>
          <w:szCs w:val="24"/>
          <w:u w:val="single"/>
        </w:rPr>
        <w:t xml:space="preserve">           </w:t>
      </w:r>
    </w:p>
    <w:p w14:paraId="2E5ED9CB">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招标人委托的职权：</w:t>
      </w:r>
      <w:r>
        <w:rPr>
          <w:rFonts w:ascii="宋体" w:hAnsi="宋体"/>
          <w:sz w:val="24"/>
          <w:szCs w:val="24"/>
          <w:u w:val="single"/>
        </w:rPr>
        <w:t xml:space="preserve">对本工程的施工质量、进度、安全文明施工、合同管理等实施控制和监理。对隐蔽工程对施工质量进行验收，对施工环境进行协调、管理和处理。   </w:t>
      </w:r>
      <w:r>
        <w:rPr>
          <w:rFonts w:ascii="宋体" w:hAnsi="宋体"/>
          <w:sz w:val="24"/>
          <w:szCs w:val="24"/>
        </w:rPr>
        <w:t xml:space="preserve">   </w:t>
      </w:r>
    </w:p>
    <w:bookmarkEnd w:id="253"/>
    <w:p w14:paraId="38FAD809">
      <w:pPr>
        <w:spacing w:line="500" w:lineRule="exact"/>
        <w:rPr>
          <w:rFonts w:ascii="宋体" w:hAnsi="宋体"/>
          <w:b/>
          <w:bCs/>
          <w:sz w:val="24"/>
          <w:szCs w:val="24"/>
        </w:rPr>
      </w:pPr>
      <w:bookmarkStart w:id="264" w:name="_Toc446108027"/>
      <w:r>
        <w:rPr>
          <w:rFonts w:ascii="宋体" w:hAnsi="宋体"/>
          <w:b/>
          <w:bCs/>
          <w:sz w:val="24"/>
          <w:szCs w:val="24"/>
        </w:rPr>
        <w:t>4.  中标人</w:t>
      </w:r>
      <w:bookmarkEnd w:id="264"/>
    </w:p>
    <w:p w14:paraId="1C308AB7">
      <w:pPr>
        <w:spacing w:line="500" w:lineRule="exact"/>
        <w:rPr>
          <w:rFonts w:ascii="宋体" w:hAnsi="宋体"/>
          <w:b/>
          <w:bCs/>
          <w:sz w:val="24"/>
          <w:szCs w:val="24"/>
        </w:rPr>
      </w:pPr>
      <w:r>
        <w:rPr>
          <w:rFonts w:ascii="宋体" w:hAnsi="宋体"/>
          <w:b/>
          <w:bCs/>
          <w:sz w:val="24"/>
          <w:szCs w:val="24"/>
        </w:rPr>
        <w:t>4.1  中标人的一般义务</w:t>
      </w:r>
    </w:p>
    <w:p w14:paraId="00EF321E">
      <w:pPr>
        <w:spacing w:line="500" w:lineRule="exact"/>
        <w:rPr>
          <w:rFonts w:ascii="宋体" w:hAnsi="宋体"/>
          <w:sz w:val="24"/>
          <w:szCs w:val="24"/>
        </w:rPr>
      </w:pPr>
      <w:r>
        <w:rPr>
          <w:rFonts w:ascii="宋体" w:hAnsi="宋体"/>
          <w:sz w:val="24"/>
          <w:szCs w:val="24"/>
        </w:rPr>
        <w:t xml:space="preserve">    4.1.8  为他人提供方便</w:t>
      </w:r>
    </w:p>
    <w:p w14:paraId="43FFD595">
      <w:pPr>
        <w:snapToGrid w:val="0"/>
        <w:spacing w:line="360" w:lineRule="auto"/>
        <w:rPr>
          <w:rFonts w:ascii="宋体" w:hAnsi="宋体"/>
          <w:sz w:val="24"/>
          <w:szCs w:val="24"/>
          <w:u w:val="single"/>
        </w:rPr>
      </w:pPr>
      <w:r>
        <w:rPr>
          <w:rFonts w:hint="eastAsia" w:ascii="宋体" w:hAnsi="宋体"/>
          <w:sz w:val="24"/>
          <w:szCs w:val="24"/>
        </w:rPr>
        <w:t xml:space="preserve">  </w:t>
      </w:r>
      <w:r>
        <w:rPr>
          <w:rFonts w:ascii="宋体" w:hAnsi="宋体"/>
          <w:sz w:val="24"/>
          <w:szCs w:val="24"/>
        </w:rPr>
        <w:t xml:space="preserve"> 中标人为他人提供条件的内容：</w:t>
      </w:r>
      <w:r>
        <w:rPr>
          <w:rFonts w:hint="eastAsia" w:ascii="宋体" w:hAnsi="宋体"/>
          <w:sz w:val="24"/>
          <w:szCs w:val="24"/>
          <w:u w:val="single"/>
        </w:rPr>
        <w:t>自行协调施工现场现状，配合其他</w:t>
      </w:r>
      <w:r>
        <w:rPr>
          <w:rFonts w:ascii="宋体" w:hAnsi="宋体"/>
          <w:sz w:val="24"/>
          <w:szCs w:val="24"/>
          <w:u w:val="single"/>
        </w:rPr>
        <w:t>工程施工单位施工。</w:t>
      </w:r>
    </w:p>
    <w:p w14:paraId="76621620">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中标人为他人提供条件可能发生费用的处理方法：</w:t>
      </w:r>
      <w:r>
        <w:rPr>
          <w:rFonts w:ascii="宋体" w:hAnsi="宋体"/>
          <w:sz w:val="24"/>
          <w:szCs w:val="24"/>
          <w:u w:val="single"/>
        </w:rPr>
        <w:t>由中标人自行承担</w:t>
      </w:r>
      <w:r>
        <w:rPr>
          <w:rFonts w:ascii="宋体" w:hAnsi="宋体"/>
          <w:sz w:val="24"/>
          <w:szCs w:val="24"/>
        </w:rPr>
        <w:t xml:space="preserve">。     </w:t>
      </w:r>
    </w:p>
    <w:p w14:paraId="2C730F84">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4.1.9已竣工工程未交付招标人之前，中标人负责该工程以及相关设施的保护工作，保护期间发生损坏，中标人自费予以修复；已竣工的工程未交付招标人之前，中标人应负责成品保护工作，因保护不力造成的经济损失和责任由中标人承担。已完工程成品保护的特殊要求由中标人做出详细方案，并落实到位，确保成品完好，费用由中标人负担。</w:t>
      </w:r>
    </w:p>
    <w:p w14:paraId="2EFA5C3D">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4.1.10.1遵守政府有关主管部门对施工场地交通、施工噪音以及环境保护和安全生产等的管理规定，按规定办理有关手续，并以书面形式通知招标人。</w:t>
      </w:r>
    </w:p>
    <w:p w14:paraId="0198E065">
      <w:pPr>
        <w:spacing w:line="500" w:lineRule="exact"/>
        <w:rPr>
          <w:rFonts w:ascii="宋体" w:hAnsi="宋体"/>
          <w:sz w:val="24"/>
          <w:szCs w:val="24"/>
          <w:u w:val="single"/>
        </w:rPr>
      </w:pPr>
      <w:r>
        <w:rPr>
          <w:rFonts w:ascii="宋体" w:hAnsi="宋体"/>
          <w:sz w:val="24"/>
          <w:szCs w:val="24"/>
        </w:rPr>
        <w:t xml:space="preserve">   </w:t>
      </w:r>
      <w:r>
        <w:rPr>
          <w:rFonts w:ascii="宋体" w:hAnsi="宋体"/>
          <w:sz w:val="24"/>
          <w:szCs w:val="24"/>
          <w:u w:val="single"/>
        </w:rPr>
        <w:t xml:space="preserve"> ①需要办理交通特别通行证时，由</w:t>
      </w:r>
      <w:r>
        <w:rPr>
          <w:rFonts w:hint="eastAsia" w:ascii="宋体" w:hAnsi="宋体"/>
          <w:sz w:val="24"/>
          <w:szCs w:val="24"/>
          <w:u w:val="single"/>
        </w:rPr>
        <w:t>招标人协助，</w:t>
      </w:r>
      <w:r>
        <w:rPr>
          <w:rFonts w:ascii="宋体" w:hAnsi="宋体"/>
          <w:sz w:val="24"/>
          <w:szCs w:val="24"/>
          <w:u w:val="single"/>
        </w:rPr>
        <w:t>中标人负责办证；</w:t>
      </w:r>
    </w:p>
    <w:p w14:paraId="54A23765">
      <w:pPr>
        <w:spacing w:line="500" w:lineRule="exact"/>
        <w:rPr>
          <w:rFonts w:ascii="宋体" w:hAnsi="宋体"/>
          <w:sz w:val="24"/>
          <w:szCs w:val="24"/>
          <w:u w:val="single"/>
        </w:rPr>
      </w:pPr>
      <w:r>
        <w:rPr>
          <w:rFonts w:ascii="宋体" w:hAnsi="宋体"/>
          <w:sz w:val="24"/>
          <w:szCs w:val="24"/>
        </w:rPr>
        <w:t xml:space="preserve">   </w:t>
      </w:r>
      <w:r>
        <w:rPr>
          <w:rFonts w:ascii="宋体" w:hAnsi="宋体"/>
          <w:sz w:val="24"/>
          <w:szCs w:val="24"/>
          <w:u w:val="single"/>
        </w:rPr>
        <w:t xml:space="preserve"> ②施工现场需要排放有害污水时，由中标人办理有关手续；</w:t>
      </w:r>
    </w:p>
    <w:p w14:paraId="4E078B59">
      <w:pPr>
        <w:spacing w:line="500" w:lineRule="exact"/>
        <w:rPr>
          <w:rFonts w:ascii="宋体" w:hAnsi="宋体"/>
          <w:sz w:val="24"/>
          <w:szCs w:val="24"/>
          <w:u w:val="single"/>
        </w:rPr>
      </w:pPr>
      <w:r>
        <w:rPr>
          <w:rFonts w:ascii="宋体" w:hAnsi="宋体"/>
          <w:sz w:val="24"/>
          <w:szCs w:val="24"/>
        </w:rPr>
        <w:t xml:space="preserve">   </w:t>
      </w:r>
      <w:r>
        <w:rPr>
          <w:rFonts w:ascii="宋体" w:hAnsi="宋体"/>
          <w:sz w:val="24"/>
          <w:szCs w:val="24"/>
          <w:u w:val="single"/>
        </w:rPr>
        <w:t xml:space="preserve"> ③施工噪音超过当地主管部门的规定时，由中标人提出措施；</w:t>
      </w:r>
    </w:p>
    <w:p w14:paraId="4ED256C9">
      <w:pPr>
        <w:spacing w:line="500" w:lineRule="exact"/>
        <w:rPr>
          <w:rFonts w:ascii="宋体" w:hAnsi="宋体"/>
          <w:sz w:val="24"/>
          <w:szCs w:val="24"/>
        </w:rPr>
      </w:pPr>
      <w:r>
        <w:rPr>
          <w:rFonts w:ascii="宋体" w:hAnsi="宋体"/>
          <w:sz w:val="24"/>
          <w:szCs w:val="24"/>
        </w:rPr>
        <w:t xml:space="preserve">    以上所发生的费用由中标人自行承担。</w:t>
      </w:r>
    </w:p>
    <w:p w14:paraId="7DC1A75B">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4.1.10.2中标人应提出用水用电申请；</w:t>
      </w:r>
      <w:r>
        <w:rPr>
          <w:rFonts w:hint="eastAsia" w:ascii="宋体" w:hAnsi="宋体"/>
          <w:sz w:val="24"/>
          <w:szCs w:val="24"/>
          <w:u w:val="single"/>
          <w:lang w:val="en-US" w:eastAsia="zh-CN"/>
        </w:rPr>
        <w:t>/</w:t>
      </w:r>
      <w:r>
        <w:rPr>
          <w:rFonts w:ascii="宋体" w:hAnsi="宋体"/>
          <w:sz w:val="24"/>
          <w:szCs w:val="24"/>
          <w:u w:val="single"/>
        </w:rPr>
        <w:t>。</w:t>
      </w:r>
    </w:p>
    <w:p w14:paraId="1F9F235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4.1.10.3做好施工场地的地下管线、建筑物、构筑物的保护工作。各施工地点要设立明显的标志。如中标人未履行上述义务造成人员、车辆伤害，建筑物、地下管线的损坏，由中标人承担所发生的一切费用。</w:t>
      </w:r>
    </w:p>
    <w:p w14:paraId="7B46D7CB">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4.1.10.4中标人要遵守文明施工，遵守安全、环保、消防、保卫部门的有关规定，否则违章作业造成经济损失或责任，由中标人负责。</w:t>
      </w:r>
    </w:p>
    <w:p w14:paraId="1E7F607C">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4.1.10.5工程施工结束，中标人应将剩余物资、材料和废品及时清除。工程竣工后，中标人应按招标人要求，限期将施工机具、器具、生活设施等物品及时移走。否则，招标人代为清除，其费用由中标人支付。</w:t>
      </w:r>
    </w:p>
    <w:p w14:paraId="1BD326A6">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4.1.10.6中标人应建立完善的安全措施保证体系，招标人在施工过程中检查落实情况。</w:t>
      </w:r>
    </w:p>
    <w:p w14:paraId="6EA5174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4.1.10.10应提供计划、报表的名称及完成时间：工程总进度计划按本专用条款第10条约定执行。</w:t>
      </w:r>
    </w:p>
    <w:p w14:paraId="406911DF">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4.1.11中标人未能履行4.1.1-4.1.10款各项义务，造成招标人损失的，中标人赔偿招标人有关损失。</w:t>
      </w:r>
    </w:p>
    <w:p w14:paraId="097BBD9B">
      <w:pPr>
        <w:spacing w:line="500" w:lineRule="exact"/>
        <w:rPr>
          <w:rFonts w:ascii="宋体" w:hAnsi="宋体"/>
          <w:b/>
          <w:bCs/>
          <w:sz w:val="24"/>
          <w:szCs w:val="24"/>
        </w:rPr>
      </w:pPr>
      <w:r>
        <w:rPr>
          <w:rFonts w:ascii="宋体" w:hAnsi="宋体"/>
          <w:b/>
          <w:bCs/>
          <w:sz w:val="24"/>
          <w:szCs w:val="24"/>
        </w:rPr>
        <w:t>4.2 履约担保</w:t>
      </w:r>
    </w:p>
    <w:p w14:paraId="5D5E8A8E">
      <w:pPr>
        <w:snapToGrid w:val="0"/>
        <w:spacing w:line="360" w:lineRule="auto"/>
        <w:ind w:firstLine="480" w:firstLineChars="200"/>
        <w:rPr>
          <w:rFonts w:ascii="宋体" w:hAnsi="宋体"/>
          <w:sz w:val="24"/>
          <w:szCs w:val="24"/>
        </w:rPr>
      </w:pPr>
      <w:r>
        <w:rPr>
          <w:rFonts w:hint="eastAsia" w:ascii="宋体" w:hAnsi="宋体"/>
          <w:sz w:val="24"/>
          <w:szCs w:val="24"/>
        </w:rPr>
        <w:t>1、履约保证金的形式：银行转账或不可撤销的见索即付银行保函。</w:t>
      </w:r>
    </w:p>
    <w:p w14:paraId="3C5490C8">
      <w:pPr>
        <w:snapToGrid w:val="0"/>
        <w:spacing w:line="360" w:lineRule="auto"/>
        <w:ind w:firstLine="480" w:firstLineChars="200"/>
        <w:rPr>
          <w:rFonts w:ascii="宋体" w:hAnsi="宋体"/>
          <w:sz w:val="24"/>
          <w:szCs w:val="24"/>
        </w:rPr>
      </w:pPr>
      <w:r>
        <w:rPr>
          <w:rFonts w:hint="eastAsia" w:ascii="宋体" w:hAnsi="宋体"/>
          <w:sz w:val="24"/>
          <w:szCs w:val="24"/>
        </w:rPr>
        <w:t>2、履约保证金的金额：</w:t>
      </w:r>
      <w:r>
        <w:rPr>
          <w:rFonts w:hint="eastAsia" w:ascii="宋体" w:hAnsi="宋体"/>
          <w:sz w:val="24"/>
          <w:szCs w:val="24"/>
          <w:lang w:val="en-US" w:eastAsia="zh-CN"/>
        </w:rPr>
        <w:t>/</w:t>
      </w:r>
      <w:r>
        <w:rPr>
          <w:rFonts w:hint="eastAsia" w:ascii="宋体" w:hAnsi="宋体"/>
          <w:sz w:val="24"/>
          <w:szCs w:val="24"/>
        </w:rPr>
        <w:t>。</w:t>
      </w:r>
    </w:p>
    <w:p w14:paraId="03E9F8E7">
      <w:pPr>
        <w:snapToGrid w:val="0"/>
        <w:spacing w:line="360" w:lineRule="auto"/>
        <w:ind w:firstLine="480" w:firstLineChars="200"/>
        <w:rPr>
          <w:rFonts w:hint="eastAsia" w:ascii="宋体" w:hAnsi="宋体"/>
          <w:sz w:val="24"/>
          <w:szCs w:val="24"/>
          <w:lang w:val="en-US" w:eastAsia="zh-CN"/>
        </w:rPr>
      </w:pPr>
      <w:r>
        <w:rPr>
          <w:rFonts w:hint="eastAsia" w:ascii="宋体" w:hAnsi="宋体"/>
          <w:sz w:val="24"/>
          <w:szCs w:val="24"/>
        </w:rPr>
        <w:t>3、履约保证金提交的时间：</w:t>
      </w:r>
      <w:r>
        <w:rPr>
          <w:rFonts w:hint="eastAsia" w:ascii="宋体" w:hAnsi="宋体"/>
          <w:sz w:val="24"/>
          <w:szCs w:val="24"/>
          <w:lang w:val="en-US" w:eastAsia="zh-CN"/>
        </w:rPr>
        <w:t>/。</w:t>
      </w:r>
    </w:p>
    <w:p w14:paraId="062A7DCE">
      <w:pPr>
        <w:snapToGrid w:val="0"/>
        <w:spacing w:line="360" w:lineRule="auto"/>
        <w:ind w:firstLine="480" w:firstLineChars="200"/>
        <w:rPr>
          <w:rFonts w:ascii="宋体" w:hAnsi="宋体"/>
          <w:sz w:val="24"/>
          <w:szCs w:val="24"/>
        </w:rPr>
      </w:pPr>
      <w:r>
        <w:rPr>
          <w:rFonts w:hint="eastAsia" w:ascii="宋体" w:hAnsi="宋体"/>
          <w:sz w:val="24"/>
          <w:szCs w:val="24"/>
        </w:rPr>
        <w:t>4、履约担保的期限：</w:t>
      </w:r>
      <w:r>
        <w:rPr>
          <w:rFonts w:hint="eastAsia" w:ascii="宋体" w:hAnsi="宋体"/>
          <w:sz w:val="24"/>
          <w:szCs w:val="24"/>
          <w:lang w:val="en-US" w:eastAsia="zh-CN"/>
        </w:rPr>
        <w:t>/</w:t>
      </w:r>
      <w:r>
        <w:rPr>
          <w:rFonts w:hint="eastAsia" w:ascii="宋体" w:hAnsi="宋体"/>
          <w:sz w:val="24"/>
          <w:szCs w:val="24"/>
        </w:rPr>
        <w:t>。</w:t>
      </w:r>
    </w:p>
    <w:p w14:paraId="35EC99E8">
      <w:pPr>
        <w:snapToGrid w:val="0"/>
        <w:spacing w:line="360" w:lineRule="auto"/>
        <w:ind w:firstLine="480" w:firstLineChars="200"/>
        <w:rPr>
          <w:rFonts w:ascii="宋体" w:hAnsi="宋体"/>
          <w:sz w:val="24"/>
          <w:szCs w:val="24"/>
        </w:rPr>
      </w:pPr>
      <w:r>
        <w:rPr>
          <w:rFonts w:hint="eastAsia" w:ascii="宋体" w:hAnsi="宋体"/>
          <w:sz w:val="24"/>
          <w:szCs w:val="24"/>
        </w:rPr>
        <w:t>5、履约保证金的退还：</w:t>
      </w:r>
      <w:r>
        <w:rPr>
          <w:rFonts w:hint="eastAsia" w:ascii="宋体" w:hAnsi="宋体"/>
          <w:sz w:val="24"/>
          <w:szCs w:val="24"/>
          <w:lang w:val="en-US" w:eastAsia="zh-CN"/>
        </w:rPr>
        <w:t>/</w:t>
      </w:r>
      <w:r>
        <w:rPr>
          <w:rFonts w:hint="eastAsia" w:ascii="宋体" w:hAnsi="宋体"/>
          <w:sz w:val="24"/>
          <w:szCs w:val="24"/>
        </w:rPr>
        <w:t>。</w:t>
      </w:r>
    </w:p>
    <w:p w14:paraId="340C6F41">
      <w:pPr>
        <w:spacing w:line="500" w:lineRule="exact"/>
        <w:rPr>
          <w:rFonts w:ascii="宋体" w:hAnsi="宋体"/>
          <w:b/>
          <w:bCs/>
          <w:sz w:val="24"/>
          <w:szCs w:val="24"/>
        </w:rPr>
      </w:pPr>
      <w:r>
        <w:rPr>
          <w:rFonts w:ascii="宋体" w:hAnsi="宋体"/>
          <w:b/>
          <w:bCs/>
          <w:sz w:val="24"/>
          <w:szCs w:val="24"/>
        </w:rPr>
        <w:t>4.3 分包</w:t>
      </w:r>
    </w:p>
    <w:p w14:paraId="00079C24">
      <w:pPr>
        <w:spacing w:line="500" w:lineRule="exact"/>
        <w:rPr>
          <w:rFonts w:ascii="宋体" w:hAnsi="宋体"/>
          <w:sz w:val="24"/>
          <w:szCs w:val="24"/>
        </w:rPr>
      </w:pPr>
      <w:r>
        <w:rPr>
          <w:rFonts w:ascii="宋体" w:hAnsi="宋体"/>
          <w:sz w:val="24"/>
          <w:szCs w:val="24"/>
        </w:rPr>
        <w:t>4.3.2  分包的内容</w:t>
      </w:r>
    </w:p>
    <w:p w14:paraId="64DBC051">
      <w:pPr>
        <w:spacing w:line="500" w:lineRule="exact"/>
        <w:rPr>
          <w:rFonts w:ascii="宋体" w:hAnsi="宋体"/>
          <w:sz w:val="24"/>
          <w:szCs w:val="24"/>
        </w:rPr>
      </w:pPr>
      <w:r>
        <w:rPr>
          <w:rFonts w:ascii="宋体" w:hAnsi="宋体"/>
          <w:sz w:val="24"/>
          <w:szCs w:val="24"/>
        </w:rPr>
        <w:t xml:space="preserve">    当事人约定某些非主体、非关键性工作分包给第三人：在满足相关法律、规范要求的前提下，除非得到招标人许可外不允许分包。</w:t>
      </w:r>
    </w:p>
    <w:p w14:paraId="7EA88B69">
      <w:pPr>
        <w:spacing w:line="500" w:lineRule="exact"/>
        <w:rPr>
          <w:rFonts w:ascii="宋体" w:hAnsi="宋体"/>
          <w:b/>
          <w:bCs/>
          <w:sz w:val="24"/>
          <w:szCs w:val="24"/>
        </w:rPr>
      </w:pPr>
      <w:r>
        <w:rPr>
          <w:rFonts w:ascii="宋体" w:hAnsi="宋体"/>
          <w:b/>
          <w:bCs/>
          <w:sz w:val="24"/>
          <w:szCs w:val="24"/>
        </w:rPr>
        <w:t>5.1  中标人提供的材料和工程设备</w:t>
      </w:r>
    </w:p>
    <w:p w14:paraId="57DF3165">
      <w:pPr>
        <w:spacing w:line="500" w:lineRule="exact"/>
        <w:rPr>
          <w:rFonts w:ascii="宋体" w:hAnsi="宋体"/>
          <w:sz w:val="24"/>
          <w:szCs w:val="24"/>
        </w:rPr>
      </w:pPr>
      <w:r>
        <w:rPr>
          <w:rFonts w:ascii="宋体" w:hAnsi="宋体"/>
          <w:sz w:val="24"/>
          <w:szCs w:val="24"/>
        </w:rPr>
        <w:t xml:space="preserve">    5.1.1  中标人负责采购、运输和保管的材料、工程设备：所有进场材料、设备质量应符合国家现行质量验收标准，符合设计要求，所有材料设备必须经监理单位、招标人确认后才能进场。对未按上述要求采购、进场的材料、设备，招标人将拒绝用于本工程，并要求中标人自行无偿清退出场。由此造成的损失，概由中标人承担。</w:t>
      </w:r>
    </w:p>
    <w:p w14:paraId="5F035FC1">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5.1.2  中标人报送监理人审批的时间：材料采购</w:t>
      </w:r>
      <w:r>
        <w:rPr>
          <w:rFonts w:hint="eastAsia" w:ascii="宋体" w:hAnsi="宋体"/>
          <w:sz w:val="24"/>
          <w:szCs w:val="24"/>
        </w:rPr>
        <w:t>7</w:t>
      </w:r>
      <w:r>
        <w:rPr>
          <w:rFonts w:ascii="宋体" w:hAnsi="宋体"/>
          <w:sz w:val="24"/>
          <w:szCs w:val="24"/>
        </w:rPr>
        <w:t xml:space="preserve">日前报送采购计划予招标人、监理单位。 </w:t>
      </w:r>
    </w:p>
    <w:p w14:paraId="53CC70C1">
      <w:pPr>
        <w:tabs>
          <w:tab w:val="left" w:pos="426"/>
        </w:tabs>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5.1.4本过程中中标人选用材料的品牌（厂家）的产品，应在采购前</w:t>
      </w:r>
      <w:r>
        <w:rPr>
          <w:rFonts w:hint="eastAsia" w:ascii="宋体" w:hAnsi="宋体"/>
          <w:sz w:val="24"/>
          <w:szCs w:val="24"/>
        </w:rPr>
        <w:t>7</w:t>
      </w:r>
      <w:r>
        <w:rPr>
          <w:rFonts w:ascii="宋体" w:hAnsi="宋体"/>
          <w:sz w:val="24"/>
          <w:szCs w:val="24"/>
        </w:rPr>
        <w:t>日内将所采购材料（设备）的厂家、技术参数、品牌、质量等级等指标通知招标人，招标人收到中标人的</w:t>
      </w:r>
      <w:r>
        <w:rPr>
          <w:rFonts w:hint="eastAsia" w:ascii="宋体" w:hAnsi="宋体"/>
          <w:sz w:val="24"/>
          <w:szCs w:val="24"/>
        </w:rPr>
        <w:t>通知</w:t>
      </w:r>
      <w:r>
        <w:rPr>
          <w:rFonts w:ascii="宋体" w:hAnsi="宋体"/>
          <w:sz w:val="24"/>
          <w:szCs w:val="24"/>
        </w:rPr>
        <w:t>后</w:t>
      </w:r>
      <w:r>
        <w:rPr>
          <w:rFonts w:hint="eastAsia" w:ascii="宋体" w:hAnsi="宋体"/>
          <w:sz w:val="24"/>
          <w:szCs w:val="24"/>
        </w:rPr>
        <w:t>3</w:t>
      </w:r>
      <w:r>
        <w:rPr>
          <w:rFonts w:ascii="宋体" w:hAnsi="宋体"/>
          <w:sz w:val="24"/>
          <w:szCs w:val="24"/>
        </w:rPr>
        <w:t>日内予以确认。</w:t>
      </w:r>
    </w:p>
    <w:p w14:paraId="674D4C91">
      <w:pPr>
        <w:tabs>
          <w:tab w:val="left" w:pos="426"/>
        </w:tabs>
        <w:spacing w:line="500" w:lineRule="exact"/>
        <w:rPr>
          <w:rFonts w:ascii="宋体" w:hAnsi="宋体"/>
          <w:sz w:val="24"/>
          <w:szCs w:val="24"/>
        </w:rPr>
      </w:pPr>
      <w:r>
        <w:rPr>
          <w:rFonts w:hint="eastAsia" w:ascii="宋体" w:hAnsi="宋体"/>
          <w:sz w:val="24"/>
          <w:szCs w:val="24"/>
        </w:rPr>
        <w:t xml:space="preserve">    承包人在本工程装修施工图范围内使用的所有设备、材料等须为符合设计要求、技术标准、本合同中相关规定、国家相关规定及规范要求，须具备质量合格书、安全产品认证书（如需）等合格证明。现场参建各方共同对材料进行认质，发包人有权拒绝承包人提供的不满足现场使用要求的材料。</w:t>
      </w:r>
    </w:p>
    <w:p w14:paraId="30B170CF">
      <w:pPr>
        <w:tabs>
          <w:tab w:val="left" w:pos="426"/>
        </w:tabs>
        <w:spacing w:line="500" w:lineRule="exact"/>
        <w:rPr>
          <w:rFonts w:ascii="宋体" w:hAnsi="宋体"/>
          <w:sz w:val="24"/>
          <w:szCs w:val="24"/>
        </w:rPr>
      </w:pPr>
      <w:r>
        <w:rPr>
          <w:rFonts w:hint="eastAsia" w:ascii="宋体" w:hAnsi="宋体"/>
          <w:sz w:val="24"/>
          <w:szCs w:val="24"/>
        </w:rPr>
        <w:t xml:space="preserve">   承包人须严格按照施工图设计和国家、行业有关规定进行设备、材料采购，并提供相应的资料文件，包括但不限于：</w:t>
      </w:r>
    </w:p>
    <w:p w14:paraId="19647E0B">
      <w:pPr>
        <w:tabs>
          <w:tab w:val="left" w:pos="426"/>
        </w:tabs>
        <w:spacing w:line="500" w:lineRule="exact"/>
        <w:rPr>
          <w:rFonts w:ascii="宋体" w:hAnsi="宋体"/>
          <w:sz w:val="24"/>
          <w:szCs w:val="24"/>
        </w:rPr>
      </w:pPr>
      <w:r>
        <w:rPr>
          <w:rFonts w:hint="eastAsia" w:ascii="宋体" w:hAnsi="宋体"/>
          <w:sz w:val="24"/>
          <w:szCs w:val="24"/>
        </w:rPr>
        <w:t xml:space="preserve">    （1）产品合格证明、型号证书、市场准入证明、生产许可证，产品质量承诺书、产品质保期售后服务承诺等。</w:t>
      </w:r>
    </w:p>
    <w:p w14:paraId="1694FF60">
      <w:pPr>
        <w:tabs>
          <w:tab w:val="left" w:pos="426"/>
        </w:tabs>
        <w:spacing w:line="500" w:lineRule="exact"/>
        <w:rPr>
          <w:rFonts w:ascii="宋体" w:hAnsi="宋体"/>
          <w:sz w:val="24"/>
          <w:szCs w:val="24"/>
        </w:rPr>
      </w:pPr>
      <w:r>
        <w:rPr>
          <w:rFonts w:hint="eastAsia" w:ascii="宋体" w:hAnsi="宋体"/>
          <w:sz w:val="24"/>
          <w:szCs w:val="24"/>
        </w:rPr>
        <w:t xml:space="preserve">    （2）产品（商标）标识、产品质量保证文件、产品使用说明书、防伪说明。</w:t>
      </w:r>
    </w:p>
    <w:p w14:paraId="391D6242">
      <w:pPr>
        <w:tabs>
          <w:tab w:val="left" w:pos="426"/>
        </w:tabs>
        <w:spacing w:line="500" w:lineRule="exact"/>
        <w:rPr>
          <w:rFonts w:ascii="宋体" w:hAnsi="宋体"/>
          <w:sz w:val="24"/>
          <w:szCs w:val="24"/>
        </w:rPr>
      </w:pPr>
      <w:r>
        <w:rPr>
          <w:rFonts w:hint="eastAsia" w:ascii="宋体" w:hAnsi="宋体"/>
          <w:sz w:val="24"/>
          <w:szCs w:val="24"/>
        </w:rPr>
        <w:t xml:space="preserve">    （3）具有相应资质的检测机构出具的有效期内的产品形式检验合格证明。</w:t>
      </w:r>
    </w:p>
    <w:p w14:paraId="5B6DB3A3">
      <w:pPr>
        <w:tabs>
          <w:tab w:val="left" w:pos="426"/>
        </w:tabs>
        <w:spacing w:line="500" w:lineRule="exact"/>
        <w:rPr>
          <w:rFonts w:ascii="宋体" w:hAnsi="宋体"/>
          <w:sz w:val="24"/>
          <w:szCs w:val="24"/>
        </w:rPr>
      </w:pPr>
      <w:r>
        <w:rPr>
          <w:rFonts w:hint="eastAsia" w:ascii="宋体" w:hAnsi="宋体"/>
          <w:sz w:val="24"/>
          <w:szCs w:val="24"/>
        </w:rPr>
        <w:t xml:space="preserve">    （4）相应的产品标准或产品企业标准；有国家强制标准的，应符合国家强制标准。</w:t>
      </w:r>
    </w:p>
    <w:p w14:paraId="739CB0DB">
      <w:pPr>
        <w:tabs>
          <w:tab w:val="left" w:pos="426"/>
        </w:tabs>
        <w:spacing w:line="500" w:lineRule="exact"/>
        <w:rPr>
          <w:rFonts w:ascii="宋体" w:hAnsi="宋体"/>
          <w:sz w:val="24"/>
          <w:szCs w:val="24"/>
        </w:rPr>
      </w:pPr>
      <w:r>
        <w:rPr>
          <w:rFonts w:hint="eastAsia" w:ascii="宋体" w:hAnsi="宋体"/>
          <w:sz w:val="24"/>
          <w:szCs w:val="24"/>
        </w:rPr>
        <w:t xml:space="preserve">     （5）属国家生产许可证或强制认证管理的产品，需提交有效期内生产许可证或强制认证证书。</w:t>
      </w:r>
    </w:p>
    <w:p w14:paraId="40B2F2D3">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招标范围内的材料，除特别约定外，投标人所报的材料均为结算价格（包括采购、运输、保管等费用）。</w:t>
      </w:r>
    </w:p>
    <w:p w14:paraId="622F37B2">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未计价材料价格由投标人根据市场行情自行报价，中标后不作调整。</w:t>
      </w:r>
    </w:p>
    <w:p w14:paraId="25A18E72">
      <w:pPr>
        <w:spacing w:line="500" w:lineRule="exact"/>
        <w:rPr>
          <w:rFonts w:ascii="宋体" w:hAnsi="宋体"/>
          <w:b/>
          <w:bCs/>
          <w:sz w:val="24"/>
          <w:szCs w:val="24"/>
        </w:rPr>
      </w:pPr>
      <w:r>
        <w:rPr>
          <w:rFonts w:ascii="宋体" w:hAnsi="宋体"/>
          <w:b/>
          <w:bCs/>
          <w:sz w:val="24"/>
          <w:szCs w:val="24"/>
        </w:rPr>
        <w:t>5.2  招标人提供的材料和工程设备</w:t>
      </w:r>
    </w:p>
    <w:p w14:paraId="4331F288">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5.2.1 材料的名称、规格、数量和价格：</w:t>
      </w:r>
      <w:r>
        <w:rPr>
          <w:rFonts w:hint="eastAsia" w:ascii="宋体" w:hAnsi="宋体"/>
          <w:sz w:val="24"/>
          <w:szCs w:val="24"/>
          <w:u w:val="single"/>
        </w:rPr>
        <w:t xml:space="preserve">   </w:t>
      </w:r>
      <w:r>
        <w:rPr>
          <w:rFonts w:ascii="宋体" w:hAnsi="宋体"/>
          <w:sz w:val="24"/>
          <w:szCs w:val="24"/>
          <w:u w:val="single"/>
        </w:rPr>
        <w:t xml:space="preserve">  </w:t>
      </w:r>
      <w:r>
        <w:rPr>
          <w:rFonts w:ascii="宋体" w:hAnsi="宋体"/>
          <w:sz w:val="24"/>
          <w:szCs w:val="24"/>
        </w:rPr>
        <w:t xml:space="preserve">           </w:t>
      </w:r>
    </w:p>
    <w:p w14:paraId="20186DB6">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材料的交货方式、地点和日期：</w:t>
      </w:r>
      <w:r>
        <w:rPr>
          <w:rFonts w:hint="eastAsia" w:ascii="宋体" w:hAnsi="宋体"/>
          <w:sz w:val="24"/>
          <w:szCs w:val="24"/>
          <w:u w:val="single"/>
        </w:rPr>
        <w:t xml:space="preserve">   </w:t>
      </w:r>
      <w:r>
        <w:rPr>
          <w:rFonts w:ascii="宋体" w:hAnsi="宋体"/>
          <w:sz w:val="24"/>
          <w:szCs w:val="24"/>
        </w:rPr>
        <w:t xml:space="preserve">                    </w:t>
      </w:r>
    </w:p>
    <w:p w14:paraId="387CA7F7">
      <w:pPr>
        <w:spacing w:line="500" w:lineRule="exact"/>
        <w:rPr>
          <w:rFonts w:ascii="宋体" w:hAnsi="宋体"/>
          <w:sz w:val="24"/>
          <w:szCs w:val="24"/>
        </w:rPr>
      </w:pPr>
      <w:r>
        <w:rPr>
          <w:rFonts w:ascii="宋体" w:hAnsi="宋体"/>
          <w:sz w:val="24"/>
          <w:szCs w:val="24"/>
        </w:rPr>
        <w:t xml:space="preserve">    工程设备的名称、规格、数量和价格：</w:t>
      </w:r>
      <w:r>
        <w:rPr>
          <w:rFonts w:hint="eastAsia" w:ascii="宋体" w:hAnsi="宋体"/>
          <w:sz w:val="24"/>
          <w:szCs w:val="24"/>
          <w:u w:val="single"/>
        </w:rPr>
        <w:t xml:space="preserve">   </w:t>
      </w:r>
      <w:r>
        <w:rPr>
          <w:rFonts w:ascii="宋体" w:hAnsi="宋体"/>
          <w:sz w:val="24"/>
          <w:szCs w:val="24"/>
        </w:rPr>
        <w:t xml:space="preserve">                     </w:t>
      </w:r>
    </w:p>
    <w:p w14:paraId="57CBB4DD">
      <w:pPr>
        <w:spacing w:line="500" w:lineRule="exact"/>
        <w:rPr>
          <w:rFonts w:ascii="宋体" w:hAnsi="宋体"/>
          <w:sz w:val="24"/>
          <w:szCs w:val="24"/>
        </w:rPr>
      </w:pPr>
      <w:r>
        <w:rPr>
          <w:rFonts w:ascii="宋体" w:hAnsi="宋体"/>
          <w:sz w:val="24"/>
          <w:szCs w:val="24"/>
        </w:rPr>
        <w:t xml:space="preserve">    工程设备的交货方式、地点和日期：</w:t>
      </w:r>
      <w:r>
        <w:rPr>
          <w:rFonts w:hint="eastAsia" w:ascii="宋体" w:hAnsi="宋体"/>
          <w:sz w:val="24"/>
          <w:szCs w:val="24"/>
          <w:u w:val="single"/>
        </w:rPr>
        <w:t xml:space="preserve">   </w:t>
      </w:r>
      <w:r>
        <w:rPr>
          <w:rFonts w:ascii="宋体" w:hAnsi="宋体"/>
          <w:sz w:val="24"/>
          <w:szCs w:val="24"/>
        </w:rPr>
        <w:t xml:space="preserve">                    </w:t>
      </w:r>
    </w:p>
    <w:p w14:paraId="441FE0CF">
      <w:pPr>
        <w:spacing w:line="500" w:lineRule="exact"/>
        <w:rPr>
          <w:rFonts w:ascii="宋体" w:hAnsi="宋体"/>
          <w:sz w:val="24"/>
          <w:szCs w:val="24"/>
        </w:rPr>
      </w:pPr>
      <w:r>
        <w:rPr>
          <w:rFonts w:ascii="宋体" w:hAnsi="宋体"/>
          <w:sz w:val="24"/>
          <w:szCs w:val="24"/>
        </w:rPr>
        <w:t xml:space="preserve">    5.2.3  材料和工程设备的接收、运输与保管：</w:t>
      </w:r>
      <w:r>
        <w:rPr>
          <w:rFonts w:hint="eastAsia" w:ascii="宋体" w:hAnsi="宋体"/>
          <w:sz w:val="24"/>
          <w:szCs w:val="24"/>
          <w:u w:val="single"/>
        </w:rPr>
        <w:t xml:space="preserve">   </w:t>
      </w:r>
      <w:r>
        <w:rPr>
          <w:rFonts w:ascii="宋体" w:hAnsi="宋体"/>
          <w:sz w:val="24"/>
          <w:szCs w:val="24"/>
        </w:rPr>
        <w:t xml:space="preserve">                 </w:t>
      </w:r>
    </w:p>
    <w:p w14:paraId="45C247F0">
      <w:pPr>
        <w:spacing w:line="500" w:lineRule="exact"/>
        <w:rPr>
          <w:rFonts w:ascii="宋体" w:hAnsi="宋体"/>
          <w:sz w:val="24"/>
          <w:szCs w:val="24"/>
        </w:rPr>
      </w:pPr>
      <w:bookmarkStart w:id="265" w:name="_Toc446108029"/>
      <w:bookmarkStart w:id="266" w:name="_Toc410381406"/>
      <w:bookmarkStart w:id="267" w:name="_Toc361653989"/>
      <w:bookmarkStart w:id="268" w:name="_Toc442514369"/>
      <w:r>
        <w:rPr>
          <w:rFonts w:ascii="宋体" w:hAnsi="宋体"/>
          <w:b/>
          <w:bCs/>
          <w:sz w:val="24"/>
          <w:szCs w:val="24"/>
        </w:rPr>
        <w:t>6.  施工设备和临时设施</w:t>
      </w:r>
      <w:bookmarkEnd w:id="265"/>
      <w:bookmarkEnd w:id="266"/>
      <w:bookmarkEnd w:id="267"/>
      <w:bookmarkEnd w:id="268"/>
    </w:p>
    <w:p w14:paraId="3F36C925">
      <w:pPr>
        <w:spacing w:line="500" w:lineRule="exact"/>
        <w:rPr>
          <w:rFonts w:ascii="宋体" w:hAnsi="宋体"/>
          <w:b/>
          <w:bCs/>
          <w:sz w:val="24"/>
          <w:szCs w:val="24"/>
        </w:rPr>
      </w:pPr>
      <w:r>
        <w:rPr>
          <w:rFonts w:ascii="宋体" w:hAnsi="宋体"/>
          <w:b/>
          <w:bCs/>
          <w:sz w:val="24"/>
          <w:szCs w:val="24"/>
        </w:rPr>
        <w:t>6.1  中标人提供的施工设备和临时设施</w:t>
      </w:r>
    </w:p>
    <w:p w14:paraId="07B86C15">
      <w:pPr>
        <w:spacing w:line="500" w:lineRule="exact"/>
        <w:rPr>
          <w:rFonts w:ascii="宋体" w:hAnsi="宋体"/>
          <w:sz w:val="24"/>
          <w:szCs w:val="24"/>
        </w:rPr>
      </w:pPr>
      <w:r>
        <w:rPr>
          <w:rFonts w:ascii="宋体" w:hAnsi="宋体"/>
          <w:sz w:val="24"/>
          <w:szCs w:val="24"/>
        </w:rPr>
        <w:t xml:space="preserve">    6.1.2  中标人承担修建临时设施费用的范围：</w:t>
      </w:r>
      <w:r>
        <w:rPr>
          <w:rFonts w:ascii="宋体" w:hAnsi="宋体"/>
          <w:sz w:val="24"/>
          <w:szCs w:val="24"/>
          <w:u w:val="single"/>
        </w:rPr>
        <w:t>办理各项申请由中标人自行负责，招标人协助。中标人承担修建临时设施的费用，该笔费用已含在合同价款中不作调整。</w:t>
      </w:r>
    </w:p>
    <w:p w14:paraId="10A14D0B">
      <w:pPr>
        <w:spacing w:line="500" w:lineRule="exact"/>
        <w:rPr>
          <w:rFonts w:ascii="宋体" w:hAnsi="宋体"/>
          <w:sz w:val="24"/>
          <w:szCs w:val="24"/>
        </w:rPr>
      </w:pPr>
      <w:r>
        <w:rPr>
          <w:rFonts w:ascii="宋体" w:hAnsi="宋体"/>
          <w:sz w:val="24"/>
          <w:szCs w:val="24"/>
        </w:rPr>
        <w:t xml:space="preserve">    临时占地的申请：</w:t>
      </w:r>
      <w:r>
        <w:rPr>
          <w:rFonts w:ascii="宋体" w:hAnsi="宋体"/>
          <w:sz w:val="24"/>
          <w:szCs w:val="24"/>
          <w:u w:val="single"/>
        </w:rPr>
        <w:t xml:space="preserve">中标人自行负责   </w:t>
      </w:r>
      <w:r>
        <w:rPr>
          <w:rFonts w:ascii="宋体" w:hAnsi="宋体"/>
          <w:sz w:val="24"/>
          <w:szCs w:val="24"/>
        </w:rPr>
        <w:t xml:space="preserve">                </w:t>
      </w:r>
    </w:p>
    <w:p w14:paraId="34A1C6B1">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临时占地相关费用：</w:t>
      </w:r>
      <w:r>
        <w:rPr>
          <w:rFonts w:ascii="宋体" w:hAnsi="宋体"/>
          <w:sz w:val="24"/>
          <w:szCs w:val="24"/>
          <w:u w:val="single"/>
        </w:rPr>
        <w:t>临时占地的费用已包含到中标人报价中，中标人自行负责。</w:t>
      </w:r>
    </w:p>
    <w:p w14:paraId="198668F1">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工程现场施工及生活用水、用电由招标人现场指定接入点，施工单位自行敷设并承担相关费用（投标人在报价时此费用纳入投标总报价）。中标后不作调整。</w:t>
      </w:r>
    </w:p>
    <w:p w14:paraId="674FFA42">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施工过程中涉及的临设、环境保护、施工占道、交通组织（含临时交通标志）、地下管网探测及保护（保护按招标人要求实施，地下管网保护的地点、范围由投标人踏勘）等各种手续由中标人办理并承担相应费用。投标人在投标报价时应将该部分纳入总报价，中标后包干使用，不作调整。</w:t>
      </w:r>
    </w:p>
    <w:p w14:paraId="62B4D767">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成品保护由中标人负责，其费用由投标人自行现场踏勘后分析考虑，包含在投标报价中,中标后不作调整。</w:t>
      </w:r>
    </w:p>
    <w:p w14:paraId="2EBFB90C">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投标人应根据现场条件、工期要求在报价时考虑是否自备柴油发电机、二次加压设备、消防水池等措施和施工用电用水的接入费用。</w:t>
      </w:r>
    </w:p>
    <w:p w14:paraId="5E3CA0FE">
      <w:pPr>
        <w:spacing w:line="500" w:lineRule="exact"/>
        <w:rPr>
          <w:rFonts w:ascii="宋体" w:hAnsi="宋体"/>
          <w:b/>
          <w:bCs/>
          <w:sz w:val="24"/>
          <w:szCs w:val="24"/>
        </w:rPr>
      </w:pPr>
      <w:r>
        <w:rPr>
          <w:rFonts w:ascii="宋体" w:hAnsi="宋体"/>
          <w:b/>
          <w:bCs/>
          <w:sz w:val="24"/>
          <w:szCs w:val="24"/>
        </w:rPr>
        <w:t>6.2  招标人提供的施工设备和临时设施</w:t>
      </w:r>
    </w:p>
    <w:p w14:paraId="1EB6E085">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无</w:t>
      </w:r>
    </w:p>
    <w:p w14:paraId="5DDD999C">
      <w:pPr>
        <w:spacing w:line="500" w:lineRule="exact"/>
        <w:rPr>
          <w:rFonts w:ascii="宋体" w:hAnsi="宋体"/>
          <w:b/>
          <w:bCs/>
          <w:sz w:val="24"/>
          <w:szCs w:val="24"/>
        </w:rPr>
      </w:pPr>
      <w:bookmarkStart w:id="269" w:name="_Toc361653990"/>
      <w:bookmarkStart w:id="270" w:name="_Toc410381407"/>
      <w:bookmarkStart w:id="271" w:name="_Toc446108030"/>
      <w:bookmarkStart w:id="272" w:name="_Toc442514370"/>
      <w:r>
        <w:rPr>
          <w:rFonts w:ascii="宋体" w:hAnsi="宋体"/>
          <w:b/>
          <w:bCs/>
          <w:sz w:val="24"/>
          <w:szCs w:val="24"/>
        </w:rPr>
        <w:t>7.  交通运输</w:t>
      </w:r>
      <w:bookmarkEnd w:id="269"/>
      <w:bookmarkEnd w:id="270"/>
      <w:bookmarkEnd w:id="271"/>
      <w:bookmarkEnd w:id="272"/>
    </w:p>
    <w:p w14:paraId="359E44AD">
      <w:pPr>
        <w:spacing w:line="500" w:lineRule="exact"/>
        <w:rPr>
          <w:rFonts w:ascii="宋体" w:hAnsi="宋体"/>
          <w:b/>
          <w:bCs/>
          <w:sz w:val="24"/>
          <w:szCs w:val="24"/>
        </w:rPr>
      </w:pPr>
      <w:r>
        <w:rPr>
          <w:rFonts w:hint="eastAsia" w:ascii="宋体" w:hAnsi="宋体"/>
          <w:b/>
          <w:bCs/>
          <w:sz w:val="24"/>
          <w:szCs w:val="24"/>
        </w:rPr>
        <w:t>7.1 出入现场的权利</w:t>
      </w:r>
    </w:p>
    <w:p w14:paraId="5170C458">
      <w:pPr>
        <w:spacing w:line="500" w:lineRule="exact"/>
        <w:ind w:firstLine="480" w:firstLineChars="200"/>
        <w:rPr>
          <w:rFonts w:ascii="宋体" w:hAnsi="宋体" w:cs="宋体"/>
          <w:sz w:val="24"/>
          <w:szCs w:val="24"/>
        </w:rPr>
      </w:pPr>
      <w:r>
        <w:rPr>
          <w:rFonts w:hint="eastAsia" w:ascii="宋体" w:hAnsi="宋体" w:cs="宋体"/>
          <w:sz w:val="24"/>
          <w:szCs w:val="24"/>
        </w:rPr>
        <w:t>关于出入现场的权利的约定：由承包人自行调查、自行办理出入施工现场所需的场内外相关批准手续并取得全部权利，发包人配合。因承包人未合理预见所增加的费用和延误的工期由承包人承担。</w:t>
      </w:r>
    </w:p>
    <w:p w14:paraId="05E05A93">
      <w:pPr>
        <w:spacing w:line="500" w:lineRule="exact"/>
        <w:rPr>
          <w:rFonts w:ascii="宋体" w:hAnsi="宋体"/>
          <w:b/>
          <w:bCs/>
          <w:sz w:val="24"/>
          <w:szCs w:val="24"/>
        </w:rPr>
      </w:pPr>
      <w:r>
        <w:rPr>
          <w:rFonts w:hint="eastAsia" w:ascii="宋体" w:hAnsi="宋体"/>
          <w:b/>
          <w:bCs/>
          <w:sz w:val="24"/>
          <w:szCs w:val="24"/>
        </w:rPr>
        <w:t>7.2场内交通</w:t>
      </w:r>
    </w:p>
    <w:p w14:paraId="28D20946">
      <w:pPr>
        <w:spacing w:line="500" w:lineRule="exact"/>
        <w:ind w:firstLine="480" w:firstLineChars="200"/>
        <w:rPr>
          <w:rFonts w:ascii="宋体" w:hAnsi="宋体" w:cs="宋体"/>
          <w:sz w:val="24"/>
          <w:szCs w:val="24"/>
        </w:rPr>
      </w:pPr>
      <w:r>
        <w:rPr>
          <w:rFonts w:hint="eastAsia" w:ascii="宋体" w:hAnsi="宋体" w:cs="宋体"/>
          <w:sz w:val="24"/>
          <w:szCs w:val="24"/>
        </w:rPr>
        <w:t>关于场外交通和场内交通的边界的约定：施工场地内、外的交通情况由承包人自行调查，并根据本合同工程的规模及技术参数合理预见工程施工所需的进出施工现场的方式、手段、路径等。承包人承担相关手续费用的建设费用，相关费用（含加固、维修、改造、修复、赔偿、交通干扰、弃渣等）已包含在合同总价中。</w:t>
      </w:r>
    </w:p>
    <w:p w14:paraId="0483E155">
      <w:pPr>
        <w:spacing w:line="500" w:lineRule="exact"/>
        <w:rPr>
          <w:rFonts w:ascii="宋体" w:hAnsi="宋体"/>
          <w:b/>
          <w:bCs/>
          <w:sz w:val="24"/>
          <w:szCs w:val="24"/>
        </w:rPr>
      </w:pPr>
      <w:r>
        <w:rPr>
          <w:rFonts w:ascii="宋体" w:hAnsi="宋体"/>
          <w:b/>
          <w:bCs/>
          <w:sz w:val="24"/>
          <w:szCs w:val="24"/>
        </w:rPr>
        <w:t>7.4  超大件和超重件的运输</w:t>
      </w:r>
    </w:p>
    <w:p w14:paraId="47F78F15">
      <w:pPr>
        <w:spacing w:line="500" w:lineRule="exact"/>
        <w:rPr>
          <w:rFonts w:ascii="宋体" w:hAnsi="宋体"/>
          <w:sz w:val="24"/>
          <w:szCs w:val="24"/>
        </w:rPr>
      </w:pPr>
      <w:r>
        <w:rPr>
          <w:rFonts w:ascii="宋体" w:hAnsi="宋体"/>
          <w:sz w:val="24"/>
          <w:szCs w:val="24"/>
        </w:rPr>
        <w:t xml:space="preserve">    道路和桥梁临时新建改造费用和其他有关费用的承担：</w:t>
      </w:r>
      <w:r>
        <w:rPr>
          <w:rFonts w:ascii="宋体" w:hAnsi="宋体"/>
          <w:sz w:val="24"/>
          <w:szCs w:val="24"/>
          <w:u w:val="single"/>
        </w:rPr>
        <w:t>无</w:t>
      </w:r>
      <w:r>
        <w:rPr>
          <w:rFonts w:ascii="宋体" w:hAnsi="宋体"/>
          <w:sz w:val="24"/>
          <w:szCs w:val="24"/>
        </w:rPr>
        <w:t xml:space="preserve">        </w:t>
      </w:r>
    </w:p>
    <w:p w14:paraId="4876F3DD">
      <w:pPr>
        <w:spacing w:line="500" w:lineRule="exact"/>
        <w:rPr>
          <w:rFonts w:ascii="宋体" w:hAnsi="宋体"/>
          <w:b/>
          <w:bCs/>
          <w:sz w:val="24"/>
          <w:szCs w:val="24"/>
        </w:rPr>
      </w:pPr>
      <w:bookmarkStart w:id="273" w:name="_Toc410381408"/>
      <w:bookmarkStart w:id="274" w:name="_Toc361653991"/>
      <w:bookmarkStart w:id="275" w:name="_Toc446108031"/>
      <w:bookmarkStart w:id="276" w:name="_Toc442514371"/>
      <w:r>
        <w:rPr>
          <w:rFonts w:ascii="宋体" w:hAnsi="宋体"/>
          <w:b/>
          <w:bCs/>
          <w:sz w:val="24"/>
          <w:szCs w:val="24"/>
        </w:rPr>
        <w:t>8.  测量放线</w:t>
      </w:r>
      <w:bookmarkEnd w:id="273"/>
      <w:bookmarkEnd w:id="274"/>
      <w:bookmarkEnd w:id="275"/>
      <w:bookmarkEnd w:id="276"/>
    </w:p>
    <w:p w14:paraId="501C2EAA">
      <w:pPr>
        <w:spacing w:line="500" w:lineRule="exact"/>
        <w:rPr>
          <w:rFonts w:ascii="宋体" w:hAnsi="宋体"/>
          <w:b/>
          <w:bCs/>
          <w:sz w:val="24"/>
          <w:szCs w:val="24"/>
        </w:rPr>
      </w:pPr>
      <w:r>
        <w:rPr>
          <w:rFonts w:ascii="宋体" w:hAnsi="宋体"/>
          <w:b/>
          <w:bCs/>
          <w:sz w:val="24"/>
          <w:szCs w:val="24"/>
        </w:rPr>
        <w:t>8.1  施工控制网</w:t>
      </w:r>
    </w:p>
    <w:p w14:paraId="2DFF0EA5">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8.1.1  招标人提供测量基准点、基准线和水准点的期限：</w:t>
      </w:r>
      <w:r>
        <w:rPr>
          <w:rFonts w:hint="eastAsia" w:ascii="宋体" w:hAnsi="宋体"/>
          <w:sz w:val="24"/>
          <w:szCs w:val="24"/>
          <w:u w:val="single"/>
          <w:lang w:val="en-US" w:eastAsia="zh-CN"/>
        </w:rPr>
        <w:t>/</w:t>
      </w:r>
      <w:r>
        <w:rPr>
          <w:rFonts w:ascii="宋体" w:hAnsi="宋体"/>
          <w:sz w:val="24"/>
          <w:szCs w:val="24"/>
          <w:u w:val="single"/>
        </w:rPr>
        <w:t>。</w:t>
      </w:r>
    </w:p>
    <w:p w14:paraId="4C1E400C">
      <w:pPr>
        <w:spacing w:line="500" w:lineRule="exact"/>
        <w:rPr>
          <w:rFonts w:ascii="宋体" w:hAnsi="宋体"/>
          <w:sz w:val="24"/>
          <w:szCs w:val="24"/>
        </w:rPr>
      </w:pPr>
      <w:r>
        <w:rPr>
          <w:rFonts w:ascii="宋体" w:hAnsi="宋体"/>
          <w:sz w:val="24"/>
          <w:szCs w:val="24"/>
        </w:rPr>
        <w:t xml:space="preserve">    施工控制网的测设：</w:t>
      </w:r>
      <w:r>
        <w:rPr>
          <w:rFonts w:hint="eastAsia" w:ascii="宋体" w:hAnsi="宋体"/>
          <w:sz w:val="24"/>
          <w:szCs w:val="24"/>
          <w:u w:val="single"/>
          <w:lang w:val="en-US" w:eastAsia="zh-CN"/>
        </w:rPr>
        <w:t>/</w:t>
      </w:r>
      <w:r>
        <w:rPr>
          <w:rFonts w:ascii="宋体" w:hAnsi="宋体"/>
          <w:sz w:val="24"/>
          <w:szCs w:val="24"/>
          <w:u w:val="single"/>
        </w:rPr>
        <w:t>。</w:t>
      </w:r>
      <w:r>
        <w:rPr>
          <w:rFonts w:ascii="宋体" w:hAnsi="宋体"/>
          <w:sz w:val="24"/>
          <w:szCs w:val="24"/>
        </w:rPr>
        <w:t xml:space="preserve">                      </w:t>
      </w:r>
    </w:p>
    <w:p w14:paraId="7D9100E4">
      <w:pPr>
        <w:spacing w:line="500" w:lineRule="exact"/>
        <w:rPr>
          <w:rFonts w:ascii="宋体" w:hAnsi="宋体"/>
          <w:sz w:val="24"/>
          <w:szCs w:val="24"/>
        </w:rPr>
      </w:pPr>
      <w:r>
        <w:rPr>
          <w:rFonts w:ascii="宋体" w:hAnsi="宋体"/>
          <w:sz w:val="24"/>
          <w:szCs w:val="24"/>
        </w:rPr>
        <w:t xml:space="preserve">    报监理人审批施工控制网资料的期限：</w:t>
      </w:r>
      <w:r>
        <w:rPr>
          <w:rFonts w:hint="eastAsia" w:ascii="宋体" w:hAnsi="宋体"/>
          <w:sz w:val="24"/>
          <w:szCs w:val="24"/>
          <w:u w:val="single"/>
          <w:lang w:val="en-US" w:eastAsia="zh-CN"/>
        </w:rPr>
        <w:t>/</w:t>
      </w:r>
      <w:r>
        <w:rPr>
          <w:rFonts w:ascii="宋体" w:hAnsi="宋体"/>
          <w:sz w:val="24"/>
          <w:szCs w:val="24"/>
          <w:u w:val="single"/>
        </w:rPr>
        <w:t>。</w:t>
      </w:r>
      <w:r>
        <w:rPr>
          <w:rFonts w:ascii="宋体" w:hAnsi="宋体"/>
          <w:sz w:val="24"/>
          <w:szCs w:val="24"/>
        </w:rPr>
        <w:t xml:space="preserve">    </w:t>
      </w:r>
    </w:p>
    <w:p w14:paraId="056059B6">
      <w:pPr>
        <w:spacing w:line="500" w:lineRule="exact"/>
        <w:rPr>
          <w:rFonts w:ascii="宋体" w:hAnsi="宋体"/>
          <w:b/>
          <w:bCs/>
          <w:sz w:val="24"/>
          <w:szCs w:val="24"/>
        </w:rPr>
      </w:pPr>
      <w:bookmarkStart w:id="277" w:name="_Toc410381409"/>
      <w:bookmarkStart w:id="278" w:name="_Toc446108032"/>
      <w:bookmarkStart w:id="279" w:name="_Toc442514372"/>
      <w:bookmarkStart w:id="280" w:name="_Toc361653992"/>
      <w:r>
        <w:rPr>
          <w:rFonts w:ascii="宋体" w:hAnsi="宋体"/>
          <w:b/>
          <w:bCs/>
          <w:sz w:val="24"/>
          <w:szCs w:val="24"/>
        </w:rPr>
        <w:t>9.  施工安全、治安保卫和环境保护</w:t>
      </w:r>
      <w:bookmarkEnd w:id="277"/>
      <w:bookmarkEnd w:id="278"/>
      <w:bookmarkEnd w:id="279"/>
      <w:bookmarkEnd w:id="280"/>
    </w:p>
    <w:p w14:paraId="2BE0ADCB">
      <w:pPr>
        <w:spacing w:line="500" w:lineRule="exact"/>
        <w:rPr>
          <w:rFonts w:ascii="宋体" w:hAnsi="宋体"/>
          <w:b/>
          <w:bCs/>
          <w:sz w:val="24"/>
          <w:szCs w:val="24"/>
        </w:rPr>
      </w:pPr>
      <w:r>
        <w:rPr>
          <w:rFonts w:ascii="宋体" w:hAnsi="宋体"/>
          <w:b/>
          <w:bCs/>
          <w:sz w:val="24"/>
          <w:szCs w:val="24"/>
        </w:rPr>
        <w:t>9.1  招标人的施工安全责任</w:t>
      </w:r>
    </w:p>
    <w:p w14:paraId="04AA7E88">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9.1.4  招标人应按照《重庆市建设工程安全生产监督管理办法》（渝建发〔2008〕177号）、《重庆市房屋建筑和市政基础设施工程现场文明施工标准》（渝建发〔2008〕169号）等相关规定履行好招标人的施工安全责任。</w:t>
      </w:r>
    </w:p>
    <w:p w14:paraId="454E69EF">
      <w:pPr>
        <w:spacing w:line="500" w:lineRule="exact"/>
        <w:rPr>
          <w:rFonts w:ascii="宋体" w:hAnsi="宋体"/>
          <w:b/>
          <w:bCs/>
          <w:sz w:val="24"/>
          <w:szCs w:val="24"/>
        </w:rPr>
      </w:pPr>
      <w:r>
        <w:rPr>
          <w:rFonts w:ascii="宋体" w:hAnsi="宋体"/>
          <w:b/>
          <w:bCs/>
          <w:sz w:val="24"/>
          <w:szCs w:val="24"/>
        </w:rPr>
        <w:t>9.2  中标人的施工安全责任</w:t>
      </w:r>
    </w:p>
    <w:p w14:paraId="2549348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9.2.8  中标人应按照《重庆市建设工程安全生产监督管理办法》（渝建发〔2008〕177号）等相关规定履行好中标人的施工安全责任。为确保施工期间安全，合同签订三日内中标人到现场与招标人共同商定施工时序，中标人按此时序调整施工组织方案和施工计划。</w:t>
      </w:r>
    </w:p>
    <w:p w14:paraId="3AAF1872">
      <w:pPr>
        <w:spacing w:line="500" w:lineRule="exact"/>
        <w:rPr>
          <w:rFonts w:ascii="宋体" w:hAnsi="宋体"/>
          <w:b/>
          <w:bCs/>
          <w:sz w:val="24"/>
          <w:szCs w:val="24"/>
        </w:rPr>
      </w:pPr>
      <w:r>
        <w:rPr>
          <w:rFonts w:ascii="宋体" w:hAnsi="宋体"/>
          <w:b/>
          <w:bCs/>
          <w:sz w:val="24"/>
          <w:szCs w:val="24"/>
        </w:rPr>
        <w:t>9.3  治安保卫</w:t>
      </w:r>
    </w:p>
    <w:p w14:paraId="0A1E03D8">
      <w:pPr>
        <w:spacing w:line="500" w:lineRule="exact"/>
        <w:rPr>
          <w:rFonts w:ascii="宋体" w:hAnsi="宋体"/>
          <w:sz w:val="24"/>
          <w:szCs w:val="24"/>
        </w:rPr>
      </w:pPr>
      <w:r>
        <w:rPr>
          <w:rFonts w:ascii="宋体" w:hAnsi="宋体"/>
          <w:sz w:val="24"/>
          <w:szCs w:val="24"/>
        </w:rPr>
        <w:t xml:space="preserve">    9.3.1  现场治安管理机构或联防组织的组建：由中标人自行准备。  </w:t>
      </w:r>
    </w:p>
    <w:p w14:paraId="21053894">
      <w:pPr>
        <w:spacing w:line="500" w:lineRule="exact"/>
        <w:rPr>
          <w:rFonts w:ascii="宋体" w:hAnsi="宋体"/>
          <w:sz w:val="24"/>
          <w:szCs w:val="24"/>
        </w:rPr>
      </w:pPr>
      <w:r>
        <w:rPr>
          <w:rFonts w:ascii="宋体" w:hAnsi="宋体"/>
          <w:sz w:val="24"/>
          <w:szCs w:val="24"/>
        </w:rPr>
        <w:t xml:space="preserve">    9.3.3  施工场地治安管理计划和突发治安事件紧急预案的编制：由中标人自行解决。</w:t>
      </w:r>
    </w:p>
    <w:p w14:paraId="71420225">
      <w:pPr>
        <w:spacing w:line="500" w:lineRule="exact"/>
        <w:rPr>
          <w:rFonts w:ascii="宋体" w:hAnsi="宋体"/>
          <w:b/>
          <w:bCs/>
          <w:sz w:val="24"/>
          <w:szCs w:val="24"/>
        </w:rPr>
      </w:pPr>
      <w:r>
        <w:rPr>
          <w:rFonts w:ascii="宋体" w:hAnsi="宋体"/>
          <w:b/>
          <w:bCs/>
          <w:sz w:val="24"/>
          <w:szCs w:val="24"/>
        </w:rPr>
        <w:t>9.4  环境保护</w:t>
      </w:r>
    </w:p>
    <w:p w14:paraId="3DB6AED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9.4.7 中标人应按照《房屋建筑和市政基础设施工程施工扬尘控制工作方案》（渝建发〔2009〕13号）、《重庆市房屋建筑和市政基础设施工程现场文明施工标准》（渝建发〔2008〕169号）等相关规定履行好施工扬尘控制、文明施工等责任。</w:t>
      </w:r>
    </w:p>
    <w:p w14:paraId="4BAF59E8">
      <w:pPr>
        <w:spacing w:line="500" w:lineRule="exact"/>
        <w:rPr>
          <w:rFonts w:ascii="宋体" w:hAnsi="宋体"/>
          <w:b/>
          <w:bCs/>
          <w:sz w:val="24"/>
          <w:szCs w:val="24"/>
        </w:rPr>
      </w:pPr>
      <w:bookmarkStart w:id="281" w:name="_Toc442514373"/>
      <w:bookmarkStart w:id="282" w:name="_Toc446108033"/>
      <w:bookmarkStart w:id="283" w:name="_Toc361653993"/>
      <w:bookmarkStart w:id="284" w:name="_Toc410381410"/>
      <w:r>
        <w:rPr>
          <w:rFonts w:ascii="宋体" w:hAnsi="宋体"/>
          <w:b/>
          <w:bCs/>
          <w:sz w:val="24"/>
          <w:szCs w:val="24"/>
        </w:rPr>
        <w:t>10.  进度计划</w:t>
      </w:r>
      <w:bookmarkEnd w:id="281"/>
      <w:bookmarkEnd w:id="282"/>
      <w:bookmarkEnd w:id="283"/>
      <w:bookmarkEnd w:id="284"/>
      <w:r>
        <w:rPr>
          <w:rFonts w:ascii="宋体" w:hAnsi="宋体"/>
          <w:b/>
          <w:bCs/>
          <w:sz w:val="24"/>
          <w:szCs w:val="24"/>
        </w:rPr>
        <w:t xml:space="preserve"> </w:t>
      </w:r>
    </w:p>
    <w:p w14:paraId="1C9D3DE2">
      <w:pPr>
        <w:spacing w:line="500" w:lineRule="exact"/>
        <w:rPr>
          <w:rFonts w:ascii="宋体" w:hAnsi="宋体"/>
          <w:b/>
          <w:bCs/>
          <w:sz w:val="24"/>
          <w:szCs w:val="24"/>
        </w:rPr>
      </w:pPr>
      <w:r>
        <w:rPr>
          <w:rFonts w:ascii="宋体" w:hAnsi="宋体"/>
          <w:b/>
          <w:bCs/>
          <w:sz w:val="24"/>
          <w:szCs w:val="24"/>
        </w:rPr>
        <w:t>10.1  合同进度计划</w:t>
      </w:r>
    </w:p>
    <w:p w14:paraId="1AE1F52E">
      <w:pPr>
        <w:spacing w:line="500" w:lineRule="exact"/>
        <w:ind w:firstLine="480" w:firstLineChars="200"/>
        <w:rPr>
          <w:rFonts w:ascii="宋体" w:hAnsi="宋体"/>
          <w:sz w:val="24"/>
          <w:szCs w:val="24"/>
        </w:rPr>
      </w:pPr>
      <w:r>
        <w:rPr>
          <w:rFonts w:ascii="宋体" w:hAnsi="宋体"/>
          <w:sz w:val="24"/>
          <w:szCs w:val="24"/>
        </w:rPr>
        <w:t xml:space="preserve">中标人编制施工方案的内容：同招标范围       </w:t>
      </w:r>
    </w:p>
    <w:p w14:paraId="7134C12C">
      <w:pPr>
        <w:spacing w:line="500" w:lineRule="exact"/>
        <w:ind w:firstLine="480" w:firstLineChars="200"/>
        <w:rPr>
          <w:rFonts w:ascii="宋体" w:hAnsi="宋体"/>
          <w:sz w:val="24"/>
          <w:szCs w:val="24"/>
        </w:rPr>
      </w:pPr>
      <w:r>
        <w:rPr>
          <w:rFonts w:ascii="宋体" w:hAnsi="宋体"/>
          <w:sz w:val="24"/>
          <w:szCs w:val="24"/>
        </w:rPr>
        <w:t>中标人报送施工进度计划和施工方案的期限：</w:t>
      </w:r>
      <w:r>
        <w:rPr>
          <w:rFonts w:ascii="宋体" w:hAnsi="宋体"/>
          <w:sz w:val="24"/>
          <w:szCs w:val="24"/>
          <w:u w:val="single"/>
        </w:rPr>
        <w:t xml:space="preserve">同招投标文件，合同签订后10天内。  </w:t>
      </w:r>
    </w:p>
    <w:p w14:paraId="0DC99422">
      <w:pPr>
        <w:spacing w:line="500" w:lineRule="exact"/>
        <w:ind w:firstLine="480" w:firstLineChars="200"/>
        <w:rPr>
          <w:rFonts w:ascii="宋体" w:hAnsi="宋体"/>
          <w:sz w:val="24"/>
          <w:szCs w:val="24"/>
          <w:u w:val="single"/>
        </w:rPr>
      </w:pPr>
      <w:r>
        <w:rPr>
          <w:rFonts w:ascii="宋体" w:hAnsi="宋体"/>
          <w:sz w:val="24"/>
          <w:szCs w:val="24"/>
        </w:rPr>
        <w:t>监理人批复施工进度计划和施工方案的期限：</w:t>
      </w:r>
      <w:r>
        <w:rPr>
          <w:rFonts w:ascii="宋体" w:hAnsi="宋体"/>
          <w:sz w:val="24"/>
          <w:szCs w:val="24"/>
          <w:u w:val="single"/>
        </w:rPr>
        <w:t xml:space="preserve"> 监理人应在收到有关文件7天内批复或提出修改意见。</w:t>
      </w:r>
    </w:p>
    <w:p w14:paraId="6C21E4DC">
      <w:pPr>
        <w:spacing w:line="500" w:lineRule="exact"/>
        <w:rPr>
          <w:rFonts w:ascii="宋体" w:hAnsi="宋体"/>
          <w:b/>
          <w:bCs/>
          <w:sz w:val="24"/>
          <w:szCs w:val="24"/>
        </w:rPr>
      </w:pPr>
      <w:bookmarkStart w:id="285" w:name="_Toc442514374"/>
      <w:bookmarkStart w:id="286" w:name="_Toc361653994"/>
      <w:bookmarkStart w:id="287" w:name="_Toc410381411"/>
      <w:bookmarkStart w:id="288" w:name="_Toc446108034"/>
      <w:r>
        <w:rPr>
          <w:rFonts w:ascii="宋体" w:hAnsi="宋体"/>
          <w:b/>
          <w:bCs/>
          <w:sz w:val="24"/>
          <w:szCs w:val="24"/>
        </w:rPr>
        <w:t>11.  开工和竣工</w:t>
      </w:r>
      <w:bookmarkEnd w:id="285"/>
      <w:bookmarkEnd w:id="286"/>
      <w:bookmarkEnd w:id="287"/>
      <w:bookmarkEnd w:id="288"/>
    </w:p>
    <w:p w14:paraId="40CFAFD2">
      <w:pPr>
        <w:spacing w:line="500" w:lineRule="exact"/>
        <w:rPr>
          <w:rFonts w:ascii="宋体" w:hAnsi="宋体"/>
          <w:b/>
          <w:bCs/>
          <w:sz w:val="24"/>
          <w:szCs w:val="24"/>
        </w:rPr>
      </w:pPr>
      <w:r>
        <w:rPr>
          <w:rFonts w:ascii="宋体" w:hAnsi="宋体"/>
          <w:b/>
          <w:bCs/>
          <w:sz w:val="24"/>
          <w:szCs w:val="24"/>
        </w:rPr>
        <w:t>11.4  异常恶劣的气候条件</w:t>
      </w:r>
    </w:p>
    <w:p w14:paraId="237AFCCA">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 xml:space="preserve">异常恶劣的气候条件的范围：  </w:t>
      </w:r>
      <w:r>
        <w:rPr>
          <w:rFonts w:ascii="宋体" w:hAnsi="宋体"/>
          <w:sz w:val="24"/>
          <w:szCs w:val="24"/>
          <w:u w:val="single"/>
        </w:rPr>
        <w:t>按重庆市气象部门公布的50年一遇的最大降水(雪)量等资料确认。</w:t>
      </w:r>
    </w:p>
    <w:p w14:paraId="2525CCC6">
      <w:pPr>
        <w:spacing w:line="500" w:lineRule="exact"/>
        <w:rPr>
          <w:rFonts w:ascii="宋体" w:hAnsi="宋体"/>
          <w:b/>
          <w:bCs/>
          <w:sz w:val="24"/>
          <w:szCs w:val="24"/>
        </w:rPr>
      </w:pPr>
      <w:r>
        <w:rPr>
          <w:rFonts w:ascii="宋体" w:hAnsi="宋体"/>
          <w:b/>
          <w:bCs/>
          <w:sz w:val="24"/>
          <w:szCs w:val="24"/>
        </w:rPr>
        <w:t>11.5中标人的工期延误</w:t>
      </w:r>
    </w:p>
    <w:p w14:paraId="4E22AE1A">
      <w:pPr>
        <w:adjustRightInd w:val="0"/>
        <w:snapToGrid w:val="0"/>
        <w:spacing w:line="360" w:lineRule="auto"/>
        <w:rPr>
          <w:rFonts w:ascii="宋体" w:hAnsi="宋体"/>
          <w:sz w:val="24"/>
          <w:szCs w:val="24"/>
        </w:rPr>
      </w:pPr>
      <w:r>
        <w:rPr>
          <w:rFonts w:hint="eastAsia" w:ascii="宋体" w:hAnsi="宋体"/>
          <w:sz w:val="24"/>
          <w:szCs w:val="24"/>
        </w:rPr>
        <w:t xml:space="preserve">     逾期竣工违约金的计算方法： </w:t>
      </w:r>
      <w:r>
        <w:rPr>
          <w:rFonts w:hint="eastAsia" w:ascii="宋体" w:hAnsi="宋体"/>
          <w:sz w:val="24"/>
          <w:szCs w:val="24"/>
          <w:u w:val="single"/>
        </w:rPr>
        <w:t xml:space="preserve"> 逾期天数 ×5000元/天  </w:t>
      </w:r>
      <w:r>
        <w:rPr>
          <w:rFonts w:hint="eastAsia" w:ascii="宋体" w:hAnsi="宋体"/>
          <w:sz w:val="24"/>
          <w:szCs w:val="24"/>
        </w:rPr>
        <w:t xml:space="preserve">                         </w:t>
      </w:r>
    </w:p>
    <w:p w14:paraId="08C99A79">
      <w:pPr>
        <w:adjustRightInd w:val="0"/>
        <w:snapToGrid w:val="0"/>
        <w:spacing w:line="360" w:lineRule="auto"/>
        <w:rPr>
          <w:rFonts w:ascii="宋体" w:hAnsi="宋体"/>
          <w:sz w:val="24"/>
          <w:szCs w:val="24"/>
        </w:rPr>
      </w:pPr>
      <w:r>
        <w:rPr>
          <w:rFonts w:hint="eastAsia" w:ascii="宋体" w:hAnsi="宋体"/>
          <w:sz w:val="24"/>
          <w:szCs w:val="24"/>
        </w:rPr>
        <w:t xml:space="preserve">     逾期竣工违约金的限额：</w:t>
      </w:r>
      <w:r>
        <w:rPr>
          <w:rFonts w:hint="eastAsia" w:ascii="宋体" w:hAnsi="宋体"/>
          <w:sz w:val="24"/>
          <w:szCs w:val="24"/>
          <w:u w:val="single"/>
        </w:rPr>
        <w:t xml:space="preserve">   合同总价10%  </w:t>
      </w:r>
      <w:r>
        <w:rPr>
          <w:rFonts w:hint="eastAsia" w:ascii="宋体" w:hAnsi="宋体"/>
          <w:sz w:val="24"/>
          <w:szCs w:val="24"/>
        </w:rPr>
        <w:t xml:space="preserve">                        </w:t>
      </w:r>
    </w:p>
    <w:p w14:paraId="2B53C16D">
      <w:pPr>
        <w:spacing w:line="500" w:lineRule="exact"/>
        <w:rPr>
          <w:rFonts w:ascii="宋体" w:hAnsi="宋体"/>
          <w:b/>
          <w:bCs/>
          <w:sz w:val="24"/>
          <w:szCs w:val="24"/>
        </w:rPr>
      </w:pPr>
      <w:r>
        <w:rPr>
          <w:rFonts w:ascii="宋体" w:hAnsi="宋体"/>
          <w:b/>
          <w:bCs/>
          <w:sz w:val="24"/>
          <w:szCs w:val="24"/>
        </w:rPr>
        <w:t>11.6  中标人的工期提前</w:t>
      </w:r>
    </w:p>
    <w:p w14:paraId="065A7805">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提前竣工的奖励办法：</w:t>
      </w:r>
      <w:r>
        <w:rPr>
          <w:rFonts w:hint="eastAsia" w:ascii="宋体" w:hAnsi="宋体"/>
          <w:sz w:val="24"/>
          <w:szCs w:val="24"/>
          <w:u w:val="single"/>
        </w:rPr>
        <w:t xml:space="preserve"> </w:t>
      </w:r>
      <w:r>
        <w:rPr>
          <w:rFonts w:ascii="宋体" w:hAnsi="宋体"/>
          <w:sz w:val="24"/>
          <w:szCs w:val="24"/>
          <w:u w:val="single"/>
        </w:rPr>
        <w:t xml:space="preserve">/ </w:t>
      </w:r>
    </w:p>
    <w:p w14:paraId="2BF0A6DE">
      <w:pPr>
        <w:spacing w:line="500" w:lineRule="exact"/>
        <w:rPr>
          <w:rFonts w:ascii="宋体" w:hAnsi="宋体"/>
          <w:b/>
          <w:bCs/>
          <w:sz w:val="24"/>
          <w:szCs w:val="24"/>
        </w:rPr>
      </w:pPr>
      <w:bookmarkStart w:id="289" w:name="_Toc442514375"/>
      <w:bookmarkStart w:id="290" w:name="_Toc410381412"/>
      <w:bookmarkStart w:id="291" w:name="_Toc361653995"/>
      <w:bookmarkStart w:id="292" w:name="_Toc446108035"/>
      <w:r>
        <w:rPr>
          <w:rFonts w:ascii="宋体" w:hAnsi="宋体"/>
          <w:b/>
          <w:bCs/>
          <w:sz w:val="24"/>
          <w:szCs w:val="24"/>
        </w:rPr>
        <w:t>12.  暂停施工</w:t>
      </w:r>
      <w:bookmarkEnd w:id="289"/>
      <w:bookmarkEnd w:id="290"/>
      <w:bookmarkEnd w:id="291"/>
      <w:bookmarkEnd w:id="292"/>
      <w:r>
        <w:rPr>
          <w:rFonts w:ascii="宋体" w:hAnsi="宋体"/>
          <w:b/>
          <w:bCs/>
          <w:sz w:val="24"/>
          <w:szCs w:val="24"/>
        </w:rPr>
        <w:tab/>
      </w:r>
    </w:p>
    <w:p w14:paraId="3BEEE0E1">
      <w:pPr>
        <w:spacing w:line="500" w:lineRule="exact"/>
        <w:rPr>
          <w:rFonts w:ascii="宋体" w:hAnsi="宋体"/>
          <w:sz w:val="24"/>
          <w:szCs w:val="24"/>
        </w:rPr>
      </w:pPr>
      <w:r>
        <w:rPr>
          <w:rFonts w:ascii="宋体" w:hAnsi="宋体"/>
          <w:b/>
          <w:bCs/>
          <w:sz w:val="24"/>
          <w:szCs w:val="24"/>
        </w:rPr>
        <w:t>12.1  中标人暂停施工的责任</w:t>
      </w:r>
    </w:p>
    <w:p w14:paraId="119A6469">
      <w:pPr>
        <w:spacing w:line="500" w:lineRule="exact"/>
        <w:rPr>
          <w:rFonts w:ascii="宋体" w:hAnsi="宋体"/>
          <w:sz w:val="24"/>
          <w:szCs w:val="24"/>
        </w:rPr>
      </w:pPr>
      <w:r>
        <w:rPr>
          <w:rFonts w:ascii="宋体" w:hAnsi="宋体"/>
          <w:sz w:val="24"/>
          <w:szCs w:val="24"/>
        </w:rPr>
        <w:t xml:space="preserve">    中标人承担暂停施工责任的其他情形：</w:t>
      </w:r>
      <w:r>
        <w:rPr>
          <w:rFonts w:hint="eastAsia" w:ascii="宋体" w:hAnsi="宋体"/>
          <w:sz w:val="24"/>
          <w:szCs w:val="24"/>
          <w:u w:val="single"/>
        </w:rPr>
        <w:t xml:space="preserve">              </w:t>
      </w:r>
      <w:r>
        <w:rPr>
          <w:rFonts w:ascii="宋体" w:hAnsi="宋体"/>
          <w:sz w:val="24"/>
          <w:szCs w:val="24"/>
          <w:u w:val="single"/>
        </w:rPr>
        <w:t>。</w:t>
      </w:r>
    </w:p>
    <w:p w14:paraId="79B7FD1F">
      <w:pPr>
        <w:spacing w:line="500" w:lineRule="exact"/>
        <w:rPr>
          <w:rFonts w:ascii="宋体" w:hAnsi="宋体"/>
          <w:b/>
          <w:bCs/>
          <w:sz w:val="24"/>
          <w:szCs w:val="24"/>
        </w:rPr>
      </w:pPr>
      <w:bookmarkStart w:id="293" w:name="_Toc446108036"/>
      <w:bookmarkStart w:id="294" w:name="_Toc442514376"/>
      <w:bookmarkStart w:id="295" w:name="_Toc361653996"/>
      <w:bookmarkStart w:id="296" w:name="_Toc410381413"/>
      <w:r>
        <w:rPr>
          <w:rFonts w:ascii="宋体" w:hAnsi="宋体"/>
          <w:b/>
          <w:bCs/>
          <w:sz w:val="24"/>
          <w:szCs w:val="24"/>
        </w:rPr>
        <w:t>13.  工程质量</w:t>
      </w:r>
      <w:bookmarkEnd w:id="293"/>
      <w:bookmarkEnd w:id="294"/>
      <w:bookmarkEnd w:id="295"/>
      <w:bookmarkEnd w:id="296"/>
    </w:p>
    <w:p w14:paraId="1D04D2D7">
      <w:pPr>
        <w:spacing w:line="500" w:lineRule="exact"/>
        <w:rPr>
          <w:rFonts w:ascii="宋体" w:hAnsi="宋体"/>
          <w:b/>
          <w:bCs/>
          <w:sz w:val="24"/>
          <w:szCs w:val="24"/>
        </w:rPr>
      </w:pPr>
      <w:r>
        <w:rPr>
          <w:rFonts w:ascii="宋体" w:hAnsi="宋体"/>
          <w:b/>
          <w:bCs/>
          <w:sz w:val="24"/>
          <w:szCs w:val="24"/>
        </w:rPr>
        <w:t>13.1  工程质量要求</w:t>
      </w:r>
    </w:p>
    <w:p w14:paraId="2D620AE8">
      <w:pPr>
        <w:spacing w:line="500" w:lineRule="exact"/>
        <w:ind w:firstLine="480" w:firstLineChars="200"/>
        <w:rPr>
          <w:rFonts w:ascii="宋体" w:hAnsi="宋体"/>
          <w:sz w:val="24"/>
          <w:szCs w:val="24"/>
        </w:rPr>
      </w:pPr>
      <w:r>
        <w:rPr>
          <w:rFonts w:ascii="宋体" w:hAnsi="宋体"/>
          <w:sz w:val="24"/>
          <w:szCs w:val="24"/>
        </w:rPr>
        <w:t>增加下列项： 13.1.4  招标人、监理和中标人在工程建设中，按照有关规范和上级有关要求进行验收，并执行以下规定：</w:t>
      </w:r>
    </w:p>
    <w:p w14:paraId="4F61063D">
      <w:pPr>
        <w:spacing w:line="500" w:lineRule="exact"/>
        <w:ind w:firstLine="480" w:firstLineChars="200"/>
        <w:rPr>
          <w:rFonts w:ascii="宋体" w:hAnsi="宋体"/>
          <w:sz w:val="24"/>
          <w:szCs w:val="24"/>
        </w:rPr>
      </w:pPr>
      <w:r>
        <w:rPr>
          <w:rFonts w:ascii="宋体" w:hAnsi="宋体"/>
          <w:sz w:val="24"/>
          <w:szCs w:val="24"/>
        </w:rPr>
        <w:t>经过审查的设计图纸、设计变更、图纸会审纪要和相关设计图集；</w:t>
      </w:r>
    </w:p>
    <w:p w14:paraId="54E8C43B">
      <w:pPr>
        <w:spacing w:line="500" w:lineRule="exact"/>
        <w:ind w:firstLine="480" w:firstLineChars="200"/>
        <w:rPr>
          <w:rFonts w:ascii="宋体" w:hAnsi="宋体"/>
          <w:sz w:val="24"/>
          <w:szCs w:val="24"/>
        </w:rPr>
      </w:pPr>
      <w:r>
        <w:rPr>
          <w:rFonts w:ascii="宋体" w:hAnsi="宋体"/>
          <w:sz w:val="24"/>
          <w:szCs w:val="24"/>
        </w:rPr>
        <w:t>《建筑工程施工质量验收统一标准》GB50300-2013；</w:t>
      </w:r>
    </w:p>
    <w:p w14:paraId="67582844">
      <w:pPr>
        <w:spacing w:line="500" w:lineRule="exact"/>
        <w:ind w:firstLine="480" w:firstLineChars="200"/>
        <w:rPr>
          <w:rFonts w:ascii="宋体" w:hAnsi="宋体"/>
          <w:sz w:val="24"/>
          <w:szCs w:val="24"/>
        </w:rPr>
      </w:pPr>
      <w:r>
        <w:rPr>
          <w:rFonts w:ascii="宋体" w:hAnsi="宋体"/>
          <w:sz w:val="24"/>
          <w:szCs w:val="24"/>
        </w:rPr>
        <w:t>《建筑地基基础工程施工质量验收规范》GB50202-2002；</w:t>
      </w:r>
    </w:p>
    <w:p w14:paraId="256D6B4A">
      <w:pPr>
        <w:spacing w:line="500" w:lineRule="exact"/>
        <w:ind w:firstLine="480" w:firstLineChars="200"/>
        <w:rPr>
          <w:rFonts w:ascii="宋体" w:hAnsi="宋体"/>
          <w:sz w:val="24"/>
          <w:szCs w:val="24"/>
        </w:rPr>
      </w:pPr>
      <w:r>
        <w:rPr>
          <w:rFonts w:ascii="宋体" w:hAnsi="宋体"/>
          <w:sz w:val="24"/>
          <w:szCs w:val="24"/>
        </w:rPr>
        <w:t>《建筑给水排水及采暖工程施工质量验收规范》GB50242-2002；</w:t>
      </w:r>
    </w:p>
    <w:p w14:paraId="317D786F">
      <w:pPr>
        <w:spacing w:line="500" w:lineRule="exact"/>
        <w:ind w:firstLine="480" w:firstLineChars="200"/>
        <w:rPr>
          <w:rFonts w:ascii="宋体" w:hAnsi="宋体"/>
          <w:sz w:val="24"/>
          <w:szCs w:val="24"/>
        </w:rPr>
      </w:pPr>
      <w:r>
        <w:rPr>
          <w:rFonts w:ascii="宋体" w:hAnsi="宋体"/>
          <w:sz w:val="24"/>
          <w:szCs w:val="24"/>
        </w:rPr>
        <w:t>其它国家及地方的相关施工规范及标准；</w:t>
      </w:r>
    </w:p>
    <w:p w14:paraId="302639B2">
      <w:pPr>
        <w:spacing w:line="500" w:lineRule="exact"/>
        <w:ind w:firstLine="480" w:firstLineChars="200"/>
        <w:rPr>
          <w:rFonts w:ascii="宋体" w:hAnsi="宋体"/>
          <w:sz w:val="24"/>
          <w:szCs w:val="24"/>
        </w:rPr>
      </w:pPr>
      <w:r>
        <w:rPr>
          <w:rFonts w:ascii="宋体" w:hAnsi="宋体"/>
          <w:sz w:val="24"/>
          <w:szCs w:val="24"/>
        </w:rPr>
        <w:t>《建设工程施工合同》、《工程建设监理合同》中有关质量控制的规定。</w:t>
      </w:r>
    </w:p>
    <w:p w14:paraId="082AEF75">
      <w:pPr>
        <w:spacing w:line="500" w:lineRule="exact"/>
        <w:ind w:firstLine="480" w:firstLineChars="200"/>
        <w:rPr>
          <w:rFonts w:ascii="宋体" w:hAnsi="宋体"/>
          <w:sz w:val="24"/>
          <w:szCs w:val="24"/>
        </w:rPr>
      </w:pPr>
      <w:r>
        <w:rPr>
          <w:rFonts w:ascii="宋体" w:hAnsi="宋体"/>
          <w:sz w:val="24"/>
          <w:szCs w:val="24"/>
        </w:rPr>
        <w:t>13.1.5  招标人、监理和中标人在工程建设中，应执行重庆市建筑工程相关地方标准。</w:t>
      </w:r>
    </w:p>
    <w:p w14:paraId="7F0FBB00">
      <w:pPr>
        <w:spacing w:line="500" w:lineRule="exact"/>
        <w:rPr>
          <w:rFonts w:ascii="宋体" w:hAnsi="宋体"/>
          <w:b/>
          <w:bCs/>
          <w:sz w:val="24"/>
          <w:szCs w:val="24"/>
        </w:rPr>
      </w:pPr>
      <w:r>
        <w:rPr>
          <w:rFonts w:ascii="宋体" w:hAnsi="宋体"/>
          <w:b/>
          <w:bCs/>
          <w:sz w:val="24"/>
          <w:szCs w:val="24"/>
        </w:rPr>
        <w:t>13.2  中标人的质量检查</w:t>
      </w:r>
    </w:p>
    <w:p w14:paraId="5D07BA4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中标人提交工程质量保证措施文件的期限：</w:t>
      </w:r>
      <w:r>
        <w:rPr>
          <w:rFonts w:ascii="宋体" w:hAnsi="宋体"/>
          <w:sz w:val="24"/>
          <w:szCs w:val="24"/>
          <w:u w:val="single"/>
        </w:rPr>
        <w:t>合同签订后10天内。</w:t>
      </w:r>
      <w:r>
        <w:rPr>
          <w:rFonts w:ascii="宋体" w:hAnsi="宋体"/>
          <w:sz w:val="24"/>
          <w:szCs w:val="24"/>
        </w:rPr>
        <w:t xml:space="preserve">  </w:t>
      </w:r>
    </w:p>
    <w:p w14:paraId="6B782415">
      <w:pPr>
        <w:tabs>
          <w:tab w:val="left" w:pos="3000"/>
          <w:tab w:val="left" w:pos="3280"/>
          <w:tab w:val="left" w:pos="6120"/>
          <w:tab w:val="left" w:pos="7540"/>
          <w:tab w:val="left" w:pos="8320"/>
        </w:tabs>
        <w:spacing w:line="500" w:lineRule="exact"/>
        <w:rPr>
          <w:rFonts w:ascii="宋体" w:hAnsi="宋体"/>
          <w:b/>
          <w:bCs/>
          <w:sz w:val="24"/>
          <w:szCs w:val="24"/>
        </w:rPr>
      </w:pPr>
      <w:bookmarkStart w:id="297" w:name="_Toc351203642"/>
      <w:r>
        <w:rPr>
          <w:rFonts w:ascii="宋体" w:hAnsi="宋体"/>
          <w:b/>
          <w:bCs/>
          <w:sz w:val="24"/>
          <w:szCs w:val="24"/>
        </w:rPr>
        <w:t>15. 变更</w:t>
      </w:r>
      <w:bookmarkEnd w:id="297"/>
    </w:p>
    <w:p w14:paraId="6EB862DF">
      <w:pPr>
        <w:tabs>
          <w:tab w:val="left" w:pos="3000"/>
          <w:tab w:val="left" w:pos="3280"/>
          <w:tab w:val="left" w:pos="6120"/>
          <w:tab w:val="left" w:pos="7540"/>
          <w:tab w:val="left" w:pos="8320"/>
        </w:tabs>
        <w:spacing w:line="500" w:lineRule="exact"/>
        <w:rPr>
          <w:rFonts w:ascii="宋体" w:hAnsi="宋体"/>
          <w:b/>
          <w:bCs/>
          <w:sz w:val="24"/>
          <w:szCs w:val="24"/>
        </w:rPr>
      </w:pPr>
      <w:r>
        <w:rPr>
          <w:rFonts w:ascii="宋体" w:hAnsi="宋体"/>
          <w:b/>
          <w:bCs/>
          <w:sz w:val="24"/>
          <w:szCs w:val="24"/>
        </w:rPr>
        <w:t>15.1变更的范围与内容</w:t>
      </w:r>
    </w:p>
    <w:p w14:paraId="459B14D4">
      <w:pPr>
        <w:spacing w:line="500" w:lineRule="exact"/>
        <w:rPr>
          <w:rFonts w:ascii="宋体" w:hAnsi="宋体"/>
          <w:sz w:val="24"/>
          <w:szCs w:val="24"/>
        </w:rPr>
      </w:pPr>
      <w:r>
        <w:rPr>
          <w:rFonts w:ascii="宋体" w:hAnsi="宋体"/>
          <w:sz w:val="24"/>
          <w:szCs w:val="24"/>
        </w:rPr>
        <w:t xml:space="preserve">  </w:t>
      </w:r>
      <w:r>
        <w:rPr>
          <w:rFonts w:hint="eastAsia" w:ascii="宋体" w:hAnsi="宋体"/>
          <w:sz w:val="24"/>
          <w:szCs w:val="24"/>
        </w:rPr>
        <w:t xml:space="preserve">  </w:t>
      </w:r>
      <w:r>
        <w:rPr>
          <w:rFonts w:ascii="宋体" w:hAnsi="宋体"/>
          <w:sz w:val="24"/>
          <w:szCs w:val="24"/>
        </w:rPr>
        <w:t xml:space="preserve">变更的范围与内容变更的范围和内容以监理人发出的书面变更令为准。 </w:t>
      </w:r>
    </w:p>
    <w:p w14:paraId="7E7C243C">
      <w:pPr>
        <w:spacing w:line="500" w:lineRule="exact"/>
        <w:rPr>
          <w:rFonts w:ascii="宋体" w:hAnsi="宋体"/>
          <w:b/>
          <w:bCs/>
          <w:sz w:val="24"/>
          <w:szCs w:val="24"/>
        </w:rPr>
      </w:pPr>
      <w:r>
        <w:rPr>
          <w:rFonts w:ascii="宋体" w:hAnsi="宋体"/>
          <w:b/>
          <w:bCs/>
          <w:sz w:val="24"/>
          <w:szCs w:val="24"/>
        </w:rPr>
        <w:t>15.3变更程序</w:t>
      </w:r>
    </w:p>
    <w:p w14:paraId="5439D1FC">
      <w:pPr>
        <w:tabs>
          <w:tab w:val="left" w:pos="3000"/>
          <w:tab w:val="left" w:pos="3280"/>
          <w:tab w:val="left" w:pos="6120"/>
          <w:tab w:val="left" w:pos="7540"/>
          <w:tab w:val="left" w:pos="8320"/>
        </w:tabs>
        <w:spacing w:line="500" w:lineRule="exact"/>
        <w:rPr>
          <w:rFonts w:ascii="宋体" w:hAnsi="宋体"/>
          <w:sz w:val="24"/>
          <w:szCs w:val="24"/>
        </w:rPr>
      </w:pPr>
      <w:r>
        <w:rPr>
          <w:rFonts w:ascii="宋体" w:hAnsi="宋体"/>
          <w:b/>
          <w:bCs/>
          <w:sz w:val="24"/>
          <w:szCs w:val="24"/>
        </w:rPr>
        <w:t>15.3.2 变更估价</w:t>
      </w:r>
    </w:p>
    <w:p w14:paraId="1DB44232">
      <w:pPr>
        <w:spacing w:line="500" w:lineRule="exact"/>
        <w:rPr>
          <w:rFonts w:ascii="宋体" w:hAnsi="宋体"/>
          <w:sz w:val="24"/>
          <w:szCs w:val="24"/>
        </w:rPr>
      </w:pPr>
      <w:r>
        <w:rPr>
          <w:rFonts w:ascii="宋体" w:hAnsi="宋体"/>
          <w:sz w:val="24"/>
          <w:szCs w:val="24"/>
        </w:rPr>
        <w:t xml:space="preserve">    中标人提交变更报价书的期限：中标人应在收到变更指示或变更意向书后的7天内，向监理人提交变更报价书。 </w:t>
      </w:r>
    </w:p>
    <w:p w14:paraId="1D4B5CE7">
      <w:pPr>
        <w:spacing w:line="500" w:lineRule="exact"/>
        <w:rPr>
          <w:rFonts w:ascii="宋体" w:hAnsi="宋体"/>
          <w:sz w:val="24"/>
          <w:szCs w:val="24"/>
        </w:rPr>
      </w:pPr>
      <w:r>
        <w:rPr>
          <w:rFonts w:ascii="宋体" w:hAnsi="宋体"/>
          <w:sz w:val="24"/>
          <w:szCs w:val="24"/>
        </w:rPr>
        <w:t xml:space="preserve">     监理人商定或确定变更价格的期限：  监理人应在收到中标人变更报价书后的</w:t>
      </w:r>
      <w:r>
        <w:rPr>
          <w:rFonts w:hint="eastAsia" w:ascii="宋体" w:hAnsi="宋体"/>
          <w:sz w:val="24"/>
          <w:szCs w:val="24"/>
        </w:rPr>
        <w:t>7</w:t>
      </w:r>
      <w:r>
        <w:rPr>
          <w:rFonts w:ascii="宋体" w:hAnsi="宋体"/>
          <w:sz w:val="24"/>
          <w:szCs w:val="24"/>
        </w:rPr>
        <w:t xml:space="preserve">天内完成价格核定报招标人审核同意后与中标人商定或确定变更价格。 </w:t>
      </w:r>
    </w:p>
    <w:p w14:paraId="05AC9AFE">
      <w:pPr>
        <w:tabs>
          <w:tab w:val="left" w:pos="3000"/>
          <w:tab w:val="left" w:pos="3280"/>
          <w:tab w:val="left" w:pos="6120"/>
          <w:tab w:val="left" w:pos="7540"/>
          <w:tab w:val="left" w:pos="8320"/>
        </w:tabs>
        <w:spacing w:line="500" w:lineRule="exact"/>
        <w:rPr>
          <w:rFonts w:ascii="宋体" w:hAnsi="宋体"/>
          <w:b/>
          <w:bCs/>
          <w:sz w:val="24"/>
          <w:szCs w:val="24"/>
        </w:rPr>
      </w:pPr>
      <w:r>
        <w:rPr>
          <w:rFonts w:ascii="宋体" w:hAnsi="宋体"/>
          <w:b/>
          <w:bCs/>
          <w:sz w:val="24"/>
          <w:szCs w:val="24"/>
        </w:rPr>
        <w:t>15.4 变更估价原则</w:t>
      </w:r>
    </w:p>
    <w:p w14:paraId="3884AD40">
      <w:pPr>
        <w:tabs>
          <w:tab w:val="left" w:pos="3000"/>
          <w:tab w:val="left" w:pos="3280"/>
          <w:tab w:val="left" w:pos="6120"/>
          <w:tab w:val="left" w:pos="7540"/>
          <w:tab w:val="left" w:pos="8320"/>
        </w:tabs>
        <w:spacing w:line="500" w:lineRule="exact"/>
        <w:rPr>
          <w:rFonts w:ascii="宋体" w:hAnsi="宋体"/>
          <w:sz w:val="24"/>
          <w:szCs w:val="24"/>
        </w:rPr>
      </w:pPr>
      <w:r>
        <w:rPr>
          <w:rFonts w:ascii="宋体" w:hAnsi="宋体"/>
          <w:sz w:val="24"/>
          <w:szCs w:val="24"/>
        </w:rPr>
        <w:t>按本项目</w:t>
      </w:r>
      <w:r>
        <w:rPr>
          <w:rFonts w:hint="eastAsia" w:ascii="宋体" w:hAnsi="宋体"/>
          <w:sz w:val="24"/>
          <w:szCs w:val="24"/>
        </w:rPr>
        <w:t>磋商</w:t>
      </w:r>
      <w:r>
        <w:rPr>
          <w:rFonts w:ascii="宋体" w:hAnsi="宋体"/>
          <w:sz w:val="24"/>
          <w:szCs w:val="24"/>
        </w:rPr>
        <w:t>文件第</w:t>
      </w:r>
      <w:r>
        <w:rPr>
          <w:rFonts w:hint="eastAsia" w:ascii="宋体" w:hAnsi="宋体"/>
          <w:sz w:val="24"/>
          <w:szCs w:val="24"/>
        </w:rPr>
        <w:t>三篇报价要求</w:t>
      </w:r>
      <w:r>
        <w:rPr>
          <w:rFonts w:ascii="宋体" w:hAnsi="宋体"/>
          <w:sz w:val="24"/>
          <w:szCs w:val="24"/>
        </w:rPr>
        <w:t>执行。</w:t>
      </w:r>
      <w:bookmarkStart w:id="298" w:name="_Toc292559402"/>
      <w:bookmarkStart w:id="299" w:name="_Toc296944536"/>
      <w:bookmarkStart w:id="300" w:name="_Toc296891025"/>
      <w:bookmarkStart w:id="301" w:name="_Toc297123544"/>
      <w:bookmarkStart w:id="302" w:name="_Toc297120497"/>
      <w:bookmarkStart w:id="303" w:name="_Toc296346698"/>
      <w:bookmarkStart w:id="304" w:name="_Toc292559907"/>
      <w:bookmarkStart w:id="305" w:name="_Toc296503197"/>
      <w:bookmarkStart w:id="306" w:name="_Toc297048383"/>
      <w:bookmarkStart w:id="307" w:name="_Toc297216203"/>
      <w:bookmarkStart w:id="308" w:name="_Toc296891237"/>
      <w:bookmarkStart w:id="309" w:name="_Toc300934993"/>
      <w:bookmarkStart w:id="310" w:name="_Toc303539150"/>
      <w:bookmarkStart w:id="311" w:name="_Toc296347196"/>
      <w:bookmarkStart w:id="312" w:name="_Toc312678029"/>
      <w:bookmarkStart w:id="313" w:name="_Toc312677503"/>
      <w:bookmarkStart w:id="314" w:name="_Toc304295570"/>
    </w:p>
    <w:p w14:paraId="7F8B9BBB">
      <w:pPr>
        <w:tabs>
          <w:tab w:val="left" w:pos="3000"/>
          <w:tab w:val="left" w:pos="3280"/>
          <w:tab w:val="left" w:pos="6120"/>
          <w:tab w:val="left" w:pos="7540"/>
          <w:tab w:val="left" w:pos="8320"/>
        </w:tabs>
        <w:spacing w:line="500" w:lineRule="exact"/>
        <w:rPr>
          <w:rFonts w:ascii="宋体" w:hAnsi="宋体"/>
          <w:b/>
          <w:bCs/>
          <w:sz w:val="24"/>
          <w:szCs w:val="24"/>
        </w:rPr>
      </w:pPr>
      <w:r>
        <w:rPr>
          <w:rFonts w:ascii="宋体" w:hAnsi="宋体"/>
          <w:b/>
          <w:bCs/>
          <w:sz w:val="24"/>
          <w:szCs w:val="24"/>
        </w:rPr>
        <w:t>15.5承</w:t>
      </w:r>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Start w:id="315" w:name="_Toc297048389"/>
      <w:bookmarkStart w:id="316" w:name="_Toc296944542"/>
      <w:bookmarkStart w:id="317" w:name="_Toc296503203"/>
      <w:bookmarkStart w:id="318" w:name="_Toc300934994"/>
      <w:bookmarkStart w:id="319" w:name="_Toc297123545"/>
      <w:bookmarkStart w:id="320" w:name="_Toc297120503"/>
      <w:bookmarkStart w:id="321" w:name="_Toc296346704"/>
      <w:bookmarkStart w:id="322" w:name="_Toc296347202"/>
      <w:bookmarkStart w:id="323" w:name="_Toc296891243"/>
      <w:bookmarkStart w:id="324" w:name="_Toc296891031"/>
      <w:bookmarkStart w:id="325" w:name="_Toc292559913"/>
      <w:bookmarkStart w:id="326" w:name="_Toc292559408"/>
      <w:bookmarkStart w:id="327" w:name="_Toc303539151"/>
      <w:bookmarkStart w:id="328" w:name="_Toc297216204"/>
      <w:r>
        <w:rPr>
          <w:rFonts w:ascii="宋体" w:hAnsi="宋体"/>
          <w:b/>
          <w:bCs/>
          <w:sz w:val="24"/>
          <w:szCs w:val="24"/>
        </w:rPr>
        <w:t>包人的合理化建议</w:t>
      </w:r>
    </w:p>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14:paraId="1D2150F4">
      <w:pPr>
        <w:tabs>
          <w:tab w:val="left" w:pos="3000"/>
          <w:tab w:val="left" w:pos="3280"/>
          <w:tab w:val="left" w:pos="6120"/>
          <w:tab w:val="left" w:pos="7540"/>
          <w:tab w:val="left" w:pos="8320"/>
        </w:tabs>
        <w:spacing w:line="500" w:lineRule="exact"/>
        <w:rPr>
          <w:rFonts w:ascii="宋体" w:hAnsi="宋体"/>
          <w:sz w:val="24"/>
          <w:szCs w:val="24"/>
        </w:rPr>
      </w:pPr>
      <w:r>
        <w:rPr>
          <w:rFonts w:ascii="宋体" w:hAnsi="宋体"/>
          <w:sz w:val="24"/>
          <w:szCs w:val="24"/>
        </w:rPr>
        <w:t xml:space="preserve"> </w:t>
      </w:r>
      <w:r>
        <w:rPr>
          <w:rFonts w:hint="eastAsia" w:ascii="宋体" w:hAnsi="宋体"/>
          <w:sz w:val="24"/>
          <w:szCs w:val="24"/>
        </w:rPr>
        <w:t xml:space="preserve">   </w:t>
      </w:r>
      <w:r>
        <w:rPr>
          <w:rFonts w:ascii="宋体" w:hAnsi="宋体"/>
          <w:sz w:val="24"/>
          <w:szCs w:val="24"/>
        </w:rPr>
        <w:t>15.5.2  对中标人提出合理化建议的奖励方法：</w:t>
      </w:r>
      <w:r>
        <w:rPr>
          <w:rFonts w:ascii="宋体" w:hAnsi="宋体"/>
          <w:sz w:val="24"/>
          <w:szCs w:val="24"/>
          <w:u w:val="single"/>
        </w:rPr>
        <w:t xml:space="preserve">不采用 </w:t>
      </w:r>
      <w:r>
        <w:rPr>
          <w:rFonts w:ascii="宋体" w:hAnsi="宋体"/>
          <w:sz w:val="24"/>
          <w:szCs w:val="24"/>
        </w:rPr>
        <w:t>。</w:t>
      </w:r>
    </w:p>
    <w:p w14:paraId="2C79814E">
      <w:pPr>
        <w:tabs>
          <w:tab w:val="left" w:pos="3000"/>
          <w:tab w:val="left" w:pos="3280"/>
          <w:tab w:val="left" w:pos="6120"/>
          <w:tab w:val="left" w:pos="7540"/>
          <w:tab w:val="left" w:pos="8320"/>
        </w:tabs>
        <w:spacing w:line="500" w:lineRule="exact"/>
        <w:rPr>
          <w:rFonts w:ascii="宋体" w:hAnsi="宋体"/>
          <w:sz w:val="24"/>
          <w:szCs w:val="24"/>
        </w:rPr>
      </w:pPr>
      <w:r>
        <w:rPr>
          <w:rFonts w:ascii="宋体" w:hAnsi="宋体"/>
          <w:b/>
          <w:bCs/>
          <w:sz w:val="24"/>
          <w:szCs w:val="24"/>
        </w:rPr>
        <w:t>1</w:t>
      </w:r>
      <w:bookmarkStart w:id="329" w:name="_Toc300934997"/>
      <w:bookmarkStart w:id="330" w:name="_Toc296346700"/>
      <w:bookmarkStart w:id="331" w:name="_Toc292559909"/>
      <w:bookmarkStart w:id="332" w:name="_Toc304295574"/>
      <w:bookmarkStart w:id="333" w:name="_Toc296891027"/>
      <w:bookmarkStart w:id="334" w:name="_Toc312678033"/>
      <w:bookmarkStart w:id="335" w:name="_Toc297216207"/>
      <w:bookmarkStart w:id="336" w:name="_Toc312677507"/>
      <w:bookmarkStart w:id="337" w:name="_Toc296944538"/>
      <w:bookmarkStart w:id="338" w:name="_Toc292559404"/>
      <w:bookmarkStart w:id="339" w:name="_Toc297120499"/>
      <w:bookmarkStart w:id="340" w:name="_Toc297123548"/>
      <w:bookmarkStart w:id="341" w:name="_Toc296347198"/>
      <w:bookmarkStart w:id="342" w:name="_Toc303539154"/>
      <w:bookmarkStart w:id="343" w:name="_Toc296503199"/>
      <w:bookmarkStart w:id="344" w:name="_Toc297048385"/>
      <w:bookmarkStart w:id="345" w:name="_Toc296891239"/>
      <w:r>
        <w:rPr>
          <w:rFonts w:ascii="宋体" w:hAnsi="宋体"/>
          <w:b/>
          <w:bCs/>
          <w:sz w:val="24"/>
          <w:szCs w:val="24"/>
        </w:rPr>
        <w:t>5.8 暂估价</w:t>
      </w:r>
    </w:p>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14:paraId="2EAD1DE4">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暂估价由招标人认质认价办理结算。</w:t>
      </w:r>
    </w:p>
    <w:p w14:paraId="4002D918">
      <w:pPr>
        <w:tabs>
          <w:tab w:val="left" w:pos="3000"/>
          <w:tab w:val="left" w:pos="3280"/>
          <w:tab w:val="left" w:pos="6120"/>
          <w:tab w:val="left" w:pos="7540"/>
          <w:tab w:val="left" w:pos="8320"/>
        </w:tabs>
        <w:spacing w:line="500" w:lineRule="exact"/>
        <w:rPr>
          <w:rFonts w:ascii="宋体" w:hAnsi="宋体"/>
          <w:b/>
          <w:bCs/>
          <w:sz w:val="24"/>
          <w:szCs w:val="24"/>
        </w:rPr>
      </w:pPr>
      <w:bookmarkStart w:id="346" w:name="_Toc351203643"/>
      <w:r>
        <w:rPr>
          <w:rFonts w:ascii="宋体" w:hAnsi="宋体"/>
          <w:b/>
          <w:bCs/>
          <w:sz w:val="24"/>
          <w:szCs w:val="24"/>
        </w:rPr>
        <w:t>16. 价格调整</w:t>
      </w:r>
      <w:bookmarkEnd w:id="346"/>
    </w:p>
    <w:p w14:paraId="3B1722C9">
      <w:pPr>
        <w:adjustRightInd w:val="0"/>
        <w:snapToGrid w:val="0"/>
        <w:spacing w:line="500" w:lineRule="exact"/>
        <w:ind w:left="420"/>
        <w:rPr>
          <w:rFonts w:ascii="宋体" w:hAnsi="宋体"/>
          <w:b/>
          <w:bCs/>
          <w:sz w:val="24"/>
          <w:szCs w:val="24"/>
        </w:rPr>
      </w:pPr>
      <w:r>
        <w:rPr>
          <w:rFonts w:ascii="宋体" w:hAnsi="宋体"/>
          <w:b/>
          <w:bCs/>
          <w:sz w:val="24"/>
          <w:szCs w:val="24"/>
        </w:rPr>
        <w:t>16.1  物价波动引起的价格调整</w:t>
      </w:r>
    </w:p>
    <w:p w14:paraId="0E57C100">
      <w:pPr>
        <w:adjustRightInd w:val="0"/>
        <w:snapToGrid w:val="0"/>
        <w:spacing w:line="500" w:lineRule="exact"/>
        <w:ind w:left="420"/>
        <w:rPr>
          <w:rFonts w:ascii="宋体" w:hAnsi="宋体"/>
          <w:bCs/>
          <w:sz w:val="24"/>
          <w:szCs w:val="24"/>
          <w:u w:val="single"/>
        </w:rPr>
      </w:pPr>
      <w:r>
        <w:rPr>
          <w:rFonts w:hint="eastAsia" w:ascii="宋体" w:hAnsi="宋体"/>
          <w:bCs/>
          <w:sz w:val="24"/>
          <w:szCs w:val="24"/>
        </w:rPr>
        <w:t>物价波动引起的价格调整方法</w:t>
      </w:r>
      <w:r>
        <w:rPr>
          <w:rFonts w:ascii="宋体" w:hAnsi="宋体"/>
          <w:bCs/>
          <w:sz w:val="24"/>
          <w:szCs w:val="24"/>
        </w:rPr>
        <w:t>：</w:t>
      </w:r>
      <w:r>
        <w:rPr>
          <w:rFonts w:hint="eastAsia" w:ascii="宋体" w:hAnsi="宋体"/>
          <w:bCs/>
          <w:sz w:val="24"/>
          <w:szCs w:val="24"/>
          <w:u w:val="single"/>
        </w:rPr>
        <w:t>不执行。</w:t>
      </w:r>
    </w:p>
    <w:p w14:paraId="49F15328">
      <w:pPr>
        <w:spacing w:line="500" w:lineRule="exact"/>
        <w:rPr>
          <w:rFonts w:ascii="宋体" w:hAnsi="宋体"/>
          <w:b/>
          <w:bCs/>
          <w:sz w:val="24"/>
          <w:szCs w:val="24"/>
        </w:rPr>
      </w:pPr>
      <w:bookmarkStart w:id="347" w:name="_Toc410381416"/>
      <w:bookmarkStart w:id="348" w:name="_Toc442514379"/>
      <w:bookmarkStart w:id="349" w:name="_Toc446108039"/>
      <w:bookmarkStart w:id="350" w:name="_Toc361653999"/>
      <w:r>
        <w:rPr>
          <w:rFonts w:ascii="宋体" w:hAnsi="宋体"/>
          <w:b/>
          <w:bCs/>
          <w:sz w:val="24"/>
          <w:szCs w:val="24"/>
        </w:rPr>
        <w:t>17.  计量与支付</w:t>
      </w:r>
      <w:bookmarkEnd w:id="347"/>
      <w:bookmarkEnd w:id="348"/>
      <w:bookmarkEnd w:id="349"/>
      <w:bookmarkEnd w:id="350"/>
    </w:p>
    <w:p w14:paraId="32434BE8">
      <w:pPr>
        <w:spacing w:line="500" w:lineRule="exact"/>
        <w:rPr>
          <w:rFonts w:ascii="宋体" w:hAnsi="宋体"/>
          <w:b/>
          <w:bCs/>
          <w:sz w:val="24"/>
          <w:szCs w:val="24"/>
        </w:rPr>
      </w:pPr>
      <w:r>
        <w:rPr>
          <w:rFonts w:ascii="宋体" w:hAnsi="宋体"/>
          <w:b/>
          <w:bCs/>
          <w:sz w:val="24"/>
          <w:szCs w:val="24"/>
        </w:rPr>
        <w:t>17.1  计量</w:t>
      </w:r>
      <w:r>
        <w:rPr>
          <w:rFonts w:ascii="宋体" w:hAnsi="宋体"/>
          <w:b/>
          <w:bCs/>
          <w:sz w:val="24"/>
          <w:szCs w:val="24"/>
        </w:rPr>
        <w:tab/>
      </w:r>
    </w:p>
    <w:p w14:paraId="301D3A39">
      <w:pPr>
        <w:spacing w:line="500" w:lineRule="exact"/>
        <w:rPr>
          <w:rFonts w:ascii="宋体" w:hAnsi="宋体"/>
          <w:sz w:val="24"/>
          <w:szCs w:val="24"/>
        </w:rPr>
      </w:pPr>
      <w:r>
        <w:rPr>
          <w:rFonts w:ascii="宋体" w:hAnsi="宋体"/>
          <w:sz w:val="24"/>
          <w:szCs w:val="24"/>
        </w:rPr>
        <w:t xml:space="preserve">    17.1.3  计量周期</w:t>
      </w:r>
    </w:p>
    <w:p w14:paraId="4B8BA162">
      <w:pPr>
        <w:spacing w:line="500" w:lineRule="exact"/>
        <w:rPr>
          <w:rFonts w:ascii="宋体" w:hAnsi="宋体"/>
          <w:sz w:val="24"/>
          <w:szCs w:val="24"/>
        </w:rPr>
      </w:pPr>
      <w:r>
        <w:rPr>
          <w:rFonts w:ascii="宋体" w:hAnsi="宋体"/>
          <w:sz w:val="24"/>
          <w:szCs w:val="24"/>
        </w:rPr>
        <w:t xml:space="preserve">    本合同的计量周期：</w:t>
      </w:r>
      <w:r>
        <w:rPr>
          <w:rFonts w:hint="eastAsia" w:ascii="宋体" w:hAnsi="宋体"/>
          <w:sz w:val="24"/>
          <w:u w:val="single"/>
        </w:rPr>
        <w:t xml:space="preserve">  </w:t>
      </w:r>
      <w:r>
        <w:rPr>
          <w:rFonts w:hint="eastAsia" w:ascii="宋体" w:hAnsi="宋体"/>
          <w:b/>
          <w:bCs/>
          <w:sz w:val="24"/>
          <w:szCs w:val="24"/>
          <w:u w:val="single"/>
        </w:rPr>
        <w:t xml:space="preserve">   </w:t>
      </w:r>
      <w:r>
        <w:rPr>
          <w:rFonts w:hint="eastAsia" w:ascii="宋体" w:hAnsi="宋体"/>
          <w:bCs/>
          <w:sz w:val="24"/>
          <w:szCs w:val="24"/>
          <w:u w:val="single"/>
        </w:rPr>
        <w:t xml:space="preserve"> 不执行   </w:t>
      </w:r>
      <w:r>
        <w:rPr>
          <w:rFonts w:hint="eastAsia" w:ascii="宋体" w:hAnsi="宋体"/>
          <w:b/>
          <w:bCs/>
          <w:sz w:val="24"/>
          <w:szCs w:val="24"/>
          <w:u w:val="single"/>
        </w:rPr>
        <w:t xml:space="preserve"> </w:t>
      </w:r>
      <w:r>
        <w:rPr>
          <w:rFonts w:hint="eastAsia" w:ascii="宋体" w:hAnsi="宋体"/>
          <w:sz w:val="24"/>
          <w:u w:val="single"/>
        </w:rPr>
        <w:t>。</w:t>
      </w:r>
      <w:r>
        <w:rPr>
          <w:rFonts w:ascii="宋体" w:hAnsi="宋体"/>
          <w:sz w:val="24"/>
          <w:szCs w:val="24"/>
        </w:rPr>
        <w:t xml:space="preserve">  </w:t>
      </w:r>
    </w:p>
    <w:p w14:paraId="05F55807">
      <w:pPr>
        <w:spacing w:line="500" w:lineRule="exact"/>
        <w:rPr>
          <w:rFonts w:ascii="宋体" w:hAnsi="宋体"/>
          <w:sz w:val="24"/>
          <w:szCs w:val="24"/>
        </w:rPr>
      </w:pPr>
      <w:r>
        <w:rPr>
          <w:rFonts w:ascii="宋体" w:hAnsi="宋体"/>
          <w:sz w:val="24"/>
          <w:szCs w:val="24"/>
        </w:rPr>
        <w:t xml:space="preserve">    17.1.5  总价子目的计量</w:t>
      </w:r>
    </w:p>
    <w:p w14:paraId="6DD635F3">
      <w:pPr>
        <w:spacing w:line="500" w:lineRule="exact"/>
        <w:rPr>
          <w:rFonts w:ascii="宋体" w:hAnsi="宋体"/>
          <w:b/>
          <w:bCs/>
          <w:sz w:val="24"/>
          <w:szCs w:val="24"/>
          <w:u w:val="single"/>
        </w:rPr>
      </w:pPr>
      <w:r>
        <w:rPr>
          <w:rFonts w:ascii="宋体" w:hAnsi="宋体"/>
          <w:sz w:val="24"/>
          <w:szCs w:val="24"/>
        </w:rPr>
        <w:t xml:space="preserve">    总价子目的计量方法：</w:t>
      </w:r>
      <w:r>
        <w:rPr>
          <w:rFonts w:hint="eastAsia" w:ascii="宋体" w:hAnsi="宋体"/>
          <w:bCs/>
          <w:sz w:val="24"/>
          <w:szCs w:val="24"/>
          <w:u w:val="single"/>
        </w:rPr>
        <w:t xml:space="preserve">按照实际竣工验收工程量  </w:t>
      </w:r>
      <w:r>
        <w:rPr>
          <w:rFonts w:hint="eastAsia" w:ascii="宋体" w:hAnsi="宋体"/>
          <w:b/>
          <w:bCs/>
          <w:sz w:val="24"/>
          <w:szCs w:val="24"/>
          <w:u w:val="single"/>
        </w:rPr>
        <w:t>。</w:t>
      </w:r>
    </w:p>
    <w:p w14:paraId="490204D4">
      <w:pPr>
        <w:spacing w:line="500" w:lineRule="exact"/>
        <w:rPr>
          <w:rFonts w:ascii="宋体" w:hAnsi="宋体"/>
          <w:b/>
          <w:bCs/>
          <w:sz w:val="24"/>
          <w:szCs w:val="24"/>
        </w:rPr>
      </w:pPr>
      <w:bookmarkStart w:id="351" w:name="_Toc446108040"/>
      <w:r>
        <w:rPr>
          <w:rFonts w:ascii="宋体" w:hAnsi="宋体"/>
          <w:b/>
          <w:bCs/>
          <w:sz w:val="24"/>
          <w:szCs w:val="24"/>
        </w:rPr>
        <w:t>17.2  预付款</w:t>
      </w:r>
      <w:bookmarkEnd w:id="351"/>
    </w:p>
    <w:p w14:paraId="61EB3091">
      <w:pPr>
        <w:spacing w:line="500" w:lineRule="exact"/>
        <w:rPr>
          <w:rFonts w:ascii="宋体" w:hAnsi="宋体"/>
          <w:sz w:val="24"/>
          <w:szCs w:val="24"/>
        </w:rPr>
      </w:pPr>
      <w:r>
        <w:rPr>
          <w:rFonts w:ascii="宋体" w:hAnsi="宋体"/>
          <w:sz w:val="24"/>
          <w:szCs w:val="24"/>
        </w:rPr>
        <w:t xml:space="preserve">    17.2.1  预付款</w:t>
      </w:r>
    </w:p>
    <w:p w14:paraId="2D5ADD8A">
      <w:pPr>
        <w:pStyle w:val="158"/>
        <w:spacing w:line="420" w:lineRule="exact"/>
        <w:ind w:firstLine="480"/>
        <w:rPr>
          <w:rFonts w:ascii="宋体" w:hAnsi="宋体"/>
          <w:szCs w:val="24"/>
        </w:rPr>
      </w:pPr>
      <w:r>
        <w:rPr>
          <w:rFonts w:ascii="宋体" w:hAnsi="宋体"/>
          <w:szCs w:val="24"/>
        </w:rPr>
        <w:t>预付款额度和预付方法：</w:t>
      </w:r>
      <w:r>
        <w:rPr>
          <w:rFonts w:hint="eastAsia" w:ascii="宋体" w:hAnsi="宋体"/>
          <w:bCs/>
          <w:szCs w:val="24"/>
          <w:u w:val="single"/>
        </w:rPr>
        <w:t>不支付预付款。</w:t>
      </w:r>
    </w:p>
    <w:p w14:paraId="4035AD4C">
      <w:pPr>
        <w:spacing w:line="500" w:lineRule="exact"/>
        <w:rPr>
          <w:rFonts w:ascii="宋体" w:hAnsi="宋体"/>
          <w:sz w:val="24"/>
          <w:szCs w:val="24"/>
        </w:rPr>
      </w:pPr>
      <w:r>
        <w:rPr>
          <w:rFonts w:ascii="宋体" w:hAnsi="宋体"/>
          <w:sz w:val="24"/>
          <w:szCs w:val="24"/>
        </w:rPr>
        <w:t xml:space="preserve">    17.2.2  预付款保函</w:t>
      </w:r>
    </w:p>
    <w:p w14:paraId="3B99B983">
      <w:pPr>
        <w:spacing w:line="500" w:lineRule="exact"/>
        <w:rPr>
          <w:rFonts w:ascii="宋体" w:hAnsi="宋体"/>
          <w:sz w:val="24"/>
          <w:szCs w:val="24"/>
        </w:rPr>
      </w:pPr>
      <w:r>
        <w:rPr>
          <w:rFonts w:ascii="宋体" w:hAnsi="宋体"/>
          <w:sz w:val="24"/>
          <w:szCs w:val="24"/>
        </w:rPr>
        <w:t xml:space="preserve">    预付款保函的提交时间：</w:t>
      </w:r>
      <w:r>
        <w:rPr>
          <w:rFonts w:ascii="宋体" w:hAnsi="宋体"/>
          <w:sz w:val="24"/>
          <w:szCs w:val="24"/>
          <w:u w:val="single"/>
        </w:rPr>
        <w:t xml:space="preserve">无   </w:t>
      </w:r>
      <w:r>
        <w:rPr>
          <w:rFonts w:hint="eastAsia" w:ascii="宋体" w:hAnsi="宋体"/>
          <w:sz w:val="24"/>
          <w:szCs w:val="24"/>
          <w:u w:val="single"/>
        </w:rPr>
        <w:t>。</w:t>
      </w:r>
      <w:r>
        <w:rPr>
          <w:rFonts w:ascii="宋体" w:hAnsi="宋体"/>
          <w:sz w:val="24"/>
          <w:szCs w:val="24"/>
          <w:u w:val="single"/>
        </w:rPr>
        <w:t xml:space="preserve"> </w:t>
      </w:r>
      <w:r>
        <w:rPr>
          <w:rFonts w:ascii="宋体" w:hAnsi="宋体"/>
          <w:sz w:val="24"/>
          <w:szCs w:val="24"/>
        </w:rPr>
        <w:t xml:space="preserve">  </w:t>
      </w:r>
    </w:p>
    <w:p w14:paraId="2A6494E8">
      <w:pPr>
        <w:spacing w:line="500" w:lineRule="exact"/>
        <w:rPr>
          <w:rFonts w:ascii="宋体" w:hAnsi="宋体"/>
          <w:sz w:val="24"/>
          <w:szCs w:val="24"/>
        </w:rPr>
      </w:pPr>
      <w:r>
        <w:rPr>
          <w:rFonts w:ascii="宋体" w:hAnsi="宋体"/>
          <w:sz w:val="24"/>
          <w:szCs w:val="24"/>
        </w:rPr>
        <w:t xml:space="preserve">    17.2.3  预付款的扣回与还清</w:t>
      </w:r>
    </w:p>
    <w:p w14:paraId="319BC6F3">
      <w:pPr>
        <w:spacing w:line="500" w:lineRule="exact"/>
        <w:rPr>
          <w:rFonts w:ascii="宋体" w:hAnsi="宋体"/>
          <w:sz w:val="24"/>
          <w:szCs w:val="24"/>
        </w:rPr>
      </w:pPr>
      <w:r>
        <w:rPr>
          <w:rFonts w:ascii="宋体" w:hAnsi="宋体"/>
          <w:sz w:val="24"/>
          <w:szCs w:val="24"/>
        </w:rPr>
        <w:t xml:space="preserve">    预付款的扣回办法：</w:t>
      </w:r>
      <w:r>
        <w:rPr>
          <w:rFonts w:ascii="宋体" w:hAnsi="宋体"/>
          <w:sz w:val="24"/>
          <w:szCs w:val="24"/>
          <w:u w:val="single"/>
        </w:rPr>
        <w:t xml:space="preserve">无   </w:t>
      </w:r>
      <w:r>
        <w:rPr>
          <w:rFonts w:hint="eastAsia" w:ascii="宋体" w:hAnsi="宋体"/>
          <w:sz w:val="24"/>
          <w:szCs w:val="24"/>
        </w:rPr>
        <w:t>。</w:t>
      </w:r>
      <w:r>
        <w:rPr>
          <w:rFonts w:ascii="宋体" w:hAnsi="宋体"/>
          <w:sz w:val="24"/>
          <w:szCs w:val="24"/>
        </w:rPr>
        <w:t xml:space="preserve">   </w:t>
      </w:r>
    </w:p>
    <w:p w14:paraId="75EAB3DC">
      <w:pPr>
        <w:spacing w:line="500" w:lineRule="exact"/>
        <w:rPr>
          <w:rFonts w:ascii="宋体" w:hAnsi="宋体"/>
          <w:b/>
          <w:bCs/>
          <w:sz w:val="24"/>
          <w:szCs w:val="24"/>
        </w:rPr>
      </w:pPr>
      <w:r>
        <w:rPr>
          <w:rFonts w:ascii="宋体" w:hAnsi="宋体"/>
          <w:b/>
          <w:bCs/>
          <w:sz w:val="24"/>
          <w:szCs w:val="24"/>
        </w:rPr>
        <w:t>17.3  进度款</w:t>
      </w:r>
    </w:p>
    <w:p w14:paraId="7A407BD6">
      <w:pPr>
        <w:spacing w:line="500" w:lineRule="exact"/>
        <w:rPr>
          <w:rFonts w:ascii="宋体" w:hAnsi="宋体"/>
          <w:sz w:val="24"/>
          <w:szCs w:val="24"/>
        </w:rPr>
      </w:pPr>
      <w:r>
        <w:rPr>
          <w:rFonts w:ascii="宋体" w:hAnsi="宋体"/>
          <w:sz w:val="24"/>
          <w:szCs w:val="24"/>
        </w:rPr>
        <w:t>17.3.2  进度付款申请单</w:t>
      </w:r>
    </w:p>
    <w:p w14:paraId="6C28F891">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进度付款申请单的份数：</w:t>
      </w:r>
      <w:r>
        <w:rPr>
          <w:rFonts w:hint="eastAsia" w:ascii="宋体" w:hAnsi="宋体"/>
          <w:sz w:val="24"/>
          <w:szCs w:val="24"/>
        </w:rPr>
        <w:t>3</w:t>
      </w:r>
      <w:r>
        <w:rPr>
          <w:rFonts w:ascii="宋体" w:hAnsi="宋体"/>
          <w:sz w:val="24"/>
          <w:szCs w:val="24"/>
        </w:rPr>
        <w:t xml:space="preserve">份    </w:t>
      </w:r>
    </w:p>
    <w:p w14:paraId="3044526C">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进度付款申请单的内容：</w:t>
      </w:r>
    </w:p>
    <w:p w14:paraId="57E7D303">
      <w:pPr>
        <w:snapToGrid w:val="0"/>
        <w:spacing w:line="360" w:lineRule="auto"/>
        <w:rPr>
          <w:rFonts w:ascii="宋体" w:hAnsi="宋体"/>
          <w:sz w:val="24"/>
          <w:szCs w:val="24"/>
        </w:rPr>
      </w:pPr>
      <w:r>
        <w:rPr>
          <w:rFonts w:ascii="宋体" w:hAnsi="宋体"/>
          <w:sz w:val="24"/>
          <w:szCs w:val="24"/>
        </w:rPr>
        <w:t>17.3.3工程款支付：</w:t>
      </w:r>
    </w:p>
    <w:p w14:paraId="4196744E">
      <w:pPr>
        <w:snapToGrid w:val="0"/>
        <w:spacing w:line="360" w:lineRule="auto"/>
        <w:ind w:firstLine="480" w:firstLineChars="200"/>
        <w:rPr>
          <w:rFonts w:ascii="宋体" w:hAnsi="宋体"/>
          <w:sz w:val="24"/>
          <w:szCs w:val="24"/>
        </w:rPr>
      </w:pPr>
      <w:r>
        <w:rPr>
          <w:rFonts w:hint="eastAsia" w:ascii="宋体" w:hAnsi="宋体"/>
          <w:sz w:val="24"/>
          <w:szCs w:val="24"/>
        </w:rPr>
        <w:t>1.本工程不支付预付款；</w:t>
      </w:r>
    </w:p>
    <w:p w14:paraId="521432E2">
      <w:pPr>
        <w:spacing w:line="500" w:lineRule="exact"/>
        <w:ind w:firstLine="480" w:firstLineChars="200"/>
        <w:rPr>
          <w:rFonts w:hint="eastAsia" w:ascii="宋体" w:hAnsi="宋体"/>
          <w:sz w:val="24"/>
          <w:szCs w:val="24"/>
        </w:rPr>
      </w:pPr>
      <w:r>
        <w:rPr>
          <w:rFonts w:hint="eastAsia" w:ascii="宋体" w:hAnsi="宋体"/>
          <w:sz w:val="24"/>
          <w:szCs w:val="24"/>
        </w:rPr>
        <w:t>2.支付方式：验收合格后，成交供应商向采购单位开具发票，采购单位30日内将合同金额的100%支付至成交供应商银行帐户。</w:t>
      </w:r>
    </w:p>
    <w:p w14:paraId="17BBB013">
      <w:pPr>
        <w:spacing w:line="500" w:lineRule="exact"/>
        <w:rPr>
          <w:rFonts w:ascii="宋体" w:hAnsi="宋体"/>
          <w:sz w:val="24"/>
          <w:szCs w:val="24"/>
        </w:rPr>
      </w:pPr>
      <w:r>
        <w:rPr>
          <w:rFonts w:ascii="宋体" w:hAnsi="宋体"/>
          <w:sz w:val="24"/>
          <w:szCs w:val="24"/>
        </w:rPr>
        <w:t>17.4.1  质量保证金的金额或比例：</w:t>
      </w:r>
      <w:r>
        <w:rPr>
          <w:rFonts w:hint="eastAsia" w:ascii="宋体" w:hAnsi="宋体"/>
          <w:sz w:val="24"/>
          <w:szCs w:val="24"/>
          <w:u w:val="single"/>
          <w:lang w:val="en-US" w:eastAsia="zh-CN"/>
        </w:rPr>
        <w:t>/</w:t>
      </w:r>
      <w:r>
        <w:rPr>
          <w:rFonts w:ascii="宋体" w:hAnsi="宋体"/>
          <w:sz w:val="24"/>
          <w:szCs w:val="24"/>
          <w:u w:val="single"/>
        </w:rPr>
        <w:t xml:space="preserve"> </w:t>
      </w:r>
      <w:r>
        <w:rPr>
          <w:rFonts w:hint="eastAsia" w:ascii="宋体" w:hAnsi="宋体"/>
          <w:sz w:val="24"/>
          <w:szCs w:val="24"/>
        </w:rPr>
        <w:t>。</w:t>
      </w:r>
      <w:r>
        <w:rPr>
          <w:rFonts w:ascii="宋体" w:hAnsi="宋体"/>
          <w:sz w:val="24"/>
          <w:szCs w:val="24"/>
        </w:rPr>
        <w:t xml:space="preserve"> </w:t>
      </w:r>
    </w:p>
    <w:p w14:paraId="70E75917">
      <w:pPr>
        <w:spacing w:line="500" w:lineRule="exact"/>
        <w:rPr>
          <w:rFonts w:ascii="宋体" w:hAnsi="宋体"/>
          <w:b/>
          <w:bCs/>
          <w:sz w:val="24"/>
          <w:szCs w:val="24"/>
        </w:rPr>
      </w:pPr>
      <w:bookmarkStart w:id="352" w:name="_Toc340567440"/>
      <w:r>
        <w:rPr>
          <w:rFonts w:ascii="宋体" w:hAnsi="宋体"/>
          <w:b/>
          <w:bCs/>
          <w:sz w:val="24"/>
          <w:szCs w:val="24"/>
        </w:rPr>
        <w:t>17.5  竣工结算</w:t>
      </w:r>
      <w:bookmarkEnd w:id="352"/>
    </w:p>
    <w:p w14:paraId="5A1C5A53">
      <w:pPr>
        <w:snapToGrid w:val="0"/>
        <w:spacing w:line="500" w:lineRule="exact"/>
        <w:ind w:firstLine="480" w:firstLineChars="200"/>
        <w:rPr>
          <w:rFonts w:ascii="宋体" w:hAnsi="宋体"/>
          <w:sz w:val="24"/>
          <w:szCs w:val="24"/>
        </w:rPr>
      </w:pPr>
      <w:r>
        <w:rPr>
          <w:rFonts w:hint="eastAsia" w:ascii="宋体" w:hAnsi="宋体"/>
          <w:sz w:val="24"/>
          <w:szCs w:val="24"/>
        </w:rPr>
        <w:t>结算总价=成交价±工程量据实调整费用±安全文明施工费据实调整±合同约定的其他因素。</w:t>
      </w:r>
    </w:p>
    <w:p w14:paraId="0CE929F9">
      <w:pPr>
        <w:snapToGrid w:val="0"/>
        <w:spacing w:line="500" w:lineRule="exact"/>
        <w:ind w:firstLine="480" w:firstLineChars="200"/>
        <w:rPr>
          <w:rFonts w:ascii="宋体" w:hAnsi="宋体"/>
          <w:sz w:val="24"/>
          <w:szCs w:val="24"/>
        </w:rPr>
      </w:pPr>
      <w:r>
        <w:rPr>
          <w:rFonts w:hint="eastAsia" w:ascii="宋体" w:hAnsi="宋体"/>
          <w:sz w:val="24"/>
          <w:szCs w:val="24"/>
        </w:rPr>
        <w:t>结算成交综合单价确定：该项目的成交综合单价将由报价文件”（第一轮报价）中的清单综合单价按照最后报价下浮比例（最后报价与第一轮报价相比的下浮比例）同比例下浮进行计算</w:t>
      </w:r>
      <w:r>
        <w:rPr>
          <w:rFonts w:ascii="宋体" w:hAnsi="宋体"/>
          <w:sz w:val="24"/>
          <w:szCs w:val="24"/>
        </w:rPr>
        <w:t>。</w:t>
      </w:r>
    </w:p>
    <w:p w14:paraId="738057BA">
      <w:pPr>
        <w:snapToGrid w:val="0"/>
        <w:spacing w:line="500" w:lineRule="exact"/>
        <w:ind w:firstLine="480" w:firstLineChars="200"/>
        <w:rPr>
          <w:rFonts w:ascii="宋体" w:hAnsi="宋体"/>
          <w:sz w:val="24"/>
          <w:szCs w:val="24"/>
        </w:rPr>
      </w:pPr>
      <w:r>
        <w:rPr>
          <w:rFonts w:hint="eastAsia" w:ascii="宋体" w:hAnsi="宋体"/>
          <w:sz w:val="24"/>
          <w:szCs w:val="24"/>
        </w:rPr>
        <w:t>具体结算办法如下：</w:t>
      </w:r>
    </w:p>
    <w:p w14:paraId="3A5BD7DA">
      <w:pPr>
        <w:snapToGrid w:val="0"/>
        <w:spacing w:line="500" w:lineRule="exact"/>
        <w:ind w:firstLine="480" w:firstLineChars="200"/>
        <w:rPr>
          <w:rFonts w:ascii="宋体" w:hAnsi="宋体"/>
          <w:sz w:val="24"/>
          <w:szCs w:val="24"/>
        </w:rPr>
      </w:pPr>
      <w:r>
        <w:rPr>
          <w:rFonts w:hint="eastAsia" w:ascii="宋体" w:hAnsi="宋体"/>
          <w:sz w:val="24"/>
          <w:szCs w:val="24"/>
        </w:rPr>
        <w:t xml:space="preserve">1、当工程变更与工程量清单报价中有相同子项的，则按该子项的成交综合单价执行； </w:t>
      </w:r>
    </w:p>
    <w:p w14:paraId="50CCA943">
      <w:pPr>
        <w:snapToGrid w:val="0"/>
        <w:spacing w:line="500" w:lineRule="exact"/>
        <w:ind w:firstLine="480" w:firstLineChars="200"/>
        <w:rPr>
          <w:rFonts w:ascii="宋体" w:hAnsi="宋体"/>
          <w:sz w:val="24"/>
          <w:szCs w:val="24"/>
        </w:rPr>
      </w:pPr>
      <w:r>
        <w:rPr>
          <w:rFonts w:hint="eastAsia" w:ascii="宋体" w:hAnsi="宋体"/>
          <w:sz w:val="24"/>
          <w:szCs w:val="24"/>
        </w:rPr>
        <w:t>2、当工程变更与工程量清单报价中有类似子项的，则参照磋商报价中类似子项的成交综合单价执行（类似子项由采购人审定）；</w:t>
      </w:r>
    </w:p>
    <w:p w14:paraId="6A985B4C">
      <w:pPr>
        <w:snapToGrid w:val="0"/>
        <w:spacing w:line="500" w:lineRule="exact"/>
        <w:ind w:firstLine="480" w:firstLineChars="200"/>
        <w:rPr>
          <w:rFonts w:ascii="宋体" w:hAnsi="宋体"/>
          <w:sz w:val="24"/>
          <w:szCs w:val="24"/>
        </w:rPr>
      </w:pPr>
      <w:r>
        <w:rPr>
          <w:rFonts w:hint="eastAsia" w:ascii="宋体" w:hAnsi="宋体"/>
          <w:sz w:val="24"/>
          <w:szCs w:val="24"/>
        </w:rPr>
        <w:t>3、当工程变更与工程量清单报价中无相同子项或类似子项的，按第三篇报价要求第3条所列定额及其配套、修改、调整文件执行，人工及材料价格调整按合同施工期间《重庆工程造价信息》公布的荣昌地区指导价均价执行，未有的材料价格必须经业主认质认价后办理结算，</w:t>
      </w:r>
      <w:r>
        <w:rPr>
          <w:rFonts w:ascii="宋体" w:hAnsi="宋体"/>
          <w:sz w:val="24"/>
          <w:szCs w:val="24"/>
        </w:rPr>
        <w:t>组价后，按最后报价与</w:t>
      </w:r>
      <w:r>
        <w:rPr>
          <w:rFonts w:hint="eastAsia" w:ascii="宋体" w:hAnsi="宋体"/>
          <w:sz w:val="24"/>
          <w:szCs w:val="24"/>
        </w:rPr>
        <w:t>磋商</w:t>
      </w:r>
      <w:r>
        <w:rPr>
          <w:rFonts w:ascii="宋体" w:hAnsi="宋体"/>
          <w:sz w:val="24"/>
          <w:szCs w:val="24"/>
        </w:rPr>
        <w:t>控制价的比例，同比例调整。</w:t>
      </w:r>
      <w:r>
        <w:rPr>
          <w:rFonts w:hint="eastAsia" w:ascii="宋体" w:hAnsi="宋体"/>
          <w:sz w:val="24"/>
          <w:szCs w:val="24"/>
        </w:rPr>
        <w:t>（认质认价的材料价格、安全文明施工费及税金除外）；</w:t>
      </w:r>
    </w:p>
    <w:p w14:paraId="01A6DE97">
      <w:pPr>
        <w:snapToGrid w:val="0"/>
        <w:spacing w:line="500" w:lineRule="exact"/>
        <w:ind w:firstLine="480" w:firstLineChars="200"/>
        <w:rPr>
          <w:rFonts w:ascii="宋体" w:hAnsi="宋体"/>
          <w:sz w:val="24"/>
          <w:szCs w:val="24"/>
        </w:rPr>
      </w:pPr>
      <w:r>
        <w:rPr>
          <w:rFonts w:hint="eastAsia" w:ascii="宋体" w:hAnsi="宋体"/>
          <w:sz w:val="24"/>
          <w:szCs w:val="24"/>
        </w:rPr>
        <w:t>4、因承包人原因引起的工程量增加,不予计量、计价。</w:t>
      </w:r>
    </w:p>
    <w:p w14:paraId="6786A90F">
      <w:pPr>
        <w:snapToGrid w:val="0"/>
        <w:spacing w:line="500" w:lineRule="exact"/>
        <w:ind w:firstLine="480" w:firstLineChars="200"/>
        <w:rPr>
          <w:rFonts w:ascii="宋体" w:hAnsi="宋体"/>
          <w:sz w:val="24"/>
          <w:szCs w:val="24"/>
        </w:rPr>
      </w:pPr>
      <w:r>
        <w:rPr>
          <w:rFonts w:hint="eastAsia" w:ascii="宋体" w:hAnsi="宋体"/>
          <w:sz w:val="24"/>
          <w:szCs w:val="24"/>
        </w:rPr>
        <w:t>5、技术措施费结算时不予调整，包干使用。</w:t>
      </w:r>
    </w:p>
    <w:p w14:paraId="128B038B">
      <w:pPr>
        <w:snapToGrid w:val="0"/>
        <w:spacing w:line="500" w:lineRule="exact"/>
        <w:ind w:firstLine="480" w:firstLineChars="200"/>
        <w:rPr>
          <w:rFonts w:ascii="宋体" w:hAnsi="宋体"/>
          <w:sz w:val="24"/>
          <w:szCs w:val="24"/>
        </w:rPr>
      </w:pPr>
      <w:r>
        <w:rPr>
          <w:rFonts w:hint="eastAsia" w:ascii="宋体" w:hAnsi="宋体"/>
          <w:sz w:val="24"/>
          <w:szCs w:val="24"/>
        </w:rPr>
        <w:t>6、专业工程暂估价和材料的暂定价格由业主认质认价办理结算。</w:t>
      </w:r>
    </w:p>
    <w:p w14:paraId="55F0F4EA">
      <w:pPr>
        <w:snapToGrid w:val="0"/>
        <w:spacing w:line="500" w:lineRule="exact"/>
        <w:ind w:firstLine="480" w:firstLineChars="200"/>
        <w:rPr>
          <w:rFonts w:ascii="宋体" w:hAnsi="宋体"/>
          <w:sz w:val="24"/>
          <w:szCs w:val="24"/>
        </w:rPr>
      </w:pPr>
      <w:r>
        <w:rPr>
          <w:rFonts w:hint="eastAsia" w:ascii="宋体" w:hAnsi="宋体"/>
          <w:sz w:val="24"/>
          <w:szCs w:val="24"/>
        </w:rPr>
        <w:t>7、本工程结算最终以审计部门审定的金额为准。</w:t>
      </w:r>
    </w:p>
    <w:p w14:paraId="09A560AD">
      <w:pPr>
        <w:spacing w:line="500" w:lineRule="exact"/>
        <w:rPr>
          <w:rFonts w:ascii="宋体" w:hAnsi="宋体"/>
          <w:b/>
          <w:bCs/>
          <w:sz w:val="24"/>
          <w:szCs w:val="24"/>
        </w:rPr>
      </w:pPr>
      <w:r>
        <w:rPr>
          <w:rFonts w:ascii="宋体" w:hAnsi="宋体"/>
          <w:b/>
          <w:bCs/>
          <w:sz w:val="24"/>
          <w:szCs w:val="24"/>
        </w:rPr>
        <w:t>17.6  最终结清</w:t>
      </w:r>
    </w:p>
    <w:p w14:paraId="05AAF434">
      <w:pPr>
        <w:spacing w:line="500" w:lineRule="exact"/>
        <w:rPr>
          <w:rFonts w:ascii="宋体" w:hAnsi="宋体"/>
          <w:sz w:val="24"/>
          <w:szCs w:val="24"/>
        </w:rPr>
      </w:pPr>
      <w:r>
        <w:rPr>
          <w:rFonts w:ascii="宋体" w:hAnsi="宋体"/>
          <w:b/>
          <w:bCs/>
          <w:sz w:val="24"/>
          <w:szCs w:val="24"/>
        </w:rPr>
        <w:t>17.6.1  最终结清申请单</w:t>
      </w:r>
    </w:p>
    <w:p w14:paraId="4F4B613C">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最终结清申请单的份数和提交期限：</w:t>
      </w:r>
      <w:r>
        <w:rPr>
          <w:rFonts w:ascii="宋体" w:hAnsi="宋体"/>
          <w:sz w:val="24"/>
          <w:szCs w:val="24"/>
          <w:u w:val="single"/>
        </w:rPr>
        <w:t xml:space="preserve"> </w:t>
      </w:r>
      <w:bookmarkStart w:id="353" w:name="_Toc410381417"/>
      <w:bookmarkStart w:id="354" w:name="_Toc361654000"/>
      <w:bookmarkStart w:id="355" w:name="_Toc442514380"/>
      <w:bookmarkStart w:id="356" w:name="_Toc446108041"/>
      <w:r>
        <w:rPr>
          <w:rFonts w:hint="eastAsia" w:ascii="宋体" w:hAnsi="宋体"/>
          <w:sz w:val="24"/>
          <w:szCs w:val="24"/>
          <w:u w:val="single"/>
        </w:rPr>
        <w:t xml:space="preserve">                          </w:t>
      </w:r>
    </w:p>
    <w:p w14:paraId="1F1DA722">
      <w:pPr>
        <w:spacing w:line="500" w:lineRule="exact"/>
        <w:rPr>
          <w:rFonts w:ascii="宋体" w:hAnsi="宋体"/>
          <w:b/>
          <w:bCs/>
          <w:sz w:val="24"/>
          <w:szCs w:val="24"/>
        </w:rPr>
      </w:pPr>
      <w:r>
        <w:rPr>
          <w:rFonts w:hint="eastAsia" w:ascii="宋体" w:hAnsi="宋体"/>
          <w:b/>
          <w:bCs/>
          <w:sz w:val="24"/>
          <w:szCs w:val="24"/>
        </w:rPr>
        <w:t xml:space="preserve">18.  </w:t>
      </w:r>
      <w:r>
        <w:rPr>
          <w:rFonts w:ascii="宋体" w:hAnsi="宋体"/>
          <w:b/>
          <w:bCs/>
          <w:sz w:val="24"/>
          <w:szCs w:val="24"/>
        </w:rPr>
        <w:t>竣工验收</w:t>
      </w:r>
      <w:bookmarkEnd w:id="353"/>
      <w:bookmarkEnd w:id="354"/>
      <w:bookmarkEnd w:id="355"/>
      <w:bookmarkEnd w:id="356"/>
    </w:p>
    <w:p w14:paraId="18FFF9D1">
      <w:pPr>
        <w:spacing w:line="500" w:lineRule="exact"/>
        <w:rPr>
          <w:rFonts w:ascii="宋体" w:hAnsi="宋体"/>
          <w:b/>
          <w:bCs/>
          <w:sz w:val="24"/>
          <w:szCs w:val="24"/>
        </w:rPr>
      </w:pPr>
      <w:r>
        <w:rPr>
          <w:rFonts w:ascii="宋体" w:hAnsi="宋体"/>
          <w:b/>
          <w:bCs/>
          <w:sz w:val="24"/>
          <w:szCs w:val="24"/>
        </w:rPr>
        <w:t>18.2  竣工验收申请报告</w:t>
      </w:r>
    </w:p>
    <w:p w14:paraId="423E9172">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竣工资料内容：</w:t>
      </w:r>
      <w:r>
        <w:rPr>
          <w:rFonts w:ascii="宋体" w:hAnsi="宋体"/>
          <w:sz w:val="24"/>
          <w:szCs w:val="24"/>
          <w:u w:val="single"/>
        </w:rPr>
        <w:t xml:space="preserve">符合重庆市档案管理的规定。 </w:t>
      </w:r>
      <w:r>
        <w:rPr>
          <w:rFonts w:ascii="宋体" w:hAnsi="宋体"/>
          <w:sz w:val="24"/>
          <w:szCs w:val="24"/>
        </w:rPr>
        <w:t xml:space="preserve">  </w:t>
      </w:r>
    </w:p>
    <w:p w14:paraId="1CF38464">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竣工资料份数：</w:t>
      </w:r>
      <w:r>
        <w:rPr>
          <w:rFonts w:ascii="宋体" w:hAnsi="宋体"/>
          <w:sz w:val="24"/>
          <w:szCs w:val="24"/>
          <w:u w:val="single"/>
        </w:rPr>
        <w:t>一式</w:t>
      </w:r>
      <w:r>
        <w:rPr>
          <w:rFonts w:hint="eastAsia" w:ascii="宋体" w:hAnsi="宋体"/>
          <w:sz w:val="24"/>
          <w:szCs w:val="24"/>
          <w:u w:val="single"/>
        </w:rPr>
        <w:t>二</w:t>
      </w:r>
      <w:r>
        <w:rPr>
          <w:rFonts w:ascii="宋体" w:hAnsi="宋体"/>
          <w:sz w:val="24"/>
          <w:szCs w:val="24"/>
          <w:u w:val="single"/>
        </w:rPr>
        <w:t>套。</w:t>
      </w:r>
      <w:r>
        <w:rPr>
          <w:rFonts w:ascii="宋体" w:hAnsi="宋体"/>
          <w:sz w:val="24"/>
          <w:szCs w:val="24"/>
        </w:rPr>
        <w:t xml:space="preserve">   </w:t>
      </w:r>
    </w:p>
    <w:p w14:paraId="110CA01F">
      <w:pPr>
        <w:spacing w:line="500" w:lineRule="exact"/>
        <w:rPr>
          <w:rFonts w:ascii="宋体" w:hAnsi="宋体"/>
          <w:b/>
          <w:bCs/>
          <w:sz w:val="24"/>
          <w:szCs w:val="24"/>
        </w:rPr>
      </w:pPr>
      <w:r>
        <w:rPr>
          <w:rFonts w:ascii="宋体" w:hAnsi="宋体"/>
          <w:b/>
          <w:bCs/>
          <w:sz w:val="24"/>
          <w:szCs w:val="24"/>
        </w:rPr>
        <w:t>18.3  验收</w:t>
      </w:r>
    </w:p>
    <w:p w14:paraId="7A3DC1C6">
      <w:pPr>
        <w:spacing w:line="500" w:lineRule="exact"/>
        <w:rPr>
          <w:rFonts w:ascii="宋体" w:hAnsi="宋体"/>
          <w:sz w:val="24"/>
          <w:szCs w:val="24"/>
        </w:rPr>
      </w:pPr>
      <w:r>
        <w:rPr>
          <w:rFonts w:ascii="宋体" w:hAnsi="宋体"/>
          <w:sz w:val="24"/>
          <w:szCs w:val="24"/>
        </w:rPr>
        <w:t xml:space="preserve">    18.3.5  实际竣工日期：经验收合格工程的实际竣工日期以验收合格日为准，则在工程接收证书中写明验收合格日为实际竣工日期。 </w:t>
      </w:r>
    </w:p>
    <w:p w14:paraId="286EB440">
      <w:pPr>
        <w:spacing w:line="500" w:lineRule="exact"/>
        <w:rPr>
          <w:rFonts w:ascii="宋体" w:hAnsi="宋体"/>
          <w:b/>
          <w:bCs/>
          <w:sz w:val="24"/>
          <w:szCs w:val="24"/>
        </w:rPr>
      </w:pPr>
      <w:r>
        <w:rPr>
          <w:rFonts w:ascii="宋体" w:hAnsi="宋体"/>
          <w:b/>
          <w:bCs/>
          <w:sz w:val="24"/>
          <w:szCs w:val="24"/>
        </w:rPr>
        <w:t>18.5  施工期运行</w:t>
      </w:r>
    </w:p>
    <w:p w14:paraId="2B3261DC">
      <w:pPr>
        <w:spacing w:line="500" w:lineRule="exact"/>
        <w:rPr>
          <w:rFonts w:ascii="宋体" w:hAnsi="宋体"/>
          <w:sz w:val="24"/>
          <w:szCs w:val="24"/>
        </w:rPr>
      </w:pPr>
      <w:r>
        <w:rPr>
          <w:rFonts w:ascii="宋体" w:hAnsi="宋体"/>
          <w:sz w:val="24"/>
          <w:szCs w:val="24"/>
        </w:rPr>
        <w:t xml:space="preserve">    18.5.1  需要施工期运行单位工程或工程设备：</w:t>
      </w:r>
      <w:r>
        <w:rPr>
          <w:rFonts w:ascii="宋体" w:hAnsi="宋体"/>
          <w:sz w:val="24"/>
          <w:szCs w:val="24"/>
          <w:u w:val="single"/>
        </w:rPr>
        <w:t xml:space="preserve">无  </w:t>
      </w:r>
      <w:r>
        <w:rPr>
          <w:rFonts w:ascii="宋体" w:hAnsi="宋体"/>
          <w:sz w:val="24"/>
          <w:szCs w:val="24"/>
        </w:rPr>
        <w:t xml:space="preserve">   </w:t>
      </w:r>
    </w:p>
    <w:p w14:paraId="2B619B49">
      <w:pPr>
        <w:spacing w:line="500" w:lineRule="exact"/>
        <w:rPr>
          <w:rFonts w:ascii="宋体" w:hAnsi="宋体"/>
          <w:b/>
          <w:bCs/>
          <w:sz w:val="24"/>
          <w:szCs w:val="24"/>
        </w:rPr>
      </w:pPr>
      <w:r>
        <w:rPr>
          <w:rFonts w:ascii="宋体" w:hAnsi="宋体"/>
          <w:b/>
          <w:bCs/>
          <w:sz w:val="24"/>
          <w:szCs w:val="24"/>
        </w:rPr>
        <w:t>18.6  试运行</w:t>
      </w:r>
    </w:p>
    <w:p w14:paraId="19808C45">
      <w:pPr>
        <w:spacing w:line="500" w:lineRule="exact"/>
        <w:rPr>
          <w:rFonts w:ascii="宋体" w:hAnsi="宋体"/>
          <w:sz w:val="24"/>
          <w:szCs w:val="24"/>
        </w:rPr>
      </w:pPr>
      <w:r>
        <w:rPr>
          <w:rFonts w:ascii="宋体" w:hAnsi="宋体"/>
          <w:sz w:val="24"/>
          <w:szCs w:val="24"/>
        </w:rPr>
        <w:t xml:space="preserve">    18.6.1  试运行的组织及费用承担：</w:t>
      </w:r>
      <w:r>
        <w:rPr>
          <w:rFonts w:hint="eastAsia" w:ascii="宋体" w:hAnsi="宋体"/>
          <w:sz w:val="24"/>
          <w:szCs w:val="24"/>
          <w:u w:val="single"/>
        </w:rPr>
        <w:t xml:space="preserve">不发生  </w:t>
      </w:r>
      <w:r>
        <w:rPr>
          <w:rFonts w:ascii="宋体" w:hAnsi="宋体"/>
          <w:sz w:val="24"/>
          <w:szCs w:val="24"/>
        </w:rPr>
        <w:t xml:space="preserve">       </w:t>
      </w:r>
    </w:p>
    <w:p w14:paraId="1E6736BE">
      <w:pPr>
        <w:spacing w:line="500" w:lineRule="exact"/>
        <w:rPr>
          <w:rFonts w:ascii="宋体" w:hAnsi="宋体"/>
          <w:b/>
          <w:bCs/>
          <w:sz w:val="24"/>
          <w:szCs w:val="24"/>
        </w:rPr>
      </w:pPr>
      <w:r>
        <w:rPr>
          <w:rFonts w:ascii="宋体" w:hAnsi="宋体"/>
          <w:b/>
          <w:bCs/>
          <w:sz w:val="24"/>
          <w:szCs w:val="24"/>
        </w:rPr>
        <w:t>18.7  竣工清场</w:t>
      </w:r>
    </w:p>
    <w:p w14:paraId="71D7CE8A">
      <w:pPr>
        <w:spacing w:line="500" w:lineRule="exact"/>
        <w:rPr>
          <w:rFonts w:ascii="宋体" w:hAnsi="宋体"/>
          <w:sz w:val="24"/>
          <w:szCs w:val="24"/>
        </w:rPr>
      </w:pPr>
      <w:r>
        <w:rPr>
          <w:rFonts w:ascii="宋体" w:hAnsi="宋体"/>
          <w:sz w:val="24"/>
          <w:szCs w:val="24"/>
        </w:rPr>
        <w:t xml:space="preserve">    18.7.1  竣工清场： 中标人负责按照通用条款的要求在竣工验收前完成竣工清场相关工作及费用。 </w:t>
      </w:r>
    </w:p>
    <w:p w14:paraId="7BF00D6B">
      <w:pPr>
        <w:spacing w:line="500" w:lineRule="exact"/>
        <w:rPr>
          <w:rFonts w:ascii="宋体" w:hAnsi="宋体"/>
          <w:b/>
          <w:bCs/>
          <w:sz w:val="24"/>
          <w:szCs w:val="24"/>
        </w:rPr>
      </w:pPr>
      <w:r>
        <w:rPr>
          <w:rFonts w:ascii="宋体" w:hAnsi="宋体"/>
          <w:b/>
          <w:bCs/>
          <w:sz w:val="24"/>
          <w:szCs w:val="24"/>
        </w:rPr>
        <w:t>18.8  施工队伍的撤离</w:t>
      </w:r>
    </w:p>
    <w:p w14:paraId="20805383">
      <w:pPr>
        <w:spacing w:line="500" w:lineRule="exact"/>
        <w:rPr>
          <w:rFonts w:ascii="宋体" w:hAnsi="宋体"/>
          <w:sz w:val="24"/>
          <w:szCs w:val="24"/>
        </w:rPr>
      </w:pPr>
      <w:r>
        <w:rPr>
          <w:rFonts w:ascii="宋体" w:hAnsi="宋体"/>
          <w:sz w:val="24"/>
          <w:szCs w:val="24"/>
        </w:rPr>
        <w:t xml:space="preserve">    施工人员、施工设备及其临时工程撤离的要求：</w:t>
      </w:r>
      <w:r>
        <w:rPr>
          <w:rFonts w:ascii="宋体" w:hAnsi="宋体"/>
          <w:sz w:val="24"/>
          <w:szCs w:val="24"/>
          <w:u w:val="single"/>
        </w:rPr>
        <w:t xml:space="preserve">执行通用条款。 </w:t>
      </w:r>
      <w:r>
        <w:rPr>
          <w:rFonts w:ascii="宋体" w:hAnsi="宋体"/>
          <w:sz w:val="24"/>
          <w:szCs w:val="24"/>
        </w:rPr>
        <w:t xml:space="preserve">     </w:t>
      </w:r>
    </w:p>
    <w:p w14:paraId="680075CA">
      <w:pPr>
        <w:spacing w:line="500" w:lineRule="exact"/>
        <w:rPr>
          <w:rFonts w:ascii="宋体" w:hAnsi="宋体"/>
          <w:b/>
          <w:bCs/>
          <w:sz w:val="24"/>
          <w:szCs w:val="24"/>
        </w:rPr>
      </w:pPr>
      <w:bookmarkStart w:id="357" w:name="_Toc361654001"/>
      <w:bookmarkStart w:id="358" w:name="_Toc442514381"/>
      <w:bookmarkStart w:id="359" w:name="_Toc446108042"/>
      <w:bookmarkStart w:id="360" w:name="_Toc410381418"/>
      <w:r>
        <w:rPr>
          <w:rFonts w:ascii="宋体" w:hAnsi="宋体"/>
          <w:b/>
          <w:bCs/>
          <w:sz w:val="24"/>
          <w:szCs w:val="24"/>
        </w:rPr>
        <w:t>19.  缺陷责任与保修责任</w:t>
      </w:r>
      <w:bookmarkEnd w:id="357"/>
      <w:bookmarkEnd w:id="358"/>
      <w:bookmarkEnd w:id="359"/>
      <w:bookmarkEnd w:id="360"/>
    </w:p>
    <w:p w14:paraId="06F79FCC">
      <w:pPr>
        <w:spacing w:line="500" w:lineRule="exact"/>
        <w:rPr>
          <w:rFonts w:ascii="宋体" w:hAnsi="宋体"/>
          <w:b/>
          <w:bCs/>
          <w:sz w:val="24"/>
          <w:szCs w:val="24"/>
        </w:rPr>
      </w:pPr>
      <w:r>
        <w:rPr>
          <w:rFonts w:ascii="宋体" w:hAnsi="宋体"/>
          <w:b/>
          <w:bCs/>
          <w:sz w:val="24"/>
          <w:szCs w:val="24"/>
        </w:rPr>
        <w:t>19.7  保修责任</w:t>
      </w:r>
    </w:p>
    <w:p w14:paraId="638C8566">
      <w:pPr>
        <w:spacing w:line="500" w:lineRule="exact"/>
        <w:rPr>
          <w:rFonts w:ascii="宋体" w:hAnsi="宋体"/>
          <w:sz w:val="24"/>
          <w:szCs w:val="24"/>
        </w:rPr>
      </w:pPr>
      <w:r>
        <w:rPr>
          <w:rFonts w:ascii="宋体" w:hAnsi="宋体"/>
          <w:sz w:val="24"/>
          <w:szCs w:val="24"/>
        </w:rPr>
        <w:t xml:space="preserve">    工程质量保修范围、期限和责任：</w:t>
      </w:r>
      <w:r>
        <w:rPr>
          <w:rFonts w:ascii="宋体" w:hAnsi="宋体"/>
          <w:sz w:val="24"/>
          <w:szCs w:val="24"/>
          <w:u w:val="single"/>
        </w:rPr>
        <w:t>按国家有关规定</w:t>
      </w:r>
      <w:r>
        <w:rPr>
          <w:rFonts w:ascii="宋体" w:hAnsi="宋体"/>
          <w:sz w:val="24"/>
          <w:szCs w:val="24"/>
        </w:rPr>
        <w:t xml:space="preserve">。  </w:t>
      </w:r>
    </w:p>
    <w:p w14:paraId="554552CE">
      <w:pPr>
        <w:spacing w:line="500" w:lineRule="exact"/>
        <w:rPr>
          <w:rFonts w:ascii="宋体" w:hAnsi="宋体"/>
          <w:b/>
          <w:bCs/>
          <w:sz w:val="24"/>
          <w:szCs w:val="24"/>
        </w:rPr>
      </w:pPr>
      <w:bookmarkStart w:id="361" w:name="_Toc446108043"/>
      <w:bookmarkStart w:id="362" w:name="_Toc442514382"/>
      <w:bookmarkStart w:id="363" w:name="_Toc410381419"/>
      <w:bookmarkStart w:id="364" w:name="_Toc361654002"/>
      <w:r>
        <w:rPr>
          <w:rFonts w:ascii="宋体" w:hAnsi="宋体"/>
          <w:b/>
          <w:bCs/>
          <w:sz w:val="24"/>
          <w:szCs w:val="24"/>
        </w:rPr>
        <w:t>20.  保险</w:t>
      </w:r>
      <w:bookmarkEnd w:id="361"/>
      <w:bookmarkEnd w:id="362"/>
      <w:bookmarkEnd w:id="363"/>
      <w:bookmarkEnd w:id="364"/>
    </w:p>
    <w:p w14:paraId="34CB5026">
      <w:pPr>
        <w:spacing w:line="500" w:lineRule="exact"/>
        <w:rPr>
          <w:rFonts w:ascii="宋体" w:hAnsi="宋体"/>
          <w:b/>
          <w:bCs/>
          <w:sz w:val="24"/>
          <w:szCs w:val="24"/>
        </w:rPr>
      </w:pPr>
      <w:r>
        <w:rPr>
          <w:rFonts w:ascii="宋体" w:hAnsi="宋体"/>
          <w:b/>
          <w:bCs/>
          <w:sz w:val="24"/>
          <w:szCs w:val="24"/>
        </w:rPr>
        <w:t>20.1  工程保险</w:t>
      </w:r>
    </w:p>
    <w:p w14:paraId="37A9C21B">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投保人： 中标人应以招标人和中标人的共同名义向双方同意的保险人投保建筑工程一切险、安装工程一切险、以及以下所要求的各种保险，投保所需的费用已含在投标报价中，由中标人自行承担。 </w:t>
      </w:r>
    </w:p>
    <w:p w14:paraId="43B4C33A">
      <w:pPr>
        <w:spacing w:line="500" w:lineRule="exact"/>
        <w:rPr>
          <w:rFonts w:ascii="宋体" w:hAnsi="宋体"/>
          <w:sz w:val="24"/>
          <w:szCs w:val="24"/>
        </w:rPr>
      </w:pPr>
      <w:r>
        <w:rPr>
          <w:rFonts w:ascii="宋体" w:hAnsi="宋体"/>
          <w:sz w:val="24"/>
          <w:szCs w:val="24"/>
        </w:rPr>
        <w:t xml:space="preserve">投保内容：按通用条款20.1、20.2、20.3、20.4、20.5条执行。     </w:t>
      </w:r>
    </w:p>
    <w:p w14:paraId="548BCBEB">
      <w:pPr>
        <w:spacing w:line="500" w:lineRule="exact"/>
        <w:rPr>
          <w:rFonts w:ascii="宋体" w:hAnsi="宋体"/>
          <w:sz w:val="24"/>
          <w:szCs w:val="24"/>
        </w:rPr>
      </w:pPr>
      <w:r>
        <w:rPr>
          <w:rFonts w:ascii="宋体" w:hAnsi="宋体"/>
          <w:sz w:val="24"/>
          <w:szCs w:val="24"/>
        </w:rPr>
        <w:t xml:space="preserve">保险金额、保险费率和保险期限：按照有关法律规定。     </w:t>
      </w:r>
    </w:p>
    <w:p w14:paraId="35A405C5">
      <w:pPr>
        <w:spacing w:line="500" w:lineRule="exact"/>
        <w:rPr>
          <w:rFonts w:ascii="宋体" w:hAnsi="宋体"/>
          <w:sz w:val="24"/>
          <w:szCs w:val="24"/>
        </w:rPr>
      </w:pPr>
      <w:r>
        <w:rPr>
          <w:rFonts w:ascii="宋体" w:hAnsi="宋体"/>
          <w:b/>
          <w:bCs/>
          <w:sz w:val="24"/>
          <w:szCs w:val="24"/>
        </w:rPr>
        <w:t>20.4  第三者责任险</w:t>
      </w:r>
    </w:p>
    <w:p w14:paraId="720328CE">
      <w:pPr>
        <w:spacing w:line="500" w:lineRule="exact"/>
        <w:rPr>
          <w:rFonts w:ascii="宋体" w:hAnsi="宋体"/>
          <w:sz w:val="24"/>
          <w:szCs w:val="24"/>
        </w:rPr>
      </w:pPr>
      <w:r>
        <w:rPr>
          <w:rFonts w:ascii="宋体" w:hAnsi="宋体"/>
          <w:sz w:val="24"/>
          <w:szCs w:val="24"/>
        </w:rPr>
        <w:t>第三者责任险的保险费率：</w:t>
      </w:r>
      <w:r>
        <w:rPr>
          <w:rFonts w:ascii="宋体" w:hAnsi="宋体"/>
          <w:sz w:val="24"/>
          <w:szCs w:val="24"/>
          <w:u w:val="single"/>
        </w:rPr>
        <w:t>由中标人与保险人商议确定 。</w:t>
      </w:r>
      <w:r>
        <w:rPr>
          <w:rFonts w:ascii="宋体" w:hAnsi="宋体"/>
          <w:sz w:val="24"/>
          <w:szCs w:val="24"/>
        </w:rPr>
        <w:t xml:space="preserve">   </w:t>
      </w:r>
    </w:p>
    <w:p w14:paraId="503FD927">
      <w:pPr>
        <w:spacing w:line="500" w:lineRule="exact"/>
        <w:rPr>
          <w:rFonts w:ascii="宋体" w:hAnsi="宋体"/>
          <w:sz w:val="24"/>
          <w:szCs w:val="24"/>
        </w:rPr>
      </w:pPr>
      <w:r>
        <w:rPr>
          <w:rFonts w:ascii="宋体" w:hAnsi="宋体"/>
          <w:sz w:val="24"/>
          <w:szCs w:val="24"/>
        </w:rPr>
        <w:t>第三者责任险的保险金额：</w:t>
      </w:r>
      <w:r>
        <w:rPr>
          <w:rFonts w:ascii="宋体" w:hAnsi="宋体"/>
          <w:sz w:val="24"/>
          <w:szCs w:val="24"/>
          <w:u w:val="single"/>
        </w:rPr>
        <w:t xml:space="preserve">由中标人与保险人商议确定 </w:t>
      </w:r>
      <w:r>
        <w:rPr>
          <w:rFonts w:ascii="宋体" w:hAnsi="宋体"/>
          <w:sz w:val="24"/>
          <w:szCs w:val="24"/>
        </w:rPr>
        <w:t xml:space="preserve">。   </w:t>
      </w:r>
    </w:p>
    <w:p w14:paraId="13F5B61D">
      <w:pPr>
        <w:spacing w:line="500" w:lineRule="exact"/>
        <w:rPr>
          <w:rFonts w:ascii="宋体" w:hAnsi="宋体"/>
          <w:b/>
          <w:bCs/>
          <w:sz w:val="24"/>
          <w:szCs w:val="24"/>
        </w:rPr>
      </w:pPr>
      <w:r>
        <w:rPr>
          <w:rFonts w:ascii="宋体" w:hAnsi="宋体"/>
          <w:b/>
          <w:bCs/>
          <w:sz w:val="24"/>
          <w:szCs w:val="24"/>
        </w:rPr>
        <w:t>20.5  其他保险</w:t>
      </w:r>
    </w:p>
    <w:p w14:paraId="7B7444F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需要投保其他内容、保险金额、费率及期限等： 由中标人自行考虑确定，费用由中标人自行承担。 </w:t>
      </w:r>
    </w:p>
    <w:p w14:paraId="071A266A">
      <w:pPr>
        <w:spacing w:line="500" w:lineRule="exact"/>
        <w:rPr>
          <w:rFonts w:ascii="宋体" w:hAnsi="宋体"/>
          <w:b/>
          <w:bCs/>
          <w:sz w:val="24"/>
          <w:szCs w:val="24"/>
        </w:rPr>
      </w:pPr>
      <w:r>
        <w:rPr>
          <w:rFonts w:ascii="宋体" w:hAnsi="宋体"/>
          <w:b/>
          <w:bCs/>
          <w:sz w:val="24"/>
          <w:szCs w:val="24"/>
        </w:rPr>
        <w:t>20.6  对各项保险的一般要求</w:t>
      </w:r>
    </w:p>
    <w:p w14:paraId="30004BC8">
      <w:pPr>
        <w:spacing w:line="500" w:lineRule="exact"/>
        <w:rPr>
          <w:rFonts w:ascii="宋体" w:hAnsi="宋体"/>
          <w:b/>
          <w:bCs/>
          <w:sz w:val="24"/>
          <w:szCs w:val="24"/>
        </w:rPr>
      </w:pPr>
      <w:r>
        <w:rPr>
          <w:rFonts w:ascii="宋体" w:hAnsi="宋体"/>
          <w:b/>
          <w:bCs/>
          <w:sz w:val="24"/>
          <w:szCs w:val="24"/>
        </w:rPr>
        <w:t>20.6.1  保险凭证</w:t>
      </w:r>
    </w:p>
    <w:p w14:paraId="4E29A50B">
      <w:pPr>
        <w:spacing w:line="500" w:lineRule="exact"/>
        <w:rPr>
          <w:rFonts w:ascii="宋体" w:hAnsi="宋体"/>
          <w:sz w:val="24"/>
          <w:szCs w:val="24"/>
          <w:u w:val="single"/>
        </w:rPr>
      </w:pPr>
      <w:r>
        <w:rPr>
          <w:rFonts w:ascii="宋体" w:hAnsi="宋体"/>
          <w:sz w:val="24"/>
          <w:szCs w:val="24"/>
        </w:rPr>
        <w:t xml:space="preserve">    保险条件：</w:t>
      </w:r>
      <w:r>
        <w:rPr>
          <w:rFonts w:ascii="宋体" w:hAnsi="宋体"/>
          <w:sz w:val="24"/>
          <w:szCs w:val="24"/>
          <w:u w:val="single"/>
        </w:rPr>
        <w:t xml:space="preserve">中标人应以招标人和中标人的共同名义对由中标人风险造成的事故提供保险。 </w:t>
      </w:r>
    </w:p>
    <w:p w14:paraId="65DB9AEC">
      <w:pPr>
        <w:spacing w:line="500" w:lineRule="exact"/>
        <w:rPr>
          <w:rFonts w:ascii="宋体" w:hAnsi="宋体"/>
          <w:sz w:val="24"/>
          <w:szCs w:val="24"/>
        </w:rPr>
      </w:pPr>
      <w:r>
        <w:rPr>
          <w:rFonts w:ascii="宋体" w:hAnsi="宋体"/>
          <w:sz w:val="24"/>
          <w:szCs w:val="24"/>
        </w:rPr>
        <w:t xml:space="preserve">    中标人提交保险凭证的期限：</w:t>
      </w:r>
      <w:r>
        <w:rPr>
          <w:rFonts w:ascii="宋体" w:hAnsi="宋体"/>
          <w:sz w:val="24"/>
          <w:szCs w:val="24"/>
          <w:u w:val="single"/>
        </w:rPr>
        <w:t>合同签订日起14天以内。</w:t>
      </w:r>
      <w:r>
        <w:rPr>
          <w:rFonts w:ascii="宋体" w:hAnsi="宋体"/>
          <w:sz w:val="24"/>
          <w:szCs w:val="24"/>
        </w:rPr>
        <w:t xml:space="preserve">    </w:t>
      </w:r>
    </w:p>
    <w:p w14:paraId="2401F496">
      <w:pPr>
        <w:spacing w:line="500" w:lineRule="exact"/>
        <w:rPr>
          <w:rFonts w:ascii="宋体" w:hAnsi="宋体"/>
          <w:b/>
          <w:bCs/>
          <w:sz w:val="24"/>
          <w:szCs w:val="24"/>
        </w:rPr>
      </w:pPr>
      <w:r>
        <w:rPr>
          <w:rFonts w:ascii="宋体" w:hAnsi="宋体"/>
          <w:b/>
          <w:bCs/>
          <w:sz w:val="24"/>
          <w:szCs w:val="24"/>
        </w:rPr>
        <w:t>20.6.4  对各项保险的一般要求</w:t>
      </w:r>
    </w:p>
    <w:p w14:paraId="3232B87E">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保险金不足以补偿损失时，应由中标人和(或)招标人负责补偿的范围与金额：永久工程损失保险赔偿与实际损失的差额由中标人补偿，临时工程、施工设备和施工人员损失保险赔偿与实际损失的差额由中标人补偿。 </w:t>
      </w:r>
    </w:p>
    <w:p w14:paraId="35330108">
      <w:pPr>
        <w:spacing w:line="500" w:lineRule="exact"/>
        <w:rPr>
          <w:rFonts w:ascii="宋体" w:hAnsi="宋体"/>
          <w:b/>
          <w:bCs/>
          <w:sz w:val="24"/>
          <w:szCs w:val="24"/>
        </w:rPr>
      </w:pPr>
      <w:bookmarkStart w:id="365" w:name="_Toc442514383"/>
      <w:bookmarkStart w:id="366" w:name="_Toc410381420"/>
      <w:bookmarkStart w:id="367" w:name="_Toc361654003"/>
      <w:bookmarkStart w:id="368" w:name="_Toc446108044"/>
      <w:r>
        <w:rPr>
          <w:rFonts w:ascii="宋体" w:hAnsi="宋体"/>
          <w:b/>
          <w:bCs/>
          <w:sz w:val="24"/>
          <w:szCs w:val="24"/>
        </w:rPr>
        <w:t>21.  不可抗力</w:t>
      </w:r>
      <w:bookmarkEnd w:id="365"/>
      <w:bookmarkEnd w:id="366"/>
      <w:bookmarkEnd w:id="367"/>
      <w:bookmarkEnd w:id="368"/>
    </w:p>
    <w:p w14:paraId="76ADDE6A">
      <w:pPr>
        <w:spacing w:line="500" w:lineRule="exact"/>
        <w:rPr>
          <w:rFonts w:ascii="宋体" w:hAnsi="宋体"/>
          <w:b/>
          <w:bCs/>
          <w:sz w:val="24"/>
          <w:szCs w:val="24"/>
        </w:rPr>
      </w:pPr>
      <w:r>
        <w:rPr>
          <w:rFonts w:ascii="宋体" w:hAnsi="宋体"/>
          <w:b/>
          <w:bCs/>
          <w:sz w:val="24"/>
          <w:szCs w:val="24"/>
        </w:rPr>
        <w:t>21.1  不可抗力的确认</w:t>
      </w:r>
    </w:p>
    <w:p w14:paraId="6E82F7C5">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不可抗力的范围：</w:t>
      </w:r>
      <w:r>
        <w:rPr>
          <w:rFonts w:ascii="宋体" w:hAnsi="宋体"/>
          <w:sz w:val="24"/>
          <w:szCs w:val="24"/>
          <w:u w:val="single"/>
        </w:rPr>
        <w:t>按通用条款执行。</w:t>
      </w:r>
    </w:p>
    <w:p w14:paraId="38E14515">
      <w:pPr>
        <w:spacing w:line="500" w:lineRule="exact"/>
        <w:rPr>
          <w:rFonts w:ascii="宋体" w:hAnsi="宋体"/>
          <w:b/>
          <w:bCs/>
          <w:sz w:val="24"/>
          <w:szCs w:val="24"/>
        </w:rPr>
      </w:pPr>
      <w:r>
        <w:rPr>
          <w:rFonts w:ascii="宋体" w:hAnsi="宋体"/>
          <w:b/>
          <w:bCs/>
          <w:sz w:val="24"/>
          <w:szCs w:val="24"/>
        </w:rPr>
        <w:t>21.3  不可抗力后果及其处理</w:t>
      </w:r>
    </w:p>
    <w:p w14:paraId="6F36A577">
      <w:pPr>
        <w:spacing w:line="500" w:lineRule="exact"/>
        <w:rPr>
          <w:rFonts w:ascii="宋体" w:hAnsi="宋体"/>
          <w:sz w:val="24"/>
          <w:szCs w:val="24"/>
        </w:rPr>
      </w:pPr>
      <w:r>
        <w:rPr>
          <w:rFonts w:ascii="宋体" w:hAnsi="宋体"/>
          <w:sz w:val="24"/>
          <w:szCs w:val="24"/>
        </w:rPr>
        <w:t>21.3.1  不可抗力造成损害的责任</w:t>
      </w:r>
    </w:p>
    <w:p w14:paraId="7299254E">
      <w:pPr>
        <w:spacing w:line="500" w:lineRule="exact"/>
        <w:rPr>
          <w:rStyle w:val="261"/>
          <w:sz w:val="24"/>
          <w:szCs w:val="24"/>
        </w:rPr>
      </w:pPr>
      <w:r>
        <w:rPr>
          <w:rFonts w:ascii="宋体" w:hAnsi="宋体"/>
          <w:sz w:val="24"/>
          <w:szCs w:val="24"/>
        </w:rPr>
        <w:t>不可抗力导致的人员伤亡、财产损失、费用增加和(或)工期延误由合同双方按以下方法承担：</w:t>
      </w:r>
      <w:r>
        <w:rPr>
          <w:rFonts w:ascii="宋体" w:hAnsi="宋体"/>
          <w:sz w:val="24"/>
          <w:szCs w:val="24"/>
          <w:u w:val="single"/>
        </w:rPr>
        <w:t xml:space="preserve"> 按通用条款执行。</w:t>
      </w:r>
    </w:p>
    <w:p w14:paraId="0C29C7BB">
      <w:pPr>
        <w:spacing w:line="500" w:lineRule="exact"/>
        <w:rPr>
          <w:rFonts w:ascii="宋体" w:hAnsi="宋体"/>
          <w:b/>
          <w:bCs/>
          <w:sz w:val="24"/>
          <w:szCs w:val="24"/>
        </w:rPr>
      </w:pPr>
      <w:r>
        <w:rPr>
          <w:rFonts w:hint="eastAsia" w:ascii="宋体" w:hAnsi="宋体"/>
          <w:b/>
          <w:bCs/>
          <w:sz w:val="24"/>
          <w:szCs w:val="24"/>
        </w:rPr>
        <w:t>22.3 竣工时间延误罚款</w:t>
      </w:r>
    </w:p>
    <w:p w14:paraId="60A2547A">
      <w:pPr>
        <w:spacing w:line="500" w:lineRule="exact"/>
        <w:rPr>
          <w:rFonts w:ascii="宋体" w:hAnsi="宋体"/>
          <w:sz w:val="24"/>
          <w:szCs w:val="24"/>
        </w:rPr>
      </w:pPr>
      <w:r>
        <w:rPr>
          <w:rFonts w:hint="eastAsia" w:ascii="宋体" w:hAnsi="宋体"/>
          <w:sz w:val="24"/>
          <w:szCs w:val="24"/>
        </w:rPr>
        <w:t>22.3.1、凡因发包人重大设计变更或不可抗力造成的工期延误，均应在工期延误部分的施工内容后的第一个验收程序验收前延期签单，在结算审计时提交审计部门。</w:t>
      </w:r>
    </w:p>
    <w:p w14:paraId="57188E68">
      <w:pPr>
        <w:spacing w:line="500" w:lineRule="exact"/>
        <w:rPr>
          <w:rFonts w:ascii="宋体" w:hAnsi="宋体"/>
          <w:sz w:val="24"/>
          <w:szCs w:val="24"/>
        </w:rPr>
      </w:pPr>
      <w:r>
        <w:rPr>
          <w:rFonts w:hint="eastAsia" w:ascii="宋体" w:hAnsi="宋体"/>
          <w:sz w:val="24"/>
          <w:szCs w:val="24"/>
        </w:rPr>
        <w:t>22.3.2、所有延期违约金由审计单位审定并体现在审计报告中。</w:t>
      </w:r>
    </w:p>
    <w:p w14:paraId="5E452BC8">
      <w:pPr>
        <w:spacing w:line="500" w:lineRule="exact"/>
        <w:rPr>
          <w:rFonts w:ascii="宋体" w:hAnsi="宋体"/>
          <w:b/>
          <w:bCs/>
          <w:sz w:val="24"/>
          <w:szCs w:val="24"/>
        </w:rPr>
      </w:pPr>
      <w:r>
        <w:rPr>
          <w:rFonts w:hint="eastAsia" w:ascii="宋体" w:hAnsi="宋体"/>
          <w:b/>
          <w:bCs/>
          <w:sz w:val="24"/>
          <w:szCs w:val="24"/>
        </w:rPr>
        <w:t>22.4结算审计</w:t>
      </w:r>
    </w:p>
    <w:p w14:paraId="2F0FC2FA">
      <w:pPr>
        <w:spacing w:line="500" w:lineRule="exact"/>
        <w:rPr>
          <w:rFonts w:ascii="宋体" w:hAnsi="宋体"/>
          <w:sz w:val="24"/>
          <w:szCs w:val="24"/>
        </w:rPr>
      </w:pPr>
      <w:r>
        <w:rPr>
          <w:rFonts w:hint="eastAsia" w:ascii="宋体" w:hAnsi="宋体"/>
          <w:sz w:val="24"/>
          <w:szCs w:val="24"/>
        </w:rPr>
        <w:t>22.4.1、本工程结算最终以相关单位审定的金额为准。</w:t>
      </w:r>
    </w:p>
    <w:p w14:paraId="3F46CD86">
      <w:pPr>
        <w:spacing w:line="500" w:lineRule="exact"/>
        <w:rPr>
          <w:rFonts w:ascii="宋体" w:hAnsi="宋体"/>
          <w:sz w:val="24"/>
          <w:szCs w:val="24"/>
        </w:rPr>
      </w:pPr>
      <w:r>
        <w:rPr>
          <w:rFonts w:hint="eastAsia" w:ascii="宋体" w:hAnsi="宋体"/>
          <w:b/>
          <w:bCs/>
          <w:sz w:val="24"/>
          <w:szCs w:val="24"/>
        </w:rPr>
        <w:t>22.5</w:t>
      </w:r>
      <w:r>
        <w:rPr>
          <w:rFonts w:hint="eastAsia" w:ascii="宋体" w:hAnsi="宋体"/>
          <w:sz w:val="24"/>
          <w:szCs w:val="24"/>
        </w:rPr>
        <w:t>中标人在施工过程中，未经招标人同意，不得擅自更改投标文件中填报的项目经理、项目技术负责人，否则招标人有权终止施工合同，没收履约保证金，中标人给招标人造成的损失超过履约保证金的，还应对超过部分进行赔偿。</w:t>
      </w:r>
    </w:p>
    <w:p w14:paraId="77E1A6FE">
      <w:pPr>
        <w:spacing w:line="500" w:lineRule="exact"/>
        <w:rPr>
          <w:rFonts w:ascii="宋体" w:hAnsi="宋体"/>
          <w:sz w:val="24"/>
          <w:szCs w:val="24"/>
        </w:rPr>
      </w:pPr>
      <w:r>
        <w:rPr>
          <w:rFonts w:hint="eastAsia" w:ascii="宋体" w:hAnsi="宋体"/>
          <w:b/>
          <w:bCs/>
          <w:sz w:val="24"/>
          <w:szCs w:val="24"/>
        </w:rPr>
        <w:t>22.6技术措施费包干使用</w:t>
      </w:r>
      <w:r>
        <w:rPr>
          <w:rFonts w:hint="eastAsia" w:ascii="宋体" w:hAnsi="宋体"/>
          <w:sz w:val="24"/>
          <w:szCs w:val="24"/>
        </w:rPr>
        <w:t>。</w:t>
      </w:r>
    </w:p>
    <w:p w14:paraId="3A710BD0">
      <w:pPr>
        <w:spacing w:line="500" w:lineRule="exact"/>
        <w:rPr>
          <w:rFonts w:ascii="宋体" w:hAnsi="宋体"/>
          <w:sz w:val="24"/>
          <w:szCs w:val="24"/>
        </w:rPr>
      </w:pPr>
      <w:r>
        <w:rPr>
          <w:rFonts w:hint="eastAsia" w:ascii="宋体" w:hAnsi="宋体"/>
          <w:b/>
          <w:bCs/>
          <w:sz w:val="24"/>
          <w:szCs w:val="24"/>
        </w:rPr>
        <w:t>22.7</w:t>
      </w:r>
      <w:r>
        <w:rPr>
          <w:rFonts w:hint="eastAsia" w:ascii="宋体" w:hAnsi="宋体"/>
          <w:sz w:val="24"/>
          <w:szCs w:val="24"/>
        </w:rPr>
        <w:t>承包人不得拖欠民工工资，如因承包人原因拖欠民工工资或劳务费结算等发生纠纷 ,应按重庆市有关政策规定承担责任外，发包人有权从承包人应得的任何工程款项中扣出，并直接支付给农民工。</w:t>
      </w:r>
    </w:p>
    <w:p w14:paraId="29EAB30F">
      <w:pPr>
        <w:spacing w:line="500" w:lineRule="exact"/>
        <w:rPr>
          <w:rFonts w:ascii="宋体" w:hAnsi="宋体"/>
          <w:sz w:val="24"/>
          <w:szCs w:val="24"/>
        </w:rPr>
      </w:pPr>
      <w:r>
        <w:rPr>
          <w:rFonts w:hint="eastAsia" w:ascii="宋体" w:hAnsi="宋体"/>
          <w:b/>
          <w:bCs/>
          <w:sz w:val="24"/>
          <w:szCs w:val="24"/>
        </w:rPr>
        <w:t>22.8</w:t>
      </w:r>
      <w:r>
        <w:rPr>
          <w:rFonts w:hint="eastAsia" w:ascii="宋体" w:hAnsi="宋体"/>
          <w:sz w:val="24"/>
          <w:szCs w:val="24"/>
        </w:rPr>
        <w:t>本工程严禁挂靠、转包及违法分包，承包人必须以本企业建制的项目管理班子和施工力量为承建主体，否则，在履行施工合同阶段，发包人有权终止承包合同，追究承包人相应的法律责任。</w:t>
      </w:r>
    </w:p>
    <w:p w14:paraId="7D42730F">
      <w:pPr>
        <w:spacing w:line="500" w:lineRule="exact"/>
        <w:rPr>
          <w:rFonts w:ascii="宋体" w:hAnsi="宋体"/>
          <w:b/>
          <w:bCs/>
          <w:sz w:val="24"/>
          <w:szCs w:val="24"/>
        </w:rPr>
      </w:pPr>
      <w:r>
        <w:rPr>
          <w:rFonts w:ascii="宋体" w:hAnsi="宋体"/>
          <w:b/>
          <w:bCs/>
          <w:sz w:val="24"/>
          <w:szCs w:val="24"/>
        </w:rPr>
        <w:t>2</w:t>
      </w:r>
      <w:r>
        <w:rPr>
          <w:rFonts w:hint="eastAsia" w:ascii="宋体" w:hAnsi="宋体"/>
          <w:b/>
          <w:bCs/>
          <w:sz w:val="24"/>
          <w:szCs w:val="24"/>
        </w:rPr>
        <w:t>3</w:t>
      </w:r>
      <w:r>
        <w:rPr>
          <w:rFonts w:ascii="宋体" w:hAnsi="宋体"/>
          <w:b/>
          <w:bCs/>
          <w:sz w:val="24"/>
          <w:szCs w:val="24"/>
        </w:rPr>
        <w:t>.仲裁或诉讼</w:t>
      </w:r>
      <w:r>
        <w:rPr>
          <w:rStyle w:val="261"/>
          <w:b/>
          <w:bCs/>
          <w:sz w:val="24"/>
          <w:szCs w:val="24"/>
        </w:rPr>
        <w:tab/>
      </w:r>
    </w:p>
    <w:p w14:paraId="01F6A882">
      <w:pPr>
        <w:spacing w:line="500" w:lineRule="exact"/>
        <w:rPr>
          <w:rFonts w:ascii="宋体" w:hAnsi="宋体"/>
          <w:sz w:val="24"/>
          <w:szCs w:val="24"/>
        </w:rPr>
      </w:pPr>
      <w:r>
        <w:rPr>
          <w:rFonts w:ascii="宋体" w:hAnsi="宋体"/>
          <w:sz w:val="24"/>
          <w:szCs w:val="24"/>
        </w:rPr>
        <w:t>因合同及合同有关事项发生的争议，按下列</w:t>
      </w:r>
      <w:r>
        <w:rPr>
          <w:rFonts w:hint="eastAsia" w:ascii="宋体" w:hAnsi="宋体"/>
          <w:sz w:val="24"/>
          <w:szCs w:val="24"/>
        </w:rPr>
        <w:t>（2）</w:t>
      </w:r>
      <w:r>
        <w:rPr>
          <w:rFonts w:ascii="宋体" w:hAnsi="宋体"/>
          <w:sz w:val="24"/>
          <w:szCs w:val="24"/>
        </w:rPr>
        <w:t>方式</w:t>
      </w:r>
      <w:r>
        <w:rPr>
          <w:rFonts w:hint="eastAsia" w:ascii="宋体" w:hAnsi="宋体"/>
          <w:sz w:val="24"/>
          <w:szCs w:val="24"/>
        </w:rPr>
        <w:t>解</w:t>
      </w:r>
      <w:r>
        <w:rPr>
          <w:rFonts w:ascii="宋体" w:hAnsi="宋体"/>
          <w:sz w:val="24"/>
          <w:szCs w:val="24"/>
        </w:rPr>
        <w:t>决</w:t>
      </w:r>
      <w:r>
        <w:rPr>
          <w:rFonts w:hint="eastAsia" w:ascii="宋体" w:hAnsi="宋体"/>
          <w:sz w:val="24"/>
          <w:szCs w:val="24"/>
        </w:rPr>
        <w:t>。</w:t>
      </w:r>
      <w:r>
        <w:rPr>
          <w:rFonts w:ascii="宋体" w:hAnsi="宋体"/>
          <w:sz w:val="24"/>
          <w:szCs w:val="24"/>
        </w:rPr>
        <w:t xml:space="preserve"> </w:t>
      </w:r>
    </w:p>
    <w:p w14:paraId="44BD2678">
      <w:pPr>
        <w:spacing w:line="500" w:lineRule="exact"/>
        <w:rPr>
          <w:rFonts w:ascii="宋体" w:hAnsi="宋体"/>
          <w:sz w:val="24"/>
          <w:szCs w:val="24"/>
        </w:rPr>
      </w:pPr>
      <w:r>
        <w:rPr>
          <w:rFonts w:ascii="宋体" w:hAnsi="宋体"/>
          <w:sz w:val="24"/>
          <w:szCs w:val="24"/>
        </w:rPr>
        <w:t>（1）</w:t>
      </w:r>
      <w:r>
        <w:rPr>
          <w:rFonts w:hint="eastAsia" w:ascii="宋体" w:hAnsi="宋体"/>
          <w:sz w:val="24"/>
          <w:szCs w:val="24"/>
        </w:rPr>
        <w:t>向重庆仲裁委员会建设工程仲裁院申请仲裁；</w:t>
      </w:r>
    </w:p>
    <w:p w14:paraId="51ED1A32">
      <w:pPr>
        <w:spacing w:line="500" w:lineRule="exact"/>
        <w:rPr>
          <w:rFonts w:ascii="宋体" w:hAnsi="宋体"/>
          <w:sz w:val="24"/>
          <w:szCs w:val="24"/>
        </w:rPr>
      </w:pPr>
      <w:r>
        <w:rPr>
          <w:rFonts w:ascii="宋体" w:hAnsi="宋体"/>
          <w:sz w:val="24"/>
          <w:szCs w:val="24"/>
        </w:rPr>
        <w:t>（</w:t>
      </w:r>
      <w:r>
        <w:rPr>
          <w:rFonts w:hint="eastAsia" w:ascii="宋体" w:hAnsi="宋体"/>
          <w:sz w:val="24"/>
          <w:szCs w:val="24"/>
        </w:rPr>
        <w:t>2</w:t>
      </w:r>
      <w:r>
        <w:rPr>
          <w:rFonts w:ascii="宋体" w:hAnsi="宋体"/>
          <w:sz w:val="24"/>
          <w:szCs w:val="24"/>
        </w:rPr>
        <w:t>）</w:t>
      </w:r>
      <w:r>
        <w:rPr>
          <w:rFonts w:hint="eastAsia" w:ascii="宋体" w:hAnsi="宋体"/>
          <w:sz w:val="24"/>
          <w:szCs w:val="24"/>
        </w:rPr>
        <w:t>向荣昌区人民法院起诉。</w:t>
      </w:r>
    </w:p>
    <w:p w14:paraId="5327072D">
      <w:pPr>
        <w:spacing w:line="500" w:lineRule="exact"/>
        <w:rPr>
          <w:rFonts w:ascii="宋体" w:hAnsi="宋体"/>
          <w:b/>
          <w:sz w:val="24"/>
          <w:szCs w:val="24"/>
        </w:rPr>
      </w:pPr>
      <w:r>
        <w:rPr>
          <w:rFonts w:hint="eastAsia" w:ascii="宋体" w:hAnsi="宋体"/>
          <w:b/>
          <w:sz w:val="24"/>
          <w:szCs w:val="24"/>
        </w:rPr>
        <w:t>24.其他补充条款</w:t>
      </w:r>
    </w:p>
    <w:p w14:paraId="5D5CFB51">
      <w:pPr>
        <w:spacing w:line="500" w:lineRule="exact"/>
        <w:rPr>
          <w:rFonts w:ascii="宋体" w:hAnsi="宋体"/>
          <w:sz w:val="24"/>
          <w:szCs w:val="24"/>
        </w:rPr>
      </w:pPr>
      <w:r>
        <w:rPr>
          <w:rFonts w:hint="eastAsia" w:ascii="宋体" w:hAnsi="宋体"/>
          <w:b/>
          <w:bCs/>
          <w:sz w:val="24"/>
          <w:szCs w:val="24"/>
        </w:rPr>
        <w:t>24.1</w:t>
      </w:r>
      <w:r>
        <w:rPr>
          <w:rFonts w:ascii="宋体" w:hAnsi="宋体"/>
          <w:sz w:val="24"/>
          <w:szCs w:val="24"/>
        </w:rPr>
        <w:t xml:space="preserve"> </w:t>
      </w:r>
      <w:r>
        <w:rPr>
          <w:rFonts w:hint="eastAsia" w:ascii="宋体" w:hAnsi="宋体"/>
          <w:sz w:val="24"/>
          <w:szCs w:val="24"/>
        </w:rPr>
        <w:t>施工中的水电费按国家相应规定缴纳。</w:t>
      </w:r>
    </w:p>
    <w:p w14:paraId="712D6EF9">
      <w:pPr>
        <w:snapToGrid w:val="0"/>
        <w:spacing w:line="400" w:lineRule="exact"/>
        <w:ind w:firstLine="480" w:firstLineChars="200"/>
        <w:rPr>
          <w:rFonts w:ascii="宋体" w:hAnsi="宋体" w:eastAsia="宋体" w:cs="宋体"/>
          <w:sz w:val="24"/>
        </w:rPr>
      </w:pPr>
    </w:p>
    <w:p w14:paraId="7DCD917B">
      <w:pPr>
        <w:snapToGrid w:val="0"/>
        <w:spacing w:line="400" w:lineRule="exact"/>
        <w:jc w:val="center"/>
        <w:outlineLvl w:val="1"/>
        <w:rPr>
          <w:rFonts w:ascii="宋体" w:hAnsi="宋体" w:eastAsia="宋体" w:cs="宋体"/>
          <w:b/>
          <w:color w:val="000000"/>
          <w:sz w:val="36"/>
          <w:szCs w:val="30"/>
        </w:rPr>
      </w:pPr>
      <w:r>
        <w:rPr>
          <w:rFonts w:hint="eastAsia" w:ascii="宋体" w:hAnsi="宋体" w:eastAsia="宋体" w:cs="宋体"/>
          <w:sz w:val="24"/>
        </w:rPr>
        <w:br w:type="page"/>
      </w:r>
      <w:bookmarkStart w:id="369" w:name="_Toc14020"/>
      <w:bookmarkStart w:id="370" w:name="_Toc27819"/>
      <w:bookmarkStart w:id="371" w:name="_Toc25609"/>
      <w:bookmarkStart w:id="372" w:name="_Toc12076"/>
      <w:bookmarkStart w:id="373" w:name="_Toc24974"/>
      <w:r>
        <w:rPr>
          <w:rFonts w:hint="eastAsia" w:ascii="宋体" w:hAnsi="宋体" w:eastAsia="宋体" w:cs="宋体"/>
          <w:b/>
          <w:bCs/>
          <w:color w:val="000000"/>
          <w:sz w:val="36"/>
          <w:szCs w:val="30"/>
        </w:rPr>
        <w:t>第</w:t>
      </w:r>
      <w:r>
        <w:rPr>
          <w:rFonts w:hint="eastAsia" w:ascii="宋体" w:hAnsi="宋体" w:eastAsia="宋体" w:cs="宋体"/>
          <w:b/>
          <w:bCs/>
          <w:color w:val="000000"/>
          <w:sz w:val="36"/>
          <w:szCs w:val="30"/>
          <w:lang w:eastAsia="zh-CN"/>
        </w:rPr>
        <w:t>七</w:t>
      </w:r>
      <w:r>
        <w:rPr>
          <w:rFonts w:hint="eastAsia" w:ascii="宋体" w:hAnsi="宋体" w:eastAsia="宋体" w:cs="宋体"/>
          <w:b/>
          <w:bCs/>
          <w:color w:val="000000"/>
          <w:sz w:val="36"/>
          <w:szCs w:val="30"/>
        </w:rPr>
        <w:t>篇  响应文件格式要求</w:t>
      </w:r>
      <w:bookmarkEnd w:id="369"/>
      <w:bookmarkEnd w:id="370"/>
      <w:bookmarkEnd w:id="371"/>
      <w:bookmarkEnd w:id="372"/>
      <w:bookmarkEnd w:id="373"/>
    </w:p>
    <w:p w14:paraId="6AA937F9">
      <w:pPr>
        <w:spacing w:line="360" w:lineRule="auto"/>
        <w:ind w:firstLine="480" w:firstLineChars="200"/>
        <w:rPr>
          <w:rFonts w:hint="eastAsia" w:ascii="宋体" w:hAnsi="宋体" w:eastAsia="宋体" w:cs="宋体"/>
          <w:sz w:val="24"/>
          <w:szCs w:val="24"/>
        </w:rPr>
      </w:pPr>
      <w:bookmarkStart w:id="374" w:name="_Toc11456"/>
      <w:bookmarkStart w:id="375" w:name="_Toc31533"/>
    </w:p>
    <w:p w14:paraId="3E90848F">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一、经济部分</w:t>
      </w:r>
    </w:p>
    <w:p w14:paraId="793919F9">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（一）竞争性谈判报价函</w:t>
      </w:r>
    </w:p>
    <w:p w14:paraId="57485C19">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（二）报价明细表</w:t>
      </w:r>
    </w:p>
    <w:p w14:paraId="63AD0EF4">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二、技术服务部分</w:t>
      </w:r>
    </w:p>
    <w:p w14:paraId="31F8A706">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（一）</w:t>
      </w:r>
      <w:r>
        <w:rPr>
          <w:rFonts w:hint="eastAsia" w:ascii="宋体" w:hAnsi="宋体" w:eastAsia="宋体" w:cs="宋体"/>
          <w:sz w:val="24"/>
          <w:szCs w:val="24"/>
          <w:lang w:val="en-US" w:eastAsia="zh-CN"/>
        </w:rPr>
        <w:t>技术响应情况</w:t>
      </w:r>
    </w:p>
    <w:p w14:paraId="48CBEDF9">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（二）技术响应偏离表</w:t>
      </w:r>
    </w:p>
    <w:p w14:paraId="74117EF9">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三、商务部分</w:t>
      </w:r>
    </w:p>
    <w:p w14:paraId="2004E17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（一）商务要求响应情况：</w:t>
      </w:r>
      <w:r>
        <w:rPr>
          <w:rFonts w:hint="eastAsia" w:ascii="宋体" w:hAnsi="宋体" w:eastAsia="宋体" w:cs="宋体"/>
          <w:sz w:val="24"/>
          <w:szCs w:val="24"/>
          <w:lang w:val="en-US" w:eastAsia="zh-CN"/>
        </w:rPr>
        <w:t>施工时间、质量保证</w:t>
      </w:r>
      <w:r>
        <w:rPr>
          <w:rFonts w:hint="eastAsia" w:ascii="宋体" w:hAnsi="宋体" w:eastAsia="宋体" w:cs="宋体"/>
          <w:sz w:val="24"/>
          <w:szCs w:val="24"/>
        </w:rPr>
        <w:t>等（包括但不限于）</w:t>
      </w:r>
    </w:p>
    <w:p w14:paraId="6C71A66D">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（二）商务响应偏离表</w:t>
      </w:r>
    </w:p>
    <w:p w14:paraId="06661176">
      <w:pPr>
        <w:spacing w:line="360" w:lineRule="auto"/>
        <w:ind w:firstLine="480" w:firstLineChars="200"/>
        <w:rPr>
          <w:rFonts w:ascii="宋体" w:hAnsi="宋体" w:eastAsia="宋体" w:cs="宋体"/>
          <w:b/>
          <w:sz w:val="24"/>
          <w:szCs w:val="24"/>
        </w:rPr>
      </w:pPr>
      <w:r>
        <w:rPr>
          <w:rFonts w:hint="eastAsia" w:ascii="宋体" w:hAnsi="宋体" w:eastAsia="宋体" w:cs="宋体"/>
          <w:sz w:val="24"/>
          <w:szCs w:val="24"/>
        </w:rPr>
        <w:t>（三）其它优惠承诺（格式自定）</w:t>
      </w:r>
    </w:p>
    <w:p w14:paraId="7DC053EA">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四、资格条件及其他</w:t>
      </w:r>
    </w:p>
    <w:p w14:paraId="722B9096">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（一）营业执照（副本）或事业单位法人证书（副本）或个体工商户营业执照复印件</w:t>
      </w:r>
    </w:p>
    <w:p w14:paraId="5DDD213D">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说明：供应商按“多证合一”登记制度办理营业执照的，组织机构代码证、税务登记证以供应商所提供的法人营业执照（副本）复印件为准。</w:t>
      </w:r>
    </w:p>
    <w:p w14:paraId="469DB231">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（二）法定代表人身份证明书（格式）</w:t>
      </w:r>
    </w:p>
    <w:p w14:paraId="008F31EA">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（三）法定代表人授权委托书（格式）</w:t>
      </w:r>
    </w:p>
    <w:p w14:paraId="5889D213">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（四）基本资格条件承诺函</w:t>
      </w:r>
    </w:p>
    <w:p w14:paraId="4953880B">
      <w:pPr>
        <w:spacing w:line="360" w:lineRule="auto"/>
        <w:ind w:firstLine="480" w:firstLineChars="200"/>
        <w:rPr>
          <w:rFonts w:ascii="宋体" w:hAnsi="宋体" w:eastAsia="宋体" w:cs="宋体"/>
          <w:b w:val="0"/>
          <w:bCs w:val="0"/>
          <w:sz w:val="24"/>
          <w:szCs w:val="24"/>
        </w:rPr>
      </w:pPr>
      <w:r>
        <w:rPr>
          <w:rFonts w:hint="eastAsia" w:ascii="宋体" w:hAnsi="宋体" w:eastAsia="宋体" w:cs="宋体"/>
          <w:b w:val="0"/>
          <w:bCs w:val="0"/>
          <w:sz w:val="24"/>
          <w:szCs w:val="24"/>
        </w:rPr>
        <w:t>（五）特定资格条件证明文件</w:t>
      </w:r>
    </w:p>
    <w:p w14:paraId="44CDC86B">
      <w:pPr>
        <w:spacing w:line="400" w:lineRule="exact"/>
        <w:ind w:firstLine="482" w:firstLineChars="200"/>
        <w:rPr>
          <w:rFonts w:ascii="宋体" w:hAnsi="宋体" w:eastAsia="宋体" w:cs="宋体"/>
          <w:b/>
          <w:sz w:val="24"/>
          <w:szCs w:val="24"/>
        </w:rPr>
      </w:pPr>
      <w:r>
        <w:rPr>
          <w:rFonts w:hint="eastAsia" w:ascii="宋体" w:hAnsi="宋体" w:eastAsia="宋体" w:cs="宋体"/>
          <w:b/>
          <w:sz w:val="24"/>
          <w:szCs w:val="24"/>
        </w:rPr>
        <w:t>五、其他资料</w:t>
      </w:r>
    </w:p>
    <w:p w14:paraId="082AB574">
      <w:pPr>
        <w:spacing w:line="400" w:lineRule="exact"/>
        <w:ind w:firstLine="480" w:firstLineChars="200"/>
        <w:rPr>
          <w:rFonts w:ascii="宋体" w:hAnsi="宋体" w:eastAsia="宋体" w:cs="宋体"/>
          <w:b/>
          <w:sz w:val="24"/>
          <w:szCs w:val="24"/>
        </w:rPr>
      </w:pPr>
      <w:r>
        <w:rPr>
          <w:rFonts w:hint="eastAsia" w:ascii="宋体" w:hAnsi="宋体" w:eastAsia="宋体" w:cs="宋体"/>
          <w:sz w:val="24"/>
          <w:szCs w:val="24"/>
        </w:rPr>
        <w:t>（一）中小企业声明函、监狱企业证明文件、残疾人福利性单位声明函</w:t>
      </w:r>
    </w:p>
    <w:p w14:paraId="169DEABF">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（二）其他与项目有关的资料（自附）</w:t>
      </w:r>
    </w:p>
    <w:p w14:paraId="01C1B741"/>
    <w:p w14:paraId="34005D5A"/>
    <w:p w14:paraId="56CE9FDE"/>
    <w:p w14:paraId="28E8B447"/>
    <w:p w14:paraId="47087610"/>
    <w:p w14:paraId="688F7063">
      <w:pPr>
        <w:pStyle w:val="5"/>
        <w:spacing w:before="0" w:after="0" w:line="360" w:lineRule="auto"/>
        <w:rPr>
          <w:rFonts w:ascii="宋体" w:hAnsi="宋体" w:cs="宋体"/>
          <w:sz w:val="24"/>
          <w:szCs w:val="24"/>
        </w:rPr>
      </w:pPr>
      <w:r>
        <w:rPr>
          <w:rFonts w:ascii="宋体" w:hAnsi="宋体" w:cs="宋体"/>
          <w:sz w:val="24"/>
          <w:szCs w:val="24"/>
        </w:rPr>
        <w:br w:type="page"/>
      </w:r>
      <w:bookmarkStart w:id="376" w:name="_Toc16871"/>
      <w:bookmarkStart w:id="377" w:name="_Toc13586"/>
      <w:r>
        <w:rPr>
          <w:rFonts w:hint="eastAsia" w:ascii="宋体" w:hAnsi="宋体" w:cs="宋体"/>
          <w:sz w:val="24"/>
          <w:szCs w:val="24"/>
          <w:lang w:val="en-US" w:eastAsia="zh-CN"/>
        </w:rPr>
        <w:t xml:space="preserve">  </w:t>
      </w:r>
      <w:bookmarkStart w:id="378" w:name="_Toc19653"/>
      <w:r>
        <w:rPr>
          <w:rFonts w:hint="eastAsia" w:ascii="宋体" w:hAnsi="宋体" w:cs="宋体"/>
          <w:sz w:val="24"/>
          <w:szCs w:val="24"/>
        </w:rPr>
        <w:t>一、经济部分</w:t>
      </w:r>
      <w:bookmarkEnd w:id="374"/>
      <w:bookmarkEnd w:id="375"/>
      <w:bookmarkEnd w:id="376"/>
      <w:bookmarkEnd w:id="377"/>
      <w:bookmarkEnd w:id="378"/>
    </w:p>
    <w:p w14:paraId="7D80FB58">
      <w:pPr>
        <w:tabs>
          <w:tab w:val="left" w:pos="6300"/>
        </w:tabs>
        <w:snapToGrid w:val="0"/>
        <w:spacing w:line="360" w:lineRule="auto"/>
        <w:ind w:firstLine="480" w:firstLineChars="200"/>
        <w:outlineLvl w:val="3"/>
        <w:rPr>
          <w:rFonts w:ascii="宋体" w:hAnsi="宋体" w:eastAsia="宋体" w:cs="宋体"/>
          <w:sz w:val="24"/>
          <w:szCs w:val="24"/>
        </w:rPr>
      </w:pPr>
      <w:bookmarkStart w:id="379" w:name="_Toc29576"/>
      <w:bookmarkStart w:id="380" w:name="_Toc24360"/>
      <w:r>
        <w:rPr>
          <w:rFonts w:hint="eastAsia" w:ascii="宋体" w:hAnsi="宋体" w:eastAsia="宋体" w:cs="宋体"/>
          <w:sz w:val="24"/>
          <w:szCs w:val="24"/>
        </w:rPr>
        <w:t>（一）竞争性谈判报价函</w:t>
      </w:r>
      <w:bookmarkEnd w:id="379"/>
      <w:bookmarkEnd w:id="380"/>
    </w:p>
    <w:p w14:paraId="4EEA9D5F">
      <w:pPr>
        <w:tabs>
          <w:tab w:val="left" w:pos="6300"/>
        </w:tabs>
        <w:snapToGrid w:val="0"/>
        <w:spacing w:line="360" w:lineRule="auto"/>
        <w:jc w:val="center"/>
        <w:rPr>
          <w:rFonts w:ascii="宋体" w:hAnsi="宋体" w:eastAsia="宋体" w:cs="宋体"/>
          <w:b w:val="0"/>
          <w:bCs/>
          <w:szCs w:val="28"/>
        </w:rPr>
      </w:pPr>
      <w:r>
        <w:rPr>
          <w:rFonts w:hint="eastAsia" w:ascii="宋体" w:hAnsi="宋体" w:eastAsia="宋体" w:cs="宋体"/>
          <w:b w:val="0"/>
          <w:bCs/>
          <w:szCs w:val="28"/>
        </w:rPr>
        <w:t>竞争性谈判报价函</w:t>
      </w:r>
    </w:p>
    <w:p w14:paraId="6A86ACE6">
      <w:pPr>
        <w:tabs>
          <w:tab w:val="left" w:pos="6300"/>
        </w:tabs>
        <w:snapToGrid w:val="0"/>
        <w:spacing w:line="360" w:lineRule="auto"/>
        <w:rPr>
          <w:rFonts w:hint="eastAsia" w:ascii="宋体" w:hAnsi="宋体" w:eastAsia="宋体" w:cs="宋体"/>
          <w:sz w:val="24"/>
          <w:szCs w:val="24"/>
        </w:rPr>
      </w:pPr>
    </w:p>
    <w:p w14:paraId="1273765D">
      <w:pPr>
        <w:tabs>
          <w:tab w:val="left" w:pos="6300"/>
        </w:tabs>
        <w:snapToGrid w:val="0"/>
        <w:spacing w:line="360" w:lineRule="auto"/>
        <w:rPr>
          <w:rFonts w:ascii="宋体" w:hAnsi="宋体" w:eastAsia="宋体" w:cs="宋体"/>
          <w:sz w:val="24"/>
          <w:szCs w:val="24"/>
        </w:rPr>
      </w:pPr>
      <w:r>
        <w:rPr>
          <w:rFonts w:hint="eastAsia" w:ascii="宋体" w:hAnsi="宋体" w:eastAsia="宋体" w:cs="宋体"/>
          <w:sz w:val="24"/>
          <w:szCs w:val="24"/>
        </w:rPr>
        <w:t>_____________（采购人名称）：</w:t>
      </w:r>
    </w:p>
    <w:p w14:paraId="090888A8">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我方收到_____________（项目名称）的竞争性谈判文件，经详细研究，决定参加该谈判项目的竞争谈判。</w:t>
      </w:r>
    </w:p>
    <w:p w14:paraId="1DD56AD1">
      <w:pPr>
        <w:numPr>
          <w:ilvl w:val="0"/>
          <w:numId w:val="14"/>
        </w:num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愿意按照竞争性谈判文件中的一切要求，提供本项目的技术服务，初始报价为人民币大写：</w:t>
      </w:r>
      <w:r>
        <w:rPr>
          <w:rFonts w:hint="eastAsia" w:ascii="宋体" w:hAnsi="宋体" w:eastAsia="宋体" w:cs="宋体"/>
          <w:sz w:val="24"/>
          <w:szCs w:val="24"/>
          <w:u w:val="single"/>
        </w:rPr>
        <w:t xml:space="preserve">      </w:t>
      </w:r>
      <w:r>
        <w:rPr>
          <w:rFonts w:hint="eastAsia" w:ascii="宋体" w:hAnsi="宋体" w:eastAsia="宋体" w:cs="宋体"/>
          <w:sz w:val="24"/>
          <w:szCs w:val="24"/>
        </w:rPr>
        <w:t>元整；人民币小写：</w:t>
      </w:r>
      <w:r>
        <w:rPr>
          <w:rFonts w:hint="eastAsia" w:ascii="宋体" w:hAnsi="宋体" w:eastAsia="宋体" w:cs="宋体"/>
          <w:sz w:val="24"/>
          <w:szCs w:val="24"/>
          <w:u w:val="single"/>
        </w:rPr>
        <w:t xml:space="preserve">      </w:t>
      </w:r>
      <w:r>
        <w:rPr>
          <w:rFonts w:hint="eastAsia" w:ascii="宋体" w:hAnsi="宋体" w:eastAsia="宋体" w:cs="宋体"/>
          <w:sz w:val="24"/>
          <w:szCs w:val="24"/>
        </w:rPr>
        <w:t>元。以我单位最终报价为准。</w:t>
      </w:r>
    </w:p>
    <w:p w14:paraId="257C0A24">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2、我方现提交的响应文件为：响应文件正本</w:t>
      </w:r>
      <w:r>
        <w:rPr>
          <w:rFonts w:hint="eastAsia" w:ascii="宋体" w:hAnsi="宋体" w:cs="宋体"/>
          <w:sz w:val="24"/>
          <w:szCs w:val="24"/>
          <w:u w:val="single"/>
        </w:rPr>
        <w:t xml:space="preserve">   </w:t>
      </w:r>
      <w:r>
        <w:rPr>
          <w:rFonts w:hint="eastAsia" w:ascii="宋体" w:hAnsi="宋体" w:eastAsia="宋体" w:cs="宋体"/>
          <w:sz w:val="24"/>
          <w:szCs w:val="24"/>
        </w:rPr>
        <w:t>份，副本</w:t>
      </w:r>
      <w:r>
        <w:rPr>
          <w:rFonts w:hint="eastAsia" w:ascii="宋体" w:hAnsi="宋体" w:cs="宋体"/>
          <w:sz w:val="24"/>
          <w:szCs w:val="24"/>
          <w:u w:val="single"/>
        </w:rPr>
        <w:t xml:space="preserve">   </w:t>
      </w:r>
      <w:r>
        <w:rPr>
          <w:rFonts w:hint="eastAsia" w:ascii="宋体" w:hAnsi="宋体" w:eastAsia="宋体" w:cs="宋体"/>
          <w:sz w:val="24"/>
          <w:szCs w:val="24"/>
        </w:rPr>
        <w:t>份。</w:t>
      </w:r>
    </w:p>
    <w:p w14:paraId="0891F5FF">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3、我方承诺：本次谈判的有效期为90天。</w:t>
      </w:r>
    </w:p>
    <w:p w14:paraId="44E3DC4F">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4、我方完全理解和接受贵方竞争性谈判文件的一切规定和要求及谈判评审办法。</w:t>
      </w:r>
    </w:p>
    <w:p w14:paraId="1ACEAE9A">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5、在整个竞争性谈判过程中，我方若有违规行为，接受按照《中华人民共和国政府采购法》和《竞争性谈判文件》之规定给予惩罚。</w:t>
      </w:r>
    </w:p>
    <w:p w14:paraId="0FE539EA">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6、我方若成为成交供应商，将按照最终谈判结果签订合同，并且严格履行合同义务。本承诺函将成为合同不可分割的一部分，与合同具有同等的法律效力。</w:t>
      </w:r>
    </w:p>
    <w:p w14:paraId="1401005B">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7、我方同意按竞争性谈判文件规定，交纳竞争性谈判文件要求的保证金。</w:t>
      </w:r>
    </w:p>
    <w:p w14:paraId="484FA33A">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8、我方为采购项目提供整体设计、规范编制或者项目管理、监理、监测等服务。</w:t>
      </w:r>
    </w:p>
    <w:p w14:paraId="1210C268">
      <w:pPr>
        <w:tabs>
          <w:tab w:val="left" w:pos="6300"/>
        </w:tabs>
        <w:snapToGrid w:val="0"/>
        <w:spacing w:line="360" w:lineRule="auto"/>
        <w:ind w:firstLine="570"/>
        <w:rPr>
          <w:rFonts w:ascii="宋体" w:hAnsi="宋体" w:eastAsia="宋体" w:cs="宋体"/>
          <w:sz w:val="24"/>
          <w:szCs w:val="24"/>
        </w:rPr>
      </w:pPr>
    </w:p>
    <w:p w14:paraId="663BD739">
      <w:pPr>
        <w:tabs>
          <w:tab w:val="left" w:pos="6300"/>
        </w:tabs>
        <w:snapToGrid w:val="0"/>
        <w:spacing w:line="360" w:lineRule="auto"/>
        <w:ind w:firstLine="570"/>
        <w:rPr>
          <w:rFonts w:ascii="宋体" w:hAnsi="宋体" w:eastAsia="宋体" w:cs="宋体"/>
          <w:sz w:val="24"/>
          <w:szCs w:val="24"/>
        </w:rPr>
      </w:pPr>
      <w:r>
        <w:rPr>
          <w:rFonts w:hint="eastAsia" w:ascii="宋体" w:hAnsi="宋体" w:eastAsia="宋体" w:cs="宋体"/>
          <w:sz w:val="24"/>
          <w:szCs w:val="24"/>
        </w:rPr>
        <w:t>供应商（公章）：</w:t>
      </w:r>
    </w:p>
    <w:p w14:paraId="3273E759">
      <w:pPr>
        <w:tabs>
          <w:tab w:val="left" w:pos="6300"/>
        </w:tabs>
        <w:snapToGrid w:val="0"/>
        <w:spacing w:line="360" w:lineRule="auto"/>
        <w:ind w:firstLine="570"/>
        <w:rPr>
          <w:rFonts w:ascii="宋体" w:hAnsi="宋体" w:eastAsia="宋体" w:cs="宋体"/>
          <w:sz w:val="24"/>
          <w:szCs w:val="24"/>
        </w:rPr>
      </w:pPr>
      <w:r>
        <w:rPr>
          <w:rFonts w:hint="eastAsia" w:ascii="宋体" w:hAnsi="宋体" w:eastAsia="宋体" w:cs="宋体"/>
          <w:sz w:val="24"/>
          <w:szCs w:val="24"/>
        </w:rPr>
        <w:t xml:space="preserve">地址：                           </w:t>
      </w:r>
    </w:p>
    <w:p w14:paraId="41EB8C80">
      <w:pPr>
        <w:tabs>
          <w:tab w:val="left" w:pos="6300"/>
        </w:tabs>
        <w:snapToGrid w:val="0"/>
        <w:spacing w:line="360" w:lineRule="auto"/>
        <w:ind w:firstLine="570"/>
        <w:rPr>
          <w:rFonts w:ascii="宋体" w:hAnsi="宋体" w:eastAsia="宋体" w:cs="宋体"/>
          <w:sz w:val="24"/>
          <w:szCs w:val="24"/>
        </w:rPr>
      </w:pPr>
      <w:r>
        <w:rPr>
          <w:rFonts w:hint="eastAsia" w:ascii="宋体" w:hAnsi="宋体" w:eastAsia="宋体" w:cs="宋体"/>
          <w:sz w:val="24"/>
          <w:szCs w:val="24"/>
        </w:rPr>
        <w:t xml:space="preserve">电话：                           </w:t>
      </w:r>
    </w:p>
    <w:p w14:paraId="735117B7">
      <w:pPr>
        <w:tabs>
          <w:tab w:val="left" w:pos="6300"/>
        </w:tabs>
        <w:snapToGrid w:val="0"/>
        <w:spacing w:line="360" w:lineRule="auto"/>
        <w:ind w:firstLine="570"/>
        <w:rPr>
          <w:rFonts w:ascii="宋体" w:hAnsi="宋体" w:eastAsia="宋体" w:cs="宋体"/>
          <w:sz w:val="24"/>
          <w:szCs w:val="24"/>
        </w:rPr>
      </w:pPr>
      <w:r>
        <w:rPr>
          <w:rFonts w:hint="eastAsia" w:ascii="宋体" w:hAnsi="宋体" w:eastAsia="宋体" w:cs="宋体"/>
          <w:sz w:val="24"/>
          <w:szCs w:val="24"/>
        </w:rPr>
        <w:t>联系人：</w:t>
      </w:r>
    </w:p>
    <w:p w14:paraId="24AC0592">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 xml:space="preserve">                                        年   月   日</w:t>
      </w:r>
    </w:p>
    <w:p w14:paraId="1BC65A1F">
      <w:pPr>
        <w:spacing w:line="400" w:lineRule="exact"/>
        <w:rPr>
          <w:rFonts w:ascii="宋体" w:hAnsi="宋体" w:eastAsia="宋体" w:cs="宋体"/>
          <w:sz w:val="24"/>
          <w:szCs w:val="24"/>
        </w:rPr>
      </w:pPr>
    </w:p>
    <w:p w14:paraId="34E0B29D">
      <w:pPr>
        <w:spacing w:line="400" w:lineRule="exact"/>
        <w:rPr>
          <w:rFonts w:ascii="宋体" w:hAnsi="宋体" w:eastAsia="宋体" w:cs="宋体"/>
          <w:sz w:val="24"/>
          <w:szCs w:val="24"/>
        </w:rPr>
      </w:pPr>
    </w:p>
    <w:p w14:paraId="05BB3734">
      <w:pPr>
        <w:spacing w:line="400" w:lineRule="exact"/>
        <w:rPr>
          <w:rFonts w:ascii="宋体" w:hAnsi="宋体" w:eastAsia="宋体" w:cs="宋体"/>
          <w:sz w:val="24"/>
          <w:szCs w:val="24"/>
        </w:rPr>
      </w:pPr>
    </w:p>
    <w:p w14:paraId="69E39225">
      <w:pPr>
        <w:spacing w:line="400" w:lineRule="exact"/>
        <w:rPr>
          <w:rFonts w:ascii="宋体" w:hAnsi="宋体" w:eastAsia="宋体" w:cs="宋体"/>
          <w:sz w:val="24"/>
          <w:szCs w:val="24"/>
        </w:rPr>
      </w:pPr>
    </w:p>
    <w:p w14:paraId="55AFA0BB">
      <w:pPr>
        <w:spacing w:line="400" w:lineRule="exact"/>
        <w:rPr>
          <w:rFonts w:ascii="宋体" w:hAnsi="宋体" w:eastAsia="宋体" w:cs="宋体"/>
          <w:sz w:val="24"/>
          <w:szCs w:val="24"/>
        </w:rPr>
      </w:pPr>
    </w:p>
    <w:p w14:paraId="59528B2D">
      <w:pPr>
        <w:spacing w:line="440" w:lineRule="exact"/>
        <w:outlineLvl w:val="3"/>
        <w:rPr>
          <w:rFonts w:hint="eastAsia" w:ascii="宋体" w:hAnsi="宋体" w:eastAsia="宋体" w:cs="宋体"/>
          <w:sz w:val="24"/>
          <w:szCs w:val="24"/>
          <w:lang w:eastAsia="zh-CN"/>
        </w:rPr>
      </w:pPr>
      <w:r>
        <w:rPr>
          <w:rFonts w:hint="eastAsia" w:ascii="宋体" w:hAnsi="宋体" w:eastAsia="宋体" w:cs="宋体"/>
          <w:sz w:val="24"/>
          <w:szCs w:val="24"/>
        </w:rPr>
        <w:br w:type="page"/>
      </w:r>
      <w:bookmarkStart w:id="381" w:name="_Toc18239"/>
      <w:bookmarkStart w:id="382" w:name="_Toc30489"/>
      <w:r>
        <w:rPr>
          <w:rFonts w:hint="eastAsia" w:ascii="宋体" w:hAnsi="宋体" w:eastAsia="宋体" w:cs="宋体"/>
          <w:sz w:val="24"/>
          <w:szCs w:val="24"/>
        </w:rPr>
        <w:t>（二）报价明细表</w:t>
      </w:r>
      <w:bookmarkEnd w:id="381"/>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详见工程量清单</w:t>
      </w:r>
      <w:r>
        <w:rPr>
          <w:rFonts w:hint="eastAsia" w:ascii="宋体" w:hAnsi="宋体" w:eastAsia="宋体" w:cs="宋体"/>
          <w:sz w:val="24"/>
          <w:szCs w:val="24"/>
          <w:lang w:eastAsia="zh-CN"/>
        </w:rPr>
        <w:t>）</w:t>
      </w:r>
      <w:bookmarkEnd w:id="382"/>
    </w:p>
    <w:p w14:paraId="44CB1CEB">
      <w:pPr>
        <w:snapToGrid w:val="0"/>
        <w:spacing w:line="500" w:lineRule="exact"/>
        <w:rPr>
          <w:rFonts w:ascii="宋体" w:hAnsi="宋体" w:eastAsia="宋体" w:cs="宋体"/>
          <w:sz w:val="24"/>
          <w:szCs w:val="28"/>
        </w:rPr>
      </w:pPr>
    </w:p>
    <w:p w14:paraId="0EC60645">
      <w:pPr>
        <w:snapToGrid w:val="0"/>
        <w:spacing w:line="500" w:lineRule="exact"/>
        <w:rPr>
          <w:rFonts w:ascii="宋体" w:hAnsi="宋体" w:eastAsia="宋体" w:cs="宋体"/>
          <w:sz w:val="24"/>
          <w:szCs w:val="28"/>
        </w:rPr>
      </w:pPr>
    </w:p>
    <w:p w14:paraId="52F90A38">
      <w:pPr>
        <w:snapToGrid w:val="0"/>
        <w:spacing w:line="500" w:lineRule="exact"/>
        <w:rPr>
          <w:rFonts w:ascii="宋体" w:hAnsi="宋体" w:eastAsia="宋体" w:cs="宋体"/>
          <w:sz w:val="24"/>
          <w:szCs w:val="28"/>
        </w:rPr>
      </w:pPr>
    </w:p>
    <w:p w14:paraId="24A3D483">
      <w:pPr>
        <w:snapToGrid w:val="0"/>
        <w:spacing w:line="360" w:lineRule="auto"/>
        <w:ind w:firstLine="480" w:firstLineChars="200"/>
        <w:rPr>
          <w:rFonts w:ascii="宋体" w:hAnsi="宋体" w:eastAsia="宋体" w:cs="宋体"/>
          <w:sz w:val="24"/>
          <w:szCs w:val="24"/>
          <w:bdr w:val="single" w:color="auto" w:sz="4" w:space="0"/>
        </w:rPr>
        <w:sectPr>
          <w:headerReference r:id="rId7" w:type="default"/>
          <w:footerReference r:id="rId8" w:type="default"/>
          <w:pgSz w:w="11907" w:h="16840"/>
          <w:pgMar w:top="1134" w:right="1191" w:bottom="1134" w:left="1304" w:header="851" w:footer="850" w:gutter="0"/>
          <w:cols w:space="720" w:num="1"/>
          <w:docGrid w:linePitch="380" w:charSpace="-5735"/>
        </w:sectPr>
      </w:pPr>
    </w:p>
    <w:p w14:paraId="0E5845BD">
      <w:pPr>
        <w:pStyle w:val="5"/>
        <w:spacing w:before="0" w:after="0" w:line="360" w:lineRule="auto"/>
        <w:ind w:firstLine="482" w:firstLineChars="200"/>
        <w:rPr>
          <w:rFonts w:ascii="宋体" w:hAnsi="宋体" w:cs="宋体"/>
          <w:sz w:val="24"/>
          <w:szCs w:val="24"/>
        </w:rPr>
      </w:pPr>
      <w:bookmarkStart w:id="383" w:name="_Toc6803"/>
      <w:bookmarkStart w:id="384" w:name="_Toc7613"/>
      <w:bookmarkStart w:id="385" w:name="_Toc12445"/>
      <w:bookmarkStart w:id="386" w:name="_Toc11844"/>
      <w:bookmarkStart w:id="387" w:name="_Toc31826"/>
      <w:r>
        <w:rPr>
          <w:rFonts w:hint="eastAsia" w:ascii="宋体" w:hAnsi="宋体" w:cs="宋体"/>
          <w:sz w:val="24"/>
          <w:szCs w:val="24"/>
        </w:rPr>
        <w:t>二、技术部分</w:t>
      </w:r>
      <w:bookmarkEnd w:id="383"/>
      <w:bookmarkEnd w:id="384"/>
      <w:bookmarkEnd w:id="385"/>
      <w:bookmarkEnd w:id="386"/>
      <w:bookmarkEnd w:id="387"/>
    </w:p>
    <w:p w14:paraId="6FE8D19D">
      <w:pPr>
        <w:snapToGrid w:val="0"/>
        <w:spacing w:line="500" w:lineRule="exact"/>
        <w:ind w:firstLine="480" w:firstLineChars="200"/>
        <w:outlineLvl w:val="3"/>
        <w:rPr>
          <w:rFonts w:hint="default" w:ascii="宋体" w:hAnsi="宋体" w:eastAsia="宋体" w:cs="宋体"/>
          <w:sz w:val="24"/>
          <w:szCs w:val="28"/>
          <w:lang w:val="en-US" w:eastAsia="zh-CN"/>
        </w:rPr>
      </w:pPr>
      <w:bookmarkStart w:id="388" w:name="_Toc31242"/>
      <w:bookmarkStart w:id="389" w:name="_Toc1755"/>
      <w:r>
        <w:rPr>
          <w:rFonts w:hint="eastAsia" w:ascii="宋体" w:hAnsi="宋体" w:eastAsia="宋体" w:cs="宋体"/>
          <w:sz w:val="24"/>
          <w:szCs w:val="28"/>
        </w:rPr>
        <w:t>（一）</w:t>
      </w:r>
      <w:bookmarkEnd w:id="388"/>
      <w:bookmarkEnd w:id="389"/>
      <w:r>
        <w:rPr>
          <w:rFonts w:hint="eastAsia" w:ascii="宋体" w:hAnsi="宋体" w:eastAsia="宋体" w:cs="宋体"/>
          <w:sz w:val="24"/>
          <w:szCs w:val="28"/>
          <w:lang w:val="en-US" w:eastAsia="zh-CN"/>
        </w:rPr>
        <w:t>技术响应情况</w:t>
      </w:r>
    </w:p>
    <w:p w14:paraId="1E39C029">
      <w:pPr>
        <w:snapToGrid w:val="0"/>
        <w:spacing w:line="500" w:lineRule="exact"/>
        <w:ind w:firstLine="480" w:firstLineChars="200"/>
        <w:rPr>
          <w:rFonts w:ascii="宋体" w:hAnsi="宋体" w:eastAsia="宋体" w:cs="宋体"/>
          <w:sz w:val="24"/>
          <w:szCs w:val="28"/>
        </w:rPr>
      </w:pPr>
    </w:p>
    <w:p w14:paraId="5ADAEECF">
      <w:pPr>
        <w:snapToGrid w:val="0"/>
        <w:spacing w:line="500" w:lineRule="exact"/>
        <w:ind w:firstLine="560" w:firstLineChars="200"/>
        <w:rPr>
          <w:rFonts w:ascii="宋体" w:hAnsi="宋体" w:eastAsia="宋体" w:cs="宋体"/>
          <w:szCs w:val="28"/>
        </w:rPr>
      </w:pPr>
    </w:p>
    <w:p w14:paraId="6C9C6D89">
      <w:pPr>
        <w:snapToGrid w:val="0"/>
        <w:spacing w:line="500" w:lineRule="exact"/>
        <w:ind w:firstLine="560" w:firstLineChars="200"/>
        <w:rPr>
          <w:rFonts w:ascii="宋体" w:hAnsi="宋体" w:eastAsia="宋体" w:cs="宋体"/>
          <w:szCs w:val="28"/>
        </w:rPr>
      </w:pPr>
    </w:p>
    <w:p w14:paraId="5ACCF1B5">
      <w:pPr>
        <w:snapToGrid w:val="0"/>
        <w:spacing w:line="500" w:lineRule="exact"/>
        <w:ind w:firstLine="560" w:firstLineChars="200"/>
        <w:rPr>
          <w:rFonts w:ascii="宋体" w:hAnsi="宋体" w:eastAsia="宋体" w:cs="宋体"/>
          <w:szCs w:val="28"/>
        </w:rPr>
      </w:pPr>
    </w:p>
    <w:p w14:paraId="3C91EDB6">
      <w:pPr>
        <w:snapToGrid w:val="0"/>
        <w:spacing w:line="500" w:lineRule="exact"/>
        <w:ind w:firstLine="560" w:firstLineChars="200"/>
        <w:rPr>
          <w:rFonts w:ascii="宋体" w:hAnsi="宋体" w:eastAsia="宋体" w:cs="宋体"/>
          <w:szCs w:val="28"/>
        </w:rPr>
      </w:pPr>
    </w:p>
    <w:p w14:paraId="3CD945A7">
      <w:pPr>
        <w:snapToGrid w:val="0"/>
        <w:spacing w:line="500" w:lineRule="exact"/>
        <w:ind w:firstLine="560" w:firstLineChars="200"/>
        <w:rPr>
          <w:rFonts w:ascii="宋体" w:hAnsi="宋体" w:eastAsia="宋体" w:cs="宋体"/>
          <w:szCs w:val="28"/>
        </w:rPr>
      </w:pPr>
    </w:p>
    <w:p w14:paraId="4A4D7634">
      <w:pPr>
        <w:snapToGrid w:val="0"/>
        <w:spacing w:line="500" w:lineRule="exact"/>
        <w:ind w:firstLine="560" w:firstLineChars="200"/>
        <w:rPr>
          <w:rFonts w:ascii="宋体" w:hAnsi="宋体" w:eastAsia="宋体" w:cs="宋体"/>
          <w:szCs w:val="28"/>
        </w:rPr>
      </w:pPr>
    </w:p>
    <w:p w14:paraId="26CC9372">
      <w:pPr>
        <w:snapToGrid w:val="0"/>
        <w:spacing w:line="500" w:lineRule="exact"/>
        <w:ind w:firstLine="560" w:firstLineChars="200"/>
        <w:rPr>
          <w:rFonts w:ascii="宋体" w:hAnsi="宋体" w:eastAsia="宋体" w:cs="宋体"/>
          <w:szCs w:val="28"/>
        </w:rPr>
      </w:pPr>
    </w:p>
    <w:p w14:paraId="362B71E9">
      <w:pPr>
        <w:snapToGrid w:val="0"/>
        <w:spacing w:line="500" w:lineRule="exact"/>
        <w:ind w:firstLine="560" w:firstLineChars="200"/>
        <w:rPr>
          <w:rFonts w:ascii="宋体" w:hAnsi="宋体" w:eastAsia="宋体" w:cs="宋体"/>
          <w:szCs w:val="28"/>
        </w:rPr>
      </w:pPr>
    </w:p>
    <w:p w14:paraId="22B6BF0D">
      <w:pPr>
        <w:snapToGrid w:val="0"/>
        <w:spacing w:line="500" w:lineRule="exact"/>
        <w:ind w:firstLine="560" w:firstLineChars="200"/>
        <w:rPr>
          <w:rFonts w:ascii="宋体" w:hAnsi="宋体" w:eastAsia="宋体" w:cs="宋体"/>
          <w:szCs w:val="28"/>
        </w:rPr>
      </w:pPr>
    </w:p>
    <w:p w14:paraId="42737458">
      <w:pPr>
        <w:snapToGrid w:val="0"/>
        <w:spacing w:line="500" w:lineRule="exact"/>
        <w:ind w:firstLine="560" w:firstLineChars="200"/>
        <w:rPr>
          <w:rFonts w:ascii="宋体" w:hAnsi="宋体" w:eastAsia="宋体" w:cs="宋体"/>
          <w:szCs w:val="28"/>
        </w:rPr>
      </w:pPr>
    </w:p>
    <w:p w14:paraId="053EC786">
      <w:pPr>
        <w:snapToGrid w:val="0"/>
        <w:spacing w:line="500" w:lineRule="exact"/>
        <w:ind w:firstLine="560" w:firstLineChars="200"/>
        <w:rPr>
          <w:rFonts w:ascii="宋体" w:hAnsi="宋体" w:eastAsia="宋体" w:cs="宋体"/>
          <w:szCs w:val="28"/>
        </w:rPr>
      </w:pPr>
    </w:p>
    <w:p w14:paraId="676F6C74">
      <w:pPr>
        <w:snapToGrid w:val="0"/>
        <w:spacing w:line="500" w:lineRule="exact"/>
        <w:ind w:firstLine="480" w:firstLineChars="200"/>
        <w:rPr>
          <w:rFonts w:ascii="宋体" w:hAnsi="宋体" w:eastAsia="宋体" w:cs="宋体"/>
          <w:sz w:val="24"/>
          <w:szCs w:val="28"/>
        </w:rPr>
      </w:pPr>
    </w:p>
    <w:p w14:paraId="26CECBCD">
      <w:pPr>
        <w:snapToGrid w:val="0"/>
        <w:spacing w:line="500" w:lineRule="exact"/>
        <w:ind w:firstLine="480" w:firstLineChars="200"/>
        <w:rPr>
          <w:rFonts w:ascii="宋体" w:hAnsi="宋体" w:eastAsia="宋体" w:cs="宋体"/>
          <w:sz w:val="24"/>
          <w:szCs w:val="28"/>
        </w:rPr>
      </w:pPr>
    </w:p>
    <w:p w14:paraId="5C105AD8">
      <w:pPr>
        <w:snapToGrid w:val="0"/>
        <w:spacing w:line="500" w:lineRule="exact"/>
        <w:ind w:firstLine="480" w:firstLineChars="200"/>
        <w:rPr>
          <w:rFonts w:ascii="宋体" w:hAnsi="宋体" w:eastAsia="宋体" w:cs="宋体"/>
          <w:sz w:val="24"/>
          <w:szCs w:val="28"/>
        </w:rPr>
      </w:pPr>
    </w:p>
    <w:p w14:paraId="21F40FFB">
      <w:pPr>
        <w:snapToGrid w:val="0"/>
        <w:spacing w:line="500" w:lineRule="exact"/>
        <w:ind w:firstLine="480" w:firstLineChars="200"/>
        <w:rPr>
          <w:rFonts w:ascii="宋体" w:hAnsi="宋体" w:eastAsia="宋体" w:cs="宋体"/>
          <w:sz w:val="24"/>
          <w:szCs w:val="28"/>
        </w:rPr>
      </w:pPr>
    </w:p>
    <w:p w14:paraId="7BA361C9">
      <w:pPr>
        <w:snapToGrid w:val="0"/>
        <w:spacing w:line="500" w:lineRule="exact"/>
        <w:ind w:firstLine="480" w:firstLineChars="200"/>
        <w:rPr>
          <w:rFonts w:ascii="宋体" w:hAnsi="宋体" w:eastAsia="宋体" w:cs="宋体"/>
          <w:sz w:val="24"/>
          <w:szCs w:val="28"/>
        </w:rPr>
      </w:pPr>
    </w:p>
    <w:p w14:paraId="5C7D0A54">
      <w:pPr>
        <w:snapToGrid w:val="0"/>
        <w:spacing w:line="500" w:lineRule="exact"/>
        <w:ind w:firstLine="480" w:firstLineChars="200"/>
        <w:rPr>
          <w:rFonts w:ascii="宋体" w:hAnsi="宋体" w:eastAsia="宋体" w:cs="宋体"/>
          <w:sz w:val="24"/>
          <w:szCs w:val="28"/>
        </w:rPr>
      </w:pPr>
    </w:p>
    <w:p w14:paraId="308509E1">
      <w:pPr>
        <w:snapToGrid w:val="0"/>
        <w:spacing w:line="500" w:lineRule="exact"/>
        <w:ind w:firstLine="480" w:firstLineChars="200"/>
        <w:rPr>
          <w:rFonts w:ascii="宋体" w:hAnsi="宋体" w:eastAsia="宋体" w:cs="宋体"/>
          <w:sz w:val="24"/>
          <w:szCs w:val="28"/>
        </w:rPr>
      </w:pPr>
    </w:p>
    <w:p w14:paraId="7FD3FF0D">
      <w:pPr>
        <w:snapToGrid w:val="0"/>
        <w:spacing w:line="500" w:lineRule="exact"/>
        <w:ind w:firstLine="480" w:firstLineChars="200"/>
        <w:rPr>
          <w:rFonts w:ascii="宋体" w:hAnsi="宋体" w:eastAsia="宋体" w:cs="宋体"/>
          <w:sz w:val="24"/>
          <w:szCs w:val="28"/>
        </w:rPr>
      </w:pPr>
    </w:p>
    <w:p w14:paraId="191117BE">
      <w:pPr>
        <w:snapToGrid w:val="0"/>
        <w:spacing w:line="500" w:lineRule="exact"/>
        <w:ind w:firstLine="480" w:firstLineChars="200"/>
        <w:rPr>
          <w:rFonts w:ascii="宋体" w:hAnsi="宋体" w:eastAsia="宋体" w:cs="宋体"/>
          <w:sz w:val="24"/>
          <w:szCs w:val="28"/>
        </w:rPr>
      </w:pPr>
    </w:p>
    <w:p w14:paraId="56527A98">
      <w:pPr>
        <w:snapToGrid w:val="0"/>
        <w:spacing w:line="500" w:lineRule="exact"/>
        <w:ind w:firstLine="480" w:firstLineChars="200"/>
        <w:rPr>
          <w:rFonts w:ascii="宋体" w:hAnsi="宋体" w:eastAsia="宋体" w:cs="宋体"/>
          <w:sz w:val="24"/>
          <w:szCs w:val="28"/>
        </w:rPr>
      </w:pPr>
    </w:p>
    <w:p w14:paraId="76160CED">
      <w:pPr>
        <w:tabs>
          <w:tab w:val="left" w:pos="6300"/>
        </w:tabs>
        <w:snapToGrid w:val="0"/>
        <w:spacing w:line="500" w:lineRule="exact"/>
        <w:outlineLvl w:val="3"/>
        <w:rPr>
          <w:rFonts w:ascii="宋体" w:hAnsi="宋体" w:eastAsia="宋体" w:cs="宋体"/>
          <w:sz w:val="24"/>
          <w:szCs w:val="24"/>
        </w:rPr>
      </w:pPr>
      <w:r>
        <w:rPr>
          <w:rFonts w:hint="eastAsia" w:ascii="宋体" w:hAnsi="宋体" w:eastAsia="宋体" w:cs="宋体"/>
          <w:sz w:val="24"/>
          <w:szCs w:val="28"/>
        </w:rPr>
        <w:br w:type="page"/>
      </w:r>
      <w:bookmarkStart w:id="390" w:name="_Toc14917"/>
      <w:r>
        <w:rPr>
          <w:rFonts w:hint="eastAsia" w:ascii="宋体" w:hAnsi="宋体" w:eastAsia="宋体" w:cs="宋体"/>
          <w:sz w:val="24"/>
          <w:szCs w:val="28"/>
          <w:lang w:val="en-US" w:eastAsia="zh-CN"/>
        </w:rPr>
        <w:t xml:space="preserve"> </w:t>
      </w:r>
      <w:bookmarkStart w:id="391" w:name="_Toc30654"/>
      <w:r>
        <w:rPr>
          <w:rFonts w:hint="eastAsia" w:ascii="宋体" w:hAnsi="宋体" w:eastAsia="宋体" w:cs="宋体"/>
          <w:sz w:val="24"/>
          <w:szCs w:val="24"/>
        </w:rPr>
        <w:t>（二）技术响应偏离表</w:t>
      </w:r>
      <w:bookmarkEnd w:id="390"/>
      <w:bookmarkEnd w:id="391"/>
    </w:p>
    <w:tbl>
      <w:tblPr>
        <w:tblStyle w:val="59"/>
        <w:tblW w:w="91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4"/>
        <w:gridCol w:w="2811"/>
        <w:gridCol w:w="2918"/>
        <w:gridCol w:w="2186"/>
      </w:tblGrid>
      <w:tr w14:paraId="7A02C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204" w:type="dxa"/>
            <w:vAlign w:val="center"/>
          </w:tcPr>
          <w:p w14:paraId="046C8686">
            <w:pPr>
              <w:tabs>
                <w:tab w:val="left" w:pos="6300"/>
              </w:tabs>
              <w:snapToGrid w:val="0"/>
              <w:spacing w:line="500" w:lineRule="exact"/>
              <w:jc w:val="center"/>
              <w:rPr>
                <w:rFonts w:ascii="宋体" w:hAnsi="宋体" w:eastAsia="宋体" w:cs="宋体"/>
                <w:sz w:val="24"/>
                <w:szCs w:val="24"/>
              </w:rPr>
            </w:pPr>
            <w:r>
              <w:rPr>
                <w:rFonts w:hint="eastAsia" w:ascii="宋体" w:hAnsi="宋体" w:eastAsia="宋体" w:cs="宋体"/>
                <w:sz w:val="24"/>
                <w:szCs w:val="24"/>
              </w:rPr>
              <w:t>序号</w:t>
            </w:r>
          </w:p>
        </w:tc>
        <w:tc>
          <w:tcPr>
            <w:tcW w:w="2811" w:type="dxa"/>
            <w:vAlign w:val="center"/>
          </w:tcPr>
          <w:p w14:paraId="0E1F89B3">
            <w:pPr>
              <w:tabs>
                <w:tab w:val="left" w:pos="6300"/>
              </w:tabs>
              <w:snapToGrid w:val="0"/>
              <w:spacing w:line="500" w:lineRule="exact"/>
              <w:jc w:val="center"/>
              <w:rPr>
                <w:rFonts w:ascii="宋体" w:hAnsi="宋体" w:eastAsia="宋体" w:cs="宋体"/>
                <w:sz w:val="24"/>
                <w:szCs w:val="24"/>
              </w:rPr>
            </w:pPr>
            <w:r>
              <w:rPr>
                <w:rFonts w:hint="eastAsia" w:ascii="宋体" w:hAnsi="宋体" w:eastAsia="宋体" w:cs="宋体"/>
                <w:sz w:val="24"/>
                <w:szCs w:val="24"/>
              </w:rPr>
              <w:t>采购需求</w:t>
            </w:r>
          </w:p>
        </w:tc>
        <w:tc>
          <w:tcPr>
            <w:tcW w:w="2918" w:type="dxa"/>
            <w:vAlign w:val="center"/>
          </w:tcPr>
          <w:p w14:paraId="182AD9F6">
            <w:pPr>
              <w:tabs>
                <w:tab w:val="left" w:pos="6300"/>
              </w:tabs>
              <w:snapToGrid w:val="0"/>
              <w:spacing w:line="500" w:lineRule="exact"/>
              <w:jc w:val="center"/>
              <w:rPr>
                <w:rFonts w:ascii="宋体" w:hAnsi="宋体" w:eastAsia="宋体" w:cs="宋体"/>
                <w:sz w:val="24"/>
                <w:szCs w:val="24"/>
              </w:rPr>
            </w:pPr>
            <w:r>
              <w:rPr>
                <w:rFonts w:hint="eastAsia" w:ascii="宋体" w:hAnsi="宋体" w:eastAsia="宋体" w:cs="宋体"/>
                <w:sz w:val="24"/>
                <w:szCs w:val="24"/>
              </w:rPr>
              <w:t>响应情况</w:t>
            </w:r>
          </w:p>
        </w:tc>
        <w:tc>
          <w:tcPr>
            <w:tcW w:w="2186" w:type="dxa"/>
            <w:vAlign w:val="center"/>
          </w:tcPr>
          <w:p w14:paraId="267EE160">
            <w:pPr>
              <w:tabs>
                <w:tab w:val="left" w:pos="6300"/>
              </w:tabs>
              <w:snapToGrid w:val="0"/>
              <w:spacing w:line="500" w:lineRule="exact"/>
              <w:jc w:val="center"/>
              <w:rPr>
                <w:rFonts w:ascii="宋体" w:hAnsi="宋体" w:eastAsia="宋体" w:cs="宋体"/>
                <w:sz w:val="24"/>
                <w:szCs w:val="24"/>
              </w:rPr>
            </w:pPr>
            <w:r>
              <w:rPr>
                <w:rFonts w:hint="eastAsia" w:ascii="宋体" w:hAnsi="宋体" w:eastAsia="宋体" w:cs="宋体"/>
                <w:sz w:val="24"/>
                <w:szCs w:val="24"/>
              </w:rPr>
              <w:t>差异说明</w:t>
            </w:r>
          </w:p>
        </w:tc>
      </w:tr>
      <w:tr w14:paraId="2DAF0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7D11337F">
            <w:pPr>
              <w:tabs>
                <w:tab w:val="left" w:pos="6300"/>
              </w:tabs>
              <w:snapToGrid w:val="0"/>
              <w:spacing w:line="500" w:lineRule="exact"/>
              <w:jc w:val="center"/>
              <w:rPr>
                <w:rFonts w:ascii="宋体" w:hAnsi="宋体" w:eastAsia="宋体" w:cs="宋体"/>
                <w:sz w:val="21"/>
                <w:szCs w:val="21"/>
              </w:rPr>
            </w:pPr>
          </w:p>
        </w:tc>
        <w:tc>
          <w:tcPr>
            <w:tcW w:w="2811" w:type="dxa"/>
            <w:vAlign w:val="center"/>
          </w:tcPr>
          <w:p w14:paraId="0CFB3EB5">
            <w:pPr>
              <w:tabs>
                <w:tab w:val="left" w:pos="6300"/>
              </w:tabs>
              <w:snapToGrid w:val="0"/>
              <w:spacing w:line="500" w:lineRule="exact"/>
              <w:jc w:val="center"/>
              <w:rPr>
                <w:rFonts w:ascii="宋体" w:hAnsi="宋体" w:eastAsia="宋体" w:cs="宋体"/>
                <w:sz w:val="21"/>
                <w:szCs w:val="21"/>
              </w:rPr>
            </w:pPr>
          </w:p>
        </w:tc>
        <w:tc>
          <w:tcPr>
            <w:tcW w:w="2918" w:type="dxa"/>
            <w:vAlign w:val="center"/>
          </w:tcPr>
          <w:p w14:paraId="11A27C2D">
            <w:pPr>
              <w:tabs>
                <w:tab w:val="left" w:pos="6300"/>
              </w:tabs>
              <w:snapToGrid w:val="0"/>
              <w:spacing w:line="500" w:lineRule="exact"/>
              <w:jc w:val="center"/>
              <w:rPr>
                <w:rFonts w:ascii="宋体" w:hAnsi="宋体" w:eastAsia="宋体" w:cs="宋体"/>
                <w:sz w:val="21"/>
                <w:szCs w:val="21"/>
              </w:rPr>
            </w:pPr>
          </w:p>
        </w:tc>
        <w:tc>
          <w:tcPr>
            <w:tcW w:w="2186" w:type="dxa"/>
            <w:vAlign w:val="center"/>
          </w:tcPr>
          <w:p w14:paraId="5B875A4D">
            <w:pPr>
              <w:tabs>
                <w:tab w:val="left" w:pos="6300"/>
              </w:tabs>
              <w:snapToGrid w:val="0"/>
              <w:spacing w:line="500" w:lineRule="exact"/>
              <w:jc w:val="center"/>
              <w:rPr>
                <w:rFonts w:ascii="宋体" w:hAnsi="宋体" w:eastAsia="宋体" w:cs="宋体"/>
                <w:sz w:val="21"/>
                <w:szCs w:val="21"/>
              </w:rPr>
            </w:pPr>
          </w:p>
        </w:tc>
      </w:tr>
      <w:tr w14:paraId="08472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42D4A165">
            <w:pPr>
              <w:tabs>
                <w:tab w:val="left" w:pos="6300"/>
              </w:tabs>
              <w:snapToGrid w:val="0"/>
              <w:spacing w:line="500" w:lineRule="exact"/>
              <w:jc w:val="center"/>
              <w:rPr>
                <w:rFonts w:ascii="宋体" w:hAnsi="宋体" w:eastAsia="宋体" w:cs="宋体"/>
                <w:sz w:val="21"/>
                <w:szCs w:val="21"/>
              </w:rPr>
            </w:pPr>
          </w:p>
        </w:tc>
        <w:tc>
          <w:tcPr>
            <w:tcW w:w="2811" w:type="dxa"/>
            <w:vAlign w:val="center"/>
          </w:tcPr>
          <w:p w14:paraId="53B63824">
            <w:pPr>
              <w:tabs>
                <w:tab w:val="left" w:pos="6300"/>
              </w:tabs>
              <w:snapToGrid w:val="0"/>
              <w:spacing w:line="500" w:lineRule="exact"/>
              <w:jc w:val="center"/>
              <w:rPr>
                <w:rFonts w:ascii="宋体" w:hAnsi="宋体" w:eastAsia="宋体" w:cs="宋体"/>
                <w:sz w:val="21"/>
                <w:szCs w:val="21"/>
              </w:rPr>
            </w:pPr>
          </w:p>
        </w:tc>
        <w:tc>
          <w:tcPr>
            <w:tcW w:w="2918" w:type="dxa"/>
            <w:vAlign w:val="center"/>
          </w:tcPr>
          <w:p w14:paraId="58B7B48B">
            <w:pPr>
              <w:tabs>
                <w:tab w:val="left" w:pos="6300"/>
              </w:tabs>
              <w:snapToGrid w:val="0"/>
              <w:spacing w:line="500" w:lineRule="exact"/>
              <w:jc w:val="center"/>
              <w:rPr>
                <w:rFonts w:ascii="宋体" w:hAnsi="宋体" w:eastAsia="宋体" w:cs="宋体"/>
                <w:sz w:val="21"/>
                <w:szCs w:val="21"/>
              </w:rPr>
            </w:pPr>
          </w:p>
        </w:tc>
        <w:tc>
          <w:tcPr>
            <w:tcW w:w="2186" w:type="dxa"/>
            <w:vAlign w:val="center"/>
          </w:tcPr>
          <w:p w14:paraId="5D1B8F15">
            <w:pPr>
              <w:tabs>
                <w:tab w:val="left" w:pos="6300"/>
              </w:tabs>
              <w:snapToGrid w:val="0"/>
              <w:spacing w:line="500" w:lineRule="exact"/>
              <w:jc w:val="center"/>
              <w:rPr>
                <w:rFonts w:ascii="宋体" w:hAnsi="宋体" w:eastAsia="宋体" w:cs="宋体"/>
                <w:sz w:val="21"/>
                <w:szCs w:val="21"/>
              </w:rPr>
            </w:pPr>
          </w:p>
        </w:tc>
      </w:tr>
      <w:tr w14:paraId="36F50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58ACAF6D">
            <w:pPr>
              <w:tabs>
                <w:tab w:val="left" w:pos="6300"/>
              </w:tabs>
              <w:snapToGrid w:val="0"/>
              <w:spacing w:line="500" w:lineRule="exact"/>
              <w:jc w:val="center"/>
              <w:rPr>
                <w:rFonts w:ascii="宋体" w:hAnsi="宋体" w:eastAsia="宋体" w:cs="宋体"/>
                <w:sz w:val="21"/>
                <w:szCs w:val="21"/>
              </w:rPr>
            </w:pPr>
          </w:p>
        </w:tc>
        <w:tc>
          <w:tcPr>
            <w:tcW w:w="2811" w:type="dxa"/>
            <w:vAlign w:val="center"/>
          </w:tcPr>
          <w:p w14:paraId="3D732C58">
            <w:pPr>
              <w:tabs>
                <w:tab w:val="left" w:pos="6300"/>
              </w:tabs>
              <w:snapToGrid w:val="0"/>
              <w:spacing w:line="500" w:lineRule="exact"/>
              <w:jc w:val="center"/>
              <w:rPr>
                <w:rFonts w:ascii="宋体" w:hAnsi="宋体" w:eastAsia="宋体" w:cs="宋体"/>
                <w:sz w:val="21"/>
                <w:szCs w:val="21"/>
              </w:rPr>
            </w:pPr>
          </w:p>
        </w:tc>
        <w:tc>
          <w:tcPr>
            <w:tcW w:w="2918" w:type="dxa"/>
            <w:vAlign w:val="center"/>
          </w:tcPr>
          <w:p w14:paraId="367B70CF">
            <w:pPr>
              <w:tabs>
                <w:tab w:val="left" w:pos="6300"/>
              </w:tabs>
              <w:snapToGrid w:val="0"/>
              <w:spacing w:line="500" w:lineRule="exact"/>
              <w:jc w:val="center"/>
              <w:rPr>
                <w:rFonts w:ascii="宋体" w:hAnsi="宋体" w:eastAsia="宋体" w:cs="宋体"/>
                <w:sz w:val="21"/>
                <w:szCs w:val="21"/>
              </w:rPr>
            </w:pPr>
          </w:p>
        </w:tc>
        <w:tc>
          <w:tcPr>
            <w:tcW w:w="2186" w:type="dxa"/>
            <w:vAlign w:val="center"/>
          </w:tcPr>
          <w:p w14:paraId="616B4617">
            <w:pPr>
              <w:tabs>
                <w:tab w:val="left" w:pos="6300"/>
              </w:tabs>
              <w:snapToGrid w:val="0"/>
              <w:spacing w:line="500" w:lineRule="exact"/>
              <w:jc w:val="center"/>
              <w:rPr>
                <w:rFonts w:ascii="宋体" w:hAnsi="宋体" w:eastAsia="宋体" w:cs="宋体"/>
                <w:sz w:val="21"/>
                <w:szCs w:val="21"/>
              </w:rPr>
            </w:pPr>
          </w:p>
        </w:tc>
      </w:tr>
      <w:tr w14:paraId="30B5A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7A355C65">
            <w:pPr>
              <w:tabs>
                <w:tab w:val="left" w:pos="6300"/>
              </w:tabs>
              <w:snapToGrid w:val="0"/>
              <w:spacing w:line="500" w:lineRule="exact"/>
              <w:jc w:val="center"/>
              <w:rPr>
                <w:rFonts w:ascii="宋体" w:hAnsi="宋体" w:eastAsia="宋体" w:cs="宋体"/>
                <w:sz w:val="21"/>
                <w:szCs w:val="21"/>
              </w:rPr>
            </w:pPr>
          </w:p>
        </w:tc>
        <w:tc>
          <w:tcPr>
            <w:tcW w:w="2811" w:type="dxa"/>
            <w:vAlign w:val="center"/>
          </w:tcPr>
          <w:p w14:paraId="0F6BACF9">
            <w:pPr>
              <w:tabs>
                <w:tab w:val="left" w:pos="6300"/>
              </w:tabs>
              <w:snapToGrid w:val="0"/>
              <w:spacing w:line="500" w:lineRule="exact"/>
              <w:jc w:val="center"/>
              <w:rPr>
                <w:rFonts w:ascii="宋体" w:hAnsi="宋体" w:eastAsia="宋体" w:cs="宋体"/>
                <w:sz w:val="21"/>
                <w:szCs w:val="21"/>
              </w:rPr>
            </w:pPr>
          </w:p>
        </w:tc>
        <w:tc>
          <w:tcPr>
            <w:tcW w:w="2918" w:type="dxa"/>
            <w:vAlign w:val="center"/>
          </w:tcPr>
          <w:p w14:paraId="1D1C3479">
            <w:pPr>
              <w:tabs>
                <w:tab w:val="left" w:pos="6300"/>
              </w:tabs>
              <w:snapToGrid w:val="0"/>
              <w:spacing w:line="500" w:lineRule="exact"/>
              <w:jc w:val="center"/>
              <w:rPr>
                <w:rFonts w:ascii="宋体" w:hAnsi="宋体" w:eastAsia="宋体" w:cs="宋体"/>
                <w:sz w:val="21"/>
                <w:szCs w:val="21"/>
              </w:rPr>
            </w:pPr>
          </w:p>
        </w:tc>
        <w:tc>
          <w:tcPr>
            <w:tcW w:w="2186" w:type="dxa"/>
            <w:vAlign w:val="center"/>
          </w:tcPr>
          <w:p w14:paraId="70B97E8D">
            <w:pPr>
              <w:tabs>
                <w:tab w:val="left" w:pos="6300"/>
              </w:tabs>
              <w:snapToGrid w:val="0"/>
              <w:spacing w:line="500" w:lineRule="exact"/>
              <w:jc w:val="center"/>
              <w:rPr>
                <w:rFonts w:ascii="宋体" w:hAnsi="宋体" w:eastAsia="宋体" w:cs="宋体"/>
                <w:sz w:val="21"/>
                <w:szCs w:val="21"/>
              </w:rPr>
            </w:pPr>
          </w:p>
        </w:tc>
      </w:tr>
      <w:tr w14:paraId="0FC52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536CDCAC">
            <w:pPr>
              <w:tabs>
                <w:tab w:val="left" w:pos="6300"/>
              </w:tabs>
              <w:snapToGrid w:val="0"/>
              <w:spacing w:line="500" w:lineRule="exact"/>
              <w:jc w:val="center"/>
              <w:rPr>
                <w:rFonts w:ascii="宋体" w:hAnsi="宋体" w:eastAsia="宋体" w:cs="宋体"/>
                <w:sz w:val="21"/>
                <w:szCs w:val="21"/>
              </w:rPr>
            </w:pPr>
          </w:p>
        </w:tc>
        <w:tc>
          <w:tcPr>
            <w:tcW w:w="2811" w:type="dxa"/>
            <w:vAlign w:val="center"/>
          </w:tcPr>
          <w:p w14:paraId="508FDEAD">
            <w:pPr>
              <w:tabs>
                <w:tab w:val="left" w:pos="6300"/>
              </w:tabs>
              <w:snapToGrid w:val="0"/>
              <w:spacing w:line="500" w:lineRule="exact"/>
              <w:jc w:val="center"/>
              <w:rPr>
                <w:rFonts w:ascii="宋体" w:hAnsi="宋体" w:eastAsia="宋体" w:cs="宋体"/>
                <w:sz w:val="21"/>
                <w:szCs w:val="21"/>
              </w:rPr>
            </w:pPr>
          </w:p>
        </w:tc>
        <w:tc>
          <w:tcPr>
            <w:tcW w:w="2918" w:type="dxa"/>
            <w:vAlign w:val="center"/>
          </w:tcPr>
          <w:p w14:paraId="34EC15E3">
            <w:pPr>
              <w:tabs>
                <w:tab w:val="left" w:pos="6300"/>
              </w:tabs>
              <w:snapToGrid w:val="0"/>
              <w:spacing w:line="500" w:lineRule="exact"/>
              <w:jc w:val="center"/>
              <w:rPr>
                <w:rFonts w:ascii="宋体" w:hAnsi="宋体" w:eastAsia="宋体" w:cs="宋体"/>
                <w:sz w:val="21"/>
                <w:szCs w:val="21"/>
              </w:rPr>
            </w:pPr>
          </w:p>
        </w:tc>
        <w:tc>
          <w:tcPr>
            <w:tcW w:w="2186" w:type="dxa"/>
            <w:vAlign w:val="center"/>
          </w:tcPr>
          <w:p w14:paraId="447E4ECF">
            <w:pPr>
              <w:tabs>
                <w:tab w:val="left" w:pos="6300"/>
              </w:tabs>
              <w:snapToGrid w:val="0"/>
              <w:spacing w:line="500" w:lineRule="exact"/>
              <w:jc w:val="center"/>
              <w:rPr>
                <w:rFonts w:ascii="宋体" w:hAnsi="宋体" w:eastAsia="宋体" w:cs="宋体"/>
                <w:sz w:val="21"/>
                <w:szCs w:val="21"/>
              </w:rPr>
            </w:pPr>
          </w:p>
        </w:tc>
      </w:tr>
      <w:tr w14:paraId="23A85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5867135B">
            <w:pPr>
              <w:tabs>
                <w:tab w:val="left" w:pos="6300"/>
              </w:tabs>
              <w:snapToGrid w:val="0"/>
              <w:spacing w:line="500" w:lineRule="exact"/>
              <w:jc w:val="center"/>
              <w:rPr>
                <w:rFonts w:ascii="宋体" w:hAnsi="宋体" w:eastAsia="宋体" w:cs="宋体"/>
                <w:sz w:val="21"/>
                <w:szCs w:val="21"/>
              </w:rPr>
            </w:pPr>
          </w:p>
        </w:tc>
        <w:tc>
          <w:tcPr>
            <w:tcW w:w="2811" w:type="dxa"/>
            <w:vAlign w:val="center"/>
          </w:tcPr>
          <w:p w14:paraId="6CD3B298">
            <w:pPr>
              <w:tabs>
                <w:tab w:val="left" w:pos="6300"/>
              </w:tabs>
              <w:snapToGrid w:val="0"/>
              <w:spacing w:line="500" w:lineRule="exact"/>
              <w:jc w:val="center"/>
              <w:rPr>
                <w:rFonts w:ascii="宋体" w:hAnsi="宋体" w:eastAsia="宋体" w:cs="宋体"/>
                <w:sz w:val="21"/>
                <w:szCs w:val="21"/>
              </w:rPr>
            </w:pPr>
          </w:p>
        </w:tc>
        <w:tc>
          <w:tcPr>
            <w:tcW w:w="2918" w:type="dxa"/>
            <w:vAlign w:val="center"/>
          </w:tcPr>
          <w:p w14:paraId="7DAA58A2">
            <w:pPr>
              <w:tabs>
                <w:tab w:val="left" w:pos="6300"/>
              </w:tabs>
              <w:snapToGrid w:val="0"/>
              <w:spacing w:line="500" w:lineRule="exact"/>
              <w:jc w:val="center"/>
              <w:rPr>
                <w:rFonts w:ascii="宋体" w:hAnsi="宋体" w:eastAsia="宋体" w:cs="宋体"/>
                <w:sz w:val="21"/>
                <w:szCs w:val="21"/>
              </w:rPr>
            </w:pPr>
          </w:p>
        </w:tc>
        <w:tc>
          <w:tcPr>
            <w:tcW w:w="2186" w:type="dxa"/>
            <w:vAlign w:val="center"/>
          </w:tcPr>
          <w:p w14:paraId="012479F7">
            <w:pPr>
              <w:tabs>
                <w:tab w:val="left" w:pos="6300"/>
              </w:tabs>
              <w:snapToGrid w:val="0"/>
              <w:spacing w:line="500" w:lineRule="exact"/>
              <w:jc w:val="center"/>
              <w:rPr>
                <w:rFonts w:ascii="宋体" w:hAnsi="宋体" w:eastAsia="宋体" w:cs="宋体"/>
                <w:sz w:val="21"/>
                <w:szCs w:val="21"/>
              </w:rPr>
            </w:pPr>
          </w:p>
        </w:tc>
      </w:tr>
      <w:tr w14:paraId="1E09F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09808DC2">
            <w:pPr>
              <w:tabs>
                <w:tab w:val="left" w:pos="6300"/>
              </w:tabs>
              <w:snapToGrid w:val="0"/>
              <w:spacing w:line="500" w:lineRule="exact"/>
              <w:jc w:val="center"/>
              <w:rPr>
                <w:rFonts w:ascii="宋体" w:hAnsi="宋体" w:eastAsia="宋体" w:cs="宋体"/>
                <w:sz w:val="21"/>
                <w:szCs w:val="21"/>
              </w:rPr>
            </w:pPr>
          </w:p>
        </w:tc>
        <w:tc>
          <w:tcPr>
            <w:tcW w:w="2811" w:type="dxa"/>
            <w:vAlign w:val="center"/>
          </w:tcPr>
          <w:p w14:paraId="3A0E11C0">
            <w:pPr>
              <w:tabs>
                <w:tab w:val="left" w:pos="6300"/>
              </w:tabs>
              <w:snapToGrid w:val="0"/>
              <w:spacing w:line="500" w:lineRule="exact"/>
              <w:jc w:val="center"/>
              <w:rPr>
                <w:rFonts w:ascii="宋体" w:hAnsi="宋体" w:eastAsia="宋体" w:cs="宋体"/>
                <w:sz w:val="21"/>
                <w:szCs w:val="21"/>
              </w:rPr>
            </w:pPr>
          </w:p>
        </w:tc>
        <w:tc>
          <w:tcPr>
            <w:tcW w:w="2918" w:type="dxa"/>
            <w:vAlign w:val="center"/>
          </w:tcPr>
          <w:p w14:paraId="28E9F0E1">
            <w:pPr>
              <w:tabs>
                <w:tab w:val="left" w:pos="6300"/>
              </w:tabs>
              <w:snapToGrid w:val="0"/>
              <w:spacing w:line="500" w:lineRule="exact"/>
              <w:jc w:val="center"/>
              <w:rPr>
                <w:rFonts w:ascii="宋体" w:hAnsi="宋体" w:eastAsia="宋体" w:cs="宋体"/>
                <w:sz w:val="21"/>
                <w:szCs w:val="21"/>
              </w:rPr>
            </w:pPr>
          </w:p>
        </w:tc>
        <w:tc>
          <w:tcPr>
            <w:tcW w:w="2186" w:type="dxa"/>
            <w:vAlign w:val="center"/>
          </w:tcPr>
          <w:p w14:paraId="3D022B07">
            <w:pPr>
              <w:tabs>
                <w:tab w:val="left" w:pos="6300"/>
              </w:tabs>
              <w:snapToGrid w:val="0"/>
              <w:spacing w:line="500" w:lineRule="exact"/>
              <w:jc w:val="center"/>
              <w:rPr>
                <w:rFonts w:ascii="宋体" w:hAnsi="宋体" w:eastAsia="宋体" w:cs="宋体"/>
                <w:sz w:val="21"/>
                <w:szCs w:val="21"/>
              </w:rPr>
            </w:pPr>
          </w:p>
        </w:tc>
      </w:tr>
    </w:tbl>
    <w:p w14:paraId="2A6D8BE5">
      <w:pPr>
        <w:rPr>
          <w:rFonts w:ascii="宋体" w:hAnsi="宋体" w:eastAsia="宋体" w:cs="宋体"/>
        </w:rPr>
      </w:pPr>
    </w:p>
    <w:p w14:paraId="70011852">
      <w:pPr>
        <w:spacing w:line="500" w:lineRule="exact"/>
        <w:ind w:firstLine="600" w:firstLineChars="250"/>
        <w:rPr>
          <w:rFonts w:ascii="宋体" w:hAnsi="宋体" w:eastAsia="宋体" w:cs="宋体"/>
          <w:sz w:val="24"/>
          <w:szCs w:val="28"/>
        </w:rPr>
      </w:pPr>
      <w:r>
        <w:rPr>
          <w:rFonts w:hint="eastAsia" w:ascii="宋体" w:hAnsi="宋体" w:eastAsia="宋体" w:cs="宋体"/>
          <w:sz w:val="24"/>
          <w:szCs w:val="28"/>
        </w:rPr>
        <w:t>供应商：                                      法定代表人或负责人授权代表：</w:t>
      </w:r>
    </w:p>
    <w:p w14:paraId="21B0DC2D">
      <w:pPr>
        <w:spacing w:line="500" w:lineRule="exact"/>
        <w:rPr>
          <w:rFonts w:ascii="宋体" w:hAnsi="宋体" w:eastAsia="宋体" w:cs="宋体"/>
          <w:sz w:val="24"/>
          <w:szCs w:val="28"/>
        </w:rPr>
      </w:pPr>
      <w:r>
        <w:rPr>
          <w:rFonts w:hint="eastAsia" w:ascii="宋体" w:hAnsi="宋体" w:eastAsia="宋体" w:cs="宋体"/>
          <w:sz w:val="24"/>
          <w:szCs w:val="28"/>
        </w:rPr>
        <w:t xml:space="preserve">    </w:t>
      </w:r>
    </w:p>
    <w:p w14:paraId="667F3A18">
      <w:pPr>
        <w:spacing w:line="500" w:lineRule="exact"/>
        <w:ind w:firstLine="720" w:firstLineChars="300"/>
        <w:rPr>
          <w:rFonts w:ascii="宋体" w:hAnsi="宋体" w:eastAsia="宋体" w:cs="宋体"/>
          <w:sz w:val="24"/>
          <w:szCs w:val="28"/>
        </w:rPr>
      </w:pPr>
      <w:r>
        <w:rPr>
          <w:rFonts w:hint="eastAsia" w:ascii="宋体" w:hAnsi="宋体" w:eastAsia="宋体" w:cs="宋体"/>
          <w:sz w:val="24"/>
          <w:szCs w:val="28"/>
        </w:rPr>
        <w:t>（供应商公章）                               （签字或盖章）</w:t>
      </w:r>
    </w:p>
    <w:p w14:paraId="6EA7D34B">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szCs w:val="28"/>
        </w:rPr>
        <w:t xml:space="preserve">                                            年     月     日</w:t>
      </w:r>
    </w:p>
    <w:p w14:paraId="709B8334">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注：</w:t>
      </w:r>
    </w:p>
    <w:p w14:paraId="3D6C0C0D">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szCs w:val="24"/>
        </w:rPr>
        <w:t>1</w:t>
      </w:r>
      <w:r>
        <w:rPr>
          <w:rFonts w:hint="eastAsia" w:ascii="宋体" w:hAnsi="宋体" w:eastAsia="宋体" w:cs="宋体"/>
          <w:sz w:val="24"/>
        </w:rPr>
        <w:t>.本表即为对本项目“第三篇  谈判项目信息及技术需求”中所列技术要求进行比较和响应；</w:t>
      </w:r>
    </w:p>
    <w:p w14:paraId="2FF5BC33">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2.该表必须按照谈判要求逐条如实填写，根据响应情况在“差异说明”项填写正偏离或负偏离及原因，完全符合的填写“无差异”；</w:t>
      </w:r>
    </w:p>
    <w:p w14:paraId="0F05F1A1">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3.该表可扩展</w:t>
      </w:r>
      <w:r>
        <w:rPr>
          <w:rFonts w:hint="eastAsia" w:ascii="宋体" w:hAnsi="宋体" w:eastAsia="宋体" w:cs="宋体"/>
          <w:sz w:val="24"/>
          <w:szCs w:val="28"/>
        </w:rPr>
        <w:t>，并逐页签字或盖章</w:t>
      </w:r>
      <w:r>
        <w:rPr>
          <w:rFonts w:hint="eastAsia" w:ascii="宋体" w:hAnsi="宋体" w:eastAsia="宋体" w:cs="宋体"/>
          <w:sz w:val="24"/>
        </w:rPr>
        <w:t>；</w:t>
      </w:r>
    </w:p>
    <w:p w14:paraId="0931B86A">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4.可附相关技术支撑材料。（格式自定）</w:t>
      </w:r>
    </w:p>
    <w:p w14:paraId="3CB0D963">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rPr>
        <w:t>5.若“响应情况”栏中仅填写“无偏离”或“有偏离”等内容而未作实质性参数描述，该供应商将</w:t>
      </w:r>
      <w:r>
        <w:rPr>
          <w:rFonts w:hint="eastAsia" w:ascii="宋体" w:hAnsi="宋体" w:eastAsia="宋体" w:cs="宋体"/>
          <w:sz w:val="24"/>
          <w:szCs w:val="24"/>
        </w:rPr>
        <w:t>失去成为成交供应商的资格，仅保留其合格供应商的身份。</w:t>
      </w:r>
    </w:p>
    <w:p w14:paraId="65C1C8D5">
      <w:pPr>
        <w:pStyle w:val="5"/>
        <w:spacing w:before="0" w:after="0" w:line="360" w:lineRule="auto"/>
        <w:rPr>
          <w:rFonts w:ascii="宋体" w:hAnsi="宋体" w:cs="宋体"/>
          <w:sz w:val="24"/>
          <w:szCs w:val="24"/>
        </w:rPr>
      </w:pPr>
      <w:r>
        <w:rPr>
          <w:rFonts w:hint="eastAsia" w:ascii="宋体" w:hAnsi="宋体" w:cs="宋体"/>
          <w:b w:val="0"/>
        </w:rPr>
        <w:br w:type="page"/>
      </w:r>
      <w:bookmarkStart w:id="392" w:name="_Toc6423"/>
      <w:bookmarkStart w:id="393" w:name="_Toc19945"/>
      <w:bookmarkStart w:id="394" w:name="_Toc2599"/>
      <w:bookmarkStart w:id="395" w:name="_Toc4106"/>
      <w:r>
        <w:rPr>
          <w:rFonts w:hint="eastAsia" w:ascii="宋体" w:hAnsi="宋体" w:cs="宋体"/>
          <w:b w:val="0"/>
          <w:lang w:val="en-US" w:eastAsia="zh-CN"/>
        </w:rPr>
        <w:t xml:space="preserve">  </w:t>
      </w:r>
      <w:bookmarkStart w:id="396" w:name="_Toc5713"/>
      <w:r>
        <w:rPr>
          <w:rFonts w:hint="eastAsia" w:ascii="宋体" w:hAnsi="宋体" w:cs="宋体"/>
          <w:sz w:val="24"/>
          <w:szCs w:val="24"/>
        </w:rPr>
        <w:t>三、商务部分</w:t>
      </w:r>
      <w:bookmarkEnd w:id="392"/>
      <w:bookmarkEnd w:id="393"/>
      <w:bookmarkEnd w:id="394"/>
      <w:bookmarkEnd w:id="395"/>
      <w:bookmarkEnd w:id="396"/>
    </w:p>
    <w:p w14:paraId="59CEDA8A">
      <w:pPr>
        <w:spacing w:line="440" w:lineRule="exact"/>
        <w:ind w:firstLine="480" w:firstLineChars="200"/>
        <w:outlineLvl w:val="3"/>
        <w:rPr>
          <w:rFonts w:ascii="宋体" w:hAnsi="宋体" w:eastAsia="宋体" w:cs="宋体"/>
          <w:sz w:val="24"/>
          <w:szCs w:val="24"/>
        </w:rPr>
      </w:pPr>
      <w:bookmarkStart w:id="397" w:name="_Toc7853"/>
      <w:bookmarkStart w:id="398" w:name="_Toc850"/>
      <w:r>
        <w:rPr>
          <w:rFonts w:hint="eastAsia" w:ascii="宋体" w:hAnsi="宋体" w:eastAsia="宋体" w:cs="宋体"/>
          <w:sz w:val="24"/>
          <w:szCs w:val="24"/>
        </w:rPr>
        <w:t>（一）商务要求响应情况：</w:t>
      </w:r>
      <w:r>
        <w:rPr>
          <w:rFonts w:hint="eastAsia" w:ascii="宋体" w:hAnsi="宋体" w:eastAsia="宋体" w:cs="宋体"/>
          <w:kern w:val="0"/>
          <w:sz w:val="24"/>
          <w:szCs w:val="24"/>
          <w:lang w:val="en-US" w:eastAsia="zh-CN"/>
        </w:rPr>
        <w:t>施工时间及质量保证</w:t>
      </w:r>
      <w:r>
        <w:rPr>
          <w:rFonts w:hint="eastAsia" w:ascii="宋体" w:hAnsi="宋体" w:eastAsia="宋体" w:cs="宋体"/>
          <w:sz w:val="24"/>
          <w:szCs w:val="24"/>
        </w:rPr>
        <w:t>（包括但不限于）</w:t>
      </w:r>
      <w:bookmarkEnd w:id="397"/>
      <w:bookmarkEnd w:id="398"/>
    </w:p>
    <w:p w14:paraId="534E6B20">
      <w:pPr>
        <w:spacing w:line="360" w:lineRule="auto"/>
        <w:ind w:firstLine="480" w:firstLineChars="200"/>
        <w:rPr>
          <w:rFonts w:ascii="宋体" w:hAnsi="宋体" w:eastAsia="宋体" w:cs="宋体"/>
          <w:sz w:val="24"/>
          <w:szCs w:val="24"/>
        </w:rPr>
      </w:pPr>
    </w:p>
    <w:p w14:paraId="3FFD1509">
      <w:pPr>
        <w:spacing w:line="360" w:lineRule="auto"/>
        <w:ind w:firstLine="480" w:firstLineChars="200"/>
        <w:rPr>
          <w:rFonts w:ascii="宋体" w:hAnsi="宋体" w:eastAsia="宋体" w:cs="宋体"/>
          <w:sz w:val="24"/>
          <w:szCs w:val="24"/>
        </w:rPr>
      </w:pPr>
    </w:p>
    <w:p w14:paraId="1859B356">
      <w:pPr>
        <w:spacing w:line="360" w:lineRule="auto"/>
        <w:ind w:firstLine="480" w:firstLineChars="200"/>
        <w:rPr>
          <w:rFonts w:ascii="宋体" w:hAnsi="宋体" w:eastAsia="宋体" w:cs="宋体"/>
          <w:sz w:val="24"/>
          <w:szCs w:val="24"/>
        </w:rPr>
      </w:pPr>
    </w:p>
    <w:p w14:paraId="67AD1622">
      <w:pPr>
        <w:spacing w:line="360" w:lineRule="auto"/>
        <w:ind w:firstLine="480" w:firstLineChars="200"/>
        <w:rPr>
          <w:rFonts w:ascii="宋体" w:hAnsi="宋体" w:eastAsia="宋体" w:cs="宋体"/>
          <w:sz w:val="24"/>
          <w:szCs w:val="24"/>
        </w:rPr>
      </w:pPr>
    </w:p>
    <w:p w14:paraId="6D069989">
      <w:pPr>
        <w:spacing w:line="360" w:lineRule="auto"/>
        <w:ind w:firstLine="480" w:firstLineChars="200"/>
        <w:rPr>
          <w:rFonts w:ascii="宋体" w:hAnsi="宋体" w:eastAsia="宋体" w:cs="宋体"/>
          <w:sz w:val="24"/>
          <w:szCs w:val="24"/>
        </w:rPr>
      </w:pPr>
    </w:p>
    <w:p w14:paraId="75207F93">
      <w:pPr>
        <w:spacing w:line="360" w:lineRule="auto"/>
        <w:ind w:firstLine="480" w:firstLineChars="200"/>
        <w:rPr>
          <w:rFonts w:ascii="宋体" w:hAnsi="宋体" w:eastAsia="宋体" w:cs="宋体"/>
          <w:sz w:val="24"/>
          <w:szCs w:val="24"/>
        </w:rPr>
      </w:pPr>
    </w:p>
    <w:p w14:paraId="205F545F">
      <w:pPr>
        <w:spacing w:line="360" w:lineRule="auto"/>
        <w:ind w:firstLine="480" w:firstLineChars="200"/>
        <w:rPr>
          <w:rFonts w:ascii="宋体" w:hAnsi="宋体" w:eastAsia="宋体" w:cs="宋体"/>
          <w:sz w:val="24"/>
          <w:szCs w:val="24"/>
        </w:rPr>
      </w:pPr>
    </w:p>
    <w:p w14:paraId="10CB3A05">
      <w:pPr>
        <w:spacing w:line="360" w:lineRule="auto"/>
        <w:ind w:firstLine="480" w:firstLineChars="200"/>
        <w:rPr>
          <w:rFonts w:ascii="宋体" w:hAnsi="宋体" w:eastAsia="宋体" w:cs="宋体"/>
          <w:sz w:val="24"/>
          <w:szCs w:val="24"/>
        </w:rPr>
      </w:pPr>
    </w:p>
    <w:p w14:paraId="0D40ECB5">
      <w:pPr>
        <w:spacing w:line="360" w:lineRule="auto"/>
        <w:ind w:firstLine="480" w:firstLineChars="200"/>
        <w:rPr>
          <w:rFonts w:ascii="宋体" w:hAnsi="宋体" w:eastAsia="宋体" w:cs="宋体"/>
          <w:sz w:val="24"/>
          <w:szCs w:val="24"/>
        </w:rPr>
      </w:pPr>
    </w:p>
    <w:p w14:paraId="6F276485">
      <w:pPr>
        <w:spacing w:line="360" w:lineRule="auto"/>
        <w:ind w:firstLine="480" w:firstLineChars="200"/>
        <w:rPr>
          <w:rFonts w:ascii="宋体" w:hAnsi="宋体" w:eastAsia="宋体" w:cs="宋体"/>
          <w:sz w:val="24"/>
          <w:szCs w:val="24"/>
        </w:rPr>
      </w:pPr>
    </w:p>
    <w:p w14:paraId="7564C08D">
      <w:pPr>
        <w:spacing w:line="360" w:lineRule="auto"/>
        <w:ind w:firstLine="480" w:firstLineChars="200"/>
        <w:rPr>
          <w:rFonts w:ascii="宋体" w:hAnsi="宋体" w:eastAsia="宋体" w:cs="宋体"/>
          <w:sz w:val="24"/>
          <w:szCs w:val="24"/>
        </w:rPr>
      </w:pPr>
    </w:p>
    <w:p w14:paraId="10B60CCD">
      <w:pPr>
        <w:spacing w:line="360" w:lineRule="auto"/>
        <w:ind w:firstLine="480" w:firstLineChars="200"/>
        <w:rPr>
          <w:rFonts w:ascii="宋体" w:hAnsi="宋体" w:eastAsia="宋体" w:cs="宋体"/>
          <w:sz w:val="24"/>
          <w:szCs w:val="24"/>
        </w:rPr>
      </w:pPr>
    </w:p>
    <w:p w14:paraId="18EE566A">
      <w:pPr>
        <w:spacing w:line="360" w:lineRule="auto"/>
        <w:ind w:firstLine="480" w:firstLineChars="200"/>
        <w:rPr>
          <w:rFonts w:ascii="宋体" w:hAnsi="宋体" w:eastAsia="宋体" w:cs="宋体"/>
          <w:sz w:val="24"/>
          <w:szCs w:val="24"/>
        </w:rPr>
      </w:pPr>
    </w:p>
    <w:p w14:paraId="41ED1B6D">
      <w:pPr>
        <w:spacing w:line="360" w:lineRule="auto"/>
        <w:ind w:firstLine="480" w:firstLineChars="200"/>
        <w:rPr>
          <w:rFonts w:ascii="宋体" w:hAnsi="宋体" w:eastAsia="宋体" w:cs="宋体"/>
          <w:sz w:val="24"/>
          <w:szCs w:val="24"/>
        </w:rPr>
      </w:pPr>
    </w:p>
    <w:p w14:paraId="4DD09CE3">
      <w:pPr>
        <w:spacing w:line="360" w:lineRule="auto"/>
        <w:ind w:firstLine="480" w:firstLineChars="200"/>
        <w:rPr>
          <w:rFonts w:ascii="宋体" w:hAnsi="宋体" w:eastAsia="宋体" w:cs="宋体"/>
          <w:sz w:val="24"/>
          <w:szCs w:val="24"/>
        </w:rPr>
      </w:pPr>
    </w:p>
    <w:p w14:paraId="15E90506">
      <w:pPr>
        <w:spacing w:line="360" w:lineRule="auto"/>
        <w:ind w:firstLine="480" w:firstLineChars="200"/>
        <w:rPr>
          <w:rFonts w:ascii="宋体" w:hAnsi="宋体" w:eastAsia="宋体" w:cs="宋体"/>
          <w:sz w:val="24"/>
          <w:szCs w:val="24"/>
        </w:rPr>
      </w:pPr>
    </w:p>
    <w:p w14:paraId="6A18C446">
      <w:pPr>
        <w:spacing w:line="360" w:lineRule="auto"/>
        <w:ind w:firstLine="480" w:firstLineChars="200"/>
        <w:rPr>
          <w:rFonts w:ascii="宋体" w:hAnsi="宋体" w:eastAsia="宋体" w:cs="宋体"/>
          <w:sz w:val="24"/>
          <w:szCs w:val="24"/>
        </w:rPr>
      </w:pPr>
    </w:p>
    <w:p w14:paraId="6A532A55">
      <w:pPr>
        <w:spacing w:line="360" w:lineRule="auto"/>
        <w:ind w:firstLine="480" w:firstLineChars="200"/>
        <w:rPr>
          <w:rFonts w:ascii="宋体" w:hAnsi="宋体" w:eastAsia="宋体" w:cs="宋体"/>
          <w:sz w:val="24"/>
          <w:szCs w:val="24"/>
        </w:rPr>
      </w:pPr>
    </w:p>
    <w:p w14:paraId="2D900009">
      <w:pPr>
        <w:spacing w:line="360" w:lineRule="auto"/>
        <w:ind w:firstLine="480" w:firstLineChars="200"/>
        <w:rPr>
          <w:rFonts w:ascii="宋体" w:hAnsi="宋体" w:eastAsia="宋体" w:cs="宋体"/>
          <w:sz w:val="24"/>
          <w:szCs w:val="24"/>
        </w:rPr>
      </w:pPr>
    </w:p>
    <w:p w14:paraId="2DDA54DC">
      <w:pPr>
        <w:spacing w:line="360" w:lineRule="auto"/>
        <w:ind w:firstLine="480" w:firstLineChars="200"/>
        <w:rPr>
          <w:rFonts w:ascii="宋体" w:hAnsi="宋体" w:eastAsia="宋体" w:cs="宋体"/>
          <w:sz w:val="24"/>
          <w:szCs w:val="24"/>
        </w:rPr>
      </w:pPr>
    </w:p>
    <w:p w14:paraId="6871A696">
      <w:pPr>
        <w:pStyle w:val="22"/>
        <w:outlineLvl w:val="3"/>
        <w:rPr>
          <w:rFonts w:ascii="宋体" w:hAnsi="宋体" w:eastAsia="宋体" w:cs="宋体"/>
          <w:sz w:val="24"/>
          <w:szCs w:val="24"/>
        </w:rPr>
      </w:pPr>
      <w:r>
        <w:rPr>
          <w:rFonts w:hint="eastAsia" w:ascii="宋体" w:hAnsi="宋体" w:eastAsia="宋体" w:cs="宋体"/>
          <w:sz w:val="24"/>
          <w:szCs w:val="24"/>
        </w:rPr>
        <w:br w:type="page"/>
      </w:r>
      <w:bookmarkStart w:id="399" w:name="_Toc8969"/>
      <w:r>
        <w:rPr>
          <w:rFonts w:hint="eastAsia" w:ascii="宋体" w:hAnsi="宋体" w:eastAsia="宋体" w:cs="宋体"/>
          <w:sz w:val="24"/>
          <w:szCs w:val="24"/>
          <w:lang w:val="en-US" w:eastAsia="zh-CN"/>
        </w:rPr>
        <w:t xml:space="preserve">  </w:t>
      </w:r>
      <w:bookmarkStart w:id="400" w:name="_Toc19662"/>
      <w:r>
        <w:rPr>
          <w:rFonts w:hint="eastAsia" w:ascii="宋体" w:hAnsi="宋体" w:eastAsia="宋体" w:cs="宋体"/>
          <w:sz w:val="24"/>
          <w:szCs w:val="24"/>
          <w:lang w:val="en-US" w:eastAsia="zh-CN"/>
        </w:rPr>
        <w:t>（</w:t>
      </w:r>
      <w:r>
        <w:rPr>
          <w:rFonts w:hint="eastAsia" w:ascii="宋体" w:hAnsi="宋体" w:eastAsia="宋体" w:cs="宋体"/>
          <w:sz w:val="24"/>
          <w:szCs w:val="24"/>
        </w:rPr>
        <w:t>二）商务响应偏离表</w:t>
      </w:r>
      <w:bookmarkEnd w:id="399"/>
      <w:bookmarkEnd w:id="400"/>
    </w:p>
    <w:p w14:paraId="45E2EA47">
      <w:pPr>
        <w:pStyle w:val="22"/>
        <w:ind w:firstLine="480" w:firstLineChars="200"/>
        <w:rPr>
          <w:rFonts w:ascii="宋体" w:hAnsi="宋体" w:eastAsia="宋体" w:cs="宋体"/>
          <w:sz w:val="24"/>
          <w:szCs w:val="24"/>
        </w:rPr>
      </w:pPr>
    </w:p>
    <w:tbl>
      <w:tblPr>
        <w:tblStyle w:val="59"/>
        <w:tblW w:w="89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1"/>
        <w:gridCol w:w="2634"/>
        <w:gridCol w:w="2649"/>
        <w:gridCol w:w="2216"/>
      </w:tblGrid>
      <w:tr w14:paraId="0CA90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1421" w:type="dxa"/>
            <w:vAlign w:val="center"/>
          </w:tcPr>
          <w:p w14:paraId="03746762">
            <w:pPr>
              <w:tabs>
                <w:tab w:val="left" w:pos="6300"/>
              </w:tabs>
              <w:snapToGrid w:val="0"/>
              <w:spacing w:line="360" w:lineRule="auto"/>
              <w:jc w:val="center"/>
              <w:rPr>
                <w:rFonts w:ascii="宋体" w:hAnsi="宋体" w:eastAsia="宋体" w:cs="宋体"/>
                <w:sz w:val="24"/>
                <w:szCs w:val="24"/>
              </w:rPr>
            </w:pPr>
            <w:r>
              <w:rPr>
                <w:rFonts w:hint="eastAsia" w:ascii="宋体" w:hAnsi="宋体" w:eastAsia="宋体" w:cs="宋体"/>
                <w:sz w:val="24"/>
                <w:szCs w:val="24"/>
              </w:rPr>
              <w:t>序号</w:t>
            </w:r>
          </w:p>
        </w:tc>
        <w:tc>
          <w:tcPr>
            <w:tcW w:w="2634" w:type="dxa"/>
            <w:vAlign w:val="center"/>
          </w:tcPr>
          <w:p w14:paraId="58BE5393">
            <w:pPr>
              <w:tabs>
                <w:tab w:val="left" w:pos="6300"/>
              </w:tabs>
              <w:snapToGrid w:val="0"/>
              <w:spacing w:line="360" w:lineRule="auto"/>
              <w:jc w:val="center"/>
              <w:rPr>
                <w:rFonts w:ascii="宋体" w:hAnsi="宋体" w:eastAsia="宋体" w:cs="宋体"/>
                <w:sz w:val="24"/>
                <w:szCs w:val="24"/>
              </w:rPr>
            </w:pPr>
            <w:r>
              <w:rPr>
                <w:rFonts w:hint="eastAsia" w:ascii="宋体" w:hAnsi="宋体" w:eastAsia="宋体" w:cs="宋体"/>
                <w:sz w:val="24"/>
                <w:szCs w:val="24"/>
              </w:rPr>
              <w:t>采购需求</w:t>
            </w:r>
          </w:p>
        </w:tc>
        <w:tc>
          <w:tcPr>
            <w:tcW w:w="2649" w:type="dxa"/>
            <w:vAlign w:val="center"/>
          </w:tcPr>
          <w:p w14:paraId="3E1CFA7B">
            <w:pPr>
              <w:tabs>
                <w:tab w:val="left" w:pos="6300"/>
              </w:tabs>
              <w:snapToGrid w:val="0"/>
              <w:spacing w:line="360" w:lineRule="auto"/>
              <w:jc w:val="center"/>
              <w:rPr>
                <w:rFonts w:ascii="宋体" w:hAnsi="宋体" w:eastAsia="宋体" w:cs="宋体"/>
                <w:sz w:val="24"/>
                <w:szCs w:val="24"/>
              </w:rPr>
            </w:pPr>
            <w:r>
              <w:rPr>
                <w:rFonts w:hint="eastAsia" w:ascii="宋体" w:hAnsi="宋体" w:eastAsia="宋体" w:cs="宋体"/>
                <w:sz w:val="24"/>
                <w:szCs w:val="24"/>
              </w:rPr>
              <w:t>响应情况</w:t>
            </w:r>
          </w:p>
        </w:tc>
        <w:tc>
          <w:tcPr>
            <w:tcW w:w="2216" w:type="dxa"/>
            <w:vAlign w:val="center"/>
          </w:tcPr>
          <w:p w14:paraId="6E3EE261">
            <w:pPr>
              <w:tabs>
                <w:tab w:val="left" w:pos="6300"/>
              </w:tabs>
              <w:snapToGrid w:val="0"/>
              <w:spacing w:line="360" w:lineRule="auto"/>
              <w:jc w:val="center"/>
              <w:rPr>
                <w:rFonts w:ascii="宋体" w:hAnsi="宋体" w:eastAsia="宋体" w:cs="宋体"/>
                <w:sz w:val="24"/>
                <w:szCs w:val="24"/>
              </w:rPr>
            </w:pPr>
            <w:r>
              <w:rPr>
                <w:rFonts w:hint="eastAsia" w:ascii="宋体" w:hAnsi="宋体" w:eastAsia="宋体" w:cs="宋体"/>
                <w:sz w:val="24"/>
                <w:szCs w:val="24"/>
              </w:rPr>
              <w:t>差异说明</w:t>
            </w:r>
          </w:p>
        </w:tc>
      </w:tr>
      <w:tr w14:paraId="0C17B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421" w:type="dxa"/>
            <w:vAlign w:val="center"/>
          </w:tcPr>
          <w:p w14:paraId="6E5E2951">
            <w:pPr>
              <w:tabs>
                <w:tab w:val="left" w:pos="6300"/>
              </w:tabs>
              <w:snapToGrid w:val="0"/>
              <w:spacing w:line="360" w:lineRule="auto"/>
              <w:jc w:val="center"/>
              <w:rPr>
                <w:rFonts w:ascii="宋体" w:hAnsi="宋体" w:eastAsia="宋体" w:cs="宋体"/>
                <w:sz w:val="21"/>
                <w:szCs w:val="24"/>
              </w:rPr>
            </w:pPr>
          </w:p>
        </w:tc>
        <w:tc>
          <w:tcPr>
            <w:tcW w:w="2634" w:type="dxa"/>
            <w:vAlign w:val="center"/>
          </w:tcPr>
          <w:p w14:paraId="6F2DB9A7">
            <w:pPr>
              <w:tabs>
                <w:tab w:val="left" w:pos="6300"/>
              </w:tabs>
              <w:snapToGrid w:val="0"/>
              <w:spacing w:line="360" w:lineRule="auto"/>
              <w:jc w:val="center"/>
              <w:rPr>
                <w:rFonts w:ascii="宋体" w:hAnsi="宋体" w:eastAsia="宋体" w:cs="宋体"/>
                <w:sz w:val="21"/>
                <w:szCs w:val="24"/>
              </w:rPr>
            </w:pPr>
          </w:p>
        </w:tc>
        <w:tc>
          <w:tcPr>
            <w:tcW w:w="2649" w:type="dxa"/>
            <w:vAlign w:val="center"/>
          </w:tcPr>
          <w:p w14:paraId="32F3422E">
            <w:pPr>
              <w:tabs>
                <w:tab w:val="left" w:pos="6300"/>
              </w:tabs>
              <w:snapToGrid w:val="0"/>
              <w:spacing w:line="360" w:lineRule="auto"/>
              <w:jc w:val="center"/>
              <w:rPr>
                <w:rFonts w:ascii="宋体" w:hAnsi="宋体" w:eastAsia="宋体" w:cs="宋体"/>
                <w:sz w:val="21"/>
                <w:szCs w:val="24"/>
              </w:rPr>
            </w:pPr>
          </w:p>
        </w:tc>
        <w:tc>
          <w:tcPr>
            <w:tcW w:w="2216" w:type="dxa"/>
            <w:vAlign w:val="center"/>
          </w:tcPr>
          <w:p w14:paraId="46D75778">
            <w:pPr>
              <w:tabs>
                <w:tab w:val="left" w:pos="6300"/>
              </w:tabs>
              <w:snapToGrid w:val="0"/>
              <w:spacing w:line="360" w:lineRule="auto"/>
              <w:jc w:val="center"/>
              <w:rPr>
                <w:rFonts w:ascii="宋体" w:hAnsi="宋体" w:eastAsia="宋体" w:cs="宋体"/>
                <w:sz w:val="21"/>
                <w:szCs w:val="24"/>
              </w:rPr>
            </w:pPr>
          </w:p>
        </w:tc>
      </w:tr>
      <w:tr w14:paraId="6A1DE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421" w:type="dxa"/>
            <w:vAlign w:val="center"/>
          </w:tcPr>
          <w:p w14:paraId="4D0637DF">
            <w:pPr>
              <w:tabs>
                <w:tab w:val="left" w:pos="6300"/>
              </w:tabs>
              <w:snapToGrid w:val="0"/>
              <w:spacing w:line="360" w:lineRule="auto"/>
              <w:jc w:val="center"/>
              <w:rPr>
                <w:rFonts w:ascii="宋体" w:hAnsi="宋体" w:eastAsia="宋体" w:cs="宋体"/>
                <w:sz w:val="21"/>
                <w:szCs w:val="24"/>
              </w:rPr>
            </w:pPr>
          </w:p>
        </w:tc>
        <w:tc>
          <w:tcPr>
            <w:tcW w:w="2634" w:type="dxa"/>
            <w:vAlign w:val="center"/>
          </w:tcPr>
          <w:p w14:paraId="593003F1">
            <w:pPr>
              <w:tabs>
                <w:tab w:val="left" w:pos="6300"/>
              </w:tabs>
              <w:snapToGrid w:val="0"/>
              <w:spacing w:line="360" w:lineRule="auto"/>
              <w:jc w:val="center"/>
              <w:rPr>
                <w:rFonts w:ascii="宋体" w:hAnsi="宋体" w:eastAsia="宋体" w:cs="宋体"/>
                <w:sz w:val="21"/>
                <w:szCs w:val="24"/>
              </w:rPr>
            </w:pPr>
          </w:p>
        </w:tc>
        <w:tc>
          <w:tcPr>
            <w:tcW w:w="2649" w:type="dxa"/>
            <w:vAlign w:val="center"/>
          </w:tcPr>
          <w:p w14:paraId="45A12198">
            <w:pPr>
              <w:tabs>
                <w:tab w:val="left" w:pos="6300"/>
              </w:tabs>
              <w:snapToGrid w:val="0"/>
              <w:spacing w:line="360" w:lineRule="auto"/>
              <w:jc w:val="center"/>
              <w:rPr>
                <w:rFonts w:ascii="宋体" w:hAnsi="宋体" w:eastAsia="宋体" w:cs="宋体"/>
                <w:sz w:val="21"/>
                <w:szCs w:val="24"/>
              </w:rPr>
            </w:pPr>
          </w:p>
        </w:tc>
        <w:tc>
          <w:tcPr>
            <w:tcW w:w="2216" w:type="dxa"/>
            <w:vAlign w:val="center"/>
          </w:tcPr>
          <w:p w14:paraId="13901A27">
            <w:pPr>
              <w:tabs>
                <w:tab w:val="left" w:pos="6300"/>
              </w:tabs>
              <w:snapToGrid w:val="0"/>
              <w:spacing w:line="360" w:lineRule="auto"/>
              <w:jc w:val="center"/>
              <w:rPr>
                <w:rFonts w:ascii="宋体" w:hAnsi="宋体" w:eastAsia="宋体" w:cs="宋体"/>
                <w:sz w:val="21"/>
                <w:szCs w:val="24"/>
              </w:rPr>
            </w:pPr>
          </w:p>
        </w:tc>
      </w:tr>
      <w:tr w14:paraId="461DC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421" w:type="dxa"/>
            <w:vAlign w:val="center"/>
          </w:tcPr>
          <w:p w14:paraId="4A0D3414">
            <w:pPr>
              <w:tabs>
                <w:tab w:val="left" w:pos="6300"/>
              </w:tabs>
              <w:snapToGrid w:val="0"/>
              <w:spacing w:line="360" w:lineRule="auto"/>
              <w:jc w:val="center"/>
              <w:rPr>
                <w:rFonts w:ascii="宋体" w:hAnsi="宋体" w:eastAsia="宋体" w:cs="宋体"/>
                <w:sz w:val="21"/>
                <w:szCs w:val="24"/>
              </w:rPr>
            </w:pPr>
          </w:p>
        </w:tc>
        <w:tc>
          <w:tcPr>
            <w:tcW w:w="2634" w:type="dxa"/>
            <w:vAlign w:val="center"/>
          </w:tcPr>
          <w:p w14:paraId="26F2535F">
            <w:pPr>
              <w:tabs>
                <w:tab w:val="left" w:pos="6300"/>
              </w:tabs>
              <w:snapToGrid w:val="0"/>
              <w:spacing w:line="360" w:lineRule="auto"/>
              <w:jc w:val="center"/>
              <w:rPr>
                <w:rFonts w:ascii="宋体" w:hAnsi="宋体" w:eastAsia="宋体" w:cs="宋体"/>
                <w:sz w:val="21"/>
                <w:szCs w:val="24"/>
              </w:rPr>
            </w:pPr>
          </w:p>
        </w:tc>
        <w:tc>
          <w:tcPr>
            <w:tcW w:w="2649" w:type="dxa"/>
            <w:vAlign w:val="center"/>
          </w:tcPr>
          <w:p w14:paraId="52B849CE">
            <w:pPr>
              <w:tabs>
                <w:tab w:val="left" w:pos="6300"/>
              </w:tabs>
              <w:snapToGrid w:val="0"/>
              <w:spacing w:line="360" w:lineRule="auto"/>
              <w:jc w:val="center"/>
              <w:rPr>
                <w:rFonts w:ascii="宋体" w:hAnsi="宋体" w:eastAsia="宋体" w:cs="宋体"/>
                <w:sz w:val="21"/>
                <w:szCs w:val="24"/>
              </w:rPr>
            </w:pPr>
          </w:p>
        </w:tc>
        <w:tc>
          <w:tcPr>
            <w:tcW w:w="2216" w:type="dxa"/>
            <w:vAlign w:val="center"/>
          </w:tcPr>
          <w:p w14:paraId="723DB056">
            <w:pPr>
              <w:tabs>
                <w:tab w:val="left" w:pos="6300"/>
              </w:tabs>
              <w:snapToGrid w:val="0"/>
              <w:spacing w:line="360" w:lineRule="auto"/>
              <w:jc w:val="center"/>
              <w:rPr>
                <w:rFonts w:ascii="宋体" w:hAnsi="宋体" w:eastAsia="宋体" w:cs="宋体"/>
                <w:sz w:val="21"/>
                <w:szCs w:val="24"/>
              </w:rPr>
            </w:pPr>
          </w:p>
        </w:tc>
      </w:tr>
      <w:tr w14:paraId="66F35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421" w:type="dxa"/>
            <w:vAlign w:val="center"/>
          </w:tcPr>
          <w:p w14:paraId="35BCDCE4">
            <w:pPr>
              <w:tabs>
                <w:tab w:val="left" w:pos="6300"/>
              </w:tabs>
              <w:snapToGrid w:val="0"/>
              <w:spacing w:line="360" w:lineRule="auto"/>
              <w:jc w:val="center"/>
              <w:rPr>
                <w:rFonts w:ascii="宋体" w:hAnsi="宋体" w:eastAsia="宋体" w:cs="宋体"/>
                <w:sz w:val="21"/>
                <w:szCs w:val="24"/>
              </w:rPr>
            </w:pPr>
          </w:p>
        </w:tc>
        <w:tc>
          <w:tcPr>
            <w:tcW w:w="2634" w:type="dxa"/>
            <w:vAlign w:val="center"/>
          </w:tcPr>
          <w:p w14:paraId="6153FFCC">
            <w:pPr>
              <w:tabs>
                <w:tab w:val="left" w:pos="6300"/>
              </w:tabs>
              <w:snapToGrid w:val="0"/>
              <w:spacing w:line="360" w:lineRule="auto"/>
              <w:jc w:val="center"/>
              <w:rPr>
                <w:rFonts w:ascii="宋体" w:hAnsi="宋体" w:eastAsia="宋体" w:cs="宋体"/>
                <w:sz w:val="21"/>
                <w:szCs w:val="24"/>
              </w:rPr>
            </w:pPr>
          </w:p>
        </w:tc>
        <w:tc>
          <w:tcPr>
            <w:tcW w:w="2649" w:type="dxa"/>
            <w:vAlign w:val="center"/>
          </w:tcPr>
          <w:p w14:paraId="75D7D5E2">
            <w:pPr>
              <w:tabs>
                <w:tab w:val="left" w:pos="6300"/>
              </w:tabs>
              <w:snapToGrid w:val="0"/>
              <w:spacing w:line="360" w:lineRule="auto"/>
              <w:jc w:val="center"/>
              <w:rPr>
                <w:rFonts w:ascii="宋体" w:hAnsi="宋体" w:eastAsia="宋体" w:cs="宋体"/>
                <w:sz w:val="21"/>
                <w:szCs w:val="24"/>
              </w:rPr>
            </w:pPr>
          </w:p>
        </w:tc>
        <w:tc>
          <w:tcPr>
            <w:tcW w:w="2216" w:type="dxa"/>
            <w:vAlign w:val="center"/>
          </w:tcPr>
          <w:p w14:paraId="485E85D4">
            <w:pPr>
              <w:tabs>
                <w:tab w:val="left" w:pos="6300"/>
              </w:tabs>
              <w:snapToGrid w:val="0"/>
              <w:spacing w:line="360" w:lineRule="auto"/>
              <w:jc w:val="center"/>
              <w:rPr>
                <w:rFonts w:ascii="宋体" w:hAnsi="宋体" w:eastAsia="宋体" w:cs="宋体"/>
                <w:sz w:val="21"/>
                <w:szCs w:val="24"/>
              </w:rPr>
            </w:pPr>
          </w:p>
        </w:tc>
      </w:tr>
      <w:tr w14:paraId="05480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1421" w:type="dxa"/>
            <w:vAlign w:val="center"/>
          </w:tcPr>
          <w:p w14:paraId="6834DC91">
            <w:pPr>
              <w:tabs>
                <w:tab w:val="left" w:pos="6300"/>
              </w:tabs>
              <w:snapToGrid w:val="0"/>
              <w:spacing w:line="360" w:lineRule="auto"/>
              <w:jc w:val="center"/>
              <w:rPr>
                <w:rFonts w:ascii="宋体" w:hAnsi="宋体" w:eastAsia="宋体" w:cs="宋体"/>
                <w:sz w:val="21"/>
                <w:szCs w:val="24"/>
              </w:rPr>
            </w:pPr>
          </w:p>
        </w:tc>
        <w:tc>
          <w:tcPr>
            <w:tcW w:w="2634" w:type="dxa"/>
            <w:vAlign w:val="center"/>
          </w:tcPr>
          <w:p w14:paraId="255AEC2B">
            <w:pPr>
              <w:tabs>
                <w:tab w:val="left" w:pos="6300"/>
              </w:tabs>
              <w:snapToGrid w:val="0"/>
              <w:spacing w:line="360" w:lineRule="auto"/>
              <w:jc w:val="center"/>
              <w:rPr>
                <w:rFonts w:ascii="宋体" w:hAnsi="宋体" w:eastAsia="宋体" w:cs="宋体"/>
                <w:sz w:val="21"/>
                <w:szCs w:val="24"/>
              </w:rPr>
            </w:pPr>
          </w:p>
        </w:tc>
        <w:tc>
          <w:tcPr>
            <w:tcW w:w="2649" w:type="dxa"/>
            <w:vAlign w:val="center"/>
          </w:tcPr>
          <w:p w14:paraId="3EE6A420">
            <w:pPr>
              <w:tabs>
                <w:tab w:val="left" w:pos="6300"/>
              </w:tabs>
              <w:snapToGrid w:val="0"/>
              <w:spacing w:line="360" w:lineRule="auto"/>
              <w:jc w:val="center"/>
              <w:rPr>
                <w:rFonts w:ascii="宋体" w:hAnsi="宋体" w:eastAsia="宋体" w:cs="宋体"/>
                <w:sz w:val="21"/>
                <w:szCs w:val="24"/>
              </w:rPr>
            </w:pPr>
          </w:p>
        </w:tc>
        <w:tc>
          <w:tcPr>
            <w:tcW w:w="2216" w:type="dxa"/>
            <w:vAlign w:val="center"/>
          </w:tcPr>
          <w:p w14:paraId="13A226CE">
            <w:pPr>
              <w:tabs>
                <w:tab w:val="left" w:pos="6300"/>
              </w:tabs>
              <w:snapToGrid w:val="0"/>
              <w:spacing w:line="360" w:lineRule="auto"/>
              <w:jc w:val="center"/>
              <w:rPr>
                <w:rFonts w:ascii="宋体" w:hAnsi="宋体" w:eastAsia="宋体" w:cs="宋体"/>
                <w:sz w:val="21"/>
                <w:szCs w:val="24"/>
              </w:rPr>
            </w:pPr>
          </w:p>
        </w:tc>
      </w:tr>
    </w:tbl>
    <w:p w14:paraId="592DA822">
      <w:pPr>
        <w:snapToGrid w:val="0"/>
        <w:spacing w:line="360" w:lineRule="auto"/>
        <w:ind w:firstLine="465"/>
        <w:rPr>
          <w:rFonts w:ascii="宋体" w:hAnsi="宋体" w:eastAsia="宋体" w:cs="宋体"/>
          <w:sz w:val="24"/>
          <w:szCs w:val="24"/>
        </w:rPr>
      </w:pPr>
    </w:p>
    <w:p w14:paraId="7FBB87EF">
      <w:pPr>
        <w:spacing w:line="500" w:lineRule="exact"/>
        <w:ind w:firstLine="600" w:firstLineChars="250"/>
        <w:rPr>
          <w:rFonts w:ascii="宋体" w:hAnsi="宋体" w:eastAsia="宋体" w:cs="宋体"/>
          <w:sz w:val="24"/>
          <w:szCs w:val="28"/>
        </w:rPr>
      </w:pPr>
      <w:r>
        <w:rPr>
          <w:rFonts w:hint="eastAsia" w:ascii="宋体" w:hAnsi="宋体" w:eastAsia="宋体" w:cs="宋体"/>
          <w:sz w:val="24"/>
          <w:szCs w:val="28"/>
        </w:rPr>
        <w:t>供应商：                                      法定代表人或负责人授权代表：</w:t>
      </w:r>
    </w:p>
    <w:p w14:paraId="43C49732">
      <w:pPr>
        <w:spacing w:line="500" w:lineRule="exact"/>
        <w:rPr>
          <w:rFonts w:ascii="宋体" w:hAnsi="宋体" w:eastAsia="宋体" w:cs="宋体"/>
          <w:sz w:val="24"/>
          <w:szCs w:val="28"/>
        </w:rPr>
      </w:pPr>
      <w:r>
        <w:rPr>
          <w:rFonts w:hint="eastAsia" w:ascii="宋体" w:hAnsi="宋体" w:eastAsia="宋体" w:cs="宋体"/>
          <w:sz w:val="24"/>
          <w:szCs w:val="28"/>
        </w:rPr>
        <w:t xml:space="preserve">    </w:t>
      </w:r>
    </w:p>
    <w:p w14:paraId="78A95AA9">
      <w:pPr>
        <w:spacing w:line="500" w:lineRule="exact"/>
        <w:ind w:firstLine="360" w:firstLineChars="150"/>
        <w:rPr>
          <w:rFonts w:ascii="宋体" w:hAnsi="宋体" w:eastAsia="宋体" w:cs="宋体"/>
          <w:sz w:val="24"/>
          <w:szCs w:val="28"/>
        </w:rPr>
      </w:pPr>
      <w:r>
        <w:rPr>
          <w:rFonts w:hint="eastAsia" w:ascii="宋体" w:hAnsi="宋体" w:eastAsia="宋体" w:cs="宋体"/>
          <w:sz w:val="24"/>
          <w:szCs w:val="28"/>
        </w:rPr>
        <w:t>（供应商公章）                                 （签字或盖章）</w:t>
      </w:r>
    </w:p>
    <w:p w14:paraId="2305856B">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szCs w:val="28"/>
        </w:rPr>
        <w:t xml:space="preserve">                                            年     月     日</w:t>
      </w:r>
    </w:p>
    <w:p w14:paraId="05B4AFBF">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注：</w:t>
      </w:r>
    </w:p>
    <w:p w14:paraId="7C62994D">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szCs w:val="24"/>
        </w:rPr>
        <w:t>1</w:t>
      </w:r>
      <w:r>
        <w:rPr>
          <w:rFonts w:hint="eastAsia" w:ascii="宋体" w:hAnsi="宋体" w:eastAsia="宋体" w:cs="宋体"/>
          <w:sz w:val="24"/>
        </w:rPr>
        <w:t>.本表即为对本项目“第四篇 谈判项目商务需求”中所列商务要求进行比较和响应；</w:t>
      </w:r>
    </w:p>
    <w:p w14:paraId="38A926A5">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rPr>
        <w:t>2</w:t>
      </w:r>
      <w:r>
        <w:rPr>
          <w:rFonts w:hint="eastAsia" w:ascii="宋体" w:hAnsi="宋体" w:eastAsia="宋体" w:cs="宋体"/>
          <w:sz w:val="24"/>
          <w:szCs w:val="24"/>
        </w:rPr>
        <w:t>.该表必须按照竞争性谈判要求逐条如实填写，根据响应情况在“差异说明”项填写正偏离或负偏离及原因，完全符合的填写“无差异”；</w:t>
      </w:r>
    </w:p>
    <w:p w14:paraId="2996D601">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3.该表可扩展，并逐页签字或盖章。</w:t>
      </w:r>
    </w:p>
    <w:p w14:paraId="578FDE08">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4.可附相关技术支撑材料（格式自定）；</w:t>
      </w:r>
    </w:p>
    <w:p w14:paraId="43495497">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5.若“响应情况”栏中仅填写“无偏离”或“有偏离”等内容而未作实质性参数描述，该供应商将失去成为成交供应商的资格，仅保留其合格供应商的身份。</w:t>
      </w:r>
    </w:p>
    <w:p w14:paraId="7A760342">
      <w:pPr>
        <w:spacing w:line="360" w:lineRule="auto"/>
        <w:ind w:firstLine="560" w:firstLineChars="200"/>
        <w:outlineLvl w:val="3"/>
        <w:rPr>
          <w:rFonts w:ascii="宋体" w:hAnsi="宋体" w:eastAsia="宋体" w:cs="宋体"/>
          <w:sz w:val="24"/>
          <w:szCs w:val="24"/>
        </w:rPr>
      </w:pPr>
      <w:r>
        <w:rPr>
          <w:rFonts w:hint="eastAsia" w:ascii="宋体" w:hAnsi="宋体" w:eastAsia="宋体" w:cs="宋体"/>
        </w:rPr>
        <w:br w:type="page"/>
      </w:r>
      <w:bookmarkStart w:id="401" w:name="_Toc16078"/>
      <w:bookmarkStart w:id="402" w:name="_Toc9419"/>
      <w:r>
        <w:rPr>
          <w:rFonts w:hint="eastAsia" w:ascii="宋体" w:hAnsi="宋体" w:eastAsia="宋体" w:cs="宋体"/>
          <w:sz w:val="24"/>
          <w:szCs w:val="24"/>
        </w:rPr>
        <w:t>（三）其它优惠承诺（格式自定）</w:t>
      </w:r>
      <w:bookmarkEnd w:id="401"/>
      <w:bookmarkEnd w:id="402"/>
    </w:p>
    <w:p w14:paraId="075C0AB6">
      <w:pPr>
        <w:rPr>
          <w:rFonts w:ascii="宋体" w:hAnsi="宋体" w:eastAsia="宋体" w:cs="宋体"/>
          <w:sz w:val="24"/>
          <w:szCs w:val="24"/>
        </w:rPr>
      </w:pPr>
    </w:p>
    <w:p w14:paraId="7FF810C8">
      <w:pPr>
        <w:rPr>
          <w:rFonts w:ascii="宋体" w:hAnsi="宋体" w:eastAsia="宋体" w:cs="宋体"/>
          <w:sz w:val="24"/>
          <w:szCs w:val="24"/>
        </w:rPr>
      </w:pPr>
    </w:p>
    <w:p w14:paraId="2C2AF23B">
      <w:pPr>
        <w:rPr>
          <w:rFonts w:ascii="宋体" w:hAnsi="宋体" w:eastAsia="宋体" w:cs="宋体"/>
          <w:sz w:val="24"/>
          <w:szCs w:val="24"/>
        </w:rPr>
      </w:pPr>
    </w:p>
    <w:p w14:paraId="2942507B">
      <w:pPr>
        <w:rPr>
          <w:rFonts w:ascii="宋体" w:hAnsi="宋体" w:eastAsia="宋体" w:cs="宋体"/>
          <w:sz w:val="24"/>
          <w:szCs w:val="24"/>
        </w:rPr>
      </w:pPr>
    </w:p>
    <w:p w14:paraId="445C46A2">
      <w:pPr>
        <w:rPr>
          <w:rFonts w:ascii="宋体" w:hAnsi="宋体" w:eastAsia="宋体" w:cs="宋体"/>
          <w:sz w:val="24"/>
          <w:szCs w:val="24"/>
        </w:rPr>
      </w:pPr>
    </w:p>
    <w:p w14:paraId="20D6E82B"/>
    <w:p w14:paraId="74FA1B96">
      <w:pPr>
        <w:pStyle w:val="5"/>
        <w:spacing w:before="0" w:after="0" w:line="360" w:lineRule="auto"/>
        <w:rPr>
          <w:rFonts w:ascii="宋体" w:hAnsi="宋体" w:cs="宋体"/>
          <w:sz w:val="24"/>
          <w:szCs w:val="24"/>
        </w:rPr>
      </w:pPr>
      <w:r>
        <w:rPr>
          <w:rFonts w:hint="eastAsia" w:ascii="宋体" w:hAnsi="宋体" w:cs="宋体"/>
          <w:sz w:val="24"/>
          <w:szCs w:val="24"/>
        </w:rPr>
        <w:br w:type="page"/>
      </w:r>
      <w:bookmarkStart w:id="403" w:name="_Toc12209"/>
      <w:bookmarkStart w:id="404" w:name="_Toc2578"/>
      <w:bookmarkStart w:id="405" w:name="_Toc12170"/>
      <w:bookmarkStart w:id="406" w:name="_Toc13660"/>
      <w:r>
        <w:rPr>
          <w:rFonts w:hint="eastAsia" w:ascii="宋体" w:hAnsi="宋体" w:cs="宋体"/>
          <w:sz w:val="24"/>
          <w:szCs w:val="24"/>
          <w:lang w:val="en-US" w:eastAsia="zh-CN"/>
        </w:rPr>
        <w:t xml:space="preserve">  </w:t>
      </w:r>
      <w:bookmarkStart w:id="407" w:name="_Toc15783"/>
      <w:r>
        <w:rPr>
          <w:rFonts w:hint="eastAsia" w:ascii="宋体" w:hAnsi="宋体" w:cs="宋体"/>
          <w:sz w:val="24"/>
          <w:szCs w:val="24"/>
        </w:rPr>
        <w:t>四、资格条件及其他</w:t>
      </w:r>
      <w:bookmarkEnd w:id="403"/>
      <w:bookmarkEnd w:id="404"/>
      <w:bookmarkEnd w:id="405"/>
      <w:bookmarkEnd w:id="406"/>
      <w:bookmarkEnd w:id="407"/>
    </w:p>
    <w:p w14:paraId="290D9A4D">
      <w:pPr>
        <w:tabs>
          <w:tab w:val="left" w:pos="6300"/>
        </w:tabs>
        <w:snapToGrid w:val="0"/>
        <w:spacing w:line="500" w:lineRule="exact"/>
        <w:ind w:firstLine="480" w:firstLineChars="200"/>
        <w:outlineLvl w:val="3"/>
        <w:rPr>
          <w:rFonts w:ascii="宋体" w:hAnsi="宋体" w:eastAsia="宋体" w:cs="宋体"/>
        </w:rPr>
      </w:pPr>
      <w:bookmarkStart w:id="408" w:name="_Toc32350"/>
      <w:bookmarkStart w:id="409" w:name="_Toc16895"/>
      <w:r>
        <w:rPr>
          <w:rFonts w:hint="eastAsia" w:ascii="宋体" w:hAnsi="宋体" w:eastAsia="宋体" w:cs="宋体"/>
          <w:sz w:val="24"/>
          <w:szCs w:val="24"/>
        </w:rPr>
        <w:t>（一）营业执照（副本）或事业单位法人证书（副本）复印件或个体工商户营业执照</w:t>
      </w:r>
      <w:bookmarkEnd w:id="408"/>
      <w:bookmarkEnd w:id="409"/>
    </w:p>
    <w:p w14:paraId="0BEFF558">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说明：供应商按“多证合一”登记制度办理营业执照的，组织机构代码证、税务登记证（副本）和社会保险登记证以供应商所提供的法人营业执照（副本）复印件为准。</w:t>
      </w:r>
    </w:p>
    <w:p w14:paraId="3FC44F7B">
      <w:pPr>
        <w:tabs>
          <w:tab w:val="left" w:pos="6300"/>
        </w:tabs>
        <w:snapToGrid w:val="0"/>
        <w:spacing w:line="500" w:lineRule="exact"/>
        <w:ind w:firstLine="570"/>
        <w:rPr>
          <w:rFonts w:ascii="宋体" w:hAnsi="宋体" w:eastAsia="宋体" w:cs="宋体"/>
        </w:rPr>
      </w:pPr>
    </w:p>
    <w:p w14:paraId="248E3066">
      <w:pPr>
        <w:widowControl/>
        <w:ind w:firstLine="560" w:firstLineChars="200"/>
        <w:jc w:val="center"/>
        <w:outlineLvl w:val="3"/>
        <w:rPr>
          <w:rFonts w:ascii="宋体" w:hAnsi="宋体" w:eastAsia="宋体" w:cs="宋体"/>
        </w:rPr>
      </w:pPr>
      <w:r>
        <w:rPr>
          <w:rFonts w:hint="eastAsia" w:ascii="宋体" w:hAnsi="宋体" w:eastAsia="宋体" w:cs="宋体"/>
        </w:rPr>
        <w:br w:type="page"/>
      </w:r>
      <w:bookmarkStart w:id="410" w:name="_Toc21989"/>
      <w:bookmarkStart w:id="411" w:name="_Toc29690"/>
      <w:r>
        <w:rPr>
          <w:rFonts w:hint="eastAsia" w:ascii="宋体" w:hAnsi="宋体" w:eastAsia="宋体" w:cs="宋体"/>
          <w:sz w:val="24"/>
          <w:szCs w:val="24"/>
        </w:rPr>
        <w:t>（二）法定代表人身份证明书（格式）</w:t>
      </w:r>
      <w:bookmarkEnd w:id="410"/>
      <w:bookmarkEnd w:id="411"/>
    </w:p>
    <w:p w14:paraId="5636AA01">
      <w:pPr>
        <w:tabs>
          <w:tab w:val="left" w:pos="6300"/>
        </w:tabs>
        <w:snapToGrid w:val="0"/>
        <w:spacing w:line="500" w:lineRule="exact"/>
        <w:ind w:firstLine="570"/>
        <w:rPr>
          <w:rFonts w:ascii="宋体" w:hAnsi="宋体" w:eastAsia="宋体" w:cs="宋体"/>
          <w:sz w:val="24"/>
        </w:rPr>
      </w:pPr>
    </w:p>
    <w:p w14:paraId="6E404899">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项目名称：</w:t>
      </w:r>
      <w:r>
        <w:rPr>
          <w:rFonts w:hint="eastAsia" w:ascii="宋体" w:hAnsi="宋体" w:eastAsia="宋体" w:cs="宋体"/>
          <w:sz w:val="24"/>
          <w:u w:val="single"/>
        </w:rPr>
        <w:t xml:space="preserve">                                                </w:t>
      </w:r>
    </w:p>
    <w:p w14:paraId="7379EDF8">
      <w:pPr>
        <w:tabs>
          <w:tab w:val="left" w:pos="6300"/>
        </w:tabs>
        <w:snapToGrid w:val="0"/>
        <w:spacing w:line="500" w:lineRule="exact"/>
        <w:ind w:firstLine="570"/>
        <w:rPr>
          <w:rFonts w:ascii="宋体" w:hAnsi="宋体" w:eastAsia="宋体" w:cs="宋体"/>
          <w:sz w:val="24"/>
        </w:rPr>
      </w:pPr>
    </w:p>
    <w:p w14:paraId="7F9F38D4">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 xml:space="preserve">                     </w:t>
      </w:r>
      <w:r>
        <w:rPr>
          <w:rFonts w:hint="eastAsia" w:ascii="宋体" w:hAnsi="宋体" w:eastAsia="宋体" w:cs="宋体"/>
          <w:sz w:val="24"/>
        </w:rPr>
        <w:t>（采购人名称）：</w:t>
      </w:r>
    </w:p>
    <w:p w14:paraId="532B2EC9">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u w:val="single"/>
        </w:rPr>
        <w:t xml:space="preserve">        </w:t>
      </w:r>
      <w:r>
        <w:rPr>
          <w:rFonts w:hint="eastAsia" w:ascii="宋体" w:hAnsi="宋体" w:eastAsia="宋体" w:cs="宋体"/>
          <w:sz w:val="24"/>
        </w:rPr>
        <w:t>（法定代表人姓名）在</w:t>
      </w:r>
      <w:r>
        <w:rPr>
          <w:rFonts w:hint="eastAsia" w:ascii="宋体" w:hAnsi="宋体" w:eastAsia="宋体" w:cs="宋体"/>
          <w:sz w:val="24"/>
          <w:u w:val="single"/>
        </w:rPr>
        <w:t xml:space="preserve">                       </w:t>
      </w:r>
      <w:r>
        <w:rPr>
          <w:rFonts w:hint="eastAsia" w:ascii="宋体" w:hAnsi="宋体" w:eastAsia="宋体" w:cs="宋体"/>
          <w:sz w:val="24"/>
        </w:rPr>
        <w:t>（供应商名称）任</w:t>
      </w:r>
      <w:r>
        <w:rPr>
          <w:rFonts w:hint="eastAsia" w:ascii="宋体" w:hAnsi="宋体" w:eastAsia="宋体" w:cs="宋体"/>
          <w:sz w:val="24"/>
          <w:u w:val="single"/>
        </w:rPr>
        <w:t xml:space="preserve">    </w:t>
      </w:r>
      <w:r>
        <w:rPr>
          <w:rFonts w:hint="eastAsia" w:ascii="宋体" w:hAnsi="宋体" w:eastAsia="宋体" w:cs="宋体"/>
          <w:sz w:val="24"/>
        </w:rPr>
        <w:t>（职务名称）职务，是（供应商名称）</w:t>
      </w:r>
      <w:r>
        <w:rPr>
          <w:rFonts w:hint="eastAsia" w:ascii="宋体" w:hAnsi="宋体" w:eastAsia="宋体" w:cs="宋体"/>
          <w:sz w:val="24"/>
          <w:u w:val="single"/>
        </w:rPr>
        <w:t xml:space="preserve">              </w:t>
      </w:r>
      <w:r>
        <w:rPr>
          <w:rFonts w:hint="eastAsia" w:ascii="宋体" w:hAnsi="宋体" w:eastAsia="宋体" w:cs="宋体"/>
          <w:sz w:val="24"/>
        </w:rPr>
        <w:t>的法定代表人。</w:t>
      </w:r>
    </w:p>
    <w:p w14:paraId="3D155B1D">
      <w:pPr>
        <w:tabs>
          <w:tab w:val="left" w:pos="6300"/>
        </w:tabs>
        <w:snapToGrid w:val="0"/>
        <w:spacing w:line="500" w:lineRule="exact"/>
        <w:ind w:firstLine="570"/>
        <w:rPr>
          <w:rFonts w:ascii="宋体" w:hAnsi="宋体" w:eastAsia="宋体" w:cs="宋体"/>
          <w:sz w:val="24"/>
        </w:rPr>
      </w:pPr>
    </w:p>
    <w:p w14:paraId="4A29784B">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特此证明。</w:t>
      </w:r>
    </w:p>
    <w:p w14:paraId="4DBEF798">
      <w:pPr>
        <w:tabs>
          <w:tab w:val="left" w:pos="6300"/>
        </w:tabs>
        <w:snapToGrid w:val="0"/>
        <w:spacing w:line="500" w:lineRule="exact"/>
        <w:ind w:firstLine="570"/>
        <w:rPr>
          <w:rFonts w:ascii="宋体" w:hAnsi="宋体" w:eastAsia="宋体" w:cs="宋体"/>
          <w:sz w:val="24"/>
        </w:rPr>
      </w:pPr>
    </w:p>
    <w:p w14:paraId="5B1327ED">
      <w:pPr>
        <w:tabs>
          <w:tab w:val="left" w:pos="6300"/>
        </w:tabs>
        <w:snapToGrid w:val="0"/>
        <w:spacing w:line="500" w:lineRule="exact"/>
        <w:ind w:firstLine="570"/>
        <w:rPr>
          <w:rFonts w:ascii="宋体" w:hAnsi="宋体" w:eastAsia="宋体" w:cs="宋体"/>
          <w:sz w:val="24"/>
        </w:rPr>
      </w:pPr>
    </w:p>
    <w:p w14:paraId="18F9572B">
      <w:pPr>
        <w:tabs>
          <w:tab w:val="left" w:pos="6300"/>
        </w:tabs>
        <w:snapToGrid w:val="0"/>
        <w:spacing w:line="500" w:lineRule="exact"/>
        <w:ind w:firstLine="570"/>
        <w:rPr>
          <w:rFonts w:ascii="宋体" w:hAnsi="宋体" w:eastAsia="宋体" w:cs="宋体"/>
          <w:sz w:val="24"/>
        </w:rPr>
      </w:pPr>
    </w:p>
    <w:p w14:paraId="1E781636">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（供应商公章）</w:t>
      </w:r>
    </w:p>
    <w:p w14:paraId="327ED6F8">
      <w:pPr>
        <w:tabs>
          <w:tab w:val="left" w:pos="6300"/>
        </w:tabs>
        <w:snapToGrid w:val="0"/>
        <w:spacing w:line="500" w:lineRule="exact"/>
        <w:ind w:firstLine="570"/>
        <w:rPr>
          <w:rFonts w:ascii="宋体" w:hAnsi="宋体" w:eastAsia="宋体" w:cs="宋体"/>
          <w:sz w:val="24"/>
        </w:rPr>
      </w:pPr>
    </w:p>
    <w:p w14:paraId="68404979">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年   月   日</w:t>
      </w:r>
    </w:p>
    <w:p w14:paraId="385FE2B7">
      <w:pPr>
        <w:tabs>
          <w:tab w:val="left" w:pos="6300"/>
        </w:tabs>
        <w:snapToGrid w:val="0"/>
        <w:spacing w:line="500" w:lineRule="exact"/>
        <w:ind w:firstLine="570"/>
        <w:rPr>
          <w:rFonts w:ascii="宋体" w:hAnsi="宋体" w:eastAsia="宋体" w:cs="宋体"/>
          <w:sz w:val="24"/>
        </w:rPr>
      </w:pPr>
    </w:p>
    <w:p w14:paraId="4DA6743A">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（附：法定代表人身份证正反面复印件）</w:t>
      </w:r>
    </w:p>
    <w:p w14:paraId="50AB0C76">
      <w:pPr>
        <w:tabs>
          <w:tab w:val="left" w:pos="6300"/>
        </w:tabs>
        <w:snapToGrid w:val="0"/>
        <w:spacing w:line="500" w:lineRule="exact"/>
        <w:ind w:firstLine="570"/>
        <w:rPr>
          <w:rFonts w:ascii="宋体" w:hAnsi="宋体" w:eastAsia="宋体" w:cs="宋体"/>
          <w:sz w:val="24"/>
        </w:rPr>
      </w:pPr>
    </w:p>
    <w:p w14:paraId="1E2EEB56">
      <w:pPr>
        <w:tabs>
          <w:tab w:val="left" w:pos="6300"/>
        </w:tabs>
        <w:snapToGrid w:val="0"/>
        <w:spacing w:line="500" w:lineRule="exact"/>
        <w:ind w:firstLine="570"/>
        <w:rPr>
          <w:rFonts w:ascii="宋体" w:hAnsi="宋体" w:eastAsia="宋体" w:cs="宋体"/>
          <w:sz w:val="24"/>
        </w:rPr>
      </w:pPr>
    </w:p>
    <w:p w14:paraId="590FBE27">
      <w:pPr>
        <w:tabs>
          <w:tab w:val="left" w:pos="6300"/>
        </w:tabs>
        <w:snapToGrid w:val="0"/>
        <w:spacing w:line="500" w:lineRule="exact"/>
        <w:ind w:firstLine="570"/>
        <w:rPr>
          <w:rFonts w:ascii="宋体" w:hAnsi="宋体" w:eastAsia="宋体" w:cs="宋体"/>
          <w:sz w:val="24"/>
        </w:rPr>
      </w:pPr>
    </w:p>
    <w:p w14:paraId="236E3089">
      <w:pPr>
        <w:tabs>
          <w:tab w:val="left" w:pos="6300"/>
        </w:tabs>
        <w:snapToGrid w:val="0"/>
        <w:spacing w:line="500" w:lineRule="exact"/>
        <w:ind w:firstLine="570"/>
        <w:rPr>
          <w:rFonts w:ascii="宋体" w:hAnsi="宋体" w:eastAsia="宋体" w:cs="宋体"/>
          <w:sz w:val="24"/>
        </w:rPr>
      </w:pPr>
    </w:p>
    <w:p w14:paraId="0411BC33">
      <w:pPr>
        <w:tabs>
          <w:tab w:val="left" w:pos="6300"/>
        </w:tabs>
        <w:snapToGrid w:val="0"/>
        <w:spacing w:line="500" w:lineRule="exact"/>
        <w:ind w:firstLine="570"/>
        <w:jc w:val="center"/>
        <w:outlineLvl w:val="3"/>
        <w:rPr>
          <w:rFonts w:ascii="宋体" w:hAnsi="宋体" w:eastAsia="宋体" w:cs="宋体"/>
        </w:rPr>
      </w:pPr>
      <w:r>
        <w:rPr>
          <w:rFonts w:hint="eastAsia" w:ascii="宋体" w:hAnsi="宋体" w:eastAsia="宋体" w:cs="宋体"/>
          <w:sz w:val="24"/>
        </w:rPr>
        <w:br w:type="page"/>
      </w:r>
      <w:bookmarkStart w:id="412" w:name="_Toc4016"/>
      <w:bookmarkStart w:id="413" w:name="_Toc7154"/>
      <w:r>
        <w:rPr>
          <w:rFonts w:hint="eastAsia" w:ascii="宋体" w:hAnsi="宋体" w:eastAsia="宋体" w:cs="宋体"/>
          <w:sz w:val="24"/>
          <w:szCs w:val="24"/>
        </w:rPr>
        <w:t>（三）法定代表人授权委托书（格式）</w:t>
      </w:r>
      <w:bookmarkEnd w:id="412"/>
      <w:bookmarkEnd w:id="413"/>
    </w:p>
    <w:p w14:paraId="16B1770E">
      <w:pPr>
        <w:tabs>
          <w:tab w:val="left" w:pos="6300"/>
        </w:tabs>
        <w:snapToGrid w:val="0"/>
        <w:spacing w:line="500" w:lineRule="exact"/>
        <w:ind w:firstLine="570"/>
        <w:rPr>
          <w:rFonts w:ascii="宋体" w:hAnsi="宋体" w:eastAsia="宋体" w:cs="宋体"/>
          <w:sz w:val="24"/>
        </w:rPr>
      </w:pPr>
    </w:p>
    <w:p w14:paraId="17E3F237">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szCs w:val="28"/>
        </w:rPr>
        <w:t>项目名称</w:t>
      </w:r>
      <w:r>
        <w:rPr>
          <w:rFonts w:hint="eastAsia" w:ascii="宋体" w:hAnsi="宋体" w:eastAsia="宋体" w:cs="宋体"/>
          <w:sz w:val="24"/>
        </w:rPr>
        <w:t>：</w:t>
      </w:r>
      <w:r>
        <w:rPr>
          <w:rFonts w:hint="eastAsia" w:ascii="宋体" w:hAnsi="宋体" w:eastAsia="宋体" w:cs="宋体"/>
          <w:sz w:val="24"/>
          <w:u w:val="single"/>
        </w:rPr>
        <w:t xml:space="preserve">                                                </w:t>
      </w:r>
    </w:p>
    <w:p w14:paraId="641DB7C6">
      <w:pPr>
        <w:tabs>
          <w:tab w:val="left" w:pos="6300"/>
        </w:tabs>
        <w:snapToGrid w:val="0"/>
        <w:spacing w:line="500" w:lineRule="exact"/>
        <w:ind w:firstLine="570"/>
        <w:rPr>
          <w:rFonts w:ascii="宋体" w:hAnsi="宋体" w:eastAsia="宋体" w:cs="宋体"/>
          <w:sz w:val="24"/>
        </w:rPr>
      </w:pPr>
    </w:p>
    <w:p w14:paraId="6BF275A7">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 xml:space="preserve">                     </w:t>
      </w:r>
      <w:r>
        <w:rPr>
          <w:rFonts w:hint="eastAsia" w:ascii="宋体" w:hAnsi="宋体" w:eastAsia="宋体" w:cs="宋体"/>
          <w:sz w:val="24"/>
        </w:rPr>
        <w:t>（采购人名称）：</w:t>
      </w:r>
    </w:p>
    <w:p w14:paraId="197A46CD">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u w:val="single"/>
        </w:rPr>
        <w:t xml:space="preserve">            </w:t>
      </w:r>
      <w:r>
        <w:rPr>
          <w:rFonts w:hint="eastAsia" w:ascii="宋体" w:hAnsi="宋体" w:eastAsia="宋体" w:cs="宋体"/>
          <w:sz w:val="24"/>
        </w:rPr>
        <w:t>（供应商法定代表人名称）是</w:t>
      </w:r>
      <w:r>
        <w:rPr>
          <w:rFonts w:hint="eastAsia" w:ascii="宋体" w:hAnsi="宋体" w:eastAsia="宋体" w:cs="宋体"/>
          <w:sz w:val="24"/>
          <w:u w:val="single"/>
        </w:rPr>
        <w:t xml:space="preserve">                    </w:t>
      </w:r>
      <w:r>
        <w:rPr>
          <w:rFonts w:hint="eastAsia" w:ascii="宋体" w:hAnsi="宋体" w:eastAsia="宋体" w:cs="宋体"/>
          <w:sz w:val="24"/>
        </w:rPr>
        <w:t>（供应商名称）的法定代表人，特授权</w:t>
      </w:r>
      <w:r>
        <w:rPr>
          <w:rFonts w:hint="eastAsia" w:ascii="宋体" w:hAnsi="宋体" w:eastAsia="宋体" w:cs="宋体"/>
          <w:sz w:val="24"/>
          <w:u w:val="single"/>
        </w:rPr>
        <w:t xml:space="preserve">          </w:t>
      </w:r>
      <w:r>
        <w:rPr>
          <w:rFonts w:hint="eastAsia" w:ascii="宋体" w:hAnsi="宋体" w:eastAsia="宋体" w:cs="宋体"/>
          <w:sz w:val="24"/>
        </w:rPr>
        <w:t>（被授权人姓名及身份证代码）代表我单位全权办理上述项目的谈判、签约等具体工作，并签署全部有关文件、协议及合同。</w:t>
      </w:r>
    </w:p>
    <w:p w14:paraId="0AC87093">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我单位对被授权人的签字负全部责任。</w:t>
      </w:r>
    </w:p>
    <w:p w14:paraId="76C96531">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在撤消授权的书面通知以前，本授权书一直有效。被授权人在授权书有效期内签署的所有文件不因授权的撤消而失效。</w:t>
      </w:r>
    </w:p>
    <w:p w14:paraId="7033CBC9">
      <w:pPr>
        <w:tabs>
          <w:tab w:val="left" w:pos="6300"/>
        </w:tabs>
        <w:snapToGrid w:val="0"/>
        <w:spacing w:line="500" w:lineRule="exact"/>
        <w:ind w:firstLine="570"/>
        <w:rPr>
          <w:rFonts w:ascii="宋体" w:hAnsi="宋体" w:eastAsia="宋体" w:cs="宋体"/>
          <w:sz w:val="24"/>
        </w:rPr>
      </w:pPr>
    </w:p>
    <w:p w14:paraId="1FD76818">
      <w:pPr>
        <w:tabs>
          <w:tab w:val="left" w:pos="6300"/>
        </w:tabs>
        <w:snapToGrid w:val="0"/>
        <w:spacing w:line="500" w:lineRule="exact"/>
        <w:ind w:firstLine="570"/>
        <w:rPr>
          <w:rFonts w:ascii="宋体" w:hAnsi="宋体" w:eastAsia="宋体" w:cs="宋体"/>
          <w:sz w:val="24"/>
        </w:rPr>
      </w:pPr>
    </w:p>
    <w:p w14:paraId="4BCC1404">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被授权人：                                 供应商法定代表人：</w:t>
      </w:r>
    </w:p>
    <w:p w14:paraId="2D82050E">
      <w:pPr>
        <w:tabs>
          <w:tab w:val="left" w:pos="6300"/>
        </w:tabs>
        <w:snapToGrid w:val="0"/>
        <w:spacing w:line="500" w:lineRule="exact"/>
        <w:ind w:firstLine="570"/>
        <w:rPr>
          <w:rFonts w:ascii="宋体" w:hAnsi="宋体" w:eastAsia="宋体" w:cs="宋体"/>
          <w:sz w:val="24"/>
          <w:szCs w:val="28"/>
        </w:rPr>
      </w:pPr>
      <w:r>
        <w:rPr>
          <w:rFonts w:hint="eastAsia" w:ascii="宋体" w:hAnsi="宋体" w:eastAsia="宋体" w:cs="宋体"/>
          <w:sz w:val="24"/>
          <w:szCs w:val="28"/>
        </w:rPr>
        <w:t>（签字或盖章）                                （签字或盖章）</w:t>
      </w:r>
    </w:p>
    <w:p w14:paraId="379CD2BE">
      <w:pPr>
        <w:tabs>
          <w:tab w:val="left" w:pos="6300"/>
        </w:tabs>
        <w:snapToGrid w:val="0"/>
        <w:spacing w:line="500" w:lineRule="exact"/>
        <w:ind w:firstLine="570"/>
        <w:rPr>
          <w:rFonts w:ascii="宋体" w:hAnsi="宋体" w:eastAsia="宋体" w:cs="宋体"/>
          <w:sz w:val="24"/>
          <w:szCs w:val="28"/>
        </w:rPr>
      </w:pPr>
    </w:p>
    <w:p w14:paraId="4D9CC0CF">
      <w:pPr>
        <w:tabs>
          <w:tab w:val="left" w:pos="6300"/>
        </w:tabs>
        <w:snapToGrid w:val="0"/>
        <w:spacing w:line="500" w:lineRule="exact"/>
        <w:ind w:firstLine="570"/>
        <w:rPr>
          <w:rFonts w:ascii="宋体" w:hAnsi="宋体" w:eastAsia="宋体" w:cs="宋体"/>
          <w:sz w:val="24"/>
        </w:rPr>
      </w:pPr>
    </w:p>
    <w:p w14:paraId="6ACC281F">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（附：被授权人身份证正反面复印件）</w:t>
      </w:r>
    </w:p>
    <w:p w14:paraId="3F34A562">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w:t>
      </w:r>
    </w:p>
    <w:p w14:paraId="213A3035">
      <w:pPr>
        <w:tabs>
          <w:tab w:val="left" w:pos="6300"/>
        </w:tabs>
        <w:snapToGrid w:val="0"/>
        <w:spacing w:line="500" w:lineRule="exact"/>
        <w:ind w:firstLine="570"/>
        <w:rPr>
          <w:rFonts w:ascii="宋体" w:hAnsi="宋体" w:eastAsia="宋体" w:cs="宋体"/>
          <w:sz w:val="24"/>
        </w:rPr>
      </w:pPr>
    </w:p>
    <w:p w14:paraId="41B06880">
      <w:pPr>
        <w:tabs>
          <w:tab w:val="left" w:pos="6300"/>
        </w:tabs>
        <w:snapToGrid w:val="0"/>
        <w:spacing w:line="500" w:lineRule="exact"/>
        <w:ind w:firstLine="570"/>
        <w:rPr>
          <w:rFonts w:ascii="宋体" w:hAnsi="宋体" w:eastAsia="宋体" w:cs="宋体"/>
          <w:sz w:val="24"/>
        </w:rPr>
      </w:pPr>
    </w:p>
    <w:p w14:paraId="7A9CBE85">
      <w:pPr>
        <w:tabs>
          <w:tab w:val="left" w:pos="6300"/>
        </w:tabs>
        <w:snapToGrid w:val="0"/>
        <w:spacing w:line="500" w:lineRule="exact"/>
        <w:ind w:right="480" w:firstLine="570"/>
        <w:jc w:val="right"/>
        <w:rPr>
          <w:rFonts w:ascii="宋体" w:hAnsi="宋体" w:eastAsia="宋体" w:cs="宋体"/>
          <w:sz w:val="24"/>
        </w:rPr>
      </w:pPr>
      <w:r>
        <w:rPr>
          <w:rFonts w:hint="eastAsia" w:ascii="宋体" w:hAnsi="宋体" w:eastAsia="宋体" w:cs="宋体"/>
          <w:sz w:val="24"/>
        </w:rPr>
        <w:t>（供应商公章）</w:t>
      </w:r>
    </w:p>
    <w:p w14:paraId="4190CCCE">
      <w:pPr>
        <w:tabs>
          <w:tab w:val="left" w:pos="6300"/>
        </w:tabs>
        <w:snapToGrid w:val="0"/>
        <w:spacing w:line="500" w:lineRule="exact"/>
        <w:ind w:right="480" w:firstLine="570"/>
        <w:jc w:val="right"/>
        <w:rPr>
          <w:rFonts w:ascii="宋体" w:hAnsi="宋体" w:eastAsia="宋体" w:cs="宋体"/>
          <w:sz w:val="24"/>
        </w:rPr>
      </w:pPr>
      <w:r>
        <w:rPr>
          <w:rFonts w:hint="eastAsia" w:ascii="宋体" w:hAnsi="宋体" w:eastAsia="宋体" w:cs="宋体"/>
          <w:sz w:val="24"/>
        </w:rPr>
        <w:t>年   月   日</w:t>
      </w:r>
    </w:p>
    <w:p w14:paraId="057DDA32">
      <w:pPr>
        <w:pStyle w:val="44"/>
        <w:ind w:left="0" w:leftChars="0" w:firstLine="0" w:firstLineChars="0"/>
        <w:rPr>
          <w:rFonts w:ascii="宋体" w:hAnsi="宋体" w:eastAsia="宋体" w:cs="宋体"/>
        </w:rPr>
      </w:pPr>
    </w:p>
    <w:p w14:paraId="6C781F8A">
      <w:pPr>
        <w:rPr>
          <w:rFonts w:ascii="宋体" w:hAnsi="宋体" w:eastAsia="宋体" w:cs="宋体"/>
        </w:rPr>
      </w:pPr>
    </w:p>
    <w:p w14:paraId="348FFB60">
      <w:pPr>
        <w:pStyle w:val="44"/>
        <w:ind w:left="0" w:leftChars="0" w:firstLine="0" w:firstLineChars="0"/>
        <w:rPr>
          <w:rFonts w:ascii="宋体" w:hAnsi="宋体" w:eastAsia="宋体" w:cs="宋体"/>
        </w:rPr>
      </w:pPr>
    </w:p>
    <w:p w14:paraId="26D170C1">
      <w:pPr>
        <w:pStyle w:val="22"/>
        <w:jc w:val="center"/>
        <w:outlineLvl w:val="3"/>
        <w:rPr>
          <w:rFonts w:ascii="宋体" w:hAnsi="宋体" w:eastAsia="宋体" w:cs="宋体"/>
          <w:sz w:val="24"/>
          <w:szCs w:val="24"/>
        </w:rPr>
      </w:pPr>
      <w:r>
        <w:rPr>
          <w:rFonts w:hint="eastAsia" w:ascii="宋体" w:hAnsi="宋体" w:eastAsia="宋体" w:cs="宋体"/>
        </w:rPr>
        <w:br w:type="page"/>
      </w:r>
      <w:bookmarkStart w:id="414" w:name="_Toc13854"/>
      <w:bookmarkStart w:id="415" w:name="_Toc14717"/>
      <w:r>
        <w:rPr>
          <w:rFonts w:hint="eastAsia" w:ascii="宋体" w:hAnsi="宋体" w:eastAsia="宋体" w:cs="宋体"/>
          <w:sz w:val="24"/>
          <w:szCs w:val="24"/>
        </w:rPr>
        <w:t>（四）</w:t>
      </w:r>
      <w:r>
        <w:rPr>
          <w:rFonts w:hint="eastAsia" w:ascii="宋体" w:hAnsi="宋体" w:eastAsia="宋体" w:cs="宋体"/>
          <w:sz w:val="24"/>
          <w:szCs w:val="28"/>
        </w:rPr>
        <w:t>基本资格条件承诺函</w:t>
      </w:r>
      <w:bookmarkEnd w:id="414"/>
      <w:bookmarkEnd w:id="415"/>
    </w:p>
    <w:p w14:paraId="0CB76206">
      <w:pPr>
        <w:tabs>
          <w:tab w:val="left" w:pos="6300"/>
        </w:tabs>
        <w:snapToGrid w:val="0"/>
        <w:spacing w:line="500" w:lineRule="exact"/>
        <w:rPr>
          <w:rFonts w:ascii="宋体" w:hAnsi="宋体" w:eastAsia="宋体" w:cs="宋体"/>
          <w:sz w:val="24"/>
          <w:szCs w:val="28"/>
        </w:rPr>
      </w:pPr>
    </w:p>
    <w:p w14:paraId="1D6A6F2E">
      <w:pPr>
        <w:tabs>
          <w:tab w:val="left" w:pos="6300"/>
        </w:tabs>
        <w:snapToGrid w:val="0"/>
        <w:spacing w:line="500" w:lineRule="exact"/>
        <w:rPr>
          <w:rFonts w:ascii="宋体" w:hAnsi="宋体" w:eastAsia="宋体" w:cs="宋体"/>
          <w:sz w:val="24"/>
          <w:szCs w:val="28"/>
        </w:rPr>
      </w:pPr>
      <w:r>
        <w:rPr>
          <w:rFonts w:hint="eastAsia" w:ascii="宋体" w:hAnsi="宋体" w:eastAsia="宋体" w:cs="宋体"/>
          <w:sz w:val="24"/>
          <w:szCs w:val="28"/>
        </w:rPr>
        <w:t>致</w:t>
      </w:r>
      <w:r>
        <w:rPr>
          <w:rFonts w:hint="eastAsia" w:ascii="宋体" w:hAnsi="宋体" w:eastAsia="宋体" w:cs="宋体"/>
          <w:sz w:val="24"/>
          <w:szCs w:val="28"/>
          <w:u w:val="single"/>
        </w:rPr>
        <w:t xml:space="preserve">                   </w:t>
      </w:r>
      <w:r>
        <w:rPr>
          <w:rFonts w:hint="eastAsia" w:ascii="宋体" w:hAnsi="宋体" w:eastAsia="宋体" w:cs="宋体"/>
          <w:sz w:val="24"/>
          <w:szCs w:val="28"/>
        </w:rPr>
        <w:t>（采购人）：</w:t>
      </w:r>
    </w:p>
    <w:p w14:paraId="00A69768">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u w:val="single"/>
        </w:rPr>
        <w:t xml:space="preserve">                      </w:t>
      </w:r>
      <w:r>
        <w:rPr>
          <w:rFonts w:hint="eastAsia" w:ascii="宋体" w:hAnsi="宋体" w:eastAsia="宋体" w:cs="宋体"/>
          <w:sz w:val="24"/>
          <w:szCs w:val="28"/>
        </w:rPr>
        <w:t>（投标人名称）郑重承诺：</w:t>
      </w:r>
    </w:p>
    <w:p w14:paraId="65AEF946">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1.我方具有良好的商业信誉和健全的财务会计制度，具有履行合同所必需的设备和专业技术能力，具有依法缴纳税收和社会保障金的良好记录，参加本项目采购活动前三年内无重大违法活动记录。</w:t>
      </w:r>
    </w:p>
    <w:p w14:paraId="7A9FE05E">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2.我方未列入在信用中国网站（www.creditchina.gov.cn）“失信被执行人”、“重大税收违法案件当事人名单”中，也未列入中国政府采购网（www.ccgp.gov.cn）“政府采购严重违法失信行为记录名单”中。</w:t>
      </w:r>
    </w:p>
    <w:p w14:paraId="61336210">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3.我方在采购项目评审（评标）环节结束后，随时接受采购人、采购代理机构的检查验证，配合提供相关证明材料，证明符合《中华人民共和国政府采购法》规定的投标人基本资格条件。</w:t>
      </w:r>
    </w:p>
    <w:p w14:paraId="0220FA9B">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我方对以上承诺负全部法律责任。</w:t>
      </w:r>
    </w:p>
    <w:p w14:paraId="357EA8C9">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特此承诺。</w:t>
      </w:r>
    </w:p>
    <w:p w14:paraId="0B537B8A">
      <w:pPr>
        <w:tabs>
          <w:tab w:val="left" w:pos="6300"/>
        </w:tabs>
        <w:snapToGrid w:val="0"/>
        <w:spacing w:line="500" w:lineRule="exact"/>
        <w:rPr>
          <w:rFonts w:ascii="宋体" w:hAnsi="宋体" w:eastAsia="宋体" w:cs="宋体"/>
          <w:sz w:val="24"/>
          <w:szCs w:val="28"/>
        </w:rPr>
      </w:pPr>
    </w:p>
    <w:p w14:paraId="4F5B8C11">
      <w:pPr>
        <w:tabs>
          <w:tab w:val="left" w:pos="6300"/>
        </w:tabs>
        <w:snapToGrid w:val="0"/>
        <w:spacing w:line="500" w:lineRule="exact"/>
        <w:rPr>
          <w:rFonts w:ascii="宋体" w:hAnsi="宋体" w:eastAsia="宋体" w:cs="宋体"/>
          <w:sz w:val="24"/>
          <w:szCs w:val="28"/>
        </w:rPr>
      </w:pPr>
    </w:p>
    <w:p w14:paraId="51BDBD8B">
      <w:pPr>
        <w:tabs>
          <w:tab w:val="left" w:pos="6300"/>
        </w:tabs>
        <w:snapToGrid w:val="0"/>
        <w:spacing w:line="500" w:lineRule="exact"/>
        <w:ind w:firstLine="6480" w:firstLineChars="2700"/>
        <w:rPr>
          <w:rFonts w:ascii="宋体" w:hAnsi="宋体" w:eastAsia="宋体" w:cs="宋体"/>
          <w:sz w:val="24"/>
          <w:szCs w:val="28"/>
        </w:rPr>
      </w:pPr>
      <w:r>
        <w:rPr>
          <w:rFonts w:hint="eastAsia" w:ascii="宋体" w:hAnsi="宋体" w:eastAsia="宋体" w:cs="宋体"/>
          <w:sz w:val="24"/>
          <w:szCs w:val="28"/>
        </w:rPr>
        <w:t>（供应商公章）</w:t>
      </w:r>
    </w:p>
    <w:p w14:paraId="42CD4167">
      <w:pPr>
        <w:tabs>
          <w:tab w:val="left" w:pos="6300"/>
        </w:tabs>
        <w:snapToGrid w:val="0"/>
        <w:spacing w:line="360" w:lineRule="auto"/>
        <w:ind w:right="360" w:firstLine="480" w:firstLineChars="200"/>
        <w:jc w:val="right"/>
        <w:rPr>
          <w:rFonts w:ascii="宋体" w:hAnsi="宋体" w:eastAsia="宋体" w:cs="宋体"/>
          <w:sz w:val="24"/>
          <w:szCs w:val="28"/>
        </w:rPr>
      </w:pPr>
    </w:p>
    <w:p w14:paraId="4359CB4F">
      <w:pPr>
        <w:tabs>
          <w:tab w:val="left" w:pos="6300"/>
        </w:tabs>
        <w:snapToGrid w:val="0"/>
        <w:spacing w:line="360" w:lineRule="auto"/>
        <w:ind w:right="1320" w:firstLine="480" w:firstLineChars="200"/>
        <w:jc w:val="right"/>
        <w:rPr>
          <w:rFonts w:ascii="宋体" w:hAnsi="宋体" w:eastAsia="宋体" w:cs="宋体"/>
          <w:sz w:val="24"/>
          <w:szCs w:val="24"/>
        </w:rPr>
      </w:pPr>
      <w:r>
        <w:rPr>
          <w:rFonts w:hint="eastAsia" w:ascii="宋体" w:hAnsi="宋体" w:eastAsia="宋体" w:cs="宋体"/>
          <w:sz w:val="24"/>
          <w:szCs w:val="28"/>
        </w:rPr>
        <w:t>年   月   日</w:t>
      </w:r>
    </w:p>
    <w:p w14:paraId="47AE11F0">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备注：供应商须提供</w:t>
      </w:r>
    </w:p>
    <w:p w14:paraId="06645915">
      <w:pPr>
        <w:pStyle w:val="44"/>
        <w:ind w:left="0" w:leftChars="0" w:firstLine="240" w:firstLineChars="100"/>
        <w:rPr>
          <w:rFonts w:ascii="宋体" w:hAnsi="宋体" w:eastAsia="宋体" w:cs="宋体"/>
          <w:sz w:val="24"/>
          <w:szCs w:val="24"/>
        </w:rPr>
      </w:pPr>
      <w:r>
        <w:rPr>
          <w:rFonts w:hint="eastAsia" w:ascii="宋体" w:hAnsi="宋体" w:eastAsia="宋体" w:cs="宋体"/>
          <w:sz w:val="24"/>
          <w:szCs w:val="24"/>
        </w:rPr>
        <w:t>1. 信用中国网站（</w:t>
      </w:r>
      <w:r>
        <w:fldChar w:fldCharType="begin"/>
      </w:r>
      <w:r>
        <w:instrText xml:space="preserve"> HYPERLINK "http://www.creditchina.gov.cn" </w:instrText>
      </w:r>
      <w:r>
        <w:fldChar w:fldCharType="separate"/>
      </w:r>
      <w:r>
        <w:rPr>
          <w:rStyle w:val="66"/>
          <w:rFonts w:hint="eastAsia" w:ascii="宋体" w:hAnsi="宋体" w:eastAsia="宋体" w:cs="宋体"/>
          <w:color w:val="auto"/>
          <w:sz w:val="24"/>
          <w:szCs w:val="24"/>
        </w:rPr>
        <w:t>www.creditchina.gov.cn</w:t>
      </w:r>
      <w:r>
        <w:rPr>
          <w:rStyle w:val="66"/>
          <w:rFonts w:hint="eastAsia" w:ascii="宋体" w:hAnsi="宋体" w:eastAsia="宋体" w:cs="宋体"/>
          <w:color w:val="auto"/>
          <w:sz w:val="24"/>
          <w:szCs w:val="24"/>
        </w:rPr>
        <w:fldChar w:fldCharType="end"/>
      </w:r>
      <w:r>
        <w:rPr>
          <w:rFonts w:hint="eastAsia" w:ascii="宋体" w:hAnsi="宋体" w:eastAsia="宋体" w:cs="宋体"/>
          <w:sz w:val="24"/>
          <w:szCs w:val="24"/>
        </w:rPr>
        <w:t>）“失信被执行人”查询结果；“重大税收违法案件当事人名单”查询结果加盖供应商公章。</w:t>
      </w:r>
    </w:p>
    <w:p w14:paraId="52C4FFB0">
      <w:pPr>
        <w:pStyle w:val="44"/>
        <w:ind w:left="0" w:leftChars="0" w:firstLine="240" w:firstLineChars="100"/>
        <w:rPr>
          <w:rFonts w:ascii="宋体" w:hAnsi="宋体" w:eastAsia="宋体" w:cs="宋体"/>
          <w:sz w:val="24"/>
          <w:szCs w:val="24"/>
        </w:rPr>
      </w:pPr>
      <w:r>
        <w:rPr>
          <w:rFonts w:hint="eastAsia" w:ascii="宋体" w:hAnsi="宋体" w:eastAsia="宋体" w:cs="宋体"/>
          <w:sz w:val="24"/>
          <w:szCs w:val="24"/>
        </w:rPr>
        <w:t>2. 中国政府采购网（</w:t>
      </w:r>
      <w:r>
        <w:fldChar w:fldCharType="begin"/>
      </w:r>
      <w:r>
        <w:instrText xml:space="preserve"> HYPERLINK "http://www.ccgp.gov.cn" </w:instrText>
      </w:r>
      <w:r>
        <w:fldChar w:fldCharType="separate"/>
      </w:r>
      <w:r>
        <w:rPr>
          <w:rStyle w:val="66"/>
          <w:rFonts w:hint="eastAsia" w:ascii="宋体" w:hAnsi="宋体" w:eastAsia="宋体" w:cs="宋体"/>
          <w:color w:val="auto"/>
          <w:sz w:val="24"/>
          <w:szCs w:val="24"/>
        </w:rPr>
        <w:t>www.ccgp.gov.cn</w:t>
      </w:r>
      <w:r>
        <w:rPr>
          <w:rStyle w:val="66"/>
          <w:rFonts w:hint="eastAsia" w:ascii="宋体" w:hAnsi="宋体" w:eastAsia="宋体" w:cs="宋体"/>
          <w:color w:val="auto"/>
          <w:sz w:val="24"/>
          <w:szCs w:val="24"/>
        </w:rPr>
        <w:fldChar w:fldCharType="end"/>
      </w:r>
      <w:r>
        <w:rPr>
          <w:rFonts w:hint="eastAsia" w:ascii="宋体" w:hAnsi="宋体" w:eastAsia="宋体" w:cs="宋体"/>
          <w:sz w:val="24"/>
          <w:szCs w:val="24"/>
        </w:rPr>
        <w:t>）“政府采购严重违法失信行为记录名单”查询结果加盖供应商公章。</w:t>
      </w:r>
    </w:p>
    <w:p w14:paraId="02A53BFD">
      <w:pPr>
        <w:pStyle w:val="44"/>
        <w:ind w:left="4480"/>
        <w:rPr>
          <w:rFonts w:ascii="宋体" w:hAnsi="宋体" w:eastAsia="宋体" w:cs="宋体"/>
          <w:sz w:val="24"/>
          <w:szCs w:val="24"/>
        </w:rPr>
      </w:pPr>
    </w:p>
    <w:p w14:paraId="73460CBE"/>
    <w:p w14:paraId="749ADC97">
      <w:r>
        <w:br w:type="page"/>
      </w:r>
    </w:p>
    <w:p w14:paraId="62944C8D">
      <w:pPr>
        <w:spacing w:line="360" w:lineRule="auto"/>
        <w:ind w:firstLine="480" w:firstLineChars="200"/>
        <w:outlineLvl w:val="3"/>
      </w:pPr>
      <w:bookmarkStart w:id="416" w:name="_Toc18583"/>
      <w:bookmarkStart w:id="417" w:name="_Toc29430"/>
      <w:r>
        <w:rPr>
          <w:rFonts w:hint="eastAsia" w:ascii="宋体" w:hAnsi="宋体" w:eastAsia="宋体" w:cs="宋体"/>
          <w:sz w:val="24"/>
          <w:szCs w:val="24"/>
        </w:rPr>
        <w:t>（五）</w:t>
      </w:r>
      <w:r>
        <w:rPr>
          <w:rFonts w:hint="eastAsia" w:ascii="宋体" w:hAnsi="宋体" w:eastAsia="宋体" w:cs="宋体"/>
          <w:sz w:val="24"/>
          <w:szCs w:val="28"/>
        </w:rPr>
        <w:t>特定资格条件证明文件</w:t>
      </w:r>
      <w:bookmarkEnd w:id="416"/>
      <w:bookmarkEnd w:id="417"/>
    </w:p>
    <w:p w14:paraId="42E126BA">
      <w:pPr>
        <w:ind w:firstLine="480" w:firstLineChars="200"/>
        <w:rPr>
          <w:rFonts w:ascii="宋体" w:hAnsi="宋体" w:eastAsia="宋体" w:cs="宋体"/>
          <w:sz w:val="24"/>
          <w:szCs w:val="28"/>
        </w:rPr>
      </w:pPr>
      <w:r>
        <w:rPr>
          <w:rFonts w:hint="eastAsia" w:ascii="宋体" w:hAnsi="宋体" w:eastAsia="宋体" w:cs="宋体"/>
          <w:sz w:val="24"/>
          <w:szCs w:val="28"/>
        </w:rPr>
        <w:t>说明：供应商按“多证合一”登记制度办理营业执照的，组织机构代码证、税务登记证以供应商所提供的法人营业执照（副本）复印件为准。</w:t>
      </w:r>
    </w:p>
    <w:p w14:paraId="724FF422"/>
    <w:p w14:paraId="14AB923D">
      <w:pPr>
        <w:rPr>
          <w:rFonts w:ascii="宋体" w:hAnsi="宋体" w:eastAsia="宋体" w:cs="宋体"/>
        </w:rPr>
      </w:pPr>
    </w:p>
    <w:p w14:paraId="4E4827A2">
      <w:pPr>
        <w:snapToGrid w:val="0"/>
        <w:spacing w:line="400" w:lineRule="exact"/>
        <w:rPr>
          <w:rFonts w:ascii="宋体" w:hAnsi="宋体" w:eastAsia="宋体" w:cs="宋体"/>
          <w:sz w:val="24"/>
          <w:szCs w:val="24"/>
        </w:rPr>
      </w:pPr>
    </w:p>
    <w:p w14:paraId="2CE5A48F">
      <w:pPr>
        <w:pStyle w:val="44"/>
        <w:ind w:left="4480"/>
        <w:rPr>
          <w:rFonts w:ascii="宋体" w:hAnsi="宋体" w:eastAsia="宋体" w:cs="宋体"/>
          <w:sz w:val="24"/>
          <w:szCs w:val="24"/>
        </w:rPr>
      </w:pPr>
    </w:p>
    <w:p w14:paraId="32768393">
      <w:pPr>
        <w:pStyle w:val="4"/>
        <w:adjustRightInd w:val="0"/>
        <w:snapToGrid w:val="0"/>
        <w:spacing w:before="0" w:after="0" w:line="400" w:lineRule="exact"/>
        <w:rPr>
          <w:rFonts w:ascii="宋体" w:hAnsi="宋体" w:eastAsia="宋体" w:cs="宋体"/>
          <w:sz w:val="24"/>
        </w:rPr>
      </w:pPr>
      <w:r>
        <w:rPr>
          <w:rFonts w:hint="eastAsia" w:ascii="宋体" w:hAnsi="宋体" w:eastAsia="宋体" w:cs="宋体"/>
        </w:rPr>
        <w:br w:type="page"/>
      </w:r>
      <w:bookmarkStart w:id="418" w:name="_Toc16863"/>
      <w:bookmarkStart w:id="419" w:name="_Toc2080"/>
      <w:bookmarkStart w:id="420" w:name="_Toc17010"/>
      <w:bookmarkStart w:id="421" w:name="_Toc106034663"/>
      <w:bookmarkStart w:id="422" w:name="_Toc65660383"/>
      <w:bookmarkStart w:id="423" w:name="_Toc132634093"/>
      <w:r>
        <w:rPr>
          <w:rFonts w:hint="eastAsia" w:ascii="宋体" w:hAnsi="宋体" w:eastAsia="宋体" w:cs="宋体"/>
          <w:sz w:val="24"/>
        </w:rPr>
        <w:t>五、其他资料</w:t>
      </w:r>
      <w:bookmarkEnd w:id="418"/>
      <w:bookmarkEnd w:id="419"/>
      <w:bookmarkEnd w:id="420"/>
      <w:bookmarkEnd w:id="421"/>
      <w:bookmarkEnd w:id="422"/>
      <w:bookmarkEnd w:id="423"/>
    </w:p>
    <w:p w14:paraId="0EBD52A7">
      <w:pPr>
        <w:widowControl/>
        <w:spacing w:line="400" w:lineRule="exact"/>
        <w:ind w:firstLine="480" w:firstLineChars="200"/>
        <w:jc w:val="left"/>
        <w:outlineLvl w:val="2"/>
        <w:rPr>
          <w:rFonts w:ascii="宋体" w:hAnsi="宋体" w:eastAsia="宋体" w:cs="宋体"/>
          <w:sz w:val="24"/>
          <w:szCs w:val="24"/>
        </w:rPr>
      </w:pPr>
      <w:bookmarkStart w:id="424" w:name="_Toc24530"/>
      <w:bookmarkStart w:id="425" w:name="_Toc6463"/>
      <w:bookmarkStart w:id="426" w:name="_Toc132634094"/>
      <w:r>
        <w:rPr>
          <w:rFonts w:hint="eastAsia" w:ascii="宋体" w:hAnsi="宋体" w:eastAsia="宋体" w:cs="宋体"/>
          <w:sz w:val="24"/>
          <w:szCs w:val="24"/>
        </w:rPr>
        <w:t>（一）中小企业声明函、监狱企业证明文件、残疾人福利性单位声明函</w:t>
      </w:r>
      <w:bookmarkEnd w:id="424"/>
      <w:bookmarkEnd w:id="425"/>
      <w:bookmarkEnd w:id="426"/>
    </w:p>
    <w:p w14:paraId="7AFC3F8E">
      <w:pPr>
        <w:tabs>
          <w:tab w:val="left" w:pos="6300"/>
        </w:tabs>
        <w:snapToGrid w:val="0"/>
        <w:spacing w:line="500" w:lineRule="exact"/>
        <w:jc w:val="center"/>
        <w:rPr>
          <w:rFonts w:ascii="宋体" w:hAnsi="宋体" w:eastAsia="宋体" w:cs="宋体"/>
          <w:sz w:val="24"/>
          <w:szCs w:val="28"/>
        </w:rPr>
      </w:pPr>
      <w:r>
        <w:rPr>
          <w:rFonts w:hint="eastAsia" w:ascii="宋体" w:hAnsi="宋体" w:eastAsia="宋体" w:cs="宋体"/>
          <w:sz w:val="24"/>
          <w:szCs w:val="28"/>
        </w:rPr>
        <w:t>中小企业声明函</w:t>
      </w:r>
    </w:p>
    <w:p w14:paraId="74298B35">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本公司郑重声明，根据《政府采购促进中小企业发展管理办法》（财库〔2020〕46号）的规定，本公司参加（</w:t>
      </w:r>
      <w:r>
        <w:rPr>
          <w:rFonts w:hint="eastAsia" w:ascii="宋体" w:hAnsi="宋体" w:eastAsia="宋体" w:cs="宋体"/>
          <w:kern w:val="2"/>
          <w:sz w:val="24"/>
          <w:szCs w:val="24"/>
          <w:u w:val="single"/>
          <w:lang w:val="en-US" w:eastAsia="zh-CN" w:bidi="ar"/>
        </w:rPr>
        <w:t>单位名称</w:t>
      </w:r>
      <w:r>
        <w:rPr>
          <w:rFonts w:hint="eastAsia" w:ascii="宋体" w:hAnsi="宋体" w:eastAsia="宋体" w:cs="宋体"/>
          <w:kern w:val="2"/>
          <w:sz w:val="24"/>
          <w:szCs w:val="24"/>
          <w:lang w:val="en-US" w:eastAsia="zh-CN" w:bidi="ar"/>
        </w:rPr>
        <w:t>）的（</w:t>
      </w:r>
      <w:r>
        <w:rPr>
          <w:rFonts w:hint="eastAsia" w:ascii="宋体" w:hAnsi="宋体" w:eastAsia="宋体" w:cs="宋体"/>
          <w:kern w:val="2"/>
          <w:sz w:val="24"/>
          <w:szCs w:val="24"/>
          <w:u w:val="single"/>
          <w:lang w:val="en-US" w:eastAsia="zh-CN" w:bidi="ar"/>
        </w:rPr>
        <w:t>项目名称</w:t>
      </w:r>
      <w:r>
        <w:rPr>
          <w:rFonts w:hint="eastAsia" w:ascii="宋体" w:hAnsi="宋体" w:eastAsia="宋体" w:cs="宋体"/>
          <w:kern w:val="2"/>
          <w:sz w:val="24"/>
          <w:szCs w:val="24"/>
          <w:lang w:val="en-US" w:eastAsia="zh-CN" w:bidi="ar"/>
        </w:rPr>
        <w:t>）采购活动，服务全部由符合政策要求的中小企业承接。相关企业的具体情况如下：</w:t>
      </w:r>
    </w:p>
    <w:p w14:paraId="7CAD9404">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1.（</w:t>
      </w:r>
      <w:r>
        <w:rPr>
          <w:rFonts w:hint="eastAsia" w:ascii="宋体" w:hAnsi="宋体" w:eastAsia="宋体" w:cs="宋体"/>
          <w:kern w:val="2"/>
          <w:sz w:val="24"/>
          <w:szCs w:val="24"/>
          <w:u w:val="single"/>
          <w:lang w:val="en-US" w:eastAsia="zh-CN" w:bidi="ar"/>
        </w:rPr>
        <w:t>标的名称</w:t>
      </w:r>
      <w:r>
        <w:rPr>
          <w:rFonts w:hint="eastAsia" w:ascii="宋体" w:hAnsi="宋体" w:eastAsia="宋体" w:cs="宋体"/>
          <w:kern w:val="2"/>
          <w:sz w:val="24"/>
          <w:szCs w:val="24"/>
          <w:lang w:val="en-US" w:eastAsia="zh-CN" w:bidi="ar"/>
        </w:rPr>
        <w:t>），属于（采购文件中明确的所属行业）；生产企业为（</w:t>
      </w:r>
      <w:r>
        <w:rPr>
          <w:rFonts w:hint="eastAsia" w:ascii="宋体" w:hAnsi="宋体" w:eastAsia="宋体" w:cs="宋体"/>
          <w:kern w:val="2"/>
          <w:sz w:val="24"/>
          <w:szCs w:val="24"/>
          <w:u w:val="single"/>
          <w:lang w:val="en-US" w:eastAsia="zh-CN" w:bidi="ar"/>
        </w:rPr>
        <w:t>企业名称</w:t>
      </w:r>
      <w:r>
        <w:rPr>
          <w:rFonts w:hint="eastAsia" w:ascii="宋体" w:hAnsi="宋体" w:eastAsia="宋体" w:cs="宋体"/>
          <w:kern w:val="2"/>
          <w:sz w:val="24"/>
          <w:szCs w:val="24"/>
          <w:lang w:val="en-US" w:eastAsia="zh-CN" w:bidi="ar"/>
        </w:rPr>
        <w:t>），从业人员</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人，营业收入为</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万元，资产总额为</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万元，属于（中型企业、小型企业、微型企业）；</w:t>
      </w:r>
    </w:p>
    <w:p w14:paraId="0B06B3F7">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w:t>
      </w:r>
    </w:p>
    <w:p w14:paraId="4AE880BC">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以上企业，不属于大企业的分支机构，不存在控股股东为大企业的情形，也不存在与大企业的负责人为同一人的情形。</w:t>
      </w:r>
    </w:p>
    <w:p w14:paraId="0CA4AB76">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本企业对上述声明内容的真实性负责。如有虚假，将依法承担相应责任。</w:t>
      </w:r>
    </w:p>
    <w:p w14:paraId="14E86CA3">
      <w:pPr>
        <w:keepNext w:val="0"/>
        <w:keepLines w:val="0"/>
        <w:widowControl w:val="0"/>
        <w:suppressLineNumbers w:val="0"/>
        <w:snapToGrid w:val="0"/>
        <w:spacing w:before="0" w:beforeAutospacing="0" w:after="0" w:afterAutospacing="0" w:line="500" w:lineRule="exact"/>
        <w:ind w:left="0" w:right="0" w:firstLine="6120" w:firstLineChars="255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 xml:space="preserve">企业名称（盖章）： </w:t>
      </w:r>
    </w:p>
    <w:p w14:paraId="1B79F3A0">
      <w:pPr>
        <w:keepNext w:val="0"/>
        <w:keepLines w:val="0"/>
        <w:widowControl w:val="0"/>
        <w:suppressLineNumbers w:val="0"/>
        <w:snapToGrid w:val="0"/>
        <w:spacing w:before="0" w:beforeAutospacing="0" w:after="0" w:afterAutospacing="0" w:line="500" w:lineRule="exact"/>
        <w:ind w:left="0" w:right="784" w:firstLine="6120" w:firstLineChars="255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日期：</w:t>
      </w:r>
    </w:p>
    <w:p w14:paraId="13A6D7CF">
      <w:pPr>
        <w:keepNext w:val="0"/>
        <w:keepLines w:val="0"/>
        <w:widowControl w:val="0"/>
        <w:suppressLineNumbers w:val="0"/>
        <w:tabs>
          <w:tab w:val="left" w:pos="6300"/>
        </w:tabs>
        <w:snapToGrid w:val="0"/>
        <w:spacing w:before="0" w:beforeAutospacing="0" w:after="0" w:afterAutospacing="0" w:line="500" w:lineRule="exact"/>
        <w:ind w:left="0" w:right="784" w:firstLine="6120" w:firstLineChars="2550"/>
        <w:jc w:val="both"/>
        <w:rPr>
          <w:rFonts w:hint="eastAsia" w:ascii="宋体" w:hAnsi="宋体" w:eastAsia="宋体" w:cs="宋体"/>
          <w:sz w:val="24"/>
          <w:szCs w:val="20"/>
          <w:lang w:val="en-US"/>
        </w:rPr>
      </w:pPr>
    </w:p>
    <w:p w14:paraId="2A051C03">
      <w:pPr>
        <w:tabs>
          <w:tab w:val="left" w:pos="6300"/>
        </w:tabs>
        <w:snapToGrid w:val="0"/>
        <w:spacing w:line="500" w:lineRule="exact"/>
        <w:ind w:right="784" w:firstLine="6120" w:firstLineChars="2550"/>
        <w:rPr>
          <w:rFonts w:ascii="宋体" w:hAnsi="宋体" w:eastAsia="宋体" w:cs="宋体"/>
          <w:sz w:val="24"/>
        </w:rPr>
      </w:pPr>
    </w:p>
    <w:p w14:paraId="6C1277F3">
      <w:pPr>
        <w:tabs>
          <w:tab w:val="left" w:pos="6300"/>
        </w:tabs>
        <w:snapToGrid w:val="0"/>
        <w:rPr>
          <w:rFonts w:ascii="宋体" w:hAnsi="宋体" w:eastAsia="宋体" w:cs="宋体"/>
          <w:sz w:val="24"/>
          <w:szCs w:val="28"/>
        </w:rPr>
      </w:pPr>
      <w:r>
        <w:rPr>
          <w:rFonts w:hint="eastAsia" w:ascii="宋体" w:hAnsi="宋体" w:eastAsia="宋体" w:cs="宋体"/>
          <w:sz w:val="24"/>
          <w:szCs w:val="28"/>
        </w:rPr>
        <w:t>填写时应注意以下事项：</w:t>
      </w:r>
    </w:p>
    <w:p w14:paraId="78A40829">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1.从业人员、营业收入、资产总额填报上一年度数据，无上一年度数据的新成立企业可不填报。</w:t>
      </w:r>
    </w:p>
    <w:p w14:paraId="0CDF784A">
      <w:pPr>
        <w:tabs>
          <w:tab w:val="left" w:pos="6300"/>
        </w:tabs>
        <w:snapToGrid w:val="0"/>
        <w:ind w:firstLine="422" w:firstLineChars="200"/>
        <w:rPr>
          <w:rFonts w:ascii="宋体" w:hAnsi="宋体" w:eastAsia="宋体" w:cs="宋体"/>
          <w:b/>
          <w:kern w:val="0"/>
          <w:sz w:val="21"/>
          <w:szCs w:val="21"/>
        </w:rPr>
      </w:pPr>
      <w:r>
        <w:rPr>
          <w:rFonts w:hint="eastAsia" w:ascii="宋体" w:hAnsi="宋体" w:eastAsia="宋体" w:cs="宋体"/>
          <w:b/>
          <w:kern w:val="0"/>
          <w:sz w:val="21"/>
          <w:szCs w:val="21"/>
        </w:rPr>
        <w:t>2.中小企业应当按照《中小企业划型标准规定》（工信部联企业〔2011〕300号），如实填写并提交《中小企业声明函》。</w:t>
      </w:r>
    </w:p>
    <w:p w14:paraId="345FE9C4">
      <w:pPr>
        <w:tabs>
          <w:tab w:val="left" w:pos="6300"/>
        </w:tabs>
        <w:snapToGrid w:val="0"/>
        <w:ind w:firstLine="422" w:firstLineChars="200"/>
        <w:rPr>
          <w:rFonts w:ascii="宋体" w:hAnsi="宋体" w:eastAsia="宋体" w:cs="宋体"/>
          <w:b/>
          <w:kern w:val="0"/>
          <w:sz w:val="21"/>
          <w:szCs w:val="21"/>
        </w:rPr>
      </w:pPr>
      <w:r>
        <w:rPr>
          <w:rFonts w:hint="eastAsia" w:ascii="宋体" w:hAnsi="宋体" w:eastAsia="宋体" w:cs="宋体"/>
          <w:b/>
          <w:kern w:val="0"/>
          <w:sz w:val="21"/>
          <w:szCs w:val="21"/>
        </w:rPr>
        <w:t>3.供应商填写《中小企业声明函》中所属行业时，应与采购文件第一篇“采购标的对应的中小企业划分标准所属行业”中填写的所属行业一致。</w:t>
      </w:r>
    </w:p>
    <w:p w14:paraId="33C7359B">
      <w:pPr>
        <w:tabs>
          <w:tab w:val="left" w:pos="6300"/>
        </w:tabs>
        <w:snapToGrid w:val="0"/>
        <w:ind w:firstLine="422" w:firstLineChars="200"/>
        <w:rPr>
          <w:rFonts w:ascii="宋体" w:hAnsi="宋体" w:eastAsia="宋体" w:cs="宋体"/>
          <w:b/>
          <w:kern w:val="0"/>
          <w:sz w:val="21"/>
          <w:szCs w:val="21"/>
        </w:rPr>
      </w:pPr>
      <w:r>
        <w:rPr>
          <w:rFonts w:hint="eastAsia" w:ascii="宋体" w:hAnsi="宋体" w:eastAsia="宋体" w:cs="宋体"/>
          <w:b/>
          <w:kern w:val="0"/>
          <w:sz w:val="21"/>
          <w:szCs w:val="21"/>
        </w:rPr>
        <w:t>4.本声明函“企业名称（盖章）”处为供应商盖章。</w:t>
      </w:r>
    </w:p>
    <w:p w14:paraId="33758FDE">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注：各行业划型标准：</w:t>
      </w:r>
    </w:p>
    <w:p w14:paraId="32692F3C">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（一）农、林、牧、渔业。营业收入20000万元以下的为中小微型企业。其中，营业收入500万元及以上的为中型企业，营业收入50万元及以上的为小型企业，营业收入50万元以下的为微型企业。</w:t>
      </w:r>
    </w:p>
    <w:p w14:paraId="207CAB53">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6120E30C">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14:paraId="46660270">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14:paraId="6D913FA1">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14:paraId="11AE8F1E">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14:paraId="77318CDA">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14:paraId="34861564">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14:paraId="1D27E650">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121A77C9">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4574942B">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14:paraId="08BC9998">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14:paraId="755DB2FA">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14:paraId="65161961">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14:paraId="58AFD22A">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14:paraId="4184C818">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（十六）其他未列明行业。从业人员300人以下的为中小微型企业。其中，从业人员100人及以上的为中型企业；从业人员10人及以上的为小型企业；从业人员10人以下的为微型企业。</w:t>
      </w:r>
    </w:p>
    <w:p w14:paraId="31323BD7">
      <w:pPr>
        <w:tabs>
          <w:tab w:val="left" w:pos="6300"/>
        </w:tabs>
        <w:snapToGrid w:val="0"/>
        <w:spacing w:line="500" w:lineRule="exact"/>
        <w:ind w:firstLine="560" w:firstLineChars="200"/>
        <w:jc w:val="center"/>
        <w:rPr>
          <w:rFonts w:ascii="宋体" w:hAnsi="宋体" w:eastAsia="宋体" w:cs="宋体"/>
          <w:sz w:val="24"/>
          <w:szCs w:val="24"/>
        </w:rPr>
      </w:pPr>
      <w:r>
        <w:rPr>
          <w:rFonts w:hint="eastAsia" w:ascii="宋体" w:hAnsi="宋体" w:eastAsia="宋体" w:cs="宋体"/>
        </w:rPr>
        <w:br w:type="page"/>
      </w:r>
      <w:r>
        <w:rPr>
          <w:rFonts w:hint="eastAsia" w:ascii="宋体" w:hAnsi="宋体" w:eastAsia="宋体" w:cs="宋体"/>
          <w:sz w:val="24"/>
          <w:szCs w:val="24"/>
        </w:rPr>
        <w:t>监狱企业证明文件</w:t>
      </w:r>
    </w:p>
    <w:p w14:paraId="60E9555B">
      <w:pPr>
        <w:tabs>
          <w:tab w:val="left" w:pos="6300"/>
        </w:tabs>
        <w:snapToGrid w:val="0"/>
        <w:spacing w:line="40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以省级以上监狱管理局、戒毒管理局（含新疆生产建设兵团）出具的属于监狱企业的证明文件为准。</w:t>
      </w:r>
    </w:p>
    <w:p w14:paraId="23BB7988">
      <w:pPr>
        <w:tabs>
          <w:tab w:val="left" w:pos="6300"/>
        </w:tabs>
        <w:snapToGrid w:val="0"/>
        <w:spacing w:line="400" w:lineRule="exact"/>
        <w:ind w:firstLine="560" w:firstLineChars="200"/>
        <w:jc w:val="center"/>
        <w:rPr>
          <w:rFonts w:ascii="宋体" w:hAnsi="宋体" w:eastAsia="宋体" w:cs="宋体"/>
          <w:sz w:val="24"/>
        </w:rPr>
      </w:pPr>
      <w:r>
        <w:rPr>
          <w:rFonts w:hint="eastAsia" w:ascii="宋体" w:hAnsi="宋体" w:eastAsia="宋体" w:cs="宋体"/>
        </w:rPr>
        <w:br w:type="page"/>
      </w:r>
      <w:r>
        <w:rPr>
          <w:rFonts w:hint="eastAsia" w:ascii="宋体" w:hAnsi="宋体" w:eastAsia="宋体" w:cs="宋体"/>
          <w:sz w:val="24"/>
        </w:rPr>
        <w:t>残疾人福利性单位声明函</w:t>
      </w:r>
    </w:p>
    <w:p w14:paraId="34C0544A">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5CFC1C49">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本单位对上述声明的真实性负责。如有虚假，将依法承担相应责任。</w:t>
      </w:r>
    </w:p>
    <w:p w14:paraId="0118AF51">
      <w:pPr>
        <w:tabs>
          <w:tab w:val="left" w:pos="6300"/>
        </w:tabs>
        <w:snapToGrid w:val="0"/>
        <w:spacing w:line="500" w:lineRule="exact"/>
        <w:ind w:firstLine="480" w:firstLineChars="200"/>
        <w:rPr>
          <w:rFonts w:ascii="宋体" w:hAnsi="宋体" w:eastAsia="宋体" w:cs="宋体"/>
          <w:sz w:val="24"/>
        </w:rPr>
      </w:pPr>
    </w:p>
    <w:p w14:paraId="01B52808">
      <w:pPr>
        <w:tabs>
          <w:tab w:val="left" w:pos="6300"/>
        </w:tabs>
        <w:snapToGrid w:val="0"/>
        <w:spacing w:line="500" w:lineRule="exact"/>
        <w:ind w:firstLine="480" w:firstLineChars="200"/>
        <w:rPr>
          <w:rFonts w:ascii="宋体" w:hAnsi="宋体" w:eastAsia="宋体" w:cs="宋体"/>
          <w:sz w:val="24"/>
        </w:rPr>
      </w:pPr>
    </w:p>
    <w:p w14:paraId="297D6DAA">
      <w:pPr>
        <w:tabs>
          <w:tab w:val="left" w:pos="6300"/>
        </w:tabs>
        <w:snapToGrid w:val="0"/>
        <w:spacing w:line="500" w:lineRule="exact"/>
        <w:ind w:firstLine="480" w:firstLineChars="200"/>
        <w:rPr>
          <w:rFonts w:ascii="宋体" w:hAnsi="宋体" w:eastAsia="宋体" w:cs="宋体"/>
          <w:sz w:val="24"/>
        </w:rPr>
      </w:pPr>
    </w:p>
    <w:p w14:paraId="05902DD8">
      <w:pPr>
        <w:tabs>
          <w:tab w:val="left" w:pos="6300"/>
        </w:tabs>
        <w:snapToGrid w:val="0"/>
        <w:spacing w:line="500" w:lineRule="exact"/>
        <w:ind w:firstLine="480" w:firstLineChars="200"/>
        <w:rPr>
          <w:rFonts w:ascii="宋体" w:hAnsi="宋体" w:eastAsia="宋体" w:cs="宋体"/>
          <w:sz w:val="24"/>
        </w:rPr>
      </w:pPr>
    </w:p>
    <w:p w14:paraId="0E396EBB">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 xml:space="preserve">                                                 供应商名称（盖章）：</w:t>
      </w:r>
    </w:p>
    <w:p w14:paraId="537B211D">
      <w:pPr>
        <w:tabs>
          <w:tab w:val="left" w:pos="6300"/>
        </w:tabs>
        <w:snapToGrid w:val="0"/>
        <w:spacing w:line="500" w:lineRule="exact"/>
        <w:ind w:firstLine="570"/>
        <w:jc w:val="left"/>
        <w:rPr>
          <w:rFonts w:ascii="宋体" w:hAnsi="宋体" w:eastAsia="宋体" w:cs="宋体"/>
          <w:sz w:val="24"/>
        </w:rPr>
      </w:pPr>
      <w:r>
        <w:rPr>
          <w:rFonts w:hint="eastAsia" w:ascii="宋体" w:hAnsi="宋体" w:eastAsia="宋体" w:cs="宋体"/>
          <w:sz w:val="24"/>
        </w:rPr>
        <w:t xml:space="preserve">                                                  日  期：</w:t>
      </w:r>
    </w:p>
    <w:p w14:paraId="27FB0309">
      <w:pPr>
        <w:tabs>
          <w:tab w:val="left" w:pos="6300"/>
        </w:tabs>
        <w:snapToGrid w:val="0"/>
        <w:spacing w:line="500" w:lineRule="exact"/>
        <w:ind w:firstLine="570"/>
        <w:jc w:val="left"/>
        <w:rPr>
          <w:rFonts w:ascii="宋体" w:hAnsi="宋体" w:eastAsia="宋体" w:cs="宋体"/>
          <w:sz w:val="24"/>
        </w:rPr>
      </w:pPr>
    </w:p>
    <w:p w14:paraId="6A714878">
      <w:pPr>
        <w:tabs>
          <w:tab w:val="left" w:pos="6300"/>
        </w:tabs>
        <w:snapToGrid w:val="0"/>
        <w:spacing w:line="500" w:lineRule="exact"/>
        <w:ind w:firstLine="570"/>
        <w:jc w:val="left"/>
        <w:rPr>
          <w:rFonts w:ascii="宋体" w:hAnsi="宋体" w:eastAsia="宋体" w:cs="宋体"/>
          <w:sz w:val="24"/>
        </w:rPr>
      </w:pPr>
    </w:p>
    <w:p w14:paraId="1373460B">
      <w:pPr>
        <w:tabs>
          <w:tab w:val="left" w:pos="6300"/>
        </w:tabs>
        <w:snapToGrid w:val="0"/>
        <w:spacing w:line="500" w:lineRule="exact"/>
        <w:ind w:firstLine="570"/>
        <w:jc w:val="left"/>
        <w:rPr>
          <w:rFonts w:ascii="宋体" w:hAnsi="宋体" w:eastAsia="宋体" w:cs="宋体"/>
          <w:sz w:val="24"/>
        </w:rPr>
      </w:pPr>
    </w:p>
    <w:p w14:paraId="432456C7">
      <w:pPr>
        <w:tabs>
          <w:tab w:val="left" w:pos="6300"/>
        </w:tabs>
        <w:snapToGrid w:val="0"/>
        <w:spacing w:line="500" w:lineRule="exact"/>
        <w:ind w:firstLine="570"/>
        <w:jc w:val="left"/>
        <w:rPr>
          <w:rFonts w:ascii="宋体" w:hAnsi="宋体" w:eastAsia="宋体" w:cs="宋体"/>
          <w:sz w:val="24"/>
        </w:rPr>
      </w:pPr>
    </w:p>
    <w:p w14:paraId="4D2D7760">
      <w:pPr>
        <w:tabs>
          <w:tab w:val="left" w:pos="6300"/>
        </w:tabs>
        <w:snapToGrid w:val="0"/>
        <w:spacing w:line="500" w:lineRule="exact"/>
        <w:ind w:firstLine="570"/>
        <w:jc w:val="left"/>
        <w:rPr>
          <w:rFonts w:ascii="宋体" w:hAnsi="宋体" w:eastAsia="宋体" w:cs="宋体"/>
          <w:sz w:val="24"/>
        </w:rPr>
      </w:pPr>
    </w:p>
    <w:p w14:paraId="78A7C64C">
      <w:pPr>
        <w:tabs>
          <w:tab w:val="left" w:pos="6300"/>
        </w:tabs>
        <w:snapToGrid w:val="0"/>
        <w:spacing w:line="500" w:lineRule="exact"/>
        <w:ind w:firstLine="570"/>
        <w:jc w:val="left"/>
        <w:rPr>
          <w:rFonts w:ascii="宋体" w:hAnsi="宋体" w:eastAsia="宋体" w:cs="宋体"/>
          <w:sz w:val="24"/>
        </w:rPr>
      </w:pPr>
    </w:p>
    <w:p w14:paraId="3BE3539B">
      <w:pPr>
        <w:tabs>
          <w:tab w:val="left" w:pos="6300"/>
        </w:tabs>
        <w:snapToGrid w:val="0"/>
        <w:spacing w:line="500" w:lineRule="exact"/>
        <w:ind w:firstLine="570"/>
        <w:jc w:val="left"/>
        <w:rPr>
          <w:rFonts w:ascii="宋体" w:hAnsi="宋体" w:eastAsia="宋体" w:cs="宋体"/>
          <w:sz w:val="24"/>
        </w:rPr>
      </w:pPr>
    </w:p>
    <w:p w14:paraId="032A6003">
      <w:pPr>
        <w:tabs>
          <w:tab w:val="left" w:pos="6300"/>
        </w:tabs>
        <w:snapToGrid w:val="0"/>
        <w:spacing w:line="500" w:lineRule="exact"/>
        <w:ind w:firstLine="570"/>
        <w:jc w:val="left"/>
        <w:rPr>
          <w:rFonts w:ascii="宋体" w:hAnsi="宋体" w:eastAsia="宋体" w:cs="宋体"/>
          <w:sz w:val="24"/>
        </w:rPr>
      </w:pPr>
    </w:p>
    <w:p w14:paraId="0B8E9160">
      <w:pPr>
        <w:tabs>
          <w:tab w:val="left" w:pos="6300"/>
        </w:tabs>
        <w:snapToGrid w:val="0"/>
        <w:spacing w:line="500" w:lineRule="exact"/>
        <w:ind w:firstLine="570"/>
        <w:jc w:val="left"/>
        <w:rPr>
          <w:rFonts w:ascii="宋体" w:hAnsi="宋体" w:eastAsia="宋体" w:cs="宋体"/>
          <w:sz w:val="24"/>
        </w:rPr>
      </w:pPr>
    </w:p>
    <w:p w14:paraId="7835A5AB">
      <w:pPr>
        <w:tabs>
          <w:tab w:val="left" w:pos="6300"/>
        </w:tabs>
        <w:snapToGrid w:val="0"/>
        <w:spacing w:line="500" w:lineRule="exact"/>
        <w:ind w:firstLine="570"/>
        <w:jc w:val="left"/>
        <w:rPr>
          <w:rFonts w:ascii="宋体" w:hAnsi="宋体" w:eastAsia="宋体" w:cs="宋体"/>
          <w:sz w:val="24"/>
        </w:rPr>
      </w:pPr>
    </w:p>
    <w:p w14:paraId="555F2B5F">
      <w:pPr>
        <w:tabs>
          <w:tab w:val="left" w:pos="6300"/>
        </w:tabs>
        <w:snapToGrid w:val="0"/>
        <w:spacing w:line="500" w:lineRule="exact"/>
        <w:ind w:firstLine="570"/>
        <w:jc w:val="left"/>
        <w:rPr>
          <w:rFonts w:ascii="宋体" w:hAnsi="宋体" w:eastAsia="宋体" w:cs="宋体"/>
          <w:sz w:val="24"/>
        </w:rPr>
      </w:pPr>
    </w:p>
    <w:p w14:paraId="3CD95192">
      <w:pPr>
        <w:tabs>
          <w:tab w:val="left" w:pos="6300"/>
        </w:tabs>
        <w:snapToGrid w:val="0"/>
        <w:spacing w:line="500" w:lineRule="exact"/>
        <w:ind w:firstLine="570"/>
        <w:jc w:val="left"/>
        <w:rPr>
          <w:rFonts w:ascii="宋体" w:hAnsi="宋体" w:eastAsia="宋体" w:cs="宋体"/>
        </w:rPr>
      </w:pPr>
      <w:r>
        <w:rPr>
          <w:rFonts w:hint="eastAsia" w:ascii="宋体" w:hAnsi="宋体" w:eastAsia="宋体" w:cs="宋体"/>
          <w:kern w:val="0"/>
          <w:sz w:val="24"/>
        </w:rPr>
        <w:t>若成交供应商为残疾人福利性单位的，将在结果公告时公告其《残疾人福利性单位声明函》。</w:t>
      </w:r>
    </w:p>
    <w:p w14:paraId="1220D1BA">
      <w:pPr>
        <w:widowControl/>
        <w:spacing w:line="400" w:lineRule="exact"/>
        <w:ind w:firstLine="560" w:firstLineChars="200"/>
        <w:jc w:val="left"/>
        <w:outlineLvl w:val="2"/>
        <w:rPr>
          <w:rFonts w:ascii="宋体" w:hAnsi="宋体" w:eastAsia="宋体" w:cs="宋体"/>
          <w:sz w:val="24"/>
          <w:szCs w:val="24"/>
        </w:rPr>
      </w:pPr>
      <w:r>
        <w:rPr>
          <w:rFonts w:hint="eastAsia" w:ascii="宋体" w:hAnsi="宋体" w:eastAsia="宋体" w:cs="宋体"/>
        </w:rPr>
        <w:br w:type="page"/>
      </w:r>
      <w:bookmarkStart w:id="427" w:name="_Toc132634095"/>
      <w:bookmarkStart w:id="428" w:name="_Toc26891"/>
      <w:bookmarkStart w:id="429" w:name="_Toc14599"/>
      <w:r>
        <w:rPr>
          <w:rFonts w:hint="eastAsia" w:ascii="宋体" w:hAnsi="宋体" w:eastAsia="宋体" w:cs="宋体"/>
          <w:sz w:val="24"/>
          <w:szCs w:val="24"/>
        </w:rPr>
        <w:t>（二）其他与项目有关的资料（自附）</w:t>
      </w:r>
      <w:bookmarkEnd w:id="427"/>
      <w:bookmarkEnd w:id="428"/>
      <w:bookmarkEnd w:id="429"/>
    </w:p>
    <w:p w14:paraId="4C1D68BE">
      <w:pPr>
        <w:spacing w:line="360" w:lineRule="auto"/>
        <w:ind w:firstLine="480" w:firstLineChars="200"/>
        <w:rPr>
          <w:rFonts w:ascii="宋体" w:hAnsi="宋体" w:eastAsia="宋体" w:cs="宋体"/>
          <w:sz w:val="24"/>
          <w:szCs w:val="24"/>
        </w:rPr>
      </w:pPr>
    </w:p>
    <w:p w14:paraId="6C0F7123">
      <w:pPr>
        <w:spacing w:line="360" w:lineRule="auto"/>
        <w:ind w:firstLine="480" w:firstLineChars="200"/>
        <w:jc w:val="center"/>
        <w:rPr>
          <w:rFonts w:ascii="宋体" w:hAnsi="宋体" w:eastAsia="宋体" w:cs="宋体"/>
          <w:sz w:val="24"/>
          <w:szCs w:val="24"/>
        </w:rPr>
      </w:pPr>
    </w:p>
    <w:p w14:paraId="16DB4C3F">
      <w:pPr>
        <w:spacing w:line="360" w:lineRule="auto"/>
        <w:rPr>
          <w:rFonts w:ascii="宋体" w:hAnsi="宋体" w:eastAsia="宋体" w:cs="宋体"/>
          <w:sz w:val="24"/>
          <w:szCs w:val="24"/>
        </w:rPr>
      </w:pPr>
    </w:p>
    <w:p w14:paraId="05C50208">
      <w:pPr>
        <w:spacing w:line="360" w:lineRule="auto"/>
        <w:ind w:firstLine="480" w:firstLineChars="200"/>
        <w:jc w:val="center"/>
        <w:rPr>
          <w:rFonts w:ascii="宋体" w:hAnsi="宋体" w:eastAsia="宋体" w:cs="宋体"/>
          <w:sz w:val="24"/>
          <w:szCs w:val="24"/>
        </w:rPr>
      </w:pPr>
    </w:p>
    <w:p w14:paraId="7E346CC3">
      <w:pPr>
        <w:spacing w:line="360" w:lineRule="auto"/>
        <w:ind w:firstLine="480" w:firstLineChars="200"/>
        <w:jc w:val="center"/>
        <w:rPr>
          <w:rFonts w:ascii="宋体" w:hAnsi="宋体" w:eastAsia="宋体" w:cs="宋体"/>
          <w:sz w:val="24"/>
          <w:szCs w:val="24"/>
        </w:rPr>
      </w:pPr>
      <w:r>
        <w:rPr>
          <w:rFonts w:hint="eastAsia" w:ascii="宋体" w:hAnsi="宋体" w:eastAsia="宋体" w:cs="宋体"/>
          <w:sz w:val="24"/>
          <w:szCs w:val="24"/>
        </w:rPr>
        <w:t>（结束）</w:t>
      </w:r>
    </w:p>
    <w:p w14:paraId="505C6EDC">
      <w:pPr>
        <w:pStyle w:val="22"/>
        <w:ind w:left="1600" w:hanging="480"/>
        <w:rPr>
          <w:rFonts w:ascii="宋体" w:hAnsi="宋体" w:eastAsia="宋体" w:cs="宋体"/>
        </w:rPr>
      </w:pPr>
    </w:p>
    <w:p w14:paraId="33AFD28C">
      <w:pPr>
        <w:spacing w:line="360" w:lineRule="auto"/>
        <w:ind w:firstLine="480" w:firstLineChars="200"/>
        <w:rPr>
          <w:rFonts w:ascii="宋体" w:hAnsi="宋体" w:eastAsia="宋体" w:cs="宋体"/>
          <w:sz w:val="24"/>
          <w:szCs w:val="24"/>
        </w:rPr>
      </w:pPr>
    </w:p>
    <w:p w14:paraId="3CEFE2AA"/>
    <w:p w14:paraId="62BE1D15"/>
    <w:p w14:paraId="0B0D2D11">
      <w:pPr>
        <w:rPr>
          <w:rFonts w:ascii="宋体" w:hAnsi="宋体" w:eastAsia="宋体" w:cs="宋体"/>
          <w:sz w:val="24"/>
          <w:szCs w:val="24"/>
        </w:rPr>
      </w:pPr>
    </w:p>
    <w:p w14:paraId="6727A1FD"/>
    <w:p w14:paraId="4B57D0A2"/>
    <w:p w14:paraId="0CFBFABC"/>
    <w:p w14:paraId="2D9CDFB1">
      <w:pPr>
        <w:rPr>
          <w:rFonts w:ascii="宋体" w:hAnsi="宋体" w:eastAsia="宋体" w:cs="宋体"/>
        </w:rPr>
      </w:pPr>
    </w:p>
    <w:p w14:paraId="6785F576">
      <w:pPr>
        <w:rPr>
          <w:rFonts w:ascii="宋体" w:hAnsi="宋体" w:eastAsia="宋体" w:cs="宋体"/>
        </w:rPr>
      </w:pPr>
    </w:p>
    <w:p w14:paraId="5C38854D">
      <w:pPr>
        <w:rPr>
          <w:rFonts w:ascii="宋体" w:hAnsi="宋体" w:eastAsia="宋体" w:cs="宋体"/>
        </w:rPr>
      </w:pPr>
    </w:p>
    <w:p w14:paraId="6C6502E7">
      <w:pPr>
        <w:rPr>
          <w:rFonts w:ascii="宋体" w:hAnsi="宋体" w:eastAsia="宋体" w:cs="宋体"/>
        </w:rPr>
      </w:pPr>
    </w:p>
    <w:p w14:paraId="1F349F02">
      <w:pPr>
        <w:rPr>
          <w:rFonts w:ascii="宋体" w:hAnsi="宋体" w:eastAsia="宋体" w:cs="宋体"/>
        </w:rPr>
      </w:pPr>
    </w:p>
    <w:p w14:paraId="1CB8C121">
      <w:pPr>
        <w:rPr>
          <w:rFonts w:ascii="宋体" w:hAnsi="宋体" w:eastAsia="宋体" w:cs="宋体"/>
        </w:rPr>
      </w:pPr>
    </w:p>
    <w:p w14:paraId="4A656126">
      <w:pPr>
        <w:rPr>
          <w:rFonts w:ascii="宋体" w:hAnsi="宋体" w:eastAsia="宋体" w:cs="宋体"/>
        </w:rPr>
      </w:pPr>
    </w:p>
    <w:p w14:paraId="10FC389C">
      <w:pPr>
        <w:rPr>
          <w:rFonts w:ascii="宋体" w:hAnsi="宋体" w:eastAsia="宋体" w:cs="宋体"/>
        </w:rPr>
      </w:pPr>
    </w:p>
    <w:p w14:paraId="04467BEC">
      <w:pPr>
        <w:rPr>
          <w:rFonts w:ascii="宋体" w:hAnsi="宋体" w:eastAsia="宋体" w:cs="宋体"/>
        </w:rPr>
      </w:pPr>
    </w:p>
    <w:p w14:paraId="7618F54A">
      <w:pPr>
        <w:pStyle w:val="44"/>
        <w:ind w:left="0" w:leftChars="0"/>
        <w:rPr>
          <w:rFonts w:ascii="宋体" w:hAnsi="宋体" w:eastAsia="宋体" w:cs="宋体"/>
        </w:rPr>
      </w:pPr>
    </w:p>
    <w:p w14:paraId="6B27C0C8">
      <w:pPr>
        <w:pStyle w:val="238"/>
        <w:ind w:left="480" w:hanging="480"/>
        <w:rPr>
          <w:rFonts w:ascii="宋体" w:hAnsi="宋体" w:eastAsia="宋体" w:cs="宋体"/>
        </w:rPr>
      </w:pPr>
      <w:r>
        <w:rPr>
          <w:rFonts w:hint="eastAsia" w:ascii="宋体" w:hAnsi="宋体" w:eastAsia="宋体" w:cs="宋体"/>
        </w:rPr>
        <w:br w:type="page"/>
      </w:r>
    </w:p>
    <w:p w14:paraId="5EAEA2AC">
      <w:pPr>
        <w:pStyle w:val="259"/>
        <w:ind w:left="0" w:leftChars="0" w:firstLine="321" w:firstLineChars="100"/>
        <w:jc w:val="both"/>
        <w:outlineLvl w:val="9"/>
        <w:rPr>
          <w:rFonts w:ascii="宋体" w:hAnsi="宋体" w:eastAsia="宋体" w:cs="宋体"/>
          <w:b w:val="0"/>
          <w:bCs/>
          <w:szCs w:val="32"/>
        </w:rPr>
      </w:pPr>
      <w:bookmarkStart w:id="430" w:name="_Toc13631"/>
      <w:bookmarkStart w:id="431" w:name="_Toc24142"/>
      <w:bookmarkStart w:id="432" w:name="_Toc24788"/>
      <w:bookmarkStart w:id="433" w:name="_Toc24805"/>
      <w:bookmarkStart w:id="434" w:name="_Toc31286"/>
      <w:r>
        <w:rPr>
          <w:rFonts w:hint="eastAsia" w:ascii="宋体" w:hAnsi="宋体" w:eastAsia="宋体" w:cs="宋体"/>
          <w:bCs/>
          <w:szCs w:val="24"/>
        </w:rPr>
        <w:t xml:space="preserve">附件 </w:t>
      </w:r>
      <w:r>
        <w:rPr>
          <w:rFonts w:hint="eastAsia" w:ascii="宋体" w:hAnsi="宋体" w:eastAsia="宋体" w:cs="宋体"/>
          <w:bCs/>
          <w:szCs w:val="32"/>
        </w:rPr>
        <w:t>重庆展辉招标代理有限公司采购文件发售登记表</w:t>
      </w:r>
      <w:bookmarkEnd w:id="430"/>
      <w:bookmarkEnd w:id="431"/>
      <w:bookmarkEnd w:id="432"/>
      <w:bookmarkEnd w:id="433"/>
      <w:bookmarkEnd w:id="434"/>
    </w:p>
    <w:p w14:paraId="3063E878">
      <w:pPr>
        <w:rPr>
          <w:rFonts w:ascii="宋体" w:hAnsi="宋体" w:eastAsia="宋体" w:cs="宋体"/>
        </w:rPr>
      </w:pPr>
    </w:p>
    <w:tbl>
      <w:tblPr>
        <w:tblStyle w:val="59"/>
        <w:tblW w:w="923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2"/>
        <w:gridCol w:w="2391"/>
        <w:gridCol w:w="1051"/>
        <w:gridCol w:w="3965"/>
      </w:tblGrid>
      <w:tr w14:paraId="36789D6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32" w:type="dxa"/>
            <w:vAlign w:val="center"/>
          </w:tcPr>
          <w:p w14:paraId="73347CC8">
            <w:pPr>
              <w:jc w:val="center"/>
              <w:rPr>
                <w:rFonts w:ascii="宋体" w:hAnsi="宋体" w:eastAsia="宋体" w:cs="宋体"/>
                <w:szCs w:val="21"/>
              </w:rPr>
            </w:pPr>
            <w:r>
              <w:rPr>
                <w:rFonts w:hint="eastAsia" w:ascii="宋体" w:hAnsi="宋体" w:eastAsia="宋体" w:cs="宋体"/>
                <w:szCs w:val="21"/>
              </w:rPr>
              <w:t>项目名称</w:t>
            </w:r>
          </w:p>
        </w:tc>
        <w:tc>
          <w:tcPr>
            <w:tcW w:w="7407" w:type="dxa"/>
            <w:gridSpan w:val="3"/>
            <w:vAlign w:val="center"/>
          </w:tcPr>
          <w:p w14:paraId="5EE42B40">
            <w:pPr>
              <w:jc w:val="center"/>
              <w:rPr>
                <w:rFonts w:ascii="宋体" w:hAnsi="宋体" w:eastAsia="宋体" w:cs="宋体"/>
                <w:szCs w:val="21"/>
              </w:rPr>
            </w:pPr>
          </w:p>
        </w:tc>
      </w:tr>
      <w:tr w14:paraId="305F1B2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832" w:type="dxa"/>
            <w:vAlign w:val="center"/>
          </w:tcPr>
          <w:p w14:paraId="4C034DD2">
            <w:pPr>
              <w:jc w:val="center"/>
              <w:rPr>
                <w:rFonts w:ascii="宋体" w:hAnsi="宋体" w:eastAsia="宋体" w:cs="宋体"/>
                <w:szCs w:val="21"/>
              </w:rPr>
            </w:pPr>
            <w:r>
              <w:rPr>
                <w:rFonts w:hint="eastAsia" w:ascii="宋体" w:hAnsi="宋体" w:eastAsia="宋体" w:cs="宋体"/>
                <w:szCs w:val="21"/>
              </w:rPr>
              <w:t>项目编号</w:t>
            </w:r>
          </w:p>
        </w:tc>
        <w:tc>
          <w:tcPr>
            <w:tcW w:w="7407" w:type="dxa"/>
            <w:gridSpan w:val="3"/>
            <w:vAlign w:val="center"/>
          </w:tcPr>
          <w:p w14:paraId="32326B52">
            <w:pPr>
              <w:spacing w:line="700" w:lineRule="exact"/>
              <w:jc w:val="center"/>
              <w:rPr>
                <w:rFonts w:ascii="宋体" w:hAnsi="宋体" w:eastAsia="宋体" w:cs="宋体"/>
                <w:szCs w:val="21"/>
              </w:rPr>
            </w:pPr>
          </w:p>
        </w:tc>
      </w:tr>
      <w:tr w14:paraId="5CE86B0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1832" w:type="dxa"/>
            <w:vAlign w:val="center"/>
          </w:tcPr>
          <w:p w14:paraId="7960ED67">
            <w:pPr>
              <w:jc w:val="center"/>
              <w:rPr>
                <w:rFonts w:ascii="宋体" w:hAnsi="宋体" w:eastAsia="宋体" w:cs="宋体"/>
                <w:szCs w:val="21"/>
              </w:rPr>
            </w:pPr>
            <w:r>
              <w:rPr>
                <w:rFonts w:hint="eastAsia" w:ascii="宋体" w:hAnsi="宋体" w:eastAsia="宋体" w:cs="宋体"/>
                <w:szCs w:val="21"/>
              </w:rPr>
              <w:t>供应商名称</w:t>
            </w:r>
          </w:p>
        </w:tc>
        <w:tc>
          <w:tcPr>
            <w:tcW w:w="7407" w:type="dxa"/>
            <w:gridSpan w:val="3"/>
            <w:vAlign w:val="center"/>
          </w:tcPr>
          <w:p w14:paraId="441069C8">
            <w:pPr>
              <w:ind w:firstLine="5040" w:firstLineChars="1800"/>
              <w:jc w:val="left"/>
              <w:rPr>
                <w:rFonts w:ascii="宋体" w:hAnsi="宋体" w:eastAsia="宋体" w:cs="宋体"/>
                <w:szCs w:val="21"/>
              </w:rPr>
            </w:pPr>
            <w:r>
              <w:rPr>
                <w:rFonts w:hint="eastAsia" w:ascii="宋体" w:hAnsi="宋体" w:eastAsia="宋体" w:cs="宋体"/>
                <w:szCs w:val="21"/>
              </w:rPr>
              <w:t>（供应商公章）</w:t>
            </w:r>
          </w:p>
        </w:tc>
      </w:tr>
      <w:tr w14:paraId="0F6A945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1832" w:type="dxa"/>
            <w:vAlign w:val="center"/>
          </w:tcPr>
          <w:p w14:paraId="1636C1A0">
            <w:pPr>
              <w:jc w:val="center"/>
              <w:rPr>
                <w:rFonts w:ascii="宋体" w:hAnsi="宋体" w:eastAsia="宋体" w:cs="宋体"/>
                <w:szCs w:val="21"/>
              </w:rPr>
            </w:pPr>
            <w:r>
              <w:rPr>
                <w:rFonts w:hint="eastAsia" w:ascii="宋体" w:hAnsi="宋体" w:eastAsia="宋体" w:cs="宋体"/>
                <w:szCs w:val="21"/>
              </w:rPr>
              <w:t>联系人</w:t>
            </w:r>
          </w:p>
        </w:tc>
        <w:tc>
          <w:tcPr>
            <w:tcW w:w="2391" w:type="dxa"/>
            <w:vAlign w:val="center"/>
          </w:tcPr>
          <w:p w14:paraId="1D1EA970">
            <w:pPr>
              <w:jc w:val="left"/>
              <w:rPr>
                <w:rFonts w:ascii="宋体" w:hAnsi="宋体" w:eastAsia="宋体" w:cs="宋体"/>
                <w:szCs w:val="21"/>
              </w:rPr>
            </w:pPr>
          </w:p>
        </w:tc>
        <w:tc>
          <w:tcPr>
            <w:tcW w:w="1051" w:type="dxa"/>
            <w:vAlign w:val="center"/>
          </w:tcPr>
          <w:p w14:paraId="1C84AD08">
            <w:pPr>
              <w:jc w:val="left"/>
              <w:rPr>
                <w:rFonts w:ascii="宋体" w:hAnsi="宋体" w:eastAsia="宋体" w:cs="宋体"/>
                <w:szCs w:val="21"/>
              </w:rPr>
            </w:pPr>
            <w:r>
              <w:rPr>
                <w:rFonts w:hint="eastAsia" w:ascii="宋体" w:hAnsi="宋体" w:eastAsia="宋体" w:cs="宋体"/>
                <w:szCs w:val="21"/>
              </w:rPr>
              <w:t>手机</w:t>
            </w:r>
          </w:p>
        </w:tc>
        <w:tc>
          <w:tcPr>
            <w:tcW w:w="3965" w:type="dxa"/>
            <w:vAlign w:val="center"/>
          </w:tcPr>
          <w:p w14:paraId="59477260">
            <w:pPr>
              <w:jc w:val="left"/>
              <w:rPr>
                <w:rFonts w:ascii="宋体" w:hAnsi="宋体" w:eastAsia="宋体" w:cs="宋体"/>
                <w:szCs w:val="21"/>
              </w:rPr>
            </w:pPr>
          </w:p>
        </w:tc>
      </w:tr>
      <w:tr w14:paraId="7D4C690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832" w:type="dxa"/>
            <w:vAlign w:val="center"/>
          </w:tcPr>
          <w:p w14:paraId="641AD829">
            <w:pPr>
              <w:jc w:val="center"/>
              <w:rPr>
                <w:rFonts w:ascii="宋体" w:hAnsi="宋体" w:eastAsia="宋体" w:cs="宋体"/>
                <w:szCs w:val="21"/>
              </w:rPr>
            </w:pPr>
            <w:r>
              <w:rPr>
                <w:rFonts w:hint="eastAsia" w:ascii="宋体" w:hAnsi="宋体" w:eastAsia="宋体" w:cs="宋体"/>
                <w:szCs w:val="21"/>
              </w:rPr>
              <w:t>办公电话</w:t>
            </w:r>
          </w:p>
        </w:tc>
        <w:tc>
          <w:tcPr>
            <w:tcW w:w="2391" w:type="dxa"/>
            <w:vAlign w:val="center"/>
          </w:tcPr>
          <w:p w14:paraId="140160AE">
            <w:pPr>
              <w:jc w:val="left"/>
              <w:rPr>
                <w:rFonts w:ascii="宋体" w:hAnsi="宋体" w:eastAsia="宋体" w:cs="宋体"/>
                <w:szCs w:val="21"/>
              </w:rPr>
            </w:pPr>
          </w:p>
        </w:tc>
        <w:tc>
          <w:tcPr>
            <w:tcW w:w="1051" w:type="dxa"/>
            <w:vAlign w:val="center"/>
          </w:tcPr>
          <w:p w14:paraId="7D36E76B">
            <w:pPr>
              <w:jc w:val="left"/>
              <w:rPr>
                <w:rFonts w:ascii="宋体" w:hAnsi="宋体" w:eastAsia="宋体" w:cs="宋体"/>
                <w:szCs w:val="21"/>
              </w:rPr>
            </w:pPr>
            <w:r>
              <w:rPr>
                <w:rFonts w:hint="eastAsia" w:ascii="宋体" w:hAnsi="宋体" w:eastAsia="宋体" w:cs="宋体"/>
                <w:szCs w:val="21"/>
              </w:rPr>
              <w:t>传真</w:t>
            </w:r>
          </w:p>
        </w:tc>
        <w:tc>
          <w:tcPr>
            <w:tcW w:w="3965" w:type="dxa"/>
            <w:vAlign w:val="center"/>
          </w:tcPr>
          <w:p w14:paraId="5ADBE38F">
            <w:pPr>
              <w:jc w:val="left"/>
              <w:rPr>
                <w:rFonts w:ascii="宋体" w:hAnsi="宋体" w:eastAsia="宋体" w:cs="宋体"/>
                <w:szCs w:val="21"/>
              </w:rPr>
            </w:pPr>
          </w:p>
        </w:tc>
      </w:tr>
      <w:tr w14:paraId="3D1C6E6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832" w:type="dxa"/>
            <w:vAlign w:val="center"/>
          </w:tcPr>
          <w:p w14:paraId="3B10AE97">
            <w:pPr>
              <w:jc w:val="center"/>
              <w:rPr>
                <w:rFonts w:ascii="宋体" w:hAnsi="宋体" w:eastAsia="宋体" w:cs="宋体"/>
                <w:szCs w:val="21"/>
              </w:rPr>
            </w:pPr>
            <w:r>
              <w:rPr>
                <w:rFonts w:hint="eastAsia" w:ascii="宋体" w:hAnsi="宋体" w:eastAsia="宋体" w:cs="宋体"/>
                <w:szCs w:val="21"/>
              </w:rPr>
              <w:t>E-mail</w:t>
            </w:r>
          </w:p>
        </w:tc>
        <w:tc>
          <w:tcPr>
            <w:tcW w:w="7407" w:type="dxa"/>
            <w:gridSpan w:val="3"/>
            <w:vAlign w:val="center"/>
          </w:tcPr>
          <w:p w14:paraId="3DD88D3D">
            <w:pPr>
              <w:jc w:val="left"/>
              <w:rPr>
                <w:rFonts w:ascii="宋体" w:hAnsi="宋体" w:eastAsia="宋体" w:cs="宋体"/>
                <w:szCs w:val="21"/>
              </w:rPr>
            </w:pPr>
          </w:p>
        </w:tc>
      </w:tr>
      <w:tr w14:paraId="65BCE1B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1832" w:type="dxa"/>
            <w:vAlign w:val="center"/>
          </w:tcPr>
          <w:p w14:paraId="718776EB">
            <w:pPr>
              <w:jc w:val="center"/>
              <w:rPr>
                <w:rFonts w:ascii="宋体" w:hAnsi="宋体" w:eastAsia="宋体" w:cs="宋体"/>
                <w:szCs w:val="21"/>
              </w:rPr>
            </w:pPr>
            <w:r>
              <w:rPr>
                <w:rFonts w:hint="eastAsia" w:ascii="宋体" w:hAnsi="宋体" w:eastAsia="宋体" w:cs="宋体"/>
                <w:szCs w:val="21"/>
              </w:rPr>
              <w:t>单位地址</w:t>
            </w:r>
          </w:p>
        </w:tc>
        <w:tc>
          <w:tcPr>
            <w:tcW w:w="7407" w:type="dxa"/>
            <w:gridSpan w:val="3"/>
            <w:vAlign w:val="center"/>
          </w:tcPr>
          <w:p w14:paraId="64863036">
            <w:pPr>
              <w:jc w:val="left"/>
              <w:rPr>
                <w:rFonts w:ascii="宋体" w:hAnsi="宋体" w:eastAsia="宋体" w:cs="宋体"/>
                <w:szCs w:val="21"/>
              </w:rPr>
            </w:pPr>
          </w:p>
        </w:tc>
      </w:tr>
    </w:tbl>
    <w:p w14:paraId="1567F655">
      <w:pPr>
        <w:ind w:firstLine="240" w:firstLineChars="100"/>
        <w:jc w:val="both"/>
        <w:rPr>
          <w:rFonts w:hint="eastAsia" w:ascii="宋体" w:hAnsi="宋体" w:eastAsia="宋体" w:cs="宋体"/>
          <w:szCs w:val="21"/>
        </w:rPr>
      </w:pPr>
      <w:r>
        <w:rPr>
          <w:rFonts w:hint="eastAsia" w:ascii="宋体" w:hAnsi="宋体" w:eastAsia="宋体" w:cs="宋体"/>
          <w:sz w:val="24"/>
          <w:szCs w:val="20"/>
        </w:rPr>
        <w:t>相关说明：在报名和采购文件发售期内供应商扫描二维码缴纳报名费，填写《重庆展辉招标代理有限公司采购文件发售登记表》，将发售登记表扫描件发送至邮箱404088077@qq.com，邮件主题为：项目名称+供应商单位名称报名资料。</w:t>
      </w:r>
    </w:p>
    <w:p w14:paraId="03477FA3">
      <w:pPr>
        <w:jc w:val="center"/>
        <w:rPr>
          <w:rFonts w:hint="eastAsia" w:ascii="宋体" w:hAnsi="宋体" w:cs="宋体"/>
          <w:sz w:val="24"/>
          <w:szCs w:val="22"/>
        </w:rPr>
      </w:pPr>
      <w:r>
        <w:rPr>
          <w:rFonts w:hint="eastAsia" w:ascii="宋体" w:hAnsi="宋体" w:cs="宋体"/>
          <w:sz w:val="24"/>
          <w:szCs w:val="22"/>
        </w:rPr>
        <w:drawing>
          <wp:anchor distT="0" distB="0" distL="114300" distR="114300" simplePos="0" relativeHeight="251659264" behindDoc="1" locked="0" layoutInCell="1" allowOverlap="1">
            <wp:simplePos x="0" y="0"/>
            <wp:positionH relativeFrom="column">
              <wp:posOffset>2004060</wp:posOffset>
            </wp:positionH>
            <wp:positionV relativeFrom="paragraph">
              <wp:posOffset>468630</wp:posOffset>
            </wp:positionV>
            <wp:extent cx="1515110" cy="1669415"/>
            <wp:effectExtent l="0" t="0" r="8890" b="6985"/>
            <wp:wrapNone/>
            <wp:docPr id="8" name="图片 1" descr="C:\Users\86159\Documents\WeChat Files\wxid_h6bezfz0rk5a12\FileStorage\Temp\16565551890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C:\Users\86159\Documents\WeChat Files\wxid_h6bezfz0rk5a12\FileStorage\Temp\1656555189016(1).png"/>
                    <pic:cNvPicPr>
                      <a:picLocks noChangeAspect="1"/>
                    </pic:cNvPicPr>
                  </pic:nvPicPr>
                  <pic:blipFill>
                    <a:blip r:embed="rId10"/>
                    <a:stretch>
                      <a:fillRect/>
                    </a:stretch>
                  </pic:blipFill>
                  <pic:spPr>
                    <a:xfrm>
                      <a:off x="0" y="0"/>
                      <a:ext cx="1515110" cy="1669415"/>
                    </a:xfrm>
                    <a:prstGeom prst="rect">
                      <a:avLst/>
                    </a:prstGeom>
                    <a:noFill/>
                    <a:ln>
                      <a:noFill/>
                    </a:ln>
                  </pic:spPr>
                </pic:pic>
              </a:graphicData>
            </a:graphic>
          </wp:anchor>
        </w:drawing>
      </w:r>
    </w:p>
    <w:p w14:paraId="0C0A22E0">
      <w:pPr>
        <w:spacing w:line="360" w:lineRule="auto"/>
        <w:ind w:firstLine="480" w:firstLineChars="200"/>
        <w:rPr>
          <w:rFonts w:hint="eastAsia" w:ascii="宋体" w:hAnsi="宋体" w:cs="宋体"/>
          <w:sz w:val="24"/>
        </w:rPr>
      </w:pPr>
    </w:p>
    <w:p w14:paraId="09753AFF">
      <w:pPr>
        <w:spacing w:line="360" w:lineRule="auto"/>
        <w:ind w:firstLine="482" w:firstLineChars="200"/>
        <w:jc w:val="center"/>
        <w:rPr>
          <w:rFonts w:ascii="宋体" w:hAnsi="宋体" w:eastAsia="宋体" w:cs="宋体"/>
          <w:b/>
          <w:sz w:val="24"/>
          <w:szCs w:val="24"/>
        </w:rPr>
      </w:pPr>
    </w:p>
    <w:sectPr>
      <w:pgSz w:w="11907" w:h="16840"/>
      <w:pgMar w:top="1134" w:right="1134" w:bottom="1134" w:left="1134" w:header="850" w:footer="850" w:gutter="0"/>
      <w:cols w:space="720" w:num="1"/>
      <w:docGrid w:linePitch="380" w:charSpace="-57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3"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86C50C7-B3C8-4881-8BB8-177AF3A03A27}"/>
  </w:font>
  <w:font w:name="Arial">
    <w:panose1 w:val="020B0604020202020204"/>
    <w:charset w:val="01"/>
    <w:family w:val="swiss"/>
    <w:pitch w:val="default"/>
    <w:sig w:usb0="E0002AFF" w:usb1="C0007843" w:usb2="00000009" w:usb3="00000000" w:csb0="400001FF" w:csb1="FFFF0000"/>
    <w:embedRegular r:id="rId2" w:fontKey="{5CC939F6-924F-475F-9965-766C6BD6CC24}"/>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62DEE775-7A75-4B27-947E-A5FE4010BF71}"/>
  </w:font>
  <w:font w:name="Symbol">
    <w:panose1 w:val="05050102010706020507"/>
    <w:charset w:val="02"/>
    <w:family w:val="roman"/>
    <w:pitch w:val="default"/>
    <w:sig w:usb0="00000000" w:usb1="00000000" w:usb2="00000000" w:usb3="00000000" w:csb0="80000000" w:csb1="00000000"/>
    <w:embedRegular r:id="rId4" w:fontKey="{C806930C-ADD9-4B2C-9842-B45E02CB73ED}"/>
  </w:font>
  <w:font w:name="Calibri">
    <w:panose1 w:val="020F0502020204030204"/>
    <w:charset w:val="00"/>
    <w:family w:val="swiss"/>
    <w:pitch w:val="default"/>
    <w:sig w:usb0="E00002FF" w:usb1="4000ACFF" w:usb2="00000001" w:usb3="00000000" w:csb0="2000019F" w:csb1="00000000"/>
    <w:embedRegular r:id="rId5" w:fontKey="{39B06173-8606-4ACE-8917-AD5B486577B6}"/>
  </w:font>
  <w:font w:name="微软雅黑">
    <w:panose1 w:val="020B0503020204020204"/>
    <w:charset w:val="86"/>
    <w:family w:val="swiss"/>
    <w:pitch w:val="default"/>
    <w:sig w:usb0="80000287" w:usb1="280F3C52" w:usb2="00000016" w:usb3="00000000" w:csb0="0004001F" w:csb1="00000000"/>
  </w:font>
  <w:font w:name="PMingLiU">
    <w:panose1 w:val="02020500000000000000"/>
    <w:charset w:val="88"/>
    <w:family w:val="auto"/>
    <w:pitch w:val="default"/>
    <w:sig w:usb0="A00002FF" w:usb1="28CFFCFA" w:usb2="00000016" w:usb3="00000000" w:csb0="00100001" w:csb1="00000000"/>
  </w:font>
  <w:font w:name="仿宋_GB2312">
    <w:panose1 w:val="02010609030101010101"/>
    <w:charset w:val="86"/>
    <w:family w:val="modern"/>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embedRegular r:id="rId6" w:fontKey="{D74D14B6-3496-4C36-8970-BCEB3538A482}"/>
  </w:font>
  <w:font w:name="昆仑楷体">
    <w:altName w:val="宋体"/>
    <w:panose1 w:val="00000000000000000000"/>
    <w:charset w:val="86"/>
    <w:family w:val="modern"/>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10006FF" w:usb1="4000205B" w:usb2="00000010" w:usb3="00000000" w:csb0="2000019F" w:csb1="00000000"/>
    <w:embedRegular r:id="rId7" w:fontKey="{EC7B999D-DF38-4C3C-A056-D4120FB10AE6}"/>
  </w:font>
  <w:font w:name="Tahoma">
    <w:panose1 w:val="020B0604030504040204"/>
    <w:charset w:val="00"/>
    <w:family w:val="swiss"/>
    <w:pitch w:val="default"/>
    <w:sig w:usb0="E1002EFF" w:usb1="C000605B" w:usb2="00000029" w:usb3="00000000" w:csb0="200101FF" w:csb1="20280000"/>
    <w:embedRegular r:id="rId8" w:fontKey="{97789A01-6DF9-4287-B09A-74A24BCB915D}"/>
  </w:font>
  <w:font w:name="文鼎粗黑">
    <w:altName w:val="新宋体"/>
    <w:panose1 w:val="00000000000000000000"/>
    <w:charset w:val="86"/>
    <w:family w:val="modern"/>
    <w:pitch w:val="default"/>
    <w:sig w:usb0="00000000" w:usb1="00000000" w:usb2="00000010" w:usb3="00000000" w:csb0="00040000" w:csb1="00000000"/>
  </w:font>
  <w:font w:name="新宋体">
    <w:panose1 w:val="02010609030101010101"/>
    <w:charset w:val="86"/>
    <w:family w:val="auto"/>
    <w:pitch w:val="default"/>
    <w:sig w:usb0="00000003" w:usb1="288F0000" w:usb2="00000006" w:usb3="00000000" w:csb0="00040001" w:csb1="00000000"/>
  </w:font>
  <w:font w:name="Helvetica Neue">
    <w:altName w:val="Times New Roman"/>
    <w:panose1 w:val="00000000000000000000"/>
    <w:charset w:val="00"/>
    <w:family w:val="auto"/>
    <w:pitch w:val="default"/>
    <w:sig w:usb0="00000000" w:usb1="00000000" w:usb2="00000010" w:usb3="00000000" w:csb0="00000000" w:csb1="00000000"/>
    <w:embedRegular r:id="rId9" w:fontKey="{E69F33BB-22CE-4ED6-8A80-05742414A606}"/>
  </w:font>
  <w:font w:name="方正黑体_GBK">
    <w:altName w:val="微软雅黑"/>
    <w:panose1 w:val="03000509000000000000"/>
    <w:charset w:val="86"/>
    <w:family w:val="auto"/>
    <w:pitch w:val="default"/>
    <w:sig w:usb0="00000000" w:usb1="00000000" w:usb2="00000000" w:usb3="00000000" w:csb0="00040000" w:csb1="00000000"/>
  </w:font>
  <w:font w:name="MingLiU_HKSCS">
    <w:panose1 w:val="02020500000000000000"/>
    <w:charset w:val="88"/>
    <w:family w:val="roman"/>
    <w:pitch w:val="default"/>
    <w:sig w:usb0="A00002FF" w:usb1="38CFFCFA" w:usb2="00000016" w:usb3="00000000" w:csb0="00100001" w:csb1="00000000"/>
    <w:embedRegular r:id="rId10" w:fontKey="{C2209277-15D8-43CF-829B-3C56801FDB5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0BA0E5">
    <w:pPr>
      <w:pStyle w:val="35"/>
      <w:tabs>
        <w:tab w:val="clear" w:pos="4153"/>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39A34F">
    <w:pPr>
      <w:pStyle w:val="35"/>
      <w:tabs>
        <w:tab w:val="clear" w:pos="4153"/>
      </w:tabs>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E8A6998">
                          <w:pPr>
                            <w:pStyle w:val="35"/>
                          </w:pPr>
                          <w:r>
                            <w:fldChar w:fldCharType="begin"/>
                          </w:r>
                          <w:r>
                            <w:instrText xml:space="preserve"> PAGE  \* MERGEFORMAT </w:instrText>
                          </w:r>
                          <w:r>
                            <w:fldChar w:fldCharType="separate"/>
                          </w:r>
                          <w:r>
                            <w:t>2</w:t>
                          </w:r>
                          <w:r>
                            <w:fldChar w:fldCharType="end"/>
                          </w:r>
                        </w:p>
                      </w:txbxContent>
                    </wps:txbx>
                    <wps:bodyPr wrap="none" lIns="0" tIns="0" rIns="0" bIns="0">
                      <a:spAutoFit/>
                    </wps:bodyPr>
                  </wps:wsp>
                </a:graphicData>
              </a:graphic>
            </wp:anchor>
          </w:drawing>
        </mc:Choice>
        <mc:Fallback>
          <w:pict>
            <v:shape id="文本框 1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IM4/TnCAQAAjgMAAA4AAAAAAAAAAQAgAAAAHgEAAGRycy9lMm9Eb2MueG1sUEsF&#10;BgAAAAAGAAYAWQEAAFIFAAAAAA==&#10;">
              <v:fill on="f" focussize="0,0"/>
              <v:stroke on="f"/>
              <v:imagedata o:title=""/>
              <o:lock v:ext="edit" aspectratio="f"/>
              <v:textbox inset="0mm,0mm,0mm,0mm" style="mso-fit-shape-to-text:t;">
                <w:txbxContent>
                  <w:p w14:paraId="5E8A6998">
                    <w:pPr>
                      <w:pStyle w:val="35"/>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4F34C0">
    <w:pPr>
      <w:pStyle w:val="35"/>
      <w:jc w:val="right"/>
      <w:rPr>
        <w:sz w:val="24"/>
        <w:szCs w:val="24"/>
      </w:rPr>
    </w:pPr>
    <w:r>
      <w:rPr>
        <w:sz w:val="24"/>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58AA02C">
                          <w:pPr>
                            <w:pStyle w:val="35"/>
                          </w:pPr>
                          <w:r>
                            <w:t xml:space="preserve">第 </w:t>
                          </w:r>
                          <w:r>
                            <w:fldChar w:fldCharType="begin"/>
                          </w:r>
                          <w:r>
                            <w:instrText xml:space="preserve"> PAGE  \* MERGEFORMAT </w:instrText>
                          </w:r>
                          <w:r>
                            <w:fldChar w:fldCharType="separate"/>
                          </w:r>
                          <w:r>
                            <w:t>21</w:t>
                          </w:r>
                          <w:r>
                            <w:fldChar w:fldCharType="end"/>
                          </w:r>
                          <w:r>
                            <w:t xml:space="preserve"> 页 共 </w:t>
                          </w:r>
                          <w:r>
                            <w:fldChar w:fldCharType="begin"/>
                          </w:r>
                          <w:r>
                            <w:instrText xml:space="preserve"> NUMPAGES  \* MERGEFORMAT </w:instrText>
                          </w:r>
                          <w:r>
                            <w:fldChar w:fldCharType="separate"/>
                          </w:r>
                          <w:r>
                            <w:t>44</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F+UJskBAACZAwAADgAAAGRycy9lMm9Eb2MueG1srVPNjtMwEL4j8Q6W&#10;79TZaoW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UX5QmyQEAAJkDAAAOAAAAAAAAAAEAIAAAAB4BAABkcnMvZTJvRG9j&#10;LnhtbFBLBQYAAAAABgAGAFkBAABZBQAAAAA=&#10;">
              <v:fill on="f" focussize="0,0"/>
              <v:stroke on="f"/>
              <v:imagedata o:title=""/>
              <o:lock v:ext="edit" aspectratio="f"/>
              <v:textbox inset="0mm,0mm,0mm,0mm" style="mso-fit-shape-to-text:t;">
                <w:txbxContent>
                  <w:p w14:paraId="458AA02C">
                    <w:pPr>
                      <w:pStyle w:val="35"/>
                    </w:pPr>
                    <w:r>
                      <w:t xml:space="preserve">第 </w:t>
                    </w:r>
                    <w:r>
                      <w:fldChar w:fldCharType="begin"/>
                    </w:r>
                    <w:r>
                      <w:instrText xml:space="preserve"> PAGE  \* MERGEFORMAT </w:instrText>
                    </w:r>
                    <w:r>
                      <w:fldChar w:fldCharType="separate"/>
                    </w:r>
                    <w:r>
                      <w:t>21</w:t>
                    </w:r>
                    <w:r>
                      <w:fldChar w:fldCharType="end"/>
                    </w:r>
                    <w:r>
                      <w:t xml:space="preserve"> 页 共 </w:t>
                    </w:r>
                    <w:r>
                      <w:fldChar w:fldCharType="begin"/>
                    </w:r>
                    <w:r>
                      <w:instrText xml:space="preserve"> NUMPAGES  \* MERGEFORMAT </w:instrText>
                    </w:r>
                    <w:r>
                      <w:fldChar w:fldCharType="separate"/>
                    </w:r>
                    <w:r>
                      <w:t>44</w:t>
                    </w:r>
                    <w:r>
                      <w:fldChar w:fldCharType="end"/>
                    </w:r>
                    <w: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382144">
    <w:pPr>
      <w:pStyle w:val="35"/>
      <w:jc w:val="right"/>
      <w:rPr>
        <w:sz w:val="24"/>
        <w:szCs w:val="24"/>
      </w:rPr>
    </w:pPr>
    <w:r>
      <w:rPr>
        <w:sz w:val="24"/>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7692158">
                          <w:pPr>
                            <w:pStyle w:val="35"/>
                          </w:pPr>
                          <w:r>
                            <w:fldChar w:fldCharType="begin"/>
                          </w:r>
                          <w:r>
                            <w:instrText xml:space="preserve"> PAGE  \* MERGEFORMAT </w:instrText>
                          </w:r>
                          <w:r>
                            <w:fldChar w:fldCharType="separate"/>
                          </w:r>
                          <w:r>
                            <w:t>8</w:t>
                          </w:r>
                          <w:r>
                            <w:fldChar w:fldCharType="end"/>
                          </w:r>
                        </w:p>
                      </w:txbxContent>
                    </wps:txbx>
                    <wps:bodyPr wrap="none" lIns="0" tIns="0" rIns="0" bIns="0">
                      <a:spAutoFit/>
                    </wps:bodyPr>
                  </wps:wsp>
                </a:graphicData>
              </a:graphic>
            </wp:anchor>
          </w:drawing>
        </mc:Choice>
        <mc:Fallback>
          <w:pict>
            <v:shape id="文本框 2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M+6MnbCAQAAjgMAAA4AAAAAAAAAAQAgAAAAHgEAAGRycy9lMm9Eb2MueG1sUEsF&#10;BgAAAAAGAAYAWQEAAFIFAAAAAA==&#10;">
              <v:fill on="f" focussize="0,0"/>
              <v:stroke on="f"/>
              <v:imagedata o:title=""/>
              <o:lock v:ext="edit" aspectratio="f"/>
              <v:textbox inset="0mm,0mm,0mm,0mm" style="mso-fit-shape-to-text:t;">
                <w:txbxContent>
                  <w:p w14:paraId="47692158">
                    <w:pPr>
                      <w:pStyle w:val="35"/>
                    </w:pPr>
                    <w:r>
                      <w:fldChar w:fldCharType="begin"/>
                    </w:r>
                    <w:r>
                      <w:instrText xml:space="preserve"> PAGE  \* MERGEFORMAT </w:instrText>
                    </w:r>
                    <w:r>
                      <w:fldChar w:fldCharType="separate"/>
                    </w:r>
                    <w:r>
                      <w:t>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12A2DB">
    <w:pPr>
      <w:pStyle w:val="36"/>
      <w:pBdr>
        <w:bottom w:val="single" w:color="auto" w:sz="4" w:space="0"/>
      </w:pBdr>
      <w:rPr>
        <w:rFonts w:ascii="宋体" w:hAnsi="宋体" w:eastAsia="宋体" w:cs="宋体"/>
      </w:rPr>
    </w:pPr>
    <w:r>
      <w:drawing>
        <wp:anchor distT="0" distB="0" distL="114300" distR="114300" simplePos="0" relativeHeight="251662336" behindDoc="0" locked="0" layoutInCell="1" allowOverlap="1">
          <wp:simplePos x="0" y="0"/>
          <wp:positionH relativeFrom="column">
            <wp:posOffset>210185</wp:posOffset>
          </wp:positionH>
          <wp:positionV relativeFrom="paragraph">
            <wp:posOffset>-116205</wp:posOffset>
          </wp:positionV>
          <wp:extent cx="342900" cy="280670"/>
          <wp:effectExtent l="0" t="0" r="0" b="5080"/>
          <wp:wrapSquare wrapText="bothSides"/>
          <wp:docPr id="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1"/>
                  <pic:cNvPicPr>
                    <a:picLocks noChangeAspect="1"/>
                  </pic:cNvPicPr>
                </pic:nvPicPr>
                <pic:blipFill>
                  <a:blip r:embed="rId1"/>
                  <a:stretch>
                    <a:fillRect/>
                  </a:stretch>
                </pic:blipFill>
                <pic:spPr>
                  <a:xfrm>
                    <a:off x="0" y="0"/>
                    <a:ext cx="342900" cy="280670"/>
                  </a:xfrm>
                  <a:prstGeom prst="rect">
                    <a:avLst/>
                  </a:prstGeom>
                  <a:noFill/>
                  <a:ln>
                    <a:noFill/>
                  </a:ln>
                </pic:spPr>
              </pic:pic>
            </a:graphicData>
          </a:graphic>
        </wp:anchor>
      </w:drawing>
    </w:r>
    <w:r>
      <w:rPr>
        <w:rFonts w:hint="eastAsia" w:ascii="宋体" w:hAnsi="宋体" w:eastAsia="宋体" w:cs="宋体"/>
        <w:b/>
        <w:sz w:val="21"/>
        <w:szCs w:val="21"/>
      </w:rPr>
      <w:t>重庆展辉招标代理有限公司                                     竞争性谈判文件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2BE06B">
    <w:pPr>
      <w:pStyle w:val="36"/>
    </w:pPr>
    <w:r>
      <w:rPr>
        <w:rFonts w:hint="eastAsia" w:ascii="宋体" w:hAnsi="宋体" w:eastAsia="宋体" w:cs="宋体"/>
      </w:rPr>
      <w:drawing>
        <wp:anchor distT="0" distB="0" distL="114300" distR="114300" simplePos="0" relativeHeight="251663360" behindDoc="0" locked="0" layoutInCell="1" allowOverlap="1">
          <wp:simplePos x="0" y="0"/>
          <wp:positionH relativeFrom="column">
            <wp:posOffset>6985</wp:posOffset>
          </wp:positionH>
          <wp:positionV relativeFrom="paragraph">
            <wp:posOffset>-78740</wp:posOffset>
          </wp:positionV>
          <wp:extent cx="342900" cy="280670"/>
          <wp:effectExtent l="0" t="0" r="0" b="5080"/>
          <wp:wrapSquare wrapText="bothSides"/>
          <wp:docPr id="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2"/>
                  <pic:cNvPicPr>
                    <a:picLocks noChangeAspect="1"/>
                  </pic:cNvPicPr>
                </pic:nvPicPr>
                <pic:blipFill>
                  <a:blip r:embed="rId1"/>
                  <a:stretch>
                    <a:fillRect/>
                  </a:stretch>
                </pic:blipFill>
                <pic:spPr>
                  <a:xfrm>
                    <a:off x="0" y="0"/>
                    <a:ext cx="342900" cy="280670"/>
                  </a:xfrm>
                  <a:prstGeom prst="rect">
                    <a:avLst/>
                  </a:prstGeom>
                  <a:noFill/>
                  <a:ln>
                    <a:noFill/>
                  </a:ln>
                </pic:spPr>
              </pic:pic>
            </a:graphicData>
          </a:graphic>
        </wp:anchor>
      </w:drawing>
    </w:r>
    <w:r>
      <w:rPr>
        <w:rFonts w:hint="eastAsia" w:ascii="宋体" w:hAnsi="宋体" w:eastAsia="宋体" w:cs="宋体"/>
        <w:sz w:val="24"/>
      </w:rPr>
      <w:t xml:space="preserve">重庆展辉招标代理有限公司                          </w:t>
    </w:r>
    <w:r>
      <w:rPr>
        <w:rFonts w:hint="eastAsia" w:ascii="宋体" w:hAnsi="宋体" w:eastAsia="宋体" w:cs="宋体"/>
        <w:sz w:val="24"/>
        <w:szCs w:val="24"/>
      </w:rPr>
      <w:t xml:space="preserve">    竞争性谈判文件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A"/>
    <w:multiLevelType w:val="singleLevel"/>
    <w:tmpl w:val="0000000A"/>
    <w:lvl w:ilvl="0" w:tentative="0">
      <w:start w:val="1"/>
      <w:numFmt w:val="decimal"/>
      <w:pStyle w:val="13"/>
      <w:lvlText w:val="%1."/>
      <w:lvlJc w:val="left"/>
      <w:pPr>
        <w:tabs>
          <w:tab w:val="left" w:pos="425"/>
        </w:tabs>
        <w:ind w:left="425" w:hanging="425"/>
      </w:pPr>
      <w:rPr>
        <w:rFonts w:hint="default"/>
      </w:rPr>
    </w:lvl>
  </w:abstractNum>
  <w:abstractNum w:abstractNumId="1">
    <w:nsid w:val="0000000C"/>
    <w:multiLevelType w:val="multilevel"/>
    <w:tmpl w:val="0000000C"/>
    <w:lvl w:ilvl="0" w:tentative="0">
      <w:start w:val="1"/>
      <w:numFmt w:val="bullet"/>
      <w:pStyle w:val="255"/>
      <w:lvlText w:val=""/>
      <w:lvlJc w:val="left"/>
      <w:pPr>
        <w:tabs>
          <w:tab w:val="left" w:pos="987"/>
        </w:tabs>
        <w:ind w:left="987" w:hanging="420"/>
      </w:pPr>
      <w:rPr>
        <w:rFonts w:hint="default" w:ascii="Wingdings" w:hAnsi="Wingdings"/>
      </w:rPr>
    </w:lvl>
    <w:lvl w:ilvl="1" w:tentative="0">
      <w:start w:val="1"/>
      <w:numFmt w:val="lowerLetter"/>
      <w:lvlText w:val="%2)"/>
      <w:lvlJc w:val="left"/>
      <w:pPr>
        <w:tabs>
          <w:tab w:val="left" w:pos="840"/>
        </w:tabs>
        <w:ind w:left="840" w:hanging="420"/>
      </w:pPr>
    </w:lvl>
    <w:lvl w:ilvl="2" w:tentative="0">
      <w:start w:val="1"/>
      <w:numFmt w:val="decimal"/>
      <w:lvlText w:val="%3、"/>
      <w:lvlJc w:val="left"/>
      <w:pPr>
        <w:tabs>
          <w:tab w:val="left" w:pos="1200"/>
        </w:tabs>
        <w:ind w:left="1200" w:hanging="360"/>
      </w:pPr>
      <w:rPr>
        <w:rFonts w:hint="eastAsia"/>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00000011"/>
    <w:multiLevelType w:val="singleLevel"/>
    <w:tmpl w:val="00000011"/>
    <w:lvl w:ilvl="0" w:tentative="0">
      <w:start w:val="1"/>
      <w:numFmt w:val="bullet"/>
      <w:lvlText w:val=""/>
      <w:lvlJc w:val="left"/>
      <w:pPr>
        <w:tabs>
          <w:tab w:val="left" w:pos="1620"/>
        </w:tabs>
        <w:ind w:left="1620" w:hanging="360"/>
      </w:pPr>
      <w:rPr>
        <w:rFonts w:hint="default" w:ascii="Wingdings" w:hAnsi="Wingdings"/>
      </w:rPr>
    </w:lvl>
  </w:abstractNum>
  <w:abstractNum w:abstractNumId="3">
    <w:nsid w:val="00000012"/>
    <w:multiLevelType w:val="singleLevel"/>
    <w:tmpl w:val="00000012"/>
    <w:lvl w:ilvl="0" w:tentative="0">
      <w:start w:val="1"/>
      <w:numFmt w:val="bullet"/>
      <w:pStyle w:val="27"/>
      <w:lvlText w:val=""/>
      <w:lvlJc w:val="left"/>
      <w:pPr>
        <w:tabs>
          <w:tab w:val="left" w:pos="780"/>
        </w:tabs>
        <w:ind w:left="780" w:hanging="360"/>
      </w:pPr>
      <w:rPr>
        <w:rFonts w:hint="default" w:ascii="Wingdings" w:hAnsi="Wingdings"/>
      </w:rPr>
    </w:lvl>
  </w:abstractNum>
  <w:abstractNum w:abstractNumId="4">
    <w:nsid w:val="00000014"/>
    <w:multiLevelType w:val="singleLevel"/>
    <w:tmpl w:val="00000014"/>
    <w:lvl w:ilvl="0" w:tentative="0">
      <w:start w:val="1"/>
      <w:numFmt w:val="bullet"/>
      <w:pStyle w:val="252"/>
      <w:lvlText w:val=""/>
      <w:lvlJc w:val="left"/>
      <w:pPr>
        <w:tabs>
          <w:tab w:val="left" w:pos="360"/>
        </w:tabs>
        <w:ind w:left="360" w:hanging="360"/>
      </w:pPr>
      <w:rPr>
        <w:rFonts w:hint="default" w:ascii="Wingdings" w:hAnsi="Wingdings"/>
      </w:rPr>
    </w:lvl>
  </w:abstractNum>
  <w:abstractNum w:abstractNumId="5">
    <w:nsid w:val="0000001A"/>
    <w:multiLevelType w:val="singleLevel"/>
    <w:tmpl w:val="0000001A"/>
    <w:lvl w:ilvl="0" w:tentative="0">
      <w:start w:val="1"/>
      <w:numFmt w:val="decimal"/>
      <w:pStyle w:val="121"/>
      <w:lvlText w:val="%1)"/>
      <w:lvlJc w:val="left"/>
      <w:pPr>
        <w:tabs>
          <w:tab w:val="left" w:pos="425"/>
        </w:tabs>
        <w:ind w:left="425" w:hanging="425"/>
      </w:pPr>
      <w:rPr>
        <w:rFonts w:hint="eastAsia"/>
      </w:rPr>
    </w:lvl>
  </w:abstractNum>
  <w:abstractNum w:abstractNumId="6">
    <w:nsid w:val="0000001C"/>
    <w:multiLevelType w:val="singleLevel"/>
    <w:tmpl w:val="0000001C"/>
    <w:lvl w:ilvl="0" w:tentative="0">
      <w:start w:val="1"/>
      <w:numFmt w:val="bullet"/>
      <w:pStyle w:val="21"/>
      <w:lvlText w:val=""/>
      <w:lvlJc w:val="left"/>
      <w:pPr>
        <w:tabs>
          <w:tab w:val="left" w:pos="1200"/>
        </w:tabs>
        <w:ind w:left="1200" w:hanging="360"/>
      </w:pPr>
      <w:rPr>
        <w:rFonts w:hint="default" w:ascii="Wingdings" w:hAnsi="Wingdings"/>
      </w:rPr>
    </w:lvl>
  </w:abstractNum>
  <w:abstractNum w:abstractNumId="7">
    <w:nsid w:val="0000001D"/>
    <w:multiLevelType w:val="multilevel"/>
    <w:tmpl w:val="0000001D"/>
    <w:lvl w:ilvl="0" w:tentative="0">
      <w:start w:val="1"/>
      <w:numFmt w:val="decimal"/>
      <w:pStyle w:val="227"/>
      <w:lvlText w:val="（%1）"/>
      <w:lvlJc w:val="left"/>
      <w:pPr>
        <w:tabs>
          <w:tab w:val="left" w:pos="1230"/>
        </w:tabs>
        <w:ind w:left="0" w:firstLine="510"/>
      </w:pPr>
      <w:rPr>
        <w:rFonts w:hint="default" w:ascii="Arial" w:hAnsi="Arial"/>
        <w:b w:val="0"/>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00001E"/>
    <w:multiLevelType w:val="singleLevel"/>
    <w:tmpl w:val="0000001E"/>
    <w:lvl w:ilvl="0" w:tentative="0">
      <w:start w:val="1"/>
      <w:numFmt w:val="decimal"/>
      <w:suff w:val="nothing"/>
      <w:lvlText w:val="%1、"/>
      <w:lvlJc w:val="left"/>
    </w:lvl>
  </w:abstractNum>
  <w:abstractNum w:abstractNumId="9">
    <w:nsid w:val="00000021"/>
    <w:multiLevelType w:val="multilevel"/>
    <w:tmpl w:val="00000021"/>
    <w:lvl w:ilvl="0" w:tentative="0">
      <w:start w:val="1"/>
      <w:numFmt w:val="bullet"/>
      <w:pStyle w:val="187"/>
      <w:lvlText w:val=""/>
      <w:lvlJc w:val="left"/>
      <w:pPr>
        <w:tabs>
          <w:tab w:val="left" w:pos="1644"/>
        </w:tabs>
        <w:ind w:left="1644" w:hanging="510"/>
      </w:pPr>
      <w:rPr>
        <w:rFonts w:hint="default" w:ascii="Wingdings" w:hAnsi="Wingdings"/>
        <w:color w:val="auto"/>
        <w:sz w:val="13"/>
        <w:u w:val="none"/>
      </w:rPr>
    </w:lvl>
    <w:lvl w:ilvl="1" w:tentative="0">
      <w:start w:val="1"/>
      <w:numFmt w:val="bullet"/>
      <w:lvlText w:val=""/>
      <w:lvlJc w:val="left"/>
      <w:pPr>
        <w:tabs>
          <w:tab w:val="left" w:pos="840"/>
        </w:tabs>
        <w:ind w:left="840" w:hanging="420"/>
      </w:pPr>
      <w:rPr>
        <w:rFonts w:hint="default" w:ascii="Wingdings" w:hAnsi="Wingdings"/>
        <w:color w:val="auto"/>
        <w:sz w:val="13"/>
        <w:u w:val="none"/>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
    <w:nsid w:val="00000022"/>
    <w:multiLevelType w:val="multilevel"/>
    <w:tmpl w:val="00000022"/>
    <w:lvl w:ilvl="0" w:tentative="0">
      <w:start w:val="1"/>
      <w:numFmt w:val="bullet"/>
      <w:pStyle w:val="163"/>
      <w:lvlText w:val=""/>
      <w:lvlJc w:val="left"/>
      <w:pPr>
        <w:tabs>
          <w:tab w:val="left" w:pos="540"/>
        </w:tabs>
        <w:ind w:left="540" w:firstLine="0"/>
      </w:pPr>
      <w:rPr>
        <w:rFonts w:hint="default" w:ascii="Wingdings" w:hAnsi="Wingdings"/>
        <w:sz w:val="16"/>
      </w:rPr>
    </w:lvl>
    <w:lvl w:ilvl="1" w:tentative="0">
      <w:start w:val="1"/>
      <w:numFmt w:val="bullet"/>
      <w:lvlText w:val=""/>
      <w:lvlJc w:val="left"/>
      <w:pPr>
        <w:tabs>
          <w:tab w:val="left" w:pos="1940"/>
        </w:tabs>
        <w:ind w:left="1940" w:hanging="420"/>
      </w:pPr>
      <w:rPr>
        <w:rFonts w:hint="default" w:ascii="Wingdings" w:hAnsi="Wingdings"/>
      </w:rPr>
    </w:lvl>
    <w:lvl w:ilvl="2" w:tentative="0">
      <w:start w:val="1"/>
      <w:numFmt w:val="bullet"/>
      <w:lvlText w:val=""/>
      <w:lvlJc w:val="left"/>
      <w:pPr>
        <w:tabs>
          <w:tab w:val="left" w:pos="2360"/>
        </w:tabs>
        <w:ind w:left="2360" w:hanging="420"/>
      </w:pPr>
      <w:rPr>
        <w:rFonts w:hint="default" w:ascii="Wingdings" w:hAnsi="Wingdings"/>
      </w:rPr>
    </w:lvl>
    <w:lvl w:ilvl="3" w:tentative="0">
      <w:start w:val="1"/>
      <w:numFmt w:val="bullet"/>
      <w:lvlText w:val=""/>
      <w:lvlJc w:val="left"/>
      <w:pPr>
        <w:tabs>
          <w:tab w:val="left" w:pos="2780"/>
        </w:tabs>
        <w:ind w:left="2780" w:hanging="420"/>
      </w:pPr>
      <w:rPr>
        <w:rFonts w:hint="default" w:ascii="Wingdings" w:hAnsi="Wingdings"/>
      </w:rPr>
    </w:lvl>
    <w:lvl w:ilvl="4" w:tentative="0">
      <w:start w:val="1"/>
      <w:numFmt w:val="bullet"/>
      <w:lvlText w:val=""/>
      <w:lvlJc w:val="left"/>
      <w:pPr>
        <w:tabs>
          <w:tab w:val="left" w:pos="3200"/>
        </w:tabs>
        <w:ind w:left="3200" w:hanging="420"/>
      </w:pPr>
      <w:rPr>
        <w:rFonts w:hint="default" w:ascii="Wingdings" w:hAnsi="Wingdings"/>
      </w:rPr>
    </w:lvl>
    <w:lvl w:ilvl="5" w:tentative="0">
      <w:start w:val="1"/>
      <w:numFmt w:val="bullet"/>
      <w:lvlText w:val=""/>
      <w:lvlJc w:val="left"/>
      <w:pPr>
        <w:tabs>
          <w:tab w:val="left" w:pos="3620"/>
        </w:tabs>
        <w:ind w:left="3620" w:hanging="420"/>
      </w:pPr>
      <w:rPr>
        <w:rFonts w:hint="default" w:ascii="Wingdings" w:hAnsi="Wingdings"/>
      </w:rPr>
    </w:lvl>
    <w:lvl w:ilvl="6" w:tentative="0">
      <w:start w:val="1"/>
      <w:numFmt w:val="bullet"/>
      <w:lvlText w:val=""/>
      <w:lvlJc w:val="left"/>
      <w:pPr>
        <w:tabs>
          <w:tab w:val="left" w:pos="4040"/>
        </w:tabs>
        <w:ind w:left="4040" w:hanging="420"/>
      </w:pPr>
      <w:rPr>
        <w:rFonts w:hint="default" w:ascii="Wingdings" w:hAnsi="Wingdings"/>
      </w:rPr>
    </w:lvl>
    <w:lvl w:ilvl="7" w:tentative="0">
      <w:start w:val="1"/>
      <w:numFmt w:val="bullet"/>
      <w:lvlText w:val=""/>
      <w:lvlJc w:val="left"/>
      <w:pPr>
        <w:tabs>
          <w:tab w:val="left" w:pos="4460"/>
        </w:tabs>
        <w:ind w:left="4460" w:hanging="420"/>
      </w:pPr>
      <w:rPr>
        <w:rFonts w:hint="default" w:ascii="Wingdings" w:hAnsi="Wingdings"/>
      </w:rPr>
    </w:lvl>
    <w:lvl w:ilvl="8" w:tentative="0">
      <w:start w:val="1"/>
      <w:numFmt w:val="bullet"/>
      <w:lvlText w:val=""/>
      <w:lvlJc w:val="left"/>
      <w:pPr>
        <w:tabs>
          <w:tab w:val="left" w:pos="4880"/>
        </w:tabs>
        <w:ind w:left="4880" w:hanging="420"/>
      </w:pPr>
      <w:rPr>
        <w:rFonts w:hint="default" w:ascii="Wingdings" w:hAnsi="Wingdings"/>
      </w:rPr>
    </w:lvl>
  </w:abstractNum>
  <w:abstractNum w:abstractNumId="11">
    <w:nsid w:val="00000023"/>
    <w:multiLevelType w:val="multilevel"/>
    <w:tmpl w:val="00000023"/>
    <w:lvl w:ilvl="0" w:tentative="0">
      <w:start w:val="1"/>
      <w:numFmt w:val="upperLetter"/>
      <w:pStyle w:val="228"/>
      <w:suff w:val="nothing"/>
      <w:lvlText w:val="附　录　%1"/>
      <w:lvlJc w:val="left"/>
      <w:pPr>
        <w:ind w:left="0" w:firstLine="0"/>
      </w:pPr>
      <w:rPr>
        <w:rFonts w:hint="eastAsia" w:ascii="黑体" w:hAnsi="Times New Roman" w:eastAsia="黑体"/>
        <w:b w:val="0"/>
        <w:i w:val="0"/>
        <w:sz w:val="21"/>
      </w:rPr>
    </w:lvl>
    <w:lvl w:ilvl="1" w:tentative="0">
      <w:start w:val="1"/>
      <w:numFmt w:val="decimal"/>
      <w:pStyle w:val="134"/>
      <w:suff w:val="nothing"/>
      <w:lvlText w:val="%1.%2　"/>
      <w:lvlJc w:val="left"/>
      <w:pPr>
        <w:ind w:left="21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2">
    <w:nsid w:val="00000024"/>
    <w:multiLevelType w:val="multilevel"/>
    <w:tmpl w:val="00000024"/>
    <w:lvl w:ilvl="0" w:tentative="0">
      <w:start w:val="1"/>
      <w:numFmt w:val="chineseCountingThousand"/>
      <w:pStyle w:val="185"/>
      <w:lvlText w:val="%1、"/>
      <w:lvlJc w:val="left"/>
      <w:pPr>
        <w:tabs>
          <w:tab w:val="left" w:pos="7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0000025"/>
    <w:multiLevelType w:val="multilevel"/>
    <w:tmpl w:val="00000025"/>
    <w:lvl w:ilvl="0" w:tentative="0">
      <w:start w:val="1"/>
      <w:numFmt w:val="chineseCountingThousand"/>
      <w:suff w:val="space"/>
      <w:lvlText w:val="第%1章"/>
      <w:lvlJc w:val="left"/>
      <w:pPr>
        <w:ind w:left="850" w:firstLine="0"/>
      </w:pPr>
      <w:rPr>
        <w:rFonts w:hint="default" w:ascii="Times New Roman" w:hAnsi="Times New Roman" w:eastAsia="宋体"/>
        <w:b/>
        <w:i w:val="0"/>
        <w:sz w:val="32"/>
      </w:rPr>
    </w:lvl>
    <w:lvl w:ilvl="1" w:tentative="0">
      <w:start w:val="1"/>
      <w:numFmt w:val="decimal"/>
      <w:pStyle w:val="203"/>
      <w:isLgl/>
      <w:suff w:val="space"/>
      <w:lvlText w:val="%1.%2"/>
      <w:lvlJc w:val="left"/>
      <w:pPr>
        <w:ind w:left="0" w:firstLine="0"/>
      </w:pPr>
      <w:rPr>
        <w:rFonts w:hint="default" w:ascii="Times New Roman" w:hAnsi="Times New Roman" w:eastAsia="宋体"/>
        <w:b/>
        <w:i w:val="0"/>
      </w:rPr>
    </w:lvl>
    <w:lvl w:ilvl="2" w:tentative="0">
      <w:start w:val="1"/>
      <w:numFmt w:val="decimal"/>
      <w:pStyle w:val="159"/>
      <w:isLgl/>
      <w:suff w:val="space"/>
      <w:lvlText w:val="%1.%2.%3"/>
      <w:lvlJc w:val="left"/>
      <w:pPr>
        <w:ind w:left="0" w:firstLine="0"/>
      </w:pPr>
      <w:rPr>
        <w:rFonts w:hint="default" w:ascii="Times New Roman" w:hAnsi="Times New Roman" w:eastAsia="宋体"/>
        <w:b/>
        <w:i w:val="0"/>
      </w:rPr>
    </w:lvl>
    <w:lvl w:ilvl="3" w:tentative="0">
      <w:start w:val="1"/>
      <w:numFmt w:val="decimal"/>
      <w:pStyle w:val="223"/>
      <w:isLgl/>
      <w:suff w:val="space"/>
      <w:lvlText w:val="%1.%2.%3.%4"/>
      <w:lvlJc w:val="left"/>
      <w:pPr>
        <w:ind w:left="0" w:firstLine="0"/>
      </w:pPr>
      <w:rPr>
        <w:rFonts w:hint="default" w:ascii="Times New Roman" w:hAnsi="Times New Roman" w:eastAsia="宋体"/>
        <w:b/>
        <w:i w:val="0"/>
      </w:rPr>
    </w:lvl>
    <w:lvl w:ilvl="4" w:tentative="0">
      <w:start w:val="1"/>
      <w:numFmt w:val="decimal"/>
      <w:isLgl/>
      <w:suff w:val="space"/>
      <w:lvlText w:val="%1.%2.%3.%4.%5"/>
      <w:lvlJc w:val="left"/>
      <w:pPr>
        <w:ind w:left="0" w:firstLine="0"/>
      </w:pPr>
      <w:rPr>
        <w:rFonts w:hint="default" w:ascii="Times New Roman" w:hAnsi="Times New Roman" w:eastAsia="宋体"/>
        <w:b/>
        <w:i w:val="0"/>
      </w:rPr>
    </w:lvl>
    <w:lvl w:ilvl="5" w:tentative="0">
      <w:start w:val="1"/>
      <w:numFmt w:val="decimal"/>
      <w:isLgl/>
      <w:suff w:val="space"/>
      <w:lvlText w:val="%1.%2.%3.%4.%5.%6"/>
      <w:lvlJc w:val="left"/>
      <w:pPr>
        <w:ind w:left="0" w:firstLine="0"/>
      </w:pPr>
      <w:rPr>
        <w:rFonts w:hint="default" w:ascii="Times New Roman" w:hAnsi="Times New Roman" w:eastAsia="宋体" w:cs="Times New Roman"/>
        <w:b/>
        <w:i w:val="0"/>
        <w:iCs w:val="0"/>
        <w:caps w:val="0"/>
        <w:smallCaps w:val="0"/>
        <w:strike w:val="0"/>
        <w:dstrike w:val="0"/>
        <w:vanish w:val="0"/>
        <w:color w:val="000000"/>
        <w:spacing w:val="0"/>
        <w:kern w:val="0"/>
        <w:position w:val="0"/>
        <w:u w:val="none"/>
        <w:vertAlign w:val="baseline"/>
      </w:rPr>
    </w:lvl>
    <w:lvl w:ilvl="6" w:tentative="0">
      <w:start w:val="1"/>
      <w:numFmt w:val="decimal"/>
      <w:lvlRestart w:val="1"/>
      <w:isLgl/>
      <w:suff w:val="space"/>
      <w:lvlText w:val="表%1-%7"/>
      <w:lvlJc w:val="left"/>
      <w:pPr>
        <w:ind w:left="0" w:firstLine="0"/>
      </w:pPr>
      <w:rPr>
        <w:rFonts w:hint="default" w:ascii="Times New Roman" w:hAnsi="Times New Roman" w:eastAsia="宋体"/>
        <w:b/>
        <w:i w:val="0"/>
      </w:rPr>
    </w:lvl>
    <w:lvl w:ilvl="7" w:tentative="0">
      <w:start w:val="1"/>
      <w:numFmt w:val="decimal"/>
      <w:lvlRestart w:val="1"/>
      <w:isLgl/>
      <w:suff w:val="space"/>
      <w:lvlText w:val="图%1-%8"/>
      <w:lvlJc w:val="left"/>
      <w:pPr>
        <w:ind w:left="0" w:firstLine="0"/>
      </w:pPr>
      <w:rPr>
        <w:rFonts w:hint="default" w:ascii="Times New Roman" w:hAnsi="Times New Roman" w:eastAsia="宋体"/>
        <w:b/>
        <w:i w:val="0"/>
      </w:rPr>
    </w:lvl>
    <w:lvl w:ilvl="8" w:tentative="0">
      <w:start w:val="1"/>
      <w:numFmt w:val="decimal"/>
      <w:lvlText w:val="%1.%2.%3.%4.%5.%6.%7.%8.%9."/>
      <w:lvlJc w:val="left"/>
      <w:pPr>
        <w:tabs>
          <w:tab w:val="left" w:pos="1959"/>
        </w:tabs>
        <w:ind w:left="1959" w:hanging="1559"/>
      </w:pPr>
      <w:rPr>
        <w:rFonts w:hint="eastAsia"/>
      </w:rPr>
    </w:lvl>
  </w:abstractNum>
  <w:num w:numId="1">
    <w:abstractNumId w:val="0"/>
  </w:num>
  <w:num w:numId="2">
    <w:abstractNumId w:val="6"/>
  </w:num>
  <w:num w:numId="3">
    <w:abstractNumId w:val="3"/>
  </w:num>
  <w:num w:numId="4">
    <w:abstractNumId w:val="5"/>
  </w:num>
  <w:num w:numId="5">
    <w:abstractNumId w:val="11"/>
  </w:num>
  <w:num w:numId="6">
    <w:abstractNumId w:val="2"/>
  </w:num>
  <w:num w:numId="7">
    <w:abstractNumId w:val="13"/>
  </w:num>
  <w:num w:numId="8">
    <w:abstractNumId w:val="10"/>
  </w:num>
  <w:num w:numId="9">
    <w:abstractNumId w:val="12"/>
  </w:num>
  <w:num w:numId="10">
    <w:abstractNumId w:val="9"/>
  </w:num>
  <w:num w:numId="11">
    <w:abstractNumId w:val="7"/>
  </w:num>
  <w:num w:numId="12">
    <w:abstractNumId w:val="4"/>
  </w:num>
  <w:num w:numId="13">
    <w:abstractNumId w:val="1"/>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1"/>
  <w:bordersDoNotSurroundFooter w:val="1"/>
  <w:gutterAtTop/>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26"/>
  <w:drawingGridVerticalSpacing w:val="196"/>
  <w:noPunctuationKerning w:val="1"/>
  <w:characterSpacingControl w:val="compressPunctuation"/>
  <w:doNotValidateAgainstSchema/>
  <w:doNotDemarcateInvalidXml/>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g1ZmNiYmI4YTFiY2I3MTk0MmU4MzZmZjY5ZGM3MjcifQ=="/>
  </w:docVars>
  <w:rsids>
    <w:rsidRoot w:val="00172A27"/>
    <w:rsid w:val="0000737E"/>
    <w:rsid w:val="000558BD"/>
    <w:rsid w:val="00112AF6"/>
    <w:rsid w:val="00117DDF"/>
    <w:rsid w:val="00122D9F"/>
    <w:rsid w:val="00172A27"/>
    <w:rsid w:val="001A7146"/>
    <w:rsid w:val="001D14A9"/>
    <w:rsid w:val="001D5056"/>
    <w:rsid w:val="0020700B"/>
    <w:rsid w:val="0022261A"/>
    <w:rsid w:val="00271893"/>
    <w:rsid w:val="00274FB6"/>
    <w:rsid w:val="002B37F9"/>
    <w:rsid w:val="002D18CA"/>
    <w:rsid w:val="003A5ECC"/>
    <w:rsid w:val="003E1A6E"/>
    <w:rsid w:val="003E491D"/>
    <w:rsid w:val="00404A41"/>
    <w:rsid w:val="00442D33"/>
    <w:rsid w:val="00472CD3"/>
    <w:rsid w:val="00477EC4"/>
    <w:rsid w:val="004A4878"/>
    <w:rsid w:val="005106DD"/>
    <w:rsid w:val="005553DA"/>
    <w:rsid w:val="00586B77"/>
    <w:rsid w:val="005A6212"/>
    <w:rsid w:val="005D15EF"/>
    <w:rsid w:val="005E3804"/>
    <w:rsid w:val="0060121A"/>
    <w:rsid w:val="006879A3"/>
    <w:rsid w:val="006B3E7C"/>
    <w:rsid w:val="006E7136"/>
    <w:rsid w:val="00763FAC"/>
    <w:rsid w:val="007C21E6"/>
    <w:rsid w:val="007C41C2"/>
    <w:rsid w:val="00862F8D"/>
    <w:rsid w:val="0086392F"/>
    <w:rsid w:val="0086747A"/>
    <w:rsid w:val="00870955"/>
    <w:rsid w:val="0096657E"/>
    <w:rsid w:val="00A8291E"/>
    <w:rsid w:val="00AC2AB1"/>
    <w:rsid w:val="00B3360A"/>
    <w:rsid w:val="00C042DE"/>
    <w:rsid w:val="00C45D7A"/>
    <w:rsid w:val="00C62F68"/>
    <w:rsid w:val="00C72B56"/>
    <w:rsid w:val="00C73E9F"/>
    <w:rsid w:val="00CC314E"/>
    <w:rsid w:val="00CC34D6"/>
    <w:rsid w:val="00CD34B3"/>
    <w:rsid w:val="00D22580"/>
    <w:rsid w:val="00D4168C"/>
    <w:rsid w:val="00D953A8"/>
    <w:rsid w:val="00DB6477"/>
    <w:rsid w:val="00DF3926"/>
    <w:rsid w:val="00E01B7F"/>
    <w:rsid w:val="00E0776E"/>
    <w:rsid w:val="00E41BA6"/>
    <w:rsid w:val="00EC543E"/>
    <w:rsid w:val="00FB1890"/>
    <w:rsid w:val="019B422F"/>
    <w:rsid w:val="02234499"/>
    <w:rsid w:val="03A21010"/>
    <w:rsid w:val="03A81DA8"/>
    <w:rsid w:val="03E43144"/>
    <w:rsid w:val="04205073"/>
    <w:rsid w:val="04340045"/>
    <w:rsid w:val="04D029C0"/>
    <w:rsid w:val="05281F35"/>
    <w:rsid w:val="07560CF2"/>
    <w:rsid w:val="09B77FD6"/>
    <w:rsid w:val="0A8A565F"/>
    <w:rsid w:val="0B46365F"/>
    <w:rsid w:val="0BA1676A"/>
    <w:rsid w:val="0D020DD4"/>
    <w:rsid w:val="0D520668"/>
    <w:rsid w:val="0FC86D10"/>
    <w:rsid w:val="0FCC6F32"/>
    <w:rsid w:val="101715A8"/>
    <w:rsid w:val="10A73B74"/>
    <w:rsid w:val="11095698"/>
    <w:rsid w:val="115029FE"/>
    <w:rsid w:val="11BE2265"/>
    <w:rsid w:val="150C2DE8"/>
    <w:rsid w:val="15615E07"/>
    <w:rsid w:val="160D64B1"/>
    <w:rsid w:val="166C1514"/>
    <w:rsid w:val="1741188A"/>
    <w:rsid w:val="175A173D"/>
    <w:rsid w:val="191956F2"/>
    <w:rsid w:val="19202001"/>
    <w:rsid w:val="19DF5160"/>
    <w:rsid w:val="1AFE06A2"/>
    <w:rsid w:val="1B2F3DE8"/>
    <w:rsid w:val="1B5B324C"/>
    <w:rsid w:val="1C165FD7"/>
    <w:rsid w:val="1D35171F"/>
    <w:rsid w:val="1F030D3D"/>
    <w:rsid w:val="202A4778"/>
    <w:rsid w:val="21F33093"/>
    <w:rsid w:val="21FD2EDB"/>
    <w:rsid w:val="223A2EF9"/>
    <w:rsid w:val="2265638C"/>
    <w:rsid w:val="22F21189"/>
    <w:rsid w:val="233951C8"/>
    <w:rsid w:val="24075D14"/>
    <w:rsid w:val="251013E6"/>
    <w:rsid w:val="26C600D6"/>
    <w:rsid w:val="26E61B95"/>
    <w:rsid w:val="27973C35"/>
    <w:rsid w:val="27F72D3D"/>
    <w:rsid w:val="29E406D2"/>
    <w:rsid w:val="2A9839A8"/>
    <w:rsid w:val="2BC96CE5"/>
    <w:rsid w:val="2D1D72BA"/>
    <w:rsid w:val="31E67B7A"/>
    <w:rsid w:val="3384280B"/>
    <w:rsid w:val="34104741"/>
    <w:rsid w:val="34153452"/>
    <w:rsid w:val="3428021F"/>
    <w:rsid w:val="3519651B"/>
    <w:rsid w:val="356F1CC4"/>
    <w:rsid w:val="366C3548"/>
    <w:rsid w:val="36AE5AD7"/>
    <w:rsid w:val="371C474A"/>
    <w:rsid w:val="39106737"/>
    <w:rsid w:val="391B3783"/>
    <w:rsid w:val="391E5271"/>
    <w:rsid w:val="39782A58"/>
    <w:rsid w:val="39C7078C"/>
    <w:rsid w:val="39D715F1"/>
    <w:rsid w:val="3AB43469"/>
    <w:rsid w:val="3B2D7683"/>
    <w:rsid w:val="3C822ED1"/>
    <w:rsid w:val="3CEA0006"/>
    <w:rsid w:val="3DB45BD7"/>
    <w:rsid w:val="3F206AAF"/>
    <w:rsid w:val="3F352A08"/>
    <w:rsid w:val="409210BF"/>
    <w:rsid w:val="411F44B6"/>
    <w:rsid w:val="426830D1"/>
    <w:rsid w:val="43676CE6"/>
    <w:rsid w:val="44114731"/>
    <w:rsid w:val="44752417"/>
    <w:rsid w:val="448E2F19"/>
    <w:rsid w:val="448E44AB"/>
    <w:rsid w:val="44E26D5D"/>
    <w:rsid w:val="455B10FB"/>
    <w:rsid w:val="465141D7"/>
    <w:rsid w:val="4657307C"/>
    <w:rsid w:val="47052850"/>
    <w:rsid w:val="475A7342"/>
    <w:rsid w:val="48F67923"/>
    <w:rsid w:val="49143DDC"/>
    <w:rsid w:val="492966C5"/>
    <w:rsid w:val="4DBD461A"/>
    <w:rsid w:val="4EA672A4"/>
    <w:rsid w:val="4EB54FC2"/>
    <w:rsid w:val="4EEF2BE4"/>
    <w:rsid w:val="4FE76EBC"/>
    <w:rsid w:val="51083D1B"/>
    <w:rsid w:val="51330BCB"/>
    <w:rsid w:val="51DF3B47"/>
    <w:rsid w:val="525B4282"/>
    <w:rsid w:val="52C20643"/>
    <w:rsid w:val="54050B5D"/>
    <w:rsid w:val="546A4AF9"/>
    <w:rsid w:val="5479682C"/>
    <w:rsid w:val="55BC78AC"/>
    <w:rsid w:val="55F23E87"/>
    <w:rsid w:val="56D41ACB"/>
    <w:rsid w:val="57E051E9"/>
    <w:rsid w:val="585956B1"/>
    <w:rsid w:val="5A67558D"/>
    <w:rsid w:val="5B6A0B50"/>
    <w:rsid w:val="5CC53214"/>
    <w:rsid w:val="5CCE30DB"/>
    <w:rsid w:val="5E8F01ED"/>
    <w:rsid w:val="5E956445"/>
    <w:rsid w:val="5F373FB3"/>
    <w:rsid w:val="5F3B2BDA"/>
    <w:rsid w:val="5FAF5E0A"/>
    <w:rsid w:val="60776A58"/>
    <w:rsid w:val="622A0980"/>
    <w:rsid w:val="63202519"/>
    <w:rsid w:val="639B51B4"/>
    <w:rsid w:val="661048BD"/>
    <w:rsid w:val="671D3D69"/>
    <w:rsid w:val="67254C17"/>
    <w:rsid w:val="68991EEC"/>
    <w:rsid w:val="696A1BFC"/>
    <w:rsid w:val="6B261F1F"/>
    <w:rsid w:val="6BFA077B"/>
    <w:rsid w:val="6C6B20B6"/>
    <w:rsid w:val="6CCE320C"/>
    <w:rsid w:val="6D5C5811"/>
    <w:rsid w:val="6DC14CB8"/>
    <w:rsid w:val="6E1124E5"/>
    <w:rsid w:val="6F57671E"/>
    <w:rsid w:val="6FF466C3"/>
    <w:rsid w:val="721B66BA"/>
    <w:rsid w:val="73195CC8"/>
    <w:rsid w:val="7357743A"/>
    <w:rsid w:val="74860C93"/>
    <w:rsid w:val="757979A6"/>
    <w:rsid w:val="75E06325"/>
    <w:rsid w:val="798A00E7"/>
    <w:rsid w:val="7A997E40"/>
    <w:rsid w:val="7BD127D4"/>
    <w:rsid w:val="7CAC2C4C"/>
    <w:rsid w:val="7D662008"/>
    <w:rsid w:val="7FE76A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微软雅黑" w:cs="Times New Roman"/>
      <w:kern w:val="2"/>
      <w:sz w:val="28"/>
      <w:lang w:val="en-US" w:eastAsia="zh-CN" w:bidi="ar-SA"/>
    </w:rPr>
  </w:style>
  <w:style w:type="paragraph" w:styleId="3">
    <w:name w:val="heading 1"/>
    <w:basedOn w:val="1"/>
    <w:next w:val="1"/>
    <w:qFormat/>
    <w:uiPriority w:val="0"/>
    <w:pPr>
      <w:keepNext/>
      <w:snapToGrid w:val="0"/>
      <w:spacing w:line="360" w:lineRule="atLeast"/>
      <w:outlineLvl w:val="0"/>
    </w:pPr>
    <w:rPr>
      <w:rFonts w:ascii="宋体"/>
    </w:rPr>
  </w:style>
  <w:style w:type="paragraph" w:styleId="4">
    <w:name w:val="heading 2"/>
    <w:basedOn w:val="1"/>
    <w:next w:val="1"/>
    <w:link w:val="71"/>
    <w:qFormat/>
    <w:uiPriority w:val="0"/>
    <w:pPr>
      <w:keepNext/>
      <w:keepLines/>
      <w:spacing w:before="260" w:after="260" w:line="413" w:lineRule="auto"/>
      <w:outlineLvl w:val="1"/>
    </w:pPr>
    <w:rPr>
      <w:rFonts w:ascii="Arial" w:hAnsi="Arial" w:eastAsia="黑体"/>
      <w:b/>
      <w:sz w:val="32"/>
    </w:rPr>
  </w:style>
  <w:style w:type="paragraph" w:styleId="5">
    <w:name w:val="heading 3"/>
    <w:basedOn w:val="1"/>
    <w:next w:val="1"/>
    <w:link w:val="72"/>
    <w:qFormat/>
    <w:uiPriority w:val="0"/>
    <w:pPr>
      <w:keepNext/>
      <w:keepLines/>
      <w:spacing w:before="260" w:after="260" w:line="413" w:lineRule="auto"/>
      <w:outlineLvl w:val="2"/>
    </w:pPr>
    <w:rPr>
      <w:rFonts w:eastAsia="宋体"/>
      <w:b/>
      <w:sz w:val="32"/>
    </w:rPr>
  </w:style>
  <w:style w:type="paragraph" w:styleId="2">
    <w:name w:val="heading 4"/>
    <w:basedOn w:val="1"/>
    <w:next w:val="1"/>
    <w:qFormat/>
    <w:uiPriority w:val="0"/>
    <w:pPr>
      <w:keepNext/>
      <w:keepLines/>
      <w:spacing w:before="280" w:after="290" w:line="372" w:lineRule="auto"/>
      <w:outlineLvl w:val="3"/>
    </w:pPr>
    <w:rPr>
      <w:rFonts w:ascii="Arial" w:hAnsi="Arial" w:eastAsia="黑体"/>
      <w:b/>
    </w:rPr>
  </w:style>
  <w:style w:type="paragraph" w:styleId="6">
    <w:name w:val="heading 5"/>
    <w:basedOn w:val="1"/>
    <w:next w:val="1"/>
    <w:qFormat/>
    <w:uiPriority w:val="0"/>
    <w:pPr>
      <w:keepNext/>
      <w:keepLines/>
      <w:tabs>
        <w:tab w:val="left" w:pos="2551"/>
      </w:tabs>
      <w:spacing w:before="280" w:after="290" w:line="372" w:lineRule="auto"/>
      <w:ind w:left="2551" w:hanging="850"/>
      <w:outlineLvl w:val="4"/>
    </w:pPr>
    <w:rPr>
      <w:b/>
    </w:rPr>
  </w:style>
  <w:style w:type="paragraph" w:styleId="7">
    <w:name w:val="heading 6"/>
    <w:basedOn w:val="1"/>
    <w:next w:val="1"/>
    <w:qFormat/>
    <w:uiPriority w:val="0"/>
    <w:pPr>
      <w:keepNext/>
      <w:keepLines/>
      <w:tabs>
        <w:tab w:val="left" w:pos="1152"/>
      </w:tabs>
      <w:adjustRightInd w:val="0"/>
      <w:snapToGrid w:val="0"/>
      <w:spacing w:before="240" w:after="64" w:line="317" w:lineRule="auto"/>
      <w:ind w:left="1152" w:hanging="1152"/>
      <w:outlineLvl w:val="5"/>
    </w:pPr>
    <w:rPr>
      <w:rFonts w:ascii="Arial" w:hAnsi="Arial" w:eastAsia="黑体"/>
      <w:b/>
      <w:sz w:val="24"/>
    </w:rPr>
  </w:style>
  <w:style w:type="paragraph" w:styleId="8">
    <w:name w:val="heading 7"/>
    <w:basedOn w:val="1"/>
    <w:next w:val="1"/>
    <w:qFormat/>
    <w:uiPriority w:val="0"/>
    <w:pPr>
      <w:keepNext/>
      <w:keepLines/>
      <w:tabs>
        <w:tab w:val="left" w:pos="1296"/>
      </w:tabs>
      <w:adjustRightInd w:val="0"/>
      <w:snapToGrid w:val="0"/>
      <w:spacing w:before="240" w:after="64" w:line="317" w:lineRule="auto"/>
      <w:ind w:left="1296" w:hanging="1296"/>
      <w:outlineLvl w:val="6"/>
    </w:pPr>
    <w:rPr>
      <w:rFonts w:ascii="Arial" w:hAnsi="Arial" w:eastAsia="黑体"/>
      <w:b/>
      <w:sz w:val="24"/>
    </w:rPr>
  </w:style>
  <w:style w:type="paragraph" w:styleId="9">
    <w:name w:val="heading 8"/>
    <w:basedOn w:val="1"/>
    <w:next w:val="1"/>
    <w:qFormat/>
    <w:uiPriority w:val="0"/>
    <w:pPr>
      <w:keepNext/>
      <w:keepLines/>
      <w:tabs>
        <w:tab w:val="left" w:pos="1440"/>
      </w:tabs>
      <w:adjustRightInd w:val="0"/>
      <w:snapToGrid w:val="0"/>
      <w:spacing w:before="240" w:after="64" w:line="317" w:lineRule="auto"/>
      <w:ind w:left="1440" w:hanging="1440"/>
      <w:outlineLvl w:val="7"/>
    </w:pPr>
    <w:rPr>
      <w:rFonts w:ascii="Arial" w:hAnsi="Arial" w:eastAsia="黑体"/>
      <w:b/>
      <w:sz w:val="24"/>
    </w:rPr>
  </w:style>
  <w:style w:type="paragraph" w:styleId="10">
    <w:name w:val="heading 9"/>
    <w:basedOn w:val="1"/>
    <w:next w:val="1"/>
    <w:qFormat/>
    <w:uiPriority w:val="0"/>
    <w:pPr>
      <w:keepNext/>
      <w:keepLines/>
      <w:tabs>
        <w:tab w:val="left" w:pos="1584"/>
      </w:tabs>
      <w:adjustRightInd w:val="0"/>
      <w:snapToGrid w:val="0"/>
      <w:spacing w:before="240" w:after="64" w:line="317" w:lineRule="auto"/>
      <w:ind w:left="1584" w:hanging="1584"/>
      <w:outlineLvl w:val="8"/>
    </w:pPr>
    <w:rPr>
      <w:rFonts w:ascii="Arial" w:hAnsi="Arial" w:eastAsia="黑体"/>
      <w:b/>
      <w:sz w:val="24"/>
    </w:rPr>
  </w:style>
  <w:style w:type="character" w:default="1" w:styleId="61">
    <w:name w:val="Default Paragraph Font"/>
    <w:semiHidden/>
    <w:unhideWhenUsed/>
    <w:qFormat/>
    <w:uiPriority w:val="1"/>
  </w:style>
  <w:style w:type="table" w:default="1" w:styleId="59">
    <w:name w:val="Normal Table"/>
    <w:semiHidden/>
    <w:unhideWhenUsed/>
    <w:qFormat/>
    <w:uiPriority w:val="99"/>
    <w:tblPr>
      <w:tblCellMar>
        <w:top w:w="0" w:type="dxa"/>
        <w:left w:w="108" w:type="dxa"/>
        <w:bottom w:w="0" w:type="dxa"/>
        <w:right w:w="108" w:type="dxa"/>
      </w:tblCellMar>
    </w:tblPr>
  </w:style>
  <w:style w:type="paragraph" w:styleId="11">
    <w:name w:val="List 3"/>
    <w:basedOn w:val="1"/>
    <w:qFormat/>
    <w:uiPriority w:val="0"/>
    <w:pPr>
      <w:adjustRightInd w:val="0"/>
      <w:snapToGrid w:val="0"/>
      <w:spacing w:line="360" w:lineRule="auto"/>
      <w:ind w:left="100" w:leftChars="400" w:hanging="200" w:hangingChars="200"/>
    </w:pPr>
    <w:rPr>
      <w:sz w:val="24"/>
    </w:rPr>
  </w:style>
  <w:style w:type="paragraph" w:styleId="12">
    <w:name w:val="toc 7"/>
    <w:basedOn w:val="1"/>
    <w:next w:val="1"/>
    <w:qFormat/>
    <w:uiPriority w:val="0"/>
    <w:pPr>
      <w:ind w:left="2520" w:leftChars="1200"/>
    </w:pPr>
  </w:style>
  <w:style w:type="paragraph" w:styleId="13">
    <w:name w:val="List Number 2"/>
    <w:basedOn w:val="1"/>
    <w:qFormat/>
    <w:uiPriority w:val="0"/>
    <w:pPr>
      <w:numPr>
        <w:ilvl w:val="0"/>
        <w:numId w:val="1"/>
      </w:numPr>
      <w:tabs>
        <w:tab w:val="left" w:pos="780"/>
        <w:tab w:val="clear" w:pos="425"/>
      </w:tabs>
      <w:spacing w:line="360" w:lineRule="auto"/>
    </w:pPr>
    <w:rPr>
      <w:sz w:val="24"/>
    </w:rPr>
  </w:style>
  <w:style w:type="paragraph" w:styleId="14">
    <w:name w:val="List Bullet 4"/>
    <w:basedOn w:val="1"/>
    <w:qFormat/>
    <w:uiPriority w:val="0"/>
    <w:pPr>
      <w:widowControl/>
      <w:tabs>
        <w:tab w:val="left" w:pos="1134"/>
      </w:tabs>
      <w:adjustRightInd w:val="0"/>
      <w:snapToGrid w:val="0"/>
      <w:spacing w:before="120" w:line="280" w:lineRule="atLeast"/>
      <w:ind w:left="1418" w:hanging="284"/>
      <w:jc w:val="left"/>
    </w:pPr>
    <w:rPr>
      <w:rFonts w:ascii="宋体"/>
      <w:kern w:val="0"/>
      <w:sz w:val="22"/>
    </w:rPr>
  </w:style>
  <w:style w:type="paragraph" w:styleId="15">
    <w:name w:val="Normal Indent"/>
    <w:basedOn w:val="1"/>
    <w:next w:val="1"/>
    <w:qFormat/>
    <w:uiPriority w:val="0"/>
    <w:pPr>
      <w:adjustRightInd w:val="0"/>
      <w:snapToGrid w:val="0"/>
      <w:spacing w:line="360" w:lineRule="auto"/>
      <w:ind w:firstLine="420"/>
    </w:pPr>
    <w:rPr>
      <w:sz w:val="24"/>
    </w:rPr>
  </w:style>
  <w:style w:type="paragraph" w:styleId="16">
    <w:name w:val="caption"/>
    <w:basedOn w:val="1"/>
    <w:next w:val="1"/>
    <w:qFormat/>
    <w:uiPriority w:val="0"/>
    <w:pPr>
      <w:widowControl/>
      <w:tabs>
        <w:tab w:val="left" w:pos="1134"/>
      </w:tabs>
      <w:adjustRightInd w:val="0"/>
      <w:snapToGrid w:val="0"/>
      <w:spacing w:line="280" w:lineRule="atLeast"/>
      <w:jc w:val="left"/>
    </w:pPr>
    <w:rPr>
      <w:rFonts w:eastAsia="PMingLiU"/>
      <w:b/>
      <w:kern w:val="0"/>
      <w:sz w:val="24"/>
      <w:lang w:eastAsia="zh-TW"/>
    </w:rPr>
  </w:style>
  <w:style w:type="paragraph" w:styleId="17">
    <w:name w:val="Document Map"/>
    <w:basedOn w:val="1"/>
    <w:qFormat/>
    <w:uiPriority w:val="0"/>
    <w:pPr>
      <w:shd w:val="clear" w:color="auto" w:fill="000080"/>
    </w:pPr>
  </w:style>
  <w:style w:type="paragraph" w:styleId="18">
    <w:name w:val="toa heading"/>
    <w:basedOn w:val="1"/>
    <w:next w:val="1"/>
    <w:qFormat/>
    <w:uiPriority w:val="0"/>
    <w:pPr>
      <w:spacing w:before="120"/>
    </w:pPr>
    <w:rPr>
      <w:rFonts w:ascii="Arial" w:hAnsi="Arial"/>
      <w:sz w:val="24"/>
    </w:rPr>
  </w:style>
  <w:style w:type="paragraph" w:styleId="19">
    <w:name w:val="annotation text"/>
    <w:basedOn w:val="1"/>
    <w:link w:val="73"/>
    <w:qFormat/>
    <w:uiPriority w:val="0"/>
    <w:pPr>
      <w:adjustRightInd w:val="0"/>
      <w:spacing w:line="360" w:lineRule="atLeast"/>
      <w:jc w:val="left"/>
      <w:textAlignment w:val="baseline"/>
    </w:pPr>
    <w:rPr>
      <w:sz w:val="24"/>
    </w:rPr>
  </w:style>
  <w:style w:type="paragraph" w:styleId="20">
    <w:name w:val="Body Text 3"/>
    <w:basedOn w:val="1"/>
    <w:qFormat/>
    <w:uiPriority w:val="0"/>
    <w:pPr>
      <w:adjustRightInd w:val="0"/>
      <w:snapToGrid w:val="0"/>
      <w:spacing w:after="120" w:line="360" w:lineRule="auto"/>
    </w:pPr>
    <w:rPr>
      <w:sz w:val="16"/>
    </w:rPr>
  </w:style>
  <w:style w:type="paragraph" w:styleId="21">
    <w:name w:val="List Bullet 3"/>
    <w:basedOn w:val="1"/>
    <w:qFormat/>
    <w:uiPriority w:val="0"/>
    <w:pPr>
      <w:numPr>
        <w:ilvl w:val="0"/>
        <w:numId w:val="2"/>
      </w:numPr>
      <w:adjustRightInd w:val="0"/>
      <w:snapToGrid w:val="0"/>
      <w:spacing w:line="360" w:lineRule="auto"/>
    </w:pPr>
    <w:rPr>
      <w:sz w:val="24"/>
    </w:rPr>
  </w:style>
  <w:style w:type="paragraph" w:styleId="22">
    <w:name w:val="Body Text"/>
    <w:basedOn w:val="1"/>
    <w:next w:val="1"/>
    <w:qFormat/>
    <w:uiPriority w:val="0"/>
    <w:rPr>
      <w:rFonts w:ascii="仿宋_GB2312" w:eastAsia="仿宋_GB2312"/>
      <w:sz w:val="32"/>
    </w:rPr>
  </w:style>
  <w:style w:type="paragraph" w:styleId="23">
    <w:name w:val="Body Text Indent"/>
    <w:basedOn w:val="1"/>
    <w:link w:val="74"/>
    <w:qFormat/>
    <w:uiPriority w:val="0"/>
    <w:pPr>
      <w:spacing w:line="700" w:lineRule="exact"/>
      <w:ind w:left="960"/>
    </w:pPr>
    <w:rPr>
      <w:sz w:val="44"/>
    </w:rPr>
  </w:style>
  <w:style w:type="paragraph" w:styleId="24">
    <w:name w:val="List Number 3"/>
    <w:basedOn w:val="1"/>
    <w:qFormat/>
    <w:uiPriority w:val="0"/>
    <w:pPr>
      <w:tabs>
        <w:tab w:val="left" w:pos="2120"/>
      </w:tabs>
      <w:adjustRightInd w:val="0"/>
      <w:snapToGrid w:val="0"/>
      <w:spacing w:line="360" w:lineRule="auto"/>
      <w:ind w:left="2120" w:hanging="720"/>
    </w:pPr>
    <w:rPr>
      <w:sz w:val="24"/>
    </w:rPr>
  </w:style>
  <w:style w:type="paragraph" w:styleId="25">
    <w:name w:val="List 2"/>
    <w:basedOn w:val="1"/>
    <w:qFormat/>
    <w:uiPriority w:val="0"/>
    <w:pPr>
      <w:adjustRightInd w:val="0"/>
      <w:snapToGrid w:val="0"/>
      <w:spacing w:line="360" w:lineRule="auto"/>
      <w:ind w:left="100" w:leftChars="200" w:hanging="200" w:hangingChars="200"/>
    </w:pPr>
    <w:rPr>
      <w:sz w:val="24"/>
    </w:rPr>
  </w:style>
  <w:style w:type="paragraph" w:styleId="26">
    <w:name w:val="List Continue"/>
    <w:basedOn w:val="1"/>
    <w:qFormat/>
    <w:uiPriority w:val="0"/>
    <w:pPr>
      <w:adjustRightInd w:val="0"/>
      <w:snapToGrid w:val="0"/>
      <w:spacing w:after="120" w:line="360" w:lineRule="auto"/>
      <w:ind w:left="420" w:leftChars="200"/>
    </w:pPr>
    <w:rPr>
      <w:sz w:val="24"/>
    </w:rPr>
  </w:style>
  <w:style w:type="paragraph" w:styleId="27">
    <w:name w:val="List Bullet 2"/>
    <w:basedOn w:val="1"/>
    <w:qFormat/>
    <w:uiPriority w:val="0"/>
    <w:pPr>
      <w:numPr>
        <w:ilvl w:val="0"/>
        <w:numId w:val="3"/>
      </w:numPr>
      <w:adjustRightInd w:val="0"/>
      <w:snapToGrid w:val="0"/>
      <w:spacing w:line="360" w:lineRule="auto"/>
    </w:pPr>
    <w:rPr>
      <w:sz w:val="24"/>
    </w:rPr>
  </w:style>
  <w:style w:type="paragraph" w:styleId="28">
    <w:name w:val="toc 5"/>
    <w:basedOn w:val="1"/>
    <w:next w:val="1"/>
    <w:qFormat/>
    <w:uiPriority w:val="0"/>
    <w:pPr>
      <w:ind w:left="1680" w:leftChars="800"/>
    </w:pPr>
  </w:style>
  <w:style w:type="paragraph" w:styleId="29">
    <w:name w:val="toc 3"/>
    <w:basedOn w:val="1"/>
    <w:next w:val="1"/>
    <w:qFormat/>
    <w:uiPriority w:val="39"/>
    <w:pPr>
      <w:ind w:left="840" w:leftChars="400"/>
    </w:pPr>
  </w:style>
  <w:style w:type="paragraph" w:styleId="30">
    <w:name w:val="Plain Text"/>
    <w:basedOn w:val="1"/>
    <w:link w:val="75"/>
    <w:qFormat/>
    <w:uiPriority w:val="0"/>
    <w:rPr>
      <w:rFonts w:ascii="宋体" w:hAnsi="Courier New"/>
      <w:sz w:val="21"/>
    </w:rPr>
  </w:style>
  <w:style w:type="paragraph" w:styleId="31">
    <w:name w:val="toc 8"/>
    <w:basedOn w:val="1"/>
    <w:next w:val="1"/>
    <w:qFormat/>
    <w:uiPriority w:val="0"/>
    <w:pPr>
      <w:ind w:left="2940" w:leftChars="1400"/>
    </w:pPr>
  </w:style>
  <w:style w:type="paragraph" w:styleId="32">
    <w:name w:val="Date"/>
    <w:basedOn w:val="1"/>
    <w:next w:val="1"/>
    <w:link w:val="76"/>
    <w:qFormat/>
    <w:uiPriority w:val="0"/>
  </w:style>
  <w:style w:type="paragraph" w:styleId="33">
    <w:name w:val="Body Text Indent 2"/>
    <w:basedOn w:val="1"/>
    <w:link w:val="77"/>
    <w:qFormat/>
    <w:uiPriority w:val="0"/>
    <w:pPr>
      <w:spacing w:after="120" w:line="480" w:lineRule="auto"/>
      <w:ind w:left="420" w:leftChars="200"/>
    </w:pPr>
  </w:style>
  <w:style w:type="paragraph" w:styleId="34">
    <w:name w:val="Balloon Text"/>
    <w:basedOn w:val="1"/>
    <w:qFormat/>
    <w:uiPriority w:val="0"/>
    <w:rPr>
      <w:sz w:val="18"/>
    </w:rPr>
  </w:style>
  <w:style w:type="paragraph" w:styleId="35">
    <w:name w:val="footer"/>
    <w:basedOn w:val="1"/>
    <w:link w:val="78"/>
    <w:qFormat/>
    <w:uiPriority w:val="0"/>
    <w:pPr>
      <w:tabs>
        <w:tab w:val="center" w:pos="4153"/>
        <w:tab w:val="right" w:pos="8306"/>
      </w:tabs>
      <w:snapToGrid w:val="0"/>
      <w:jc w:val="left"/>
    </w:pPr>
    <w:rPr>
      <w:sz w:val="18"/>
    </w:rPr>
  </w:style>
  <w:style w:type="paragraph" w:styleId="36">
    <w:name w:val="header"/>
    <w:basedOn w:val="1"/>
    <w:qFormat/>
    <w:uiPriority w:val="0"/>
    <w:pPr>
      <w:pBdr>
        <w:bottom w:val="single" w:color="auto" w:sz="6" w:space="1"/>
      </w:pBdr>
      <w:tabs>
        <w:tab w:val="center" w:pos="4153"/>
        <w:tab w:val="right" w:pos="8306"/>
      </w:tabs>
      <w:snapToGrid w:val="0"/>
      <w:jc w:val="center"/>
    </w:pPr>
    <w:rPr>
      <w:sz w:val="18"/>
    </w:rPr>
  </w:style>
  <w:style w:type="paragraph" w:styleId="37">
    <w:name w:val="toc 1"/>
    <w:basedOn w:val="1"/>
    <w:next w:val="1"/>
    <w:qFormat/>
    <w:uiPriority w:val="39"/>
    <w:pPr>
      <w:spacing w:line="180" w:lineRule="auto"/>
      <w:jc w:val="center"/>
    </w:pPr>
    <w:rPr>
      <w:sz w:val="30"/>
    </w:rPr>
  </w:style>
  <w:style w:type="paragraph" w:styleId="38">
    <w:name w:val="List Continue 4"/>
    <w:basedOn w:val="1"/>
    <w:qFormat/>
    <w:uiPriority w:val="0"/>
    <w:pPr>
      <w:adjustRightInd w:val="0"/>
      <w:snapToGrid w:val="0"/>
      <w:spacing w:after="120" w:line="360" w:lineRule="auto"/>
      <w:ind w:left="1680" w:leftChars="800"/>
    </w:pPr>
    <w:rPr>
      <w:sz w:val="24"/>
    </w:rPr>
  </w:style>
  <w:style w:type="paragraph" w:styleId="39">
    <w:name w:val="toc 4"/>
    <w:basedOn w:val="1"/>
    <w:next w:val="1"/>
    <w:qFormat/>
    <w:uiPriority w:val="0"/>
    <w:pPr>
      <w:ind w:left="1260" w:leftChars="600"/>
    </w:pPr>
  </w:style>
  <w:style w:type="paragraph" w:styleId="40">
    <w:name w:val="footnote text"/>
    <w:basedOn w:val="1"/>
    <w:link w:val="79"/>
    <w:qFormat/>
    <w:uiPriority w:val="0"/>
    <w:pPr>
      <w:spacing w:line="360" w:lineRule="auto"/>
    </w:pPr>
    <w:rPr>
      <w:sz w:val="18"/>
    </w:rPr>
  </w:style>
  <w:style w:type="paragraph" w:styleId="41">
    <w:name w:val="toc 6"/>
    <w:basedOn w:val="1"/>
    <w:next w:val="1"/>
    <w:qFormat/>
    <w:uiPriority w:val="0"/>
    <w:pPr>
      <w:ind w:left="2100" w:leftChars="1000"/>
    </w:pPr>
  </w:style>
  <w:style w:type="paragraph" w:styleId="42">
    <w:name w:val="List 5"/>
    <w:basedOn w:val="1"/>
    <w:qFormat/>
    <w:uiPriority w:val="0"/>
    <w:pPr>
      <w:adjustRightInd w:val="0"/>
      <w:snapToGrid w:val="0"/>
      <w:spacing w:line="360" w:lineRule="auto"/>
      <w:ind w:left="100" w:leftChars="800" w:hanging="200" w:hangingChars="200"/>
    </w:pPr>
    <w:rPr>
      <w:sz w:val="24"/>
    </w:rPr>
  </w:style>
  <w:style w:type="paragraph" w:styleId="43">
    <w:name w:val="Body Text Indent 3"/>
    <w:basedOn w:val="1"/>
    <w:qFormat/>
    <w:uiPriority w:val="0"/>
    <w:pPr>
      <w:spacing w:line="360" w:lineRule="auto"/>
      <w:ind w:firstLine="632"/>
    </w:pPr>
    <w:rPr>
      <w:rFonts w:ascii="黑体" w:eastAsia="黑体"/>
    </w:rPr>
  </w:style>
  <w:style w:type="paragraph" w:styleId="44">
    <w:name w:val="index 9"/>
    <w:basedOn w:val="1"/>
    <w:next w:val="1"/>
    <w:qFormat/>
    <w:uiPriority w:val="0"/>
    <w:pPr>
      <w:ind w:left="1600" w:leftChars="1600"/>
    </w:pPr>
  </w:style>
  <w:style w:type="paragraph" w:styleId="45">
    <w:name w:val="table of figures"/>
    <w:basedOn w:val="1"/>
    <w:next w:val="1"/>
    <w:qFormat/>
    <w:uiPriority w:val="0"/>
    <w:pPr>
      <w:tabs>
        <w:tab w:val="right" w:leader="dot" w:pos="8640"/>
      </w:tabs>
      <w:spacing w:line="360" w:lineRule="auto"/>
      <w:ind w:left="400" w:hanging="400"/>
    </w:pPr>
    <w:rPr>
      <w:sz w:val="24"/>
    </w:rPr>
  </w:style>
  <w:style w:type="paragraph" w:styleId="46">
    <w:name w:val="toc 2"/>
    <w:basedOn w:val="1"/>
    <w:next w:val="1"/>
    <w:qFormat/>
    <w:uiPriority w:val="39"/>
    <w:pPr>
      <w:ind w:left="420" w:leftChars="200"/>
      <w:jc w:val="left"/>
    </w:pPr>
    <w:rPr>
      <w:rFonts w:ascii="Times New Roman" w:hAnsi="Times New Roman" w:eastAsia="宋体"/>
    </w:rPr>
  </w:style>
  <w:style w:type="paragraph" w:styleId="47">
    <w:name w:val="toc 9"/>
    <w:basedOn w:val="1"/>
    <w:next w:val="1"/>
    <w:qFormat/>
    <w:uiPriority w:val="0"/>
    <w:pPr>
      <w:ind w:left="3360" w:leftChars="1600"/>
    </w:pPr>
  </w:style>
  <w:style w:type="paragraph" w:styleId="48">
    <w:name w:val="Body Text 2"/>
    <w:basedOn w:val="1"/>
    <w:qFormat/>
    <w:uiPriority w:val="0"/>
    <w:pPr>
      <w:adjustRightInd w:val="0"/>
      <w:snapToGrid w:val="0"/>
      <w:spacing w:after="120" w:line="480" w:lineRule="auto"/>
    </w:pPr>
    <w:rPr>
      <w:sz w:val="24"/>
    </w:rPr>
  </w:style>
  <w:style w:type="paragraph" w:styleId="49">
    <w:name w:val="List 4"/>
    <w:basedOn w:val="1"/>
    <w:qFormat/>
    <w:uiPriority w:val="0"/>
    <w:pPr>
      <w:adjustRightInd w:val="0"/>
      <w:snapToGrid w:val="0"/>
      <w:spacing w:line="360" w:lineRule="auto"/>
      <w:ind w:left="100" w:leftChars="600" w:hanging="200" w:hangingChars="200"/>
    </w:pPr>
    <w:rPr>
      <w:sz w:val="24"/>
    </w:rPr>
  </w:style>
  <w:style w:type="paragraph" w:styleId="50">
    <w:name w:val="List Continue 2"/>
    <w:basedOn w:val="1"/>
    <w:qFormat/>
    <w:uiPriority w:val="0"/>
    <w:pPr>
      <w:adjustRightInd w:val="0"/>
      <w:snapToGrid w:val="0"/>
      <w:spacing w:after="120" w:line="360" w:lineRule="auto"/>
      <w:ind w:left="840" w:leftChars="400"/>
    </w:pPr>
    <w:rPr>
      <w:sz w:val="24"/>
    </w:rPr>
  </w:style>
  <w:style w:type="paragraph" w:styleId="51">
    <w:name w:val="HTML Preformatted"/>
    <w:basedOn w:val="1"/>
    <w:link w:val="80"/>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sz w:val="24"/>
      <w:szCs w:val="24"/>
    </w:rPr>
  </w:style>
  <w:style w:type="paragraph" w:styleId="52">
    <w:name w:val="Normal (Web)"/>
    <w:basedOn w:val="1"/>
    <w:qFormat/>
    <w:uiPriority w:val="0"/>
    <w:pPr>
      <w:widowControl/>
      <w:spacing w:before="100" w:beforeAutospacing="1" w:after="100" w:afterAutospacing="1"/>
      <w:jc w:val="left"/>
    </w:pPr>
    <w:rPr>
      <w:rFonts w:ascii="宋体" w:hAnsi="宋体"/>
      <w:kern w:val="0"/>
      <w:sz w:val="24"/>
    </w:rPr>
  </w:style>
  <w:style w:type="paragraph" w:styleId="53">
    <w:name w:val="List Continue 3"/>
    <w:basedOn w:val="1"/>
    <w:qFormat/>
    <w:uiPriority w:val="0"/>
    <w:pPr>
      <w:adjustRightInd w:val="0"/>
      <w:snapToGrid w:val="0"/>
      <w:spacing w:after="120" w:line="360" w:lineRule="auto"/>
      <w:ind w:left="1260" w:leftChars="600"/>
    </w:pPr>
    <w:rPr>
      <w:sz w:val="24"/>
    </w:rPr>
  </w:style>
  <w:style w:type="paragraph" w:styleId="54">
    <w:name w:val="index 1"/>
    <w:basedOn w:val="1"/>
    <w:next w:val="1"/>
    <w:qFormat/>
    <w:uiPriority w:val="0"/>
    <w:pPr>
      <w:adjustRightInd w:val="0"/>
      <w:spacing w:line="240" w:lineRule="atLeast"/>
      <w:textAlignment w:val="baseline"/>
    </w:pPr>
    <w:rPr>
      <w:rFonts w:ascii="宋体"/>
      <w:kern w:val="0"/>
      <w:sz w:val="21"/>
    </w:rPr>
  </w:style>
  <w:style w:type="paragraph" w:styleId="55">
    <w:name w:val="Title"/>
    <w:basedOn w:val="1"/>
    <w:qFormat/>
    <w:uiPriority w:val="0"/>
    <w:pPr>
      <w:widowControl/>
      <w:spacing w:after="240" w:line="360" w:lineRule="auto"/>
      <w:jc w:val="center"/>
    </w:pPr>
    <w:rPr>
      <w:rFonts w:ascii="Arial" w:hAnsi="Arial"/>
      <w:b/>
      <w:smallCaps/>
      <w:kern w:val="28"/>
      <w:sz w:val="36"/>
      <w:lang w:eastAsia="en-US"/>
    </w:rPr>
  </w:style>
  <w:style w:type="paragraph" w:styleId="56">
    <w:name w:val="annotation subject"/>
    <w:basedOn w:val="19"/>
    <w:next w:val="19"/>
    <w:link w:val="81"/>
    <w:qFormat/>
    <w:uiPriority w:val="0"/>
    <w:pPr>
      <w:adjustRightInd/>
      <w:spacing w:line="240" w:lineRule="auto"/>
      <w:textAlignment w:val="auto"/>
    </w:pPr>
  </w:style>
  <w:style w:type="paragraph" w:styleId="57">
    <w:name w:val="Body Text First Indent"/>
    <w:basedOn w:val="1"/>
    <w:qFormat/>
    <w:uiPriority w:val="0"/>
    <w:pPr>
      <w:spacing w:line="360" w:lineRule="auto"/>
      <w:ind w:firstLine="420"/>
    </w:pPr>
    <w:rPr>
      <w:rFonts w:ascii="宋体" w:hAnsi="宋体"/>
      <w:sz w:val="24"/>
    </w:rPr>
  </w:style>
  <w:style w:type="paragraph" w:styleId="58">
    <w:name w:val="Body Text First Indent 2"/>
    <w:basedOn w:val="23"/>
    <w:next w:val="1"/>
    <w:link w:val="82"/>
    <w:qFormat/>
    <w:uiPriority w:val="0"/>
    <w:pPr>
      <w:spacing w:after="120" w:line="240" w:lineRule="auto"/>
      <w:ind w:left="420" w:leftChars="200" w:firstLine="420" w:firstLineChars="200"/>
    </w:pPr>
  </w:style>
  <w:style w:type="table" w:styleId="60">
    <w:name w:val="Table Grid"/>
    <w:basedOn w:val="5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2">
    <w:name w:val="Strong"/>
    <w:qFormat/>
    <w:uiPriority w:val="0"/>
    <w:rPr>
      <w:b/>
    </w:rPr>
  </w:style>
  <w:style w:type="character" w:styleId="63">
    <w:name w:val="page number"/>
    <w:qFormat/>
    <w:uiPriority w:val="0"/>
  </w:style>
  <w:style w:type="character" w:styleId="64">
    <w:name w:val="FollowedHyperlink"/>
    <w:qFormat/>
    <w:uiPriority w:val="0"/>
    <w:rPr>
      <w:color w:val="800080"/>
      <w:u w:val="single"/>
    </w:rPr>
  </w:style>
  <w:style w:type="character" w:styleId="65">
    <w:name w:val="Emphasis"/>
    <w:qFormat/>
    <w:uiPriority w:val="0"/>
    <w:rPr>
      <w:i/>
    </w:rPr>
  </w:style>
  <w:style w:type="character" w:styleId="66">
    <w:name w:val="Hyperlink"/>
    <w:qFormat/>
    <w:uiPriority w:val="99"/>
    <w:rPr>
      <w:color w:val="0000FF"/>
      <w:u w:val="single"/>
    </w:rPr>
  </w:style>
  <w:style w:type="character" w:styleId="67">
    <w:name w:val="annotation reference"/>
    <w:qFormat/>
    <w:uiPriority w:val="0"/>
    <w:rPr>
      <w:sz w:val="21"/>
      <w:szCs w:val="21"/>
    </w:rPr>
  </w:style>
  <w:style w:type="character" w:styleId="68">
    <w:name w:val="footnote reference"/>
    <w:qFormat/>
    <w:uiPriority w:val="0"/>
    <w:rPr>
      <w:position w:val="6"/>
      <w:sz w:val="14"/>
      <w:vertAlign w:val="superscript"/>
    </w:rPr>
  </w:style>
  <w:style w:type="paragraph" w:customStyle="1" w:styleId="69">
    <w:name w:val="Default"/>
    <w:next w:val="70"/>
    <w:qFormat/>
    <w:uiPriority w:val="0"/>
    <w:pPr>
      <w:widowControl w:val="0"/>
      <w:autoSpaceDE w:val="0"/>
      <w:autoSpaceDN w:val="0"/>
      <w:adjustRightInd w:val="0"/>
    </w:pPr>
    <w:rPr>
      <w:rFonts w:ascii="宋体" w:hAnsi="Calibri" w:eastAsia="微软雅黑" w:cs="Times New Roman"/>
      <w:color w:val="000000"/>
      <w:sz w:val="24"/>
      <w:lang w:val="en-US" w:eastAsia="zh-CN" w:bidi="ar-SA"/>
    </w:rPr>
  </w:style>
  <w:style w:type="paragraph" w:customStyle="1" w:styleId="70">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character" w:customStyle="1" w:styleId="71">
    <w:name w:val="标题 2 字符"/>
    <w:link w:val="4"/>
    <w:qFormat/>
    <w:uiPriority w:val="0"/>
    <w:rPr>
      <w:rFonts w:ascii="Arial" w:hAnsi="Arial" w:eastAsia="黑体"/>
      <w:b/>
      <w:kern w:val="2"/>
      <w:sz w:val="32"/>
    </w:rPr>
  </w:style>
  <w:style w:type="character" w:customStyle="1" w:styleId="72">
    <w:name w:val="标题 3 字符"/>
    <w:link w:val="5"/>
    <w:qFormat/>
    <w:uiPriority w:val="0"/>
    <w:rPr>
      <w:rFonts w:eastAsia="宋体"/>
      <w:b/>
      <w:kern w:val="2"/>
      <w:sz w:val="32"/>
      <w:lang w:val="en-US" w:eastAsia="zh-CN"/>
    </w:rPr>
  </w:style>
  <w:style w:type="character" w:customStyle="1" w:styleId="73">
    <w:name w:val="批注文字 字符"/>
    <w:link w:val="19"/>
    <w:qFormat/>
    <w:uiPriority w:val="0"/>
    <w:rPr>
      <w:sz w:val="24"/>
    </w:rPr>
  </w:style>
  <w:style w:type="character" w:customStyle="1" w:styleId="74">
    <w:name w:val="正文文本缩进 字符"/>
    <w:link w:val="23"/>
    <w:qFormat/>
    <w:uiPriority w:val="0"/>
    <w:rPr>
      <w:kern w:val="2"/>
      <w:sz w:val="44"/>
    </w:rPr>
  </w:style>
  <w:style w:type="character" w:customStyle="1" w:styleId="75">
    <w:name w:val="纯文本 字符"/>
    <w:link w:val="30"/>
    <w:qFormat/>
    <w:uiPriority w:val="0"/>
    <w:rPr>
      <w:rFonts w:ascii="宋体" w:hAnsi="Courier New"/>
      <w:kern w:val="2"/>
      <w:sz w:val="21"/>
    </w:rPr>
  </w:style>
  <w:style w:type="character" w:customStyle="1" w:styleId="76">
    <w:name w:val="日期 字符"/>
    <w:link w:val="32"/>
    <w:qFormat/>
    <w:uiPriority w:val="0"/>
    <w:rPr>
      <w:kern w:val="2"/>
      <w:sz w:val="28"/>
    </w:rPr>
  </w:style>
  <w:style w:type="character" w:customStyle="1" w:styleId="77">
    <w:name w:val="正文文本缩进 2 字符"/>
    <w:link w:val="33"/>
    <w:qFormat/>
    <w:uiPriority w:val="0"/>
    <w:rPr>
      <w:kern w:val="2"/>
      <w:sz w:val="28"/>
    </w:rPr>
  </w:style>
  <w:style w:type="character" w:customStyle="1" w:styleId="78">
    <w:name w:val="页脚 字符"/>
    <w:link w:val="35"/>
    <w:qFormat/>
    <w:uiPriority w:val="0"/>
    <w:rPr>
      <w:kern w:val="2"/>
      <w:sz w:val="18"/>
    </w:rPr>
  </w:style>
  <w:style w:type="character" w:customStyle="1" w:styleId="79">
    <w:name w:val="脚注文本 字符"/>
    <w:link w:val="40"/>
    <w:qFormat/>
    <w:uiPriority w:val="0"/>
    <w:rPr>
      <w:kern w:val="2"/>
      <w:sz w:val="18"/>
    </w:rPr>
  </w:style>
  <w:style w:type="character" w:customStyle="1" w:styleId="80">
    <w:name w:val="HTML 预设格式 字符"/>
    <w:link w:val="51"/>
    <w:qFormat/>
    <w:uiPriority w:val="0"/>
    <w:rPr>
      <w:rFonts w:ascii="宋体" w:hAnsi="宋体" w:cs="宋体"/>
      <w:sz w:val="24"/>
      <w:szCs w:val="24"/>
    </w:rPr>
  </w:style>
  <w:style w:type="character" w:customStyle="1" w:styleId="81">
    <w:name w:val="批注主题 字符"/>
    <w:link w:val="56"/>
    <w:qFormat/>
    <w:uiPriority w:val="0"/>
  </w:style>
  <w:style w:type="character" w:customStyle="1" w:styleId="82">
    <w:name w:val="正文首行缩进 2 字符"/>
    <w:link w:val="58"/>
    <w:qFormat/>
    <w:uiPriority w:val="0"/>
  </w:style>
  <w:style w:type="character" w:customStyle="1" w:styleId="83">
    <w:name w:val="Char Char11"/>
    <w:qFormat/>
    <w:uiPriority w:val="0"/>
    <w:rPr>
      <w:rFonts w:ascii="宋体"/>
      <w:kern w:val="2"/>
      <w:sz w:val="28"/>
    </w:rPr>
  </w:style>
  <w:style w:type="character" w:customStyle="1" w:styleId="84">
    <w:name w:val="content-white1"/>
    <w:qFormat/>
    <w:uiPriority w:val="0"/>
    <w:rPr>
      <w:color w:val="auto"/>
      <w:sz w:val="18"/>
      <w:u w:val="none"/>
    </w:rPr>
  </w:style>
  <w:style w:type="character" w:customStyle="1" w:styleId="85">
    <w:name w:val="Char Char4"/>
    <w:qFormat/>
    <w:uiPriority w:val="0"/>
    <w:rPr>
      <w:rFonts w:eastAsia="宋体"/>
      <w:b/>
      <w:kern w:val="2"/>
      <w:sz w:val="21"/>
      <w:lang w:val="en-US" w:eastAsia="zh-CN"/>
    </w:rPr>
  </w:style>
  <w:style w:type="character" w:customStyle="1" w:styleId="86">
    <w:name w:val="正文（GB2312加粗） Char Char"/>
    <w:link w:val="87"/>
    <w:qFormat/>
    <w:uiPriority w:val="0"/>
    <w:rPr>
      <w:rFonts w:eastAsia="仿宋_GB2312"/>
      <w:b/>
      <w:kern w:val="2"/>
      <w:sz w:val="24"/>
      <w:szCs w:val="24"/>
      <w:lang w:val="en-US" w:eastAsia="zh-CN" w:bidi="ar-SA"/>
    </w:rPr>
  </w:style>
  <w:style w:type="paragraph" w:customStyle="1" w:styleId="87">
    <w:name w:val="正文（GB2312加粗）"/>
    <w:link w:val="86"/>
    <w:qFormat/>
    <w:uiPriority w:val="0"/>
    <w:pPr>
      <w:ind w:firstLine="200" w:firstLineChars="200"/>
    </w:pPr>
    <w:rPr>
      <w:rFonts w:ascii="Times New Roman" w:hAnsi="Times New Roman" w:eastAsia="仿宋_GB2312" w:cs="Times New Roman"/>
      <w:b/>
      <w:kern w:val="2"/>
      <w:sz w:val="24"/>
      <w:szCs w:val="24"/>
      <w:lang w:val="en-US" w:eastAsia="zh-CN" w:bidi="ar-SA"/>
    </w:rPr>
  </w:style>
  <w:style w:type="character" w:customStyle="1" w:styleId="88">
    <w:name w:val="Char Char3"/>
    <w:qFormat/>
    <w:uiPriority w:val="0"/>
    <w:rPr>
      <w:rFonts w:eastAsia="宋体"/>
      <w:kern w:val="2"/>
      <w:sz w:val="18"/>
      <w:lang w:val="en-US" w:eastAsia="zh-CN"/>
    </w:rPr>
  </w:style>
  <w:style w:type="character" w:customStyle="1" w:styleId="89">
    <w:name w:val="crowed11"/>
    <w:qFormat/>
    <w:uiPriority w:val="0"/>
    <w:rPr>
      <w:rFonts w:hint="default"/>
      <w:sz w:val="24"/>
    </w:rPr>
  </w:style>
  <w:style w:type="character" w:customStyle="1" w:styleId="90">
    <w:name w:val="样式 宋体"/>
    <w:qFormat/>
    <w:uiPriority w:val="0"/>
    <w:rPr>
      <w:rFonts w:ascii="宋体" w:hAnsi="宋体" w:eastAsia="宋体"/>
      <w:sz w:val="28"/>
    </w:rPr>
  </w:style>
  <w:style w:type="character" w:customStyle="1" w:styleId="91">
    <w:name w:val="正文 + 三号 Char Char"/>
    <w:qFormat/>
    <w:uiPriority w:val="0"/>
    <w:rPr>
      <w:rFonts w:eastAsia="宋体"/>
      <w:kern w:val="2"/>
      <w:sz w:val="21"/>
      <w:lang w:val="en-US" w:eastAsia="zh-CN"/>
    </w:rPr>
  </w:style>
  <w:style w:type="character" w:customStyle="1" w:styleId="92">
    <w:name w:val="标书正文:  0.74 厘米 Char1"/>
    <w:qFormat/>
    <w:uiPriority w:val="0"/>
    <w:rPr>
      <w:rFonts w:eastAsia="宋体"/>
      <w:kern w:val="2"/>
      <w:sz w:val="24"/>
      <w:lang w:val="en-US" w:eastAsia="zh-CN"/>
    </w:rPr>
  </w:style>
  <w:style w:type="character" w:customStyle="1" w:styleId="93">
    <w:name w:val="font1"/>
    <w:qFormat/>
    <w:uiPriority w:val="0"/>
    <w:rPr>
      <w:color w:val="000000"/>
      <w:sz w:val="18"/>
    </w:rPr>
  </w:style>
  <w:style w:type="character" w:customStyle="1" w:styleId="94">
    <w:name w:val="Table Heading Char Char"/>
    <w:qFormat/>
    <w:uiPriority w:val="0"/>
    <w:rPr>
      <w:rFonts w:ascii="Arial" w:hAnsi="Arial" w:eastAsia="黑体"/>
      <w:kern w:val="2"/>
      <w:sz w:val="18"/>
      <w:lang w:val="en-US" w:eastAsia="zh-CN"/>
    </w:rPr>
  </w:style>
  <w:style w:type="character" w:customStyle="1" w:styleId="95">
    <w:name w:val="Char Char2"/>
    <w:qFormat/>
    <w:uiPriority w:val="0"/>
    <w:rPr>
      <w:rFonts w:eastAsia="宋体"/>
      <w:kern w:val="2"/>
      <w:sz w:val="18"/>
      <w:lang w:val="en-US" w:eastAsia="zh-CN"/>
    </w:rPr>
  </w:style>
  <w:style w:type="character" w:customStyle="1" w:styleId="96">
    <w:name w:val="正文1 Char Char Char"/>
    <w:qFormat/>
    <w:uiPriority w:val="0"/>
    <w:rPr>
      <w:rFonts w:ascii="宋体" w:hAnsi="宋体"/>
      <w:kern w:val="2"/>
      <w:sz w:val="21"/>
      <w:szCs w:val="24"/>
      <w:u w:val="single"/>
    </w:rPr>
  </w:style>
  <w:style w:type="character" w:customStyle="1" w:styleId="97">
    <w:name w:val="font21"/>
    <w:qFormat/>
    <w:uiPriority w:val="0"/>
    <w:rPr>
      <w:rFonts w:hint="eastAsia" w:ascii="方正仿宋_GBK" w:hAnsi="方正仿宋_GBK" w:eastAsia="方正仿宋_GBK" w:cs="方正仿宋_GBK"/>
      <w:color w:val="000000"/>
      <w:sz w:val="28"/>
      <w:szCs w:val="28"/>
      <w:u w:val="none"/>
    </w:rPr>
  </w:style>
  <w:style w:type="character" w:customStyle="1" w:styleId="98">
    <w:name w:val="Char Char5"/>
    <w:qFormat/>
    <w:uiPriority w:val="0"/>
    <w:rPr>
      <w:rFonts w:ascii="Arial" w:hAnsi="Arial" w:eastAsia="宋体"/>
      <w:b/>
      <w:smallCaps/>
      <w:kern w:val="28"/>
      <w:sz w:val="36"/>
      <w:lang w:val="en-US" w:eastAsia="en-US"/>
    </w:rPr>
  </w:style>
  <w:style w:type="character" w:customStyle="1" w:styleId="99">
    <w:name w:val="小 Char"/>
    <w:qFormat/>
    <w:uiPriority w:val="0"/>
    <w:rPr>
      <w:rFonts w:ascii="宋体" w:hAnsi="Courier New" w:eastAsia="宋体"/>
      <w:kern w:val="2"/>
      <w:sz w:val="21"/>
      <w:lang w:val="en-US" w:eastAsia="zh-CN" w:bidi="ar-SA"/>
    </w:rPr>
  </w:style>
  <w:style w:type="character" w:customStyle="1" w:styleId="100">
    <w:name w:val="Table Text Char1 Char Char"/>
    <w:qFormat/>
    <w:uiPriority w:val="0"/>
    <w:rPr>
      <w:rFonts w:ascii="Arial" w:hAnsi="Arial"/>
      <w:kern w:val="2"/>
      <w:sz w:val="18"/>
      <w:lang w:val="en-US" w:eastAsia="zh-CN" w:bidi="ar-SA"/>
    </w:rPr>
  </w:style>
  <w:style w:type="character" w:customStyle="1" w:styleId="101">
    <w:name w:val="title_emph1"/>
    <w:qFormat/>
    <w:uiPriority w:val="0"/>
    <w:rPr>
      <w:rFonts w:hint="default" w:ascii="Arial" w:hAnsi="Arial"/>
      <w:b/>
      <w:sz w:val="20"/>
    </w:rPr>
  </w:style>
  <w:style w:type="character" w:customStyle="1" w:styleId="102">
    <w:name w:val="Table Text Char Char Char Char Char"/>
    <w:link w:val="103"/>
    <w:qFormat/>
    <w:uiPriority w:val="0"/>
    <w:rPr>
      <w:rFonts w:ascii="Arial" w:hAnsi="Arial"/>
      <w:kern w:val="2"/>
      <w:sz w:val="18"/>
      <w:lang w:val="en-US" w:eastAsia="zh-CN" w:bidi="ar-SA"/>
    </w:rPr>
  </w:style>
  <w:style w:type="paragraph" w:customStyle="1" w:styleId="103">
    <w:name w:val="Table Text"/>
    <w:link w:val="102"/>
    <w:qFormat/>
    <w:uiPriority w:val="0"/>
    <w:pPr>
      <w:snapToGrid w:val="0"/>
      <w:spacing w:before="80" w:after="80"/>
    </w:pPr>
    <w:rPr>
      <w:rFonts w:ascii="Arial" w:hAnsi="Arial" w:eastAsia="宋体" w:cs="Times New Roman"/>
      <w:kern w:val="2"/>
      <w:sz w:val="18"/>
      <w:lang w:val="en-US" w:eastAsia="zh-CN" w:bidi="ar-SA"/>
    </w:rPr>
  </w:style>
  <w:style w:type="character" w:customStyle="1" w:styleId="104">
    <w:name w:val="Char Char Char Char Char Char Char Char Char"/>
    <w:qFormat/>
    <w:uiPriority w:val="0"/>
    <w:rPr>
      <w:rFonts w:ascii="宋体" w:hAnsi="宋体" w:eastAsia="宋体"/>
      <w:kern w:val="2"/>
      <w:sz w:val="24"/>
      <w:lang w:val="en-US" w:eastAsia="zh-CN" w:bidi="ar-SA"/>
    </w:rPr>
  </w:style>
  <w:style w:type="character" w:customStyle="1" w:styleId="105">
    <w:name w:val="H2 Char"/>
    <w:qFormat/>
    <w:uiPriority w:val="0"/>
    <w:rPr>
      <w:rFonts w:ascii="Arial" w:hAnsi="Arial" w:eastAsia="宋体"/>
      <w:kern w:val="2"/>
      <w:sz w:val="28"/>
      <w:lang w:val="en-US" w:eastAsia="zh-CN"/>
    </w:rPr>
  </w:style>
  <w:style w:type="character" w:customStyle="1" w:styleId="106">
    <w:name w:val="font01"/>
    <w:qFormat/>
    <w:uiPriority w:val="0"/>
    <w:rPr>
      <w:rFonts w:hint="eastAsia" w:ascii="宋体" w:hAnsi="宋体" w:eastAsia="宋体" w:cs="宋体"/>
      <w:color w:val="000000"/>
      <w:sz w:val="20"/>
      <w:szCs w:val="20"/>
      <w:u w:val="none"/>
    </w:rPr>
  </w:style>
  <w:style w:type="character" w:customStyle="1" w:styleId="107">
    <w:name w:val="未命名11"/>
    <w:qFormat/>
    <w:uiPriority w:val="0"/>
    <w:rPr>
      <w:color w:val="77FFFF"/>
      <w:sz w:val="24"/>
    </w:rPr>
  </w:style>
  <w:style w:type="character" w:customStyle="1" w:styleId="108">
    <w:name w:val="Char Char7"/>
    <w:qFormat/>
    <w:uiPriority w:val="0"/>
    <w:rPr>
      <w:rFonts w:ascii="宋体" w:hAnsi="宋体" w:eastAsia="宋体"/>
      <w:kern w:val="2"/>
      <w:sz w:val="28"/>
    </w:rPr>
  </w:style>
  <w:style w:type="character" w:customStyle="1" w:styleId="109">
    <w:name w:val="font11"/>
    <w:qFormat/>
    <w:uiPriority w:val="0"/>
    <w:rPr>
      <w:rFonts w:hint="eastAsia" w:ascii="宋体" w:hAnsi="宋体" w:eastAsia="宋体" w:cs="宋体"/>
      <w:b/>
      <w:color w:val="000000"/>
      <w:sz w:val="20"/>
      <w:szCs w:val="20"/>
      <w:u w:val="none"/>
    </w:rPr>
  </w:style>
  <w:style w:type="character" w:customStyle="1" w:styleId="110">
    <w:name w:val="Char Char6"/>
    <w:qFormat/>
    <w:uiPriority w:val="0"/>
    <w:rPr>
      <w:rFonts w:ascii="仿宋_GB2312" w:eastAsia="仿宋_GB2312"/>
      <w:kern w:val="2"/>
      <w:sz w:val="32"/>
    </w:rPr>
  </w:style>
  <w:style w:type="character" w:customStyle="1" w:styleId="111">
    <w:name w:val="文字 Char Char"/>
    <w:link w:val="112"/>
    <w:qFormat/>
    <w:uiPriority w:val="0"/>
    <w:rPr>
      <w:rFonts w:ascii="宋体"/>
      <w:kern w:val="2"/>
      <w:sz w:val="28"/>
    </w:rPr>
  </w:style>
  <w:style w:type="paragraph" w:customStyle="1" w:styleId="112">
    <w:name w:val="文字"/>
    <w:basedOn w:val="1"/>
    <w:link w:val="111"/>
    <w:qFormat/>
    <w:uiPriority w:val="0"/>
    <w:pPr>
      <w:tabs>
        <w:tab w:val="left" w:pos="8520"/>
      </w:tabs>
      <w:spacing w:line="312" w:lineRule="auto"/>
      <w:ind w:right="-210" w:firstLine="556"/>
    </w:pPr>
    <w:rPr>
      <w:rFonts w:ascii="宋体"/>
    </w:rPr>
  </w:style>
  <w:style w:type="character" w:customStyle="1" w:styleId="113">
    <w:name w:val="Table Text Char Char Char Char"/>
    <w:qFormat/>
    <w:uiPriority w:val="0"/>
    <w:rPr>
      <w:rFonts w:ascii="Arial" w:hAnsi="Arial"/>
      <w:kern w:val="2"/>
      <w:sz w:val="18"/>
      <w:lang w:val="en-US" w:eastAsia="zh-CN" w:bidi="ar-SA"/>
    </w:rPr>
  </w:style>
  <w:style w:type="character" w:customStyle="1" w:styleId="114">
    <w:name w:val="top-det1"/>
    <w:qFormat/>
    <w:uiPriority w:val="0"/>
    <w:rPr>
      <w:b/>
      <w:color w:val="000000"/>
    </w:rPr>
  </w:style>
  <w:style w:type="character" w:customStyle="1" w:styleId="115">
    <w:name w:val="v151"/>
    <w:qFormat/>
    <w:uiPriority w:val="0"/>
    <w:rPr>
      <w:sz w:val="18"/>
    </w:rPr>
  </w:style>
  <w:style w:type="paragraph" w:customStyle="1" w:styleId="116">
    <w:name w:val="样式 标题 1章标题Heading 0Section HeadPIM 1H1h11st levell11H1..."/>
    <w:basedOn w:val="3"/>
    <w:qFormat/>
    <w:uiPriority w:val="0"/>
    <w:pPr>
      <w:keepLines/>
      <w:pageBreakBefore/>
      <w:tabs>
        <w:tab w:val="left" w:pos="432"/>
      </w:tabs>
      <w:autoSpaceDE w:val="0"/>
      <w:autoSpaceDN w:val="0"/>
      <w:adjustRightInd w:val="0"/>
      <w:spacing w:before="340" w:after="330" w:line="578" w:lineRule="atLeast"/>
      <w:textAlignment w:val="bottom"/>
    </w:pPr>
    <w:rPr>
      <w:rFonts w:hAnsi="宋体" w:eastAsia="黑体"/>
      <w:b/>
      <w:kern w:val="44"/>
      <w:sz w:val="36"/>
    </w:rPr>
  </w:style>
  <w:style w:type="paragraph" w:customStyle="1" w:styleId="117">
    <w:name w:val="缺省文本"/>
    <w:basedOn w:val="1"/>
    <w:qFormat/>
    <w:uiPriority w:val="0"/>
    <w:pPr>
      <w:tabs>
        <w:tab w:val="left" w:pos="1260"/>
      </w:tabs>
      <w:autoSpaceDE w:val="0"/>
      <w:autoSpaceDN w:val="0"/>
      <w:adjustRightInd w:val="0"/>
      <w:spacing w:line="360" w:lineRule="auto"/>
      <w:jc w:val="left"/>
    </w:pPr>
    <w:rPr>
      <w:kern w:val="0"/>
      <w:sz w:val="24"/>
    </w:rPr>
  </w:style>
  <w:style w:type="paragraph" w:customStyle="1" w:styleId="118">
    <w:name w:val="修订1"/>
    <w:qFormat/>
    <w:uiPriority w:val="0"/>
    <w:rPr>
      <w:rFonts w:ascii="Calibri" w:hAnsi="Calibri" w:eastAsia="微软雅黑" w:cs="Times New Roman"/>
      <w:kern w:val="2"/>
      <w:sz w:val="21"/>
      <w:lang w:val="en-US" w:eastAsia="zh-CN" w:bidi="ar-SA"/>
    </w:rPr>
  </w:style>
  <w:style w:type="paragraph" w:customStyle="1" w:styleId="119">
    <w:name w:val="文档正文 Char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120">
    <w:name w:val="_"/>
    <w:basedOn w:val="1"/>
    <w:qFormat/>
    <w:uiPriority w:val="0"/>
    <w:pPr>
      <w:adjustRightInd w:val="0"/>
      <w:spacing w:line="360" w:lineRule="auto"/>
      <w:ind w:left="480" w:firstLine="200" w:firstLineChars="200"/>
      <w:textAlignment w:val="baseline"/>
    </w:pPr>
    <w:rPr>
      <w:kern w:val="0"/>
      <w:sz w:val="24"/>
    </w:rPr>
  </w:style>
  <w:style w:type="paragraph" w:customStyle="1" w:styleId="121">
    <w:name w:val="操作步骤"/>
    <w:basedOn w:val="1"/>
    <w:qFormat/>
    <w:uiPriority w:val="0"/>
    <w:pPr>
      <w:numPr>
        <w:ilvl w:val="0"/>
        <w:numId w:val="4"/>
      </w:numPr>
      <w:autoSpaceDE w:val="0"/>
      <w:autoSpaceDN w:val="0"/>
      <w:adjustRightInd w:val="0"/>
      <w:snapToGrid w:val="0"/>
      <w:spacing w:line="40" w:lineRule="atLeast"/>
      <w:textAlignment w:val="bottom"/>
    </w:pPr>
    <w:rPr>
      <w:rFonts w:ascii="昆仑楷体" w:eastAsia="楷体_GB2312"/>
      <w:kern w:val="0"/>
      <w:sz w:val="21"/>
    </w:rPr>
  </w:style>
  <w:style w:type="paragraph" w:customStyle="1" w:styleId="122">
    <w:name w:val="Char1"/>
    <w:basedOn w:val="1"/>
    <w:qFormat/>
    <w:uiPriority w:val="0"/>
    <w:rPr>
      <w:sz w:val="21"/>
    </w:rPr>
  </w:style>
  <w:style w:type="paragraph" w:customStyle="1" w:styleId="123">
    <w:name w:val="xl27"/>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kern w:val="0"/>
      <w:sz w:val="21"/>
    </w:rPr>
  </w:style>
  <w:style w:type="paragraph" w:customStyle="1" w:styleId="124">
    <w:name w:val="Note"/>
    <w:basedOn w:val="1"/>
    <w:qFormat/>
    <w:uiPriority w:val="0"/>
    <w:pPr>
      <w:pBdr>
        <w:top w:val="single" w:color="auto" w:sz="12" w:space="3"/>
        <w:bottom w:val="single" w:color="auto" w:sz="12" w:space="3"/>
      </w:pBdr>
      <w:spacing w:line="360" w:lineRule="auto"/>
    </w:pPr>
    <w:rPr>
      <w:sz w:val="24"/>
    </w:rPr>
  </w:style>
  <w:style w:type="paragraph" w:customStyle="1" w:styleId="125">
    <w:name w:val="Table Text Char Char"/>
    <w:qFormat/>
    <w:uiPriority w:val="0"/>
    <w:pPr>
      <w:snapToGrid w:val="0"/>
      <w:spacing w:before="80" w:after="80"/>
    </w:pPr>
    <w:rPr>
      <w:rFonts w:ascii="Arial" w:hAnsi="Arial" w:eastAsia="微软雅黑" w:cs="Times New Roman"/>
      <w:kern w:val="2"/>
      <w:sz w:val="18"/>
      <w:lang w:val="en-US" w:eastAsia="zh-CN" w:bidi="ar-SA"/>
    </w:rPr>
  </w:style>
  <w:style w:type="paragraph" w:customStyle="1" w:styleId="126">
    <w:name w:val="二级列表"/>
    <w:basedOn w:val="127"/>
    <w:next w:val="127"/>
    <w:qFormat/>
    <w:uiPriority w:val="0"/>
    <w:pPr>
      <w:tabs>
        <w:tab w:val="left" w:pos="2120"/>
      </w:tabs>
      <w:ind w:firstLine="0" w:firstLineChars="0"/>
    </w:pPr>
    <w:rPr>
      <w:b/>
    </w:rPr>
  </w:style>
  <w:style w:type="paragraph" w:customStyle="1" w:styleId="127">
    <w:name w:val="段落正文"/>
    <w:basedOn w:val="1"/>
    <w:qFormat/>
    <w:uiPriority w:val="0"/>
    <w:pPr>
      <w:spacing w:before="156" w:beforeLines="50" w:line="360" w:lineRule="auto"/>
      <w:ind w:firstLine="200" w:firstLineChars="200"/>
    </w:pPr>
    <w:rPr>
      <w:spacing w:val="2"/>
      <w:sz w:val="24"/>
    </w:rPr>
  </w:style>
  <w:style w:type="paragraph" w:customStyle="1" w:styleId="128">
    <w:name w:val="tabletext"/>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9">
    <w:name w:val="Char Char Char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30">
    <w:name w:val="样式 样式 正文首行缩进 2 + 左  0 字符 + 首行缩进:  2.57 字符"/>
    <w:basedOn w:val="1"/>
    <w:next w:val="1"/>
    <w:qFormat/>
    <w:uiPriority w:val="0"/>
    <w:pPr>
      <w:adjustRightInd w:val="0"/>
      <w:snapToGrid w:val="0"/>
      <w:spacing w:after="120"/>
      <w:ind w:firstLine="540" w:firstLineChars="257"/>
    </w:pPr>
    <w:rPr>
      <w:sz w:val="21"/>
    </w:rPr>
  </w:style>
  <w:style w:type="paragraph" w:customStyle="1" w:styleId="131">
    <w:name w:val="表头文本"/>
    <w:qFormat/>
    <w:uiPriority w:val="0"/>
    <w:pPr>
      <w:jc w:val="center"/>
    </w:pPr>
    <w:rPr>
      <w:rFonts w:ascii="Arial" w:hAnsi="Arial" w:eastAsia="微软雅黑" w:cs="Times New Roman"/>
      <w:b/>
      <w:sz w:val="21"/>
      <w:lang w:val="en-US" w:eastAsia="zh-CN" w:bidi="ar-SA"/>
    </w:rPr>
  </w:style>
  <w:style w:type="paragraph" w:customStyle="1" w:styleId="132">
    <w:name w:val="文章正文"/>
    <w:basedOn w:val="1"/>
    <w:qFormat/>
    <w:uiPriority w:val="0"/>
    <w:pPr>
      <w:ind w:firstLine="560" w:firstLineChars="200"/>
    </w:pPr>
    <w:rPr>
      <w:rFonts w:ascii="仿宋_GB2312" w:hAnsi="宋体" w:eastAsia="仿宋_GB2312"/>
      <w:color w:val="000000"/>
    </w:rPr>
  </w:style>
  <w:style w:type="paragraph" w:customStyle="1" w:styleId="133">
    <w:name w:val="一级条标题"/>
    <w:basedOn w:val="134"/>
    <w:next w:val="135"/>
    <w:qFormat/>
    <w:uiPriority w:val="0"/>
    <w:pPr>
      <w:numPr>
        <w:numId w:val="0"/>
      </w:numPr>
      <w:ind w:left="525"/>
      <w:outlineLvl w:val="2"/>
    </w:pPr>
    <w:rPr>
      <w:sz w:val="21"/>
    </w:rPr>
  </w:style>
  <w:style w:type="paragraph" w:customStyle="1" w:styleId="134">
    <w:name w:val="章标题"/>
    <w:next w:val="1"/>
    <w:qFormat/>
    <w:uiPriority w:val="0"/>
    <w:pPr>
      <w:numPr>
        <w:ilvl w:val="1"/>
        <w:numId w:val="5"/>
      </w:numPr>
      <w:spacing w:before="156" w:beforeLines="50" w:after="156" w:afterLines="50"/>
      <w:ind w:left="0"/>
      <w:jc w:val="both"/>
      <w:outlineLvl w:val="1"/>
    </w:pPr>
    <w:rPr>
      <w:rFonts w:ascii="黑体" w:hAnsi="Calibri" w:eastAsia="黑体" w:cs="Times New Roman"/>
      <w:sz w:val="24"/>
      <w:lang w:val="en-US" w:eastAsia="zh-CN" w:bidi="ar-SA"/>
    </w:rPr>
  </w:style>
  <w:style w:type="paragraph" w:customStyle="1" w:styleId="135">
    <w:name w:val="段"/>
    <w:qFormat/>
    <w:uiPriority w:val="0"/>
    <w:pPr>
      <w:autoSpaceDE w:val="0"/>
      <w:autoSpaceDN w:val="0"/>
      <w:ind w:firstLine="200" w:firstLineChars="200"/>
      <w:jc w:val="both"/>
    </w:pPr>
    <w:rPr>
      <w:rFonts w:ascii="宋体" w:hAnsi="Calibri" w:eastAsia="微软雅黑" w:cs="Times New Roman"/>
      <w:sz w:val="21"/>
      <w:lang w:val="en-US" w:eastAsia="zh-CN" w:bidi="ar-SA"/>
    </w:rPr>
  </w:style>
  <w:style w:type="paragraph" w:customStyle="1" w:styleId="136">
    <w:name w:val="Pull Quote"/>
    <w:basedOn w:val="1"/>
    <w:qFormat/>
    <w:uiPriority w:val="0"/>
    <w:pPr>
      <w:pBdr>
        <w:top w:val="single" w:color="auto" w:sz="18" w:space="12"/>
        <w:left w:val="single" w:color="FFFFFF" w:sz="6" w:space="12"/>
        <w:bottom w:val="single" w:color="auto" w:sz="6" w:space="12"/>
        <w:right w:val="single" w:color="FFFFFF" w:sz="6" w:space="12"/>
      </w:pBdr>
      <w:shd w:val="pct10" w:color="auto" w:fill="auto"/>
      <w:spacing w:before="120" w:after="240" w:line="288" w:lineRule="auto"/>
      <w:ind w:left="144" w:right="144"/>
      <w:jc w:val="center"/>
    </w:pPr>
    <w:rPr>
      <w:b/>
      <w:i/>
      <w:sz w:val="24"/>
    </w:rPr>
  </w:style>
  <w:style w:type="paragraph" w:customStyle="1" w:styleId="137">
    <w:name w:val="样式 首行缩进:  0.74 厘米"/>
    <w:basedOn w:val="1"/>
    <w:qFormat/>
    <w:uiPriority w:val="0"/>
    <w:pPr>
      <w:spacing w:line="360" w:lineRule="auto"/>
      <w:ind w:firstLine="420"/>
    </w:pPr>
    <w:rPr>
      <w:sz w:val="24"/>
    </w:rPr>
  </w:style>
  <w:style w:type="paragraph" w:customStyle="1" w:styleId="138">
    <w:name w:val="表中字小于正文（居中）"/>
    <w:qFormat/>
    <w:uiPriority w:val="0"/>
    <w:pPr>
      <w:spacing w:line="280" w:lineRule="exact"/>
      <w:jc w:val="center"/>
    </w:pPr>
    <w:rPr>
      <w:rFonts w:ascii="黑体" w:hAnsi="宋体" w:eastAsia="仿宋_GB2312" w:cs="Times New Roman"/>
      <w:kern w:val="2"/>
      <w:sz w:val="21"/>
      <w:szCs w:val="90"/>
      <w:lang w:val="en-US" w:eastAsia="zh-CN" w:bidi="ar-SA"/>
    </w:rPr>
  </w:style>
  <w:style w:type="paragraph" w:customStyle="1" w:styleId="139">
    <w:name w:val="标书正文:  0.74 厘米"/>
    <w:basedOn w:val="1"/>
    <w:qFormat/>
    <w:uiPriority w:val="0"/>
    <w:pPr>
      <w:snapToGrid w:val="0"/>
      <w:spacing w:line="360" w:lineRule="auto"/>
      <w:ind w:firstLine="420"/>
    </w:pPr>
    <w:rPr>
      <w:sz w:val="24"/>
    </w:rPr>
  </w:style>
  <w:style w:type="paragraph" w:customStyle="1" w:styleId="140">
    <w:name w:val="Char Char Char Char Char"/>
    <w:basedOn w:val="1"/>
    <w:qFormat/>
    <w:uiPriority w:val="0"/>
    <w:pPr>
      <w:tabs>
        <w:tab w:val="left" w:pos="425"/>
      </w:tabs>
      <w:ind w:left="1620" w:hanging="360"/>
    </w:pPr>
    <w:rPr>
      <w:rFonts w:ascii="Tahoma" w:hAnsi="Tahoma"/>
      <w:sz w:val="24"/>
    </w:rPr>
  </w:style>
  <w:style w:type="paragraph" w:customStyle="1" w:styleId="141">
    <w:name w:val="附录3"/>
    <w:basedOn w:val="1"/>
    <w:next w:val="1"/>
    <w:qFormat/>
    <w:uiPriority w:val="0"/>
    <w:pPr>
      <w:tabs>
        <w:tab w:val="left" w:pos="851"/>
      </w:tabs>
      <w:ind w:left="425" w:hanging="425"/>
      <w:outlineLvl w:val="2"/>
    </w:pPr>
    <w:rPr>
      <w:rFonts w:eastAsia="黑体"/>
      <w:b/>
      <w:sz w:val="32"/>
    </w:rPr>
  </w:style>
  <w:style w:type="paragraph" w:customStyle="1" w:styleId="142">
    <w:name w:val="Title - Revision"/>
    <w:basedOn w:val="55"/>
    <w:qFormat/>
    <w:uiPriority w:val="0"/>
    <w:pPr>
      <w:spacing w:before="720"/>
    </w:pPr>
  </w:style>
  <w:style w:type="paragraph" w:customStyle="1" w:styleId="143">
    <w:name w:val="正文表格"/>
    <w:basedOn w:val="1"/>
    <w:qFormat/>
    <w:uiPriority w:val="0"/>
    <w:pPr>
      <w:adjustRightInd w:val="0"/>
      <w:spacing w:before="40" w:after="40"/>
    </w:pPr>
    <w:rPr>
      <w:sz w:val="24"/>
    </w:rPr>
  </w:style>
  <w:style w:type="paragraph" w:customStyle="1" w:styleId="144">
    <w:name w:val="表头样式"/>
    <w:basedOn w:val="1"/>
    <w:qFormat/>
    <w:uiPriority w:val="0"/>
    <w:pPr>
      <w:autoSpaceDE w:val="0"/>
      <w:autoSpaceDN w:val="0"/>
      <w:adjustRightInd w:val="0"/>
      <w:spacing w:line="360" w:lineRule="auto"/>
      <w:jc w:val="left"/>
    </w:pPr>
    <w:rPr>
      <w:b/>
      <w:kern w:val="0"/>
      <w:sz w:val="21"/>
    </w:rPr>
  </w:style>
  <w:style w:type="paragraph" w:customStyle="1" w:styleId="145">
    <w:name w:val="列表项目"/>
    <w:basedOn w:val="1"/>
    <w:qFormat/>
    <w:uiPriority w:val="0"/>
    <w:pPr>
      <w:tabs>
        <w:tab w:val="left" w:pos="420"/>
      </w:tabs>
      <w:spacing w:line="288" w:lineRule="auto"/>
      <w:ind w:left="840" w:leftChars="200" w:hanging="420" w:hangingChars="200"/>
    </w:pPr>
    <w:rPr>
      <w:sz w:val="21"/>
    </w:rPr>
  </w:style>
  <w:style w:type="paragraph" w:customStyle="1" w:styleId="146">
    <w:name w:val="1"/>
    <w:basedOn w:val="1"/>
    <w:next w:val="30"/>
    <w:qFormat/>
    <w:uiPriority w:val="0"/>
    <w:rPr>
      <w:rFonts w:ascii="宋体" w:hAnsi="Courier New"/>
      <w:sz w:val="21"/>
    </w:rPr>
  </w:style>
  <w:style w:type="paragraph" w:customStyle="1" w:styleId="147">
    <w:name w:val="表文字"/>
    <w:qFormat/>
    <w:uiPriority w:val="0"/>
    <w:rPr>
      <w:rFonts w:ascii="宋体" w:hAnsi="Calibri" w:eastAsia="微软雅黑" w:cs="Times New Roman"/>
      <w:kern w:val="2"/>
      <w:lang w:val="en-US" w:eastAsia="zh-CN" w:bidi="ar-SA"/>
    </w:rPr>
  </w:style>
  <w:style w:type="paragraph" w:customStyle="1" w:styleId="148">
    <w:name w:val="表格1"/>
    <w:basedOn w:val="1"/>
    <w:next w:val="1"/>
    <w:qFormat/>
    <w:uiPriority w:val="0"/>
    <w:pPr>
      <w:kinsoku w:val="0"/>
      <w:wordWrap w:val="0"/>
      <w:overflowPunct w:val="0"/>
      <w:autoSpaceDE w:val="0"/>
      <w:autoSpaceDN w:val="0"/>
      <w:adjustRightInd w:val="0"/>
      <w:spacing w:line="288" w:lineRule="auto"/>
      <w:jc w:val="center"/>
      <w:textAlignment w:val="baseline"/>
    </w:pPr>
    <w:rPr>
      <w:rFonts w:ascii="宋体"/>
      <w:kern w:val="0"/>
      <w:sz w:val="18"/>
    </w:rPr>
  </w:style>
  <w:style w:type="paragraph" w:customStyle="1" w:styleId="149">
    <w:name w:val="Body Text Indent 21"/>
    <w:basedOn w:val="1"/>
    <w:qFormat/>
    <w:uiPriority w:val="0"/>
    <w:pPr>
      <w:adjustRightInd w:val="0"/>
      <w:spacing w:before="120"/>
      <w:ind w:firstLine="420"/>
      <w:textAlignment w:val="baseline"/>
    </w:pPr>
    <w:rPr>
      <w:sz w:val="24"/>
    </w:rPr>
  </w:style>
  <w:style w:type="paragraph" w:customStyle="1" w:styleId="150">
    <w:name w:val="标准正文"/>
    <w:basedOn w:val="23"/>
    <w:qFormat/>
    <w:uiPriority w:val="0"/>
    <w:pPr>
      <w:spacing w:before="60" w:after="60" w:line="360" w:lineRule="auto"/>
      <w:ind w:left="0" w:firstLine="482"/>
    </w:pPr>
    <w:rPr>
      <w:rFonts w:ascii="Arial" w:hAnsi="Arial"/>
      <w:sz w:val="24"/>
    </w:rPr>
  </w:style>
  <w:style w:type="paragraph" w:customStyle="1" w:styleId="151">
    <w:name w:val="保证金信息卡行距及首行不空格"/>
    <w:qFormat/>
    <w:uiPriority w:val="0"/>
    <w:pPr>
      <w:spacing w:line="560" w:lineRule="exact"/>
    </w:pPr>
    <w:rPr>
      <w:rFonts w:ascii="黑体" w:hAnsi="宋体" w:eastAsia="仿宋_GB2312" w:cs="Times New Roman"/>
      <w:kern w:val="2"/>
      <w:sz w:val="24"/>
      <w:szCs w:val="90"/>
      <w:lang w:val="en-US" w:eastAsia="zh-CN" w:bidi="ar-SA"/>
    </w:rPr>
  </w:style>
  <w:style w:type="paragraph" w:customStyle="1" w:styleId="152">
    <w:name w:val="Char1 Char Char Char"/>
    <w:basedOn w:val="1"/>
    <w:qFormat/>
    <w:uiPriority w:val="0"/>
    <w:rPr>
      <w:rFonts w:ascii="Tahoma" w:hAnsi="Tahoma"/>
      <w:sz w:val="24"/>
    </w:rPr>
  </w:style>
  <w:style w:type="paragraph" w:customStyle="1" w:styleId="153">
    <w:name w:val="Style Heading 3h3Heading 3 - oldLevel 3 HeadH3level_3PIM 3se..."/>
    <w:basedOn w:val="5"/>
    <w:qFormat/>
    <w:uiPriority w:val="0"/>
    <w:pPr>
      <w:numPr>
        <w:ilvl w:val="2"/>
        <w:numId w:val="6"/>
      </w:numPr>
      <w:tabs>
        <w:tab w:val="left" w:pos="709"/>
        <w:tab w:val="left" w:pos="1620"/>
      </w:tabs>
    </w:pPr>
  </w:style>
  <w:style w:type="paragraph" w:customStyle="1" w:styleId="154">
    <w:name w:val="正文 + 三号"/>
    <w:basedOn w:val="1"/>
    <w:qFormat/>
    <w:uiPriority w:val="0"/>
    <w:rPr>
      <w:sz w:val="21"/>
    </w:rPr>
  </w:style>
  <w:style w:type="paragraph" w:customStyle="1" w:styleId="155">
    <w:name w:val="小标题 1"/>
    <w:basedOn w:val="1"/>
    <w:qFormat/>
    <w:uiPriority w:val="0"/>
    <w:pPr>
      <w:autoSpaceDE w:val="0"/>
      <w:autoSpaceDN w:val="0"/>
      <w:adjustRightInd w:val="0"/>
      <w:spacing w:line="360" w:lineRule="atLeast"/>
    </w:pPr>
    <w:rPr>
      <w:rFonts w:ascii="文鼎粗黑" w:eastAsia="文鼎粗黑"/>
      <w:kern w:val="0"/>
      <w:sz w:val="22"/>
    </w:rPr>
  </w:style>
  <w:style w:type="paragraph" w:customStyle="1" w:styleId="156">
    <w:name w:val="附录1"/>
    <w:basedOn w:val="1"/>
    <w:next w:val="1"/>
    <w:qFormat/>
    <w:uiPriority w:val="0"/>
    <w:pPr>
      <w:tabs>
        <w:tab w:val="left" w:pos="1304"/>
      </w:tabs>
      <w:ind w:left="425" w:hanging="425"/>
      <w:outlineLvl w:val="0"/>
    </w:pPr>
    <w:rPr>
      <w:rFonts w:ascii="黑体" w:hAnsi="黑体" w:eastAsia="黑体"/>
      <w:b/>
      <w:sz w:val="44"/>
    </w:rPr>
  </w:style>
  <w:style w:type="paragraph" w:customStyle="1" w:styleId="157">
    <w:name w:val="xl23"/>
    <w:basedOn w:val="1"/>
    <w:qFormat/>
    <w:uiPriority w:val="0"/>
    <w:pPr>
      <w:widowControl/>
      <w:spacing w:before="100" w:beforeAutospacing="1" w:after="100" w:afterAutospacing="1" w:line="360" w:lineRule="auto"/>
      <w:textAlignment w:val="top"/>
    </w:pPr>
    <w:rPr>
      <w:kern w:val="0"/>
      <w:sz w:val="24"/>
    </w:rPr>
  </w:style>
  <w:style w:type="paragraph" w:customStyle="1" w:styleId="158">
    <w:name w:val="正文1"/>
    <w:basedOn w:val="1"/>
    <w:qFormat/>
    <w:uiPriority w:val="0"/>
    <w:pPr>
      <w:spacing w:line="300" w:lineRule="auto"/>
      <w:ind w:firstLine="200" w:firstLineChars="200"/>
    </w:pPr>
    <w:rPr>
      <w:sz w:val="24"/>
    </w:rPr>
  </w:style>
  <w:style w:type="paragraph" w:customStyle="1" w:styleId="159">
    <w:name w:val="模板标题3"/>
    <w:basedOn w:val="5"/>
    <w:next w:val="160"/>
    <w:qFormat/>
    <w:uiPriority w:val="0"/>
    <w:pPr>
      <w:widowControl/>
      <w:numPr>
        <w:ilvl w:val="2"/>
        <w:numId w:val="7"/>
      </w:numPr>
      <w:spacing w:line="360" w:lineRule="auto"/>
      <w:jc w:val="left"/>
    </w:pPr>
    <w:rPr>
      <w:kern w:val="0"/>
      <w:sz w:val="28"/>
      <w:szCs w:val="32"/>
      <w:lang w:val="en-GB"/>
    </w:rPr>
  </w:style>
  <w:style w:type="paragraph" w:customStyle="1" w:styleId="160">
    <w:name w:val="模板正文"/>
    <w:basedOn w:val="1"/>
    <w:qFormat/>
    <w:uiPriority w:val="0"/>
    <w:pPr>
      <w:widowControl/>
      <w:spacing w:line="360" w:lineRule="auto"/>
      <w:ind w:firstLine="480" w:firstLineChars="200"/>
    </w:pPr>
    <w:rPr>
      <w:snapToGrid w:val="0"/>
      <w:kern w:val="0"/>
      <w:sz w:val="24"/>
      <w:lang w:val="en-GB"/>
    </w:rPr>
  </w:style>
  <w:style w:type="paragraph" w:customStyle="1" w:styleId="161">
    <w:name w:val="p1"/>
    <w:basedOn w:val="1"/>
    <w:qFormat/>
    <w:uiPriority w:val="0"/>
    <w:pPr>
      <w:spacing w:line="380" w:lineRule="atLeast"/>
      <w:jc w:val="left"/>
    </w:pPr>
    <w:rPr>
      <w:rFonts w:ascii="Helvetica Neue" w:hAnsi="Helvetica Neue" w:eastAsia="Helvetica Neue"/>
      <w:color w:val="000000"/>
      <w:kern w:val="0"/>
      <w:sz w:val="26"/>
      <w:szCs w:val="26"/>
    </w:rPr>
  </w:style>
  <w:style w:type="paragraph" w:customStyle="1" w:styleId="162">
    <w:name w:val="Char Char Char Char Char Char1 Char"/>
    <w:basedOn w:val="1"/>
    <w:qFormat/>
    <w:uiPriority w:val="0"/>
    <w:pPr>
      <w:widowControl/>
      <w:spacing w:after="160" w:line="240" w:lineRule="exact"/>
      <w:jc w:val="left"/>
    </w:pPr>
    <w:rPr>
      <w:rFonts w:ascii="Verdana" w:hAnsi="Verdana"/>
      <w:kern w:val="0"/>
      <w:sz w:val="21"/>
      <w:lang w:eastAsia="en-US"/>
    </w:rPr>
  </w:style>
  <w:style w:type="paragraph" w:customStyle="1" w:styleId="163">
    <w:name w:val="首行缩进"/>
    <w:basedOn w:val="1"/>
    <w:qFormat/>
    <w:uiPriority w:val="0"/>
    <w:pPr>
      <w:numPr>
        <w:ilvl w:val="0"/>
        <w:numId w:val="8"/>
      </w:numPr>
      <w:spacing w:line="360" w:lineRule="auto"/>
    </w:pPr>
    <w:rPr>
      <w:rFonts w:eastAsia="仿宋_GB2312"/>
    </w:rPr>
  </w:style>
  <w:style w:type="paragraph" w:customStyle="1" w:styleId="164">
    <w:name w:val="Char Char Char Char Char Char Char"/>
    <w:basedOn w:val="17"/>
    <w:qFormat/>
    <w:uiPriority w:val="0"/>
    <w:rPr>
      <w:rFonts w:ascii="宋体" w:hAnsi="Tahoma"/>
    </w:rPr>
  </w:style>
  <w:style w:type="paragraph" w:customStyle="1" w:styleId="165">
    <w:name w:val="标题2"/>
    <w:basedOn w:val="4"/>
    <w:qFormat/>
    <w:uiPriority w:val="0"/>
    <w:pPr>
      <w:keepNext w:val="0"/>
      <w:keepLines w:val="0"/>
      <w:adjustRightInd w:val="0"/>
      <w:snapToGrid w:val="0"/>
      <w:spacing w:before="0" w:after="0" w:line="360" w:lineRule="auto"/>
      <w:ind w:firstLine="574" w:firstLineChars="196"/>
      <w:outlineLvl w:val="9"/>
    </w:pPr>
    <w:rPr>
      <w:rFonts w:ascii="宋体" w:hAnsi="宋体" w:eastAsia="宋体"/>
      <w:spacing w:val="6"/>
      <w:sz w:val="28"/>
      <w:u w:val="single"/>
    </w:rPr>
  </w:style>
  <w:style w:type="paragraph" w:customStyle="1" w:styleId="166">
    <w:name w:val="简单回函地址"/>
    <w:basedOn w:val="1"/>
    <w:qFormat/>
    <w:uiPriority w:val="0"/>
    <w:pPr>
      <w:adjustRightInd w:val="0"/>
      <w:snapToGrid w:val="0"/>
      <w:spacing w:line="360" w:lineRule="auto"/>
    </w:pPr>
    <w:rPr>
      <w:sz w:val="24"/>
    </w:rPr>
  </w:style>
  <w:style w:type="paragraph" w:customStyle="1" w:styleId="167">
    <w:name w:val="样式 标题 6第五层条 + 三号 段前: 0.5 行"/>
    <w:basedOn w:val="7"/>
    <w:qFormat/>
    <w:uiPriority w:val="0"/>
    <w:pPr>
      <w:widowControl/>
      <w:adjustRightInd/>
      <w:snapToGrid/>
      <w:spacing w:before="156" w:beforeLines="50"/>
      <w:jc w:val="left"/>
    </w:pPr>
    <w:rPr>
      <w:snapToGrid w:val="0"/>
      <w:kern w:val="24"/>
      <w:sz w:val="28"/>
    </w:rPr>
  </w:style>
  <w:style w:type="paragraph" w:customStyle="1" w:styleId="168">
    <w:name w:val="Char2 Char Char Char Char Char Char"/>
    <w:basedOn w:val="1"/>
    <w:qFormat/>
    <w:uiPriority w:val="0"/>
    <w:rPr>
      <w:rFonts w:ascii="仿宋_GB2312"/>
      <w:b/>
      <w:sz w:val="30"/>
    </w:rPr>
  </w:style>
  <w:style w:type="paragraph" w:customStyle="1" w:styleId="169">
    <w:name w:val="附录4"/>
    <w:basedOn w:val="1"/>
    <w:next w:val="1"/>
    <w:qFormat/>
    <w:uiPriority w:val="0"/>
    <w:pPr>
      <w:widowControl/>
      <w:tabs>
        <w:tab w:val="left" w:pos="1134"/>
      </w:tabs>
      <w:spacing w:line="300" w:lineRule="auto"/>
      <w:ind w:left="1361" w:hanging="1361"/>
      <w:outlineLvl w:val="3"/>
    </w:pPr>
    <w:rPr>
      <w:rFonts w:ascii="Arial" w:hAnsi="Arial" w:eastAsia="黑体"/>
      <w:kern w:val="0"/>
    </w:rPr>
  </w:style>
  <w:style w:type="paragraph" w:customStyle="1" w:styleId="170">
    <w:name w:val="项目"/>
    <w:basedOn w:val="1"/>
    <w:qFormat/>
    <w:uiPriority w:val="0"/>
    <w:pPr>
      <w:tabs>
        <w:tab w:val="left" w:pos="1280"/>
      </w:tabs>
      <w:spacing w:before="120" w:after="120" w:line="360" w:lineRule="auto"/>
      <w:ind w:left="-7" w:firstLine="567"/>
      <w:jc w:val="left"/>
      <w:textAlignment w:val="baseline"/>
    </w:pPr>
    <w:rPr>
      <w:rFonts w:ascii="宋体"/>
      <w:kern w:val="0"/>
      <w:sz w:val="24"/>
    </w:rPr>
  </w:style>
  <w:style w:type="paragraph" w:customStyle="1" w:styleId="171">
    <w:name w:val="Item Step"/>
    <w:qFormat/>
    <w:uiPriority w:val="0"/>
    <w:pPr>
      <w:tabs>
        <w:tab w:val="left" w:pos="1644"/>
      </w:tabs>
      <w:ind w:left="1644" w:hanging="510"/>
      <w:outlineLvl w:val="4"/>
    </w:pPr>
    <w:rPr>
      <w:rFonts w:ascii="Arial" w:hAnsi="Arial" w:eastAsia="微软雅黑" w:cs="Times New Roman"/>
      <w:sz w:val="21"/>
      <w:lang w:val="en-US" w:eastAsia="zh-CN" w:bidi="ar-SA"/>
    </w:rPr>
  </w:style>
  <w:style w:type="paragraph" w:customStyle="1" w:styleId="17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173">
    <w:name w:val="1.正文"/>
    <w:basedOn w:val="1"/>
    <w:qFormat/>
    <w:uiPriority w:val="0"/>
    <w:pPr>
      <w:spacing w:line="360" w:lineRule="auto"/>
      <w:ind w:left="540" w:leftChars="225" w:firstLine="540" w:firstLineChars="225"/>
    </w:pPr>
    <w:rPr>
      <w:sz w:val="24"/>
    </w:rPr>
  </w:style>
  <w:style w:type="paragraph" w:customStyle="1" w:styleId="174">
    <w:name w:val="文本框样式1"/>
    <w:basedOn w:val="1"/>
    <w:qFormat/>
    <w:uiPriority w:val="0"/>
    <w:pPr>
      <w:adjustRightInd w:val="0"/>
      <w:snapToGrid w:val="0"/>
      <w:spacing w:before="60" w:line="180" w:lineRule="exact"/>
      <w:jc w:val="center"/>
    </w:pPr>
    <w:rPr>
      <w:sz w:val="21"/>
    </w:rPr>
  </w:style>
  <w:style w:type="paragraph" w:customStyle="1" w:styleId="175">
    <w:name w:val="Char Char Char1 Char Char Char Char Char Char Char Char Char Char Char Char Char"/>
    <w:basedOn w:val="1"/>
    <w:qFormat/>
    <w:uiPriority w:val="0"/>
    <w:pPr>
      <w:widowControl/>
      <w:spacing w:after="160" w:line="240" w:lineRule="exact"/>
      <w:jc w:val="left"/>
    </w:pPr>
    <w:rPr>
      <w:rFonts w:ascii="Verdana" w:hAnsi="Verdana"/>
      <w:kern w:val="0"/>
      <w:sz w:val="18"/>
      <w:lang w:eastAsia="en-US"/>
    </w:rPr>
  </w:style>
  <w:style w:type="paragraph" w:customStyle="1" w:styleId="176">
    <w:name w:val="Table Heading"/>
    <w:qFormat/>
    <w:uiPriority w:val="0"/>
    <w:pPr>
      <w:keepNext/>
      <w:snapToGrid w:val="0"/>
      <w:spacing w:before="80" w:after="80"/>
      <w:jc w:val="center"/>
    </w:pPr>
    <w:rPr>
      <w:rFonts w:ascii="Arial" w:hAnsi="Arial" w:eastAsia="黑体" w:cs="Times New Roman"/>
      <w:sz w:val="18"/>
      <w:lang w:val="en-US" w:eastAsia="zh-CN" w:bidi="ar-SA"/>
    </w:rPr>
  </w:style>
  <w:style w:type="paragraph" w:customStyle="1" w:styleId="177">
    <w:name w:val="默认段落字体 Para Char Char Char Char Char Char Char Char Char1 Char Char Char Char"/>
    <w:basedOn w:val="1"/>
    <w:qFormat/>
    <w:uiPriority w:val="0"/>
    <w:rPr>
      <w:rFonts w:ascii="Tahoma" w:hAnsi="Tahoma"/>
      <w:sz w:val="24"/>
    </w:rPr>
  </w:style>
  <w:style w:type="paragraph" w:customStyle="1" w:styleId="178">
    <w:name w:val="文本1"/>
    <w:basedOn w:val="1"/>
    <w:qFormat/>
    <w:uiPriority w:val="0"/>
    <w:pPr>
      <w:adjustRightInd w:val="0"/>
      <w:spacing w:line="312" w:lineRule="atLeast"/>
      <w:jc w:val="center"/>
      <w:textAlignment w:val="baseline"/>
    </w:pPr>
    <w:rPr>
      <w:kern w:val="0"/>
      <w:sz w:val="18"/>
    </w:rPr>
  </w:style>
  <w:style w:type="paragraph" w:styleId="179">
    <w:name w:val="List Paragraph"/>
    <w:basedOn w:val="1"/>
    <w:qFormat/>
    <w:uiPriority w:val="34"/>
    <w:pPr>
      <w:ind w:firstLine="420" w:firstLineChars="200"/>
    </w:pPr>
    <w:rPr>
      <w:sz w:val="21"/>
    </w:rPr>
  </w:style>
  <w:style w:type="paragraph" w:customStyle="1" w:styleId="180">
    <w:name w:val="List Paragraph1"/>
    <w:basedOn w:val="1"/>
    <w:qFormat/>
    <w:uiPriority w:val="0"/>
    <w:pPr>
      <w:spacing w:before="60" w:after="60"/>
      <w:ind w:left="482" w:firstLine="420"/>
    </w:pPr>
    <w:rPr>
      <w:rFonts w:eastAsia="宋体"/>
      <w:szCs w:val="22"/>
    </w:rPr>
  </w:style>
  <w:style w:type="paragraph" w:customStyle="1" w:styleId="181">
    <w:name w:val="xl40"/>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82">
    <w:name w:val="Char Char1 Char Char Char Char Char Char Char Char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183">
    <w:name w:val="标题5"/>
    <w:basedOn w:val="1"/>
    <w:qFormat/>
    <w:uiPriority w:val="0"/>
    <w:pPr>
      <w:tabs>
        <w:tab w:val="left" w:pos="0"/>
      </w:tabs>
      <w:autoSpaceDE w:val="0"/>
      <w:autoSpaceDN w:val="0"/>
      <w:adjustRightInd w:val="0"/>
      <w:snapToGrid w:val="0"/>
      <w:spacing w:line="320" w:lineRule="atLeast"/>
    </w:pPr>
    <w:rPr>
      <w:rFonts w:ascii="宋体"/>
      <w:kern w:val="0"/>
      <w:sz w:val="21"/>
    </w:rPr>
  </w:style>
  <w:style w:type="paragraph" w:customStyle="1" w:styleId="184">
    <w:name w:val="正文格式"/>
    <w:basedOn w:val="1"/>
    <w:qFormat/>
    <w:uiPriority w:val="0"/>
    <w:pPr>
      <w:widowControl/>
      <w:adjustRightInd w:val="0"/>
      <w:snapToGrid w:val="0"/>
      <w:spacing w:before="60" w:line="360" w:lineRule="auto"/>
      <w:ind w:firstLine="480" w:firstLineChars="200"/>
      <w:jc w:val="left"/>
      <w:textAlignment w:val="baseline"/>
    </w:pPr>
    <w:rPr>
      <w:rFonts w:ascii="宋体" w:hAnsi="宋体"/>
      <w:color w:val="000000"/>
      <w:kern w:val="0"/>
      <w:sz w:val="24"/>
    </w:rPr>
  </w:style>
  <w:style w:type="paragraph" w:customStyle="1" w:styleId="185">
    <w:name w:val="样式2"/>
    <w:basedOn w:val="2"/>
    <w:qFormat/>
    <w:uiPriority w:val="0"/>
    <w:pPr>
      <w:numPr>
        <w:ilvl w:val="0"/>
        <w:numId w:val="9"/>
      </w:numPr>
      <w:spacing w:before="560" w:line="400" w:lineRule="exact"/>
      <w:jc w:val="center"/>
      <w:outlineLvl w:val="0"/>
    </w:pPr>
    <w:rPr>
      <w:b w:val="0"/>
      <w:sz w:val="44"/>
    </w:rPr>
  </w:style>
  <w:style w:type="paragraph" w:customStyle="1" w:styleId="186">
    <w:name w:val="Char"/>
    <w:basedOn w:val="1"/>
    <w:qFormat/>
    <w:uiPriority w:val="0"/>
    <w:pPr>
      <w:spacing w:line="240" w:lineRule="atLeast"/>
      <w:ind w:left="420" w:firstLine="420"/>
    </w:pPr>
    <w:rPr>
      <w:kern w:val="0"/>
      <w:sz w:val="21"/>
    </w:rPr>
  </w:style>
  <w:style w:type="paragraph" w:customStyle="1" w:styleId="187">
    <w:name w:val="Item List"/>
    <w:qFormat/>
    <w:uiPriority w:val="0"/>
    <w:pPr>
      <w:numPr>
        <w:ilvl w:val="0"/>
        <w:numId w:val="10"/>
      </w:numPr>
      <w:spacing w:line="300" w:lineRule="auto"/>
      <w:jc w:val="both"/>
    </w:pPr>
    <w:rPr>
      <w:rFonts w:ascii="Arial" w:hAnsi="Arial" w:eastAsia="微软雅黑" w:cs="Times New Roman"/>
      <w:sz w:val="21"/>
      <w:lang w:val="en-US" w:eastAsia="zh-CN" w:bidi="ar-SA"/>
    </w:rPr>
  </w:style>
  <w:style w:type="paragraph" w:customStyle="1" w:styleId="188">
    <w:name w:val="正文内容"/>
    <w:basedOn w:val="1"/>
    <w:qFormat/>
    <w:uiPriority w:val="0"/>
    <w:pPr>
      <w:spacing w:line="360" w:lineRule="auto"/>
      <w:ind w:firstLine="420"/>
    </w:pPr>
    <w:rPr>
      <w:rFonts w:ascii="Times New Roman" w:hAnsi="Times New Roman" w:eastAsia="宋体"/>
      <w:sz w:val="24"/>
      <w:szCs w:val="24"/>
    </w:rPr>
  </w:style>
  <w:style w:type="paragraph" w:customStyle="1" w:styleId="189">
    <w:name w:val="AA Numbering"/>
    <w:basedOn w:val="1"/>
    <w:qFormat/>
    <w:uiPriority w:val="0"/>
    <w:pPr>
      <w:widowControl/>
      <w:tabs>
        <w:tab w:val="left" w:pos="1134"/>
        <w:tab w:val="left" w:pos="1280"/>
      </w:tabs>
      <w:adjustRightInd w:val="0"/>
      <w:snapToGrid w:val="0"/>
      <w:spacing w:line="280" w:lineRule="atLeast"/>
      <w:jc w:val="left"/>
    </w:pPr>
    <w:rPr>
      <w:rFonts w:eastAsia="PMingLiU"/>
      <w:kern w:val="0"/>
      <w:sz w:val="24"/>
      <w:lang w:eastAsia="zh-TW"/>
    </w:rPr>
  </w:style>
  <w:style w:type="paragraph" w:customStyle="1" w:styleId="190">
    <w:name w:val="司法正文"/>
    <w:qFormat/>
    <w:uiPriority w:val="0"/>
    <w:pPr>
      <w:widowControl w:val="0"/>
      <w:ind w:firstLine="200" w:firstLineChars="200"/>
      <w:jc w:val="both"/>
    </w:pPr>
    <w:rPr>
      <w:rFonts w:ascii="Calibri" w:hAnsi="Calibri" w:eastAsia="仿宋_GB2312" w:cs="Times New Roman"/>
      <w:sz w:val="32"/>
      <w:lang w:val="en-US" w:eastAsia="zh-CN" w:bidi="ar-SA"/>
    </w:rPr>
  </w:style>
  <w:style w:type="paragraph" w:customStyle="1" w:styleId="191">
    <w:name w:val="投标正文"/>
    <w:basedOn w:val="1"/>
    <w:qFormat/>
    <w:uiPriority w:val="0"/>
    <w:pPr>
      <w:widowControl/>
      <w:spacing w:line="360" w:lineRule="auto"/>
      <w:ind w:firstLine="480" w:firstLineChars="200"/>
    </w:pPr>
    <w:rPr>
      <w:rFonts w:eastAsia="宋体"/>
      <w:snapToGrid w:val="0"/>
      <w:kern w:val="0"/>
      <w:sz w:val="24"/>
      <w:lang w:val="en-GB"/>
    </w:rPr>
  </w:style>
  <w:style w:type="paragraph" w:customStyle="1" w:styleId="192">
    <w:name w:val="Table Contents"/>
    <w:basedOn w:val="22"/>
    <w:qFormat/>
    <w:uiPriority w:val="0"/>
    <w:pPr>
      <w:suppressAutoHyphens/>
      <w:jc w:val="left"/>
    </w:pPr>
    <w:rPr>
      <w:rFonts w:ascii="Times New Roman" w:eastAsia="Times New Roman"/>
      <w:kern w:val="0"/>
      <w:sz w:val="24"/>
    </w:rPr>
  </w:style>
  <w:style w:type="paragraph" w:customStyle="1" w:styleId="193">
    <w:name w:val="Char2"/>
    <w:basedOn w:val="1"/>
    <w:qFormat/>
    <w:uiPriority w:val="0"/>
    <w:pPr>
      <w:spacing w:line="240" w:lineRule="atLeast"/>
      <w:ind w:left="420" w:firstLine="420"/>
    </w:pPr>
    <w:rPr>
      <w:kern w:val="0"/>
      <w:sz w:val="21"/>
    </w:rPr>
  </w:style>
  <w:style w:type="paragraph" w:customStyle="1" w:styleId="194">
    <w:name w:val="默认段落字体 Para Char Char Char Char Char Char Char"/>
    <w:basedOn w:val="1"/>
    <w:qFormat/>
    <w:uiPriority w:val="0"/>
    <w:rPr>
      <w:rFonts w:ascii="Tahoma" w:hAnsi="Tahoma"/>
      <w:sz w:val="24"/>
    </w:rPr>
  </w:style>
  <w:style w:type="paragraph" w:customStyle="1" w:styleId="195">
    <w:name w:val="样式 正文缩进正文（首行缩进两字）表正文正文非缩进特点标题4段1 + 首行缩进:  2 字符"/>
    <w:basedOn w:val="15"/>
    <w:qFormat/>
    <w:uiPriority w:val="0"/>
    <w:pPr>
      <w:ind w:firstLine="480" w:firstLineChars="200"/>
    </w:pPr>
  </w:style>
  <w:style w:type="paragraph" w:customStyle="1" w:styleId="196">
    <w:name w:val="Table Description"/>
    <w:next w:val="1"/>
    <w:qFormat/>
    <w:uiPriority w:val="0"/>
    <w:pPr>
      <w:keepNext/>
      <w:snapToGrid w:val="0"/>
      <w:spacing w:before="160" w:after="80"/>
      <w:ind w:left="1134"/>
      <w:jc w:val="center"/>
    </w:pPr>
    <w:rPr>
      <w:rFonts w:ascii="Arial" w:hAnsi="Arial" w:eastAsia="黑体" w:cs="Times New Roman"/>
      <w:sz w:val="18"/>
      <w:lang w:val="en-US" w:eastAsia="zh-CN" w:bidi="ar-SA"/>
    </w:rPr>
  </w:style>
  <w:style w:type="paragraph" w:customStyle="1" w:styleId="197">
    <w:name w:val="bt"/>
    <w:basedOn w:val="1"/>
    <w:next w:val="22"/>
    <w:qFormat/>
    <w:uiPriority w:val="0"/>
    <w:pPr>
      <w:overflowPunct w:val="0"/>
      <w:autoSpaceDE w:val="0"/>
      <w:autoSpaceDN w:val="0"/>
      <w:adjustRightInd w:val="0"/>
      <w:snapToGrid w:val="0"/>
      <w:spacing w:before="100" w:after="100" w:line="240" w:lineRule="atLeast"/>
      <w:ind w:left="2880" w:hanging="360"/>
      <w:textAlignment w:val="baseline"/>
    </w:pPr>
    <w:rPr>
      <w:rFonts w:ascii="宋体"/>
      <w:kern w:val="0"/>
      <w:sz w:val="20"/>
    </w:rPr>
  </w:style>
  <w:style w:type="paragraph" w:customStyle="1" w:styleId="198">
    <w:name w:val="首行缩进 1"/>
    <w:basedOn w:val="1"/>
    <w:qFormat/>
    <w:uiPriority w:val="0"/>
    <w:pPr>
      <w:spacing w:after="120" w:line="360" w:lineRule="auto"/>
      <w:ind w:firstLine="200" w:firstLineChars="200"/>
    </w:pPr>
    <w:rPr>
      <w:sz w:val="24"/>
    </w:rPr>
  </w:style>
  <w:style w:type="paragraph" w:customStyle="1" w:styleId="199">
    <w:name w:val="Char Char Char Char"/>
    <w:basedOn w:val="1"/>
    <w:qFormat/>
    <w:uiPriority w:val="0"/>
    <w:pPr>
      <w:pageBreakBefore/>
      <w:widowControl/>
      <w:spacing w:after="160" w:line="240" w:lineRule="exact"/>
      <w:jc w:val="left"/>
    </w:pPr>
    <w:rPr>
      <w:rFonts w:ascii="Verdana" w:hAnsi="Verdana"/>
      <w:kern w:val="0"/>
      <w:sz w:val="20"/>
      <w:lang w:eastAsia="en-US"/>
    </w:rPr>
  </w:style>
  <w:style w:type="paragraph" w:customStyle="1" w:styleId="200">
    <w:name w:val="文档正文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201">
    <w:name w:val="xl53"/>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kern w:val="0"/>
      <w:sz w:val="24"/>
    </w:rPr>
  </w:style>
  <w:style w:type="paragraph" w:customStyle="1" w:styleId="202">
    <w:name w:val="样式 宋体 五号 两端对齐 行距: 单倍行距"/>
    <w:basedOn w:val="1"/>
    <w:qFormat/>
    <w:uiPriority w:val="0"/>
    <w:pPr>
      <w:adjustRightInd w:val="0"/>
      <w:textAlignment w:val="baseline"/>
    </w:pPr>
    <w:rPr>
      <w:rFonts w:ascii="宋体" w:hAnsi="宋体"/>
      <w:kern w:val="0"/>
      <w:sz w:val="21"/>
    </w:rPr>
  </w:style>
  <w:style w:type="paragraph" w:customStyle="1" w:styleId="203">
    <w:name w:val="模板标题2"/>
    <w:basedOn w:val="4"/>
    <w:next w:val="1"/>
    <w:qFormat/>
    <w:uiPriority w:val="0"/>
    <w:pPr>
      <w:widowControl/>
      <w:numPr>
        <w:ilvl w:val="1"/>
        <w:numId w:val="7"/>
      </w:numPr>
      <w:spacing w:before="0" w:after="0" w:line="360" w:lineRule="auto"/>
      <w:jc w:val="left"/>
    </w:pPr>
    <w:rPr>
      <w:rFonts w:ascii="Times New Roman" w:hAnsi="Times New Roman" w:eastAsia="宋体"/>
      <w:kern w:val="0"/>
      <w:sz w:val="28"/>
      <w:lang w:val="en-GB"/>
    </w:rPr>
  </w:style>
  <w:style w:type="paragraph" w:customStyle="1" w:styleId="204">
    <w:name w:val="样式1"/>
    <w:basedOn w:val="2"/>
    <w:qFormat/>
    <w:uiPriority w:val="0"/>
    <w:pPr>
      <w:tabs>
        <w:tab w:val="left" w:pos="720"/>
      </w:tabs>
      <w:spacing w:before="500" w:after="260" w:line="560" w:lineRule="atLeast"/>
      <w:ind w:left="420" w:hanging="420"/>
    </w:pPr>
  </w:style>
  <w:style w:type="paragraph" w:customStyle="1" w:styleId="205">
    <w:name w:val="样式 仿宋_GB2312 首行缩进:  2 字符"/>
    <w:basedOn w:val="1"/>
    <w:qFormat/>
    <w:uiPriority w:val="0"/>
    <w:pPr>
      <w:spacing w:line="600" w:lineRule="exact"/>
      <w:ind w:firstLine="420" w:firstLineChars="150"/>
      <w:jc w:val="left"/>
    </w:pPr>
    <w:rPr>
      <w:rFonts w:ascii="仿宋_GB2312" w:hAnsi="Arial" w:eastAsia="仿宋_GB2312"/>
      <w:color w:val="000000"/>
      <w:kern w:val="0"/>
      <w:lang w:val="zh-CN"/>
    </w:rPr>
  </w:style>
  <w:style w:type="paragraph" w:customStyle="1" w:styleId="206">
    <w:name w:val="关键词"/>
    <w:basedOn w:val="1"/>
    <w:next w:val="1"/>
    <w:qFormat/>
    <w:uiPriority w:val="0"/>
    <w:pPr>
      <w:spacing w:line="360" w:lineRule="auto"/>
    </w:pPr>
    <w:rPr>
      <w:rFonts w:eastAsia="黑体"/>
      <w:sz w:val="20"/>
    </w:rPr>
  </w:style>
  <w:style w:type="paragraph" w:customStyle="1" w:styleId="207">
    <w:name w:val="CSS1级正文 Char"/>
    <w:basedOn w:val="22"/>
    <w:qFormat/>
    <w:uiPriority w:val="0"/>
    <w:pPr>
      <w:adjustRightInd w:val="0"/>
      <w:snapToGrid w:val="0"/>
      <w:spacing w:line="360" w:lineRule="auto"/>
      <w:ind w:firstLine="480"/>
    </w:pPr>
    <w:rPr>
      <w:rFonts w:ascii="Times New Roman" w:eastAsia="宋体"/>
      <w:sz w:val="24"/>
    </w:rPr>
  </w:style>
  <w:style w:type="paragraph" w:customStyle="1" w:styleId="208">
    <w:name w:val="样式3"/>
    <w:basedOn w:val="3"/>
    <w:next w:val="3"/>
    <w:qFormat/>
    <w:uiPriority w:val="0"/>
    <w:pPr>
      <w:keepLines/>
      <w:adjustRightInd w:val="0"/>
      <w:spacing w:before="340" w:after="330" w:line="576" w:lineRule="auto"/>
    </w:pPr>
    <w:rPr>
      <w:rFonts w:ascii="Times New Roman" w:eastAsia="黑体"/>
      <w:b/>
      <w:kern w:val="44"/>
      <w:sz w:val="44"/>
    </w:rPr>
  </w:style>
  <w:style w:type="paragraph" w:customStyle="1" w:styleId="209">
    <w:name w:val="Char Char1"/>
    <w:basedOn w:val="1"/>
    <w:qFormat/>
    <w:uiPriority w:val="0"/>
    <w:pPr>
      <w:widowControl/>
      <w:spacing w:after="160" w:line="240" w:lineRule="exact"/>
      <w:jc w:val="left"/>
    </w:pPr>
    <w:rPr>
      <w:rFonts w:ascii="Verdana" w:hAnsi="Verdana"/>
      <w:kern w:val="0"/>
      <w:sz w:val="20"/>
      <w:lang w:eastAsia="en-US"/>
    </w:rPr>
  </w:style>
  <w:style w:type="paragraph" w:customStyle="1" w:styleId="210">
    <w:name w:val="正文4"/>
    <w:basedOn w:val="1"/>
    <w:qFormat/>
    <w:uiPriority w:val="0"/>
    <w:pPr>
      <w:tabs>
        <w:tab w:val="left" w:pos="1275"/>
      </w:tabs>
      <w:spacing w:before="60" w:after="60" w:line="360" w:lineRule="auto"/>
      <w:ind w:left="820" w:leftChars="400" w:hanging="705"/>
    </w:pPr>
    <w:rPr>
      <w:sz w:val="24"/>
    </w:rPr>
  </w:style>
  <w:style w:type="paragraph" w:customStyle="1" w:styleId="211">
    <w:name w:val="00"/>
    <w:basedOn w:val="1"/>
    <w:qFormat/>
    <w:uiPriority w:val="0"/>
    <w:pPr>
      <w:autoSpaceDE w:val="0"/>
      <w:autoSpaceDN w:val="0"/>
      <w:adjustRightInd w:val="0"/>
      <w:jc w:val="left"/>
    </w:pPr>
    <w:rPr>
      <w:rFonts w:ascii="黑体" w:eastAsia="黑体"/>
      <w:b/>
      <w:kern w:val="0"/>
      <w:sz w:val="20"/>
    </w:rPr>
  </w:style>
  <w:style w:type="paragraph" w:customStyle="1" w:styleId="212">
    <w:name w:val="图例"/>
    <w:basedOn w:val="1"/>
    <w:qFormat/>
    <w:uiPriority w:val="0"/>
    <w:pPr>
      <w:spacing w:before="120" w:after="120" w:line="360" w:lineRule="auto"/>
      <w:jc w:val="center"/>
    </w:pPr>
    <w:rPr>
      <w:rFonts w:eastAsia="仿宋_GB2312"/>
      <w:b/>
      <w:sz w:val="24"/>
    </w:rPr>
  </w:style>
  <w:style w:type="paragraph" w:customStyle="1" w:styleId="213">
    <w:name w:val="Char Char 字元 字元 字元 Char Char Char Char"/>
    <w:basedOn w:val="1"/>
    <w:qFormat/>
    <w:uiPriority w:val="0"/>
    <w:pPr>
      <w:adjustRightInd w:val="0"/>
      <w:spacing w:line="360" w:lineRule="auto"/>
    </w:pPr>
    <w:rPr>
      <w:kern w:val="0"/>
      <w:sz w:val="24"/>
    </w:rPr>
  </w:style>
  <w:style w:type="paragraph" w:customStyle="1" w:styleId="214">
    <w:name w:val="没有缩进（为图形使用）"/>
    <w:basedOn w:val="1"/>
    <w:qFormat/>
    <w:uiPriority w:val="0"/>
    <w:pPr>
      <w:spacing w:before="120" w:after="120" w:line="360" w:lineRule="auto"/>
    </w:pPr>
    <w:rPr>
      <w:sz w:val="24"/>
    </w:rPr>
  </w:style>
  <w:style w:type="paragraph" w:customStyle="1" w:styleId="215">
    <w:name w:val="IN Step"/>
    <w:basedOn w:val="1"/>
    <w:qFormat/>
    <w:uiPriority w:val="0"/>
    <w:pPr>
      <w:keepLines/>
      <w:widowControl/>
      <w:tabs>
        <w:tab w:val="left" w:pos="1134"/>
      </w:tabs>
      <w:spacing w:before="80" w:after="80" w:line="300" w:lineRule="auto"/>
      <w:ind w:left="1134" w:hanging="907"/>
      <w:outlineLvl w:val="8"/>
    </w:pPr>
    <w:rPr>
      <w:rFonts w:ascii="Arial" w:hAnsi="Arial"/>
      <w:kern w:val="0"/>
      <w:sz w:val="21"/>
    </w:rPr>
  </w:style>
  <w:style w:type="paragraph" w:customStyle="1" w:styleId="216">
    <w:name w:val="图标"/>
    <w:basedOn w:val="1"/>
    <w:next w:val="1"/>
    <w:qFormat/>
    <w:uiPriority w:val="0"/>
    <w:pPr>
      <w:tabs>
        <w:tab w:val="left" w:pos="420"/>
        <w:tab w:val="left" w:pos="567"/>
        <w:tab w:val="left" w:pos="720"/>
      </w:tabs>
      <w:autoSpaceDE w:val="0"/>
      <w:autoSpaceDN w:val="0"/>
      <w:adjustRightInd w:val="0"/>
      <w:snapToGrid w:val="0"/>
      <w:spacing w:before="120" w:after="120" w:line="320" w:lineRule="atLeast"/>
      <w:ind w:left="420" w:hanging="420"/>
      <w:jc w:val="center"/>
      <w:textAlignment w:val="baseline"/>
    </w:pPr>
    <w:rPr>
      <w:rFonts w:eastAsia="仿宋_GB2312"/>
      <w:kern w:val="0"/>
      <w:sz w:val="24"/>
    </w:rPr>
  </w:style>
  <w:style w:type="paragraph" w:customStyle="1" w:styleId="217">
    <w:name w:val="正文（首行不缩进）"/>
    <w:basedOn w:val="1"/>
    <w:qFormat/>
    <w:uiPriority w:val="0"/>
    <w:pPr>
      <w:autoSpaceDE w:val="0"/>
      <w:autoSpaceDN w:val="0"/>
      <w:adjustRightInd w:val="0"/>
      <w:spacing w:line="360" w:lineRule="auto"/>
      <w:jc w:val="left"/>
    </w:pPr>
    <w:rPr>
      <w:kern w:val="0"/>
      <w:sz w:val="21"/>
    </w:rPr>
  </w:style>
  <w:style w:type="paragraph" w:customStyle="1" w:styleId="218">
    <w:name w:val="样式 样式 宋体 小四 段前: 7.8 磅 段后: 7.8 磅 行距: 1.5 倍行距 + 小二 首行缩进:  2 字符"/>
    <w:basedOn w:val="1"/>
    <w:qFormat/>
    <w:uiPriority w:val="0"/>
    <w:pPr>
      <w:spacing w:line="360" w:lineRule="auto"/>
      <w:ind w:firstLine="480" w:firstLineChars="200"/>
    </w:pPr>
    <w:rPr>
      <w:rFonts w:ascii="宋体" w:hAnsi="宋体" w:cs="宋体"/>
      <w:sz w:val="24"/>
      <w:szCs w:val="24"/>
    </w:rPr>
  </w:style>
  <w:style w:type="paragraph" w:customStyle="1" w:styleId="219">
    <w:name w:val="表格文本"/>
    <w:qFormat/>
    <w:uiPriority w:val="0"/>
    <w:pPr>
      <w:tabs>
        <w:tab w:val="decimal" w:pos="0"/>
      </w:tabs>
    </w:pPr>
    <w:rPr>
      <w:rFonts w:ascii="Arial" w:hAnsi="Arial" w:eastAsia="微软雅黑" w:cs="Times New Roman"/>
      <w:sz w:val="21"/>
      <w:lang w:val="en-US" w:eastAsia="zh-CN" w:bidi="ar-SA"/>
    </w:rPr>
  </w:style>
  <w:style w:type="paragraph" w:customStyle="1" w:styleId="220">
    <w:name w:val="Char Char14 Char Char"/>
    <w:basedOn w:val="1"/>
    <w:qFormat/>
    <w:uiPriority w:val="0"/>
    <w:rPr>
      <w:sz w:val="21"/>
      <w:szCs w:val="24"/>
    </w:rPr>
  </w:style>
  <w:style w:type="paragraph" w:customStyle="1" w:styleId="221">
    <w:name w:val="WPSOffice手动目录 1"/>
    <w:qFormat/>
    <w:uiPriority w:val="0"/>
    <w:rPr>
      <w:rFonts w:ascii="Times New Roman" w:hAnsi="Times New Roman" w:eastAsia="宋体" w:cs="Times New Roman"/>
      <w:lang w:val="en-US" w:eastAsia="zh-CN" w:bidi="ar-SA"/>
    </w:rPr>
  </w:style>
  <w:style w:type="paragraph" w:customStyle="1" w:styleId="222">
    <w:name w:val="正文字缩2字"/>
    <w:basedOn w:val="1"/>
    <w:qFormat/>
    <w:uiPriority w:val="0"/>
    <w:pPr>
      <w:spacing w:before="60" w:after="60" w:line="360" w:lineRule="auto"/>
      <w:ind w:left="200" w:leftChars="200" w:firstLine="200" w:firstLineChars="200"/>
    </w:pPr>
    <w:rPr>
      <w:sz w:val="24"/>
    </w:rPr>
  </w:style>
  <w:style w:type="paragraph" w:customStyle="1" w:styleId="223">
    <w:name w:val="模板标题4"/>
    <w:basedOn w:val="2"/>
    <w:next w:val="160"/>
    <w:qFormat/>
    <w:uiPriority w:val="0"/>
    <w:pPr>
      <w:widowControl/>
      <w:numPr>
        <w:ilvl w:val="3"/>
        <w:numId w:val="7"/>
      </w:numPr>
      <w:tabs>
        <w:tab w:val="left" w:pos="600"/>
      </w:tabs>
      <w:jc w:val="left"/>
    </w:pPr>
    <w:rPr>
      <w:rFonts w:ascii="Times New Roman" w:hAnsi="Times New Roman"/>
      <w:bCs/>
      <w:szCs w:val="28"/>
      <w:lang w:val="en-GB"/>
    </w:rPr>
  </w:style>
  <w:style w:type="paragraph" w:customStyle="1" w:styleId="224">
    <w:name w:val="普通正文"/>
    <w:basedOn w:val="1"/>
    <w:qFormat/>
    <w:uiPriority w:val="0"/>
    <w:pPr>
      <w:adjustRightInd w:val="0"/>
      <w:spacing w:before="120" w:after="120" w:line="360" w:lineRule="auto"/>
      <w:ind w:firstLine="480"/>
      <w:jc w:val="left"/>
      <w:textAlignment w:val="baseline"/>
    </w:pPr>
    <w:rPr>
      <w:rFonts w:ascii="Arial" w:hAnsi="Arial"/>
      <w:kern w:val="0"/>
      <w:sz w:val="24"/>
    </w:rPr>
  </w:style>
  <w:style w:type="paragraph" w:customStyle="1" w:styleId="225">
    <w:name w:val="Title - Date"/>
    <w:basedOn w:val="55"/>
    <w:next w:val="1"/>
    <w:qFormat/>
    <w:uiPriority w:val="0"/>
    <w:pPr>
      <w:spacing w:before="240" w:after="720"/>
    </w:pPr>
    <w:rPr>
      <w:sz w:val="28"/>
    </w:rPr>
  </w:style>
  <w:style w:type="paragraph" w:customStyle="1" w:styleId="226">
    <w:name w:val="af"/>
    <w:basedOn w:val="1"/>
    <w:qFormat/>
    <w:uiPriority w:val="0"/>
    <w:pPr>
      <w:widowControl/>
      <w:spacing w:line="300" w:lineRule="atLeast"/>
      <w:jc w:val="left"/>
    </w:pPr>
    <w:rPr>
      <w:rFonts w:ascii="宋体" w:hAnsi="宋体"/>
      <w:kern w:val="0"/>
      <w:sz w:val="18"/>
    </w:rPr>
  </w:style>
  <w:style w:type="paragraph" w:customStyle="1" w:styleId="227">
    <w:name w:val="样式 样式 首行缩进:  2 字符 + 首行缩进:  2 字符"/>
    <w:basedOn w:val="1"/>
    <w:qFormat/>
    <w:uiPriority w:val="0"/>
    <w:pPr>
      <w:numPr>
        <w:ilvl w:val="0"/>
        <w:numId w:val="11"/>
      </w:numPr>
      <w:tabs>
        <w:tab w:val="clear" w:pos="1230"/>
      </w:tabs>
      <w:spacing w:line="360" w:lineRule="auto"/>
      <w:ind w:firstLine="480" w:firstLineChars="200"/>
    </w:pPr>
    <w:rPr>
      <w:sz w:val="24"/>
    </w:rPr>
  </w:style>
  <w:style w:type="paragraph" w:customStyle="1" w:styleId="228">
    <w:name w:val="Item Step in Table"/>
    <w:qFormat/>
    <w:uiPriority w:val="0"/>
    <w:pPr>
      <w:numPr>
        <w:ilvl w:val="0"/>
        <w:numId w:val="5"/>
      </w:numPr>
      <w:tabs>
        <w:tab w:val="left" w:pos="397"/>
      </w:tabs>
      <w:spacing w:before="40" w:after="40"/>
      <w:jc w:val="both"/>
    </w:pPr>
    <w:rPr>
      <w:rFonts w:ascii="Arial" w:hAnsi="Arial" w:eastAsia="微软雅黑" w:cs="Times New Roman"/>
      <w:sz w:val="18"/>
      <w:lang w:val="en-US" w:eastAsia="zh-CN" w:bidi="ar-SA"/>
    </w:rPr>
  </w:style>
  <w:style w:type="paragraph" w:customStyle="1" w:styleId="229">
    <w:name w:val="Table Text Char1"/>
    <w:qFormat/>
    <w:uiPriority w:val="0"/>
    <w:pPr>
      <w:snapToGrid w:val="0"/>
      <w:spacing w:before="80" w:after="80"/>
    </w:pPr>
    <w:rPr>
      <w:rFonts w:ascii="Arial" w:hAnsi="Arial" w:eastAsia="微软雅黑" w:cs="Times New Roman"/>
      <w:kern w:val="2"/>
      <w:sz w:val="18"/>
      <w:lang w:val="en-US" w:eastAsia="zh-CN" w:bidi="ar-SA"/>
    </w:rPr>
  </w:style>
  <w:style w:type="paragraph" w:customStyle="1" w:styleId="230">
    <w:name w:val="IN Feature"/>
    <w:next w:val="215"/>
    <w:qFormat/>
    <w:uiPriority w:val="0"/>
    <w:pPr>
      <w:keepNext/>
      <w:keepLines/>
      <w:spacing w:before="240" w:after="240"/>
      <w:outlineLvl w:val="7"/>
    </w:pPr>
    <w:rPr>
      <w:rFonts w:ascii="Arial" w:hAnsi="Arial" w:eastAsia="黑体" w:cs="Times New Roman"/>
      <w:sz w:val="21"/>
      <w:lang w:val="en-US" w:eastAsia="zh-CN" w:bidi="ar-SA"/>
    </w:rPr>
  </w:style>
  <w:style w:type="paragraph" w:customStyle="1" w:styleId="231">
    <w:name w:val="样式4"/>
    <w:basedOn w:val="2"/>
    <w:qFormat/>
    <w:uiPriority w:val="0"/>
    <w:pPr>
      <w:adjustRightInd w:val="0"/>
      <w:snapToGrid w:val="0"/>
    </w:pPr>
  </w:style>
  <w:style w:type="paragraph" w:customStyle="1" w:styleId="232">
    <w:name w:val="正文文本 21"/>
    <w:basedOn w:val="1"/>
    <w:qFormat/>
    <w:uiPriority w:val="0"/>
    <w:pPr>
      <w:adjustRightInd w:val="0"/>
      <w:spacing w:before="120" w:line="360" w:lineRule="auto"/>
      <w:ind w:firstLine="480"/>
      <w:textAlignment w:val="baseline"/>
    </w:pPr>
    <w:rPr>
      <w:sz w:val="24"/>
    </w:rPr>
  </w:style>
  <w:style w:type="paragraph" w:customStyle="1" w:styleId="233">
    <w:name w:val="样式1xz"/>
    <w:basedOn w:val="1"/>
    <w:qFormat/>
    <w:uiPriority w:val="0"/>
    <w:pPr>
      <w:tabs>
        <w:tab w:val="left" w:pos="1050"/>
        <w:tab w:val="right" w:leader="dot" w:pos="8296"/>
      </w:tabs>
    </w:pPr>
    <w:rPr>
      <w:caps/>
      <w:spacing w:val="20"/>
      <w:sz w:val="24"/>
    </w:rPr>
  </w:style>
  <w:style w:type="paragraph" w:customStyle="1" w:styleId="234">
    <w:name w:val="È±Ê¡ÎÄ±¾"/>
    <w:basedOn w:val="1"/>
    <w:qFormat/>
    <w:uiPriority w:val="0"/>
    <w:pPr>
      <w:widowControl/>
      <w:overflowPunct w:val="0"/>
      <w:autoSpaceDE w:val="0"/>
      <w:autoSpaceDN w:val="0"/>
      <w:adjustRightInd w:val="0"/>
      <w:jc w:val="left"/>
      <w:textAlignment w:val="baseline"/>
    </w:pPr>
    <w:rPr>
      <w:kern w:val="0"/>
      <w:sz w:val="24"/>
    </w:rPr>
  </w:style>
  <w:style w:type="paragraph" w:customStyle="1" w:styleId="235">
    <w:name w:val="文档正文"/>
    <w:basedOn w:val="1"/>
    <w:qFormat/>
    <w:uiPriority w:val="0"/>
    <w:pPr>
      <w:adjustRightInd w:val="0"/>
      <w:snapToGrid w:val="0"/>
      <w:spacing w:line="440" w:lineRule="exact"/>
      <w:ind w:firstLine="567"/>
      <w:textAlignment w:val="baseline"/>
    </w:pPr>
    <w:rPr>
      <w:rFonts w:ascii="Arial Narrow" w:hAnsi="Arial Narrow"/>
      <w:kern w:val="0"/>
      <w:sz w:val="24"/>
    </w:rPr>
  </w:style>
  <w:style w:type="paragraph" w:customStyle="1" w:styleId="236">
    <w:name w:val="my正文"/>
    <w:basedOn w:val="1"/>
    <w:qFormat/>
    <w:uiPriority w:val="0"/>
    <w:rPr>
      <w:sz w:val="21"/>
    </w:rPr>
  </w:style>
  <w:style w:type="paragraph" w:customStyle="1" w:styleId="237">
    <w:name w:val="样式 标题 1 + 居中 段前: 6 磅 段后: 6 磅 行距: 1.5 倍行距"/>
    <w:basedOn w:val="3"/>
    <w:qFormat/>
    <w:uiPriority w:val="0"/>
    <w:pPr>
      <w:keepLines/>
      <w:adjustRightInd w:val="0"/>
      <w:spacing w:before="120" w:after="120" w:line="360" w:lineRule="auto"/>
      <w:jc w:val="center"/>
    </w:pPr>
    <w:rPr>
      <w:rFonts w:ascii="Times New Roman"/>
      <w:b/>
      <w:kern w:val="44"/>
      <w:sz w:val="32"/>
    </w:rPr>
  </w:style>
  <w:style w:type="paragraph" w:customStyle="1" w:styleId="238">
    <w:name w:val="授权书和信息卡行距"/>
    <w:qFormat/>
    <w:uiPriority w:val="0"/>
    <w:pPr>
      <w:spacing w:line="560" w:lineRule="exact"/>
      <w:ind w:left="200" w:hanging="200" w:hangingChars="200"/>
    </w:pPr>
    <w:rPr>
      <w:rFonts w:ascii="Calibri" w:hAnsi="Calibri" w:eastAsia="仿宋_GB2312" w:cs="Times New Roman"/>
      <w:kern w:val="2"/>
      <w:sz w:val="24"/>
      <w:szCs w:val="24"/>
      <w:lang w:val="en-US" w:eastAsia="zh-CN" w:bidi="ar-SA"/>
    </w:rPr>
  </w:style>
  <w:style w:type="paragraph" w:customStyle="1" w:styleId="239">
    <w:name w:val="Char1 Char Char Char1"/>
    <w:basedOn w:val="1"/>
    <w:qFormat/>
    <w:uiPriority w:val="0"/>
    <w:rPr>
      <w:rFonts w:ascii="Tahoma" w:hAnsi="Tahoma"/>
      <w:sz w:val="30"/>
    </w:rPr>
  </w:style>
  <w:style w:type="paragraph" w:customStyle="1" w:styleId="240">
    <w:name w:val="标题3——2"/>
    <w:basedOn w:val="5"/>
    <w:next w:val="57"/>
    <w:qFormat/>
    <w:uiPriority w:val="0"/>
    <w:pPr>
      <w:tabs>
        <w:tab w:val="left" w:pos="1280"/>
        <w:tab w:val="right" w:leader="dot" w:pos="8777"/>
      </w:tabs>
      <w:spacing w:before="312" w:beforeLines="100" w:after="0" w:line="240" w:lineRule="auto"/>
      <w:ind w:left="851" w:hanging="851"/>
      <w:outlineLvl w:val="9"/>
    </w:pPr>
    <w:rPr>
      <w:rFonts w:ascii="黑体" w:hAnsi="宋体" w:eastAsia="黑体"/>
      <w:sz w:val="30"/>
    </w:rPr>
  </w:style>
  <w:style w:type="paragraph" w:customStyle="1" w:styleId="241">
    <w:name w:val="附件"/>
    <w:next w:val="1"/>
    <w:qFormat/>
    <w:uiPriority w:val="0"/>
    <w:pPr>
      <w:tabs>
        <w:tab w:val="right" w:leader="dot" w:pos="9402"/>
      </w:tabs>
      <w:spacing w:line="400" w:lineRule="exact"/>
      <w:jc w:val="center"/>
      <w:outlineLvl w:val="0"/>
    </w:pPr>
    <w:rPr>
      <w:rFonts w:ascii="Calibri" w:hAnsi="Calibri" w:eastAsia="方正黑体_GBK" w:cs="Times New Roman"/>
      <w:b/>
      <w:bCs/>
      <w:smallCaps/>
      <w:kern w:val="2"/>
      <w:sz w:val="28"/>
      <w:lang w:val="en-US" w:eastAsia="zh-CN" w:bidi="ar-SA"/>
    </w:rPr>
  </w:style>
  <w:style w:type="paragraph" w:customStyle="1" w:styleId="242">
    <w:name w:val="可研正文"/>
    <w:basedOn w:val="22"/>
    <w:qFormat/>
    <w:uiPriority w:val="0"/>
    <w:pPr>
      <w:adjustRightInd w:val="0"/>
      <w:snapToGrid w:val="0"/>
      <w:spacing w:line="440" w:lineRule="exact"/>
      <w:ind w:firstLine="567"/>
    </w:pPr>
    <w:rPr>
      <w:sz w:val="28"/>
    </w:rPr>
  </w:style>
  <w:style w:type="paragraph" w:customStyle="1" w:styleId="243">
    <w:name w:val="编号正文"/>
    <w:basedOn w:val="235"/>
    <w:qFormat/>
    <w:uiPriority w:val="0"/>
    <w:pPr>
      <w:snapToGrid/>
      <w:spacing w:line="360" w:lineRule="auto"/>
      <w:ind w:left="1407" w:hanging="1047"/>
      <w:jc w:val="left"/>
    </w:pPr>
    <w:rPr>
      <w:rFonts w:eastAsia="仿宋_GB2312"/>
    </w:rPr>
  </w:style>
  <w:style w:type="paragraph" w:customStyle="1" w:styleId="244">
    <w:name w:val="样式 行距: 1.5 倍行距1"/>
    <w:basedOn w:val="1"/>
    <w:qFormat/>
    <w:uiPriority w:val="0"/>
    <w:pPr>
      <w:snapToGrid w:val="0"/>
    </w:pPr>
    <w:rPr>
      <w:sz w:val="21"/>
    </w:rPr>
  </w:style>
  <w:style w:type="paragraph" w:customStyle="1" w:styleId="245">
    <w:name w:val="样式 宋体 五号 行距: 单倍行距"/>
    <w:basedOn w:val="1"/>
    <w:qFormat/>
    <w:uiPriority w:val="0"/>
    <w:pPr>
      <w:adjustRightInd w:val="0"/>
      <w:jc w:val="left"/>
    </w:pPr>
    <w:rPr>
      <w:rFonts w:ascii="宋体" w:hAnsi="宋体"/>
      <w:kern w:val="0"/>
      <w:sz w:val="21"/>
    </w:rPr>
  </w:style>
  <w:style w:type="paragraph" w:customStyle="1" w:styleId="246">
    <w:name w:val="二级条标题"/>
    <w:basedOn w:val="133"/>
    <w:next w:val="135"/>
    <w:qFormat/>
    <w:uiPriority w:val="0"/>
    <w:pPr>
      <w:ind w:left="840"/>
      <w:outlineLvl w:val="3"/>
    </w:pPr>
  </w:style>
  <w:style w:type="paragraph" w:customStyle="1" w:styleId="247">
    <w:name w:val="style1"/>
    <w:basedOn w:val="1"/>
    <w:qFormat/>
    <w:uiPriority w:val="0"/>
    <w:pPr>
      <w:widowControl/>
      <w:spacing w:before="100" w:beforeAutospacing="1" w:after="100" w:afterAutospacing="1"/>
      <w:jc w:val="left"/>
    </w:pPr>
    <w:rPr>
      <w:rFonts w:ascii="宋体" w:hAnsi="宋体"/>
      <w:kern w:val="0"/>
      <w:sz w:val="21"/>
    </w:rPr>
  </w:style>
  <w:style w:type="paragraph" w:customStyle="1" w:styleId="248">
    <w:name w:val="表格内文字"/>
    <w:basedOn w:val="30"/>
    <w:qFormat/>
    <w:uiPriority w:val="0"/>
    <w:pPr>
      <w:adjustRightInd w:val="0"/>
    </w:pPr>
    <w:rPr>
      <w:color w:val="000000"/>
      <w:lang w:val="en-GB"/>
    </w:rPr>
  </w:style>
  <w:style w:type="paragraph" w:customStyle="1" w:styleId="249">
    <w:name w:val="Char Char Char Char Char Char Char1"/>
    <w:basedOn w:val="1"/>
    <w:qFormat/>
    <w:uiPriority w:val="0"/>
    <w:rPr>
      <w:rFonts w:ascii="Tahoma" w:hAnsi="Tahoma"/>
      <w:sz w:val="24"/>
    </w:rPr>
  </w:style>
  <w:style w:type="paragraph" w:customStyle="1" w:styleId="250">
    <w:name w:val="摘要"/>
    <w:basedOn w:val="1"/>
    <w:next w:val="4"/>
    <w:qFormat/>
    <w:uiPriority w:val="0"/>
    <w:pPr>
      <w:spacing w:line="360" w:lineRule="auto"/>
    </w:pPr>
    <w:rPr>
      <w:rFonts w:eastAsia="黑体"/>
      <w:sz w:val="20"/>
    </w:rPr>
  </w:style>
  <w:style w:type="paragraph" w:customStyle="1" w:styleId="251">
    <w:name w:val="content"/>
    <w:basedOn w:val="1"/>
    <w:qFormat/>
    <w:uiPriority w:val="0"/>
    <w:pPr>
      <w:widowControl/>
      <w:spacing w:before="100" w:beforeAutospacing="1" w:after="100" w:afterAutospacing="1" w:line="280" w:lineRule="atLeast"/>
      <w:ind w:firstLine="375"/>
      <w:jc w:val="left"/>
    </w:pPr>
    <w:rPr>
      <w:rFonts w:ascii="宋体" w:hAnsi="宋体"/>
      <w:color w:val="000000"/>
      <w:kern w:val="0"/>
      <w:sz w:val="18"/>
    </w:rPr>
  </w:style>
  <w:style w:type="paragraph" w:customStyle="1" w:styleId="252">
    <w:name w:val="表号"/>
    <w:basedOn w:val="1"/>
    <w:qFormat/>
    <w:uiPriority w:val="0"/>
    <w:pPr>
      <w:numPr>
        <w:ilvl w:val="0"/>
        <w:numId w:val="12"/>
      </w:numPr>
      <w:tabs>
        <w:tab w:val="left" w:pos="648"/>
        <w:tab w:val="clear" w:pos="360"/>
      </w:tabs>
      <w:autoSpaceDE w:val="0"/>
      <w:autoSpaceDN w:val="0"/>
      <w:adjustRightInd w:val="0"/>
      <w:spacing w:before="210" w:after="210"/>
      <w:ind w:left="425" w:hanging="137"/>
      <w:jc w:val="center"/>
    </w:pPr>
    <w:rPr>
      <w:kern w:val="0"/>
      <w:sz w:val="21"/>
      <w:lang w:eastAsia="en-US"/>
    </w:rPr>
  </w:style>
  <w:style w:type="paragraph" w:customStyle="1" w:styleId="253">
    <w:name w:val="Char Char Char"/>
    <w:basedOn w:val="1"/>
    <w:qFormat/>
    <w:uiPriority w:val="0"/>
    <w:rPr>
      <w:rFonts w:ascii="Tahoma" w:hAnsi="Tahoma"/>
      <w:sz w:val="24"/>
    </w:rPr>
  </w:style>
  <w:style w:type="paragraph" w:customStyle="1" w:styleId="254">
    <w:name w:val="Char Char Char Char Char Char Char Char Char Char Char Char Char Char Char Char"/>
    <w:basedOn w:val="1"/>
    <w:qFormat/>
    <w:uiPriority w:val="0"/>
    <w:pPr>
      <w:tabs>
        <w:tab w:val="left" w:pos="360"/>
      </w:tabs>
    </w:pPr>
    <w:rPr>
      <w:sz w:val="24"/>
    </w:rPr>
  </w:style>
  <w:style w:type="paragraph" w:customStyle="1" w:styleId="255">
    <w:name w:val="样式 正文首行缩进 2 + 首行缩进:  2 字符"/>
    <w:basedOn w:val="1"/>
    <w:qFormat/>
    <w:uiPriority w:val="0"/>
    <w:pPr>
      <w:numPr>
        <w:ilvl w:val="0"/>
        <w:numId w:val="13"/>
      </w:numPr>
      <w:adjustRightInd w:val="0"/>
      <w:snapToGrid w:val="0"/>
      <w:spacing w:line="360" w:lineRule="auto"/>
    </w:pPr>
    <w:rPr>
      <w:rFonts w:ascii="Arial" w:hAnsi="Arial"/>
      <w:b/>
      <w:sz w:val="24"/>
    </w:rPr>
  </w:style>
  <w:style w:type="paragraph" w:customStyle="1" w:styleId="256">
    <w:name w:val="Figure Description"/>
    <w:next w:val="1"/>
    <w:qFormat/>
    <w:uiPriority w:val="0"/>
    <w:pPr>
      <w:snapToGrid w:val="0"/>
      <w:spacing w:before="80" w:after="320"/>
      <w:ind w:left="1134"/>
      <w:jc w:val="center"/>
    </w:pPr>
    <w:rPr>
      <w:rFonts w:ascii="Arial" w:hAnsi="Arial" w:eastAsia="黑体" w:cs="Times New Roman"/>
      <w:sz w:val="18"/>
      <w:lang w:val="en-US" w:eastAsia="zh-CN" w:bidi="ar-SA"/>
    </w:rPr>
  </w:style>
  <w:style w:type="paragraph" w:customStyle="1" w:styleId="257">
    <w:name w:val="图片文字"/>
    <w:basedOn w:val="1"/>
    <w:qFormat/>
    <w:uiPriority w:val="0"/>
    <w:pPr>
      <w:spacing w:line="240" w:lineRule="atLeast"/>
      <w:jc w:val="center"/>
    </w:pPr>
    <w:rPr>
      <w:sz w:val="21"/>
    </w:rPr>
  </w:style>
  <w:style w:type="paragraph" w:customStyle="1" w:styleId="258">
    <w:name w:val="标题无"/>
    <w:basedOn w:val="1"/>
    <w:qFormat/>
    <w:uiPriority w:val="0"/>
    <w:pPr>
      <w:spacing w:line="360" w:lineRule="auto"/>
    </w:pPr>
    <w:rPr>
      <w:sz w:val="24"/>
    </w:rPr>
  </w:style>
  <w:style w:type="paragraph" w:customStyle="1" w:styleId="259">
    <w:name w:val="附录2"/>
    <w:basedOn w:val="1"/>
    <w:next w:val="1"/>
    <w:qFormat/>
    <w:uiPriority w:val="0"/>
    <w:pPr>
      <w:tabs>
        <w:tab w:val="left" w:pos="420"/>
        <w:tab w:val="left" w:pos="624"/>
      </w:tabs>
      <w:ind w:left="420" w:hanging="420"/>
      <w:outlineLvl w:val="1"/>
    </w:pPr>
    <w:rPr>
      <w:rFonts w:ascii="黑体" w:hAnsi="黑体" w:eastAsia="黑体"/>
      <w:b/>
      <w:sz w:val="32"/>
    </w:rPr>
  </w:style>
  <w:style w:type="paragraph" w:customStyle="1" w:styleId="260">
    <w:name w:val="内容标题"/>
    <w:basedOn w:val="17"/>
    <w:qFormat/>
    <w:uiPriority w:val="0"/>
    <w:rPr>
      <w:rFonts w:ascii="Tahoma" w:hAnsi="Tahoma"/>
      <w:sz w:val="24"/>
    </w:rPr>
  </w:style>
  <w:style w:type="character" w:customStyle="1" w:styleId="261">
    <w:name w:val="正文1 Char Char"/>
    <w:qFormat/>
    <w:uiPriority w:val="0"/>
    <w:rPr>
      <w:rFonts w:ascii="宋体" w:hAnsi="宋体" w:eastAsia="宋体"/>
      <w:u w:val="singl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2.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52</Pages>
  <Words>17620</Words>
  <Characters>18521</Characters>
  <Lines>257</Lines>
  <Paragraphs>72</Paragraphs>
  <TotalTime>12</TotalTime>
  <ScaleCrop>false</ScaleCrop>
  <LinksUpToDate>false</LinksUpToDate>
  <CharactersWithSpaces>21592</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2022-05-16T08:48:00Z</dcterms:created>
  <dc:creator>罗成</dc:creator>
  <cp:lastModifiedBy>吕银彬</cp:lastModifiedBy>
  <cp:lastPrinted>2025-02-21T00:58:00Z</cp:lastPrinted>
  <dcterms:modified xsi:type="dcterms:W3CDTF">2025-07-31T02:56:28Z</dcterms:modified>
  <dc:title>竞争性谈判文件</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4BB14031B8EE4B0FBBA7346417503B5A_13</vt:lpwstr>
  </property>
  <property fmtid="{D5CDD505-2E9C-101B-9397-08002B2CF9AE}" pid="4" name="KSOSaveFontToCloudKey">
    <vt:lpwstr>992573165_embed</vt:lpwstr>
  </property>
  <property fmtid="{D5CDD505-2E9C-101B-9397-08002B2CF9AE}" pid="5" name="KSOTemplateDocerSaveRecord">
    <vt:lpwstr>eyJoZGlkIjoiNjg1ZmNiYmI4YTFiY2I3MTk0MmU4MzZmZjY5ZGM3MjciLCJ1c2VySWQiOiIzODU5NTk0MzYifQ==</vt:lpwstr>
  </property>
</Properties>
</file>