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9"/>
        <w:rPr>
          <w:rFonts w:hint="eastAsia" w:ascii="仿宋" w:hAnsi="仿宋" w:eastAsia="仿宋" w:cs="仿宋"/>
          <w:i w:val="0"/>
          <w:iCs w:val="0"/>
          <w:color w:val="000000" w:themeColor="text1"/>
          <w:highlight w:val="none"/>
          <w14:textFill>
            <w14:solidFill>
              <w14:schemeClr w14:val="tx1"/>
            </w14:solidFill>
          </w14:textFill>
        </w:rPr>
      </w:pPr>
      <w:r>
        <w:rPr>
          <w:rFonts w:hint="eastAsia" w:ascii="仿宋" w:hAnsi="仿宋" w:eastAsia="仿宋" w:cs="仿宋"/>
          <w:i w:val="0"/>
          <w:iCs w:val="0"/>
          <w:color w:val="000000" w:themeColor="text1"/>
          <w:highlight w:val="none"/>
          <w14:textFill>
            <w14:solidFill>
              <w14:schemeClr w14:val="tx1"/>
            </w14:solidFill>
          </w14:textFill>
        </w:rPr>
        <w:t xml:space="preserve"> </w:t>
      </w:r>
    </w:p>
    <w:p>
      <w:pPr>
        <w:pStyle w:val="2"/>
        <w:spacing w:line="360" w:lineRule="auto"/>
        <w:jc w:val="left"/>
        <w:outlineLvl w:val="9"/>
        <w:rPr>
          <w:rFonts w:hint="eastAsia" w:ascii="宋体" w:hAnsi="宋体" w:eastAsia="宋体" w:cs="宋体"/>
          <w:b w:val="0"/>
          <w:bCs w:val="0"/>
          <w:color w:val="000000" w:themeColor="text1"/>
          <w:sz w:val="36"/>
          <w:szCs w:val="36"/>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36"/>
          <w:szCs w:val="32"/>
          <w:highlight w:val="none"/>
          <w14:textFill>
            <w14:solidFill>
              <w14:schemeClr w14:val="tx1"/>
            </w14:solidFill>
          </w14:textFill>
        </w:rPr>
        <w:t>项目</w:t>
      </w:r>
      <w:r>
        <w:rPr>
          <w:rFonts w:hint="eastAsia" w:ascii="宋体" w:hAnsi="宋体" w:eastAsia="宋体" w:cs="宋体"/>
          <w:b w:val="0"/>
          <w:bCs w:val="0"/>
          <w:i w:val="0"/>
          <w:iCs w:val="0"/>
          <w:color w:val="000000" w:themeColor="text1"/>
          <w:sz w:val="36"/>
          <w:szCs w:val="32"/>
          <w:highlight w:val="none"/>
          <w:lang w:val="en-US" w:eastAsia="zh-CN"/>
          <w14:textFill>
            <w14:solidFill>
              <w14:schemeClr w14:val="tx1"/>
            </w14:solidFill>
          </w14:textFill>
        </w:rPr>
        <w:t>名称</w:t>
      </w:r>
      <w:r>
        <w:rPr>
          <w:rFonts w:hint="eastAsia" w:ascii="宋体" w:hAnsi="宋体" w:eastAsia="宋体" w:cs="宋体"/>
          <w:b w:val="0"/>
          <w:bCs w:val="0"/>
          <w:i w:val="0"/>
          <w:iCs w:val="0"/>
          <w:color w:val="000000" w:themeColor="text1"/>
          <w:sz w:val="36"/>
          <w:szCs w:val="32"/>
          <w:highlight w:val="none"/>
          <w14:textFill>
            <w14:solidFill>
              <w14:schemeClr w14:val="tx1"/>
            </w14:solidFill>
          </w14:textFill>
        </w:rPr>
        <w:t>：</w:t>
      </w:r>
      <w:r>
        <w:rPr>
          <w:rFonts w:hint="eastAsia" w:ascii="宋体" w:hAnsi="宋体" w:eastAsia="宋体" w:cs="宋体"/>
          <w:b w:val="0"/>
          <w:bCs w:val="0"/>
          <w:i w:val="0"/>
          <w:iCs w:val="0"/>
          <w:color w:val="000000" w:themeColor="text1"/>
          <w:sz w:val="36"/>
          <w:szCs w:val="32"/>
          <w:highlight w:val="none"/>
          <w:lang w:eastAsia="zh-CN"/>
          <w14:textFill>
            <w14:solidFill>
              <w14:schemeClr w14:val="tx1"/>
            </w14:solidFill>
          </w14:textFill>
        </w:rPr>
        <w:t>重庆中医药学院二期南区学生宿舍建设项目勘察外业见证</w:t>
      </w:r>
    </w:p>
    <w:p>
      <w:pPr>
        <w:pStyle w:val="6"/>
        <w:spacing w:line="360" w:lineRule="auto"/>
        <w:outlineLvl w:val="9"/>
        <w:rPr>
          <w:rFonts w:hint="eastAsia" w:ascii="仿宋" w:hAnsi="仿宋" w:eastAsia="仿宋" w:cs="仿宋"/>
          <w:color w:val="000000" w:themeColor="text1"/>
          <w:sz w:val="48"/>
          <w:szCs w:val="32"/>
          <w:highlight w:val="none"/>
          <w:lang w:val="en-US" w:eastAsia="zh-CN"/>
          <w14:textFill>
            <w14:solidFill>
              <w14:schemeClr w14:val="tx1"/>
            </w14:solidFill>
          </w14:textFill>
        </w:rPr>
      </w:pPr>
    </w:p>
    <w:p>
      <w:pPr>
        <w:rPr>
          <w:rFonts w:hint="eastAsia" w:ascii="仿宋" w:hAnsi="仿宋" w:eastAsia="仿宋" w:cs="仿宋"/>
          <w:color w:val="000000" w:themeColor="text1"/>
          <w:sz w:val="48"/>
          <w:szCs w:val="32"/>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pStyle w:val="24"/>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2"/>
        <w:rPr>
          <w:rFonts w:hint="eastAsia"/>
          <w:color w:val="000000" w:themeColor="text1"/>
          <w:highlight w:val="none"/>
          <w:lang w:val="en-US" w:eastAsia="zh-CN"/>
          <w14:textFill>
            <w14:solidFill>
              <w14:schemeClr w14:val="tx1"/>
            </w14:solidFill>
          </w14:textFill>
        </w:rPr>
      </w:pPr>
    </w:p>
    <w:p>
      <w:pPr>
        <w:spacing w:line="360" w:lineRule="auto"/>
        <w:jc w:val="center"/>
        <w:outlineLvl w:val="9"/>
        <w:rPr>
          <w:rFonts w:hint="eastAsia" w:ascii="宋体" w:hAnsi="宋体" w:eastAsia="宋体" w:cs="宋体"/>
          <w:b/>
          <w:bCs/>
          <w:i w:val="0"/>
          <w:iCs w:val="0"/>
          <w:color w:val="000000" w:themeColor="text1"/>
          <w:spacing w:val="80"/>
          <w:sz w:val="96"/>
          <w:szCs w:val="96"/>
          <w:highlight w:val="none"/>
          <w:lang w:eastAsia="zh-CN"/>
          <w14:textFill>
            <w14:solidFill>
              <w14:schemeClr w14:val="tx1"/>
            </w14:solidFill>
          </w14:textFill>
        </w:rPr>
      </w:pPr>
      <w:r>
        <w:rPr>
          <w:rFonts w:hint="eastAsia" w:ascii="宋体" w:hAnsi="宋体" w:eastAsia="宋体" w:cs="宋体"/>
          <w:b/>
          <w:bCs/>
          <w:i w:val="0"/>
          <w:iCs w:val="0"/>
          <w:color w:val="000000" w:themeColor="text1"/>
          <w:spacing w:val="80"/>
          <w:sz w:val="96"/>
          <w:szCs w:val="96"/>
          <w:highlight w:val="none"/>
          <w:lang w:eastAsia="zh-CN"/>
          <w14:textFill>
            <w14:solidFill>
              <w14:schemeClr w14:val="tx1"/>
            </w14:solidFill>
          </w14:textFill>
        </w:rPr>
        <w:t>竞争性比选文件</w:t>
      </w:r>
    </w:p>
    <w:p>
      <w:pPr>
        <w:spacing w:line="360" w:lineRule="auto"/>
        <w:ind w:firstLine="1680" w:firstLineChars="700"/>
        <w:jc w:val="left"/>
        <w:outlineLvl w:val="9"/>
        <w:rPr>
          <w:rFonts w:hint="default" w:ascii="宋体" w:hAnsi="宋体" w:eastAsia="宋体" w:cs="宋体"/>
          <w:b w:val="0"/>
          <w:bCs w:val="0"/>
          <w:i w:val="0"/>
          <w:iCs w:val="0"/>
          <w:color w:val="000000" w:themeColor="text1"/>
          <w:sz w:val="36"/>
          <w:szCs w:val="30"/>
          <w:highlight w:val="none"/>
          <w:lang w:val="en-US"/>
          <w14:textFill>
            <w14:solidFill>
              <w14:schemeClr w14:val="tx1"/>
            </w14:solidFill>
          </w14:textFill>
        </w:rPr>
      </w:pPr>
      <w:r>
        <w:rPr>
          <w:color w:val="000000" w:themeColor="text1"/>
          <w:sz w:val="24"/>
          <w:highlight w:val="none"/>
          <w:lang w:bidi="ar"/>
          <w14:textFill>
            <w14:solidFill>
              <w14:schemeClr w14:val="tx1"/>
            </w14:solidFill>
          </w14:textFill>
        </w:rPr>
        <w:t>招标编号：</w:t>
      </w:r>
      <w:r>
        <w:rPr>
          <w:rFonts w:ascii="Times New Roman" w:hAnsi="Times New Roman"/>
          <w:color w:val="000000" w:themeColor="text1"/>
          <w:sz w:val="24"/>
          <w:highlight w:val="none"/>
          <w:lang w:bidi="ar"/>
          <w14:textFill>
            <w14:solidFill>
              <w14:schemeClr w14:val="tx1"/>
            </w14:solidFill>
          </w14:textFill>
        </w:rPr>
        <w:t>TZC</w:t>
      </w:r>
      <w:r>
        <w:rPr>
          <w:color w:val="000000" w:themeColor="text1"/>
          <w:sz w:val="24"/>
          <w:highlight w:val="none"/>
          <w:lang w:bidi="ar"/>
          <w14:textFill>
            <w14:solidFill>
              <w14:schemeClr w14:val="tx1"/>
            </w14:solidFill>
          </w14:textFill>
        </w:rPr>
        <w:t>-（招）-咨字-</w:t>
      </w:r>
      <w:r>
        <w:rPr>
          <w:rFonts w:ascii="Times New Roman" w:hAnsi="Times New Roman"/>
          <w:color w:val="000000" w:themeColor="text1"/>
          <w:sz w:val="24"/>
          <w:highlight w:val="none"/>
          <w:lang w:bidi="ar"/>
          <w14:textFill>
            <w14:solidFill>
              <w14:schemeClr w14:val="tx1"/>
            </w14:solidFill>
          </w14:textFill>
        </w:rPr>
        <w:t>2025</w:t>
      </w:r>
      <w:r>
        <w:rPr>
          <w:color w:val="000000" w:themeColor="text1"/>
          <w:sz w:val="24"/>
          <w:highlight w:val="none"/>
          <w:lang w:bidi="ar"/>
          <w14:textFill>
            <w14:solidFill>
              <w14:schemeClr w14:val="tx1"/>
            </w14:solidFill>
          </w14:textFill>
        </w:rPr>
        <w:t>-</w:t>
      </w:r>
      <w:r>
        <w:rPr>
          <w:rFonts w:ascii="Times New Roman" w:hAnsi="Times New Roman"/>
          <w:color w:val="000000" w:themeColor="text1"/>
          <w:sz w:val="24"/>
          <w:highlight w:val="none"/>
          <w:lang w:bidi="ar"/>
          <w14:textFill>
            <w14:solidFill>
              <w14:schemeClr w14:val="tx1"/>
            </w14:solidFill>
          </w14:textFill>
        </w:rPr>
        <w:t>A</w:t>
      </w:r>
      <w:r>
        <w:rPr>
          <w:rFonts w:hint="eastAsia"/>
          <w:color w:val="000000" w:themeColor="text1"/>
          <w:sz w:val="24"/>
          <w:highlight w:val="none"/>
          <w:lang w:val="en-US" w:eastAsia="zh-CN" w:bidi="ar"/>
          <w14:textFill>
            <w14:solidFill>
              <w14:schemeClr w14:val="tx1"/>
            </w14:solidFill>
          </w14:textFill>
        </w:rPr>
        <w:t>041</w:t>
      </w:r>
    </w:p>
    <w:p>
      <w:pPr>
        <w:outlineLvl w:val="9"/>
        <w:rPr>
          <w:rFonts w:hint="eastAsia" w:ascii="仿宋" w:hAnsi="仿宋" w:eastAsia="仿宋" w:cs="仿宋"/>
          <w:i w:val="0"/>
          <w:iCs w:val="0"/>
          <w:color w:val="000000" w:themeColor="text1"/>
          <w:highlight w:val="none"/>
          <w14:textFill>
            <w14:solidFill>
              <w14:schemeClr w14:val="tx1"/>
            </w14:solidFill>
          </w14:textFill>
        </w:rPr>
      </w:pPr>
    </w:p>
    <w:p>
      <w:pPr>
        <w:pStyle w:val="2"/>
        <w:rPr>
          <w:rFonts w:hint="default" w:eastAsia="仿宋_GB2312"/>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pPr>
        <w:pStyle w:val="2"/>
        <w:outlineLvl w:val="9"/>
        <w:rPr>
          <w:rFonts w:hint="eastAsia" w:ascii="仿宋" w:hAnsi="仿宋" w:eastAsia="仿宋" w:cs="仿宋"/>
          <w:i w:val="0"/>
          <w:iCs w:val="0"/>
          <w:color w:val="000000" w:themeColor="text1"/>
          <w:highlight w:val="none"/>
          <w14:textFill>
            <w14:solidFill>
              <w14:schemeClr w14:val="tx1"/>
            </w14:solidFill>
          </w14:textFill>
        </w:rPr>
      </w:pPr>
    </w:p>
    <w:p>
      <w:pPr>
        <w:tabs>
          <w:tab w:val="left" w:pos="6219"/>
        </w:tabs>
        <w:autoSpaceDE w:val="0"/>
        <w:autoSpaceDN w:val="0"/>
        <w:adjustRightInd w:val="0"/>
        <w:snapToGrid w:val="0"/>
        <w:spacing w:line="360" w:lineRule="auto"/>
        <w:ind w:firstLine="1108" w:firstLineChars="400"/>
        <w:jc w:val="both"/>
        <w:rPr>
          <w:rFonts w:ascii="宋体" w:hAnsi="宋体"/>
          <w:bCs/>
          <w:color w:val="000000" w:themeColor="text1"/>
          <w:w w:val="99"/>
          <w:kern w:val="0"/>
          <w:sz w:val="28"/>
          <w:szCs w:val="28"/>
          <w:highlight w:val="none"/>
          <w14:textFill>
            <w14:solidFill>
              <w14:schemeClr w14:val="tx1"/>
            </w14:solidFill>
          </w14:textFill>
        </w:rPr>
      </w:pPr>
      <w:r>
        <w:rPr>
          <w:rFonts w:ascii="宋体" w:hAnsi="宋体"/>
          <w:bCs/>
          <w:color w:val="000000" w:themeColor="text1"/>
          <w:w w:val="99"/>
          <w:kern w:val="0"/>
          <w:sz w:val="28"/>
          <w:szCs w:val="28"/>
          <w:highlight w:val="none"/>
          <w14:textFill>
            <w14:solidFill>
              <w14:schemeClr w14:val="tx1"/>
            </w14:solidFill>
          </w14:textFill>
        </w:rPr>
        <w:t>招</w:t>
      </w:r>
      <w:r>
        <w:rPr>
          <w:rFonts w:hint="eastAsia" w:ascii="宋体" w:hAnsi="宋体"/>
          <w:bCs/>
          <w:color w:val="000000" w:themeColor="text1"/>
          <w:w w:val="99"/>
          <w:kern w:val="0"/>
          <w:sz w:val="28"/>
          <w:szCs w:val="28"/>
          <w:highlight w:val="non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标</w:t>
      </w:r>
      <w:r>
        <w:rPr>
          <w:rFonts w:hint="eastAsia" w:ascii="宋体" w:hAnsi="宋体"/>
          <w:bCs/>
          <w:color w:val="000000" w:themeColor="text1"/>
          <w:w w:val="99"/>
          <w:kern w:val="0"/>
          <w:sz w:val="28"/>
          <w:szCs w:val="28"/>
          <w:highlight w:val="non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人：</w:t>
      </w:r>
      <w:r>
        <w:rPr>
          <w:rFonts w:hint="eastAsia" w:ascii="宋体" w:hAnsi="宋体"/>
          <w:bCs/>
          <w:color w:val="000000" w:themeColor="text1"/>
          <w:kern w:val="0"/>
          <w:sz w:val="28"/>
          <w:szCs w:val="28"/>
          <w:highlight w:val="none"/>
          <w:u w:val="single"/>
          <w:lang w:eastAsia="zh-CN"/>
          <w14:textFill>
            <w14:solidFill>
              <w14:schemeClr w14:val="tx1"/>
            </w14:solidFill>
          </w14:textFill>
        </w:rPr>
        <w:t>重庆中医药学院</w:t>
      </w:r>
      <w:r>
        <w:rPr>
          <w:rFonts w:ascii="宋体" w:hAnsi="宋体"/>
          <w:bCs/>
          <w:color w:val="000000" w:themeColor="text1"/>
          <w:kern w:val="0"/>
          <w:sz w:val="28"/>
          <w:szCs w:val="28"/>
          <w:highlight w:val="none"/>
          <w:u w:val="single"/>
          <w14:textFill>
            <w14:solidFill>
              <w14:schemeClr w14:val="tx1"/>
            </w14:solidFill>
          </w14:textFill>
        </w:rPr>
        <w:t xml:space="preserve"> </w:t>
      </w:r>
      <w:r>
        <w:rPr>
          <w:rFonts w:hint="eastAsia" w:ascii="宋体" w:hAnsi="宋体"/>
          <w:bCs/>
          <w:color w:val="000000" w:themeColor="text1"/>
          <w:kern w:val="0"/>
          <w:sz w:val="28"/>
          <w:szCs w:val="28"/>
          <w:highlight w:val="none"/>
          <w:u w:val="single"/>
          <w:lang w:val="en-US" w:eastAsia="zh-CN"/>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（盖单位法人章）</w:t>
      </w:r>
    </w:p>
    <w:p>
      <w:pPr>
        <w:pStyle w:val="2"/>
        <w:spacing w:line="360" w:lineRule="auto"/>
        <w:ind w:firstLine="554" w:firstLineChars="200"/>
        <w:jc w:val="center"/>
        <w:outlineLvl w:val="9"/>
        <w:rPr>
          <w:rFonts w:hint="eastAsia" w:ascii="仿宋" w:hAnsi="仿宋" w:eastAsia="仿宋" w:cs="仿宋"/>
          <w:b/>
          <w:bCs/>
          <w:i w:val="0"/>
          <w:iCs w:val="0"/>
          <w:color w:val="000000" w:themeColor="text1"/>
          <w:sz w:val="32"/>
          <w:szCs w:val="28"/>
          <w:highlight w:val="none"/>
          <w:lang w:val="en-US" w:eastAsia="zh-CN"/>
          <w14:textFill>
            <w14:solidFill>
              <w14:schemeClr w14:val="tx1"/>
            </w14:solidFill>
          </w14:textFill>
        </w:rPr>
      </w:pPr>
      <w:r>
        <w:rPr>
          <w:rFonts w:hint="eastAsia" w:ascii="宋体" w:hAnsi="宋体" w:eastAsia="宋体" w:cs="Times New Roman"/>
          <w:bCs/>
          <w:color w:val="000000" w:themeColor="text1"/>
          <w:w w:val="99"/>
          <w:kern w:val="0"/>
          <w:sz w:val="28"/>
          <w:szCs w:val="28"/>
          <w:highlight w:val="none"/>
          <w:lang w:val="en-US" w:eastAsia="zh-CN" w:bidi="ar-SA"/>
          <w14:textFill>
            <w14:solidFill>
              <w14:schemeClr w14:val="tx1"/>
            </w14:solidFill>
          </w14:textFill>
        </w:rPr>
        <w:t xml:space="preserve">   </w:t>
      </w:r>
      <w:r>
        <w:rPr>
          <w:rFonts w:ascii="宋体" w:hAnsi="宋体" w:eastAsia="宋体" w:cs="Times New Roman"/>
          <w:bCs/>
          <w:color w:val="000000" w:themeColor="text1"/>
          <w:w w:val="99"/>
          <w:kern w:val="0"/>
          <w:sz w:val="28"/>
          <w:szCs w:val="28"/>
          <w:highlight w:val="none"/>
          <w:lang w:val="en-US" w:eastAsia="zh-CN" w:bidi="ar-SA"/>
          <w14:textFill>
            <w14:solidFill>
              <w14:schemeClr w14:val="tx1"/>
            </w14:solidFill>
          </w14:textFill>
        </w:rPr>
        <w:t>招标代理机构：</w:t>
      </w:r>
      <w:r>
        <w:rPr>
          <w:rFonts w:hint="eastAsia" w:ascii="宋体" w:hAnsi="宋体" w:eastAsia="宋体" w:cs="Times New Roman"/>
          <w:bCs/>
          <w:color w:val="000000" w:themeColor="text1"/>
          <w:kern w:val="0"/>
          <w:sz w:val="28"/>
          <w:szCs w:val="28"/>
          <w:highlight w:val="none"/>
          <w:u w:val="single"/>
          <w:lang w:val="en-US" w:eastAsia="zh-CN" w:bidi="ar-SA"/>
          <w14:textFill>
            <w14:solidFill>
              <w14:schemeClr w14:val="tx1"/>
            </w14:solidFill>
          </w14:textFill>
        </w:rPr>
        <w:t>同致诚工程咨询有限公司</w:t>
      </w:r>
      <w:r>
        <w:rPr>
          <w:rFonts w:ascii="宋体" w:hAnsi="宋体"/>
          <w:bCs/>
          <w:color w:val="000000" w:themeColor="text1"/>
          <w:kern w:val="0"/>
          <w:sz w:val="28"/>
          <w:szCs w:val="28"/>
          <w:highlight w:val="none"/>
          <w:u w:val="single"/>
          <w14:textFill>
            <w14:solidFill>
              <w14:schemeClr w14:val="tx1"/>
            </w14:solidFill>
          </w14:textFill>
        </w:rPr>
        <w:t xml:space="preserve"> </w:t>
      </w:r>
      <w:r>
        <w:rPr>
          <w:rFonts w:ascii="宋体" w:hAnsi="宋体"/>
          <w:bCs/>
          <w:color w:val="000000" w:themeColor="text1"/>
          <w:w w:val="99"/>
          <w:kern w:val="0"/>
          <w:sz w:val="28"/>
          <w:szCs w:val="28"/>
          <w:highlight w:val="none"/>
          <w14:textFill>
            <w14:solidFill>
              <w14:schemeClr w14:val="tx1"/>
            </w14:solidFill>
          </w14:textFill>
        </w:rPr>
        <w:t>（</w:t>
      </w:r>
      <w:r>
        <w:rPr>
          <w:rFonts w:ascii="宋体" w:hAnsi="宋体" w:eastAsia="宋体" w:cs="Times New Roman"/>
          <w:bCs/>
          <w:color w:val="000000" w:themeColor="text1"/>
          <w:w w:val="99"/>
          <w:kern w:val="0"/>
          <w:sz w:val="28"/>
          <w:szCs w:val="28"/>
          <w:highlight w:val="none"/>
          <w:lang w:val="en-US" w:eastAsia="zh-CN" w:bidi="ar-SA"/>
          <w14:textFill>
            <w14:solidFill>
              <w14:schemeClr w14:val="tx1"/>
            </w14:solidFill>
          </w14:textFill>
        </w:rPr>
        <w:t>盖单位法人章</w:t>
      </w:r>
      <w:r>
        <w:rPr>
          <w:rFonts w:ascii="宋体" w:hAnsi="宋体"/>
          <w:bCs/>
          <w:color w:val="000000" w:themeColor="text1"/>
          <w:w w:val="99"/>
          <w:kern w:val="0"/>
          <w:sz w:val="28"/>
          <w:szCs w:val="28"/>
          <w:highlight w:val="none"/>
          <w14:textFill>
            <w14:solidFill>
              <w14:schemeClr w14:val="tx1"/>
            </w14:solidFill>
          </w14:textFill>
        </w:rPr>
        <w:t>）</w:t>
      </w:r>
    </w:p>
    <w:p>
      <w:pPr>
        <w:spacing w:line="360" w:lineRule="auto"/>
        <w:jc w:val="center"/>
        <w:outlineLvl w:val="9"/>
        <w:rPr>
          <w:rFonts w:hint="eastAsia" w:ascii="仿宋" w:hAnsi="仿宋" w:eastAsia="仿宋" w:cs="仿宋"/>
          <w:b/>
          <w:bCs/>
          <w:i w:val="0"/>
          <w:iCs w:val="0"/>
          <w:color w:val="000000" w:themeColor="text1"/>
          <w:sz w:val="32"/>
          <w:szCs w:val="28"/>
          <w:highlight w:val="none"/>
          <w14:textFill>
            <w14:solidFill>
              <w14:schemeClr w14:val="tx1"/>
            </w14:solidFill>
          </w14:textFill>
        </w:rPr>
      </w:pPr>
    </w:p>
    <w:p>
      <w:pPr>
        <w:pStyle w:val="2"/>
        <w:spacing w:line="360" w:lineRule="auto"/>
        <w:jc w:val="center"/>
        <w:outlineLvl w:val="9"/>
        <w:rPr>
          <w:rFonts w:hint="eastAsia" w:ascii="仿宋" w:hAnsi="仿宋" w:eastAsia="仿宋" w:cs="仿宋"/>
          <w:b/>
          <w:bCs/>
          <w:i w:val="0"/>
          <w:iCs w:val="0"/>
          <w:color w:val="000000" w:themeColor="text1"/>
          <w:spacing w:val="80"/>
          <w:sz w:val="44"/>
          <w:szCs w:val="44"/>
          <w:highlight w:val="none"/>
          <w:lang w:eastAsia="zh-CN"/>
          <w14:textFill>
            <w14:solidFill>
              <w14:schemeClr w14:val="tx1"/>
            </w14:solidFill>
          </w14:textFill>
        </w:rPr>
      </w:pPr>
      <w:r>
        <w:rPr>
          <w:rFonts w:hint="eastAsia" w:ascii="宋体" w:hAnsi="宋体" w:eastAsia="宋体" w:cs="宋体"/>
          <w:b/>
          <w:bCs/>
          <w:i w:val="0"/>
          <w:iCs w:val="0"/>
          <w:color w:val="000000" w:themeColor="text1"/>
          <w:sz w:val="32"/>
          <w:szCs w:val="28"/>
          <w:highlight w:val="none"/>
          <w14:textFill>
            <w14:solidFill>
              <w14:schemeClr w14:val="tx1"/>
            </w14:solidFill>
          </w14:textFill>
        </w:rPr>
        <w:t>二〇二</w:t>
      </w:r>
      <w:r>
        <w:rPr>
          <w:rFonts w:hint="eastAsia" w:ascii="宋体" w:hAnsi="宋体" w:eastAsia="宋体" w:cs="宋体"/>
          <w:b/>
          <w:bCs/>
          <w:i w:val="0"/>
          <w:iCs w:val="0"/>
          <w:color w:val="000000" w:themeColor="text1"/>
          <w:sz w:val="32"/>
          <w:szCs w:val="28"/>
          <w:highlight w:val="none"/>
          <w:lang w:val="en-US" w:eastAsia="zh-CN"/>
          <w14:textFill>
            <w14:solidFill>
              <w14:schemeClr w14:val="tx1"/>
            </w14:solidFill>
          </w14:textFill>
        </w:rPr>
        <w:t>五</w:t>
      </w:r>
      <w:r>
        <w:rPr>
          <w:rFonts w:hint="eastAsia" w:ascii="宋体" w:hAnsi="宋体" w:eastAsia="宋体" w:cs="宋体"/>
          <w:b/>
          <w:bCs/>
          <w:i w:val="0"/>
          <w:iCs w:val="0"/>
          <w:color w:val="000000" w:themeColor="text1"/>
          <w:sz w:val="32"/>
          <w:szCs w:val="28"/>
          <w:highlight w:val="none"/>
          <w14:textFill>
            <w14:solidFill>
              <w14:schemeClr w14:val="tx1"/>
            </w14:solidFill>
          </w14:textFill>
        </w:rPr>
        <w:t>年</w:t>
      </w:r>
      <w:r>
        <w:rPr>
          <w:rFonts w:hint="eastAsia" w:ascii="宋体" w:hAnsi="宋体" w:eastAsia="宋体" w:cs="宋体"/>
          <w:b/>
          <w:bCs/>
          <w:i w:val="0"/>
          <w:iCs w:val="0"/>
          <w:color w:val="000000" w:themeColor="text1"/>
          <w:sz w:val="32"/>
          <w:szCs w:val="28"/>
          <w:highlight w:val="none"/>
          <w:lang w:eastAsia="zh-CN"/>
          <w14:textFill>
            <w14:solidFill>
              <w14:schemeClr w14:val="tx1"/>
            </w14:solidFill>
          </w14:textFill>
        </w:rPr>
        <w:t>六</w:t>
      </w:r>
      <w:r>
        <w:rPr>
          <w:rFonts w:hint="eastAsia" w:ascii="宋体" w:hAnsi="宋体" w:eastAsia="宋体" w:cs="宋体"/>
          <w:b/>
          <w:bCs/>
          <w:i w:val="0"/>
          <w:iCs w:val="0"/>
          <w:color w:val="000000" w:themeColor="text1"/>
          <w:sz w:val="32"/>
          <w:szCs w:val="28"/>
          <w:highlight w:val="none"/>
          <w14:textFill>
            <w14:solidFill>
              <w14:schemeClr w14:val="tx1"/>
            </w14:solidFill>
          </w14:textFill>
        </w:rPr>
        <w:t>月</w:t>
      </w:r>
      <w:r>
        <w:rPr>
          <w:rFonts w:hint="eastAsia" w:ascii="仿宋" w:hAnsi="仿宋" w:eastAsia="仿宋" w:cs="仿宋"/>
          <w:i w:val="0"/>
          <w:iCs w:val="0"/>
          <w:color w:val="000000" w:themeColor="text1"/>
          <w:sz w:val="44"/>
          <w:szCs w:val="28"/>
          <w:highlight w:val="none"/>
          <w14:textFill>
            <w14:solidFill>
              <w14:schemeClr w14:val="tx1"/>
            </w14:solidFill>
          </w14:textFill>
        </w:rPr>
        <w:br w:type="page"/>
      </w:r>
    </w:p>
    <w:sdt>
      <w:sdtPr>
        <w:rPr>
          <w:rFonts w:ascii="宋体" w:hAnsi="宋体" w:eastAsia="宋体" w:cs="Times New Roman"/>
          <w:color w:val="000000" w:themeColor="text1"/>
          <w:kern w:val="2"/>
          <w:sz w:val="21"/>
          <w:highlight w:val="none"/>
          <w:lang w:val="en-US" w:eastAsia="zh-CN" w:bidi="ar-SA"/>
          <w14:textFill>
            <w14:solidFill>
              <w14:schemeClr w14:val="tx1"/>
            </w14:solidFill>
          </w14:textFill>
        </w:rPr>
        <w:id w:val="147460855"/>
        <w15:color w:val="DBDBDB"/>
      </w:sdtPr>
      <w:sdtEndP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sdtEndPr>
      <w:sdtContent>
        <w:p>
          <w:pPr>
            <w:spacing w:before="0" w:beforeLines="0" w:after="0" w:afterLines="0" w:line="600" w:lineRule="auto"/>
            <w:ind w:left="0" w:leftChars="0" w:right="0" w:rightChars="0" w:firstLine="0" w:firstLineChars="0"/>
            <w:jc w:val="center"/>
            <w:outlineLvl w:val="9"/>
            <w:rPr>
              <w:rFonts w:ascii="宋体" w:hAnsi="宋体" w:eastAsia="宋体"/>
              <w:color w:val="000000" w:themeColor="text1"/>
              <w:sz w:val="48"/>
              <w:szCs w:val="48"/>
              <w:highlight w:val="none"/>
              <w14:textFill>
                <w14:solidFill>
                  <w14:schemeClr w14:val="tx1"/>
                </w14:solidFill>
              </w14:textFill>
            </w:rPr>
          </w:pPr>
          <w:bookmarkStart w:id="0" w:name="_Toc11641050"/>
          <w:bookmarkStart w:id="1" w:name="_Toc12789052"/>
          <w:bookmarkStart w:id="2" w:name="_Toc106030870"/>
          <w:bookmarkStart w:id="3" w:name="_Toc76462316"/>
          <w:r>
            <w:rPr>
              <w:rFonts w:ascii="宋体" w:hAnsi="宋体" w:eastAsia="宋体"/>
              <w:color w:val="000000" w:themeColor="text1"/>
              <w:sz w:val="48"/>
              <w:szCs w:val="48"/>
              <w:highlight w:val="none"/>
              <w14:textFill>
                <w14:solidFill>
                  <w14:schemeClr w14:val="tx1"/>
                </w14:solidFill>
              </w14:textFill>
            </w:rPr>
            <w:t>目录</w:t>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 w:val="36"/>
              <w:szCs w:val="22"/>
              <w:highlight w:val="none"/>
              <w14:textFill>
                <w14:solidFill>
                  <w14:schemeClr w14:val="tx1"/>
                </w14:solidFill>
              </w14:textFill>
            </w:rPr>
            <w:fldChar w:fldCharType="begin"/>
          </w:r>
          <w:r>
            <w:rPr>
              <w:color w:val="000000" w:themeColor="text1"/>
              <w:sz w:val="36"/>
              <w:szCs w:val="22"/>
              <w:highlight w:val="none"/>
              <w14:textFill>
                <w14:solidFill>
                  <w14:schemeClr w14:val="tx1"/>
                </w14:solidFill>
              </w14:textFill>
            </w:rPr>
            <w:instrText xml:space="preserve">TOC \o "1-1" \h \u </w:instrText>
          </w:r>
          <w:r>
            <w:rPr>
              <w:color w:val="000000" w:themeColor="text1"/>
              <w:sz w:val="36"/>
              <w:szCs w:val="22"/>
              <w:highlight w:val="none"/>
              <w14:textFill>
                <w14:solidFill>
                  <w14:schemeClr w14:val="tx1"/>
                </w14:solidFill>
              </w14:textFill>
            </w:rPr>
            <w:fldChar w:fldCharType="separate"/>
          </w: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_Toc13587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color w:val="000000" w:themeColor="text1"/>
              <w:szCs w:val="30"/>
              <w:highlight w:val="none"/>
              <w14:textFill>
                <w14:solidFill>
                  <w14:schemeClr w14:val="tx1"/>
                </w14:solidFill>
              </w14:textFill>
            </w:rPr>
            <w:t xml:space="preserve">第一篇  </w:t>
          </w:r>
          <w:r>
            <w:rPr>
              <w:rFonts w:hint="eastAsia" w:ascii="仿宋" w:hAnsi="仿宋" w:eastAsia="仿宋" w:cs="仿宋"/>
              <w:bCs/>
              <w:color w:val="000000" w:themeColor="text1"/>
              <w:szCs w:val="30"/>
              <w:highlight w:val="none"/>
              <w:lang w:val="en-US" w:eastAsia="zh-CN"/>
              <w14:textFill>
                <w14:solidFill>
                  <w14:schemeClr w14:val="tx1"/>
                </w14:solidFill>
              </w14:textFill>
            </w:rPr>
            <w:t>比选邀请书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- 3 -</w:t>
          </w:r>
          <w:r>
            <w:rPr>
              <w:color w:val="000000" w:themeColor="text1"/>
              <w:highlight w:val="none"/>
              <w14:textFill>
                <w14:solidFill>
                  <w14:schemeClr w14:val="tx1"/>
                </w14:solidFill>
              </w14:textFill>
            </w:rPr>
            <w:fldChar w:fldCharType="end"/>
          </w:r>
          <w:r>
            <w:rPr>
              <w:color w:val="000000" w:themeColor="text1"/>
              <w:szCs w:val="22"/>
              <w:highlight w:val="none"/>
              <w14:textFill>
                <w14:solidFill>
                  <w14:schemeClr w14:val="tx1"/>
                </w14:solidFill>
              </w14:textFill>
            </w:rPr>
            <w:fldChar w:fldCharType="end"/>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_Toc29444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36"/>
              <w:highlight w:val="none"/>
              <w14:textFill>
                <w14:solidFill>
                  <w14:schemeClr w14:val="tx1"/>
                </w14:solidFill>
              </w14:textFill>
            </w:rPr>
            <w:t>第二篇  项目服务需求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_Toc29444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- 7 -</w:t>
          </w:r>
          <w:r>
            <w:rPr>
              <w:color w:val="000000" w:themeColor="text1"/>
              <w:highlight w:val="none"/>
              <w14:textFill>
                <w14:solidFill>
                  <w14:schemeClr w14:val="tx1"/>
                </w14:solidFill>
              </w14:textFill>
            </w:rPr>
            <w:fldChar w:fldCharType="end"/>
          </w:r>
          <w:r>
            <w:rPr>
              <w:color w:val="000000" w:themeColor="text1"/>
              <w:szCs w:val="22"/>
              <w:highlight w:val="none"/>
              <w14:textFill>
                <w14:solidFill>
                  <w14:schemeClr w14:val="tx1"/>
                </w14:solidFill>
              </w14:textFill>
            </w:rPr>
            <w:fldChar w:fldCharType="end"/>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_Toc26472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36"/>
              <w:highlight w:val="none"/>
              <w14:textFill>
                <w14:solidFill>
                  <w14:schemeClr w14:val="tx1"/>
                </w14:solidFill>
              </w14:textFill>
            </w:rPr>
            <w:t xml:space="preserve">第三篇 </w:t>
          </w:r>
          <w:r>
            <w:rPr>
              <w:rFonts w:hint="eastAsia" w:ascii="仿宋" w:hAnsi="仿宋" w:eastAsia="仿宋" w:cs="仿宋"/>
              <w:bCs/>
              <w:i w:val="0"/>
              <w:iCs w:val="0"/>
              <w:color w:val="000000" w:themeColor="text1"/>
              <w:szCs w:val="36"/>
              <w:highlight w:val="none"/>
              <w:lang w:val="en-US" w:eastAsia="zh-CN"/>
              <w14:textFill>
                <w14:solidFill>
                  <w14:schemeClr w14:val="tx1"/>
                </w14:solidFill>
              </w14:textFill>
            </w:rPr>
            <w:t xml:space="preserve"> </w:t>
          </w:r>
          <w:r>
            <w:rPr>
              <w:rFonts w:hint="eastAsia" w:ascii="仿宋" w:hAnsi="仿宋" w:eastAsia="仿宋" w:cs="仿宋"/>
              <w:bCs/>
              <w:i w:val="0"/>
              <w:iCs w:val="0"/>
              <w:color w:val="000000" w:themeColor="text1"/>
              <w:szCs w:val="36"/>
              <w:highlight w:val="none"/>
              <w14:textFill>
                <w14:solidFill>
                  <w14:schemeClr w14:val="tx1"/>
                </w14:solidFill>
              </w14:textFill>
            </w:rPr>
            <w:t>项目商务需求</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8</w:t>
          </w:r>
          <w:r>
            <w:rPr>
              <w:color w:val="000000" w:themeColor="text1"/>
              <w:szCs w:val="22"/>
              <w:highlight w:val="none"/>
              <w14:textFill>
                <w14:solidFill>
                  <w14:schemeClr w14:val="tx1"/>
                </w14:solidFill>
              </w14:textFill>
            </w:rPr>
            <w:fldChar w:fldCharType="end"/>
          </w:r>
        </w:p>
        <w:p>
          <w:pPr>
            <w:pStyle w:val="16"/>
            <w:tabs>
              <w:tab w:val="right" w:leader="dot" w:pos="9014"/>
            </w:tabs>
            <w:spacing w:line="60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_Toc2376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i w:val="0"/>
              <w:iCs w:val="0"/>
              <w:color w:val="000000" w:themeColor="text1"/>
              <w:szCs w:val="36"/>
              <w:highlight w:val="none"/>
              <w14:textFill>
                <w14:solidFill>
                  <w14:schemeClr w14:val="tx1"/>
                </w14:solidFill>
              </w14:textFill>
            </w:rPr>
            <w:t xml:space="preserve">第四篇  </w:t>
          </w:r>
          <w:r>
            <w:rPr>
              <w:rFonts w:hint="eastAsia" w:ascii="仿宋" w:hAnsi="仿宋" w:eastAsia="仿宋" w:cs="仿宋"/>
              <w:bCs/>
              <w:i w:val="0"/>
              <w:iCs w:val="0"/>
              <w:color w:val="000000" w:themeColor="text1"/>
              <w:szCs w:val="36"/>
              <w:highlight w:val="none"/>
              <w:lang w:val="en-US" w:eastAsia="zh-CN"/>
              <w14:textFill>
                <w14:solidFill>
                  <w14:schemeClr w14:val="tx1"/>
                </w14:solidFill>
              </w14:textFill>
            </w:rPr>
            <w:t>比选程序、</w:t>
          </w:r>
          <w:r>
            <w:rPr>
              <w:rFonts w:hint="eastAsia" w:ascii="仿宋" w:hAnsi="仿宋" w:eastAsia="仿宋" w:cs="仿宋"/>
              <w:bCs/>
              <w:i w:val="0"/>
              <w:iCs w:val="0"/>
              <w:color w:val="000000" w:themeColor="text1"/>
              <w:szCs w:val="36"/>
              <w:highlight w:val="none"/>
              <w14:textFill>
                <w14:solidFill>
                  <w14:schemeClr w14:val="tx1"/>
                </w14:solidFill>
              </w14:textFill>
            </w:rPr>
            <w:t>评标办法</w:t>
          </w:r>
          <w:r>
            <w:rPr>
              <w:rFonts w:hint="eastAsia" w:ascii="仿宋" w:hAnsi="仿宋" w:eastAsia="仿宋" w:cs="仿宋"/>
              <w:bCs/>
              <w:i w:val="0"/>
              <w:iCs w:val="0"/>
              <w:color w:val="000000" w:themeColor="text1"/>
              <w:szCs w:val="36"/>
              <w:highlight w:val="none"/>
              <w:lang w:eastAsia="zh-CN"/>
              <w14:textFill>
                <w14:solidFill>
                  <w14:schemeClr w14:val="tx1"/>
                </w14:solidFill>
              </w14:textFill>
            </w:rPr>
            <w:t>、</w:t>
          </w:r>
          <w:r>
            <w:rPr>
              <w:rFonts w:hint="eastAsia" w:ascii="仿宋" w:hAnsi="仿宋" w:eastAsia="仿宋" w:cs="仿宋"/>
              <w:bCs/>
              <w:i w:val="0"/>
              <w:iCs w:val="0"/>
              <w:color w:val="000000" w:themeColor="text1"/>
              <w:szCs w:val="36"/>
              <w:highlight w:val="none"/>
              <w:lang w:val="en-US" w:eastAsia="zh-CN"/>
              <w14:textFill>
                <w14:solidFill>
                  <w14:schemeClr w14:val="tx1"/>
                </w14:solidFill>
              </w14:textFill>
            </w:rPr>
            <w:t>无效响应及比选终止</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szCs w:val="22"/>
              <w:highlight w:val="none"/>
              <w14:textFill>
                <w14:solidFill>
                  <w14:schemeClr w14:val="tx1"/>
                </w14:solidFill>
              </w14:textFill>
            </w:rPr>
            <w:fldChar w:fldCharType="end"/>
          </w:r>
          <w:r>
            <w:rPr>
              <w:rFonts w:hint="eastAsia"/>
              <w:color w:val="000000" w:themeColor="text1"/>
              <w:szCs w:val="22"/>
              <w:highlight w:val="none"/>
              <w:lang w:val="en-US" w:eastAsia="zh-CN"/>
              <w14:textFill>
                <w14:solidFill>
                  <w14:schemeClr w14:val="tx1"/>
                </w14:solidFill>
              </w14:textFill>
            </w:rPr>
            <w:t>0</w:t>
          </w:r>
        </w:p>
        <w:p>
          <w:pPr>
            <w:pStyle w:val="16"/>
            <w:tabs>
              <w:tab w:val="right" w:leader="dot" w:pos="9014"/>
            </w:tabs>
            <w:spacing w:line="60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_Toc18804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color w:val="000000" w:themeColor="text1"/>
              <w:szCs w:val="36"/>
              <w:highlight w:val="none"/>
              <w14:textFill>
                <w14:solidFill>
                  <w14:schemeClr w14:val="tx1"/>
                </w14:solidFill>
              </w14:textFill>
            </w:rPr>
            <w:t xml:space="preserve">第五篇  </w:t>
          </w:r>
          <w:r>
            <w:rPr>
              <w:rFonts w:hint="eastAsia" w:ascii="仿宋" w:hAnsi="仿宋" w:eastAsia="仿宋" w:cs="仿宋"/>
              <w:bCs/>
              <w:color w:val="000000" w:themeColor="text1"/>
              <w:szCs w:val="36"/>
              <w:highlight w:val="none"/>
              <w:lang w:eastAsia="zh-CN"/>
              <w14:textFill>
                <w14:solidFill>
                  <w14:schemeClr w14:val="tx1"/>
                </w14:solidFill>
              </w14:textFill>
            </w:rPr>
            <w:t>竞选人</w:t>
          </w:r>
          <w:r>
            <w:rPr>
              <w:rFonts w:hint="eastAsia" w:ascii="仿宋" w:hAnsi="仿宋" w:eastAsia="仿宋" w:cs="仿宋"/>
              <w:bCs/>
              <w:color w:val="000000" w:themeColor="text1"/>
              <w:szCs w:val="36"/>
              <w:highlight w:val="none"/>
              <w14:textFill>
                <w14:solidFill>
                  <w14:schemeClr w14:val="tx1"/>
                </w14:solidFill>
              </w14:textFill>
            </w:rPr>
            <w:t>须知</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szCs w:val="22"/>
              <w:highlight w:val="none"/>
              <w14:textFill>
                <w14:solidFill>
                  <w14:schemeClr w14:val="tx1"/>
                </w14:solidFill>
              </w14:textFill>
            </w:rPr>
            <w:fldChar w:fldCharType="end"/>
          </w:r>
          <w:r>
            <w:rPr>
              <w:rFonts w:hint="eastAsia"/>
              <w:color w:val="000000" w:themeColor="text1"/>
              <w:szCs w:val="22"/>
              <w:highlight w:val="none"/>
              <w:lang w:val="en-US" w:eastAsia="zh-CN"/>
              <w14:textFill>
                <w14:solidFill>
                  <w14:schemeClr w14:val="tx1"/>
                </w14:solidFill>
              </w14:textFill>
            </w:rPr>
            <w:t>4</w:t>
          </w:r>
        </w:p>
        <w:p>
          <w:pPr>
            <w:pStyle w:val="16"/>
            <w:tabs>
              <w:tab w:val="right" w:leader="dot" w:pos="9014"/>
            </w:tabs>
            <w:spacing w:line="600" w:lineRule="auto"/>
            <w:rPr>
              <w:rFonts w:hint="eastAsia" w:eastAsia="宋体"/>
              <w:color w:val="000000" w:themeColor="text1"/>
              <w:highlight w:val="none"/>
              <w:lang w:val="en-US" w:eastAsia="zh-CN"/>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_Toc28348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val="0"/>
              <w:color w:val="000000" w:themeColor="text1"/>
              <w:szCs w:val="30"/>
              <w:highlight w:val="none"/>
              <w14:textFill>
                <w14:solidFill>
                  <w14:schemeClr w14:val="tx1"/>
                </w14:solidFill>
              </w14:textFill>
            </w:rPr>
            <w:t xml:space="preserve">第六篇  </w:t>
          </w:r>
          <w:r>
            <w:rPr>
              <w:rFonts w:hint="eastAsia" w:ascii="仿宋" w:hAnsi="仿宋" w:eastAsia="仿宋" w:cs="仿宋"/>
              <w:bCs w:val="0"/>
              <w:color w:val="000000" w:themeColor="text1"/>
              <w:szCs w:val="30"/>
              <w:highlight w:val="none"/>
              <w:lang w:val="en-US" w:eastAsia="zh-CN"/>
              <w14:textFill>
                <w14:solidFill>
                  <w14:schemeClr w14:val="tx1"/>
                </w14:solidFill>
              </w14:textFill>
            </w:rPr>
            <w:t>比选</w:t>
          </w:r>
          <w:r>
            <w:rPr>
              <w:rFonts w:hint="eastAsia" w:ascii="仿宋" w:hAnsi="仿宋" w:eastAsia="仿宋" w:cs="仿宋"/>
              <w:bCs w:val="0"/>
              <w:color w:val="000000" w:themeColor="text1"/>
              <w:szCs w:val="30"/>
              <w:highlight w:val="none"/>
              <w14:textFill>
                <w14:solidFill>
                  <w14:schemeClr w14:val="tx1"/>
                </w14:solidFill>
              </w14:textFill>
            </w:rPr>
            <w:t>合同</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color w:val="000000" w:themeColor="text1"/>
              <w:szCs w:val="22"/>
              <w:highlight w:val="none"/>
              <w14:textFill>
                <w14:solidFill>
                  <w14:schemeClr w14:val="tx1"/>
                </w14:solidFill>
              </w14:textFill>
            </w:rPr>
            <w:fldChar w:fldCharType="end"/>
          </w:r>
          <w:r>
            <w:rPr>
              <w:rFonts w:hint="eastAsia"/>
              <w:color w:val="000000" w:themeColor="text1"/>
              <w:szCs w:val="22"/>
              <w:highlight w:val="none"/>
              <w:lang w:val="en-US" w:eastAsia="zh-CN"/>
              <w14:textFill>
                <w14:solidFill>
                  <w14:schemeClr w14:val="tx1"/>
                </w14:solidFill>
              </w14:textFill>
            </w:rPr>
            <w:t>9</w:t>
          </w:r>
        </w:p>
        <w:p>
          <w:pPr>
            <w:pStyle w:val="16"/>
            <w:tabs>
              <w:tab w:val="right" w:leader="dot" w:pos="9014"/>
            </w:tabs>
            <w:spacing w:line="600" w:lineRule="auto"/>
            <w:rPr>
              <w:color w:val="000000" w:themeColor="text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begin"/>
          </w:r>
          <w:r>
            <w:rPr>
              <w:color w:val="000000" w:themeColor="text1"/>
              <w:szCs w:val="22"/>
              <w:highlight w:val="none"/>
              <w14:textFill>
                <w14:solidFill>
                  <w14:schemeClr w14:val="tx1"/>
                </w14:solidFill>
              </w14:textFill>
            </w:rPr>
            <w:instrText xml:space="preserve"> HYPERLINK \l _Toc2032 </w:instrText>
          </w:r>
          <w:r>
            <w:rPr>
              <w:color w:val="000000" w:themeColor="text1"/>
              <w:szCs w:val="22"/>
              <w:highlight w:val="none"/>
              <w14:textFill>
                <w14:solidFill>
                  <w14:schemeClr w14:val="tx1"/>
                </w14:solidFill>
              </w14:textFill>
            </w:rPr>
            <w:fldChar w:fldCharType="separate"/>
          </w:r>
          <w:r>
            <w:rPr>
              <w:rFonts w:hint="eastAsia" w:ascii="仿宋" w:hAnsi="仿宋" w:eastAsia="仿宋" w:cs="仿宋"/>
              <w:bCs/>
              <w:color w:val="000000" w:themeColor="text1"/>
              <w:szCs w:val="30"/>
              <w:highlight w:val="none"/>
              <w14:textFill>
                <w14:solidFill>
                  <w14:schemeClr w14:val="tx1"/>
                </w14:solidFill>
              </w14:textFill>
            </w:rPr>
            <w:t xml:space="preserve">第七篇  </w:t>
          </w:r>
          <w:r>
            <w:rPr>
              <w:rFonts w:hint="eastAsia" w:ascii="仿宋" w:hAnsi="仿宋" w:eastAsia="仿宋" w:cs="仿宋"/>
              <w:bCs/>
              <w:color w:val="000000" w:themeColor="text1"/>
              <w:szCs w:val="30"/>
              <w:highlight w:val="none"/>
              <w:lang w:eastAsia="zh-CN"/>
              <w14:textFill>
                <w14:solidFill>
                  <w14:schemeClr w14:val="tx1"/>
                </w14:solidFill>
              </w14:textFill>
            </w:rPr>
            <w:t>竞选文件</w:t>
          </w:r>
          <w:r>
            <w:rPr>
              <w:rFonts w:hint="eastAsia" w:ascii="仿宋" w:hAnsi="仿宋" w:eastAsia="仿宋" w:cs="仿宋"/>
              <w:bCs/>
              <w:color w:val="000000" w:themeColor="text1"/>
              <w:szCs w:val="30"/>
              <w:highlight w:val="none"/>
              <w14:textFill>
                <w14:solidFill>
                  <w14:schemeClr w14:val="tx1"/>
                </w14:solidFill>
              </w14:textFill>
            </w:rPr>
            <w:t>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35</w:t>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fldChar w:fldCharType="end"/>
          </w:r>
          <w:r>
            <w:rPr>
              <w:color w:val="000000" w:themeColor="text1"/>
              <w:szCs w:val="22"/>
              <w:highlight w:val="none"/>
              <w14:textFill>
                <w14:solidFill>
                  <w14:schemeClr w14:val="tx1"/>
                </w14:solidFill>
              </w14:textFill>
            </w:rPr>
            <w:fldChar w:fldCharType="end"/>
          </w:r>
        </w:p>
        <w:p>
          <w:pPr>
            <w:spacing w:line="600" w:lineRule="auto"/>
            <w:outlineLvl w:val="9"/>
            <w:rPr>
              <w:color w:val="000000" w:themeColor="text1"/>
              <w:sz w:val="21"/>
              <w:szCs w:val="21"/>
              <w:highlight w:val="none"/>
              <w14:textFill>
                <w14:solidFill>
                  <w14:schemeClr w14:val="tx1"/>
                </w14:solidFill>
              </w14:textFill>
            </w:rPr>
          </w:pPr>
          <w:r>
            <w:rPr>
              <w:color w:val="000000" w:themeColor="text1"/>
              <w:szCs w:val="22"/>
              <w:highlight w:val="none"/>
              <w14:textFill>
                <w14:solidFill>
                  <w14:schemeClr w14:val="tx1"/>
                </w14:solidFill>
              </w14:textFill>
            </w:rPr>
            <w:fldChar w:fldCharType="end"/>
          </w:r>
        </w:p>
      </w:sdtContent>
    </w:sdt>
    <w:p>
      <w:pPr>
        <w:spacing w:line="600" w:lineRule="auto"/>
        <w:rPr>
          <w:rFonts w:hint="eastAsia" w:ascii="仿宋" w:hAnsi="仿宋" w:eastAsia="仿宋" w:cs="仿宋"/>
          <w:b/>
          <w:bCs/>
          <w:color w:val="000000" w:themeColor="text1"/>
          <w:sz w:val="40"/>
          <w:szCs w:val="32"/>
          <w:highlight w:val="none"/>
          <w14:textFill>
            <w14:solidFill>
              <w14:schemeClr w14:val="tx1"/>
            </w14:solidFill>
          </w14:textFill>
        </w:rPr>
      </w:pPr>
      <w:r>
        <w:rPr>
          <w:rFonts w:hint="eastAsia" w:ascii="仿宋" w:hAnsi="仿宋" w:eastAsia="仿宋" w:cs="仿宋"/>
          <w:b/>
          <w:bCs/>
          <w:color w:val="000000" w:themeColor="text1"/>
          <w:sz w:val="40"/>
          <w:szCs w:val="32"/>
          <w:highlight w:val="none"/>
          <w14:textFill>
            <w14:solidFill>
              <w14:schemeClr w14:val="tx1"/>
            </w14:solidFill>
          </w14:textFill>
        </w:rPr>
        <w:br w:type="page"/>
      </w:r>
      <w:bookmarkStart w:id="140" w:name="_GoBack"/>
      <w:bookmarkEnd w:id="140"/>
    </w:p>
    <w:p>
      <w:pPr>
        <w:snapToGrid w:val="0"/>
        <w:spacing w:line="360" w:lineRule="auto"/>
        <w:jc w:val="center"/>
        <w:outlineLvl w:val="0"/>
        <w:rPr>
          <w:rFonts w:hint="eastAsia" w:ascii="仿宋" w:hAnsi="仿宋" w:eastAsia="仿宋" w:cs="仿宋"/>
          <w:b/>
          <w:bCs/>
          <w:color w:val="000000" w:themeColor="text1"/>
          <w:sz w:val="24"/>
          <w:szCs w:val="24"/>
          <w:highlight w:val="none"/>
          <w14:textFill>
            <w14:solidFill>
              <w14:schemeClr w14:val="tx1"/>
            </w14:solidFill>
          </w14:textFill>
        </w:rPr>
      </w:pPr>
      <w:bookmarkStart w:id="4" w:name="_Toc13587"/>
      <w:r>
        <w:rPr>
          <w:rFonts w:hint="eastAsia" w:ascii="仿宋" w:hAnsi="仿宋" w:eastAsia="仿宋" w:cs="仿宋"/>
          <w:b/>
          <w:bCs/>
          <w:color w:val="000000" w:themeColor="text1"/>
          <w:sz w:val="36"/>
          <w:szCs w:val="30"/>
          <w:highlight w:val="none"/>
          <w14:textFill>
            <w14:solidFill>
              <w14:schemeClr w14:val="tx1"/>
            </w14:solidFill>
          </w14:textFill>
        </w:rPr>
        <w:t xml:space="preserve">第一篇  </w:t>
      </w:r>
      <w:bookmarkEnd w:id="0"/>
      <w:bookmarkEnd w:id="1"/>
      <w:bookmarkEnd w:id="2"/>
      <w:bookmarkEnd w:id="3"/>
      <w:r>
        <w:rPr>
          <w:rFonts w:hint="eastAsia" w:ascii="仿宋" w:hAnsi="仿宋" w:eastAsia="仿宋" w:cs="仿宋"/>
          <w:b/>
          <w:bCs/>
          <w:color w:val="000000" w:themeColor="text1"/>
          <w:sz w:val="36"/>
          <w:szCs w:val="30"/>
          <w:highlight w:val="none"/>
          <w:lang w:val="en-US" w:eastAsia="zh-CN"/>
          <w14:textFill>
            <w14:solidFill>
              <w14:schemeClr w14:val="tx1"/>
            </w14:solidFill>
          </w14:textFill>
        </w:rPr>
        <w:t>比选邀请书</w:t>
      </w:r>
      <w:bookmarkEnd w:id="4"/>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lang w:eastAsia="zh-CN"/>
          <w14:textFill>
            <w14:solidFill>
              <w14:schemeClr w14:val="tx1"/>
            </w14:solidFill>
          </w14:textFill>
        </w:rPr>
        <w:t>同致诚工程咨询有限公司</w:t>
      </w:r>
      <w:r>
        <w:rPr>
          <w:rFonts w:hint="eastAsia" w:ascii="仿宋" w:hAnsi="仿宋" w:eastAsia="仿宋" w:cs="仿宋"/>
          <w:color w:val="000000" w:themeColor="text1"/>
          <w:sz w:val="24"/>
          <w:szCs w:val="24"/>
          <w:highlight w:val="none"/>
          <w14:textFill>
            <w14:solidFill>
              <w14:schemeClr w14:val="tx1"/>
            </w14:solidFill>
          </w14:textFill>
        </w:rPr>
        <w:t>（以下简称：</w:t>
      </w:r>
      <w:r>
        <w:rPr>
          <w:rFonts w:hint="eastAsia" w:ascii="仿宋" w:hAnsi="仿宋" w:eastAsia="仿宋" w:cs="仿宋"/>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color w:val="000000" w:themeColor="text1"/>
          <w:sz w:val="24"/>
          <w:szCs w:val="24"/>
          <w:highlight w:val="none"/>
          <w14:textFill>
            <w14:solidFill>
              <w14:schemeClr w14:val="tx1"/>
            </w14:solidFill>
          </w14:textFill>
        </w:rPr>
        <w:t>）受</w:t>
      </w:r>
      <w:r>
        <w:rPr>
          <w:rFonts w:hint="eastAsia" w:ascii="仿宋" w:hAnsi="仿宋" w:eastAsia="仿宋" w:cs="仿宋"/>
          <w:color w:val="000000" w:themeColor="text1"/>
          <w:sz w:val="24"/>
          <w:szCs w:val="24"/>
          <w:highlight w:val="none"/>
          <w:u w:val="single"/>
          <w14:textFill>
            <w14:solidFill>
              <w14:schemeClr w14:val="tx1"/>
            </w14:solidFill>
          </w14:textFill>
        </w:rPr>
        <w:t>重庆中医药学院</w:t>
      </w:r>
      <w:r>
        <w:rPr>
          <w:rFonts w:hint="eastAsia" w:ascii="仿宋" w:hAnsi="仿宋" w:eastAsia="仿宋" w:cs="仿宋"/>
          <w:color w:val="000000" w:themeColor="text1"/>
          <w:sz w:val="24"/>
          <w:szCs w:val="24"/>
          <w:highlight w:val="none"/>
          <w14:textFill>
            <w14:solidFill>
              <w14:schemeClr w14:val="tx1"/>
            </w14:solidFill>
          </w14:textFill>
        </w:rPr>
        <w:t>（以下简称：</w:t>
      </w:r>
      <w:r>
        <w:rPr>
          <w:rFonts w:hint="eastAsia" w:ascii="仿宋" w:hAnsi="仿宋" w:eastAsia="仿宋" w:cs="仿宋"/>
          <w:color w:val="000000" w:themeColor="text1"/>
          <w:sz w:val="24"/>
          <w:szCs w:val="24"/>
          <w:highlight w:val="none"/>
          <w:lang w:eastAsia="zh-CN"/>
          <w14:textFill>
            <w14:solidFill>
              <w14:schemeClr w14:val="tx1"/>
            </w14:solidFill>
          </w14:textFill>
        </w:rPr>
        <w:t>比选人</w:t>
      </w:r>
      <w:r>
        <w:rPr>
          <w:rFonts w:hint="eastAsia" w:ascii="仿宋" w:hAnsi="仿宋" w:eastAsia="仿宋" w:cs="仿宋"/>
          <w:color w:val="000000" w:themeColor="text1"/>
          <w:sz w:val="24"/>
          <w:szCs w:val="24"/>
          <w:highlight w:val="none"/>
          <w14:textFill>
            <w14:solidFill>
              <w14:schemeClr w14:val="tx1"/>
            </w14:solidFill>
          </w14:textFill>
        </w:rPr>
        <w:t>）的委托，对</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重庆中医药学院二期南区学生宿舍建设项目勘察外业见证</w:t>
      </w:r>
      <w:r>
        <w:rPr>
          <w:rFonts w:hint="eastAsia" w:ascii="仿宋" w:hAnsi="仿宋" w:eastAsia="仿宋" w:cs="仿宋"/>
          <w:color w:val="000000" w:themeColor="text1"/>
          <w:sz w:val="24"/>
          <w:szCs w:val="24"/>
          <w:highlight w:val="none"/>
          <w14:textFill>
            <w14:solidFill>
              <w14:schemeClr w14:val="tx1"/>
            </w14:solidFill>
          </w14:textFill>
        </w:rPr>
        <w:t>进行</w:t>
      </w:r>
      <w:r>
        <w:rPr>
          <w:rFonts w:hint="eastAsia" w:ascii="仿宋" w:hAnsi="仿宋" w:eastAsia="仿宋" w:cs="仿宋"/>
          <w:color w:val="000000" w:themeColor="text1"/>
          <w:sz w:val="24"/>
          <w:szCs w:val="24"/>
          <w:highlight w:val="none"/>
          <w:lang w:val="en-US" w:eastAsia="zh-CN"/>
          <w14:textFill>
            <w14:solidFill>
              <w14:schemeClr w14:val="tx1"/>
            </w14:solidFill>
          </w14:textFill>
        </w:rPr>
        <w:t>竞争性比选</w:t>
      </w:r>
      <w:r>
        <w:rPr>
          <w:rFonts w:hint="eastAsia" w:ascii="仿宋" w:hAnsi="仿宋" w:eastAsia="仿宋" w:cs="仿宋"/>
          <w:color w:val="000000" w:themeColor="text1"/>
          <w:sz w:val="24"/>
          <w:szCs w:val="24"/>
          <w:highlight w:val="none"/>
          <w14:textFill>
            <w14:solidFill>
              <w14:schemeClr w14:val="tx1"/>
            </w14:solidFill>
          </w14:textFill>
        </w:rPr>
        <w:t>。欢迎有资格的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前来参与</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w:t>
      </w:r>
    </w:p>
    <w:p>
      <w:pPr>
        <w:snapToGrid w:val="0"/>
        <w:spacing w:line="360" w:lineRule="auto"/>
        <w:ind w:firstLine="802" w:firstLineChars="200"/>
        <w:jc w:val="center"/>
        <w:outlineLvl w:val="9"/>
        <w:rPr>
          <w:rFonts w:hint="eastAsia" w:ascii="仿宋" w:hAnsi="仿宋" w:eastAsia="仿宋" w:cs="仿宋"/>
          <w:b/>
          <w:bCs/>
          <w:i w:val="0"/>
          <w:iCs w:val="0"/>
          <w:color w:val="000000" w:themeColor="text1"/>
          <w:spacing w:val="80"/>
          <w:sz w:val="44"/>
          <w:szCs w:val="44"/>
          <w:highlight w:val="none"/>
          <w14:textFill>
            <w14:solidFill>
              <w14:schemeClr w14:val="tx1"/>
            </w14:solidFill>
          </w14:textFill>
        </w:rPr>
      </w:pPr>
      <w:r>
        <w:rPr>
          <w:rFonts w:hint="eastAsia" w:ascii="仿宋" w:hAnsi="仿宋" w:eastAsia="仿宋" w:cs="仿宋"/>
          <w:b/>
          <w:bCs/>
          <w:i w:val="0"/>
          <w:iCs w:val="0"/>
          <w:color w:val="000000" w:themeColor="text1"/>
          <w:spacing w:val="80"/>
          <w:sz w:val="24"/>
          <w:szCs w:val="24"/>
          <w:highlight w:val="none"/>
          <w14:textFill>
            <w14:solidFill>
              <w14:schemeClr w14:val="tx1"/>
            </w14:solidFill>
          </w14:textFill>
        </w:rPr>
        <w:t>（综合评</w:t>
      </w:r>
      <w:r>
        <w:rPr>
          <w:rFonts w:hint="eastAsia" w:ascii="仿宋" w:hAnsi="仿宋" w:eastAsia="仿宋" w:cs="仿宋"/>
          <w:b/>
          <w:bCs/>
          <w:i w:val="0"/>
          <w:iCs w:val="0"/>
          <w:color w:val="000000" w:themeColor="text1"/>
          <w:spacing w:val="80"/>
          <w:sz w:val="24"/>
          <w:szCs w:val="24"/>
          <w:highlight w:val="none"/>
          <w:lang w:val="en-US" w:eastAsia="zh-CN"/>
          <w14:textFill>
            <w14:solidFill>
              <w14:schemeClr w14:val="tx1"/>
            </w14:solidFill>
          </w14:textFill>
        </w:rPr>
        <w:t>分</w:t>
      </w:r>
      <w:r>
        <w:rPr>
          <w:rFonts w:hint="eastAsia" w:ascii="仿宋" w:hAnsi="仿宋" w:eastAsia="仿宋" w:cs="仿宋"/>
          <w:b/>
          <w:bCs/>
          <w:i w:val="0"/>
          <w:iCs w:val="0"/>
          <w:color w:val="000000" w:themeColor="text1"/>
          <w:spacing w:val="80"/>
          <w:sz w:val="24"/>
          <w:szCs w:val="24"/>
          <w:highlight w:val="none"/>
          <w14:textFill>
            <w14:solidFill>
              <w14:schemeClr w14:val="tx1"/>
            </w14:solidFill>
          </w14:textFill>
        </w:rPr>
        <w:t>法）</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5" w:name="_Toc12808"/>
      <w:bookmarkStart w:id="6" w:name="_Toc317775175"/>
      <w:bookmarkStart w:id="7" w:name="_Toc7625"/>
      <w:bookmarkStart w:id="8" w:name="_Toc25458"/>
      <w:bookmarkStart w:id="9" w:name="_Toc3463"/>
      <w:bookmarkStart w:id="10" w:name="_Toc18881"/>
      <w:bookmarkStart w:id="11" w:name="_Toc26820"/>
      <w:bookmarkStart w:id="12" w:name="_Toc18159"/>
      <w:bookmarkStart w:id="13" w:name="_Toc313893526"/>
      <w:r>
        <w:rPr>
          <w:rFonts w:hint="eastAsia" w:ascii="仿宋" w:hAnsi="仿宋" w:eastAsia="仿宋" w:cs="仿宋"/>
          <w:b/>
          <w:bCs/>
          <w:i w:val="0"/>
          <w:iCs w:val="0"/>
          <w:color w:val="000000" w:themeColor="text1"/>
          <w:sz w:val="24"/>
          <w:szCs w:val="24"/>
          <w:highlight w:val="none"/>
          <w14:textFill>
            <w14:solidFill>
              <w14:schemeClr w14:val="tx1"/>
            </w14:solidFill>
          </w14:textFill>
        </w:rPr>
        <w:t>一、</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比选项目</w:t>
      </w:r>
      <w:r>
        <w:rPr>
          <w:rFonts w:hint="eastAsia" w:ascii="仿宋" w:hAnsi="仿宋" w:eastAsia="仿宋" w:cs="仿宋"/>
          <w:b/>
          <w:bCs/>
          <w:i w:val="0"/>
          <w:iCs w:val="0"/>
          <w:color w:val="000000" w:themeColor="text1"/>
          <w:sz w:val="24"/>
          <w:szCs w:val="24"/>
          <w:highlight w:val="none"/>
          <w14:textFill>
            <w14:solidFill>
              <w14:schemeClr w14:val="tx1"/>
            </w14:solidFill>
          </w14:textFill>
        </w:rPr>
        <w:t>内容</w:t>
      </w:r>
      <w:bookmarkEnd w:id="5"/>
      <w:bookmarkEnd w:id="6"/>
      <w:bookmarkEnd w:id="7"/>
      <w:bookmarkEnd w:id="8"/>
      <w:bookmarkEnd w:id="9"/>
      <w:bookmarkEnd w:id="10"/>
      <w:bookmarkEnd w:id="11"/>
      <w:bookmarkEnd w:id="12"/>
      <w:bookmarkEnd w:id="13"/>
    </w:p>
    <w:tbl>
      <w:tblPr>
        <w:tblStyle w:val="20"/>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3"/>
        <w:gridCol w:w="2423"/>
        <w:gridCol w:w="1500"/>
        <w:gridCol w:w="1373"/>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04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b/>
                <w:bCs/>
                <w:i w:val="0"/>
                <w:iCs w:val="0"/>
                <w:color w:val="000000" w:themeColor="text1"/>
                <w:kern w:val="0"/>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14:textFill>
                  <w14:solidFill>
                    <w14:schemeClr w14:val="tx1"/>
                  </w14:solidFill>
                </w14:textFill>
              </w:rPr>
              <w:t>项目名称</w:t>
            </w:r>
          </w:p>
        </w:tc>
        <w:tc>
          <w:tcPr>
            <w:tcW w:w="242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t>全费用单价最高限价</w:t>
            </w:r>
          </w:p>
          <w:p>
            <w:pPr>
              <w:widowControl/>
              <w:spacing w:line="360" w:lineRule="auto"/>
              <w:jc w:val="center"/>
              <w:outlineLvl w:val="9"/>
              <w:rPr>
                <w:rFonts w:hint="eastAsia" w:ascii="仿宋" w:hAnsi="仿宋" w:eastAsia="仿宋" w:cs="仿宋"/>
                <w:b/>
                <w:bCs/>
                <w:i w:val="0"/>
                <w:iCs w:val="0"/>
                <w:color w:val="000000" w:themeColor="text1"/>
                <w:kern w:val="0"/>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t>（元/米）</w:t>
            </w:r>
          </w:p>
        </w:tc>
        <w:tc>
          <w:tcPr>
            <w:tcW w:w="1500" w:type="dxa"/>
            <w:tcBorders>
              <w:top w:val="single" w:color="auto" w:sz="4" w:space="0"/>
              <w:left w:val="single" w:color="auto" w:sz="4" w:space="0"/>
              <w:right w:val="single" w:color="auto" w:sz="4" w:space="0"/>
            </w:tcBorders>
            <w:vAlign w:val="center"/>
          </w:tcPr>
          <w:p>
            <w:pPr>
              <w:spacing w:line="360" w:lineRule="auto"/>
              <w:jc w:val="center"/>
              <w:outlineLvl w:val="9"/>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投标保证金（万元）</w:t>
            </w:r>
          </w:p>
        </w:tc>
        <w:tc>
          <w:tcPr>
            <w:tcW w:w="1373" w:type="dxa"/>
            <w:tcBorders>
              <w:top w:val="single" w:color="auto" w:sz="4" w:space="0"/>
              <w:left w:val="single" w:color="auto" w:sz="4" w:space="0"/>
              <w:right w:val="single" w:color="auto" w:sz="4" w:space="0"/>
            </w:tcBorders>
            <w:vAlign w:val="center"/>
          </w:tcPr>
          <w:p>
            <w:pPr>
              <w:spacing w:line="360" w:lineRule="auto"/>
              <w:jc w:val="center"/>
              <w:outlineLvl w:val="9"/>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lang w:val="en-US" w:eastAsia="zh-CN"/>
                <w14:textFill>
                  <w14:solidFill>
                    <w14:schemeClr w14:val="tx1"/>
                  </w14:solidFill>
                </w14:textFill>
              </w:rPr>
              <w:t>中选人数量（名）</w:t>
            </w:r>
          </w:p>
        </w:tc>
        <w:tc>
          <w:tcPr>
            <w:tcW w:w="811" w:type="dxa"/>
            <w:tcBorders>
              <w:top w:val="single" w:color="auto" w:sz="4" w:space="0"/>
              <w:left w:val="single" w:color="auto" w:sz="4" w:space="0"/>
              <w:right w:val="single" w:color="auto" w:sz="4" w:space="0"/>
            </w:tcBorders>
            <w:vAlign w:val="center"/>
          </w:tcPr>
          <w:p>
            <w:pPr>
              <w:spacing w:line="360" w:lineRule="auto"/>
              <w:jc w:val="center"/>
              <w:outlineLvl w:val="9"/>
              <w:rPr>
                <w:rFonts w:hint="eastAsia" w:ascii="仿宋" w:hAnsi="仿宋" w:eastAsia="仿宋" w:cs="仿宋"/>
                <w:b/>
                <w:bCs/>
                <w:i w:val="0"/>
                <w:iCs w:val="0"/>
                <w:color w:val="000000" w:themeColor="text1"/>
                <w:kern w:val="0"/>
                <w:sz w:val="24"/>
                <w:szCs w:val="24"/>
                <w:highlight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04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pPr>
            <w:bookmarkStart w:id="14" w:name="_Hlk344477914"/>
            <w:r>
              <w:rPr>
                <w:rFonts w:hint="eastAsia" w:ascii="仿宋" w:hAnsi="仿宋" w:eastAsia="仿宋" w:cs="仿宋"/>
                <w:color w:val="000000" w:themeColor="text1"/>
                <w:sz w:val="24"/>
                <w:szCs w:val="24"/>
                <w:highlight w:val="none"/>
                <w:u w:val="none"/>
                <w:lang w:eastAsia="zh-CN"/>
                <w14:textFill>
                  <w14:solidFill>
                    <w14:schemeClr w14:val="tx1"/>
                  </w14:solidFill>
                </w14:textFill>
              </w:rPr>
              <w:t>重庆中医药学院二期南区学生宿舍建设项目勘察外业见证</w:t>
            </w:r>
          </w:p>
        </w:tc>
        <w:tc>
          <w:tcPr>
            <w:tcW w:w="242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default" w:ascii="仿宋" w:hAnsi="仿宋" w:eastAsia="仿宋" w:cs="仿宋"/>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t>10</w:t>
            </w:r>
          </w:p>
        </w:tc>
        <w:tc>
          <w:tcPr>
            <w:tcW w:w="1500"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t>0.5</w:t>
            </w:r>
          </w:p>
        </w:tc>
        <w:tc>
          <w:tcPr>
            <w:tcW w:w="1373"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14:textFill>
                  <w14:solidFill>
                    <w14:schemeClr w14:val="tx1"/>
                  </w14:solidFill>
                </w14:textFill>
              </w:rPr>
              <w:t>1</w:t>
            </w:r>
          </w:p>
        </w:tc>
        <w:tc>
          <w:tcPr>
            <w:tcW w:w="811" w:type="dxa"/>
            <w:tcBorders>
              <w:top w:val="single" w:color="auto" w:sz="4" w:space="0"/>
              <w:left w:val="single" w:color="auto" w:sz="4" w:space="0"/>
              <w:right w:val="single" w:color="auto" w:sz="4" w:space="0"/>
            </w:tcBorders>
            <w:vAlign w:val="center"/>
          </w:tcPr>
          <w:p>
            <w:pPr>
              <w:widowControl/>
              <w:spacing w:line="360" w:lineRule="auto"/>
              <w:jc w:val="center"/>
              <w:outlineLvl w:val="9"/>
              <w:rPr>
                <w:rFonts w:hint="eastAsia" w:ascii="仿宋" w:hAnsi="仿宋" w:eastAsia="仿宋" w:cs="仿宋"/>
                <w:i w:val="0"/>
                <w:iCs w:val="0"/>
                <w:color w:val="000000" w:themeColor="text1"/>
                <w:kern w:val="0"/>
                <w:sz w:val="24"/>
                <w:szCs w:val="24"/>
                <w:highlight w:val="none"/>
                <w:lang w:eastAsia="zh-CN"/>
                <w14:textFill>
                  <w14:solidFill>
                    <w14:schemeClr w14:val="tx1"/>
                  </w14:solidFill>
                </w14:textFill>
              </w:rPr>
            </w:pPr>
          </w:p>
        </w:tc>
      </w:tr>
      <w:bookmarkEnd w:id="14"/>
    </w:tbl>
    <w:p>
      <w:pPr>
        <w:spacing w:before="0" w:after="0" w:line="360" w:lineRule="auto"/>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bookmarkStart w:id="15" w:name="_Toc15727"/>
      <w:bookmarkStart w:id="16" w:name="_Toc6462"/>
      <w:bookmarkStart w:id="17" w:name="_Toc25190"/>
      <w:bookmarkStart w:id="18" w:name="_Toc19437"/>
      <w:bookmarkStart w:id="19" w:name="_Toc1790"/>
      <w:bookmarkStart w:id="20" w:name="_Toc15576"/>
      <w:bookmarkStart w:id="21" w:name="_Toc22399"/>
      <w:bookmarkStart w:id="22" w:name="_Toc317775178"/>
      <w:bookmarkStart w:id="23" w:name="_Toc373860293"/>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二、资金来源</w:t>
      </w:r>
    </w:p>
    <w:p>
      <w:pPr>
        <w:spacing w:before="0" w:after="0" w:line="360" w:lineRule="auto"/>
        <w:ind w:firstLine="480" w:firstLineChars="200"/>
        <w:outlineLvl w:val="9"/>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i w:val="0"/>
          <w:iCs w:val="0"/>
          <w:color w:val="000000" w:themeColor="text1"/>
          <w:sz w:val="24"/>
          <w:szCs w:val="24"/>
          <w:highlight w:val="none"/>
          <w14:textFill>
            <w14:solidFill>
              <w14:schemeClr w14:val="tx1"/>
            </w14:solidFill>
          </w14:textFill>
        </w:rPr>
        <w:t>单位自筹资金</w:t>
      </w:r>
      <w:r>
        <w:rPr>
          <w:rFonts w:hint="eastAsia" w:ascii="仿宋" w:hAnsi="仿宋" w:eastAsia="仿宋" w:cs="仿宋"/>
          <w:b w:val="0"/>
          <w:bCs/>
          <w:i w:val="0"/>
          <w:iCs w:val="0"/>
          <w:color w:val="000000" w:themeColor="text1"/>
          <w:sz w:val="24"/>
          <w:szCs w:val="24"/>
          <w:highlight w:val="none"/>
          <w:lang w:eastAsia="zh-CN"/>
          <w14:textFill>
            <w14:solidFill>
              <w14:schemeClr w14:val="tx1"/>
            </w14:solidFill>
          </w14:textFill>
        </w:rPr>
        <w:t>。</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bookmarkEnd w:id="15"/>
      <w:bookmarkEnd w:id="16"/>
      <w:bookmarkEnd w:id="17"/>
      <w:bookmarkEnd w:id="18"/>
      <w:bookmarkEnd w:id="19"/>
      <w:bookmarkEnd w:id="20"/>
      <w:bookmarkEnd w:id="21"/>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b/>
          <w:bCs/>
          <w:i w:val="0"/>
          <w:iCs w:val="0"/>
          <w:color w:val="000000" w:themeColor="text1"/>
          <w:sz w:val="24"/>
          <w:szCs w:val="24"/>
          <w:highlight w:val="none"/>
          <w14:textFill>
            <w14:solidFill>
              <w14:schemeClr w14:val="tx1"/>
            </w14:solidFill>
          </w14:textFill>
        </w:rPr>
        <w:t>资格条件</w:t>
      </w:r>
    </w:p>
    <w:p>
      <w:pPr>
        <w:numPr>
          <w:ilvl w:val="0"/>
          <w:numId w:val="0"/>
        </w:num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（一）基本条件</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5.参加政府采购活动前三年内，在经营活动中没有重大违法记录</w:t>
      </w:r>
      <w:r>
        <w:rPr>
          <w:rFonts w:hint="eastAsia" w:ascii="仿宋" w:hAnsi="仿宋" w:eastAsia="仿宋" w:cs="仿宋"/>
          <w:color w:val="000000" w:themeColor="text1"/>
          <w:sz w:val="24"/>
          <w:szCs w:val="24"/>
          <w:highlight w:val="none"/>
          <w:lang w:eastAsia="zh-CN"/>
          <w14:textFill>
            <w14:solidFill>
              <w14:schemeClr w14:val="tx1"/>
            </w14:solidFill>
          </w14:textFill>
        </w:rPr>
        <w:t>。</w:t>
      </w:r>
    </w:p>
    <w:bookmarkEnd w:id="22"/>
    <w:bookmarkEnd w:id="23"/>
    <w:p>
      <w:pPr>
        <w:numPr>
          <w:ilvl w:val="0"/>
          <w:numId w:val="0"/>
        </w:num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w:t>
      </w:r>
      <w:r>
        <w:rPr>
          <w:rFonts w:hint="eastAsia" w:ascii="仿宋" w:hAnsi="仿宋" w:eastAsia="仿宋" w:cs="仿宋"/>
          <w:color w:val="000000" w:themeColor="text1"/>
          <w:sz w:val="24"/>
          <w:szCs w:val="24"/>
          <w:highlight w:val="none"/>
          <w:lang w:val="en-US" w:eastAsia="zh-CN"/>
          <w14:textFill>
            <w14:solidFill>
              <w14:schemeClr w14:val="tx1"/>
            </w14:solidFill>
          </w14:textFill>
        </w:rPr>
        <w:t>特定资格条件：</w:t>
      </w:r>
    </w:p>
    <w:p>
      <w:pPr>
        <w:numPr>
          <w:ilvl w:val="0"/>
          <w:numId w:val="0"/>
        </w:num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具有建设行政主管部门颁发的下列资质之一：</w:t>
      </w:r>
    </w:p>
    <w:p>
      <w:pPr>
        <w:numPr>
          <w:ilvl w:val="0"/>
          <w:numId w:val="0"/>
        </w:num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①工程勘察综合甲级资质。</w:t>
      </w:r>
    </w:p>
    <w:p>
      <w:pPr>
        <w:numPr>
          <w:ilvl w:val="0"/>
          <w:numId w:val="0"/>
        </w:num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②工程勘察专业类（岩土工程（勘察））乙级及以上资质。</w:t>
      </w:r>
    </w:p>
    <w:p>
      <w:pPr>
        <w:numPr>
          <w:ilvl w:val="0"/>
          <w:numId w:val="0"/>
        </w:num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注：提供有效证书复印件并加盖竞选人公章。</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四、比选有关说明</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（一）竞选人应通过行采家平台（</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val="en-US" w:eastAsia="zh-CN"/>
          <w14:textFill>
            <w14:solidFill>
              <w14:schemeClr w14:val="tx1"/>
            </w14:solidFill>
          </w14:textFill>
        </w:rPr>
        <w:instrText xml:space="preserve"> HYPERLINK "http://www.cqgp.gov.cn" </w:instrTex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www.</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gec123.com）登记加入“行采家供应商库”。</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（二）凡有意参加采购的竞选人，请在行采家平台（</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val="en-US" w:eastAsia="zh-CN"/>
          <w14:textFill>
            <w14:solidFill>
              <w14:schemeClr w14:val="tx1"/>
            </w14:solidFill>
          </w14:textFill>
        </w:rPr>
        <w:instrText xml:space="preserve"> HYPERLINK "http://www.cqgp.gov.cn" </w:instrTex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4"/>
          <w:szCs w:val="24"/>
          <w:highlight w:val="none"/>
          <w:lang w:val="en-US" w:eastAsia="zh-CN"/>
          <w14:textFill>
            <w14:solidFill>
              <w14:schemeClr w14:val="tx1"/>
            </w14:solidFill>
          </w14:textFill>
        </w:rPr>
        <w:t>www.</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4"/>
          <w:szCs w:val="24"/>
          <w:highlight w:val="none"/>
          <w:lang w:val="en-US" w:eastAsia="zh-CN"/>
          <w14:textFill>
            <w14:solidFill>
              <w14:schemeClr w14:val="tx1"/>
            </w14:solidFill>
          </w14:textFill>
        </w:rPr>
        <w:t>gec123.com）网上下载本项目比选文件以及变更等采购前公布的所有项目资料，无论竞选人下载与否，均视为已知晓所有采购实质性要求内容。</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（三）比选文件发售期限： </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1.比选文件发售期：</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2025年6月20日至2025年 6 月 25日17:00。</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2.报名方式：在报名及比选文件发售期内，竞选人将《同致诚比选文件发售登记表》（加盖竞选人公章）扫描后发送至邮箱：54662574@qq.com</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3.比选文件售价：人民币300元（付款方式详见同致诚比选文件发售登记表）。</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（四）递交竞选文件地点：同致诚工程咨询有限公司（地址：重庆市两江新区高新园星光大道90号土星商务中心A2栋11楼）</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（五）竞选文件递交开始时间：2025年6月 26 日北京时间9:30</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（六）竞选文件递交截止时间：2025年6月 26 日北京时间10:00    </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（七）比选开始时间：2025年6月26日北京时间10:00   </w:t>
      </w:r>
    </w:p>
    <w:p>
      <w:pPr>
        <w:spacing w:before="0" w:after="0" w:line="360" w:lineRule="auto"/>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bookmarkStart w:id="24" w:name="_Toc373860294"/>
      <w:bookmarkStart w:id="25" w:name="_Toc14555"/>
      <w:bookmarkStart w:id="26" w:name="_Toc19730"/>
      <w:bookmarkStart w:id="27" w:name="_Toc25516"/>
      <w:bookmarkStart w:id="28" w:name="_Toc9027"/>
      <w:bookmarkStart w:id="29" w:name="_Toc15478"/>
      <w:bookmarkStart w:id="30" w:name="_Toc13969"/>
      <w:bookmarkStart w:id="31" w:name="_Toc31315"/>
      <w:bookmarkStart w:id="32" w:name="_Toc14778"/>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五、</w:t>
      </w:r>
      <w:bookmarkEnd w:id="24"/>
      <w:bookmarkStart w:id="33" w:name="_Toc524"/>
      <w:bookmarkStart w:id="34" w:name="_Toc3476"/>
      <w:bookmarkStart w:id="35" w:name="_Toc23960"/>
      <w:bookmarkStart w:id="36" w:name="_Toc7836"/>
      <w:bookmarkStart w:id="37" w:name="_Toc12090"/>
      <w:bookmarkStart w:id="38" w:name="_Toc22111"/>
      <w:bookmarkStart w:id="39" w:name="_Toc1588"/>
      <w:bookmarkStart w:id="40" w:name="_Toc75793500"/>
      <w:bookmarkStart w:id="41" w:name="_Toc30895"/>
      <w:bookmarkStart w:id="42" w:name="_Toc31530"/>
      <w:bookmarkStart w:id="43" w:name="_Toc9290"/>
      <w:bookmarkStart w:id="44" w:name="_Toc18100"/>
      <w:bookmarkStart w:id="45" w:name="_Toc11844"/>
      <w:bookmarkStart w:id="46" w:name="_Toc106030376"/>
      <w:bookmarkStart w:id="47" w:name="_Toc12663"/>
      <w:bookmarkStart w:id="48" w:name="_Toc25854"/>
      <w:bookmarkStart w:id="49" w:name="_Toc24604"/>
      <w:bookmarkStart w:id="50" w:name="_Toc15717"/>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投标保证金</w:t>
      </w:r>
      <w:bookmarkEnd w:id="2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（一）投标保证金递交</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1.转账方式</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1.1竞选人应以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公账对公账方式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足额交纳投标保证金（保证金金额详见本篇，一、比选项目内容），并汇至以下账户，</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投标保证金的到账截止时间为开标前一天17：00分。</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投标保证金账户：</w:t>
      </w:r>
    </w:p>
    <w:p>
      <w:pPr>
        <w:spacing w:line="360" w:lineRule="auto"/>
        <w:ind w:firstLine="482" w:firstLineChars="200"/>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户名：同致诚工程咨询有限公司</w:t>
      </w:r>
    </w:p>
    <w:p>
      <w:pPr>
        <w:spacing w:line="400" w:lineRule="exact"/>
        <w:ind w:firstLine="480" w:firstLineChars="200"/>
        <w:rPr>
          <w:rFonts w:hint="eastAsia" w:ascii="方正仿宋_GBK" w:hAnsi="宋体" w:eastAsia="方正仿宋_GBK" w:cs="Times New Roman"/>
          <w:b/>
          <w:bCs/>
          <w:color w:val="000000" w:themeColor="text1"/>
          <w:sz w:val="24"/>
          <w:szCs w:val="24"/>
          <w:highlight w:val="none"/>
          <w14:textFill>
            <w14:solidFill>
              <w14:schemeClr w14:val="tx1"/>
            </w14:solidFill>
          </w14:textFill>
        </w:rPr>
      </w:pPr>
      <w:r>
        <w:rPr>
          <w:rFonts w:hint="eastAsia" w:ascii="方正仿宋_GBK" w:hAnsi="宋体" w:eastAsia="方正仿宋_GBK" w:cs="Times New Roman"/>
          <w:b/>
          <w:bCs/>
          <w:color w:val="000000" w:themeColor="text1"/>
          <w:sz w:val="24"/>
          <w:szCs w:val="24"/>
          <w:highlight w:val="none"/>
          <w14:textFill>
            <w14:solidFill>
              <w14:schemeClr w14:val="tx1"/>
            </w14:solidFill>
          </w14:textFill>
        </w:rPr>
        <w:t>账号：83140078801600001266</w:t>
      </w:r>
    </w:p>
    <w:p>
      <w:pPr>
        <w:spacing w:line="400" w:lineRule="exact"/>
        <w:ind w:firstLine="480" w:firstLineChars="200"/>
        <w:rPr>
          <w:rFonts w:hint="eastAsia" w:ascii="方正仿宋_GBK" w:hAnsi="宋体" w:eastAsia="方正仿宋_GBK" w:cs="Times New Roman"/>
          <w:b/>
          <w:bCs/>
          <w:color w:val="000000" w:themeColor="text1"/>
          <w:sz w:val="24"/>
          <w:szCs w:val="24"/>
          <w:highlight w:val="none"/>
          <w14:textFill>
            <w14:solidFill>
              <w14:schemeClr w14:val="tx1"/>
            </w14:solidFill>
          </w14:textFill>
        </w:rPr>
      </w:pPr>
      <w:r>
        <w:rPr>
          <w:rFonts w:hint="eastAsia" w:ascii="方正仿宋_GBK" w:hAnsi="宋体" w:eastAsia="方正仿宋_GBK" w:cs="Times New Roman"/>
          <w:b/>
          <w:bCs/>
          <w:color w:val="000000" w:themeColor="text1"/>
          <w:sz w:val="24"/>
          <w:szCs w:val="24"/>
          <w:highlight w:val="none"/>
          <w14:textFill>
            <w14:solidFill>
              <w14:schemeClr w14:val="tx1"/>
            </w14:solidFill>
          </w14:textFill>
        </w:rPr>
        <w:t>开户行：浦发银行上清寺支行</w:t>
      </w:r>
      <w:r>
        <w:rPr>
          <w:rFonts w:hint="eastAsia" w:ascii="方正仿宋_GBK" w:hAnsi="宋体" w:eastAsia="方正仿宋_GBK" w:cs="Times New Roman"/>
          <w:b/>
          <w:bCs/>
          <w:color w:val="000000" w:themeColor="text1"/>
          <w:sz w:val="24"/>
          <w:szCs w:val="24"/>
          <w:highlight w:val="none"/>
          <w14:textFill>
            <w14:solidFill>
              <w14:schemeClr w14:val="tx1"/>
            </w14:solidFill>
          </w14:textFill>
        </w:rPr>
        <w:tab/>
      </w:r>
    </w:p>
    <w:p>
      <w:pPr>
        <w:spacing w:line="360" w:lineRule="auto"/>
        <w:ind w:firstLine="482" w:firstLineChars="200"/>
        <w:outlineLvl w:val="9"/>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转账时须备注：单位简称+招标编号</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1.2各竞选人在银行转账（电汇）时，须充分考虑银行转账（电汇）的时间差风险，如同城转账、异地转账或汇款、跨行转账或电汇的时间要求。</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（二）保证金退还方式</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1.未中标竞选人的保证金，在中标通知书发放后，比选代理机构在五个工作日内按来款渠道直接退还。</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2.中选人的投标保证金，在中选人与比选人签订合同后，比选代理机构在五个工作日内按资金来款渠道直接退还。</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（三）竞选人有下列情形之一的，比选人或者比选代理机构可以不退还投标保证金：</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1.竞选人在投标有效期期内回竞选文件的；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2.竞选人未按规定提交履约保证金的；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3.竞选人在投标过程中弄虚作假，提供虚假材料的；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4.竞选人无正当理由不在约定时间内与比选人签订合同的；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5.竞选人将中标项目转让给他人或者在比选文件中未说明且未经比选人同意，将中标项目分包给他人的；</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 其他严重扰乱招投标程序的。</w:t>
      </w:r>
    </w:p>
    <w:p>
      <w:pPr>
        <w:spacing w:before="0" w:after="0"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bookmarkEnd w:id="26"/>
      <w:bookmarkEnd w:id="27"/>
      <w:bookmarkEnd w:id="28"/>
      <w:bookmarkEnd w:id="29"/>
      <w:bookmarkEnd w:id="30"/>
      <w:bookmarkEnd w:id="31"/>
      <w:bookmarkEnd w:id="32"/>
      <w:r>
        <w:rPr>
          <w:rFonts w:hint="eastAsia" w:ascii="仿宋" w:hAnsi="仿宋" w:eastAsia="仿宋" w:cs="仿宋"/>
          <w:b/>
          <w:bCs/>
          <w:i w:val="0"/>
          <w:iCs w:val="0"/>
          <w:color w:val="000000" w:themeColor="text1"/>
          <w:sz w:val="24"/>
          <w:szCs w:val="24"/>
          <w:highlight w:val="none"/>
          <w14:textFill>
            <w14:solidFill>
              <w14:schemeClr w14:val="tx1"/>
            </w14:solidFill>
          </w14:textFill>
        </w:rPr>
        <w:t>其它有关规定</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（一）单位负责人为同一人或者存在直接控股、管理关系的不同</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，不得参加同一合同项（分包）下的</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活动，否则均为无效响应。</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（二）为采购项目提供整体设计、规范编制或者项目管理、监理、检测等服务的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，不得再参加该采购项目的其他采购活动。</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（三）本项目的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变更等</w:t>
      </w:r>
      <w:r>
        <w:rPr>
          <w:rFonts w:hint="eastAsia" w:ascii="仿宋" w:hAnsi="仿宋" w:eastAsia="仿宋" w:cs="仿宋"/>
          <w:color w:val="000000" w:themeColor="text1"/>
          <w:sz w:val="24"/>
          <w:szCs w:val="24"/>
          <w:highlight w:val="none"/>
          <w14:textFill>
            <w14:solidFill>
              <w14:schemeClr w14:val="tx1"/>
            </w14:solidFill>
          </w14:textFill>
        </w:rPr>
        <w:t>文件（如果有）一律在行采家平台（www.gec123.com）上发布，请各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注意下载；无论</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下载与否，均视同</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已知晓本项目澄清文件（如果有）的内容。</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w:t>
      </w:r>
      <w:r>
        <w:rPr>
          <w:rFonts w:hint="eastAsia" w:ascii="仿宋" w:hAnsi="仿宋" w:eastAsia="仿宋" w:cs="仿宋"/>
          <w:color w:val="000000" w:themeColor="text1"/>
          <w:sz w:val="24"/>
          <w:szCs w:val="24"/>
          <w:highlight w:val="none"/>
          <w:lang w:val="en-US" w:eastAsia="zh-CN"/>
          <w14:textFill>
            <w14:solidFill>
              <w14:schemeClr w14:val="tx1"/>
            </w14:solidFill>
          </w14:textFill>
        </w:rPr>
        <w:t>未报名或</w:t>
      </w:r>
      <w:r>
        <w:rPr>
          <w:rFonts w:hint="eastAsia" w:ascii="仿宋" w:hAnsi="仿宋" w:eastAsia="仿宋" w:cs="仿宋"/>
          <w:color w:val="000000" w:themeColor="text1"/>
          <w:sz w:val="24"/>
          <w:szCs w:val="24"/>
          <w:highlight w:val="none"/>
          <w14:textFill>
            <w14:solidFill>
              <w14:schemeClr w14:val="tx1"/>
            </w14:solidFill>
          </w14:textFill>
        </w:rPr>
        <w:t>超过</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截止时间递交的</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，恕不接收。</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费用：无论</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结果如何，</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参与本项目</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的所有</w:t>
      </w:r>
      <w:r>
        <w:rPr>
          <w:rFonts w:hint="eastAsia" w:ascii="仿宋" w:hAnsi="仿宋" w:eastAsia="仿宋" w:cs="仿宋"/>
          <w:color w:val="000000" w:themeColor="text1"/>
          <w:sz w:val="24"/>
          <w:szCs w:val="24"/>
          <w:highlight w:val="none"/>
          <w:lang w:val="en-US" w:eastAsia="zh-CN"/>
          <w14:textFill>
            <w14:solidFill>
              <w14:schemeClr w14:val="tx1"/>
            </w14:solidFill>
          </w14:textFill>
        </w:rPr>
        <w:t>成本</w:t>
      </w:r>
      <w:r>
        <w:rPr>
          <w:rFonts w:hint="eastAsia" w:ascii="仿宋" w:hAnsi="仿宋" w:eastAsia="仿宋" w:cs="仿宋"/>
          <w:color w:val="000000" w:themeColor="text1"/>
          <w:sz w:val="24"/>
          <w:szCs w:val="24"/>
          <w:highlight w:val="none"/>
          <w14:textFill>
            <w14:solidFill>
              <w14:schemeClr w14:val="tx1"/>
            </w14:solidFill>
          </w14:textFill>
        </w:rPr>
        <w:t>费用均应由</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自行承担。</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（六）</w:t>
      </w:r>
      <w:r>
        <w:rPr>
          <w:rFonts w:hint="eastAsia" w:ascii="仿宋" w:hAnsi="仿宋" w:eastAsia="仿宋" w:cs="仿宋"/>
          <w:b/>
          <w:color w:val="000000" w:themeColor="text1"/>
          <w:sz w:val="24"/>
          <w:szCs w:val="24"/>
          <w:highlight w:val="none"/>
          <w14:textFill>
            <w14:solidFill>
              <w14:schemeClr w14:val="tx1"/>
            </w14:solidFill>
          </w14:textFill>
        </w:rPr>
        <w:t>本项目不接受联合体参与</w:t>
      </w:r>
      <w:r>
        <w:rPr>
          <w:rFonts w:hint="eastAsia" w:ascii="仿宋" w:hAnsi="仿宋" w:eastAsia="仿宋" w:cs="仿宋"/>
          <w:b/>
          <w:color w:val="000000" w:themeColor="text1"/>
          <w:sz w:val="24"/>
          <w:szCs w:val="24"/>
          <w:highlight w:val="none"/>
          <w:lang w:eastAsia="zh-CN"/>
          <w14:textFill>
            <w14:solidFill>
              <w14:schemeClr w14:val="tx1"/>
            </w14:solidFill>
          </w14:textFill>
        </w:rPr>
        <w:t>比选，</w:t>
      </w:r>
      <w:r>
        <w:rPr>
          <w:rFonts w:hint="eastAsia" w:ascii="仿宋" w:hAnsi="仿宋" w:eastAsia="仿宋" w:cs="仿宋"/>
          <w:b/>
          <w:color w:val="000000" w:themeColor="text1"/>
          <w:sz w:val="24"/>
          <w:szCs w:val="24"/>
          <w:highlight w:val="none"/>
          <w:lang w:val="en-US" w:eastAsia="zh-CN"/>
          <w14:textFill>
            <w14:solidFill>
              <w14:schemeClr w14:val="tx1"/>
            </w14:solidFill>
          </w14:textFill>
        </w:rPr>
        <w:t>不允许分包</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color w:val="000000" w:themeColor="text1"/>
          <w:sz w:val="24"/>
          <w:szCs w:val="24"/>
          <w:highlight w:val="none"/>
          <w:lang w:val="en-US" w:eastAsia="zh-CN"/>
          <w14:textFill>
            <w14:solidFill>
              <w14:schemeClr w14:val="tx1"/>
            </w14:solidFill>
          </w14:textFill>
        </w:rPr>
        <w:t>否则按无效处理。</w:t>
      </w:r>
    </w:p>
    <w:p>
      <w:pPr>
        <w:snapToGrid w:val="0"/>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w:t>
      </w:r>
      <w:r>
        <w:rPr>
          <w:rFonts w:hint="eastAsia" w:ascii="仿宋" w:hAnsi="仿宋" w:eastAsia="仿宋" w:cs="仿宋"/>
          <w:color w:val="000000" w:themeColor="text1"/>
          <w:sz w:val="24"/>
          <w:szCs w:val="24"/>
          <w:highlight w:val="none"/>
          <w:lang w:val="en-US" w:eastAsia="zh-CN"/>
          <w14:textFill>
            <w14:solidFill>
              <w14:schemeClr w14:val="tx1"/>
            </w14:solidFill>
          </w14:textFill>
        </w:rPr>
        <w:t>参</w:t>
      </w:r>
      <w:r>
        <w:rPr>
          <w:rFonts w:hint="eastAsia" w:ascii="仿宋" w:hAnsi="仿宋" w:eastAsia="仿宋" w:cs="仿宋"/>
          <w:color w:val="000000" w:themeColor="text1"/>
          <w:sz w:val="24"/>
          <w:szCs w:val="24"/>
          <w:highlight w:val="none"/>
          <w14:textFill>
            <w14:solidFill>
              <w14:schemeClr w14:val="tx1"/>
            </w14:solidFill>
          </w14:textFill>
        </w:rPr>
        <w:t>照《财政部关于在政府采购活动中查询及使用信用记录有关问题的通知》财库〔2016〕125号，</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，将拒绝其参与</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活动。</w:t>
      </w:r>
    </w:p>
    <w:p>
      <w:pPr>
        <w:snapToGrid w:val="0"/>
        <w:spacing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51" w:name="_Toc106030878"/>
      <w:bookmarkStart w:id="52" w:name="_Toc76462324"/>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bCs/>
          <w:i w:val="0"/>
          <w:iCs w:val="0"/>
          <w:color w:val="000000" w:themeColor="text1"/>
          <w:sz w:val="24"/>
          <w:szCs w:val="24"/>
          <w:highlight w:val="none"/>
          <w14:textFill>
            <w14:solidFill>
              <w14:schemeClr w14:val="tx1"/>
            </w14:solidFill>
          </w14:textFill>
        </w:rPr>
        <w:t>、</w:t>
      </w:r>
      <w:bookmarkStart w:id="53" w:name="_Toc5085"/>
      <w:bookmarkStart w:id="54" w:name="_Toc20778"/>
      <w:bookmarkStart w:id="55" w:name="_Toc25886"/>
      <w:bookmarkStart w:id="56" w:name="_Toc27955"/>
      <w:bookmarkStart w:id="57" w:name="_Toc11828"/>
      <w:bookmarkStart w:id="58" w:name="_Toc3475"/>
      <w:bookmarkStart w:id="59" w:name="_Toc9654"/>
      <w:r>
        <w:rPr>
          <w:rFonts w:hint="eastAsia" w:ascii="仿宋" w:hAnsi="仿宋" w:eastAsia="仿宋" w:cs="仿宋"/>
          <w:b/>
          <w:bCs/>
          <w:i w:val="0"/>
          <w:iCs w:val="0"/>
          <w:color w:val="000000" w:themeColor="text1"/>
          <w:sz w:val="24"/>
          <w:szCs w:val="24"/>
          <w:highlight w:val="none"/>
          <w14:textFill>
            <w14:solidFill>
              <w14:schemeClr w14:val="tx1"/>
            </w14:solidFill>
          </w14:textFill>
        </w:rPr>
        <w:t>联系方式</w:t>
      </w:r>
      <w:bookmarkEnd w:id="53"/>
      <w:bookmarkEnd w:id="54"/>
      <w:bookmarkEnd w:id="55"/>
      <w:bookmarkEnd w:id="56"/>
      <w:bookmarkEnd w:id="57"/>
      <w:bookmarkEnd w:id="58"/>
      <w:bookmarkEnd w:id="59"/>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（一）比选人：重庆中医药学院</w:t>
      </w:r>
    </w:p>
    <w:p>
      <w:pPr>
        <w:spacing w:line="360" w:lineRule="auto"/>
        <w:ind w:firstLine="480" w:firstLineChars="200"/>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联系人：管老师</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电  话：17774968621 </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地  址：重庆市璧山区璧城街道国学路61号</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（二）比选代理机构：同致诚工程咨询有限公司</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联系人：李老师</w:t>
      </w:r>
    </w:p>
    <w:p>
      <w:pPr>
        <w:spacing w:line="360" w:lineRule="auto"/>
        <w:ind w:firstLine="480" w:firstLineChars="200"/>
        <w:outlineLvl w:val="9"/>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电  话：023-88602519</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地  址：重庆市两江新区高新园星光大道90号土星商务中心A2栋11楼</w:t>
      </w:r>
    </w:p>
    <w:p>
      <w:pPr>
        <w:rPr>
          <w:rFonts w:hint="eastAsia" w:ascii="仿宋" w:hAnsi="仿宋" w:eastAsia="仿宋" w:cs="仿宋"/>
          <w:b/>
          <w:bCs/>
          <w:i w:val="0"/>
          <w:iCs w:val="0"/>
          <w:color w:val="000000" w:themeColor="text1"/>
          <w:sz w:val="36"/>
          <w:szCs w:val="36"/>
          <w:highlight w:val="none"/>
          <w14:textFill>
            <w14:solidFill>
              <w14:schemeClr w14:val="tx1"/>
            </w14:solidFill>
          </w14:textFill>
        </w:rPr>
      </w:pPr>
      <w:bookmarkStart w:id="60" w:name="_Toc29444"/>
      <w:r>
        <w:rPr>
          <w:rFonts w:hint="eastAsia" w:ascii="仿宋" w:hAnsi="仿宋" w:eastAsia="仿宋" w:cs="仿宋"/>
          <w:b/>
          <w:bCs/>
          <w:i w:val="0"/>
          <w:iCs w:val="0"/>
          <w:color w:val="000000" w:themeColor="text1"/>
          <w:sz w:val="36"/>
          <w:szCs w:val="36"/>
          <w:highlight w:val="none"/>
          <w14:textFill>
            <w14:solidFill>
              <w14:schemeClr w14:val="tx1"/>
            </w14:solidFill>
          </w14:textFill>
        </w:rPr>
        <w:br w:type="page"/>
      </w:r>
    </w:p>
    <w:p>
      <w:pPr>
        <w:spacing w:line="360" w:lineRule="auto"/>
        <w:jc w:val="center"/>
        <w:outlineLvl w:val="0"/>
        <w:rPr>
          <w:rFonts w:hint="eastAsia" w:ascii="仿宋" w:hAnsi="仿宋" w:eastAsia="仿宋" w:cs="仿宋"/>
          <w:b/>
          <w:bCs/>
          <w:i w:val="0"/>
          <w:iCs w:val="0"/>
          <w:color w:val="000000" w:themeColor="text1"/>
          <w:sz w:val="36"/>
          <w:szCs w:val="36"/>
          <w:highlight w:val="none"/>
          <w14:textFill>
            <w14:solidFill>
              <w14:schemeClr w14:val="tx1"/>
            </w14:solidFill>
          </w14:textFill>
        </w:rPr>
      </w:pPr>
      <w:r>
        <w:rPr>
          <w:rFonts w:hint="eastAsia" w:ascii="仿宋" w:hAnsi="仿宋" w:eastAsia="仿宋" w:cs="仿宋"/>
          <w:b/>
          <w:bCs/>
          <w:i w:val="0"/>
          <w:iCs w:val="0"/>
          <w:color w:val="000000" w:themeColor="text1"/>
          <w:sz w:val="36"/>
          <w:szCs w:val="36"/>
          <w:highlight w:val="none"/>
          <w14:textFill>
            <w14:solidFill>
              <w14:schemeClr w14:val="tx1"/>
            </w14:solidFill>
          </w14:textFill>
        </w:rPr>
        <w:t>第二篇  项目服务需求</w:t>
      </w:r>
      <w:bookmarkEnd w:id="51"/>
      <w:bookmarkEnd w:id="52"/>
      <w:bookmarkEnd w:id="60"/>
    </w:p>
    <w:p>
      <w:pPr>
        <w:spacing w:line="360" w:lineRule="auto"/>
        <w:jc w:val="center"/>
        <w:outlineLvl w:val="9"/>
        <w:rPr>
          <w:rFonts w:hint="eastAsia" w:ascii="仿宋" w:hAnsi="仿宋" w:eastAsia="仿宋" w:cs="仿宋"/>
          <w:color w:val="000000" w:themeColor="text1"/>
          <w:highlight w:val="none"/>
          <w14:textFill>
            <w14:solidFill>
              <w14:schemeClr w14:val="tx1"/>
            </w14:solidFill>
          </w14:textFill>
        </w:rPr>
      </w:pPr>
      <w:bookmarkStart w:id="61" w:name="_Toc76462325"/>
      <w:bookmarkStart w:id="62" w:name="_Toc12789058"/>
      <w:r>
        <w:rPr>
          <w:rFonts w:hint="eastAsia" w:ascii="仿宋" w:hAnsi="仿宋" w:eastAsia="仿宋" w:cs="仿宋"/>
          <w:b/>
          <w:bCs/>
          <w:color w:val="000000" w:themeColor="text1"/>
          <w:sz w:val="24"/>
          <w:szCs w:val="24"/>
          <w:highlight w:val="none"/>
          <w:u w:val="single"/>
          <w14:textFill>
            <w14:solidFill>
              <w14:schemeClr w14:val="tx1"/>
            </w14:solidFill>
          </w14:textFill>
        </w:rPr>
        <w:t>本篇</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服务</w:t>
      </w:r>
      <w:r>
        <w:rPr>
          <w:rFonts w:hint="eastAsia" w:ascii="仿宋" w:hAnsi="仿宋" w:eastAsia="仿宋" w:cs="仿宋"/>
          <w:b/>
          <w:bCs/>
          <w:color w:val="000000" w:themeColor="text1"/>
          <w:sz w:val="24"/>
          <w:szCs w:val="24"/>
          <w:highlight w:val="none"/>
          <w:u w:val="single"/>
          <w14:textFill>
            <w14:solidFill>
              <w14:schemeClr w14:val="tx1"/>
            </w14:solidFill>
          </w14:textFill>
        </w:rPr>
        <w:t>需求为符合性审查中的实质性要求，</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竞选文件</w:t>
      </w:r>
      <w:r>
        <w:rPr>
          <w:rFonts w:hint="eastAsia" w:ascii="仿宋" w:hAnsi="仿宋" w:eastAsia="仿宋" w:cs="仿宋"/>
          <w:b/>
          <w:bCs/>
          <w:color w:val="000000" w:themeColor="text1"/>
          <w:sz w:val="24"/>
          <w:szCs w:val="24"/>
          <w:highlight w:val="none"/>
          <w:u w:val="single"/>
          <w14:textFill>
            <w14:solidFill>
              <w14:schemeClr w14:val="tx1"/>
            </w14:solidFill>
          </w14:textFill>
        </w:rPr>
        <w:t>若不满足按无效处理。</w:t>
      </w:r>
    </w:p>
    <w:p>
      <w:pPr>
        <w:spacing w:line="360" w:lineRule="auto"/>
        <w:jc w:val="left"/>
        <w:outlineLvl w:val="9"/>
        <w:rPr>
          <w:rFonts w:ascii="-webkit-standard" w:hAnsi="-webkit-standard" w:eastAsia="-webkit-standard" w:cs="-webkit-standard"/>
          <w:i w:val="0"/>
          <w:caps w:val="0"/>
          <w:color w:val="000000" w:themeColor="text1"/>
          <w:spacing w:val="0"/>
          <w:sz w:val="27"/>
          <w:szCs w:val="27"/>
          <w:highlight w:val="none"/>
          <w:u w:val="none"/>
          <w14:textFill>
            <w14:solidFill>
              <w14:schemeClr w14:val="tx1"/>
            </w14:solidFill>
          </w14:textFill>
        </w:rPr>
      </w:pPr>
      <w:bookmarkStart w:id="63" w:name="_Toc106030879"/>
      <w:r>
        <w:rPr>
          <w:rFonts w:hint="eastAsia" w:ascii="仿宋" w:hAnsi="仿宋" w:eastAsia="仿宋" w:cs="仿宋"/>
          <w:b/>
          <w:bCs/>
          <w:i w:val="0"/>
          <w:iCs w:val="0"/>
          <w:color w:val="000000" w:themeColor="text1"/>
          <w:sz w:val="24"/>
          <w:szCs w:val="24"/>
          <w:highlight w:val="none"/>
          <w14:textFill>
            <w14:solidFill>
              <w14:schemeClr w14:val="tx1"/>
            </w14:solidFill>
          </w14:textFill>
        </w:rPr>
        <w:t>一、项目基本概况介绍</w:t>
      </w:r>
      <w:bookmarkEnd w:id="61"/>
      <w:bookmarkEnd w:id="63"/>
      <w:bookmarkStart w:id="64" w:name="_Toc106030880"/>
    </w:p>
    <w:p>
      <w:pPr>
        <w:pStyle w:val="2"/>
        <w:spacing w:after="0" w:line="360" w:lineRule="auto"/>
        <w:ind w:firstLine="56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bookmarkStart w:id="65" w:name="_Toc23065"/>
      <w:bookmarkEnd w:id="65"/>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目用地面积25904.11平方米（约38.85亩），总建筑面积31989.05平方米，包含一栋学生宿舍（2个单元）及配套设施，主要保障不少于3000名学生生活需求。主要建设内容包括土建工程、装饰工程、安装工程、总图工程等。</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（二）建设地点：重庆市璧山区璧南河以西，中医药学院一期北侧B2-2/01地块南侧（近重庆中医药学院一期6#行政综合楼）。</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（三）项目工程总投资额：约17568万元，其中：工程费用13930万元。</w:t>
      </w:r>
    </w:p>
    <w:p>
      <w:pPr>
        <w:spacing w:line="360" w:lineRule="auto"/>
        <w:ind w:firstLine="480" w:firstLineChars="200"/>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（四）工期：总工期12个月，缺陷责任期24个月。</w:t>
      </w:r>
    </w:p>
    <w:p>
      <w:p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二、服务范围、要求及标准</w:t>
      </w:r>
      <w:bookmarkEnd w:id="64"/>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（一）服务范围：</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自地勘单位进场开始，同步开展外业见证工作，完成本项目外业见证及相关配合服务工作。     </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（二）服务要求：</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待地勘外业工作结束的10日内（不含合同签订时间）提供正式外业见证报告4份、电子光盘2份。</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服务标准：应按现行国家和地方技术规范、标准、规程和重庆市城乡建委《关于加强全市建设工程勘察外业工作的意见》(渝建发[2008]209号)等要求进行勘察外业见证工作。按合同规定的时间提交质量合格的外业见证成果资料，并对其负责。在现场工作的外业见证员，应全程旁站勘察作业，及时向比选人汇报工作进展，应遵守比选人的安全保卫及其它有关的规章制度，承担其有关资料保密义务。</w:t>
      </w:r>
    </w:p>
    <w:p>
      <w:pPr>
        <w:spacing w:line="360" w:lineRule="auto"/>
        <w:outlineLvl w:val="9"/>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三、项目人员要求</w:t>
      </w:r>
    </w:p>
    <w:p>
      <w:pPr>
        <w:spacing w:line="360" w:lineRule="auto"/>
        <w:ind w:firstLine="480" w:firstLineChars="200"/>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sectPr>
          <w:footerReference r:id="rId3" w:type="default"/>
          <w:footerReference r:id="rId4" w:type="even"/>
          <w:pgSz w:w="11907" w:h="16840"/>
          <w:pgMar w:top="1440" w:right="1701" w:bottom="1440" w:left="1701" w:header="964" w:footer="992" w:gutter="0"/>
          <w:pgNumType w:fmt="decimal" w:start="1"/>
          <w:cols w:space="720" w:num="1"/>
          <w:docGrid w:linePitch="312" w:charSpace="0"/>
        </w:sectPr>
      </w:pPr>
      <w:bookmarkStart w:id="66" w:name="_Toc106030882"/>
      <w:bookmarkStart w:id="67" w:name="_Toc76462327"/>
      <w:r>
        <w:rPr>
          <w:rFonts w:hint="eastAsia" w:ascii="仿宋" w:hAnsi="仿宋" w:eastAsia="仿宋" w:cs="仿宋"/>
          <w:color w:val="000000" w:themeColor="text1"/>
          <w:sz w:val="24"/>
          <w:szCs w:val="24"/>
          <w:highlight w:val="none"/>
          <w:lang w:val="en-US" w:eastAsia="zh-CN"/>
          <w14:textFill>
            <w14:solidFill>
              <w14:schemeClr w14:val="tx1"/>
            </w14:solidFill>
          </w14:textFill>
        </w:rPr>
        <w:t>竞选人自行组建项目团队，配备项目服务人员，具备地勘外业见证能力，并能出具外业见证报告和完善相关程序与手续，满足相关主管部门的要求，在项目实施过程中认真负责。</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（竞选人提供承诺函，格式自拟）</w:t>
      </w:r>
    </w:p>
    <w:p>
      <w:pPr>
        <w:numPr>
          <w:ilvl w:val="0"/>
          <w:numId w:val="1"/>
        </w:numPr>
        <w:spacing w:line="360" w:lineRule="auto"/>
        <w:jc w:val="center"/>
        <w:outlineLvl w:val="0"/>
        <w:rPr>
          <w:rFonts w:hint="eastAsia" w:ascii="仿宋" w:hAnsi="仿宋" w:eastAsia="仿宋" w:cs="仿宋"/>
          <w:b/>
          <w:bCs/>
          <w:i w:val="0"/>
          <w:iCs w:val="0"/>
          <w:color w:val="000000" w:themeColor="text1"/>
          <w:sz w:val="36"/>
          <w:szCs w:val="36"/>
          <w:highlight w:val="none"/>
          <w14:textFill>
            <w14:solidFill>
              <w14:schemeClr w14:val="tx1"/>
            </w14:solidFill>
          </w14:textFill>
        </w:rPr>
      </w:pPr>
      <w:r>
        <w:rPr>
          <w:rFonts w:hint="eastAsia" w:ascii="仿宋" w:hAnsi="仿宋" w:eastAsia="仿宋" w:cs="仿宋"/>
          <w:b/>
          <w:bCs/>
          <w:i w:val="0"/>
          <w:iCs w:val="0"/>
          <w:color w:val="000000" w:themeColor="text1"/>
          <w:sz w:val="36"/>
          <w:szCs w:val="36"/>
          <w:highlight w:val="none"/>
          <w14:textFill>
            <w14:solidFill>
              <w14:schemeClr w14:val="tx1"/>
            </w14:solidFill>
          </w14:textFill>
        </w:rPr>
        <w:t xml:space="preserve"> </w:t>
      </w:r>
      <w:bookmarkEnd w:id="62"/>
      <w:bookmarkStart w:id="68" w:name="_Toc26472"/>
      <w:r>
        <w:rPr>
          <w:rFonts w:hint="eastAsia" w:ascii="仿宋" w:hAnsi="仿宋" w:eastAsia="仿宋" w:cs="仿宋"/>
          <w:b/>
          <w:bCs/>
          <w:i w:val="0"/>
          <w:iCs w:val="0"/>
          <w:color w:val="000000" w:themeColor="text1"/>
          <w:sz w:val="36"/>
          <w:szCs w:val="36"/>
          <w:highlight w:val="none"/>
          <w14:textFill>
            <w14:solidFill>
              <w14:schemeClr w14:val="tx1"/>
            </w14:solidFill>
          </w14:textFill>
        </w:rPr>
        <w:t>项目商务需求</w:t>
      </w:r>
      <w:bookmarkEnd w:id="66"/>
      <w:bookmarkEnd w:id="67"/>
      <w:bookmarkEnd w:id="68"/>
    </w:p>
    <w:p>
      <w:pPr>
        <w:numPr>
          <w:ilvl w:val="0"/>
          <w:numId w:val="0"/>
        </w:numPr>
        <w:spacing w:line="360" w:lineRule="auto"/>
        <w:jc w:val="center"/>
        <w:outlineLvl w:val="9"/>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本篇</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商务</w:t>
      </w:r>
      <w:r>
        <w:rPr>
          <w:rFonts w:hint="eastAsia" w:ascii="仿宋" w:hAnsi="仿宋" w:eastAsia="仿宋" w:cs="仿宋"/>
          <w:b/>
          <w:bCs/>
          <w:color w:val="000000" w:themeColor="text1"/>
          <w:sz w:val="24"/>
          <w:szCs w:val="24"/>
          <w:highlight w:val="none"/>
          <w:u w:val="single"/>
          <w14:textFill>
            <w14:solidFill>
              <w14:schemeClr w14:val="tx1"/>
            </w14:solidFill>
          </w14:textFill>
        </w:rPr>
        <w:t>需求为符合性审查中的实质性要求，</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竞选文件</w:t>
      </w:r>
      <w:r>
        <w:rPr>
          <w:rFonts w:hint="eastAsia" w:ascii="仿宋" w:hAnsi="仿宋" w:eastAsia="仿宋" w:cs="仿宋"/>
          <w:b/>
          <w:bCs/>
          <w:color w:val="000000" w:themeColor="text1"/>
          <w:sz w:val="24"/>
          <w:szCs w:val="24"/>
          <w:highlight w:val="none"/>
          <w:u w:val="single"/>
          <w14:textFill>
            <w14:solidFill>
              <w14:schemeClr w14:val="tx1"/>
            </w14:solidFill>
          </w14:textFill>
        </w:rPr>
        <w:t>若不满足按无效处理。</w:t>
      </w:r>
    </w:p>
    <w:p>
      <w:p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69" w:name="_Toc76462328"/>
      <w:bookmarkStart w:id="70" w:name="_Toc106030883"/>
      <w:bookmarkStart w:id="71" w:name="_Toc344475120"/>
      <w:r>
        <w:rPr>
          <w:rFonts w:hint="eastAsia" w:ascii="仿宋" w:hAnsi="仿宋" w:eastAsia="仿宋" w:cs="仿宋"/>
          <w:b/>
          <w:bCs/>
          <w:i w:val="0"/>
          <w:iCs w:val="0"/>
          <w:color w:val="000000" w:themeColor="text1"/>
          <w:sz w:val="24"/>
          <w:szCs w:val="24"/>
          <w:highlight w:val="none"/>
          <w14:textFill>
            <w14:solidFill>
              <w14:schemeClr w14:val="tx1"/>
            </w14:solidFill>
          </w14:textFill>
        </w:rPr>
        <w:t>一、服务期、地点及验收方式</w:t>
      </w:r>
      <w:bookmarkEnd w:id="69"/>
      <w:bookmarkEnd w:id="70"/>
      <w:bookmarkEnd w:id="71"/>
    </w:p>
    <w:p>
      <w:pPr>
        <w:spacing w:line="360" w:lineRule="auto"/>
        <w:ind w:firstLine="480" w:firstLineChars="200"/>
        <w:jc w:val="left"/>
        <w:outlineLvl w:val="9"/>
        <w:rPr>
          <w:rFonts w:hint="default"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（一）服务期</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：外业见证进场日期：签定合同后3日内进场；如不能确定进场日期，以比选人的开工进场通知书为准。根据地勘工作进度，在地勘外业完成后10天内提供正式的勘察外业见证成果。</w:t>
      </w:r>
    </w:p>
    <w:p>
      <w:pPr>
        <w:spacing w:line="360" w:lineRule="auto"/>
        <w:ind w:firstLine="480" w:firstLineChars="200"/>
        <w:jc w:val="left"/>
        <w:outlineLvl w:val="9"/>
        <w:rPr>
          <w:rFonts w:hint="default"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（二）服务地点：</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比选人指定地点。</w:t>
      </w:r>
    </w:p>
    <w:p>
      <w:pPr>
        <w:spacing w:line="360" w:lineRule="auto"/>
        <w:ind w:firstLine="480" w:firstLineChars="200"/>
        <w:jc w:val="left"/>
        <w:outlineLvl w:val="9"/>
        <w:rPr>
          <w:rFonts w:hint="default" w:ascii="方正仿宋_GBK" w:hAnsi="方正仿宋_GBK" w:eastAsia="仿宋" w:cs="方正仿宋_GBK"/>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（三）验收方式：工作成果经</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及相关部门审批合格</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w:t>
      </w:r>
    </w:p>
    <w:p>
      <w:p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bookmarkStart w:id="72" w:name="_Toc344475121"/>
      <w:bookmarkStart w:id="73" w:name="_Toc76462329"/>
      <w:bookmarkStart w:id="74" w:name="_Toc106030884"/>
      <w:r>
        <w:rPr>
          <w:rFonts w:hint="eastAsia" w:ascii="仿宋" w:hAnsi="仿宋" w:eastAsia="仿宋" w:cs="仿宋"/>
          <w:b/>
          <w:bCs/>
          <w:i w:val="0"/>
          <w:iCs w:val="0"/>
          <w:color w:val="000000" w:themeColor="text1"/>
          <w:sz w:val="24"/>
          <w:szCs w:val="24"/>
          <w:highlight w:val="none"/>
          <w14:textFill>
            <w14:solidFill>
              <w14:schemeClr w14:val="tx1"/>
            </w14:solidFill>
          </w14:textFill>
        </w:rPr>
        <w:t>二、</w:t>
      </w:r>
      <w:bookmarkEnd w:id="72"/>
      <w:r>
        <w:rPr>
          <w:rFonts w:hint="eastAsia" w:ascii="仿宋" w:hAnsi="仿宋" w:eastAsia="仿宋" w:cs="仿宋"/>
          <w:b/>
          <w:bCs/>
          <w:i w:val="0"/>
          <w:iCs w:val="0"/>
          <w:color w:val="000000" w:themeColor="text1"/>
          <w:sz w:val="24"/>
          <w:szCs w:val="24"/>
          <w:highlight w:val="none"/>
          <w14:textFill>
            <w14:solidFill>
              <w14:schemeClr w14:val="tx1"/>
            </w14:solidFill>
          </w14:textFill>
        </w:rPr>
        <w:t>报价要求</w:t>
      </w:r>
      <w:bookmarkEnd w:id="73"/>
      <w:bookmarkEnd w:id="74"/>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bookmarkStart w:id="75" w:name="_Toc76462330"/>
      <w:bookmarkStart w:id="76" w:name="_Toc106030885"/>
      <w:bookmarkStart w:id="77" w:name="_Toc344475122"/>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（一）本项目报价方式为</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全费用综合单价</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报价。本项目投标报价不得超过本项目最高限价，否则均为无效响应。各</w:t>
      </w:r>
      <w:r>
        <w:rPr>
          <w:rFonts w:hint="eastAsia" w:ascii="仿宋" w:hAnsi="仿宋" w:eastAsia="仿宋" w:cs="仿宋"/>
          <w:color w:val="000000" w:themeColor="text1"/>
          <w:sz w:val="24"/>
          <w:szCs w:val="24"/>
          <w:highlight w:val="none"/>
          <w:lang w:val="en-US"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参考对应的收费标准并结合自身实力自行填报综合单价，成交后全费用综合单价均不作调整。</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二）以上报价包含完成本项目全部勘察外业见证工作所需的资料费、劳务费、技术服务费、办公家具、办公设施、通讯工具、通讯费用、交通工具、管理费、保险、税费、利润及协调配合费等实施工程勘察外业见证所产生的一切费用。因中选人自身原因造成漏报、少报皆由其自行承担责任，比选人不再补偿。</w:t>
      </w:r>
    </w:p>
    <w:p>
      <w:pPr>
        <w:spacing w:line="360" w:lineRule="auto"/>
        <w:jc w:val="left"/>
        <w:outlineLvl w:val="9"/>
        <w:rPr>
          <w:rFonts w:hint="default"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三、结算方式</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结算金额=实际完成的钻孔深度×中标全费用综合单价。</w:t>
      </w:r>
    </w:p>
    <w:p>
      <w:pPr>
        <w:spacing w:line="360" w:lineRule="auto"/>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bCs/>
          <w:i w:val="0"/>
          <w:iCs w:val="0"/>
          <w:color w:val="000000" w:themeColor="text1"/>
          <w:sz w:val="24"/>
          <w:szCs w:val="24"/>
          <w:highlight w:val="none"/>
          <w14:textFill>
            <w14:solidFill>
              <w14:schemeClr w14:val="tx1"/>
            </w14:solidFill>
          </w14:textFill>
        </w:rPr>
        <w:t>、付款方式</w:t>
      </w:r>
      <w:bookmarkEnd w:id="75"/>
      <w:bookmarkEnd w:id="76"/>
      <w:bookmarkEnd w:id="77"/>
    </w:p>
    <w:p>
      <w:pPr>
        <w:spacing w:line="440" w:lineRule="exact"/>
        <w:ind w:firstLine="480" w:firstLineChars="200"/>
        <w:jc w:val="left"/>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bookmarkStart w:id="78" w:name="_Toc344475124"/>
      <w:bookmarkStart w:id="79" w:name="_Toc76462331"/>
      <w:bookmarkStart w:id="80" w:name="_Toc106030886"/>
      <w:r>
        <w:rPr>
          <w:rFonts w:hint="eastAsia" w:ascii="仿宋" w:hAnsi="仿宋" w:eastAsia="仿宋" w:cs="仿宋"/>
          <w:color w:val="000000" w:themeColor="text1"/>
          <w:sz w:val="24"/>
          <w:szCs w:val="24"/>
          <w:highlight w:val="none"/>
          <w:lang w:val="en-US" w:eastAsia="zh-CN"/>
          <w14:textFill>
            <w14:solidFill>
              <w14:schemeClr w14:val="tx1"/>
            </w14:solidFill>
          </w14:textFill>
        </w:rPr>
        <w:t>工作成果经比选人及相关部门审批合格，且由中选人向比选人提供相应的结算资料、成果报告及增值税普通发票</w:t>
      </w:r>
      <w:r>
        <w:rPr>
          <w:rFonts w:hint="eastAsia" w:ascii="方正仿宋_GBK" w:hAnsi="宋体" w:eastAsia="方正仿宋_GBK" w:cs="Times New Roman"/>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并完成比选人支付流程后，比选人30个工作日内一次性支付勘察外业见证费给中选人。</w:t>
      </w:r>
      <w:bookmarkEnd w:id="78"/>
      <w:bookmarkEnd w:id="79"/>
      <w:bookmarkEnd w:id="80"/>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五、知识产权</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比选人在中华人民共和国境内使用中选人提供的货物及服务时免受第三方提出的侵犯其专利权或其它知识产权的起诉。如果第三方提出侵权指控，中选人应承担由此而引起的一切法律责任和费用。</w:t>
      </w:r>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六、违约责任</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按照签订的合同约定执行。</w:t>
      </w:r>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七、履约保证金</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中选人与比选人签订合同前中选人应向比选人缴纳签约合同价格的</w:t>
      </w:r>
      <w:r>
        <w:rPr>
          <w:rFonts w:hint="eastAsia" w:ascii="仿宋" w:hAnsi="仿宋" w:eastAsia="仿宋" w:cs="仿宋"/>
          <w:b/>
          <w:bCs/>
          <w:i w:val="0"/>
          <w:iCs w:val="0"/>
          <w:color w:val="000000" w:themeColor="text1"/>
          <w:sz w:val="24"/>
          <w:szCs w:val="24"/>
          <w:highlight w:val="none"/>
          <w:u w:val="single"/>
          <w:lang w:val="en-US" w:eastAsia="zh-CN"/>
          <w14:textFill>
            <w14:solidFill>
              <w14:schemeClr w14:val="tx1"/>
            </w14:solidFill>
          </w14:textFill>
        </w:rPr>
        <w:t>5000</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的履约保证金，（以转账或者金融机构、担保机构出具的保函等形式提交），不按约定缴纳履约保证金的，视为放弃中标，本项目服务期满后比选人向中选人无息退还履约保证金。注:采用保函形式的，保函必须为不可撤销且见索即付。</w:t>
      </w:r>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八、其他</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1．竞选人必须对以上条款和服务承诺明确列出，承诺内容必须达到要求。</w:t>
      </w:r>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2．其他未尽事宜由供需双方在采购合同中详细约定。</w:t>
      </w:r>
    </w:p>
    <w:p>
      <w:pPr>
        <w:spacing w:line="360" w:lineRule="auto"/>
        <w:jc w:val="center"/>
        <w:outlineLvl w:val="0"/>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br w:type="page"/>
      </w:r>
      <w:bookmarkStart w:id="81" w:name="_Toc109836389"/>
      <w:bookmarkStart w:id="82" w:name="_Toc2376"/>
      <w:r>
        <w:rPr>
          <w:rFonts w:hint="eastAsia" w:ascii="仿宋" w:hAnsi="仿宋" w:eastAsia="仿宋" w:cs="仿宋"/>
          <w:b/>
          <w:bCs/>
          <w:i w:val="0"/>
          <w:iCs w:val="0"/>
          <w:color w:val="000000" w:themeColor="text1"/>
          <w:sz w:val="36"/>
          <w:szCs w:val="36"/>
          <w:highlight w:val="none"/>
          <w14:textFill>
            <w14:solidFill>
              <w14:schemeClr w14:val="tx1"/>
            </w14:solidFill>
          </w14:textFill>
        </w:rPr>
        <w:t xml:space="preserve">第四篇  </w:t>
      </w:r>
      <w:r>
        <w:rPr>
          <w:rFonts w:hint="eastAsia" w:ascii="仿宋" w:hAnsi="仿宋" w:eastAsia="仿宋" w:cs="仿宋"/>
          <w:b/>
          <w:bCs/>
          <w:i w:val="0"/>
          <w:iCs w:val="0"/>
          <w:color w:val="000000" w:themeColor="text1"/>
          <w:sz w:val="36"/>
          <w:szCs w:val="36"/>
          <w:highlight w:val="none"/>
          <w:lang w:val="en-US" w:eastAsia="zh-CN"/>
          <w14:textFill>
            <w14:solidFill>
              <w14:schemeClr w14:val="tx1"/>
            </w14:solidFill>
          </w14:textFill>
        </w:rPr>
        <w:t>比选程序、</w:t>
      </w:r>
      <w:r>
        <w:rPr>
          <w:rFonts w:hint="eastAsia" w:ascii="仿宋" w:hAnsi="仿宋" w:eastAsia="仿宋" w:cs="仿宋"/>
          <w:b/>
          <w:bCs/>
          <w:i w:val="0"/>
          <w:iCs w:val="0"/>
          <w:color w:val="000000" w:themeColor="text1"/>
          <w:sz w:val="36"/>
          <w:szCs w:val="36"/>
          <w:highlight w:val="none"/>
          <w14:textFill>
            <w14:solidFill>
              <w14:schemeClr w14:val="tx1"/>
            </w14:solidFill>
          </w14:textFill>
        </w:rPr>
        <w:t>评标办法</w:t>
      </w:r>
      <w:bookmarkEnd w:id="81"/>
      <w:r>
        <w:rPr>
          <w:rFonts w:hint="eastAsia" w:ascii="仿宋" w:hAnsi="仿宋" w:eastAsia="仿宋" w:cs="仿宋"/>
          <w:b/>
          <w:bCs/>
          <w:i w:val="0"/>
          <w:iCs w:val="0"/>
          <w:color w:val="000000" w:themeColor="text1"/>
          <w:sz w:val="36"/>
          <w:szCs w:val="36"/>
          <w:highlight w:val="none"/>
          <w:lang w:eastAsia="zh-CN"/>
          <w14:textFill>
            <w14:solidFill>
              <w14:schemeClr w14:val="tx1"/>
            </w14:solidFill>
          </w14:textFill>
        </w:rPr>
        <w:t>、</w:t>
      </w:r>
      <w:r>
        <w:rPr>
          <w:rFonts w:hint="eastAsia" w:ascii="仿宋" w:hAnsi="仿宋" w:eastAsia="仿宋" w:cs="仿宋"/>
          <w:b/>
          <w:bCs/>
          <w:i w:val="0"/>
          <w:iCs w:val="0"/>
          <w:color w:val="000000" w:themeColor="text1"/>
          <w:sz w:val="36"/>
          <w:szCs w:val="36"/>
          <w:highlight w:val="none"/>
          <w:lang w:val="en-US" w:eastAsia="zh-CN"/>
          <w14:textFill>
            <w14:solidFill>
              <w14:schemeClr w14:val="tx1"/>
            </w14:solidFill>
          </w14:textFill>
        </w:rPr>
        <w:t>无效响应及比选终止</w:t>
      </w:r>
      <w:bookmarkEnd w:id="82"/>
    </w:p>
    <w:p>
      <w:pPr>
        <w:spacing w:line="360" w:lineRule="auto"/>
        <w:jc w:val="left"/>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bookmarkStart w:id="83" w:name="_Toc10124"/>
      <w:r>
        <w:rPr>
          <w:rFonts w:hint="eastAsia" w:ascii="仿宋" w:hAnsi="仿宋" w:eastAsia="仿宋" w:cs="仿宋"/>
          <w:b/>
          <w:bCs/>
          <w:i w:val="0"/>
          <w:iCs w:val="0"/>
          <w:color w:val="000000" w:themeColor="text1"/>
          <w:sz w:val="24"/>
          <w:szCs w:val="24"/>
          <w:highlight w:val="none"/>
          <w14:textFill>
            <w14:solidFill>
              <w14:schemeClr w14:val="tx1"/>
            </w14:solidFill>
          </w14:textFill>
        </w:rPr>
        <w:t>一、</w:t>
      </w:r>
      <w:bookmarkEnd w:id="83"/>
      <w:bookmarkStart w:id="84" w:name="_Toc75793518"/>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比选程序</w:t>
      </w:r>
      <w:bookmarkEnd w:id="84"/>
    </w:p>
    <w:p>
      <w:pPr>
        <w:spacing w:line="360" w:lineRule="auto"/>
        <w:ind w:firstLine="480" w:firstLineChars="200"/>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（一）竞选文件递交截止后评审小组对各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的资格条件、</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的有效性、完整性和响应程度进行审查。各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只有在完全符合要求的前提下，才能参与正式</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spacing w:line="360" w:lineRule="auto"/>
        <w:ind w:firstLine="482" w:firstLineChars="200"/>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1</w:t>
      </w:r>
      <w:r>
        <w:rPr>
          <w:rFonts w:hint="eastAsia" w:ascii="仿宋" w:hAnsi="仿宋" w:eastAsia="仿宋" w:cs="仿宋"/>
          <w:b/>
          <w:bCs/>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bCs/>
          <w:i w:val="0"/>
          <w:iCs w:val="0"/>
          <w:color w:val="000000" w:themeColor="text1"/>
          <w:sz w:val="24"/>
          <w:szCs w:val="24"/>
          <w:highlight w:val="none"/>
          <w14:textFill>
            <w14:solidFill>
              <w14:schemeClr w14:val="tx1"/>
            </w14:solidFill>
          </w14:textFill>
        </w:rPr>
        <w:t>资格性检查。</w:t>
      </w:r>
      <w:r>
        <w:rPr>
          <w:rFonts w:hint="eastAsia" w:ascii="仿宋" w:hAnsi="仿宋" w:eastAsia="仿宋" w:cs="仿宋"/>
          <w:i w:val="0"/>
          <w:iCs w:val="0"/>
          <w:color w:val="000000" w:themeColor="text1"/>
          <w:sz w:val="24"/>
          <w:szCs w:val="24"/>
          <w:highlight w:val="none"/>
          <w14:textFill>
            <w14:solidFill>
              <w14:schemeClr w14:val="tx1"/>
            </w14:solidFill>
          </w14:textFill>
        </w:rPr>
        <w:t>依据法律法规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和比选</w:t>
      </w:r>
      <w:r>
        <w:rPr>
          <w:rFonts w:hint="eastAsia" w:ascii="仿宋" w:hAnsi="仿宋" w:eastAsia="仿宋" w:cs="仿宋"/>
          <w:i w:val="0"/>
          <w:iCs w:val="0"/>
          <w:color w:val="000000" w:themeColor="text1"/>
          <w:sz w:val="24"/>
          <w:szCs w:val="24"/>
          <w:highlight w:val="none"/>
          <w14:textFill>
            <w14:solidFill>
              <w14:schemeClr w14:val="tx1"/>
            </w14:solidFill>
          </w14:textFill>
        </w:rPr>
        <w:t>文件的规定，对</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中的资格证明等进行审查，以确定</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是否具备</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资格。资格性检查资料表如下：</w:t>
      </w:r>
    </w:p>
    <w:tbl>
      <w:tblPr>
        <w:tblStyle w:val="2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00"/>
        <w:gridCol w:w="2940"/>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667" w:type="dxa"/>
            <w:vAlign w:val="center"/>
          </w:tcPr>
          <w:p>
            <w:pPr>
              <w:spacing w:line="24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序号</w:t>
            </w:r>
          </w:p>
        </w:tc>
        <w:tc>
          <w:tcPr>
            <w:tcW w:w="3640" w:type="dxa"/>
            <w:gridSpan w:val="2"/>
            <w:vAlign w:val="center"/>
          </w:tcPr>
          <w:p>
            <w:pPr>
              <w:spacing w:line="24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检查因素</w:t>
            </w:r>
          </w:p>
        </w:tc>
        <w:tc>
          <w:tcPr>
            <w:tcW w:w="4482" w:type="dxa"/>
            <w:vAlign w:val="center"/>
          </w:tcPr>
          <w:p>
            <w:pPr>
              <w:spacing w:line="24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restart"/>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w:t>
            </w:r>
          </w:p>
        </w:tc>
        <w:tc>
          <w:tcPr>
            <w:tcW w:w="700" w:type="dxa"/>
            <w:vMerge w:val="restart"/>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lang w:val="zh-CN"/>
                <w14:textFill>
                  <w14:solidFill>
                    <w14:schemeClr w14:val="tx1"/>
                  </w14:solidFill>
                </w14:textFill>
              </w:rPr>
              <w:t>应符合的基本资格条件</w:t>
            </w: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（1）具有独立承担民事责任的能力</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法人营业执照（副本）或事业单位法人证书（副本）；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（2）具有良好的商业信誉和健全的财务会计制度</w:t>
            </w:r>
          </w:p>
        </w:tc>
        <w:tc>
          <w:tcPr>
            <w:tcW w:w="4482" w:type="dxa"/>
            <w:vMerge w:val="restart"/>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提供承诺函（见格式文件）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（3）具有履行合同所必需的设备和专业技术能力</w:t>
            </w:r>
          </w:p>
        </w:tc>
        <w:tc>
          <w:tcPr>
            <w:tcW w:w="4482"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（4）有依法缴纳税收和社会保障金的良好记录</w:t>
            </w:r>
          </w:p>
        </w:tc>
        <w:tc>
          <w:tcPr>
            <w:tcW w:w="4482"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（5）参加政府采购活动前三年内，在经营活动中没有重大违法记录</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提供书面声明（见格式文件）；2.</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或</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i w:val="0"/>
                <w:iCs w:val="0"/>
                <w:color w:val="000000" w:themeColor="text1"/>
                <w:sz w:val="24"/>
                <w:szCs w:val="24"/>
                <w:highlight w:val="none"/>
                <w14:textFill>
                  <w14:solidFill>
                    <w14:schemeClr w14:val="tx1"/>
                  </w14:solidFill>
                </w14:textFill>
              </w:rPr>
              <w:t>将通过 “信用中国”网站(www.creditchina.gov.cn)、"中国政府采购网"(www.ccgp.gov.cn)等渠道查询</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信用记录，对列入失信被执行人、重大税收违法案件当事人名单、政府采购严重违法失信行为记录名单的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将拒绝其参与</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本次</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00" w:type="dxa"/>
            <w:vMerge w:val="continue"/>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zh-CN"/>
                <w14:textFill>
                  <w14:solidFill>
                    <w14:schemeClr w14:val="tx1"/>
                  </w14:solidFill>
                </w14:textFill>
              </w:rPr>
            </w:pPr>
          </w:p>
        </w:tc>
        <w:tc>
          <w:tcPr>
            <w:tcW w:w="2940"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（6）法律、行政法规规定的其他条件</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67"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w:t>
            </w:r>
          </w:p>
        </w:tc>
        <w:tc>
          <w:tcPr>
            <w:tcW w:w="3640" w:type="dxa"/>
            <w:gridSpan w:val="2"/>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特定资格条件</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按第一篇“三、比选资格条件（二）特定资格条件”的要求提交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7"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w:t>
            </w:r>
          </w:p>
        </w:tc>
        <w:tc>
          <w:tcPr>
            <w:tcW w:w="3640" w:type="dxa"/>
            <w:gridSpan w:val="2"/>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投标保证金</w:t>
            </w:r>
          </w:p>
        </w:tc>
        <w:tc>
          <w:tcPr>
            <w:tcW w:w="4482" w:type="dxa"/>
            <w:vAlign w:val="center"/>
          </w:tcPr>
          <w:p>
            <w:pPr>
              <w:spacing w:line="24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按</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文件规定缴纳投标保证金。</w:t>
            </w:r>
          </w:p>
        </w:tc>
      </w:tr>
    </w:tbl>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注：根据《中华人民共和国政府采购法实施条例》第十九条“参加政府采购活动前三年内，在经营活动中没有重大违法记录”中“重大违法记录”，是指</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snapToGrid w:val="0"/>
        <w:spacing w:line="360" w:lineRule="auto"/>
        <w:ind w:firstLine="482" w:firstLineChars="2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2</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bCs/>
          <w:color w:val="000000" w:themeColor="text1"/>
          <w:kern w:val="0"/>
          <w:sz w:val="24"/>
          <w:szCs w:val="24"/>
          <w:highlight w:val="none"/>
          <w14:textFill>
            <w14:solidFill>
              <w14:schemeClr w14:val="tx1"/>
            </w14:solidFill>
          </w14:textFill>
        </w:rPr>
        <w:t>符合性检查。</w:t>
      </w:r>
      <w:r>
        <w:rPr>
          <w:rFonts w:hint="eastAsia" w:ascii="仿宋" w:hAnsi="仿宋" w:eastAsia="仿宋" w:cs="仿宋"/>
          <w:color w:val="000000" w:themeColor="text1"/>
          <w:kern w:val="0"/>
          <w:sz w:val="24"/>
          <w:szCs w:val="24"/>
          <w:highlight w:val="none"/>
          <w14:textFill>
            <w14:solidFill>
              <w14:schemeClr w14:val="tx1"/>
            </w14:solidFill>
          </w14:textFill>
        </w:rPr>
        <w:t>依据</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文件的规定，从</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kern w:val="0"/>
          <w:sz w:val="24"/>
          <w:szCs w:val="24"/>
          <w:highlight w:val="none"/>
          <w14:textFill>
            <w14:solidFill>
              <w14:schemeClr w14:val="tx1"/>
            </w14:solidFill>
          </w14:textFill>
        </w:rPr>
        <w:t>的有效性、完整性和对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文件的响应程度进行审查，以确定是否对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文件的实质性要求作出响应。符合性检查资料表如下：</w:t>
      </w:r>
    </w:p>
    <w:tbl>
      <w:tblPr>
        <w:tblStyle w:val="20"/>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86"/>
        <w:gridCol w:w="1765"/>
        <w:gridCol w:w="4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8" w:type="dxa"/>
            <w:vAlign w:val="center"/>
          </w:tcPr>
          <w:p>
            <w:pPr>
              <w:spacing w:line="240" w:lineRule="auto"/>
              <w:jc w:val="center"/>
              <w:outlineLvl w:val="9"/>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序号</w:t>
            </w:r>
          </w:p>
        </w:tc>
        <w:tc>
          <w:tcPr>
            <w:tcW w:w="3151" w:type="dxa"/>
            <w:gridSpan w:val="2"/>
            <w:vAlign w:val="center"/>
          </w:tcPr>
          <w:p>
            <w:pPr>
              <w:spacing w:line="240" w:lineRule="auto"/>
              <w:jc w:val="center"/>
              <w:outlineLvl w:val="9"/>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评审因素</w:t>
            </w:r>
          </w:p>
        </w:tc>
        <w:tc>
          <w:tcPr>
            <w:tcW w:w="4809" w:type="dxa"/>
            <w:vAlign w:val="center"/>
          </w:tcPr>
          <w:p>
            <w:pPr>
              <w:spacing w:line="240" w:lineRule="auto"/>
              <w:jc w:val="center"/>
              <w:outlineLvl w:val="9"/>
              <w:rPr>
                <w:rFonts w:hint="eastAsia" w:ascii="仿宋" w:hAnsi="仿宋" w:eastAsia="仿宋" w:cs="仿宋"/>
                <w:b/>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8" w:type="dxa"/>
            <w:vMerge w:val="restart"/>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p>
        </w:tc>
        <w:tc>
          <w:tcPr>
            <w:tcW w:w="1386" w:type="dxa"/>
            <w:vMerge w:val="restart"/>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有效性审查</w:t>
            </w:r>
          </w:p>
        </w:tc>
        <w:tc>
          <w:tcPr>
            <w:tcW w:w="1765"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签署</w:t>
            </w:r>
          </w:p>
        </w:tc>
        <w:tc>
          <w:tcPr>
            <w:tcW w:w="4809"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98"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6" w:type="dxa"/>
            <w:vMerge w:val="continue"/>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765" w:type="dxa"/>
            <w:vAlign w:val="center"/>
          </w:tcPr>
          <w:p>
            <w:pPr>
              <w:spacing w:line="24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法定代表人身份证明及授权委托书</w:t>
            </w:r>
          </w:p>
        </w:tc>
        <w:tc>
          <w:tcPr>
            <w:tcW w:w="4809" w:type="dxa"/>
            <w:vAlign w:val="center"/>
          </w:tcPr>
          <w:p>
            <w:pPr>
              <w:spacing w:line="24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法定代表人身份证明及授权委托书有效，符合</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98"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6" w:type="dxa"/>
            <w:vMerge w:val="continue"/>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765" w:type="dxa"/>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CN"/>
                <w14:textFill>
                  <w14:solidFill>
                    <w14:schemeClr w14:val="tx1"/>
                  </w14:solidFill>
                </w14:textFill>
              </w:rPr>
              <w:t>方案</w:t>
            </w:r>
          </w:p>
        </w:tc>
        <w:tc>
          <w:tcPr>
            <w:tcW w:w="4809"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只能有一个</w:t>
            </w:r>
            <w:r>
              <w:rPr>
                <w:rFonts w:hint="eastAsia" w:ascii="仿宋" w:hAnsi="仿宋" w:eastAsia="仿宋" w:cs="仿宋"/>
                <w:color w:val="000000" w:themeColor="text1"/>
                <w:sz w:val="24"/>
                <w:szCs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lang w:val="zh-CN"/>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8"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6" w:type="dxa"/>
            <w:vMerge w:val="continue"/>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765" w:type="dxa"/>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报价唯一</w:t>
            </w:r>
          </w:p>
        </w:tc>
        <w:tc>
          <w:tcPr>
            <w:tcW w:w="4809"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只能在比选预算范围内报价，</w:t>
            </w:r>
            <w:r>
              <w:rPr>
                <w:rFonts w:hint="eastAsia" w:ascii="仿宋" w:hAnsi="仿宋" w:eastAsia="仿宋" w:cs="仿宋"/>
                <w:color w:val="000000" w:themeColor="text1"/>
                <w:sz w:val="24"/>
                <w:szCs w:val="24"/>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598" w:type="dxa"/>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w:t>
            </w:r>
          </w:p>
        </w:tc>
        <w:tc>
          <w:tcPr>
            <w:tcW w:w="1386"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完整性审查</w:t>
            </w:r>
          </w:p>
        </w:tc>
        <w:tc>
          <w:tcPr>
            <w:tcW w:w="1765"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lang w:val="zh-CN"/>
                <w14:textFill>
                  <w14:solidFill>
                    <w14:schemeClr w14:val="tx1"/>
                  </w14:solidFill>
                </w14:textFill>
              </w:rPr>
              <w:t>份数</w:t>
            </w:r>
          </w:p>
        </w:tc>
        <w:tc>
          <w:tcPr>
            <w:tcW w:w="4809"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lang w:val="zh-CN"/>
                <w14:textFill>
                  <w14:solidFill>
                    <w14:schemeClr w14:val="tx1"/>
                  </w14:solidFill>
                </w14:textFill>
              </w:rPr>
              <w:t>数量符合</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98" w:type="dxa"/>
            <w:vMerge w:val="restart"/>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w:t>
            </w:r>
          </w:p>
        </w:tc>
        <w:tc>
          <w:tcPr>
            <w:tcW w:w="1386" w:type="dxa"/>
            <w:vMerge w:val="restart"/>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文件的响应程度审查</w:t>
            </w:r>
          </w:p>
        </w:tc>
        <w:tc>
          <w:tcPr>
            <w:tcW w:w="1765"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kern w:val="0"/>
                <w:sz w:val="24"/>
                <w:szCs w:val="24"/>
                <w:highlight w:val="none"/>
                <w14:textFill>
                  <w14:solidFill>
                    <w14:schemeClr w14:val="tx1"/>
                  </w14:solidFill>
                </w14:textFill>
              </w:rPr>
              <w:t>内容</w:t>
            </w:r>
          </w:p>
        </w:tc>
        <w:tc>
          <w:tcPr>
            <w:tcW w:w="4809" w:type="dxa"/>
            <w:vAlign w:val="center"/>
          </w:tcPr>
          <w:p>
            <w:pPr>
              <w:pStyle w:val="11"/>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文件第二篇、第三篇规定的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98" w:type="dxa"/>
            <w:vMerge w:val="continue"/>
            <w:vAlign w:val="center"/>
          </w:tcPr>
          <w:p>
            <w:pPr>
              <w:spacing w:line="240" w:lineRule="auto"/>
              <w:jc w:val="center"/>
              <w:outlineLvl w:val="9"/>
              <w:rPr>
                <w:rFonts w:hint="eastAsia" w:ascii="仿宋" w:hAnsi="仿宋" w:eastAsia="仿宋" w:cs="仿宋"/>
                <w:color w:val="000000" w:themeColor="text1"/>
                <w:kern w:val="0"/>
                <w:sz w:val="24"/>
                <w:szCs w:val="24"/>
                <w:highlight w:val="none"/>
                <w14:textFill>
                  <w14:solidFill>
                    <w14:schemeClr w14:val="tx1"/>
                  </w14:solidFill>
                </w14:textFill>
              </w:rPr>
            </w:pPr>
          </w:p>
        </w:tc>
        <w:tc>
          <w:tcPr>
            <w:tcW w:w="1386" w:type="dxa"/>
            <w:vMerge w:val="continue"/>
            <w:vAlign w:val="center"/>
          </w:tcPr>
          <w:p>
            <w:pPr>
              <w:spacing w:line="240" w:lineRule="auto"/>
              <w:outlineLvl w:val="9"/>
              <w:rPr>
                <w:rFonts w:hint="eastAsia" w:ascii="仿宋" w:hAnsi="仿宋" w:eastAsia="仿宋" w:cs="仿宋"/>
                <w:color w:val="000000" w:themeColor="text1"/>
                <w:sz w:val="24"/>
                <w:szCs w:val="24"/>
                <w:highlight w:val="none"/>
                <w:lang w:val="zh-CN"/>
                <w14:textFill>
                  <w14:solidFill>
                    <w14:schemeClr w14:val="tx1"/>
                  </w14:solidFill>
                </w14:textFill>
              </w:rPr>
            </w:pPr>
          </w:p>
        </w:tc>
        <w:tc>
          <w:tcPr>
            <w:tcW w:w="1765"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有效期</w:t>
            </w:r>
          </w:p>
        </w:tc>
        <w:tc>
          <w:tcPr>
            <w:tcW w:w="4809" w:type="dxa"/>
            <w:vAlign w:val="center"/>
          </w:tcPr>
          <w:p>
            <w:pPr>
              <w:spacing w:line="240" w:lineRule="auto"/>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满足</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w:t>
            </w:r>
            <w:r>
              <w:rPr>
                <w:rFonts w:hint="eastAsia" w:ascii="仿宋" w:hAnsi="仿宋" w:eastAsia="仿宋" w:cs="仿宋"/>
                <w:color w:val="000000" w:themeColor="text1"/>
                <w:sz w:val="24"/>
                <w:szCs w:val="24"/>
                <w:highlight w:val="none"/>
                <w:lang w:val="zh-CN"/>
                <w14:textFill>
                  <w14:solidFill>
                    <w14:schemeClr w14:val="tx1"/>
                  </w14:solidFill>
                </w14:textFill>
              </w:rPr>
              <w:t>规定。</w:t>
            </w:r>
          </w:p>
        </w:tc>
      </w:tr>
    </w:tbl>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）澄清有关问题。评审小组在对</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的有效性、完整性和响应程度进行审查时，可以要求</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对</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中含义不明确、同类问题表述不一致或者有明显文字和计算错误的内容等作出必要的澄清、说明或者更正。</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的澄清、说明或者更正不得超出</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的范围或者改变</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的实质性内容。</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）评审小组要求</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澄清、说明或者更正</w:t>
      </w:r>
      <w:r>
        <w:rPr>
          <w:rFonts w:hint="eastAsia" w:ascii="仿宋" w:hAnsi="仿宋" w:eastAsia="仿宋" w:cs="仿宋"/>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sz w:val="24"/>
          <w:szCs w:val="24"/>
          <w:highlight w:val="none"/>
          <w14:textFill>
            <w14:solidFill>
              <w14:schemeClr w14:val="tx1"/>
            </w14:solidFill>
          </w14:textFill>
        </w:rPr>
        <w:t>应当以书面形式作出。</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的澄清、说明或者更正应当由法定代表人或其授权代表签字或者加盖公章。由授权代表签字的，应当附法定代表人授权书。</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为自然人的，应当由本人签字并附身份证明。</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）在</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过程中</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的任何一方不得向他人透露与</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有关的服务资料、价格或其他信息。</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在</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时作出的所有书面承诺须由法定代表人或其授权代表签字。</w:t>
      </w:r>
    </w:p>
    <w:p>
      <w:pPr>
        <w:spacing w:line="360" w:lineRule="auto"/>
        <w:ind w:firstLine="482" w:firstLineChars="200"/>
        <w:outlineLvl w:val="9"/>
        <w:rPr>
          <w:rFonts w:hint="eastAsia" w:ascii="仿宋" w:hAnsi="仿宋" w:eastAsia="仿宋" w:cs="仿宋"/>
          <w:b/>
          <w:bCs/>
          <w:color w:val="000000" w:themeColor="text1"/>
          <w:sz w:val="24"/>
          <w:szCs w:val="24"/>
          <w:highlight w:val="none"/>
          <w:u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3.评选方法：</w:t>
      </w:r>
      <w:r>
        <w:rPr>
          <w:rFonts w:hint="eastAsia" w:ascii="仿宋" w:hAnsi="仿宋" w:eastAsia="仿宋" w:cs="仿宋"/>
          <w:b/>
          <w:bCs/>
          <w:color w:val="000000" w:themeColor="text1"/>
          <w:sz w:val="24"/>
          <w:szCs w:val="24"/>
          <w:highlight w:val="none"/>
          <w:u w:val="none"/>
          <w14:textFill>
            <w14:solidFill>
              <w14:schemeClr w14:val="tx1"/>
            </w14:solidFill>
          </w14:textFill>
        </w:rPr>
        <w:t>综合评分法</w:t>
      </w:r>
      <w:r>
        <w:rPr>
          <w:rFonts w:hint="eastAsia" w:ascii="仿宋" w:hAnsi="仿宋" w:eastAsia="仿宋" w:cs="仿宋"/>
          <w:b/>
          <w:bCs/>
          <w:color w:val="000000" w:themeColor="text1"/>
          <w:sz w:val="24"/>
          <w:szCs w:val="24"/>
          <w:highlight w:val="none"/>
          <w:u w:val="none"/>
          <w:lang w:eastAsia="zh-CN"/>
          <w14:textFill>
            <w14:solidFill>
              <w14:schemeClr w14:val="tx1"/>
            </w14:solidFill>
          </w14:textFill>
        </w:rPr>
        <w:t>。</w:t>
      </w:r>
    </w:p>
    <w:p>
      <w:pPr>
        <w:spacing w:line="360" w:lineRule="auto"/>
        <w:ind w:firstLine="480" w:firstLineChars="200"/>
        <w:outlineLvl w:val="9"/>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综合评分法，是指</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竞选文件</w:t>
      </w:r>
      <w:r>
        <w:rPr>
          <w:rFonts w:hint="eastAsia" w:ascii="仿宋" w:hAnsi="仿宋" w:eastAsia="仿宋" w:cs="仿宋"/>
          <w:color w:val="000000" w:themeColor="text1"/>
          <w:kern w:val="0"/>
          <w:sz w:val="24"/>
          <w:szCs w:val="24"/>
          <w:highlight w:val="none"/>
          <w14:textFill>
            <w14:solidFill>
              <w14:schemeClr w14:val="tx1"/>
            </w14:solidFill>
          </w14:textFill>
        </w:rPr>
        <w:t>满足</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0"/>
          <w:sz w:val="24"/>
          <w:szCs w:val="24"/>
          <w:highlight w:val="none"/>
          <w14:textFill>
            <w14:solidFill>
              <w14:schemeClr w14:val="tx1"/>
            </w14:solidFill>
          </w14:textFill>
        </w:rPr>
        <w:t>文件全部实质性要求且按照评审因素的量化指标评审得分最高的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为成交候选</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的评审方法。</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总得分为价格、技术、商务等评定因素分别按照相应权重值计算分项得分后相加，满分为100分。</w:t>
      </w:r>
      <w:bookmarkStart w:id="85" w:name="_Hlk27399823"/>
      <w:r>
        <w:rPr>
          <w:rFonts w:hint="eastAsia" w:ascii="仿宋" w:hAnsi="仿宋" w:eastAsia="仿宋" w:cs="仿宋"/>
          <w:color w:val="000000" w:themeColor="text1"/>
          <w:kern w:val="0"/>
          <w:sz w:val="24"/>
          <w:szCs w:val="24"/>
          <w:highlight w:val="none"/>
          <w:lang w:eastAsia="zh-CN"/>
          <w14:textFill>
            <w14:solidFill>
              <w14:schemeClr w14:val="tx1"/>
            </w14:solidFill>
          </w14:textFill>
        </w:rPr>
        <w:t>竞选人</w:t>
      </w:r>
      <w:r>
        <w:rPr>
          <w:rFonts w:hint="eastAsia" w:ascii="仿宋" w:hAnsi="仿宋" w:eastAsia="仿宋" w:cs="仿宋"/>
          <w:color w:val="000000" w:themeColor="text1"/>
          <w:kern w:val="0"/>
          <w:sz w:val="24"/>
          <w:szCs w:val="24"/>
          <w:highlight w:val="none"/>
          <w14:textFill>
            <w14:solidFill>
              <w14:schemeClr w14:val="tx1"/>
            </w14:solidFill>
          </w14:textFill>
        </w:rPr>
        <w:t>出现评分相同的情况</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按技术部分得分进行由低到高进行排序。</w:t>
      </w:r>
    </w:p>
    <w:p>
      <w:pPr>
        <w:numPr>
          <w:ilvl w:val="0"/>
          <w:numId w:val="2"/>
        </w:numPr>
        <w:spacing w:line="360" w:lineRule="auto"/>
        <w:jc w:val="left"/>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评审标准</w:t>
      </w:r>
    </w:p>
    <w:tbl>
      <w:tblPr>
        <w:tblStyle w:val="21"/>
        <w:tblW w:w="9947"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198"/>
        <w:gridCol w:w="792"/>
        <w:gridCol w:w="571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序号</w:t>
            </w:r>
          </w:p>
        </w:tc>
        <w:tc>
          <w:tcPr>
            <w:tcW w:w="1198"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评分因素</w:t>
            </w:r>
          </w:p>
        </w:tc>
        <w:tc>
          <w:tcPr>
            <w:tcW w:w="792"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分值</w:t>
            </w:r>
          </w:p>
        </w:tc>
        <w:tc>
          <w:tcPr>
            <w:tcW w:w="5710" w:type="dxa"/>
            <w:vAlign w:val="center"/>
          </w:tcPr>
          <w:p>
            <w:pPr>
              <w:spacing w:line="240" w:lineRule="auto"/>
              <w:jc w:val="center"/>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评分标准</w:t>
            </w:r>
          </w:p>
        </w:tc>
        <w:tc>
          <w:tcPr>
            <w:tcW w:w="1375" w:type="dxa"/>
            <w:vAlign w:val="center"/>
          </w:tcPr>
          <w:p>
            <w:pPr>
              <w:pStyle w:val="27"/>
              <w:spacing w:before="0" w:after="0" w:line="240" w:lineRule="auto"/>
              <w:rPr>
                <w:rFonts w:hint="eastAsia"/>
                <w:b/>
                <w:bCs w:val="0"/>
                <w:color w:val="000000" w:themeColor="text1"/>
                <w:highlight w:val="none"/>
                <w:vertAlign w:val="baseline"/>
                <w14:textFill>
                  <w14:solidFill>
                    <w14:schemeClr w14:val="tx1"/>
                  </w14:solidFill>
                </w14:textFill>
              </w:rPr>
            </w:pPr>
            <w:r>
              <w:rPr>
                <w:rFonts w:hint="eastAsia" w:ascii="仿宋" w:hAnsi="仿宋" w:eastAsia="仿宋" w:cs="仿宋"/>
                <w:b/>
                <w:bCs w:val="0"/>
                <w:i w:val="0"/>
                <w:iCs w:val="0"/>
                <w:color w:val="000000" w:themeColor="text1"/>
                <w:sz w:val="24"/>
                <w:szCs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w:t>
            </w:r>
          </w:p>
        </w:tc>
        <w:tc>
          <w:tcPr>
            <w:tcW w:w="1198" w:type="dxa"/>
            <w:vAlign w:val="center"/>
          </w:tcPr>
          <w:p>
            <w:pPr>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投标报价</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40%</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p>
        </w:tc>
        <w:tc>
          <w:tcPr>
            <w:tcW w:w="792" w:type="dxa"/>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30分</w:t>
            </w:r>
          </w:p>
        </w:tc>
        <w:tc>
          <w:tcPr>
            <w:tcW w:w="5710" w:type="dxa"/>
            <w:vAlign w:val="center"/>
          </w:tcPr>
          <w:p>
            <w:pPr>
              <w:widowControl/>
              <w:spacing w:line="240" w:lineRule="auto"/>
              <w:outlineLvl w:val="2"/>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有效的投标报价中的最低价为评标基准价，按照下列公式计算每个</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的投标价格得分。</w:t>
            </w:r>
          </w:p>
          <w:p>
            <w:pPr>
              <w:widowControl/>
              <w:spacing w:line="240" w:lineRule="auto"/>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投标报价得分＝（评标基准价/投标报价）×价格权重×100。</w:t>
            </w:r>
          </w:p>
        </w:tc>
        <w:tc>
          <w:tcPr>
            <w:tcW w:w="1375" w:type="dxa"/>
            <w:vAlign w:val="center"/>
          </w:tcPr>
          <w:p>
            <w:pPr>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高于预算</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金额</w:t>
            </w:r>
            <w:r>
              <w:rPr>
                <w:rFonts w:hint="eastAsia" w:ascii="仿宋" w:hAnsi="仿宋" w:eastAsia="仿宋" w:cs="仿宋"/>
                <w:i w:val="0"/>
                <w:iCs w:val="0"/>
                <w:color w:val="000000" w:themeColor="text1"/>
                <w:sz w:val="24"/>
                <w:szCs w:val="24"/>
                <w:highlight w:val="none"/>
                <w14:textFill>
                  <w14:solidFill>
                    <w14:schemeClr w14:val="tx1"/>
                  </w14:solidFill>
                </w14:textFill>
              </w:rPr>
              <w:t>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w:t>
            </w:r>
          </w:p>
        </w:tc>
        <w:tc>
          <w:tcPr>
            <w:tcW w:w="1198"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技术</w:t>
            </w:r>
            <w:r>
              <w:rPr>
                <w:rFonts w:hint="eastAsia" w:ascii="仿宋" w:hAnsi="仿宋" w:eastAsia="仿宋" w:cs="仿宋"/>
                <w:i w:val="0"/>
                <w:iCs w:val="0"/>
                <w:color w:val="000000" w:themeColor="text1"/>
                <w:sz w:val="24"/>
                <w:szCs w:val="24"/>
                <w:highlight w:val="none"/>
                <w14:textFill>
                  <w14:solidFill>
                    <w14:schemeClr w14:val="tx1"/>
                  </w14:solidFill>
                </w14:textFill>
              </w:rPr>
              <w:t>部分</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40%</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p>
        </w:tc>
        <w:tc>
          <w:tcPr>
            <w:tcW w:w="792"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40分</w:t>
            </w: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总体实施方案（10分）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结合本项目实际情况及周边相关资料的收集详实，勘察工作目的及技术难点具有针对性。</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restart"/>
            <w:vAlign w:val="center"/>
          </w:tcPr>
          <w:p>
            <w:pPr>
              <w:pageBreakBefore w:val="0"/>
              <w:widowControl w:val="0"/>
              <w:numPr>
                <w:ilvl w:val="0"/>
                <w:numId w:val="3"/>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须提供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书面</w:t>
            </w:r>
            <w:r>
              <w:rPr>
                <w:rFonts w:hint="eastAsia" w:ascii="仿宋" w:hAnsi="仿宋" w:eastAsia="仿宋" w:cs="仿宋"/>
                <w:color w:val="000000" w:themeColor="text1"/>
                <w:sz w:val="24"/>
                <w:szCs w:val="24"/>
                <w:highlight w:val="none"/>
                <w14:textFill>
                  <w14:solidFill>
                    <w14:schemeClr w14:val="tx1"/>
                  </w14:solidFill>
                </w14:textFill>
              </w:rPr>
              <w:t>方案，格式自拟。</w:t>
            </w:r>
          </w:p>
          <w:p>
            <w:pPr>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p>
          <w:p>
            <w:pPr>
              <w:pageBreakBefore w:val="0"/>
              <w:widowControl w:val="0"/>
              <w:numPr>
                <w:ilvl w:val="0"/>
                <w:numId w:val="3"/>
              </w:numPr>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评审小组会根据</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文件服务要求为标准，对各</w:t>
            </w:r>
            <w:r>
              <w:rPr>
                <w:rFonts w:hint="eastAsia" w:ascii="仿宋" w:hAnsi="仿宋" w:eastAsia="仿宋" w:cs="仿宋"/>
                <w:color w:val="000000" w:themeColor="text1"/>
                <w:sz w:val="24"/>
                <w:szCs w:val="24"/>
                <w:highlight w:val="none"/>
                <w:lang w:val="en-US"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提供的书面方案进行独立评分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p>
          <w:p>
            <w:pPr>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lang w:eastAsia="zh-CN"/>
                <w14:textFill>
                  <w14:solidFill>
                    <w14:schemeClr w14:val="tx1"/>
                  </w14:solidFill>
                </w14:textFill>
              </w:rPr>
              <w:t>取评审小组的算术平均值作为技术部分得分。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1198"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79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服务质量保障（10分）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对关键节点进行监督检查，质量把关，以确保质量达到要求，总体服务质量保障措施是否清晰。</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continue"/>
            <w:vAlign w:val="center"/>
          </w:tcPr>
          <w:p>
            <w:pPr>
              <w:spacing w:line="240" w:lineRule="auto"/>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1198"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79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服务进度保障（10分）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对项目服务进度保障措施否完整、可行，是否提出针对性的合理化建议。</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continue"/>
            <w:vAlign w:val="center"/>
          </w:tcPr>
          <w:p>
            <w:pPr>
              <w:spacing w:line="240" w:lineRule="auto"/>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1198"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792" w:type="dxa"/>
            <w:vMerge w:val="continue"/>
            <w:vAlign w:val="center"/>
          </w:tcPr>
          <w:p>
            <w:pPr>
              <w:spacing w:line="240" w:lineRule="auto"/>
              <w:jc w:val="center"/>
              <w:rPr>
                <w:rFonts w:hint="eastAsia"/>
                <w:color w:val="000000" w:themeColor="text1"/>
                <w:highlight w:val="none"/>
                <w:vertAlign w:val="baseline"/>
                <w14:textFill>
                  <w14:solidFill>
                    <w14:schemeClr w14:val="tx1"/>
                  </w14:solidFill>
                </w14:textFill>
              </w:rPr>
            </w:pPr>
          </w:p>
        </w:tc>
        <w:tc>
          <w:tcPr>
            <w:tcW w:w="5710" w:type="dxa"/>
            <w:vAlign w:val="center"/>
          </w:tcPr>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应急处理（10分）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项目实施过程中，具有应急处理措施，措施是否科学可行。</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①方案描述清晰，完整可行，得10分。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②方案描述较清晰，较可行，得6分。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③方案描述不够清晰，可行性一般，得3分。</w:t>
            </w:r>
          </w:p>
          <w:p>
            <w:pPr>
              <w:widowControl/>
              <w:spacing w:line="24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④缺项或无方案，得0分。</w:t>
            </w:r>
          </w:p>
        </w:tc>
        <w:tc>
          <w:tcPr>
            <w:tcW w:w="1375" w:type="dxa"/>
            <w:vMerge w:val="continue"/>
            <w:vAlign w:val="center"/>
          </w:tcPr>
          <w:p>
            <w:pPr>
              <w:spacing w:line="240" w:lineRule="auto"/>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72"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w:t>
            </w:r>
          </w:p>
        </w:tc>
        <w:tc>
          <w:tcPr>
            <w:tcW w:w="1198" w:type="dxa"/>
            <w:vMerge w:val="restart"/>
            <w:vAlign w:val="center"/>
          </w:tcPr>
          <w:p>
            <w:pPr>
              <w:spacing w:line="240" w:lineRule="auto"/>
              <w:jc w:val="center"/>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商务部分</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w:t>
            </w:r>
          </w:p>
        </w:tc>
        <w:tc>
          <w:tcPr>
            <w:tcW w:w="792" w:type="dxa"/>
            <w:vMerge w:val="restart"/>
            <w:vAlign w:val="center"/>
          </w:tcPr>
          <w:p>
            <w:pPr>
              <w:widowControl/>
              <w:spacing w:line="240" w:lineRule="auto"/>
              <w:jc w:val="center"/>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i w:val="0"/>
                <w:iCs w:val="0"/>
                <w:color w:val="000000" w:themeColor="text1"/>
                <w:sz w:val="24"/>
                <w:szCs w:val="24"/>
                <w:highlight w:val="none"/>
                <w14:textFill>
                  <w14:solidFill>
                    <w14:schemeClr w14:val="tx1"/>
                  </w14:solidFill>
                </w14:textFill>
              </w:rPr>
              <w:t>分</w:t>
            </w:r>
          </w:p>
        </w:tc>
        <w:tc>
          <w:tcPr>
            <w:tcW w:w="5710" w:type="dxa"/>
            <w:vAlign w:val="center"/>
          </w:tcPr>
          <w:p>
            <w:pPr>
              <w:widowControl/>
              <w:spacing w:line="46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项目人员经验（10分）</w:t>
            </w:r>
          </w:p>
          <w:p>
            <w:pPr>
              <w:widowControl/>
              <w:spacing w:line="240" w:lineRule="auto"/>
              <w:ind w:firstLine="480" w:firstLineChars="200"/>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拟派团队成员，具有1个</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岩土工程类</w:t>
            </w:r>
            <w:r>
              <w:rPr>
                <w:rFonts w:hint="eastAsia" w:ascii="仿宋" w:hAnsi="仿宋" w:eastAsia="仿宋" w:cs="仿宋"/>
                <w:color w:val="000000" w:themeColor="text1"/>
                <w:sz w:val="24"/>
                <w:szCs w:val="24"/>
                <w:highlight w:val="none"/>
                <w:lang w:val="en-US" w:eastAsia="zh-CN"/>
                <w14:textFill>
                  <w14:solidFill>
                    <w14:schemeClr w14:val="tx1"/>
                  </w14:solidFill>
                </w14:textFill>
              </w:rPr>
              <w:t>高级及以上职称的得5分，此项最高得10分。</w:t>
            </w:r>
          </w:p>
        </w:tc>
        <w:tc>
          <w:tcPr>
            <w:tcW w:w="1375" w:type="dxa"/>
            <w:vAlign w:val="center"/>
          </w:tcPr>
          <w:p>
            <w:pPr>
              <w:widowControl/>
              <w:spacing w:line="240" w:lineRule="auto"/>
              <w:outlineLvl w:val="2"/>
              <w:rPr>
                <w:rFonts w:hint="eastAsia"/>
                <w:color w:val="000000" w:themeColor="text1"/>
                <w:highlight w:val="none"/>
                <w:vertAlign w:val="baseli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提供职称证复印件</w:t>
            </w:r>
            <w:r>
              <w:rPr>
                <w:rFonts w:hint="default" w:ascii="仿宋" w:hAnsi="仿宋" w:eastAsia="仿宋" w:cs="仿宋"/>
                <w:color w:val="000000" w:themeColor="text1"/>
                <w:sz w:val="24"/>
                <w:szCs w:val="24"/>
                <w:highlight w:val="none"/>
                <w:lang w:val="en-US" w:eastAsia="zh-CN"/>
                <w14:textFill>
                  <w14:solidFill>
                    <w14:schemeClr w14:val="tx1"/>
                  </w14:solidFill>
                </w14:textFill>
              </w:rPr>
              <w:t>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72" w:type="dxa"/>
            <w:vMerge w:val="continue"/>
            <w:vAlign w:val="center"/>
          </w:tcPr>
          <w:p>
            <w:pPr>
              <w:spacing w:line="240" w:lineRule="auto"/>
              <w:jc w:val="center"/>
              <w:rPr>
                <w:rFonts w:hint="eastAsia" w:ascii="仿宋" w:hAnsi="仿宋" w:eastAsia="仿宋" w:cs="仿宋"/>
                <w:i w:val="0"/>
                <w:iCs w:val="0"/>
                <w:color w:val="000000" w:themeColor="text1"/>
                <w:sz w:val="24"/>
                <w:szCs w:val="24"/>
                <w:highlight w:val="none"/>
                <w14:textFill>
                  <w14:solidFill>
                    <w14:schemeClr w14:val="tx1"/>
                  </w14:solidFill>
                </w14:textFill>
              </w:rPr>
            </w:pPr>
            <w:bookmarkStart w:id="86" w:name="_Toc106030892"/>
            <w:bookmarkStart w:id="87" w:name="_Toc102227313"/>
            <w:bookmarkStart w:id="88" w:name="_Toc76462337"/>
          </w:p>
        </w:tc>
        <w:tc>
          <w:tcPr>
            <w:tcW w:w="1198" w:type="dxa"/>
            <w:vMerge w:val="continue"/>
            <w:vAlign w:val="center"/>
          </w:tcPr>
          <w:p>
            <w:pPr>
              <w:spacing w:line="240" w:lineRule="auto"/>
              <w:jc w:val="center"/>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792" w:type="dxa"/>
            <w:vMerge w:val="continue"/>
            <w:vAlign w:val="center"/>
          </w:tcPr>
          <w:p>
            <w:pPr>
              <w:widowControl/>
              <w:spacing w:line="240" w:lineRule="auto"/>
              <w:jc w:val="center"/>
              <w:outlineLvl w:val="2"/>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p>
        </w:tc>
        <w:tc>
          <w:tcPr>
            <w:tcW w:w="5710" w:type="dxa"/>
            <w:vAlign w:val="center"/>
          </w:tcPr>
          <w:p>
            <w:pPr>
              <w:widowControl/>
              <w:spacing w:line="46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企业业绩（20分）</w:t>
            </w:r>
          </w:p>
          <w:p>
            <w:pPr>
              <w:widowControl/>
              <w:spacing w:line="240" w:lineRule="auto"/>
              <w:ind w:firstLine="480" w:firstLineChars="200"/>
              <w:outlineLvl w:val="2"/>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每提供2020年1月1日至今（以合同签订时间为准）完成一个建筑工程类别的类似勘察见证业绩得5分，此项最多得 20 分。</w:t>
            </w:r>
          </w:p>
        </w:tc>
        <w:tc>
          <w:tcPr>
            <w:tcW w:w="1375" w:type="dxa"/>
            <w:vAlign w:val="center"/>
          </w:tcPr>
          <w:p>
            <w:pPr>
              <w:widowControl/>
              <w:spacing w:line="240" w:lineRule="auto"/>
              <w:outlineLvl w:val="2"/>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default" w:ascii="仿宋" w:hAnsi="仿宋" w:eastAsia="仿宋" w:cs="仿宋"/>
                <w:color w:val="000000" w:themeColor="text1"/>
                <w:sz w:val="24"/>
                <w:szCs w:val="24"/>
                <w:highlight w:val="none"/>
                <w:lang w:val="en-US" w:eastAsia="zh-CN"/>
                <w14:textFill>
                  <w14:solidFill>
                    <w14:schemeClr w14:val="tx1"/>
                  </w14:solidFill>
                </w14:textFill>
              </w:rPr>
              <w:t>提供业绩合同协议书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复印件</w:t>
            </w:r>
            <w:r>
              <w:rPr>
                <w:rFonts w:hint="default" w:ascii="仿宋" w:hAnsi="仿宋" w:eastAsia="仿宋" w:cs="仿宋"/>
                <w:color w:val="000000" w:themeColor="text1"/>
                <w:sz w:val="24"/>
                <w:szCs w:val="24"/>
                <w:highlight w:val="none"/>
                <w:lang w:val="en-US" w:eastAsia="zh-CN"/>
                <w14:textFill>
                  <w14:solidFill>
                    <w14:schemeClr w14:val="tx1"/>
                  </w14:solidFill>
                </w14:textFill>
              </w:rPr>
              <w:t>并加盖单位公章。</w:t>
            </w:r>
          </w:p>
        </w:tc>
      </w:tr>
      <w:bookmarkEnd w:id="85"/>
    </w:tbl>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说明：评审小组认为</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竞选</w:t>
      </w:r>
      <w:r>
        <w:rPr>
          <w:rFonts w:hint="eastAsia" w:ascii="仿宋" w:hAnsi="仿宋" w:eastAsia="仿宋" w:cs="仿宋"/>
          <w:b w:val="0"/>
          <w:bCs/>
          <w:color w:val="000000" w:themeColor="text1"/>
          <w:sz w:val="24"/>
          <w:szCs w:val="24"/>
          <w:highlight w:val="none"/>
          <w14:textFill>
            <w14:solidFill>
              <w14:schemeClr w14:val="tx1"/>
            </w14:solidFill>
          </w14:textFill>
        </w:rPr>
        <w:t>人的报价明显低于其他通过符合性审查</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竞选</w:t>
      </w:r>
      <w:r>
        <w:rPr>
          <w:rFonts w:hint="eastAsia" w:ascii="仿宋" w:hAnsi="仿宋" w:eastAsia="仿宋" w:cs="仿宋"/>
          <w:b w:val="0"/>
          <w:bCs/>
          <w:color w:val="000000" w:themeColor="text1"/>
          <w:sz w:val="24"/>
          <w:szCs w:val="24"/>
          <w:highlight w:val="none"/>
          <w14:textFill>
            <w14:solidFill>
              <w14:schemeClr w14:val="tx1"/>
            </w14:solidFill>
          </w14:textFill>
        </w:rPr>
        <w:t>人的报价，有可能影响服务质量或者不能诚信履约的，应当要求其在评标现场合理的时间内提供书面说明，必要时提交相关证明材料；</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竞选</w:t>
      </w:r>
      <w:r>
        <w:rPr>
          <w:rFonts w:hint="eastAsia" w:ascii="仿宋" w:hAnsi="仿宋" w:eastAsia="仿宋" w:cs="仿宋"/>
          <w:b w:val="0"/>
          <w:bCs/>
          <w:color w:val="000000" w:themeColor="text1"/>
          <w:sz w:val="24"/>
          <w:szCs w:val="24"/>
          <w:highlight w:val="none"/>
          <w14:textFill>
            <w14:solidFill>
              <w14:schemeClr w14:val="tx1"/>
            </w14:solidFill>
          </w14:textFill>
        </w:rPr>
        <w:t>人不能证明其报价合理性的，评审小组应当将其作为无效投标处理。</w:t>
      </w:r>
    </w:p>
    <w:p>
      <w:pPr>
        <w:adjustRightInd w:val="0"/>
        <w:snapToGrid w:val="0"/>
        <w:spacing w:before="0" w:after="0" w:line="360" w:lineRule="auto"/>
        <w:outlineLvl w:val="9"/>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三、无效</w:t>
      </w: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响应</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发生以下条款情况之一者，视为无效报价：</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（一）</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不符合规定的资格条件的；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未通过实质性响应审查的；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所提交的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b w:val="0"/>
          <w:bCs/>
          <w:color w:val="000000" w:themeColor="text1"/>
          <w:sz w:val="24"/>
          <w:szCs w:val="24"/>
          <w:highlight w:val="none"/>
          <w14:textFill>
            <w14:solidFill>
              <w14:schemeClr w14:val="tx1"/>
            </w14:solidFill>
          </w14:textFill>
        </w:rPr>
        <w:t>未按“第七篇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b w:val="0"/>
          <w:bCs/>
          <w:color w:val="000000" w:themeColor="text1"/>
          <w:sz w:val="24"/>
          <w:szCs w:val="24"/>
          <w:highlight w:val="none"/>
          <w14:textFill>
            <w14:solidFill>
              <w14:schemeClr w14:val="tx1"/>
            </w14:solidFill>
          </w14:textFill>
        </w:rPr>
        <w:t>格式要求”要求签署或盖章的；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的报价超过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预算或最高限价的；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b w:val="0"/>
          <w:bCs/>
          <w:color w:val="000000" w:themeColor="text1"/>
          <w:sz w:val="24"/>
          <w:szCs w:val="24"/>
          <w:highlight w:val="none"/>
          <w14:textFill>
            <w14:solidFill>
              <w14:schemeClr w14:val="tx1"/>
            </w14:solidFill>
          </w14:textFill>
        </w:rPr>
        <w:t>）单位负责人为同一人或者存在直接控股、管理关系的不同</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，参加同一合同项（包）报价的；</w:t>
      </w:r>
    </w:p>
    <w:p>
      <w:pPr>
        <w:pStyle w:val="12"/>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val="0"/>
          <w:bCs/>
          <w:color w:val="000000" w:themeColor="text1"/>
          <w:sz w:val="24"/>
          <w:szCs w:val="24"/>
          <w:highlight w:val="none"/>
          <w14:textFill>
            <w14:solidFill>
              <w14:schemeClr w14:val="tx1"/>
            </w14:solidFill>
          </w14:textFill>
        </w:rPr>
        <w:t>）为</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项目提供整体设计、规范编制或者项目管理、监理、检测等服务的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再参加该</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项目的其他</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活动的；</w:t>
      </w:r>
    </w:p>
    <w:p>
      <w:pPr>
        <w:pStyle w:val="12"/>
        <w:spacing w:line="360" w:lineRule="auto"/>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七</w:t>
      </w:r>
      <w:r>
        <w:rPr>
          <w:rFonts w:hint="eastAsia" w:ascii="仿宋" w:hAnsi="仿宋" w:eastAsia="仿宋" w:cs="仿宋"/>
          <w:b w:val="0"/>
          <w:bCs/>
          <w:color w:val="000000" w:themeColor="text1"/>
          <w:sz w:val="24"/>
          <w:szCs w:val="24"/>
          <w:highlight w:val="none"/>
          <w14:textFill>
            <w14:solidFill>
              <w14:schemeClr w14:val="tx1"/>
            </w14:solidFill>
          </w14:textFill>
        </w:rPr>
        <w:t>）法律、法规和</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比选文件</w:t>
      </w:r>
      <w:r>
        <w:rPr>
          <w:rFonts w:hint="eastAsia" w:ascii="仿宋" w:hAnsi="仿宋" w:eastAsia="仿宋" w:cs="仿宋"/>
          <w:b w:val="0"/>
          <w:bCs/>
          <w:color w:val="000000" w:themeColor="text1"/>
          <w:sz w:val="24"/>
          <w:szCs w:val="24"/>
          <w:highlight w:val="none"/>
          <w14:textFill>
            <w14:solidFill>
              <w14:schemeClr w14:val="tx1"/>
            </w14:solidFill>
          </w14:textFill>
        </w:rPr>
        <w:t>规定的其他无效情形。</w:t>
      </w:r>
    </w:p>
    <w:p>
      <w:pPr>
        <w:adjustRightInd w:val="0"/>
        <w:snapToGrid w:val="0"/>
        <w:spacing w:before="0" w:after="0" w:line="360" w:lineRule="auto"/>
        <w:outlineLvl w:val="9"/>
        <w:rPr>
          <w:rFonts w:hint="eastAsia" w:ascii="仿宋" w:hAnsi="仿宋" w:eastAsia="仿宋" w:cs="仿宋"/>
          <w:b/>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四、</w:t>
      </w:r>
      <w:r>
        <w:rPr>
          <w:rFonts w:hint="eastAsia" w:ascii="仿宋" w:hAnsi="仿宋" w:eastAsia="仿宋" w:cs="仿宋"/>
          <w:b/>
          <w:bCs w:val="0"/>
          <w:color w:val="000000" w:themeColor="text1"/>
          <w:sz w:val="24"/>
          <w:szCs w:val="24"/>
          <w:highlight w:val="none"/>
          <w:lang w:eastAsia="zh-CN"/>
          <w14:textFill>
            <w14:solidFill>
              <w14:schemeClr w14:val="tx1"/>
            </w14:solidFill>
          </w14:textFill>
        </w:rPr>
        <w:t>比选终止</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出现下列情形之一的，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比选人</w:t>
      </w:r>
      <w:r>
        <w:rPr>
          <w:rFonts w:hint="eastAsia" w:ascii="仿宋" w:hAnsi="仿宋" w:eastAsia="仿宋" w:cs="仿宋"/>
          <w:b w:val="0"/>
          <w:bCs/>
          <w:color w:val="000000" w:themeColor="text1"/>
          <w:sz w:val="24"/>
          <w:szCs w:val="24"/>
          <w:highlight w:val="none"/>
          <w14:textFill>
            <w14:solidFill>
              <w14:schemeClr w14:val="tx1"/>
            </w14:solidFill>
          </w14:textFill>
        </w:rPr>
        <w:t>或者</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b w:val="0"/>
          <w:bCs/>
          <w:color w:val="000000" w:themeColor="text1"/>
          <w:sz w:val="24"/>
          <w:szCs w:val="24"/>
          <w:highlight w:val="none"/>
          <w14:textFill>
            <w14:solidFill>
              <w14:schemeClr w14:val="tx1"/>
            </w14:solidFill>
          </w14:textFill>
        </w:rPr>
        <w:t>应当终止</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活动，发布项目终止公告并说明原因，重新开展</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活动：</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（一）因情况变化，不再符合规定的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方式适用情形的；</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（二）出现影响</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公正的违法、违规行为的；</w:t>
      </w:r>
    </w:p>
    <w:p>
      <w:pPr>
        <w:snapToGrid w:val="0"/>
        <w:spacing w:line="360" w:lineRule="auto"/>
        <w:ind w:firstLine="480" w:firstLineChars="200"/>
        <w:outlineLvl w:val="9"/>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（三）在</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过程中符合竞争要求的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或者报价未超过</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比选</w:t>
      </w:r>
      <w:r>
        <w:rPr>
          <w:rFonts w:hint="eastAsia" w:ascii="仿宋" w:hAnsi="仿宋" w:eastAsia="仿宋" w:cs="仿宋"/>
          <w:b w:val="0"/>
          <w:bCs/>
          <w:color w:val="000000" w:themeColor="text1"/>
          <w:sz w:val="24"/>
          <w:szCs w:val="24"/>
          <w:highlight w:val="none"/>
          <w14:textFill>
            <w14:solidFill>
              <w14:schemeClr w14:val="tx1"/>
            </w14:solidFill>
          </w14:textFill>
        </w:rPr>
        <w:t>预算的</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竞选人</w:t>
      </w:r>
      <w:r>
        <w:rPr>
          <w:rFonts w:hint="eastAsia" w:ascii="仿宋" w:hAnsi="仿宋" w:eastAsia="仿宋" w:cs="仿宋"/>
          <w:b w:val="0"/>
          <w:bCs/>
          <w:color w:val="000000" w:themeColor="text1"/>
          <w:sz w:val="24"/>
          <w:szCs w:val="24"/>
          <w:highlight w:val="none"/>
          <w14:textFill>
            <w14:solidFill>
              <w14:schemeClr w14:val="tx1"/>
            </w14:solidFill>
          </w14:textFill>
        </w:rPr>
        <w:t>不足</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3家</w:t>
      </w:r>
      <w:r>
        <w:rPr>
          <w:rFonts w:hint="eastAsia" w:ascii="仿宋" w:hAnsi="仿宋" w:eastAsia="仿宋" w:cs="仿宋"/>
          <w:b w:val="0"/>
          <w:bCs/>
          <w:color w:val="000000" w:themeColor="text1"/>
          <w:sz w:val="24"/>
          <w:szCs w:val="24"/>
          <w:highlight w:val="none"/>
          <w14:textFill>
            <w14:solidFill>
              <w14:schemeClr w14:val="tx1"/>
            </w14:solidFill>
          </w14:textFill>
        </w:rPr>
        <w:t>的。</w:t>
      </w:r>
    </w:p>
    <w:p>
      <w:pPr>
        <w:snapToGrid w:val="0"/>
        <w:spacing w:line="360" w:lineRule="auto"/>
        <w:ind w:firstLine="480" w:firstLineChars="200"/>
        <w:outlineLvl w:val="9"/>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项目出现其他实质性影响，可能导致项目无法正常开展的情形。</w:t>
      </w:r>
    </w:p>
    <w:p>
      <w:pP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br w:type="page"/>
      </w:r>
    </w:p>
    <w:p>
      <w:pPr>
        <w:pStyle w:val="28"/>
        <w:spacing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89" w:name="_Toc18804"/>
      <w:r>
        <w:rPr>
          <w:rFonts w:hint="eastAsia" w:ascii="仿宋" w:hAnsi="仿宋" w:eastAsia="仿宋" w:cs="仿宋"/>
          <w:b/>
          <w:bCs/>
          <w:color w:val="000000" w:themeColor="text1"/>
          <w:sz w:val="36"/>
          <w:szCs w:val="36"/>
          <w:highlight w:val="none"/>
          <w14:textFill>
            <w14:solidFill>
              <w14:schemeClr w14:val="tx1"/>
            </w14:solidFill>
          </w14:textFill>
        </w:rPr>
        <w:t xml:space="preserve">第五篇  </w:t>
      </w:r>
      <w:r>
        <w:rPr>
          <w:rFonts w:hint="eastAsia" w:ascii="仿宋" w:hAnsi="仿宋" w:eastAsia="仿宋" w:cs="仿宋"/>
          <w:b/>
          <w:bCs/>
          <w:color w:val="000000" w:themeColor="text1"/>
          <w:sz w:val="36"/>
          <w:szCs w:val="36"/>
          <w:highlight w:val="none"/>
          <w:lang w:eastAsia="zh-CN"/>
          <w14:textFill>
            <w14:solidFill>
              <w14:schemeClr w14:val="tx1"/>
            </w14:solidFill>
          </w14:textFill>
        </w:rPr>
        <w:t>竞选人</w:t>
      </w:r>
      <w:r>
        <w:rPr>
          <w:rFonts w:hint="eastAsia" w:ascii="仿宋" w:hAnsi="仿宋" w:eastAsia="仿宋" w:cs="仿宋"/>
          <w:b/>
          <w:bCs/>
          <w:color w:val="000000" w:themeColor="text1"/>
          <w:sz w:val="36"/>
          <w:szCs w:val="36"/>
          <w:highlight w:val="none"/>
          <w14:textFill>
            <w14:solidFill>
              <w14:schemeClr w14:val="tx1"/>
            </w14:solidFill>
          </w14:textFill>
        </w:rPr>
        <w:t>须知</w:t>
      </w:r>
      <w:bookmarkEnd w:id="86"/>
      <w:bookmarkEnd w:id="87"/>
      <w:bookmarkEnd w:id="88"/>
      <w:bookmarkEnd w:id="89"/>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90" w:name="_Toc342913389"/>
      <w:bookmarkStart w:id="91" w:name="_Toc106030893"/>
      <w:bookmarkStart w:id="92" w:name="_Toc76462338"/>
      <w:r>
        <w:rPr>
          <w:rFonts w:hint="eastAsia" w:ascii="仿宋" w:hAnsi="仿宋" w:eastAsia="仿宋" w:cs="仿宋"/>
          <w:b/>
          <w:bCs/>
          <w:color w:val="000000" w:themeColor="text1"/>
          <w:szCs w:val="28"/>
          <w:highlight w:val="none"/>
          <w14:textFill>
            <w14:solidFill>
              <w14:schemeClr w14:val="tx1"/>
            </w14:solidFill>
          </w14:textFill>
        </w:rPr>
        <w:t>一、</w:t>
      </w:r>
      <w:r>
        <w:rPr>
          <w:rFonts w:hint="eastAsia" w:ascii="仿宋" w:hAnsi="仿宋" w:eastAsia="仿宋" w:cs="仿宋"/>
          <w:b/>
          <w:bCs/>
          <w:color w:val="000000" w:themeColor="text1"/>
          <w:szCs w:val="28"/>
          <w:highlight w:val="none"/>
          <w:lang w:val="en-US"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费用</w:t>
      </w:r>
      <w:bookmarkEnd w:id="90"/>
      <w:bookmarkEnd w:id="91"/>
      <w:bookmarkEnd w:id="92"/>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参与</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的</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应承担其编制</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与递交</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所涉及的一切费用，不论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结果如何</w:t>
      </w:r>
      <w:r>
        <w:rPr>
          <w:rFonts w:hint="eastAsia" w:ascii="仿宋" w:hAnsi="仿宋" w:eastAsia="仿宋" w:cs="仿宋"/>
          <w:color w:val="000000" w:themeColor="text1"/>
          <w:szCs w:val="28"/>
          <w:highlight w:val="none"/>
          <w:lang w:val="en-US" w:eastAsia="zh-CN"/>
          <w14:textFill>
            <w14:solidFill>
              <w14:schemeClr w14:val="tx1"/>
            </w14:solidFill>
          </w14:textFill>
        </w:rPr>
        <w:t>由竞选人自行承担</w:t>
      </w:r>
      <w:r>
        <w:rPr>
          <w:rFonts w:hint="eastAsia" w:ascii="仿宋" w:hAnsi="仿宋" w:eastAsia="仿宋" w:cs="仿宋"/>
          <w:color w:val="000000" w:themeColor="text1"/>
          <w:szCs w:val="28"/>
          <w:highlight w:val="none"/>
          <w14:textFill>
            <w14:solidFill>
              <w14:schemeClr w14:val="tx1"/>
            </w14:solidFill>
          </w14:textFill>
        </w:rPr>
        <w:t>。</w:t>
      </w:r>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93" w:name="_Toc76462339"/>
      <w:bookmarkStart w:id="94" w:name="_Toc106030894"/>
      <w:bookmarkStart w:id="95" w:name="_Toc342913391"/>
      <w:r>
        <w:rPr>
          <w:rFonts w:hint="eastAsia" w:ascii="仿宋" w:hAnsi="仿宋" w:eastAsia="仿宋" w:cs="仿宋"/>
          <w:b/>
          <w:bCs/>
          <w:color w:val="000000" w:themeColor="text1"/>
          <w:szCs w:val="28"/>
          <w:highlight w:val="none"/>
          <w14:textFill>
            <w14:solidFill>
              <w14:schemeClr w14:val="tx1"/>
            </w14:solidFill>
          </w14:textFill>
        </w:rPr>
        <w:t>二、</w:t>
      </w:r>
      <w:r>
        <w:rPr>
          <w:rFonts w:hint="eastAsia" w:ascii="仿宋" w:hAnsi="仿宋" w:eastAsia="仿宋" w:cs="仿宋"/>
          <w:b/>
          <w:bCs/>
          <w:color w:val="000000" w:themeColor="text1"/>
          <w:szCs w:val="28"/>
          <w:highlight w:val="none"/>
          <w:lang w:val="en-US"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文件</w:t>
      </w:r>
      <w:bookmarkEnd w:id="93"/>
      <w:bookmarkEnd w:id="94"/>
      <w:bookmarkEnd w:id="95"/>
    </w:p>
    <w:p>
      <w:pPr>
        <w:pStyle w:val="28"/>
        <w:spacing w:line="360" w:lineRule="auto"/>
        <w:ind w:left="0" w:leftChars="0" w:firstLine="480" w:firstLineChars="200"/>
        <w:outlineLvl w:val="9"/>
        <w:rPr>
          <w:rFonts w:hint="eastAsia" w:ascii="仿宋" w:hAnsi="仿宋" w:eastAsia="仿宋" w:cs="仿宋"/>
          <w:b/>
          <w:bCs/>
          <w:color w:val="000000" w:themeColor="text1"/>
          <w:szCs w:val="28"/>
          <w:highlight w:val="none"/>
          <w:lang w:eastAsia="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文件由</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邀请书、项目服务需求、</w:t>
      </w:r>
      <w:r>
        <w:rPr>
          <w:rFonts w:hint="eastAsia" w:ascii="仿宋" w:hAnsi="仿宋" w:eastAsia="仿宋" w:cs="仿宋"/>
          <w:b/>
          <w:bCs/>
          <w:color w:val="000000" w:themeColor="text1"/>
          <w:szCs w:val="28"/>
          <w:highlight w:val="none"/>
          <w:lang w:eastAsia="zh-CN"/>
          <w14:textFill>
            <w14:solidFill>
              <w14:schemeClr w14:val="tx1"/>
            </w14:solidFill>
          </w14:textFill>
        </w:rPr>
        <w:t>竞选人</w:t>
      </w:r>
      <w:r>
        <w:rPr>
          <w:rFonts w:hint="eastAsia" w:ascii="仿宋" w:hAnsi="仿宋" w:eastAsia="仿宋" w:cs="仿宋"/>
          <w:b/>
          <w:bCs/>
          <w:color w:val="000000" w:themeColor="text1"/>
          <w:szCs w:val="28"/>
          <w:highlight w:val="none"/>
          <w14:textFill>
            <w14:solidFill>
              <w14:schemeClr w14:val="tx1"/>
            </w14:solidFill>
          </w14:textFill>
        </w:rPr>
        <w:t>须知、项目商务需求、</w:t>
      </w:r>
      <w:r>
        <w:rPr>
          <w:rFonts w:hint="eastAsia" w:ascii="仿宋" w:hAnsi="仿宋" w:eastAsia="仿宋" w:cs="仿宋"/>
          <w:b/>
          <w:bCs/>
          <w:color w:val="000000" w:themeColor="text1"/>
          <w:szCs w:val="28"/>
          <w:highlight w:val="none"/>
          <w:lang w:val="en-US"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程序</w:t>
      </w:r>
      <w:r>
        <w:rPr>
          <w:rFonts w:hint="eastAsia" w:ascii="仿宋" w:hAnsi="仿宋" w:eastAsia="仿宋" w:cs="仿宋"/>
          <w:b/>
          <w:bCs/>
          <w:color w:val="000000" w:themeColor="text1"/>
          <w:szCs w:val="28"/>
          <w:highlight w:val="none"/>
          <w:lang w:val="en-US" w:eastAsia="zh-CN"/>
          <w14:textFill>
            <w14:solidFill>
              <w14:schemeClr w14:val="tx1"/>
            </w14:solidFill>
          </w14:textFill>
        </w:rPr>
        <w:t>及</w:t>
      </w:r>
      <w:r>
        <w:rPr>
          <w:rFonts w:hint="eastAsia" w:ascii="仿宋" w:hAnsi="仿宋" w:eastAsia="仿宋" w:cs="仿宋"/>
          <w:b/>
          <w:bCs/>
          <w:color w:val="000000" w:themeColor="text1"/>
          <w:szCs w:val="28"/>
          <w:highlight w:val="none"/>
          <w14:textFill>
            <w14:solidFill>
              <w14:schemeClr w14:val="tx1"/>
            </w14:solidFill>
          </w14:textFill>
        </w:rPr>
        <w:t>评审标准、</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合同、</w:t>
      </w:r>
      <w:r>
        <w:rPr>
          <w:rFonts w:hint="eastAsia" w:ascii="仿宋" w:hAnsi="仿宋" w:eastAsia="仿宋" w:cs="仿宋"/>
          <w:b/>
          <w:bCs/>
          <w:color w:val="000000" w:themeColor="text1"/>
          <w:szCs w:val="28"/>
          <w:highlight w:val="none"/>
          <w:lang w:eastAsia="zh-CN"/>
          <w14:textFill>
            <w14:solidFill>
              <w14:schemeClr w14:val="tx1"/>
            </w14:solidFill>
          </w14:textFill>
        </w:rPr>
        <w:t>竞选文件</w:t>
      </w:r>
      <w:r>
        <w:rPr>
          <w:rFonts w:hint="eastAsia" w:ascii="仿宋" w:hAnsi="仿宋" w:eastAsia="仿宋" w:cs="仿宋"/>
          <w:b/>
          <w:bCs/>
          <w:color w:val="000000" w:themeColor="text1"/>
          <w:szCs w:val="28"/>
          <w:highlight w:val="none"/>
          <w14:textFill>
            <w14:solidFill>
              <w14:schemeClr w14:val="tx1"/>
            </w14:solidFill>
          </w14:textFill>
        </w:rPr>
        <w:t>编制要求七部分组成。</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）所作的一切有效的书面通知、修改及补充，都是</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文件不可分割的部分。</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（三）</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文件的解释</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如对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文件有疑问，必须以书面形式在提交</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截止时间</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个工作日前向</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）要求澄清，</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）可视具体情况做出处理或答复。如</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未提出疑问，视为完全理解并同意本</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文件。一经进入</w:t>
      </w:r>
      <w:r>
        <w:rPr>
          <w:rFonts w:hint="eastAsia" w:ascii="仿宋" w:hAnsi="仿宋" w:eastAsia="仿宋" w:cs="仿宋"/>
          <w:color w:val="000000" w:themeColor="text1"/>
          <w:szCs w:val="28"/>
          <w:highlight w:val="none"/>
          <w:lang w:val="en-US" w:eastAsia="zh-CN"/>
          <w14:textFill>
            <w14:solidFill>
              <w14:schemeClr w14:val="tx1"/>
            </w14:solidFill>
          </w14:textFill>
        </w:rPr>
        <w:t>评审</w:t>
      </w:r>
      <w:r>
        <w:rPr>
          <w:rFonts w:hint="eastAsia" w:ascii="仿宋" w:hAnsi="仿宋" w:eastAsia="仿宋" w:cs="仿宋"/>
          <w:color w:val="000000" w:themeColor="text1"/>
          <w:szCs w:val="28"/>
          <w:highlight w:val="none"/>
          <w14:textFill>
            <w14:solidFill>
              <w14:schemeClr w14:val="tx1"/>
            </w14:solidFill>
          </w14:textFill>
        </w:rPr>
        <w:t>程序，即视为</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已详细阅读全部文件资料，完全理解</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文件所有条款内容并同意放弃对这方面有不明白及误解的权利。</w:t>
      </w:r>
      <w:bookmarkStart w:id="96" w:name="_Toc318159780"/>
      <w:bookmarkStart w:id="97" w:name="_Toc318166429"/>
      <w:bookmarkStart w:id="98" w:name="_Toc318159349"/>
      <w:bookmarkStart w:id="99" w:name="_Toc318159160"/>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四</w:t>
      </w:r>
      <w:r>
        <w:rPr>
          <w:rFonts w:hint="eastAsia" w:ascii="仿宋" w:hAnsi="仿宋" w:eastAsia="仿宋" w:cs="仿宋"/>
          <w:color w:val="000000" w:themeColor="text1"/>
          <w:szCs w:val="28"/>
          <w:highlight w:val="none"/>
          <w14:textFill>
            <w14:solidFill>
              <w14:schemeClr w14:val="tx1"/>
            </w14:solidFill>
          </w14:textFill>
        </w:rPr>
        <w:t>）评审的依据为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文件和</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（含有效的书面承诺）。</w:t>
      </w:r>
      <w:r>
        <w:rPr>
          <w:rFonts w:hint="eastAsia" w:ascii="仿宋" w:hAnsi="仿宋" w:eastAsia="仿宋" w:cs="仿宋"/>
          <w:color w:val="000000" w:themeColor="text1"/>
          <w:szCs w:val="28"/>
          <w:highlight w:val="none"/>
          <w:lang w:val="en-US" w:eastAsia="zh-CN"/>
          <w14:textFill>
            <w14:solidFill>
              <w14:schemeClr w14:val="tx1"/>
            </w14:solidFill>
          </w14:textFill>
        </w:rPr>
        <w:t>评审</w:t>
      </w:r>
      <w:r>
        <w:rPr>
          <w:rFonts w:hint="eastAsia" w:ascii="仿宋" w:hAnsi="仿宋" w:eastAsia="仿宋" w:cs="仿宋"/>
          <w:color w:val="000000" w:themeColor="text1"/>
          <w:szCs w:val="28"/>
          <w:highlight w:val="none"/>
          <w14:textFill>
            <w14:solidFill>
              <w14:schemeClr w14:val="tx1"/>
            </w14:solidFill>
          </w14:textFill>
        </w:rPr>
        <w:t>小组判断</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文件的响应，仅基于</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本身而不靠外部证据。</w:t>
      </w:r>
    </w:p>
    <w:bookmarkEnd w:id="96"/>
    <w:bookmarkEnd w:id="97"/>
    <w:bookmarkEnd w:id="98"/>
    <w:bookmarkEnd w:id="99"/>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00" w:name="_Toc76462340"/>
      <w:bookmarkStart w:id="101" w:name="_Toc102227318"/>
      <w:bookmarkStart w:id="102" w:name="_Toc342913392"/>
      <w:bookmarkStart w:id="103" w:name="_Toc179714297"/>
      <w:bookmarkStart w:id="104" w:name="_Toc106030895"/>
      <w:r>
        <w:rPr>
          <w:rFonts w:hint="eastAsia" w:ascii="仿宋" w:hAnsi="仿宋" w:eastAsia="仿宋" w:cs="仿宋"/>
          <w:b/>
          <w:bCs/>
          <w:color w:val="000000" w:themeColor="text1"/>
          <w:szCs w:val="28"/>
          <w:highlight w:val="none"/>
          <w14:textFill>
            <w14:solidFill>
              <w14:schemeClr w14:val="tx1"/>
            </w14:solidFill>
          </w14:textFill>
        </w:rPr>
        <w:t>三、</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要求</w:t>
      </w:r>
      <w:bookmarkEnd w:id="100"/>
      <w:bookmarkEnd w:id="101"/>
      <w:bookmarkEnd w:id="102"/>
      <w:bookmarkEnd w:id="103"/>
      <w:bookmarkEnd w:id="104"/>
    </w:p>
    <w:p>
      <w:pPr>
        <w:pStyle w:val="28"/>
        <w:spacing w:line="360" w:lineRule="auto"/>
        <w:outlineLvl w:val="9"/>
        <w:rPr>
          <w:rFonts w:hint="eastAsia" w:ascii="仿宋" w:hAnsi="仿宋" w:eastAsia="仿宋" w:cs="仿宋"/>
          <w:color w:val="000000" w:themeColor="text1"/>
          <w:szCs w:val="28"/>
          <w:highlight w:val="none"/>
          <w:lang w:eastAsia="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竞选文件</w:t>
      </w:r>
    </w:p>
    <w:p>
      <w:pPr>
        <w:pStyle w:val="28"/>
        <w:spacing w:line="360" w:lineRule="auto"/>
        <w:outlineLvl w:val="9"/>
        <w:rPr>
          <w:rFonts w:hint="eastAsia" w:ascii="仿宋" w:hAnsi="仿宋" w:eastAsia="仿宋" w:cs="仿宋"/>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应当按照</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文件的要求编制</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，并对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文件提出的要求和条件作出实质性响应。</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组成</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由“第七篇</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编制要求”规定的部分和</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所作的一切有效补充、修改和承诺等文件组成，</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应按照“第七篇</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编制要求”规定的目录顺序组织编写和装订，也可在基本格式基础上对表格进行扩展，未规定格式的由</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自定格式。</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二</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有效期：</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及有关承诺文件有效期为提交</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截止时间起90天。</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三</w:t>
      </w:r>
      <w:r>
        <w:rPr>
          <w:rFonts w:hint="eastAsia" w:ascii="仿宋" w:hAnsi="仿宋" w:eastAsia="仿宋" w:cs="仿宋"/>
          <w:color w:val="000000" w:themeColor="text1"/>
          <w:szCs w:val="28"/>
          <w:highlight w:val="none"/>
          <w14:textFill>
            <w14:solidFill>
              <w14:schemeClr w14:val="tx1"/>
            </w14:solidFill>
          </w14:textFill>
        </w:rPr>
        <w:t>）修正错误</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1.若</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所递交的</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或最后报价中的价格出现大写金额和小写金额不一致的错误，以</w:t>
      </w:r>
      <w:r>
        <w:rPr>
          <w:rFonts w:hint="eastAsia" w:ascii="仿宋" w:hAnsi="仿宋" w:eastAsia="仿宋" w:cs="仿宋"/>
          <w:b/>
          <w:bCs/>
          <w:color w:val="000000" w:themeColor="text1"/>
          <w:szCs w:val="28"/>
          <w:highlight w:val="none"/>
          <w:u w:val="single"/>
          <w14:textFill>
            <w14:solidFill>
              <w14:schemeClr w14:val="tx1"/>
            </w14:solidFill>
          </w14:textFill>
        </w:rPr>
        <w:t>大写金额修正为准</w:t>
      </w:r>
      <w:r>
        <w:rPr>
          <w:rFonts w:hint="eastAsia" w:ascii="仿宋" w:hAnsi="仿宋" w:eastAsia="仿宋" w:cs="仿宋"/>
          <w:color w:val="000000" w:themeColor="text1"/>
          <w:szCs w:val="28"/>
          <w:highlight w:val="none"/>
          <w14:textFill>
            <w14:solidFill>
              <w14:schemeClr w14:val="tx1"/>
            </w14:solidFill>
          </w14:textFill>
        </w:rPr>
        <w:t>。</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小组按上述修正错误的原则及方法修正</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的报价，</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同意并签字确认后，修正后的报价对</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具有约束作用。如果</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不接受修正后的价格，将失去成为</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的资格。</w:t>
      </w:r>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14:textFill>
            <w14:solidFill>
              <w14:schemeClr w14:val="tx1"/>
            </w14:solidFill>
          </w14:textFill>
        </w:rPr>
        <w:t>（</w:t>
      </w:r>
      <w:r>
        <w:rPr>
          <w:rFonts w:hint="eastAsia" w:ascii="仿宋" w:hAnsi="仿宋" w:eastAsia="仿宋" w:cs="仿宋"/>
          <w:b/>
          <w:bCs/>
          <w:color w:val="000000" w:themeColor="text1"/>
          <w:szCs w:val="28"/>
          <w:highlight w:val="none"/>
          <w:lang w:val="en-US" w:eastAsia="zh-CN"/>
          <w14:textFill>
            <w14:solidFill>
              <w14:schemeClr w14:val="tx1"/>
            </w14:solidFill>
          </w14:textFill>
        </w:rPr>
        <w:t>四</w:t>
      </w:r>
      <w:r>
        <w:rPr>
          <w:rFonts w:hint="eastAsia" w:ascii="仿宋" w:hAnsi="仿宋" w:eastAsia="仿宋" w:cs="仿宋"/>
          <w:b/>
          <w:bCs/>
          <w:color w:val="000000" w:themeColor="text1"/>
          <w:szCs w:val="28"/>
          <w:highlight w:val="none"/>
          <w14:textFill>
            <w14:solidFill>
              <w14:schemeClr w14:val="tx1"/>
            </w14:solidFill>
          </w14:textFill>
        </w:rPr>
        <w:t>）提交</w:t>
      </w:r>
      <w:r>
        <w:rPr>
          <w:rFonts w:hint="eastAsia" w:ascii="仿宋" w:hAnsi="仿宋" w:eastAsia="仿宋" w:cs="仿宋"/>
          <w:b/>
          <w:bCs/>
          <w:color w:val="000000" w:themeColor="text1"/>
          <w:szCs w:val="28"/>
          <w:highlight w:val="none"/>
          <w:lang w:eastAsia="zh-CN"/>
          <w14:textFill>
            <w14:solidFill>
              <w14:schemeClr w14:val="tx1"/>
            </w14:solidFill>
          </w14:textFill>
        </w:rPr>
        <w:t>竞选文件</w:t>
      </w:r>
      <w:r>
        <w:rPr>
          <w:rFonts w:hint="eastAsia" w:ascii="仿宋" w:hAnsi="仿宋" w:eastAsia="仿宋" w:cs="仿宋"/>
          <w:b/>
          <w:bCs/>
          <w:color w:val="000000" w:themeColor="text1"/>
          <w:szCs w:val="28"/>
          <w:highlight w:val="none"/>
          <w14:textFill>
            <w14:solidFill>
              <w14:schemeClr w14:val="tx1"/>
            </w14:solidFill>
          </w14:textFill>
        </w:rPr>
        <w:t>的份数和签署</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w:t>
      </w:r>
      <w:r>
        <w:rPr>
          <w:rFonts w:hint="eastAsia" w:ascii="仿宋" w:hAnsi="仿宋" w:eastAsia="仿宋" w:cs="仿宋"/>
          <w:b/>
          <w:bCs/>
          <w:color w:val="000000" w:themeColor="text1"/>
          <w:szCs w:val="28"/>
          <w:highlight w:val="none"/>
          <w:lang w:eastAsia="zh-CN"/>
          <w14:textFill>
            <w14:solidFill>
              <w14:schemeClr w14:val="tx1"/>
            </w14:solidFill>
          </w14:textFill>
        </w:rPr>
        <w:t>竞选文件一式四份，其中正本一份，副本两份（副本内容应与正本一致），电子文档一份（电子文件推荐使用U盘，电子文件为投标文件正本的完整扫描件）。 每套纸质投标文件须在封面右上角标明正本或副本”，副本可为正本的完整复印件，副本与正本不一致时以正本为准。</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2.在</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正本中，比选文件“第七篇</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编制要求”中规定签字、盖公章的地方必须按其规定签字、盖公章。</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3.</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的正本、副本以及电子文档均应密封送达</w:t>
      </w:r>
      <w:r>
        <w:rPr>
          <w:rFonts w:hint="eastAsia" w:ascii="仿宋" w:hAnsi="仿宋" w:eastAsia="仿宋" w:cs="仿宋"/>
          <w:color w:val="000000" w:themeColor="text1"/>
          <w:szCs w:val="28"/>
          <w:highlight w:val="none"/>
          <w:lang w:val="en-US"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地点，应在封套上注明</w:t>
      </w:r>
      <w:r>
        <w:rPr>
          <w:rFonts w:hint="eastAsia" w:ascii="仿宋" w:hAnsi="仿宋" w:eastAsia="仿宋" w:cs="仿宋"/>
          <w:color w:val="000000" w:themeColor="text1"/>
          <w:szCs w:val="28"/>
          <w:highlight w:val="none"/>
          <w:lang w:val="en-US"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项目名称、</w:t>
      </w:r>
      <w:r>
        <w:rPr>
          <w:rFonts w:hint="eastAsia" w:ascii="仿宋" w:hAnsi="仿宋" w:eastAsia="仿宋" w:cs="仿宋"/>
          <w:color w:val="000000" w:themeColor="text1"/>
          <w:szCs w:val="28"/>
          <w:highlight w:val="none"/>
          <w:lang w:val="en-US" w:eastAsia="zh-CN"/>
          <w14:textFill>
            <w14:solidFill>
              <w14:schemeClr w14:val="tx1"/>
            </w14:solidFill>
          </w14:textFill>
        </w:rPr>
        <w:t>竞选人名</w:t>
      </w:r>
      <w:r>
        <w:rPr>
          <w:rFonts w:hint="eastAsia" w:ascii="仿宋" w:hAnsi="仿宋" w:eastAsia="仿宋" w:cs="仿宋"/>
          <w:color w:val="000000" w:themeColor="text1"/>
          <w:szCs w:val="28"/>
          <w:highlight w:val="none"/>
          <w14:textFill>
            <w14:solidFill>
              <w14:schemeClr w14:val="tx1"/>
            </w14:solidFill>
          </w14:textFill>
        </w:rPr>
        <w:t>称。若正本、副本以及电子文档分别进行密封的，还应在封套上注明“正本</w:t>
      </w:r>
      <w:r>
        <w:rPr>
          <w:rFonts w:hint="eastAsia" w:ascii="仿宋" w:hAnsi="仿宋" w:eastAsia="仿宋" w:cs="仿宋"/>
          <w:color w:val="000000" w:themeColor="text1"/>
          <w:szCs w:val="28"/>
          <w:highlight w:val="none"/>
          <w:lang w:eastAsia="zh-CN"/>
          <w14:textFill>
            <w14:solidFill>
              <w14:schemeClr w14:val="tx1"/>
            </w14:solidFill>
          </w14:textFill>
        </w:rPr>
        <w:t>”“</w:t>
      </w:r>
      <w:r>
        <w:rPr>
          <w:rFonts w:hint="eastAsia" w:ascii="仿宋" w:hAnsi="仿宋" w:eastAsia="仿宋" w:cs="仿宋"/>
          <w:color w:val="000000" w:themeColor="text1"/>
          <w:szCs w:val="28"/>
          <w:highlight w:val="none"/>
          <w14:textFill>
            <w14:solidFill>
              <w14:schemeClr w14:val="tx1"/>
            </w14:solidFill>
          </w14:textFill>
        </w:rPr>
        <w:t>副本”、“电子文档”字样。</w:t>
      </w:r>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05" w:name="_Toc76462341"/>
      <w:bookmarkStart w:id="106" w:name="_Toc106030896"/>
      <w:r>
        <w:rPr>
          <w:rFonts w:hint="eastAsia" w:ascii="仿宋" w:hAnsi="仿宋" w:eastAsia="仿宋" w:cs="仿宋"/>
          <w:b/>
          <w:bCs/>
          <w:color w:val="000000" w:themeColor="text1"/>
          <w:szCs w:val="28"/>
          <w:highlight w:val="none"/>
          <w14:textFill>
            <w14:solidFill>
              <w14:schemeClr w14:val="tx1"/>
            </w14:solidFill>
          </w14:textFill>
        </w:rPr>
        <w:t>四、</w:t>
      </w:r>
      <w:r>
        <w:rPr>
          <w:rFonts w:hint="eastAsia" w:ascii="仿宋" w:hAnsi="仿宋" w:eastAsia="仿宋" w:cs="仿宋"/>
          <w:b/>
          <w:bCs/>
          <w:color w:val="000000" w:themeColor="text1"/>
          <w:szCs w:val="28"/>
          <w:highlight w:val="none"/>
          <w:lang w:eastAsia="zh-CN"/>
          <w14:textFill>
            <w14:solidFill>
              <w14:schemeClr w14:val="tx1"/>
            </w14:solidFill>
          </w14:textFill>
        </w:rPr>
        <w:t>中选人</w:t>
      </w:r>
      <w:r>
        <w:rPr>
          <w:rFonts w:hint="eastAsia" w:ascii="仿宋" w:hAnsi="仿宋" w:eastAsia="仿宋" w:cs="仿宋"/>
          <w:b/>
          <w:bCs/>
          <w:color w:val="000000" w:themeColor="text1"/>
          <w:szCs w:val="28"/>
          <w:highlight w:val="none"/>
          <w14:textFill>
            <w14:solidFill>
              <w14:schemeClr w14:val="tx1"/>
            </w14:solidFill>
          </w14:textFill>
        </w:rPr>
        <w:t>的确认和变更</w:t>
      </w:r>
      <w:bookmarkEnd w:id="105"/>
      <w:bookmarkEnd w:id="106"/>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的确认</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val="en-US"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应当在5个工作日内，从评审报告提出的成交候选</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中，按照排序由高到低的原则确定</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的变更</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拒绝与</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签订合同的，</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可以按照评标报告推荐的成交候选</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顺序，确定排名下一位的候选人为</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，也可以重新开展</w:t>
      </w:r>
      <w:r>
        <w:rPr>
          <w:rFonts w:hint="eastAsia" w:ascii="仿宋" w:hAnsi="仿宋" w:eastAsia="仿宋" w:cs="仿宋"/>
          <w:color w:val="000000" w:themeColor="text1"/>
          <w:szCs w:val="28"/>
          <w:highlight w:val="none"/>
          <w:lang w:val="en-US"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活动。</w:t>
      </w:r>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07" w:name="_Toc342913395"/>
      <w:bookmarkStart w:id="108" w:name="_Toc102227321"/>
      <w:bookmarkStart w:id="109" w:name="_Toc106030897"/>
      <w:bookmarkStart w:id="110" w:name="_Toc76462342"/>
      <w:r>
        <w:rPr>
          <w:rFonts w:hint="eastAsia" w:ascii="仿宋" w:hAnsi="仿宋" w:eastAsia="仿宋" w:cs="仿宋"/>
          <w:b/>
          <w:bCs/>
          <w:color w:val="000000" w:themeColor="text1"/>
          <w:szCs w:val="28"/>
          <w:highlight w:val="none"/>
          <w14:textFill>
            <w14:solidFill>
              <w14:schemeClr w14:val="tx1"/>
            </w14:solidFill>
          </w14:textFill>
        </w:rPr>
        <w:t>五、成交通知</w:t>
      </w:r>
      <w:bookmarkEnd w:id="107"/>
      <w:bookmarkEnd w:id="108"/>
      <w:bookmarkEnd w:id="109"/>
      <w:bookmarkEnd w:id="110"/>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确定后，</w:t>
      </w:r>
      <w:r>
        <w:rPr>
          <w:rFonts w:hint="eastAsia" w:ascii="仿宋" w:hAnsi="仿宋" w:eastAsia="仿宋" w:cs="仿宋"/>
          <w:color w:val="000000" w:themeColor="text1"/>
          <w:szCs w:val="28"/>
          <w:highlight w:val="none"/>
          <w:lang w:val="en-US" w:eastAsia="zh-CN"/>
          <w14:textFill>
            <w14:solidFill>
              <w14:schemeClr w14:val="tx1"/>
            </w14:solidFill>
          </w14:textFill>
        </w:rPr>
        <w:t>比选人/代理机构</w:t>
      </w:r>
      <w:r>
        <w:rPr>
          <w:rFonts w:hint="eastAsia" w:ascii="仿宋" w:hAnsi="仿宋" w:eastAsia="仿宋" w:cs="仿宋"/>
          <w:color w:val="000000" w:themeColor="text1"/>
          <w:szCs w:val="28"/>
          <w:highlight w:val="none"/>
          <w14:textFill>
            <w14:solidFill>
              <w14:schemeClr w14:val="tx1"/>
            </w14:solidFill>
          </w14:textFill>
        </w:rPr>
        <w:t>将在</w:t>
      </w:r>
      <w:r>
        <w:rPr>
          <w:rFonts w:hint="eastAsia" w:ascii="仿宋" w:hAnsi="仿宋" w:eastAsia="仿宋" w:cs="仿宋"/>
          <w:color w:val="000000" w:themeColor="text1"/>
          <w:szCs w:val="28"/>
          <w:highlight w:val="none"/>
          <w:lang w:val="en-US" w:eastAsia="zh-CN"/>
          <w14:textFill>
            <w14:solidFill>
              <w14:schemeClr w14:val="tx1"/>
            </w14:solidFill>
          </w14:textFill>
        </w:rPr>
        <w:t>行采家平台（wwwg.gec123.com）</w:t>
      </w:r>
      <w:r>
        <w:rPr>
          <w:rFonts w:hint="eastAsia" w:ascii="仿宋" w:hAnsi="仿宋" w:eastAsia="仿宋" w:cs="仿宋"/>
          <w:color w:val="000000" w:themeColor="text1"/>
          <w:szCs w:val="28"/>
          <w:highlight w:val="none"/>
          <w14:textFill>
            <w14:solidFill>
              <w14:schemeClr w14:val="tx1"/>
            </w14:solidFill>
          </w14:textFill>
        </w:rPr>
        <w:t>上发布成交结果公告。</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（二）结果公告发出同时，</w:t>
      </w:r>
      <w:r>
        <w:rPr>
          <w:rFonts w:hint="eastAsia" w:ascii="仿宋" w:hAnsi="仿宋" w:eastAsia="仿宋" w:cs="仿宋"/>
          <w:color w:val="000000" w:themeColor="text1"/>
          <w:szCs w:val="28"/>
          <w:highlight w:val="none"/>
          <w:lang w:val="en-US" w:eastAsia="zh-CN"/>
          <w14:textFill>
            <w14:solidFill>
              <w14:schemeClr w14:val="tx1"/>
            </w14:solidFill>
          </w14:textFill>
        </w:rPr>
        <w:t>比选人/代理机构</w:t>
      </w:r>
      <w:r>
        <w:rPr>
          <w:rFonts w:hint="eastAsia" w:ascii="仿宋" w:hAnsi="仿宋" w:eastAsia="仿宋" w:cs="仿宋"/>
          <w:color w:val="000000" w:themeColor="text1"/>
          <w:szCs w:val="28"/>
          <w:highlight w:val="none"/>
          <w14:textFill>
            <w14:solidFill>
              <w14:schemeClr w14:val="tx1"/>
            </w14:solidFill>
          </w14:textFill>
        </w:rPr>
        <w:t>将以书面形式发出《成交通知书》。《成交通知书》一经发出即发生法律效力。</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（三）《成交通知书》作为签订合同的依据。</w:t>
      </w:r>
    </w:p>
    <w:p>
      <w:pPr>
        <w:pStyle w:val="28"/>
        <w:spacing w:line="360" w:lineRule="auto"/>
        <w:outlineLvl w:val="9"/>
        <w:rPr>
          <w:rFonts w:hint="eastAsia" w:ascii="仿宋" w:hAnsi="仿宋" w:eastAsia="仿宋" w:cs="仿宋"/>
          <w:b/>
          <w:bCs/>
          <w:color w:val="000000" w:themeColor="text1"/>
          <w:szCs w:val="28"/>
          <w:highlight w:val="none"/>
          <w:lang w:eastAsia="zh-CN"/>
          <w14:textFill>
            <w14:solidFill>
              <w14:schemeClr w14:val="tx1"/>
            </w14:solidFill>
          </w14:textFill>
        </w:rPr>
      </w:pPr>
      <w:bookmarkStart w:id="111" w:name="_Toc76462343"/>
      <w:bookmarkStart w:id="112" w:name="_Toc106030898"/>
      <w:r>
        <w:rPr>
          <w:rFonts w:hint="eastAsia" w:ascii="仿宋" w:hAnsi="仿宋" w:eastAsia="仿宋" w:cs="仿宋"/>
          <w:b/>
          <w:bCs/>
          <w:color w:val="000000" w:themeColor="text1"/>
          <w:szCs w:val="28"/>
          <w:highlight w:val="none"/>
          <w14:textFill>
            <w14:solidFill>
              <w14:schemeClr w14:val="tx1"/>
            </w14:solidFill>
          </w14:textFill>
        </w:rPr>
        <w:t>六、关于质疑和投诉</w:t>
      </w:r>
      <w:bookmarkEnd w:id="111"/>
      <w:bookmarkEnd w:id="112"/>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（一）质疑</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认为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过程和成交结果使自己的</w:t>
      </w:r>
      <w:r>
        <w:rPr>
          <w:rFonts w:hint="eastAsia" w:ascii="仿宋" w:hAnsi="仿宋" w:eastAsia="仿宋" w:cs="仿宋"/>
          <w:color w:val="000000" w:themeColor="text1"/>
          <w:szCs w:val="28"/>
          <w:highlight w:val="none"/>
          <w:lang w:eastAsia="zh-CN"/>
          <w14:textFill>
            <w14:solidFill>
              <w14:schemeClr w14:val="tx1"/>
            </w14:solidFill>
          </w14:textFill>
        </w:rPr>
        <w:t>权益受到</w:t>
      </w:r>
      <w:r>
        <w:rPr>
          <w:rFonts w:hint="eastAsia" w:ascii="仿宋" w:hAnsi="仿宋" w:eastAsia="仿宋" w:cs="仿宋"/>
          <w:color w:val="000000" w:themeColor="text1"/>
          <w:szCs w:val="28"/>
          <w:highlight w:val="none"/>
          <w14:textFill>
            <w14:solidFill>
              <w14:schemeClr w14:val="tx1"/>
            </w14:solidFill>
          </w14:textFill>
        </w:rPr>
        <w:t>伤害的，可向</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或</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以书面形式</w:t>
      </w:r>
      <w:r>
        <w:rPr>
          <w:rFonts w:hint="eastAsia" w:ascii="仿宋" w:hAnsi="仿宋" w:eastAsia="仿宋" w:cs="仿宋"/>
          <w:color w:val="000000" w:themeColor="text1"/>
          <w:szCs w:val="28"/>
          <w:highlight w:val="none"/>
          <w:lang w:eastAsia="zh-CN"/>
          <w14:textFill>
            <w14:solidFill>
              <w14:schemeClr w14:val="tx1"/>
            </w14:solidFill>
          </w14:textFill>
        </w:rPr>
        <w:t>质疑</w:t>
      </w:r>
      <w:r>
        <w:rPr>
          <w:rFonts w:hint="eastAsia" w:ascii="仿宋" w:hAnsi="仿宋" w:eastAsia="仿宋" w:cs="仿宋"/>
          <w:color w:val="000000" w:themeColor="text1"/>
          <w:szCs w:val="28"/>
          <w:highlight w:val="none"/>
          <w14:textFill>
            <w14:solidFill>
              <w14:schemeClr w14:val="tx1"/>
            </w14:solidFill>
          </w14:textFill>
        </w:rPr>
        <w:t>。</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提出质疑的应当是参与所质疑项目</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活动的</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 xml:space="preserve">。 </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1.质疑时限、内容</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认为</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过程、成交结果使自己的权益受到损害的，可以在知道或者应知其权益受到损害之日起</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个工作日内，以书面形式向</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提出质疑。</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提出质疑应当提交质疑函和必要的证明材料，质疑函应当包括下列内容：</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1.2.1</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的名称、地址、联系人及联系电话；</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1.2.2质疑项目的名称、</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编号；</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1.2.3具体、明确的质疑事项和与质疑事项相关的请求；</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1.2.4事实依据；</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1.2.5必要的法律依据；</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1.2.6提出质疑的日期；</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1.2.7营业执照（或事业单位法人证书，或个体工商户营业执照或有效的自然人身份证明）复印件；</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1.2.8法定代表人授权委托书原件、法定代表人身份证复印件和其授权代</w:t>
      </w:r>
      <w:r>
        <w:rPr>
          <w:rFonts w:hint="eastAsia" w:ascii="仿宋" w:hAnsi="仿宋" w:eastAsia="仿宋" w:cs="仿宋"/>
          <w:color w:val="000000" w:themeColor="text1"/>
          <w:szCs w:val="28"/>
          <w:highlight w:val="none"/>
          <w:lang w:eastAsia="zh-CN"/>
          <w14:textFill>
            <w14:solidFill>
              <w14:schemeClr w14:val="tx1"/>
            </w14:solidFill>
          </w14:textFill>
        </w:rPr>
        <w:t>表人</w:t>
      </w:r>
      <w:r>
        <w:rPr>
          <w:rFonts w:hint="eastAsia" w:ascii="仿宋" w:hAnsi="仿宋" w:eastAsia="仿宋" w:cs="仿宋"/>
          <w:color w:val="000000" w:themeColor="text1"/>
          <w:szCs w:val="28"/>
          <w:highlight w:val="none"/>
          <w14:textFill>
            <w14:solidFill>
              <w14:schemeClr w14:val="tx1"/>
            </w14:solidFill>
          </w14:textFill>
        </w:rPr>
        <w:t>的身份证复印件（</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为自然人的提供自然人身份证复印件）；</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1.3</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为自然人的，质疑函应当由本人签字；</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为法人或者其他组织的，质疑函应当由法定代表人、主要负责人，或者其授权代表签字或者盖章，并加盖公章。</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2.质疑答复</w:t>
      </w:r>
    </w:p>
    <w:p>
      <w:pPr>
        <w:pStyle w:val="28"/>
        <w:spacing w:line="360" w:lineRule="auto"/>
        <w:outlineLvl w:val="9"/>
        <w:rPr>
          <w:rFonts w:hint="eastAsia" w:ascii="仿宋" w:hAnsi="仿宋" w:eastAsia="仿宋" w:cs="仿宋"/>
          <w:b/>
          <w:bCs/>
          <w:color w:val="000000" w:themeColor="text1"/>
          <w:sz w:val="48"/>
          <w:szCs w:val="48"/>
          <w:highlight w:val="none"/>
          <w:lang w:eastAsia="zh-CN"/>
          <w14:textFill>
            <w14:solidFill>
              <w14:schemeClr w14:val="tx1"/>
            </w14:solidFill>
          </w14:textFill>
        </w:rPr>
      </w:pP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应当在收到</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的书面质疑后</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个工作日内作出答复，并以书面形式通知质疑</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和其他有关</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（二）投诉</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1.</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对</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的答复不满意，或者</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比选代理机构</w:t>
      </w:r>
      <w:r>
        <w:rPr>
          <w:rFonts w:hint="eastAsia" w:ascii="仿宋" w:hAnsi="仿宋" w:eastAsia="仿宋" w:cs="仿宋"/>
          <w:color w:val="000000" w:themeColor="text1"/>
          <w:szCs w:val="28"/>
          <w:highlight w:val="none"/>
          <w14:textFill>
            <w14:solidFill>
              <w14:schemeClr w14:val="tx1"/>
            </w14:solidFill>
          </w14:textFill>
        </w:rPr>
        <w:t>未在规定时间内作出答复的，可以在答复期满后</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个工作日内</w:t>
      </w:r>
      <w:r>
        <w:rPr>
          <w:rFonts w:hint="eastAsia" w:ascii="仿宋" w:hAnsi="仿宋" w:eastAsia="仿宋" w:cs="仿宋"/>
          <w:b/>
          <w:bCs/>
          <w:color w:val="000000" w:themeColor="text1"/>
          <w:szCs w:val="28"/>
          <w:highlight w:val="none"/>
          <w:u w:val="single"/>
          <w14:textFill>
            <w14:solidFill>
              <w14:schemeClr w14:val="tx1"/>
            </w14:solidFill>
          </w14:textFill>
        </w:rPr>
        <w:t>按照</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平台相关规则规定</w:t>
      </w:r>
      <w:r>
        <w:rPr>
          <w:rFonts w:hint="eastAsia" w:ascii="仿宋" w:hAnsi="仿宋" w:eastAsia="仿宋" w:cs="仿宋"/>
          <w:b/>
          <w:bCs/>
          <w:color w:val="000000" w:themeColor="text1"/>
          <w:szCs w:val="28"/>
          <w:highlight w:val="none"/>
          <w:u w:val="single"/>
          <w14:textFill>
            <w14:solidFill>
              <w14:schemeClr w14:val="tx1"/>
            </w14:solidFill>
          </w14:textFill>
        </w:rPr>
        <w:t>向</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平台运营方</w:t>
      </w:r>
      <w:r>
        <w:rPr>
          <w:rFonts w:hint="eastAsia" w:ascii="仿宋" w:hAnsi="仿宋" w:eastAsia="仿宋" w:cs="仿宋"/>
          <w:color w:val="000000" w:themeColor="text1"/>
          <w:szCs w:val="28"/>
          <w:highlight w:val="none"/>
          <w14:textFill>
            <w14:solidFill>
              <w14:schemeClr w14:val="tx1"/>
            </w14:solidFill>
          </w14:textFill>
        </w:rPr>
        <w:t>提起投诉。</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2.在确定受理投诉后，</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平台运营方</w:t>
      </w:r>
      <w:r>
        <w:rPr>
          <w:rFonts w:hint="eastAsia" w:ascii="仿宋" w:hAnsi="仿宋" w:eastAsia="仿宋" w:cs="仿宋"/>
          <w:b/>
          <w:bCs/>
          <w:color w:val="000000" w:themeColor="text1"/>
          <w:szCs w:val="28"/>
          <w:highlight w:val="none"/>
          <w:u w:val="single"/>
          <w14:textFill>
            <w14:solidFill>
              <w14:schemeClr w14:val="tx1"/>
            </w14:solidFill>
          </w14:textFill>
        </w:rPr>
        <w:t>自受理投诉之日起</w:t>
      </w:r>
      <w:r>
        <w:rPr>
          <w:rFonts w:hint="eastAsia" w:ascii="仿宋" w:hAnsi="仿宋" w:eastAsia="仿宋" w:cs="仿宋"/>
          <w:b/>
          <w:bCs/>
          <w:color w:val="000000" w:themeColor="text1"/>
          <w:szCs w:val="28"/>
          <w:highlight w:val="none"/>
          <w:u w:val="single"/>
          <w:lang w:val="en-US" w:eastAsia="zh-CN"/>
          <w14:textFill>
            <w14:solidFill>
              <w14:schemeClr w14:val="tx1"/>
            </w14:solidFill>
          </w14:textFill>
        </w:rPr>
        <w:t>7</w:t>
      </w:r>
      <w:r>
        <w:rPr>
          <w:rFonts w:hint="eastAsia" w:ascii="仿宋" w:hAnsi="仿宋" w:eastAsia="仿宋" w:cs="仿宋"/>
          <w:b/>
          <w:bCs/>
          <w:color w:val="000000" w:themeColor="text1"/>
          <w:szCs w:val="28"/>
          <w:highlight w:val="none"/>
          <w:u w:val="single"/>
          <w14:textFill>
            <w14:solidFill>
              <w14:schemeClr w14:val="tx1"/>
            </w14:solidFill>
          </w14:textFill>
        </w:rPr>
        <w:t>个工作日内</w:t>
      </w:r>
      <w:r>
        <w:rPr>
          <w:rFonts w:hint="eastAsia" w:ascii="仿宋" w:hAnsi="仿宋" w:eastAsia="仿宋" w:cs="仿宋"/>
          <w:color w:val="000000" w:themeColor="text1"/>
          <w:szCs w:val="28"/>
          <w:highlight w:val="none"/>
          <w14:textFill>
            <w14:solidFill>
              <w14:schemeClr w14:val="tx1"/>
            </w14:solidFill>
          </w14:textFill>
        </w:rPr>
        <w:t>（需要检验、检测、鉴定、专家评审以及需要投诉人补正材料的，所需时间不计算在投诉处理期限内）对投诉事项做出处理决定。</w:t>
      </w:r>
    </w:p>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bookmarkStart w:id="113" w:name="_Toc106030899"/>
      <w:bookmarkStart w:id="114" w:name="_Toc76462344"/>
      <w:r>
        <w:rPr>
          <w:rFonts w:hint="eastAsia" w:ascii="仿宋" w:hAnsi="仿宋" w:eastAsia="仿宋" w:cs="仿宋"/>
          <w:b/>
          <w:bCs/>
          <w:color w:val="000000" w:themeColor="text1"/>
          <w:szCs w:val="28"/>
          <w:highlight w:val="none"/>
          <w14:textFill>
            <w14:solidFill>
              <w14:schemeClr w14:val="tx1"/>
            </w14:solidFill>
          </w14:textFill>
        </w:rPr>
        <w:t>七、</w:t>
      </w:r>
      <w:r>
        <w:rPr>
          <w:rFonts w:hint="eastAsia" w:ascii="仿宋" w:hAnsi="仿宋" w:eastAsia="仿宋" w:cs="仿宋"/>
          <w:b/>
          <w:bCs/>
          <w:color w:val="000000" w:themeColor="text1"/>
          <w:szCs w:val="28"/>
          <w:highlight w:val="none"/>
          <w:lang w:eastAsia="zh-CN"/>
          <w14:textFill>
            <w14:solidFill>
              <w14:schemeClr w14:val="tx1"/>
            </w14:solidFill>
          </w14:textFill>
        </w:rPr>
        <w:t>比选</w:t>
      </w:r>
      <w:r>
        <w:rPr>
          <w:rFonts w:hint="eastAsia" w:ascii="仿宋" w:hAnsi="仿宋" w:eastAsia="仿宋" w:cs="仿宋"/>
          <w:b/>
          <w:bCs/>
          <w:color w:val="000000" w:themeColor="text1"/>
          <w:szCs w:val="28"/>
          <w:highlight w:val="none"/>
          <w14:textFill>
            <w14:solidFill>
              <w14:schemeClr w14:val="tx1"/>
            </w14:solidFill>
          </w14:textFill>
        </w:rPr>
        <w:t>代理服务费</w:t>
      </w:r>
      <w:bookmarkEnd w:id="113"/>
      <w:bookmarkEnd w:id="114"/>
    </w:p>
    <w:p>
      <w:pPr>
        <w:spacing w:line="400" w:lineRule="exact"/>
        <w:ind w:firstLine="480" w:firstLineChars="200"/>
        <w:outlineLvl w:val="9"/>
        <w:rPr>
          <w:rFonts w:ascii="方正仿宋_GBK" w:hAnsi="宋体" w:eastAsia="方正仿宋_GBK"/>
          <w:b/>
          <w:color w:val="000000" w:themeColor="text1"/>
          <w:sz w:val="24"/>
          <w:highlight w:val="none"/>
          <w14:textFill>
            <w14:solidFill>
              <w14:schemeClr w14:val="tx1"/>
            </w14:solidFill>
          </w14:textFill>
        </w:rPr>
      </w:pPr>
      <w:bookmarkStart w:id="115" w:name="OLE_LINK8"/>
      <w:bookmarkStart w:id="116" w:name="OLE_LINK7"/>
      <w:bookmarkStart w:id="117" w:name="_Toc102227322"/>
      <w:bookmarkStart w:id="118" w:name="_Toc76462346"/>
      <w:bookmarkStart w:id="119" w:name="_Toc342913396"/>
      <w:bookmarkStart w:id="120" w:name="_Toc106030901"/>
      <w:r>
        <w:rPr>
          <w:rFonts w:hint="eastAsia" w:ascii="方正仿宋_GBK" w:hAnsi="宋体" w:eastAsia="方正仿宋_GBK"/>
          <w:color w:val="000000" w:themeColor="text1"/>
          <w:sz w:val="24"/>
          <w:highlight w:val="none"/>
          <w:lang w:eastAsia="zh-CN"/>
          <w14:textFill>
            <w14:solidFill>
              <w14:schemeClr w14:val="tx1"/>
            </w14:solidFill>
          </w14:textFill>
        </w:rPr>
        <w:t>竞选人</w:t>
      </w:r>
      <w:r>
        <w:rPr>
          <w:rFonts w:hint="eastAsia" w:ascii="方正仿宋_GBK" w:hAnsi="宋体" w:eastAsia="方正仿宋_GBK"/>
          <w:color w:val="000000" w:themeColor="text1"/>
          <w:sz w:val="24"/>
          <w:highlight w:val="none"/>
          <w14:textFill>
            <w14:solidFill>
              <w14:schemeClr w14:val="tx1"/>
            </w14:solidFill>
          </w14:textFill>
        </w:rPr>
        <w:t>成交后向</w:t>
      </w:r>
      <w:r>
        <w:rPr>
          <w:rFonts w:hint="eastAsia" w:ascii="方正仿宋_GBK" w:hAnsi="宋体" w:eastAsia="方正仿宋_GBK"/>
          <w:color w:val="000000" w:themeColor="text1"/>
          <w:sz w:val="24"/>
          <w:highlight w:val="none"/>
          <w:lang w:eastAsia="zh-CN"/>
          <w14:textFill>
            <w14:solidFill>
              <w14:schemeClr w14:val="tx1"/>
            </w14:solidFill>
          </w14:textFill>
        </w:rPr>
        <w:t>比选代理机构</w:t>
      </w:r>
      <w:r>
        <w:rPr>
          <w:rFonts w:hint="eastAsia" w:ascii="方正仿宋_GBK" w:hAnsi="宋体" w:eastAsia="方正仿宋_GBK"/>
          <w:color w:val="000000" w:themeColor="text1"/>
          <w:sz w:val="24"/>
          <w:highlight w:val="none"/>
          <w14:textFill>
            <w14:solidFill>
              <w14:schemeClr w14:val="tx1"/>
            </w14:solidFill>
          </w14:textFill>
        </w:rPr>
        <w:t>缴纳</w:t>
      </w:r>
      <w:r>
        <w:rPr>
          <w:rFonts w:hint="eastAsia" w:ascii="方正仿宋_GBK" w:hAnsi="宋体" w:eastAsia="方正仿宋_GBK"/>
          <w:color w:val="000000" w:themeColor="text1"/>
          <w:sz w:val="24"/>
          <w:szCs w:val="24"/>
          <w:highlight w:val="none"/>
          <w:lang w:eastAsia="zh-CN"/>
          <w14:textFill>
            <w14:solidFill>
              <w14:schemeClr w14:val="tx1"/>
            </w14:solidFill>
          </w14:textFill>
        </w:rPr>
        <w:t>比选</w:t>
      </w:r>
      <w:r>
        <w:rPr>
          <w:rFonts w:hint="eastAsia" w:ascii="方正仿宋_GBK" w:hAnsi="宋体" w:eastAsia="方正仿宋_GBK"/>
          <w:color w:val="000000" w:themeColor="text1"/>
          <w:sz w:val="24"/>
          <w:highlight w:val="none"/>
          <w14:textFill>
            <w14:solidFill>
              <w14:schemeClr w14:val="tx1"/>
            </w14:solidFill>
          </w14:textFill>
        </w:rPr>
        <w:t>代理服务费，</w:t>
      </w:r>
      <w:r>
        <w:rPr>
          <w:rFonts w:hint="eastAsia" w:ascii="方正仿宋_GBK" w:hAnsi="宋体" w:eastAsia="方正仿宋_GBK"/>
          <w:color w:val="000000" w:themeColor="text1"/>
          <w:sz w:val="24"/>
          <w:highlight w:val="none"/>
          <w:lang w:eastAsia="zh-CN"/>
          <w14:textFill>
            <w14:solidFill>
              <w14:schemeClr w14:val="tx1"/>
            </w14:solidFill>
          </w14:textFill>
        </w:rPr>
        <w:t>比选</w:t>
      </w:r>
      <w:r>
        <w:rPr>
          <w:rFonts w:hint="eastAsia" w:ascii="方正仿宋_GBK" w:hAnsi="宋体" w:eastAsia="方正仿宋_GBK"/>
          <w:color w:val="000000" w:themeColor="text1"/>
          <w:sz w:val="24"/>
          <w:highlight w:val="none"/>
          <w14:textFill>
            <w14:solidFill>
              <w14:schemeClr w14:val="tx1"/>
            </w14:solidFill>
          </w14:textFill>
        </w:rPr>
        <w:t>代理服务费为</w:t>
      </w:r>
      <w:r>
        <w:rPr>
          <w:rFonts w:hint="eastAsia" w:ascii="方正仿宋_GBK" w:hAnsi="宋体" w:eastAsia="方正仿宋_GBK"/>
          <w:color w:val="000000" w:themeColor="text1"/>
          <w:sz w:val="24"/>
          <w:highlight w:val="none"/>
          <w:lang w:val="en-US" w:eastAsia="zh-CN"/>
          <w14:textFill>
            <w14:solidFill>
              <w14:schemeClr w14:val="tx1"/>
            </w14:solidFill>
          </w14:textFill>
        </w:rPr>
        <w:t>5000</w:t>
      </w:r>
      <w:r>
        <w:rPr>
          <w:rFonts w:hint="eastAsia" w:ascii="方正仿宋_GBK" w:hAnsi="宋体" w:eastAsia="方正仿宋_GBK"/>
          <w:color w:val="000000" w:themeColor="text1"/>
          <w:sz w:val="24"/>
          <w:highlight w:val="none"/>
          <w14:textFill>
            <w14:solidFill>
              <w14:schemeClr w14:val="tx1"/>
            </w14:solidFill>
          </w14:textFill>
        </w:rPr>
        <w:t>元人民币。</w:t>
      </w:r>
    </w:p>
    <w:bookmarkEnd w:id="115"/>
    <w:bookmarkEnd w:id="116"/>
    <w:p>
      <w:pPr>
        <w:pStyle w:val="28"/>
        <w:spacing w:line="360" w:lineRule="auto"/>
        <w:outlineLvl w:val="9"/>
        <w:rPr>
          <w:rFonts w:hint="eastAsia" w:ascii="仿宋" w:hAnsi="仿宋" w:eastAsia="仿宋" w:cs="仿宋"/>
          <w:b/>
          <w:bCs/>
          <w:color w:val="000000" w:themeColor="text1"/>
          <w:szCs w:val="28"/>
          <w:highlight w:val="none"/>
          <w14:textFill>
            <w14:solidFill>
              <w14:schemeClr w14:val="tx1"/>
            </w14:solidFill>
          </w14:textFill>
        </w:rPr>
      </w:pPr>
      <w:r>
        <w:rPr>
          <w:rFonts w:hint="eastAsia" w:ascii="仿宋" w:hAnsi="仿宋" w:eastAsia="仿宋" w:cs="仿宋"/>
          <w:b/>
          <w:bCs/>
          <w:color w:val="000000" w:themeColor="text1"/>
          <w:szCs w:val="28"/>
          <w:highlight w:val="none"/>
          <w:lang w:val="en-US" w:eastAsia="zh-CN"/>
          <w14:textFill>
            <w14:solidFill>
              <w14:schemeClr w14:val="tx1"/>
            </w14:solidFill>
          </w14:textFill>
        </w:rPr>
        <w:t>八</w:t>
      </w:r>
      <w:r>
        <w:rPr>
          <w:rFonts w:hint="eastAsia" w:ascii="仿宋" w:hAnsi="仿宋" w:eastAsia="仿宋" w:cs="仿宋"/>
          <w:b/>
          <w:bCs/>
          <w:color w:val="000000" w:themeColor="text1"/>
          <w:szCs w:val="28"/>
          <w:highlight w:val="none"/>
          <w14:textFill>
            <w14:solidFill>
              <w14:schemeClr w14:val="tx1"/>
            </w14:solidFill>
          </w14:textFill>
        </w:rPr>
        <w:t>、签订</w:t>
      </w:r>
      <w:bookmarkEnd w:id="117"/>
      <w:r>
        <w:rPr>
          <w:rFonts w:hint="eastAsia" w:ascii="仿宋" w:hAnsi="仿宋" w:eastAsia="仿宋" w:cs="仿宋"/>
          <w:b/>
          <w:bCs/>
          <w:color w:val="000000" w:themeColor="text1"/>
          <w:szCs w:val="28"/>
          <w:highlight w:val="none"/>
          <w14:textFill>
            <w14:solidFill>
              <w14:schemeClr w14:val="tx1"/>
            </w14:solidFill>
          </w14:textFill>
        </w:rPr>
        <w:t>合同</w:t>
      </w:r>
      <w:bookmarkEnd w:id="118"/>
      <w:bookmarkEnd w:id="119"/>
      <w:bookmarkEnd w:id="120"/>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（一）</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原则上应在</w:t>
      </w:r>
      <w:r>
        <w:rPr>
          <w:rFonts w:hint="eastAsia" w:ascii="仿宋" w:hAnsi="仿宋" w:eastAsia="仿宋" w:cs="仿宋"/>
          <w:color w:val="000000" w:themeColor="text1"/>
          <w:szCs w:val="28"/>
          <w:highlight w:val="none"/>
          <w:lang w:val="en-US" w:eastAsia="zh-CN"/>
          <w14:textFill>
            <w14:solidFill>
              <w14:schemeClr w14:val="tx1"/>
            </w14:solidFill>
          </w14:textFill>
        </w:rPr>
        <w:t>结果公告</w:t>
      </w:r>
      <w:r>
        <w:rPr>
          <w:rFonts w:hint="eastAsia" w:ascii="仿宋" w:hAnsi="仿宋" w:eastAsia="仿宋" w:cs="仿宋"/>
          <w:color w:val="000000" w:themeColor="text1"/>
          <w:szCs w:val="28"/>
          <w:highlight w:val="none"/>
          <w14:textFill>
            <w14:solidFill>
              <w14:schemeClr w14:val="tx1"/>
            </w14:solidFill>
          </w14:textFill>
        </w:rPr>
        <w:t>发出之日起</w:t>
      </w:r>
      <w:r>
        <w:rPr>
          <w:rFonts w:hint="eastAsia" w:ascii="仿宋" w:hAnsi="仿宋" w:eastAsia="仿宋" w:cs="仿宋"/>
          <w:color w:val="000000" w:themeColor="text1"/>
          <w:szCs w:val="28"/>
          <w:highlight w:val="none"/>
          <w:lang w:val="en-US" w:eastAsia="zh-CN"/>
          <w14:textFill>
            <w14:solidFill>
              <w14:schemeClr w14:val="tx1"/>
            </w14:solidFill>
          </w14:textFill>
        </w:rPr>
        <w:t>20</w:t>
      </w:r>
      <w:r>
        <w:rPr>
          <w:rFonts w:hint="eastAsia" w:ascii="仿宋" w:hAnsi="仿宋" w:eastAsia="仿宋" w:cs="仿宋"/>
          <w:color w:val="000000" w:themeColor="text1"/>
          <w:szCs w:val="28"/>
          <w:highlight w:val="none"/>
          <w14:textFill>
            <w14:solidFill>
              <w14:schemeClr w14:val="tx1"/>
            </w14:solidFill>
          </w14:textFill>
        </w:rPr>
        <w:t>日内和</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签订</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合同，无正当理由不得拒绝或拖延合同签订。所签订的合同不得对</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文件和</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作实质性修改。其他未尽事宜由</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和</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在</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合同中详细约定。</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二</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w:t>
      </w:r>
      <w:r>
        <w:rPr>
          <w:rFonts w:hint="eastAsia" w:ascii="仿宋" w:hAnsi="仿宋" w:eastAsia="仿宋" w:cs="仿宋"/>
          <w:color w:val="000000" w:themeColor="text1"/>
          <w:szCs w:val="28"/>
          <w:highlight w:val="none"/>
          <w:lang w:eastAsia="zh-CN"/>
          <w14:textFill>
            <w14:solidFill>
              <w14:schemeClr w14:val="tx1"/>
            </w14:solidFill>
          </w14:textFill>
        </w:rPr>
        <w:t>竞选人</w:t>
      </w:r>
      <w:r>
        <w:rPr>
          <w:rFonts w:hint="eastAsia" w:ascii="仿宋" w:hAnsi="仿宋" w:eastAsia="仿宋" w:cs="仿宋"/>
          <w:color w:val="000000" w:themeColor="text1"/>
          <w:szCs w:val="28"/>
          <w:highlight w:val="none"/>
          <w14:textFill>
            <w14:solidFill>
              <w14:schemeClr w14:val="tx1"/>
            </w14:solidFill>
          </w14:textFill>
        </w:rPr>
        <w:t>的</w:t>
      </w:r>
      <w:r>
        <w:rPr>
          <w:rFonts w:hint="eastAsia" w:ascii="仿宋" w:hAnsi="仿宋" w:eastAsia="仿宋" w:cs="仿宋"/>
          <w:color w:val="000000" w:themeColor="text1"/>
          <w:szCs w:val="28"/>
          <w:highlight w:val="none"/>
          <w:lang w:eastAsia="zh-CN"/>
          <w14:textFill>
            <w14:solidFill>
              <w14:schemeClr w14:val="tx1"/>
            </w14:solidFill>
          </w14:textFill>
        </w:rPr>
        <w:t>竞选文件</w:t>
      </w:r>
      <w:r>
        <w:rPr>
          <w:rFonts w:hint="eastAsia" w:ascii="仿宋" w:hAnsi="仿宋" w:eastAsia="仿宋" w:cs="仿宋"/>
          <w:color w:val="000000" w:themeColor="text1"/>
          <w:szCs w:val="28"/>
          <w:highlight w:val="none"/>
          <w14:textFill>
            <w14:solidFill>
              <w14:schemeClr w14:val="tx1"/>
            </w14:solidFill>
          </w14:textFill>
        </w:rPr>
        <w:t>及澄清文件等，均为签订</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合同的依据。</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三</w:t>
      </w:r>
      <w:r>
        <w:rPr>
          <w:rFonts w:hint="eastAsia" w:ascii="仿宋" w:hAnsi="仿宋" w:eastAsia="仿宋" w:cs="仿宋"/>
          <w:color w:val="000000" w:themeColor="text1"/>
          <w:szCs w:val="28"/>
          <w:highlight w:val="none"/>
          <w14:textFill>
            <w14:solidFill>
              <w14:schemeClr w14:val="tx1"/>
            </w14:solidFill>
          </w14:textFill>
        </w:rPr>
        <w:t>）合同生效条款由供需双方约定，法律、行政法规规定应当办理批准、登记等手续后生效的合同，依照其规定。</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四</w:t>
      </w:r>
      <w:r>
        <w:rPr>
          <w:rFonts w:hint="eastAsia" w:ascii="仿宋" w:hAnsi="仿宋" w:eastAsia="仿宋" w:cs="仿宋"/>
          <w:color w:val="000000" w:themeColor="text1"/>
          <w:szCs w:val="28"/>
          <w:highlight w:val="none"/>
          <w14:textFill>
            <w14:solidFill>
              <w14:schemeClr w14:val="tx1"/>
            </w14:solidFill>
          </w14:textFill>
        </w:rPr>
        <w:t>）合同原则上应按照</w:t>
      </w:r>
      <w:r>
        <w:rPr>
          <w:rFonts w:hint="eastAsia" w:ascii="仿宋" w:hAnsi="仿宋" w:eastAsia="仿宋" w:cs="仿宋"/>
          <w:color w:val="000000" w:themeColor="text1"/>
          <w:szCs w:val="28"/>
          <w:highlight w:val="none"/>
          <w:lang w:val="en-US" w:eastAsia="zh-CN"/>
          <w14:textFill>
            <w14:solidFill>
              <w14:schemeClr w14:val="tx1"/>
            </w14:solidFill>
          </w14:textFill>
        </w:rPr>
        <w:t>比选文件提供的合同</w:t>
      </w:r>
      <w:r>
        <w:rPr>
          <w:rFonts w:hint="eastAsia" w:ascii="仿宋" w:hAnsi="仿宋" w:eastAsia="仿宋" w:cs="仿宋"/>
          <w:color w:val="000000" w:themeColor="text1"/>
          <w:szCs w:val="28"/>
          <w:highlight w:val="none"/>
          <w14:textFill>
            <w14:solidFill>
              <w14:schemeClr w14:val="tx1"/>
            </w14:solidFill>
          </w14:textFill>
        </w:rPr>
        <w:t>签订，相关单位要求适用合同通用格式版本的，应按其要求另行签订其他合同。</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val="en-US" w:eastAsia="zh-CN"/>
          <w14:textFill>
            <w14:solidFill>
              <w14:schemeClr w14:val="tx1"/>
            </w14:solidFill>
          </w14:textFill>
        </w:rPr>
        <w:t>五</w:t>
      </w:r>
      <w:r>
        <w:rPr>
          <w:rFonts w:hint="eastAsia" w:ascii="仿宋" w:hAnsi="仿宋" w:eastAsia="仿宋" w:cs="仿宋"/>
          <w:color w:val="000000" w:themeColor="text1"/>
          <w:szCs w:val="28"/>
          <w:highlight w:val="none"/>
          <w14:textFill>
            <w14:solidFill>
              <w14:schemeClr w14:val="tx1"/>
            </w14:solidFill>
          </w14:textFill>
        </w:rPr>
        <w:t>）</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要求</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提供履约保证金的，应当在</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文件中予以约定。</w:t>
      </w:r>
      <w:r>
        <w:rPr>
          <w:rFonts w:hint="eastAsia" w:ascii="仿宋" w:hAnsi="仿宋" w:eastAsia="仿宋" w:cs="仿宋"/>
          <w:color w:val="000000" w:themeColor="text1"/>
          <w:szCs w:val="28"/>
          <w:highlight w:val="none"/>
          <w:lang w:eastAsia="zh-CN"/>
          <w14:textFill>
            <w14:solidFill>
              <w14:schemeClr w14:val="tx1"/>
            </w14:solidFill>
          </w14:textFill>
        </w:rPr>
        <w:t>中选人</w:t>
      </w:r>
      <w:r>
        <w:rPr>
          <w:rFonts w:hint="eastAsia" w:ascii="仿宋" w:hAnsi="仿宋" w:eastAsia="仿宋" w:cs="仿宋"/>
          <w:color w:val="000000" w:themeColor="text1"/>
          <w:szCs w:val="28"/>
          <w:highlight w:val="none"/>
          <w14:textFill>
            <w14:solidFill>
              <w14:schemeClr w14:val="tx1"/>
            </w14:solidFill>
          </w14:textFill>
        </w:rPr>
        <w:t>履约完毕后，</w:t>
      </w:r>
      <w:r>
        <w:rPr>
          <w:rFonts w:hint="eastAsia" w:ascii="仿宋" w:hAnsi="仿宋" w:eastAsia="仿宋" w:cs="仿宋"/>
          <w:color w:val="000000" w:themeColor="text1"/>
          <w:szCs w:val="28"/>
          <w:highlight w:val="none"/>
          <w:lang w:eastAsia="zh-CN"/>
          <w14:textFill>
            <w14:solidFill>
              <w14:schemeClr w14:val="tx1"/>
            </w14:solidFill>
          </w14:textFill>
        </w:rPr>
        <w:t>比选人</w:t>
      </w:r>
      <w:r>
        <w:rPr>
          <w:rFonts w:hint="eastAsia" w:ascii="仿宋" w:hAnsi="仿宋" w:eastAsia="仿宋" w:cs="仿宋"/>
          <w:color w:val="000000" w:themeColor="text1"/>
          <w:szCs w:val="28"/>
          <w:highlight w:val="none"/>
          <w14:textFill>
            <w14:solidFill>
              <w14:schemeClr w14:val="tx1"/>
            </w14:solidFill>
          </w14:textFill>
        </w:rPr>
        <w:t>根据</w:t>
      </w:r>
      <w:r>
        <w:rPr>
          <w:rFonts w:hint="eastAsia" w:ascii="仿宋" w:hAnsi="仿宋" w:eastAsia="仿宋" w:cs="仿宋"/>
          <w:color w:val="000000" w:themeColor="text1"/>
          <w:szCs w:val="28"/>
          <w:highlight w:val="none"/>
          <w:lang w:eastAsia="zh-CN"/>
          <w14:textFill>
            <w14:solidFill>
              <w14:schemeClr w14:val="tx1"/>
            </w14:solidFill>
          </w14:textFill>
        </w:rPr>
        <w:t>比选</w:t>
      </w:r>
      <w:r>
        <w:rPr>
          <w:rFonts w:hint="eastAsia" w:ascii="仿宋" w:hAnsi="仿宋" w:eastAsia="仿宋" w:cs="仿宋"/>
          <w:color w:val="000000" w:themeColor="text1"/>
          <w:szCs w:val="28"/>
          <w:highlight w:val="none"/>
          <w14:textFill>
            <w14:solidFill>
              <w14:schemeClr w14:val="tx1"/>
            </w14:solidFill>
          </w14:textFill>
        </w:rPr>
        <w:t>文件规定无息退还其履约保证金。</w:t>
      </w:r>
    </w:p>
    <w:p>
      <w:pPr>
        <w:pStyle w:val="28"/>
        <w:spacing w:line="360" w:lineRule="auto"/>
        <w:outlineLvl w:val="9"/>
        <w:rPr>
          <w:rFonts w:hint="eastAsia" w:ascii="仿宋" w:hAnsi="仿宋" w:eastAsia="仿宋" w:cs="仿宋"/>
          <w:color w:val="000000" w:themeColor="text1"/>
          <w:szCs w:val="28"/>
          <w:highlight w:val="none"/>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pStyle w:val="28"/>
        <w:spacing w:line="360" w:lineRule="auto"/>
        <w:outlineLvl w:val="9"/>
        <w:rPr>
          <w:rFonts w:hint="eastAsia" w:ascii="仿宋" w:hAnsi="仿宋" w:eastAsia="仿宋" w:cs="仿宋"/>
          <w:color w:val="000000" w:themeColor="text1"/>
          <w:szCs w:val="28"/>
          <w:highlight w:val="none"/>
          <w:lang w:val="en-US" w:eastAsia="zh-CN"/>
          <w14:textFill>
            <w14:solidFill>
              <w14:schemeClr w14:val="tx1"/>
            </w14:solidFill>
          </w14:textFill>
        </w:rPr>
      </w:pPr>
    </w:p>
    <w:p>
      <w:pPr>
        <w:outlineLvl w:val="9"/>
        <w:rPr>
          <w:rFonts w:hint="eastAsia" w:ascii="仿宋" w:hAnsi="仿宋" w:eastAsia="仿宋" w:cs="仿宋"/>
          <w:bCs/>
          <w:color w:val="000000" w:themeColor="text1"/>
          <w:sz w:val="36"/>
          <w:szCs w:val="30"/>
          <w:highlight w:val="none"/>
          <w14:textFill>
            <w14:solidFill>
              <w14:schemeClr w14:val="tx1"/>
            </w14:solidFill>
          </w14:textFill>
        </w:rPr>
      </w:pPr>
      <w:bookmarkStart w:id="121" w:name="_Toc109836391"/>
      <w:r>
        <w:rPr>
          <w:rFonts w:hint="eastAsia" w:ascii="仿宋" w:hAnsi="仿宋" w:eastAsia="仿宋" w:cs="仿宋"/>
          <w:bCs/>
          <w:color w:val="000000" w:themeColor="text1"/>
          <w:sz w:val="36"/>
          <w:szCs w:val="30"/>
          <w:highlight w:val="none"/>
          <w14:textFill>
            <w14:solidFill>
              <w14:schemeClr w14:val="tx1"/>
            </w14:solidFill>
          </w14:textFill>
        </w:rPr>
        <w:br w:type="page"/>
      </w:r>
    </w:p>
    <w:p>
      <w:pPr>
        <w:spacing w:before="0" w:after="0" w:line="360" w:lineRule="auto"/>
        <w:jc w:val="center"/>
        <w:outlineLvl w:val="0"/>
        <w:rPr>
          <w:rFonts w:hint="eastAsia" w:ascii="仿宋" w:hAnsi="仿宋" w:eastAsia="仿宋" w:cs="仿宋"/>
          <w:b/>
          <w:bCs w:val="0"/>
          <w:color w:val="000000" w:themeColor="text1"/>
          <w:sz w:val="44"/>
          <w:highlight w:val="none"/>
          <w14:textFill>
            <w14:solidFill>
              <w14:schemeClr w14:val="tx1"/>
            </w14:solidFill>
          </w14:textFill>
        </w:rPr>
      </w:pPr>
      <w:bookmarkStart w:id="122" w:name="_Toc28348"/>
      <w:r>
        <w:rPr>
          <w:rFonts w:hint="eastAsia" w:ascii="仿宋" w:hAnsi="仿宋" w:eastAsia="仿宋" w:cs="仿宋"/>
          <w:b/>
          <w:bCs w:val="0"/>
          <w:color w:val="000000" w:themeColor="text1"/>
          <w:sz w:val="36"/>
          <w:szCs w:val="30"/>
          <w:highlight w:val="none"/>
          <w14:textFill>
            <w14:solidFill>
              <w14:schemeClr w14:val="tx1"/>
            </w14:solidFill>
          </w14:textFill>
        </w:rPr>
        <w:t xml:space="preserve">第六篇  </w:t>
      </w:r>
      <w:r>
        <w:rPr>
          <w:rFonts w:hint="eastAsia" w:ascii="仿宋" w:hAnsi="仿宋" w:eastAsia="仿宋" w:cs="仿宋"/>
          <w:b/>
          <w:bCs w:val="0"/>
          <w:color w:val="000000" w:themeColor="text1"/>
          <w:sz w:val="36"/>
          <w:szCs w:val="30"/>
          <w:highlight w:val="none"/>
          <w:lang w:val="en-US" w:eastAsia="zh-CN"/>
          <w14:textFill>
            <w14:solidFill>
              <w14:schemeClr w14:val="tx1"/>
            </w14:solidFill>
          </w14:textFill>
        </w:rPr>
        <w:t>比选</w:t>
      </w:r>
      <w:r>
        <w:rPr>
          <w:rFonts w:hint="eastAsia" w:ascii="仿宋" w:hAnsi="仿宋" w:eastAsia="仿宋" w:cs="仿宋"/>
          <w:b/>
          <w:bCs w:val="0"/>
          <w:color w:val="000000" w:themeColor="text1"/>
          <w:sz w:val="36"/>
          <w:szCs w:val="30"/>
          <w:highlight w:val="none"/>
          <w14:textFill>
            <w14:solidFill>
              <w14:schemeClr w14:val="tx1"/>
            </w14:solidFill>
          </w14:textFill>
        </w:rPr>
        <w:t>合同</w:t>
      </w:r>
      <w:bookmarkEnd w:id="121"/>
      <w:bookmarkEnd w:id="122"/>
    </w:p>
    <w:p>
      <w:pPr>
        <w:spacing w:after="120"/>
        <w:rPr>
          <w:rFonts w:ascii="宋体" w:hAnsi="宋体" w:eastAsia="宋体" w:cs="宋体"/>
          <w:color w:val="000000" w:themeColor="text1"/>
          <w:sz w:val="24"/>
          <w:szCs w:val="24"/>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bookmarkStart w:id="123" w:name="_Hlt41879464"/>
      <w:bookmarkEnd w:id="123"/>
      <w:bookmarkStart w:id="124" w:name="_Toc10837"/>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方正小标宋_GBK" w:hAnsi="方正小标宋_GBK" w:eastAsia="方正小标宋_GBK" w:cs="方正小标宋_GBK"/>
          <w:color w:val="000000" w:themeColor="text1"/>
          <w:sz w:val="52"/>
          <w:szCs w:val="52"/>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52"/>
          <w:szCs w:val="52"/>
          <w:highlight w:val="none"/>
          <w14:textFill>
            <w14:solidFill>
              <w14:schemeClr w14:val="tx1"/>
            </w14:solidFill>
          </w14:textFill>
        </w:rPr>
        <w:t>重庆中医药学院服务采购合同</w:t>
      </w: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Times New Roman" w:hAnsi="Times New Roman" w:eastAsia="方正仿宋_GBK" w:cs="Times New Roman"/>
          <w:color w:val="000000" w:themeColor="text1"/>
          <w:sz w:val="48"/>
          <w:szCs w:val="48"/>
          <w:highlight w:val="none"/>
          <w14:textFill>
            <w14:solidFill>
              <w14:schemeClr w14:val="tx1"/>
            </w14:solidFill>
          </w14:textFill>
        </w:rPr>
      </w:pPr>
    </w:p>
    <w:p>
      <w:pPr>
        <w:spacing w:line="660" w:lineRule="exact"/>
        <w:jc w:val="center"/>
        <w:rPr>
          <w:rFonts w:ascii="方正黑体_GBK" w:hAnsi="方正黑体_GBK" w:eastAsia="方正黑体_GBK" w:cs="方正黑体_GBK"/>
          <w:color w:val="000000" w:themeColor="text1"/>
          <w:sz w:val="32"/>
          <w:szCs w:val="32"/>
          <w:highlight w:val="none"/>
          <w14:textFill>
            <w14:solidFill>
              <w14:schemeClr w14:val="tx1"/>
            </w14:solidFill>
          </w14:textFill>
        </w:rPr>
      </w:pP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项</w:t>
      </w:r>
      <w:r>
        <w:rPr>
          <w:rFonts w:ascii="方正黑体_GBK" w:hAnsi="方正黑体_GBK" w:eastAsia="方正黑体_GBK" w:cs="方正黑体_GBK"/>
          <w:color w:val="000000" w:themeColor="text1"/>
          <w:sz w:val="32"/>
          <w:szCs w:val="32"/>
          <w:highlight w:val="non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目</w:t>
      </w:r>
      <w:r>
        <w:rPr>
          <w:rFonts w:ascii="方正黑体_GBK" w:hAnsi="方正黑体_GBK" w:eastAsia="方正黑体_GBK" w:cs="方正黑体_GBK"/>
          <w:color w:val="000000" w:themeColor="text1"/>
          <w:sz w:val="32"/>
          <w:szCs w:val="32"/>
          <w:highlight w:val="non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号：</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2300" w:leftChars="250" w:right="700" w:rightChars="250" w:hanging="1600" w:hangingChars="50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合同项目：</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2300" w:leftChars="250" w:right="700" w:rightChars="250" w:hanging="1600" w:hangingChars="50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合同金额：</w:t>
      </w:r>
      <w:r>
        <w:rPr>
          <w:rFonts w:hint="eastAsia" w:ascii="方正黑体_GBK" w:hAnsi="方正黑体_GBK" w:eastAsia="方正黑体_GBK" w:cs="方正黑体_GBK"/>
          <w:color w:val="000000" w:themeColor="text1"/>
          <w:sz w:val="2"/>
          <w:szCs w:val="2"/>
          <w:highlight w:val="none"/>
          <w14:textFill>
            <w14:solidFill>
              <w14:schemeClr w14:val="tx1"/>
            </w14:solidFill>
          </w14:textFill>
        </w:rPr>
        <w:t xml:space="preserve"> </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bookmarkStart w:id="125" w:name="OLE_LINK11"/>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bookmarkEnd w:id="125"/>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经费科目：</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甲    方：</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重庆中医药学院</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乙</w:t>
      </w:r>
      <w:r>
        <w:rPr>
          <w:rFonts w:ascii="方正黑体_GBK" w:hAnsi="方正黑体_GBK" w:eastAsia="方正黑体_GBK" w:cs="方正黑体_GBK"/>
          <w:color w:val="000000" w:themeColor="text1"/>
          <w:sz w:val="32"/>
          <w:szCs w:val="32"/>
          <w:highlight w:val="none"/>
          <w14:textFill>
            <w14:solidFill>
              <w14:schemeClr w14:val="tx1"/>
            </w14:solidFill>
          </w14:textFill>
        </w:rPr>
        <w:t xml:space="preserve">    方</w:t>
      </w: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合同编号：</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ind w:left="700" w:leftChars="250" w:right="700" w:rightChars="250"/>
        <w:rPr>
          <w:rFonts w:ascii="方正黑体_GBK" w:hAnsi="方正黑体_GBK" w:eastAsia="方正黑体_GBK" w:cs="方正黑体_GBK"/>
          <w:color w:val="000000" w:themeColor="text1"/>
          <w:sz w:val="32"/>
          <w:szCs w:val="32"/>
          <w:highlight w:val="none"/>
          <w:u w:val="singl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签订时间：</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202</w:t>
      </w:r>
      <w:r>
        <w:rPr>
          <w:rFonts w:hint="eastAsia" w:ascii="方正黑体_GBK" w:hAnsi="方正黑体_GBK" w:eastAsia="方正黑体_GBK" w:cs="方正黑体_GBK"/>
          <w:color w:val="000000" w:themeColor="text1"/>
          <w:sz w:val="32"/>
          <w:szCs w:val="32"/>
          <w:highlight w:val="none"/>
          <w:u w:val="single"/>
          <w:lang w:val="en-US" w:eastAsia="zh-CN"/>
          <w14:textFill>
            <w14:solidFill>
              <w14:schemeClr w14:val="tx1"/>
            </w14:solidFill>
          </w14:textFill>
        </w:rPr>
        <w:t>5</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年</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月</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r>
        <w:rPr>
          <w:rFonts w:hint="eastAsia" w:ascii="方正黑体_GBK" w:hAnsi="方正黑体_GBK" w:eastAsia="方正黑体_GBK" w:cs="方正黑体_GBK"/>
          <w:color w:val="000000" w:themeColor="text1"/>
          <w:sz w:val="32"/>
          <w:szCs w:val="32"/>
          <w:highlight w:val="none"/>
          <w:u w:val="single"/>
          <w14:textFill>
            <w14:solidFill>
              <w14:schemeClr w14:val="tx1"/>
            </w14:solidFill>
          </w14:textFill>
        </w:rPr>
        <w:t>日</w:t>
      </w:r>
      <w:r>
        <w:rPr>
          <w:rFonts w:ascii="方正黑体_GBK" w:hAnsi="方正黑体_GBK" w:eastAsia="方正黑体_GBK" w:cs="方正黑体_GBK"/>
          <w:color w:val="000000" w:themeColor="text1"/>
          <w:sz w:val="32"/>
          <w:szCs w:val="32"/>
          <w:highlight w:val="none"/>
          <w:u w:val="single"/>
          <w14:textFill>
            <w14:solidFill>
              <w14:schemeClr w14:val="tx1"/>
            </w14:solidFill>
          </w14:textFill>
        </w:rPr>
        <w:t xml:space="preserve">                         </w:t>
      </w:r>
    </w:p>
    <w:p>
      <w:pPr>
        <w:spacing w:line="660" w:lineRule="exact"/>
        <w:jc w:val="center"/>
        <w:rPr>
          <w:rFonts w:ascii="Times New Roman" w:hAnsi="Times New Roman" w:eastAsia="方正仿宋_GBK" w:cs="Times New Roman"/>
          <w:color w:val="000000" w:themeColor="text1"/>
          <w:sz w:val="28"/>
          <w:szCs w:val="28"/>
          <w:highlight w:val="none"/>
          <w14:textFill>
            <w14:solidFill>
              <w14:schemeClr w14:val="tx1"/>
            </w14:solidFill>
          </w14:textFill>
        </w:rPr>
      </w:pPr>
    </w:p>
    <w:p>
      <w:pPr>
        <w:spacing w:line="660" w:lineRule="exact"/>
        <w:rPr>
          <w:rFonts w:ascii="Times New Roman" w:hAnsi="Times New Roman" w:eastAsia="方正仿宋_GBK" w:cs="Times New Roman"/>
          <w:color w:val="000000" w:themeColor="text1"/>
          <w:sz w:val="48"/>
          <w:szCs w:val="48"/>
          <w:highlight w:val="none"/>
          <w14:textFill>
            <w14:solidFill>
              <w14:schemeClr w14:val="tx1"/>
            </w14:solidFill>
          </w14:textFill>
        </w:rPr>
        <w:sectPr>
          <w:footerReference r:id="rId5" w:type="default"/>
          <w:pgSz w:w="11906" w:h="16838"/>
          <w:pgMar w:top="1440" w:right="1701" w:bottom="1440" w:left="1701" w:header="851" w:footer="1304" w:gutter="0"/>
          <w:pgNumType w:fmt="decimal"/>
          <w:cols w:space="0" w:num="1"/>
          <w:titlePg/>
          <w:docGrid w:type="lines" w:linePitch="312" w:charSpace="0"/>
        </w:sectPr>
      </w:pPr>
    </w:p>
    <w:p>
      <w:pPr>
        <w:spacing w:line="660" w:lineRule="exact"/>
        <w:jc w:val="center"/>
        <w:rPr>
          <w:rFonts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重庆中医药学院服务采购合同</w:t>
      </w:r>
    </w:p>
    <w:p>
      <w:pPr>
        <w:spacing w:line="560" w:lineRule="exact"/>
        <w:ind w:firstLine="560" w:firstLineChars="200"/>
        <w:jc w:val="center"/>
        <w:rPr>
          <w:rFonts w:ascii="Times New Roman" w:hAnsi="Times New Roman" w:eastAsia="方正仿宋_GBK" w:cs="Times New Roman"/>
          <w:color w:val="000000" w:themeColor="text1"/>
          <w:sz w:val="28"/>
          <w:szCs w:val="28"/>
          <w:highlight w:val="none"/>
          <w14:textFill>
            <w14:solidFill>
              <w14:schemeClr w14:val="tx1"/>
            </w14:solidFill>
          </w14:textFill>
        </w:rPr>
      </w:pP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  方：重庆中医药学院</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住所地：重庆市璧山区璧城街道国学路61号</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  方：</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住所地：</w:t>
      </w: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号招标项目的投标结果，由乙方为中标方。按照《中华人民共和国民法典》，经甲乙双方平等协商，就甲方委托乙方承担服务采购项目，达成以下合同条款：</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第一条  项目目标与内容</w:t>
      </w: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服务时间：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外业见证进场日期：签定合同后3日内进场；如不能确定进场日期，以甲方的开工进场通知书为准。根据地勘工作进度，在地勘外业完成后10天内提供正式的勘察外业见证成果</w:t>
      </w:r>
      <w:r>
        <w:rPr>
          <w:rFonts w:hint="eastAsia" w:ascii="仿宋" w:hAnsi="仿宋" w:eastAsia="仿宋" w:cs="仿宋"/>
          <w:b/>
          <w:bCs/>
          <w:color w:val="000000" w:themeColor="text1"/>
          <w:sz w:val="24"/>
          <w:szCs w:val="24"/>
          <w:highlight w:val="none"/>
          <w:u w:val="singl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履约保证金：签订合同时乙方需向甲方交纳履约保证金人民币</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5000</w:t>
      </w:r>
      <w:r>
        <w:rPr>
          <w:rFonts w:hint="eastAsia" w:ascii="仿宋" w:hAnsi="仿宋" w:eastAsia="仿宋" w:cs="仿宋"/>
          <w:color w:val="000000" w:themeColor="text1"/>
          <w:sz w:val="24"/>
          <w:szCs w:val="24"/>
          <w:highlight w:val="none"/>
          <w:u w:val="single"/>
          <w14:textFill>
            <w14:solidFill>
              <w14:schemeClr w14:val="tx1"/>
            </w14:solidFill>
          </w14:textFill>
        </w:rPr>
        <w:t>元（大写：</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伍仟</w:t>
      </w:r>
      <w:r>
        <w:rPr>
          <w:rFonts w:hint="eastAsia" w:ascii="仿宋" w:hAnsi="仿宋" w:eastAsia="仿宋" w:cs="仿宋"/>
          <w:color w:val="000000" w:themeColor="text1"/>
          <w:sz w:val="24"/>
          <w:szCs w:val="24"/>
          <w:highlight w:val="none"/>
          <w:u w:val="single"/>
          <w14:textFill>
            <w14:solidFill>
              <w14:schemeClr w14:val="tx1"/>
            </w14:solidFill>
          </w14:textFill>
        </w:rPr>
        <w:t>元整），服务期满后无息退还其履约保证金。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bookmarkStart w:id="126" w:name="_Hlk110862304"/>
      <w:r>
        <w:rPr>
          <w:rFonts w:hint="eastAsia" w:ascii="仿宋" w:hAnsi="仿宋" w:eastAsia="仿宋" w:cs="仿宋"/>
          <w:color w:val="000000" w:themeColor="text1"/>
          <w:sz w:val="24"/>
          <w:szCs w:val="24"/>
          <w:highlight w:val="none"/>
          <w:u w:val="single"/>
          <w14:textFill>
            <w14:solidFill>
              <w14:schemeClr w14:val="tx1"/>
            </w14:solidFill>
          </w14:textFill>
        </w:rPr>
        <w:t>合同价款</w:t>
      </w:r>
      <w:bookmarkEnd w:id="126"/>
      <w:r>
        <w:rPr>
          <w:rFonts w:hint="eastAsia" w:ascii="仿宋" w:hAnsi="仿宋" w:eastAsia="仿宋" w:cs="仿宋"/>
          <w:color w:val="000000" w:themeColor="text1"/>
          <w:sz w:val="24"/>
          <w:szCs w:val="24"/>
          <w:highlight w:val="none"/>
          <w:u w:val="single"/>
          <w14:textFill>
            <w14:solidFill>
              <w14:schemeClr w14:val="tx1"/>
            </w14:solidFill>
          </w14:textFill>
        </w:rPr>
        <w:t>为：</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全费用综合单价</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元，大写          整 。此价格为固定价格，含一切税、费。</w:t>
      </w:r>
      <w:r>
        <w:rPr>
          <w:rFonts w:hint="eastAsia" w:ascii="仿宋" w:hAnsi="仿宋" w:eastAsia="仿宋" w:cs="仿宋"/>
          <w:color w:val="000000" w:themeColor="text1"/>
          <w:sz w:val="24"/>
          <w:szCs w:val="24"/>
          <w:highlight w:val="none"/>
          <w14:textFill>
            <w14:solidFill>
              <w14:schemeClr w14:val="tx1"/>
            </w14:solidFill>
          </w14:textFill>
        </w:rPr>
        <w:t>本合同价款包括但不限于乙方为实施本项目所需的设备仪器费、车辆租赁费、服务和技术费用、各种方式寄送技术资料到甲方指定收货位置所发生的费用等乙方为履行本合同义务所发生的一切费用和支出。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第二条  服务内容</w:t>
      </w:r>
    </w:p>
    <w:p>
      <w:pPr>
        <w:spacing w:line="560" w:lineRule="exact"/>
        <w:ind w:firstLine="482" w:firstLineChars="200"/>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自地勘单位进场开始，同步开展外业见证工作，完成本项目外业见证及相关配合服务工作。</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27" w:name="_Hlk112580751"/>
      <w:r>
        <w:rPr>
          <w:rFonts w:hint="eastAsia" w:ascii="仿宋" w:hAnsi="仿宋" w:eastAsia="仿宋" w:cs="仿宋"/>
          <w:color w:val="000000" w:themeColor="text1"/>
          <w:sz w:val="24"/>
          <w:szCs w:val="24"/>
          <w:highlight w:val="none"/>
          <w14:textFill>
            <w14:solidFill>
              <w14:schemeClr w14:val="tx1"/>
            </w14:solidFill>
          </w14:textFill>
        </w:rPr>
        <w:t>第三条  时间要求</w:t>
      </w:r>
      <w:bookmarkEnd w:id="127"/>
      <w:r>
        <w:rPr>
          <w:rFonts w:hint="eastAsia" w:ascii="仿宋" w:hAnsi="仿宋" w:eastAsia="仿宋" w:cs="仿宋"/>
          <w:color w:val="000000" w:themeColor="text1"/>
          <w:sz w:val="24"/>
          <w:szCs w:val="24"/>
          <w:highlight w:val="none"/>
          <w14:textFill>
            <w14:solidFill>
              <w14:schemeClr w14:val="tx1"/>
            </w14:solidFill>
          </w14:textFill>
        </w:rPr>
        <w:t>及阶段成果</w:t>
      </w:r>
    </w:p>
    <w:p>
      <w:pPr>
        <w:spacing w:line="560" w:lineRule="exact"/>
        <w:ind w:firstLine="482" w:firstLineChars="200"/>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外业见证进场日期：签定合同后3日内进场；如不能确定进场日期，以甲方的开工进场通知书为准。根据地勘工作进度，在地勘外业完成后10天内提供正式的勘察外业见证成果</w:t>
      </w:r>
      <w:r>
        <w:rPr>
          <w:rFonts w:hint="eastAsia" w:ascii="仿宋" w:hAnsi="仿宋" w:eastAsia="仿宋" w:cs="仿宋"/>
          <w:b/>
          <w:bCs/>
          <w:color w:val="000000" w:themeColor="text1"/>
          <w:sz w:val="24"/>
          <w:szCs w:val="24"/>
          <w:highlight w:val="none"/>
          <w:u w:val="singl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第四条  服务资料归属</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所有提交给甲方的服务文件及相关的资料的最后文本，包括为履行技术服务范围所编制的各类文件、情况报告等，都属于甲方的财产，乙方在提交给甲方之前应将上述资料进行整理归类和编制索引。</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乙方未经甲方的书面同意，不得将上述资料用于与本项目之外的任何项目。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合同履行完毕，未经甲方的书面同意，乙方不得保存在履行合同过程中所获得或接触到的任何内部数据资料。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第五条  甲方的义务</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负责与本项目有关的第三方的协调，提供开展服务工作的外部条件。</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向乙方提供与本项目服务工作有关的资料。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负责组织有关专家对项目成果评估报告的评审。</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第六条  乙方的义务</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应按照甲方招标文件、乙方投标文件要求按期完成本项目服务工作。</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必须严格执行国家法律法规，自觉接受甲方的业务指导和监督管理，全力维护甲方的合法权益；运用自身的专业技能为甲方做好服务工作，并提供与项目有关的其它服务。在服务中的整个过程需按照国家相关法律法规的要求，符合流程，不得有违法违规的行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乙方在项目服务过程要做出工作进度表给甲方（若需），让甲方了解整个服务工作的进展情况；在服务期限内，由甲方根据工作的特点和要求具体确定时间，乙方必须在约定的时间内完成相关工作。</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服务期限内若确实需要更换拟派负责人的，须征得甲方的书面同意，而且更换人员的技术职称和工作经验必须高于或等于拟派人员的技术职称和工作经验；</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甲方向乙方提出的意见建议，乙方应予以审核，如与法规不符，乙方应当予以拒绝并提出相应意见，确保服务项目合法、合规。</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乙方必须对甲方单位信息进行保密，在未经甲方事先书面同意的情况下，任何时候均不得将有关甲方的任何内容或者从甲方处知晓的关于甲方单位的任何信息泄露给任何其它方。</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 乙方承接服务前，应充分了解掌握服务项目需求情况，紧贴项目实际拟制各类文书，严禁随意将以往的服务文件复制剪贴，糊弄应付，甚至错漏百出。合同履约过程中，甲方将建立相关考评制度，对乙方实施量化考评，考核不合格与乙方将解除本服务合同。</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 乙方须无条件配合甲方接收各级审计、巡视工作；与本项目服务业务相关资料（含音视频资料）保存期限为招标结束之日起至少15年。</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 在履行合同期间或合同规定期限内，不得向第三方泄露与本合同规定业务活动有关的任何资料。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第七条  甲方的权利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有权向乙方询问工作进展情况及相关的内容。</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有权阐述对具体问题的意义和建议。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当甲方认定乙方人员不按合同履行其职责，或与第三人串通给甲方造成经济损失的，甲方有权要求更换人员或解除合同并要求乙方承担相应的赔偿责任。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第八条  乙方的权利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乙方在本项目服务过程中，如甲方提供的资料不明确时可向甲方提出书面报告。</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乙方在本项目服务过程中，有权对第三方提出与本服务业务有关的问题进行核对或查问。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乙方在本项目服务过程中，有随时了解项目进度的权利。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第九条  甲方的责任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如乙方全面履行合同约定内容，甲方则按本合同约定履行付款义务，如有违反则应当承担违约责任。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甲方有权对乙方实施量化考评，考核不合格，有权解除合同，并要求乙方承担违约责任。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甲方向乙方提出赔偿要求不能成立时，则应补偿由于该赔偿或其他要求所导致乙方的各种费用的支出。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第十条  乙方的责任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乙方的责任期即本合同有效期。如因非乙方的责任造成进度的推迟或延误而超过约定的日期，双方应进一步约定相应延长合同有效期。</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乙方的责任期内，应当履行本合同中约定的义务，因乙方的单方过失给甲方造成损失，应当向甲方进行赔偿。</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乙方对甲方或甲方指定的第三方所提出的问题不能及时核对或答复，导致合同不能全部或部分履行，甲方将记录在量化考评中，属于乙方违约，乙方应承担相应的违约责任。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乙方向甲方提出赔偿要求不能成立时，则应补偿由于该赔偿或其他要求所导致甲方的各种费用的支出。</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第十一条  人员要求</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参加本项目的人员必须具有国家和有关部门规定的相应资质。</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参加本项目的人员配置必须与投标文件中的服务承诺书和服务组织实施方案一致。</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必须以直属工作人员参与本项目服务，不得使用挂靠队伍。</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第十二条  乙方服务业务工具要求</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乙方应配备中标项目所需的足够数量的各类设施设备。甲方不需向乙方提供任何本项目所需的各类设施设备。</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2、乙方在提供服务过程中应自备车辆。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第十三条  保密要求</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由甲方收集的、开发的、整理的、复制的、研究的和准备的与本合同项下工作有关的所有资料在提供给乙方时，均为保密资料，不得泄漏给除甲方或其指定的代表之外的任何人、企业或公司，不管本合同因何种原因终止，本条款对乙方一直有效。</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乙方在履行合同过程中所获得或接触到的任何内部数据资料，未经甲方书面同意，不得向第三方透露。</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乙方实施项目的一切程序都应符合国家安全、保密的有关规定和标准。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乙方参加项目的有关人员均需同甲方签订保密协议。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第十四条  项目验收</w:t>
      </w:r>
    </w:p>
    <w:p>
      <w:pPr>
        <w:spacing w:line="560" w:lineRule="exact"/>
        <w:ind w:firstLine="482" w:firstLineChars="200"/>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工作成果经</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甲方</w:t>
      </w:r>
      <w:r>
        <w:rPr>
          <w:rFonts w:hint="eastAsia" w:ascii="仿宋" w:hAnsi="仿宋" w:eastAsia="仿宋" w:cs="仿宋"/>
          <w:b/>
          <w:bCs/>
          <w:color w:val="000000" w:themeColor="text1"/>
          <w:sz w:val="24"/>
          <w:szCs w:val="24"/>
          <w:highlight w:val="none"/>
          <w:u w:val="single"/>
          <w14:textFill>
            <w14:solidFill>
              <w14:schemeClr w14:val="tx1"/>
            </w14:solidFill>
          </w14:textFill>
        </w:rPr>
        <w:t>及相关部门审批合格。</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第十五条 </w:t>
      </w:r>
      <w:bookmarkStart w:id="128" w:name="_Hlk112581267"/>
      <w:r>
        <w:rPr>
          <w:rFonts w:hint="eastAsia" w:ascii="仿宋" w:hAnsi="仿宋" w:eastAsia="仿宋" w:cs="仿宋"/>
          <w:color w:val="000000" w:themeColor="text1"/>
          <w:sz w:val="24"/>
          <w:szCs w:val="24"/>
          <w:highlight w:val="none"/>
          <w14:textFill>
            <w14:solidFill>
              <w14:schemeClr w14:val="tx1"/>
            </w14:solidFill>
          </w14:textFill>
        </w:rPr>
        <w:t xml:space="preserve"> 付款方式</w:t>
      </w:r>
      <w:bookmarkEnd w:id="128"/>
    </w:p>
    <w:p>
      <w:pPr>
        <w:spacing w:line="560" w:lineRule="exact"/>
        <w:ind w:firstLine="482" w:firstLineChars="200"/>
        <w:rPr>
          <w:rFonts w:hint="eastAsia" w:ascii="仿宋" w:hAnsi="仿宋" w:eastAsia="仿宋" w:cs="仿宋"/>
          <w:b/>
          <w:bCs/>
          <w:color w:val="000000" w:themeColor="text1"/>
          <w:sz w:val="24"/>
          <w:szCs w:val="24"/>
          <w:highlight w:val="none"/>
          <w:u w:val="single"/>
          <w14:textFill>
            <w14:solidFill>
              <w14:schemeClr w14:val="tx1"/>
            </w14:solidFill>
          </w14:textFill>
        </w:rPr>
      </w:pPr>
      <w:r>
        <w:rPr>
          <w:rFonts w:hint="eastAsia" w:ascii="仿宋" w:hAnsi="仿宋" w:eastAsia="仿宋" w:cs="仿宋"/>
          <w:b/>
          <w:bCs/>
          <w:color w:val="000000" w:themeColor="text1"/>
          <w:sz w:val="24"/>
          <w:szCs w:val="24"/>
          <w:highlight w:val="none"/>
          <w:u w:val="single"/>
          <w14:textFill>
            <w14:solidFill>
              <w14:schemeClr w14:val="tx1"/>
            </w14:solidFill>
          </w14:textFill>
        </w:rPr>
        <w:t>工作成果经</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甲方</w:t>
      </w:r>
      <w:r>
        <w:rPr>
          <w:rFonts w:hint="eastAsia" w:ascii="仿宋" w:hAnsi="仿宋" w:eastAsia="仿宋" w:cs="仿宋"/>
          <w:b/>
          <w:bCs/>
          <w:color w:val="000000" w:themeColor="text1"/>
          <w:sz w:val="24"/>
          <w:szCs w:val="24"/>
          <w:highlight w:val="none"/>
          <w:u w:val="single"/>
          <w14:textFill>
            <w14:solidFill>
              <w14:schemeClr w14:val="tx1"/>
            </w14:solidFill>
          </w14:textFill>
        </w:rPr>
        <w:t>及相关部门审批合格，且由</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乙方</w:t>
      </w:r>
      <w:r>
        <w:rPr>
          <w:rFonts w:hint="eastAsia" w:ascii="仿宋" w:hAnsi="仿宋" w:eastAsia="仿宋" w:cs="仿宋"/>
          <w:b/>
          <w:bCs/>
          <w:color w:val="000000" w:themeColor="text1"/>
          <w:sz w:val="24"/>
          <w:szCs w:val="24"/>
          <w:highlight w:val="none"/>
          <w:u w:val="single"/>
          <w14:textFill>
            <w14:solidFill>
              <w14:schemeClr w14:val="tx1"/>
            </w14:solidFill>
          </w14:textFill>
        </w:rPr>
        <w:t>向</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甲方</w:t>
      </w:r>
      <w:r>
        <w:rPr>
          <w:rFonts w:hint="eastAsia" w:ascii="仿宋" w:hAnsi="仿宋" w:eastAsia="仿宋" w:cs="仿宋"/>
          <w:b/>
          <w:bCs/>
          <w:color w:val="000000" w:themeColor="text1"/>
          <w:sz w:val="24"/>
          <w:szCs w:val="24"/>
          <w:highlight w:val="none"/>
          <w:u w:val="single"/>
          <w14:textFill>
            <w14:solidFill>
              <w14:schemeClr w14:val="tx1"/>
            </w14:solidFill>
          </w14:textFill>
        </w:rPr>
        <w:t>提供相应的结算资料、成果报告及增值税</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普通</w:t>
      </w:r>
      <w:r>
        <w:rPr>
          <w:rFonts w:hint="eastAsia" w:ascii="仿宋" w:hAnsi="仿宋" w:eastAsia="仿宋" w:cs="仿宋"/>
          <w:b/>
          <w:bCs/>
          <w:color w:val="000000" w:themeColor="text1"/>
          <w:sz w:val="24"/>
          <w:szCs w:val="24"/>
          <w:highlight w:val="none"/>
          <w:u w:val="single"/>
          <w14:textFill>
            <w14:solidFill>
              <w14:schemeClr w14:val="tx1"/>
            </w14:solidFill>
          </w14:textFill>
        </w:rPr>
        <w:t>发票，并完成</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甲方</w:t>
      </w:r>
      <w:r>
        <w:rPr>
          <w:rFonts w:hint="eastAsia" w:ascii="仿宋" w:hAnsi="仿宋" w:eastAsia="仿宋" w:cs="仿宋"/>
          <w:b/>
          <w:bCs/>
          <w:color w:val="000000" w:themeColor="text1"/>
          <w:sz w:val="24"/>
          <w:szCs w:val="24"/>
          <w:highlight w:val="none"/>
          <w:u w:val="single"/>
          <w14:textFill>
            <w14:solidFill>
              <w14:schemeClr w14:val="tx1"/>
            </w14:solidFill>
          </w14:textFill>
        </w:rPr>
        <w:t>支付流程后，</w:t>
      </w:r>
      <w:r>
        <w:rPr>
          <w:rFonts w:hint="eastAsia" w:ascii="仿宋" w:hAnsi="仿宋" w:eastAsia="仿宋" w:cs="仿宋"/>
          <w:b/>
          <w:bCs/>
          <w:color w:val="000000" w:themeColor="text1"/>
          <w:sz w:val="24"/>
          <w:szCs w:val="24"/>
          <w:highlight w:val="none"/>
          <w:u w:val="single"/>
          <w:lang w:eastAsia="zh-CN"/>
          <w14:textFill>
            <w14:solidFill>
              <w14:schemeClr w14:val="tx1"/>
            </w14:solidFill>
          </w14:textFill>
        </w:rPr>
        <w:t>甲方</w:t>
      </w:r>
      <w:r>
        <w:rPr>
          <w:rFonts w:hint="eastAsia" w:ascii="仿宋" w:hAnsi="仿宋" w:eastAsia="仿宋" w:cs="仿宋"/>
          <w:b/>
          <w:bCs/>
          <w:color w:val="000000" w:themeColor="text1"/>
          <w:sz w:val="24"/>
          <w:szCs w:val="24"/>
          <w:highlight w:val="none"/>
          <w:u w:val="single"/>
          <w14:textFill>
            <w14:solidFill>
              <w14:schemeClr w14:val="tx1"/>
            </w14:solidFill>
          </w14:textFill>
        </w:rPr>
        <w:t>30个工作日内一次性支付勘察外业见证费给</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乙方</w:t>
      </w:r>
      <w:r>
        <w:rPr>
          <w:rFonts w:hint="eastAsia" w:ascii="仿宋" w:hAnsi="仿宋" w:eastAsia="仿宋" w:cs="仿宋"/>
          <w:b/>
          <w:bCs/>
          <w:color w:val="000000" w:themeColor="text1"/>
          <w:sz w:val="24"/>
          <w:szCs w:val="24"/>
          <w:highlight w:val="none"/>
          <w:u w:val="single"/>
          <w14:textFill>
            <w14:solidFill>
              <w14:schemeClr w14:val="tx1"/>
            </w14:solidFill>
          </w14:textFill>
        </w:rPr>
        <w:t>。结算金额=实际完成的钻孔深度×中标全费用综合单价。</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第十六条  争议解决办法</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甲、乙双方在合同履行过程中发生的一切争议，由双方及时协商解决。协商不成时，双方均有权向甲方所在地管辖法院起诉。</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诉讼期间，除正在进行诉讼的部分外，合同其它部分继续执行，除非诉讼部分与合同其他部分的履行存在时间上的先后关系。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第十七条  风险责任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乙方应完全地按照本合同对应招标文件的要求和乙方投标文件的承诺完成本项目，出于自身财务、技术、人力等原因导致服务未完成的，应承担违约责任。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乙方在服务过程中应对自身的安全负责，若由乙方原因发生的各种事故甲方不承担任何责任。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第十八条  违约责任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因乙方原因，未能按规定时间完成有关工作的，每延误一天，甲方可在支付合同余款中扣除合同价款千分之一。</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由于乙方原因造成服务质量不佳，未能满足甲方所需服务时，甲方有权终止合同，并享有追究乙方违约责任及要求赔偿损失的权利。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因乙方原因不能在本合同约定的时间内完成各阶段的项目内容，经甲方催告乙方仍不能在催告时间内完成项目内容，甲方有权与第三方合作，由第三方完成乙方未完成的工作内容。乙方应承担由此产生的费用，并向甲方支付这一阶段所对应的合同金额10%的违约金，同时甲方有单方面解除合同的权利。</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4、本合同各条款约定的乙方承担的违约责任除特别明确外，违约金均为合同金额的10%。</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第十九条  附则</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本合同是按照本合同对应招标文件和乙方投标文件订立的，除招标文件和投标文件中实质性条款之外的约定，以本合同条款为准。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本合同未尽事宜，甲乙双方可另行协商一致签订补充协议。合同的变更或补充，须签订书面文件。补充协议与本合同具有同等法律效力。</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付款时请开具增值税普通发票。</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下列文件均为本合同的组成部分：</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（1）本合同对应招标文件、答疑及补充通知；</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（2）投标文件</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（3）本合同执行中共同签署的补充与修正文件。</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本合同一式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陆</w:t>
      </w:r>
      <w:r>
        <w:rPr>
          <w:rFonts w:hint="eastAsia" w:ascii="仿宋" w:hAnsi="仿宋" w:eastAsia="仿宋" w:cs="仿宋"/>
          <w:color w:val="000000" w:themeColor="text1"/>
          <w:sz w:val="24"/>
          <w:szCs w:val="24"/>
          <w:highlight w:val="none"/>
          <w14:textFill>
            <w14:solidFill>
              <w14:schemeClr w14:val="tx1"/>
            </w14:solidFill>
          </w14:textFill>
        </w:rPr>
        <w:t>份，甲方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肆 </w:t>
      </w:r>
      <w:r>
        <w:rPr>
          <w:rFonts w:hint="eastAsia" w:ascii="仿宋" w:hAnsi="仿宋" w:eastAsia="仿宋" w:cs="仿宋"/>
          <w:color w:val="000000" w:themeColor="text1"/>
          <w:sz w:val="24"/>
          <w:szCs w:val="24"/>
          <w:highlight w:val="none"/>
          <w14:textFill>
            <w14:solidFill>
              <w14:schemeClr w14:val="tx1"/>
            </w14:solidFill>
          </w14:textFill>
        </w:rPr>
        <w:t>份，乙方</w:t>
      </w:r>
      <w:r>
        <w:rPr>
          <w:rFonts w:hint="eastAsia" w:ascii="仿宋" w:hAnsi="仿宋" w:eastAsia="仿宋" w:cs="仿宋"/>
          <w:color w:val="000000" w:themeColor="text1"/>
          <w:sz w:val="24"/>
          <w:szCs w:val="24"/>
          <w:highlight w:val="none"/>
          <w:u w:val="single"/>
          <w14:textFill>
            <w14:solidFill>
              <w14:schemeClr w14:val="tx1"/>
            </w14:solidFill>
          </w14:textFill>
        </w:rPr>
        <w:t>贰</w:t>
      </w:r>
      <w:r>
        <w:rPr>
          <w:rFonts w:hint="eastAsia" w:ascii="仿宋" w:hAnsi="仿宋" w:eastAsia="仿宋" w:cs="仿宋"/>
          <w:color w:val="000000" w:themeColor="text1"/>
          <w:sz w:val="24"/>
          <w:szCs w:val="24"/>
          <w:highlight w:val="none"/>
          <w14:textFill>
            <w14:solidFill>
              <w14:schemeClr w14:val="tx1"/>
            </w14:solidFill>
          </w14:textFill>
        </w:rPr>
        <w:t>份，具有同等法律效力。本合同自双方法人代表签字（盖章）认可之日起生效。</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（以下无正文）</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p>
    <w:tbl>
      <w:tblPr>
        <w:tblStyle w:val="20"/>
        <w:tblW w:w="9331" w:type="dxa"/>
        <w:jc w:val="center"/>
        <w:tblLayout w:type="fixed"/>
        <w:tblCellMar>
          <w:top w:w="0" w:type="dxa"/>
          <w:left w:w="108" w:type="dxa"/>
          <w:bottom w:w="0" w:type="dxa"/>
          <w:right w:w="108" w:type="dxa"/>
        </w:tblCellMar>
      </w:tblPr>
      <w:tblGrid>
        <w:gridCol w:w="4489"/>
        <w:gridCol w:w="4842"/>
      </w:tblGrid>
      <w:tr>
        <w:tblPrEx>
          <w:tblCellMar>
            <w:top w:w="0" w:type="dxa"/>
            <w:left w:w="108" w:type="dxa"/>
            <w:bottom w:w="0" w:type="dxa"/>
            <w:right w:w="108" w:type="dxa"/>
          </w:tblCellMar>
        </w:tblPrEx>
        <w:trPr>
          <w:trHeight w:val="915"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方：重庆中医药学院</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    方：</w:t>
            </w:r>
          </w:p>
        </w:tc>
      </w:tr>
      <w:tr>
        <w:tblPrEx>
          <w:tblCellMar>
            <w:top w:w="0" w:type="dxa"/>
            <w:left w:w="108" w:type="dxa"/>
            <w:bottom w:w="0" w:type="dxa"/>
            <w:right w:w="108" w:type="dxa"/>
          </w:tblCellMar>
        </w:tblPrEx>
        <w:trPr>
          <w:trHeight w:val="745"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p>
            <w:pPr>
              <w:pStyle w:val="16"/>
              <w:tabs>
                <w:tab w:val="left" w:pos="1260"/>
                <w:tab w:val="left" w:pos="1685"/>
                <w:tab w:val="right" w:leader="dot" w:pos="8400"/>
              </w:tabs>
              <w:spacing w:line="56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p>
            <w:pPr>
              <w:pStyle w:val="2"/>
              <w:rPr>
                <w:rFonts w:hint="eastAsia" w:ascii="仿宋" w:hAnsi="仿宋" w:eastAsia="仿宋" w:cs="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64"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税    号：12500000MB1G7951XD</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税    号：</w:t>
            </w:r>
          </w:p>
        </w:tc>
      </w:tr>
      <w:tr>
        <w:tblPrEx>
          <w:tblCellMar>
            <w:top w:w="0" w:type="dxa"/>
            <w:left w:w="108" w:type="dxa"/>
            <w:bottom w:w="0" w:type="dxa"/>
            <w:right w:w="108" w:type="dxa"/>
          </w:tblCellMar>
        </w:tblPrEx>
        <w:trPr>
          <w:trHeight w:val="649"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开户银行：中信银行重庆科学城</w:t>
            </w:r>
          </w:p>
          <w:p>
            <w:pPr>
              <w:spacing w:line="560" w:lineRule="exact"/>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支行</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p>
        </w:tc>
      </w:tr>
      <w:tr>
        <w:tblPrEx>
          <w:tblCellMar>
            <w:top w:w="0" w:type="dxa"/>
            <w:left w:w="108" w:type="dxa"/>
            <w:bottom w:w="0" w:type="dxa"/>
            <w:right w:w="108" w:type="dxa"/>
          </w:tblCellMar>
        </w:tblPrEx>
        <w:trPr>
          <w:trHeight w:val="649"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号：8111201013500508457</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账    号：</w:t>
            </w:r>
          </w:p>
        </w:tc>
      </w:tr>
      <w:tr>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话：023-65880092</w:t>
            </w:r>
          </w:p>
        </w:tc>
        <w:tc>
          <w:tcPr>
            <w:tcW w:w="4842"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p>
        </w:tc>
      </w:tr>
      <w:tr>
        <w:tblPrEx>
          <w:tblCellMar>
            <w:top w:w="0" w:type="dxa"/>
            <w:left w:w="108" w:type="dxa"/>
            <w:bottom w:w="0" w:type="dxa"/>
            <w:right w:w="108" w:type="dxa"/>
          </w:tblCellMar>
        </w:tblPrEx>
        <w:trPr>
          <w:trHeight w:val="1127"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址：重庆市璧山区璧城街道</w:t>
            </w:r>
          </w:p>
          <w:p>
            <w:pPr>
              <w:spacing w:line="560" w:lineRule="exact"/>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国学路61号</w:t>
            </w:r>
          </w:p>
        </w:tc>
        <w:tc>
          <w:tcPr>
            <w:tcW w:w="4842" w:type="dxa"/>
            <w:tcBorders>
              <w:tl2br w:val="nil"/>
              <w:tr2bl w:val="nil"/>
            </w:tcBorders>
          </w:tcPr>
          <w:p>
            <w:pPr>
              <w:spacing w:line="560" w:lineRule="exact"/>
              <w:ind w:left="1400" w:hanging="1200" w:hangingChars="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p>
        </w:tc>
      </w:tr>
      <w:tr>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c>
          <w:tcPr>
            <w:tcW w:w="4842"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r>
      <w:tr>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签约地点：</w:t>
            </w:r>
            <w:r>
              <w:rPr>
                <w:rFonts w:hint="eastAsia" w:ascii="仿宋" w:hAnsi="仿宋" w:eastAsia="仿宋" w:cs="仿宋"/>
                <w:color w:val="000000" w:themeColor="text1"/>
                <w:kern w:val="0"/>
                <w:sz w:val="24"/>
                <w:szCs w:val="24"/>
                <w:highlight w:val="none"/>
                <w14:textFill>
                  <w14:solidFill>
                    <w14:schemeClr w14:val="tx1"/>
                  </w14:solidFill>
                </w14:textFill>
              </w:rPr>
              <w:t>重</w:t>
            </w:r>
            <w:r>
              <w:rPr>
                <w:rFonts w:hint="eastAsia" w:ascii="仿宋" w:hAnsi="仿宋" w:eastAsia="仿宋" w:cs="仿宋"/>
                <w:color w:val="000000" w:themeColor="text1"/>
                <w:sz w:val="24"/>
                <w:szCs w:val="24"/>
                <w:highlight w:val="none"/>
                <w14:textFill>
                  <w14:solidFill>
                    <w14:schemeClr w14:val="tx1"/>
                  </w14:solidFill>
                </w14:textFill>
              </w:rPr>
              <w:t>庆市璧山区璧城街道国学路61号重庆中医药学院</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p>
    <w:p>
      <w:pPr>
        <w:spacing w:line="56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附件1</w:t>
      </w:r>
    </w:p>
    <w:p>
      <w:pPr>
        <w:spacing w:line="6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信息安全保密协议</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  方：重庆中医药学院</w:t>
      </w:r>
    </w:p>
    <w:p>
      <w:pPr>
        <w:spacing w:line="560" w:lineRule="exact"/>
        <w:ind w:right="414" w:rightChars="148"/>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  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因乙方为甲方提供本主协议所述服务或/和采购供货，已经(或将要)知悉甲方的</w:t>
      </w:r>
      <w:r>
        <w:rPr>
          <w:rFonts w:hint="eastAsia" w:ascii="仿宋" w:hAnsi="仿宋" w:eastAsia="仿宋" w:cs="仿宋"/>
          <w:color w:val="000000" w:themeColor="text1"/>
          <w:sz w:val="24"/>
          <w:szCs w:val="24"/>
          <w:highlight w:val="none"/>
          <w:lang w:eastAsia="zh-Hans"/>
          <w14:textFill>
            <w14:solidFill>
              <w14:schemeClr w14:val="tx1"/>
            </w14:solidFill>
          </w14:textFill>
        </w:rPr>
        <w:t>信息</w:t>
      </w:r>
      <w:r>
        <w:rPr>
          <w:rFonts w:hint="eastAsia" w:ascii="仿宋" w:hAnsi="仿宋" w:eastAsia="仿宋" w:cs="仿宋"/>
          <w:color w:val="000000" w:themeColor="text1"/>
          <w:sz w:val="24"/>
          <w:szCs w:val="24"/>
          <w:highlight w:val="none"/>
          <w14:textFill>
            <w14:solidFill>
              <w14:schemeClr w14:val="tx1"/>
            </w14:solidFill>
          </w14:textFill>
        </w:rPr>
        <w:t>，为明确乙方的保密义务和维护双方的合法权益，依据相关法规，甲乙双方本着平等、自愿、公平和诚实信用的原则签订本协议。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第一条  保密内容及范围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乙方同意对甲方、或者</w:t>
      </w:r>
      <w:r>
        <w:rPr>
          <w:rFonts w:hint="eastAsia" w:ascii="仿宋" w:hAnsi="仿宋" w:eastAsia="仿宋" w:cs="仿宋"/>
          <w:color w:val="000000" w:themeColor="text1"/>
          <w:sz w:val="24"/>
          <w:szCs w:val="24"/>
          <w:highlight w:val="none"/>
          <w:lang w:eastAsia="zh-Hans"/>
          <w14:textFill>
            <w14:solidFill>
              <w14:schemeClr w14:val="tx1"/>
            </w14:solidFill>
          </w14:textFill>
        </w:rPr>
        <w:t>虽属于</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等第三方但甲方负有保密义务的</w:t>
      </w:r>
      <w:r>
        <w:rPr>
          <w:rFonts w:hint="eastAsia" w:ascii="仿宋" w:hAnsi="仿宋" w:eastAsia="仿宋" w:cs="仿宋"/>
          <w:color w:val="000000" w:themeColor="text1"/>
          <w:sz w:val="24"/>
          <w:szCs w:val="24"/>
          <w:highlight w:val="none"/>
          <w:lang w:eastAsia="zh-Hans"/>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切保密信息予以严格保密。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本协议中的“保密信息”是指乙方在甲方</w:t>
      </w:r>
      <w:r>
        <w:rPr>
          <w:rFonts w:hint="eastAsia" w:ascii="仿宋" w:hAnsi="仿宋" w:eastAsia="仿宋" w:cs="仿宋"/>
          <w:color w:val="000000" w:themeColor="text1"/>
          <w:sz w:val="24"/>
          <w:szCs w:val="24"/>
          <w:highlight w:val="none"/>
          <w:lang w:eastAsia="zh-Hans"/>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期间接触到的甲方、甲方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的任何形式的秘密信息，包括但不限于: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（1）任何甲方、甲方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不欲公开的观点、发现、发明、公式、程序、计划、图表、模型、参数、数据、标准、商业秘密、专有技术以及任何知识产权等；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制作或拥有的任何形式的报告、访谈记录、数据、信件、电子邮件、报表、模型以及其他文件的原件或副件；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的技术资料或秘密、经营情况、经营策略及经营信息、客户信息、客户经营状况等；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（4）甲方内外部项目的项目建议书、项目计划、报价、合同、项目研究方法和工具、培训资料和工具以及项目成果等；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（5）甲方内部不欲公开或未经公开的公司制度、文件、决议、消息和公司运营情况等；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（6）任何甲方、甲方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w:t>
      </w:r>
      <w:r>
        <w:rPr>
          <w:rFonts w:hint="eastAsia" w:ascii="仿宋" w:hAnsi="仿宋" w:eastAsia="仿宋" w:cs="仿宋"/>
          <w:color w:val="000000" w:themeColor="text1"/>
          <w:sz w:val="24"/>
          <w:szCs w:val="24"/>
          <w:highlight w:val="none"/>
          <w14:textFill>
            <w14:solidFill>
              <w14:schemeClr w14:val="tx1"/>
            </w14:solidFill>
          </w14:textFill>
        </w:rPr>
        <w:t>不欲公开的关于财务、成本、利润、市场、销售、合同的信息及</w:t>
      </w:r>
      <w:r>
        <w:rPr>
          <w:rFonts w:hint="eastAsia" w:ascii="仿宋" w:hAnsi="仿宋" w:eastAsia="仿宋" w:cs="仿宋"/>
          <w:color w:val="000000" w:themeColor="text1"/>
          <w:sz w:val="24"/>
          <w:szCs w:val="24"/>
          <w:highlight w:val="none"/>
          <w:lang w:eastAsia="zh-Hans"/>
          <w14:textFill>
            <w14:solidFill>
              <w14:schemeClr w14:val="tx1"/>
            </w14:solidFill>
          </w14:textFill>
        </w:rPr>
        <w:t>上下级单位</w:t>
      </w:r>
      <w:r>
        <w:rPr>
          <w:rFonts w:hint="eastAsia" w:ascii="仿宋" w:hAnsi="仿宋" w:eastAsia="仿宋" w:cs="仿宋"/>
          <w:color w:val="000000" w:themeColor="text1"/>
          <w:sz w:val="24"/>
          <w:szCs w:val="24"/>
          <w:highlight w:val="none"/>
          <w14:textFill>
            <w14:solidFill>
              <w14:schemeClr w14:val="tx1"/>
            </w14:solidFill>
          </w14:textFill>
        </w:rPr>
        <w:t>和</w:t>
      </w:r>
      <w:r>
        <w:rPr>
          <w:rFonts w:hint="eastAsia" w:ascii="仿宋" w:hAnsi="仿宋" w:eastAsia="仿宋" w:cs="仿宋"/>
          <w:color w:val="000000" w:themeColor="text1"/>
          <w:sz w:val="24"/>
          <w:szCs w:val="24"/>
          <w:highlight w:val="none"/>
          <w:lang w:eastAsia="zh-Hans"/>
          <w14:textFill>
            <w14:solidFill>
              <w14:schemeClr w14:val="tx1"/>
            </w14:solidFill>
          </w14:textFill>
        </w:rPr>
        <w:t>供应</w:t>
      </w:r>
      <w:r>
        <w:rPr>
          <w:rFonts w:hint="eastAsia" w:ascii="仿宋" w:hAnsi="仿宋" w:eastAsia="仿宋" w:cs="仿宋"/>
          <w:color w:val="000000" w:themeColor="text1"/>
          <w:sz w:val="24"/>
          <w:szCs w:val="24"/>
          <w:highlight w:val="none"/>
          <w14:textFill>
            <w14:solidFill>
              <w14:schemeClr w14:val="tx1"/>
            </w14:solidFill>
          </w14:textFill>
        </w:rPr>
        <w:t>商名单等。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乙方承认，上述“保密信息”均为甲方的保密信息。本协议不仅适用于乙方在本协议签订之后接触的保密信息，也适用于乙方在本协议生效日期前接触的所有保密信息。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乙方确认，如果对是否属于保密信息存在争议，则乙方应按保密信息进行处理，除非得到甲方明确否认。</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第二条  乙方的保密义务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乙方同意为甲方利益尽最佳努力，在提供</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本主协议所述服务或/和采购供货不组织、参加或计划组织、参加任何竞争企业、或从事任何不正当使用甲方商业秘密的行为。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在为甲方提供服务期间，应严格遵守甲方规定的任何成文或不成文的保密规章、制度，履行与其服务内容相应的保密职责；若甲方的保密规章、制度没有规定或者规定不明确之处，乙方亦应本着谨慎、诚实的态度，采取任何必要、合理的措施，维护其</w:t>
      </w:r>
      <w:r>
        <w:rPr>
          <w:rFonts w:hint="eastAsia" w:ascii="仿宋" w:hAnsi="仿宋" w:eastAsia="仿宋" w:cs="仿宋"/>
          <w:color w:val="000000" w:themeColor="text1"/>
          <w:sz w:val="24"/>
          <w:szCs w:val="24"/>
          <w:highlight w:val="none"/>
          <w:lang w:eastAsia="zh-Hans"/>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期间知悉或者持有的保密信息。</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甲方或乙方</w:t>
      </w:r>
      <w:r>
        <w:rPr>
          <w:rFonts w:hint="eastAsia" w:ascii="仿宋" w:hAnsi="仿宋" w:eastAsia="仿宋" w:cs="仿宋"/>
          <w:color w:val="000000" w:themeColor="text1"/>
          <w:sz w:val="24"/>
          <w:szCs w:val="24"/>
          <w:highlight w:val="none"/>
          <w:lang w:eastAsia="zh-Hans"/>
          <w14:textFill>
            <w14:solidFill>
              <w14:schemeClr w14:val="tx1"/>
            </w14:solidFill>
          </w14:textFill>
        </w:rPr>
        <w:t>在服务</w:t>
      </w:r>
      <w:r>
        <w:rPr>
          <w:rFonts w:hint="eastAsia" w:ascii="仿宋" w:hAnsi="仿宋" w:eastAsia="仿宋" w:cs="仿宋"/>
          <w:color w:val="000000" w:themeColor="text1"/>
          <w:sz w:val="24"/>
          <w:szCs w:val="24"/>
          <w:highlight w:val="none"/>
          <w14:textFill>
            <w14:solidFill>
              <w14:schemeClr w14:val="tx1"/>
            </w14:solidFill>
          </w14:textFill>
        </w:rPr>
        <w:t>范围内就保密事宜对乙方提出的合理要求，乙方应予执行，并作为本合同约定的保密义务的</w:t>
      </w:r>
      <w:r>
        <w:rPr>
          <w:rFonts w:hint="eastAsia" w:ascii="仿宋" w:hAnsi="仿宋" w:eastAsia="仿宋" w:cs="仿宋"/>
          <w:color w:val="000000" w:themeColor="text1"/>
          <w:sz w:val="24"/>
          <w:szCs w:val="24"/>
          <w:highlight w:val="none"/>
          <w:lang w:eastAsia="zh-Hans"/>
          <w14:textFill>
            <w14:solidFill>
              <w14:schemeClr w14:val="tx1"/>
            </w14:solidFill>
          </w14:textFill>
        </w:rPr>
        <w:t>一部分。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乙方同意对保密信息予以严格保密，承担的保密义务包括但不限于: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（1）乙方因某一项目而从甲方、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单位处获得的保密信息，乙方承诺只在进行该项目或与该项目紧密相关的项目研究时使用，绝不为与该项目无关的目的使用该保密信息</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乙方应对甲方、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单位交到自己手中的保密信息予以妥善保存，不得泄漏或遗失，在未经甲方事先书面许可，不得私自保留或复制、记录</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（3）非经甲方事先书面许可，乙方不得直接或间接地以任何方式或向任何第三方(包括除甲方该项目组人员以外的任何机构和人员)披露或透露保密信息</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Hans"/>
          <w14:textFill>
            <w14:solidFill>
              <w14:schemeClr w14:val="tx1"/>
            </w14:solidFill>
          </w14:textFill>
        </w:rPr>
        <w:t>亦不得依据保密信息，就任何问题，向任何第三方做出任何建议</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（4）当甲方、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单位要求乙方交回保密信息时(无论出于何种理由)，乙方应立即将保密信息(及保密信息的载体、复制品等)完整交回</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（5）根据甲方的要求，如实向甲方提供保密信息的使用记录</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（6）乙方提供服务结束时或任何时候甲方提出要求时，须将一切保密信息(及保密信息的载体、复制品等)在甲方要求的时间内交还甲方</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乙方在提供服务结束后，应严格遵守相关法律规定，以及以上各项保密义务，不得以任何方式利用、传播、披露所掌握或知悉的保密信息，不得利用所掌握或知悉的保密信息从事损害甲方利益或可能对甲方利益造成不利影响的活动，包括向乙方之后用户单位披露或使用保密信息、为乙方自营企业利益使用保密信息等。</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保密信息的保密期是指：乙方服务期间或服务期间后，甲方、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单位对外公布保密信息，或者保密信息为公众所知之前的任何时间。</w:t>
      </w:r>
    </w:p>
    <w:p>
      <w:pPr>
        <w:spacing w:line="56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第三条</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 甲乙双方确认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双方确认，就本协议的履行，甲方无需额外向乙方支付费用或报酬，除非双方另有约定。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乙方确认，已经知悉并理解甲方的上述制度，并同意遵守执行:</w:t>
      </w:r>
    </w:p>
    <w:p>
      <w:pPr>
        <w:spacing w:line="56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第四条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违约责任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乙方违反保密义务时，应向甲方支付</w:t>
      </w:r>
      <w:r>
        <w:rPr>
          <w:rFonts w:hint="eastAsia" w:ascii="仿宋" w:hAnsi="仿宋" w:eastAsia="仿宋" w:cs="仿宋"/>
          <w:color w:val="000000" w:themeColor="text1"/>
          <w:sz w:val="24"/>
          <w:szCs w:val="24"/>
          <w:highlight w:val="none"/>
          <w14:textFill>
            <w14:solidFill>
              <w14:schemeClr w14:val="tx1"/>
            </w14:solidFill>
          </w14:textFill>
        </w:rPr>
        <w:t>合同金额3%的</w:t>
      </w:r>
      <w:r>
        <w:rPr>
          <w:rFonts w:hint="eastAsia" w:ascii="仿宋" w:hAnsi="仿宋" w:eastAsia="仿宋" w:cs="仿宋"/>
          <w:color w:val="000000" w:themeColor="text1"/>
          <w:sz w:val="24"/>
          <w:szCs w:val="24"/>
          <w:highlight w:val="none"/>
          <w:lang w:eastAsia="zh-Hans"/>
          <w14:textFill>
            <w14:solidFill>
              <w14:schemeClr w14:val="tx1"/>
            </w14:solidFill>
          </w14:textFill>
        </w:rPr>
        <w:t>违约金。同时还应赔偿由此给甲方、甲方的供应商及甲方关联单位造成的一切损失，损失范围包括但不限于甲方的名誉损失、直接损失和可得利益的损失，以及调查费用、公证费用、诉讼费用、律师费用，向第三方支付的赔偿，为应对第三方的指控而支付的一切费用等。上述赔偿可以从乙方的服务报酬或劳动报酬中扣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color w:val="000000" w:themeColor="text1"/>
          <w:sz w:val="24"/>
          <w:szCs w:val="24"/>
          <w:highlight w:val="none"/>
          <w:lang w:eastAsia="zh-Hans"/>
          <w14:textFill>
            <w14:solidFill>
              <w14:schemeClr w14:val="tx1"/>
            </w14:solidFill>
          </w14:textFill>
        </w:rPr>
        <w:t>如果乙方侵犯</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单位相关的保密信息或知识产权，甲方有权代表</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Hans"/>
          <w14:textFill>
            <w14:solidFill>
              <w14:schemeClr w14:val="tx1"/>
            </w14:solidFill>
          </w14:textFill>
        </w:rPr>
        <w:t>的供应商</w:t>
      </w:r>
      <w:r>
        <w:rPr>
          <w:rFonts w:hint="eastAsia" w:ascii="仿宋" w:hAnsi="仿宋" w:eastAsia="仿宋" w:cs="仿宋"/>
          <w:color w:val="000000" w:themeColor="text1"/>
          <w:sz w:val="24"/>
          <w:szCs w:val="24"/>
          <w:highlight w:val="none"/>
          <w14:textFill>
            <w14:solidFill>
              <w14:schemeClr w14:val="tx1"/>
            </w14:solidFill>
          </w14:textFill>
        </w:rPr>
        <w:t>及甲方关联</w:t>
      </w:r>
      <w:r>
        <w:rPr>
          <w:rFonts w:hint="eastAsia" w:ascii="仿宋" w:hAnsi="仿宋" w:eastAsia="仿宋" w:cs="仿宋"/>
          <w:color w:val="000000" w:themeColor="text1"/>
          <w:sz w:val="24"/>
          <w:szCs w:val="24"/>
          <w:highlight w:val="none"/>
          <w:lang w:eastAsia="zh-Hans"/>
          <w14:textFill>
            <w14:solidFill>
              <w14:schemeClr w14:val="tx1"/>
            </w14:solidFill>
          </w14:textFill>
        </w:rPr>
        <w:t>单位追究乙方的法律责任。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乙方若违反本协议书内容，甲方有权制止乙方违约行为或侵权行为并要求乙方积极采取措施消除影响、赔偿损失；情节严重的，甲方有权向有关部门报案，乙方</w:t>
      </w:r>
      <w:r>
        <w:rPr>
          <w:rFonts w:hint="eastAsia" w:ascii="仿宋" w:hAnsi="仿宋" w:eastAsia="仿宋" w:cs="仿宋"/>
          <w:color w:val="000000" w:themeColor="text1"/>
          <w:sz w:val="24"/>
          <w:szCs w:val="24"/>
          <w:highlight w:val="none"/>
          <w:lang w:eastAsia="zh-Hans"/>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承担相应的行政和刑事责任。</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第五条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争议解决</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双方同意，因签订本协议发生的或同本协议有关的一切纠纷，由双方当事人协商解决，协商不成的，任何一方均可向甲方所在地有管辖权的人民法院提起诉讼。</w:t>
      </w:r>
    </w:p>
    <w:p>
      <w:pPr>
        <w:spacing w:line="560" w:lineRule="exact"/>
        <w:ind w:firstLine="480" w:firstLineChars="200"/>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lang w:eastAsia="zh-Hans"/>
          <w14:textFill>
            <w14:solidFill>
              <w14:schemeClr w14:val="tx1"/>
            </w14:solidFill>
          </w14:textFill>
        </w:rPr>
        <w:t xml:space="preserve">第六条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Hans"/>
          <w14:textFill>
            <w14:solidFill>
              <w14:schemeClr w14:val="tx1"/>
            </w14:solidFill>
          </w14:textFill>
        </w:rPr>
        <w:t>附则</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任何一方不得将本协议项下的权利和义务转让给第三方，但获得对方书面同意的除外。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乙方的保密义务自本项目建设合作起开始生效。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乙方的保密义务并不因双方合作关系的解除而免除。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lang w:eastAsia="zh-Hans"/>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本协议一式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陆 </w:t>
      </w:r>
      <w:r>
        <w:rPr>
          <w:rFonts w:hint="eastAsia" w:ascii="仿宋" w:hAnsi="仿宋" w:eastAsia="仿宋" w:cs="仿宋"/>
          <w:color w:val="000000" w:themeColor="text1"/>
          <w:sz w:val="24"/>
          <w:szCs w:val="24"/>
          <w:highlight w:val="none"/>
          <w14:textFill>
            <w14:solidFill>
              <w14:schemeClr w14:val="tx1"/>
            </w14:solidFill>
          </w14:textFill>
        </w:rPr>
        <w:t>份，甲方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肆 </w:t>
      </w:r>
      <w:r>
        <w:rPr>
          <w:rFonts w:hint="eastAsia" w:ascii="仿宋" w:hAnsi="仿宋" w:eastAsia="仿宋" w:cs="仿宋"/>
          <w:color w:val="000000" w:themeColor="text1"/>
          <w:sz w:val="24"/>
          <w:szCs w:val="24"/>
          <w:highlight w:val="none"/>
          <w14:textFill>
            <w14:solidFill>
              <w14:schemeClr w14:val="tx1"/>
            </w14:solidFill>
          </w14:textFill>
        </w:rPr>
        <w:t>份和乙方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贰 </w:t>
      </w:r>
      <w:r>
        <w:rPr>
          <w:rFonts w:hint="eastAsia" w:ascii="仿宋" w:hAnsi="仿宋" w:eastAsia="仿宋" w:cs="仿宋"/>
          <w:color w:val="000000" w:themeColor="text1"/>
          <w:sz w:val="24"/>
          <w:szCs w:val="24"/>
          <w:highlight w:val="none"/>
          <w14:textFill>
            <w14:solidFill>
              <w14:schemeClr w14:val="tx1"/>
            </w14:solidFill>
          </w14:textFill>
        </w:rPr>
        <w:t>份。未尽事宜，甲乙双方友好协商，</w:t>
      </w:r>
      <w:r>
        <w:rPr>
          <w:rFonts w:hint="eastAsia" w:ascii="仿宋" w:hAnsi="仿宋" w:eastAsia="仿宋" w:cs="仿宋"/>
          <w:color w:val="000000" w:themeColor="text1"/>
          <w:sz w:val="24"/>
          <w:szCs w:val="24"/>
          <w:highlight w:val="none"/>
          <w:lang w:eastAsia="zh-Hans"/>
          <w14:textFill>
            <w14:solidFill>
              <w14:schemeClr w14:val="tx1"/>
            </w14:solidFill>
          </w14:textFill>
        </w:rPr>
        <w:t>可签订定补充协议予以完善。</w:t>
      </w:r>
    </w:p>
    <w:tbl>
      <w:tblPr>
        <w:tblStyle w:val="20"/>
        <w:tblW w:w="9331" w:type="dxa"/>
        <w:jc w:val="center"/>
        <w:tblLayout w:type="fixed"/>
        <w:tblCellMar>
          <w:top w:w="0" w:type="dxa"/>
          <w:left w:w="108" w:type="dxa"/>
          <w:bottom w:w="0" w:type="dxa"/>
          <w:right w:w="108" w:type="dxa"/>
        </w:tblCellMar>
      </w:tblPr>
      <w:tblGrid>
        <w:gridCol w:w="4489"/>
        <w:gridCol w:w="4842"/>
      </w:tblGrid>
      <w:tr>
        <w:tblPrEx>
          <w:tblCellMar>
            <w:top w:w="0" w:type="dxa"/>
            <w:left w:w="108" w:type="dxa"/>
            <w:bottom w:w="0" w:type="dxa"/>
            <w:right w:w="108" w:type="dxa"/>
          </w:tblCellMar>
        </w:tblPrEx>
        <w:trPr>
          <w:trHeight w:val="915"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方：重庆中医药学院</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    方：</w:t>
            </w:r>
          </w:p>
        </w:tc>
      </w:tr>
      <w:tr>
        <w:tblPrEx>
          <w:tblCellMar>
            <w:top w:w="0" w:type="dxa"/>
            <w:left w:w="108" w:type="dxa"/>
            <w:bottom w:w="0" w:type="dxa"/>
            <w:right w:w="108" w:type="dxa"/>
          </w:tblCellMar>
        </w:tblPrEx>
        <w:trPr>
          <w:trHeight w:val="1137"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tc>
      </w:tr>
      <w:tr>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话：023-65880092</w:t>
            </w:r>
          </w:p>
        </w:tc>
        <w:tc>
          <w:tcPr>
            <w:tcW w:w="4842"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p>
        </w:tc>
      </w:tr>
      <w:tr>
        <w:tblPrEx>
          <w:tblCellMar>
            <w:top w:w="0" w:type="dxa"/>
            <w:left w:w="108" w:type="dxa"/>
            <w:bottom w:w="0" w:type="dxa"/>
            <w:right w:w="108" w:type="dxa"/>
          </w:tblCellMar>
        </w:tblPrEx>
        <w:trPr>
          <w:trHeight w:val="1127"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址：重庆市璧山区璧城街道</w:t>
            </w:r>
          </w:p>
          <w:p>
            <w:pPr>
              <w:spacing w:line="560" w:lineRule="exact"/>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国学路61号</w:t>
            </w:r>
          </w:p>
        </w:tc>
        <w:tc>
          <w:tcPr>
            <w:tcW w:w="4842" w:type="dxa"/>
            <w:tcBorders>
              <w:tl2br w:val="nil"/>
              <w:tr2bl w:val="nil"/>
            </w:tcBorders>
          </w:tcPr>
          <w:p>
            <w:pPr>
              <w:spacing w:line="560" w:lineRule="exact"/>
              <w:ind w:left="1400" w:hanging="1200" w:hangingChars="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p>
        </w:tc>
      </w:tr>
      <w:tr>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c>
          <w:tcPr>
            <w:tcW w:w="4842"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r>
      <w:tr>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签约地点：</w:t>
            </w:r>
            <w:r>
              <w:rPr>
                <w:rFonts w:hint="eastAsia" w:ascii="仿宋" w:hAnsi="仿宋" w:eastAsia="仿宋" w:cs="仿宋"/>
                <w:color w:val="000000" w:themeColor="text1"/>
                <w:kern w:val="0"/>
                <w:sz w:val="24"/>
                <w:szCs w:val="24"/>
                <w:highlight w:val="none"/>
                <w14:textFill>
                  <w14:solidFill>
                    <w14:schemeClr w14:val="tx1"/>
                  </w14:solidFill>
                </w14:textFill>
              </w:rPr>
              <w:t>重</w:t>
            </w:r>
            <w:r>
              <w:rPr>
                <w:rFonts w:hint="eastAsia" w:ascii="仿宋" w:hAnsi="仿宋" w:eastAsia="仿宋" w:cs="仿宋"/>
                <w:color w:val="000000" w:themeColor="text1"/>
                <w:sz w:val="24"/>
                <w:szCs w:val="24"/>
                <w:highlight w:val="none"/>
                <w14:textFill>
                  <w14:solidFill>
                    <w14:schemeClr w14:val="tx1"/>
                  </w14:solidFill>
                </w14:textFill>
              </w:rPr>
              <w:t>庆市璧山区璧城街道国学路61号重庆中医药学院</w:t>
            </w:r>
          </w:p>
        </w:tc>
      </w:tr>
    </w:tbl>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附件2</w:t>
      </w:r>
    </w:p>
    <w:p>
      <w:pPr>
        <w:spacing w:line="6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安 全 协 议</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  方：重庆中医药学院</w:t>
      </w:r>
    </w:p>
    <w:p>
      <w:pPr>
        <w:spacing w:line="560" w:lineRule="exact"/>
        <w:ind w:right="414" w:rightChars="148"/>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  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号招标项目的投标结果，中标方（乙方）成为项目的供应商。为避免乙方在提供服务、供货或施工过程中的安全生产风险，有效防止安全事故发生，保障生命、财产安全，促进服务、供货或施工的顺利进行，明确双方安全责任，经甲乙双方友好协商，达成以下安全协议。</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第一条  甲方安全责任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甲方有协助乙方在提供服务、供货或施工过程中遇到的安全风险、防火管理以及督促检查的义务。甲方有权检查督促乙方执行有关安全方面的工作情况，对乙方不符合安全文明施工的行为进行制止、纠正并发出安全整改通知书，直至清退出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甲方及甲方委托的监管机构有权对乙方安全生产情况随时进行抽查，有权对乙方参与服务、供货或施工过程中人员进行安全技术知识和安全工作规程的抽查。乙方应予积极配合。若在检查过程中被发现存在的安全隐患，应立即按要求在甲方规定时限内进行整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乙方在提供服务、供货或施工过程中如发生特、重大事故，甲方有权督促乙方立即通知当地政府和公安部门，要求派人保护现场；并有权要求乙方提供事故调查书面结论及处理意见。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甲方不得要求乙方违反安全管理规定进行服务、供货或施工。</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第二条  乙方安全责任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乙方作为服务、供货或施工项目的实施单位，对提供服务、供货或施工项目过程中发生的人身伤害、设备损坏、环境污染等影响甲方安全的一切事故承担安全责任。乙方应切实履行以下安全责任: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乙方提供的服务、供货或施工项目所要求的相关资质证明材料应真实、合法、有效。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如乙方作为施工项目的供应商，乙方应取得施工企业安全生产许可证后方可从事工程施工（零星施工项目或国家没有强制企业施工前取得安全生产许可证的除外）。施工企业的主要负责人、项目负责人、专职安全生产管理人员任职或上岗条件必须符合国家法律、法规相关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乙方在提供服务、供货或施工项目过程中必须贯彻执行国家有关安全生产的法律法规，必须制定相应的安全管理制度；严格按照各种操作规程进行操控作业。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乙方在提供服务、供货或施工期间，应根据项目需求设立安全责任岗位。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乙方用与提供服务、供货或施工项目的施工机械、工器具及安全防护用品等数量和质量必须满足项目需要，乙方对因使用工器具不当所造成的人员伤亡及设备损坏负责。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乙方在提供服务、供货或施工项目前，应组织全体工作人员进行安全教育。如需特种工作人员作业，必须有有关部门核发的合格有效的上岗资格证书。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 乙方在提供服务、供货或施工项目前，乙方应组织人员对工作区域、作业环境、设施设备、工器具等进行检查，确认符合安全要求。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 乙方在提供服务、供货或施工项目过程中需要使用电、水源，应事先与甲方取得联系，不得私拉乱接。中断作业或遇故障应立即切断有关开关。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 乙方在提供服务、供货或施工项目过程中必须接受甲方的监督、检查，对甲方提出的安全整改意见必须及时整改。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 乙方在提供服务、供货或施工项目过程中发生人身伤亡、设备事故或危及生产运行的不安全情况，应立即报告甲方，并积极配合调查。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 乙方在提供服务、供货或施工项目过程中由于管理不善，违章操作，违章施工，造成甲方其他设施、设备受损，包括但不限于房屋墙面地面损毁，通信网络管道损毁、信号中断等，由乙方承担补修和赔偿的全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 乙方在提供服务、供货或施工项目过程中(验收前)，由于管理不善，造成工程施工材料损坏或丢失，由乙方承担全部责任。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 乙方应依法为在提供服务、供货或施工项目过程中的工作人员缴纳工伤社会保险或购买意外伤害保险。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 乙方要加强对提供服务、供货或施工项目工作人员的管理教育，提高他们的安全意识，时刻考虑到学校师生的安全。教育其不得随意出入师生生活、学习及办公区域，不得随意与学生来往，所有施工人员要严格遵守甲方规章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 乙方须遵守有关环境保护法律、法规的规定，建筑材料摆放规范，并合理调整工作时间，尽量减少工地噪音，在确保安全的同时不影响正常教学及办公秩序。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 乙方在提供服务、供货或施工过程中，应根据师生活动范围，搭设防护通道，并在显著的位置张贴安全生产的宣传标语，合理设置警示标志、绕行标志等，提示和引导避让危险，严密防范安全事故发生，确保在校师生和施工人员的人身安全。</w:t>
      </w:r>
    </w:p>
    <w:p>
      <w:pPr>
        <w:spacing w:line="56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第三条  违约责任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由于乙方责任造成对方或第三方的人身伤害、设备损坏、环境污染等人身或财产损失，由乙方承担相应责任，并赔偿对方或第三方因此造成的全部损失。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合同履行中，发现乙方提供的有关资质材料无效，甲方有权解除合同，并由乙方承担由此造成的一切损失。</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如提供服务、供货或施工项目中，乙方需要设置安全责任人员而未设置，未能正确、全面执行安全技术措施、施工组织设计；工作人员未掌握本项目特点及安全措施；用于本项目的施工机械、工器具及安全防护用品不满足施工需要，甲方有权要求乙方立即停工整改，由此引起的后果及损失由乙方承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第四条 争议解决方式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本协议执行过程中，如发生争议，由双方协商解决；协商不成，任何一方可以向甲方所在地人民法院提出诉讼。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本协议一式</w:t>
      </w:r>
      <w:r>
        <w:rPr>
          <w:rFonts w:hint="eastAsia" w:ascii="仿宋" w:hAnsi="仿宋" w:eastAsia="仿宋" w:cs="仿宋"/>
          <w:color w:val="000000" w:themeColor="text1"/>
          <w:sz w:val="24"/>
          <w:szCs w:val="24"/>
          <w:highlight w:val="none"/>
          <w:u w:val="single"/>
          <w14:textFill>
            <w14:solidFill>
              <w14:schemeClr w14:val="tx1"/>
            </w14:solidFill>
          </w14:textFill>
        </w:rPr>
        <w:t>陆</w:t>
      </w:r>
      <w:r>
        <w:rPr>
          <w:rFonts w:hint="eastAsia" w:ascii="仿宋" w:hAnsi="仿宋" w:eastAsia="仿宋" w:cs="仿宋"/>
          <w:color w:val="000000" w:themeColor="text1"/>
          <w:sz w:val="24"/>
          <w:szCs w:val="24"/>
          <w:highlight w:val="none"/>
          <w14:textFill>
            <w14:solidFill>
              <w14:schemeClr w14:val="tx1"/>
            </w14:solidFill>
          </w14:textFill>
        </w:rPr>
        <w:t>份，甲方</w:t>
      </w:r>
      <w:r>
        <w:rPr>
          <w:rFonts w:hint="eastAsia" w:ascii="仿宋" w:hAnsi="仿宋" w:eastAsia="仿宋" w:cs="仿宋"/>
          <w:color w:val="000000" w:themeColor="text1"/>
          <w:sz w:val="24"/>
          <w:szCs w:val="24"/>
          <w:highlight w:val="none"/>
          <w:u w:val="single"/>
          <w14:textFill>
            <w14:solidFill>
              <w14:schemeClr w14:val="tx1"/>
            </w14:solidFill>
          </w14:textFill>
        </w:rPr>
        <w:t>肆</w:t>
      </w:r>
      <w:r>
        <w:rPr>
          <w:rFonts w:hint="eastAsia" w:ascii="仿宋" w:hAnsi="仿宋" w:eastAsia="仿宋" w:cs="仿宋"/>
          <w:color w:val="000000" w:themeColor="text1"/>
          <w:sz w:val="24"/>
          <w:szCs w:val="24"/>
          <w:highlight w:val="none"/>
          <w14:textFill>
            <w14:solidFill>
              <w14:schemeClr w14:val="tx1"/>
            </w14:solidFill>
          </w14:textFill>
        </w:rPr>
        <w:t>份和乙方</w:t>
      </w:r>
      <w:r>
        <w:rPr>
          <w:rFonts w:hint="eastAsia" w:ascii="仿宋" w:hAnsi="仿宋" w:eastAsia="仿宋" w:cs="仿宋"/>
          <w:color w:val="000000" w:themeColor="text1"/>
          <w:sz w:val="24"/>
          <w:szCs w:val="24"/>
          <w:highlight w:val="none"/>
          <w:u w:val="single"/>
          <w14:textFill>
            <w14:solidFill>
              <w14:schemeClr w14:val="tx1"/>
            </w14:solidFill>
          </w14:textFill>
        </w:rPr>
        <w:t>贰</w:t>
      </w:r>
      <w:r>
        <w:rPr>
          <w:rFonts w:hint="eastAsia" w:ascii="仿宋" w:hAnsi="仿宋" w:eastAsia="仿宋" w:cs="仿宋"/>
          <w:color w:val="000000" w:themeColor="text1"/>
          <w:sz w:val="24"/>
          <w:szCs w:val="24"/>
          <w:highlight w:val="none"/>
          <w14:textFill>
            <w14:solidFill>
              <w14:schemeClr w14:val="tx1"/>
            </w14:solidFill>
          </w14:textFill>
        </w:rPr>
        <w:t>份。未尽事宜，甲乙双方经友好协商可签订补充协议。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p>
      <w:pPr>
        <w:pStyle w:val="2"/>
        <w:rPr>
          <w:rFonts w:hint="eastAsia" w:ascii="仿宋" w:hAnsi="仿宋" w:eastAsia="仿宋" w:cs="仿宋"/>
          <w:color w:val="000000" w:themeColor="text1"/>
          <w:sz w:val="24"/>
          <w:szCs w:val="24"/>
          <w:highlight w:val="none"/>
          <w14:textFill>
            <w14:solidFill>
              <w14:schemeClr w14:val="tx1"/>
            </w14:solidFill>
          </w14:textFill>
        </w:rPr>
      </w:pPr>
    </w:p>
    <w:tbl>
      <w:tblPr>
        <w:tblStyle w:val="20"/>
        <w:tblW w:w="9331" w:type="dxa"/>
        <w:jc w:val="center"/>
        <w:tblLayout w:type="fixed"/>
        <w:tblCellMar>
          <w:top w:w="0" w:type="dxa"/>
          <w:left w:w="108" w:type="dxa"/>
          <w:bottom w:w="0" w:type="dxa"/>
          <w:right w:w="108" w:type="dxa"/>
        </w:tblCellMar>
      </w:tblPr>
      <w:tblGrid>
        <w:gridCol w:w="4489"/>
        <w:gridCol w:w="4842"/>
      </w:tblGrid>
      <w:tr>
        <w:tblPrEx>
          <w:tblCellMar>
            <w:top w:w="0" w:type="dxa"/>
            <w:left w:w="108" w:type="dxa"/>
            <w:bottom w:w="0" w:type="dxa"/>
            <w:right w:w="108" w:type="dxa"/>
          </w:tblCellMar>
        </w:tblPrEx>
        <w:trPr>
          <w:trHeight w:val="915"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    方：重庆中医药学院</w:t>
            </w: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    方：</w:t>
            </w:r>
          </w:p>
        </w:tc>
      </w:tr>
      <w:tr>
        <w:tblPrEx>
          <w:tblCellMar>
            <w:top w:w="0" w:type="dxa"/>
            <w:left w:w="108" w:type="dxa"/>
            <w:bottom w:w="0" w:type="dxa"/>
            <w:right w:w="108" w:type="dxa"/>
          </w:tblCellMar>
        </w:tblPrEx>
        <w:trPr>
          <w:trHeight w:val="745"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p>
            <w:pPr>
              <w:pStyle w:val="16"/>
              <w:tabs>
                <w:tab w:val="left" w:pos="1260"/>
                <w:tab w:val="left" w:pos="1685"/>
                <w:tab w:val="right" w:leader="dot" w:pos="8400"/>
              </w:tabs>
              <w:spacing w:line="56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4842"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法人代表人</w:t>
            </w:r>
          </w:p>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或委托代理人（签字）：</w:t>
            </w:r>
          </w:p>
          <w:p>
            <w:pPr>
              <w:pStyle w:val="2"/>
              <w:rPr>
                <w:rFonts w:hint="eastAsia" w:ascii="仿宋" w:hAnsi="仿宋" w:eastAsia="仿宋" w:cs="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96" w:hRule="atLeast"/>
          <w:jc w:val="center"/>
        </w:trPr>
        <w:tc>
          <w:tcPr>
            <w:tcW w:w="4489"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话：023-65880092</w:t>
            </w:r>
          </w:p>
        </w:tc>
        <w:tc>
          <w:tcPr>
            <w:tcW w:w="4842" w:type="dxa"/>
            <w:tcBorders>
              <w:tl2br w:val="nil"/>
              <w:tr2bl w:val="nil"/>
            </w:tcBorders>
            <w:shd w:val="clear" w:color="auto" w:fill="auto"/>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    话：</w:t>
            </w:r>
          </w:p>
        </w:tc>
      </w:tr>
      <w:tr>
        <w:tblPrEx>
          <w:tblCellMar>
            <w:top w:w="0" w:type="dxa"/>
            <w:left w:w="108" w:type="dxa"/>
            <w:bottom w:w="0" w:type="dxa"/>
            <w:right w:w="108" w:type="dxa"/>
          </w:tblCellMar>
        </w:tblPrEx>
        <w:trPr>
          <w:trHeight w:val="1127" w:hRule="atLeast"/>
          <w:jc w:val="center"/>
        </w:trPr>
        <w:tc>
          <w:tcPr>
            <w:tcW w:w="4489" w:type="dxa"/>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址：重庆市璧山区璧城街道</w:t>
            </w:r>
          </w:p>
          <w:p>
            <w:pPr>
              <w:spacing w:line="560" w:lineRule="exact"/>
              <w:ind w:firstLine="1233" w:firstLineChars="51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国学路61号</w:t>
            </w:r>
          </w:p>
        </w:tc>
        <w:tc>
          <w:tcPr>
            <w:tcW w:w="4842" w:type="dxa"/>
            <w:tcBorders>
              <w:tl2br w:val="nil"/>
              <w:tr2bl w:val="nil"/>
            </w:tcBorders>
          </w:tcPr>
          <w:p>
            <w:pPr>
              <w:spacing w:line="560" w:lineRule="exact"/>
              <w:ind w:left="1400" w:hanging="1200" w:hangingChars="5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p>
        </w:tc>
      </w:tr>
      <w:tr>
        <w:tblPrEx>
          <w:tblCellMar>
            <w:top w:w="0" w:type="dxa"/>
            <w:left w:w="108" w:type="dxa"/>
            <w:bottom w:w="0" w:type="dxa"/>
            <w:right w:w="108" w:type="dxa"/>
          </w:tblCellMar>
        </w:tblPrEx>
        <w:trPr>
          <w:trHeight w:val="90" w:hRule="atLeast"/>
          <w:jc w:val="center"/>
        </w:trPr>
        <w:tc>
          <w:tcPr>
            <w:tcW w:w="4489"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c>
          <w:tcPr>
            <w:tcW w:w="4842" w:type="dxa"/>
            <w:tcBorders>
              <w:tl2br w:val="nil"/>
              <w:tr2bl w:val="nil"/>
            </w:tcBorders>
            <w:shd w:val="clear" w:color="auto" w:fill="auto"/>
          </w:tcPr>
          <w:p>
            <w:pPr>
              <w:spacing w:line="560" w:lineRule="exact"/>
              <w:ind w:left="1400" w:hanging="1200" w:hangingChars="5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时    间：     年   月   日</w:t>
            </w:r>
          </w:p>
        </w:tc>
      </w:tr>
      <w:tr>
        <w:tblPrEx>
          <w:tblCellMar>
            <w:top w:w="0" w:type="dxa"/>
            <w:left w:w="108" w:type="dxa"/>
            <w:bottom w:w="0" w:type="dxa"/>
            <w:right w:w="108" w:type="dxa"/>
          </w:tblCellMar>
        </w:tblPrEx>
        <w:trPr>
          <w:trHeight w:val="562" w:hRule="atLeast"/>
          <w:jc w:val="center"/>
        </w:trPr>
        <w:tc>
          <w:tcPr>
            <w:tcW w:w="9331" w:type="dxa"/>
            <w:gridSpan w:val="2"/>
            <w:tcBorders>
              <w:tl2br w:val="nil"/>
              <w:tr2bl w:val="nil"/>
            </w:tcBorders>
          </w:tcPr>
          <w:p>
            <w:pPr>
              <w:spacing w:line="56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签约地点：</w:t>
            </w:r>
            <w:r>
              <w:rPr>
                <w:rFonts w:hint="eastAsia" w:ascii="仿宋" w:hAnsi="仿宋" w:eastAsia="仿宋" w:cs="仿宋"/>
                <w:color w:val="000000" w:themeColor="text1"/>
                <w:kern w:val="0"/>
                <w:sz w:val="24"/>
                <w:szCs w:val="24"/>
                <w:highlight w:val="none"/>
                <w14:textFill>
                  <w14:solidFill>
                    <w14:schemeClr w14:val="tx1"/>
                  </w14:solidFill>
                </w14:textFill>
              </w:rPr>
              <w:t>重</w:t>
            </w:r>
            <w:r>
              <w:rPr>
                <w:rFonts w:hint="eastAsia" w:ascii="仿宋" w:hAnsi="仿宋" w:eastAsia="仿宋" w:cs="仿宋"/>
                <w:color w:val="000000" w:themeColor="text1"/>
                <w:sz w:val="24"/>
                <w:szCs w:val="24"/>
                <w:highlight w:val="none"/>
                <w14:textFill>
                  <w14:solidFill>
                    <w14:schemeClr w14:val="tx1"/>
                  </w14:solidFill>
                </w14:textFill>
              </w:rPr>
              <w:t>庆市璧山区璧城街道国学路61号重庆中医药学院</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p>
    <w:p>
      <w:pPr>
        <w:rPr>
          <w:rFonts w:hint="eastAsia" w:ascii="仿宋" w:hAnsi="仿宋" w:eastAsia="仿宋" w:cs="仿宋"/>
          <w:b/>
          <w:bCs/>
          <w:color w:val="000000" w:themeColor="text1"/>
          <w:sz w:val="36"/>
          <w:szCs w:val="30"/>
          <w:highlight w:val="none"/>
          <w14:textFill>
            <w14:solidFill>
              <w14:schemeClr w14:val="tx1"/>
            </w14:solidFill>
          </w14:textFill>
        </w:rPr>
      </w:pPr>
    </w:p>
    <w:p>
      <w:pPr>
        <w:rPr>
          <w:rFonts w:hint="eastAsia" w:ascii="仿宋" w:hAnsi="仿宋" w:eastAsia="仿宋" w:cs="仿宋"/>
          <w:b/>
          <w:bCs/>
          <w:color w:val="000000" w:themeColor="text1"/>
          <w:sz w:val="36"/>
          <w:szCs w:val="30"/>
          <w:highlight w:val="none"/>
          <w14:textFill>
            <w14:solidFill>
              <w14:schemeClr w14:val="tx1"/>
            </w14:solidFill>
          </w14:textFill>
        </w:rPr>
      </w:pPr>
      <w:bookmarkStart w:id="129" w:name="_Toc2032"/>
    </w:p>
    <w:p>
      <w:pPr>
        <w:spacing w:before="0" w:after="0" w:line="360" w:lineRule="auto"/>
        <w:jc w:val="center"/>
        <w:outlineLvl w:val="0"/>
        <w:rPr>
          <w:rFonts w:hint="eastAsia" w:ascii="仿宋" w:hAnsi="仿宋" w:eastAsia="仿宋" w:cs="仿宋"/>
          <w:b/>
          <w:bCs/>
          <w:color w:val="000000" w:themeColor="text1"/>
          <w:sz w:val="36"/>
          <w:szCs w:val="30"/>
          <w:highlight w:val="none"/>
          <w14:textFill>
            <w14:solidFill>
              <w14:schemeClr w14:val="tx1"/>
            </w14:solidFill>
          </w14:textFill>
        </w:rPr>
      </w:pPr>
      <w:r>
        <w:rPr>
          <w:rFonts w:hint="eastAsia" w:ascii="仿宋" w:hAnsi="仿宋" w:eastAsia="仿宋" w:cs="仿宋"/>
          <w:b/>
          <w:bCs/>
          <w:color w:val="000000" w:themeColor="text1"/>
          <w:sz w:val="36"/>
          <w:szCs w:val="30"/>
          <w:highlight w:val="none"/>
          <w14:textFill>
            <w14:solidFill>
              <w14:schemeClr w14:val="tx1"/>
            </w14:solidFill>
          </w14:textFill>
        </w:rPr>
        <w:t xml:space="preserve">第七篇  </w:t>
      </w:r>
      <w:r>
        <w:rPr>
          <w:rFonts w:hint="eastAsia" w:ascii="仿宋" w:hAnsi="仿宋" w:eastAsia="仿宋" w:cs="仿宋"/>
          <w:b/>
          <w:bCs/>
          <w:color w:val="000000" w:themeColor="text1"/>
          <w:sz w:val="36"/>
          <w:szCs w:val="30"/>
          <w:highlight w:val="none"/>
          <w:lang w:eastAsia="zh-CN"/>
          <w14:textFill>
            <w14:solidFill>
              <w14:schemeClr w14:val="tx1"/>
            </w14:solidFill>
          </w14:textFill>
        </w:rPr>
        <w:t>竞选文件</w:t>
      </w:r>
      <w:r>
        <w:rPr>
          <w:rFonts w:hint="eastAsia" w:ascii="仿宋" w:hAnsi="仿宋" w:eastAsia="仿宋" w:cs="仿宋"/>
          <w:b/>
          <w:bCs/>
          <w:color w:val="000000" w:themeColor="text1"/>
          <w:sz w:val="36"/>
          <w:szCs w:val="30"/>
          <w:highlight w:val="none"/>
          <w14:textFill>
            <w14:solidFill>
              <w14:schemeClr w14:val="tx1"/>
            </w14:solidFill>
          </w14:textFill>
        </w:rPr>
        <w:t>编制要求</w:t>
      </w:r>
      <w:bookmarkEnd w:id="124"/>
      <w:bookmarkEnd w:id="129"/>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一、经济部分</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（一）报价函</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（二）明细报价表</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二、技术部分</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（一）技术应答</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（二）技术响应偏离表</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三、商务部分</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（一）服务要求响应情况</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）商务响应偏离表</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）其它优惠承诺</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四、资格条件及其他</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（二）法定代表人身份证明书（格式）</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法定代表人授权委托书（格式）</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）基本资格条件承诺函（格式）</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）特定资格条件证书或证明文件</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五、其他应提供的资料</w:t>
      </w:r>
    </w:p>
    <w:p>
      <w:pPr>
        <w:spacing w:line="360" w:lineRule="auto"/>
        <w:ind w:firstLine="480" w:firstLineChars="200"/>
        <w:outlineLvl w:val="9"/>
        <w:rPr>
          <w:rFonts w:hint="eastAsia" w:ascii="仿宋" w:hAnsi="仿宋" w:eastAsia="仿宋" w:cs="仿宋"/>
          <w:color w:val="000000" w:themeColor="text1"/>
          <w:sz w:val="24"/>
          <w:szCs w:val="24"/>
          <w:highlight w:val="none"/>
          <w:bdr w:val="single" w:color="auto" w:sz="4" w:space="0"/>
          <w14:textFill>
            <w14:solidFill>
              <w14:schemeClr w14:val="tx1"/>
            </w14:solidFill>
          </w14:textFill>
        </w:rPr>
        <w:sectPr>
          <w:headerReference r:id="rId6" w:type="default"/>
          <w:footerReference r:id="rId7" w:type="default"/>
          <w:pgSz w:w="11907" w:h="16840"/>
          <w:pgMar w:top="1440" w:right="1701" w:bottom="1440" w:left="1701" w:header="851" w:footer="992" w:gutter="0"/>
          <w:pgNumType w:fmt="decimal"/>
          <w:cols w:space="720" w:num="1"/>
          <w:docGrid w:linePitch="380" w:charSpace="-5735"/>
        </w:sectPr>
      </w:pPr>
      <w:r>
        <w:rPr>
          <w:rFonts w:hint="eastAsia" w:ascii="仿宋" w:hAnsi="仿宋" w:eastAsia="仿宋" w:cs="仿宋"/>
          <w:color w:val="000000" w:themeColor="text1"/>
          <w:sz w:val="24"/>
          <w:szCs w:val="24"/>
          <w:highlight w:val="none"/>
          <w14:textFill>
            <w14:solidFill>
              <w14:schemeClr w14:val="tx1"/>
            </w14:solidFill>
          </w14:textFill>
        </w:rPr>
        <w:t>（一）其他与项目有关的资料（自附）</w:t>
      </w:r>
    </w:p>
    <w:p>
      <w:pPr>
        <w:numPr>
          <w:ilvl w:val="0"/>
          <w:numId w:val="4"/>
        </w:num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lang w:val="en-US" w:eastAsia="zh-CN"/>
          <w14:textFill>
            <w14:solidFill>
              <w14:schemeClr w14:val="tx1"/>
            </w14:solidFill>
          </w14:textFill>
        </w:rPr>
        <w:t>经济部分</w:t>
      </w:r>
    </w:p>
    <w:p>
      <w:pPr>
        <w:tabs>
          <w:tab w:val="left" w:pos="6300"/>
        </w:tabs>
        <w:snapToGrid w:val="0"/>
        <w:spacing w:line="360" w:lineRule="auto"/>
        <w:ind w:firstLine="480" w:firstLineChars="200"/>
        <w:outlineLvl w:val="9"/>
        <w:rPr>
          <w:rFonts w:hint="eastAsia" w:ascii="仿宋" w:hAnsi="仿宋" w:eastAsia="仿宋" w:cs="仿宋"/>
          <w:bCs/>
          <w:i w:val="0"/>
          <w:iCs w:val="0"/>
          <w:color w:val="000000" w:themeColor="text1"/>
          <w:sz w:val="24"/>
          <w:szCs w:val="24"/>
          <w:highlight w:val="none"/>
          <w14:textFill>
            <w14:solidFill>
              <w14:schemeClr w14:val="tx1"/>
            </w14:solidFill>
          </w14:textFill>
        </w:rPr>
      </w:pPr>
      <w:r>
        <w:rPr>
          <w:rFonts w:hint="eastAsia" w:ascii="仿宋" w:hAnsi="仿宋" w:eastAsia="仿宋" w:cs="仿宋"/>
          <w:bCs/>
          <w:i w:val="0"/>
          <w:iCs w:val="0"/>
          <w:color w:val="000000" w:themeColor="text1"/>
          <w:sz w:val="24"/>
          <w:szCs w:val="24"/>
          <w:highlight w:val="none"/>
          <w14:textFill>
            <w14:solidFill>
              <w14:schemeClr w14:val="tx1"/>
            </w14:solidFill>
          </w14:textFill>
        </w:rPr>
        <w:t>（一）报价函</w:t>
      </w:r>
    </w:p>
    <w:p>
      <w:pPr>
        <w:tabs>
          <w:tab w:val="left" w:pos="6300"/>
        </w:tabs>
        <w:snapToGrid w:val="0"/>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报价函</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single"/>
          <w14:textFill>
            <w14:solidFill>
              <w14:schemeClr w14:val="tx1"/>
            </w14:solidFill>
          </w14:textFill>
        </w:rPr>
        <w:t>（</w:t>
      </w:r>
      <w:r>
        <w:rPr>
          <w:rFonts w:hint="eastAsia" w:ascii="仿宋" w:hAnsi="仿宋" w:eastAsia="仿宋" w:cs="仿宋"/>
          <w:i w:val="0"/>
          <w:iCs w:val="0"/>
          <w:color w:val="000000" w:themeColor="text1"/>
          <w:sz w:val="24"/>
          <w:szCs w:val="24"/>
          <w:highlight w:val="none"/>
          <w:u w:val="single"/>
          <w:lang w:val="en-US"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名称）</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我方收到____________________________（项目名称）的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文件，经详细研究，决定参加该项目的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1、愿意按照</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文件中的一切要求，提供本项目的技术服务，</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全费用综合单价报价为</w:t>
      </w:r>
      <w:r>
        <w:rPr>
          <w:rFonts w:hint="eastAsia" w:ascii="仿宋" w:hAnsi="仿宋" w:eastAsia="仿宋" w:cs="仿宋"/>
          <w:i w:val="0"/>
          <w:i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元/米</w:t>
      </w:r>
      <w:r>
        <w:rPr>
          <w:rFonts w:hint="eastAsia" w:ascii="仿宋" w:hAnsi="仿宋" w:eastAsia="仿宋" w:cs="仿宋"/>
          <w:i w:val="0"/>
          <w:iCs w:val="0"/>
          <w:color w:val="000000" w:themeColor="text1"/>
          <w:sz w:val="24"/>
          <w:szCs w:val="24"/>
          <w:highlight w:val="none"/>
          <w:u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2、我方现提交的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为：</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竞选文件</w:t>
      </w:r>
      <w:r>
        <w:rPr>
          <w:rFonts w:hint="eastAsia" w:ascii="仿宋" w:hAnsi="仿宋" w:eastAsia="仿宋" w:cs="仿宋"/>
          <w:i w:val="0"/>
          <w:iCs w:val="0"/>
          <w:color w:val="000000" w:themeColor="text1"/>
          <w:sz w:val="24"/>
          <w:szCs w:val="24"/>
          <w:highlight w:val="none"/>
          <w14:textFill>
            <w14:solidFill>
              <w14:schemeClr w14:val="tx1"/>
            </w14:solidFill>
          </w14:textFill>
        </w:rPr>
        <w:t>电子文档</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1</w:t>
      </w:r>
      <w:r>
        <w:rPr>
          <w:rFonts w:hint="eastAsia" w:ascii="仿宋" w:hAnsi="仿宋" w:eastAsia="仿宋" w:cs="仿宋"/>
          <w:i w:val="0"/>
          <w:iCs w:val="0"/>
          <w:color w:val="000000" w:themeColor="text1"/>
          <w:sz w:val="24"/>
          <w:szCs w:val="24"/>
          <w:highlight w:val="none"/>
          <w14:textFill>
            <w14:solidFill>
              <w14:schemeClr w14:val="tx1"/>
            </w14:solidFill>
          </w14:textFill>
        </w:rPr>
        <w:t>份</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，正</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本1份，副本2份</w:t>
      </w:r>
      <w:r>
        <w:rPr>
          <w:rFonts w:hint="eastAsia" w:ascii="仿宋" w:hAnsi="仿宋" w:eastAsia="仿宋" w:cs="仿宋"/>
          <w:i w:val="0"/>
          <w:iCs w:val="0"/>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3、我方承诺：本次</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的有效期为90天。</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4、我方完全理解和接受贵方</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文件的一切规定和要求及评审办法。</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5、在整个</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过程中，我方若有违规行为，接受按照重</w:t>
      </w:r>
      <w:r>
        <w:rPr>
          <w:rFonts w:hint="eastAsia" w:ascii="仿宋" w:hAnsi="仿宋" w:eastAsia="仿宋" w:cs="仿宋"/>
          <w:i w:val="0"/>
          <w:iCs w:val="0"/>
          <w:color w:val="000000" w:themeColor="text1"/>
          <w:sz w:val="24"/>
          <w:szCs w:val="24"/>
          <w:highlight w:val="none"/>
          <w:lang w:val="en-US" w:eastAsia="zh-CN"/>
          <w14:textFill>
            <w14:solidFill>
              <w14:schemeClr w14:val="tx1"/>
            </w14:solidFill>
          </w14:textFill>
        </w:rPr>
        <w:t>行采家</w:t>
      </w:r>
      <w:r>
        <w:rPr>
          <w:rFonts w:hint="eastAsia" w:ascii="仿宋" w:hAnsi="仿宋" w:eastAsia="仿宋" w:cs="仿宋"/>
          <w:i w:val="0"/>
          <w:iCs w:val="0"/>
          <w:color w:val="000000" w:themeColor="text1"/>
          <w:sz w:val="24"/>
          <w:szCs w:val="24"/>
          <w:highlight w:val="none"/>
          <w14:textFill>
            <w14:solidFill>
              <w14:schemeClr w14:val="tx1"/>
            </w14:solidFill>
          </w14:textFill>
        </w:rPr>
        <w:t>平台规定给予惩罚。</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6、我方若中选，将按照</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7、我方理解，最低报价不是成交的唯一条件。</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sectPr>
          <w:footerReference r:id="rId8" w:type="default"/>
          <w:pgSz w:w="11907" w:h="16840"/>
          <w:pgMar w:top="1440" w:right="1701" w:bottom="1440" w:left="1701" w:header="851" w:footer="992" w:gutter="0"/>
          <w:pgNumType w:fmt="decimal"/>
          <w:cols w:space="720" w:num="1"/>
          <w:docGrid w:linePitch="380" w:charSpace="-5735"/>
        </w:sect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年   月   日</w:t>
      </w:r>
    </w:p>
    <w:p>
      <w:pPr>
        <w:tabs>
          <w:tab w:val="left" w:pos="2895"/>
        </w:tabs>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（二）明细报价表</w:t>
      </w:r>
    </w:p>
    <w:p>
      <w:pPr>
        <w:tabs>
          <w:tab w:val="left" w:pos="2975"/>
          <w:tab w:val="center" w:pos="4765"/>
        </w:tabs>
        <w:spacing w:line="360" w:lineRule="auto"/>
        <w:jc w:val="left"/>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ab/>
      </w:r>
      <w:r>
        <w:rPr>
          <w:rFonts w:hint="eastAsia" w:ascii="仿宋" w:hAnsi="仿宋" w:eastAsia="仿宋" w:cs="仿宋"/>
          <w:b/>
          <w:i w:val="0"/>
          <w:iCs w:val="0"/>
          <w:color w:val="000000" w:themeColor="text1"/>
          <w:sz w:val="24"/>
          <w:szCs w:val="24"/>
          <w:highlight w:val="none"/>
          <w14:textFill>
            <w14:solidFill>
              <w14:schemeClr w14:val="tx1"/>
            </w14:solidFill>
          </w14:textFill>
        </w:rPr>
        <w:tab/>
      </w:r>
      <w:r>
        <w:rPr>
          <w:rFonts w:hint="eastAsia" w:ascii="仿宋" w:hAnsi="仿宋" w:eastAsia="仿宋" w:cs="仿宋"/>
          <w:b/>
          <w:i w:val="0"/>
          <w:iCs w:val="0"/>
          <w:color w:val="000000" w:themeColor="text1"/>
          <w:sz w:val="24"/>
          <w:szCs w:val="24"/>
          <w:highlight w:val="none"/>
          <w14:textFill>
            <w14:solidFill>
              <w14:schemeClr w14:val="tx1"/>
            </w14:solidFill>
          </w14:textFill>
        </w:rPr>
        <w:t>明细报价表</w:t>
      </w:r>
    </w:p>
    <w:tbl>
      <w:tblPr>
        <w:tblStyle w:val="20"/>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序号</w:t>
            </w:r>
          </w:p>
        </w:tc>
        <w:tc>
          <w:tcPr>
            <w:tcW w:w="1695"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名称</w:t>
            </w:r>
          </w:p>
        </w:tc>
        <w:tc>
          <w:tcPr>
            <w:tcW w:w="340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相关信息</w:t>
            </w:r>
          </w:p>
        </w:tc>
        <w:tc>
          <w:tcPr>
            <w:tcW w:w="134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数量</w:t>
            </w:r>
          </w:p>
        </w:tc>
        <w:tc>
          <w:tcPr>
            <w:tcW w:w="134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单价</w:t>
            </w:r>
          </w:p>
        </w:tc>
        <w:tc>
          <w:tcPr>
            <w:tcW w:w="1344" w:type="dxa"/>
            <w:vAlign w:val="center"/>
          </w:tcPr>
          <w:p>
            <w:pPr>
              <w:spacing w:line="360" w:lineRule="auto"/>
              <w:jc w:val="center"/>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r>
              <w:rPr>
                <w:rFonts w:hint="eastAsia" w:ascii="仿宋" w:hAnsi="仿宋" w:eastAsia="仿宋" w:cs="仿宋"/>
                <w:b/>
                <w:i w:val="0"/>
                <w:iCs w:val="0"/>
                <w:color w:val="000000" w:themeColor="text1"/>
                <w:sz w:val="24"/>
                <w:szCs w:val="24"/>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2111</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22</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13</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4</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5</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6</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7</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8</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人工费</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9</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各种税费</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10</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其他费用</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11</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340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w:t>
            </w: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c>
          <w:tcPr>
            <w:tcW w:w="1344" w:type="dxa"/>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360" w:lineRule="auto"/>
              <w:ind w:left="392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12</w:t>
            </w:r>
          </w:p>
        </w:tc>
        <w:tc>
          <w:tcPr>
            <w:tcW w:w="1695" w:type="dxa"/>
            <w:vAlign w:val="center"/>
          </w:tcPr>
          <w:p>
            <w:pPr>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总计</w:t>
            </w:r>
          </w:p>
        </w:tc>
        <w:tc>
          <w:tcPr>
            <w:tcW w:w="7436" w:type="dxa"/>
            <w:gridSpan w:val="4"/>
          </w:tcPr>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tc>
      </w:tr>
    </w:tbl>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注：本表可根据项目实际情况调整，并逐页盖章。</w:t>
      </w:r>
    </w:p>
    <w:p>
      <w:pPr>
        <w:pStyle w:val="16"/>
        <w:spacing w:line="360" w:lineRule="auto"/>
        <w:ind w:firstLine="48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16"/>
        <w:spacing w:line="360" w:lineRule="auto"/>
        <w:ind w:firstLine="48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spacing w:line="360" w:lineRule="auto"/>
        <w:ind w:right="480" w:firstLine="6480" w:firstLineChars="27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年     月    日</w:t>
      </w:r>
    </w:p>
    <w:p>
      <w:pPr>
        <w:spacing w:line="360" w:lineRule="auto"/>
        <w:ind w:firstLine="420"/>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sectPr>
          <w:headerReference r:id="rId9" w:type="default"/>
          <w:footerReference r:id="rId10" w:type="default"/>
          <w:pgSz w:w="11907" w:h="16840"/>
          <w:pgMar w:top="1134" w:right="1418" w:bottom="1134" w:left="1418" w:header="964" w:footer="992" w:gutter="0"/>
          <w:pgNumType w:fmt="decimal"/>
          <w:cols w:space="720" w:num="1"/>
          <w:docGrid w:linePitch="312" w:charSpace="0"/>
        </w:sectPr>
      </w:pPr>
    </w:p>
    <w:p>
      <w:pPr>
        <w:spacing w:before="0" w:after="0"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bookmarkStart w:id="130" w:name="_Toc3192"/>
      <w:bookmarkStart w:id="131" w:name="_Toc487204798"/>
      <w:bookmarkStart w:id="132" w:name="_Toc486608278"/>
      <w:bookmarkStart w:id="133" w:name="_Toc9090"/>
      <w:bookmarkStart w:id="134" w:name="_Toc486585241"/>
      <w:r>
        <w:rPr>
          <w:rFonts w:hint="eastAsia" w:ascii="仿宋" w:hAnsi="仿宋" w:eastAsia="仿宋" w:cs="仿宋"/>
          <w:color w:val="000000" w:themeColor="text1"/>
          <w:sz w:val="24"/>
          <w:szCs w:val="24"/>
          <w:highlight w:val="none"/>
          <w14:textFill>
            <w14:solidFill>
              <w14:schemeClr w14:val="tx1"/>
            </w14:solidFill>
          </w14:textFill>
        </w:rPr>
        <w:t>二、技术部分</w:t>
      </w:r>
      <w:bookmarkEnd w:id="130"/>
      <w:bookmarkEnd w:id="131"/>
      <w:bookmarkEnd w:id="132"/>
      <w:bookmarkEnd w:id="133"/>
      <w:bookmarkEnd w:id="134"/>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（一）技术应答（格式自拟）</w:t>
      </w: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（二）技术响应偏离表</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2658" w:type="dxa"/>
            <w:vAlign w:val="center"/>
          </w:tcPr>
          <w:p>
            <w:pPr>
              <w:tabs>
                <w:tab w:val="left" w:pos="6300"/>
              </w:tabs>
              <w:snapToGrid w:val="0"/>
              <w:spacing w:line="360" w:lineRule="auto"/>
              <w:ind w:firstLine="482" w:firstLineChars="200"/>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项目</w:t>
            </w:r>
            <w:r>
              <w:rPr>
                <w:rFonts w:hint="eastAsia" w:ascii="仿宋" w:hAnsi="仿宋" w:eastAsia="仿宋" w:cs="仿宋"/>
                <w:b/>
                <w:bCs/>
                <w:color w:val="000000" w:themeColor="text1"/>
                <w:sz w:val="24"/>
                <w:highlight w:val="none"/>
                <w14:textFill>
                  <w14:solidFill>
                    <w14:schemeClr w14:val="tx1"/>
                  </w14:solidFill>
                </w14:textFill>
              </w:rPr>
              <w:t>需求</w:t>
            </w:r>
          </w:p>
        </w:tc>
        <w:tc>
          <w:tcPr>
            <w:tcW w:w="2759" w:type="dxa"/>
            <w:vAlign w:val="center"/>
          </w:tcPr>
          <w:p>
            <w:pPr>
              <w:tabs>
                <w:tab w:val="left" w:pos="6300"/>
              </w:tabs>
              <w:snapToGrid w:val="0"/>
              <w:spacing w:line="360" w:lineRule="auto"/>
              <w:ind w:firstLine="482" w:firstLineChars="200"/>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响应情况</w:t>
            </w:r>
          </w:p>
        </w:tc>
        <w:tc>
          <w:tcPr>
            <w:tcW w:w="2067" w:type="dxa"/>
            <w:vAlign w:val="center"/>
          </w:tcPr>
          <w:p>
            <w:pPr>
              <w:tabs>
                <w:tab w:val="left" w:pos="6300"/>
              </w:tabs>
              <w:snapToGrid w:val="0"/>
              <w:spacing w:line="360" w:lineRule="auto"/>
              <w:ind w:firstLine="482" w:firstLineChars="200"/>
              <w:jc w:val="center"/>
              <w:outlineLvl w:val="9"/>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bidi w:val="0"/>
              <w:spacing w:line="360" w:lineRule="auto"/>
              <w:outlineLvl w:val="9"/>
              <w:rPr>
                <w:rFonts w:hint="eastAsia" w:ascii="仿宋" w:hAnsi="仿宋" w:eastAsia="仿宋" w:cs="仿宋"/>
                <w:color w:val="000000" w:themeColor="text1"/>
                <w:highlight w:val="none"/>
                <w14:textFill>
                  <w14:solidFill>
                    <w14:schemeClr w14:val="tx1"/>
                  </w14:solidFill>
                </w14:textFill>
              </w:rPr>
            </w:pPr>
            <w:bookmarkStart w:id="135" w:name="_Toc30143"/>
            <w:bookmarkStart w:id="136" w:name="_Toc8080"/>
            <w:r>
              <w:rPr>
                <w:rFonts w:hint="eastAsia" w:ascii="仿宋" w:hAnsi="仿宋" w:eastAsia="仿宋" w:cs="仿宋"/>
                <w:color w:val="000000" w:themeColor="text1"/>
                <w:sz w:val="24"/>
                <w:highlight w:val="none"/>
                <w14:textFill>
                  <w14:solidFill>
                    <w14:schemeClr w14:val="tx1"/>
                  </w14:solidFill>
                </w14:textFill>
              </w:rPr>
              <w:t>提醒：请注明技术参数或具体内容</w:t>
            </w:r>
            <w:bookmarkEnd w:id="135"/>
            <w:bookmarkEnd w:id="136"/>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658"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75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c>
          <w:tcPr>
            <w:tcW w:w="2067"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1"/>
                <w:highlight w:val="none"/>
                <w14:textFill>
                  <w14:solidFill>
                    <w14:schemeClr w14:val="tx1"/>
                  </w14:solidFill>
                </w14:textFill>
              </w:rPr>
            </w:pPr>
          </w:p>
        </w:tc>
      </w:tr>
    </w:tbl>
    <w:p>
      <w:pPr>
        <w:spacing w:line="360" w:lineRule="auto"/>
        <w:ind w:firstLine="600" w:firstLineChars="250"/>
        <w:outlineLvl w:val="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600" w:firstLineChars="2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                                      法定代表人授权代表：</w:t>
      </w:r>
    </w:p>
    <w:p>
      <w:pPr>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720" w:firstLineChars="30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公章）                               （签字或盖章）</w:t>
      </w:r>
    </w:p>
    <w:p>
      <w:pPr>
        <w:tabs>
          <w:tab w:val="left" w:pos="6300"/>
        </w:tabs>
        <w:snapToGrid w:val="0"/>
        <w:spacing w:line="360" w:lineRule="auto"/>
        <w:ind w:firstLine="57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300"/>
        </w:tabs>
        <w:snapToGrid w:val="0"/>
        <w:spacing w:line="360" w:lineRule="auto"/>
        <w:ind w:firstLine="570"/>
        <w:jc w:val="right"/>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pPr>
        <w:spacing w:line="360" w:lineRule="auto"/>
        <w:outlineLvl w:val="9"/>
        <w:rPr>
          <w:rFonts w:hint="eastAsia" w:ascii="仿宋" w:hAnsi="仿宋" w:eastAsia="仿宋" w:cs="仿宋"/>
          <w:b/>
          <w:i w:val="0"/>
          <w:iCs w:val="0"/>
          <w:color w:val="000000" w:themeColor="text1"/>
          <w:sz w:val="24"/>
          <w:szCs w:val="24"/>
          <w:highlight w:val="none"/>
          <w14:textFill>
            <w14:solidFill>
              <w14:schemeClr w14:val="tx1"/>
            </w14:solidFill>
          </w14:textFill>
        </w:rPr>
      </w:pPr>
    </w:p>
    <w:p>
      <w:pPr>
        <w:spacing w:before="0" w:after="0" w:line="360" w:lineRule="auto"/>
        <w:jc w:val="lef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ind w:firstLine="240" w:firstLine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1.本表即为对本项目“第二篇 项目服务需求”中所列要求进行比较和响应；</w:t>
      </w:r>
    </w:p>
    <w:p>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2.该表必须按照</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要求逐条如实填写，“响应情况”中必须列出具体数值或内容，否则将视为不满足</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要求；根据响应情况在“差异说明”项填写正偏离或负偏离及原因，完全符合的填写“无差异”，未按要求填写的按无效响应处理；</w:t>
      </w:r>
    </w:p>
    <w:p>
      <w:pPr>
        <w:tabs>
          <w:tab w:val="left" w:pos="6300"/>
        </w:tabs>
        <w:snapToGrid w:val="0"/>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3.该表可扩展，并逐页签字</w:t>
      </w:r>
      <w:r>
        <w:rPr>
          <w:rFonts w:hint="eastAsia" w:ascii="仿宋" w:hAnsi="仿宋" w:eastAsia="仿宋" w:cs="仿宋"/>
          <w:color w:val="000000" w:themeColor="text1"/>
          <w:sz w:val="24"/>
          <w:szCs w:val="24"/>
          <w:highlight w:val="none"/>
          <w:lang w:val="en-US" w:eastAsia="zh-CN"/>
          <w14:textFill>
            <w14:solidFill>
              <w14:schemeClr w14:val="tx1"/>
            </w14:solidFill>
          </w14:textFill>
        </w:rPr>
        <w:t>或</w:t>
      </w:r>
      <w:r>
        <w:rPr>
          <w:rFonts w:hint="eastAsia" w:ascii="仿宋" w:hAnsi="仿宋" w:eastAsia="仿宋" w:cs="仿宋"/>
          <w:color w:val="000000" w:themeColor="text1"/>
          <w:sz w:val="24"/>
          <w:szCs w:val="24"/>
          <w:highlight w:val="none"/>
          <w14:textFill>
            <w14:solidFill>
              <w14:schemeClr w14:val="tx1"/>
            </w14:solidFill>
          </w14:textFill>
        </w:rPr>
        <w:t>盖</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公章。</w:t>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三、商务部分</w:t>
      </w:r>
    </w:p>
    <w:p>
      <w:pPr>
        <w:spacing w:line="360" w:lineRule="auto"/>
        <w:ind w:firstLine="480" w:firstLineChars="200"/>
        <w:outlineLvl w:val="9"/>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（一）服务要求响应情况</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格式自拟</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（二）商务响应偏离表</w:t>
      </w:r>
    </w:p>
    <w:p>
      <w:pPr>
        <w:snapToGrid w:val="0"/>
        <w:spacing w:line="360" w:lineRule="auto"/>
        <w:jc w:val="center"/>
        <w:outlineLvl w:val="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商务响应偏离表</w:t>
      </w:r>
    </w:p>
    <w:tbl>
      <w:tblPr>
        <w:tblStyle w:val="20"/>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179"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项目需求</w:t>
            </w:r>
          </w:p>
        </w:tc>
        <w:tc>
          <w:tcPr>
            <w:tcW w:w="2434"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响应情况</w:t>
            </w:r>
          </w:p>
        </w:tc>
        <w:tc>
          <w:tcPr>
            <w:tcW w:w="2355" w:type="dxa"/>
            <w:vAlign w:val="center"/>
          </w:tcPr>
          <w:p>
            <w:pPr>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bidi w:val="0"/>
              <w:spacing w:line="360" w:lineRule="auto"/>
              <w:outlineLvl w:val="9"/>
              <w:rPr>
                <w:rFonts w:hint="eastAsia" w:ascii="仿宋" w:hAnsi="仿宋" w:eastAsia="仿宋" w:cs="仿宋"/>
                <w:color w:val="000000" w:themeColor="text1"/>
                <w:highlight w:val="none"/>
                <w14:textFill>
                  <w14:solidFill>
                    <w14:schemeClr w14:val="tx1"/>
                  </w14:solidFill>
                </w14:textFill>
              </w:rPr>
            </w:pPr>
            <w:bookmarkStart w:id="137" w:name="_Toc4318"/>
            <w:bookmarkStart w:id="138" w:name="_Toc25144"/>
            <w:r>
              <w:rPr>
                <w:rFonts w:hint="eastAsia" w:ascii="仿宋" w:hAnsi="仿宋" w:eastAsia="仿宋" w:cs="仿宋"/>
                <w:color w:val="000000" w:themeColor="text1"/>
                <w:sz w:val="24"/>
                <w:szCs w:val="24"/>
                <w:highlight w:val="none"/>
                <w14:textFill>
                  <w14:solidFill>
                    <w14:schemeClr w14:val="tx1"/>
                  </w14:solidFill>
                </w14:textFill>
              </w:rPr>
              <w:t>提醒：请注明具体内容</w:t>
            </w:r>
            <w:bookmarkEnd w:id="137"/>
            <w:bookmarkEnd w:id="138"/>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3179"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434"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c>
          <w:tcPr>
            <w:tcW w:w="2355" w:type="dxa"/>
            <w:vAlign w:val="center"/>
          </w:tcPr>
          <w:p>
            <w:pPr>
              <w:tabs>
                <w:tab w:val="left" w:pos="6300"/>
              </w:tabs>
              <w:snapToGrid w:val="0"/>
              <w:spacing w:line="360" w:lineRule="auto"/>
              <w:jc w:val="center"/>
              <w:outlineLvl w:val="9"/>
              <w:rPr>
                <w:rFonts w:hint="eastAsia" w:ascii="仿宋" w:hAnsi="仿宋" w:eastAsia="仿宋" w:cs="仿宋"/>
                <w:color w:val="000000" w:themeColor="text1"/>
                <w:sz w:val="21"/>
                <w:szCs w:val="24"/>
                <w:highlight w:val="none"/>
                <w14:textFill>
                  <w14:solidFill>
                    <w14:schemeClr w14:val="tx1"/>
                  </w14:solidFill>
                </w14:textFill>
              </w:rPr>
            </w:pPr>
          </w:p>
        </w:tc>
      </w:tr>
    </w:tbl>
    <w:p>
      <w:pPr>
        <w:tabs>
          <w:tab w:val="left" w:pos="6300"/>
        </w:tabs>
        <w:snapToGrid w:val="0"/>
        <w:spacing w:line="360" w:lineRule="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spacing w:line="360" w:lineRule="auto"/>
        <w:ind w:firstLine="600" w:firstLineChars="2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                                      法定代表人授权代表：</w:t>
      </w:r>
    </w:p>
    <w:p>
      <w:pPr>
        <w:spacing w:line="360" w:lineRule="auto"/>
        <w:ind w:firstLine="360" w:firstLineChars="1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公章）                                 （签字或盖章）</w:t>
      </w:r>
    </w:p>
    <w:p>
      <w:pPr>
        <w:tabs>
          <w:tab w:val="left" w:pos="6300"/>
        </w:tabs>
        <w:snapToGrid w:val="0"/>
        <w:spacing w:line="360" w:lineRule="auto"/>
        <w:ind w:firstLine="57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300"/>
        </w:tabs>
        <w:snapToGrid w:val="0"/>
        <w:spacing w:line="360" w:lineRule="auto"/>
        <w:ind w:firstLine="570"/>
        <w:jc w:val="right"/>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年     月     日</w:t>
      </w:r>
    </w:p>
    <w:p>
      <w:pPr>
        <w:spacing w:line="360" w:lineRule="auto"/>
        <w:ind w:firstLine="360" w:firstLineChars="150"/>
        <w:outlineLvl w:val="9"/>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注：</w:t>
      </w:r>
    </w:p>
    <w:p>
      <w:pPr>
        <w:spacing w:line="360" w:lineRule="auto"/>
        <w:ind w:firstLine="360" w:firstLineChars="1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1.本表即为对本项目“第三篇 项目商务需求”中所列要求进行比较和响应；</w:t>
      </w:r>
    </w:p>
    <w:p>
      <w:pPr>
        <w:spacing w:line="360" w:lineRule="auto"/>
        <w:ind w:firstLine="360" w:firstLineChars="150"/>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2.该表必须按照</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要求逐条如实填写，“</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项目需求”填写本文件“第三篇 项目商务需求”中所列要求的内容，“响应情况”填写竞标响应的内容，根据响应情况在“差异说明”项填写正偏离或负偏离及原因，完全符合的填写“无差异”，未按要求填写的按无效响应处理；</w:t>
      </w:r>
    </w:p>
    <w:p>
      <w:pPr>
        <w:spacing w:line="360" w:lineRule="auto"/>
        <w:ind w:firstLine="360" w:firstLineChars="15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3.该表可扩展，并逐页签字</w:t>
      </w:r>
      <w:r>
        <w:rPr>
          <w:rFonts w:hint="eastAsia" w:ascii="仿宋" w:hAnsi="仿宋" w:eastAsia="仿宋" w:cs="仿宋"/>
          <w:color w:val="000000" w:themeColor="text1"/>
          <w:sz w:val="24"/>
          <w:highlight w:val="none"/>
          <w:lang w:val="en-US" w:eastAsia="zh-CN"/>
          <w14:textFill>
            <w14:solidFill>
              <w14:schemeClr w14:val="tx1"/>
            </w14:solidFill>
          </w14:textFill>
        </w:rPr>
        <w:t>或</w:t>
      </w:r>
      <w:r>
        <w:rPr>
          <w:rFonts w:hint="eastAsia" w:ascii="仿宋" w:hAnsi="仿宋" w:eastAsia="仿宋" w:cs="仿宋"/>
          <w:color w:val="000000" w:themeColor="text1"/>
          <w:sz w:val="24"/>
          <w:highlight w:val="none"/>
          <w14:textFill>
            <w14:solidFill>
              <w14:schemeClr w14:val="tx1"/>
            </w14:solidFill>
          </w14:textFill>
        </w:rPr>
        <w:t>盖</w:t>
      </w:r>
      <w:r>
        <w:rPr>
          <w:rFonts w:hint="eastAsia" w:ascii="仿宋" w:hAnsi="仿宋" w:eastAsia="仿宋" w:cs="仿宋"/>
          <w:color w:val="000000" w:themeColor="text1"/>
          <w:sz w:val="24"/>
          <w:highlight w:val="none"/>
          <w:lang w:eastAsia="zh-CN"/>
          <w14:textFill>
            <w14:solidFill>
              <w14:schemeClr w14:val="tx1"/>
            </w14:solidFill>
          </w14:textFill>
        </w:rPr>
        <w:t>竞选人</w:t>
      </w:r>
      <w:r>
        <w:rPr>
          <w:rFonts w:hint="eastAsia" w:ascii="仿宋" w:hAnsi="仿宋" w:eastAsia="仿宋" w:cs="仿宋"/>
          <w:color w:val="000000" w:themeColor="text1"/>
          <w:sz w:val="24"/>
          <w:highlight w:val="none"/>
          <w14:textFill>
            <w14:solidFill>
              <w14:schemeClr w14:val="tx1"/>
            </w14:solidFill>
          </w14:textFill>
        </w:rPr>
        <w:t>公章。</w:t>
      </w: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color w:val="000000" w:themeColor="text1"/>
          <w:sz w:val="24"/>
          <w:szCs w:val="24"/>
          <w:highlight w:val="none"/>
          <w14:textFill>
            <w14:solidFill>
              <w14:schemeClr w14:val="tx1"/>
            </w14:solidFill>
          </w14:textFill>
        </w:rPr>
        <w:t>（三）其它优惠承诺（格式自定）</w:t>
      </w: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pStyle w:val="6"/>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四、资格条件及其他</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（一）法人营业执照（副本）或事业单位法人证书（副本）或个体工商户营业执照或有效的自然人身份证明或社会团体法人登记证书复印件</w:t>
      </w: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br w:type="page"/>
      </w:r>
    </w:p>
    <w:p>
      <w:pPr>
        <w:tabs>
          <w:tab w:val="left" w:pos="6300"/>
        </w:tabs>
        <w:snapToGrid w:val="0"/>
        <w:spacing w:line="360" w:lineRule="auto"/>
        <w:outlineLvl w:val="9"/>
        <w:rPr>
          <w:rFonts w:hint="eastAsia" w:ascii="仿宋" w:hAnsi="仿宋" w:eastAsia="仿宋" w:cs="仿宋"/>
          <w:b w:val="0"/>
          <w:bCs w:val="0"/>
          <w:i w:val="0"/>
          <w:iCs w:val="0"/>
          <w:color w:val="000000" w:themeColor="text1"/>
          <w:sz w:val="24"/>
          <w:szCs w:val="24"/>
          <w:highlight w:val="none"/>
          <w14:textFill>
            <w14:solidFill>
              <w14:schemeClr w14:val="tx1"/>
            </w14:solidFill>
          </w14:textFill>
        </w:rPr>
      </w:pPr>
      <w:bookmarkStart w:id="139" w:name="_Hlk27399531"/>
      <w:r>
        <w:rPr>
          <w:rFonts w:hint="eastAsia" w:ascii="仿宋" w:hAnsi="仿宋" w:eastAsia="仿宋" w:cs="仿宋"/>
          <w:b w:val="0"/>
          <w:bCs w:val="0"/>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 w:val="0"/>
          <w:bCs w:val="0"/>
          <w:i w:val="0"/>
          <w:i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t>法定代表人身份证明书（格式）</w:t>
      </w:r>
      <w:r>
        <w:rPr>
          <w:rFonts w:hint="eastAsia" w:ascii="仿宋" w:hAnsi="仿宋" w:eastAsia="仿宋" w:cs="仿宋"/>
          <w:b w:val="0"/>
          <w:bCs w:val="0"/>
          <w:i w:val="0"/>
          <w:i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14:textFill>
            <w14:solidFill>
              <w14:schemeClr w14:val="tx1"/>
            </w14:solidFill>
          </w14:textFill>
        </w:rPr>
        <w:t>法定代表人授权委托书（格式）（二选一）</w:t>
      </w:r>
    </w:p>
    <w:p>
      <w:pPr>
        <w:tabs>
          <w:tab w:val="left" w:pos="6300"/>
        </w:tabs>
        <w:snapToGrid w:val="0"/>
        <w:spacing w:line="360" w:lineRule="auto"/>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9"/>
        <w:rPr>
          <w:rFonts w:hint="eastAsia" w:ascii="仿宋" w:hAnsi="仿宋" w:eastAsia="仿宋" w:cs="仿宋"/>
          <w:b/>
          <w:bCs/>
          <w:i w:val="0"/>
          <w:iCs w:val="0"/>
          <w:color w:val="000000" w:themeColor="text1"/>
          <w:sz w:val="24"/>
          <w:szCs w:val="24"/>
          <w:highlight w:val="none"/>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法定代表人授权委托书</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致：</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名称）：</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（法定代表人名称）是</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名称）的法定代表人，特授权</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（被授权人姓名及身份证代码）电话</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代表我单位全权办理上述项目的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、签约等具体工作，并签署全部有关文件、协议及合同。</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我单位对被授权人的签字负全部责任。</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的撤销</w:t>
      </w:r>
      <w:r>
        <w:rPr>
          <w:rFonts w:hint="eastAsia" w:ascii="仿宋" w:hAnsi="仿宋" w:eastAsia="仿宋" w:cs="仿宋"/>
          <w:i w:val="0"/>
          <w:iCs w:val="0"/>
          <w:color w:val="000000" w:themeColor="text1"/>
          <w:sz w:val="24"/>
          <w:szCs w:val="24"/>
          <w:highlight w:val="none"/>
          <w14:textFill>
            <w14:solidFill>
              <w14:schemeClr w14:val="tx1"/>
            </w14:solidFill>
          </w14:textFill>
        </w:rPr>
        <w:t>而失效。</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被授权人：                                 法定代表人：</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（签字或盖章）                             （签字或盖章）</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（附：被授权人身份证正反面复印件）</w:t>
      </w:r>
    </w:p>
    <w:p>
      <w:pPr>
        <w:tabs>
          <w:tab w:val="left" w:pos="6300"/>
        </w:tabs>
        <w:snapToGrid w:val="0"/>
        <w:spacing w:line="360" w:lineRule="auto"/>
        <w:ind w:right="480" w:firstLine="570"/>
        <w:jc w:val="righ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tabs>
          <w:tab w:val="left" w:pos="6300"/>
        </w:tabs>
        <w:snapToGrid w:val="0"/>
        <w:spacing w:line="360" w:lineRule="auto"/>
        <w:ind w:right="480" w:firstLine="570"/>
        <w:jc w:val="righ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年   月   日</w:t>
      </w:r>
    </w:p>
    <w:p>
      <w:pPr>
        <w:tabs>
          <w:tab w:val="left" w:pos="6300"/>
        </w:tabs>
        <w:snapToGrid w:val="0"/>
        <w:spacing w:line="360" w:lineRule="auto"/>
        <w:ind w:right="-1"/>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   </w:t>
      </w:r>
    </w:p>
    <w:p>
      <w:pPr>
        <w:tabs>
          <w:tab w:val="left" w:pos="6300"/>
        </w:tabs>
        <w:snapToGrid w:val="0"/>
        <w:spacing w:line="360" w:lineRule="auto"/>
        <w:ind w:right="-1"/>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9"/>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14:textFill>
            <w14:solidFill>
              <w14:schemeClr w14:val="tx1"/>
            </w14:solidFill>
          </w14:textFill>
        </w:rPr>
        <w:t>法定代表人</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身份</w:t>
      </w:r>
      <w:r>
        <w:rPr>
          <w:rFonts w:hint="eastAsia" w:ascii="仿宋" w:hAnsi="仿宋" w:eastAsia="仿宋" w:cs="仿宋"/>
          <w:b/>
          <w:bCs/>
          <w:i w:val="0"/>
          <w:iCs w:val="0"/>
          <w:color w:val="000000" w:themeColor="text1"/>
          <w:sz w:val="24"/>
          <w:szCs w:val="24"/>
          <w:highlight w:val="none"/>
          <w14:textFill>
            <w14:solidFill>
              <w14:schemeClr w14:val="tx1"/>
            </w14:solidFill>
          </w14:textFill>
        </w:rPr>
        <w:t>证明</w:t>
      </w:r>
      <w:r>
        <w:rPr>
          <w:rFonts w:hint="eastAsia" w:ascii="仿宋" w:hAnsi="仿宋" w:eastAsia="仿宋" w:cs="仿宋"/>
          <w:b/>
          <w:bCs/>
          <w:i w:val="0"/>
          <w:iCs w:val="0"/>
          <w:color w:val="000000" w:themeColor="text1"/>
          <w:sz w:val="24"/>
          <w:szCs w:val="24"/>
          <w:highlight w:val="none"/>
          <w:lang w:val="en-US" w:eastAsia="zh-CN"/>
          <w14:textFill>
            <w14:solidFill>
              <w14:schemeClr w14:val="tx1"/>
            </w14:solidFill>
          </w14:textFill>
        </w:rPr>
        <w:t>书</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致：</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比选人</w:t>
      </w:r>
      <w:r>
        <w:rPr>
          <w:rFonts w:hint="eastAsia" w:ascii="仿宋" w:hAnsi="仿宋" w:eastAsia="仿宋" w:cs="仿宋"/>
          <w:i w:val="0"/>
          <w:iCs w:val="0"/>
          <w:color w:val="000000" w:themeColor="text1"/>
          <w:sz w:val="24"/>
          <w:szCs w:val="24"/>
          <w:highlight w:val="none"/>
          <w14:textFill>
            <w14:solidFill>
              <w14:schemeClr w14:val="tx1"/>
            </w14:solidFill>
          </w14:textFill>
        </w:rPr>
        <w:t>名称）：</w:t>
      </w:r>
    </w:p>
    <w:p>
      <w:pPr>
        <w:tabs>
          <w:tab w:val="left" w:pos="6300"/>
        </w:tabs>
        <w:snapToGrid w:val="0"/>
        <w:spacing w:line="360" w:lineRule="auto"/>
        <w:ind w:firstLine="480" w:firstLineChars="20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（法定代表人名称及身份证代码）是</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名称）的法定代表人，电话</w:t>
      </w:r>
      <w:r>
        <w:rPr>
          <w:rFonts w:hint="eastAsia" w:ascii="仿宋" w:hAnsi="仿宋" w:eastAsia="仿宋" w:cs="仿宋"/>
          <w:i w:val="0"/>
          <w:i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 w:val="0"/>
          <w:iCs w:val="0"/>
          <w:color w:val="000000" w:themeColor="text1"/>
          <w:sz w:val="24"/>
          <w:szCs w:val="24"/>
          <w:highlight w:val="none"/>
          <w14:textFill>
            <w14:solidFill>
              <w14:schemeClr w14:val="tx1"/>
            </w14:solidFill>
          </w14:textFill>
        </w:rPr>
        <w:t>代表我单位全权办理上述项目的</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比选</w:t>
      </w:r>
      <w:r>
        <w:rPr>
          <w:rFonts w:hint="eastAsia" w:ascii="仿宋" w:hAnsi="仿宋" w:eastAsia="仿宋" w:cs="仿宋"/>
          <w:i w:val="0"/>
          <w:iCs w:val="0"/>
          <w:color w:val="000000" w:themeColor="text1"/>
          <w:sz w:val="24"/>
          <w:szCs w:val="24"/>
          <w:highlight w:val="none"/>
          <w14:textFill>
            <w14:solidFill>
              <w14:schemeClr w14:val="tx1"/>
            </w14:solidFill>
          </w14:textFill>
        </w:rPr>
        <w:t>、签约等具体工作，并签署全部有关文件、协议及合同。签字负全部责任。</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 xml:space="preserve">法定代表人（签字或盖章）：                          </w:t>
      </w:r>
      <w:r>
        <w:rPr>
          <w:rFonts w:hint="eastAsia" w:ascii="仿宋" w:hAnsi="仿宋" w:eastAsia="仿宋" w:cs="仿宋"/>
          <w:i w:val="0"/>
          <w:iCs w:val="0"/>
          <w:color w:val="000000" w:themeColor="text1"/>
          <w:sz w:val="24"/>
          <w:szCs w:val="24"/>
          <w:highlight w:val="none"/>
          <w:lang w:eastAsia="zh-CN"/>
          <w14:textFill>
            <w14:solidFill>
              <w14:schemeClr w14:val="tx1"/>
            </w14:solidFill>
          </w14:textFill>
        </w:rPr>
        <w:t>竞选人</w:t>
      </w:r>
      <w:r>
        <w:rPr>
          <w:rFonts w:hint="eastAsia" w:ascii="仿宋" w:hAnsi="仿宋" w:eastAsia="仿宋" w:cs="仿宋"/>
          <w:i w:val="0"/>
          <w:iCs w:val="0"/>
          <w:color w:val="000000" w:themeColor="text1"/>
          <w:sz w:val="24"/>
          <w:szCs w:val="24"/>
          <w:highlight w:val="none"/>
          <w14:textFill>
            <w14:solidFill>
              <w14:schemeClr w14:val="tx1"/>
            </w14:solidFill>
          </w14:textFill>
        </w:rPr>
        <w:t>名称（公章）</w:t>
      </w:r>
    </w:p>
    <w:p>
      <w:pPr>
        <w:tabs>
          <w:tab w:val="left" w:pos="6300"/>
        </w:tabs>
        <w:snapToGrid w:val="0"/>
        <w:spacing w:line="360" w:lineRule="auto"/>
        <w:ind w:right="360" w:firstLine="570"/>
        <w:jc w:val="right"/>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年   月   日</w:t>
      </w:r>
    </w:p>
    <w:p>
      <w:pPr>
        <w:tabs>
          <w:tab w:val="left" w:pos="6300"/>
        </w:tabs>
        <w:snapToGrid w:val="0"/>
        <w:spacing w:line="360" w:lineRule="auto"/>
        <w:ind w:firstLine="570"/>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sz w:val="24"/>
          <w:szCs w:val="24"/>
          <w:highlight w:val="none"/>
          <w14:textFill>
            <w14:solidFill>
              <w14:schemeClr w14:val="tx1"/>
            </w14:solidFill>
          </w14:textFill>
        </w:rPr>
        <w:t>（附：法定代表人身份证正反面复印件）</w:t>
      </w:r>
    </w:p>
    <w:p>
      <w:pPr>
        <w:tabs>
          <w:tab w:val="left" w:pos="6300"/>
        </w:tabs>
        <w:snapToGrid w:val="0"/>
        <w:spacing w:line="500" w:lineRule="exact"/>
        <w:ind w:right="480" w:firstLine="570"/>
        <w:jc w:val="left"/>
        <w:rPr>
          <w:rFonts w:hint="eastAsia" w:ascii="方正仿宋_GBK" w:hAnsi="仿宋" w:eastAsia="方正仿宋_GBK"/>
          <w:color w:val="000000" w:themeColor="text1"/>
          <w:sz w:val="24"/>
          <w:highlight w:val="none"/>
          <w14:textFill>
            <w14:solidFill>
              <w14:schemeClr w14:val="tx1"/>
            </w14:solidFill>
          </w14:textFill>
        </w:rPr>
      </w:pPr>
      <w:r>
        <w:rPr>
          <w:rFonts w:hint="eastAsia" w:ascii="方正仿宋_GBK" w:hAnsi="仿宋" w:eastAsia="方正仿宋_GBK"/>
          <w:color w:val="000000" w:themeColor="text1"/>
          <w:sz w:val="24"/>
          <w:highlight w:val="none"/>
          <w:lang w:val="en-US" w:eastAsia="zh-CN"/>
          <w14:textFill>
            <w14:solidFill>
              <w14:schemeClr w14:val="tx1"/>
            </w14:solidFill>
          </w14:textFill>
        </w:rPr>
        <w:t>注：</w:t>
      </w:r>
      <w:r>
        <w:rPr>
          <w:rFonts w:hint="eastAsia" w:ascii="方正仿宋_GBK" w:hAnsi="仿宋" w:eastAsia="方正仿宋_GBK"/>
          <w:color w:val="000000" w:themeColor="text1"/>
          <w:sz w:val="24"/>
          <w:highlight w:val="none"/>
          <w14:textFill>
            <w14:solidFill>
              <w14:schemeClr w14:val="tx1"/>
            </w14:solidFill>
          </w14:textFill>
        </w:rPr>
        <w:t>若为法定代表人办理并签署</w:t>
      </w:r>
      <w:r>
        <w:rPr>
          <w:rFonts w:hint="eastAsia" w:ascii="方正仿宋_GBK" w:hAnsi="仿宋" w:eastAsia="方正仿宋_GBK"/>
          <w:color w:val="000000" w:themeColor="text1"/>
          <w:sz w:val="24"/>
          <w:highlight w:val="none"/>
          <w:lang w:eastAsia="zh-CN"/>
          <w14:textFill>
            <w14:solidFill>
              <w14:schemeClr w14:val="tx1"/>
            </w14:solidFill>
          </w14:textFill>
        </w:rPr>
        <w:t>竞选文件</w:t>
      </w:r>
      <w:r>
        <w:rPr>
          <w:rFonts w:hint="eastAsia" w:ascii="方正仿宋_GBK" w:hAnsi="仿宋" w:eastAsia="方正仿宋_GBK"/>
          <w:color w:val="000000" w:themeColor="text1"/>
          <w:sz w:val="24"/>
          <w:highlight w:val="none"/>
          <w14:textFill>
            <w14:solidFill>
              <w14:schemeClr w14:val="tx1"/>
            </w14:solidFill>
          </w14:textFill>
        </w:rPr>
        <w:t>的，</w:t>
      </w:r>
      <w:r>
        <w:rPr>
          <w:rFonts w:hint="eastAsia" w:ascii="方正仿宋_GBK" w:hAnsi="仿宋" w:eastAsia="方正仿宋_GBK"/>
          <w:color w:val="000000" w:themeColor="text1"/>
          <w:sz w:val="24"/>
          <w:highlight w:val="none"/>
          <w:lang w:val="en-US" w:eastAsia="zh-CN"/>
          <w14:textFill>
            <w14:solidFill>
              <w14:schemeClr w14:val="tx1"/>
            </w14:solidFill>
          </w14:textFill>
        </w:rPr>
        <w:t>可</w:t>
      </w:r>
      <w:r>
        <w:rPr>
          <w:rFonts w:hint="eastAsia" w:ascii="方正仿宋_GBK" w:hAnsi="仿宋" w:eastAsia="方正仿宋_GBK"/>
          <w:color w:val="000000" w:themeColor="text1"/>
          <w:sz w:val="24"/>
          <w:highlight w:val="none"/>
          <w14:textFill>
            <w14:solidFill>
              <w14:schemeClr w14:val="tx1"/>
            </w14:solidFill>
          </w14:textFill>
        </w:rPr>
        <w:t>不提供法定代表人授权委托书。</w:t>
      </w: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）基本资格条件承诺函</w:t>
      </w:r>
    </w:p>
    <w:p>
      <w:pPr>
        <w:widowControl/>
        <w:spacing w:line="360" w:lineRule="auto"/>
        <w:jc w:val="left"/>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基本资格条件承诺函</w:t>
      </w:r>
    </w:p>
    <w:p>
      <w:pPr>
        <w:tabs>
          <w:tab w:val="left" w:pos="6300"/>
        </w:tabs>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比选人名称</w:t>
      </w:r>
      <w:r>
        <w:rPr>
          <w:rFonts w:hint="eastAsia" w:ascii="仿宋" w:hAnsi="仿宋" w:eastAsia="仿宋" w:cs="仿宋"/>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名称）郑重承诺：</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1.我方具有良好的商业信誉和健全的财务会计制度，具有履行合同所必需的设备和专业技术能力，具</w:t>
      </w:r>
      <w:r>
        <w:rPr>
          <w:rFonts w:hint="eastAsia" w:ascii="仿宋" w:hAnsi="仿宋" w:eastAsia="仿宋" w:cs="仿宋"/>
          <w:color w:val="000000" w:themeColor="text1"/>
          <w:sz w:val="24"/>
          <w:szCs w:val="24"/>
          <w:highlight w:val="none"/>
          <w:lang w:val="zh-CN"/>
          <w14:textFill>
            <w14:solidFill>
              <w14:schemeClr w14:val="tx1"/>
            </w14:solidFill>
          </w14:textFill>
        </w:rPr>
        <w:t>有依法缴纳税收和社会保障金的良好记录</w:t>
      </w:r>
      <w:r>
        <w:rPr>
          <w:rFonts w:hint="eastAsia" w:ascii="仿宋" w:hAnsi="仿宋" w:eastAsia="仿宋" w:cs="仿宋"/>
          <w:color w:val="000000" w:themeColor="text1"/>
          <w:sz w:val="24"/>
          <w:szCs w:val="24"/>
          <w:highlight w:val="none"/>
          <w14:textFill>
            <w14:solidFill>
              <w14:schemeClr w14:val="tx1"/>
            </w14:solidFill>
          </w14:textFill>
        </w:rPr>
        <w:t>，参加本项目</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活动前三年内无重大违法活动记录。</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3.我方在采购项目评审（评标）环节结束后，随时接受</w:t>
      </w:r>
      <w:r>
        <w:rPr>
          <w:rFonts w:hint="eastAsia" w:ascii="仿宋" w:hAnsi="仿宋" w:eastAsia="仿宋" w:cs="仿宋"/>
          <w:color w:val="000000" w:themeColor="text1"/>
          <w:sz w:val="24"/>
          <w:szCs w:val="24"/>
          <w:highlight w:val="none"/>
          <w:lang w:eastAsia="zh-CN"/>
          <w14:textFill>
            <w14:solidFill>
              <w14:schemeClr w14:val="tx1"/>
            </w14:solidFill>
          </w14:textFill>
        </w:rPr>
        <w:t>比选人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比选代理机构</w:t>
      </w:r>
      <w:r>
        <w:rPr>
          <w:rFonts w:hint="eastAsia" w:ascii="仿宋" w:hAnsi="仿宋" w:eastAsia="仿宋" w:cs="仿宋"/>
          <w:color w:val="000000" w:themeColor="text1"/>
          <w:sz w:val="24"/>
          <w:szCs w:val="24"/>
          <w:highlight w:val="none"/>
          <w14:textFill>
            <w14:solidFill>
              <w14:schemeClr w14:val="tx1"/>
            </w14:solidFill>
          </w14:textFill>
        </w:rPr>
        <w:t>的检查验证，配合提供相关证明材料，证明符合</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规定的</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基本资格条件。</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我方对以上承诺负全部法律责任。</w:t>
      </w:r>
    </w:p>
    <w:p>
      <w:pPr>
        <w:tabs>
          <w:tab w:val="left" w:pos="6300"/>
        </w:tabs>
        <w:snapToGrid w:val="0"/>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特此承诺。</w:t>
      </w:r>
    </w:p>
    <w:p>
      <w:pPr>
        <w:tabs>
          <w:tab w:val="left" w:pos="6300"/>
        </w:tabs>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tabs>
          <w:tab w:val="left" w:pos="6300"/>
        </w:tabs>
        <w:snapToGrid w:val="0"/>
        <w:spacing w:line="360" w:lineRule="auto"/>
        <w:ind w:right="424" w:firstLine="570"/>
        <w:jc w:val="righ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竞选人</w:t>
      </w:r>
      <w:r>
        <w:rPr>
          <w:rFonts w:hint="eastAsia" w:ascii="仿宋" w:hAnsi="仿宋" w:eastAsia="仿宋" w:cs="仿宋"/>
          <w:color w:val="000000" w:themeColor="text1"/>
          <w:sz w:val="24"/>
          <w:szCs w:val="24"/>
          <w:highlight w:val="none"/>
          <w14:textFill>
            <w14:solidFill>
              <w14:schemeClr w14:val="tx1"/>
            </w14:solidFill>
          </w14:textFill>
        </w:rPr>
        <w:t>公章）</w:t>
      </w:r>
    </w:p>
    <w:p>
      <w:pPr>
        <w:tabs>
          <w:tab w:val="left" w:pos="6300"/>
        </w:tabs>
        <w:snapToGrid w:val="0"/>
        <w:spacing w:line="360" w:lineRule="auto"/>
        <w:ind w:right="480" w:firstLine="570"/>
        <w:jc w:val="right"/>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月   日</w:t>
      </w:r>
    </w:p>
    <w:p>
      <w:pPr>
        <w:tabs>
          <w:tab w:val="left" w:pos="6300"/>
        </w:tabs>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napToGrid w:val="0"/>
        <w:spacing w:line="360" w:lineRule="auto"/>
        <w:outlineLvl w:val="9"/>
        <w:rPr>
          <w:rFonts w:hint="eastAsia" w:ascii="仿宋" w:hAnsi="仿宋" w:eastAsia="仿宋" w:cs="仿宋"/>
          <w:color w:val="000000" w:themeColor="text1"/>
          <w:sz w:val="24"/>
          <w:szCs w:val="24"/>
          <w:highlight w:val="none"/>
          <w14:textFill>
            <w14:solidFill>
              <w14:schemeClr w14:val="tx1"/>
            </w14:solidFill>
          </w14:textFill>
        </w:rPr>
      </w:pPr>
    </w:p>
    <w:p>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napToGrid w:val="0"/>
        <w:spacing w:line="360" w:lineRule="auto"/>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）特定资格条件证书或证明文件</w:t>
      </w:r>
    </w:p>
    <w:p>
      <w:pPr>
        <w:spacing w:line="360" w:lineRule="auto"/>
        <w:outlineLvl w:val="9"/>
        <w:rPr>
          <w:rFonts w:hint="eastAsia" w:ascii="仿宋" w:hAnsi="仿宋" w:eastAsia="仿宋" w:cs="仿宋"/>
          <w:color w:val="000000" w:themeColor="text1"/>
          <w:highlight w:val="none"/>
          <w14:textFill>
            <w14:solidFill>
              <w14:schemeClr w14:val="tx1"/>
            </w14:solidFill>
          </w14:textFill>
        </w:rPr>
      </w:pPr>
    </w:p>
    <w:p>
      <w:pPr>
        <w:tabs>
          <w:tab w:val="left" w:pos="6300"/>
        </w:tabs>
        <w:snapToGrid w:val="0"/>
        <w:spacing w:line="360" w:lineRule="auto"/>
        <w:ind w:right="480" w:firstLine="57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p>
    <w:p>
      <w:pPr>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spacing w:line="360" w:lineRule="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五、其他应提供的资料</w:t>
      </w:r>
    </w:p>
    <w:p>
      <w:pPr>
        <w:spacing w:line="360" w:lineRule="auto"/>
        <w:ind w:firstLine="480" w:firstLineChars="200"/>
        <w:outlineLvl w:val="9"/>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（一）其他与项目有关的资料（自附）</w:t>
      </w: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p>
      <w:pPr>
        <w:numPr>
          <w:ilvl w:val="0"/>
          <w:numId w:val="0"/>
        </w:numPr>
        <w:tabs>
          <w:tab w:val="left" w:pos="6300"/>
        </w:tabs>
        <w:snapToGrid w:val="0"/>
        <w:spacing w:line="360" w:lineRule="auto"/>
        <w:ind w:right="480" w:rightChars="0"/>
        <w:jc w:val="center"/>
        <w:outlineLvl w:val="9"/>
        <w:rPr>
          <w:rFonts w:hint="eastAsia" w:ascii="仿宋" w:hAnsi="仿宋" w:eastAsia="仿宋" w:cs="仿宋"/>
          <w:i w:val="0"/>
          <w:iCs w:val="0"/>
          <w:color w:val="000000" w:themeColor="text1"/>
          <w:sz w:val="32"/>
          <w:szCs w:val="32"/>
          <w:highlight w:val="none"/>
          <w14:textFill>
            <w14:solidFill>
              <w14:schemeClr w14:val="tx1"/>
            </w14:solidFill>
          </w14:textFill>
        </w:rPr>
      </w:pPr>
      <w:r>
        <w:rPr>
          <w:rFonts w:hint="eastAsia" w:ascii="仿宋" w:hAnsi="仿宋" w:eastAsia="仿宋" w:cs="仿宋"/>
          <w:i w:val="0"/>
          <w:iCs w:val="0"/>
          <w:color w:val="000000" w:themeColor="text1"/>
          <w:sz w:val="32"/>
          <w:szCs w:val="32"/>
          <w:highlight w:val="none"/>
          <w14:textFill>
            <w14:solidFill>
              <w14:schemeClr w14:val="tx1"/>
            </w14:solidFill>
          </w14:textFill>
        </w:rPr>
        <w:t>（结束）</w:t>
      </w:r>
    </w:p>
    <w:bookmarkEnd w:id="139"/>
    <w:p>
      <w:pPr>
        <w:tabs>
          <w:tab w:val="left" w:pos="6300"/>
        </w:tabs>
        <w:snapToGrid w:val="0"/>
        <w:spacing w:line="360" w:lineRule="auto"/>
        <w:ind w:right="480"/>
        <w:jc w:val="both"/>
        <w:outlineLvl w:val="9"/>
        <w:rPr>
          <w:rFonts w:hint="eastAsia" w:ascii="仿宋" w:hAnsi="仿宋" w:eastAsia="仿宋" w:cs="仿宋"/>
          <w:i w:val="0"/>
          <w:iCs w:val="0"/>
          <w:color w:val="000000" w:themeColor="text1"/>
          <w:sz w:val="24"/>
          <w:szCs w:val="24"/>
          <w:highlight w:val="none"/>
          <w14:textFill>
            <w14:solidFill>
              <w14:schemeClr w14:val="tx1"/>
            </w14:solidFill>
          </w14:textFill>
        </w:rPr>
      </w:pPr>
    </w:p>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BB1B3"/>
    <w:multiLevelType w:val="singleLevel"/>
    <w:tmpl w:val="D4DBB1B3"/>
    <w:lvl w:ilvl="0" w:tentative="0">
      <w:start w:val="1"/>
      <w:numFmt w:val="decimal"/>
      <w:suff w:val="nothing"/>
      <w:lvlText w:val="%1、"/>
      <w:lvlJc w:val="left"/>
    </w:lvl>
  </w:abstractNum>
  <w:abstractNum w:abstractNumId="1">
    <w:nsid w:val="E0DD39BF"/>
    <w:multiLevelType w:val="singleLevel"/>
    <w:tmpl w:val="E0DD39BF"/>
    <w:lvl w:ilvl="0" w:tentative="0">
      <w:start w:val="2"/>
      <w:numFmt w:val="chineseCounting"/>
      <w:suff w:val="nothing"/>
      <w:lvlText w:val="%1、"/>
      <w:lvlJc w:val="left"/>
      <w:rPr>
        <w:rFonts w:hint="eastAsia"/>
      </w:rPr>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abstractNum w:abstractNumId="3">
    <w:nsid w:val="7D764751"/>
    <w:multiLevelType w:val="singleLevel"/>
    <w:tmpl w:val="7D764751"/>
    <w:lvl w:ilvl="0" w:tentative="0">
      <w:start w:val="3"/>
      <w:numFmt w:val="chineseCounting"/>
      <w:suff w:val="space"/>
      <w:lvlText w:val="第%1篇"/>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NjA5MmJkNmRiMjljODhiOTMwN2MzMzgyMTZkMDgifQ=="/>
    <w:docVar w:name="KSO_WPS_MARK_KEY" w:val="4026507f-cbbb-4152-b14a-7015ab6e7182"/>
  </w:docVars>
  <w:rsids>
    <w:rsidRoot w:val="00000000"/>
    <w:rsid w:val="033A6D09"/>
    <w:rsid w:val="03632E30"/>
    <w:rsid w:val="04B52C5F"/>
    <w:rsid w:val="04B62533"/>
    <w:rsid w:val="072F7EF6"/>
    <w:rsid w:val="0764271A"/>
    <w:rsid w:val="08053EFD"/>
    <w:rsid w:val="0A7E7C4C"/>
    <w:rsid w:val="0A9F336F"/>
    <w:rsid w:val="0B0E30C9"/>
    <w:rsid w:val="0B5B722C"/>
    <w:rsid w:val="0B856175"/>
    <w:rsid w:val="0BB05F2E"/>
    <w:rsid w:val="0CE42333"/>
    <w:rsid w:val="0D6D057B"/>
    <w:rsid w:val="0DCD726B"/>
    <w:rsid w:val="0E06452B"/>
    <w:rsid w:val="0E287AC7"/>
    <w:rsid w:val="0E7768EF"/>
    <w:rsid w:val="0F4470B9"/>
    <w:rsid w:val="0FB51D65"/>
    <w:rsid w:val="0FFC3E38"/>
    <w:rsid w:val="10177166"/>
    <w:rsid w:val="103F3D25"/>
    <w:rsid w:val="10882EFE"/>
    <w:rsid w:val="11C479EB"/>
    <w:rsid w:val="11F40E23"/>
    <w:rsid w:val="1244715A"/>
    <w:rsid w:val="12986A0F"/>
    <w:rsid w:val="134E49AB"/>
    <w:rsid w:val="13BB1914"/>
    <w:rsid w:val="14052EB3"/>
    <w:rsid w:val="1424464D"/>
    <w:rsid w:val="1524729A"/>
    <w:rsid w:val="154C316C"/>
    <w:rsid w:val="164E65C7"/>
    <w:rsid w:val="16842491"/>
    <w:rsid w:val="17473D3D"/>
    <w:rsid w:val="176D73C9"/>
    <w:rsid w:val="17BE6B28"/>
    <w:rsid w:val="17CD272B"/>
    <w:rsid w:val="18003D99"/>
    <w:rsid w:val="183323C1"/>
    <w:rsid w:val="18E633C4"/>
    <w:rsid w:val="192561AE"/>
    <w:rsid w:val="1A165AF6"/>
    <w:rsid w:val="1AFE6CB6"/>
    <w:rsid w:val="1C0C5403"/>
    <w:rsid w:val="1C4E5A1B"/>
    <w:rsid w:val="1D303373"/>
    <w:rsid w:val="1D4961E3"/>
    <w:rsid w:val="1DA90A2F"/>
    <w:rsid w:val="1DCF66E8"/>
    <w:rsid w:val="1DF87857"/>
    <w:rsid w:val="1F686DF4"/>
    <w:rsid w:val="202422E3"/>
    <w:rsid w:val="215238B8"/>
    <w:rsid w:val="2173382E"/>
    <w:rsid w:val="21A03638"/>
    <w:rsid w:val="23046E34"/>
    <w:rsid w:val="24346162"/>
    <w:rsid w:val="24961D0D"/>
    <w:rsid w:val="24B77ED6"/>
    <w:rsid w:val="250E205A"/>
    <w:rsid w:val="25496D80"/>
    <w:rsid w:val="258B383C"/>
    <w:rsid w:val="261F20D3"/>
    <w:rsid w:val="265E3F19"/>
    <w:rsid w:val="26667E05"/>
    <w:rsid w:val="26977FBF"/>
    <w:rsid w:val="274B6F9C"/>
    <w:rsid w:val="27532158"/>
    <w:rsid w:val="27565784"/>
    <w:rsid w:val="27B626C7"/>
    <w:rsid w:val="296543A4"/>
    <w:rsid w:val="2B400C25"/>
    <w:rsid w:val="2BAE6F40"/>
    <w:rsid w:val="2BE9306B"/>
    <w:rsid w:val="2C4B7881"/>
    <w:rsid w:val="2C5A1872"/>
    <w:rsid w:val="2C5B7C51"/>
    <w:rsid w:val="2D7D7F0E"/>
    <w:rsid w:val="2DF53F49"/>
    <w:rsid w:val="2E0A3FC4"/>
    <w:rsid w:val="2E5F7614"/>
    <w:rsid w:val="2ED346AB"/>
    <w:rsid w:val="2ED40002"/>
    <w:rsid w:val="2ED87AE7"/>
    <w:rsid w:val="2F9C6646"/>
    <w:rsid w:val="2FAF6379"/>
    <w:rsid w:val="3058256D"/>
    <w:rsid w:val="316D0D81"/>
    <w:rsid w:val="3179279B"/>
    <w:rsid w:val="31A55C86"/>
    <w:rsid w:val="334218FE"/>
    <w:rsid w:val="33532AAF"/>
    <w:rsid w:val="33D4063A"/>
    <w:rsid w:val="350F034E"/>
    <w:rsid w:val="3619454C"/>
    <w:rsid w:val="36231B2E"/>
    <w:rsid w:val="36C727EB"/>
    <w:rsid w:val="37A30F3C"/>
    <w:rsid w:val="38003C16"/>
    <w:rsid w:val="384D4981"/>
    <w:rsid w:val="38E86458"/>
    <w:rsid w:val="38EF77E6"/>
    <w:rsid w:val="39272B6C"/>
    <w:rsid w:val="3A81572B"/>
    <w:rsid w:val="3B4D3EC8"/>
    <w:rsid w:val="3B714E2B"/>
    <w:rsid w:val="3BDA29D0"/>
    <w:rsid w:val="3BE15B0C"/>
    <w:rsid w:val="3BE455FD"/>
    <w:rsid w:val="3C6D114E"/>
    <w:rsid w:val="3C6E4B61"/>
    <w:rsid w:val="3E110C94"/>
    <w:rsid w:val="3E1C0F2E"/>
    <w:rsid w:val="3E642A25"/>
    <w:rsid w:val="3EAB7F7A"/>
    <w:rsid w:val="3F0538C0"/>
    <w:rsid w:val="3F2D2E17"/>
    <w:rsid w:val="3F746C97"/>
    <w:rsid w:val="3FF762FA"/>
    <w:rsid w:val="400022D9"/>
    <w:rsid w:val="41087697"/>
    <w:rsid w:val="43792ACE"/>
    <w:rsid w:val="43985EEA"/>
    <w:rsid w:val="452A3F41"/>
    <w:rsid w:val="454B3FF6"/>
    <w:rsid w:val="458B0897"/>
    <w:rsid w:val="45D264C6"/>
    <w:rsid w:val="46004DE1"/>
    <w:rsid w:val="463B050F"/>
    <w:rsid w:val="46A63BDA"/>
    <w:rsid w:val="474358CD"/>
    <w:rsid w:val="48A51C70"/>
    <w:rsid w:val="48B17DDD"/>
    <w:rsid w:val="48BC1A56"/>
    <w:rsid w:val="48E24C72"/>
    <w:rsid w:val="49664256"/>
    <w:rsid w:val="4A390823"/>
    <w:rsid w:val="4AD351BA"/>
    <w:rsid w:val="4B7A3887"/>
    <w:rsid w:val="4BAF1783"/>
    <w:rsid w:val="4BC52D55"/>
    <w:rsid w:val="4DF55447"/>
    <w:rsid w:val="4EAD471B"/>
    <w:rsid w:val="4EB42C0C"/>
    <w:rsid w:val="4ECC43FA"/>
    <w:rsid w:val="4F4B79F8"/>
    <w:rsid w:val="505C7A00"/>
    <w:rsid w:val="50F33EC0"/>
    <w:rsid w:val="538C5F06"/>
    <w:rsid w:val="54444A33"/>
    <w:rsid w:val="55BA31FE"/>
    <w:rsid w:val="56206DD9"/>
    <w:rsid w:val="566E223B"/>
    <w:rsid w:val="56703560"/>
    <w:rsid w:val="56AB6FEB"/>
    <w:rsid w:val="594554D5"/>
    <w:rsid w:val="59EC1C20"/>
    <w:rsid w:val="5AB978A4"/>
    <w:rsid w:val="5B105D29"/>
    <w:rsid w:val="5B2555BE"/>
    <w:rsid w:val="5C1E200D"/>
    <w:rsid w:val="5CC2508E"/>
    <w:rsid w:val="5D647EF4"/>
    <w:rsid w:val="5E033269"/>
    <w:rsid w:val="5E2733FB"/>
    <w:rsid w:val="5E9A5634"/>
    <w:rsid w:val="5F487ACD"/>
    <w:rsid w:val="60025ECE"/>
    <w:rsid w:val="607D4D0B"/>
    <w:rsid w:val="60BE791B"/>
    <w:rsid w:val="60DA29A7"/>
    <w:rsid w:val="61077514"/>
    <w:rsid w:val="63640C4D"/>
    <w:rsid w:val="639E6B25"/>
    <w:rsid w:val="650C50F9"/>
    <w:rsid w:val="652F2B95"/>
    <w:rsid w:val="65744A4C"/>
    <w:rsid w:val="65A215B9"/>
    <w:rsid w:val="66880E42"/>
    <w:rsid w:val="672C7CD4"/>
    <w:rsid w:val="6940781A"/>
    <w:rsid w:val="6B5172DD"/>
    <w:rsid w:val="6C7F08A6"/>
    <w:rsid w:val="6E7F4B8D"/>
    <w:rsid w:val="6EF336A4"/>
    <w:rsid w:val="6F193B9B"/>
    <w:rsid w:val="6FFA7AB6"/>
    <w:rsid w:val="700A492A"/>
    <w:rsid w:val="705C33D8"/>
    <w:rsid w:val="71B934C2"/>
    <w:rsid w:val="71DB67A4"/>
    <w:rsid w:val="725F798E"/>
    <w:rsid w:val="727D0B3E"/>
    <w:rsid w:val="72C25048"/>
    <w:rsid w:val="73A330CC"/>
    <w:rsid w:val="74483E55"/>
    <w:rsid w:val="757D1115"/>
    <w:rsid w:val="75B84262"/>
    <w:rsid w:val="75F145C2"/>
    <w:rsid w:val="76BD6253"/>
    <w:rsid w:val="77CB3B2F"/>
    <w:rsid w:val="78C659C1"/>
    <w:rsid w:val="7ABE2599"/>
    <w:rsid w:val="7B0D2466"/>
    <w:rsid w:val="7B5178B1"/>
    <w:rsid w:val="7B971768"/>
    <w:rsid w:val="7BC02341"/>
    <w:rsid w:val="7CB41EA6"/>
    <w:rsid w:val="7EA67F14"/>
    <w:rsid w:val="7EB443DF"/>
    <w:rsid w:val="7EFC18E2"/>
    <w:rsid w:val="7F575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table of authorities"/>
    <w:basedOn w:val="1"/>
    <w:next w:val="1"/>
    <w:qFormat/>
    <w:uiPriority w:val="0"/>
    <w:pPr>
      <w:ind w:left="420" w:leftChars="200"/>
    </w:pPr>
  </w:style>
  <w:style w:type="paragraph" w:styleId="7">
    <w:name w:val="annotation text"/>
    <w:basedOn w:val="1"/>
    <w:qFormat/>
    <w:uiPriority w:val="0"/>
    <w:pPr>
      <w:jc w:val="left"/>
    </w:pPr>
  </w:style>
  <w:style w:type="paragraph" w:styleId="8">
    <w:name w:val="Body Text Indent"/>
    <w:basedOn w:val="1"/>
    <w:qFormat/>
    <w:uiPriority w:val="0"/>
    <w:pPr>
      <w:spacing w:line="700" w:lineRule="exact"/>
      <w:ind w:left="960"/>
    </w:pPr>
    <w:rPr>
      <w:sz w:val="44"/>
    </w:rPr>
  </w:style>
  <w:style w:type="paragraph" w:styleId="9">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rPr>
      <w:rFonts w:ascii="Arial" w:hAnsi="Arial" w:eastAsia="Arial"/>
      <w:spacing w:val="-10"/>
      <w:sz w:val="21"/>
      <w:szCs w:val="21"/>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List"/>
    <w:basedOn w:val="1"/>
    <w:semiHidden/>
    <w:qFormat/>
    <w:uiPriority w:val="0"/>
    <w:pPr>
      <w:ind w:left="200" w:hanging="200" w:hangingChars="200"/>
    </w:pPr>
  </w:style>
  <w:style w:type="paragraph" w:styleId="18">
    <w:name w:val="Normal (Web)"/>
    <w:basedOn w:val="1"/>
    <w:qFormat/>
    <w:uiPriority w:val="0"/>
    <w:rPr>
      <w:sz w:val="24"/>
    </w:rPr>
  </w:style>
  <w:style w:type="paragraph" w:styleId="19">
    <w:name w:val="Body Text First Indent 2"/>
    <w:basedOn w:val="8"/>
    <w:next w:val="1"/>
    <w:qFormat/>
    <w:uiPriority w:val="0"/>
    <w:pPr>
      <w:spacing w:after="120" w:line="240" w:lineRule="auto"/>
      <w:ind w:left="420" w:leftChars="200" w:firstLine="420" w:firstLineChars="200"/>
    </w:pPr>
    <w:rPr>
      <w:sz w:val="21"/>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paragraph" w:customStyle="1" w:styleId="24">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5">
    <w:name w:val="BodyText"/>
    <w:basedOn w:val="1"/>
    <w:next w:val="26"/>
    <w:qFormat/>
    <w:uiPriority w:val="0"/>
    <w:pPr>
      <w:spacing w:after="200" w:line="276" w:lineRule="auto"/>
      <w:textAlignment w:val="baseline"/>
    </w:pPr>
  </w:style>
  <w:style w:type="paragraph" w:customStyle="1" w:styleId="26">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27">
    <w:name w:val="图例"/>
    <w:basedOn w:val="1"/>
    <w:qFormat/>
    <w:uiPriority w:val="0"/>
    <w:pPr>
      <w:spacing w:before="120" w:after="120" w:line="360" w:lineRule="auto"/>
      <w:jc w:val="center"/>
    </w:pPr>
    <w:rPr>
      <w:rFonts w:eastAsia="仿宋_GB2312"/>
      <w:b/>
      <w:sz w:val="24"/>
    </w:rPr>
  </w:style>
  <w:style w:type="paragraph" w:customStyle="1" w:styleId="28">
    <w:name w:val="电建正文"/>
    <w:basedOn w:val="29"/>
    <w:qFormat/>
    <w:uiPriority w:val="0"/>
    <w:pPr>
      <w:tabs>
        <w:tab w:val="left" w:pos="720"/>
      </w:tabs>
      <w:spacing w:line="360" w:lineRule="auto"/>
      <w:ind w:firstLine="200" w:firstLineChars="200"/>
    </w:pPr>
    <w:rPr>
      <w:rFonts w:ascii="Tahoma" w:hAnsi="Tahoma"/>
      <w:sz w:val="24"/>
    </w:rPr>
  </w:style>
  <w:style w:type="paragraph" w:customStyle="1" w:styleId="29">
    <w:name w:val="List First"/>
    <w:basedOn w:val="17"/>
    <w:next w:val="17"/>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3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styleId="32">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18961</Words>
  <Characters>19673</Characters>
  <Lines>0</Lines>
  <Paragraphs>0</Paragraphs>
  <TotalTime>5</TotalTime>
  <ScaleCrop>false</ScaleCrop>
  <LinksUpToDate>false</LinksUpToDate>
  <CharactersWithSpaces>21212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2022-11-01T20:20:00Z</dcterms:created>
  <dc:creator>Administrator</dc:creator>
  <cp:lastModifiedBy>小小笨熊</cp:lastModifiedBy>
  <cp:lastPrinted>2024-04-09T09:29:00Z</cp:lastPrinted>
  <dcterms:modified xsi:type="dcterms:W3CDTF">2025-06-20T02:37:54Z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91F1173EA29A45B0896A0D0DF8257363_13</vt:lpwstr>
  </property>
  <property fmtid="{D5CDD505-2E9C-101B-9397-08002B2CF9AE}" pid="4" name="KSOTemplateDocerSaveRecord">
    <vt:lpwstr>eyJoZGlkIjoiYzg3YmNiMDM2ZTM2N2M5OGVmZWUwNWFkYzNkOTNiNzEiLCJ1c2VySWQiOiI1MjY5OTcxMDMifQ==</vt:lpwstr>
  </property>
</Properties>
</file>