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5985E45C">
      <w:pPr>
        <w:jc w:val="center"/>
        <w:rPr>
          <w:rFonts w:hint="eastAsia"/>
          <w:sz w:val="144"/>
          <w:szCs w:val="180"/>
        </w:rPr>
      </w:pPr>
      <w:r>
        <w:rPr>
          <w:rFonts w:hint="eastAsia"/>
          <w:sz w:val="144"/>
          <w:szCs w:val="180"/>
        </w:rPr>
        <w:t>件</w:t>
      </w:r>
    </w:p>
    <w:p w14:paraId="1E733854">
      <w:pPr>
        <w:jc w:val="center"/>
        <w:rPr>
          <w:rFonts w:hint="eastAsia"/>
          <w:sz w:val="30"/>
          <w:szCs w:val="30"/>
        </w:rPr>
      </w:pPr>
    </w:p>
    <w:p w14:paraId="20385D97">
      <w:pPr>
        <w:jc w:val="center"/>
        <w:rPr>
          <w:rFonts w:hint="eastAsia"/>
          <w:sz w:val="30"/>
          <w:szCs w:val="30"/>
        </w:rPr>
      </w:pPr>
    </w:p>
    <w:p w14:paraId="0E9B1EE7">
      <w:pPr>
        <w:jc w:val="center"/>
        <w:rPr>
          <w:rFonts w:hint="eastAsia"/>
          <w:sz w:val="30"/>
          <w:szCs w:val="30"/>
        </w:rPr>
      </w:pPr>
    </w:p>
    <w:p w14:paraId="00E6DB51">
      <w:pPr>
        <w:jc w:val="center"/>
        <w:rPr>
          <w:rFonts w:hint="eastAsia"/>
          <w:sz w:val="30"/>
          <w:szCs w:val="30"/>
        </w:rPr>
      </w:pPr>
    </w:p>
    <w:p w14:paraId="2BDF1E34">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防雷装置检测服务</w:t>
      </w:r>
    </w:p>
    <w:p w14:paraId="1A3B1167">
      <w:pPr>
        <w:jc w:val="center"/>
        <w:rPr>
          <w:rFonts w:hint="eastAsia"/>
          <w:sz w:val="30"/>
          <w:szCs w:val="30"/>
        </w:rPr>
      </w:pPr>
      <w:r>
        <w:rPr>
          <w:rFonts w:hint="eastAsia"/>
          <w:sz w:val="30"/>
          <w:szCs w:val="30"/>
        </w:rPr>
        <w:t>采购人：重庆市子漫人力资源服务有限公司</w:t>
      </w:r>
    </w:p>
    <w:p w14:paraId="7FFA3FB8">
      <w:pPr>
        <w:jc w:val="center"/>
        <w:rPr>
          <w:rFonts w:hint="eastAsia"/>
          <w:sz w:val="30"/>
          <w:szCs w:val="30"/>
        </w:rPr>
      </w:pPr>
      <w:r>
        <w:rPr>
          <w:rFonts w:hint="eastAsia"/>
          <w:sz w:val="30"/>
          <w:szCs w:val="30"/>
        </w:rPr>
        <w:t>编制单位：重庆市子漫人力资源服务有限公司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7</w:t>
      </w:r>
      <w:r>
        <w:rPr>
          <w:rFonts w:hint="eastAsia"/>
          <w:sz w:val="30"/>
          <w:szCs w:val="30"/>
        </w:rPr>
        <w:t>月</w:t>
      </w: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069ED8DD">
      <w:pPr>
        <w:snapToGrid w:val="0"/>
        <w:spacing w:line="360" w:lineRule="auto"/>
        <w:ind w:firstLine="480" w:firstLineChars="200"/>
        <w:rPr>
          <w:rFonts w:ascii="宋体" w:hAnsi="宋体" w:eastAsia="宋体" w:cs="宋体"/>
          <w:sz w:val="24"/>
        </w:rPr>
      </w:pPr>
      <w:bookmarkStart w:id="0" w:name="_Toc24053"/>
      <w:bookmarkStart w:id="1" w:name="_Toc14842"/>
      <w:bookmarkStart w:id="2" w:name="_Toc124"/>
      <w:r>
        <w:rPr>
          <w:rFonts w:hint="eastAsia" w:ascii="宋体" w:hAnsi="宋体" w:eastAsia="宋体" w:cs="宋体"/>
          <w:kern w:val="2"/>
          <w:sz w:val="24"/>
          <w:szCs w:val="24"/>
          <w:lang w:val="en-US" w:eastAsia="zh-CN" w:bidi="ar-SA"/>
        </w:rPr>
        <w:t>重庆市子漫人力资源服务有限公司</w:t>
      </w:r>
      <w:r>
        <w:rPr>
          <w:rFonts w:hint="eastAsia" w:ascii="宋体" w:hAnsi="宋体" w:eastAsia="宋体" w:cs="宋体"/>
          <w:sz w:val="24"/>
        </w:rPr>
        <w:t>对</w:t>
      </w:r>
      <w:r>
        <w:rPr>
          <w:rFonts w:hint="eastAsia" w:ascii="宋体" w:hAnsi="宋体" w:eastAsia="宋体" w:cs="宋体"/>
          <w:kern w:val="2"/>
          <w:sz w:val="24"/>
          <w:szCs w:val="24"/>
          <w:lang w:val="en-US" w:eastAsia="zh-CN" w:bidi="ar-SA"/>
        </w:rPr>
        <w:t>防雷装置检测服务进行采购。</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5E2D8D5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防雷装置检测服务</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33000（含税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公告发布平台和网址：行采家（https://www.gec123.com/）</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6180"/>
      <w:bookmarkStart w:id="4" w:name="_Toc24185"/>
      <w:bookmarkStart w:id="5" w:name="_Toc1963"/>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488F22D8">
      <w:pPr>
        <w:snapToGrid w:val="0"/>
        <w:spacing w:line="360" w:lineRule="auto"/>
        <w:ind w:firstLine="482" w:firstLineChars="200"/>
        <w:rPr>
          <w:rFonts w:hint="eastAsia" w:ascii="宋体" w:hAnsi="宋体" w:eastAsia="宋体" w:cs="宋体"/>
          <w:b/>
          <w:bCs/>
          <w:sz w:val="24"/>
          <w:lang w:val="en-US" w:eastAsia="zh-CN"/>
        </w:rPr>
      </w:pPr>
      <w:r>
        <w:rPr>
          <w:rFonts w:hint="eastAsia" w:ascii="宋体" w:hAnsi="宋体" w:eastAsia="宋体" w:cs="宋体"/>
          <w:b/>
          <w:bCs/>
          <w:sz w:val="24"/>
          <w:lang w:val="en-US" w:eastAsia="zh-CN"/>
        </w:rPr>
        <w:t>供应商须具备有效的《雷电防护装置检测资质证》（发证机关为省级及以上气象主管机构），资质等级为乙级及以上。响应文件中须提供证书复印件并加盖供应商公章。</w:t>
      </w:r>
    </w:p>
    <w:p w14:paraId="4E828BE8">
      <w:pPr>
        <w:snapToGrid w:val="0"/>
        <w:spacing w:line="360" w:lineRule="auto"/>
        <w:ind w:firstLine="480" w:firstLineChars="200"/>
        <w:rPr>
          <w:rFonts w:hint="eastAsia" w:ascii="宋体" w:hAnsi="宋体" w:eastAsia="宋体" w:cs="宋体"/>
          <w:b/>
          <w:bCs/>
          <w:sz w:val="24"/>
          <w:lang w:val="en-US" w:eastAsia="zh-CN"/>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3.询价保证金：无</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4.中选供应商确定方式：</w:t>
      </w:r>
    </w:p>
    <w:p w14:paraId="64D68176">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4.1在符合项目要求评审后供应商数量不少于“3家”的前提下，按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合计最低的原则推荐成交供应商，如供应商系统报价时与报价单</w:t>
      </w:r>
      <w:r>
        <w:rPr>
          <w:rFonts w:hint="eastAsia" w:ascii="宋体" w:hAnsi="宋体" w:eastAsia="宋体" w:cs="宋体"/>
          <w:sz w:val="24"/>
          <w:lang w:val="en-US" w:eastAsia="zh-CN"/>
        </w:rPr>
        <w:t>含税</w:t>
      </w:r>
      <w:r>
        <w:rPr>
          <w:rFonts w:hint="eastAsia" w:ascii="宋体" w:hAnsi="宋体" w:eastAsia="宋体" w:cs="宋体"/>
          <w:sz w:val="24"/>
        </w:rPr>
        <w:t>价总计不符，将作为无效响应。</w:t>
      </w:r>
    </w:p>
    <w:p w14:paraId="1F907FE7">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4.2如出现两个以上相同最低报价的，按系统推荐中选供应商；</w:t>
      </w:r>
    </w:p>
    <w:p w14:paraId="1C6A45F7">
      <w:pPr>
        <w:pStyle w:val="5"/>
        <w:ind w:firstLine="482" w:firstLineChars="200"/>
        <w:rPr>
          <w:rFonts w:ascii="宋体" w:hAnsi="宋体" w:eastAsia="宋体" w:cs="宋体"/>
          <w:b/>
          <w:bCs/>
          <w:color w:val="000000"/>
          <w:sz w:val="24"/>
          <w:lang w:bidi="zh-TW"/>
        </w:rPr>
      </w:pPr>
      <w:r>
        <w:rPr>
          <w:rFonts w:hint="eastAsia" w:ascii="宋体" w:hAnsi="宋体" w:eastAsia="宋体" w:cs="宋体"/>
          <w:b/>
          <w:bCs/>
          <w:color w:val="000000"/>
          <w:sz w:val="24"/>
          <w:lang w:bidi="zh-TW"/>
        </w:rPr>
        <w:t>5.其他说明：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5.1出现下列情形之一的，采购人有权终止询价采购活动，发布项目终止公告并说明原因，采购人视情进行重新采购：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5.2出现下列情形之一的，采购人在询价采购活动作为废标处理，发布项目废标公告并说明原因，采购人视情进行重新采购：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rPr>
        <w:t>5.3成交供应商的变更：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rPr>
        <w:t>5.4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rPr>
        <w:t>6.联系方式：</w:t>
      </w:r>
    </w:p>
    <w:p w14:paraId="24249BFB">
      <w:pPr>
        <w:pStyle w:val="5"/>
        <w:spacing w:line="480" w:lineRule="auto"/>
        <w:ind w:left="420" w:leftChars="200"/>
        <w:rPr>
          <w:rFonts w:hint="eastAsia" w:ascii="宋体" w:hAnsi="宋体" w:eastAsia="宋体" w:cs="宋体"/>
          <w:sz w:val="24"/>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27159AB2">
      <w:pPr>
        <w:pStyle w:val="5"/>
        <w:spacing w:line="480" w:lineRule="auto"/>
        <w:ind w:left="420" w:leftChars="200"/>
        <w:rPr>
          <w:rFonts w:hint="default"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06C3047B">
      <w:pPr>
        <w:pStyle w:val="5"/>
        <w:ind w:firstLine="480" w:firstLineChars="200"/>
        <w:rPr>
          <w:rFonts w:ascii="宋体" w:hAnsi="宋体" w:eastAsia="宋体" w:cs="宋体"/>
          <w:sz w:val="24"/>
        </w:rPr>
      </w:pPr>
    </w:p>
    <w:p w14:paraId="22715B74">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54DF2FDD">
      <w:pPr>
        <w:keepNext w:val="0"/>
        <w:keepLines w:val="0"/>
        <w:pageBreakBefore w:val="0"/>
        <w:kinsoku/>
        <w:wordWrap/>
        <w:overflowPunct/>
        <w:topLinePunct w:val="0"/>
        <w:autoSpaceDE/>
        <w:autoSpaceDN/>
        <w:bidi w:val="0"/>
        <w:adjustRightInd/>
        <w:snapToGrid/>
        <w:jc w:val="center"/>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防雷装置检测</w:t>
      </w:r>
      <w:r>
        <w:rPr>
          <w:rFonts w:hint="eastAsia" w:ascii="仿宋_GB2312" w:eastAsia="宋体" w:cstheme="minorBidi"/>
          <w:color w:val="000000"/>
          <w:kern w:val="2"/>
          <w:sz w:val="24"/>
          <w:szCs w:val="24"/>
          <w:lang w:val="en-US" w:eastAsia="zh-CN" w:bidi="ar-SA"/>
        </w:rPr>
        <w:t>服务</w:t>
      </w:r>
      <w:r>
        <w:rPr>
          <w:rFonts w:hint="eastAsia" w:ascii="仿宋_GB2312" w:eastAsia="宋体" w:hAnsiTheme="minorHAnsi" w:cstheme="minorBidi"/>
          <w:color w:val="000000"/>
          <w:kern w:val="2"/>
          <w:sz w:val="24"/>
          <w:szCs w:val="24"/>
          <w:lang w:val="en-US" w:eastAsia="zh-CN" w:bidi="ar-SA"/>
        </w:rPr>
        <w:t>需求</w:t>
      </w:r>
    </w:p>
    <w:p w14:paraId="2B2653A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一、项目概况</w:t>
      </w:r>
    </w:p>
    <w:p w14:paraId="2CAA2193">
      <w:pPr>
        <w:keepNext w:val="0"/>
        <w:keepLines w:val="0"/>
        <w:pageBreakBefore w:val="0"/>
        <w:kinsoku/>
        <w:wordWrap/>
        <w:overflowPunct/>
        <w:topLinePunct w:val="0"/>
        <w:autoSpaceDE/>
        <w:autoSpaceDN/>
        <w:bidi w:val="0"/>
        <w:adjustRightInd/>
        <w:snapToGrid/>
        <w:ind w:firstLine="480" w:firstLineChars="200"/>
        <w:textAlignment w:val="auto"/>
        <w:rPr>
          <w:rFonts w:hint="default"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1.</w:t>
      </w:r>
      <w:r>
        <w:rPr>
          <w:rFonts w:hint="eastAsia" w:ascii="仿宋_GB2312" w:eastAsia="宋体" w:hAnsiTheme="minorHAnsi" w:cstheme="minorBidi"/>
          <w:color w:val="000000"/>
          <w:kern w:val="2"/>
          <w:sz w:val="24"/>
          <w:szCs w:val="24"/>
          <w:lang w:val="en-US" w:eastAsia="zh-CN" w:bidi="ar-SA"/>
        </w:rPr>
        <w:t>为落实防雷安全管理要求，排查建筑物、电气系统、弱电信息系统、户外设备等防雷设施安全隐患，确认接地电阻、防雷接闪器、引下线、等电位连接、浪涌保护器（SPD）等各项指标符合国家规范标准，出具具备法律效力的防雷检测报告，防范雷雨天气雷击引发火灾、设备损坏、人员触电及安全生产事故风险。</w:t>
      </w:r>
    </w:p>
    <w:p w14:paraId="0FC7507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二、项目地址：采购人指定地点1、采购人指定地点2。</w:t>
      </w:r>
    </w:p>
    <w:p w14:paraId="0C505D2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三、检测费用预计明细</w:t>
      </w:r>
    </w:p>
    <w:tbl>
      <w:tblPr>
        <w:tblStyle w:val="11"/>
        <w:tblW w:w="9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
        <w:gridCol w:w="2007"/>
        <w:gridCol w:w="1614"/>
        <w:gridCol w:w="1626"/>
        <w:gridCol w:w="1155"/>
        <w:gridCol w:w="1078"/>
        <w:gridCol w:w="1264"/>
      </w:tblGrid>
      <w:tr w14:paraId="6300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13" w:type="dxa"/>
            <w:vAlign w:val="center"/>
          </w:tcPr>
          <w:p w14:paraId="1F1AB2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eastAsiaTheme="minorEastAsia" w:cstheme="minorEastAsia"/>
                <w:color w:val="000000"/>
                <w:kern w:val="0"/>
                <w:sz w:val="24"/>
                <w:szCs w:val="24"/>
                <w:vertAlign w:val="baseline"/>
                <w:lang w:val="en-US" w:eastAsia="zh-CN"/>
              </w:rPr>
              <w:t>序号</w:t>
            </w:r>
          </w:p>
        </w:tc>
        <w:tc>
          <w:tcPr>
            <w:tcW w:w="2007" w:type="dxa"/>
            <w:vAlign w:val="center"/>
          </w:tcPr>
          <w:p w14:paraId="315CE4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项目地址</w:t>
            </w:r>
          </w:p>
        </w:tc>
        <w:tc>
          <w:tcPr>
            <w:tcW w:w="1614" w:type="dxa"/>
            <w:vAlign w:val="center"/>
          </w:tcPr>
          <w:p w14:paraId="1A7FE7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楼栋</w:t>
            </w:r>
            <w:r>
              <w:rPr>
                <w:rFonts w:hint="eastAsia" w:asciiTheme="minorEastAsia" w:hAnsiTheme="minorEastAsia" w:eastAsiaTheme="minorEastAsia" w:cstheme="minorEastAsia"/>
                <w:color w:val="000000"/>
                <w:kern w:val="0"/>
                <w:sz w:val="24"/>
                <w:szCs w:val="24"/>
                <w:vertAlign w:val="baseline"/>
                <w:lang w:val="en-US" w:eastAsia="zh-CN"/>
              </w:rPr>
              <w:t>数量</w:t>
            </w:r>
          </w:p>
        </w:tc>
        <w:tc>
          <w:tcPr>
            <w:tcW w:w="1626" w:type="dxa"/>
            <w:vAlign w:val="center"/>
          </w:tcPr>
          <w:p w14:paraId="1E5597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限</w:t>
            </w:r>
            <w:r>
              <w:rPr>
                <w:rFonts w:hint="eastAsia" w:asciiTheme="minorEastAsia" w:hAnsiTheme="minorEastAsia" w:eastAsiaTheme="minorEastAsia" w:cstheme="minorEastAsia"/>
                <w:color w:val="000000"/>
                <w:kern w:val="0"/>
                <w:sz w:val="24"/>
                <w:szCs w:val="24"/>
                <w:vertAlign w:val="baseline"/>
                <w:lang w:val="en-US" w:eastAsia="zh-CN"/>
              </w:rPr>
              <w:t>价</w:t>
            </w:r>
            <w:r>
              <w:rPr>
                <w:rFonts w:hint="eastAsia" w:asciiTheme="minorEastAsia" w:hAnsiTheme="minorEastAsia" w:cstheme="minorEastAsia"/>
                <w:color w:val="000000"/>
                <w:kern w:val="0"/>
                <w:sz w:val="24"/>
                <w:szCs w:val="24"/>
                <w:vertAlign w:val="baseline"/>
                <w:lang w:val="en-US" w:eastAsia="zh-CN"/>
              </w:rPr>
              <w:t>（元/次/栋)</w:t>
            </w:r>
          </w:p>
        </w:tc>
        <w:tc>
          <w:tcPr>
            <w:tcW w:w="1155" w:type="dxa"/>
            <w:vAlign w:val="center"/>
          </w:tcPr>
          <w:p w14:paraId="47C2FB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检测</w:t>
            </w:r>
          </w:p>
          <w:p w14:paraId="35A9AE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次数</w:t>
            </w:r>
          </w:p>
        </w:tc>
        <w:tc>
          <w:tcPr>
            <w:tcW w:w="1078" w:type="dxa"/>
            <w:vAlign w:val="center"/>
          </w:tcPr>
          <w:p w14:paraId="34B81E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合计（元）</w:t>
            </w:r>
          </w:p>
        </w:tc>
        <w:tc>
          <w:tcPr>
            <w:tcW w:w="1264" w:type="dxa"/>
            <w:vAlign w:val="center"/>
          </w:tcPr>
          <w:p w14:paraId="089048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备注</w:t>
            </w:r>
          </w:p>
        </w:tc>
      </w:tr>
      <w:tr w14:paraId="25FD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613" w:type="dxa"/>
            <w:vAlign w:val="center"/>
          </w:tcPr>
          <w:p w14:paraId="106DF0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1</w:t>
            </w:r>
          </w:p>
        </w:tc>
        <w:tc>
          <w:tcPr>
            <w:tcW w:w="2007" w:type="dxa"/>
            <w:vAlign w:val="center"/>
          </w:tcPr>
          <w:p w14:paraId="7B5B59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仿宋_GB2312" w:eastAsia="宋体" w:cstheme="minorBidi"/>
                <w:color w:val="000000"/>
                <w:kern w:val="2"/>
                <w:sz w:val="24"/>
                <w:szCs w:val="24"/>
                <w:lang w:val="en-US" w:eastAsia="zh-CN" w:bidi="ar-SA"/>
              </w:rPr>
              <w:t>采购人指定地点1</w:t>
            </w:r>
          </w:p>
        </w:tc>
        <w:tc>
          <w:tcPr>
            <w:tcW w:w="1614" w:type="dxa"/>
            <w:vAlign w:val="center"/>
          </w:tcPr>
          <w:p w14:paraId="151C30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18</w:t>
            </w:r>
          </w:p>
        </w:tc>
        <w:tc>
          <w:tcPr>
            <w:tcW w:w="1626" w:type="dxa"/>
            <w:vMerge w:val="restart"/>
            <w:vAlign w:val="center"/>
          </w:tcPr>
          <w:p w14:paraId="3A57D1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500</w:t>
            </w:r>
          </w:p>
        </w:tc>
        <w:tc>
          <w:tcPr>
            <w:tcW w:w="1155" w:type="dxa"/>
            <w:vMerge w:val="restart"/>
            <w:vAlign w:val="center"/>
          </w:tcPr>
          <w:p w14:paraId="5EA209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3</w:t>
            </w:r>
          </w:p>
        </w:tc>
        <w:tc>
          <w:tcPr>
            <w:tcW w:w="1078" w:type="dxa"/>
            <w:vAlign w:val="center"/>
          </w:tcPr>
          <w:p w14:paraId="4E4B1A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27000</w:t>
            </w:r>
          </w:p>
        </w:tc>
        <w:tc>
          <w:tcPr>
            <w:tcW w:w="1264" w:type="dxa"/>
            <w:vAlign w:val="center"/>
          </w:tcPr>
          <w:p w14:paraId="6E633F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240" w:firstLineChars="100"/>
              <w:jc w:val="center"/>
              <w:textAlignment w:val="auto"/>
              <w:rPr>
                <w:rFonts w:hint="eastAsia" w:asciiTheme="minorEastAsia" w:hAnsiTheme="minorEastAsia" w:cstheme="minorEastAsia"/>
                <w:color w:val="000000"/>
                <w:kern w:val="0"/>
                <w:sz w:val="24"/>
                <w:szCs w:val="24"/>
                <w:vertAlign w:val="baseline"/>
                <w:lang w:val="en-US" w:eastAsia="zh-CN"/>
              </w:rPr>
            </w:pPr>
          </w:p>
        </w:tc>
      </w:tr>
      <w:tr w14:paraId="34C94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13" w:type="dxa"/>
            <w:vAlign w:val="center"/>
          </w:tcPr>
          <w:p w14:paraId="77BFF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2</w:t>
            </w:r>
          </w:p>
        </w:tc>
        <w:tc>
          <w:tcPr>
            <w:tcW w:w="2007" w:type="dxa"/>
            <w:shd w:val="clear" w:color="auto" w:fill="auto"/>
            <w:vAlign w:val="center"/>
          </w:tcPr>
          <w:p w14:paraId="1C6A626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采购人指定地点2</w:t>
            </w:r>
          </w:p>
        </w:tc>
        <w:tc>
          <w:tcPr>
            <w:tcW w:w="1614" w:type="dxa"/>
            <w:shd w:val="clear" w:color="auto" w:fill="auto"/>
            <w:vAlign w:val="center"/>
          </w:tcPr>
          <w:p w14:paraId="78A643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4</w:t>
            </w:r>
          </w:p>
        </w:tc>
        <w:tc>
          <w:tcPr>
            <w:tcW w:w="1626" w:type="dxa"/>
            <w:vMerge w:val="continue"/>
            <w:shd w:val="clear" w:color="auto" w:fill="auto"/>
            <w:vAlign w:val="center"/>
          </w:tcPr>
          <w:p w14:paraId="570924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p>
        </w:tc>
        <w:tc>
          <w:tcPr>
            <w:tcW w:w="1155" w:type="dxa"/>
            <w:vMerge w:val="continue"/>
            <w:shd w:val="clear" w:color="auto" w:fill="auto"/>
            <w:vAlign w:val="center"/>
          </w:tcPr>
          <w:p w14:paraId="0E661C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p>
        </w:tc>
        <w:tc>
          <w:tcPr>
            <w:tcW w:w="1078" w:type="dxa"/>
            <w:vAlign w:val="center"/>
          </w:tcPr>
          <w:p w14:paraId="147FF6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6000</w:t>
            </w:r>
          </w:p>
        </w:tc>
        <w:tc>
          <w:tcPr>
            <w:tcW w:w="1264" w:type="dxa"/>
            <w:vAlign w:val="center"/>
          </w:tcPr>
          <w:p w14:paraId="6A82D4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预估楼栋数量</w:t>
            </w:r>
          </w:p>
        </w:tc>
      </w:tr>
      <w:tr w14:paraId="2987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015" w:type="dxa"/>
            <w:gridSpan w:val="5"/>
            <w:vAlign w:val="center"/>
          </w:tcPr>
          <w:p w14:paraId="577E7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480" w:firstLineChars="20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eastAsiaTheme="minorEastAsia" w:cstheme="minorEastAsia"/>
                <w:color w:val="000000"/>
                <w:kern w:val="0"/>
                <w:sz w:val="24"/>
                <w:szCs w:val="24"/>
                <w:vertAlign w:val="baseline"/>
                <w:lang w:val="en-US" w:eastAsia="zh-CN"/>
              </w:rPr>
              <w:t>合计</w:t>
            </w:r>
          </w:p>
        </w:tc>
        <w:tc>
          <w:tcPr>
            <w:tcW w:w="1078" w:type="dxa"/>
            <w:vAlign w:val="center"/>
          </w:tcPr>
          <w:p w14:paraId="4F101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rPr>
            </w:pPr>
            <w:r>
              <w:rPr>
                <w:rFonts w:hint="eastAsia" w:asciiTheme="minorEastAsia" w:hAnsiTheme="minorEastAsia" w:cstheme="minorEastAsia"/>
                <w:color w:val="000000"/>
                <w:kern w:val="0"/>
                <w:sz w:val="24"/>
                <w:szCs w:val="24"/>
                <w:vertAlign w:val="baseline"/>
                <w:lang w:val="en-US" w:eastAsia="zh-CN"/>
              </w:rPr>
              <w:t>33000</w:t>
            </w:r>
          </w:p>
        </w:tc>
        <w:tc>
          <w:tcPr>
            <w:tcW w:w="1264" w:type="dxa"/>
            <w:vAlign w:val="center"/>
          </w:tcPr>
          <w:p w14:paraId="3227A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firstLine="240" w:firstLineChars="100"/>
              <w:jc w:val="center"/>
              <w:textAlignment w:val="auto"/>
              <w:rPr>
                <w:rFonts w:hint="eastAsia" w:asciiTheme="minorEastAsia" w:hAnsiTheme="minorEastAsia" w:eastAsiaTheme="minorEastAsia" w:cstheme="minorEastAsia"/>
                <w:color w:val="000000"/>
                <w:kern w:val="0"/>
                <w:sz w:val="24"/>
                <w:szCs w:val="24"/>
                <w:vertAlign w:val="baseline"/>
                <w:lang w:val="en-US" w:eastAsia="zh-CN"/>
              </w:rPr>
            </w:pPr>
          </w:p>
        </w:tc>
      </w:tr>
    </w:tbl>
    <w:p w14:paraId="5CABDD2C">
      <w:pPr>
        <w:keepNext w:val="0"/>
        <w:keepLines w:val="0"/>
        <w:pageBreakBefore w:val="0"/>
        <w:numPr>
          <w:ilvl w:val="0"/>
          <w:numId w:val="0"/>
        </w:numPr>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四</w:t>
      </w:r>
      <w:r>
        <w:rPr>
          <w:rFonts w:hint="eastAsia" w:ascii="仿宋_GB2312" w:eastAsia="宋体" w:hAnsiTheme="minorHAnsi" w:cstheme="minorBidi"/>
          <w:color w:val="000000"/>
          <w:kern w:val="2"/>
          <w:sz w:val="24"/>
          <w:szCs w:val="24"/>
          <w:lang w:val="en-US" w:eastAsia="zh-CN" w:bidi="ar-SA"/>
        </w:rPr>
        <w:t>、检测依据标准</w:t>
      </w:r>
    </w:p>
    <w:p w14:paraId="2D4D41E1">
      <w:pPr>
        <w:keepNext w:val="0"/>
        <w:keepLines w:val="0"/>
        <w:pageBreakBefore w:val="0"/>
        <w:kinsoku/>
        <w:wordWrap/>
        <w:overflowPunct/>
        <w:topLinePunct w:val="0"/>
        <w:autoSpaceDE/>
        <w:autoSpaceDN/>
        <w:bidi w:val="0"/>
        <w:adjustRightInd/>
        <w:snapToGrid/>
        <w:ind w:firstLine="480" w:firstLineChars="200"/>
        <w:textAlignment w:val="auto"/>
        <w:rPr>
          <w:rFonts w:hint="eastAsia" w:eastAsiaTheme="minorEastAsia"/>
          <w:lang w:eastAsia="zh-CN"/>
        </w:rPr>
      </w:pPr>
      <w:r>
        <w:rPr>
          <w:rFonts w:hint="eastAsia" w:ascii="仿宋_GB2312" w:eastAsia="宋体" w:hAnsiTheme="minorHAnsi" w:cstheme="minorBidi"/>
          <w:color w:val="000000"/>
          <w:kern w:val="2"/>
          <w:sz w:val="24"/>
          <w:szCs w:val="24"/>
          <w:lang w:val="en-US" w:eastAsia="zh-CN" w:bidi="ar-SA"/>
        </w:rPr>
        <w:t>为保障建(构)筑物防雷装置符合规范要求、运行有效，保障人身及财产安全，</w:t>
      </w:r>
      <w:r>
        <w:rPr>
          <w:rFonts w:hint="eastAsia" w:ascii="仿宋_GB2312" w:eastAsia="宋体" w:cstheme="minorBidi"/>
          <w:color w:val="000000"/>
          <w:kern w:val="2"/>
          <w:sz w:val="24"/>
          <w:szCs w:val="24"/>
          <w:lang w:val="en-US" w:eastAsia="zh-CN" w:bidi="ar-SA"/>
        </w:rPr>
        <w:t>供应商需</w:t>
      </w:r>
      <w:r>
        <w:rPr>
          <w:rFonts w:hint="eastAsia" w:ascii="仿宋_GB2312" w:eastAsia="宋体" w:hAnsiTheme="minorHAnsi" w:cstheme="minorBidi"/>
          <w:color w:val="000000"/>
          <w:kern w:val="2"/>
          <w:sz w:val="24"/>
          <w:szCs w:val="24"/>
          <w:lang w:val="en-US" w:eastAsia="zh-CN" w:bidi="ar-SA"/>
        </w:rPr>
        <w:t>依据国家及省、市相关法律法规与规范要求开展本项目安全检测工作，检测工作遵循以下技术规范</w:t>
      </w:r>
      <w:r>
        <w:rPr>
          <w:rFonts w:hint="eastAsia" w:ascii="仿宋_GB2312" w:eastAsia="宋体" w:cstheme="minorBidi"/>
          <w:color w:val="000000"/>
          <w:kern w:val="2"/>
          <w:sz w:val="24"/>
          <w:szCs w:val="24"/>
          <w:lang w:val="en-US" w:eastAsia="zh-CN" w:bidi="ar-SA"/>
        </w:rPr>
        <w:t>：</w:t>
      </w:r>
    </w:p>
    <w:p w14:paraId="732B5542">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1.《建筑物防雷设计规范》GB50057-2010</w:t>
      </w:r>
    </w:p>
    <w:p w14:paraId="142A8032">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2.《建筑物防雷装置检测技术规范》（GB/T21431—2023）</w:t>
      </w:r>
    </w:p>
    <w:p w14:paraId="7A75D9AE">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3.《防雷装置检测服务规范》GB/T32938-2016</w:t>
      </w:r>
    </w:p>
    <w:p w14:paraId="6E4743FC">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4.《建筑物防雷工程施工与质量验收规范》GB50601-2010</w:t>
      </w:r>
    </w:p>
    <w:p w14:paraId="7044C81F">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五</w:t>
      </w:r>
      <w:r>
        <w:rPr>
          <w:rFonts w:hint="eastAsia" w:ascii="仿宋_GB2312" w:eastAsia="宋体" w:hAnsiTheme="minorHAnsi" w:cstheme="minorBidi"/>
          <w:color w:val="000000"/>
          <w:kern w:val="2"/>
          <w:sz w:val="24"/>
          <w:szCs w:val="24"/>
          <w:lang w:val="en-US" w:eastAsia="zh-CN" w:bidi="ar-SA"/>
        </w:rPr>
        <w:t>、检测内容及技术要求</w:t>
      </w:r>
    </w:p>
    <w:p w14:paraId="7D26148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.1 接闪系统检测</w:t>
      </w:r>
    </w:p>
    <w:p w14:paraId="63DD0C20">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1.检查避雷针、避雷带、避雷网外观完好情况，有无断裂、锈蚀、变形、脱落现象。</w:t>
      </w:r>
    </w:p>
    <w:p w14:paraId="3B781A97">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2.核查接闪器规格、布设间距、保护范围是否符合对应防雷类别要求。</w:t>
      </w:r>
    </w:p>
    <w:p w14:paraId="308F3056">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lang w:val="en-US" w:eastAsia="zh-CN"/>
        </w:rPr>
        <w:t>3.检查屋面金属构件、通风管道、栏杆等是否可靠接入防雷系统。</w:t>
      </w:r>
    </w:p>
    <w:p w14:paraId="59C1153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.2 引下线检测</w:t>
      </w:r>
    </w:p>
    <w:p w14:paraId="27A45C0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检查引下线敷设路径、数量、外观腐蚀程度、固定点牢固情况。</w:t>
      </w:r>
    </w:p>
    <w:p w14:paraId="28833C9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测量引下线电气连续性，检查接头焊接、搭接长度是否达标。</w:t>
      </w:r>
    </w:p>
    <w:p w14:paraId="31A23F0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.3 接地装置检测（核心测试项）</w:t>
      </w:r>
    </w:p>
    <w:p w14:paraId="03C286F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使用专业接地电阻测试仪测量各处防雷接地电阻值，区分防雷接地、工作接地、保护接地阻值。</w:t>
      </w:r>
    </w:p>
    <w:p w14:paraId="23AF443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一类、二类、三类防雷建筑物接地电阻需满足规范限值要求，超标点位需标注整改意见。</w:t>
      </w:r>
    </w:p>
    <w:p w14:paraId="073A248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检查接地体有无外露、破损、土壤沉降裸露等问题。</w:t>
      </w:r>
    </w:p>
    <w:p w14:paraId="3FACB2EE">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.4 等电位连接检测</w:t>
      </w:r>
    </w:p>
    <w:p w14:paraId="6AAC36D4">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机房、配电间、卫生间、设备区域金属桥架、金属管道、金属门窗、设备外壳等等电位连接导通性测试。</w:t>
      </w:r>
    </w:p>
    <w:p w14:paraId="0793802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检查总等电位、局部等电位端子箱安装及连接情况。</w:t>
      </w:r>
    </w:p>
    <w:p w14:paraId="02D4C95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.5 浪涌保护器（SPD）检测</w:t>
      </w:r>
    </w:p>
    <w:p w14:paraId="7C0869A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高低压配电柜、UPS柜、网络机柜、监控电源、信号线路SPD外观检查，有无发黑、发热、损坏。</w:t>
      </w:r>
    </w:p>
    <w:p w14:paraId="07A9E83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核查SPD型号、参数、安装位置是否匹配使用场景，记录失效、过期产品。</w:t>
      </w:r>
    </w:p>
    <w:p w14:paraId="3909A355">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5</w:t>
      </w:r>
      <w:r>
        <w:rPr>
          <w:rFonts w:hint="eastAsia" w:ascii="仿宋_GB2312" w:eastAsia="宋体" w:hAnsiTheme="minorHAnsi" w:cstheme="minorBidi"/>
          <w:color w:val="000000"/>
          <w:kern w:val="2"/>
          <w:sz w:val="24"/>
          <w:szCs w:val="24"/>
          <w:lang w:val="en-US" w:eastAsia="zh-CN" w:bidi="ar-SA"/>
        </w:rPr>
        <w:t>.6 电气线路与屏蔽检测</w:t>
      </w:r>
    </w:p>
    <w:p w14:paraId="726A90A2">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强弱电线路敷设屏蔽情况，线路是否规范穿管接地。</w:t>
      </w:r>
    </w:p>
    <w:p w14:paraId="5C4523C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室外架空线路、信号传输线路防雷措施检查。</w:t>
      </w:r>
    </w:p>
    <w:p w14:paraId="7D2B716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六</w:t>
      </w:r>
      <w:r>
        <w:rPr>
          <w:rFonts w:hint="eastAsia" w:ascii="仿宋_GB2312" w:eastAsia="宋体" w:hAnsiTheme="minorHAnsi" w:cstheme="minorBidi"/>
          <w:color w:val="000000"/>
          <w:kern w:val="2"/>
          <w:sz w:val="24"/>
          <w:szCs w:val="24"/>
          <w:lang w:val="en-US" w:eastAsia="zh-CN" w:bidi="ar-SA"/>
        </w:rPr>
        <w:t>、服务工作要求</w:t>
      </w:r>
    </w:p>
    <w:p w14:paraId="178F0D0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检测单位须具备防雷检测资质，检测人员持证上岗，携带合格有效期内检测仪器。</w:t>
      </w:r>
    </w:p>
    <w:p w14:paraId="67035F10">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进场前提前沟通时间，做好现场安全交底，高空作业落实安全防护措施。</w:t>
      </w:r>
    </w:p>
    <w:p w14:paraId="4459A703">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逐点位逐项记录检测原始数据，不合格项目详细记录位置、问题描述。</w:t>
      </w:r>
    </w:p>
    <w:p w14:paraId="477E75CA">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4. 现场可同步提供简易整改建议，对严重隐患点位现场口头告知风险。</w:t>
      </w:r>
    </w:p>
    <w:p w14:paraId="440D0AF7">
      <w:pPr>
        <w:keepNext w:val="0"/>
        <w:keepLines w:val="0"/>
        <w:pageBreakBefore w:val="0"/>
        <w:kinsoku/>
        <w:wordWrap/>
        <w:overflowPunct/>
        <w:topLinePunct w:val="0"/>
        <w:autoSpaceDE/>
        <w:autoSpaceDN/>
        <w:bidi w:val="0"/>
        <w:adjustRightInd/>
        <w:snapToGrid/>
        <w:ind w:firstLine="480" w:firstLineChars="200"/>
        <w:textAlignment w:val="auto"/>
        <w:rPr>
          <w:rFonts w:hint="default"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5.认真履行国家赋予的职责，严格按照防雷技术规范进行检测，各项数据的检测及记录必须真实；检测过程中发现不符合要求的，应在三个工作日内以 书面形式告知甲方，甲方收到乙方告知书后，应及时整改，并申报复检，复检不再增加收费。</w:t>
      </w:r>
    </w:p>
    <w:p w14:paraId="5B60401A">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七</w:t>
      </w:r>
      <w:r>
        <w:rPr>
          <w:rFonts w:hint="eastAsia" w:ascii="仿宋_GB2312" w:eastAsia="宋体" w:hAnsiTheme="minorHAnsi" w:cstheme="minorBidi"/>
          <w:color w:val="000000"/>
          <w:kern w:val="2"/>
          <w:sz w:val="24"/>
          <w:szCs w:val="24"/>
          <w:lang w:val="en-US" w:eastAsia="zh-CN" w:bidi="ar-SA"/>
        </w:rPr>
        <w:t>、成果交付要求</w:t>
      </w:r>
    </w:p>
    <w:p w14:paraId="0AE3C24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检测完成后5个工作日内出具正式纸质版+电子版《防雷装置检测报告》。</w:t>
      </w:r>
    </w:p>
    <w:p w14:paraId="4676E6F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报告内容包含：项目基本信息、检测点位清单、各项实测数据、合格判定、隐患问题清单、整改建议。</w:t>
      </w:r>
    </w:p>
    <w:p w14:paraId="4AE43AB6">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3. 报告加盖检测单位资质印章，可用于气象、安全检查、安全生产台账备查。</w:t>
      </w:r>
    </w:p>
    <w:p w14:paraId="64112FB7">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 xml:space="preserve">4. 提供后期整改技术咨询服务。 </w:t>
      </w:r>
    </w:p>
    <w:p w14:paraId="6AAB047B">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cstheme="minorBidi"/>
          <w:color w:val="000000"/>
          <w:kern w:val="2"/>
          <w:sz w:val="24"/>
          <w:szCs w:val="24"/>
          <w:lang w:val="en-US" w:eastAsia="zh-CN" w:bidi="ar-SA"/>
        </w:rPr>
        <w:t>八</w:t>
      </w:r>
      <w:r>
        <w:rPr>
          <w:rFonts w:hint="eastAsia" w:ascii="仿宋_GB2312" w:eastAsia="宋体" w:hAnsiTheme="minorHAnsi" w:cstheme="minorBidi"/>
          <w:color w:val="000000"/>
          <w:kern w:val="2"/>
          <w:sz w:val="24"/>
          <w:szCs w:val="24"/>
          <w:lang w:val="en-US" w:eastAsia="zh-CN" w:bidi="ar-SA"/>
        </w:rPr>
        <w:t>、安全要求</w:t>
      </w:r>
    </w:p>
    <w:p w14:paraId="1BAA5F0C">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1. 检测作业期间严格遵守厂区安全管理制度，高空作业佩戴安全防护用品。</w:t>
      </w:r>
    </w:p>
    <w:p w14:paraId="6AC4DFF1">
      <w:pPr>
        <w:keepNext w:val="0"/>
        <w:keepLines w:val="0"/>
        <w:pageBreakBefore w:val="0"/>
        <w:kinsoku/>
        <w:wordWrap/>
        <w:overflowPunct/>
        <w:topLinePunct w:val="0"/>
        <w:autoSpaceDE/>
        <w:autoSpaceDN/>
        <w:bidi w:val="0"/>
        <w:adjustRightInd/>
        <w:snapToGrid/>
        <w:ind w:firstLine="480" w:firstLineChars="200"/>
        <w:textAlignment w:val="auto"/>
        <w:rPr>
          <w:rFonts w:hint="eastAsia" w:ascii="仿宋_GB2312" w:eastAsia="宋体" w:hAnsiTheme="minorHAnsi" w:cstheme="minorBidi"/>
          <w:color w:val="000000"/>
          <w:kern w:val="2"/>
          <w:sz w:val="24"/>
          <w:szCs w:val="24"/>
          <w:lang w:val="en-US" w:eastAsia="zh-CN" w:bidi="ar-SA"/>
        </w:rPr>
      </w:pPr>
      <w:r>
        <w:rPr>
          <w:rFonts w:hint="eastAsia" w:ascii="仿宋_GB2312" w:eastAsia="宋体" w:hAnsiTheme="minorHAnsi" w:cstheme="minorBidi"/>
          <w:color w:val="000000"/>
          <w:kern w:val="2"/>
          <w:sz w:val="24"/>
          <w:szCs w:val="24"/>
          <w:lang w:val="en-US" w:eastAsia="zh-CN" w:bidi="ar-SA"/>
        </w:rPr>
        <w:t>2. 雷雨、大风天气禁止开展室外及高空防雷检测作业。</w:t>
      </w:r>
    </w:p>
    <w:p w14:paraId="633EBD93">
      <w:pPr>
        <w:keepNext w:val="0"/>
        <w:keepLines w:val="0"/>
        <w:pageBreakBefore w:val="0"/>
        <w:kinsoku/>
        <w:wordWrap/>
        <w:overflowPunct/>
        <w:topLinePunct w:val="0"/>
        <w:autoSpaceDE/>
        <w:autoSpaceDN/>
        <w:bidi w:val="0"/>
        <w:adjustRightInd/>
        <w:snapToGrid/>
        <w:ind w:firstLine="480" w:firstLineChars="200"/>
        <w:textAlignment w:val="auto"/>
        <w:rPr>
          <w:rFonts w:hint="eastAsia" w:ascii="方正仿宋_GBK" w:hAnsi="方正仿宋_GBK" w:eastAsia="方正仿宋_GBK" w:cs="方正仿宋_GBK"/>
          <w:sz w:val="28"/>
          <w:szCs w:val="36"/>
        </w:rPr>
      </w:pPr>
      <w:r>
        <w:rPr>
          <w:rFonts w:hint="eastAsia" w:ascii="仿宋_GB2312" w:eastAsia="宋体" w:hAnsiTheme="minorHAnsi" w:cstheme="minorBidi"/>
          <w:color w:val="000000"/>
          <w:kern w:val="2"/>
          <w:sz w:val="24"/>
          <w:szCs w:val="24"/>
          <w:lang w:val="en-US" w:eastAsia="zh-CN" w:bidi="ar-SA"/>
        </w:rPr>
        <w:t>3. 作业过程不得损坏原有建筑结构、线路及设备。</w:t>
      </w:r>
    </w:p>
    <w:p w14:paraId="72A8DB40">
      <w:pPr>
        <w:pStyle w:val="5"/>
        <w:jc w:val="center"/>
        <w:rPr>
          <w:rFonts w:hint="eastAsia" w:ascii="方正小标宋_GBK" w:hAnsi="Calibri" w:eastAsia="方正小标宋_GBK"/>
          <w:w w:val="90"/>
          <w:sz w:val="44"/>
          <w:szCs w:val="44"/>
        </w:rPr>
      </w:pPr>
    </w:p>
    <w:p w14:paraId="6C6F8E8A">
      <w:pPr>
        <w:pStyle w:val="5"/>
        <w:jc w:val="center"/>
        <w:rPr>
          <w:rFonts w:hint="eastAsia" w:ascii="方正小标宋_GBK" w:hAnsi="Calibri" w:eastAsia="方正小标宋_GBK"/>
          <w:w w:val="90"/>
          <w:sz w:val="44"/>
          <w:szCs w:val="44"/>
        </w:rPr>
      </w:pPr>
    </w:p>
    <w:p w14:paraId="52BD48F7">
      <w:pPr>
        <w:pStyle w:val="5"/>
        <w:jc w:val="center"/>
        <w:rPr>
          <w:rFonts w:hint="eastAsia" w:ascii="方正小标宋_GBK" w:hAnsi="Calibri" w:eastAsia="方正小标宋_GBK"/>
          <w:w w:val="90"/>
          <w:sz w:val="44"/>
          <w:szCs w:val="44"/>
        </w:rPr>
      </w:pPr>
    </w:p>
    <w:p w14:paraId="4B118EC9">
      <w:pPr>
        <w:pStyle w:val="5"/>
        <w:jc w:val="center"/>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询价，按报价最低的原则系统推荐成交供应商。</w:t>
      </w:r>
    </w:p>
    <w:p w14:paraId="1D3E934B">
      <w:pPr>
        <w:pStyle w:val="5"/>
        <w:spacing w:line="360" w:lineRule="auto"/>
        <w:ind w:firstLine="482" w:firstLineChars="200"/>
        <w:rPr>
          <w:rFonts w:hint="eastAsia" w:ascii="宋体" w:hAnsi="宋体" w:eastAsia="宋体" w:cs="宋体"/>
          <w:sz w:val="24"/>
        </w:rPr>
      </w:pPr>
      <w:bookmarkStart w:id="6" w:name="_Toc11082"/>
      <w:bookmarkStart w:id="7" w:name="_Toc25580"/>
      <w:bookmarkStart w:id="8" w:name="bookmark267"/>
      <w:bookmarkStart w:id="9" w:name="bookmark268"/>
      <w:bookmarkStart w:id="10" w:name="bookmark266"/>
      <w:bookmarkStart w:id="11" w:name="_Toc26578"/>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_Toc31522"/>
      <w:bookmarkStart w:id="13" w:name="_Toc16679"/>
      <w:bookmarkStart w:id="14" w:name="bookmark270"/>
      <w:bookmarkStart w:id="15" w:name="bookmark269"/>
      <w:bookmarkStart w:id="16" w:name="bookmark271"/>
      <w:bookmarkStart w:id="17" w:name="_Toc4068"/>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bookmark277"/>
      <w:bookmarkStart w:id="19" w:name="_Toc22079"/>
      <w:bookmarkStart w:id="20" w:name="_Toc29219"/>
      <w:bookmarkStart w:id="21" w:name="bookmark276"/>
      <w:bookmarkStart w:id="22" w:name="_Toc22341"/>
      <w:bookmarkStart w:id="23" w:name="bookmark275"/>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本项目若有澄清文件一律在行采家（https://www.gec123.com/）上发布，请各竞选人注意无论竞选人下载与否，均视同竞选人已知晓本项目澄清文件的内容。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rPr>
      </w:pPr>
      <w:r>
        <w:rPr>
          <w:rFonts w:hint="eastAsia" w:ascii="宋体" w:hAnsi="宋体" w:eastAsia="宋体" w:cs="宋体"/>
          <w:sz w:val="24"/>
        </w:rPr>
        <w:t>3.1响应文件中加盖的单位公章应为公安机关备案的有效公章，且须在以下资料的每一页加盖投标人单位公章（特别注明：需加盖鲜章，即红色印泥原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（二）基本资格承诺函；</w:t>
      </w:r>
    </w:p>
    <w:p w14:paraId="1740EFE6">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（三）法定代表人身份证复印件、法定代表人身份证明书或法人委托人身份</w:t>
      </w:r>
    </w:p>
    <w:p w14:paraId="6E220CF1">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证复印件、法人委托书；</w:t>
      </w:r>
    </w:p>
    <w:p w14:paraId="714E5BE9">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（四）营业执照（副本）或事业单位法人证书（副本）或个体工商户营</w:t>
      </w:r>
    </w:p>
    <w:p w14:paraId="4C05DA1A">
      <w:pPr>
        <w:pStyle w:val="5"/>
        <w:spacing w:line="360" w:lineRule="auto"/>
        <w:rPr>
          <w:rFonts w:ascii="宋体" w:hAnsi="宋体" w:eastAsia="宋体" w:cs="宋体"/>
          <w:sz w:val="24"/>
        </w:rPr>
      </w:pPr>
      <w:r>
        <w:rPr>
          <w:rFonts w:hint="eastAsia" w:ascii="宋体" w:hAnsi="宋体" w:eastAsia="宋体" w:cs="宋体"/>
          <w:sz w:val="24"/>
        </w:rPr>
        <w:t>业执照复印件；</w:t>
      </w:r>
    </w:p>
    <w:p w14:paraId="28B5A692">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3.2投标人响应文件按照格式制作电子文档并上传资料，未按照要求上传响应文件或响应文件资料模糊不清，将视为无效投标。                                                                                                                                                                                                                                                                                                                                                                                                                                                                                                                                                                                                                                                                                                                                                                                                                                                                                                                                                                                                                                                                                                                                         </w:t>
      </w:r>
    </w:p>
    <w:p w14:paraId="781C009B">
      <w:pPr>
        <w:pStyle w:val="5"/>
        <w:spacing w:line="360" w:lineRule="auto"/>
        <w:ind w:firstLine="602" w:firstLineChars="200"/>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4.评审办法</w:t>
      </w:r>
    </w:p>
    <w:p w14:paraId="0D4471F2">
      <w:pPr>
        <w:pStyle w:val="5"/>
        <w:spacing w:line="360" w:lineRule="auto"/>
        <w:ind w:firstLine="602" w:firstLineChars="20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4.1评审标准</w:t>
      </w:r>
    </w:p>
    <w:p w14:paraId="3ACF0D9B">
      <w:pPr>
        <w:pStyle w:val="5"/>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sz w:val="24"/>
        </w:rPr>
      </w:pPr>
      <w:r>
        <w:rPr>
          <w:rFonts w:hint="eastAsia" w:ascii="宋体" w:hAnsi="宋体" w:eastAsia="宋体" w:cs="宋体"/>
          <w:sz w:val="24"/>
        </w:rPr>
        <w:t>（一）资格性检查。依据询价文件第一篇"竞选人资格要求"中的规定，对供应商的资质、信誉等进行审查，未通过者不进入下一阶段评审。</w:t>
      </w:r>
    </w:p>
    <w:p w14:paraId="05EAA480">
      <w:pPr>
        <w:pStyle w:val="5"/>
        <w:keepNext w:val="0"/>
        <w:keepLines w:val="0"/>
        <w:pageBreakBefore w:val="0"/>
        <w:widowControl w:val="0"/>
        <w:kinsoku/>
        <w:wordWrap/>
        <w:overflowPunct/>
        <w:topLinePunct w:val="0"/>
        <w:autoSpaceDE/>
        <w:autoSpaceDN/>
        <w:bidi w:val="0"/>
        <w:adjustRightInd/>
        <w:snapToGrid/>
        <w:spacing w:line="360" w:lineRule="auto"/>
        <w:ind w:left="479" w:leftChars="228" w:firstLine="240" w:firstLineChars="100"/>
        <w:textAlignment w:val="auto"/>
        <w:rPr>
          <w:rFonts w:hint="eastAsia" w:ascii="宋体" w:hAnsi="宋体" w:eastAsia="宋体" w:cs="宋体"/>
          <w:sz w:val="24"/>
        </w:rPr>
      </w:pPr>
      <w:r>
        <w:rPr>
          <w:rFonts w:hint="eastAsia" w:ascii="宋体" w:hAnsi="宋体" w:eastAsia="宋体" w:cs="宋体"/>
          <w:sz w:val="24"/>
        </w:rPr>
        <w:t>（二）符合性检查。检查响应文件是否满足询价文件的实质性要求，包括但不限于：是否按要求完整提交了所有文件、报价是否唯一且未超过预算、服务期和付款方式等主要条款是否响应等。</w:t>
      </w:r>
    </w:p>
    <w:p w14:paraId="308D8435">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4.2 成交原则</w:t>
      </w:r>
    </w:p>
    <w:p w14:paraId="42F121FB">
      <w:pPr>
        <w:pStyle w:val="5"/>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在通过资格性及符合性审查且供应商不少于3家的前提下，按含税合计报价最低的原则推荐成交供应商。</w:t>
      </w:r>
    </w:p>
    <w:p w14:paraId="76169F83">
      <w:pPr>
        <w:pStyle w:val="5"/>
        <w:spacing w:line="36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若评审小组认为成交候选供应商的报价明显低于其他通过审查供应商的报价，有可能影响服务质量或不能诚信履约的，将要求其在合理时间内提供书面说明及证明材料；不能提供相关证明材料的，评审小组可以取消其成交资格。</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5</w:t>
      </w:r>
      <w:r>
        <w:rPr>
          <w:rFonts w:hint="eastAsia" w:ascii="宋体" w:hAnsi="宋体" w:eastAsia="宋体" w:cs="宋体"/>
          <w:b/>
          <w:bCs/>
          <w:sz w:val="30"/>
          <w:szCs w:val="30"/>
        </w:rPr>
        <w:t>.投标人报价要求：</w:t>
      </w:r>
    </w:p>
    <w:p w14:paraId="67D4A449">
      <w:pPr>
        <w:snapToGrid w:val="0"/>
        <w:spacing w:line="360" w:lineRule="auto"/>
        <w:ind w:firstLine="480" w:firstLineChars="200"/>
        <w:rPr>
          <w:rFonts w:ascii="宋体" w:hAnsi="宋体" w:eastAsia="宋体" w:cs="宋体"/>
          <w:b w:val="0"/>
          <w:bCs w:val="0"/>
          <w:sz w:val="24"/>
        </w:rPr>
      </w:pPr>
      <w:r>
        <w:rPr>
          <w:rFonts w:hint="eastAsia" w:ascii="宋体" w:hAnsi="宋体" w:eastAsia="宋体" w:cs="宋体"/>
          <w:b w:val="0"/>
          <w:bCs w:val="0"/>
          <w:sz w:val="24"/>
          <w:lang w:val="en-US" w:eastAsia="zh-CN"/>
        </w:rPr>
        <w:t>5</w:t>
      </w:r>
      <w:r>
        <w:rPr>
          <w:rFonts w:hint="eastAsia" w:ascii="宋体" w:hAnsi="宋体" w:eastAsia="宋体" w:cs="宋体"/>
          <w:b w:val="0"/>
          <w:bCs w:val="0"/>
          <w:sz w:val="24"/>
        </w:rPr>
        <w:t>.1本项目为一次性报价，本项目采</w:t>
      </w:r>
      <w:r>
        <w:rPr>
          <w:rFonts w:hint="eastAsia" w:ascii="宋体" w:hAnsi="宋体" w:eastAsia="宋体" w:cs="宋体"/>
          <w:b w:val="0"/>
          <w:bCs w:val="0"/>
          <w:sz w:val="24"/>
          <w:lang w:val="en-US" w:eastAsia="zh-CN"/>
        </w:rPr>
        <w:t>含税</w:t>
      </w:r>
      <w:r>
        <w:rPr>
          <w:rFonts w:hint="eastAsia" w:ascii="宋体" w:hAnsi="宋体" w:eastAsia="宋体" w:cs="宋体"/>
          <w:b w:val="0"/>
          <w:bCs w:val="0"/>
          <w:sz w:val="24"/>
        </w:rPr>
        <w:t>总计价，</w:t>
      </w:r>
      <w:r>
        <w:rPr>
          <w:rFonts w:hint="eastAsia" w:ascii="宋体" w:hAnsi="宋体" w:eastAsia="宋体" w:cs="宋体"/>
          <w:b w:val="0"/>
          <w:bCs w:val="0"/>
          <w:color w:val="000000"/>
          <w:sz w:val="24"/>
        </w:rPr>
        <w:t>开具增值税专用发票，供应商系统报价时填写</w:t>
      </w:r>
      <w:r>
        <w:rPr>
          <w:rFonts w:hint="eastAsia" w:ascii="宋体" w:hAnsi="宋体" w:eastAsia="宋体" w:cs="宋体"/>
          <w:b w:val="0"/>
          <w:bCs w:val="0"/>
          <w:color w:val="000000"/>
          <w:sz w:val="24"/>
          <w:lang w:val="en-US" w:eastAsia="zh-CN"/>
        </w:rPr>
        <w:t>含税</w:t>
      </w:r>
      <w:r>
        <w:rPr>
          <w:rFonts w:hint="eastAsia" w:ascii="宋体" w:hAnsi="宋体" w:eastAsia="宋体" w:cs="宋体"/>
          <w:b w:val="0"/>
          <w:bCs w:val="0"/>
          <w:color w:val="000000"/>
          <w:sz w:val="24"/>
        </w:rPr>
        <w:t>价，报价时出现错误、超出限定预算</w:t>
      </w:r>
      <w:r>
        <w:rPr>
          <w:rFonts w:hint="eastAsia" w:ascii="宋体" w:hAnsi="宋体" w:eastAsia="宋体" w:cs="宋体"/>
          <w:b w:val="0"/>
          <w:bCs w:val="0"/>
          <w:color w:val="000000"/>
          <w:sz w:val="24"/>
          <w:lang w:val="en-US" w:eastAsia="zh-CN"/>
        </w:rPr>
        <w:t>或</w:t>
      </w:r>
      <w:r>
        <w:rPr>
          <w:rFonts w:hint="eastAsia" w:ascii="宋体" w:hAnsi="宋体" w:eastAsia="宋体" w:cs="宋体"/>
          <w:b w:val="0"/>
          <w:bCs w:val="0"/>
          <w:sz w:val="24"/>
        </w:rPr>
        <w:t>供应商系统报价时与报价单</w:t>
      </w:r>
      <w:r>
        <w:rPr>
          <w:rFonts w:hint="eastAsia" w:ascii="宋体" w:hAnsi="宋体" w:eastAsia="宋体" w:cs="宋体"/>
          <w:b w:val="0"/>
          <w:bCs w:val="0"/>
          <w:sz w:val="24"/>
          <w:lang w:val="en-US" w:eastAsia="zh-CN"/>
        </w:rPr>
        <w:t>含税价</w:t>
      </w:r>
      <w:r>
        <w:rPr>
          <w:rFonts w:hint="eastAsia" w:ascii="宋体" w:hAnsi="宋体" w:eastAsia="宋体" w:cs="宋体"/>
          <w:b w:val="0"/>
          <w:bCs w:val="0"/>
          <w:sz w:val="24"/>
        </w:rPr>
        <w:t>总计不符，将作为无效响应。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lang w:val="en-US" w:eastAsia="zh-CN"/>
        </w:rPr>
        <w:t>5</w:t>
      </w:r>
      <w:r>
        <w:rPr>
          <w:rFonts w:hint="eastAsia" w:ascii="宋体" w:hAnsi="宋体" w:eastAsia="宋体" w:cs="宋体"/>
          <w:color w:val="000000"/>
          <w:sz w:val="24"/>
        </w:rPr>
        <w:t>.2供应商应充分了解采购项目的总体情况以及影响报价的其他要素，报价包含货物费、运输费、人工费、服务费、安装测试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6</w:t>
      </w:r>
      <w:r>
        <w:rPr>
          <w:rFonts w:hint="eastAsia" w:ascii="宋体" w:hAnsi="宋体" w:eastAsia="宋体" w:cs="宋体"/>
          <w:b/>
          <w:bCs/>
          <w:sz w:val="30"/>
          <w:szCs w:val="30"/>
        </w:rPr>
        <w:t>.签订合同/协议：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7</w:t>
      </w:r>
      <w:r>
        <w:rPr>
          <w:rFonts w:hint="eastAsia" w:ascii="宋体" w:hAnsi="宋体" w:eastAsia="宋体" w:cs="宋体"/>
          <w:b/>
          <w:bCs/>
          <w:sz w:val="30"/>
          <w:szCs w:val="30"/>
        </w:rPr>
        <w:t>.履约保证金：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lang w:val="en-US" w:eastAsia="zh-CN"/>
        </w:rPr>
        <w:t>8</w:t>
      </w:r>
      <w:r>
        <w:rPr>
          <w:rFonts w:hint="eastAsia" w:ascii="宋体" w:hAnsi="宋体" w:eastAsia="宋体" w:cs="宋体"/>
          <w:b/>
          <w:bCs/>
          <w:sz w:val="30"/>
          <w:szCs w:val="30"/>
        </w:rPr>
        <w:t>.对供应商的纪律要求：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9.其他要求：</w:t>
      </w:r>
    </w:p>
    <w:p w14:paraId="5C31F566">
      <w:pPr>
        <w:pStyle w:val="14"/>
        <w:spacing w:line="360" w:lineRule="auto"/>
        <w:ind w:firstLine="480" w:firstLineChars="200"/>
        <w:jc w:val="left"/>
        <w:rPr>
          <w:rFonts w:hint="eastAsia" w:ascii="宋体" w:hAnsi="宋体" w:eastAsia="宋体" w:cs="宋体"/>
          <w:color w:val="000000"/>
          <w:sz w:val="24"/>
          <w:szCs w:val="24"/>
          <w:lang w:val="en-US" w:eastAsia="zh-CN"/>
        </w:rPr>
      </w:pPr>
      <w:r>
        <w:rPr>
          <w:rFonts w:hint="eastAsia" w:cs="宋体"/>
          <w:color w:val="000000"/>
          <w:sz w:val="24"/>
          <w:szCs w:val="24"/>
          <w:lang w:val="en-US" w:eastAsia="zh-CN"/>
        </w:rPr>
        <w:t>9</w:t>
      </w:r>
      <w:r>
        <w:rPr>
          <w:rFonts w:hint="eastAsia" w:ascii="宋体" w:hAnsi="宋体" w:eastAsia="宋体" w:cs="宋体"/>
          <w:color w:val="000000"/>
          <w:sz w:val="24"/>
          <w:szCs w:val="24"/>
          <w:lang w:val="en-US" w:eastAsia="zh-CN"/>
        </w:rPr>
        <w:t>.1中标供应商开具增值税专用发票清单名称必须与上述清单一致，不得用其他货物代替清单内货物，否则采购人有权取消其中标资格。</w:t>
      </w:r>
    </w:p>
    <w:p w14:paraId="002FF6C4">
      <w:pPr>
        <w:pStyle w:val="14"/>
        <w:spacing w:line="360" w:lineRule="auto"/>
        <w:ind w:firstLine="480" w:firstLineChars="200"/>
        <w:jc w:val="left"/>
        <w:rPr>
          <w:rFonts w:hint="default" w:ascii="宋体" w:hAnsi="宋体" w:eastAsia="宋体" w:cs="宋体"/>
          <w:color w:val="000000"/>
          <w:sz w:val="24"/>
          <w:szCs w:val="24"/>
          <w:lang w:val="en-US" w:eastAsia="zh-CN"/>
        </w:rPr>
      </w:pPr>
      <w:r>
        <w:rPr>
          <w:rFonts w:hint="eastAsia" w:cs="宋体"/>
          <w:color w:val="000000"/>
          <w:sz w:val="24"/>
          <w:szCs w:val="24"/>
          <w:lang w:val="en-US" w:eastAsia="zh-CN"/>
        </w:rPr>
        <w:t>9</w:t>
      </w:r>
      <w:r>
        <w:rPr>
          <w:rFonts w:hint="eastAsia" w:ascii="宋体" w:hAnsi="宋体" w:eastAsia="宋体" w:cs="宋体"/>
          <w:color w:val="000000"/>
          <w:sz w:val="24"/>
          <w:szCs w:val="24"/>
          <w:lang w:val="en-US" w:eastAsia="zh-CN"/>
        </w:rPr>
        <w:t>.2所有物资均不接受物流及快递投递至采购人指定地点，均需中标供应商送货上门，否则采购人有权取消其中标资格。</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53F4959B">
      <w:pPr>
        <w:pStyle w:val="5"/>
        <w:rPr>
          <w:rFonts w:ascii="方正小标宋_GBK" w:hAnsi="Calibri" w:eastAsia="方正小标宋_GBK"/>
          <w:w w:val="90"/>
          <w:sz w:val="44"/>
          <w:szCs w:val="44"/>
        </w:rPr>
      </w:pPr>
    </w:p>
    <w:p w14:paraId="1A26E111">
      <w:pPr>
        <w:pStyle w:val="5"/>
        <w:rPr>
          <w:rFonts w:ascii="方正小标宋_GBK" w:hAnsi="Calibri" w:eastAsia="方正小标宋_GBK"/>
          <w:w w:val="90"/>
          <w:sz w:val="44"/>
          <w:szCs w:val="44"/>
        </w:rPr>
      </w:pPr>
    </w:p>
    <w:p w14:paraId="2A0AC031">
      <w:pPr>
        <w:pStyle w:val="5"/>
        <w:rPr>
          <w:rFonts w:ascii="方正小标宋_GBK" w:hAnsi="Calibri" w:eastAsia="方正小标宋_GBK"/>
          <w:w w:val="90"/>
          <w:sz w:val="44"/>
          <w:szCs w:val="44"/>
        </w:rPr>
      </w:pPr>
    </w:p>
    <w:p w14:paraId="70A0CB77">
      <w:pPr>
        <w:pStyle w:val="5"/>
        <w:rPr>
          <w:rFonts w:ascii="方正小标宋_GBK" w:hAnsi="Calibri" w:eastAsia="方正小标宋_GBK"/>
          <w:w w:val="90"/>
          <w:sz w:val="44"/>
          <w:szCs w:val="44"/>
        </w:rPr>
      </w:pPr>
    </w:p>
    <w:p w14:paraId="7F9AF065">
      <w:pPr>
        <w:pStyle w:val="5"/>
        <w:rPr>
          <w:rFonts w:ascii="方正小标宋_GBK" w:hAnsi="Calibri" w:eastAsia="方正小标宋_GBK"/>
          <w:w w:val="90"/>
          <w:sz w:val="44"/>
          <w:szCs w:val="44"/>
        </w:rPr>
      </w:pPr>
    </w:p>
    <w:p w14:paraId="32709EBF">
      <w:pPr>
        <w:pStyle w:val="5"/>
        <w:rPr>
          <w:rFonts w:ascii="方正小标宋_GBK" w:hAnsi="Calibri" w:eastAsia="方正小标宋_GBK"/>
          <w:w w:val="90"/>
          <w:sz w:val="44"/>
          <w:szCs w:val="44"/>
        </w:rPr>
      </w:pPr>
    </w:p>
    <w:p w14:paraId="0C7C51F1">
      <w:pPr>
        <w:pStyle w:val="5"/>
        <w:rPr>
          <w:rFonts w:ascii="方正小标宋_GBK" w:hAnsi="Calibri" w:eastAsia="方正小标宋_GBK"/>
          <w:w w:val="90"/>
          <w:sz w:val="44"/>
          <w:szCs w:val="44"/>
        </w:rPr>
      </w:pPr>
    </w:p>
    <w:p w14:paraId="2AB372F9">
      <w:pPr>
        <w:pStyle w:val="5"/>
        <w:rPr>
          <w:rFonts w:ascii="方正小标宋_GBK" w:hAnsi="Calibri" w:eastAsia="方正小标宋_GBK"/>
          <w:w w:val="90"/>
          <w:sz w:val="44"/>
          <w:szCs w:val="44"/>
        </w:rPr>
      </w:pPr>
    </w:p>
    <w:p w14:paraId="48328707">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法定代表人身份证复印件、法定代表人身份证明书或法人委托人身份证复印件、法人委托书</w:t>
      </w:r>
    </w:p>
    <w:p w14:paraId="78FFF992">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33C2ABB3">
      <w:pPr>
        <w:pStyle w:val="5"/>
        <w:numPr>
          <w:ilvl w:val="0"/>
          <w:numId w:val="5"/>
        </w:numPr>
        <w:rPr>
          <w:rFonts w:ascii="方正小标宋_GBK" w:hAnsi="Calibri" w:eastAsia="方正小标宋_GBK"/>
          <w:w w:val="90"/>
          <w:sz w:val="30"/>
          <w:szCs w:val="30"/>
        </w:rPr>
      </w:pPr>
      <w:r>
        <w:rPr>
          <w:rFonts w:hint="eastAsia" w:ascii="方正小标宋_GBK" w:hAnsi="Calibri" w:eastAsia="方正小标宋_GBK"/>
          <w:w w:val="90"/>
          <w:sz w:val="30"/>
          <w:szCs w:val="30"/>
        </w:rPr>
        <w:t>报价单：</w:t>
      </w:r>
    </w:p>
    <w:tbl>
      <w:tblPr>
        <w:tblStyle w:val="11"/>
        <w:tblW w:w="9940" w:type="dxa"/>
        <w:tblInd w:w="-4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2"/>
        <w:gridCol w:w="1620"/>
        <w:gridCol w:w="1739"/>
        <w:gridCol w:w="959"/>
        <w:gridCol w:w="1197"/>
        <w:gridCol w:w="1668"/>
        <w:gridCol w:w="1775"/>
      </w:tblGrid>
      <w:tr w14:paraId="6E510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9940" w:type="dxa"/>
            <w:gridSpan w:val="7"/>
            <w:vAlign w:val="center"/>
          </w:tcPr>
          <w:p w14:paraId="1D0B94F3">
            <w:pPr>
              <w:keepNext w:val="0"/>
              <w:keepLines w:val="0"/>
              <w:suppressLineNumbers w:val="0"/>
              <w:snapToGrid w:val="0"/>
              <w:spacing w:before="0" w:beforeAutospacing="0" w:after="0" w:afterAutospacing="0" w:line="360" w:lineRule="auto"/>
              <w:ind w:left="0" w:right="0"/>
              <w:rPr>
                <w:rFonts w:hint="eastAsia" w:eastAsiaTheme="minorEastAsia"/>
                <w:vertAlign w:val="baseline"/>
                <w:lang w:eastAsia="zh-CN"/>
              </w:rPr>
            </w:pPr>
            <w:r>
              <w:rPr>
                <w:rFonts w:hint="eastAsia"/>
                <w:vertAlign w:val="baseline"/>
                <w:lang w:eastAsia="zh-CN"/>
              </w:rPr>
              <w:t>项目名称：</w:t>
            </w:r>
            <w:r>
              <w:rPr>
                <w:rFonts w:hint="eastAsia"/>
                <w:vertAlign w:val="baseline"/>
                <w:lang w:val="en-US" w:eastAsia="zh-CN"/>
              </w:rPr>
              <w:t>防雷装置检测服务</w:t>
            </w:r>
          </w:p>
        </w:tc>
      </w:tr>
      <w:tr w14:paraId="4189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982" w:type="dxa"/>
            <w:vAlign w:val="center"/>
          </w:tcPr>
          <w:p w14:paraId="3544D94B">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序号</w:t>
            </w:r>
          </w:p>
        </w:tc>
        <w:tc>
          <w:tcPr>
            <w:tcW w:w="1620" w:type="dxa"/>
            <w:vAlign w:val="center"/>
          </w:tcPr>
          <w:p w14:paraId="4C299A6E">
            <w:pPr>
              <w:keepNext w:val="0"/>
              <w:keepLines w:val="0"/>
              <w:widowControl w:val="0"/>
              <w:numPr>
                <w:ilvl w:val="0"/>
                <w:numId w:val="0"/>
              </w:numPr>
              <w:suppressLineNumbers w:val="0"/>
              <w:spacing w:before="0" w:beforeAutospacing="0" w:after="0" w:afterAutospacing="0"/>
              <w:ind w:left="0" w:right="0"/>
              <w:jc w:val="center"/>
              <w:rPr>
                <w:rFonts w:hint="eastAsia" w:eastAsiaTheme="minorEastAsia"/>
                <w:vertAlign w:val="baseline"/>
                <w:lang w:eastAsia="zh-CN"/>
              </w:rPr>
            </w:pPr>
            <w:r>
              <w:rPr>
                <w:rFonts w:hint="eastAsia"/>
                <w:vertAlign w:val="baseline"/>
                <w:lang w:eastAsia="zh-CN"/>
              </w:rPr>
              <w:t>服务内容</w:t>
            </w:r>
          </w:p>
        </w:tc>
        <w:tc>
          <w:tcPr>
            <w:tcW w:w="1739" w:type="dxa"/>
            <w:shd w:val="clear" w:color="auto" w:fill="auto"/>
            <w:vAlign w:val="center"/>
          </w:tcPr>
          <w:p w14:paraId="5DA30D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项目地址</w:t>
            </w:r>
          </w:p>
        </w:tc>
        <w:tc>
          <w:tcPr>
            <w:tcW w:w="959" w:type="dxa"/>
            <w:shd w:val="clear" w:color="auto" w:fill="auto"/>
            <w:vAlign w:val="center"/>
          </w:tcPr>
          <w:p w14:paraId="21164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楼栋</w:t>
            </w:r>
            <w:r>
              <w:rPr>
                <w:rFonts w:hint="eastAsia" w:asciiTheme="minorEastAsia" w:hAnsiTheme="minorEastAsia" w:eastAsiaTheme="minorEastAsia" w:cstheme="minorEastAsia"/>
                <w:color w:val="000000"/>
                <w:kern w:val="0"/>
                <w:sz w:val="24"/>
                <w:szCs w:val="24"/>
                <w:vertAlign w:val="baseline"/>
                <w:lang w:val="en-US" w:eastAsia="zh-CN"/>
              </w:rPr>
              <w:t>数量</w:t>
            </w:r>
          </w:p>
        </w:tc>
        <w:tc>
          <w:tcPr>
            <w:tcW w:w="1197" w:type="dxa"/>
            <w:vAlign w:val="center"/>
          </w:tcPr>
          <w:p w14:paraId="5C47530C">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次数</w:t>
            </w:r>
          </w:p>
        </w:tc>
        <w:tc>
          <w:tcPr>
            <w:tcW w:w="1668" w:type="dxa"/>
            <w:vAlign w:val="center"/>
          </w:tcPr>
          <w:p w14:paraId="15A9FC89">
            <w:pPr>
              <w:keepNext w:val="0"/>
              <w:keepLines w:val="0"/>
              <w:widowControl w:val="0"/>
              <w:numPr>
                <w:ilvl w:val="0"/>
                <w:numId w:val="0"/>
              </w:numPr>
              <w:suppressLineNumbers w:val="0"/>
              <w:spacing w:before="0" w:beforeAutospacing="0" w:after="0" w:afterAutospacing="0"/>
              <w:ind w:left="0" w:right="0"/>
              <w:jc w:val="center"/>
              <w:rPr>
                <w:rFonts w:hint="default" w:eastAsiaTheme="minorEastAsia"/>
                <w:vertAlign w:val="baseline"/>
                <w:lang w:val="en-US" w:eastAsia="zh-CN"/>
              </w:rPr>
            </w:pPr>
            <w:r>
              <w:rPr>
                <w:rFonts w:hint="eastAsia"/>
                <w:vertAlign w:val="baseline"/>
                <w:lang w:val="en-US" w:eastAsia="zh-CN"/>
              </w:rPr>
              <w:t>单价（元/次/栋）</w:t>
            </w:r>
          </w:p>
        </w:tc>
        <w:tc>
          <w:tcPr>
            <w:tcW w:w="1775" w:type="dxa"/>
            <w:vAlign w:val="center"/>
          </w:tcPr>
          <w:p w14:paraId="30CA3DD0">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合计（元）</w:t>
            </w:r>
          </w:p>
        </w:tc>
      </w:tr>
      <w:tr w14:paraId="39E9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trPr>
        <w:tc>
          <w:tcPr>
            <w:tcW w:w="982" w:type="dxa"/>
            <w:vMerge w:val="restart"/>
            <w:vAlign w:val="center"/>
          </w:tcPr>
          <w:p w14:paraId="08AD6071">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1</w:t>
            </w:r>
          </w:p>
        </w:tc>
        <w:tc>
          <w:tcPr>
            <w:tcW w:w="1620" w:type="dxa"/>
            <w:vMerge w:val="restart"/>
            <w:vAlign w:val="center"/>
          </w:tcPr>
          <w:p w14:paraId="7D3A7B2A">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r>
              <w:rPr>
                <w:rFonts w:hint="eastAsia"/>
                <w:vertAlign w:val="baseline"/>
                <w:lang w:eastAsia="zh-CN"/>
              </w:rPr>
              <w:t>按照第二篇《询价采购需求清单（货物及服务）》要求执行</w:t>
            </w:r>
          </w:p>
        </w:tc>
        <w:tc>
          <w:tcPr>
            <w:tcW w:w="1739" w:type="dxa"/>
            <w:shd w:val="clear" w:color="auto" w:fill="auto"/>
            <w:vAlign w:val="center"/>
          </w:tcPr>
          <w:p w14:paraId="1A1CCA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default"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采购人指定地点1</w:t>
            </w:r>
          </w:p>
        </w:tc>
        <w:tc>
          <w:tcPr>
            <w:tcW w:w="959" w:type="dxa"/>
            <w:shd w:val="clear" w:color="auto" w:fill="auto"/>
            <w:vAlign w:val="center"/>
          </w:tcPr>
          <w:p w14:paraId="649FC4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leftChars="0" w:right="0" w:rightChars="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18</w:t>
            </w:r>
          </w:p>
        </w:tc>
        <w:tc>
          <w:tcPr>
            <w:tcW w:w="1197" w:type="dxa"/>
            <w:vMerge w:val="restart"/>
            <w:vAlign w:val="center"/>
          </w:tcPr>
          <w:p w14:paraId="0BCFB214">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3</w:t>
            </w:r>
          </w:p>
        </w:tc>
        <w:tc>
          <w:tcPr>
            <w:tcW w:w="1668" w:type="dxa"/>
            <w:vMerge w:val="restart"/>
            <w:vAlign w:val="center"/>
          </w:tcPr>
          <w:p w14:paraId="72D102A9">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p>
        </w:tc>
        <w:tc>
          <w:tcPr>
            <w:tcW w:w="1775" w:type="dxa"/>
            <w:vAlign w:val="center"/>
          </w:tcPr>
          <w:p w14:paraId="574E499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r w14:paraId="41A42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trPr>
        <w:tc>
          <w:tcPr>
            <w:tcW w:w="982" w:type="dxa"/>
            <w:vMerge w:val="continue"/>
            <w:vAlign w:val="center"/>
          </w:tcPr>
          <w:p w14:paraId="25694E33">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val="en-US" w:eastAsia="zh-CN"/>
              </w:rPr>
            </w:pPr>
          </w:p>
        </w:tc>
        <w:tc>
          <w:tcPr>
            <w:tcW w:w="1620" w:type="dxa"/>
            <w:vMerge w:val="continue"/>
            <w:vAlign w:val="center"/>
          </w:tcPr>
          <w:p w14:paraId="33E48DB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c>
          <w:tcPr>
            <w:tcW w:w="1739" w:type="dxa"/>
            <w:shd w:val="clear" w:color="auto" w:fill="auto"/>
            <w:vAlign w:val="center"/>
          </w:tcPr>
          <w:p w14:paraId="3FFCB7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right="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仿宋_GB2312" w:eastAsia="宋体" w:cstheme="minorBidi"/>
                <w:color w:val="000000"/>
                <w:kern w:val="2"/>
                <w:sz w:val="24"/>
                <w:szCs w:val="24"/>
                <w:lang w:val="en-US" w:eastAsia="zh-CN" w:bidi="ar-SA"/>
              </w:rPr>
              <w:t>采购人指定地点2</w:t>
            </w:r>
          </w:p>
        </w:tc>
        <w:tc>
          <w:tcPr>
            <w:tcW w:w="959" w:type="dxa"/>
            <w:shd w:val="clear" w:color="auto" w:fill="auto"/>
            <w:vAlign w:val="center"/>
          </w:tcPr>
          <w:p w14:paraId="304C13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12" w:lineRule="atLeast"/>
              <w:ind w:left="0" w:leftChars="0" w:right="0" w:rightChars="0"/>
              <w:jc w:val="center"/>
              <w:textAlignment w:val="auto"/>
              <w:rPr>
                <w:rFonts w:hint="eastAsia" w:asciiTheme="minorEastAsia" w:hAnsiTheme="minorEastAsia" w:eastAsiaTheme="minorEastAsia" w:cstheme="minorEastAsia"/>
                <w:color w:val="000000"/>
                <w:kern w:val="0"/>
                <w:sz w:val="24"/>
                <w:szCs w:val="24"/>
                <w:vertAlign w:val="baseline"/>
                <w:lang w:val="en-US" w:eastAsia="zh-CN" w:bidi="ar-SA"/>
              </w:rPr>
            </w:pPr>
            <w:r>
              <w:rPr>
                <w:rFonts w:hint="eastAsia" w:asciiTheme="minorEastAsia" w:hAnsiTheme="minorEastAsia" w:cstheme="minorEastAsia"/>
                <w:color w:val="000000"/>
                <w:kern w:val="0"/>
                <w:sz w:val="24"/>
                <w:szCs w:val="24"/>
                <w:vertAlign w:val="baseline"/>
                <w:lang w:val="en-US" w:eastAsia="zh-CN"/>
              </w:rPr>
              <w:t>4</w:t>
            </w:r>
          </w:p>
        </w:tc>
        <w:tc>
          <w:tcPr>
            <w:tcW w:w="1197" w:type="dxa"/>
            <w:vMerge w:val="continue"/>
            <w:vAlign w:val="center"/>
          </w:tcPr>
          <w:p w14:paraId="543A1F4F">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val="en-US" w:eastAsia="zh-CN"/>
              </w:rPr>
            </w:pPr>
          </w:p>
        </w:tc>
        <w:tc>
          <w:tcPr>
            <w:tcW w:w="1668" w:type="dxa"/>
            <w:vMerge w:val="continue"/>
            <w:vAlign w:val="center"/>
          </w:tcPr>
          <w:p w14:paraId="12F39482">
            <w:pPr>
              <w:keepNext w:val="0"/>
              <w:keepLines w:val="0"/>
              <w:widowControl w:val="0"/>
              <w:numPr>
                <w:ilvl w:val="0"/>
                <w:numId w:val="0"/>
              </w:numPr>
              <w:suppressLineNumbers w:val="0"/>
              <w:spacing w:before="0" w:beforeAutospacing="0" w:after="0" w:afterAutospacing="0"/>
              <w:ind w:left="0" w:right="0"/>
              <w:jc w:val="both"/>
              <w:rPr>
                <w:rFonts w:hint="eastAsia"/>
                <w:vertAlign w:val="baseline"/>
                <w:lang w:eastAsia="zh-CN"/>
              </w:rPr>
            </w:pPr>
          </w:p>
        </w:tc>
        <w:tc>
          <w:tcPr>
            <w:tcW w:w="1775" w:type="dxa"/>
            <w:vAlign w:val="center"/>
          </w:tcPr>
          <w:p w14:paraId="33E8E2C8">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r w14:paraId="18A1F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165" w:type="dxa"/>
            <w:gridSpan w:val="6"/>
            <w:vAlign w:val="center"/>
          </w:tcPr>
          <w:p w14:paraId="4C90937D">
            <w:pPr>
              <w:keepNext w:val="0"/>
              <w:keepLines w:val="0"/>
              <w:widowControl w:val="0"/>
              <w:numPr>
                <w:ilvl w:val="0"/>
                <w:numId w:val="0"/>
              </w:numPr>
              <w:suppressLineNumbers w:val="0"/>
              <w:spacing w:before="0" w:beforeAutospacing="0" w:after="0" w:afterAutospacing="0"/>
              <w:ind w:left="0" w:right="0"/>
              <w:jc w:val="center"/>
              <w:rPr>
                <w:rFonts w:hint="default"/>
                <w:vertAlign w:val="baseline"/>
                <w:lang w:val="en-US" w:eastAsia="zh-CN"/>
              </w:rPr>
            </w:pPr>
            <w:r>
              <w:rPr>
                <w:rFonts w:hint="eastAsia"/>
                <w:vertAlign w:val="baseline"/>
                <w:lang w:val="en-US" w:eastAsia="zh-CN"/>
              </w:rPr>
              <w:t>合计：</w:t>
            </w:r>
          </w:p>
        </w:tc>
        <w:tc>
          <w:tcPr>
            <w:tcW w:w="1775" w:type="dxa"/>
            <w:vAlign w:val="center"/>
          </w:tcPr>
          <w:p w14:paraId="0987C311">
            <w:pPr>
              <w:keepNext w:val="0"/>
              <w:keepLines w:val="0"/>
              <w:widowControl w:val="0"/>
              <w:numPr>
                <w:ilvl w:val="0"/>
                <w:numId w:val="0"/>
              </w:numPr>
              <w:suppressLineNumbers w:val="0"/>
              <w:spacing w:before="0" w:beforeAutospacing="0" w:after="0" w:afterAutospacing="0"/>
              <w:ind w:left="0" w:right="0"/>
              <w:jc w:val="center"/>
              <w:rPr>
                <w:rFonts w:hint="eastAsia"/>
                <w:vertAlign w:val="baseline"/>
                <w:lang w:eastAsia="zh-CN"/>
              </w:rPr>
            </w:pPr>
          </w:p>
        </w:tc>
      </w:tr>
    </w:tbl>
    <w:p w14:paraId="43943788">
      <w:pPr>
        <w:spacing w:line="500" w:lineRule="exact"/>
        <w:ind w:right="-105" w:rightChars="-50"/>
        <w:rPr>
          <w:rFonts w:hint="eastAsia" w:ascii="方正仿宋_GBK" w:hAnsi="宋体"/>
          <w:sz w:val="28"/>
          <w:szCs w:val="28"/>
        </w:rPr>
      </w:pPr>
      <w:r>
        <w:rPr>
          <w:rFonts w:hint="eastAsia" w:ascii="方正仿宋_GBK" w:hAnsi="宋体"/>
          <w:sz w:val="28"/>
          <w:szCs w:val="28"/>
        </w:rPr>
        <w:t>注： 合计金额应与系统报价保持一致。</w:t>
      </w:r>
    </w:p>
    <w:p w14:paraId="3A1DCBC2">
      <w:pPr>
        <w:spacing w:line="500" w:lineRule="exact"/>
        <w:ind w:right="-105" w:rightChars="-5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4AC1A053">
      <w:pPr>
        <w:pStyle w:val="5"/>
        <w:rPr>
          <w:rFonts w:hint="eastAsia" w:ascii="方正小标宋_GBK" w:hAnsi="Calibri" w:eastAsia="方正小标宋_GBK"/>
          <w:w w:val="90"/>
          <w:sz w:val="30"/>
          <w:szCs w:val="30"/>
        </w:rPr>
      </w:pPr>
    </w:p>
    <w:p w14:paraId="49B98C2C">
      <w:pPr>
        <w:pStyle w:val="5"/>
        <w:rPr>
          <w:rFonts w:hint="eastAsia" w:ascii="方正小标宋_GBK" w:hAnsi="Calibri" w:eastAsia="方正小标宋_GBK"/>
          <w:w w:val="90"/>
          <w:sz w:val="30"/>
          <w:szCs w:val="30"/>
        </w:rPr>
      </w:pPr>
    </w:p>
    <w:p w14:paraId="1C1C6415">
      <w:pPr>
        <w:pStyle w:val="5"/>
        <w:rPr>
          <w:rFonts w:hint="eastAsia" w:ascii="方正小标宋_GBK" w:hAnsi="Calibri" w:eastAsia="方正小标宋_GBK"/>
          <w:w w:val="90"/>
          <w:sz w:val="30"/>
          <w:szCs w:val="30"/>
        </w:rPr>
      </w:pPr>
    </w:p>
    <w:p w14:paraId="1B1F12E7">
      <w:pPr>
        <w:pStyle w:val="5"/>
        <w:rPr>
          <w:rFonts w:hint="eastAsia" w:ascii="方正小标宋_GBK" w:hAnsi="Calibri" w:eastAsia="方正小标宋_GBK"/>
          <w:w w:val="90"/>
          <w:sz w:val="30"/>
          <w:szCs w:val="30"/>
        </w:rPr>
      </w:pPr>
    </w:p>
    <w:p w14:paraId="74C76077">
      <w:pPr>
        <w:pStyle w:val="5"/>
        <w:rPr>
          <w:rFonts w:hint="eastAsia" w:ascii="方正小标宋_GBK" w:hAnsi="Calibri" w:eastAsia="方正小标宋_GBK"/>
          <w:w w:val="90"/>
          <w:sz w:val="30"/>
          <w:szCs w:val="30"/>
        </w:rPr>
      </w:pPr>
    </w:p>
    <w:p w14:paraId="4DB5C44A">
      <w:pPr>
        <w:pStyle w:val="5"/>
        <w:rPr>
          <w:rFonts w:hint="eastAsia" w:ascii="方正小标宋_GBK" w:hAnsi="Calibri" w:eastAsia="方正小标宋_GBK"/>
          <w:w w:val="90"/>
          <w:sz w:val="30"/>
          <w:szCs w:val="30"/>
        </w:rPr>
      </w:pPr>
    </w:p>
    <w:p w14:paraId="03C88920">
      <w:pPr>
        <w:pStyle w:val="5"/>
        <w:rPr>
          <w:rFonts w:hint="eastAsia" w:ascii="方正小标宋_GBK" w:hAnsi="Calibri" w:eastAsia="方正小标宋_GBK"/>
          <w:w w:val="90"/>
          <w:sz w:val="30"/>
          <w:szCs w:val="30"/>
        </w:rPr>
      </w:pPr>
    </w:p>
    <w:p w14:paraId="73ADA34B">
      <w:pPr>
        <w:pStyle w:val="5"/>
        <w:rPr>
          <w:rFonts w:hint="eastAsia" w:ascii="方正小标宋_GBK" w:hAnsi="Calibri" w:eastAsia="方正小标宋_GBK"/>
          <w:w w:val="90"/>
          <w:sz w:val="30"/>
          <w:szCs w:val="30"/>
        </w:rPr>
      </w:pPr>
    </w:p>
    <w:p w14:paraId="29E7285E">
      <w:pPr>
        <w:pStyle w:val="5"/>
        <w:rPr>
          <w:rFonts w:hint="eastAsia" w:ascii="方正小标宋_GBK" w:hAnsi="Calibri" w:eastAsia="方正小标宋_GBK"/>
          <w:w w:val="90"/>
          <w:sz w:val="30"/>
          <w:szCs w:val="30"/>
        </w:rPr>
      </w:pPr>
    </w:p>
    <w:p w14:paraId="555019FE">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微软雅黑" w:cs="FZFSK--GBK1-0"/>
          <w:kern w:val="0"/>
          <w:sz w:val="28"/>
          <w:szCs w:val="28"/>
        </w:rPr>
      </w:pPr>
      <w:r>
        <w:rPr>
          <w:rFonts w:hint="eastAsia" w:ascii="方正仿宋_GBK" w:hAnsi="微软雅黑"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微软雅黑" w:cs="FZFSK--GBK1-0"/>
          <w:kern w:val="0"/>
          <w:sz w:val="28"/>
          <w:szCs w:val="28"/>
        </w:rPr>
      </w:pPr>
      <w:r>
        <w:rPr>
          <w:rFonts w:hint="eastAsia" w:ascii="方正仿宋_GBK" w:hAnsi="微软雅黑"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1.</w:t>
      </w:r>
      <w:r>
        <w:rPr>
          <w:rFonts w:hint="eastAsia" w:ascii="方正仿宋_GBK" w:hAnsi="微软雅黑"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2.</w:t>
      </w:r>
      <w:r>
        <w:rPr>
          <w:rFonts w:hint="eastAsia" w:ascii="方正仿宋_GBK" w:hAnsi="微软雅黑" w:cs="FZFSK--GBK1-0"/>
          <w:kern w:val="0"/>
          <w:sz w:val="28"/>
          <w:szCs w:val="28"/>
        </w:rPr>
        <w:t>我方未列入在信用中国网站（</w:t>
      </w:r>
      <w:r>
        <w:rPr>
          <w:rFonts w:hint="eastAsia" w:ascii="方正仿宋_GBK" w:hAnsi="微软雅黑"/>
          <w:kern w:val="0"/>
          <w:sz w:val="28"/>
          <w:szCs w:val="28"/>
        </w:rPr>
        <w:t>www.creditchina.gov.cn</w:t>
      </w:r>
      <w:r>
        <w:rPr>
          <w:rFonts w:hint="eastAsia" w:ascii="方正仿宋_GBK" w:hAnsi="微软雅黑" w:cs="FZFSK--GBK1-0"/>
          <w:kern w:val="0"/>
          <w:sz w:val="28"/>
          <w:szCs w:val="28"/>
        </w:rPr>
        <w:t>）“失信被执行人”、“重大税收违法案件当事人名单”中，也未列入中国政府采购网（</w:t>
      </w:r>
      <w:r>
        <w:rPr>
          <w:rFonts w:hint="eastAsia" w:ascii="方正仿宋_GBK" w:hAnsi="微软雅黑"/>
          <w:kern w:val="0"/>
          <w:sz w:val="28"/>
          <w:szCs w:val="28"/>
        </w:rPr>
        <w:t>www.ccgp.gov.cn</w:t>
      </w:r>
      <w:r>
        <w:rPr>
          <w:rFonts w:hint="eastAsia" w:ascii="方正仿宋_GBK" w:hAnsi="微软雅黑"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kern w:val="0"/>
          <w:sz w:val="28"/>
          <w:szCs w:val="28"/>
        </w:rPr>
        <w:t>3.</w:t>
      </w:r>
      <w:r>
        <w:rPr>
          <w:rFonts w:hint="eastAsia" w:ascii="方正仿宋_GBK" w:hAnsi="微软雅黑"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微软雅黑" w:cs="FZFSK--GBK1-0"/>
          <w:kern w:val="0"/>
          <w:sz w:val="28"/>
          <w:szCs w:val="28"/>
        </w:rPr>
      </w:pPr>
      <w:r>
        <w:rPr>
          <w:rFonts w:hint="eastAsia" w:ascii="方正仿宋_GBK" w:hAnsi="微软雅黑" w:cs="FZFSK--GBK1-0"/>
          <w:kern w:val="0"/>
          <w:sz w:val="28"/>
          <w:szCs w:val="28"/>
        </w:rPr>
        <w:t>特此承诺。</w:t>
      </w:r>
    </w:p>
    <w:p w14:paraId="5DFD57A2">
      <w:pPr>
        <w:autoSpaceDE w:val="0"/>
        <w:autoSpaceDN w:val="0"/>
        <w:adjustRightInd w:val="0"/>
        <w:jc w:val="left"/>
        <w:rPr>
          <w:rFonts w:ascii="方正仿宋_GBK" w:hAnsi="微软雅黑" w:cs="FZFSK--GBK1-0"/>
          <w:kern w:val="0"/>
          <w:sz w:val="28"/>
          <w:szCs w:val="28"/>
        </w:rPr>
      </w:pPr>
    </w:p>
    <w:p w14:paraId="6C52FC15">
      <w:pPr>
        <w:autoSpaceDE w:val="0"/>
        <w:autoSpaceDN w:val="0"/>
        <w:adjustRightInd w:val="0"/>
        <w:jc w:val="left"/>
        <w:rPr>
          <w:rFonts w:ascii="方正仿宋_GBK" w:hAnsi="微软雅黑" w:cs="FZFSK--GBK1-0"/>
          <w:kern w:val="0"/>
          <w:sz w:val="28"/>
          <w:szCs w:val="28"/>
        </w:rPr>
      </w:pPr>
    </w:p>
    <w:p w14:paraId="7DDBF5C4">
      <w:pPr>
        <w:autoSpaceDE w:val="0"/>
        <w:autoSpaceDN w:val="0"/>
        <w:adjustRightInd w:val="0"/>
        <w:ind w:firstLine="5460" w:firstLineChars="1950"/>
        <w:jc w:val="left"/>
        <w:rPr>
          <w:rFonts w:ascii="方正仿宋_GBK" w:hAnsi="微软雅黑" w:cs="FZFSK--GBK1-0"/>
          <w:kern w:val="0"/>
          <w:sz w:val="28"/>
          <w:szCs w:val="28"/>
        </w:rPr>
      </w:pPr>
      <w:r>
        <w:rPr>
          <w:rFonts w:hint="eastAsia" w:ascii="方正仿宋_GBK" w:hAnsi="微软雅黑"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微软雅黑" w:cs="FZFSK--GBK1-0"/>
          <w:kern w:val="0"/>
          <w:sz w:val="28"/>
          <w:szCs w:val="28"/>
        </w:rPr>
        <w:t>年  月  日</w:t>
      </w:r>
    </w:p>
    <w:p w14:paraId="6AE958EA">
      <w:pPr>
        <w:pStyle w:val="5"/>
        <w:rPr>
          <w:rFonts w:hint="eastAsia" w:ascii="方正小标宋_GBK" w:hAnsi="Calibri" w:eastAsia="方正小标宋_GBK"/>
          <w:w w:val="90"/>
          <w:sz w:val="30"/>
          <w:szCs w:val="30"/>
        </w:rPr>
      </w:pPr>
    </w:p>
    <w:p w14:paraId="18C4BFB8">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三.法定代表人身份证复印件、法定代表人身份证明书或法人委托人身份证复印件、法人委托书：（供应商已提供法人身份证复印件和法定代表人证明书则无须提供委托人相关证明材料）</w:t>
      </w:r>
    </w:p>
    <w:p w14:paraId="7EA5C246">
      <w:pPr>
        <w:widowControl/>
        <w:jc w:val="left"/>
        <w:rPr>
          <w:rFonts w:ascii="华文宋体" w:hAnsi="华文宋体" w:eastAsia="华文宋体" w:cs="华文宋体"/>
          <w:sz w:val="24"/>
        </w:rPr>
      </w:pPr>
      <w:r>
        <w:rPr>
          <w:rFonts w:hint="eastAsia" w:ascii="华文宋体" w:hAnsi="华文宋体" w:eastAsia="华文宋体" w:cs="华文宋体"/>
          <w:sz w:val="24"/>
        </w:rPr>
        <w:t>1.法定代表人身份证明书（格式）</w:t>
      </w:r>
    </w:p>
    <w:p w14:paraId="35818AFB">
      <w:pPr>
        <w:tabs>
          <w:tab w:val="left" w:pos="6300"/>
        </w:tabs>
        <w:snapToGrid w:val="0"/>
        <w:spacing w:line="500" w:lineRule="exact"/>
        <w:ind w:firstLine="570"/>
        <w:rPr>
          <w:rFonts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16240828">
      <w:pPr>
        <w:pStyle w:val="5"/>
        <w:rPr>
          <w:rFonts w:ascii="方正小标宋_GBK" w:hAnsi="Calibri" w:eastAsia="方正小标宋_GBK"/>
          <w:w w:val="90"/>
          <w:sz w:val="30"/>
          <w:szCs w:val="30"/>
        </w:rPr>
      </w:pPr>
    </w:p>
    <w:p w14:paraId="2CEE190C">
      <w:pPr>
        <w:pStyle w:val="5"/>
        <w:rPr>
          <w:rFonts w:ascii="方正小标宋_GBK" w:hAnsi="Calibri" w:eastAsia="方正小标宋_GBK"/>
          <w:w w:val="90"/>
          <w:sz w:val="30"/>
          <w:szCs w:val="30"/>
        </w:rPr>
      </w:pPr>
    </w:p>
    <w:p w14:paraId="65D41E4E">
      <w:pPr>
        <w:pStyle w:val="5"/>
        <w:rPr>
          <w:rFonts w:ascii="方正小标宋_GBK" w:hAnsi="Calibri" w:eastAsia="方正小标宋_GBK"/>
          <w:w w:val="90"/>
          <w:sz w:val="30"/>
          <w:szCs w:val="30"/>
        </w:rPr>
      </w:pPr>
    </w:p>
    <w:p w14:paraId="1EEA51E6">
      <w:pPr>
        <w:pStyle w:val="5"/>
        <w:rPr>
          <w:rFonts w:ascii="方正小标宋_GBK" w:hAnsi="Calibri" w:eastAsia="方正小标宋_GBK"/>
          <w:w w:val="90"/>
          <w:sz w:val="30"/>
          <w:szCs w:val="30"/>
        </w:rPr>
      </w:pPr>
    </w:p>
    <w:p w14:paraId="6C44E5DC">
      <w:pPr>
        <w:tabs>
          <w:tab w:val="left" w:pos="6300"/>
        </w:tabs>
        <w:snapToGrid w:val="0"/>
        <w:spacing w:line="500" w:lineRule="exact"/>
        <w:rPr>
          <w:rFonts w:ascii="华文宋体" w:hAnsi="华文宋体" w:eastAsia="华文宋体" w:cs="华文宋体"/>
          <w:sz w:val="24"/>
        </w:rPr>
      </w:pPr>
      <w:r>
        <w:rPr>
          <w:rFonts w:hint="eastAsia" w:ascii="华文宋体" w:hAnsi="华文宋体" w:eastAsia="华文宋体" w:cs="华文宋体"/>
          <w:sz w:val="24"/>
        </w:rPr>
        <w:t>2.法定代表人授权委托书（格式）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w:t>
      </w:r>
      <w:bookmarkStart w:id="24" w:name="_GoBack"/>
      <w:bookmarkEnd w:id="24"/>
      <w:r>
        <w:rPr>
          <w:rFonts w:hint="eastAsia" w:ascii="华文宋体" w:hAnsi="华文宋体" w:eastAsia="华文宋体" w:cs="华文宋体"/>
          <w:sz w:val="24"/>
        </w:rPr>
        <w:t>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38185FA7">
      <w:pPr>
        <w:pStyle w:val="5"/>
        <w:rPr>
          <w:rFonts w:ascii="华文宋体" w:hAnsi="华文宋体" w:eastAsia="华文宋体" w:cs="华文宋体"/>
          <w:sz w:val="24"/>
        </w:rPr>
      </w:pPr>
    </w:p>
    <w:p w14:paraId="7F56F392">
      <w:pPr>
        <w:pStyle w:val="5"/>
        <w:rPr>
          <w:rFonts w:ascii="华文宋体" w:hAnsi="华文宋体" w:eastAsia="华文宋体" w:cs="华文宋体"/>
          <w:sz w:val="24"/>
        </w:rPr>
      </w:pPr>
    </w:p>
    <w:p w14:paraId="4C8A7252">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59E08787">
      <w:pPr>
        <w:pStyle w:val="5"/>
        <w:rPr>
          <w:rFonts w:ascii="华文宋体" w:hAnsi="华文宋体" w:eastAsia="华文宋体" w:cs="华文宋体"/>
          <w:sz w:val="24"/>
        </w:rPr>
      </w:pPr>
    </w:p>
    <w:p w14:paraId="49C84224">
      <w:pPr>
        <w:pStyle w:val="5"/>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3396B6E">
      <w:pPr>
        <w:pStyle w:val="5"/>
        <w:rPr>
          <w:rFonts w:ascii="华文宋体" w:hAnsi="华文宋体" w:eastAsia="华文宋体" w:cs="华文宋体"/>
          <w:sz w:val="24"/>
        </w:rPr>
      </w:pPr>
    </w:p>
    <w:p w14:paraId="0D4E8B1D">
      <w:pPr>
        <w:pStyle w:val="5"/>
        <w:rPr>
          <w:rFonts w:ascii="华文宋体" w:hAnsi="华文宋体" w:eastAsia="华文宋体" w:cs="华文宋体"/>
          <w:sz w:val="24"/>
        </w:rPr>
      </w:pPr>
    </w:p>
    <w:p w14:paraId="515EA575">
      <w:pPr>
        <w:pStyle w:val="5"/>
        <w:rPr>
          <w:rFonts w:ascii="华文宋体" w:hAnsi="华文宋体" w:eastAsia="华文宋体" w:cs="华文宋体"/>
          <w:sz w:val="24"/>
        </w:rPr>
      </w:pPr>
    </w:p>
    <w:p w14:paraId="7E0D4659">
      <w:pPr>
        <w:pStyle w:val="5"/>
        <w:rPr>
          <w:rFonts w:ascii="华文宋体" w:hAnsi="华文宋体" w:eastAsia="华文宋体" w:cs="华文宋体"/>
          <w:sz w:val="24"/>
        </w:rPr>
      </w:pPr>
    </w:p>
    <w:p w14:paraId="390C5DEE">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11E60602">
      <w:pPr>
        <w:pStyle w:val="5"/>
        <w:rPr>
          <w:rFonts w:ascii="华文宋体" w:hAnsi="华文宋体" w:eastAsia="华文宋体" w:cs="华文宋体"/>
          <w:sz w:val="24"/>
        </w:rPr>
      </w:pPr>
    </w:p>
    <w:p w14:paraId="7EA9B564">
      <w:pPr>
        <w:pStyle w:val="5"/>
        <w:rPr>
          <w:rFonts w:ascii="华文宋体" w:hAnsi="华文宋体" w:eastAsia="华文宋体" w:cs="华文宋体"/>
          <w:sz w:val="24"/>
        </w:rPr>
      </w:pPr>
    </w:p>
    <w:p w14:paraId="3D93235F">
      <w:pPr>
        <w:pStyle w:val="5"/>
        <w:rPr>
          <w:rFonts w:ascii="华文宋体" w:hAnsi="华文宋体" w:eastAsia="华文宋体" w:cs="华文宋体"/>
          <w:sz w:val="24"/>
        </w:rPr>
      </w:pPr>
    </w:p>
    <w:p w14:paraId="0387CF02">
      <w:pPr>
        <w:pStyle w:val="5"/>
        <w:rPr>
          <w:rFonts w:ascii="方正小标宋_GBK" w:hAnsi="Calibri" w:eastAsia="方正小标宋_GBK"/>
          <w:w w:val="90"/>
          <w:sz w:val="30"/>
          <w:szCs w:val="30"/>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EF5EB1-E201-45E4-9D7A-8A5B7D0FA2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DDD745D-FCC9-409B-A960-6C14A4927680}"/>
  </w:font>
  <w:font w:name="仿宋_GB2312">
    <w:panose1 w:val="02010609030101010101"/>
    <w:charset w:val="86"/>
    <w:family w:val="modern"/>
    <w:pitch w:val="default"/>
    <w:sig w:usb0="00000001" w:usb1="080E0000" w:usb2="00000000" w:usb3="00000000" w:csb0="00040000" w:csb1="00000000"/>
    <w:embedRegular r:id="rId3" w:fontKey="{C68BA71C-5562-4BDB-B0EA-7D993704E5F8}"/>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embedRegular r:id="rId4" w:fontKey="{ABA4D2F8-6D6C-4ED1-A447-52225313201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5" w:fontKey="{63B1C53C-234A-4F2C-9CD3-DF5098E52FA4}"/>
  </w:font>
  <w:font w:name="方正黑体_GBK">
    <w:panose1 w:val="03000509000000000000"/>
    <w:charset w:val="86"/>
    <w:family w:val="script"/>
    <w:pitch w:val="default"/>
    <w:sig w:usb0="00000001" w:usb1="080E0000" w:usb2="00000000" w:usb3="00000000" w:csb0="00040000" w:csb1="00000000"/>
    <w:embedRegular r:id="rId6" w:fontKey="{053C6BF5-551B-412C-9E6F-76EE6B4E3A02}"/>
  </w:font>
  <w:font w:name="FZXBSK--GBK1-0">
    <w:altName w:val="宋体"/>
    <w:panose1 w:val="00000000000000000000"/>
    <w:charset w:val="86"/>
    <w:family w:val="auto"/>
    <w:pitch w:val="default"/>
    <w:sig w:usb0="00000000" w:usb1="00000000" w:usb2="00000010" w:usb3="00000000" w:csb0="00040000" w:csb1="00000000"/>
    <w:embedRegular r:id="rId7" w:fontKey="{8F514161-ACF9-4DD2-BF6E-A663E3097B44}"/>
  </w:font>
  <w:font w:name="微软雅黑">
    <w:panose1 w:val="020B0503020204020204"/>
    <w:charset w:val="86"/>
    <w:family w:val="auto"/>
    <w:pitch w:val="default"/>
    <w:sig w:usb0="80000287" w:usb1="2ACF3C50" w:usb2="00000016" w:usb3="00000000" w:csb0="0004001F" w:csb1="00000000"/>
    <w:embedRegular r:id="rId8" w:fontKey="{4DA4A2A7-6271-4D79-AE25-19401917A060}"/>
  </w:font>
  <w:font w:name="FZFSK--GBK1-0">
    <w:altName w:val="宋体"/>
    <w:panose1 w:val="00000000000000000000"/>
    <w:charset w:val="86"/>
    <w:family w:val="auto"/>
    <w:pitch w:val="default"/>
    <w:sig w:usb0="00000000" w:usb1="00000000" w:usb2="00000010" w:usb3="00000000" w:csb0="00040000" w:csb1="00000000"/>
    <w:embedRegular r:id="rId9" w:fontKey="{15E6F3DA-28B1-4243-BDEC-332EA58F1EE5}"/>
  </w:font>
  <w:font w:name="华文宋体">
    <w:panose1 w:val="02010600040101010101"/>
    <w:charset w:val="86"/>
    <w:family w:val="auto"/>
    <w:pitch w:val="default"/>
    <w:sig w:usb0="00000287" w:usb1="080F0000" w:usb2="00000000" w:usb3="00000000" w:csb0="0004009F" w:csb1="DFD70000"/>
    <w:embedRegular r:id="rId10" w:fontKey="{FD362301-2828-43CD-AE9C-FA8AAB4FA7B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6"/>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6"/>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93F64"/>
    <w:multiLevelType w:val="singleLevel"/>
    <w:tmpl w:val="AD593F64"/>
    <w:lvl w:ilvl="0" w:tentative="0">
      <w:start w:val="2"/>
      <w:numFmt w:val="chineseCounting"/>
      <w:suff w:val="space"/>
      <w:lvlText w:val="第%1篇"/>
      <w:lvlJc w:val="left"/>
      <w:rPr>
        <w:rFonts w:hint="eastAsia"/>
      </w:rPr>
    </w:lvl>
  </w:abstractNum>
  <w:abstractNum w:abstractNumId="1">
    <w:nsid w:val="B64567AE"/>
    <w:multiLevelType w:val="singleLevel"/>
    <w:tmpl w:val="B64567AE"/>
    <w:lvl w:ilvl="0" w:tentative="0">
      <w:start w:val="1"/>
      <w:numFmt w:val="chineseCounting"/>
      <w:lvlText w:val="%1."/>
      <w:lvlJc w:val="left"/>
      <w:pPr>
        <w:tabs>
          <w:tab w:val="left" w:pos="312"/>
        </w:tabs>
      </w:pPr>
      <w:rPr>
        <w:rFonts w:hint="eastAsia"/>
      </w:rPr>
    </w:lvl>
  </w:abstractNum>
  <w:abstractNum w:abstractNumId="2">
    <w:nsid w:val="E1C1D4C0"/>
    <w:multiLevelType w:val="singleLevel"/>
    <w:tmpl w:val="E1C1D4C0"/>
    <w:lvl w:ilvl="0" w:tentative="0">
      <w:start w:val="2"/>
      <w:numFmt w:val="chineseCounting"/>
      <w:suff w:val="nothing"/>
      <w:lvlText w:val="（%1）"/>
      <w:lvlJc w:val="left"/>
      <w:rPr>
        <w:rFonts w:hint="eastAsia"/>
      </w:rPr>
    </w:lvl>
  </w:abstractNum>
  <w:abstractNum w:abstractNumId="3">
    <w:nsid w:val="0A6B9AC3"/>
    <w:multiLevelType w:val="singleLevel"/>
    <w:tmpl w:val="0A6B9AC3"/>
    <w:lvl w:ilvl="0" w:tentative="0">
      <w:start w:val="5"/>
      <w:numFmt w:val="chineseCounting"/>
      <w:suff w:val="nothing"/>
      <w:lvlText w:val="（%1）"/>
      <w:lvlJc w:val="left"/>
      <w:rPr>
        <w:rFonts w:hint="eastAsia"/>
      </w:rPr>
    </w:lvl>
  </w:abstractNum>
  <w:abstractNum w:abstractNumId="4">
    <w:nsid w:val="0DFF0463"/>
    <w:multiLevelType w:val="singleLevel"/>
    <w:tmpl w:val="0DFF0463"/>
    <w:lvl w:ilvl="0" w:tentative="0">
      <w:start w:val="3"/>
      <w:numFmt w:val="chineseCounting"/>
      <w:lvlText w:val="%1."/>
      <w:lvlJc w:val="left"/>
      <w:pPr>
        <w:tabs>
          <w:tab w:val="left" w:pos="312"/>
        </w:tabs>
      </w:pPr>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C91C98"/>
    <w:rsid w:val="00CD5A85"/>
    <w:rsid w:val="00CF2EED"/>
    <w:rsid w:val="00DF7D9C"/>
    <w:rsid w:val="00FD3291"/>
    <w:rsid w:val="01F002FB"/>
    <w:rsid w:val="02A62291"/>
    <w:rsid w:val="038D6BE4"/>
    <w:rsid w:val="03C976B1"/>
    <w:rsid w:val="03EA089F"/>
    <w:rsid w:val="03FB05E2"/>
    <w:rsid w:val="04540A50"/>
    <w:rsid w:val="04842AA6"/>
    <w:rsid w:val="04F01EE9"/>
    <w:rsid w:val="05544226"/>
    <w:rsid w:val="05A02893"/>
    <w:rsid w:val="05CF70AF"/>
    <w:rsid w:val="0790350F"/>
    <w:rsid w:val="080C0A41"/>
    <w:rsid w:val="08512C9F"/>
    <w:rsid w:val="0989596A"/>
    <w:rsid w:val="0A3662DC"/>
    <w:rsid w:val="0A6D18E6"/>
    <w:rsid w:val="0BCA1886"/>
    <w:rsid w:val="0C9C6198"/>
    <w:rsid w:val="0CC83A15"/>
    <w:rsid w:val="0CF602B9"/>
    <w:rsid w:val="0D4F0277"/>
    <w:rsid w:val="0E5139F9"/>
    <w:rsid w:val="0F4F6DF2"/>
    <w:rsid w:val="0F5A5BE8"/>
    <w:rsid w:val="0F7A0D2D"/>
    <w:rsid w:val="10031553"/>
    <w:rsid w:val="10C34956"/>
    <w:rsid w:val="1122342A"/>
    <w:rsid w:val="116112C0"/>
    <w:rsid w:val="12045226"/>
    <w:rsid w:val="12407869"/>
    <w:rsid w:val="125664A3"/>
    <w:rsid w:val="12A52565"/>
    <w:rsid w:val="132B23C7"/>
    <w:rsid w:val="1400755E"/>
    <w:rsid w:val="151237B6"/>
    <w:rsid w:val="155251A4"/>
    <w:rsid w:val="156F2B2D"/>
    <w:rsid w:val="16E96798"/>
    <w:rsid w:val="1726426A"/>
    <w:rsid w:val="17872239"/>
    <w:rsid w:val="18644328"/>
    <w:rsid w:val="189D214B"/>
    <w:rsid w:val="192F0DDA"/>
    <w:rsid w:val="19834462"/>
    <w:rsid w:val="19911D3F"/>
    <w:rsid w:val="1B0E587B"/>
    <w:rsid w:val="1C6074FD"/>
    <w:rsid w:val="1DA11B7B"/>
    <w:rsid w:val="1DD41F50"/>
    <w:rsid w:val="1E965458"/>
    <w:rsid w:val="1EDF1942"/>
    <w:rsid w:val="202D37ED"/>
    <w:rsid w:val="20DF4E94"/>
    <w:rsid w:val="210268D9"/>
    <w:rsid w:val="21FB758F"/>
    <w:rsid w:val="22723AE6"/>
    <w:rsid w:val="23DA7B95"/>
    <w:rsid w:val="24135958"/>
    <w:rsid w:val="24613E12"/>
    <w:rsid w:val="2652435A"/>
    <w:rsid w:val="27315D1D"/>
    <w:rsid w:val="2823046B"/>
    <w:rsid w:val="28985409"/>
    <w:rsid w:val="28DA4343"/>
    <w:rsid w:val="28E079FB"/>
    <w:rsid w:val="28EA6ACC"/>
    <w:rsid w:val="291B6C85"/>
    <w:rsid w:val="29DB6414"/>
    <w:rsid w:val="2A4F408F"/>
    <w:rsid w:val="2A6D3AA4"/>
    <w:rsid w:val="2AE60150"/>
    <w:rsid w:val="2BFD08C4"/>
    <w:rsid w:val="2CCB2770"/>
    <w:rsid w:val="2D1E6D44"/>
    <w:rsid w:val="2D52226A"/>
    <w:rsid w:val="2EBC51FA"/>
    <w:rsid w:val="2EE432BB"/>
    <w:rsid w:val="2F497929"/>
    <w:rsid w:val="2F642A08"/>
    <w:rsid w:val="303650ED"/>
    <w:rsid w:val="308A624E"/>
    <w:rsid w:val="314174A5"/>
    <w:rsid w:val="31717D8A"/>
    <w:rsid w:val="318019D6"/>
    <w:rsid w:val="31AA008D"/>
    <w:rsid w:val="31B40867"/>
    <w:rsid w:val="33AA7583"/>
    <w:rsid w:val="34552457"/>
    <w:rsid w:val="348B5182"/>
    <w:rsid w:val="34BF2BBB"/>
    <w:rsid w:val="350D729C"/>
    <w:rsid w:val="36CF7301"/>
    <w:rsid w:val="36F9612C"/>
    <w:rsid w:val="378F2939"/>
    <w:rsid w:val="379979B8"/>
    <w:rsid w:val="37EB3CC7"/>
    <w:rsid w:val="3849628B"/>
    <w:rsid w:val="39063330"/>
    <w:rsid w:val="39317DFF"/>
    <w:rsid w:val="397C5994"/>
    <w:rsid w:val="399F745E"/>
    <w:rsid w:val="39CB0253"/>
    <w:rsid w:val="39D521BA"/>
    <w:rsid w:val="3A461346"/>
    <w:rsid w:val="3AB64A60"/>
    <w:rsid w:val="3AD362BD"/>
    <w:rsid w:val="3B56473B"/>
    <w:rsid w:val="3B824942"/>
    <w:rsid w:val="3BB52F69"/>
    <w:rsid w:val="3BF83A41"/>
    <w:rsid w:val="3C5B4026"/>
    <w:rsid w:val="3CB60D47"/>
    <w:rsid w:val="3D826E7B"/>
    <w:rsid w:val="3DA07301"/>
    <w:rsid w:val="3DC25D0E"/>
    <w:rsid w:val="3DF80EEB"/>
    <w:rsid w:val="3EA846BF"/>
    <w:rsid w:val="3F250D36"/>
    <w:rsid w:val="3F744EE9"/>
    <w:rsid w:val="40CB6D8B"/>
    <w:rsid w:val="42626E2E"/>
    <w:rsid w:val="42786A9F"/>
    <w:rsid w:val="42B4261F"/>
    <w:rsid w:val="438D39A6"/>
    <w:rsid w:val="443A7352"/>
    <w:rsid w:val="4441183E"/>
    <w:rsid w:val="44B14170"/>
    <w:rsid w:val="44B36E69"/>
    <w:rsid w:val="45326ED6"/>
    <w:rsid w:val="458F41EB"/>
    <w:rsid w:val="45B266F8"/>
    <w:rsid w:val="46244F73"/>
    <w:rsid w:val="474358CD"/>
    <w:rsid w:val="482627B3"/>
    <w:rsid w:val="48482A6F"/>
    <w:rsid w:val="49B22896"/>
    <w:rsid w:val="4A526297"/>
    <w:rsid w:val="4A8000ED"/>
    <w:rsid w:val="4AC13272"/>
    <w:rsid w:val="4AF15227"/>
    <w:rsid w:val="4B217CD3"/>
    <w:rsid w:val="4B2563A4"/>
    <w:rsid w:val="4B2652EA"/>
    <w:rsid w:val="4B3D2633"/>
    <w:rsid w:val="4BFE38C2"/>
    <w:rsid w:val="4C070AE5"/>
    <w:rsid w:val="4C8C73CE"/>
    <w:rsid w:val="4E7E7CEC"/>
    <w:rsid w:val="4F936CC6"/>
    <w:rsid w:val="512666D1"/>
    <w:rsid w:val="52BC1B9B"/>
    <w:rsid w:val="536746F1"/>
    <w:rsid w:val="53750561"/>
    <w:rsid w:val="53B51FD3"/>
    <w:rsid w:val="5470414A"/>
    <w:rsid w:val="54826DC1"/>
    <w:rsid w:val="54AF6F1C"/>
    <w:rsid w:val="559317CE"/>
    <w:rsid w:val="559C686B"/>
    <w:rsid w:val="55BC4589"/>
    <w:rsid w:val="56147B17"/>
    <w:rsid w:val="562468CA"/>
    <w:rsid w:val="56C44CD8"/>
    <w:rsid w:val="57A23F4A"/>
    <w:rsid w:val="57A348B0"/>
    <w:rsid w:val="58C3061C"/>
    <w:rsid w:val="594F0101"/>
    <w:rsid w:val="595B0854"/>
    <w:rsid w:val="5AEC5D1F"/>
    <w:rsid w:val="5DE60909"/>
    <w:rsid w:val="5EB56C59"/>
    <w:rsid w:val="5F9A439A"/>
    <w:rsid w:val="5FA12D39"/>
    <w:rsid w:val="5FB46F10"/>
    <w:rsid w:val="60275934"/>
    <w:rsid w:val="60487659"/>
    <w:rsid w:val="62021582"/>
    <w:rsid w:val="62410803"/>
    <w:rsid w:val="63585E05"/>
    <w:rsid w:val="63E61662"/>
    <w:rsid w:val="64456962"/>
    <w:rsid w:val="64BF53A0"/>
    <w:rsid w:val="655D7702"/>
    <w:rsid w:val="662E109F"/>
    <w:rsid w:val="67842355"/>
    <w:rsid w:val="67D6379C"/>
    <w:rsid w:val="67E75FF8"/>
    <w:rsid w:val="681F5143"/>
    <w:rsid w:val="68A37B22"/>
    <w:rsid w:val="68C83A2C"/>
    <w:rsid w:val="692C0930"/>
    <w:rsid w:val="69CB0A2D"/>
    <w:rsid w:val="6A4964A7"/>
    <w:rsid w:val="6BA8544F"/>
    <w:rsid w:val="6D02205C"/>
    <w:rsid w:val="6E6727C5"/>
    <w:rsid w:val="6E807D5D"/>
    <w:rsid w:val="6EBA7995"/>
    <w:rsid w:val="6EDA5EEB"/>
    <w:rsid w:val="6FBD596D"/>
    <w:rsid w:val="70B074CA"/>
    <w:rsid w:val="70DF1913"/>
    <w:rsid w:val="70E94540"/>
    <w:rsid w:val="724E6D50"/>
    <w:rsid w:val="726C5429"/>
    <w:rsid w:val="734819F2"/>
    <w:rsid w:val="742D0BE7"/>
    <w:rsid w:val="757F1917"/>
    <w:rsid w:val="76014DC8"/>
    <w:rsid w:val="76500BBD"/>
    <w:rsid w:val="767857AC"/>
    <w:rsid w:val="788F00C3"/>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link w:val="18"/>
    <w:autoRedefine/>
    <w:qFormat/>
    <w:uiPriority w:val="0"/>
    <w:rPr>
      <w:rFonts w:ascii="仿宋_GB2312" w:eastAsia="仿宋_GB2312"/>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pPr>
      <w:spacing w:line="180" w:lineRule="auto"/>
      <w:jc w:val="center"/>
    </w:pPr>
    <w:rPr>
      <w:sz w:val="30"/>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4661</Words>
  <Characters>5001</Characters>
  <Lines>1</Lines>
  <Paragraphs>1</Paragraphs>
  <TotalTime>18</TotalTime>
  <ScaleCrop>false</ScaleCrop>
  <LinksUpToDate>false</LinksUpToDate>
  <CharactersWithSpaces>6622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yabadadoo</cp:lastModifiedBy>
  <dcterms:modified xsi:type="dcterms:W3CDTF">2026-07-27T06:22:28Z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72F6712E6B3F4CBC9E6FB92F3FB0FBC4_13</vt:lpwstr>
  </property>
  <property fmtid="{D5CDD505-2E9C-101B-9397-08002B2CF9AE}" pid="4" name="KSOTemplateDocerSaveRecord">
    <vt:lpwstr>eyJoZGlkIjoiZTRlNzM2NTQ5YzkwZTRhNDg2ZWE1ZDFiM2QwNzc5NzQiLCJ1c2VySWQiOiI1NTQyNjgxNzIifQ==</vt:lpwstr>
  </property>
</Properties>
</file>