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8E15253">
      <w:pPr>
        <w:pStyle w:val="24"/>
        <w:spacing w:line="240" w:lineRule="auto"/>
        <w:ind w:left="0"/>
        <w:jc w:val="center"/>
        <w:rPr>
          <w:rFonts w:hint="eastAsia" w:ascii="宋体" w:hAnsi="宋体" w:eastAsia="宋体" w:cs="宋体"/>
          <w:color w:val="auto"/>
          <w:sz w:val="60"/>
          <w:szCs w:val="60"/>
          <w:highlight w:val="none"/>
        </w:rPr>
      </w:pPr>
      <w:bookmarkStart w:id="0" w:name="_Toc136879793"/>
      <w:bookmarkStart w:id="1" w:name="_Toc21750"/>
      <w:bookmarkStart w:id="2" w:name="_Toc136880102"/>
      <w:bookmarkStart w:id="3" w:name="_Toc136879634"/>
      <w:bookmarkStart w:id="4" w:name="_Toc30901"/>
      <w:bookmarkStart w:id="5" w:name="_Toc1828"/>
      <w:bookmarkStart w:id="6" w:name="_Toc16015"/>
      <w:bookmarkStart w:id="7" w:name="_Toc21122"/>
      <w:bookmarkStart w:id="8" w:name="_Toc15146"/>
      <w:bookmarkStart w:id="9" w:name="_Toc3073"/>
      <w:bookmarkStart w:id="10" w:name="_Toc12923"/>
      <w:bookmarkStart w:id="11" w:name="_Toc23648"/>
      <w:bookmarkStart w:id="12" w:name="_Toc20816"/>
      <w:bookmarkStart w:id="13" w:name="_Toc31915"/>
      <w:bookmarkStart w:id="14" w:name="_Toc136879882"/>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1AA15498">
      <w:pPr>
        <w:pStyle w:val="24"/>
        <w:spacing w:line="240" w:lineRule="auto"/>
        <w:ind w:left="0"/>
        <w:jc w:val="center"/>
        <w:rPr>
          <w:rFonts w:hint="eastAsia" w:ascii="宋体" w:hAnsi="宋体" w:eastAsia="宋体" w:cs="宋体"/>
          <w:color w:val="auto"/>
          <w:sz w:val="60"/>
          <w:szCs w:val="60"/>
          <w:highlight w:val="none"/>
        </w:rPr>
      </w:pPr>
      <w:r>
        <w:rPr>
          <w:rFonts w:hint="eastAsia" w:ascii="宋体" w:hAnsi="宋体" w:eastAsia="宋体" w:cs="宋体"/>
          <w:color w:val="auto"/>
          <w:sz w:val="60"/>
          <w:szCs w:val="60"/>
          <w:highlight w:val="none"/>
          <w:lang w:eastAsia="zh-CN"/>
        </w:rPr>
        <w:t>小额交易平台</w:t>
      </w:r>
      <w:bookmarkStart w:id="15" w:name="_Toc156"/>
      <w:bookmarkStart w:id="16" w:name="_Toc136879794"/>
      <w:bookmarkStart w:id="17" w:name="_Toc28014"/>
      <w:bookmarkStart w:id="18" w:name="_Toc31652"/>
      <w:bookmarkStart w:id="19" w:name="_Toc136879635"/>
      <w:bookmarkStart w:id="20" w:name="_Toc12859"/>
      <w:bookmarkStart w:id="21" w:name="_Toc5958"/>
      <w:bookmarkStart w:id="22" w:name="_Toc16319"/>
      <w:bookmarkStart w:id="23" w:name="_Toc136880103"/>
      <w:bookmarkStart w:id="24" w:name="_Toc6223"/>
      <w:bookmarkStart w:id="25" w:name="_Toc136879883"/>
      <w:bookmarkStart w:id="26" w:name="_Toc21695"/>
      <w:bookmarkStart w:id="27" w:name="_Toc7828"/>
      <w:bookmarkStart w:id="28" w:name="_Toc25539"/>
      <w:bookmarkStart w:id="29" w:name="_Toc5521"/>
      <w:r>
        <w:rPr>
          <w:rFonts w:hint="eastAsia" w:ascii="宋体" w:hAnsi="宋体" w:eastAsia="宋体" w:cs="宋体"/>
          <w:color w:val="auto"/>
          <w:sz w:val="60"/>
          <w:szCs w:val="60"/>
          <w:highlight w:val="none"/>
        </w:rPr>
        <w:t>网上竞采采购文件</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6E373DC4">
      <w:pPr>
        <w:pStyle w:val="24"/>
        <w:spacing w:line="240" w:lineRule="auto"/>
        <w:ind w:left="0"/>
        <w:jc w:val="center"/>
        <w:rPr>
          <w:rFonts w:hint="eastAsia" w:ascii="宋体" w:hAnsi="宋体" w:eastAsia="宋体" w:cs="宋体"/>
          <w:color w:val="auto"/>
          <w:sz w:val="80"/>
          <w:szCs w:val="80"/>
          <w:highlight w:val="none"/>
        </w:rPr>
      </w:pPr>
    </w:p>
    <w:p w14:paraId="2C180E96">
      <w:pPr>
        <w:pStyle w:val="24"/>
        <w:spacing w:line="500" w:lineRule="exact"/>
        <w:ind w:left="0"/>
        <w:rPr>
          <w:rFonts w:hint="eastAsia" w:ascii="宋体" w:hAnsi="宋体" w:eastAsia="宋体" w:cs="宋体"/>
          <w:color w:val="auto"/>
          <w:sz w:val="32"/>
          <w:highlight w:val="none"/>
        </w:rPr>
      </w:pPr>
    </w:p>
    <w:p w14:paraId="538CFC23">
      <w:pPr>
        <w:pStyle w:val="24"/>
        <w:spacing w:line="500" w:lineRule="exact"/>
        <w:ind w:left="0"/>
        <w:rPr>
          <w:rFonts w:hint="eastAsia" w:ascii="宋体" w:hAnsi="宋体" w:eastAsia="宋体" w:cs="宋体"/>
          <w:color w:val="auto"/>
          <w:sz w:val="52"/>
          <w:szCs w:val="52"/>
          <w:highlight w:val="none"/>
        </w:rPr>
      </w:pPr>
    </w:p>
    <w:p w14:paraId="03DCA750">
      <w:pPr>
        <w:pStyle w:val="24"/>
        <w:spacing w:line="500" w:lineRule="exact"/>
        <w:ind w:left="0"/>
        <w:rPr>
          <w:rFonts w:hint="eastAsia" w:ascii="宋体" w:hAnsi="宋体" w:eastAsia="宋体" w:cs="宋体"/>
          <w:color w:val="auto"/>
          <w:sz w:val="32"/>
          <w:highlight w:val="none"/>
          <w:lang w:val="en-US" w:eastAsia="zh-CN"/>
        </w:rPr>
      </w:pPr>
      <w:r>
        <w:rPr>
          <w:rFonts w:hint="eastAsia" w:ascii="宋体" w:hAnsi="宋体" w:eastAsia="宋体" w:cs="宋体"/>
          <w:color w:val="auto"/>
          <w:sz w:val="32"/>
          <w:highlight w:val="none"/>
          <w:lang w:val="en-US" w:eastAsia="zh-CN"/>
        </w:rPr>
        <w:t xml:space="preserve"> </w:t>
      </w:r>
    </w:p>
    <w:p w14:paraId="30F1F865">
      <w:pPr>
        <w:pStyle w:val="24"/>
        <w:spacing w:line="500" w:lineRule="exact"/>
        <w:ind w:left="0"/>
        <w:rPr>
          <w:rFonts w:hint="eastAsia" w:ascii="宋体" w:hAnsi="宋体" w:eastAsia="宋体" w:cs="宋体"/>
          <w:color w:val="auto"/>
          <w:sz w:val="32"/>
          <w:highlight w:val="none"/>
        </w:rPr>
      </w:pPr>
    </w:p>
    <w:p w14:paraId="75E1C9B4">
      <w:pPr>
        <w:pStyle w:val="24"/>
        <w:spacing w:line="500" w:lineRule="exact"/>
        <w:ind w:left="0"/>
        <w:jc w:val="center"/>
        <w:rPr>
          <w:rFonts w:hint="eastAsia" w:ascii="宋体" w:hAnsi="宋体" w:eastAsia="宋体" w:cs="宋体"/>
          <w:color w:val="auto"/>
          <w:sz w:val="32"/>
          <w:highlight w:val="none"/>
        </w:rPr>
      </w:pPr>
    </w:p>
    <w:p w14:paraId="0DD372AE">
      <w:pPr>
        <w:spacing w:line="500" w:lineRule="exact"/>
        <w:jc w:val="center"/>
        <w:outlineLvl w:val="0"/>
        <w:rPr>
          <w:rFonts w:hint="eastAsia" w:ascii="宋体" w:hAnsi="宋体" w:eastAsia="宋体" w:cs="宋体"/>
          <w:color w:val="auto"/>
          <w:sz w:val="32"/>
          <w:highlight w:val="none"/>
        </w:rPr>
      </w:pPr>
      <w:r>
        <w:rPr>
          <w:rFonts w:hint="eastAsia" w:ascii="宋体" w:hAnsi="宋体" w:eastAsia="宋体" w:cs="宋体"/>
          <w:color w:val="auto"/>
          <w:sz w:val="32"/>
          <w:highlight w:val="none"/>
        </w:rPr>
        <w:t>采购项目名称：</w:t>
      </w:r>
      <w:r>
        <w:rPr>
          <w:rFonts w:hint="eastAsia" w:ascii="宋体" w:hAnsi="宋体" w:cs="宋体"/>
          <w:color w:val="auto"/>
          <w:sz w:val="32"/>
          <w:highlight w:val="none"/>
          <w:lang w:val="en-US" w:eastAsia="zh-CN"/>
        </w:rPr>
        <w:t>秀山县中医医院医疗设备一批采购（第二次）</w:t>
      </w:r>
    </w:p>
    <w:p w14:paraId="059BDCC3">
      <w:pPr>
        <w:pStyle w:val="24"/>
        <w:spacing w:line="500" w:lineRule="exact"/>
        <w:ind w:left="0"/>
        <w:jc w:val="center"/>
        <w:rPr>
          <w:rFonts w:hint="eastAsia" w:ascii="宋体" w:hAnsi="宋体" w:eastAsia="宋体" w:cs="宋体"/>
          <w:color w:val="auto"/>
          <w:sz w:val="32"/>
          <w:highlight w:val="none"/>
        </w:rPr>
      </w:pPr>
    </w:p>
    <w:p w14:paraId="5CD3F6B0">
      <w:pPr>
        <w:pStyle w:val="24"/>
        <w:spacing w:line="500" w:lineRule="exact"/>
        <w:ind w:left="0"/>
        <w:jc w:val="center"/>
        <w:rPr>
          <w:rFonts w:hint="eastAsia" w:ascii="宋体" w:hAnsi="宋体" w:eastAsia="宋体" w:cs="宋体"/>
          <w:color w:val="auto"/>
          <w:sz w:val="32"/>
          <w:highlight w:val="none"/>
        </w:rPr>
      </w:pPr>
    </w:p>
    <w:p w14:paraId="1638757C">
      <w:pPr>
        <w:pStyle w:val="5"/>
        <w:rPr>
          <w:rFonts w:hint="eastAsia" w:ascii="宋体" w:hAnsi="宋体" w:eastAsia="宋体" w:cs="宋体"/>
          <w:color w:val="auto"/>
          <w:highlight w:val="none"/>
        </w:rPr>
      </w:pPr>
    </w:p>
    <w:p w14:paraId="3701112B">
      <w:pPr>
        <w:rPr>
          <w:rFonts w:hint="eastAsia" w:ascii="宋体" w:hAnsi="宋体" w:eastAsia="宋体" w:cs="宋体"/>
          <w:color w:val="auto"/>
          <w:highlight w:val="none"/>
        </w:rPr>
      </w:pPr>
    </w:p>
    <w:p w14:paraId="4E71B1EC">
      <w:pPr>
        <w:rPr>
          <w:rFonts w:hint="eastAsia" w:ascii="宋体" w:hAnsi="宋体" w:eastAsia="宋体" w:cs="宋体"/>
          <w:color w:val="auto"/>
          <w:highlight w:val="none"/>
        </w:rPr>
      </w:pPr>
    </w:p>
    <w:p w14:paraId="1397E859">
      <w:pPr>
        <w:rPr>
          <w:rFonts w:hint="eastAsia" w:ascii="宋体" w:hAnsi="宋体" w:eastAsia="宋体" w:cs="宋体"/>
          <w:color w:val="auto"/>
          <w:highlight w:val="none"/>
        </w:rPr>
      </w:pPr>
    </w:p>
    <w:p w14:paraId="4056548F">
      <w:pPr>
        <w:rPr>
          <w:rFonts w:hint="eastAsia" w:ascii="宋体" w:hAnsi="宋体" w:eastAsia="宋体" w:cs="宋体"/>
          <w:color w:val="auto"/>
          <w:highlight w:val="none"/>
        </w:rPr>
      </w:pPr>
    </w:p>
    <w:p w14:paraId="560AD1EC">
      <w:pPr>
        <w:rPr>
          <w:rFonts w:hint="eastAsia" w:ascii="宋体" w:hAnsi="宋体" w:eastAsia="宋体" w:cs="宋体"/>
          <w:color w:val="auto"/>
          <w:highlight w:val="none"/>
        </w:rPr>
      </w:pPr>
    </w:p>
    <w:p w14:paraId="086001E4">
      <w:pPr>
        <w:pStyle w:val="24"/>
        <w:spacing w:line="500" w:lineRule="exact"/>
        <w:ind w:left="0" w:firstLine="1280" w:firstLineChars="400"/>
        <w:jc w:val="left"/>
        <w:rPr>
          <w:rFonts w:hint="eastAsia" w:ascii="宋体" w:hAnsi="宋体" w:cs="宋体"/>
          <w:color w:val="auto"/>
          <w:sz w:val="32"/>
          <w:highlight w:val="none"/>
          <w:lang w:val="en-US" w:eastAsia="zh-CN"/>
        </w:rPr>
      </w:pPr>
      <w:r>
        <w:rPr>
          <w:rFonts w:hint="eastAsia" w:ascii="宋体" w:hAnsi="宋体" w:eastAsia="宋体" w:cs="宋体"/>
          <w:color w:val="auto"/>
          <w:sz w:val="32"/>
          <w:highlight w:val="none"/>
        </w:rPr>
        <w:t>采购人：</w:t>
      </w:r>
      <w:r>
        <w:rPr>
          <w:rFonts w:hint="eastAsia" w:ascii="宋体" w:hAnsi="宋体" w:cs="宋体"/>
          <w:color w:val="auto"/>
          <w:sz w:val="32"/>
          <w:highlight w:val="none"/>
          <w:lang w:eastAsia="zh-CN"/>
        </w:rPr>
        <w:t>秀山土家族苗族自治县中医医院</w:t>
      </w:r>
    </w:p>
    <w:p w14:paraId="6D5FFC91">
      <w:pPr>
        <w:pStyle w:val="24"/>
        <w:spacing w:line="500" w:lineRule="exact"/>
        <w:ind w:left="0" w:firstLine="1280" w:firstLineChars="400"/>
        <w:jc w:val="left"/>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highlight w:val="none"/>
        </w:rPr>
        <w:t>采购代理机构：</w:t>
      </w:r>
      <w:r>
        <w:rPr>
          <w:rFonts w:hint="eastAsia" w:ascii="宋体" w:hAnsi="宋体" w:cs="宋体"/>
          <w:color w:val="auto"/>
          <w:sz w:val="32"/>
          <w:highlight w:val="none"/>
          <w:lang w:eastAsia="zh-CN"/>
        </w:rPr>
        <w:t>重庆千诺工程项目管理有限公司</w:t>
      </w:r>
    </w:p>
    <w:p w14:paraId="38C510A6">
      <w:pPr>
        <w:pStyle w:val="23"/>
        <w:rPr>
          <w:rFonts w:hint="eastAsia" w:ascii="宋体" w:hAnsi="宋体" w:eastAsia="宋体" w:cs="宋体"/>
          <w:color w:val="auto"/>
          <w:highlight w:val="none"/>
        </w:rPr>
      </w:pPr>
    </w:p>
    <w:p w14:paraId="6D618D76">
      <w:pPr>
        <w:snapToGrid w:val="0"/>
        <w:spacing w:line="500" w:lineRule="exact"/>
        <w:jc w:val="center"/>
        <w:rPr>
          <w:rFonts w:hint="eastAsia" w:ascii="宋体" w:hAnsi="宋体" w:eastAsia="宋体" w:cs="宋体"/>
          <w:color w:val="auto"/>
          <w:sz w:val="44"/>
          <w:szCs w:val="28"/>
          <w:highlight w:val="none"/>
        </w:rPr>
      </w:pPr>
      <w:r>
        <w:rPr>
          <w:rFonts w:hint="eastAsia" w:ascii="宋体" w:hAnsi="宋体" w:eastAsia="宋体" w:cs="宋体"/>
          <w:color w:val="auto"/>
          <w:sz w:val="32"/>
          <w:szCs w:val="32"/>
          <w:highlight w:val="none"/>
        </w:rPr>
        <w:t>二○二</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rPr>
        <w:t>年</w:t>
      </w:r>
      <w:r>
        <w:rPr>
          <w:rFonts w:hint="eastAsia" w:ascii="宋体" w:hAnsi="宋体" w:cs="宋体"/>
          <w:color w:val="auto"/>
          <w:sz w:val="32"/>
          <w:szCs w:val="32"/>
          <w:highlight w:val="none"/>
          <w:lang w:val="en-US" w:eastAsia="zh-CN"/>
        </w:rPr>
        <w:t>五</w:t>
      </w:r>
      <w:r>
        <w:rPr>
          <w:rFonts w:hint="eastAsia" w:ascii="宋体" w:hAnsi="宋体" w:eastAsia="宋体" w:cs="宋体"/>
          <w:color w:val="auto"/>
          <w:sz w:val="32"/>
          <w:szCs w:val="32"/>
          <w:highlight w:val="none"/>
        </w:rPr>
        <w:t>月</w:t>
      </w:r>
    </w:p>
    <w:p w14:paraId="375C6A8F">
      <w:pPr>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br w:type="page"/>
      </w:r>
    </w:p>
    <w:p w14:paraId="023EC6ED">
      <w:pPr>
        <w:spacing w:line="480" w:lineRule="exact"/>
        <w:jc w:val="center"/>
        <w:outlineLvl w:val="0"/>
        <w:rPr>
          <w:rFonts w:hint="eastAsia" w:ascii="宋体" w:hAnsi="宋体" w:eastAsia="宋体" w:cs="宋体"/>
          <w:color w:val="auto"/>
          <w:sz w:val="44"/>
          <w:szCs w:val="28"/>
          <w:highlight w:val="none"/>
        </w:rPr>
      </w:pPr>
      <w:r>
        <w:rPr>
          <w:rFonts w:hint="eastAsia" w:ascii="宋体" w:hAnsi="宋体" w:eastAsia="宋体" w:cs="宋体"/>
          <w:color w:val="auto"/>
          <w:sz w:val="44"/>
          <w:szCs w:val="28"/>
          <w:highlight w:val="none"/>
        </w:rPr>
        <w:t>目录</w:t>
      </w:r>
    </w:p>
    <w:p w14:paraId="5AD1C1AD">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 TOC \o "1-3" \h \z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"_Toc21521"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第一篇采购邀请书</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_Toc21521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7A83A5">
      <w:pPr>
        <w:pStyle w:val="31"/>
        <w:tabs>
          <w:tab w:val="right" w:leader="dot" w:pos="9412"/>
        </w:tabs>
        <w:ind w:left="1120"/>
        <w:rPr>
          <w:rFonts w:hint="eastAsia" w:ascii="宋体" w:hAnsi="宋体" w:eastAsia="宋体" w:cs="宋体"/>
          <w:color w:val="auto"/>
          <w:highlight w:val="none"/>
        </w:rPr>
      </w:pPr>
    </w:p>
    <w:p w14:paraId="292CD946">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"_Toc1145" </w:instrText>
      </w:r>
      <w:r>
        <w:rPr>
          <w:rFonts w:hint="eastAsia" w:ascii="宋体" w:hAnsi="宋体" w:eastAsia="宋体" w:cs="宋体"/>
          <w:color w:val="auto"/>
          <w:highlight w:val="none"/>
        </w:rPr>
        <w:fldChar w:fldCharType="separate"/>
      </w:r>
      <w:r>
        <w:rPr>
          <w:rFonts w:hint="eastAsia" w:ascii="宋体" w:hAnsi="宋体" w:eastAsia="宋体" w:cs="宋体"/>
          <w:bCs/>
          <w:color w:val="auto"/>
          <w:szCs w:val="30"/>
          <w:highlight w:val="none"/>
        </w:rPr>
        <w:t>第二篇采购项目技术需求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_Toc1145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6960650">
      <w:pPr>
        <w:pStyle w:val="49"/>
        <w:tabs>
          <w:tab w:val="right" w:leader="dot" w:pos="9412"/>
        </w:tabs>
        <w:ind w:left="560"/>
        <w:rPr>
          <w:rFonts w:hint="eastAsia" w:ascii="宋体" w:hAnsi="宋体" w:eastAsia="宋体" w:cs="宋体"/>
          <w:color w:val="auto"/>
          <w:highlight w:val="none"/>
        </w:rPr>
      </w:pPr>
    </w:p>
    <w:p w14:paraId="05D86443">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"_Toc24341"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第三篇采购项目商务需求</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_Toc24341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059762">
      <w:pPr>
        <w:pStyle w:val="49"/>
        <w:tabs>
          <w:tab w:val="right" w:leader="dot" w:pos="9412"/>
        </w:tabs>
        <w:ind w:left="560"/>
        <w:rPr>
          <w:rFonts w:hint="eastAsia" w:ascii="宋体" w:hAnsi="宋体" w:eastAsia="宋体" w:cs="宋体"/>
          <w:color w:val="auto"/>
          <w:highlight w:val="none"/>
        </w:rPr>
      </w:pPr>
    </w:p>
    <w:p w14:paraId="598BF558">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"_Toc28614"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第四篇网上竞采程序及方法、评审标准、响应无效和</w:t>
      </w:r>
      <w:r>
        <w:rPr>
          <w:rFonts w:hint="eastAsia" w:ascii="宋体" w:hAnsi="宋体" w:eastAsia="宋体" w:cs="宋体"/>
          <w:bCs/>
          <w:color w:val="auto"/>
          <w:spacing w:val="-11"/>
          <w:szCs w:val="36"/>
          <w:highlight w:val="none"/>
        </w:rPr>
        <w:t>采购终止</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_Toc28614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37C22A">
      <w:pPr>
        <w:pStyle w:val="31"/>
        <w:tabs>
          <w:tab w:val="right" w:leader="dot" w:pos="9412"/>
        </w:tabs>
        <w:ind w:left="1120"/>
        <w:rPr>
          <w:rFonts w:hint="eastAsia" w:ascii="宋体" w:hAnsi="宋体" w:eastAsia="宋体" w:cs="宋体"/>
          <w:color w:val="auto"/>
          <w:highlight w:val="none"/>
        </w:rPr>
      </w:pPr>
    </w:p>
    <w:p w14:paraId="3F17BAFB">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"_Toc13753" </w:instrText>
      </w:r>
      <w:r>
        <w:rPr>
          <w:rFonts w:hint="eastAsia" w:ascii="宋体" w:hAnsi="宋体" w:eastAsia="宋体" w:cs="宋体"/>
          <w:color w:val="auto"/>
          <w:highlight w:val="none"/>
        </w:rPr>
        <w:fldChar w:fldCharType="separate"/>
      </w:r>
      <w:r>
        <w:rPr>
          <w:rFonts w:hint="eastAsia" w:ascii="宋体" w:hAnsi="宋体" w:eastAsia="宋体" w:cs="宋体"/>
          <w:bCs/>
          <w:color w:val="auto"/>
          <w:spacing w:val="-11"/>
          <w:szCs w:val="30"/>
          <w:highlight w:val="none"/>
        </w:rPr>
        <w:t>第五篇供应商须知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_Toc13753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E60C831">
      <w:pPr>
        <w:pStyle w:val="31"/>
        <w:tabs>
          <w:tab w:val="right" w:leader="dot" w:pos="9412"/>
        </w:tabs>
        <w:ind w:left="1120"/>
        <w:rPr>
          <w:rFonts w:hint="eastAsia" w:ascii="宋体" w:hAnsi="宋体" w:eastAsia="宋体" w:cs="宋体"/>
          <w:color w:val="auto"/>
          <w:highlight w:val="none"/>
        </w:rPr>
      </w:pPr>
    </w:p>
    <w:p w14:paraId="22DE67BC">
      <w:pPr>
        <w:pStyle w:val="49"/>
        <w:tabs>
          <w:tab w:val="right" w:leader="dot" w:pos="9412"/>
        </w:tabs>
        <w:ind w:left="560"/>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"_Toc4239"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30"/>
          <w:highlight w:val="none"/>
        </w:rPr>
        <w:t>第六篇合同草案条款和格式合同（模板）</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_Toc4239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E6F191B">
      <w:pPr>
        <w:rPr>
          <w:rFonts w:hint="eastAsia"/>
          <w:highlight w:val="none"/>
        </w:rPr>
      </w:pPr>
    </w:p>
    <w:p w14:paraId="3722826E">
      <w:pPr>
        <w:ind w:firstLine="560" w:firstLineChars="200"/>
        <w:rPr>
          <w:rFonts w:hint="default" w:eastAsia="宋体"/>
          <w:highlight w:val="none"/>
          <w:lang w:val="en-US" w:eastAsia="zh-CN"/>
        </w:rPr>
      </w:pPr>
      <w:r>
        <w:rPr>
          <w:rFonts w:hint="eastAsia"/>
          <w:highlight w:val="none"/>
        </w:rPr>
        <w:t>第七篇响应文件编制要求</w:t>
      </w:r>
      <w:r>
        <w:rPr>
          <w:rFonts w:hint="eastAsia"/>
          <w:highlight w:val="none"/>
          <w:lang w:val="en-US" w:eastAsia="zh-CN"/>
        </w:rPr>
        <w:t>.............................................................................</w:t>
      </w:r>
      <w:r>
        <w:rPr>
          <w:rFonts w:hint="eastAsia" w:ascii="宋体" w:hAnsi="宋体" w:cs="宋体"/>
          <w:color w:val="auto"/>
          <w:highlight w:val="none"/>
          <w:lang w:val="en-US" w:eastAsia="zh-CN"/>
        </w:rPr>
        <w:t>48</w:t>
      </w:r>
    </w:p>
    <w:p w14:paraId="554FD46F">
      <w:pPr>
        <w:rPr>
          <w:rFonts w:hint="eastAsia"/>
          <w:highlight w:val="none"/>
        </w:rPr>
      </w:pPr>
    </w:p>
    <w:p w14:paraId="30E268C9">
      <w:pPr>
        <w:pStyle w:val="31"/>
        <w:tabs>
          <w:tab w:val="right" w:leader="dot" w:pos="9412"/>
        </w:tabs>
        <w:ind w:left="1120"/>
        <w:rPr>
          <w:rFonts w:hint="eastAsia" w:ascii="宋体" w:hAnsi="宋体" w:eastAsia="宋体" w:cs="宋体"/>
          <w:color w:val="auto"/>
          <w:highlight w:val="none"/>
        </w:rPr>
      </w:pPr>
    </w:p>
    <w:p w14:paraId="5B7CEFD1">
      <w:pPr>
        <w:pStyle w:val="49"/>
        <w:tabs>
          <w:tab w:val="right" w:leader="dot" w:pos="9402"/>
        </w:tabs>
        <w:spacing w:line="480" w:lineRule="exact"/>
        <w:ind w:left="560"/>
        <w:jc w:val="center"/>
        <w:rPr>
          <w:rFonts w:hint="eastAsia" w:ascii="宋体" w:hAnsi="宋体" w:eastAsia="宋体" w:cs="宋体"/>
          <w:color w:val="auto"/>
          <w:sz w:val="18"/>
          <w:szCs w:val="22"/>
          <w:highlight w:val="none"/>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r>
        <w:rPr>
          <w:rFonts w:hint="eastAsia" w:ascii="宋体" w:hAnsi="宋体" w:eastAsia="宋体" w:cs="宋体"/>
          <w:color w:val="auto"/>
          <w:szCs w:val="24"/>
          <w:highlight w:val="none"/>
        </w:rPr>
        <w:fldChar w:fldCharType="end"/>
      </w:r>
    </w:p>
    <w:p w14:paraId="26641EE1">
      <w:pPr>
        <w:pStyle w:val="4"/>
        <w:spacing w:line="360" w:lineRule="auto"/>
        <w:jc w:val="center"/>
        <w:rPr>
          <w:rFonts w:hint="eastAsia" w:ascii="宋体" w:hAnsi="宋体" w:eastAsia="宋体" w:cs="宋体"/>
          <w:bCs/>
          <w:color w:val="auto"/>
          <w:szCs w:val="30"/>
          <w:highlight w:val="none"/>
        </w:rPr>
      </w:pPr>
      <w:bookmarkStart w:id="30" w:name="_Toc21521"/>
      <w:bookmarkStart w:id="31" w:name="_Toc11641050"/>
      <w:bookmarkStart w:id="32" w:name="_Toc12789052"/>
      <w:r>
        <w:rPr>
          <w:rFonts w:hint="eastAsia" w:ascii="宋体" w:hAnsi="宋体" w:eastAsia="宋体" w:cs="宋体"/>
          <w:bCs/>
          <w:color w:val="auto"/>
          <w:sz w:val="36"/>
          <w:szCs w:val="30"/>
          <w:highlight w:val="none"/>
        </w:rPr>
        <w:t>第一篇采购邀请书</w:t>
      </w:r>
      <w:bookmarkEnd w:id="30"/>
      <w:bookmarkEnd w:id="31"/>
      <w:bookmarkEnd w:id="32"/>
    </w:p>
    <w:p w14:paraId="0B3D4D02">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u w:val="single"/>
          <w:lang w:eastAsia="zh-CN"/>
        </w:rPr>
        <w:t>重庆千诺工程项目管理有限公司</w:t>
      </w:r>
      <w:r>
        <w:rPr>
          <w:rFonts w:hint="eastAsia" w:ascii="宋体" w:hAnsi="宋体" w:eastAsia="宋体" w:cs="宋体"/>
          <w:color w:val="auto"/>
          <w:sz w:val="24"/>
          <w:szCs w:val="24"/>
          <w:highlight w:val="none"/>
        </w:rPr>
        <w:t>（以下简称：采购代理机构）接受</w:t>
      </w:r>
      <w:r>
        <w:rPr>
          <w:rFonts w:hint="eastAsia" w:ascii="宋体" w:hAnsi="宋体" w:cs="宋体"/>
          <w:color w:val="auto"/>
          <w:sz w:val="24"/>
          <w:szCs w:val="24"/>
          <w:highlight w:val="none"/>
          <w:u w:val="single"/>
          <w:lang w:eastAsia="zh-CN"/>
        </w:rPr>
        <w:t>秀山土家族苗族自治县中医医院</w:t>
      </w:r>
      <w:r>
        <w:rPr>
          <w:rFonts w:hint="eastAsia" w:ascii="宋体" w:hAnsi="宋体" w:eastAsia="宋体" w:cs="宋体"/>
          <w:color w:val="auto"/>
          <w:sz w:val="24"/>
          <w:szCs w:val="24"/>
          <w:highlight w:val="none"/>
        </w:rPr>
        <w:t>的委托，对</w:t>
      </w:r>
      <w:r>
        <w:rPr>
          <w:rFonts w:hint="eastAsia" w:ascii="宋体" w:hAnsi="宋体" w:cs="宋体"/>
          <w:color w:val="auto"/>
          <w:sz w:val="24"/>
          <w:szCs w:val="24"/>
          <w:highlight w:val="none"/>
          <w:u w:val="single"/>
          <w:lang w:eastAsia="zh-CN"/>
        </w:rPr>
        <w:t>秀山县中医医院医疗设备一批采购（第二次）</w:t>
      </w:r>
      <w:r>
        <w:rPr>
          <w:rFonts w:hint="eastAsia" w:ascii="宋体" w:hAnsi="宋体" w:eastAsia="宋体" w:cs="宋体"/>
          <w:color w:val="auto"/>
          <w:sz w:val="24"/>
          <w:szCs w:val="24"/>
          <w:highlight w:val="none"/>
        </w:rPr>
        <w:t>进行网上竞采。欢迎有资格的供应商前来参与网上竞采。</w:t>
      </w:r>
    </w:p>
    <w:p w14:paraId="3015058E">
      <w:pPr>
        <w:pStyle w:val="5"/>
        <w:numPr>
          <w:ilvl w:val="0"/>
          <w:numId w:val="14"/>
        </w:numPr>
        <w:spacing w:before="240" w:beforeLines="100" w:after="0" w:line="360" w:lineRule="auto"/>
        <w:rPr>
          <w:rFonts w:hint="eastAsia" w:ascii="宋体" w:hAnsi="宋体" w:eastAsia="宋体" w:cs="宋体"/>
          <w:color w:val="auto"/>
          <w:sz w:val="24"/>
          <w:szCs w:val="24"/>
          <w:highlight w:val="none"/>
        </w:rPr>
      </w:pPr>
      <w:bookmarkStart w:id="33" w:name="_Toc2406"/>
      <w:bookmarkStart w:id="34" w:name="_Toc5721"/>
      <w:bookmarkStart w:id="35" w:name="_Toc317775175"/>
      <w:bookmarkStart w:id="36" w:name="_Toc313893526"/>
      <w:bookmarkStart w:id="37" w:name="_Toc373860293"/>
      <w:bookmarkStart w:id="38" w:name="_Toc317775178"/>
      <w:r>
        <w:rPr>
          <w:rFonts w:hint="eastAsia" w:ascii="宋体" w:hAnsi="宋体" w:eastAsia="宋体" w:cs="宋体"/>
          <w:color w:val="auto"/>
          <w:sz w:val="24"/>
          <w:szCs w:val="24"/>
          <w:highlight w:val="none"/>
        </w:rPr>
        <w:t>采购内容</w:t>
      </w:r>
      <w:bookmarkEnd w:id="33"/>
      <w:bookmarkEnd w:id="34"/>
      <w:bookmarkEnd w:id="35"/>
      <w:bookmarkEnd w:id="36"/>
    </w:p>
    <w:tbl>
      <w:tblPr>
        <w:tblStyle w:val="62"/>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9"/>
        <w:gridCol w:w="1812"/>
        <w:gridCol w:w="1586"/>
        <w:gridCol w:w="1081"/>
      </w:tblGrid>
      <w:tr w14:paraId="368C9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4519" w:type="dxa"/>
            <w:tcBorders>
              <w:top w:val="single" w:color="auto" w:sz="4" w:space="0"/>
              <w:left w:val="single" w:color="auto" w:sz="4" w:space="0"/>
              <w:right w:val="single" w:color="auto" w:sz="4" w:space="0"/>
            </w:tcBorders>
            <w:vAlign w:val="center"/>
          </w:tcPr>
          <w:p w14:paraId="7748F487">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1812" w:type="dxa"/>
            <w:tcBorders>
              <w:top w:val="single" w:color="auto" w:sz="4" w:space="0"/>
              <w:left w:val="single" w:color="auto" w:sz="4" w:space="0"/>
              <w:right w:val="single" w:color="auto" w:sz="4" w:space="0"/>
            </w:tcBorders>
            <w:vAlign w:val="center"/>
          </w:tcPr>
          <w:p w14:paraId="3F3F8105">
            <w:pPr>
              <w:widowControl/>
              <w:jc w:val="center"/>
              <w:rPr>
                <w:rFonts w:hint="eastAsia" w:ascii="宋体" w:hAnsi="宋体" w:eastAsia="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暂定总</w:t>
            </w:r>
            <w:r>
              <w:rPr>
                <w:rFonts w:hint="eastAsia" w:ascii="宋体" w:hAnsi="宋体" w:eastAsia="宋体" w:cs="宋体"/>
                <w:b/>
                <w:bCs/>
                <w:color w:val="auto"/>
                <w:kern w:val="0"/>
                <w:sz w:val="24"/>
                <w:szCs w:val="24"/>
                <w:highlight w:val="none"/>
              </w:rPr>
              <w:t>限价</w:t>
            </w:r>
          </w:p>
          <w:p w14:paraId="5D76F64F">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（元）</w:t>
            </w:r>
          </w:p>
        </w:tc>
        <w:tc>
          <w:tcPr>
            <w:tcW w:w="1586" w:type="dxa"/>
            <w:tcBorders>
              <w:top w:val="single" w:color="auto" w:sz="4" w:space="0"/>
              <w:left w:val="single" w:color="auto" w:sz="4" w:space="0"/>
              <w:right w:val="single" w:color="auto" w:sz="4" w:space="0"/>
            </w:tcBorders>
            <w:vAlign w:val="center"/>
          </w:tcPr>
          <w:p w14:paraId="1F5EDAFD">
            <w:pPr>
              <w:widowControl/>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eastAsia="zh-CN"/>
              </w:rPr>
              <w:t>中标人</w:t>
            </w:r>
            <w:r>
              <w:rPr>
                <w:rFonts w:hint="eastAsia" w:ascii="宋体" w:hAnsi="宋体" w:eastAsia="宋体" w:cs="宋体"/>
                <w:b/>
                <w:bCs/>
                <w:color w:val="auto"/>
                <w:kern w:val="0"/>
                <w:sz w:val="24"/>
                <w:szCs w:val="24"/>
                <w:highlight w:val="none"/>
              </w:rPr>
              <w:t>数量（名）</w:t>
            </w:r>
          </w:p>
        </w:tc>
        <w:tc>
          <w:tcPr>
            <w:tcW w:w="1081" w:type="dxa"/>
            <w:tcBorders>
              <w:top w:val="single" w:color="auto" w:sz="4" w:space="0"/>
              <w:left w:val="single" w:color="auto" w:sz="4" w:space="0"/>
              <w:right w:val="single" w:color="auto" w:sz="4" w:space="0"/>
            </w:tcBorders>
            <w:vAlign w:val="center"/>
          </w:tcPr>
          <w:p w14:paraId="4103733D">
            <w:pPr>
              <w:widowControl/>
              <w:jc w:val="center"/>
              <w:rPr>
                <w:rFonts w:hint="default" w:ascii="宋体" w:hAnsi="宋体" w:eastAsia="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备注</w:t>
            </w:r>
          </w:p>
        </w:tc>
      </w:tr>
      <w:tr w14:paraId="6637D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restart"/>
            <w:tcBorders>
              <w:top w:val="single" w:color="auto" w:sz="4" w:space="0"/>
              <w:left w:val="single" w:color="auto" w:sz="4" w:space="0"/>
              <w:right w:val="single" w:color="auto" w:sz="4" w:space="0"/>
            </w:tcBorders>
            <w:vAlign w:val="center"/>
          </w:tcPr>
          <w:p w14:paraId="4D676FD9">
            <w:pPr>
              <w:jc w:val="both"/>
              <w:rPr>
                <w:rFonts w:hint="eastAsia" w:ascii="宋体" w:hAnsi="宋体" w:eastAsia="宋体" w:cs="宋体"/>
                <w:color w:val="auto"/>
                <w:sz w:val="24"/>
                <w:szCs w:val="24"/>
                <w:highlight w:val="none"/>
                <w:lang w:eastAsia="zh-CN"/>
              </w:rPr>
            </w:pPr>
            <w:bookmarkStart w:id="39" w:name="_Hlk344477914"/>
            <w:r>
              <w:rPr>
                <w:rFonts w:hint="eastAsia" w:ascii="宋体" w:hAnsi="宋体" w:cs="宋体"/>
                <w:color w:val="auto"/>
                <w:sz w:val="24"/>
                <w:szCs w:val="24"/>
                <w:highlight w:val="none"/>
                <w:lang w:eastAsia="zh-CN"/>
              </w:rPr>
              <w:t>秀山县中医医院医疗设备一批采购（第二次）</w:t>
            </w:r>
          </w:p>
        </w:tc>
        <w:tc>
          <w:tcPr>
            <w:tcW w:w="1812" w:type="dxa"/>
            <w:vMerge w:val="restart"/>
            <w:tcBorders>
              <w:top w:val="single" w:color="auto" w:sz="4" w:space="0"/>
              <w:left w:val="single" w:color="auto" w:sz="4" w:space="0"/>
              <w:right w:val="single" w:color="auto" w:sz="4" w:space="0"/>
            </w:tcBorders>
            <w:vAlign w:val="center"/>
          </w:tcPr>
          <w:p w14:paraId="17E90B1A">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474500.00</w:t>
            </w:r>
          </w:p>
        </w:tc>
        <w:tc>
          <w:tcPr>
            <w:tcW w:w="1586" w:type="dxa"/>
            <w:vMerge w:val="restart"/>
            <w:tcBorders>
              <w:top w:val="single" w:color="auto" w:sz="4" w:space="0"/>
              <w:left w:val="single" w:color="auto" w:sz="4" w:space="0"/>
              <w:right w:val="single" w:color="auto" w:sz="4" w:space="0"/>
            </w:tcBorders>
            <w:vAlign w:val="center"/>
          </w:tcPr>
          <w:p w14:paraId="0ED53A10">
            <w:pPr>
              <w:widowControl/>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1"/>
                <w:szCs w:val="24"/>
                <w:highlight w:val="none"/>
                <w:lang w:val="en-US" w:eastAsia="zh-CN"/>
              </w:rPr>
              <w:t>1</w:t>
            </w:r>
          </w:p>
        </w:tc>
        <w:tc>
          <w:tcPr>
            <w:tcW w:w="1081" w:type="dxa"/>
            <w:vMerge w:val="restart"/>
            <w:tcBorders>
              <w:top w:val="single" w:color="auto" w:sz="4" w:space="0"/>
              <w:left w:val="single" w:color="auto" w:sz="4" w:space="0"/>
              <w:right w:val="single" w:color="auto" w:sz="4" w:space="0"/>
            </w:tcBorders>
            <w:vAlign w:val="center"/>
          </w:tcPr>
          <w:p w14:paraId="5E51C8AF">
            <w:pPr>
              <w:jc w:val="center"/>
              <w:rPr>
                <w:rFonts w:hint="default" w:ascii="宋体" w:hAnsi="宋体" w:eastAsia="宋体" w:cs="宋体"/>
                <w:color w:val="auto"/>
                <w:sz w:val="24"/>
                <w:szCs w:val="24"/>
                <w:highlight w:val="none"/>
                <w:lang w:val="en-US" w:eastAsia="zh-CN"/>
              </w:rPr>
            </w:pPr>
          </w:p>
        </w:tc>
      </w:tr>
      <w:tr w14:paraId="6BFDE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1CD98F6A">
            <w:pPr>
              <w:jc w:val="center"/>
              <w:rPr>
                <w:rFonts w:hint="eastAsia" w:ascii="宋体" w:hAnsi="宋体" w:cs="宋体"/>
                <w:color w:val="auto"/>
                <w:sz w:val="24"/>
                <w:szCs w:val="24"/>
                <w:highlight w:val="none"/>
                <w:lang w:eastAsia="zh-CN"/>
              </w:rPr>
            </w:pPr>
            <w:bookmarkStart w:id="40" w:name="_Toc25538"/>
            <w:bookmarkStart w:id="41" w:name="_Toc1752"/>
          </w:p>
        </w:tc>
        <w:tc>
          <w:tcPr>
            <w:tcW w:w="1812" w:type="dxa"/>
            <w:vMerge w:val="continue"/>
            <w:tcBorders>
              <w:left w:val="single" w:color="auto" w:sz="4" w:space="0"/>
              <w:right w:val="single" w:color="auto" w:sz="4" w:space="0"/>
            </w:tcBorders>
            <w:vAlign w:val="center"/>
          </w:tcPr>
          <w:p w14:paraId="40DE0CC6">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41DC8CA1">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602E0086">
            <w:pPr>
              <w:jc w:val="center"/>
              <w:rPr>
                <w:rFonts w:hint="eastAsia" w:ascii="宋体" w:hAnsi="宋体" w:cs="宋体"/>
                <w:color w:val="auto"/>
                <w:sz w:val="24"/>
                <w:szCs w:val="24"/>
                <w:highlight w:val="none"/>
                <w:lang w:val="en-US" w:eastAsia="zh-CN"/>
              </w:rPr>
            </w:pPr>
          </w:p>
        </w:tc>
      </w:tr>
      <w:tr w14:paraId="1F34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right w:val="single" w:color="auto" w:sz="4" w:space="0"/>
            </w:tcBorders>
            <w:vAlign w:val="center"/>
          </w:tcPr>
          <w:p w14:paraId="1E0186DF">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right w:val="single" w:color="auto" w:sz="4" w:space="0"/>
            </w:tcBorders>
            <w:vAlign w:val="center"/>
          </w:tcPr>
          <w:p w14:paraId="435E8E36">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right w:val="single" w:color="auto" w:sz="4" w:space="0"/>
            </w:tcBorders>
            <w:vAlign w:val="center"/>
          </w:tcPr>
          <w:p w14:paraId="0C6D6E56">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right w:val="single" w:color="auto" w:sz="4" w:space="0"/>
            </w:tcBorders>
            <w:vAlign w:val="center"/>
          </w:tcPr>
          <w:p w14:paraId="60708A7A">
            <w:pPr>
              <w:jc w:val="center"/>
              <w:rPr>
                <w:rFonts w:hint="eastAsia" w:ascii="宋体" w:hAnsi="宋体" w:cs="宋体"/>
                <w:color w:val="auto"/>
                <w:sz w:val="24"/>
                <w:szCs w:val="24"/>
                <w:highlight w:val="none"/>
                <w:lang w:val="en-US" w:eastAsia="zh-CN"/>
              </w:rPr>
            </w:pPr>
          </w:p>
        </w:tc>
      </w:tr>
      <w:tr w14:paraId="1DBD3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4519" w:type="dxa"/>
            <w:vMerge w:val="continue"/>
            <w:tcBorders>
              <w:left w:val="single" w:color="auto" w:sz="4" w:space="0"/>
              <w:bottom w:val="single" w:color="auto" w:sz="4" w:space="0"/>
              <w:right w:val="single" w:color="auto" w:sz="4" w:space="0"/>
            </w:tcBorders>
            <w:vAlign w:val="center"/>
          </w:tcPr>
          <w:p w14:paraId="54287228">
            <w:pPr>
              <w:jc w:val="center"/>
              <w:rPr>
                <w:rFonts w:hint="eastAsia" w:ascii="宋体" w:hAnsi="宋体" w:cs="宋体"/>
                <w:color w:val="auto"/>
                <w:sz w:val="24"/>
                <w:szCs w:val="24"/>
                <w:highlight w:val="none"/>
                <w:lang w:eastAsia="zh-CN"/>
              </w:rPr>
            </w:pPr>
          </w:p>
        </w:tc>
        <w:tc>
          <w:tcPr>
            <w:tcW w:w="1812" w:type="dxa"/>
            <w:vMerge w:val="continue"/>
            <w:tcBorders>
              <w:left w:val="single" w:color="auto" w:sz="4" w:space="0"/>
              <w:bottom w:val="single" w:color="auto" w:sz="4" w:space="0"/>
              <w:right w:val="single" w:color="auto" w:sz="4" w:space="0"/>
            </w:tcBorders>
            <w:vAlign w:val="center"/>
          </w:tcPr>
          <w:p w14:paraId="757FEB03">
            <w:pPr>
              <w:jc w:val="cente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p>
        </w:tc>
        <w:tc>
          <w:tcPr>
            <w:tcW w:w="1586" w:type="dxa"/>
            <w:vMerge w:val="continue"/>
            <w:tcBorders>
              <w:left w:val="single" w:color="auto" w:sz="4" w:space="0"/>
              <w:bottom w:val="single" w:color="auto" w:sz="4" w:space="0"/>
              <w:right w:val="single" w:color="auto" w:sz="4" w:space="0"/>
            </w:tcBorders>
            <w:vAlign w:val="center"/>
          </w:tcPr>
          <w:p w14:paraId="7BF7AACD">
            <w:pPr>
              <w:widowControl/>
              <w:jc w:val="center"/>
              <w:rPr>
                <w:rFonts w:hint="eastAsia" w:ascii="宋体" w:hAnsi="宋体" w:eastAsia="宋体" w:cs="宋体"/>
                <w:color w:val="auto"/>
                <w:kern w:val="0"/>
                <w:sz w:val="21"/>
                <w:szCs w:val="24"/>
                <w:highlight w:val="none"/>
                <w:lang w:val="en-US" w:eastAsia="zh-CN"/>
              </w:rPr>
            </w:pPr>
          </w:p>
        </w:tc>
        <w:tc>
          <w:tcPr>
            <w:tcW w:w="1081" w:type="dxa"/>
            <w:vMerge w:val="continue"/>
            <w:tcBorders>
              <w:left w:val="single" w:color="auto" w:sz="4" w:space="0"/>
              <w:bottom w:val="single" w:color="auto" w:sz="4" w:space="0"/>
              <w:right w:val="single" w:color="auto" w:sz="4" w:space="0"/>
            </w:tcBorders>
            <w:vAlign w:val="center"/>
          </w:tcPr>
          <w:p w14:paraId="74A26B06">
            <w:pPr>
              <w:jc w:val="center"/>
              <w:rPr>
                <w:rFonts w:hint="eastAsia" w:ascii="宋体" w:hAnsi="宋体" w:cs="宋体"/>
                <w:color w:val="auto"/>
                <w:sz w:val="24"/>
                <w:szCs w:val="24"/>
                <w:highlight w:val="none"/>
                <w:lang w:val="en-US" w:eastAsia="zh-CN"/>
              </w:rPr>
            </w:pPr>
          </w:p>
        </w:tc>
      </w:tr>
      <w:bookmarkEnd w:id="39"/>
    </w:tbl>
    <w:p w14:paraId="27E00A78">
      <w:pPr>
        <w:pStyle w:val="5"/>
        <w:spacing w:before="240" w:beforeLines="10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二、资金来源</w:t>
      </w:r>
      <w:bookmarkEnd w:id="40"/>
      <w:bookmarkEnd w:id="41"/>
    </w:p>
    <w:p w14:paraId="13C99268">
      <w:pPr>
        <w:keepNext/>
        <w:keepLines/>
        <w:spacing w:line="400" w:lineRule="exact"/>
        <w:ind w:firstLine="480" w:firstLineChars="200"/>
        <w:rPr>
          <w:rFonts w:hint="eastAsia" w:ascii="宋体" w:hAnsi="宋体" w:eastAsia="宋体" w:cs="宋体"/>
          <w:bCs/>
          <w:color w:val="auto"/>
          <w:sz w:val="24"/>
          <w:szCs w:val="24"/>
          <w:highlight w:val="none"/>
        </w:rPr>
      </w:pPr>
      <w:bookmarkStart w:id="42" w:name="_Toc5745"/>
      <w:bookmarkStart w:id="43" w:name="_Toc358"/>
      <w:bookmarkStart w:id="44" w:name="_Toc5679"/>
      <w:bookmarkStart w:id="45" w:name="_Toc26791"/>
      <w:r>
        <w:rPr>
          <w:rFonts w:hint="eastAsia" w:ascii="宋体" w:hAnsi="宋体" w:cs="宋体"/>
          <w:bCs/>
          <w:color w:val="auto"/>
          <w:sz w:val="24"/>
          <w:szCs w:val="24"/>
          <w:highlight w:val="none"/>
          <w:lang w:val="en-US" w:eastAsia="zh-CN"/>
        </w:rPr>
        <w:t>业主自筹</w:t>
      </w:r>
      <w:r>
        <w:rPr>
          <w:rFonts w:hint="eastAsia" w:ascii="宋体" w:hAnsi="宋体" w:eastAsia="宋体" w:cs="宋体"/>
          <w:bCs/>
          <w:color w:val="auto"/>
          <w:sz w:val="24"/>
          <w:szCs w:val="24"/>
          <w:highlight w:val="none"/>
        </w:rPr>
        <w:t>，预算金额为</w:t>
      </w:r>
      <w:r>
        <w:rPr>
          <w:rFonts w:hint="eastAsia" w:ascii="宋体" w:hAnsi="宋体" w:cs="宋体"/>
          <w:color w:val="auto"/>
          <w:sz w:val="24"/>
          <w:szCs w:val="24"/>
          <w:highlight w:val="none"/>
          <w:u w:val="single"/>
          <w:lang w:val="en-US" w:eastAsia="zh-CN"/>
        </w:rPr>
        <w:t xml:space="preserve"> 474500.00 </w:t>
      </w:r>
      <w:r>
        <w:rPr>
          <w:rFonts w:hint="eastAsia" w:ascii="宋体" w:hAnsi="宋体" w:eastAsia="宋体" w:cs="宋体"/>
          <w:bCs/>
          <w:color w:val="auto"/>
          <w:sz w:val="24"/>
          <w:szCs w:val="24"/>
          <w:highlight w:val="none"/>
        </w:rPr>
        <w:t>元</w:t>
      </w:r>
      <w:bookmarkEnd w:id="42"/>
      <w:bookmarkEnd w:id="43"/>
      <w:bookmarkEnd w:id="44"/>
      <w:r>
        <w:rPr>
          <w:rFonts w:hint="eastAsia" w:ascii="宋体" w:hAnsi="宋体" w:eastAsia="宋体" w:cs="宋体"/>
          <w:bCs/>
          <w:color w:val="auto"/>
          <w:sz w:val="24"/>
          <w:szCs w:val="24"/>
          <w:highlight w:val="none"/>
        </w:rPr>
        <w:t>。</w:t>
      </w:r>
      <w:bookmarkEnd w:id="45"/>
    </w:p>
    <w:p w14:paraId="4A884F56">
      <w:pPr>
        <w:pStyle w:val="5"/>
        <w:spacing w:before="240" w:beforeLines="100" w:after="0" w:line="360" w:lineRule="auto"/>
        <w:rPr>
          <w:rFonts w:hint="eastAsia" w:ascii="宋体" w:hAnsi="宋体" w:eastAsia="宋体" w:cs="宋体"/>
          <w:color w:val="auto"/>
          <w:sz w:val="24"/>
          <w:szCs w:val="24"/>
          <w:highlight w:val="none"/>
        </w:rPr>
      </w:pPr>
      <w:bookmarkStart w:id="46" w:name="_Toc27448"/>
      <w:bookmarkStart w:id="47" w:name="_Toc18111"/>
      <w:r>
        <w:rPr>
          <w:rFonts w:hint="eastAsia" w:ascii="宋体" w:hAnsi="宋体" w:eastAsia="宋体" w:cs="宋体"/>
          <w:color w:val="auto"/>
          <w:sz w:val="24"/>
          <w:szCs w:val="24"/>
          <w:highlight w:val="none"/>
        </w:rPr>
        <w:t>三、供应商资格条件</w:t>
      </w:r>
      <w:bookmarkEnd w:id="46"/>
      <w:bookmarkEnd w:id="47"/>
    </w:p>
    <w:p w14:paraId="3ECE1F06">
      <w:pPr>
        <w:wordWrap w:val="0"/>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供应商是指向采购人提供服务或者货物的法人、其他组织或者自然人。合格的供应商应符合政府采购法第二十二条规定的基本资格条件</w:t>
      </w:r>
      <w:r>
        <w:rPr>
          <w:rFonts w:hint="eastAsia" w:ascii="宋体" w:hAnsi="宋体" w:eastAsia="宋体" w:cs="宋体"/>
          <w:color w:val="auto"/>
          <w:sz w:val="24"/>
          <w:szCs w:val="24"/>
          <w:highlight w:val="none"/>
          <w:lang w:eastAsia="zh-CN"/>
        </w:rPr>
        <w:t>。</w:t>
      </w:r>
    </w:p>
    <w:p w14:paraId="19DDDD99">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（一）基本资格条件</w:t>
      </w:r>
    </w:p>
    <w:p w14:paraId="75D56171">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7044D6D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7B179267">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275F36C6">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1906A302">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4A5590A8">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552481C3">
      <w:pPr>
        <w:wordWrap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）特定资格条件：</w:t>
      </w:r>
      <w:bookmarkStart w:id="48" w:name="_Toc16506"/>
      <w:r>
        <w:rPr>
          <w:rFonts w:hint="eastAsia" w:ascii="宋体" w:hAnsi="宋体" w:eastAsia="宋体" w:cs="宋体"/>
          <w:color w:val="auto"/>
          <w:sz w:val="24"/>
          <w:szCs w:val="24"/>
          <w:highlight w:val="none"/>
          <w:lang w:val="en-US" w:eastAsia="zh-CN"/>
        </w:rPr>
        <w:t>供应商须具备有效的《医疗器械经营许可证》或《医疗器械生产许可证》，提供相关证书复印件并加盖供应商公章。投标产品属于医疗器械的需提供《医疗器械注册证》，提供相关证书复印件并加盖公章；投标产品不属于医疗器械管理的，请供应商自行提供所投产品不属于医疗器械管理的专项说明证明材料（格式自拟）。</w:t>
      </w:r>
    </w:p>
    <w:p w14:paraId="32E97325">
      <w:pPr>
        <w:pStyle w:val="5"/>
        <w:pageBreakBefore w:val="0"/>
        <w:widowControl w:val="0"/>
        <w:kinsoku/>
        <w:overflowPunct/>
        <w:topLinePunct w:val="0"/>
        <w:autoSpaceDE/>
        <w:autoSpaceDN/>
        <w:bidi w:val="0"/>
        <w:adjustRightInd/>
        <w:snapToGrid/>
        <w:spacing w:before="0" w:after="0"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四、采购有关说明</w:t>
      </w:r>
      <w:bookmarkEnd w:id="37"/>
      <w:bookmarkEnd w:id="48"/>
    </w:p>
    <w:bookmarkEnd w:id="38"/>
    <w:p w14:paraId="72E5E771">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bookmarkStart w:id="49" w:name="_Toc373860294"/>
      <w:bookmarkStart w:id="50" w:name="_Toc20247"/>
      <w:bookmarkStart w:id="51" w:name="_Toc480466699"/>
      <w:r>
        <w:rPr>
          <w:rFonts w:hint="eastAsia" w:ascii="宋体" w:hAnsi="宋体" w:eastAsia="宋体" w:cs="宋体"/>
          <w:b w:val="0"/>
          <w:bCs/>
          <w:color w:val="auto"/>
          <w:sz w:val="24"/>
          <w:szCs w:val="24"/>
          <w:highlight w:val="none"/>
          <w:lang w:val="en-US" w:eastAsia="zh-CN"/>
        </w:rPr>
        <w:t>（一）参加报价的供应商须在“</w:t>
      </w:r>
      <w:r>
        <w:rPr>
          <w:rFonts w:hint="eastAsia" w:ascii="宋体" w:hAnsi="宋体" w:eastAsia="宋体" w:cs="宋体"/>
          <w:b w:val="0"/>
          <w:bCs/>
          <w:color w:val="auto"/>
          <w:sz w:val="24"/>
          <w:szCs w:val="24"/>
          <w:highlight w:val="none"/>
          <w:lang w:val="en-US" w:eastAsia="zh-CN"/>
        </w:rPr>
        <w:fldChar w:fldCharType="begin"/>
      </w:r>
      <w:r>
        <w:rPr>
          <w:rFonts w:hint="eastAsia" w:ascii="宋体" w:hAnsi="宋体" w:eastAsia="宋体" w:cs="宋体"/>
          <w:b w:val="0"/>
          <w:bCs/>
          <w:color w:val="auto"/>
          <w:sz w:val="24"/>
          <w:szCs w:val="24"/>
          <w:highlight w:val="none"/>
          <w:lang w:val="en-US" w:eastAsia="zh-CN"/>
        </w:rPr>
        <w:instrText xml:space="preserve"> HYPERLINK "https://cqxs.gec123.com/" \t "https://cqxs.gec123.com/xe/notice/_blank" </w:instrText>
      </w:r>
      <w:r>
        <w:rPr>
          <w:rFonts w:hint="eastAsia" w:ascii="宋体" w:hAnsi="宋体" w:eastAsia="宋体" w:cs="宋体"/>
          <w:b w:val="0"/>
          <w:bCs/>
          <w:color w:val="auto"/>
          <w:sz w:val="24"/>
          <w:szCs w:val="24"/>
          <w:highlight w:val="none"/>
          <w:lang w:val="en-US" w:eastAsia="zh-CN"/>
        </w:rPr>
        <w:fldChar w:fldCharType="separate"/>
      </w:r>
      <w:r>
        <w:rPr>
          <w:rFonts w:hint="eastAsia" w:ascii="宋体" w:hAnsi="宋体" w:eastAsia="宋体" w:cs="宋体"/>
          <w:b w:val="0"/>
          <w:bCs/>
          <w:color w:val="auto"/>
          <w:sz w:val="24"/>
          <w:szCs w:val="24"/>
          <w:highlight w:val="none"/>
          <w:lang w:val="en-US" w:eastAsia="zh-CN"/>
        </w:rPr>
        <w:t>重庆秀山小额交易管理平台</w:t>
      </w:r>
      <w:r>
        <w:rPr>
          <w:rFonts w:hint="eastAsia" w:ascii="宋体" w:hAnsi="宋体" w:eastAsia="宋体" w:cs="宋体"/>
          <w:b w:val="0"/>
          <w:bCs/>
          <w:color w:val="auto"/>
          <w:sz w:val="24"/>
          <w:szCs w:val="24"/>
          <w:highlight w:val="none"/>
          <w:lang w:val="en-US" w:eastAsia="zh-CN"/>
        </w:rPr>
        <w:fldChar w:fldCharType="end"/>
      </w:r>
      <w:r>
        <w:rPr>
          <w:rFonts w:hint="eastAsia" w:ascii="宋体" w:hAnsi="宋体" w:eastAsia="宋体" w:cs="宋体"/>
          <w:b w:val="0"/>
          <w:bCs/>
          <w:color w:val="auto"/>
          <w:sz w:val="24"/>
          <w:szCs w:val="24"/>
          <w:highlight w:val="none"/>
          <w:lang w:val="en-US" w:eastAsia="zh-CN"/>
        </w:rPr>
        <w:t>”服务平台注册，成为正式供应商。</w:t>
      </w:r>
    </w:p>
    <w:p w14:paraId="1AE9792B">
      <w:pPr>
        <w:snapToGrid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（二）凡有意参加采购的供应商请于202</w:t>
      </w: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年</w:t>
      </w:r>
      <w:r>
        <w:rPr>
          <w:rFonts w:hint="eastAsia" w:ascii="宋体" w:hAnsi="宋体" w:cs="宋体"/>
          <w:b w:val="0"/>
          <w:bCs/>
          <w:color w:val="auto"/>
          <w:sz w:val="24"/>
          <w:szCs w:val="24"/>
          <w:highlight w:val="none"/>
          <w:lang w:val="en-US" w:eastAsia="zh-CN"/>
        </w:rPr>
        <w:t xml:space="preserve"> 5 </w:t>
      </w:r>
      <w:r>
        <w:rPr>
          <w:rFonts w:hint="eastAsia" w:ascii="宋体" w:hAnsi="宋体" w:eastAsia="宋体" w:cs="宋体"/>
          <w:b w:val="0"/>
          <w:bCs/>
          <w:color w:val="auto"/>
          <w:sz w:val="24"/>
          <w:szCs w:val="24"/>
          <w:highlight w:val="none"/>
          <w:lang w:val="en-US" w:eastAsia="zh-CN"/>
        </w:rPr>
        <w:t>月</w:t>
      </w:r>
      <w:r>
        <w:rPr>
          <w:rFonts w:hint="eastAsia" w:ascii="宋体" w:hAnsi="宋体" w:cs="宋体"/>
          <w:b w:val="0"/>
          <w:bCs/>
          <w:color w:val="auto"/>
          <w:sz w:val="24"/>
          <w:szCs w:val="24"/>
          <w:highlight w:val="none"/>
          <w:lang w:val="en-US" w:eastAsia="zh-CN"/>
        </w:rPr>
        <w:t xml:space="preserve"> 25 </w:t>
      </w:r>
      <w:r>
        <w:rPr>
          <w:rFonts w:hint="eastAsia" w:ascii="宋体" w:hAnsi="宋体" w:eastAsia="宋体" w:cs="宋体"/>
          <w:b w:val="0"/>
          <w:bCs/>
          <w:color w:val="auto"/>
          <w:sz w:val="24"/>
          <w:szCs w:val="24"/>
          <w:highlight w:val="none"/>
          <w:lang w:val="en-US" w:eastAsia="zh-CN"/>
        </w:rPr>
        <w:t>日起将报名表加盖公章扫描后发送至</w:t>
      </w:r>
      <w:r>
        <w:rPr>
          <w:rFonts w:hint="eastAsia" w:ascii="宋体" w:hAnsi="宋体" w:cs="宋体"/>
          <w:b w:val="0"/>
          <w:bCs/>
          <w:color w:val="auto"/>
          <w:sz w:val="24"/>
          <w:szCs w:val="24"/>
          <w:highlight w:val="none"/>
          <w:lang w:val="en-US" w:eastAsia="zh-CN"/>
        </w:rPr>
        <w:t>934441280</w:t>
      </w:r>
      <w:r>
        <w:rPr>
          <w:rFonts w:hint="eastAsia" w:ascii="宋体" w:hAnsi="宋体" w:eastAsia="宋体" w:cs="宋体"/>
          <w:b w:val="0"/>
          <w:bCs/>
          <w:color w:val="auto"/>
          <w:sz w:val="24"/>
          <w:szCs w:val="24"/>
          <w:highlight w:val="none"/>
          <w:lang w:val="en-US" w:eastAsia="zh-CN"/>
        </w:rPr>
        <w:t>@qq.com（邮箱）进行报名并获取采购文件。</w:t>
      </w:r>
    </w:p>
    <w:p w14:paraId="1C986FBF">
      <w:pPr>
        <w:snapToGrid w:val="0"/>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（三）</w:t>
      </w:r>
      <w:r>
        <w:rPr>
          <w:rFonts w:hint="eastAsia" w:ascii="宋体" w:hAnsi="宋体" w:eastAsia="宋体" w:cs="宋体"/>
          <w:b w:val="0"/>
          <w:bCs/>
          <w:color w:val="auto"/>
          <w:sz w:val="24"/>
          <w:szCs w:val="24"/>
          <w:highlight w:val="none"/>
          <w:lang w:val="zh-CN" w:eastAsia="zh-CN"/>
        </w:rPr>
        <w:t>采购文件每套售价</w:t>
      </w:r>
      <w:r>
        <w:rPr>
          <w:rFonts w:hint="eastAsia" w:ascii="宋体" w:hAnsi="宋体" w:eastAsia="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zh-CN" w:eastAsia="zh-CN"/>
        </w:rPr>
        <w:t>00元，售后不退。</w:t>
      </w:r>
      <w:r>
        <w:rPr>
          <w:rFonts w:hint="eastAsia" w:ascii="宋体" w:hAnsi="宋体" w:eastAsia="宋体" w:cs="宋体"/>
          <w:b w:val="0"/>
          <w:bCs/>
          <w:color w:val="auto"/>
          <w:sz w:val="24"/>
          <w:szCs w:val="24"/>
          <w:highlight w:val="none"/>
          <w:lang w:val="en-US" w:eastAsia="zh-CN"/>
        </w:rPr>
        <w:t>供应商</w:t>
      </w:r>
      <w:r>
        <w:rPr>
          <w:rFonts w:hint="eastAsia" w:ascii="宋体" w:hAnsi="宋体" w:eastAsia="宋体" w:cs="宋体"/>
          <w:b w:val="0"/>
          <w:bCs/>
          <w:color w:val="auto"/>
          <w:sz w:val="24"/>
          <w:szCs w:val="24"/>
          <w:highlight w:val="none"/>
          <w:lang w:val="zh-CN" w:eastAsia="zh-CN"/>
        </w:rPr>
        <w:t>在报名时,向采购代理机构缴纳采购文件的费用。采购文件费收取注意事项详见采购公告发布的附件</w:t>
      </w:r>
      <w:r>
        <w:rPr>
          <w:rFonts w:hint="eastAsia" w:ascii="宋体" w:hAnsi="宋体" w:eastAsia="宋体" w:cs="宋体"/>
          <w:b w:val="0"/>
          <w:bCs/>
          <w:color w:val="auto"/>
          <w:sz w:val="24"/>
          <w:szCs w:val="24"/>
          <w:highlight w:val="none"/>
        </w:rPr>
        <w:t>。</w:t>
      </w:r>
    </w:p>
    <w:p w14:paraId="73009169">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公布的所有项目资料，无论</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下载与否，均视为已知晓所有采购实质性要求内容。</w:t>
      </w:r>
    </w:p>
    <w:p w14:paraId="0AB8ACC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）线上报价</w:t>
      </w:r>
    </w:p>
    <w:p w14:paraId="33C7C90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1.线上报价时间：202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 </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t>:00-</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14:textFill>
            <w14:solidFill>
              <w14:schemeClr w14:val="tx1"/>
            </w14:solidFill>
          </w14:textFill>
        </w:rPr>
        <w:t>:00北京时间。</w:t>
      </w:r>
    </w:p>
    <w:p w14:paraId="3191C9E9">
      <w:pPr>
        <w:snapToGri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2.线上报价要求：按本项目规定的时间在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14:textFill>
            <w14:solidFill>
              <w14:schemeClr w14:val="tx1"/>
            </w14:solidFill>
          </w14:textFill>
        </w:rPr>
        <w:t>进行网上报价，并在规定的时间内上传响应文件电子文档。未在规定时间内报价和上传响应文件电子文档的</w:t>
      </w:r>
      <w:r>
        <w:rPr>
          <w:rFonts w:hint="eastAsia" w:ascii="宋体" w:hAnsi="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不具备竞标资格。</w:t>
      </w:r>
    </w:p>
    <w:p w14:paraId="512D6360">
      <w:pPr>
        <w:snapToGrid w:val="0"/>
        <w:spacing w:line="360" w:lineRule="auto"/>
        <w:ind w:firstLine="361" w:firstLineChars="15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b/>
          <w:bCs/>
          <w:color w:val="000000" w:themeColor="text1"/>
          <w:sz w:val="24"/>
          <w:szCs w:val="24"/>
          <w:highlight w:val="none"/>
          <w14:textFill>
            <w14:solidFill>
              <w14:schemeClr w14:val="tx1"/>
            </w14:solidFill>
          </w14:textFill>
        </w:rPr>
        <w:t>）</w:t>
      </w:r>
      <w:r>
        <w:rPr>
          <w:rFonts w:hint="eastAsia" w:ascii="宋体" w:hAnsi="宋体" w:cs="宋体"/>
          <w:b/>
          <w:bCs/>
          <w:color w:val="000000" w:themeColor="text1"/>
          <w:sz w:val="24"/>
          <w:szCs w:val="24"/>
          <w:highlight w:val="none"/>
          <w:lang w:eastAsia="zh-CN"/>
          <w14:textFill>
            <w14:solidFill>
              <w14:schemeClr w14:val="tx1"/>
            </w14:solidFill>
          </w14:textFill>
        </w:rPr>
        <w:t>供应商</w:t>
      </w:r>
      <w:r>
        <w:rPr>
          <w:rFonts w:hint="eastAsia" w:ascii="宋体" w:hAnsi="宋体" w:eastAsia="宋体" w:cs="宋体"/>
          <w:b/>
          <w:bCs/>
          <w:color w:val="000000" w:themeColor="text1"/>
          <w:sz w:val="24"/>
          <w:szCs w:val="24"/>
          <w:highlight w:val="none"/>
          <w14:textFill>
            <w14:solidFill>
              <w14:schemeClr w14:val="tx1"/>
            </w14:solidFill>
          </w14:textFill>
        </w:rPr>
        <w:t>须满足以下三种要件，其响应文件才被接受：</w:t>
      </w:r>
    </w:p>
    <w:p w14:paraId="6828BDD1">
      <w:pPr>
        <w:wordWrap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1.按时在</w:t>
      </w:r>
      <w:r>
        <w:rPr>
          <w:rFonts w:hint="eastAsia" w:ascii="宋体" w:hAnsi="宋体" w:eastAsia="宋体" w:cs="宋体"/>
          <w:color w:val="000000" w:themeColor="text1"/>
          <w:sz w:val="24"/>
          <w:szCs w:val="24"/>
          <w:highlight w:val="none"/>
          <w:lang w:val="zh-CN"/>
          <w14:textFill>
            <w14:solidFill>
              <w14:schemeClr w14:val="tx1"/>
            </w14:solidFill>
          </w14:textFill>
        </w:rPr>
        <w:t>秀山县小额交易管理平台竞采大厅</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https://cqxs-mall.gec123.com/</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进行网上报价。</w:t>
      </w:r>
    </w:p>
    <w:p w14:paraId="7BDABFEC">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2.按时递交响应文件。</w:t>
      </w:r>
    </w:p>
    <w:p w14:paraId="0EE70B5D">
      <w:pPr>
        <w:spacing w:line="360" w:lineRule="auto"/>
        <w:ind w:firstLine="482" w:firstLineChars="200"/>
        <w:rPr>
          <w:rFonts w:hint="eastAsia"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注：线上及线下响应文件须一致，如不一致，响应文件作废。</w:t>
      </w:r>
    </w:p>
    <w:p w14:paraId="6B758EC5">
      <w:pPr>
        <w:snapToGrid w:val="0"/>
        <w:spacing w:line="360" w:lineRule="auto"/>
        <w:ind w:firstLine="480" w:firstLineChars="200"/>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六</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线下响应文件可</w:t>
      </w:r>
      <w:r>
        <w:rPr>
          <w:rFonts w:hint="eastAsia" w:ascii="宋体" w:hAnsi="宋体" w:cs="宋体"/>
          <w:color w:val="000000" w:themeColor="text1"/>
          <w:sz w:val="24"/>
          <w:szCs w:val="24"/>
          <w:highlight w:val="none"/>
          <w:lang w:val="en-US" w:eastAsia="zh-CN"/>
          <w14:textFill>
            <w14:solidFill>
              <w14:schemeClr w14:val="tx1"/>
            </w14:solidFill>
          </w14:textFill>
        </w:rPr>
        <w:t>选择</w:t>
      </w:r>
      <w:r>
        <w:rPr>
          <w:rFonts w:hint="eastAsia" w:ascii="宋体" w:hAnsi="宋体" w:eastAsia="宋体" w:cs="宋体"/>
          <w:color w:val="000000" w:themeColor="text1"/>
          <w:sz w:val="24"/>
          <w:szCs w:val="24"/>
          <w:highlight w:val="none"/>
          <w:lang w:val="en-US" w:eastAsia="zh-CN"/>
          <w14:textFill>
            <w14:solidFill>
              <w14:schemeClr w14:val="tx1"/>
            </w14:solidFill>
          </w14:textFill>
        </w:rPr>
        <w:t>邮寄</w:t>
      </w:r>
      <w:r>
        <w:rPr>
          <w:rFonts w:hint="eastAsia" w:ascii="宋体" w:hAnsi="宋体" w:cs="宋体"/>
          <w:color w:val="000000" w:themeColor="text1"/>
          <w:sz w:val="24"/>
          <w:szCs w:val="24"/>
          <w:highlight w:val="none"/>
          <w:lang w:val="en-US" w:eastAsia="zh-CN"/>
          <w14:textFill>
            <w14:solidFill>
              <w14:schemeClr w14:val="tx1"/>
            </w14:solidFill>
          </w14:textFill>
        </w:rPr>
        <w:t>或</w:t>
      </w:r>
      <w:r>
        <w:rPr>
          <w:rFonts w:hint="eastAsia" w:ascii="宋体" w:hAnsi="宋体" w:eastAsia="宋体" w:cs="宋体"/>
          <w:color w:val="000000" w:themeColor="text1"/>
          <w:sz w:val="24"/>
          <w:szCs w:val="24"/>
          <w:highlight w:val="none"/>
          <w:lang w:val="en-US" w:eastAsia="zh-CN"/>
          <w14:textFill>
            <w14:solidFill>
              <w14:schemeClr w14:val="tx1"/>
            </w14:solidFill>
          </w14:textFill>
        </w:rPr>
        <w:t>现场递交：</w:t>
      </w:r>
    </w:p>
    <w:p w14:paraId="124EB059">
      <w:pPr>
        <w:snapToGrid w:val="0"/>
        <w:spacing w:line="360" w:lineRule="auto"/>
        <w:ind w:firstLine="240" w:firstLineChars="1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eastAsia="zh-CN"/>
          <w14:textFill>
            <w14:solidFill>
              <w14:schemeClr w14:val="tx1"/>
            </w14:solidFill>
          </w14:textFill>
        </w:rPr>
        <w:t>线下响应文件可采取邮寄方式，邮寄地址：重庆市秀山县花灯街迎春二巷31号，</w:t>
      </w:r>
      <w:r>
        <w:rPr>
          <w:rFonts w:hint="eastAsia" w:ascii="宋体" w:hAnsi="宋体" w:eastAsia="宋体" w:cs="宋体"/>
          <w:color w:val="000000" w:themeColor="text1"/>
          <w:sz w:val="24"/>
          <w:szCs w:val="24"/>
          <w:highlight w:val="none"/>
          <w:lang w:val="en-US" w:eastAsia="zh-CN"/>
          <w14:textFill>
            <w14:solidFill>
              <w14:schemeClr w14:val="tx1"/>
            </w14:solidFill>
          </w14:textFill>
        </w:rPr>
        <w:t>陈</w:t>
      </w:r>
      <w:r>
        <w:rPr>
          <w:rFonts w:hint="eastAsia" w:ascii="宋体" w:hAnsi="宋体" w:eastAsia="宋体" w:cs="宋体"/>
          <w:color w:val="auto"/>
          <w:sz w:val="24"/>
          <w:szCs w:val="24"/>
          <w:highlight w:val="none"/>
          <w:lang w:val="en-US" w:eastAsia="zh-CN"/>
        </w:rPr>
        <w:t>老师</w:t>
      </w:r>
      <w:r>
        <w:rPr>
          <w:rFonts w:hint="eastAsia" w:ascii="宋体" w:hAnsi="宋体" w:cs="宋体"/>
          <w:color w:val="auto"/>
          <w:sz w:val="24"/>
          <w:szCs w:val="24"/>
          <w:highlight w:val="none"/>
          <w:lang w:val="en-US" w:eastAsia="zh-CN"/>
        </w:rPr>
        <w:t>18716969222</w:t>
      </w:r>
      <w:r>
        <w:rPr>
          <w:rFonts w:hint="eastAsia" w:ascii="宋体" w:hAnsi="宋体" w:eastAsia="宋体" w:cs="宋体"/>
          <w:color w:val="000000" w:themeColor="text1"/>
          <w:sz w:val="24"/>
          <w:szCs w:val="24"/>
          <w:highlight w:val="none"/>
          <w:lang w:eastAsia="zh-CN"/>
          <w14:textFill>
            <w14:solidFill>
              <w14:schemeClr w14:val="tx1"/>
            </w14:solidFill>
          </w14:textFill>
        </w:rPr>
        <w:t>（收件截止时间为202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eastAsia="zh-CN"/>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szCs w:val="24"/>
          <w:highlight w:val="none"/>
          <w:lang w:val="en-US" w:eastAsia="zh-CN"/>
          <w14:textFill>
            <w14:solidFill>
              <w14:schemeClr w14:val="tx1"/>
            </w14:solidFill>
          </w14:textFill>
        </w:rPr>
        <w:t>11:00</w:t>
      </w: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4"/>
          <w:szCs w:val="24"/>
          <w:highlight w:val="none"/>
          <w:lang w:eastAsia="zh-CN"/>
          <w14:textFill>
            <w14:solidFill>
              <w14:schemeClr w14:val="tx1"/>
            </w14:solidFill>
          </w14:textFill>
        </w:rPr>
        <w:t>北京时间）</w:t>
      </w:r>
    </w:p>
    <w:p w14:paraId="13AAF8D9">
      <w:pPr>
        <w:snapToGrid w:val="0"/>
        <w:spacing w:line="360" w:lineRule="auto"/>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2.</w:t>
      </w:r>
      <w:r>
        <w:rPr>
          <w:rFonts w:hint="eastAsia" w:ascii="宋体" w:hAnsi="宋体" w:eastAsia="宋体" w:cs="宋体"/>
          <w:color w:val="000000" w:themeColor="text1"/>
          <w:sz w:val="24"/>
          <w:szCs w:val="24"/>
          <w:highlight w:val="none"/>
          <w14:textFill>
            <w14:solidFill>
              <w14:schemeClr w14:val="tx1"/>
            </w14:solidFill>
          </w14:textFill>
        </w:rPr>
        <w:t>现场递交地址地点：</w:t>
      </w:r>
      <w:r>
        <w:rPr>
          <w:rFonts w:hint="eastAsia" w:ascii="宋体" w:hAnsi="宋体" w:eastAsia="宋体" w:cs="宋体"/>
          <w:color w:val="000000" w:themeColor="text1"/>
          <w:sz w:val="24"/>
          <w:szCs w:val="24"/>
          <w:highlight w:val="none"/>
          <w:lang w:eastAsia="zh-CN"/>
          <w14:textFill>
            <w14:solidFill>
              <w14:schemeClr w14:val="tx1"/>
            </w14:solidFill>
          </w14:textFill>
        </w:rPr>
        <w:t>重庆市秀山县花灯街迎春二巷31号。</w:t>
      </w:r>
    </w:p>
    <w:p w14:paraId="5947249A">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七</w:t>
      </w:r>
      <w:r>
        <w:rPr>
          <w:rFonts w:hint="eastAsia" w:ascii="宋体" w:hAnsi="宋体" w:eastAsia="宋体" w:cs="宋体"/>
          <w:color w:val="000000" w:themeColor="text1"/>
          <w:sz w:val="24"/>
          <w:szCs w:val="24"/>
          <w:highlight w:val="none"/>
          <w14:textFill>
            <w14:solidFill>
              <w14:schemeClr w14:val="tx1"/>
            </w14:solidFill>
          </w14:textFill>
        </w:rPr>
        <w:t>）响应文件现场递交开始时间：202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10</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1A8BDC62">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八</w:t>
      </w:r>
      <w:r>
        <w:rPr>
          <w:rFonts w:hint="eastAsia" w:ascii="宋体" w:hAnsi="宋体" w:eastAsia="宋体" w:cs="宋体"/>
          <w:color w:val="000000" w:themeColor="text1"/>
          <w:sz w:val="24"/>
          <w:szCs w:val="24"/>
          <w:highlight w:val="none"/>
          <w14:textFill>
            <w14:solidFill>
              <w14:schemeClr w14:val="tx1"/>
            </w14:solidFill>
          </w14:textFill>
        </w:rPr>
        <w:t>）响应文件现场递交截止时间：202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p>
    <w:p w14:paraId="48C85B1F">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九</w:t>
      </w:r>
      <w:r>
        <w:rPr>
          <w:rFonts w:hint="eastAsia" w:ascii="宋体" w:hAnsi="宋体" w:eastAsia="宋体" w:cs="宋体"/>
          <w:color w:val="000000" w:themeColor="text1"/>
          <w:sz w:val="24"/>
          <w:szCs w:val="24"/>
          <w:highlight w:val="none"/>
          <w14:textFill>
            <w14:solidFill>
              <w14:schemeClr w14:val="tx1"/>
            </w14:solidFill>
          </w14:textFill>
        </w:rPr>
        <w:t>）线下开标开始时间：202</w:t>
      </w:r>
      <w:r>
        <w:rPr>
          <w:rFonts w:hint="eastAsia" w:ascii="宋体" w:hAnsi="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14:textFill>
            <w14:solidFill>
              <w14:schemeClr w14:val="tx1"/>
            </w14:solidFill>
          </w14:textFill>
        </w:rPr>
        <w:t>年</w:t>
      </w:r>
      <w:r>
        <w:rPr>
          <w:rFonts w:hint="eastAsia" w:ascii="宋体" w:hAnsi="宋体" w:cs="宋体"/>
          <w:color w:val="000000" w:themeColor="text1"/>
          <w:sz w:val="24"/>
          <w:szCs w:val="24"/>
          <w:highlight w:val="none"/>
          <w:lang w:val="en-US" w:eastAsia="zh-CN"/>
          <w14:textFill>
            <w14:solidFill>
              <w14:schemeClr w14:val="tx1"/>
            </w14:solidFill>
          </w14:textFill>
        </w:rPr>
        <w:t xml:space="preserve"> 5</w:t>
      </w:r>
      <w:r>
        <w:rPr>
          <w:rFonts w:hint="eastAsia" w:ascii="宋体" w:hAnsi="宋体" w:eastAsia="宋体" w:cs="宋体"/>
          <w:color w:val="000000" w:themeColor="text1"/>
          <w:sz w:val="24"/>
          <w:szCs w:val="24"/>
          <w:highlight w:val="none"/>
          <w14:textFill>
            <w14:solidFill>
              <w14:schemeClr w14:val="tx1"/>
            </w14:solidFill>
          </w14:textFill>
        </w:rPr>
        <w:t>月</w:t>
      </w:r>
      <w:r>
        <w:rPr>
          <w:rFonts w:hint="eastAsia" w:ascii="宋体" w:hAnsi="宋体" w:cs="宋体"/>
          <w:color w:val="000000" w:themeColor="text1"/>
          <w:sz w:val="24"/>
          <w:szCs w:val="24"/>
          <w:highlight w:val="none"/>
          <w:lang w:val="en-US" w:eastAsia="zh-CN"/>
          <w14:textFill>
            <w14:solidFill>
              <w14:schemeClr w14:val="tx1"/>
            </w14:solidFill>
          </w14:textFill>
        </w:rPr>
        <w:t xml:space="preserve"> 28 </w:t>
      </w:r>
      <w:r>
        <w:rPr>
          <w:rFonts w:hint="eastAsia" w:ascii="宋体" w:hAnsi="宋体" w:eastAsia="宋体" w:cs="宋体"/>
          <w:color w:val="000000" w:themeColor="text1"/>
          <w:sz w:val="24"/>
          <w:szCs w:val="24"/>
          <w:highlight w:val="none"/>
          <w14:textFill>
            <w14:solidFill>
              <w14:schemeClr w14:val="tx1"/>
            </w14:solidFill>
          </w14:textFill>
        </w:rPr>
        <w:t>日北京时间</w:t>
      </w:r>
      <w:r>
        <w:rPr>
          <w:rFonts w:hint="eastAsia" w:ascii="宋体" w:hAnsi="宋体" w:cs="宋体"/>
          <w:color w:val="000000" w:themeColor="text1"/>
          <w:sz w:val="24"/>
          <w:szCs w:val="24"/>
          <w:highlight w:val="none"/>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lang w:val="en-US" w:eastAsia="zh-CN"/>
          <w14:textFill>
            <w14:solidFill>
              <w14:schemeClr w14:val="tx1"/>
            </w14:solidFill>
          </w14:textFill>
        </w:rPr>
        <w:t>0</w:t>
      </w:r>
      <w:r>
        <w:rPr>
          <w:rFonts w:hint="eastAsia" w:ascii="宋体" w:hAnsi="宋体" w:eastAsia="宋体" w:cs="宋体"/>
          <w:color w:val="000000" w:themeColor="text1"/>
          <w:sz w:val="24"/>
          <w:szCs w:val="24"/>
          <w:highlight w:val="none"/>
          <w14:textFill>
            <w14:solidFill>
              <w14:schemeClr w14:val="tx1"/>
            </w14:solidFill>
          </w14:textFill>
        </w:rPr>
        <w:t>北京时间。</w:t>
      </w:r>
      <w:bookmarkEnd w:id="49"/>
    </w:p>
    <w:p w14:paraId="7CC29B19">
      <w:pPr>
        <w:pStyle w:val="5"/>
        <w:spacing w:before="0" w:after="0"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五</w:t>
      </w:r>
      <w:r>
        <w:rPr>
          <w:rFonts w:hint="eastAsia" w:ascii="宋体" w:hAnsi="宋体" w:eastAsia="宋体" w:cs="宋体"/>
          <w:color w:val="auto"/>
          <w:sz w:val="24"/>
          <w:szCs w:val="24"/>
          <w:highlight w:val="none"/>
        </w:rPr>
        <w:t>、其他有关规定</w:t>
      </w:r>
      <w:bookmarkEnd w:id="50"/>
      <w:bookmarkEnd w:id="51"/>
    </w:p>
    <w:p w14:paraId="597CC18F">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（一）单位负责人为同一人或者存在直接控股、管理关系的不同供应商，不得参加同一合同项（分包）下的政府采购活动，否则均为响应无效。</w:t>
      </w:r>
    </w:p>
    <w:p w14:paraId="1CCDB2A5">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（二）为采购项目提供整体设计、规范编制或者项目管理、监理、检测等服务的供应商，不得再参加该采购项目的其他采购活动。</w:t>
      </w:r>
    </w:p>
    <w:p w14:paraId="132F6F07">
      <w:pPr>
        <w:spacing w:line="360" w:lineRule="auto"/>
        <w:ind w:firstLine="240" w:firstLineChars="100"/>
        <w:rPr>
          <w:rFonts w:hint="eastAsia" w:ascii="宋体" w:hAnsi="宋体" w:eastAsia="宋体" w:cs="宋体"/>
          <w:color w:val="auto"/>
          <w:highlight w:val="none"/>
        </w:rPr>
      </w:pPr>
      <w:r>
        <w:rPr>
          <w:rFonts w:hint="eastAsia" w:ascii="宋体" w:hAnsi="宋体" w:eastAsia="宋体" w:cs="宋体"/>
          <w:color w:val="auto"/>
          <w:sz w:val="24"/>
          <w:szCs w:val="24"/>
          <w:highlight w:val="none"/>
        </w:rPr>
        <w:t>（三）同一合同项（分包）下为单一品目或非单一品目核心产品品牌的货物采购招标中，同一品牌有多家供应商参加网上竞采，以其中通过资格审查、符合性审查且报价最低的参加评标；报价相同的，由采购人或者采购人委托评审委员会按照网上竞采文件规定的方式确定一个参加评标的投标人，网上竞采文件未规定的采取随机抽取方式确定，其他投标无效。</w:t>
      </w:r>
    </w:p>
    <w:p w14:paraId="59656A72">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项目的补遗文件（如果有）一律在重庆市政府采购云平台.网上竞采中心（https://xj.ccgp-chongqing.gov.cn/ge/）上发布，请各供应商注意下载；无论供应商下载与否，均视同供应商已知晓本项目补遗文件（如果有）的内容。</w:t>
      </w:r>
    </w:p>
    <w:p w14:paraId="3E26BA70">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（五）超过响应文件截止时间递交的响应文件，恕不接收。</w:t>
      </w:r>
    </w:p>
    <w:p w14:paraId="24632779">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（六）网上竞采费用：无论网上竞采结果如何，供应商参与本项目网上竞采的所有费用均应由供应商自行承担。</w:t>
      </w:r>
    </w:p>
    <w:p w14:paraId="3EE99DE8">
      <w:pPr>
        <w:snapToGrid w:val="0"/>
        <w:spacing w:line="360" w:lineRule="auto"/>
        <w:ind w:firstLine="361" w:firstLineChars="150"/>
        <w:rPr>
          <w:rFonts w:hint="eastAsia" w:ascii="宋体" w:hAnsi="宋体" w:eastAsia="宋体" w:cs="宋体"/>
          <w:b/>
          <w:bCs/>
          <w:color w:val="auto"/>
          <w:sz w:val="24"/>
          <w:szCs w:val="24"/>
          <w:highlight w:val="none"/>
        </w:rPr>
      </w:pPr>
      <w:bookmarkStart w:id="52" w:name="_Toc480466700"/>
      <w:r>
        <w:rPr>
          <w:rFonts w:hint="eastAsia" w:ascii="宋体" w:hAnsi="宋体" w:eastAsia="宋体" w:cs="宋体"/>
          <w:b/>
          <w:bCs/>
          <w:color w:val="auto"/>
          <w:sz w:val="24"/>
          <w:szCs w:val="24"/>
          <w:highlight w:val="none"/>
        </w:rPr>
        <w:t>（七）本项目不接受联合体参与网上竞采。</w:t>
      </w:r>
    </w:p>
    <w:p w14:paraId="031B8740">
      <w:pPr>
        <w:snapToGrid w:val="0"/>
        <w:spacing w:line="360" w:lineRule="auto"/>
        <w:ind w:firstLine="361" w:firstLineChars="15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（八）本项目不接受合同分包。</w:t>
      </w:r>
    </w:p>
    <w:p w14:paraId="3111A511">
      <w:pPr>
        <w:snapToGrid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FB588B1">
      <w:pPr>
        <w:pStyle w:val="5"/>
        <w:spacing w:before="0" w:after="0" w:line="360" w:lineRule="auto"/>
        <w:rPr>
          <w:rFonts w:hint="eastAsia" w:ascii="宋体" w:hAnsi="宋体" w:eastAsia="宋体" w:cs="宋体"/>
          <w:color w:val="auto"/>
          <w:sz w:val="24"/>
          <w:szCs w:val="24"/>
          <w:highlight w:val="none"/>
        </w:rPr>
      </w:pPr>
      <w:bookmarkStart w:id="53" w:name="_Toc7960"/>
      <w:r>
        <w:rPr>
          <w:rFonts w:hint="eastAsia" w:ascii="宋体" w:hAnsi="宋体" w:eastAsia="宋体" w:cs="宋体"/>
          <w:color w:val="auto"/>
          <w:sz w:val="24"/>
          <w:szCs w:val="24"/>
          <w:highlight w:val="none"/>
        </w:rPr>
        <w:t>七、联系方式</w:t>
      </w:r>
      <w:bookmarkEnd w:id="52"/>
      <w:bookmarkEnd w:id="53"/>
    </w:p>
    <w:p w14:paraId="38F9F15E">
      <w:pPr>
        <w:pStyle w:val="61"/>
        <w:ind w:left="0" w:leftChars="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（一）采购人：</w:t>
      </w:r>
      <w:r>
        <w:rPr>
          <w:rFonts w:hint="eastAsia" w:ascii="宋体" w:hAnsi="宋体" w:eastAsia="宋体" w:cs="宋体"/>
          <w:color w:val="auto"/>
          <w:sz w:val="24"/>
          <w:szCs w:val="24"/>
          <w:highlight w:val="none"/>
          <w:lang w:eastAsia="zh-CN"/>
        </w:rPr>
        <w:t>秀山土家族苗族自治县中医医院</w:t>
      </w:r>
    </w:p>
    <w:p w14:paraId="4F5BD569">
      <w:pPr>
        <w:pStyle w:val="61"/>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val="en-US" w:eastAsia="zh-CN"/>
        </w:rPr>
        <w:t>张老师</w:t>
      </w:r>
    </w:p>
    <w:p w14:paraId="1614E284">
      <w:pPr>
        <w:pStyle w:val="61"/>
        <w:ind w:left="0" w:leftChars="0" w:firstLine="240"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023-76662176</w:t>
      </w:r>
    </w:p>
    <w:p w14:paraId="500E8B7A">
      <w:pPr>
        <w:pStyle w:val="61"/>
        <w:ind w:left="0" w:leftChars="0" w:firstLine="240" w:firstLineChars="100"/>
        <w:rPr>
          <w:rFonts w:hint="eastAsia" w:ascii="宋体" w:hAnsi="宋体" w:eastAsia="宋体" w:cs="宋体"/>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val="en-US" w:eastAsia="zh-CN"/>
        </w:rPr>
        <w:t>重庆市秀山县中和街道解放路21号</w:t>
      </w:r>
    </w:p>
    <w:p w14:paraId="2D1CF515">
      <w:pPr>
        <w:snapToGrid w:val="0"/>
        <w:spacing w:line="360" w:lineRule="auto"/>
        <w:rPr>
          <w:rFonts w:hint="eastAsia" w:ascii="宋体" w:hAnsi="宋体" w:eastAsia="宋体" w:cs="宋体"/>
          <w:color w:val="auto"/>
          <w:sz w:val="24"/>
          <w:szCs w:val="24"/>
          <w:highlight w:val="none"/>
        </w:rPr>
      </w:pPr>
    </w:p>
    <w:p w14:paraId="52245A62">
      <w:pPr>
        <w:snapToGrid w:val="0"/>
        <w:spacing w:line="360" w:lineRule="auto"/>
        <w:ind w:firstLine="240" w:firstLineChars="100"/>
        <w:rPr>
          <w:rFonts w:hint="eastAsia" w:ascii="宋体" w:hAnsi="宋体" w:eastAsia="宋体" w:cs="宋体"/>
          <w:color w:val="auto"/>
          <w:sz w:val="24"/>
          <w:szCs w:val="24"/>
          <w:highlight w:val="none"/>
        </w:rPr>
      </w:pPr>
      <w:bookmarkStart w:id="54" w:name="_Toc1145"/>
      <w:bookmarkStart w:id="55" w:name="_Toc18586"/>
      <w:bookmarkStart w:id="56" w:name="_Toc12789058"/>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重庆千诺工程项目管理有限公司</w:t>
      </w:r>
      <w:r>
        <w:rPr>
          <w:rFonts w:hint="eastAsia" w:ascii="宋体" w:hAnsi="宋体" w:eastAsia="宋体" w:cs="宋体"/>
          <w:color w:val="auto"/>
          <w:sz w:val="24"/>
          <w:szCs w:val="24"/>
          <w:highlight w:val="none"/>
        </w:rPr>
        <w:t xml:space="preserve">  </w:t>
      </w:r>
    </w:p>
    <w:p w14:paraId="12B8D11E">
      <w:pPr>
        <w:snapToGrid w:val="0"/>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陈</w:t>
      </w:r>
      <w:r>
        <w:rPr>
          <w:rFonts w:hint="eastAsia" w:ascii="宋体" w:hAnsi="宋体" w:eastAsia="宋体" w:cs="宋体"/>
          <w:color w:val="auto"/>
          <w:sz w:val="24"/>
          <w:szCs w:val="24"/>
          <w:highlight w:val="none"/>
          <w:lang w:val="en-US" w:eastAsia="zh-CN"/>
        </w:rPr>
        <w:t>老师</w:t>
      </w:r>
      <w:r>
        <w:rPr>
          <w:rFonts w:hint="eastAsia" w:ascii="宋体" w:hAnsi="宋体" w:eastAsia="宋体" w:cs="宋体"/>
          <w:color w:val="auto"/>
          <w:sz w:val="24"/>
          <w:szCs w:val="24"/>
          <w:highlight w:val="none"/>
        </w:rPr>
        <w:t xml:space="preserve"> </w:t>
      </w:r>
    </w:p>
    <w:p w14:paraId="76872941">
      <w:pPr>
        <w:snapToGrid w:val="0"/>
        <w:spacing w:line="36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cs="宋体"/>
          <w:color w:val="auto"/>
          <w:sz w:val="24"/>
          <w:szCs w:val="24"/>
          <w:highlight w:val="none"/>
          <w:lang w:val="en-US" w:eastAsia="zh-CN"/>
        </w:rPr>
        <w:t>023-87987380</w:t>
      </w:r>
    </w:p>
    <w:p w14:paraId="3CAA897F">
      <w:pPr>
        <w:snapToGrid w:val="0"/>
        <w:spacing w:line="360" w:lineRule="auto"/>
        <w:ind w:firstLine="240" w:firstLineChars="100"/>
        <w:rPr>
          <w:rFonts w:hint="eastAsia" w:ascii="宋体" w:hAnsi="宋体" w:eastAsia="宋体" w:cs="宋体"/>
          <w:color w:val="auto"/>
          <w:sz w:val="24"/>
          <w:szCs w:val="24"/>
          <w:highlight w:val="none"/>
        </w:rPr>
        <w:sectPr>
          <w:pgSz w:w="11907" w:h="16840"/>
          <w:pgMar w:top="1134" w:right="1418" w:bottom="1134" w:left="1418" w:header="397" w:footer="992" w:gutter="0"/>
          <w:pgNumType w:fmt="numberInDash"/>
          <w:cols w:space="720" w:num="1"/>
          <w:docGrid w:linePitch="312" w:charSpace="0"/>
        </w:sectPr>
      </w:pPr>
      <w:r>
        <w:rPr>
          <w:rFonts w:hint="eastAsia" w:ascii="宋体" w:hAnsi="宋体" w:eastAsia="宋体" w:cs="宋体"/>
          <w:color w:val="auto"/>
          <w:sz w:val="24"/>
          <w:szCs w:val="24"/>
          <w:highlight w:val="none"/>
        </w:rPr>
        <w:t>地  址：重庆秀山县花灯街迎春二巷3</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号</w:t>
      </w:r>
    </w:p>
    <w:p w14:paraId="542C5ED5">
      <w:pPr>
        <w:pStyle w:val="4"/>
        <w:spacing w:before="0" w:after="0" w:line="360" w:lineRule="auto"/>
        <w:jc w:val="center"/>
        <w:rPr>
          <w:rFonts w:hint="eastAsia" w:ascii="宋体" w:hAnsi="宋体" w:eastAsia="宋体" w:cs="宋体"/>
          <w:bCs/>
          <w:color w:val="auto"/>
          <w:sz w:val="36"/>
          <w:szCs w:val="30"/>
          <w:highlight w:val="none"/>
        </w:rPr>
      </w:pPr>
      <w:r>
        <w:rPr>
          <w:rFonts w:hint="eastAsia" w:ascii="宋体" w:hAnsi="宋体" w:eastAsia="宋体" w:cs="宋体"/>
          <w:bCs/>
          <w:color w:val="auto"/>
          <w:sz w:val="36"/>
          <w:szCs w:val="30"/>
          <w:highlight w:val="none"/>
        </w:rPr>
        <w:t>第二篇</w:t>
      </w:r>
      <w:r>
        <w:rPr>
          <w:rFonts w:hint="eastAsia" w:ascii="宋体" w:hAnsi="宋体" w:eastAsia="宋体" w:cs="宋体"/>
          <w:bCs/>
          <w:color w:val="auto"/>
          <w:sz w:val="36"/>
          <w:szCs w:val="30"/>
          <w:highlight w:val="none"/>
          <w:lang w:val="en-US" w:eastAsia="zh-CN"/>
        </w:rPr>
        <w:t xml:space="preserve"> </w:t>
      </w:r>
      <w:r>
        <w:rPr>
          <w:rFonts w:hint="eastAsia" w:ascii="宋体" w:hAnsi="宋体" w:eastAsia="宋体" w:cs="宋体"/>
          <w:bCs/>
          <w:color w:val="auto"/>
          <w:sz w:val="36"/>
          <w:szCs w:val="30"/>
          <w:highlight w:val="none"/>
        </w:rPr>
        <w:t>项目技术需求</w:t>
      </w:r>
      <w:bookmarkEnd w:id="54"/>
      <w:bookmarkEnd w:id="55"/>
    </w:p>
    <w:bookmarkEnd w:id="56"/>
    <w:p w14:paraId="2B1B8F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一、医疗设备采购清单</w:t>
      </w:r>
    </w:p>
    <w:tbl>
      <w:tblPr>
        <w:tblStyle w:val="62"/>
        <w:tblW w:w="96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16"/>
        <w:gridCol w:w="2387"/>
        <w:gridCol w:w="904"/>
        <w:gridCol w:w="1199"/>
        <w:gridCol w:w="1787"/>
        <w:gridCol w:w="1504"/>
        <w:gridCol w:w="1340"/>
      </w:tblGrid>
      <w:tr w14:paraId="33791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4B8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C02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设备名称</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EE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77A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36F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单价限价（万元）</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DF6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总价限价（万元）</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FFE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使用年限</w:t>
            </w:r>
          </w:p>
        </w:tc>
      </w:tr>
      <w:tr w14:paraId="72947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5211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59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电脑中频治疗仪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ED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47E9">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23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258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0.65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E4088">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14.95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A9BF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2C311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68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8E4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十二导联心电图机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C8A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2B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1F9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D8E1">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3.2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B3A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01DE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1E2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64F3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红蓝光治疗仪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BA4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AE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783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DA889">
            <w:pPr>
              <w:keepNext w:val="0"/>
              <w:keepLines w:val="0"/>
              <w:widowControl/>
              <w:suppressLineNumbers w:val="0"/>
              <w:jc w:val="center"/>
              <w:textAlignment w:val="center"/>
              <w:rPr>
                <w:rFonts w:hint="eastAsia" w:ascii="宋体" w:hAnsi="宋体" w:eastAsia="宋体" w:cs="宋体"/>
                <w:i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7.8</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EB8B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383FC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C5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195A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熏蒸治疗仪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D109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C34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7314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0F86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64B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≥8年</w:t>
            </w:r>
          </w:p>
        </w:tc>
      </w:tr>
      <w:tr w14:paraId="778AB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A9E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57D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空气波压力治疗仪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A78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91C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A51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0392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561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0213B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C32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8D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电动康复病床</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DF3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A41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80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9E8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415C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1ACF5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A46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A051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红外光灸疗机</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80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546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081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001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3DE5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06110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8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E098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CCD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生物反馈治疗仪</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EC2C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台</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76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EF9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0A9B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C008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≥10年</w:t>
            </w:r>
          </w:p>
        </w:tc>
      </w:tr>
      <w:tr w14:paraId="50AFB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08" w:hRule="atLeast"/>
        </w:trPr>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01AD">
            <w:pPr>
              <w:jc w:val="center"/>
              <w:rPr>
                <w:rFonts w:hint="eastAsia" w:ascii="宋体" w:hAnsi="宋体" w:eastAsia="宋体" w:cs="宋体"/>
                <w:i w:val="0"/>
                <w:color w:val="000000"/>
                <w:sz w:val="22"/>
                <w:szCs w:val="22"/>
                <w:u w:val="none"/>
              </w:rPr>
            </w:pPr>
          </w:p>
        </w:tc>
        <w:tc>
          <w:tcPr>
            <w:tcW w:w="23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6A14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DF139">
            <w:pPr>
              <w:jc w:val="center"/>
              <w:rPr>
                <w:rFonts w:hint="eastAsia" w:ascii="宋体" w:hAnsi="宋体" w:eastAsia="宋体" w:cs="宋体"/>
                <w:i w:val="0"/>
                <w:color w:val="000000"/>
                <w:sz w:val="22"/>
                <w:szCs w:val="22"/>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72F8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7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07189">
            <w:pPr>
              <w:jc w:val="center"/>
              <w:rPr>
                <w:rFonts w:hint="eastAsia" w:ascii="宋体" w:hAnsi="宋体" w:eastAsia="宋体" w:cs="宋体"/>
                <w:i w:val="0"/>
                <w:color w:val="000000"/>
                <w:sz w:val="22"/>
                <w:szCs w:val="22"/>
                <w:u w:val="none"/>
              </w:rPr>
            </w:pPr>
          </w:p>
        </w:tc>
        <w:tc>
          <w:tcPr>
            <w:tcW w:w="15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9C6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47.45</w:t>
            </w:r>
          </w:p>
        </w:tc>
        <w:tc>
          <w:tcPr>
            <w:tcW w:w="1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EF60">
            <w:pPr>
              <w:jc w:val="center"/>
              <w:rPr>
                <w:rFonts w:hint="eastAsia" w:ascii="宋体" w:hAnsi="宋体" w:eastAsia="宋体" w:cs="宋体"/>
                <w:i w:val="0"/>
                <w:color w:val="000000"/>
                <w:sz w:val="22"/>
                <w:szCs w:val="22"/>
                <w:u w:val="none"/>
              </w:rPr>
            </w:pPr>
          </w:p>
        </w:tc>
      </w:tr>
    </w:tbl>
    <w:p w14:paraId="534587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left"/>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二、技术要求及参数</w:t>
      </w:r>
    </w:p>
    <w:p w14:paraId="27EE05A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一、电脑中频治疗仪</w:t>
      </w:r>
    </w:p>
    <w:p w14:paraId="04AB66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1、显示方式:数码触摸显示，</w:t>
      </w:r>
    </w:p>
    <w:p w14:paraId="351C5B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2、输出通道:四路中频加透热输出、四路离子导入直流输出、两路干扰电输出。即1、2两通道形成一组干扰;3、4两通道形成一组干扰。</w:t>
      </w:r>
    </w:p>
    <w:p w14:paraId="550853D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3、中频频率为1kHz~10kHz,单一频率允差±10%。</w:t>
      </w:r>
    </w:p>
    <w:p w14:paraId="4D99BE7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4、低频调制频率为0~150Hz，单一频率允差±10%或±1Hz取大值。</w:t>
      </w:r>
    </w:p>
    <w:p w14:paraId="1C8ED15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5、中频载波波形:双向方波，脉宽50us~500us,允差士10%。调制波形有正弦波、方波、三角波、指数波、锯齿波、尖波、等幅波。</w:t>
      </w:r>
    </w:p>
    <w:p w14:paraId="079A3E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6、调制方式:连续、断续、间歇、变频、疏密和交替调制1)间歇调制:低频调制方波(载波)占空比为50%,允差±20%。</w:t>
      </w:r>
    </w:p>
    <w:p w14:paraId="7105930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7、中频调幅度:0%、25%、50%、75%、100%,允差±5%。</w:t>
      </w:r>
    </w:p>
    <w:p w14:paraId="5E9A352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8、干扰电性能:工作频率:4kHz，允差±10%。调制频率:0.125Hz，允差±10%。差频频率范围:0~112Hz，允差±10%或±1Hz取较大值。调幅度:0%、100%,允差±5%差频变化周期:5.5s、32s,允差±10%。动态节律参数8S,允差±10%。</w:t>
      </w:r>
    </w:p>
    <w:p w14:paraId="1C480F7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9、具有100个固定处方，可供医生参考使用</w:t>
      </w:r>
    </w:p>
    <w:p w14:paraId="0CF955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10、中频输出电流:在500Ω的负载下，每路输出电流不大于100mA。输出强度分0~99级可调。</w:t>
      </w:r>
    </w:p>
    <w:p w14:paraId="3E3977D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11、输出电流稳定度:不同负载下的输出电流变化率应不大于10%。</w:t>
      </w:r>
    </w:p>
    <w:p w14:paraId="2B27823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12、电极板温度:38°C~55°C,分6档可调，允差±3°C。加热功能可单独开启及关闭。</w:t>
      </w:r>
    </w:p>
    <w:p w14:paraId="3D0674C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14、离子导入输出直流电流:在500Ω的负载下，每路输出电流不超过50mA,分0~99级可调。</w:t>
      </w:r>
    </w:p>
    <w:p w14:paraId="4E21D33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15、治疗时间已在处方中，治疗时间根据处方不同为20min、25min、30min、40min、45min,治疗时间到了有音响提示，并停止输出，时间允差±1min</w:t>
      </w:r>
    </w:p>
    <w:p w14:paraId="3F7A220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16、具有漏电保护、过载保护，短路保护。可连续使用4~5小时。</w:t>
      </w:r>
    </w:p>
    <w:p w14:paraId="165F017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17、主机使用年限：≥10年。</w:t>
      </w:r>
    </w:p>
    <w:p w14:paraId="1C002B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二、十二导联数字式多道心电图机</w:t>
      </w:r>
    </w:p>
    <w:p w14:paraId="4AE2EE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1、采集模式：常规12导同步心电采集；</w:t>
      </w:r>
    </w:p>
    <w:p w14:paraId="01A3BA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2、输入动态范围：±980mV以上；</w:t>
      </w:r>
    </w:p>
    <w:p w14:paraId="50D865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3、频响和脉冲响应：0.05-450Hz以上；</w:t>
      </w:r>
    </w:p>
    <w:p w14:paraId="3172BF2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4、定标电压：10mm/mV±1%；</w:t>
      </w:r>
    </w:p>
    <w:p w14:paraId="6A8E47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5、输入阻抗：≥120MΩ；</w:t>
      </w:r>
    </w:p>
    <w:p w14:paraId="3AEAD34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6、共模抑制：≥100dB；</w:t>
      </w:r>
    </w:p>
    <w:p w14:paraId="3138599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7、噪声：≤10μVp-p；</w:t>
      </w:r>
    </w:p>
    <w:p w14:paraId="1BF25CF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8、时间常数：≥3.2s；</w:t>
      </w:r>
    </w:p>
    <w:p w14:paraId="186C23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9、A/D转换：24bit；</w:t>
      </w:r>
    </w:p>
    <w:p w14:paraId="65FD5BE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10、标准灵敏度：10mm/mV±5%；</w:t>
      </w:r>
    </w:p>
    <w:p w14:paraId="575B414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11、走纸速度：在25mm/s和50mm/s纸速时,误差不超过±5%；</w:t>
      </w:r>
    </w:p>
    <w:p w14:paraId="25A4C5D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12、防电击的程度分类：CF型防除颤；</w:t>
      </w:r>
    </w:p>
    <w:p w14:paraId="0F16CC4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13、软件具备特殊病人隐私保护功能，可将患者姓名以特殊符号进行屏蔽；</w:t>
      </w:r>
    </w:p>
    <w:p w14:paraId="5CF6F7F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14、软件具备版本自动更新功能，可保持软件版本为最新；</w:t>
      </w:r>
    </w:p>
    <w:p w14:paraId="457D994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15、软件具备危急值标识显示功能，可在病历列表中用标识显示危急值已处理、未处理状态；</w:t>
      </w:r>
    </w:p>
    <w:p w14:paraId="0524372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16、软件具备快速心电、标准采集两种方式；可加做右胸后壁导联，配合胸痛患者检查使用；</w:t>
      </w:r>
    </w:p>
    <w:p w14:paraId="357395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17、软件支持一分钟节律采集模式；</w:t>
      </w:r>
    </w:p>
    <w:p w14:paraId="0CD8F43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18、软件支持手动/自动采集切换操作功能；</w:t>
      </w:r>
    </w:p>
    <w:p w14:paraId="52B5190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19、软件支持波形预采集设置功能，可开启或关闭波形预采集，预采集时间可设置为3秒、5秒、10秒；</w:t>
      </w:r>
    </w:p>
    <w:p w14:paraId="216F9D8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20、软件支持导联脱落提醒功能，可在导联连接脱落时自动提醒；</w:t>
      </w:r>
    </w:p>
    <w:p w14:paraId="5A6A928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21、软件支持自动导联接错提醒功能，可在导联接错时自动提醒；</w:t>
      </w:r>
    </w:p>
    <w:p w14:paraId="6ECC69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22、软件具备起搏信号显示功能；</w:t>
      </w:r>
    </w:p>
    <w:p w14:paraId="0D8F8A9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23、软件支持接收诊断结论功能，可将诊断后的心电报告下载到本机；</w:t>
      </w:r>
    </w:p>
    <w:p w14:paraId="683154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24、软件支持用户访问控制功能；</w:t>
      </w:r>
    </w:p>
    <w:p w14:paraId="7A7C353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25、★设备支持原始数据接入心电图室心电工作站，可将采集的心电图远程传输至心电图进行远程会诊。接入费用由供应商负责。</w:t>
      </w:r>
      <w:bookmarkStart w:id="275" w:name="_GoBack"/>
      <w:bookmarkEnd w:id="275"/>
    </w:p>
    <w:p w14:paraId="148226E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26、</w:t>
      </w:r>
      <w:r>
        <w:rPr>
          <w:rFonts w:hint="eastAsia" w:ascii="宋体" w:hAnsi="宋体" w:cs="宋体"/>
          <w:color w:val="000000" w:themeColor="text1"/>
          <w:sz w:val="24"/>
          <w:szCs w:val="24"/>
          <w:highlight w:val="none"/>
          <w:lang w:val="en-US" w:eastAsia="zh-CN"/>
          <w14:textFill>
            <w14:solidFill>
              <w14:schemeClr w14:val="tx1"/>
            </w14:solidFill>
          </w14:textFill>
        </w:rPr>
        <w:t>使用年限：</w:t>
      </w:r>
      <w:r>
        <w:rPr>
          <w:rFonts w:hint="eastAsia" w:ascii="宋体" w:hAnsi="宋体" w:eastAsia="宋体" w:cs="宋体"/>
          <w:i w:val="0"/>
          <w:color w:val="000000"/>
          <w:kern w:val="0"/>
          <w:sz w:val="22"/>
          <w:szCs w:val="22"/>
          <w:u w:val="none"/>
          <w:lang w:val="en-US" w:eastAsia="zh-CN" w:bidi="ar"/>
        </w:rPr>
        <w:t>≥10年</w:t>
      </w:r>
      <w:r>
        <w:rPr>
          <w:rFonts w:hint="eastAsia" w:ascii="宋体" w:hAnsi="宋体" w:cs="宋体"/>
          <w:i w:val="0"/>
          <w:color w:val="000000"/>
          <w:kern w:val="0"/>
          <w:sz w:val="22"/>
          <w:szCs w:val="22"/>
          <w:u w:val="none"/>
          <w:lang w:val="en-US" w:eastAsia="zh-CN" w:bidi="ar"/>
        </w:rPr>
        <w:t>。</w:t>
      </w:r>
    </w:p>
    <w:p w14:paraId="40E7E1F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三、红蓝光治疗仪</w:t>
      </w:r>
    </w:p>
    <w:p w14:paraId="2E50F5A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1.消炎、镇痛，对体表创面有止渗液、促进肉芽组织生长，加速愈合的作用。</w:t>
      </w:r>
    </w:p>
    <w:p w14:paraId="1E9F77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2.光源材料：半导体固态冷光源（点阵芯片集成式）</w:t>
      </w:r>
    </w:p>
    <w:p w14:paraId="08AC026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3.照射治疗模式：持续/脉冲照射治疗可选</w:t>
      </w:r>
    </w:p>
    <w:p w14:paraId="599E4D8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4.触摸屏操作: 高分辨率彩色液晶屏，电容触摸屏；</w:t>
      </w:r>
    </w:p>
    <w:p w14:paraId="4F1741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5.峰值波长：红光：640±10nm，蓝光：460±10nm</w:t>
      </w:r>
    </w:p>
    <w:p w14:paraId="5E052F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6.功率密度≥3种</w:t>
      </w:r>
    </w:p>
    <w:p w14:paraId="77AFC90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7.光功率密度（光源表面测量）：红光：≥4000mW/c ㎡ 蓝光：≥4000mW/c ㎡</w:t>
      </w:r>
    </w:p>
    <w:p w14:paraId="3500E4C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8.治疗距离下光功率密度：距芯片表面中心垂直 10cm 处，最高光功率密度≥40mW/c ㎡</w:t>
      </w:r>
    </w:p>
    <w:p w14:paraId="14B9684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9.出光口最大光功率密度：≥180mW/c ㎡</w:t>
      </w:r>
    </w:p>
    <w:p w14:paraId="6EAAA5C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 具有脉率生物信息反馈功能，可提供脉率异常提示</w:t>
      </w:r>
    </w:p>
    <w:p w14:paraId="1A45A24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11.光强检测：具有实时检测红光输出，当红光输出小于设定值时可提示。</w:t>
      </w:r>
    </w:p>
    <w:p w14:paraId="6F33594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12.具有皮温监测保护功能</w:t>
      </w:r>
    </w:p>
    <w:p w14:paraId="00087F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13.可实时检测患者治疗区域皮肤温度。</w:t>
      </w:r>
    </w:p>
    <w:p w14:paraId="6C9D677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14.具有过温保护功能：检测到照射区域皮肤温度超过限定值时，能停止光照治疗。</w:t>
      </w:r>
    </w:p>
    <w:p w14:paraId="154EDB7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15.具有皮温检测功能，当检测到皮温超过设定温度时，可语音提示并自动降低光功率档位。</w:t>
      </w:r>
    </w:p>
    <w:p w14:paraId="5D8FD14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16.治疗仪最大治疗深度≥12cm</w:t>
      </w:r>
    </w:p>
    <w:p w14:paraId="112714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17.最大有效治疗面积 ＞400c ㎡</w:t>
      </w:r>
    </w:p>
    <w:p w14:paraId="5D4D5FE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18.光功率密度不稳定度≤0.5mW/c ㎡</w:t>
      </w:r>
    </w:p>
    <w:p w14:paraId="108D15E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19.具有自定义治疗方案功能，自定义方案≥10 种</w:t>
      </w:r>
    </w:p>
    <w:p w14:paraId="146A53F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20.能量调节方式：五级能量调节</w:t>
      </w:r>
    </w:p>
    <w:p w14:paraId="320E56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21.定时时间：从 1min～99min 连续可调</w:t>
      </w:r>
    </w:p>
    <w:p w14:paraId="7ADBAEB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22.支持 app 设置并下发治疗方案至仪器，支持查看治疗记录或本机操作记录</w:t>
      </w:r>
    </w:p>
    <w:p w14:paraId="65A294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23.可选配平板，平板与设备有线连接后可控制设备启停。</w:t>
      </w:r>
    </w:p>
    <w:p w14:paraId="390F02D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24.支持联网功能。</w:t>
      </w:r>
    </w:p>
    <w:p w14:paraId="6E6C47B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25.设备使用期限≥10 年</w:t>
      </w:r>
    </w:p>
    <w:p w14:paraId="522CB58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四、熏蒸治疗仪</w:t>
      </w:r>
    </w:p>
    <w:p w14:paraId="3B74650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1、锅炉容量：≥7L；</w:t>
      </w:r>
    </w:p>
    <w:p w14:paraId="594C3E2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2、双通道：具有独立双喷头，双通道单独加药、独立控制、单独治疗、互不干扰，可以同时治疗两个患者或者为一个患者提供两个部位治疗；</w:t>
      </w:r>
    </w:p>
    <w:p w14:paraId="1F63D1B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3、安全隔离罩：喷头配有安全隔离罩，隔离罩上具有吸水装置；</w:t>
      </w:r>
    </w:p>
    <w:p w14:paraId="5405755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4、喷头多角度调节：水平旋转360°，上下旋转110°，横向调节调节110°，允差±10%；</w:t>
      </w:r>
    </w:p>
    <w:p w14:paraId="33A647D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5、排液功能：具有手动和自动排液功能，方便药液排出；</w:t>
      </w:r>
    </w:p>
    <w:p w14:paraId="06D1D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6、触摸屏及操作系统：中文液晶显示触摸屏操作系统，实时动态显示气压、温度、治疗时间等；</w:t>
      </w:r>
    </w:p>
    <w:p w14:paraId="21ADAE0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7、低水位报警、自动防干烧、双重温控保护等功能；</w:t>
      </w:r>
    </w:p>
    <w:p w14:paraId="0CB8BEB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8、冷凝水回收功能：内置冷凝水回收装置，熏蒸过程中产生的冷凝水可以自动控制汇集到收集器；</w:t>
      </w:r>
    </w:p>
    <w:p w14:paraId="09A6734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9、温度监测：设定温度与实际温度同步监测，温度设定控制范围分档可调；</w:t>
      </w:r>
    </w:p>
    <w:p w14:paraId="304548E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10、具有皮肤温度检测功能</w:t>
      </w:r>
    </w:p>
    <w:p w14:paraId="14B1E3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11、使用年限：≥8年</w:t>
      </w:r>
    </w:p>
    <w:p w14:paraId="240FB2A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五、空气波压力治疗仪</w:t>
      </w:r>
    </w:p>
    <w:p w14:paraId="43B24C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（一）适用范围：适用于脑血管意外、脑外伤、脑手术后、脊髓病变引起的肢体功能障碍的辅助治疗，以及预防手术后或长期卧床而引起的静脉血栓，减轻肢体水肿。</w:t>
      </w:r>
    </w:p>
    <w:p w14:paraId="16329B8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（二）性能参数：</w:t>
      </w:r>
    </w:p>
    <w:p w14:paraId="1B788FA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1.≥5英寸LCD 液晶触摸显示屏；</w:t>
      </w:r>
    </w:p>
    <w:p w14:paraId="66D57D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2.≥8 种 专 业 空 气 波 充 气 模 式 ，M1-M8 模式可自由选择。</w:t>
      </w:r>
    </w:p>
    <w:p w14:paraId="60CA015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3.单气压通道，单电疗通道，专业双通道设计，电疗气压两用一体机；</w:t>
      </w:r>
    </w:p>
    <w:p w14:paraId="3321986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4.内置两种神经肌肉电刺激模式(F1和 F2),F1-肌肉泵模式(预防静脉血栓形成) ,F2-锻炼骨骼肌 模式(缓解肢体功能障碍，减轻肢体水肿);</w:t>
      </w:r>
    </w:p>
    <w:p w14:paraId="5098B6D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5.通过专业设计，可选择空气波压力疗法和电刺激疗法单独使用或者联动使用；</w:t>
      </w:r>
    </w:p>
    <w:p w14:paraId="34EAE83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6.配备一分一和一分二的充气导管，连接一分二导管时可以同时连接2个4腔气囊；</w:t>
      </w:r>
    </w:p>
    <w:p w14:paraId="46C1AD5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7.特制叠加式双层无缝气囊，有效地规避了出现压力死角，使挤压更有效，这样避免了挤压不充分的情况出现；</w:t>
      </w:r>
    </w:p>
    <w:p w14:paraId="0A09DB8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8.配备4腔上肢气囊、下肢气囊等多种不同形式气囊选配；</w:t>
      </w:r>
    </w:p>
    <w:p w14:paraId="4C9B30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9.配备专业一分四电疗输出线1根和特制硅胶电极片16片，用以电疗使用；</w:t>
      </w:r>
    </w:p>
    <w:p w14:paraId="3C0F54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10.设备压强可在5-25Kpa 范围内连续可调，气压单位Kpa 和 mmHg 可进行转换；</w:t>
      </w:r>
    </w:p>
    <w:p w14:paraId="0EE0AFB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11.充气气泵，使用时产生的噪声≤65dB, 震动幅度小，充气速度快，充气所用时</w:t>
      </w:r>
    </w:p>
    <w:p w14:paraId="7DDED48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间短；</w:t>
      </w:r>
    </w:p>
    <w:p w14:paraId="39B2F9F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12.治疗时间1min-99min 连续可调；</w:t>
      </w:r>
    </w:p>
    <w:p w14:paraId="220DCFB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13.设备内置压力传感器；</w:t>
      </w:r>
    </w:p>
    <w:p w14:paraId="2998C74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14.实时压力监测系统：可实现仪器设备充气时，每腔压力实时监测，实时显示当前腔道压力，避免加压过大，造成静脉瓣膜受损；</w:t>
      </w:r>
    </w:p>
    <w:p w14:paraId="7332AF7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15.过压保护系统：充气过程中，如若外界压力过大则自动泄压保护，避免压力过大导致患者损伤；</w:t>
      </w:r>
    </w:p>
    <w:p w14:paraId="35AE27C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16.具备断电保护功能；</w:t>
      </w:r>
    </w:p>
    <w:p w14:paraId="660379A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17.主机外壳具备ABS 作为主要材质；气套具备TPU+尼龙布的材质。</w:t>
      </w:r>
    </w:p>
    <w:p w14:paraId="144700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18.主机使用年限：≥10年。</w:t>
      </w:r>
    </w:p>
    <w:p w14:paraId="46C7BBE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（三）主要配置清单</w:t>
      </w:r>
    </w:p>
    <w:p w14:paraId="220907C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1、主机1 台</w:t>
      </w:r>
    </w:p>
    <w:p w14:paraId="559A187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2、四腔上肢气套 1 只</w:t>
      </w:r>
    </w:p>
    <w:p w14:paraId="7F9357E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3、四腔下肢气套 2只</w:t>
      </w:r>
    </w:p>
    <w:p w14:paraId="4372746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4、四芯电疗输出线 1条</w:t>
      </w:r>
    </w:p>
    <w:p w14:paraId="45E837D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5、包理疗电极片(5*5cm4片/包)  4包</w:t>
      </w:r>
    </w:p>
    <w:p w14:paraId="6168399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6、1分1气导管(深灰 )1条</w:t>
      </w:r>
    </w:p>
    <w:p w14:paraId="541D9DD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7、1分2充气导管(灰) 1条</w:t>
      </w:r>
    </w:p>
    <w:p w14:paraId="170B64A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8、电源线 1条</w:t>
      </w:r>
    </w:p>
    <w:p w14:paraId="2854FF5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六、电动康复床</w:t>
      </w:r>
    </w:p>
    <w:p w14:paraId="1AC57BB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uk-UA"/>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r>
        <w:rPr>
          <w:rFonts w:hint="eastAsia" w:ascii="宋体" w:hAnsi="宋体" w:eastAsia="宋体" w:cs="宋体"/>
          <w:color w:val="000000" w:themeColor="text1"/>
          <w:sz w:val="24"/>
          <w:szCs w:val="24"/>
          <w:highlight w:val="none"/>
          <w:lang w:val="en-US" w:eastAsia="uk-UA"/>
          <w14:textFill>
            <w14:solidFill>
              <w14:schemeClr w14:val="tx1"/>
            </w14:solidFill>
          </w14:textFill>
        </w:rPr>
        <w:t>电动康复床结合了起立床的治疗功能与护理床的舒适设计；</w:t>
      </w:r>
    </w:p>
    <w:p w14:paraId="38A96C6D">
      <w:pPr>
        <w:keepNext w:val="0"/>
        <w:keepLines w:val="0"/>
        <w:pageBreakBefore w:val="0"/>
        <w:widowControl w:val="0"/>
        <w:kinsoku/>
        <w:wordWrap/>
        <w:overflowPunct/>
        <w:topLinePunct w:val="0"/>
        <w:autoSpaceDE/>
        <w:autoSpaceDN/>
        <w:bidi w:val="0"/>
        <w:adjustRightInd/>
        <w:snapToGrid/>
        <w:spacing w:line="600" w:lineRule="exact"/>
        <w:ind w:left="476" w:leftChars="170" w:firstLine="0" w:firstLineChars="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uk-UA"/>
          <w14:textFill>
            <w14:solidFill>
              <w14:schemeClr w14:val="tx1"/>
            </w14:solidFill>
          </w14:textFill>
        </w:rPr>
        <w:t>2、具有电动背起床面体位调节，为护理开展提供便捷；</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3、产品采用大推力静音医用电机，承重大，起立过程平稳、安全；</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4、一键式床挡开启与闭合，操作简单；</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5、手控盒操控系统，为临床工作带来便捷；</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6、采用医用慢速推杆，起立速度缓慢更，适用于长期卧床患者；</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7、全钢架结构，安全稳定；</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8、医用牛津布，抗菌性及透气性更强；</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9、脚轮设计，快速锁定与开启，方便临床转移患者；</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10、电源电压：AC220V±22V ，频率：50Hz±1Hz；</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11、电动推杆最大推力：10000N；</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12、电动推杆数量：3个；</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13、角度调节范围：</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起立角度范围：0°～82°</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（最大</w:t>
      </w:r>
      <w:r>
        <w:rPr>
          <w:rFonts w:hint="eastAsia" w:ascii="宋体" w:hAnsi="宋体" w:eastAsia="宋体" w:cs="宋体"/>
          <w:color w:val="000000" w:themeColor="text1"/>
          <w:sz w:val="24"/>
          <w:szCs w:val="24"/>
          <w:highlight w:val="none"/>
          <w:lang w:val="en-US" w:eastAsia="uk-UA"/>
          <w14:textFill>
            <w14:solidFill>
              <w14:schemeClr w14:val="tx1"/>
            </w14:solidFill>
          </w14:textFill>
        </w:rPr>
        <w:t>起立角度</w:t>
      </w:r>
      <w:r>
        <w:rPr>
          <w:rFonts w:hint="eastAsia" w:ascii="宋体" w:hAnsi="宋体" w:eastAsia="宋体" w:cs="宋体"/>
          <w:color w:val="000000" w:themeColor="text1"/>
          <w:sz w:val="24"/>
          <w:szCs w:val="24"/>
          <w:highlight w:val="none"/>
          <w:lang w:val="en-US" w:eastAsia="zh-CN"/>
          <w14:textFill>
            <w14:solidFill>
              <w14:schemeClr w14:val="tx1"/>
            </w14:solidFill>
          </w14:textFill>
        </w:rPr>
        <w:t>可上下浮动±5%）</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背部床板可调角度：0°～67°</w:t>
      </w:r>
      <w:r>
        <w:rPr>
          <w:rFonts w:hint="eastAsia" w:ascii="宋体" w:hAnsi="宋体" w:eastAsia="宋体" w:cs="宋体"/>
          <w:color w:val="000000" w:themeColor="text1"/>
          <w:sz w:val="24"/>
          <w:szCs w:val="24"/>
          <w:highlight w:val="none"/>
          <w:lang w:val="en-US" w:eastAsia="zh-CN"/>
          <w14:textFill>
            <w14:solidFill>
              <w14:schemeClr w14:val="tx1"/>
            </w14:solidFill>
          </w14:textFill>
        </w:rPr>
        <w:t>（最大</w:t>
      </w:r>
      <w:r>
        <w:rPr>
          <w:rFonts w:hint="eastAsia" w:ascii="宋体" w:hAnsi="宋体" w:eastAsia="宋体" w:cs="宋体"/>
          <w:color w:val="000000" w:themeColor="text1"/>
          <w:sz w:val="24"/>
          <w:szCs w:val="24"/>
          <w:highlight w:val="none"/>
          <w:lang w:val="en-US" w:eastAsia="uk-UA"/>
          <w14:textFill>
            <w14:solidFill>
              <w14:schemeClr w14:val="tx1"/>
            </w14:solidFill>
          </w14:textFill>
        </w:rPr>
        <w:t>背部床板可调角度</w:t>
      </w:r>
      <w:r>
        <w:rPr>
          <w:rFonts w:hint="eastAsia" w:ascii="宋体" w:hAnsi="宋体" w:eastAsia="宋体" w:cs="宋体"/>
          <w:color w:val="000000" w:themeColor="text1"/>
          <w:sz w:val="24"/>
          <w:szCs w:val="24"/>
          <w:highlight w:val="none"/>
          <w:lang w:val="en-US" w:eastAsia="zh-CN"/>
          <w14:textFill>
            <w14:solidFill>
              <w14:schemeClr w14:val="tx1"/>
            </w14:solidFill>
          </w14:textFill>
        </w:rPr>
        <w:t>可上下浮动±5%）</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14、床面升降范围：520～750mm；</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uk-UA"/>
          <w14:textFill>
            <w14:solidFill>
              <w14:schemeClr w14:val="tx1"/>
            </w14:solidFill>
          </w14:textFill>
        </w:rPr>
        <w:t>升降范围</w:t>
      </w:r>
      <w:r>
        <w:rPr>
          <w:rFonts w:hint="eastAsia" w:ascii="宋体" w:hAnsi="宋体" w:eastAsia="宋体" w:cs="宋体"/>
          <w:color w:val="000000" w:themeColor="text1"/>
          <w:sz w:val="24"/>
          <w:szCs w:val="24"/>
          <w:highlight w:val="none"/>
          <w:lang w:val="en-US" w:eastAsia="zh-CN"/>
          <w14:textFill>
            <w14:solidFill>
              <w14:schemeClr w14:val="tx1"/>
            </w14:solidFill>
          </w14:textFill>
        </w:rPr>
        <w:t>可上下浮动±5%）</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15、绑带可移动，可拆卸床头、床尾架、床垫可拆；</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16、最大承重：</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uk-UA"/>
          <w14:textFill>
            <w14:solidFill>
              <w14:schemeClr w14:val="tx1"/>
            </w14:solidFill>
          </w14:textFill>
        </w:rPr>
        <w:t>1</w:t>
      </w:r>
      <w:r>
        <w:rPr>
          <w:rFonts w:hint="eastAsia" w:ascii="宋体" w:hAnsi="宋体" w:eastAsia="宋体" w:cs="宋体"/>
          <w:color w:val="000000" w:themeColor="text1"/>
          <w:sz w:val="24"/>
          <w:szCs w:val="24"/>
          <w:highlight w:val="none"/>
          <w:lang w:val="en-US" w:eastAsia="zh-CN"/>
          <w14:textFill>
            <w14:solidFill>
              <w14:schemeClr w14:val="tx1"/>
            </w14:solidFill>
          </w14:textFill>
        </w:rPr>
        <w:t>6</w:t>
      </w:r>
      <w:r>
        <w:rPr>
          <w:rFonts w:hint="eastAsia" w:ascii="宋体" w:hAnsi="宋体" w:eastAsia="宋体" w:cs="宋体"/>
          <w:color w:val="000000" w:themeColor="text1"/>
          <w:sz w:val="24"/>
          <w:szCs w:val="24"/>
          <w:highlight w:val="none"/>
          <w:lang w:val="en-US" w:eastAsia="uk-UA"/>
          <w14:textFill>
            <w14:solidFill>
              <w14:schemeClr w14:val="tx1"/>
            </w14:solidFill>
          </w14:textFill>
        </w:rPr>
        <w:t>0KG；</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17、重量：</w:t>
      </w:r>
      <w:r>
        <w:rPr>
          <w:rFonts w:hint="eastAsia" w:ascii="宋体" w:hAnsi="宋体" w:eastAsia="宋体" w:cs="宋体"/>
          <w:color w:val="000000" w:themeColor="text1"/>
          <w:sz w:val="24"/>
          <w:szCs w:val="24"/>
          <w:highlight w:val="none"/>
          <w:lang w:val="en-US" w:eastAsia="zh-CN"/>
          <w14:textFill>
            <w14:solidFill>
              <w14:schemeClr w14:val="tx1"/>
            </w14:solidFill>
          </w14:textFill>
        </w:rPr>
        <w:t>100KG≤</w:t>
      </w:r>
      <w:r>
        <w:rPr>
          <w:rFonts w:hint="eastAsia" w:ascii="宋体" w:hAnsi="宋体" w:eastAsia="宋体" w:cs="宋体"/>
          <w:color w:val="000000" w:themeColor="text1"/>
          <w:sz w:val="24"/>
          <w:szCs w:val="24"/>
          <w:highlight w:val="none"/>
          <w:lang w:val="en-US" w:eastAsia="uk-UA"/>
          <w14:textFill>
            <w14:solidFill>
              <w14:schemeClr w14:val="tx1"/>
            </w14:solidFill>
          </w14:textFill>
        </w:rPr>
        <w:t>重量</w:t>
      </w:r>
      <w:r>
        <w:rPr>
          <w:rFonts w:hint="eastAsia" w:ascii="宋体" w:hAnsi="宋体" w:eastAsia="宋体" w:cs="宋体"/>
          <w:color w:val="000000" w:themeColor="text1"/>
          <w:sz w:val="24"/>
          <w:szCs w:val="24"/>
          <w:highlight w:val="none"/>
          <w:lang w:val="en-US" w:eastAsia="zh-CN"/>
          <w14:textFill>
            <w14:solidFill>
              <w14:schemeClr w14:val="tx1"/>
            </w14:solidFill>
          </w14:textFill>
        </w:rPr>
        <w:t>≤200</w:t>
      </w:r>
      <w:r>
        <w:rPr>
          <w:rFonts w:hint="eastAsia" w:ascii="宋体" w:hAnsi="宋体" w:eastAsia="宋体" w:cs="宋体"/>
          <w:color w:val="000000" w:themeColor="text1"/>
          <w:sz w:val="24"/>
          <w:szCs w:val="24"/>
          <w:highlight w:val="none"/>
          <w:lang w:val="en-US" w:eastAsia="uk-UA"/>
          <w14:textFill>
            <w14:solidFill>
              <w14:schemeClr w14:val="tx1"/>
            </w14:solidFill>
          </w14:textFill>
        </w:rPr>
        <w:t>KG；</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18、规格：</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外形尺寸：2050mm×920mm×940mm～2280mm</w:t>
      </w:r>
      <w:r>
        <w:rPr>
          <w:rFonts w:hint="eastAsia" w:ascii="宋体" w:hAnsi="宋体" w:eastAsia="宋体" w:cs="宋体"/>
          <w:color w:val="000000" w:themeColor="text1"/>
          <w:sz w:val="24"/>
          <w:szCs w:val="24"/>
          <w:highlight w:val="none"/>
          <w:lang w:val="en-US" w:eastAsia="zh-CN"/>
          <w14:textFill>
            <w14:solidFill>
              <w14:schemeClr w14:val="tx1"/>
            </w14:solidFill>
          </w14:textFill>
        </w:rPr>
        <w:t>（体积可上下浮动10%）</w:t>
      </w:r>
      <w:r>
        <w:rPr>
          <w:rFonts w:hint="eastAsia" w:ascii="宋体" w:hAnsi="宋体" w:eastAsia="宋体" w:cs="宋体"/>
          <w:color w:val="000000" w:themeColor="text1"/>
          <w:sz w:val="24"/>
          <w:szCs w:val="24"/>
          <w:highlight w:val="none"/>
          <w:lang w:val="en-US" w:eastAsia="uk-UA"/>
          <w14:textFill>
            <w14:solidFill>
              <w14:schemeClr w14:val="tx1"/>
            </w14:solidFill>
          </w14:textFill>
        </w:rPr>
        <w:t>   </w:t>
      </w:r>
      <w:r>
        <w:rPr>
          <w:rFonts w:hint="eastAsia" w:ascii="宋体" w:hAnsi="宋体" w:eastAsia="宋体" w:cs="宋体"/>
          <w:color w:val="000000" w:themeColor="text1"/>
          <w:sz w:val="24"/>
          <w:szCs w:val="24"/>
          <w:highlight w:val="none"/>
          <w:lang w:val="en-US" w:eastAsia="uk-UA"/>
          <w14:textFill>
            <w14:solidFill>
              <w14:schemeClr w14:val="tx1"/>
            </w14:solidFill>
          </w14:textFill>
        </w:rPr>
        <w:br w:type="textWrapping"/>
      </w:r>
      <w:r>
        <w:rPr>
          <w:rFonts w:hint="eastAsia" w:ascii="宋体" w:hAnsi="宋体" w:eastAsia="宋体" w:cs="宋体"/>
          <w:color w:val="000000" w:themeColor="text1"/>
          <w:sz w:val="24"/>
          <w:szCs w:val="24"/>
          <w:highlight w:val="none"/>
          <w:lang w:val="en-US" w:eastAsia="uk-UA"/>
          <w14:textFill>
            <w14:solidFill>
              <w14:schemeClr w14:val="tx1"/>
            </w14:solidFill>
          </w14:textFill>
        </w:rPr>
        <w:t>床面尺寸：1960mm×850mm</w:t>
      </w:r>
      <w:r>
        <w:rPr>
          <w:rFonts w:hint="eastAsia" w:ascii="宋体" w:hAnsi="宋体" w:eastAsia="宋体" w:cs="宋体"/>
          <w:color w:val="000000" w:themeColor="text1"/>
          <w:sz w:val="24"/>
          <w:szCs w:val="24"/>
          <w:highlight w:val="none"/>
          <w:lang w:val="en-US" w:eastAsia="zh-CN"/>
          <w14:textFill>
            <w14:solidFill>
              <w14:schemeClr w14:val="tx1"/>
            </w14:solidFill>
          </w14:textFill>
        </w:rPr>
        <w:t>（面积可上下浮动±10%）</w:t>
      </w:r>
    </w:p>
    <w:p w14:paraId="4BE2461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19、使用年限：≥10年。</w:t>
      </w:r>
    </w:p>
    <w:p w14:paraId="68FDC25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七、红外光灸疗机</w:t>
      </w:r>
    </w:p>
    <w:p w14:paraId="5EFDB36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1、输出通道:双通道。</w:t>
      </w:r>
    </w:p>
    <w:p w14:paraId="0FFA14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2、显示方式:数码管显示。</w:t>
      </w:r>
    </w:p>
    <w:p w14:paraId="0D2CB52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3、治疗头:支持三维旋转方向;具有磁吸装置，确保在不同位置下盖子不掉落。</w:t>
      </w:r>
    </w:p>
    <w:p w14:paraId="28EE24C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4、艾灸能量裙，使艾灸集中于病灶，又避免暴露隐私。</w:t>
      </w:r>
    </w:p>
    <w:p w14:paraId="6B2E09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5、红外光波长范围:580nm~1050nm。</w:t>
      </w:r>
    </w:p>
    <w:p w14:paraId="6F41330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6、输出光功率:最大10W，允差±2W。</w:t>
      </w:r>
    </w:p>
    <w:p w14:paraId="6349846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7、光疗档位:1~3档可调。</w:t>
      </w:r>
    </w:p>
    <w:p w14:paraId="1836874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8、光疗频率:on、60Hz、50Hz、25Hz、10Hz、5Hz 共6档。</w:t>
      </w:r>
    </w:p>
    <w:p w14:paraId="142C45B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9、艾灸加热温度:100°C~160°C可调，允差±10°C,级差10°C。</w:t>
      </w:r>
    </w:p>
    <w:p w14:paraId="7593AC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10、工作时间:1min~99min 可调，级差1min，允差±60s。</w:t>
      </w:r>
    </w:p>
    <w:p w14:paraId="3359929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11、具有双重独立的温度保护装置。</w:t>
      </w:r>
    </w:p>
    <w:p w14:paraId="59B1A38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12、红光和艾灸可单独或同时使用。</w:t>
      </w:r>
    </w:p>
    <w:p w14:paraId="6E0B950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13、具备防倾倒保护功能。</w:t>
      </w:r>
    </w:p>
    <w:p w14:paraId="1335DD1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14、无烟灸疗，自动控温，环保高效。</w:t>
      </w:r>
    </w:p>
    <w:p w14:paraId="3A189CE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15、使用年限：≥10年。</w:t>
      </w:r>
    </w:p>
    <w:p w14:paraId="2E1A555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center"/>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八、生物反馈治疗仪</w:t>
      </w:r>
    </w:p>
    <w:p w14:paraId="5919894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EMG采集位数: 16位。</w:t>
      </w:r>
    </w:p>
    <w:p w14:paraId="6C321E6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EMG采样频率高,不低于2500Hz。</w:t>
      </w:r>
    </w:p>
    <w:p w14:paraId="2445506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通道数：支持2个治疗通道，2个采集通道，最多支持2人同时进行电刺激治疗。</w:t>
      </w:r>
    </w:p>
    <w:p w14:paraId="7ECECCD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EMG采集灵敏度：2-2000μV。</w:t>
      </w:r>
    </w:p>
    <w:p w14:paraId="3C2B171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电刺激输出电流强度可调范围：0-100mA，步长1mA。</w:t>
      </w:r>
    </w:p>
    <w:p w14:paraId="3300DFF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电刺激输出电流频率可调范围：1-1000Hz，步长1Hz。</w:t>
      </w:r>
    </w:p>
    <w:p w14:paraId="5022E4C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电刺激输出电流脉宽可调范围：20-1000μs，步长50μs。</w:t>
      </w:r>
    </w:p>
    <w:p w14:paraId="1AE6AA7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电刺激持续治疗时间可调范围：2-60s，步长1s。</w:t>
      </w:r>
    </w:p>
    <w:p w14:paraId="321EA1B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休息时间可调范围：2-120s，步长1s。</w:t>
      </w:r>
    </w:p>
    <w:p w14:paraId="5E63E7D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电刺激波形上升和下降时间可调范围：0-9.9s，步长0.1s。</w:t>
      </w:r>
    </w:p>
    <w:p w14:paraId="0ED0AB3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
          <w14:textFill>
            <w14:solidFill>
              <w14:schemeClr w14:val="tx1"/>
            </w14:solidFill>
          </w14:textFill>
        </w:rPr>
        <w:t>产品使用年限：10年</w:t>
      </w:r>
    </w:p>
    <w:p w14:paraId="2F8A844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软件功能：</w:t>
      </w:r>
    </w:p>
    <w:p w14:paraId="67FB941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电刺激治疗波形分为三种：单向波、双向波和交互波。</w:t>
      </w:r>
    </w:p>
    <w:p w14:paraId="17FB640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电刺激调节：支持界面调节，也支持选中后鼠标滚轮快速一键增减调节。</w:t>
      </w:r>
    </w:p>
    <w:p w14:paraId="3845885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治疗模式：手动模式，自动模式，循环刺激模式 、EMG模式、EMG-Stim模式。</w:t>
      </w:r>
    </w:p>
    <w:p w14:paraId="2E4A7C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神经肌肉电刺激课程，最多支持8个通道同时或依次开始治疗，可单独通道设置参数，也支持勾选指定通道进行多通道同步调节。</w:t>
      </w:r>
    </w:p>
    <w:p w14:paraId="318741D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评估：支持健患侧对比评估，也支持同侧多部位评估，评估阶段5个阶段（包括前后静息、快肌、综合肌、慢肌），界面上显示每个阶段的评估内容、时长和模式，方便迅速了解评估阶段。</w:t>
      </w:r>
    </w:p>
    <w:p w14:paraId="3CAE462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评估阶段支持编辑和自定义新的评估课程，可对每个阶段时长进行调整设置。</w:t>
      </w:r>
    </w:p>
    <w:p w14:paraId="357E367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治疗方案：内置100多种常用治疗方案，涵盖上肢、下肢、头颈、胸腹部、腰背部等部位；医师也可根据患者情况进行选择，或设置自定义方案。</w:t>
      </w:r>
    </w:p>
    <w:p w14:paraId="7428F8A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肌电触发电刺激、神经肌肉电刺激所有课程均支持变频设置，两种以上频率变化设置，能有效避免神经适应性。</w:t>
      </w:r>
    </w:p>
    <w:p w14:paraId="454AC77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支持个性化方案制定，支持自定义治疗参数，支持在原处方上快速定制方案，且支持定制特殊变频方案，治疗更具备个性化。</w:t>
      </w:r>
    </w:p>
    <w:p w14:paraId="60759A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阈值方式：交感互动智能阈值技术（自动阈值），同时也可支持手动阈值设置和无阈值模式。</w:t>
      </w:r>
    </w:p>
    <w:p w14:paraId="5C10686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六种典型训练方式：肌力评估、增强训练、放松训练、协同训练、耐力训练、双部位训练。</w:t>
      </w:r>
    </w:p>
    <w:p w14:paraId="56FD9E7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支持快速治疗功能，支持在不建档状态下，或非选中患者状态下，可快速入口进行神经肌肉电刺激、肌电反馈电刺激、和肌电出发电刺激的课程。（提供相关证明）</w:t>
      </w:r>
    </w:p>
    <w:p w14:paraId="7643C94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肌电触发电刺激课程全部支持设置阈上刺激、阈下刺激模式，适配多种类型患者、多阶段患者功能使用。</w:t>
      </w:r>
    </w:p>
    <w:p w14:paraId="3C1D1C5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断电数据保护：内置应急电源，意外断电后系统自动暂停治疗，保存正在进行的患者治疗信息和原治疗状态，并报警声音提示。断电后60分钟内恢复外部供电，可继续完成剩下的治疗过程。</w:t>
      </w:r>
    </w:p>
    <w:p w14:paraId="1AFFA39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电极脱落保护：在进行电刺激治疗的过程中，当电极从人体表面脱时，刺激电流自动停止，避免电流对人体皮肤造成意外伤害。采集过程中，电极从人体表面脱落时，提示导联脱落。</w:t>
      </w:r>
    </w:p>
    <w:p w14:paraId="357C365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一体化可移动台车整体设计，21.5英寸高清晰液晶显示屏，可上下左右前后调整，并可360度旋转，同时方便医生操作和病人进行生物反馈治疗。</w:t>
      </w:r>
    </w:p>
    <w:p w14:paraId="0BD2A5BA">
      <w:pPr>
        <w:pageBreakBefore w:val="0"/>
        <w:widowControl w:val="0"/>
        <w:kinsoku/>
        <w:wordWrap/>
        <w:overflowPunct/>
        <w:topLinePunct w:val="0"/>
        <w:autoSpaceDE/>
        <w:autoSpaceDN/>
        <w:bidi w:val="0"/>
        <w:spacing w:line="400" w:lineRule="exact"/>
        <w:ind w:firstLine="482" w:firstLineChars="200"/>
        <w:textAlignment w:val="auto"/>
        <w:rPr>
          <w:rFonts w:hint="eastAsia" w:ascii="宋体" w:hAnsi="宋体" w:eastAsia="宋体" w:cs="宋体"/>
          <w:b/>
          <w:color w:val="auto"/>
          <w:kern w:val="2"/>
          <w:sz w:val="24"/>
          <w:highlight w:val="none"/>
          <w:lang w:val="en-US" w:eastAsia="zh-CN" w:bidi="ar-SA"/>
        </w:rPr>
      </w:pPr>
      <w:r>
        <w:rPr>
          <w:rFonts w:hint="eastAsia" w:ascii="宋体" w:hAnsi="宋体" w:cs="宋体"/>
          <w:b/>
          <w:color w:val="auto"/>
          <w:kern w:val="2"/>
          <w:sz w:val="24"/>
          <w:highlight w:val="none"/>
          <w:lang w:val="en-US" w:eastAsia="zh-CN" w:bidi="ar-SA"/>
        </w:rPr>
        <w:t>三</w:t>
      </w:r>
      <w:r>
        <w:rPr>
          <w:rFonts w:hint="eastAsia" w:ascii="宋体" w:hAnsi="宋体" w:eastAsia="宋体" w:cs="宋体"/>
          <w:b/>
          <w:color w:val="auto"/>
          <w:kern w:val="2"/>
          <w:sz w:val="24"/>
          <w:highlight w:val="none"/>
          <w:lang w:val="en-US" w:eastAsia="zh-CN" w:bidi="ar-SA"/>
        </w:rPr>
        <w:t>、其他要求</w:t>
      </w:r>
    </w:p>
    <w:p w14:paraId="79B59D5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不组织集中踏勘，由供应商自行进行踏勘，无论踏勘与否，采购人均视为对现场条件和项目情况有充分的了解。供应商自行考虑各种风险，不得因此申请调价或索赔。踏勘过程中的费用和涉及到的风险损失等均由供应商自行承担。供应商须在投标响应文件中提供已自行踏勘现场的承诺函（格式自拟）。</w:t>
      </w:r>
      <w:bookmarkStart w:id="57" w:name="_Toc24341"/>
    </w:p>
    <w:p w14:paraId="355B232B">
      <w:pPr>
        <w:pStyle w:val="4"/>
        <w:spacing w:line="360" w:lineRule="auto"/>
        <w:jc w:val="cente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36"/>
          <w:szCs w:val="36"/>
          <w:highlight w:val="none"/>
          <w:lang w:val="en-US" w:eastAsia="zh-CN" w:bidi="ar-SA"/>
          <w14:textFill>
            <w14:solidFill>
              <w14:schemeClr w14:val="tx1"/>
            </w14:solidFill>
          </w14:textFill>
        </w:rPr>
        <w:t>第三篇 项目商务需求</w:t>
      </w:r>
      <w:bookmarkEnd w:id="57"/>
      <w:bookmarkStart w:id="58" w:name="_Toc344475120"/>
      <w:bookmarkStart w:id="59" w:name="_Toc76462328"/>
    </w:p>
    <w:bookmarkEnd w:id="58"/>
    <w:bookmarkEnd w:id="59"/>
    <w:p w14:paraId="545EFD7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60" w:name="_Toc156895489"/>
      <w:bookmarkStart w:id="61" w:name="_Toc267320049"/>
      <w:bookmarkStart w:id="62" w:name="_Toc12768"/>
      <w:bookmarkStart w:id="63" w:name="_Toc8752"/>
      <w:bookmarkStart w:id="64" w:name="_Toc30118"/>
      <w:bookmarkStart w:id="65" w:name="_Toc22944"/>
      <w:bookmarkStart w:id="66" w:name="_Toc119579778"/>
      <w:bookmarkStart w:id="67" w:name="_Toc28521"/>
      <w:bookmarkStart w:id="68" w:name="_Toc10039"/>
      <w:bookmarkStart w:id="69" w:name="_Toc6595"/>
      <w:bookmarkStart w:id="70" w:name="_Toc13389"/>
      <w:bookmarkStart w:id="71" w:name="_Toc13728"/>
      <w:bookmarkStart w:id="72" w:name="_Toc11380"/>
      <w:bookmarkStart w:id="73" w:name="_Toc119949877"/>
      <w:bookmarkStart w:id="74" w:name="_Toc23501"/>
      <w:bookmarkStart w:id="75" w:name="_Toc75793509"/>
      <w:bookmarkStart w:id="76" w:name="_Toc14029"/>
      <w:bookmarkStart w:id="77" w:name="_Toc21429"/>
      <w:bookmarkStart w:id="78" w:name="_Toc9676"/>
      <w:bookmarkStart w:id="79" w:name="_Toc102227313"/>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一、交货时间（或为：实施时间）、地点及验收方式</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6B08BF1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（一）交货时间（或为：实施时间）</w:t>
      </w:r>
    </w:p>
    <w:p w14:paraId="149FFC9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成交供应商应在采购合同签订后30个日历天内交货并完成安装调试。</w:t>
      </w:r>
    </w:p>
    <w:p w14:paraId="03F43D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（二）交货地点（或为：实施时间）</w:t>
      </w:r>
    </w:p>
    <w:p w14:paraId="592861C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采购人指定地点。</w:t>
      </w:r>
    </w:p>
    <w:p w14:paraId="3CD6B56C">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（三）验收方式</w:t>
      </w:r>
    </w:p>
    <w:p w14:paraId="2E610B7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1.货物到达现场后，成交供应商应在使用单位人员在场情况下当面开箱，共同清点、检查外观，作出开箱记录，双方签字确认。</w:t>
      </w:r>
    </w:p>
    <w:p w14:paraId="2F26F7F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2.成交供应商应保证货物到达采购人所在地完好无损，如有缺漏、损坏，负责调换、补齐或赔偿。</w:t>
      </w:r>
    </w:p>
    <w:p w14:paraId="4401871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3.成交供应商应提供完备的技术资料、装箱单和合格证等，并派遣专业技术人员进行现场安装调试。验收合格条件如下：</w:t>
      </w:r>
    </w:p>
    <w:p w14:paraId="2084898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3.1设备技术参数与采购合同一致，性能指标达到规定的标准。</w:t>
      </w:r>
    </w:p>
    <w:p w14:paraId="7F18ABE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3.2货物技术资料、装箱单、合格证等资料齐全。</w:t>
      </w:r>
    </w:p>
    <w:p w14:paraId="6B4D0E77">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3.3在系统试运行期间所出现的问题得到解决，并运行正常。</w:t>
      </w:r>
    </w:p>
    <w:p w14:paraId="35F692E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3.4在规定时间内完成交货并验收，并经采购人确认。</w:t>
      </w:r>
    </w:p>
    <w:p w14:paraId="0534360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4.产品在安装调试并试运行符合要求后，才作为最终验收。</w:t>
      </w:r>
    </w:p>
    <w:p w14:paraId="5C4806C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5.成交供应商提供的货物未达到竞采文件规定要求，且对采购人造成损失的，将承担一切责任，并赔偿所造成的损失。</w:t>
      </w:r>
    </w:p>
    <w:p w14:paraId="078241FA">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6.大型或者复杂的政府采购项目，采购人应当邀请国家认可的质量检测机构参加验收工作。</w:t>
      </w:r>
    </w:p>
    <w:p w14:paraId="6A580D7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7.采购人需要制造商对成交供应商交付的产品（包括质量、技术参数等）进行确认的，制造商应予以配合，并出具书面意见。</w:t>
      </w:r>
    </w:p>
    <w:p w14:paraId="37C94A69">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8.产品包装材料归采购人所有。</w:t>
      </w:r>
    </w:p>
    <w:p w14:paraId="7FCA615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9.如因乙方相关资料移交不及时等原因导致甲方无法上牌，甲方有权延迟验收，并由此造成的损失由乙方负责。</w:t>
      </w:r>
    </w:p>
    <w:p w14:paraId="5DB6AA9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10.乙方保证货物是全新的，</w:t>
      </w:r>
      <w:r>
        <w:rPr>
          <w:rFonts w:hint="eastAsia" w:ascii="宋体" w:hAnsi="宋体" w:cs="宋体"/>
          <w:color w:val="000000" w:themeColor="text1"/>
          <w:sz w:val="24"/>
          <w:szCs w:val="24"/>
          <w:highlight w:val="none"/>
          <w:lang w:val="en-US" w:eastAsia="zh-CN"/>
          <w14:textFill>
            <w14:solidFill>
              <w14:schemeClr w14:val="tx1"/>
            </w14:solidFill>
          </w14:textFill>
        </w:rPr>
        <w:t>并且生产日期必须是2025年的，</w:t>
      </w:r>
      <w:r>
        <w:rPr>
          <w:rFonts w:hint="eastAsia" w:ascii="宋体" w:hAnsi="宋体" w:eastAsia="宋体" w:cs="宋体"/>
          <w:color w:val="000000" w:themeColor="text1"/>
          <w:sz w:val="24"/>
          <w:szCs w:val="24"/>
          <w:highlight w:val="none"/>
          <w:lang w:val="en-US" w:eastAsia="zh-CN"/>
          <w14:textFill>
            <w14:solidFill>
              <w14:schemeClr w14:val="tx1"/>
            </w14:solidFill>
          </w14:textFill>
        </w:rPr>
        <w:t>否则甲方有权拒收。</w:t>
      </w:r>
    </w:p>
    <w:p w14:paraId="5ED9E01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80" w:name="_Toc20367"/>
      <w:bookmarkStart w:id="81" w:name="_Toc1484"/>
      <w:bookmarkStart w:id="82" w:name="_Toc7746"/>
      <w:bookmarkStart w:id="83" w:name="_Toc29144"/>
      <w:bookmarkStart w:id="84" w:name="_Toc22142"/>
      <w:bookmarkStart w:id="85" w:name="_Toc29436"/>
      <w:bookmarkStart w:id="86" w:name="_Toc119579779"/>
      <w:bookmarkStart w:id="87" w:name="_Toc4036"/>
      <w:bookmarkStart w:id="88" w:name="_Toc156895490"/>
      <w:bookmarkStart w:id="89" w:name="_Toc30781"/>
      <w:bookmarkStart w:id="90" w:name="_Toc21022"/>
      <w:bookmarkStart w:id="91" w:name="_Toc22158"/>
      <w:bookmarkStart w:id="92" w:name="_Toc119949878"/>
      <w:bookmarkStart w:id="93" w:name="_Toc18152"/>
      <w:bookmarkStart w:id="94" w:name="_Toc13418"/>
      <w:bookmarkStart w:id="95" w:name="_Toc75793510"/>
      <w:bookmarkStart w:id="96" w:name="_Toc28679"/>
      <w:bookmarkStart w:id="97" w:name="_Toc8592"/>
      <w:bookmarkStart w:id="98" w:name="_Toc267320050"/>
      <w:r>
        <w:rPr>
          <w:rFonts w:hint="eastAsia" w:ascii="宋体" w:hAnsi="宋体" w:eastAsia="宋体" w:cs="宋体"/>
          <w:color w:val="000000" w:themeColor="text1"/>
          <w:sz w:val="24"/>
          <w:szCs w:val="24"/>
          <w:highlight w:val="none"/>
          <w:lang w:val="en-US" w:eastAsia="zh-CN"/>
          <w14:textFill>
            <w14:solidFill>
              <w14:schemeClr w14:val="tx1"/>
            </w14:solidFill>
          </w14:textFill>
        </w:rPr>
        <w:t>二、报价要求</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3C5401B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auto"/>
          <w:sz w:val="24"/>
          <w:szCs w:val="24"/>
          <w:highlight w:val="none"/>
          <w:lang w:val="en-US" w:eastAsia="zh-CN"/>
        </w:rPr>
        <w:t>本次报价须为人民币报价，且包含：完成采购项目所需的货物费、包装费、运输费、安装调试费、装卸费、施工费、税费、转运费、劳务费、保险费、管理费、调试费、机电设备二次搬运费等验收合格之前应发生的一切与本项目相关的所有费用。因投标人自身原因造成漏报、少报皆由其自行承担责任，采购人不再补偿。</w:t>
      </w:r>
    </w:p>
    <w:p w14:paraId="10C06EC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99" w:name="_Toc75793511"/>
      <w:bookmarkStart w:id="100" w:name="_Toc119949879"/>
      <w:bookmarkStart w:id="101" w:name="_Toc2244"/>
      <w:bookmarkStart w:id="102" w:name="_Toc3465"/>
      <w:bookmarkStart w:id="103" w:name="_Toc32313"/>
      <w:bookmarkStart w:id="104" w:name="_Toc23903"/>
      <w:bookmarkStart w:id="105" w:name="_Toc119579780"/>
      <w:bookmarkStart w:id="106" w:name="_Toc2821"/>
      <w:bookmarkStart w:id="107" w:name="_Toc15677"/>
      <w:bookmarkStart w:id="108" w:name="_Toc4252"/>
      <w:bookmarkStart w:id="109" w:name="_Toc1450"/>
      <w:bookmarkStart w:id="110" w:name="_Toc16693"/>
      <w:bookmarkStart w:id="111" w:name="_Toc27382"/>
      <w:bookmarkStart w:id="112" w:name="_Toc15096"/>
      <w:bookmarkStart w:id="113" w:name="_Toc14177"/>
      <w:bookmarkStart w:id="114" w:name="_Toc156895491"/>
      <w:bookmarkStart w:id="115" w:name="_Toc20887"/>
      <w:bookmarkStart w:id="116" w:name="_Toc4774"/>
      <w:r>
        <w:rPr>
          <w:rFonts w:hint="eastAsia" w:ascii="宋体" w:hAnsi="宋体" w:eastAsia="宋体" w:cs="宋体"/>
          <w:color w:val="000000" w:themeColor="text1"/>
          <w:sz w:val="24"/>
          <w:szCs w:val="24"/>
          <w:highlight w:val="none"/>
          <w:lang w:val="en-US" w:eastAsia="zh-CN"/>
          <w14:textFill>
            <w14:solidFill>
              <w14:schemeClr w14:val="tx1"/>
            </w14:solidFill>
          </w14:textFill>
        </w:rPr>
        <w:t>三、质量保证及售后服务</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0831E2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（一）产品质量保证期：自验收合格之日起</w:t>
      </w:r>
      <w:r>
        <w:rPr>
          <w:rFonts w:hint="eastAsia" w:ascii="宋体" w:hAnsi="宋体" w:cs="宋体"/>
          <w:color w:val="000000" w:themeColor="text1"/>
          <w:sz w:val="24"/>
          <w:szCs w:val="24"/>
          <w:highlight w:val="none"/>
          <w:lang w:val="en-US" w:eastAsia="zh-CN"/>
          <w14:textFill>
            <w14:solidFill>
              <w14:schemeClr w14:val="tx1"/>
            </w14:solidFill>
          </w14:textFill>
        </w:rPr>
        <w:t>至少</w:t>
      </w:r>
      <w:r>
        <w:rPr>
          <w:rFonts w:hint="eastAsia" w:ascii="宋体" w:hAnsi="宋体" w:eastAsia="宋体" w:cs="宋体"/>
          <w:color w:val="000000" w:themeColor="text1"/>
          <w:sz w:val="24"/>
          <w:szCs w:val="24"/>
          <w:highlight w:val="none"/>
          <w:lang w:val="en-US" w:eastAsia="zh-CN"/>
          <w14:textFill>
            <w14:solidFill>
              <w14:schemeClr w14:val="tx1"/>
            </w14:solidFill>
          </w14:textFill>
        </w:rPr>
        <w:t>3年内免费上门保修。</w:t>
      </w:r>
    </w:p>
    <w:p w14:paraId="29A7B6B2">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（二）售后服务内容</w:t>
      </w:r>
    </w:p>
    <w:p w14:paraId="08BBA33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1.供应商在质量保证期内应当为采购人提供以下技术支持和服务：</w:t>
      </w:r>
    </w:p>
    <w:p w14:paraId="274B623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1.1电话咨询</w:t>
      </w:r>
    </w:p>
    <w:p w14:paraId="6B779A2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供应商应当为采购人提供技术援助电话，解答采购人在使用中遇到的问题，及时为采购人提出解决问题的建议。</w:t>
      </w:r>
    </w:p>
    <w:p w14:paraId="480B19E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1.2现场响应</w:t>
      </w:r>
    </w:p>
    <w:p w14:paraId="77CF1B6F">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遇到使用及技术问题，电话咨询不能解决的，成交供应商和制造商应在24小内到达现场（远郊区48小时内到达现场）进行处理，确保产品正常工作；无法在4小时内解决的，应在48小时内提供备用产品（应急设备须立刻提供备用机），使采购人能够正常使用。</w:t>
      </w:r>
    </w:p>
    <w:p w14:paraId="799DBFF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1.3技术升级</w:t>
      </w:r>
    </w:p>
    <w:p w14:paraId="13A7409D">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在质保期内，如果供应商的产品技术升级，供应商应及时通知采购人，如采购人有相应要求，供应商应对采购人购买的产品进行升级服务。</w:t>
      </w:r>
    </w:p>
    <w:p w14:paraId="675821A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2.质保期外服务要求</w:t>
      </w:r>
    </w:p>
    <w:p w14:paraId="61E0C9A6">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2.1质量保证期过后，供应商应同样提供免费电话咨询服务，并应承诺提供产品上门维护服务。</w:t>
      </w:r>
    </w:p>
    <w:p w14:paraId="6001A1FB">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2.2质量保证期过后，采购人需要继续由原供应商提供售后服务的，该供应商应以优惠价格提供售后服务。</w:t>
      </w:r>
    </w:p>
    <w:p w14:paraId="668F198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（三）备品备件及易损件</w:t>
      </w:r>
    </w:p>
    <w:p w14:paraId="450EC494">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供应商售后服务中，维修使用的备品备件及易损件应为原厂配件，未经采购人同意不得使用非原厂配件，常用的、容易损坏的备品备件及易损件的价格清单须在响应文件中列出。</w:t>
      </w:r>
    </w:p>
    <w:p w14:paraId="793A0EEB">
      <w:pPr>
        <w:pStyle w:val="4"/>
        <w:spacing w:line="240" w:lineRule="auto"/>
        <w:jc w:val="left"/>
        <w:rPr>
          <w:rFonts w:hint="eastAsia" w:asciiTheme="minorEastAsia" w:hAnsiTheme="minorEastAsia" w:eastAsiaTheme="minorEastAsia" w:cstheme="minorEastAsia"/>
          <w:b/>
          <w:color w:val="auto"/>
          <w:sz w:val="24"/>
          <w:highlight w:val="none"/>
        </w:rPr>
      </w:pPr>
      <w:bookmarkStart w:id="117" w:name="_Toc18007"/>
      <w:bookmarkStart w:id="118" w:name="_Toc30442"/>
      <w:bookmarkStart w:id="119" w:name="_Toc119949880"/>
      <w:bookmarkStart w:id="120" w:name="_Toc29286"/>
      <w:bookmarkStart w:id="121" w:name="_Toc25552"/>
      <w:bookmarkStart w:id="122" w:name="_Toc25932"/>
      <w:bookmarkStart w:id="123" w:name="_Toc22695"/>
      <w:bookmarkStart w:id="124" w:name="_Toc12285"/>
      <w:bookmarkStart w:id="125" w:name="_Toc267320051"/>
      <w:bookmarkStart w:id="126" w:name="_Toc21888"/>
      <w:bookmarkStart w:id="127" w:name="_Toc75793512"/>
      <w:bookmarkStart w:id="128" w:name="_Toc25745"/>
      <w:bookmarkStart w:id="129" w:name="_Toc5174"/>
      <w:bookmarkStart w:id="130" w:name="_Toc119579781"/>
      <w:bookmarkStart w:id="131" w:name="_Toc156895492"/>
      <w:bookmarkStart w:id="132" w:name="_Toc1008"/>
      <w:bookmarkStart w:id="133" w:name="_Toc8955"/>
      <w:bookmarkStart w:id="134" w:name="_Toc32722"/>
      <w:bookmarkStart w:id="135" w:name="_Toc19350"/>
      <w:r>
        <w:rPr>
          <w:rFonts w:hint="eastAsia" w:asciiTheme="minorEastAsia" w:hAnsiTheme="minorEastAsia" w:eastAsiaTheme="minorEastAsia" w:cstheme="minorEastAsia"/>
          <w:b/>
          <w:color w:val="auto"/>
          <w:sz w:val="24"/>
          <w:szCs w:val="22"/>
          <w:highlight w:val="none"/>
          <w:lang w:val="en-US" w:eastAsia="zh-CN"/>
        </w:rPr>
        <w:t>四、</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Start w:id="136" w:name="_Toc267320052"/>
      <w:bookmarkStart w:id="137" w:name="_Toc4339"/>
      <w:bookmarkStart w:id="138" w:name="_Toc20369"/>
      <w:bookmarkStart w:id="139" w:name="_Toc22431"/>
      <w:bookmarkStart w:id="140" w:name="_Toc11399"/>
      <w:bookmarkStart w:id="141" w:name="_Toc9213"/>
      <w:bookmarkStart w:id="142" w:name="_Toc27144"/>
      <w:bookmarkStart w:id="143" w:name="_Toc119949881"/>
      <w:bookmarkStart w:id="144" w:name="_Toc18959"/>
      <w:bookmarkStart w:id="145" w:name="_Toc75793513"/>
      <w:bookmarkStart w:id="146" w:name="_Toc11060"/>
      <w:bookmarkStart w:id="147" w:name="_Toc10105"/>
      <w:bookmarkStart w:id="148" w:name="_Toc3565"/>
      <w:bookmarkStart w:id="149" w:name="_Toc28056"/>
      <w:bookmarkStart w:id="150" w:name="_Toc25410"/>
      <w:bookmarkStart w:id="151" w:name="_Toc4897"/>
      <w:bookmarkStart w:id="152" w:name="_Toc3311"/>
      <w:bookmarkStart w:id="153" w:name="_Toc119579782"/>
      <w:r>
        <w:rPr>
          <w:rFonts w:hint="eastAsia" w:asciiTheme="minorEastAsia" w:hAnsiTheme="minorEastAsia" w:eastAsiaTheme="minorEastAsia" w:cstheme="minorEastAsia"/>
          <w:b/>
          <w:color w:val="auto"/>
          <w:sz w:val="24"/>
          <w:highlight w:val="none"/>
        </w:rPr>
        <w:t>履约担保和付款方式</w:t>
      </w:r>
    </w:p>
    <w:p w14:paraId="1AD155CA">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（一）履约担保：</w:t>
      </w:r>
    </w:p>
    <w:p w14:paraId="7C684D48">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1.履约保证金的形式：</w:t>
      </w:r>
      <w:r>
        <w:rPr>
          <w:rFonts w:hint="eastAsia" w:asciiTheme="minorEastAsia" w:hAnsiTheme="minorEastAsia" w:eastAsiaTheme="minorEastAsia" w:cstheme="minorEastAsia"/>
          <w:color w:val="auto"/>
          <w:kern w:val="2"/>
          <w:sz w:val="24"/>
          <w:szCs w:val="24"/>
          <w:highlight w:val="none"/>
          <w:lang w:val="en-US" w:eastAsia="zh-CN"/>
        </w:rPr>
        <w:t>转账</w:t>
      </w:r>
      <w:r>
        <w:rPr>
          <w:rFonts w:hint="eastAsia" w:asciiTheme="minorEastAsia" w:hAnsiTheme="minorEastAsia" w:eastAsiaTheme="minorEastAsia" w:cstheme="minorEastAsia"/>
          <w:color w:val="auto"/>
          <w:kern w:val="2"/>
          <w:sz w:val="24"/>
          <w:szCs w:val="24"/>
          <w:highlight w:val="none"/>
          <w:lang w:val="en-US"/>
        </w:rPr>
        <w:t>。</w:t>
      </w:r>
    </w:p>
    <w:p w14:paraId="6B802436">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履约保证金账号信息如下：</w:t>
      </w:r>
    </w:p>
    <w:p w14:paraId="41B2CEBD">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rPr>
        <w:t>开户单位：</w:t>
      </w:r>
      <w:r>
        <w:rPr>
          <w:rFonts w:hint="eastAsia" w:asciiTheme="minorEastAsia" w:hAnsiTheme="minorEastAsia" w:eastAsiaTheme="minorEastAsia" w:cstheme="minorEastAsia"/>
          <w:color w:val="auto"/>
          <w:kern w:val="2"/>
          <w:sz w:val="24"/>
          <w:szCs w:val="24"/>
          <w:highlight w:val="none"/>
          <w:lang w:val="en-US" w:eastAsia="zh-CN"/>
        </w:rPr>
        <w:t>秀山土家族苗族自治县中医医院</w:t>
      </w:r>
    </w:p>
    <w:p w14:paraId="687FEBD3">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rPr>
        <w:t>开户银行：</w:t>
      </w:r>
      <w:r>
        <w:rPr>
          <w:rFonts w:hint="eastAsia" w:asciiTheme="minorEastAsia" w:hAnsiTheme="minorEastAsia" w:eastAsiaTheme="minorEastAsia" w:cstheme="minorEastAsia"/>
          <w:color w:val="auto"/>
          <w:kern w:val="2"/>
          <w:sz w:val="24"/>
          <w:szCs w:val="24"/>
          <w:highlight w:val="none"/>
          <w:lang w:val="en-US" w:eastAsia="zh-CN"/>
        </w:rPr>
        <w:t xml:space="preserve">农行重庆秀山县凤鸣支行 </w:t>
      </w:r>
    </w:p>
    <w:p w14:paraId="59333FFE">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rPr>
        <w:t>银行帐号：</w:t>
      </w:r>
      <w:r>
        <w:rPr>
          <w:rFonts w:hint="eastAsia" w:asciiTheme="minorEastAsia" w:hAnsiTheme="minorEastAsia" w:eastAsiaTheme="minorEastAsia" w:cstheme="minorEastAsia"/>
          <w:color w:val="auto"/>
          <w:kern w:val="2"/>
          <w:sz w:val="24"/>
          <w:szCs w:val="24"/>
          <w:highlight w:val="none"/>
          <w:lang w:val="en-US" w:eastAsia="zh-CN"/>
        </w:rPr>
        <w:t xml:space="preserve"> 31850601040000446</w:t>
      </w:r>
    </w:p>
    <w:p w14:paraId="3FD7D450">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行号：103687285065</w:t>
      </w:r>
    </w:p>
    <w:p w14:paraId="24D134E9">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rPr>
        <w:t>2</w:t>
      </w:r>
      <w:r>
        <w:rPr>
          <w:rFonts w:hint="eastAsia" w:asciiTheme="minorEastAsia" w:hAnsiTheme="minorEastAsia" w:eastAsiaTheme="minorEastAsia" w:cstheme="minorEastAsia"/>
          <w:color w:val="auto"/>
          <w:kern w:val="2"/>
          <w:sz w:val="24"/>
          <w:szCs w:val="24"/>
          <w:highlight w:val="none"/>
          <w:lang w:val="en-US"/>
        </w:rPr>
        <w:t>.履约保证金的金额：中标合同金额的</w:t>
      </w:r>
      <w:r>
        <w:rPr>
          <w:rFonts w:hint="eastAsia" w:asciiTheme="minorEastAsia" w:hAnsiTheme="minorEastAsia" w:eastAsiaTheme="minorEastAsia" w:cstheme="minorEastAsia"/>
          <w:color w:val="auto"/>
          <w:kern w:val="2"/>
          <w:sz w:val="24"/>
          <w:szCs w:val="24"/>
          <w:highlight w:val="none"/>
          <w:lang w:val="en-US" w:eastAsia="zh-CN"/>
        </w:rPr>
        <w:t>5</w:t>
      </w:r>
      <w:r>
        <w:rPr>
          <w:rFonts w:hint="eastAsia" w:asciiTheme="minorEastAsia" w:hAnsiTheme="minorEastAsia" w:eastAsiaTheme="minorEastAsia" w:cstheme="minorEastAsia"/>
          <w:color w:val="auto"/>
          <w:kern w:val="2"/>
          <w:sz w:val="24"/>
          <w:szCs w:val="24"/>
          <w:highlight w:val="none"/>
          <w:lang w:val="en-US"/>
        </w:rPr>
        <w:t>%。</w:t>
      </w:r>
    </w:p>
    <w:p w14:paraId="7F44B614">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3.履约保证金的提交时间：成交人应在成交通知书发出后5个工作日内足额缴纳至采购人，并在履约保证金提交之日起10个工作日内与采购人签订采购合同。若成交人不能按时、足额向采购人提交履约保证金的，视其为自动放弃中标资格，并将按采购法规及本采购文件相关规定进行处理。</w:t>
      </w:r>
    </w:p>
    <w:p w14:paraId="2BF30857">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4.履约保证金的期限：合同签订之日起至质保期满。</w:t>
      </w:r>
    </w:p>
    <w:p w14:paraId="63B32E71">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eastAsia="zh-CN"/>
        </w:rPr>
        <w:t>5.履约保证金的退还时间：履约保证金在质保期满后无息退还</w:t>
      </w:r>
      <w:r>
        <w:rPr>
          <w:rFonts w:hint="eastAsia" w:asciiTheme="minorEastAsia" w:hAnsiTheme="minorEastAsia" w:eastAsiaTheme="minorEastAsia" w:cstheme="minorEastAsia"/>
          <w:color w:val="auto"/>
          <w:kern w:val="2"/>
          <w:sz w:val="24"/>
          <w:szCs w:val="24"/>
          <w:highlight w:val="none"/>
          <w:lang w:val="en-US"/>
        </w:rPr>
        <w:t>。</w:t>
      </w:r>
    </w:p>
    <w:p w14:paraId="7D6B8DD3">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rPr>
      </w:pPr>
      <w:r>
        <w:rPr>
          <w:rFonts w:hint="eastAsia" w:asciiTheme="minorEastAsia" w:hAnsiTheme="minorEastAsia" w:eastAsiaTheme="minorEastAsia" w:cstheme="minorEastAsia"/>
          <w:color w:val="auto"/>
          <w:kern w:val="2"/>
          <w:sz w:val="24"/>
          <w:szCs w:val="24"/>
          <w:highlight w:val="none"/>
          <w:lang w:val="en-US"/>
        </w:rPr>
        <w:t>（二）付款方式：</w:t>
      </w:r>
    </w:p>
    <w:p w14:paraId="416F3997">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1.中标通知书下达后5个工作日内，成交供应商向采购人指定账户缴纳合同金额5%的履约保证金，并与采购人签订合同。</w:t>
      </w:r>
    </w:p>
    <w:p w14:paraId="3FCC0B71">
      <w:pPr>
        <w:pStyle w:val="280"/>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2.合同签订后，支付合同总金额的30%作为预付款，设备安装调试完成并经验收合格后，凭发票一次性支付剩余70%尾款。</w:t>
      </w:r>
    </w:p>
    <w:p w14:paraId="4FD6EAA8">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auto"/>
          <w:kern w:val="2"/>
          <w:sz w:val="24"/>
          <w:szCs w:val="24"/>
          <w:highlight w:val="none"/>
          <w:lang w:val="en-US" w:eastAsia="zh-CN"/>
        </w:rPr>
        <w:t>3.履约保证金在质保期满后无息退还。</w:t>
      </w:r>
    </w:p>
    <w:p w14:paraId="08E3EA15">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4" w:name="_Toc156895493"/>
      <w:r>
        <w:rPr>
          <w:rFonts w:hint="eastAsia" w:ascii="宋体" w:hAnsi="宋体" w:eastAsia="宋体" w:cs="宋体"/>
          <w:color w:val="000000" w:themeColor="text1"/>
          <w:sz w:val="24"/>
          <w:szCs w:val="24"/>
          <w:highlight w:val="none"/>
          <w:lang w:val="en-US" w:eastAsia="zh-CN"/>
          <w14:textFill>
            <w14:solidFill>
              <w14:schemeClr w14:val="tx1"/>
            </w14:solidFill>
          </w14:textFill>
        </w:rPr>
        <w:t>五、知识产权</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31D1B8C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采购人在中华人民共和国境内使用供应商提供的货物及服务时免受第三方提出的侵犯其专利权或其它知识产权的起诉。如果第三方提出侵权指控，成交供应商应承担由此而引起的一切法律责任和费用。</w:t>
      </w:r>
    </w:p>
    <w:p w14:paraId="0694D251">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55" w:name="_Toc3404"/>
      <w:bookmarkStart w:id="156" w:name="_Toc4784"/>
      <w:bookmarkStart w:id="157" w:name="_Toc1949"/>
      <w:bookmarkStart w:id="158" w:name="_Toc27637"/>
      <w:bookmarkStart w:id="159" w:name="_Toc7629"/>
      <w:bookmarkStart w:id="160" w:name="_Toc14096"/>
      <w:bookmarkStart w:id="161" w:name="_Toc75793514"/>
      <w:bookmarkStart w:id="162" w:name="_Toc1026"/>
      <w:bookmarkStart w:id="163" w:name="_Toc15109"/>
      <w:bookmarkStart w:id="164" w:name="_Toc26926"/>
      <w:bookmarkStart w:id="165" w:name="_Toc29615"/>
      <w:bookmarkStart w:id="166" w:name="_Toc31803"/>
      <w:bookmarkStart w:id="167" w:name="_Toc156895494"/>
      <w:bookmarkStart w:id="168" w:name="_Toc25464"/>
      <w:bookmarkStart w:id="169" w:name="_Toc119949882"/>
      <w:bookmarkStart w:id="170" w:name="_Toc15548"/>
      <w:bookmarkStart w:id="171" w:name="_Toc119579783"/>
      <w:bookmarkStart w:id="172" w:name="_Toc15159"/>
      <w:bookmarkStart w:id="173" w:name="_Toc267320053"/>
      <w:r>
        <w:rPr>
          <w:rFonts w:hint="eastAsia" w:ascii="宋体" w:hAnsi="宋体" w:eastAsia="宋体" w:cs="宋体"/>
          <w:color w:val="000000" w:themeColor="text1"/>
          <w:sz w:val="24"/>
          <w:szCs w:val="24"/>
          <w:highlight w:val="none"/>
          <w:lang w:val="en-US" w:eastAsia="zh-CN"/>
          <w14:textFill>
            <w14:solidFill>
              <w14:schemeClr w14:val="tx1"/>
            </w14:solidFill>
          </w14:textFill>
        </w:rPr>
        <w:t>六、培训</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08530A13">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供应商对其提供产品的使用和操作应尽培训义务。供应商应提供对采购人的基本免费培训，使采购人使用人员能够正常操作。</w:t>
      </w:r>
    </w:p>
    <w:p w14:paraId="043F6D0E">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bookmarkStart w:id="174" w:name="_Toc26694"/>
      <w:bookmarkStart w:id="175" w:name="_Toc15245"/>
      <w:bookmarkStart w:id="176" w:name="_Toc119579784"/>
      <w:bookmarkStart w:id="177" w:name="_Toc20414"/>
      <w:bookmarkStart w:id="178" w:name="_Toc75793515"/>
      <w:bookmarkStart w:id="179" w:name="_Toc18659"/>
      <w:bookmarkStart w:id="180" w:name="_Toc5987"/>
      <w:bookmarkStart w:id="181" w:name="_Toc9916"/>
      <w:bookmarkStart w:id="182" w:name="_Toc156895495"/>
      <w:bookmarkStart w:id="183" w:name="_Toc7168"/>
      <w:bookmarkStart w:id="184" w:name="_Toc8027"/>
      <w:bookmarkStart w:id="185" w:name="_Toc26367"/>
      <w:bookmarkStart w:id="186" w:name="_Toc119949883"/>
      <w:bookmarkStart w:id="187" w:name="_Toc13166"/>
      <w:bookmarkStart w:id="188" w:name="_Toc28488"/>
      <w:bookmarkStart w:id="189" w:name="_Toc28278"/>
      <w:bookmarkStart w:id="190" w:name="_Toc18165"/>
      <w:bookmarkStart w:id="191" w:name="_Toc28797"/>
      <w:r>
        <w:rPr>
          <w:rFonts w:hint="eastAsia" w:ascii="宋体" w:hAnsi="宋体" w:eastAsia="宋体" w:cs="宋体"/>
          <w:color w:val="000000" w:themeColor="text1"/>
          <w:sz w:val="24"/>
          <w:szCs w:val="24"/>
          <w:highlight w:val="none"/>
          <w:lang w:val="en-US" w:eastAsia="zh-CN"/>
          <w14:textFill>
            <w14:solidFill>
              <w14:schemeClr w14:val="tx1"/>
            </w14:solidFill>
          </w14:textFill>
        </w:rPr>
        <w:t>七、附件、图纸及包装要求</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p>
    <w:p w14:paraId="1BAFBD00">
      <w:pPr>
        <w:keepNext w:val="0"/>
        <w:keepLines w:val="0"/>
        <w:pageBreakBefore w:val="0"/>
        <w:widowControl w:val="0"/>
        <w:kinsoku/>
        <w:wordWrap/>
        <w:overflowPunct/>
        <w:topLinePunct w:val="0"/>
        <w:autoSpaceDE/>
        <w:autoSpaceDN/>
        <w:bidi w:val="0"/>
        <w:adjustRightInd/>
        <w:snapToGrid/>
        <w:spacing w:line="600" w:lineRule="exact"/>
        <w:ind w:firstLine="480" w:firstLineChars="200"/>
        <w:jc w:val="both"/>
        <w:textAlignment w:val="auto"/>
        <w:outlineLvl w:val="9"/>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所有设备按照制造商规定的产品包装和随机标准附件为准。</w:t>
      </w:r>
    </w:p>
    <w:p w14:paraId="265BBF5A">
      <w:pPr>
        <w:pStyle w:val="4"/>
        <w:pageBreakBefore/>
        <w:spacing w:before="0" w:after="0" w:line="360" w:lineRule="auto"/>
        <w:jc w:val="center"/>
        <w:rPr>
          <w:rFonts w:hint="eastAsia" w:ascii="宋体" w:hAnsi="宋体" w:eastAsia="宋体" w:cs="宋体"/>
          <w:bCs/>
          <w:color w:val="000000" w:themeColor="text1"/>
          <w:spacing w:val="-11"/>
          <w:sz w:val="24"/>
          <w:szCs w:val="24"/>
          <w:highlight w:val="none"/>
          <w14:textFill>
            <w14:solidFill>
              <w14:schemeClr w14:val="tx1"/>
            </w14:solidFill>
          </w14:textFill>
        </w:rPr>
      </w:pPr>
      <w:r>
        <w:rPr>
          <w:rFonts w:hint="eastAsia" w:ascii="宋体" w:hAnsi="宋体" w:eastAsia="宋体" w:cs="宋体"/>
          <w:bCs/>
          <w:color w:val="000000" w:themeColor="text1"/>
          <w:spacing w:val="-11"/>
          <w:sz w:val="24"/>
          <w:szCs w:val="24"/>
          <w:highlight w:val="none"/>
          <w14:textFill>
            <w14:solidFill>
              <w14:schemeClr w14:val="tx1"/>
            </w14:solidFill>
          </w14:textFill>
        </w:rPr>
        <w:t>第四篇</w:t>
      </w:r>
      <w:r>
        <w:rPr>
          <w:rFonts w:hint="eastAsia" w:ascii="宋体" w:hAnsi="宋体" w:eastAsia="宋体" w:cs="宋体"/>
          <w:bCs/>
          <w:color w:val="000000" w:themeColor="text1"/>
          <w:spacing w:val="-11"/>
          <w:sz w:val="24"/>
          <w:szCs w:val="24"/>
          <w:highlight w:val="none"/>
          <w:lang w:val="en-US" w:eastAsia="zh-CN"/>
          <w14:textFill>
            <w14:solidFill>
              <w14:schemeClr w14:val="tx1"/>
            </w14:solidFill>
          </w14:textFill>
        </w:rPr>
        <w:t xml:space="preserve"> </w:t>
      </w:r>
      <w:r>
        <w:rPr>
          <w:rFonts w:hint="eastAsia" w:ascii="宋体" w:hAnsi="宋体" w:eastAsia="宋体" w:cs="宋体"/>
          <w:bCs/>
          <w:color w:val="000000" w:themeColor="text1"/>
          <w:spacing w:val="-11"/>
          <w:sz w:val="24"/>
          <w:szCs w:val="24"/>
          <w:highlight w:val="none"/>
          <w14:textFill>
            <w14:solidFill>
              <w14:schemeClr w14:val="tx1"/>
            </w14:solidFill>
          </w14:textFill>
        </w:rPr>
        <w:t>网上竞采程序及方法、评审标准、响应无效和采购终止</w:t>
      </w:r>
    </w:p>
    <w:p w14:paraId="215AF2F7">
      <w:pPr>
        <w:pStyle w:val="5"/>
        <w:spacing w:before="0" w:after="0" w:line="360" w:lineRule="auto"/>
        <w:rPr>
          <w:rFonts w:hint="eastAsia" w:ascii="宋体" w:hAnsi="宋体" w:eastAsia="宋体" w:cs="宋体"/>
          <w:color w:val="000000" w:themeColor="text1"/>
          <w:sz w:val="24"/>
          <w:szCs w:val="24"/>
          <w:highlight w:val="none"/>
          <w14:textFill>
            <w14:solidFill>
              <w14:schemeClr w14:val="tx1"/>
            </w14:solidFill>
          </w14:textFill>
        </w:rPr>
      </w:pPr>
      <w:bookmarkStart w:id="192" w:name="_Toc18690"/>
      <w:r>
        <w:rPr>
          <w:rFonts w:hint="eastAsia" w:ascii="宋体" w:hAnsi="宋体" w:eastAsia="宋体" w:cs="宋体"/>
          <w:color w:val="000000" w:themeColor="text1"/>
          <w:sz w:val="24"/>
          <w:szCs w:val="24"/>
          <w:highlight w:val="none"/>
          <w14:textFill>
            <w14:solidFill>
              <w14:schemeClr w14:val="tx1"/>
            </w14:solidFill>
          </w14:textFill>
        </w:rPr>
        <w:t>一、网上竞采程序及方法</w:t>
      </w:r>
      <w:bookmarkEnd w:id="192"/>
    </w:p>
    <w:p w14:paraId="71702F1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（一）评审小组对各供应商的资格条件、响应文件的有效性、完整性和响应程度进行审查。各供应商只有在完全符合要求的前提下，才能参与正式网上竞采。</w:t>
      </w:r>
    </w:p>
    <w:p w14:paraId="0DDC530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1.资格性检查。依据法律法规和网上竞采文件的规定，对响应文件中的资格证明进行审查，以确定供应商是否具备网上竞采资格。资格性检查资料表如下：</w:t>
      </w:r>
    </w:p>
    <w:tbl>
      <w:tblPr>
        <w:tblStyle w:val="62"/>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3AF3A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2C869081">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4394" w:type="dxa"/>
            <w:gridSpan w:val="2"/>
            <w:vAlign w:val="center"/>
          </w:tcPr>
          <w:p w14:paraId="7D90338F">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检查因素</w:t>
            </w:r>
          </w:p>
        </w:tc>
        <w:tc>
          <w:tcPr>
            <w:tcW w:w="4558" w:type="dxa"/>
            <w:vAlign w:val="center"/>
          </w:tcPr>
          <w:p w14:paraId="4D959B58">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检查内容</w:t>
            </w:r>
          </w:p>
        </w:tc>
      </w:tr>
      <w:tr w14:paraId="07C5B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atLeast"/>
        </w:trPr>
        <w:tc>
          <w:tcPr>
            <w:tcW w:w="676" w:type="dxa"/>
            <w:vMerge w:val="restart"/>
            <w:vAlign w:val="center"/>
          </w:tcPr>
          <w:p w14:paraId="0EA6AEF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709" w:type="dxa"/>
            <w:vMerge w:val="restart"/>
            <w:vAlign w:val="center"/>
          </w:tcPr>
          <w:p w14:paraId="7AF3C401">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w:t>
            </w:r>
            <w:r>
              <w:rPr>
                <w:rFonts w:hint="eastAsia" w:ascii="宋体" w:hAnsi="宋体" w:eastAsia="宋体" w:cs="宋体"/>
                <w:color w:val="000000" w:themeColor="text1"/>
                <w:sz w:val="24"/>
                <w:szCs w:val="24"/>
                <w:highlight w:val="none"/>
                <w:lang w:val="zh-CN" w:eastAsia="zh-CN"/>
                <w14:textFill>
                  <w14:solidFill>
                    <w14:schemeClr w14:val="tx1"/>
                  </w14:solidFill>
                </w14:textFill>
              </w:rPr>
              <w:t>应符合的基本资格条件</w:t>
            </w:r>
          </w:p>
        </w:tc>
        <w:tc>
          <w:tcPr>
            <w:tcW w:w="3685" w:type="dxa"/>
            <w:vAlign w:val="center"/>
          </w:tcPr>
          <w:p w14:paraId="5A74ECA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w:t>
            </w:r>
          </w:p>
        </w:tc>
        <w:tc>
          <w:tcPr>
            <w:tcW w:w="4558" w:type="dxa"/>
            <w:vAlign w:val="center"/>
          </w:tcPr>
          <w:p w14:paraId="5095E23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供应商法人营业执照（副本）或事业单位法人证书（副本）或个体工商户营业执照或有效的自然人身份证明、组织机构代码证复印件（注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4D8ECFA7">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供应商法定代表人身份证明和法定代表人授权代表委托书。</w:t>
            </w:r>
          </w:p>
        </w:tc>
      </w:tr>
      <w:tr w14:paraId="141D5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676" w:type="dxa"/>
            <w:vMerge w:val="continue"/>
            <w:vAlign w:val="center"/>
          </w:tcPr>
          <w:p w14:paraId="666EC5B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F2E9C2A">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A9CDF9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（2）</w:t>
            </w:r>
            <w:r>
              <w:rPr>
                <w:rFonts w:hint="eastAsia" w:ascii="宋体" w:hAnsi="宋体" w:eastAsia="宋体" w:cs="宋体"/>
                <w:color w:val="000000" w:themeColor="text1"/>
                <w:sz w:val="24"/>
                <w:szCs w:val="24"/>
                <w:highlight w:val="none"/>
                <w:lang w:val="en-US" w:eastAsia="zh-CN"/>
                <w14:textFill>
                  <w14:solidFill>
                    <w14:schemeClr w14:val="tx1"/>
                  </w14:solidFill>
                </w14:textFill>
              </w:rPr>
              <w:t>具有良好的商业信誉和健全的财务会计制度</w:t>
            </w:r>
          </w:p>
        </w:tc>
        <w:tc>
          <w:tcPr>
            <w:tcW w:w="4558" w:type="dxa"/>
            <w:vMerge w:val="restart"/>
            <w:vAlign w:val="center"/>
          </w:tcPr>
          <w:p w14:paraId="5172F48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供应商提供基本资格条件承诺函。（格式详见第七篇）</w:t>
            </w:r>
          </w:p>
        </w:tc>
      </w:tr>
      <w:tr w14:paraId="33E79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676" w:type="dxa"/>
            <w:vMerge w:val="continue"/>
            <w:vAlign w:val="center"/>
          </w:tcPr>
          <w:p w14:paraId="3899D1B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045A2F05">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288249AA">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（3）具有履行合同所必需的设备和专业技术能力</w:t>
            </w:r>
          </w:p>
        </w:tc>
        <w:tc>
          <w:tcPr>
            <w:tcW w:w="4558" w:type="dxa"/>
            <w:vMerge w:val="continue"/>
            <w:vAlign w:val="center"/>
          </w:tcPr>
          <w:p w14:paraId="50E69E4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5D15B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676" w:type="dxa"/>
            <w:vMerge w:val="continue"/>
            <w:vAlign w:val="center"/>
          </w:tcPr>
          <w:p w14:paraId="154AD1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44512EE">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DAD6E62">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（4）有依法缴纳税收和社会保障金的良好记录</w:t>
            </w:r>
          </w:p>
        </w:tc>
        <w:tc>
          <w:tcPr>
            <w:tcW w:w="4558" w:type="dxa"/>
            <w:vMerge w:val="continue"/>
            <w:vAlign w:val="center"/>
          </w:tcPr>
          <w:p w14:paraId="3B762BF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31C65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76" w:type="dxa"/>
            <w:vMerge w:val="continue"/>
            <w:vAlign w:val="center"/>
          </w:tcPr>
          <w:p w14:paraId="528E6A5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59C48B07">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5AF36850">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（5）参加政府采购活动前三年内，在经营活动中没有重大违法记录（注</w: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tc>
        <w:tc>
          <w:tcPr>
            <w:tcW w:w="4558" w:type="dxa"/>
            <w:vMerge w:val="continue"/>
            <w:vAlign w:val="center"/>
          </w:tcPr>
          <w:p w14:paraId="7B82591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10EF8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676" w:type="dxa"/>
            <w:vMerge w:val="continue"/>
            <w:vAlign w:val="center"/>
          </w:tcPr>
          <w:p w14:paraId="6BB5E89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709" w:type="dxa"/>
            <w:vMerge w:val="continue"/>
            <w:vAlign w:val="center"/>
          </w:tcPr>
          <w:p w14:paraId="666DF826">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3685" w:type="dxa"/>
            <w:vAlign w:val="center"/>
          </w:tcPr>
          <w:p w14:paraId="171C23B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（6）法律、行政法规规定的其他条件</w:t>
            </w:r>
          </w:p>
        </w:tc>
        <w:tc>
          <w:tcPr>
            <w:tcW w:w="4558" w:type="dxa"/>
            <w:vAlign w:val="center"/>
          </w:tcPr>
          <w:p w14:paraId="281C33C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448D6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676" w:type="dxa"/>
            <w:vAlign w:val="center"/>
          </w:tcPr>
          <w:p w14:paraId="58F7075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4394" w:type="dxa"/>
            <w:gridSpan w:val="2"/>
            <w:vAlign w:val="center"/>
          </w:tcPr>
          <w:p w14:paraId="2CB5218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落实政府采购政策需满足的资格要求</w:t>
            </w:r>
          </w:p>
        </w:tc>
        <w:tc>
          <w:tcPr>
            <w:tcW w:w="4558" w:type="dxa"/>
            <w:vAlign w:val="center"/>
          </w:tcPr>
          <w:p w14:paraId="10C5126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按第一篇“三、供应商资格条件（二）落实政府采购政策需满足的资格要求”的要求提交（如果有）。</w:t>
            </w:r>
          </w:p>
        </w:tc>
      </w:tr>
      <w:tr w14:paraId="4E8C0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6" w:type="dxa"/>
            <w:vAlign w:val="center"/>
          </w:tcPr>
          <w:p w14:paraId="0BB6E14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4394" w:type="dxa"/>
            <w:gridSpan w:val="2"/>
            <w:vAlign w:val="center"/>
          </w:tcPr>
          <w:p w14:paraId="1663955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特定资格条件</w:t>
            </w:r>
          </w:p>
        </w:tc>
        <w:tc>
          <w:tcPr>
            <w:tcW w:w="4558" w:type="dxa"/>
            <w:vAlign w:val="center"/>
          </w:tcPr>
          <w:p w14:paraId="04BB447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按第一篇“三、供应商资格条件（三）特定资格条件”的要求提交（如果有）。</w:t>
            </w:r>
          </w:p>
        </w:tc>
      </w:tr>
    </w:tbl>
    <w:p w14:paraId="69165912">
      <w:pPr>
        <w:snapToGrid w:val="0"/>
        <w:spacing w:line="360" w:lineRule="auto"/>
        <w:ind w:firstLine="480" w:firstLineChars="200"/>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注：</w:t>
      </w:r>
    </w:p>
    <w:p w14:paraId="2B377F6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\o\ac(○,2)</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供应商按“多证合一”登记制度办理营业执照的，组织机构代码证、税务登记证（副本）和社会保险登记证以供应商所提供的营业执照（副本）复印件为准。</w:t>
      </w:r>
    </w:p>
    <w:p w14:paraId="3172EA2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begin"/>
      </w:r>
      <w:r>
        <w:rPr>
          <w:rFonts w:hint="eastAsia" w:ascii="宋体" w:hAnsi="宋体" w:eastAsia="宋体" w:cs="宋体"/>
          <w:color w:val="000000" w:themeColor="text1"/>
          <w:sz w:val="24"/>
          <w:szCs w:val="24"/>
          <w:highlight w:val="none"/>
          <w:lang w:val="en-US" w:eastAsia="zh-CN"/>
          <w14:textFill>
            <w14:solidFill>
              <w14:schemeClr w14:val="tx1"/>
            </w14:solidFill>
          </w14:textFill>
        </w:rPr>
        <w:instrText xml:space="preserve">eq \o\ac(○,3)</w:instrText>
      </w:r>
      <w:r>
        <w:rPr>
          <w:rFonts w:hint="eastAsia" w:ascii="宋体" w:hAnsi="宋体" w:eastAsia="宋体" w:cs="宋体"/>
          <w:color w:val="000000" w:themeColor="text1"/>
          <w:sz w:val="24"/>
          <w:szCs w:val="24"/>
          <w:highlight w:val="none"/>
          <w:lang w:val="en-US" w:eastAsia="zh-CN"/>
          <w14:textFill>
            <w14:solidFill>
              <w14:schemeClr w14:val="tx1"/>
            </w14:solidFill>
          </w14:textFill>
        </w:rPr>
        <w:fldChar w:fldCharType="end"/>
      </w:r>
      <w:r>
        <w:rPr>
          <w:rFonts w:hint="eastAsia" w:ascii="宋体" w:hAnsi="宋体" w:eastAsia="宋体" w:cs="宋体"/>
          <w:color w:val="000000" w:themeColor="text1"/>
          <w:sz w:val="24"/>
          <w:szCs w:val="24"/>
          <w:highlight w:val="none"/>
          <w:lang w:val="en-US" w:eastAsia="zh-CN"/>
          <w14:textFill>
            <w14:solidFill>
              <w14:schemeClr w14:val="tx1"/>
            </w14:solidFill>
          </w14:textFill>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8AAC6C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2.符合性检查。依据网上竞采文件的规定，从响应文件的有效性、完整性和对网上竞采文件的响应程度进行审查，以确定是否对网上竞采文件的实质性要求作出响应。符合性检查资料表如下：</w:t>
      </w:r>
    </w:p>
    <w:tbl>
      <w:tblPr>
        <w:tblStyle w:val="62"/>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206CE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5" w:type="dxa"/>
            <w:vAlign w:val="center"/>
          </w:tcPr>
          <w:p w14:paraId="0BF508E1">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序号</w:t>
            </w:r>
          </w:p>
        </w:tc>
        <w:tc>
          <w:tcPr>
            <w:tcW w:w="3544" w:type="dxa"/>
            <w:gridSpan w:val="2"/>
            <w:vAlign w:val="center"/>
          </w:tcPr>
          <w:p w14:paraId="40246726">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评审因素</w:t>
            </w:r>
          </w:p>
        </w:tc>
        <w:tc>
          <w:tcPr>
            <w:tcW w:w="5409" w:type="dxa"/>
            <w:vAlign w:val="center"/>
          </w:tcPr>
          <w:p w14:paraId="342FF94F">
            <w:pPr>
              <w:spacing w:line="240" w:lineRule="exact"/>
              <w:jc w:val="center"/>
              <w:rPr>
                <w:rFonts w:hint="eastAsia" w:ascii="宋体" w:hAnsi="宋体" w:eastAsia="宋体" w:cs="宋体"/>
                <w:b/>
                <w:color w:val="000000" w:themeColor="text1"/>
                <w:kern w:val="0"/>
                <w:sz w:val="24"/>
                <w:szCs w:val="24"/>
                <w:highlight w:val="none"/>
                <w14:textFill>
                  <w14:solidFill>
                    <w14:schemeClr w14:val="tx1"/>
                  </w14:solidFill>
                </w14:textFill>
              </w:rPr>
            </w:pPr>
            <w:r>
              <w:rPr>
                <w:rFonts w:hint="eastAsia" w:ascii="宋体" w:hAnsi="宋体" w:eastAsia="宋体" w:cs="宋体"/>
                <w:b/>
                <w:color w:val="000000" w:themeColor="text1"/>
                <w:kern w:val="0"/>
                <w:sz w:val="24"/>
                <w:szCs w:val="24"/>
                <w:highlight w:val="none"/>
                <w14:textFill>
                  <w14:solidFill>
                    <w14:schemeClr w14:val="tx1"/>
                  </w14:solidFill>
                </w14:textFill>
              </w:rPr>
              <w:t>评审标准</w:t>
            </w:r>
          </w:p>
        </w:tc>
      </w:tr>
      <w:tr w14:paraId="2D6D1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675" w:type="dxa"/>
            <w:vMerge w:val="restart"/>
            <w:vAlign w:val="center"/>
          </w:tcPr>
          <w:p w14:paraId="2F20574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w:t>
            </w:r>
          </w:p>
        </w:tc>
        <w:tc>
          <w:tcPr>
            <w:tcW w:w="1560" w:type="dxa"/>
            <w:vMerge w:val="restart"/>
            <w:vAlign w:val="center"/>
          </w:tcPr>
          <w:p w14:paraId="5C3B23BC">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有效性审查</w:t>
            </w:r>
          </w:p>
        </w:tc>
        <w:tc>
          <w:tcPr>
            <w:tcW w:w="1984" w:type="dxa"/>
            <w:vAlign w:val="center"/>
          </w:tcPr>
          <w:p w14:paraId="694822A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响应文件签署</w:t>
            </w:r>
          </w:p>
        </w:tc>
        <w:tc>
          <w:tcPr>
            <w:tcW w:w="5409" w:type="dxa"/>
            <w:vAlign w:val="center"/>
          </w:tcPr>
          <w:p w14:paraId="2D69005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网上电子文档及响应文件上法定代表人或其授权代表人的签字齐全。</w:t>
            </w:r>
          </w:p>
        </w:tc>
      </w:tr>
      <w:tr w14:paraId="32814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675" w:type="dxa"/>
            <w:vMerge w:val="continue"/>
            <w:vAlign w:val="center"/>
          </w:tcPr>
          <w:p w14:paraId="24ADA4A5">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1FB5252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62D88BA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w:t>
            </w:r>
          </w:p>
        </w:tc>
        <w:tc>
          <w:tcPr>
            <w:tcW w:w="5409" w:type="dxa"/>
            <w:vAlign w:val="center"/>
          </w:tcPr>
          <w:p w14:paraId="4DB21D2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法定代表人身份证明及授权委托书有效，符合网上竞采文件规定的格式，签字或盖章齐全。</w:t>
            </w:r>
          </w:p>
        </w:tc>
      </w:tr>
      <w:tr w14:paraId="3678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675" w:type="dxa"/>
            <w:vMerge w:val="continue"/>
            <w:vAlign w:val="center"/>
          </w:tcPr>
          <w:p w14:paraId="0C5DF1E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4715EBE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0A45D27C">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c>
          <w:tcPr>
            <w:tcW w:w="5409" w:type="dxa"/>
            <w:vAlign w:val="center"/>
          </w:tcPr>
          <w:p w14:paraId="3A9ADAF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每个分包只能有一个</w:t>
            </w: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方案。</w:t>
            </w:r>
          </w:p>
        </w:tc>
      </w:tr>
      <w:tr w14:paraId="4B8D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751D67DE">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2172259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984" w:type="dxa"/>
            <w:vAlign w:val="center"/>
          </w:tcPr>
          <w:p w14:paraId="0E6D162F">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报价唯一</w:t>
            </w:r>
          </w:p>
        </w:tc>
        <w:tc>
          <w:tcPr>
            <w:tcW w:w="5409" w:type="dxa"/>
            <w:vAlign w:val="center"/>
          </w:tcPr>
          <w:p w14:paraId="2BC3B72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zh-CN" w:eastAsia="zh-CN"/>
                <w14:textFill>
                  <w14:solidFill>
                    <w14:schemeClr w14:val="tx1"/>
                  </w14:solidFill>
                </w14:textFill>
              </w:rPr>
              <w:t>只能在采购预算范围内报价，</w:t>
            </w:r>
            <w:r>
              <w:rPr>
                <w:rFonts w:hint="eastAsia" w:ascii="宋体" w:hAnsi="宋体" w:eastAsia="宋体" w:cs="宋体"/>
                <w:color w:val="000000" w:themeColor="text1"/>
                <w:sz w:val="24"/>
                <w:szCs w:val="24"/>
                <w:highlight w:val="none"/>
                <w:lang w:val="en-US" w:eastAsia="zh-CN"/>
                <w14:textFill>
                  <w14:solidFill>
                    <w14:schemeClr w14:val="tx1"/>
                  </w14:solidFill>
                </w14:textFill>
              </w:rPr>
              <w:t>只能有一个有效报价，不得提交选择性报价。</w:t>
            </w:r>
          </w:p>
        </w:tc>
      </w:tr>
      <w:tr w14:paraId="7753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14:paraId="22B551F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w:t>
            </w:r>
          </w:p>
        </w:tc>
        <w:tc>
          <w:tcPr>
            <w:tcW w:w="1560" w:type="dxa"/>
            <w:vAlign w:val="center"/>
          </w:tcPr>
          <w:p w14:paraId="1B55021C">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完整性审查</w:t>
            </w:r>
          </w:p>
        </w:tc>
        <w:tc>
          <w:tcPr>
            <w:tcW w:w="1984" w:type="dxa"/>
            <w:vAlign w:val="center"/>
          </w:tcPr>
          <w:p w14:paraId="4692E7A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文件份数</w:t>
            </w:r>
          </w:p>
        </w:tc>
        <w:tc>
          <w:tcPr>
            <w:tcW w:w="5409" w:type="dxa"/>
            <w:vAlign w:val="center"/>
          </w:tcPr>
          <w:p w14:paraId="151200C2">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文件数量符合</w:t>
            </w: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w:t>
            </w:r>
            <w:r>
              <w:rPr>
                <w:rFonts w:hint="eastAsia" w:ascii="宋体" w:hAnsi="宋体" w:eastAsia="宋体" w:cs="宋体"/>
                <w:color w:val="000000" w:themeColor="text1"/>
                <w:sz w:val="24"/>
                <w:szCs w:val="24"/>
                <w:highlight w:val="none"/>
                <w:lang w:val="zh-CN" w:eastAsia="zh-CN"/>
                <w14:textFill>
                  <w14:solidFill>
                    <w14:schemeClr w14:val="tx1"/>
                  </w14:solidFill>
                </w14:textFill>
              </w:rPr>
              <w:t>文件要求。</w:t>
            </w:r>
          </w:p>
        </w:tc>
      </w:tr>
      <w:tr w14:paraId="2D6A0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675" w:type="dxa"/>
            <w:vMerge w:val="restart"/>
            <w:vAlign w:val="center"/>
          </w:tcPr>
          <w:p w14:paraId="5BF4FCB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p>
        </w:tc>
        <w:tc>
          <w:tcPr>
            <w:tcW w:w="1560" w:type="dxa"/>
            <w:vMerge w:val="restart"/>
            <w:vAlign w:val="center"/>
          </w:tcPr>
          <w:p w14:paraId="708347E2">
            <w:pPr>
              <w:spacing w:line="360" w:lineRule="auto"/>
              <w:rPr>
                <w:rFonts w:hint="eastAsia" w:ascii="宋体" w:hAnsi="宋体" w:eastAsia="宋体" w:cs="宋体"/>
                <w:color w:val="000000" w:themeColor="text1"/>
                <w:sz w:val="24"/>
                <w:szCs w:val="24"/>
                <w:highlight w:val="none"/>
                <w:lang w:val="zh-CN"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网上竞采文件的响应程度审查</w:t>
            </w:r>
          </w:p>
        </w:tc>
        <w:tc>
          <w:tcPr>
            <w:tcW w:w="1984" w:type="dxa"/>
            <w:vAlign w:val="center"/>
          </w:tcPr>
          <w:p w14:paraId="7871AC2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响应文件内容</w:t>
            </w:r>
          </w:p>
        </w:tc>
        <w:tc>
          <w:tcPr>
            <w:tcW w:w="5409" w:type="dxa"/>
            <w:vAlign w:val="center"/>
          </w:tcPr>
          <w:p w14:paraId="39BA6226">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对网上竞采文件第二篇、第三篇规定的网上竞采内容作出响应。</w:t>
            </w:r>
          </w:p>
        </w:tc>
      </w:tr>
      <w:tr w14:paraId="5A3A0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75" w:type="dxa"/>
            <w:vMerge w:val="continue"/>
            <w:vAlign w:val="center"/>
          </w:tcPr>
          <w:p w14:paraId="1168565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c>
          <w:tcPr>
            <w:tcW w:w="1560" w:type="dxa"/>
            <w:vMerge w:val="continue"/>
            <w:vAlign w:val="center"/>
          </w:tcPr>
          <w:p w14:paraId="67C9B73A">
            <w:pPr>
              <w:spacing w:line="360" w:lineRule="auto"/>
              <w:ind w:firstLine="240" w:firstLineChars="100"/>
              <w:rPr>
                <w:rFonts w:hint="eastAsia" w:ascii="宋体" w:hAnsi="宋体" w:eastAsia="宋体" w:cs="宋体"/>
                <w:color w:val="000000" w:themeColor="text1"/>
                <w:sz w:val="24"/>
                <w:szCs w:val="24"/>
                <w:highlight w:val="none"/>
                <w:lang w:val="zh-CN" w:eastAsia="zh-CN"/>
                <w14:textFill>
                  <w14:solidFill>
                    <w14:schemeClr w14:val="tx1"/>
                  </w14:solidFill>
                </w14:textFill>
              </w:rPr>
            </w:pPr>
          </w:p>
        </w:tc>
        <w:tc>
          <w:tcPr>
            <w:tcW w:w="1984" w:type="dxa"/>
            <w:vAlign w:val="center"/>
          </w:tcPr>
          <w:p w14:paraId="74112612">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网上竞采有效期</w:t>
            </w:r>
          </w:p>
        </w:tc>
        <w:tc>
          <w:tcPr>
            <w:tcW w:w="5409" w:type="dxa"/>
            <w:vAlign w:val="center"/>
          </w:tcPr>
          <w:p w14:paraId="1D52392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满足网上竞采文件</w:t>
            </w:r>
            <w:r>
              <w:rPr>
                <w:rFonts w:hint="eastAsia" w:ascii="宋体" w:hAnsi="宋体" w:eastAsia="宋体" w:cs="宋体"/>
                <w:color w:val="000000" w:themeColor="text1"/>
                <w:sz w:val="24"/>
                <w:szCs w:val="24"/>
                <w:highlight w:val="none"/>
                <w:lang w:val="zh-CN" w:eastAsia="zh-CN"/>
                <w14:textFill>
                  <w14:solidFill>
                    <w14:schemeClr w14:val="tx1"/>
                  </w14:solidFill>
                </w14:textFill>
              </w:rPr>
              <w:t>规定。</w:t>
            </w:r>
          </w:p>
        </w:tc>
      </w:tr>
    </w:tbl>
    <w:p w14:paraId="332669D9">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A830D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4D048B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（三）评审的依据为网上竞采文件和响应文件（含有效的补充文件）。评审小组判断响应文件对网上竞采文件的响应，仅基于响应文件本身而不靠外部证据。</w:t>
      </w:r>
    </w:p>
    <w:p w14:paraId="40A57069">
      <w:pPr>
        <w:pStyle w:val="5"/>
        <w:spacing w:before="0" w:after="0" w:line="360" w:lineRule="auto"/>
        <w:rPr>
          <w:rFonts w:hint="eastAsia" w:ascii="宋体" w:hAnsi="宋体" w:cs="宋体"/>
          <w:color w:val="000000" w:themeColor="text1"/>
          <w:sz w:val="24"/>
          <w:szCs w:val="24"/>
          <w:highlight w:val="none"/>
          <w:lang w:val="en-US" w:eastAsia="zh-CN"/>
          <w14:textFill>
            <w14:solidFill>
              <w14:schemeClr w14:val="tx1"/>
            </w14:solidFill>
          </w14:textFill>
        </w:rPr>
      </w:pPr>
      <w:bookmarkStart w:id="193" w:name="_Toc18411"/>
      <w:r>
        <w:rPr>
          <w:rFonts w:hint="eastAsia" w:ascii="宋体" w:hAnsi="宋体" w:cs="宋体"/>
          <w:color w:val="000000" w:themeColor="text1"/>
          <w:sz w:val="24"/>
          <w:szCs w:val="24"/>
          <w:highlight w:val="none"/>
          <w:lang w:val="en-US" w:eastAsia="zh-CN"/>
          <w14:textFill>
            <w14:solidFill>
              <w14:schemeClr w14:val="tx1"/>
            </w14:solidFill>
          </w14:textFill>
        </w:rPr>
        <w:t>二、评标方法</w:t>
      </w:r>
    </w:p>
    <w:p w14:paraId="0F69535F">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本项目采用综合评估法进行评标。</w:t>
      </w:r>
    </w:p>
    <w:p w14:paraId="6A5851D8">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综合评分法，是指响应文件满足竞采文件全部实质性要求且按照评审因素的量化指标评审得分最高的供应商为成交供应商的评标方法。供应商总得分为价格、技术</w:t>
      </w:r>
      <w:r>
        <w:rPr>
          <w:rFonts w:hint="eastAsia" w:ascii="宋体" w:hAnsi="宋体" w:cs="宋体"/>
          <w:color w:val="000000" w:themeColor="text1"/>
          <w:sz w:val="24"/>
          <w:szCs w:val="24"/>
          <w:highlight w:val="none"/>
          <w:lang w:val="en-US" w:eastAsia="zh-CN"/>
          <w14:textFill>
            <w14:solidFill>
              <w14:schemeClr w14:val="tx1"/>
            </w14:solidFill>
          </w14:textFill>
        </w:rPr>
        <w:t>方案</w:t>
      </w:r>
      <w:r>
        <w:rPr>
          <w:rFonts w:hint="eastAsia" w:ascii="宋体" w:hAnsi="宋体" w:eastAsia="宋体" w:cs="宋体"/>
          <w:color w:val="000000" w:themeColor="text1"/>
          <w:sz w:val="24"/>
          <w:szCs w:val="24"/>
          <w:highlight w:val="none"/>
          <w:lang w:val="en-US" w:eastAsia="zh-CN"/>
          <w14:textFill>
            <w14:solidFill>
              <w14:schemeClr w14:val="tx1"/>
            </w14:solidFill>
          </w14:textFill>
        </w:rPr>
        <w:t>等评定因素分别按照相应权重值计算分项得分后相加，满分为100分。</w:t>
      </w:r>
    </w:p>
    <w:p w14:paraId="57BD466A">
      <w:pPr>
        <w:snapToGrid w:val="0"/>
        <w:spacing w:line="400" w:lineRule="exact"/>
        <w:ind w:firstLine="482" w:firstLineChars="200"/>
        <w:outlineLvl w:val="2"/>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3B4C894D">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（一）比较与评价。按竞采文件中规定的评标方法和标准，对资格审查和符合性审查合格的响应文件进行商务和技术评估。</w:t>
      </w:r>
    </w:p>
    <w:p w14:paraId="26946A3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评审小组各成员独立对每个有效供应商（通过资格审查、符合性审查的供应商）的响应文件进行评价、打分，然后由评审小组对各成员打分情况进行核查及复核，个别成员对同一供应商同一评分项的打分偏离较大的，应对供应商的响应文件进行再次核对，确属打分有误的，应及时进行修正。复核后，评审小组汇总每个供应商每项评分因素的得分。</w:t>
      </w:r>
    </w:p>
    <w:p w14:paraId="639AC58B">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（二）关于技术（质量）、商务偏离</w:t>
      </w:r>
    </w:p>
    <w:p w14:paraId="25E36211">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1.电子投标文件投标应答有一条及以上不满足招标文件“第二篇 项目技术需求”要求的，供应商将失去成为成交供应商的资格；</w:t>
      </w:r>
    </w:p>
    <w:p w14:paraId="3756A4B3">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2.电子投标文件投标应答有一条及以上不满足招标文件“第三篇 项目商务需求”要求的，供应商将失去成为成交供应商的资格；</w:t>
      </w:r>
    </w:p>
    <w:p w14:paraId="52CE236A">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 评审小组认为供应商的报价明显低于其他通过符合性审查供应商的报价，有可能影响质量或者不能诚信履约的，应当要求其在评标现场合理的时间内在线提供书面说明，必要时提交相关证明材料电子档（PDF格式）；供应商不能证明其报价合理性的，评审小组应当将其作为无效投标处理。</w:t>
      </w:r>
    </w:p>
    <w:p w14:paraId="5463E630">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（三）推荐成交供应商名单。</w:t>
      </w:r>
    </w:p>
    <w:p w14:paraId="09302E8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按评审后得分由高到低的排列顺序推荐综合得分排名前三的供应商为本包（项目）成交供应商，排名第一的为第一成交供应商。得分相同的，按投标报价由低到高顺序排列。得分且投标报价相同的由评审小组随机抽取的方式进行排列。不推荐技术（质量）部分得分为0分的供应商成为成交供应商。</w:t>
      </w:r>
    </w:p>
    <w:bookmarkEnd w:id="193"/>
    <w:p w14:paraId="6D7ACDF5">
      <w:pPr>
        <w:pStyle w:val="4"/>
        <w:spacing w:line="400" w:lineRule="exact"/>
        <w:ind w:firstLine="482" w:firstLineChars="200"/>
        <w:rPr>
          <w:rFonts w:hint="eastAsia" w:ascii="宋体" w:hAnsi="宋体" w:eastAsia="宋体" w:cs="宋体"/>
          <w:b/>
          <w:sz w:val="24"/>
          <w:szCs w:val="24"/>
          <w:highlight w:val="none"/>
        </w:rPr>
      </w:pPr>
      <w:bookmarkStart w:id="194" w:name="_Toc342913394"/>
      <w:bookmarkStart w:id="195" w:name="_Toc102227320"/>
      <w:r>
        <w:rPr>
          <w:rFonts w:hint="eastAsia" w:ascii="宋体" w:hAnsi="宋体" w:eastAsia="宋体" w:cs="宋体"/>
          <w:b/>
          <w:sz w:val="24"/>
          <w:szCs w:val="24"/>
          <w:highlight w:val="none"/>
          <w:lang w:val="en-US" w:eastAsia="zh-CN"/>
        </w:rPr>
        <w:t>三、</w:t>
      </w:r>
      <w:r>
        <w:rPr>
          <w:rFonts w:hint="eastAsia" w:ascii="宋体" w:hAnsi="宋体" w:eastAsia="宋体" w:cs="宋体"/>
          <w:b/>
          <w:sz w:val="24"/>
          <w:szCs w:val="24"/>
          <w:highlight w:val="none"/>
        </w:rPr>
        <w:t>评标标准</w:t>
      </w:r>
    </w:p>
    <w:p w14:paraId="1D03E0B0">
      <w:pPr>
        <w:snapToGrid w:val="0"/>
        <w:spacing w:line="400" w:lineRule="exact"/>
        <w:ind w:firstLine="482" w:firstLineChars="200"/>
        <w:rPr>
          <w:rFonts w:hint="eastAsia" w:ascii="宋体" w:hAnsi="宋体" w:eastAsia="宋体" w:cs="宋体"/>
          <w:b/>
          <w:sz w:val="24"/>
          <w:szCs w:val="24"/>
          <w:highlight w:val="none"/>
        </w:rPr>
      </w:pPr>
      <w:r>
        <w:rPr>
          <w:rFonts w:hint="eastAsia" w:ascii="宋体" w:hAnsi="宋体" w:eastAsia="宋体" w:cs="宋体"/>
          <w:b/>
          <w:sz w:val="24"/>
          <w:szCs w:val="24"/>
          <w:highlight w:val="none"/>
        </w:rPr>
        <w:t>（综合评分法：）</w:t>
      </w:r>
    </w:p>
    <w:p w14:paraId="7FF0E806">
      <w:pPr>
        <w:snapToGrid w:val="0"/>
        <w:spacing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评审因素</w:t>
      </w:r>
    </w:p>
    <w:tbl>
      <w:tblPr>
        <w:tblStyle w:val="62"/>
        <w:tblW w:w="10231" w:type="dxa"/>
        <w:tblInd w:w="-2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1104"/>
        <w:gridCol w:w="719"/>
        <w:gridCol w:w="6464"/>
        <w:gridCol w:w="1440"/>
      </w:tblGrid>
      <w:tr w14:paraId="2470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504" w:type="dxa"/>
            <w:vAlign w:val="center"/>
          </w:tcPr>
          <w:p w14:paraId="546D5004">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04" w:type="dxa"/>
            <w:vAlign w:val="center"/>
          </w:tcPr>
          <w:p w14:paraId="78E9E0D2">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评分因素</w:t>
            </w:r>
          </w:p>
          <w:p w14:paraId="173A0F56">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及权重</w:t>
            </w:r>
          </w:p>
        </w:tc>
        <w:tc>
          <w:tcPr>
            <w:tcW w:w="719" w:type="dxa"/>
            <w:vAlign w:val="center"/>
          </w:tcPr>
          <w:p w14:paraId="0F88F477">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6464" w:type="dxa"/>
            <w:vAlign w:val="center"/>
          </w:tcPr>
          <w:p w14:paraId="7B57F73C">
            <w:pPr>
              <w:ind w:firstLine="28"/>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c>
          <w:tcPr>
            <w:tcW w:w="1440" w:type="dxa"/>
            <w:vAlign w:val="center"/>
          </w:tcPr>
          <w:p w14:paraId="13090AC2">
            <w:pPr>
              <w:pStyle w:val="234"/>
              <w:spacing w:before="0" w:after="0" w:line="24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说明</w:t>
            </w:r>
          </w:p>
        </w:tc>
      </w:tr>
      <w:tr w14:paraId="34677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Align w:val="center"/>
          </w:tcPr>
          <w:p w14:paraId="26BE6DDB">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1</w:t>
            </w:r>
          </w:p>
        </w:tc>
        <w:tc>
          <w:tcPr>
            <w:tcW w:w="1104" w:type="dxa"/>
            <w:vAlign w:val="center"/>
          </w:tcPr>
          <w:p w14:paraId="7733A09A">
            <w:pPr>
              <w:spacing w:line="36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w:t>
            </w:r>
          </w:p>
        </w:tc>
        <w:tc>
          <w:tcPr>
            <w:tcW w:w="719" w:type="dxa"/>
            <w:vAlign w:val="center"/>
          </w:tcPr>
          <w:p w14:paraId="4C057ADF">
            <w:pPr>
              <w:spacing w:line="360" w:lineRule="exact"/>
              <w:jc w:val="cente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6464" w:type="dxa"/>
            <w:vAlign w:val="center"/>
          </w:tcPr>
          <w:p w14:paraId="6C3AEE91">
            <w:pP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有效的投标报价中的最低价为评标基准价，按照下列公式计算每个</w:t>
            </w:r>
            <w:r>
              <w:rPr>
                <w:rFonts w:hint="eastAsia" w:ascii="仿宋" w:hAnsi="仿宋" w:eastAsia="仿宋" w:cs="仿宋"/>
                <w:color w:val="000000" w:themeColor="text1"/>
                <w:sz w:val="24"/>
                <w:szCs w:val="24"/>
                <w:highlight w:val="none"/>
                <w:lang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的投标价格得分。</w:t>
            </w:r>
          </w:p>
          <w:p w14:paraId="3C5D6DD0">
            <w:pPr>
              <w:spacing w:line="36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投标报价得分＝（评标基准价/投标报价）×价格权重×100。</w:t>
            </w:r>
          </w:p>
        </w:tc>
        <w:tc>
          <w:tcPr>
            <w:tcW w:w="1440" w:type="dxa"/>
            <w:vAlign w:val="center"/>
          </w:tcPr>
          <w:p w14:paraId="3BD41CE4">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r w14:paraId="0552A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504" w:type="dxa"/>
            <w:vMerge w:val="restart"/>
            <w:vAlign w:val="center"/>
          </w:tcPr>
          <w:p w14:paraId="6A96DA1A">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2</w:t>
            </w:r>
          </w:p>
        </w:tc>
        <w:tc>
          <w:tcPr>
            <w:tcW w:w="1104" w:type="dxa"/>
            <w:vMerge w:val="restart"/>
            <w:vAlign w:val="center"/>
          </w:tcPr>
          <w:p w14:paraId="1FE49AC1">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技术部分</w:t>
            </w:r>
          </w:p>
          <w:p w14:paraId="1842669D">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（服务方案）（60%）</w:t>
            </w:r>
          </w:p>
        </w:tc>
        <w:tc>
          <w:tcPr>
            <w:tcW w:w="719" w:type="dxa"/>
            <w:vMerge w:val="restart"/>
            <w:vAlign w:val="center"/>
          </w:tcPr>
          <w:p w14:paraId="52957125">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60分</w:t>
            </w:r>
          </w:p>
        </w:tc>
        <w:tc>
          <w:tcPr>
            <w:tcW w:w="6464" w:type="dxa"/>
            <w:vAlign w:val="center"/>
          </w:tcPr>
          <w:p w14:paraId="624F95FB">
            <w:pPr>
              <w:snapToGrid w:val="0"/>
              <w:spacing w:line="400" w:lineRule="exact"/>
              <w:rPr>
                <w:rFonts w:hint="default"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售后服务</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方案，内容包括但不限于售后人员、响应时间等。</w:t>
            </w:r>
          </w:p>
          <w:p w14:paraId="6127E063">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434C401D">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683A7EE3">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6BFDD36F">
            <w:pPr>
              <w:snapToGrid w:val="0"/>
              <w:spacing w:line="400" w:lineRule="exact"/>
              <w:rPr>
                <w:rFonts w:hint="default"/>
                <w:lang w:val="en-US" w:eastAsia="zh-CN"/>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440" w:type="dxa"/>
            <w:vMerge w:val="restart"/>
            <w:vAlign w:val="center"/>
          </w:tcPr>
          <w:p w14:paraId="773BA5AA">
            <w:pPr>
              <w:keepNext w:val="0"/>
              <w:keepLines w:val="0"/>
              <w:pageBreakBefore w:val="0"/>
              <w:widowControl w:val="0"/>
              <w:kinsoku/>
              <w:wordWrap/>
              <w:overflowPunct/>
              <w:topLinePunct w:val="0"/>
              <w:autoSpaceDE/>
              <w:autoSpaceDN/>
              <w:bidi w:val="0"/>
              <w:adjustRightInd/>
              <w:snapToGrid w:val="0"/>
              <w:spacing w:line="300" w:lineRule="exact"/>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本项内容中所称的“瑕疵”指方案内容缺项、内容表述不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30C1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0" w:hRule="atLeast"/>
        </w:trPr>
        <w:tc>
          <w:tcPr>
            <w:tcW w:w="504" w:type="dxa"/>
            <w:vMerge w:val="continue"/>
            <w:vAlign w:val="center"/>
          </w:tcPr>
          <w:p w14:paraId="32D12E4C">
            <w:pPr>
              <w:snapToGrid w:val="0"/>
              <w:spacing w:line="400" w:lineRule="exact"/>
            </w:pPr>
          </w:p>
        </w:tc>
        <w:tc>
          <w:tcPr>
            <w:tcW w:w="1104" w:type="dxa"/>
            <w:vMerge w:val="continue"/>
            <w:vAlign w:val="center"/>
          </w:tcPr>
          <w:p w14:paraId="0EF094A4">
            <w:pPr>
              <w:snapToGrid w:val="0"/>
              <w:spacing w:line="400" w:lineRule="exact"/>
            </w:pPr>
          </w:p>
        </w:tc>
        <w:tc>
          <w:tcPr>
            <w:tcW w:w="719" w:type="dxa"/>
            <w:vMerge w:val="continue"/>
            <w:vAlign w:val="center"/>
          </w:tcPr>
          <w:p w14:paraId="1452821E">
            <w:pPr>
              <w:snapToGrid w:val="0"/>
              <w:spacing w:line="400" w:lineRule="exact"/>
            </w:pPr>
          </w:p>
        </w:tc>
        <w:tc>
          <w:tcPr>
            <w:tcW w:w="6464" w:type="dxa"/>
            <w:vAlign w:val="center"/>
          </w:tcPr>
          <w:p w14:paraId="0390125B">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供应商应针对本项目提供切实可行的</w:t>
            </w:r>
            <w:r>
              <w:rPr>
                <w:rFonts w:hint="eastAsia" w:ascii="仿宋" w:hAnsi="仿宋" w:eastAsia="仿宋" w:cs="仿宋"/>
                <w:b/>
                <w:bCs/>
                <w:color w:val="000000" w:themeColor="text1"/>
                <w:sz w:val="22"/>
                <w:szCs w:val="22"/>
                <w:highlight w:val="none"/>
                <w:lang w:val="en-US" w:eastAsia="zh-CN"/>
                <w14:textFill>
                  <w14:solidFill>
                    <w14:schemeClr w14:val="tx1"/>
                  </w14:solidFill>
                </w14:textFill>
              </w:rPr>
              <w:t>供货保障</w:t>
            </w:r>
            <w:r>
              <w:rPr>
                <w:rFonts w:hint="eastAsia" w:ascii="仿宋" w:hAnsi="仿宋" w:eastAsia="仿宋" w:cs="仿宋"/>
                <w:color w:val="000000" w:themeColor="text1"/>
                <w:sz w:val="22"/>
                <w:szCs w:val="22"/>
                <w:highlight w:val="none"/>
                <w:lang w:val="en-US" w:eastAsia="zh-CN"/>
                <w14:textFill>
                  <w14:solidFill>
                    <w14:schemeClr w14:val="tx1"/>
                  </w14:solidFill>
                </w14:textFill>
              </w:rPr>
              <w:t>方案，内容包括但不限于计划响应、运输组织、应急处置、保障措施等。</w:t>
            </w:r>
          </w:p>
          <w:p w14:paraId="71EF9EA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0929C66C">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0DEAEE91">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1A08797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440" w:type="dxa"/>
            <w:vMerge w:val="continue"/>
            <w:vAlign w:val="center"/>
          </w:tcPr>
          <w:p w14:paraId="047B531A">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58098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504" w:type="dxa"/>
            <w:vMerge w:val="continue"/>
            <w:vAlign w:val="center"/>
          </w:tcPr>
          <w:p w14:paraId="213DEC17">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1104" w:type="dxa"/>
            <w:vMerge w:val="continue"/>
            <w:vAlign w:val="center"/>
          </w:tcPr>
          <w:p w14:paraId="69DBCB02">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719" w:type="dxa"/>
            <w:vMerge w:val="continue"/>
            <w:vAlign w:val="center"/>
          </w:tcPr>
          <w:p w14:paraId="6D466D6C">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c>
          <w:tcPr>
            <w:tcW w:w="6464" w:type="dxa"/>
            <w:vAlign w:val="center"/>
          </w:tcPr>
          <w:p w14:paraId="06D1E164">
            <w:pPr>
              <w:snapToGrid w:val="0"/>
              <w:spacing w:line="400" w:lineRule="exact"/>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供应商</w:t>
            </w:r>
            <w:r>
              <w:rPr>
                <w:rFonts w:hint="eastAsia" w:ascii="仿宋" w:hAnsi="仿宋" w:eastAsia="仿宋" w:cs="仿宋"/>
                <w:color w:val="000000" w:themeColor="text1"/>
                <w:sz w:val="22"/>
                <w:szCs w:val="22"/>
                <w:highlight w:val="none"/>
                <w14:textFill>
                  <w14:solidFill>
                    <w14:schemeClr w14:val="tx1"/>
                  </w14:solidFill>
                </w14:textFill>
              </w:rPr>
              <w:t>拟定针对本项目提供切实可行</w:t>
            </w:r>
            <w:r>
              <w:rPr>
                <w:rFonts w:hint="eastAsia" w:ascii="仿宋" w:hAnsi="仿宋" w:eastAsia="仿宋" w:cs="仿宋"/>
                <w:b/>
                <w:bCs/>
                <w:color w:val="000000" w:themeColor="text1"/>
                <w:sz w:val="22"/>
                <w:szCs w:val="22"/>
                <w:highlight w:val="none"/>
                <w14:textFill>
                  <w14:solidFill>
                    <w14:schemeClr w14:val="tx1"/>
                  </w14:solidFill>
                </w14:textFill>
              </w:rPr>
              <w:t>培训方案</w:t>
            </w:r>
            <w:r>
              <w:rPr>
                <w:rFonts w:hint="eastAsia" w:ascii="仿宋" w:hAnsi="仿宋" w:eastAsia="仿宋" w:cs="仿宋"/>
                <w:color w:val="000000" w:themeColor="text1"/>
                <w:sz w:val="22"/>
                <w:szCs w:val="22"/>
                <w:highlight w:val="none"/>
                <w14:textFill>
                  <w14:solidFill>
                    <w14:schemeClr w14:val="tx1"/>
                  </w14:solidFill>
                </w14:textFill>
              </w:rPr>
              <w:t>，</w:t>
            </w:r>
            <w:r>
              <w:rPr>
                <w:rFonts w:hint="eastAsia" w:ascii="仿宋" w:hAnsi="仿宋" w:eastAsia="仿宋" w:cs="仿宋"/>
                <w:color w:val="000000" w:themeColor="text1"/>
                <w:sz w:val="22"/>
                <w:szCs w:val="22"/>
                <w:highlight w:val="none"/>
                <w:lang w:val="en-US" w:eastAsia="zh-CN"/>
                <w14:textFill>
                  <w14:solidFill>
                    <w14:schemeClr w14:val="tx1"/>
                  </w14:solidFill>
                </w14:textFill>
              </w:rPr>
              <w:t>内容</w:t>
            </w:r>
            <w:r>
              <w:rPr>
                <w:rFonts w:hint="eastAsia" w:ascii="仿宋" w:hAnsi="仿宋" w:eastAsia="仿宋" w:cs="仿宋"/>
                <w:color w:val="000000" w:themeColor="text1"/>
                <w:sz w:val="22"/>
                <w:szCs w:val="22"/>
                <w:highlight w:val="none"/>
                <w14:textFill>
                  <w14:solidFill>
                    <w14:schemeClr w14:val="tx1"/>
                  </w14:solidFill>
                </w14:textFill>
              </w:rPr>
              <w:t>包含但不限于齐全的培训人员配备情况及服务联系方式，有专人负责本项目的培训指导等措施。</w:t>
            </w:r>
          </w:p>
          <w:p w14:paraId="53160EB7">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1.方案包含上述所有内容的基础上，内容不存在瑕疵的得20分； </w:t>
            </w:r>
          </w:p>
          <w:p w14:paraId="2ACB807F">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 xml:space="preserve">2.方案包含上述所有内容的基础上，内容存在1处瑕疵的得10分； </w:t>
            </w:r>
          </w:p>
          <w:p w14:paraId="6EDFBFC2">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3.方案包含上述所有内容的基础上，内容存在2处瑕疵的得5分；</w:t>
            </w:r>
          </w:p>
          <w:p w14:paraId="68B8F4E5">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4.方案包含上述内容不全或内容存在3处以上瑕疵的或未提供得0分。</w:t>
            </w:r>
          </w:p>
        </w:tc>
        <w:tc>
          <w:tcPr>
            <w:tcW w:w="1440" w:type="dxa"/>
            <w:vMerge w:val="continue"/>
            <w:vAlign w:val="center"/>
          </w:tcPr>
          <w:p w14:paraId="15D3BDE6">
            <w:pPr>
              <w:snapToGrid w:val="0"/>
              <w:spacing w:line="400" w:lineRule="exact"/>
              <w:rPr>
                <w:rFonts w:hint="eastAsia" w:ascii="仿宋" w:hAnsi="仿宋" w:eastAsia="仿宋" w:cs="仿宋"/>
                <w:color w:val="000000" w:themeColor="text1"/>
                <w:sz w:val="22"/>
                <w:szCs w:val="22"/>
                <w:highlight w:val="none"/>
                <w:lang w:val="en-US" w:eastAsia="zh-CN"/>
                <w14:textFill>
                  <w14:solidFill>
                    <w14:schemeClr w14:val="tx1"/>
                  </w14:solidFill>
                </w14:textFill>
              </w:rPr>
            </w:pPr>
          </w:p>
        </w:tc>
      </w:tr>
      <w:tr w14:paraId="1EB6C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Merge w:val="restart"/>
            <w:vAlign w:val="center"/>
          </w:tcPr>
          <w:p w14:paraId="2707CD3B">
            <w:pPr>
              <w:snapToGrid w:val="0"/>
              <w:spacing w:line="400" w:lineRule="exact"/>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bookmarkStart w:id="196" w:name="_Toc25094"/>
            <w: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t>3</w:t>
            </w:r>
          </w:p>
        </w:tc>
        <w:tc>
          <w:tcPr>
            <w:tcW w:w="1104" w:type="dxa"/>
            <w:vMerge w:val="restart"/>
            <w:vAlign w:val="center"/>
          </w:tcPr>
          <w:p w14:paraId="728EE1C5">
            <w:pPr>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商务部分10%</w:t>
            </w:r>
          </w:p>
        </w:tc>
        <w:tc>
          <w:tcPr>
            <w:tcW w:w="719" w:type="dxa"/>
            <w:vMerge w:val="restart"/>
            <w:vAlign w:val="center"/>
          </w:tcPr>
          <w:p w14:paraId="52C745AF">
            <w:pPr>
              <w:rPr>
                <w:rFonts w:hint="default"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6464" w:type="dxa"/>
            <w:vAlign w:val="center"/>
          </w:tcPr>
          <w:p w14:paraId="0BE059D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承诺按采购方要求定期对</w:t>
            </w:r>
            <w:r>
              <w:rPr>
                <w:rFonts w:hint="eastAsia" w:ascii="仿宋" w:hAnsi="仿宋" w:eastAsia="仿宋" w:cs="仿宋"/>
                <w:color w:val="000000" w:themeColor="text1"/>
                <w:sz w:val="24"/>
                <w:szCs w:val="24"/>
                <w:highlight w:val="none"/>
                <w:lang w:val="en-US" w:eastAsia="zh-CN"/>
                <w14:textFill>
                  <w14:solidFill>
                    <w14:schemeClr w14:val="tx1"/>
                  </w14:solidFill>
                </w14:textFill>
              </w:rPr>
              <w:t>操作</w:t>
            </w:r>
            <w:r>
              <w:rPr>
                <w:rFonts w:hint="eastAsia" w:ascii="仿宋" w:hAnsi="仿宋" w:eastAsia="仿宋" w:cs="仿宋"/>
                <w:color w:val="000000" w:themeColor="text1"/>
                <w:sz w:val="24"/>
                <w:szCs w:val="24"/>
                <w:highlight w:val="none"/>
                <w14:textFill>
                  <w14:solidFill>
                    <w14:schemeClr w14:val="tx1"/>
                  </w14:solidFill>
                </w14:textFill>
              </w:rPr>
              <w:t>员、维修人员提供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设备</w:t>
            </w:r>
            <w:r>
              <w:rPr>
                <w:rFonts w:hint="eastAsia" w:ascii="仿宋" w:hAnsi="仿宋" w:eastAsia="仿宋" w:cs="仿宋"/>
                <w:color w:val="000000" w:themeColor="text1"/>
                <w:sz w:val="24"/>
                <w:szCs w:val="24"/>
                <w:highlight w:val="none"/>
                <w14:textFill>
                  <w14:solidFill>
                    <w14:schemeClr w14:val="tx1"/>
                  </w14:solidFill>
                </w14:textFill>
              </w:rPr>
              <w:t>使用、维护等技术培训或培训课件的，得</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分，否则不得分。</w:t>
            </w:r>
          </w:p>
        </w:tc>
        <w:tc>
          <w:tcPr>
            <w:tcW w:w="1440" w:type="dxa"/>
            <w:vMerge w:val="restart"/>
            <w:vAlign w:val="center"/>
          </w:tcPr>
          <w:p w14:paraId="668CA4EF">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供应商在响应文件中提供承诺书并加盖公章</w:t>
            </w:r>
          </w:p>
        </w:tc>
      </w:tr>
      <w:tr w14:paraId="648AB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504" w:type="dxa"/>
            <w:vMerge w:val="continue"/>
            <w:vAlign w:val="center"/>
          </w:tcPr>
          <w:p w14:paraId="5C5F4B8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1104" w:type="dxa"/>
            <w:vMerge w:val="continue"/>
            <w:vAlign w:val="center"/>
          </w:tcPr>
          <w:p w14:paraId="5DB450DA">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719" w:type="dxa"/>
            <w:vMerge w:val="continue"/>
            <w:vAlign w:val="center"/>
          </w:tcPr>
          <w:p w14:paraId="58CA5EC3">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p>
        </w:tc>
        <w:tc>
          <w:tcPr>
            <w:tcW w:w="6464" w:type="dxa"/>
            <w:vAlign w:val="center"/>
          </w:tcPr>
          <w:p w14:paraId="7656B2EC">
            <w:pPr>
              <w:snapToGrid w:val="0"/>
              <w:spacing w:line="400" w:lineRule="exact"/>
              <w:rPr>
                <w:rFonts w:hint="eastAsia" w:ascii="华文仿宋" w:hAnsi="华文仿宋" w:eastAsia="华文仿宋" w:cs="华文仿宋"/>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2.供应商承诺售后服务中，维修使用的备品备件及易损件应为原厂配件的，得5分，否则不得分</w:t>
            </w:r>
          </w:p>
        </w:tc>
        <w:tc>
          <w:tcPr>
            <w:tcW w:w="1440" w:type="dxa"/>
            <w:vMerge w:val="continue"/>
            <w:vAlign w:val="center"/>
          </w:tcPr>
          <w:p w14:paraId="1CE4F8DC">
            <w:pPr>
              <w:spacing w:line="360" w:lineRule="auto"/>
              <w:ind w:firstLine="240" w:firstLineChars="100"/>
              <w:rPr>
                <w:rFonts w:hint="eastAsia" w:ascii="宋体" w:hAnsi="宋体" w:eastAsia="宋体" w:cs="宋体"/>
                <w:color w:val="000000" w:themeColor="text1"/>
                <w:sz w:val="24"/>
                <w:szCs w:val="24"/>
                <w:highlight w:val="none"/>
                <w:lang w:val="en-US" w:eastAsia="zh-CN"/>
                <w14:textFill>
                  <w14:solidFill>
                    <w14:schemeClr w14:val="tx1"/>
                  </w14:solidFill>
                </w14:textFill>
              </w:rPr>
            </w:pPr>
          </w:p>
        </w:tc>
      </w:tr>
    </w:tbl>
    <w:p w14:paraId="263ED19C">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四</w:t>
      </w:r>
      <w:r>
        <w:rPr>
          <w:rFonts w:hint="eastAsia" w:ascii="宋体" w:hAnsi="宋体" w:eastAsia="宋体" w:cs="宋体"/>
          <w:color w:val="000000" w:themeColor="text1"/>
          <w:sz w:val="24"/>
          <w:szCs w:val="24"/>
          <w:highlight w:val="none"/>
          <w14:textFill>
            <w14:solidFill>
              <w14:schemeClr w14:val="tx1"/>
            </w14:solidFill>
          </w14:textFill>
        </w:rPr>
        <w:t>、响应无效</w:t>
      </w:r>
      <w:bookmarkEnd w:id="196"/>
    </w:p>
    <w:bookmarkEnd w:id="194"/>
    <w:bookmarkEnd w:id="195"/>
    <w:p w14:paraId="502A03EC">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供应商发生以下条款情况之一者，视为响应无效，其响应文件将被拒绝：</w:t>
      </w:r>
    </w:p>
    <w:p w14:paraId="7320548E">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（一）供应商不符合规定的基本资格条件或特定资格条件的；</w:t>
      </w:r>
    </w:p>
    <w:p w14:paraId="11F79536">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（二）供应商所提交的响应文件不按第七篇“响应文件编制要求”规定签字、盖章；</w:t>
      </w:r>
    </w:p>
    <w:p w14:paraId="3C91985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（三）供应商的报价超过采购预算或总价最高限价或单价最高限价的；</w:t>
      </w:r>
    </w:p>
    <w:p w14:paraId="1B0C52F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（四）法定代表人为同一个人的两个及两个以上法人，母公司、全资子公司及其控股公司，在同一分包采购中同时参与网上竞采；</w:t>
      </w:r>
    </w:p>
    <w:p w14:paraId="3E8C8EC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（六）供应商的平台报价与上传的网上电子响应文件报价函中的报价不一致的；</w:t>
      </w:r>
    </w:p>
    <w:p w14:paraId="09AF8063">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（七）单位负责人为同一人或者存在直接控股、管理关系的不同供应商，参加同一合同项下的采购活动的；</w:t>
      </w:r>
    </w:p>
    <w:p w14:paraId="4EEF63E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（八）为采购项目提供整体设计、规范编制或者项目管理、监理、检测等服务的供应商，再参加该采购项目的其他采购活动；</w:t>
      </w:r>
    </w:p>
    <w:p w14:paraId="352EE9C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（九）供应商的服务期、质量保证期及网上竞采有效期不满足网上竞采文件要求的；</w:t>
      </w:r>
    </w:p>
    <w:p w14:paraId="7D9F2022">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（十）供应商响应文件内容有与国家现行法律法规相违背的内容，或附有采购人无法接受的条件。</w:t>
      </w:r>
    </w:p>
    <w:p w14:paraId="3D81ADA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（十一）供应商被列入失信被执行人、税收违法黑名单、政府采购严重违法失信行为记录名单及其他不符合《中华人民共和国政府采购法》第二十二条规定条件的。</w:t>
      </w:r>
    </w:p>
    <w:p w14:paraId="030835D1">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采购人、采购代理机构将通过“信用中国”网站（www.creditchina.gov.cn)、中国政府采购网（www.ccgp.gov.cn）等渠道查询供应商信用记录，对列入失信被执行人、税收违法黑名单、政府采购严重违法失信行为记录名单及其他不符合《中华人民共和国政府采购法》第二十二条规定条件的供应商，应当拒绝其参与政府采购活动。</w:t>
      </w:r>
    </w:p>
    <w:p w14:paraId="603C29CC">
      <w:pPr>
        <w:pStyle w:val="5"/>
        <w:pageBreakBefore w:val="0"/>
        <w:widowControl w:val="0"/>
        <w:kinsoku/>
        <w:wordWrap/>
        <w:overflowPunct/>
        <w:topLinePunct w:val="0"/>
        <w:autoSpaceDE/>
        <w:autoSpaceDN/>
        <w:bidi w:val="0"/>
        <w:adjustRightInd/>
        <w:snapToGrid/>
        <w:spacing w:before="0" w:after="0" w:line="44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bookmarkStart w:id="197" w:name="_Toc27425"/>
      <w:bookmarkStart w:id="198" w:name="_Toc18403"/>
      <w:r>
        <w:rPr>
          <w:rFonts w:hint="eastAsia" w:ascii="宋体" w:hAnsi="宋体" w:cs="宋体"/>
          <w:color w:val="000000" w:themeColor="text1"/>
          <w:sz w:val="24"/>
          <w:szCs w:val="24"/>
          <w:highlight w:val="none"/>
          <w:lang w:val="en-US" w:eastAsia="zh-CN"/>
          <w14:textFill>
            <w14:solidFill>
              <w14:schemeClr w14:val="tx1"/>
            </w14:solidFill>
          </w14:textFill>
        </w:rPr>
        <w:t>五</w:t>
      </w:r>
      <w:r>
        <w:rPr>
          <w:rFonts w:hint="eastAsia" w:ascii="宋体" w:hAnsi="宋体" w:eastAsia="宋体" w:cs="宋体"/>
          <w:color w:val="000000" w:themeColor="text1"/>
          <w:sz w:val="24"/>
          <w:szCs w:val="24"/>
          <w:highlight w:val="none"/>
          <w14:textFill>
            <w14:solidFill>
              <w14:schemeClr w14:val="tx1"/>
            </w14:solidFill>
          </w14:textFill>
        </w:rPr>
        <w:t>、采购终止</w:t>
      </w:r>
      <w:bookmarkEnd w:id="197"/>
      <w:bookmarkEnd w:id="198"/>
    </w:p>
    <w:p w14:paraId="42B75BE9">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出现下列情形之一的，采购人或者采购代理机构应当终止网上竞采活动，发布项目终止公告并说明原因，重新开展采购活动：</w:t>
      </w:r>
    </w:p>
    <w:p w14:paraId="4040BC3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（一）因情况变化，不再符合规定的网上竞采采购方式适用情形的；</w:t>
      </w:r>
    </w:p>
    <w:p w14:paraId="6B733FCA">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（二）出现影响采购公正的违法、违规行为的；</w:t>
      </w:r>
    </w:p>
    <w:p w14:paraId="74A724ED">
      <w:pPr>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（三）通过资格性审查及符合性审查的供应商不足</w:t>
      </w:r>
      <w:r>
        <w:rPr>
          <w:rFonts w:hint="eastAsia" w:ascii="宋体" w:hAnsi="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en-US" w:eastAsia="zh-CN"/>
          <w14:textFill>
            <w14:solidFill>
              <w14:schemeClr w14:val="tx1"/>
            </w14:solidFill>
          </w14:textFill>
        </w:rPr>
        <w:t>家的，终止本次采购活动，并发布终止采购活动公告。</w:t>
      </w:r>
    </w:p>
    <w:p w14:paraId="1B319917">
      <w:pPr>
        <w:pStyle w:val="4"/>
        <w:pageBreakBefore/>
        <w:spacing w:before="0" w:after="0" w:line="360" w:lineRule="auto"/>
        <w:jc w:val="center"/>
        <w:rPr>
          <w:rFonts w:hint="eastAsia" w:ascii="宋体" w:hAnsi="宋体" w:eastAsia="宋体" w:cs="宋体"/>
          <w:bCs/>
          <w:color w:val="auto"/>
          <w:spacing w:val="-11"/>
          <w:sz w:val="36"/>
          <w:szCs w:val="30"/>
          <w:highlight w:val="none"/>
        </w:rPr>
      </w:pPr>
      <w:bookmarkStart w:id="199" w:name="_Toc13753"/>
      <w:r>
        <w:rPr>
          <w:rFonts w:hint="eastAsia" w:ascii="宋体" w:hAnsi="宋体" w:eastAsia="宋体" w:cs="宋体"/>
          <w:bCs/>
          <w:color w:val="auto"/>
          <w:spacing w:val="-11"/>
          <w:sz w:val="36"/>
          <w:szCs w:val="30"/>
          <w:highlight w:val="none"/>
        </w:rPr>
        <w:t>第五篇供应商须知</w:t>
      </w:r>
      <w:bookmarkEnd w:id="79"/>
      <w:bookmarkEnd w:id="199"/>
    </w:p>
    <w:p w14:paraId="6766F14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0" w:name="_Toc8105"/>
      <w:bookmarkStart w:id="201" w:name="_Toc26510"/>
      <w:bookmarkStart w:id="202" w:name="_Toc342913389"/>
      <w:bookmarkStart w:id="203" w:name="_Toc11641055"/>
      <w:bookmarkStart w:id="204" w:name="_Toc12789059"/>
      <w:r>
        <w:rPr>
          <w:rFonts w:hint="eastAsia" w:ascii="宋体" w:hAnsi="宋体" w:eastAsia="宋体" w:cs="宋体"/>
          <w:color w:val="auto"/>
          <w:sz w:val="24"/>
          <w:szCs w:val="24"/>
          <w:highlight w:val="none"/>
        </w:rPr>
        <w:t>一、网上竞采费用</w:t>
      </w:r>
      <w:bookmarkEnd w:id="200"/>
      <w:bookmarkEnd w:id="201"/>
      <w:bookmarkEnd w:id="202"/>
    </w:p>
    <w:p w14:paraId="2725BB37">
      <w:pPr>
        <w:pStyle w:val="266"/>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参与网上竞采的投标供应商应承担其编制响应文件与递交响应文件所涉及的一切费用，不论网上竞采结果如何，采购人和采购代理机构在任何情况下无义务也无责任承担这些费用。</w:t>
      </w:r>
    </w:p>
    <w:p w14:paraId="0A5C3948">
      <w:pPr>
        <w:pStyle w:val="5"/>
        <w:pageBreakBefore w:val="0"/>
        <w:widowControl w:val="0"/>
        <w:tabs>
          <w:tab w:val="left" w:pos="2640"/>
        </w:tabs>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05" w:name="_Toc4870"/>
      <w:bookmarkStart w:id="206" w:name="_Toc342913391"/>
      <w:bookmarkStart w:id="207" w:name="_Toc21089"/>
      <w:r>
        <w:rPr>
          <w:rFonts w:hint="eastAsia" w:ascii="宋体" w:hAnsi="宋体" w:eastAsia="宋体" w:cs="宋体"/>
          <w:color w:val="auto"/>
          <w:sz w:val="24"/>
          <w:szCs w:val="24"/>
          <w:highlight w:val="none"/>
        </w:rPr>
        <w:t>二、网上竞采文件</w:t>
      </w:r>
      <w:bookmarkEnd w:id="205"/>
      <w:bookmarkEnd w:id="206"/>
      <w:bookmarkEnd w:id="207"/>
    </w:p>
    <w:p w14:paraId="10AB0581">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（一）网上竞采文件由采购邀请书、采购项目技术需求、采购项目商务需求、网上竞采程序及方法、评审标准、响应无效和采购终止、投标供应商须知</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合同主要条款和格式合同</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rPr>
        <w:t>响应文件编制要求七部分组成。</w:t>
      </w:r>
    </w:p>
    <w:p w14:paraId="4E034FE8">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（二）采购人（或采购代理机构）所作的一切有效的书面通知、修改及补充，都是网上竞采文件不可分割的部分。</w:t>
      </w:r>
    </w:p>
    <w:p w14:paraId="0E777F1F">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（三）网上竞采文件的解释</w:t>
      </w:r>
    </w:p>
    <w:p w14:paraId="253C830C">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供应商如对网上竞采文件有疑问，必须以书面形式在提交响应文件截止时间2个工作日前向采购人（或采购代理机构）要求澄清，采购人（或采购代理机构）可视具体情况做出处理或答复。如投标供应商未提出疑问，视为完全理解并同意本网上竞采文件。一经进入网上竞采程序，即视为投标供应商已详细阅读全部文件资料，完全理解网上竞采文件所有条款内容并同意放弃对这方面有不明白及误解的权利。</w:t>
      </w:r>
      <w:bookmarkStart w:id="208" w:name="_Toc318166429"/>
      <w:bookmarkStart w:id="209" w:name="_Toc318159780"/>
      <w:bookmarkStart w:id="210" w:name="_Toc318159160"/>
      <w:bookmarkStart w:id="211" w:name="_Toc318159349"/>
    </w:p>
    <w:p w14:paraId="2EB6146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（四）本网上竞采文件中，网上竞采小组根据与投标供应商进行网上竞采可能实质性变动的内容为网上竞采文件第二、三、四篇全部内容。</w:t>
      </w:r>
    </w:p>
    <w:p w14:paraId="798E2420">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（五）评审的依据为网上竞采文件和响应文件（含有效的书面承诺）。评审小组判断响应文件对网上竞采文件的响应，仅基于响应文件本身而不靠外部证据。</w:t>
      </w:r>
    </w:p>
    <w:bookmarkEnd w:id="208"/>
    <w:bookmarkEnd w:id="209"/>
    <w:bookmarkEnd w:id="210"/>
    <w:bookmarkEnd w:id="211"/>
    <w:p w14:paraId="5775FAD6">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2" w:name="_Toc102227318"/>
      <w:bookmarkStart w:id="213" w:name="_Toc342913392"/>
      <w:bookmarkStart w:id="214" w:name="_Toc29912"/>
      <w:bookmarkStart w:id="215" w:name="_Toc179714297"/>
      <w:bookmarkStart w:id="216" w:name="_Toc16269"/>
      <w:r>
        <w:rPr>
          <w:rFonts w:hint="eastAsia" w:ascii="宋体" w:hAnsi="宋体" w:eastAsia="宋体" w:cs="宋体"/>
          <w:color w:val="auto"/>
          <w:sz w:val="24"/>
          <w:szCs w:val="24"/>
          <w:highlight w:val="none"/>
        </w:rPr>
        <w:t>三、网上竞采要求</w:t>
      </w:r>
      <w:bookmarkEnd w:id="212"/>
      <w:bookmarkEnd w:id="213"/>
      <w:bookmarkEnd w:id="214"/>
      <w:bookmarkEnd w:id="215"/>
      <w:bookmarkEnd w:id="216"/>
    </w:p>
    <w:p w14:paraId="2B33F934">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（一）响应文件</w:t>
      </w:r>
    </w:p>
    <w:p w14:paraId="44517BB8">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1.投标供应商应当按照网上竞采文件的要求编制响应文件，并对网上竞采文件提出的要求和条件作出实质性响应，同时应编制完整的页码、目录。</w:t>
      </w:r>
    </w:p>
    <w:p w14:paraId="1B4E907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2.响应文件组成</w:t>
      </w:r>
    </w:p>
    <w:p w14:paraId="6A6A22D7">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由第七篇“响应文件编制要求”规定的部分和投标供应商所作的一切有效补充、修改和承诺等文件组成，投标供应商应按照第七篇“响应文件编制要求”规定的目录顺序组织编写和装订，也可在基本格式基础上对表格进行扩展，未规定格式的由投标供应商自定格式。</w:t>
      </w:r>
    </w:p>
    <w:p w14:paraId="6A7387CD">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3.供应商须对所提供资料的真实性和准确性负责，一旦发现有弄虚作假的情况，按相应法律法规予以处罚。</w:t>
      </w:r>
    </w:p>
    <w:p w14:paraId="48E3C0C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（二）联合体</w:t>
      </w:r>
    </w:p>
    <w:p w14:paraId="16279028">
      <w:pPr>
        <w:pageBreakBefore w:val="0"/>
        <w:widowControl w:val="0"/>
        <w:kinsoku/>
        <w:wordWrap/>
        <w:overflowPunct/>
        <w:topLinePunct w:val="0"/>
        <w:autoSpaceDE/>
        <w:autoSpaceDN/>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本项目不接受联合体竞标。</w:t>
      </w:r>
    </w:p>
    <w:p w14:paraId="1F568A0F">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（三）网上竞采有效期：响应文件及有关承诺文件有效期为提交响应文件截止时间起90天。</w:t>
      </w:r>
    </w:p>
    <w:p w14:paraId="68F6F68F">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（四）提交响应文件的份数和签署</w:t>
      </w:r>
    </w:p>
    <w:p w14:paraId="68167190">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须在平台报价并上传盖章后的响应文件电子文档一份，线下竞采时提供响应文件一式二份，其中正本一份，副本一份（网上电子文档内容应与纸质文件正本、副本一致，如不一致以纸质文件为准，副本可为正本的复印件。）</w:t>
      </w:r>
    </w:p>
    <w:p w14:paraId="3BBA8429">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注：若供应商的平台报价与网上上传的响应文件电子文档报价函中的报价不一致，按响应无效处理。</w:t>
      </w:r>
    </w:p>
    <w:p w14:paraId="5360D049">
      <w:pPr>
        <w:pageBreakBefore w:val="0"/>
        <w:widowControl w:val="0"/>
        <w:numPr>
          <w:ilvl w:val="0"/>
          <w:numId w:val="15"/>
        </w:numPr>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在上传的网上电子文档中，网上竞采文件第七篇响应文件编制要求中规定签字、盖章的地方必须按其规定签字、盖章。</w:t>
      </w:r>
    </w:p>
    <w:p w14:paraId="6AE7C5D6">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（五）响应文件的递交</w:t>
      </w:r>
    </w:p>
    <w:p w14:paraId="3AC77557">
      <w:pPr>
        <w:pageBreakBefore w:val="0"/>
        <w:widowControl w:val="0"/>
        <w:kinsoku/>
        <w:wordWrap/>
        <w:overflowPunct/>
        <w:topLinePunct w:val="0"/>
        <w:autoSpaceDE/>
        <w:autoSpaceDN/>
        <w:bidi w:val="0"/>
        <w:snapToGrid w:val="0"/>
        <w:spacing w:line="440" w:lineRule="exact"/>
        <w:ind w:firstLine="482"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供应商须在规定时间内完成线上和线下的响应文件提交，否则视为无效响应。</w:t>
      </w:r>
    </w:p>
    <w:p w14:paraId="4EBB3A17">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7" w:name="_Toc7456"/>
      <w:bookmarkStart w:id="218" w:name="_Toc9018"/>
      <w:r>
        <w:rPr>
          <w:rFonts w:hint="eastAsia" w:ascii="宋体" w:hAnsi="宋体" w:eastAsia="宋体" w:cs="宋体"/>
          <w:color w:val="auto"/>
          <w:sz w:val="24"/>
          <w:szCs w:val="24"/>
          <w:highlight w:val="none"/>
        </w:rPr>
        <w:t>四、成交供应商的确认和变更</w:t>
      </w:r>
      <w:bookmarkEnd w:id="217"/>
      <w:bookmarkEnd w:id="218"/>
    </w:p>
    <w:p w14:paraId="0D87437B">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（一）成交供应商的确认</w:t>
      </w:r>
    </w:p>
    <w:p w14:paraId="098E2EE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机构应当在评审结束后2个工作日内将评审报告送采购人确认。采购人应当在收到评审报告后5个工作日内，从评审报告提出的成交候选供应商中，按照排序由高到低的原则确定成交供应商，也可以书面授权评审小组直接确定成交供应商。采购人逾期未确定成交供应商且不提出异议的，视为确定评审报告提出的排序第一的投标供应商为成交供应商。</w:t>
      </w:r>
    </w:p>
    <w:p w14:paraId="75CD8BB9">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（二）成交供应商的变更</w:t>
      </w:r>
    </w:p>
    <w:p w14:paraId="01C1D614">
      <w:pPr>
        <w:pageBreakBefore w:val="0"/>
        <w:widowControl w:val="0"/>
        <w:kinsoku/>
        <w:wordWrap/>
        <w:overflowPunct/>
        <w:topLinePunct w:val="0"/>
        <w:autoSpaceDE/>
        <w:autoSpaceDN/>
        <w:bidi w:val="0"/>
        <w:snapToGrid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成交供应商拒绝与采购人签订合同的，采购人可以按照评标报告推荐的成交候选供应商顺序，确定排名下一位的候选人为成交供应商，也可以重新开展采购活动。</w:t>
      </w:r>
    </w:p>
    <w:p w14:paraId="53AB467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19" w:name="_Toc1297"/>
      <w:bookmarkStart w:id="220" w:name="_Toc342913395"/>
      <w:bookmarkStart w:id="221" w:name="_Toc102227321"/>
      <w:bookmarkStart w:id="222" w:name="_Toc3011"/>
      <w:r>
        <w:rPr>
          <w:rFonts w:hint="eastAsia" w:ascii="宋体" w:hAnsi="宋体" w:eastAsia="宋体" w:cs="宋体"/>
          <w:color w:val="auto"/>
          <w:sz w:val="24"/>
          <w:szCs w:val="24"/>
          <w:highlight w:val="none"/>
        </w:rPr>
        <w:t>五、成交通知</w:t>
      </w:r>
      <w:bookmarkEnd w:id="219"/>
      <w:bookmarkEnd w:id="220"/>
      <w:bookmarkEnd w:id="221"/>
      <w:bookmarkEnd w:id="222"/>
    </w:p>
    <w:p w14:paraId="40AD42DB">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（一）成交供应商确定后，采购人或采购代理机构将在重庆市政府采购云平台.网上竞采中心（https://xj.ccgp-chongqing.gov.cn/ge/）上发布成交结果公告。</w:t>
      </w:r>
    </w:p>
    <w:p w14:paraId="0788D4C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（二）结果公告发出同时，采购代理机构将以书面形式发出《成交通知书》。《成交通知书》一经发出即发生法律效力。</w:t>
      </w:r>
    </w:p>
    <w:p w14:paraId="74C14089">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（三）《成交通知书》将作为签订合同的依据。</w:t>
      </w:r>
    </w:p>
    <w:p w14:paraId="2529FC63">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（四）如有投标供应商对成交结果提出质疑的，在质疑处理完毕后发出成交通知书。</w:t>
      </w:r>
    </w:p>
    <w:p w14:paraId="26A8A62D">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3" w:name="_Toc22361"/>
      <w:bookmarkStart w:id="224" w:name="_Toc19876"/>
      <w:r>
        <w:rPr>
          <w:rFonts w:hint="eastAsia" w:ascii="宋体" w:hAnsi="宋体" w:eastAsia="宋体" w:cs="宋体"/>
          <w:color w:val="auto"/>
          <w:sz w:val="24"/>
          <w:szCs w:val="24"/>
          <w:highlight w:val="none"/>
        </w:rPr>
        <w:t>六、采购代理服务费</w:t>
      </w:r>
      <w:bookmarkEnd w:id="223"/>
      <w:bookmarkEnd w:id="224"/>
    </w:p>
    <w:p w14:paraId="2A23CF35">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本次网上竞采由代理机构委托实施，</w:t>
      </w:r>
      <w:r>
        <w:rPr>
          <w:rFonts w:hint="eastAsia" w:ascii="宋体" w:hAnsi="宋体" w:cs="宋体"/>
          <w:color w:val="auto"/>
          <w:sz w:val="24"/>
          <w:highlight w:val="none"/>
          <w:lang w:val="en-US" w:eastAsia="zh-CN"/>
        </w:rPr>
        <w:t>本项目</w:t>
      </w:r>
      <w:r>
        <w:rPr>
          <w:rFonts w:hint="eastAsia" w:ascii="宋体" w:hAnsi="宋体" w:eastAsia="宋体" w:cs="宋体"/>
          <w:color w:val="auto"/>
          <w:sz w:val="24"/>
          <w:szCs w:val="24"/>
          <w:highlight w:val="none"/>
        </w:rPr>
        <w:t>采购</w:t>
      </w:r>
      <w:r>
        <w:rPr>
          <w:rFonts w:hint="eastAsia" w:ascii="宋体" w:hAnsi="宋体" w:eastAsia="宋体" w:cs="宋体"/>
          <w:color w:val="auto"/>
          <w:sz w:val="24"/>
          <w:highlight w:val="none"/>
        </w:rPr>
        <w:t>代理服务费</w:t>
      </w:r>
      <w:r>
        <w:rPr>
          <w:rFonts w:hint="eastAsia" w:ascii="宋体" w:hAnsi="宋体" w:cs="宋体"/>
          <w:color w:val="auto"/>
          <w:sz w:val="24"/>
          <w:highlight w:val="none"/>
          <w:lang w:val="en-US" w:eastAsia="zh-CN"/>
        </w:rPr>
        <w:t>为人民币</w:t>
      </w:r>
      <w:r>
        <w:rPr>
          <w:rFonts w:hint="eastAsia" w:ascii="宋体" w:hAnsi="宋体" w:cs="宋体"/>
          <w:color w:val="auto"/>
          <w:sz w:val="24"/>
          <w:highlight w:val="none"/>
          <w:u w:val="single"/>
          <w:lang w:val="en-US" w:eastAsia="zh-CN"/>
        </w:rPr>
        <w:t>：7000元整</w:t>
      </w:r>
      <w:r>
        <w:rPr>
          <w:rFonts w:hint="eastAsia" w:ascii="宋体" w:hAnsi="宋体" w:eastAsia="宋体" w:cs="宋体"/>
          <w:color w:val="auto"/>
          <w:sz w:val="24"/>
          <w:szCs w:val="24"/>
          <w:highlight w:val="none"/>
        </w:rPr>
        <w:t>，由成交供应商在领取成交通知书时一次性向代理机构缴纳。</w:t>
      </w:r>
    </w:p>
    <w:p w14:paraId="345F5CEB">
      <w:pPr>
        <w:pStyle w:val="5"/>
        <w:pageBreakBefore w:val="0"/>
        <w:widowControl w:val="0"/>
        <w:kinsoku/>
        <w:wordWrap/>
        <w:overflowPunct/>
        <w:topLinePunct w:val="0"/>
        <w:autoSpaceDE/>
        <w:autoSpaceDN/>
        <w:bidi w:val="0"/>
        <w:spacing w:before="0" w:after="0" w:line="440" w:lineRule="exact"/>
        <w:textAlignment w:val="auto"/>
        <w:rPr>
          <w:rFonts w:hint="eastAsia" w:ascii="宋体" w:hAnsi="宋体" w:eastAsia="宋体" w:cs="宋体"/>
          <w:color w:val="auto"/>
          <w:sz w:val="24"/>
          <w:szCs w:val="24"/>
          <w:highlight w:val="none"/>
        </w:rPr>
      </w:pPr>
      <w:bookmarkStart w:id="225" w:name="_Toc11155"/>
      <w:bookmarkStart w:id="226" w:name="_Toc1096"/>
      <w:r>
        <w:rPr>
          <w:rFonts w:hint="eastAsia" w:ascii="宋体" w:hAnsi="宋体" w:eastAsia="宋体" w:cs="宋体"/>
          <w:color w:val="auto"/>
          <w:sz w:val="24"/>
          <w:szCs w:val="24"/>
          <w:highlight w:val="none"/>
        </w:rPr>
        <w:t>七、关于质疑和投诉</w:t>
      </w:r>
      <w:bookmarkEnd w:id="225"/>
      <w:bookmarkEnd w:id="226"/>
    </w:p>
    <w:p w14:paraId="0F223A81">
      <w:pPr>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（一）质疑</w:t>
      </w:r>
    </w:p>
    <w:p w14:paraId="55B75ECC">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投标供应商认为采购文件、采购过程和成交结果使自己的权益受到伤害的，可向采购人或采购代理机构以书面形式提出质疑。</w:t>
      </w:r>
    </w:p>
    <w:p w14:paraId="44768AB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提出质疑的应当是参与所质疑项目采购活动的投标供应商。</w:t>
      </w:r>
    </w:p>
    <w:p w14:paraId="4096B01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1.质疑时限、内容</w:t>
      </w:r>
    </w:p>
    <w:p w14:paraId="07FC6A3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1.1投标供应商认为采购文件、采购过程、成交结果使自己的权益受到损害的，可以在知道或者应知其权益受到损害之日起7个工作日内，以书面形式向采购人、采购代理机构提出质疑。</w:t>
      </w:r>
    </w:p>
    <w:p w14:paraId="4AFC6BA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1.2投标供应商对采购过程提出质疑的，应在各采购程序环节结束之日起七个工作日内提出。</w:t>
      </w:r>
    </w:p>
    <w:p w14:paraId="691BD3A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1.3投标供应商对成交结果提出质疑的，应当在成交结果公告期限届满之日起七个工作日内提出。</w:t>
      </w:r>
    </w:p>
    <w:p w14:paraId="54CC861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1.4投标供应商提出质疑应当提交质疑函和必要的证明材料，质疑函应当包括下列内容：</w:t>
      </w:r>
    </w:p>
    <w:p w14:paraId="60B0D527">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1.4.1投标供应商的姓名或者名称、地址、邮编、联系人及联系电话；</w:t>
      </w:r>
    </w:p>
    <w:p w14:paraId="1D7E1A7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1.4.2质疑项目的名称、项目号以及项目编号；</w:t>
      </w:r>
    </w:p>
    <w:p w14:paraId="74AC982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1.4.3具体、明确的质疑事项和与质疑事项相关的请求；</w:t>
      </w:r>
    </w:p>
    <w:p w14:paraId="2319432A">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1.4.4事实依据；</w:t>
      </w:r>
    </w:p>
    <w:p w14:paraId="1641F5A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1.4.5必要的法律依据；</w:t>
      </w:r>
    </w:p>
    <w:p w14:paraId="23B72ED8">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1.4.6提出质疑的日期；</w:t>
      </w:r>
    </w:p>
    <w:p w14:paraId="321D385D">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1.4.7营业执照（或事业单位法人证书，或个体工商户营业执照或有效的自然人身份证明、组织机构代码证）复印件；</w:t>
      </w:r>
    </w:p>
    <w:p w14:paraId="15B7277B">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1.4.8法定代表人授权委托书原件、法定代表人身份证复印件和其授权代表的身份证复印件（投标供应商为自然人的提供自然人身份证复印件）；</w:t>
      </w:r>
    </w:p>
    <w:p w14:paraId="4C09A495">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1.5投标供应商为自然人的，质疑函应当由本人签字；投标供应商为法人或者其他组织的，质疑函应当由法定代表人、主要负责人，或者其授权代表签字或者盖章，并加盖公章。</w:t>
      </w:r>
    </w:p>
    <w:p w14:paraId="77A0AB90">
      <w:pPr>
        <w:pageBreakBefore w:val="0"/>
        <w:widowControl w:val="0"/>
        <w:kinsoku/>
        <w:wordWrap/>
        <w:overflowPunct/>
        <w:topLinePunct w:val="0"/>
        <w:autoSpaceDE/>
        <w:autoSpaceDN/>
        <w:bidi w:val="0"/>
        <w:spacing w:line="44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2.质疑答复</w:t>
      </w:r>
    </w:p>
    <w:p w14:paraId="77363BAF">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采购人、采购代理机构应当在收到投标供应商的书面质疑后七个工作日内作出答复，并以书面形式通知质疑投标供应商和其他有关投标供应商。</w:t>
      </w:r>
    </w:p>
    <w:p w14:paraId="370017E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3.其他</w:t>
      </w:r>
    </w:p>
    <w:p w14:paraId="05887BE9">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3.1投标供应商应按照《政府采购质疑和投诉办法》（财政部令第94号）及相关法律法规要求，在法定质疑期内一次性提出针对同一采购程序环节的质疑。</w:t>
      </w:r>
    </w:p>
    <w:p w14:paraId="0B2A49C6">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3.2质疑函范本可在财政部门户网站和中国政府采购网下载。</w:t>
      </w:r>
    </w:p>
    <w:p w14:paraId="51BE2F39">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w:t>
      </w:r>
    </w:p>
    <w:p w14:paraId="23F34ECD">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bookmarkStart w:id="227" w:name="_Toc102227322"/>
      <w:bookmarkStart w:id="228" w:name="_Toc3031"/>
      <w:bookmarkStart w:id="229" w:name="_Toc342913396"/>
      <w:r>
        <w:rPr>
          <w:rFonts w:hint="eastAsia" w:ascii="宋体" w:hAnsi="宋体" w:eastAsia="宋体" w:cs="宋体"/>
          <w:color w:val="auto"/>
          <w:sz w:val="24"/>
          <w:highlight w:val="none"/>
        </w:rPr>
        <w:t>1.投标供应商对采购人、采购代理机构的答复不满意，或者采购人、采购代理机构未在规定时间内作出答复的，可以在答复期满后15个工作日内按照相关法律法规向采购人监督部门提起投诉。</w:t>
      </w:r>
    </w:p>
    <w:p w14:paraId="6DD0A350">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2.投标供应商应按照《政府采购质疑和投诉办法》（财政部令第94号）及相关法律法规要求递交投诉书和必要的证明材料。投诉书范本可在财政部门户网站和中国政府采购网下载。</w:t>
      </w:r>
    </w:p>
    <w:p w14:paraId="02790908">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0371AAFD">
      <w:pPr>
        <w:pageBreakBefore w:val="0"/>
        <w:widowControl w:val="0"/>
        <w:kinsoku/>
        <w:wordWrap/>
        <w:overflowPunct/>
        <w:topLinePunct w:val="0"/>
        <w:autoSpaceDE/>
        <w:autoSpaceDN/>
        <w:bidi w:val="0"/>
        <w:adjustRightInd/>
        <w:snapToGrid/>
        <w:spacing w:line="420" w:lineRule="exact"/>
        <w:ind w:right="12" w:firstLine="48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4.在确定受理投诉后，监督部门自受理投诉之日起30个工作日内（需要检验、检测、鉴定、专家评审以及需要投诉人补正材料的，所需时间不计算在投诉处理期限内）对投诉事项做出处理决定。</w:t>
      </w:r>
    </w:p>
    <w:p w14:paraId="21ADC890">
      <w:pPr>
        <w:pStyle w:val="5"/>
        <w:pageBreakBefore w:val="0"/>
        <w:widowControl w:val="0"/>
        <w:kinsoku/>
        <w:wordWrap/>
        <w:overflowPunct/>
        <w:topLinePunct w:val="0"/>
        <w:autoSpaceDE/>
        <w:autoSpaceDN/>
        <w:bidi w:val="0"/>
        <w:adjustRightInd/>
        <w:snapToGrid/>
        <w:spacing w:before="0" w:after="0" w:line="420" w:lineRule="exact"/>
        <w:textAlignment w:val="auto"/>
        <w:rPr>
          <w:rFonts w:hint="eastAsia" w:ascii="宋体" w:hAnsi="宋体" w:eastAsia="宋体" w:cs="宋体"/>
          <w:color w:val="auto"/>
          <w:sz w:val="24"/>
          <w:szCs w:val="24"/>
          <w:highlight w:val="none"/>
        </w:rPr>
      </w:pPr>
      <w:bookmarkStart w:id="230" w:name="_Toc9469"/>
      <w:r>
        <w:rPr>
          <w:rFonts w:hint="eastAsia" w:ascii="宋体" w:hAnsi="宋体" w:eastAsia="宋体" w:cs="宋体"/>
          <w:color w:val="auto"/>
          <w:sz w:val="24"/>
          <w:szCs w:val="24"/>
          <w:highlight w:val="none"/>
        </w:rPr>
        <w:t>八、签订</w:t>
      </w:r>
      <w:bookmarkEnd w:id="227"/>
      <w:r>
        <w:rPr>
          <w:rFonts w:hint="eastAsia" w:ascii="宋体" w:hAnsi="宋体" w:eastAsia="宋体" w:cs="宋体"/>
          <w:color w:val="auto"/>
          <w:sz w:val="24"/>
          <w:szCs w:val="24"/>
          <w:highlight w:val="none"/>
        </w:rPr>
        <w:t>合同</w:t>
      </w:r>
      <w:bookmarkEnd w:id="228"/>
      <w:bookmarkEnd w:id="229"/>
      <w:bookmarkEnd w:id="230"/>
    </w:p>
    <w:p w14:paraId="0579CB6D">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（一）采购人应当自成交通知书发出之日起二十日内，按照网上竞采文件和成交供应商响应文件的约定，与成交供应商签订书面合同。所签订的合同不得对网上竞采文件和投标供应商的响应文件作实质性修改。</w:t>
      </w:r>
    </w:p>
    <w:p w14:paraId="0187F9A4">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（二）网上竞采文件、投标供应商的响应文件及澄清文件等，均为签订采购合同的依据。</w:t>
      </w:r>
    </w:p>
    <w:p w14:paraId="4E4F8C6D">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（三）合同生效条款由供需双方约定，法律、行政法规规定应当办理批准、登记等手续后生效的合同，依照其规定。</w:t>
      </w:r>
    </w:p>
    <w:p w14:paraId="614889BD">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（四）合同原则上应按照《采购合同》签订，相关单位</w:t>
      </w:r>
      <w:r>
        <w:rPr>
          <w:rFonts w:hint="eastAsia" w:ascii="宋体" w:hAnsi="宋体" w:cs="宋体"/>
          <w:color w:val="auto"/>
          <w:sz w:val="24"/>
          <w:szCs w:val="24"/>
          <w:highlight w:val="none"/>
          <w:lang w:val="en-US" w:eastAsia="zh-CN"/>
        </w:rPr>
        <w:t>或采购人</w:t>
      </w:r>
      <w:r>
        <w:rPr>
          <w:rFonts w:hint="eastAsia" w:ascii="宋体" w:hAnsi="宋体" w:eastAsia="宋体" w:cs="宋体"/>
          <w:color w:val="auto"/>
          <w:sz w:val="24"/>
          <w:szCs w:val="24"/>
          <w:highlight w:val="none"/>
        </w:rPr>
        <w:t>要求适用合同通用格式版本的，应按其要求另行签订其他合同。</w:t>
      </w:r>
    </w:p>
    <w:p w14:paraId="6BBB6450">
      <w:pPr>
        <w:pageBreakBefore w:val="0"/>
        <w:widowControl w:val="0"/>
        <w:kinsoku/>
        <w:wordWrap/>
        <w:overflowPunct/>
        <w:topLinePunct w:val="0"/>
        <w:autoSpaceDE/>
        <w:autoSpaceDN/>
        <w:bidi w:val="0"/>
        <w:adjustRightInd/>
        <w:snapToGrid/>
        <w:spacing w:line="420" w:lineRule="exact"/>
        <w:ind w:firstLine="360" w:firstLineChars="150"/>
        <w:textAlignment w:val="auto"/>
        <w:rPr>
          <w:rFonts w:hint="eastAsia" w:ascii="宋体" w:hAnsi="宋体" w:eastAsia="宋体" w:cs="宋体"/>
          <w:b w:val="0"/>
          <w:color w:val="auto"/>
          <w:kern w:val="0"/>
          <w:sz w:val="24"/>
          <w:szCs w:val="24"/>
          <w:highlight w:val="none"/>
          <w:lang w:val="en-US" w:eastAsia="zh-CN" w:bidi="ar-SA"/>
        </w:rPr>
      </w:pPr>
      <w:r>
        <w:rPr>
          <w:rFonts w:hint="eastAsia" w:ascii="宋体" w:hAnsi="宋体" w:eastAsia="宋体" w:cs="宋体"/>
          <w:color w:val="auto"/>
          <w:sz w:val="24"/>
          <w:szCs w:val="24"/>
          <w:highlight w:val="none"/>
        </w:rPr>
        <w:t>（五）采购人要求成交供应商提供履约保证金的，应当在网上竞采文件中予以约定。成交供应商履约完毕后，采购人应于五日内无息退还其履约保证金。</w:t>
      </w:r>
    </w:p>
    <w:p w14:paraId="4372EC8A">
      <w:pPr>
        <w:spacing w:line="360" w:lineRule="auto"/>
        <w:ind w:firstLine="360" w:firstLineChars="150"/>
        <w:rPr>
          <w:rFonts w:hint="eastAsia" w:ascii="宋体" w:hAnsi="宋体" w:eastAsia="宋体" w:cs="宋体"/>
          <w:color w:val="auto"/>
          <w:sz w:val="24"/>
          <w:szCs w:val="24"/>
          <w:highlight w:val="none"/>
        </w:rPr>
      </w:pPr>
    </w:p>
    <w:bookmarkEnd w:id="203"/>
    <w:bookmarkEnd w:id="204"/>
    <w:p w14:paraId="3FB2F37F">
      <w:pPr>
        <w:jc w:val="center"/>
        <w:rPr>
          <w:rFonts w:hint="eastAsia" w:ascii="宋体" w:hAnsi="宋体" w:eastAsia="宋体" w:cs="宋体"/>
          <w:b/>
          <w:highlight w:val="none"/>
        </w:rPr>
      </w:pPr>
      <w:bookmarkStart w:id="231" w:name="_Toc4239"/>
      <w:bookmarkStart w:id="232" w:name="_Toc27139866"/>
      <w:r>
        <w:rPr>
          <w:rFonts w:hint="eastAsia" w:ascii="宋体" w:hAnsi="宋体" w:eastAsia="宋体" w:cs="宋体"/>
          <w:color w:val="auto"/>
          <w:sz w:val="36"/>
          <w:szCs w:val="30"/>
          <w:highlight w:val="none"/>
        </w:rPr>
        <w:t>第六篇</w:t>
      </w:r>
      <w:bookmarkEnd w:id="231"/>
      <w:bookmarkEnd w:id="232"/>
      <w:r>
        <w:rPr>
          <w:rFonts w:hint="eastAsia" w:ascii="宋体" w:hAnsi="宋体" w:eastAsia="宋体" w:cs="宋体"/>
          <w:color w:val="auto"/>
          <w:sz w:val="36"/>
          <w:szCs w:val="30"/>
          <w:highlight w:val="none"/>
          <w:lang w:val="en-US" w:eastAsia="zh-CN"/>
        </w:rPr>
        <w:t xml:space="preserve">  </w:t>
      </w:r>
      <w:r>
        <w:rPr>
          <w:rFonts w:hint="eastAsia" w:ascii="宋体" w:hAnsi="宋体" w:eastAsia="宋体" w:cs="宋体"/>
          <w:b/>
          <w:sz w:val="36"/>
          <w:szCs w:val="22"/>
          <w:highlight w:val="none"/>
        </w:rPr>
        <w:t>合同主要条款和格式合同（样本）</w:t>
      </w:r>
    </w:p>
    <w:p w14:paraId="74229DEF">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重庆市政府采购合同（格式）</w:t>
      </w:r>
    </w:p>
    <w:p w14:paraId="44D808DC">
      <w:pPr>
        <w:rPr>
          <w:rFonts w:hint="eastAsia" w:ascii="宋体" w:hAnsi="宋体" w:eastAsia="宋体" w:cs="宋体"/>
          <w:sz w:val="24"/>
          <w:szCs w:val="24"/>
          <w:highlight w:val="none"/>
        </w:rPr>
      </w:pPr>
    </w:p>
    <w:p w14:paraId="05DE89BE">
      <w:pPr>
        <w:pStyle w:val="23"/>
        <w:jc w:val="center"/>
        <w:rPr>
          <w:rFonts w:hint="eastAsia" w:eastAsia="宋体"/>
          <w:lang w:val="en-US" w:eastAsia="zh-CN"/>
        </w:rPr>
      </w:pPr>
      <w:r>
        <w:rPr>
          <w:rFonts w:hint="eastAsia" w:ascii="宋体" w:hAnsi="宋体" w:eastAsia="宋体" w:cs="宋体"/>
          <w:sz w:val="24"/>
          <w:szCs w:val="24"/>
          <w:highlight w:val="none"/>
          <w:lang w:eastAsia="zh-CN"/>
        </w:rPr>
        <w:t>项目编号：</w:t>
      </w:r>
      <w:r>
        <w:rPr>
          <w:rFonts w:hint="eastAsia" w:ascii="宋体" w:hAnsi="宋体" w:eastAsia="宋体" w:cs="宋体"/>
          <w:sz w:val="24"/>
          <w:szCs w:val="24"/>
          <w:highlight w:val="none"/>
          <w:lang w:val="en-US" w:eastAsia="zh-CN"/>
        </w:rPr>
        <w:t xml:space="preserve">                        合同编号：</w:t>
      </w:r>
    </w:p>
    <w:p w14:paraId="1814171A">
      <w:pPr>
        <w:rPr>
          <w:rFonts w:hint="eastAsia" w:ascii="宋体" w:hAnsi="宋体" w:eastAsia="宋体" w:cs="宋体"/>
          <w:sz w:val="24"/>
          <w:szCs w:val="24"/>
          <w:highlight w:val="none"/>
        </w:rPr>
      </w:pPr>
      <w:r>
        <w:rPr>
          <w:rFonts w:hint="eastAsia" w:ascii="宋体" w:hAnsi="宋体" w:eastAsia="宋体" w:cs="宋体"/>
          <w:sz w:val="24"/>
          <w:szCs w:val="24"/>
          <w:highlight w:val="none"/>
        </w:rPr>
        <w:t>甲方：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           计价单位：____________</w:t>
      </w:r>
    </w:p>
    <w:p w14:paraId="3963D46A">
      <w:pPr>
        <w:rPr>
          <w:rFonts w:hint="eastAsia" w:ascii="宋体" w:hAnsi="宋体" w:eastAsia="宋体" w:cs="宋体"/>
          <w:sz w:val="24"/>
          <w:szCs w:val="24"/>
          <w:highlight w:val="none"/>
        </w:rPr>
      </w:pPr>
      <w:r>
        <w:rPr>
          <w:rFonts w:hint="eastAsia" w:ascii="宋体" w:hAnsi="宋体" w:eastAsia="宋体" w:cs="宋体"/>
          <w:sz w:val="24"/>
          <w:szCs w:val="24"/>
          <w:highlight w:val="none"/>
        </w:rPr>
        <w:t>乙方：</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           计量单位：____________</w:t>
      </w:r>
    </w:p>
    <w:p w14:paraId="242CEF3C">
      <w:pPr>
        <w:rPr>
          <w:rFonts w:hint="eastAsia" w:ascii="宋体" w:hAnsi="宋体" w:eastAsia="宋体" w:cs="宋体"/>
          <w:sz w:val="24"/>
          <w:szCs w:val="24"/>
          <w:highlight w:val="none"/>
        </w:rPr>
      </w:pPr>
    </w:p>
    <w:p w14:paraId="13827247">
      <w:pPr>
        <w:rPr>
          <w:rFonts w:hint="eastAsia" w:ascii="宋体" w:hAnsi="宋体" w:eastAsia="宋体" w:cs="宋体"/>
          <w:sz w:val="24"/>
          <w:szCs w:val="24"/>
          <w:highlight w:val="none"/>
        </w:rPr>
      </w:pPr>
      <w:r>
        <w:rPr>
          <w:rFonts w:hint="eastAsia" w:ascii="宋体" w:hAnsi="宋体" w:eastAsia="宋体" w:cs="宋体"/>
          <w:sz w:val="24"/>
          <w:szCs w:val="24"/>
          <w:highlight w:val="none"/>
        </w:rPr>
        <w:t>经甲乙双方协商一致，达成以下购销合同：</w:t>
      </w:r>
    </w:p>
    <w:tbl>
      <w:tblPr>
        <w:tblStyle w:val="62"/>
        <w:tblW w:w="97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591"/>
        <w:gridCol w:w="1240"/>
        <w:gridCol w:w="171"/>
        <w:gridCol w:w="487"/>
        <w:gridCol w:w="831"/>
        <w:gridCol w:w="1119"/>
        <w:gridCol w:w="1073"/>
        <w:gridCol w:w="2008"/>
      </w:tblGrid>
      <w:tr w14:paraId="0A145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17" w:type="dxa"/>
            <w:vAlign w:val="center"/>
          </w:tcPr>
          <w:p w14:paraId="6A01CB0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商品名称</w:t>
            </w:r>
          </w:p>
        </w:tc>
        <w:tc>
          <w:tcPr>
            <w:tcW w:w="1591" w:type="dxa"/>
            <w:vAlign w:val="center"/>
          </w:tcPr>
          <w:p w14:paraId="091C44BE">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规格型号</w:t>
            </w:r>
          </w:p>
        </w:tc>
        <w:tc>
          <w:tcPr>
            <w:tcW w:w="1240" w:type="dxa"/>
            <w:vAlign w:val="center"/>
          </w:tcPr>
          <w:p w14:paraId="4E79184C">
            <w:pPr>
              <w:jc w:val="cente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品牌、生产厂家</w:t>
            </w:r>
          </w:p>
        </w:tc>
        <w:tc>
          <w:tcPr>
            <w:tcW w:w="658" w:type="dxa"/>
            <w:gridSpan w:val="2"/>
            <w:vAlign w:val="center"/>
          </w:tcPr>
          <w:p w14:paraId="58E3F0D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831" w:type="dxa"/>
            <w:vAlign w:val="center"/>
          </w:tcPr>
          <w:p w14:paraId="0BE3CA7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119" w:type="dxa"/>
            <w:vAlign w:val="center"/>
          </w:tcPr>
          <w:p w14:paraId="4E09B5ED">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073" w:type="dxa"/>
            <w:vAlign w:val="center"/>
          </w:tcPr>
          <w:p w14:paraId="08645A8A">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交货时间</w:t>
            </w:r>
          </w:p>
        </w:tc>
        <w:tc>
          <w:tcPr>
            <w:tcW w:w="2008" w:type="dxa"/>
            <w:vAlign w:val="center"/>
          </w:tcPr>
          <w:p w14:paraId="4FEF3A45">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交货地点</w:t>
            </w:r>
          </w:p>
        </w:tc>
      </w:tr>
      <w:tr w14:paraId="443ED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C188318">
            <w:pPr>
              <w:jc w:val="center"/>
              <w:rPr>
                <w:rFonts w:hint="eastAsia" w:ascii="宋体" w:hAnsi="宋体" w:eastAsia="宋体" w:cs="宋体"/>
                <w:sz w:val="24"/>
                <w:szCs w:val="24"/>
                <w:highlight w:val="none"/>
              </w:rPr>
            </w:pPr>
          </w:p>
        </w:tc>
        <w:tc>
          <w:tcPr>
            <w:tcW w:w="1591" w:type="dxa"/>
            <w:vAlign w:val="center"/>
          </w:tcPr>
          <w:p w14:paraId="4DEC93DC">
            <w:pPr>
              <w:jc w:val="center"/>
              <w:rPr>
                <w:rFonts w:hint="eastAsia" w:ascii="宋体" w:hAnsi="宋体" w:eastAsia="宋体" w:cs="宋体"/>
                <w:sz w:val="24"/>
                <w:szCs w:val="24"/>
                <w:highlight w:val="none"/>
              </w:rPr>
            </w:pPr>
          </w:p>
        </w:tc>
        <w:tc>
          <w:tcPr>
            <w:tcW w:w="1240" w:type="dxa"/>
            <w:vAlign w:val="center"/>
          </w:tcPr>
          <w:p w14:paraId="1E927279">
            <w:pPr>
              <w:jc w:val="center"/>
              <w:rPr>
                <w:rFonts w:hint="eastAsia" w:ascii="宋体" w:hAnsi="宋体" w:eastAsia="宋体" w:cs="宋体"/>
                <w:sz w:val="24"/>
                <w:szCs w:val="24"/>
                <w:highlight w:val="none"/>
              </w:rPr>
            </w:pPr>
          </w:p>
        </w:tc>
        <w:tc>
          <w:tcPr>
            <w:tcW w:w="658" w:type="dxa"/>
            <w:gridSpan w:val="2"/>
            <w:vAlign w:val="center"/>
          </w:tcPr>
          <w:p w14:paraId="5DFC029E">
            <w:pPr>
              <w:jc w:val="center"/>
              <w:rPr>
                <w:rFonts w:hint="eastAsia" w:ascii="宋体" w:hAnsi="宋体" w:eastAsia="宋体" w:cs="宋体"/>
                <w:sz w:val="24"/>
                <w:szCs w:val="24"/>
                <w:highlight w:val="none"/>
              </w:rPr>
            </w:pPr>
          </w:p>
        </w:tc>
        <w:tc>
          <w:tcPr>
            <w:tcW w:w="831" w:type="dxa"/>
            <w:vAlign w:val="center"/>
          </w:tcPr>
          <w:p w14:paraId="7B23906F">
            <w:pPr>
              <w:jc w:val="center"/>
              <w:rPr>
                <w:rFonts w:hint="eastAsia" w:ascii="宋体" w:hAnsi="宋体" w:eastAsia="宋体" w:cs="宋体"/>
                <w:sz w:val="24"/>
                <w:szCs w:val="24"/>
                <w:highlight w:val="none"/>
              </w:rPr>
            </w:pPr>
          </w:p>
        </w:tc>
        <w:tc>
          <w:tcPr>
            <w:tcW w:w="1119" w:type="dxa"/>
            <w:vAlign w:val="center"/>
          </w:tcPr>
          <w:p w14:paraId="64CDF304">
            <w:pPr>
              <w:jc w:val="center"/>
              <w:rPr>
                <w:rFonts w:hint="eastAsia" w:ascii="宋体" w:hAnsi="宋体" w:eastAsia="宋体" w:cs="宋体"/>
                <w:sz w:val="24"/>
                <w:szCs w:val="24"/>
                <w:highlight w:val="none"/>
              </w:rPr>
            </w:pPr>
          </w:p>
        </w:tc>
        <w:tc>
          <w:tcPr>
            <w:tcW w:w="1073" w:type="dxa"/>
            <w:vAlign w:val="center"/>
          </w:tcPr>
          <w:p w14:paraId="19757CE3">
            <w:pPr>
              <w:jc w:val="center"/>
              <w:rPr>
                <w:rFonts w:hint="eastAsia" w:ascii="宋体" w:hAnsi="宋体" w:eastAsia="宋体" w:cs="宋体"/>
                <w:sz w:val="24"/>
                <w:szCs w:val="24"/>
                <w:highlight w:val="none"/>
              </w:rPr>
            </w:pPr>
          </w:p>
        </w:tc>
        <w:tc>
          <w:tcPr>
            <w:tcW w:w="2008" w:type="dxa"/>
            <w:vAlign w:val="center"/>
          </w:tcPr>
          <w:p w14:paraId="7DD04E5E">
            <w:pPr>
              <w:jc w:val="center"/>
              <w:rPr>
                <w:rFonts w:hint="eastAsia" w:ascii="宋体" w:hAnsi="宋体" w:eastAsia="宋体" w:cs="宋体"/>
                <w:sz w:val="24"/>
                <w:szCs w:val="24"/>
                <w:highlight w:val="none"/>
              </w:rPr>
            </w:pPr>
          </w:p>
        </w:tc>
      </w:tr>
      <w:tr w14:paraId="3C77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0B1B5A3">
            <w:pPr>
              <w:jc w:val="center"/>
              <w:rPr>
                <w:rFonts w:hint="eastAsia" w:ascii="宋体" w:hAnsi="宋体" w:eastAsia="宋体" w:cs="宋体"/>
                <w:sz w:val="24"/>
                <w:szCs w:val="24"/>
                <w:highlight w:val="none"/>
              </w:rPr>
            </w:pPr>
          </w:p>
        </w:tc>
        <w:tc>
          <w:tcPr>
            <w:tcW w:w="1591" w:type="dxa"/>
            <w:vAlign w:val="center"/>
          </w:tcPr>
          <w:p w14:paraId="49FDBDC3">
            <w:pPr>
              <w:jc w:val="center"/>
              <w:rPr>
                <w:rFonts w:hint="eastAsia" w:ascii="宋体" w:hAnsi="宋体" w:eastAsia="宋体" w:cs="宋体"/>
                <w:sz w:val="24"/>
                <w:szCs w:val="24"/>
                <w:highlight w:val="none"/>
              </w:rPr>
            </w:pPr>
          </w:p>
        </w:tc>
        <w:tc>
          <w:tcPr>
            <w:tcW w:w="1240" w:type="dxa"/>
            <w:vAlign w:val="center"/>
          </w:tcPr>
          <w:p w14:paraId="418BE57B">
            <w:pPr>
              <w:jc w:val="center"/>
              <w:rPr>
                <w:rFonts w:hint="eastAsia" w:ascii="宋体" w:hAnsi="宋体" w:eastAsia="宋体" w:cs="宋体"/>
                <w:sz w:val="24"/>
                <w:szCs w:val="24"/>
                <w:highlight w:val="none"/>
              </w:rPr>
            </w:pPr>
          </w:p>
        </w:tc>
        <w:tc>
          <w:tcPr>
            <w:tcW w:w="658" w:type="dxa"/>
            <w:gridSpan w:val="2"/>
            <w:vAlign w:val="center"/>
          </w:tcPr>
          <w:p w14:paraId="040FB620">
            <w:pPr>
              <w:jc w:val="center"/>
              <w:rPr>
                <w:rFonts w:hint="eastAsia" w:ascii="宋体" w:hAnsi="宋体" w:eastAsia="宋体" w:cs="宋体"/>
                <w:sz w:val="24"/>
                <w:szCs w:val="24"/>
                <w:highlight w:val="none"/>
              </w:rPr>
            </w:pPr>
          </w:p>
        </w:tc>
        <w:tc>
          <w:tcPr>
            <w:tcW w:w="831" w:type="dxa"/>
            <w:vAlign w:val="center"/>
          </w:tcPr>
          <w:p w14:paraId="606E3935">
            <w:pPr>
              <w:jc w:val="center"/>
              <w:rPr>
                <w:rFonts w:hint="eastAsia" w:ascii="宋体" w:hAnsi="宋体" w:eastAsia="宋体" w:cs="宋体"/>
                <w:sz w:val="24"/>
                <w:szCs w:val="24"/>
                <w:highlight w:val="none"/>
              </w:rPr>
            </w:pPr>
          </w:p>
        </w:tc>
        <w:tc>
          <w:tcPr>
            <w:tcW w:w="1119" w:type="dxa"/>
            <w:vAlign w:val="center"/>
          </w:tcPr>
          <w:p w14:paraId="56166931">
            <w:pPr>
              <w:jc w:val="center"/>
              <w:rPr>
                <w:rFonts w:hint="eastAsia" w:ascii="宋体" w:hAnsi="宋体" w:eastAsia="宋体" w:cs="宋体"/>
                <w:sz w:val="24"/>
                <w:szCs w:val="24"/>
                <w:highlight w:val="none"/>
              </w:rPr>
            </w:pPr>
          </w:p>
        </w:tc>
        <w:tc>
          <w:tcPr>
            <w:tcW w:w="1073" w:type="dxa"/>
            <w:vAlign w:val="center"/>
          </w:tcPr>
          <w:p w14:paraId="6EFB1CAC">
            <w:pPr>
              <w:jc w:val="center"/>
              <w:rPr>
                <w:rFonts w:hint="eastAsia" w:ascii="宋体" w:hAnsi="宋体" w:eastAsia="宋体" w:cs="宋体"/>
                <w:sz w:val="24"/>
                <w:szCs w:val="24"/>
                <w:highlight w:val="none"/>
              </w:rPr>
            </w:pPr>
          </w:p>
        </w:tc>
        <w:tc>
          <w:tcPr>
            <w:tcW w:w="2008" w:type="dxa"/>
            <w:vAlign w:val="center"/>
          </w:tcPr>
          <w:p w14:paraId="5044C00F">
            <w:pPr>
              <w:jc w:val="center"/>
              <w:rPr>
                <w:rFonts w:hint="eastAsia" w:ascii="宋体" w:hAnsi="宋体" w:eastAsia="宋体" w:cs="宋体"/>
                <w:sz w:val="24"/>
                <w:szCs w:val="24"/>
                <w:highlight w:val="none"/>
              </w:rPr>
            </w:pPr>
          </w:p>
        </w:tc>
      </w:tr>
      <w:tr w14:paraId="5351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913699A">
            <w:pPr>
              <w:jc w:val="center"/>
              <w:rPr>
                <w:rFonts w:hint="eastAsia" w:ascii="宋体" w:hAnsi="宋体" w:eastAsia="宋体" w:cs="宋体"/>
                <w:sz w:val="24"/>
                <w:szCs w:val="24"/>
                <w:highlight w:val="none"/>
              </w:rPr>
            </w:pPr>
          </w:p>
        </w:tc>
        <w:tc>
          <w:tcPr>
            <w:tcW w:w="1591" w:type="dxa"/>
            <w:vAlign w:val="center"/>
          </w:tcPr>
          <w:p w14:paraId="156BE028">
            <w:pPr>
              <w:jc w:val="center"/>
              <w:rPr>
                <w:rFonts w:hint="eastAsia" w:ascii="宋体" w:hAnsi="宋体" w:eastAsia="宋体" w:cs="宋体"/>
                <w:sz w:val="24"/>
                <w:szCs w:val="24"/>
                <w:highlight w:val="none"/>
              </w:rPr>
            </w:pPr>
          </w:p>
        </w:tc>
        <w:tc>
          <w:tcPr>
            <w:tcW w:w="1240" w:type="dxa"/>
            <w:vAlign w:val="center"/>
          </w:tcPr>
          <w:p w14:paraId="7F970CE1">
            <w:pPr>
              <w:jc w:val="center"/>
              <w:rPr>
                <w:rFonts w:hint="eastAsia" w:ascii="宋体" w:hAnsi="宋体" w:eastAsia="宋体" w:cs="宋体"/>
                <w:sz w:val="24"/>
                <w:szCs w:val="24"/>
                <w:highlight w:val="none"/>
              </w:rPr>
            </w:pPr>
          </w:p>
        </w:tc>
        <w:tc>
          <w:tcPr>
            <w:tcW w:w="658" w:type="dxa"/>
            <w:gridSpan w:val="2"/>
            <w:vAlign w:val="center"/>
          </w:tcPr>
          <w:p w14:paraId="63A5241D">
            <w:pPr>
              <w:jc w:val="center"/>
              <w:rPr>
                <w:rFonts w:hint="eastAsia" w:ascii="宋体" w:hAnsi="宋体" w:eastAsia="宋体" w:cs="宋体"/>
                <w:sz w:val="24"/>
                <w:szCs w:val="24"/>
                <w:highlight w:val="none"/>
              </w:rPr>
            </w:pPr>
          </w:p>
        </w:tc>
        <w:tc>
          <w:tcPr>
            <w:tcW w:w="831" w:type="dxa"/>
            <w:vAlign w:val="center"/>
          </w:tcPr>
          <w:p w14:paraId="3577E34D">
            <w:pPr>
              <w:jc w:val="center"/>
              <w:rPr>
                <w:rFonts w:hint="eastAsia" w:ascii="宋体" w:hAnsi="宋体" w:eastAsia="宋体" w:cs="宋体"/>
                <w:sz w:val="24"/>
                <w:szCs w:val="24"/>
                <w:highlight w:val="none"/>
              </w:rPr>
            </w:pPr>
          </w:p>
        </w:tc>
        <w:tc>
          <w:tcPr>
            <w:tcW w:w="1119" w:type="dxa"/>
            <w:vAlign w:val="center"/>
          </w:tcPr>
          <w:p w14:paraId="168B1AB0">
            <w:pPr>
              <w:jc w:val="center"/>
              <w:rPr>
                <w:rFonts w:hint="eastAsia" w:ascii="宋体" w:hAnsi="宋体" w:eastAsia="宋体" w:cs="宋体"/>
                <w:sz w:val="24"/>
                <w:szCs w:val="24"/>
                <w:highlight w:val="none"/>
              </w:rPr>
            </w:pPr>
          </w:p>
        </w:tc>
        <w:tc>
          <w:tcPr>
            <w:tcW w:w="1073" w:type="dxa"/>
            <w:vAlign w:val="center"/>
          </w:tcPr>
          <w:p w14:paraId="11F89209">
            <w:pPr>
              <w:jc w:val="center"/>
              <w:rPr>
                <w:rFonts w:hint="eastAsia" w:ascii="宋体" w:hAnsi="宋体" w:eastAsia="宋体" w:cs="宋体"/>
                <w:sz w:val="24"/>
                <w:szCs w:val="24"/>
                <w:highlight w:val="none"/>
              </w:rPr>
            </w:pPr>
          </w:p>
        </w:tc>
        <w:tc>
          <w:tcPr>
            <w:tcW w:w="2008" w:type="dxa"/>
            <w:vAlign w:val="center"/>
          </w:tcPr>
          <w:p w14:paraId="7EEC5876">
            <w:pPr>
              <w:jc w:val="center"/>
              <w:rPr>
                <w:rFonts w:hint="eastAsia" w:ascii="宋体" w:hAnsi="宋体" w:eastAsia="宋体" w:cs="宋体"/>
                <w:sz w:val="24"/>
                <w:szCs w:val="24"/>
                <w:highlight w:val="none"/>
              </w:rPr>
            </w:pPr>
          </w:p>
        </w:tc>
      </w:tr>
      <w:tr w14:paraId="6F1E9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BFFE918">
            <w:pPr>
              <w:jc w:val="center"/>
              <w:rPr>
                <w:rFonts w:hint="eastAsia" w:ascii="宋体" w:hAnsi="宋体" w:eastAsia="宋体" w:cs="宋体"/>
                <w:sz w:val="24"/>
                <w:szCs w:val="24"/>
                <w:highlight w:val="none"/>
              </w:rPr>
            </w:pPr>
          </w:p>
        </w:tc>
        <w:tc>
          <w:tcPr>
            <w:tcW w:w="1591" w:type="dxa"/>
            <w:vAlign w:val="center"/>
          </w:tcPr>
          <w:p w14:paraId="3ADD2EC3">
            <w:pPr>
              <w:jc w:val="center"/>
              <w:rPr>
                <w:rFonts w:hint="eastAsia" w:ascii="宋体" w:hAnsi="宋体" w:eastAsia="宋体" w:cs="宋体"/>
                <w:sz w:val="24"/>
                <w:szCs w:val="24"/>
                <w:highlight w:val="none"/>
              </w:rPr>
            </w:pPr>
          </w:p>
        </w:tc>
        <w:tc>
          <w:tcPr>
            <w:tcW w:w="1240" w:type="dxa"/>
            <w:vAlign w:val="center"/>
          </w:tcPr>
          <w:p w14:paraId="6C2035B8">
            <w:pPr>
              <w:jc w:val="center"/>
              <w:rPr>
                <w:rFonts w:hint="eastAsia" w:ascii="宋体" w:hAnsi="宋体" w:eastAsia="宋体" w:cs="宋体"/>
                <w:sz w:val="24"/>
                <w:szCs w:val="24"/>
                <w:highlight w:val="none"/>
              </w:rPr>
            </w:pPr>
          </w:p>
        </w:tc>
        <w:tc>
          <w:tcPr>
            <w:tcW w:w="658" w:type="dxa"/>
            <w:gridSpan w:val="2"/>
            <w:vAlign w:val="center"/>
          </w:tcPr>
          <w:p w14:paraId="109B1F99">
            <w:pPr>
              <w:jc w:val="center"/>
              <w:rPr>
                <w:rFonts w:hint="eastAsia" w:ascii="宋体" w:hAnsi="宋体" w:eastAsia="宋体" w:cs="宋体"/>
                <w:sz w:val="24"/>
                <w:szCs w:val="24"/>
                <w:highlight w:val="none"/>
              </w:rPr>
            </w:pPr>
          </w:p>
        </w:tc>
        <w:tc>
          <w:tcPr>
            <w:tcW w:w="831" w:type="dxa"/>
            <w:vAlign w:val="center"/>
          </w:tcPr>
          <w:p w14:paraId="7E554ECF">
            <w:pPr>
              <w:jc w:val="center"/>
              <w:rPr>
                <w:rFonts w:hint="eastAsia" w:ascii="宋体" w:hAnsi="宋体" w:eastAsia="宋体" w:cs="宋体"/>
                <w:sz w:val="24"/>
                <w:szCs w:val="24"/>
                <w:highlight w:val="none"/>
              </w:rPr>
            </w:pPr>
          </w:p>
        </w:tc>
        <w:tc>
          <w:tcPr>
            <w:tcW w:w="1119" w:type="dxa"/>
            <w:vAlign w:val="center"/>
          </w:tcPr>
          <w:p w14:paraId="4D080450">
            <w:pPr>
              <w:jc w:val="center"/>
              <w:rPr>
                <w:rFonts w:hint="eastAsia" w:ascii="宋体" w:hAnsi="宋体" w:eastAsia="宋体" w:cs="宋体"/>
                <w:sz w:val="24"/>
                <w:szCs w:val="24"/>
                <w:highlight w:val="none"/>
              </w:rPr>
            </w:pPr>
          </w:p>
        </w:tc>
        <w:tc>
          <w:tcPr>
            <w:tcW w:w="1073" w:type="dxa"/>
            <w:vAlign w:val="center"/>
          </w:tcPr>
          <w:p w14:paraId="1BE5D935">
            <w:pPr>
              <w:jc w:val="center"/>
              <w:rPr>
                <w:rFonts w:hint="eastAsia" w:ascii="宋体" w:hAnsi="宋体" w:eastAsia="宋体" w:cs="宋体"/>
                <w:sz w:val="24"/>
                <w:szCs w:val="24"/>
                <w:highlight w:val="none"/>
              </w:rPr>
            </w:pPr>
          </w:p>
        </w:tc>
        <w:tc>
          <w:tcPr>
            <w:tcW w:w="2008" w:type="dxa"/>
            <w:vAlign w:val="center"/>
          </w:tcPr>
          <w:p w14:paraId="5F6F628E">
            <w:pPr>
              <w:jc w:val="center"/>
              <w:rPr>
                <w:rFonts w:hint="eastAsia" w:ascii="宋体" w:hAnsi="宋体" w:eastAsia="宋体" w:cs="宋体"/>
                <w:sz w:val="24"/>
                <w:szCs w:val="24"/>
                <w:highlight w:val="none"/>
              </w:rPr>
            </w:pPr>
          </w:p>
        </w:tc>
      </w:tr>
      <w:tr w14:paraId="4AB9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FCFD09C">
            <w:pPr>
              <w:jc w:val="center"/>
              <w:rPr>
                <w:rFonts w:hint="eastAsia" w:ascii="宋体" w:hAnsi="宋体" w:eastAsia="宋体" w:cs="宋体"/>
                <w:sz w:val="24"/>
                <w:szCs w:val="24"/>
                <w:highlight w:val="none"/>
              </w:rPr>
            </w:pPr>
          </w:p>
        </w:tc>
        <w:tc>
          <w:tcPr>
            <w:tcW w:w="1591" w:type="dxa"/>
            <w:vAlign w:val="center"/>
          </w:tcPr>
          <w:p w14:paraId="59C6E618">
            <w:pPr>
              <w:jc w:val="center"/>
              <w:rPr>
                <w:rFonts w:hint="eastAsia" w:ascii="宋体" w:hAnsi="宋体" w:eastAsia="宋体" w:cs="宋体"/>
                <w:sz w:val="24"/>
                <w:szCs w:val="24"/>
                <w:highlight w:val="none"/>
              </w:rPr>
            </w:pPr>
          </w:p>
        </w:tc>
        <w:tc>
          <w:tcPr>
            <w:tcW w:w="1240" w:type="dxa"/>
            <w:vAlign w:val="center"/>
          </w:tcPr>
          <w:p w14:paraId="223F1131">
            <w:pPr>
              <w:jc w:val="center"/>
              <w:rPr>
                <w:rFonts w:hint="eastAsia" w:ascii="宋体" w:hAnsi="宋体" w:eastAsia="宋体" w:cs="宋体"/>
                <w:sz w:val="24"/>
                <w:szCs w:val="24"/>
                <w:highlight w:val="none"/>
              </w:rPr>
            </w:pPr>
          </w:p>
        </w:tc>
        <w:tc>
          <w:tcPr>
            <w:tcW w:w="658" w:type="dxa"/>
            <w:gridSpan w:val="2"/>
            <w:vAlign w:val="center"/>
          </w:tcPr>
          <w:p w14:paraId="664F6E1F">
            <w:pPr>
              <w:jc w:val="center"/>
              <w:rPr>
                <w:rFonts w:hint="eastAsia" w:ascii="宋体" w:hAnsi="宋体" w:eastAsia="宋体" w:cs="宋体"/>
                <w:sz w:val="24"/>
                <w:szCs w:val="24"/>
                <w:highlight w:val="none"/>
              </w:rPr>
            </w:pPr>
          </w:p>
        </w:tc>
        <w:tc>
          <w:tcPr>
            <w:tcW w:w="831" w:type="dxa"/>
            <w:vAlign w:val="center"/>
          </w:tcPr>
          <w:p w14:paraId="5888ACF8">
            <w:pPr>
              <w:jc w:val="center"/>
              <w:rPr>
                <w:rFonts w:hint="eastAsia" w:ascii="宋体" w:hAnsi="宋体" w:eastAsia="宋体" w:cs="宋体"/>
                <w:sz w:val="24"/>
                <w:szCs w:val="24"/>
                <w:highlight w:val="none"/>
              </w:rPr>
            </w:pPr>
          </w:p>
        </w:tc>
        <w:tc>
          <w:tcPr>
            <w:tcW w:w="1119" w:type="dxa"/>
            <w:vAlign w:val="center"/>
          </w:tcPr>
          <w:p w14:paraId="6285FF2B">
            <w:pPr>
              <w:jc w:val="center"/>
              <w:rPr>
                <w:rFonts w:hint="eastAsia" w:ascii="宋体" w:hAnsi="宋体" w:eastAsia="宋体" w:cs="宋体"/>
                <w:sz w:val="24"/>
                <w:szCs w:val="24"/>
                <w:highlight w:val="none"/>
              </w:rPr>
            </w:pPr>
          </w:p>
        </w:tc>
        <w:tc>
          <w:tcPr>
            <w:tcW w:w="1073" w:type="dxa"/>
            <w:vAlign w:val="center"/>
          </w:tcPr>
          <w:p w14:paraId="41E05567">
            <w:pPr>
              <w:jc w:val="center"/>
              <w:rPr>
                <w:rFonts w:hint="eastAsia" w:ascii="宋体" w:hAnsi="宋体" w:eastAsia="宋体" w:cs="宋体"/>
                <w:sz w:val="24"/>
                <w:szCs w:val="24"/>
                <w:highlight w:val="none"/>
              </w:rPr>
            </w:pPr>
          </w:p>
        </w:tc>
        <w:tc>
          <w:tcPr>
            <w:tcW w:w="2008" w:type="dxa"/>
            <w:vAlign w:val="center"/>
          </w:tcPr>
          <w:p w14:paraId="052DBBE9">
            <w:pPr>
              <w:jc w:val="center"/>
              <w:rPr>
                <w:rFonts w:hint="eastAsia" w:ascii="宋体" w:hAnsi="宋体" w:eastAsia="宋体" w:cs="宋体"/>
                <w:sz w:val="24"/>
                <w:szCs w:val="24"/>
                <w:highlight w:val="none"/>
              </w:rPr>
            </w:pPr>
          </w:p>
        </w:tc>
      </w:tr>
      <w:tr w14:paraId="26717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40478C5">
            <w:pPr>
              <w:jc w:val="center"/>
              <w:rPr>
                <w:rFonts w:hint="eastAsia" w:ascii="宋体" w:hAnsi="宋体" w:eastAsia="宋体" w:cs="宋体"/>
                <w:sz w:val="24"/>
                <w:szCs w:val="24"/>
                <w:highlight w:val="none"/>
              </w:rPr>
            </w:pPr>
          </w:p>
        </w:tc>
        <w:tc>
          <w:tcPr>
            <w:tcW w:w="1591" w:type="dxa"/>
            <w:vAlign w:val="center"/>
          </w:tcPr>
          <w:p w14:paraId="3B10A47E">
            <w:pPr>
              <w:jc w:val="center"/>
              <w:rPr>
                <w:rFonts w:hint="eastAsia" w:ascii="宋体" w:hAnsi="宋体" w:eastAsia="宋体" w:cs="宋体"/>
                <w:sz w:val="24"/>
                <w:szCs w:val="24"/>
                <w:highlight w:val="none"/>
              </w:rPr>
            </w:pPr>
          </w:p>
        </w:tc>
        <w:tc>
          <w:tcPr>
            <w:tcW w:w="1240" w:type="dxa"/>
            <w:vAlign w:val="center"/>
          </w:tcPr>
          <w:p w14:paraId="0127F54A">
            <w:pPr>
              <w:jc w:val="center"/>
              <w:rPr>
                <w:rFonts w:hint="eastAsia" w:ascii="宋体" w:hAnsi="宋体" w:eastAsia="宋体" w:cs="宋体"/>
                <w:sz w:val="24"/>
                <w:szCs w:val="24"/>
                <w:highlight w:val="none"/>
              </w:rPr>
            </w:pPr>
          </w:p>
        </w:tc>
        <w:tc>
          <w:tcPr>
            <w:tcW w:w="658" w:type="dxa"/>
            <w:gridSpan w:val="2"/>
            <w:vAlign w:val="center"/>
          </w:tcPr>
          <w:p w14:paraId="0E5DCDC4">
            <w:pPr>
              <w:jc w:val="center"/>
              <w:rPr>
                <w:rFonts w:hint="eastAsia" w:ascii="宋体" w:hAnsi="宋体" w:eastAsia="宋体" w:cs="宋体"/>
                <w:sz w:val="24"/>
                <w:szCs w:val="24"/>
                <w:highlight w:val="none"/>
              </w:rPr>
            </w:pPr>
          </w:p>
        </w:tc>
        <w:tc>
          <w:tcPr>
            <w:tcW w:w="831" w:type="dxa"/>
            <w:vAlign w:val="center"/>
          </w:tcPr>
          <w:p w14:paraId="23098A16">
            <w:pPr>
              <w:jc w:val="center"/>
              <w:rPr>
                <w:rFonts w:hint="eastAsia" w:ascii="宋体" w:hAnsi="宋体" w:eastAsia="宋体" w:cs="宋体"/>
                <w:sz w:val="24"/>
                <w:szCs w:val="24"/>
                <w:highlight w:val="none"/>
              </w:rPr>
            </w:pPr>
          </w:p>
        </w:tc>
        <w:tc>
          <w:tcPr>
            <w:tcW w:w="1119" w:type="dxa"/>
            <w:vAlign w:val="center"/>
          </w:tcPr>
          <w:p w14:paraId="26434F41">
            <w:pPr>
              <w:jc w:val="center"/>
              <w:rPr>
                <w:rFonts w:hint="eastAsia" w:ascii="宋体" w:hAnsi="宋体" w:eastAsia="宋体" w:cs="宋体"/>
                <w:sz w:val="24"/>
                <w:szCs w:val="24"/>
                <w:highlight w:val="none"/>
              </w:rPr>
            </w:pPr>
          </w:p>
        </w:tc>
        <w:tc>
          <w:tcPr>
            <w:tcW w:w="1073" w:type="dxa"/>
            <w:vAlign w:val="center"/>
          </w:tcPr>
          <w:p w14:paraId="08FFA68F">
            <w:pPr>
              <w:jc w:val="center"/>
              <w:rPr>
                <w:rFonts w:hint="eastAsia" w:ascii="宋体" w:hAnsi="宋体" w:eastAsia="宋体" w:cs="宋体"/>
                <w:sz w:val="24"/>
                <w:szCs w:val="24"/>
                <w:highlight w:val="none"/>
              </w:rPr>
            </w:pPr>
          </w:p>
        </w:tc>
        <w:tc>
          <w:tcPr>
            <w:tcW w:w="2008" w:type="dxa"/>
            <w:vAlign w:val="center"/>
          </w:tcPr>
          <w:p w14:paraId="4BC511F8">
            <w:pPr>
              <w:jc w:val="center"/>
              <w:rPr>
                <w:rFonts w:hint="eastAsia" w:ascii="宋体" w:hAnsi="宋体" w:eastAsia="宋体" w:cs="宋体"/>
                <w:sz w:val="24"/>
                <w:szCs w:val="24"/>
                <w:highlight w:val="none"/>
              </w:rPr>
            </w:pPr>
          </w:p>
        </w:tc>
      </w:tr>
      <w:tr w14:paraId="6B02C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7DA0A2E">
            <w:pPr>
              <w:jc w:val="center"/>
              <w:rPr>
                <w:rFonts w:hint="eastAsia" w:ascii="宋体" w:hAnsi="宋体" w:eastAsia="宋体" w:cs="宋体"/>
                <w:sz w:val="24"/>
                <w:szCs w:val="24"/>
                <w:highlight w:val="none"/>
              </w:rPr>
            </w:pPr>
          </w:p>
        </w:tc>
        <w:tc>
          <w:tcPr>
            <w:tcW w:w="1591" w:type="dxa"/>
            <w:vAlign w:val="center"/>
          </w:tcPr>
          <w:p w14:paraId="7DCC60BA">
            <w:pPr>
              <w:jc w:val="center"/>
              <w:rPr>
                <w:rFonts w:hint="eastAsia" w:ascii="宋体" w:hAnsi="宋体" w:eastAsia="宋体" w:cs="宋体"/>
                <w:sz w:val="24"/>
                <w:szCs w:val="24"/>
                <w:highlight w:val="none"/>
              </w:rPr>
            </w:pPr>
          </w:p>
        </w:tc>
        <w:tc>
          <w:tcPr>
            <w:tcW w:w="1240" w:type="dxa"/>
            <w:vAlign w:val="center"/>
          </w:tcPr>
          <w:p w14:paraId="526EA54C">
            <w:pPr>
              <w:jc w:val="center"/>
              <w:rPr>
                <w:rFonts w:hint="eastAsia" w:ascii="宋体" w:hAnsi="宋体" w:eastAsia="宋体" w:cs="宋体"/>
                <w:sz w:val="24"/>
                <w:szCs w:val="24"/>
                <w:highlight w:val="none"/>
              </w:rPr>
            </w:pPr>
          </w:p>
        </w:tc>
        <w:tc>
          <w:tcPr>
            <w:tcW w:w="658" w:type="dxa"/>
            <w:gridSpan w:val="2"/>
            <w:vAlign w:val="center"/>
          </w:tcPr>
          <w:p w14:paraId="2222A33B">
            <w:pPr>
              <w:jc w:val="center"/>
              <w:rPr>
                <w:rFonts w:hint="eastAsia" w:ascii="宋体" w:hAnsi="宋体" w:eastAsia="宋体" w:cs="宋体"/>
                <w:sz w:val="24"/>
                <w:szCs w:val="24"/>
                <w:highlight w:val="none"/>
              </w:rPr>
            </w:pPr>
          </w:p>
        </w:tc>
        <w:tc>
          <w:tcPr>
            <w:tcW w:w="831" w:type="dxa"/>
            <w:vAlign w:val="center"/>
          </w:tcPr>
          <w:p w14:paraId="7810B392">
            <w:pPr>
              <w:jc w:val="center"/>
              <w:rPr>
                <w:rFonts w:hint="eastAsia" w:ascii="宋体" w:hAnsi="宋体" w:eastAsia="宋体" w:cs="宋体"/>
                <w:sz w:val="24"/>
                <w:szCs w:val="24"/>
                <w:highlight w:val="none"/>
              </w:rPr>
            </w:pPr>
          </w:p>
        </w:tc>
        <w:tc>
          <w:tcPr>
            <w:tcW w:w="1119" w:type="dxa"/>
            <w:vAlign w:val="center"/>
          </w:tcPr>
          <w:p w14:paraId="59F7DC46">
            <w:pPr>
              <w:jc w:val="center"/>
              <w:rPr>
                <w:rFonts w:hint="eastAsia" w:ascii="宋体" w:hAnsi="宋体" w:eastAsia="宋体" w:cs="宋体"/>
                <w:sz w:val="24"/>
                <w:szCs w:val="24"/>
                <w:highlight w:val="none"/>
              </w:rPr>
            </w:pPr>
          </w:p>
        </w:tc>
        <w:tc>
          <w:tcPr>
            <w:tcW w:w="1073" w:type="dxa"/>
            <w:vAlign w:val="center"/>
          </w:tcPr>
          <w:p w14:paraId="503C0715">
            <w:pPr>
              <w:jc w:val="center"/>
              <w:rPr>
                <w:rFonts w:hint="eastAsia" w:ascii="宋体" w:hAnsi="宋体" w:eastAsia="宋体" w:cs="宋体"/>
                <w:sz w:val="24"/>
                <w:szCs w:val="24"/>
                <w:highlight w:val="none"/>
              </w:rPr>
            </w:pPr>
          </w:p>
        </w:tc>
        <w:tc>
          <w:tcPr>
            <w:tcW w:w="2008" w:type="dxa"/>
            <w:vAlign w:val="center"/>
          </w:tcPr>
          <w:p w14:paraId="76BD4893">
            <w:pPr>
              <w:jc w:val="center"/>
              <w:rPr>
                <w:rFonts w:hint="eastAsia" w:ascii="宋体" w:hAnsi="宋体" w:eastAsia="宋体" w:cs="宋体"/>
                <w:sz w:val="24"/>
                <w:szCs w:val="24"/>
                <w:highlight w:val="none"/>
              </w:rPr>
            </w:pPr>
          </w:p>
        </w:tc>
      </w:tr>
      <w:tr w14:paraId="2D005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E927E2C">
            <w:pPr>
              <w:jc w:val="center"/>
              <w:rPr>
                <w:rFonts w:hint="eastAsia" w:ascii="宋体" w:hAnsi="宋体" w:eastAsia="宋体" w:cs="宋体"/>
                <w:sz w:val="24"/>
                <w:szCs w:val="24"/>
                <w:highlight w:val="none"/>
              </w:rPr>
            </w:pPr>
          </w:p>
        </w:tc>
        <w:tc>
          <w:tcPr>
            <w:tcW w:w="1591" w:type="dxa"/>
            <w:vAlign w:val="center"/>
          </w:tcPr>
          <w:p w14:paraId="048E3C5A">
            <w:pPr>
              <w:jc w:val="center"/>
              <w:rPr>
                <w:rFonts w:hint="eastAsia" w:ascii="宋体" w:hAnsi="宋体" w:eastAsia="宋体" w:cs="宋体"/>
                <w:sz w:val="24"/>
                <w:szCs w:val="24"/>
                <w:highlight w:val="none"/>
              </w:rPr>
            </w:pPr>
          </w:p>
        </w:tc>
        <w:tc>
          <w:tcPr>
            <w:tcW w:w="1240" w:type="dxa"/>
            <w:vAlign w:val="center"/>
          </w:tcPr>
          <w:p w14:paraId="619F96DF">
            <w:pPr>
              <w:jc w:val="center"/>
              <w:rPr>
                <w:rFonts w:hint="eastAsia" w:ascii="宋体" w:hAnsi="宋体" w:eastAsia="宋体" w:cs="宋体"/>
                <w:sz w:val="24"/>
                <w:szCs w:val="24"/>
                <w:highlight w:val="none"/>
              </w:rPr>
            </w:pPr>
          </w:p>
        </w:tc>
        <w:tc>
          <w:tcPr>
            <w:tcW w:w="658" w:type="dxa"/>
            <w:gridSpan w:val="2"/>
            <w:vAlign w:val="center"/>
          </w:tcPr>
          <w:p w14:paraId="6F4375DE">
            <w:pPr>
              <w:jc w:val="center"/>
              <w:rPr>
                <w:rFonts w:hint="eastAsia" w:ascii="宋体" w:hAnsi="宋体" w:eastAsia="宋体" w:cs="宋体"/>
                <w:sz w:val="24"/>
                <w:szCs w:val="24"/>
                <w:highlight w:val="none"/>
              </w:rPr>
            </w:pPr>
          </w:p>
        </w:tc>
        <w:tc>
          <w:tcPr>
            <w:tcW w:w="831" w:type="dxa"/>
            <w:vAlign w:val="center"/>
          </w:tcPr>
          <w:p w14:paraId="17C61104">
            <w:pPr>
              <w:jc w:val="center"/>
              <w:rPr>
                <w:rFonts w:hint="eastAsia" w:ascii="宋体" w:hAnsi="宋体" w:eastAsia="宋体" w:cs="宋体"/>
                <w:sz w:val="24"/>
                <w:szCs w:val="24"/>
                <w:highlight w:val="none"/>
              </w:rPr>
            </w:pPr>
          </w:p>
        </w:tc>
        <w:tc>
          <w:tcPr>
            <w:tcW w:w="1119" w:type="dxa"/>
            <w:vAlign w:val="center"/>
          </w:tcPr>
          <w:p w14:paraId="6E22A688">
            <w:pPr>
              <w:jc w:val="center"/>
              <w:rPr>
                <w:rFonts w:hint="eastAsia" w:ascii="宋体" w:hAnsi="宋体" w:eastAsia="宋体" w:cs="宋体"/>
                <w:sz w:val="24"/>
                <w:szCs w:val="24"/>
                <w:highlight w:val="none"/>
              </w:rPr>
            </w:pPr>
          </w:p>
        </w:tc>
        <w:tc>
          <w:tcPr>
            <w:tcW w:w="1073" w:type="dxa"/>
            <w:vAlign w:val="center"/>
          </w:tcPr>
          <w:p w14:paraId="1BA1315C">
            <w:pPr>
              <w:jc w:val="center"/>
              <w:rPr>
                <w:rFonts w:hint="eastAsia" w:ascii="宋体" w:hAnsi="宋体" w:eastAsia="宋体" w:cs="宋体"/>
                <w:sz w:val="24"/>
                <w:szCs w:val="24"/>
                <w:highlight w:val="none"/>
              </w:rPr>
            </w:pPr>
          </w:p>
        </w:tc>
        <w:tc>
          <w:tcPr>
            <w:tcW w:w="2008" w:type="dxa"/>
            <w:vAlign w:val="center"/>
          </w:tcPr>
          <w:p w14:paraId="33EB99A5">
            <w:pPr>
              <w:jc w:val="center"/>
              <w:rPr>
                <w:rFonts w:hint="eastAsia" w:ascii="宋体" w:hAnsi="宋体" w:eastAsia="宋体" w:cs="宋体"/>
                <w:sz w:val="24"/>
                <w:szCs w:val="24"/>
                <w:highlight w:val="none"/>
              </w:rPr>
            </w:pPr>
          </w:p>
        </w:tc>
      </w:tr>
      <w:tr w14:paraId="4A3B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6BCBE1D">
            <w:pPr>
              <w:jc w:val="center"/>
              <w:rPr>
                <w:rFonts w:hint="eastAsia" w:ascii="宋体" w:hAnsi="宋体" w:eastAsia="宋体" w:cs="宋体"/>
                <w:sz w:val="24"/>
                <w:szCs w:val="24"/>
                <w:highlight w:val="none"/>
              </w:rPr>
            </w:pPr>
          </w:p>
        </w:tc>
        <w:tc>
          <w:tcPr>
            <w:tcW w:w="1591" w:type="dxa"/>
            <w:vAlign w:val="center"/>
          </w:tcPr>
          <w:p w14:paraId="409C0E0B">
            <w:pPr>
              <w:jc w:val="center"/>
              <w:rPr>
                <w:rFonts w:hint="eastAsia" w:ascii="宋体" w:hAnsi="宋体" w:eastAsia="宋体" w:cs="宋体"/>
                <w:sz w:val="24"/>
                <w:szCs w:val="24"/>
                <w:highlight w:val="none"/>
              </w:rPr>
            </w:pPr>
          </w:p>
        </w:tc>
        <w:tc>
          <w:tcPr>
            <w:tcW w:w="1240" w:type="dxa"/>
            <w:vAlign w:val="center"/>
          </w:tcPr>
          <w:p w14:paraId="2F125DEE">
            <w:pPr>
              <w:jc w:val="center"/>
              <w:rPr>
                <w:rFonts w:hint="eastAsia" w:ascii="宋体" w:hAnsi="宋体" w:eastAsia="宋体" w:cs="宋体"/>
                <w:sz w:val="24"/>
                <w:szCs w:val="24"/>
                <w:highlight w:val="none"/>
              </w:rPr>
            </w:pPr>
          </w:p>
        </w:tc>
        <w:tc>
          <w:tcPr>
            <w:tcW w:w="658" w:type="dxa"/>
            <w:gridSpan w:val="2"/>
            <w:vAlign w:val="center"/>
          </w:tcPr>
          <w:p w14:paraId="412A7129">
            <w:pPr>
              <w:jc w:val="center"/>
              <w:rPr>
                <w:rFonts w:hint="eastAsia" w:ascii="宋体" w:hAnsi="宋体" w:eastAsia="宋体" w:cs="宋体"/>
                <w:sz w:val="24"/>
                <w:szCs w:val="24"/>
                <w:highlight w:val="none"/>
              </w:rPr>
            </w:pPr>
          </w:p>
        </w:tc>
        <w:tc>
          <w:tcPr>
            <w:tcW w:w="831" w:type="dxa"/>
            <w:vAlign w:val="center"/>
          </w:tcPr>
          <w:p w14:paraId="3BE78F8E">
            <w:pPr>
              <w:jc w:val="center"/>
              <w:rPr>
                <w:rFonts w:hint="eastAsia" w:ascii="宋体" w:hAnsi="宋体" w:eastAsia="宋体" w:cs="宋体"/>
                <w:sz w:val="24"/>
                <w:szCs w:val="24"/>
                <w:highlight w:val="none"/>
              </w:rPr>
            </w:pPr>
          </w:p>
        </w:tc>
        <w:tc>
          <w:tcPr>
            <w:tcW w:w="1119" w:type="dxa"/>
            <w:vAlign w:val="center"/>
          </w:tcPr>
          <w:p w14:paraId="14B5319F">
            <w:pPr>
              <w:jc w:val="center"/>
              <w:rPr>
                <w:rFonts w:hint="eastAsia" w:ascii="宋体" w:hAnsi="宋体" w:eastAsia="宋体" w:cs="宋体"/>
                <w:sz w:val="24"/>
                <w:szCs w:val="24"/>
                <w:highlight w:val="none"/>
              </w:rPr>
            </w:pPr>
          </w:p>
        </w:tc>
        <w:tc>
          <w:tcPr>
            <w:tcW w:w="1073" w:type="dxa"/>
            <w:vAlign w:val="center"/>
          </w:tcPr>
          <w:p w14:paraId="5E353CCC">
            <w:pPr>
              <w:jc w:val="center"/>
              <w:rPr>
                <w:rFonts w:hint="eastAsia" w:ascii="宋体" w:hAnsi="宋体" w:eastAsia="宋体" w:cs="宋体"/>
                <w:sz w:val="24"/>
                <w:szCs w:val="24"/>
                <w:highlight w:val="none"/>
              </w:rPr>
            </w:pPr>
          </w:p>
        </w:tc>
        <w:tc>
          <w:tcPr>
            <w:tcW w:w="2008" w:type="dxa"/>
            <w:vAlign w:val="center"/>
          </w:tcPr>
          <w:p w14:paraId="2E244543">
            <w:pPr>
              <w:jc w:val="center"/>
              <w:rPr>
                <w:rFonts w:hint="eastAsia" w:ascii="宋体" w:hAnsi="宋体" w:eastAsia="宋体" w:cs="宋体"/>
                <w:sz w:val="24"/>
                <w:szCs w:val="24"/>
                <w:highlight w:val="none"/>
              </w:rPr>
            </w:pPr>
          </w:p>
        </w:tc>
      </w:tr>
      <w:tr w14:paraId="077DF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FE064F">
            <w:pPr>
              <w:jc w:val="center"/>
              <w:rPr>
                <w:rFonts w:hint="eastAsia" w:ascii="宋体" w:hAnsi="宋体" w:eastAsia="宋体" w:cs="宋体"/>
                <w:sz w:val="24"/>
                <w:szCs w:val="24"/>
                <w:highlight w:val="none"/>
              </w:rPr>
            </w:pPr>
          </w:p>
        </w:tc>
        <w:tc>
          <w:tcPr>
            <w:tcW w:w="1591" w:type="dxa"/>
            <w:vAlign w:val="center"/>
          </w:tcPr>
          <w:p w14:paraId="473D49BB">
            <w:pPr>
              <w:jc w:val="center"/>
              <w:rPr>
                <w:rFonts w:hint="eastAsia" w:ascii="宋体" w:hAnsi="宋体" w:eastAsia="宋体" w:cs="宋体"/>
                <w:sz w:val="24"/>
                <w:szCs w:val="24"/>
                <w:highlight w:val="none"/>
              </w:rPr>
            </w:pPr>
          </w:p>
        </w:tc>
        <w:tc>
          <w:tcPr>
            <w:tcW w:w="1240" w:type="dxa"/>
            <w:vAlign w:val="center"/>
          </w:tcPr>
          <w:p w14:paraId="15EBDB2C">
            <w:pPr>
              <w:jc w:val="center"/>
              <w:rPr>
                <w:rFonts w:hint="eastAsia" w:ascii="宋体" w:hAnsi="宋体" w:eastAsia="宋体" w:cs="宋体"/>
                <w:sz w:val="24"/>
                <w:szCs w:val="24"/>
                <w:highlight w:val="none"/>
              </w:rPr>
            </w:pPr>
          </w:p>
        </w:tc>
        <w:tc>
          <w:tcPr>
            <w:tcW w:w="658" w:type="dxa"/>
            <w:gridSpan w:val="2"/>
            <w:vAlign w:val="center"/>
          </w:tcPr>
          <w:p w14:paraId="3D726EF7">
            <w:pPr>
              <w:jc w:val="center"/>
              <w:rPr>
                <w:rFonts w:hint="eastAsia" w:ascii="宋体" w:hAnsi="宋体" w:eastAsia="宋体" w:cs="宋体"/>
                <w:sz w:val="24"/>
                <w:szCs w:val="24"/>
                <w:highlight w:val="none"/>
              </w:rPr>
            </w:pPr>
          </w:p>
        </w:tc>
        <w:tc>
          <w:tcPr>
            <w:tcW w:w="831" w:type="dxa"/>
            <w:vAlign w:val="center"/>
          </w:tcPr>
          <w:p w14:paraId="4D1A4CE5">
            <w:pPr>
              <w:jc w:val="center"/>
              <w:rPr>
                <w:rFonts w:hint="eastAsia" w:ascii="宋体" w:hAnsi="宋体" w:eastAsia="宋体" w:cs="宋体"/>
                <w:sz w:val="24"/>
                <w:szCs w:val="24"/>
                <w:highlight w:val="none"/>
              </w:rPr>
            </w:pPr>
          </w:p>
        </w:tc>
        <w:tc>
          <w:tcPr>
            <w:tcW w:w="1119" w:type="dxa"/>
            <w:vAlign w:val="center"/>
          </w:tcPr>
          <w:p w14:paraId="54010F6F">
            <w:pPr>
              <w:jc w:val="center"/>
              <w:rPr>
                <w:rFonts w:hint="eastAsia" w:ascii="宋体" w:hAnsi="宋体" w:eastAsia="宋体" w:cs="宋体"/>
                <w:sz w:val="24"/>
                <w:szCs w:val="24"/>
                <w:highlight w:val="none"/>
              </w:rPr>
            </w:pPr>
          </w:p>
        </w:tc>
        <w:tc>
          <w:tcPr>
            <w:tcW w:w="1073" w:type="dxa"/>
            <w:vAlign w:val="center"/>
          </w:tcPr>
          <w:p w14:paraId="6C6506B3">
            <w:pPr>
              <w:jc w:val="center"/>
              <w:rPr>
                <w:rFonts w:hint="eastAsia" w:ascii="宋体" w:hAnsi="宋体" w:eastAsia="宋体" w:cs="宋体"/>
                <w:sz w:val="24"/>
                <w:szCs w:val="24"/>
                <w:highlight w:val="none"/>
              </w:rPr>
            </w:pPr>
          </w:p>
        </w:tc>
        <w:tc>
          <w:tcPr>
            <w:tcW w:w="2008" w:type="dxa"/>
            <w:vAlign w:val="center"/>
          </w:tcPr>
          <w:p w14:paraId="40BD05CF">
            <w:pPr>
              <w:jc w:val="center"/>
              <w:rPr>
                <w:rFonts w:hint="eastAsia" w:ascii="宋体" w:hAnsi="宋体" w:eastAsia="宋体" w:cs="宋体"/>
                <w:sz w:val="24"/>
                <w:szCs w:val="24"/>
                <w:highlight w:val="none"/>
              </w:rPr>
            </w:pPr>
          </w:p>
        </w:tc>
      </w:tr>
      <w:tr w14:paraId="70328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E53B79F">
            <w:pPr>
              <w:jc w:val="center"/>
              <w:rPr>
                <w:rFonts w:hint="eastAsia" w:ascii="宋体" w:hAnsi="宋体" w:eastAsia="宋体" w:cs="宋体"/>
                <w:sz w:val="24"/>
                <w:szCs w:val="24"/>
                <w:highlight w:val="none"/>
              </w:rPr>
            </w:pPr>
          </w:p>
        </w:tc>
        <w:tc>
          <w:tcPr>
            <w:tcW w:w="1591" w:type="dxa"/>
            <w:vAlign w:val="center"/>
          </w:tcPr>
          <w:p w14:paraId="51C91032">
            <w:pPr>
              <w:jc w:val="center"/>
              <w:rPr>
                <w:rFonts w:hint="eastAsia" w:ascii="宋体" w:hAnsi="宋体" w:eastAsia="宋体" w:cs="宋体"/>
                <w:sz w:val="24"/>
                <w:szCs w:val="24"/>
                <w:highlight w:val="none"/>
              </w:rPr>
            </w:pPr>
          </w:p>
        </w:tc>
        <w:tc>
          <w:tcPr>
            <w:tcW w:w="1240" w:type="dxa"/>
            <w:vAlign w:val="center"/>
          </w:tcPr>
          <w:p w14:paraId="3547F8EF">
            <w:pPr>
              <w:jc w:val="center"/>
              <w:rPr>
                <w:rFonts w:hint="eastAsia" w:ascii="宋体" w:hAnsi="宋体" w:eastAsia="宋体" w:cs="宋体"/>
                <w:sz w:val="24"/>
                <w:szCs w:val="24"/>
                <w:highlight w:val="none"/>
              </w:rPr>
            </w:pPr>
          </w:p>
        </w:tc>
        <w:tc>
          <w:tcPr>
            <w:tcW w:w="658" w:type="dxa"/>
            <w:gridSpan w:val="2"/>
            <w:vAlign w:val="center"/>
          </w:tcPr>
          <w:p w14:paraId="5846C498">
            <w:pPr>
              <w:jc w:val="center"/>
              <w:rPr>
                <w:rFonts w:hint="eastAsia" w:ascii="宋体" w:hAnsi="宋体" w:eastAsia="宋体" w:cs="宋体"/>
                <w:sz w:val="24"/>
                <w:szCs w:val="24"/>
                <w:highlight w:val="none"/>
              </w:rPr>
            </w:pPr>
          </w:p>
        </w:tc>
        <w:tc>
          <w:tcPr>
            <w:tcW w:w="831" w:type="dxa"/>
            <w:vAlign w:val="center"/>
          </w:tcPr>
          <w:p w14:paraId="15AA6077">
            <w:pPr>
              <w:jc w:val="center"/>
              <w:rPr>
                <w:rFonts w:hint="eastAsia" w:ascii="宋体" w:hAnsi="宋体" w:eastAsia="宋体" w:cs="宋体"/>
                <w:sz w:val="24"/>
                <w:szCs w:val="24"/>
                <w:highlight w:val="none"/>
              </w:rPr>
            </w:pPr>
          </w:p>
        </w:tc>
        <w:tc>
          <w:tcPr>
            <w:tcW w:w="1119" w:type="dxa"/>
            <w:vAlign w:val="center"/>
          </w:tcPr>
          <w:p w14:paraId="388FEDE4">
            <w:pPr>
              <w:jc w:val="center"/>
              <w:rPr>
                <w:rFonts w:hint="eastAsia" w:ascii="宋体" w:hAnsi="宋体" w:eastAsia="宋体" w:cs="宋体"/>
                <w:sz w:val="24"/>
                <w:szCs w:val="24"/>
                <w:highlight w:val="none"/>
              </w:rPr>
            </w:pPr>
          </w:p>
        </w:tc>
        <w:tc>
          <w:tcPr>
            <w:tcW w:w="1073" w:type="dxa"/>
            <w:vAlign w:val="center"/>
          </w:tcPr>
          <w:p w14:paraId="62FD1BF5">
            <w:pPr>
              <w:jc w:val="center"/>
              <w:rPr>
                <w:rFonts w:hint="eastAsia" w:ascii="宋体" w:hAnsi="宋体" w:eastAsia="宋体" w:cs="宋体"/>
                <w:sz w:val="24"/>
                <w:szCs w:val="24"/>
                <w:highlight w:val="none"/>
              </w:rPr>
            </w:pPr>
          </w:p>
        </w:tc>
        <w:tc>
          <w:tcPr>
            <w:tcW w:w="2008" w:type="dxa"/>
            <w:vAlign w:val="center"/>
          </w:tcPr>
          <w:p w14:paraId="49472F85">
            <w:pPr>
              <w:jc w:val="center"/>
              <w:rPr>
                <w:rFonts w:hint="eastAsia" w:ascii="宋体" w:hAnsi="宋体" w:eastAsia="宋体" w:cs="宋体"/>
                <w:sz w:val="24"/>
                <w:szCs w:val="24"/>
                <w:highlight w:val="none"/>
              </w:rPr>
            </w:pPr>
          </w:p>
        </w:tc>
      </w:tr>
      <w:tr w14:paraId="36A6F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2B36738A">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合计人民币（小写）：</w:t>
            </w:r>
          </w:p>
        </w:tc>
      </w:tr>
      <w:tr w14:paraId="7DF76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737" w:type="dxa"/>
            <w:gridSpan w:val="9"/>
            <w:vAlign w:val="center"/>
          </w:tcPr>
          <w:p w14:paraId="0D98411C">
            <w:pPr>
              <w:rPr>
                <w:rFonts w:hint="eastAsia" w:ascii="宋体" w:hAnsi="宋体" w:eastAsia="宋体" w:cs="宋体"/>
                <w:sz w:val="24"/>
                <w:szCs w:val="24"/>
                <w:highlight w:val="none"/>
              </w:rPr>
            </w:pPr>
            <w:r>
              <w:rPr>
                <w:rFonts w:hint="eastAsia" w:ascii="宋体" w:hAnsi="宋体" w:eastAsia="宋体" w:cs="宋体"/>
                <w:sz w:val="24"/>
                <w:szCs w:val="24"/>
                <w:highlight w:val="none"/>
              </w:rPr>
              <w:t>合计人民币（大写）：</w:t>
            </w:r>
          </w:p>
        </w:tc>
      </w:tr>
      <w:tr w14:paraId="1DC2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737" w:type="dxa"/>
            <w:gridSpan w:val="9"/>
            <w:vAlign w:val="top"/>
          </w:tcPr>
          <w:p w14:paraId="3FCACF9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一、质量要求和技术标准。供方提供的商品必须是全新的，完全符合国家有关技术标准，供方的质量保证及售后服务承诺如下：</w:t>
            </w:r>
          </w:p>
          <w:p w14:paraId="4EB4F6F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1.质保期限：</w:t>
            </w:r>
          </w:p>
          <w:p w14:paraId="3D62FBF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2.保修范围：</w:t>
            </w:r>
          </w:p>
          <w:p w14:paraId="2C508CA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3.服务措施：</w:t>
            </w:r>
          </w:p>
          <w:p w14:paraId="366351F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4.质保期后服务：</w:t>
            </w:r>
          </w:p>
        </w:tc>
      </w:tr>
      <w:tr w14:paraId="3BFF5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9737" w:type="dxa"/>
            <w:gridSpan w:val="9"/>
            <w:vAlign w:val="top"/>
          </w:tcPr>
          <w:p w14:paraId="791F542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二、随机备品、附件、工具数量及供应方法：</w:t>
            </w:r>
          </w:p>
        </w:tc>
      </w:tr>
      <w:tr w14:paraId="472C3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9737" w:type="dxa"/>
            <w:gridSpan w:val="9"/>
            <w:vAlign w:val="top"/>
          </w:tcPr>
          <w:p w14:paraId="09DFBFE1">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三、交提货方式：</w:t>
            </w:r>
          </w:p>
        </w:tc>
      </w:tr>
      <w:tr w14:paraId="1D8DB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9737" w:type="dxa"/>
            <w:gridSpan w:val="9"/>
            <w:vAlign w:val="top"/>
          </w:tcPr>
          <w:p w14:paraId="2F340BE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四、验收标准、方法：</w:t>
            </w:r>
          </w:p>
          <w:p w14:paraId="739D5FE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如有异议，请于      日内提出。</w:t>
            </w:r>
          </w:p>
        </w:tc>
      </w:tr>
      <w:tr w14:paraId="49996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737" w:type="dxa"/>
            <w:gridSpan w:val="9"/>
            <w:vAlign w:val="top"/>
          </w:tcPr>
          <w:p w14:paraId="56EFC4B4">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五、履约验收</w:t>
            </w:r>
          </w:p>
        </w:tc>
      </w:tr>
      <w:tr w14:paraId="086DF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737" w:type="dxa"/>
            <w:gridSpan w:val="9"/>
            <w:vAlign w:val="top"/>
          </w:tcPr>
          <w:p w14:paraId="6945BBC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六、付款方式：</w:t>
            </w:r>
          </w:p>
          <w:p w14:paraId="172E2C7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（按财政支付、采购人支付及支付方式等分别填列）</w:t>
            </w:r>
          </w:p>
        </w:tc>
      </w:tr>
      <w:tr w14:paraId="54C35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9737" w:type="dxa"/>
            <w:gridSpan w:val="9"/>
            <w:vAlign w:val="top"/>
          </w:tcPr>
          <w:p w14:paraId="752E721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七</w:t>
            </w:r>
            <w:r>
              <w:rPr>
                <w:rFonts w:hint="eastAsia" w:ascii="宋体" w:hAnsi="宋体" w:eastAsia="宋体" w:cs="宋体"/>
                <w:sz w:val="24"/>
                <w:szCs w:val="24"/>
                <w:highlight w:val="none"/>
              </w:rPr>
              <w:t>、违约责任：</w:t>
            </w:r>
          </w:p>
          <w:p w14:paraId="5ECAD40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按《中华人民共和国民法典》、《中华人民共和国政府采购法》执行，或按双方约定。</w:t>
            </w:r>
          </w:p>
        </w:tc>
      </w:tr>
      <w:tr w14:paraId="64553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737" w:type="dxa"/>
            <w:gridSpan w:val="9"/>
            <w:vAlign w:val="top"/>
          </w:tcPr>
          <w:p w14:paraId="6DA7E26E">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八</w:t>
            </w:r>
            <w:r>
              <w:rPr>
                <w:rFonts w:hint="eastAsia" w:ascii="宋体" w:hAnsi="宋体" w:eastAsia="宋体" w:cs="宋体"/>
                <w:sz w:val="24"/>
                <w:szCs w:val="24"/>
                <w:highlight w:val="none"/>
              </w:rPr>
              <w:t>、其他约定事项：</w:t>
            </w:r>
          </w:p>
          <w:p w14:paraId="68C6D0D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竞采文件</w:t>
            </w:r>
            <w:r>
              <w:rPr>
                <w:rFonts w:hint="eastAsia" w:ascii="宋体" w:hAnsi="宋体" w:eastAsia="宋体" w:cs="宋体"/>
                <w:sz w:val="24"/>
                <w:szCs w:val="24"/>
                <w:highlight w:val="none"/>
              </w:rPr>
              <w:t>及其澄清文件、电子响应文件和承诺是本合同不可分割的部分。</w:t>
            </w:r>
          </w:p>
          <w:p w14:paraId="76EC48E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本合同如发生争议由双方协商解决，协商不成向需方所在仲裁机构提请仲裁。</w:t>
            </w:r>
          </w:p>
          <w:p w14:paraId="061022F5">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本合同一式叁份， 需方__份，供方__份，采购代理机构壹份，具同等法律效力。</w:t>
            </w:r>
          </w:p>
          <w:p w14:paraId="41709A9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其他：</w:t>
            </w:r>
          </w:p>
        </w:tc>
      </w:tr>
      <w:tr w14:paraId="61344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1" w:hRule="atLeast"/>
        </w:trPr>
        <w:tc>
          <w:tcPr>
            <w:tcW w:w="4219" w:type="dxa"/>
            <w:gridSpan w:val="4"/>
            <w:vAlign w:val="top"/>
          </w:tcPr>
          <w:p w14:paraId="3F9C8D68">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需方：</w:t>
            </w:r>
          </w:p>
          <w:p w14:paraId="24A3FF6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71D67D33">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p w14:paraId="191CFB60">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tc>
        <w:tc>
          <w:tcPr>
            <w:tcW w:w="5518" w:type="dxa"/>
            <w:gridSpan w:val="5"/>
            <w:vAlign w:val="top"/>
          </w:tcPr>
          <w:p w14:paraId="232A3DF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供方：</w:t>
            </w:r>
          </w:p>
          <w:p w14:paraId="38B3FFCA">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p>
          <w:p w14:paraId="2D0C934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电话：</w:t>
            </w:r>
          </w:p>
          <w:p w14:paraId="0A7D21BC">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传真：</w:t>
            </w:r>
          </w:p>
          <w:p w14:paraId="028D0242">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p w14:paraId="68B38D69">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账号：</w:t>
            </w:r>
          </w:p>
          <w:p w14:paraId="2D0AAB3B">
            <w:pPr>
              <w:tabs>
                <w:tab w:val="left" w:pos="360"/>
              </w:tabs>
              <w:rPr>
                <w:rFonts w:hint="eastAsia" w:ascii="宋体" w:hAnsi="宋体" w:eastAsia="宋体" w:cs="宋体"/>
                <w:sz w:val="24"/>
                <w:szCs w:val="24"/>
                <w:highlight w:val="none"/>
              </w:rPr>
            </w:pPr>
            <w:r>
              <w:rPr>
                <w:rFonts w:hint="eastAsia" w:ascii="宋体" w:hAnsi="宋体" w:eastAsia="宋体" w:cs="宋体"/>
                <w:sz w:val="24"/>
                <w:szCs w:val="24"/>
                <w:highlight w:val="none"/>
              </w:rPr>
              <w:t>授权代表：</w:t>
            </w:r>
          </w:p>
          <w:p w14:paraId="4C97926B">
            <w:pPr>
              <w:tabs>
                <w:tab w:val="left" w:pos="360"/>
              </w:tabs>
              <w:rPr>
                <w:rFonts w:hint="eastAsia" w:ascii="宋体" w:hAnsi="宋体" w:eastAsia="宋体" w:cs="宋体"/>
                <w:sz w:val="24"/>
                <w:szCs w:val="24"/>
                <w:highlight w:val="none"/>
              </w:rPr>
            </w:pPr>
          </w:p>
          <w:p w14:paraId="2389CC25">
            <w:pPr>
              <w:tabs>
                <w:tab w:val="left" w:pos="360"/>
              </w:tabs>
              <w:rPr>
                <w:rFonts w:hint="eastAsia" w:ascii="宋体" w:hAnsi="宋体" w:eastAsia="宋体" w:cs="宋体"/>
                <w:sz w:val="24"/>
                <w:szCs w:val="24"/>
                <w:highlight w:val="none"/>
              </w:rPr>
            </w:pPr>
          </w:p>
          <w:p w14:paraId="0144A8C9">
            <w:pPr>
              <w:rPr>
                <w:rFonts w:hint="eastAsia" w:ascii="宋体" w:hAnsi="宋体" w:eastAsia="宋体" w:cs="宋体"/>
                <w:sz w:val="24"/>
                <w:szCs w:val="24"/>
                <w:highlight w:val="none"/>
              </w:rPr>
            </w:pPr>
            <w:r>
              <w:rPr>
                <w:rFonts w:hint="eastAsia" w:ascii="宋体" w:hAnsi="宋体" w:eastAsia="宋体" w:cs="宋体"/>
                <w:sz w:val="24"/>
                <w:szCs w:val="24"/>
                <w:highlight w:val="none"/>
              </w:rPr>
              <w:t>（本栏请用计算机打印以便于准确付款）</w:t>
            </w:r>
          </w:p>
          <w:p w14:paraId="5ABCA2AD">
            <w:pPr>
              <w:tabs>
                <w:tab w:val="left" w:pos="360"/>
              </w:tabs>
              <w:rPr>
                <w:rFonts w:hint="eastAsia" w:ascii="宋体" w:hAnsi="宋体" w:eastAsia="宋体" w:cs="宋体"/>
                <w:sz w:val="24"/>
                <w:szCs w:val="24"/>
                <w:highlight w:val="none"/>
              </w:rPr>
            </w:pPr>
          </w:p>
        </w:tc>
      </w:tr>
      <w:tr w14:paraId="4CA81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737" w:type="dxa"/>
            <w:gridSpan w:val="9"/>
            <w:vAlign w:val="top"/>
          </w:tcPr>
          <w:p w14:paraId="6CC5836F">
            <w:pP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bl>
    <w:p w14:paraId="505FB1A4">
      <w:pPr>
        <w:pStyle w:val="275"/>
        <w:rPr>
          <w:rFonts w:hint="eastAsia" w:ascii="宋体" w:hAnsi="宋体" w:eastAsia="宋体" w:cs="宋体"/>
          <w:sz w:val="24"/>
          <w:szCs w:val="24"/>
          <w:highlight w:val="none"/>
        </w:rPr>
        <w:sectPr>
          <w:headerReference r:id="rId5" w:type="default"/>
          <w:footerReference r:id="rId6" w:type="default"/>
          <w:pgSz w:w="11907" w:h="16840"/>
          <w:pgMar w:top="1134" w:right="1191" w:bottom="1134" w:left="1304" w:header="964" w:footer="992" w:gutter="0"/>
          <w:pgNumType w:fmt="numberInDash"/>
          <w:cols w:space="720" w:num="1"/>
          <w:docGrid w:linePitch="312" w:charSpace="0"/>
        </w:sectPr>
      </w:pPr>
      <w:r>
        <w:rPr>
          <w:rFonts w:hint="eastAsia" w:ascii="宋体" w:hAnsi="宋体" w:eastAsia="宋体" w:cs="宋体"/>
          <w:sz w:val="24"/>
          <w:szCs w:val="24"/>
          <w:highlight w:val="none"/>
        </w:rPr>
        <w:t>签约时间：</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年   月   日</w:t>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ab/>
      </w:r>
      <w:r>
        <w:rPr>
          <w:rFonts w:hint="eastAsia" w:ascii="宋体" w:hAnsi="宋体" w:eastAsia="宋体" w:cs="宋体"/>
          <w:sz w:val="24"/>
          <w:szCs w:val="24"/>
          <w:highlight w:val="none"/>
        </w:rPr>
        <w:t>签约地点：</w:t>
      </w:r>
    </w:p>
    <w:p w14:paraId="1AA0CDAC">
      <w:pPr>
        <w:jc w:val="center"/>
        <w:rPr>
          <w:rFonts w:hint="eastAsia" w:ascii="宋体" w:hAnsi="宋体" w:eastAsia="宋体" w:cs="宋体"/>
          <w:bCs/>
          <w:color w:val="auto"/>
          <w:sz w:val="36"/>
          <w:szCs w:val="30"/>
          <w:highlight w:val="none"/>
        </w:rPr>
      </w:pPr>
      <w:r>
        <w:rPr>
          <w:rFonts w:hint="eastAsia" w:ascii="宋体" w:hAnsi="宋体" w:eastAsia="宋体" w:cs="宋体"/>
          <w:b/>
          <w:bCs/>
          <w:color w:val="auto"/>
          <w:sz w:val="36"/>
          <w:szCs w:val="30"/>
          <w:highlight w:val="none"/>
        </w:rPr>
        <w:t>第七篇响应文件编制要求</w:t>
      </w:r>
    </w:p>
    <w:p w14:paraId="3E9FA126">
      <w:pPr>
        <w:spacing w:line="440" w:lineRule="exact"/>
        <w:ind w:firstLine="480" w:firstLineChars="200"/>
        <w:rPr>
          <w:rFonts w:hint="eastAsia" w:ascii="宋体" w:hAnsi="宋体" w:eastAsia="宋体" w:cs="宋体"/>
          <w:color w:val="auto"/>
          <w:sz w:val="24"/>
          <w:szCs w:val="24"/>
          <w:highlight w:val="none"/>
        </w:rPr>
      </w:pPr>
      <w:bookmarkStart w:id="233" w:name="_Toc313888360"/>
      <w:bookmarkStart w:id="234" w:name="_Toc12789073"/>
      <w:bookmarkStart w:id="235" w:name="_Toc283382454"/>
      <w:bookmarkStart w:id="236" w:name="_Toc313008356"/>
      <w:bookmarkStart w:id="237" w:name="_Toc342913419"/>
      <w:r>
        <w:rPr>
          <w:rFonts w:hint="eastAsia" w:ascii="宋体" w:hAnsi="宋体" w:eastAsia="宋体" w:cs="宋体"/>
          <w:color w:val="auto"/>
          <w:sz w:val="24"/>
          <w:szCs w:val="24"/>
          <w:highlight w:val="none"/>
        </w:rPr>
        <w:t>一、经济部分</w:t>
      </w:r>
    </w:p>
    <w:p w14:paraId="75BBB772">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（一）网上竞采报价函</w:t>
      </w:r>
    </w:p>
    <w:p w14:paraId="1F8DBB9C">
      <w:pPr>
        <w:pStyle w:val="16"/>
        <w:rPr>
          <w:rFonts w:hint="default" w:eastAsia="宋体"/>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二）报价明细表</w:t>
      </w:r>
    </w:p>
    <w:p w14:paraId="6289EA20">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p>
    <w:p w14:paraId="67CA5AE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03B0CF5D">
      <w:pPr>
        <w:pStyle w:val="23"/>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39F261D1">
      <w:pPr>
        <w:spacing w:line="440" w:lineRule="exact"/>
        <w:ind w:firstLine="480" w:firstLineChars="200"/>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43169B2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三、商务部分</w:t>
      </w:r>
    </w:p>
    <w:p w14:paraId="66035A2F">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（一）商务响应偏离表</w:t>
      </w:r>
    </w:p>
    <w:p w14:paraId="2BB1B38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547853C9">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四、资格条件及其他</w:t>
      </w:r>
    </w:p>
    <w:p w14:paraId="56C04299">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（一）营业执照（副本）或事业单位法人证书（副本）复印件</w:t>
      </w:r>
    </w:p>
    <w:p w14:paraId="353F9EAA">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（二）法定代表人身份证明书（格式）</w:t>
      </w:r>
    </w:p>
    <w:p w14:paraId="1C271881">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（三）法定代表人授权委托书（格式）</w:t>
      </w:r>
    </w:p>
    <w:p w14:paraId="7DC18CE4">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（四）基本资格条件承诺函</w:t>
      </w:r>
    </w:p>
    <w:p w14:paraId="6F9810AE">
      <w:pPr>
        <w:snapToGrid w:val="0"/>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（五）特定资格条件证明文件（如有）</w:t>
      </w:r>
    </w:p>
    <w:p w14:paraId="50CA32CD">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五、其他应提供的资料</w:t>
      </w:r>
    </w:p>
    <w:p w14:paraId="73361FE0">
      <w:pPr>
        <w:snapToGrid w:val="0"/>
        <w:spacing w:line="400" w:lineRule="exact"/>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其他与项目有关的资料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p>
    <w:p w14:paraId="74D90834">
      <w:pPr>
        <w:spacing w:line="440" w:lineRule="exact"/>
        <w:ind w:firstLine="480" w:firstLineChars="200"/>
        <w:rPr>
          <w:rFonts w:hint="eastAsia" w:ascii="宋体" w:hAnsi="宋体" w:eastAsia="宋体" w:cs="宋体"/>
          <w:color w:val="auto"/>
          <w:sz w:val="24"/>
          <w:szCs w:val="24"/>
          <w:highlight w:val="none"/>
        </w:rPr>
        <w:sectPr>
          <w:headerReference r:id="rId7" w:type="default"/>
          <w:footerReference r:id="rId8" w:type="default"/>
          <w:pgSz w:w="11907" w:h="16840"/>
          <w:pgMar w:top="1134" w:right="1191" w:bottom="1134" w:left="1304" w:header="851" w:footer="992" w:gutter="0"/>
          <w:pgNumType w:fmt="numberInDash"/>
          <w:cols w:space="720" w:num="1"/>
          <w:docGrid w:linePitch="380" w:charSpace="-5735"/>
        </w:sectPr>
      </w:pPr>
    </w:p>
    <w:bookmarkEnd w:id="233"/>
    <w:bookmarkEnd w:id="234"/>
    <w:bookmarkEnd w:id="235"/>
    <w:bookmarkEnd w:id="236"/>
    <w:bookmarkEnd w:id="237"/>
    <w:p w14:paraId="49EC3045">
      <w:pPr>
        <w:pStyle w:val="5"/>
        <w:spacing w:before="0" w:after="0" w:line="360" w:lineRule="auto"/>
        <w:rPr>
          <w:rFonts w:hint="eastAsia" w:ascii="宋体" w:hAnsi="宋体" w:eastAsia="宋体" w:cs="宋体"/>
          <w:color w:val="auto"/>
          <w:sz w:val="24"/>
          <w:szCs w:val="24"/>
          <w:highlight w:val="none"/>
        </w:rPr>
      </w:pPr>
      <w:bookmarkStart w:id="238" w:name="_Toc103679699"/>
      <w:bookmarkStart w:id="239" w:name="_Toc23161"/>
      <w:bookmarkStart w:id="240" w:name="_Toc21017"/>
      <w:r>
        <w:rPr>
          <w:rFonts w:hint="eastAsia" w:ascii="宋体" w:hAnsi="宋体" w:eastAsia="宋体" w:cs="宋体"/>
          <w:color w:val="auto"/>
          <w:sz w:val="24"/>
          <w:szCs w:val="24"/>
          <w:highlight w:val="none"/>
        </w:rPr>
        <w:t>一、经济部分</w:t>
      </w:r>
      <w:bookmarkEnd w:id="238"/>
      <w:bookmarkEnd w:id="239"/>
      <w:bookmarkEnd w:id="240"/>
    </w:p>
    <w:p w14:paraId="5C538BD4">
      <w:pPr>
        <w:tabs>
          <w:tab w:val="left" w:pos="6300"/>
        </w:tabs>
        <w:snapToGrid w:val="0"/>
        <w:spacing w:line="312" w:lineRule="auto"/>
        <w:jc w:val="left"/>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（一）网上竞采报价函</w:t>
      </w:r>
    </w:p>
    <w:p w14:paraId="2A45368F">
      <w:pPr>
        <w:tabs>
          <w:tab w:val="left" w:pos="6300"/>
        </w:tabs>
        <w:snapToGrid w:val="0"/>
        <w:spacing w:line="312" w:lineRule="auto"/>
        <w:jc w:val="center"/>
        <w:outlineLvl w:val="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网上竞采报价函</w:t>
      </w:r>
    </w:p>
    <w:p w14:paraId="03D85916">
      <w:pPr>
        <w:tabs>
          <w:tab w:val="left" w:pos="6300"/>
        </w:tabs>
        <w:snapToGrid w:val="0"/>
        <w:spacing w:line="312"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w:t>
      </w:r>
      <w:r>
        <w:rPr>
          <w:rFonts w:hint="eastAsia" w:ascii="宋体" w:hAnsi="宋体" w:cs="宋体"/>
          <w:sz w:val="24"/>
          <w:szCs w:val="24"/>
          <w:highlight w:val="none"/>
          <w:u w:val="single"/>
        </w:rPr>
        <w:t>采购人名称</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14:paraId="1BDBF16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我方收到____________________________（项目名称）的网上竞采文件，经详细研究，决定参加该项目的网上竞采。</w:t>
      </w:r>
    </w:p>
    <w:p w14:paraId="023F4AF7">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sz w:val="24"/>
          <w:szCs w:val="24"/>
          <w:highlight w:val="none"/>
        </w:rPr>
        <w:t>愿意按照</w:t>
      </w:r>
      <w:r>
        <w:rPr>
          <w:rFonts w:hint="eastAsia" w:ascii="宋体" w:hAnsi="宋体" w:cs="宋体"/>
          <w:sz w:val="24"/>
          <w:szCs w:val="24"/>
          <w:highlight w:val="none"/>
          <w:lang w:val="en-US" w:eastAsia="zh-CN"/>
        </w:rPr>
        <w:t>竞采</w:t>
      </w:r>
      <w:r>
        <w:rPr>
          <w:rFonts w:hint="eastAsia" w:ascii="宋体" w:hAnsi="宋体" w:cs="宋体"/>
          <w:sz w:val="24"/>
          <w:szCs w:val="24"/>
          <w:highlight w:val="none"/>
        </w:rPr>
        <w:t>文件中的一切要求，提供本项目的技术服务，</w:t>
      </w:r>
      <w:r>
        <w:rPr>
          <w:rFonts w:hint="eastAsia" w:ascii="宋体" w:hAnsi="宋体" w:cs="宋体"/>
          <w:sz w:val="24"/>
          <w:szCs w:val="24"/>
          <w:highlight w:val="none"/>
          <w:lang w:val="en-US" w:eastAsia="zh-CN"/>
        </w:rPr>
        <w:t>暂定</w:t>
      </w:r>
      <w:r>
        <w:rPr>
          <w:rFonts w:hint="eastAsia" w:ascii="宋体" w:hAnsi="宋体" w:cs="宋体"/>
          <w:sz w:val="24"/>
          <w:szCs w:val="24"/>
          <w:highlight w:val="none"/>
          <w:lang w:eastAsia="zh-CN"/>
        </w:rPr>
        <w:t>投标</w:t>
      </w:r>
      <w:r>
        <w:rPr>
          <w:rFonts w:hint="eastAsia" w:ascii="宋体" w:hAnsi="宋体" w:cs="宋体"/>
          <w:sz w:val="24"/>
          <w:szCs w:val="24"/>
          <w:highlight w:val="none"/>
        </w:rPr>
        <w:t>报价为人民币大写：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14:paraId="05E731A5">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2.我方现提交的响应文件为：响应文件正本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份，副本</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w:t>
      </w:r>
    </w:p>
    <w:p w14:paraId="11A779C9">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3.我方承诺：本次网上竞采的有效期为90天。</w:t>
      </w:r>
    </w:p>
    <w:p w14:paraId="3365EE0D">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4.我方完全理解和接受贵方网上竞采文件的一切规定和要求及评审办法。</w:t>
      </w:r>
    </w:p>
    <w:p w14:paraId="03F2FD50">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5.在整个网上竞采过程中，我方若有违规行为，接受按照《中华人民共和国政府采购法》和《网上竞采文件》之规定给予惩罚。</w:t>
      </w:r>
    </w:p>
    <w:p w14:paraId="69889022">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6.我方若成为成交供应商，将按照最终网上竞采结果签订合同，并且严格履行合同义务。本承诺函将成为合同不可分割的一部分，与合同具有同等的法律效力。</w:t>
      </w:r>
    </w:p>
    <w:p w14:paraId="137DF656">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7.我方同意按网上竞采文件规定。如果我方成为成交供应商，保证在接到成交通知书前，向采购代理机构缴纳网上竞采文件规定的采购代理服务费。</w:t>
      </w:r>
    </w:p>
    <w:p w14:paraId="7A7B22F3">
      <w:pPr>
        <w:tabs>
          <w:tab w:val="left" w:pos="6300"/>
        </w:tabs>
        <w:snapToGrid w:val="0"/>
        <w:spacing w:line="312"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8"/>
          <w:highlight w:val="none"/>
        </w:rPr>
        <w:t>我方未</w:t>
      </w:r>
      <w:r>
        <w:rPr>
          <w:rFonts w:hint="eastAsia" w:ascii="宋体" w:hAnsi="宋体" w:eastAsia="宋体" w:cs="宋体"/>
          <w:color w:val="auto"/>
          <w:sz w:val="24"/>
          <w:szCs w:val="24"/>
          <w:highlight w:val="none"/>
        </w:rPr>
        <w:t>为采购项目提供整体设计、规范编制或者项目管理、监理、检测等服务。</w:t>
      </w:r>
    </w:p>
    <w:p w14:paraId="7B9662DE">
      <w:pPr>
        <w:tabs>
          <w:tab w:val="left" w:pos="6300"/>
        </w:tabs>
        <w:snapToGrid w:val="0"/>
        <w:spacing w:line="312" w:lineRule="auto"/>
        <w:ind w:firstLine="570"/>
        <w:rPr>
          <w:rFonts w:hint="eastAsia" w:ascii="宋体" w:hAnsi="宋体" w:eastAsia="宋体" w:cs="宋体"/>
          <w:color w:val="auto"/>
          <w:sz w:val="24"/>
          <w:szCs w:val="24"/>
          <w:highlight w:val="none"/>
        </w:rPr>
      </w:pPr>
    </w:p>
    <w:p w14:paraId="1A977FF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供应商（公章）：</w:t>
      </w:r>
    </w:p>
    <w:p w14:paraId="05792FC8">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p>
    <w:p w14:paraId="522BECFF">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传真：</w:t>
      </w:r>
    </w:p>
    <w:p w14:paraId="279150F2">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网址：               邮编：</w:t>
      </w:r>
    </w:p>
    <w:p w14:paraId="5D5ECAED">
      <w:pPr>
        <w:tabs>
          <w:tab w:val="left" w:pos="6300"/>
        </w:tabs>
        <w:snapToGrid w:val="0"/>
        <w:spacing w:line="312" w:lineRule="auto"/>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p w14:paraId="0F5A306B">
      <w:pPr>
        <w:snapToGrid w:val="0"/>
        <w:spacing w:line="312" w:lineRule="auto"/>
        <w:ind w:firstLine="480" w:firstLineChars="2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506BCDE7">
      <w:pPr>
        <w:pStyle w:val="127"/>
        <w:rPr>
          <w:rFonts w:hint="eastAsia" w:ascii="宋体" w:hAnsi="宋体" w:eastAsia="宋体" w:cs="宋体"/>
          <w:color w:val="auto"/>
          <w:highlight w:val="none"/>
        </w:rPr>
      </w:pPr>
    </w:p>
    <w:p w14:paraId="68661D51">
      <w:pPr>
        <w:pStyle w:val="127"/>
        <w:rPr>
          <w:rFonts w:hint="eastAsia" w:ascii="宋体" w:hAnsi="宋体" w:eastAsia="宋体" w:cs="宋体"/>
          <w:color w:val="auto"/>
          <w:highlight w:val="none"/>
        </w:rPr>
      </w:pPr>
    </w:p>
    <w:p w14:paraId="4F5F7062">
      <w:pPr>
        <w:pStyle w:val="127"/>
        <w:rPr>
          <w:rFonts w:hint="eastAsia" w:ascii="宋体" w:hAnsi="宋体" w:eastAsia="宋体" w:cs="宋体"/>
          <w:color w:val="auto"/>
          <w:highlight w:val="none"/>
        </w:rPr>
      </w:pPr>
    </w:p>
    <w:p w14:paraId="5A4310E6">
      <w:pPr>
        <w:pStyle w:val="127"/>
        <w:rPr>
          <w:rFonts w:hint="eastAsia" w:ascii="宋体" w:hAnsi="宋体" w:eastAsia="宋体" w:cs="宋体"/>
          <w:color w:val="auto"/>
          <w:highlight w:val="none"/>
        </w:rPr>
      </w:pPr>
    </w:p>
    <w:p w14:paraId="7141E287">
      <w:pPr>
        <w:pStyle w:val="127"/>
        <w:rPr>
          <w:rFonts w:hint="eastAsia" w:ascii="宋体" w:hAnsi="宋体" w:eastAsia="宋体" w:cs="宋体"/>
          <w:color w:val="auto"/>
          <w:highlight w:val="none"/>
        </w:rPr>
      </w:pPr>
    </w:p>
    <w:p w14:paraId="6247D193">
      <w:pPr>
        <w:pStyle w:val="127"/>
        <w:rPr>
          <w:rFonts w:hint="eastAsia" w:ascii="宋体" w:hAnsi="宋体" w:eastAsia="宋体" w:cs="宋体"/>
          <w:color w:val="auto"/>
          <w:highlight w:val="none"/>
        </w:rPr>
      </w:pPr>
    </w:p>
    <w:p w14:paraId="13F7127C">
      <w:pPr>
        <w:pStyle w:val="127"/>
        <w:rPr>
          <w:rFonts w:hint="eastAsia" w:ascii="宋体" w:hAnsi="宋体" w:eastAsia="宋体" w:cs="宋体"/>
          <w:color w:val="auto"/>
          <w:highlight w:val="none"/>
        </w:rPr>
      </w:pPr>
    </w:p>
    <w:p w14:paraId="2B9CC675">
      <w:pPr>
        <w:pStyle w:val="127"/>
        <w:rPr>
          <w:rFonts w:hint="eastAsia" w:ascii="宋体" w:hAnsi="宋体" w:eastAsia="宋体" w:cs="宋体"/>
          <w:color w:val="auto"/>
          <w:highlight w:val="none"/>
        </w:rPr>
      </w:pPr>
    </w:p>
    <w:p w14:paraId="6548A991">
      <w:pPr>
        <w:pStyle w:val="127"/>
        <w:rPr>
          <w:rFonts w:hint="eastAsia" w:ascii="宋体" w:hAnsi="宋体" w:eastAsia="宋体" w:cs="宋体"/>
          <w:color w:val="auto"/>
          <w:highlight w:val="none"/>
        </w:rPr>
      </w:pPr>
    </w:p>
    <w:p w14:paraId="070F062E">
      <w:pPr>
        <w:pStyle w:val="127"/>
        <w:rPr>
          <w:rFonts w:hint="eastAsia" w:ascii="宋体" w:hAnsi="宋体" w:eastAsia="宋体" w:cs="宋体"/>
          <w:color w:val="auto"/>
          <w:highlight w:val="none"/>
        </w:rPr>
      </w:pPr>
    </w:p>
    <w:p w14:paraId="2872E29D">
      <w:pPr>
        <w:pStyle w:val="127"/>
        <w:rPr>
          <w:rFonts w:hint="eastAsia" w:ascii="宋体" w:hAnsi="宋体" w:eastAsia="宋体" w:cs="宋体"/>
          <w:color w:val="auto"/>
          <w:highlight w:val="none"/>
        </w:rPr>
      </w:pPr>
    </w:p>
    <w:p w14:paraId="6651428F">
      <w:pPr>
        <w:pStyle w:val="127"/>
        <w:rPr>
          <w:rFonts w:hint="eastAsia" w:ascii="宋体" w:hAnsi="宋体" w:eastAsia="宋体" w:cs="宋体"/>
          <w:color w:val="auto"/>
          <w:highlight w:val="none"/>
        </w:rPr>
      </w:pPr>
    </w:p>
    <w:p w14:paraId="6EFC1E7C">
      <w:pPr>
        <w:pStyle w:val="127"/>
        <w:rPr>
          <w:rFonts w:hint="eastAsia" w:ascii="宋体" w:hAnsi="宋体" w:eastAsia="宋体" w:cs="宋体"/>
          <w:color w:val="auto"/>
          <w:highlight w:val="none"/>
        </w:rPr>
      </w:pPr>
    </w:p>
    <w:p w14:paraId="7B8B33B1">
      <w:pPr>
        <w:pStyle w:val="127"/>
        <w:rPr>
          <w:rFonts w:hint="eastAsia" w:ascii="宋体" w:hAnsi="宋体" w:eastAsia="宋体" w:cs="宋体"/>
          <w:color w:val="auto"/>
          <w:highlight w:val="none"/>
        </w:rPr>
      </w:pPr>
    </w:p>
    <w:p w14:paraId="072ED4A1">
      <w:pPr>
        <w:pStyle w:val="127"/>
        <w:rPr>
          <w:rFonts w:hint="eastAsia" w:ascii="宋体" w:hAnsi="宋体" w:eastAsia="宋体" w:cs="宋体"/>
          <w:color w:val="auto"/>
          <w:highlight w:val="none"/>
        </w:rPr>
      </w:pPr>
    </w:p>
    <w:p w14:paraId="507CECE4">
      <w:pPr>
        <w:pStyle w:val="127"/>
        <w:rPr>
          <w:rFonts w:hint="eastAsia" w:ascii="宋体" w:hAnsi="宋体" w:eastAsia="宋体" w:cs="宋体"/>
          <w:color w:val="auto"/>
          <w:highlight w:val="none"/>
        </w:rPr>
      </w:pPr>
    </w:p>
    <w:p w14:paraId="2CBCC368">
      <w:pPr>
        <w:pStyle w:val="5"/>
        <w:numPr>
          <w:ilvl w:val="0"/>
          <w:numId w:val="16"/>
        </w:numPr>
        <w:spacing w:before="0" w:after="0" w:line="360" w:lineRule="auto"/>
        <w:rPr>
          <w:rFonts w:hint="eastAsia" w:ascii="宋体" w:hAnsi="宋体" w:cs="宋体"/>
          <w:color w:val="auto"/>
          <w:sz w:val="24"/>
          <w:szCs w:val="24"/>
          <w:highlight w:val="none"/>
          <w:lang w:val="en-US" w:eastAsia="zh-CN"/>
        </w:rPr>
      </w:pPr>
      <w:bookmarkStart w:id="241" w:name="_Toc7588"/>
      <w:bookmarkStart w:id="242" w:name="_Toc11802"/>
      <w:bookmarkStart w:id="243" w:name="_Toc313888361"/>
      <w:bookmarkStart w:id="244" w:name="_Toc103679700"/>
      <w:bookmarkStart w:id="245" w:name="_Toc31257"/>
      <w:bookmarkStart w:id="246" w:name="_Toc313008357"/>
      <w:bookmarkStart w:id="247" w:name="_Toc21048"/>
      <w:bookmarkStart w:id="248" w:name="_Toc342913420"/>
      <w:r>
        <w:rPr>
          <w:rFonts w:hint="eastAsia" w:ascii="宋体" w:hAnsi="宋体" w:cs="宋体"/>
          <w:color w:val="auto"/>
          <w:sz w:val="24"/>
          <w:szCs w:val="24"/>
          <w:highlight w:val="none"/>
          <w:lang w:val="en-US" w:eastAsia="zh-CN"/>
        </w:rPr>
        <w:t>报价明细表</w:t>
      </w:r>
    </w:p>
    <w:tbl>
      <w:tblPr>
        <w:tblStyle w:val="63"/>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3"/>
        <w:gridCol w:w="1563"/>
        <w:gridCol w:w="801"/>
        <w:gridCol w:w="801"/>
        <w:gridCol w:w="801"/>
        <w:gridCol w:w="800"/>
        <w:gridCol w:w="895"/>
        <w:gridCol w:w="895"/>
        <w:gridCol w:w="1067"/>
        <w:gridCol w:w="1067"/>
        <w:gridCol w:w="775"/>
      </w:tblGrid>
      <w:tr w14:paraId="11C4D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13" w:type="dxa"/>
            <w:vAlign w:val="center"/>
          </w:tcPr>
          <w:p w14:paraId="27E28F06">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val="en-US" w:eastAsia="zh-CN"/>
              </w:rPr>
            </w:pPr>
            <w:r>
              <w:rPr>
                <w:rFonts w:hint="eastAsia" w:ascii="宋体" w:hAnsi="宋体" w:eastAsia="宋体" w:cs="宋体"/>
                <w:sz w:val="24"/>
                <w:szCs w:val="24"/>
                <w:highlight w:val="none"/>
                <w:vertAlign w:val="baseline"/>
                <w:lang w:val="en-US" w:eastAsia="zh-CN"/>
              </w:rPr>
              <w:t>序号</w:t>
            </w:r>
          </w:p>
        </w:tc>
        <w:tc>
          <w:tcPr>
            <w:tcW w:w="1563" w:type="dxa"/>
            <w:vAlign w:val="center"/>
          </w:tcPr>
          <w:p w14:paraId="43E9DA0A">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设备名称</w:t>
            </w:r>
          </w:p>
        </w:tc>
        <w:tc>
          <w:tcPr>
            <w:tcW w:w="801" w:type="dxa"/>
            <w:vAlign w:val="center"/>
          </w:tcPr>
          <w:p w14:paraId="563D8A39">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规格型号</w:t>
            </w:r>
          </w:p>
        </w:tc>
        <w:tc>
          <w:tcPr>
            <w:tcW w:w="801" w:type="dxa"/>
            <w:vAlign w:val="center"/>
          </w:tcPr>
          <w:p w14:paraId="61A5E067">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生产厂家</w:t>
            </w:r>
          </w:p>
        </w:tc>
        <w:tc>
          <w:tcPr>
            <w:tcW w:w="801" w:type="dxa"/>
            <w:vAlign w:val="center"/>
          </w:tcPr>
          <w:p w14:paraId="7840E2C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单位</w:t>
            </w:r>
          </w:p>
        </w:tc>
        <w:tc>
          <w:tcPr>
            <w:tcW w:w="800" w:type="dxa"/>
            <w:vAlign w:val="center"/>
          </w:tcPr>
          <w:p w14:paraId="6C958AD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数量</w:t>
            </w:r>
          </w:p>
        </w:tc>
        <w:tc>
          <w:tcPr>
            <w:tcW w:w="895" w:type="dxa"/>
            <w:vAlign w:val="center"/>
          </w:tcPr>
          <w:p w14:paraId="63E88DEE">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单价限价（元）</w:t>
            </w:r>
          </w:p>
        </w:tc>
        <w:tc>
          <w:tcPr>
            <w:tcW w:w="895" w:type="dxa"/>
            <w:vAlign w:val="center"/>
          </w:tcPr>
          <w:p w14:paraId="046729C4">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val="en-US" w:eastAsia="zh-CN"/>
              </w:rPr>
              <w:t>单价报价</w:t>
            </w:r>
            <w:r>
              <w:rPr>
                <w:rFonts w:hint="eastAsia" w:ascii="宋体" w:hAnsi="宋体" w:eastAsia="宋体" w:cs="宋体"/>
                <w:sz w:val="24"/>
                <w:szCs w:val="24"/>
                <w:highlight w:val="none"/>
                <w:vertAlign w:val="baseline"/>
                <w:lang w:eastAsia="zh-CN"/>
              </w:rPr>
              <w:t>（元）</w:t>
            </w:r>
          </w:p>
        </w:tc>
        <w:tc>
          <w:tcPr>
            <w:tcW w:w="1067" w:type="dxa"/>
            <w:vAlign w:val="center"/>
          </w:tcPr>
          <w:p w14:paraId="3E81885B">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default" w:ascii="宋体" w:hAnsi="宋体" w:cs="宋体"/>
                <w:sz w:val="24"/>
                <w:szCs w:val="24"/>
                <w:highlight w:val="none"/>
                <w:vertAlign w:val="baseline"/>
                <w:lang w:val="en-US" w:eastAsia="zh-CN"/>
              </w:rPr>
            </w:pPr>
            <w:r>
              <w:rPr>
                <w:rFonts w:hint="eastAsia" w:ascii="宋体" w:hAnsi="宋体" w:cs="宋体"/>
                <w:sz w:val="24"/>
                <w:szCs w:val="24"/>
                <w:highlight w:val="none"/>
                <w:vertAlign w:val="baseline"/>
                <w:lang w:val="en-US" w:eastAsia="zh-CN"/>
              </w:rPr>
              <w:t>总价限价（元）</w:t>
            </w:r>
          </w:p>
        </w:tc>
        <w:tc>
          <w:tcPr>
            <w:tcW w:w="1067" w:type="dxa"/>
            <w:vAlign w:val="center"/>
          </w:tcPr>
          <w:p w14:paraId="189A932C">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cs="宋体"/>
                <w:sz w:val="24"/>
                <w:szCs w:val="24"/>
                <w:highlight w:val="none"/>
                <w:vertAlign w:val="baseline"/>
                <w:lang w:eastAsia="zh-CN"/>
              </w:rPr>
              <w:t>总</w:t>
            </w:r>
            <w:r>
              <w:rPr>
                <w:rFonts w:hint="eastAsia" w:ascii="宋体" w:hAnsi="宋体" w:cs="宋体"/>
                <w:sz w:val="24"/>
                <w:szCs w:val="24"/>
                <w:highlight w:val="none"/>
                <w:vertAlign w:val="baseline"/>
                <w:lang w:val="en-US" w:eastAsia="zh-CN"/>
              </w:rPr>
              <w:t>价</w:t>
            </w:r>
            <w:r>
              <w:rPr>
                <w:rFonts w:hint="eastAsia" w:ascii="宋体" w:hAnsi="宋体" w:cs="宋体"/>
                <w:sz w:val="24"/>
                <w:szCs w:val="24"/>
                <w:highlight w:val="none"/>
                <w:vertAlign w:val="baseline"/>
                <w:lang w:eastAsia="zh-CN"/>
              </w:rPr>
              <w:t>报价（元）</w:t>
            </w:r>
          </w:p>
        </w:tc>
        <w:tc>
          <w:tcPr>
            <w:tcW w:w="775" w:type="dxa"/>
            <w:vAlign w:val="center"/>
          </w:tcPr>
          <w:p w14:paraId="16AE1C82">
            <w:pPr>
              <w:keepNext w:val="0"/>
              <w:keepLines w:val="0"/>
              <w:pageBreakBefore w:val="0"/>
              <w:widowControl w:val="0"/>
              <w:kinsoku/>
              <w:wordWrap/>
              <w:overflowPunct/>
              <w:topLinePunct w:val="0"/>
              <w:autoSpaceDE/>
              <w:autoSpaceDN/>
              <w:bidi w:val="0"/>
              <w:adjustRightInd/>
              <w:snapToGrid/>
              <w:spacing w:line="400" w:lineRule="exact"/>
              <w:jc w:val="center"/>
              <w:textAlignment w:val="auto"/>
              <w:outlineLvl w:val="9"/>
              <w:rPr>
                <w:rFonts w:hint="eastAsia" w:ascii="宋体" w:hAnsi="宋体" w:eastAsia="宋体" w:cs="宋体"/>
                <w:sz w:val="24"/>
                <w:szCs w:val="24"/>
                <w:highlight w:val="none"/>
                <w:vertAlign w:val="baseline"/>
                <w:lang w:eastAsia="zh-CN"/>
              </w:rPr>
            </w:pPr>
            <w:r>
              <w:rPr>
                <w:rFonts w:hint="eastAsia" w:ascii="宋体" w:hAnsi="宋体" w:eastAsia="宋体" w:cs="宋体"/>
                <w:sz w:val="24"/>
                <w:szCs w:val="24"/>
                <w:highlight w:val="none"/>
                <w:vertAlign w:val="baseline"/>
                <w:lang w:eastAsia="zh-CN"/>
              </w:rPr>
              <w:t>备注</w:t>
            </w:r>
          </w:p>
        </w:tc>
      </w:tr>
      <w:tr w14:paraId="30FCF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34DAFCE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25C873B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795D873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45B74C3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41E277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76895D3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63CDCAC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6CA3B3E5">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3A70B52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5E0ACC9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3EB9908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1570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4844295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748CAFE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7D7D81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5A593BA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06CE087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144DBC9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094F589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74FF604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6E31BC6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3D44CDC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383BA43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69547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3A35F28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0FC52AE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5D288B01">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0DC0C47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98F2E7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65D1FD4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58957AB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3E189D7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7260BDB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021597A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2062F6D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6C17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44F8C70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7072B9C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5966B2F5">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5E225FD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32F70E4C">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26AC261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4B56A452">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639EE33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628EC3D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1C970A8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52E8213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58294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2F8FC3A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5C1160E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0C999D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6E9C46C">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736FAFEA">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2BC17E8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63CEC488">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4C0CEEA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77EDAA6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2034D20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408C39F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4C25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2916B6D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2A35D19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7FA766A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0FA73DF2">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5AA70C17">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2963202E">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49301C09">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0DD1751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28121AB9">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0DF6D13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55186B9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666C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1924880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30B24F6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3DFF1B9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66B6AD6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A9C18B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45BABB3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39E30534">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4E8D3D1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0B08DB23">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34DFBF80">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653A976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r w14:paraId="4499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613" w:type="dxa"/>
            <w:vAlign w:val="center"/>
          </w:tcPr>
          <w:p w14:paraId="4E0BA134">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563" w:type="dxa"/>
            <w:vAlign w:val="center"/>
          </w:tcPr>
          <w:p w14:paraId="2FED8AD7">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c>
          <w:tcPr>
            <w:tcW w:w="801" w:type="dxa"/>
            <w:vAlign w:val="center"/>
          </w:tcPr>
          <w:p w14:paraId="12C756C8">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center"/>
          </w:tcPr>
          <w:p w14:paraId="2EB58C86">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01" w:type="dxa"/>
            <w:vAlign w:val="top"/>
          </w:tcPr>
          <w:p w14:paraId="203981E3">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eastAsia="zh-CN"/>
              </w:rPr>
            </w:pPr>
          </w:p>
        </w:tc>
        <w:tc>
          <w:tcPr>
            <w:tcW w:w="800" w:type="dxa"/>
            <w:vAlign w:val="top"/>
          </w:tcPr>
          <w:p w14:paraId="0C8797D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895" w:type="dxa"/>
            <w:vAlign w:val="top"/>
          </w:tcPr>
          <w:p w14:paraId="15C7FE06">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895" w:type="dxa"/>
            <w:vAlign w:val="top"/>
          </w:tcPr>
          <w:p w14:paraId="529952D1">
            <w:pPr>
              <w:keepNext w:val="0"/>
              <w:keepLines w:val="0"/>
              <w:pageBreakBefore w:val="0"/>
              <w:widowControl w:val="0"/>
              <w:kinsoku/>
              <w:wordWrap/>
              <w:overflowPunct/>
              <w:topLinePunct w:val="0"/>
              <w:autoSpaceDE/>
              <w:autoSpaceDN/>
              <w:bidi w:val="0"/>
              <w:adjustRightInd/>
              <w:snapToGrid/>
              <w:spacing w:line="600" w:lineRule="exact"/>
              <w:jc w:val="center"/>
              <w:textAlignment w:val="auto"/>
              <w:outlineLvl w:val="9"/>
              <w:rPr>
                <w:rFonts w:hint="default" w:ascii="宋体" w:hAnsi="宋体" w:eastAsia="宋体" w:cs="宋体"/>
                <w:sz w:val="24"/>
                <w:szCs w:val="24"/>
                <w:highlight w:val="none"/>
                <w:vertAlign w:val="baseline"/>
                <w:lang w:val="en-US" w:eastAsia="zh-CN"/>
              </w:rPr>
            </w:pPr>
          </w:p>
        </w:tc>
        <w:tc>
          <w:tcPr>
            <w:tcW w:w="1067" w:type="dxa"/>
            <w:vAlign w:val="center"/>
          </w:tcPr>
          <w:p w14:paraId="564D058D">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1067" w:type="dxa"/>
            <w:vAlign w:val="center"/>
          </w:tcPr>
          <w:p w14:paraId="7F164E5E">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lang w:val="en-US" w:eastAsia="zh-CN"/>
              </w:rPr>
            </w:pPr>
          </w:p>
        </w:tc>
        <w:tc>
          <w:tcPr>
            <w:tcW w:w="775" w:type="dxa"/>
            <w:vAlign w:val="center"/>
          </w:tcPr>
          <w:p w14:paraId="7CAFCD6F">
            <w:pPr>
              <w:keepNext w:val="0"/>
              <w:keepLines w:val="0"/>
              <w:pageBreakBefore w:val="0"/>
              <w:widowControl w:val="0"/>
              <w:kinsoku/>
              <w:wordWrap/>
              <w:overflowPunct/>
              <w:topLinePunct w:val="0"/>
              <w:autoSpaceDE/>
              <w:autoSpaceDN/>
              <w:bidi w:val="0"/>
              <w:spacing w:line="400" w:lineRule="exact"/>
              <w:jc w:val="center"/>
              <w:textAlignment w:val="auto"/>
              <w:outlineLvl w:val="9"/>
              <w:rPr>
                <w:rFonts w:hint="eastAsia" w:ascii="宋体" w:hAnsi="宋体" w:eastAsia="宋体" w:cs="宋体"/>
                <w:sz w:val="24"/>
                <w:szCs w:val="24"/>
                <w:highlight w:val="none"/>
                <w:vertAlign w:val="baseline"/>
              </w:rPr>
            </w:pPr>
          </w:p>
        </w:tc>
      </w:tr>
    </w:tbl>
    <w:p w14:paraId="719520F6">
      <w:pPr>
        <w:pStyle w:val="5"/>
        <w:numPr>
          <w:ilvl w:val="0"/>
          <w:numId w:val="0"/>
        </w:numPr>
        <w:spacing w:before="0" w:after="0" w:line="360" w:lineRule="auto"/>
        <w:rPr>
          <w:rFonts w:hint="eastAsia" w:ascii="宋体" w:hAnsi="宋体" w:eastAsia="宋体" w:cs="宋体"/>
          <w:color w:val="auto"/>
          <w:sz w:val="24"/>
          <w:szCs w:val="24"/>
          <w:highlight w:val="none"/>
        </w:rPr>
      </w:pPr>
    </w:p>
    <w:p w14:paraId="0778C18D">
      <w:pPr>
        <w:pStyle w:val="5"/>
        <w:numPr>
          <w:ilvl w:val="0"/>
          <w:numId w:val="0"/>
        </w:numPr>
        <w:spacing w:before="0" w:after="0"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备注：设备名称、规格型号、生产厂家等信息，必须与注册证一致，否则视为无效投标、无效报价。</w:t>
      </w:r>
    </w:p>
    <w:p w14:paraId="311E24E3">
      <w:pPr>
        <w:rPr>
          <w:rFonts w:hint="eastAsia" w:ascii="宋体" w:hAnsi="宋体" w:eastAsia="宋体" w:cs="宋体"/>
          <w:color w:val="auto"/>
          <w:sz w:val="24"/>
          <w:szCs w:val="24"/>
          <w:highlight w:val="none"/>
        </w:rPr>
      </w:pPr>
    </w:p>
    <w:p w14:paraId="74D0DFA8">
      <w:pPr>
        <w:pStyle w:val="23"/>
        <w:rPr>
          <w:rFonts w:hint="eastAsia"/>
        </w:rPr>
      </w:pPr>
    </w:p>
    <w:p w14:paraId="2B59C075">
      <w:pPr>
        <w:pStyle w:val="5"/>
        <w:numPr>
          <w:ilvl w:val="0"/>
          <w:numId w:val="0"/>
        </w:numPr>
        <w:spacing w:before="0" w:after="0" w:line="360" w:lineRule="auto"/>
        <w:rPr>
          <w:rFonts w:hint="eastAsia" w:ascii="宋体" w:hAnsi="宋体" w:eastAsia="宋体" w:cs="宋体"/>
          <w:color w:val="auto"/>
          <w:sz w:val="24"/>
          <w:szCs w:val="24"/>
          <w:highlight w:val="none"/>
        </w:rPr>
      </w:pPr>
    </w:p>
    <w:p w14:paraId="6CF84866">
      <w:pPr>
        <w:pStyle w:val="5"/>
        <w:numPr>
          <w:ilvl w:val="0"/>
          <w:numId w:val="0"/>
        </w:numPr>
        <w:spacing w:before="0" w:after="0" w:line="360" w:lineRule="auto"/>
        <w:rPr>
          <w:rFonts w:hint="eastAsia" w:ascii="宋体" w:hAnsi="宋体" w:eastAsia="宋体" w:cs="宋体"/>
          <w:color w:val="auto"/>
          <w:sz w:val="24"/>
          <w:szCs w:val="24"/>
          <w:highlight w:val="none"/>
        </w:rPr>
      </w:pPr>
    </w:p>
    <w:p w14:paraId="4C1CC7A8">
      <w:pPr>
        <w:rPr>
          <w:rFonts w:hint="eastAsia"/>
        </w:rPr>
      </w:pPr>
    </w:p>
    <w:p w14:paraId="450C31D3">
      <w:pPr>
        <w:pStyle w:val="5"/>
        <w:numPr>
          <w:ilvl w:val="0"/>
          <w:numId w:val="0"/>
        </w:numPr>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二、技术部分</w:t>
      </w:r>
      <w:bookmarkEnd w:id="241"/>
      <w:bookmarkEnd w:id="242"/>
      <w:bookmarkEnd w:id="243"/>
      <w:bookmarkEnd w:id="244"/>
      <w:bookmarkEnd w:id="245"/>
      <w:bookmarkEnd w:id="246"/>
      <w:bookmarkEnd w:id="247"/>
      <w:bookmarkEnd w:id="248"/>
    </w:p>
    <w:p w14:paraId="5CA67FE9">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（一）技术响应偏离表</w:t>
      </w:r>
    </w:p>
    <w:p w14:paraId="323B1B9A">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技术响应偏离表</w:t>
      </w:r>
    </w:p>
    <w:p w14:paraId="611A536B">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对于竞采文件的技术要求，如有任何偏离请如实填写下表：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34A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507190D2">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00F9720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764A64B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1B341E3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34EB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D51BAE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5696E8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BE437A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3D4C6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D3C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7F38C8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C5E31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2D8FF3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4BABFB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DF2A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2D47B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947496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181BB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1B09C5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16D79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13675B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D35C48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B036F2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58CE9F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497F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103956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B11071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510C0F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E22999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4B2EB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0C0751A">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5DC645B0">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49253921">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9C40A8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456A9277">
      <w:pPr>
        <w:snapToGrid w:val="0"/>
        <w:spacing w:line="360" w:lineRule="auto"/>
        <w:ind w:firstLine="465"/>
        <w:rPr>
          <w:rFonts w:hint="eastAsia" w:ascii="宋体" w:hAnsi="宋体" w:eastAsia="宋体" w:cs="宋体"/>
          <w:color w:val="auto"/>
          <w:sz w:val="24"/>
          <w:szCs w:val="24"/>
          <w:highlight w:val="none"/>
        </w:rPr>
      </w:pPr>
    </w:p>
    <w:p w14:paraId="385C738D">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3EBC37D1">
      <w:pPr>
        <w:spacing w:line="500" w:lineRule="exact"/>
        <w:rPr>
          <w:rFonts w:hint="eastAsia" w:ascii="宋体" w:hAnsi="宋体" w:eastAsia="宋体" w:cs="宋体"/>
          <w:color w:val="auto"/>
          <w:sz w:val="24"/>
          <w:szCs w:val="28"/>
          <w:highlight w:val="none"/>
        </w:rPr>
      </w:pPr>
    </w:p>
    <w:p w14:paraId="6C3C338A">
      <w:pPr>
        <w:spacing w:line="500" w:lineRule="exact"/>
        <w:ind w:firstLine="840" w:firstLineChars="3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68D27B2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40745A5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1FFCD43C">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1.本表即为对本项目“第二篇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项目技术需求”中所列条款进行比较和响应；</w:t>
      </w:r>
    </w:p>
    <w:p w14:paraId="771541DB">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2.本表可扩展。</w:t>
      </w:r>
    </w:p>
    <w:p w14:paraId="1E8DCF7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1325B89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786B64B">
      <w:pPr>
        <w:pStyle w:val="23"/>
        <w:ind w:firstLine="480" w:firstLineChars="200"/>
        <w:rPr>
          <w:rFonts w:hint="default" w:eastAsia="宋体"/>
          <w:lang w:val="en-US" w:eastAsia="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（二）服务方案（如有）</w:t>
      </w:r>
    </w:p>
    <w:p w14:paraId="16407AC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C45815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EF3777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B4C150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CDD829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2183C4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AF2BCE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FAC675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F9F9BE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3998D2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D5F129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7D9CA1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114A4B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0DD71A8">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5370439">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6FEF39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E4D919D">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6896037">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771C1C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0697F0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83A710B">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EE548F4">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210FAA">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B4C7F5F">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001B79FC">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9CE1CC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2419815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34F3997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BC2DD21">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64FDF973">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7E128F45">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4C880120">
      <w:pPr>
        <w:spacing w:line="440" w:lineRule="exact"/>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p>
    <w:p w14:paraId="11B1CDF0">
      <w:pPr>
        <w:spacing w:line="440" w:lineRule="exact"/>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）技术部分其他资料</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如有）</w:t>
      </w:r>
    </w:p>
    <w:p w14:paraId="04CE0C68">
      <w:pPr>
        <w:pStyle w:val="5"/>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page"/>
      </w:r>
      <w:bookmarkStart w:id="249" w:name="_Toc342913421"/>
      <w:bookmarkStart w:id="250" w:name="_Toc30551"/>
      <w:bookmarkStart w:id="251" w:name="_Toc313008358"/>
      <w:bookmarkStart w:id="252" w:name="_Toc18617"/>
      <w:bookmarkStart w:id="253" w:name="_Toc28935"/>
      <w:bookmarkStart w:id="254" w:name="_Toc29626"/>
      <w:bookmarkStart w:id="255" w:name="_Toc313888362"/>
      <w:bookmarkStart w:id="256" w:name="_Toc103679701"/>
      <w:r>
        <w:rPr>
          <w:rFonts w:hint="eastAsia" w:ascii="宋体" w:hAnsi="宋体" w:eastAsia="宋体" w:cs="宋体"/>
          <w:color w:val="auto"/>
          <w:sz w:val="24"/>
          <w:szCs w:val="24"/>
          <w:highlight w:val="none"/>
        </w:rPr>
        <w:t>三、商务部分</w:t>
      </w:r>
      <w:bookmarkEnd w:id="249"/>
      <w:bookmarkEnd w:id="250"/>
      <w:bookmarkEnd w:id="251"/>
      <w:bookmarkEnd w:id="252"/>
      <w:bookmarkEnd w:id="253"/>
      <w:bookmarkEnd w:id="254"/>
      <w:bookmarkEnd w:id="255"/>
      <w:bookmarkEnd w:id="256"/>
    </w:p>
    <w:p w14:paraId="58FFACF4">
      <w:pPr>
        <w:snapToGrid w:val="0"/>
        <w:spacing w:line="360" w:lineRule="auto"/>
        <w:rPr>
          <w:rFonts w:hint="eastAsia" w:ascii="宋体" w:hAnsi="宋体" w:eastAsia="宋体" w:cs="宋体"/>
          <w:color w:val="auto"/>
          <w:sz w:val="24"/>
          <w:szCs w:val="24"/>
          <w:highlight w:val="none"/>
        </w:rPr>
      </w:pPr>
      <w:bookmarkStart w:id="257" w:name="_Toc283382459"/>
      <w:r>
        <w:rPr>
          <w:rFonts w:hint="eastAsia" w:ascii="宋体" w:hAnsi="宋体" w:eastAsia="宋体" w:cs="宋体"/>
          <w:color w:val="auto"/>
          <w:sz w:val="24"/>
          <w:szCs w:val="24"/>
          <w:highlight w:val="none"/>
        </w:rPr>
        <w:t>（一）商务响应偏离表</w:t>
      </w:r>
    </w:p>
    <w:p w14:paraId="453A5B86">
      <w:pPr>
        <w:snapToGrid w:val="0"/>
        <w:spacing w:line="360" w:lineRule="auto"/>
        <w:jc w:val="center"/>
        <w:rPr>
          <w:rFonts w:hint="eastAsia" w:ascii="宋体" w:hAnsi="宋体" w:eastAsia="宋体" w:cs="宋体"/>
          <w:b/>
          <w:color w:val="auto"/>
          <w:szCs w:val="28"/>
          <w:highlight w:val="none"/>
        </w:rPr>
      </w:pPr>
      <w:r>
        <w:rPr>
          <w:rFonts w:hint="eastAsia" w:ascii="宋体" w:hAnsi="宋体" w:eastAsia="宋体" w:cs="宋体"/>
          <w:b/>
          <w:color w:val="auto"/>
          <w:szCs w:val="28"/>
          <w:highlight w:val="none"/>
        </w:rPr>
        <w:t>商务响应偏离表</w:t>
      </w:r>
    </w:p>
    <w:p w14:paraId="10DAA79A">
      <w:pPr>
        <w:snapToGrid w:val="0"/>
        <w:spacing w:line="360" w:lineRule="auto"/>
        <w:ind w:firstLine="46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对于网上竞采文件的商务要求，如有任何偏离请如实填写下表：</w:t>
      </w:r>
    </w:p>
    <w:tbl>
      <w:tblPr>
        <w:tblStyle w:val="62"/>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E46A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5287633">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序号</w:t>
            </w:r>
          </w:p>
        </w:tc>
        <w:tc>
          <w:tcPr>
            <w:tcW w:w="3179" w:type="dxa"/>
            <w:vAlign w:val="center"/>
          </w:tcPr>
          <w:p w14:paraId="3F44E945">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采购项目需求</w:t>
            </w:r>
          </w:p>
        </w:tc>
        <w:tc>
          <w:tcPr>
            <w:tcW w:w="2434" w:type="dxa"/>
            <w:vAlign w:val="center"/>
          </w:tcPr>
          <w:p w14:paraId="3B9D935C">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响应情况</w:t>
            </w:r>
          </w:p>
        </w:tc>
        <w:tc>
          <w:tcPr>
            <w:tcW w:w="2355" w:type="dxa"/>
            <w:vAlign w:val="center"/>
          </w:tcPr>
          <w:p w14:paraId="4A52C6D4">
            <w:pPr>
              <w:tabs>
                <w:tab w:val="left" w:pos="6300"/>
              </w:tabs>
              <w:snapToGrid w:val="0"/>
              <w:spacing w:line="360" w:lineRule="auto"/>
              <w:jc w:val="center"/>
              <w:outlineLvl w:val="0"/>
              <w:rPr>
                <w:rFonts w:hint="eastAsia" w:ascii="宋体" w:hAnsi="宋体" w:eastAsia="宋体" w:cs="宋体"/>
                <w:color w:val="auto"/>
                <w:sz w:val="21"/>
                <w:szCs w:val="24"/>
                <w:highlight w:val="none"/>
              </w:rPr>
            </w:pPr>
            <w:r>
              <w:rPr>
                <w:rFonts w:hint="eastAsia" w:ascii="宋体" w:hAnsi="宋体" w:eastAsia="宋体" w:cs="宋体"/>
                <w:color w:val="auto"/>
                <w:sz w:val="21"/>
                <w:szCs w:val="24"/>
                <w:highlight w:val="none"/>
              </w:rPr>
              <w:t>差异说明</w:t>
            </w:r>
          </w:p>
        </w:tc>
      </w:tr>
      <w:tr w14:paraId="1AA09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3C5781B">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1C2C87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1736D5E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3485784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2CE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C48087">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33D2DD4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FB0406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B8AFE0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586BF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E42E9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7A71F2EF">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919869E">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80BE8D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3D892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46AE006">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4C6C2DA9">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7346F382">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2AC89805">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674E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55A1EA53">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27B769DD">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24DEB51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6CF7715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r w14:paraId="768B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4BBC017C">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3179" w:type="dxa"/>
            <w:vAlign w:val="center"/>
          </w:tcPr>
          <w:p w14:paraId="6CF38DC4">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434" w:type="dxa"/>
            <w:vAlign w:val="center"/>
          </w:tcPr>
          <w:p w14:paraId="6F4ECF9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c>
          <w:tcPr>
            <w:tcW w:w="2355" w:type="dxa"/>
            <w:vAlign w:val="center"/>
          </w:tcPr>
          <w:p w14:paraId="05F0E028">
            <w:pPr>
              <w:tabs>
                <w:tab w:val="left" w:pos="6300"/>
              </w:tabs>
              <w:snapToGrid w:val="0"/>
              <w:spacing w:line="360" w:lineRule="auto"/>
              <w:jc w:val="center"/>
              <w:outlineLvl w:val="0"/>
              <w:rPr>
                <w:rFonts w:hint="eastAsia" w:ascii="宋体" w:hAnsi="宋体" w:eastAsia="宋体" w:cs="宋体"/>
                <w:color w:val="auto"/>
                <w:sz w:val="21"/>
                <w:szCs w:val="24"/>
                <w:highlight w:val="none"/>
              </w:rPr>
            </w:pPr>
          </w:p>
        </w:tc>
      </w:tr>
    </w:tbl>
    <w:p w14:paraId="7377EEB0">
      <w:pPr>
        <w:snapToGrid w:val="0"/>
        <w:spacing w:line="360" w:lineRule="auto"/>
        <w:ind w:firstLine="465"/>
        <w:rPr>
          <w:rFonts w:hint="eastAsia" w:ascii="宋体" w:hAnsi="宋体" w:eastAsia="宋体" w:cs="宋体"/>
          <w:color w:val="auto"/>
          <w:sz w:val="24"/>
          <w:szCs w:val="24"/>
          <w:highlight w:val="none"/>
        </w:rPr>
      </w:pPr>
    </w:p>
    <w:p w14:paraId="2A762505">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                                     法定代表人授权代表：</w:t>
      </w:r>
    </w:p>
    <w:p w14:paraId="0C390817">
      <w:pPr>
        <w:spacing w:line="500" w:lineRule="exact"/>
        <w:rPr>
          <w:rFonts w:hint="eastAsia" w:ascii="宋体" w:hAnsi="宋体" w:eastAsia="宋体" w:cs="宋体"/>
          <w:color w:val="auto"/>
          <w:sz w:val="24"/>
          <w:szCs w:val="28"/>
          <w:highlight w:val="none"/>
        </w:rPr>
      </w:pPr>
    </w:p>
    <w:p w14:paraId="1397FDBE">
      <w:pPr>
        <w:spacing w:line="500" w:lineRule="exact"/>
        <w:ind w:firstLine="600" w:firstLineChars="25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（供应商公章）                                   （签字或盖章）</w:t>
      </w:r>
    </w:p>
    <w:p w14:paraId="4BED38C8">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年 月  日</w:t>
      </w:r>
    </w:p>
    <w:p w14:paraId="53BB72C1">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659698F">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1.本表即为对本项目“第三篇</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项目商务需求”中所列条款进行比较和响应；</w:t>
      </w:r>
    </w:p>
    <w:p w14:paraId="0392C0A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2.本表可扩展</w:t>
      </w:r>
      <w:r>
        <w:rPr>
          <w:rFonts w:hint="eastAsia" w:ascii="宋体" w:hAnsi="宋体" w:eastAsia="宋体" w:cs="宋体"/>
          <w:color w:val="auto"/>
          <w:sz w:val="24"/>
          <w:highlight w:val="none"/>
        </w:rPr>
        <w:t>。</w:t>
      </w:r>
    </w:p>
    <w:p w14:paraId="35287F08">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根据响应情况在“差异说明”项填写正偏离或负偏离及原因，完全符合的填写“无差异”。如投标人未应答或只注明“符合”、“满足”等类似无具体数值或内容的表述，视为不满足对应条款；差异说明必须注明“正偏离”或“负偏离”或”无差异“，如以其他方式填写则失去中标候选人资格。</w:t>
      </w:r>
    </w:p>
    <w:p w14:paraId="7CE15321">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3490ED8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（二）商务部分其他资料</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如有，格式自拟）</w:t>
      </w:r>
      <w:r>
        <w:rPr>
          <w:rFonts w:hint="eastAsia" w:ascii="宋体" w:hAnsi="宋体" w:eastAsia="宋体" w:cs="宋体"/>
          <w:color w:val="auto"/>
          <w:sz w:val="24"/>
          <w:szCs w:val="24"/>
          <w:highlight w:val="none"/>
        </w:rPr>
        <w:br w:type="page"/>
      </w:r>
      <w:bookmarkEnd w:id="257"/>
      <w:bookmarkStart w:id="258" w:name="_Toc19396"/>
      <w:bookmarkStart w:id="259" w:name="_Toc26076"/>
      <w:bookmarkStart w:id="260" w:name="_Toc313888363"/>
      <w:bookmarkStart w:id="261" w:name="_Toc342913422"/>
      <w:bookmarkStart w:id="262" w:name="_Toc30310"/>
      <w:bookmarkStart w:id="263" w:name="_Toc313008359"/>
      <w:bookmarkStart w:id="264" w:name="_Toc16819"/>
      <w:bookmarkStart w:id="265" w:name="_Toc103679702"/>
      <w:r>
        <w:rPr>
          <w:rFonts w:hint="eastAsia" w:ascii="宋体" w:hAnsi="宋体" w:eastAsia="宋体" w:cs="宋体"/>
          <w:color w:val="auto"/>
          <w:sz w:val="24"/>
          <w:szCs w:val="24"/>
          <w:highlight w:val="none"/>
        </w:rPr>
        <w:t>四、资格条件及其他</w:t>
      </w:r>
      <w:bookmarkEnd w:id="258"/>
      <w:bookmarkEnd w:id="259"/>
      <w:bookmarkEnd w:id="260"/>
      <w:bookmarkEnd w:id="261"/>
      <w:bookmarkEnd w:id="262"/>
      <w:bookmarkEnd w:id="263"/>
      <w:bookmarkEnd w:id="264"/>
      <w:bookmarkEnd w:id="265"/>
    </w:p>
    <w:p w14:paraId="00FDA1B1">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（一）法人营业执照（副本）或事业单位法人证书（副本）或个体工商户营业执照或有效的自然人身份证明或社会团体法人登记证书</w:t>
      </w:r>
    </w:p>
    <w:p w14:paraId="5593B393">
      <w:pPr>
        <w:pStyle w:val="61"/>
        <w:ind w:left="560" w:firstLine="880"/>
        <w:rPr>
          <w:rFonts w:hint="eastAsia" w:ascii="宋体" w:hAnsi="宋体" w:eastAsia="宋体" w:cs="宋体"/>
          <w:color w:val="auto"/>
          <w:highlight w:val="none"/>
        </w:rPr>
      </w:pPr>
    </w:p>
    <w:p w14:paraId="7E642828">
      <w:pPr>
        <w:pStyle w:val="61"/>
        <w:ind w:left="560" w:firstLine="880"/>
        <w:rPr>
          <w:rFonts w:hint="eastAsia" w:ascii="宋体" w:hAnsi="宋体" w:eastAsia="宋体" w:cs="宋体"/>
          <w:color w:val="auto"/>
          <w:highlight w:val="none"/>
        </w:rPr>
      </w:pPr>
    </w:p>
    <w:p w14:paraId="4D06042B">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35C6AA7">
      <w:pPr>
        <w:widowControl/>
        <w:ind w:firstLine="480" w:firstLineChars="200"/>
        <w:jc w:val="left"/>
        <w:rPr>
          <w:rFonts w:hint="eastAsia" w:ascii="宋体" w:hAnsi="宋体" w:eastAsia="宋体" w:cs="宋体"/>
          <w:color w:val="auto"/>
          <w:highlight w:val="none"/>
        </w:rPr>
      </w:pPr>
      <w:r>
        <w:rPr>
          <w:rFonts w:hint="eastAsia" w:ascii="宋体" w:hAnsi="宋体" w:eastAsia="宋体" w:cs="宋体"/>
          <w:color w:val="auto"/>
          <w:sz w:val="24"/>
          <w:szCs w:val="24"/>
          <w:highlight w:val="none"/>
        </w:rPr>
        <w:t>（二）法定代表人身份证明书（格式）</w:t>
      </w:r>
    </w:p>
    <w:p w14:paraId="659DC149">
      <w:pPr>
        <w:tabs>
          <w:tab w:val="left" w:pos="6300"/>
        </w:tabs>
        <w:snapToGrid w:val="0"/>
        <w:spacing w:line="500" w:lineRule="exact"/>
        <w:ind w:firstLine="570"/>
        <w:rPr>
          <w:rFonts w:hint="eastAsia" w:ascii="宋体" w:hAnsi="宋体" w:eastAsia="宋体" w:cs="宋体"/>
          <w:color w:val="auto"/>
          <w:sz w:val="24"/>
          <w:highlight w:val="none"/>
        </w:rPr>
      </w:pPr>
    </w:p>
    <w:p w14:paraId="7F23D12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采购项目名称：</w:t>
      </w:r>
    </w:p>
    <w:p w14:paraId="35757CF0">
      <w:pPr>
        <w:tabs>
          <w:tab w:val="left" w:pos="6300"/>
        </w:tabs>
        <w:snapToGrid w:val="0"/>
        <w:spacing w:line="500" w:lineRule="exact"/>
        <w:ind w:firstLine="570"/>
        <w:rPr>
          <w:rFonts w:hint="eastAsia" w:ascii="宋体" w:hAnsi="宋体" w:eastAsia="宋体" w:cs="宋体"/>
          <w:color w:val="auto"/>
          <w:sz w:val="24"/>
          <w:highlight w:val="none"/>
        </w:rPr>
      </w:pPr>
    </w:p>
    <w:p w14:paraId="11BEC1D8">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04DAF40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（法定代表人姓名）在</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（供应商名称）任</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（职务名称）职务，是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w:t>
      </w:r>
    </w:p>
    <w:p w14:paraId="41712F82">
      <w:pPr>
        <w:tabs>
          <w:tab w:val="left" w:pos="6300"/>
        </w:tabs>
        <w:snapToGrid w:val="0"/>
        <w:spacing w:line="500" w:lineRule="exact"/>
        <w:ind w:firstLine="570"/>
        <w:rPr>
          <w:rFonts w:hint="eastAsia" w:ascii="宋体" w:hAnsi="宋体" w:eastAsia="宋体" w:cs="宋体"/>
          <w:color w:val="auto"/>
          <w:sz w:val="24"/>
          <w:highlight w:val="none"/>
        </w:rPr>
      </w:pPr>
    </w:p>
    <w:p w14:paraId="5B4B26EC">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7BF7E14B">
      <w:pPr>
        <w:tabs>
          <w:tab w:val="left" w:pos="6300"/>
        </w:tabs>
        <w:snapToGrid w:val="0"/>
        <w:spacing w:line="500" w:lineRule="exact"/>
        <w:ind w:firstLine="570"/>
        <w:rPr>
          <w:rFonts w:hint="eastAsia" w:ascii="宋体" w:hAnsi="宋体" w:eastAsia="宋体" w:cs="宋体"/>
          <w:color w:val="auto"/>
          <w:sz w:val="24"/>
          <w:highlight w:val="none"/>
        </w:rPr>
      </w:pPr>
    </w:p>
    <w:p w14:paraId="6B8E9F95">
      <w:pPr>
        <w:tabs>
          <w:tab w:val="left" w:pos="6300"/>
        </w:tabs>
        <w:snapToGrid w:val="0"/>
        <w:spacing w:line="500" w:lineRule="exact"/>
        <w:ind w:firstLine="570"/>
        <w:rPr>
          <w:rFonts w:hint="eastAsia" w:ascii="宋体" w:hAnsi="宋体" w:eastAsia="宋体" w:cs="宋体"/>
          <w:color w:val="auto"/>
          <w:sz w:val="24"/>
          <w:highlight w:val="none"/>
        </w:rPr>
      </w:pPr>
    </w:p>
    <w:p w14:paraId="2D4EE27E">
      <w:pPr>
        <w:tabs>
          <w:tab w:val="left" w:pos="6300"/>
        </w:tabs>
        <w:snapToGrid w:val="0"/>
        <w:spacing w:line="500" w:lineRule="exact"/>
        <w:ind w:firstLine="570"/>
        <w:rPr>
          <w:rFonts w:hint="eastAsia" w:ascii="宋体" w:hAnsi="宋体" w:eastAsia="宋体" w:cs="宋体"/>
          <w:color w:val="auto"/>
          <w:sz w:val="24"/>
          <w:highlight w:val="none"/>
        </w:rPr>
      </w:pPr>
    </w:p>
    <w:p w14:paraId="1B6951E2">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38982235">
      <w:pPr>
        <w:tabs>
          <w:tab w:val="left" w:pos="6300"/>
        </w:tabs>
        <w:snapToGrid w:val="0"/>
        <w:spacing w:line="500" w:lineRule="exact"/>
        <w:ind w:firstLine="570"/>
        <w:rPr>
          <w:rFonts w:hint="eastAsia" w:ascii="宋体" w:hAnsi="宋体" w:eastAsia="宋体" w:cs="宋体"/>
          <w:color w:val="auto"/>
          <w:sz w:val="24"/>
          <w:highlight w:val="none"/>
        </w:rPr>
      </w:pPr>
    </w:p>
    <w:p w14:paraId="4F95FF8B">
      <w:pPr>
        <w:tabs>
          <w:tab w:val="left" w:pos="6300"/>
        </w:tabs>
        <w:snapToGrid w:val="0"/>
        <w:spacing w:line="500" w:lineRule="exact"/>
        <w:ind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504ADF56">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（附：法定代表人身份证正反面复印件）</w:t>
      </w:r>
    </w:p>
    <w:p w14:paraId="5845C99D">
      <w:pPr>
        <w:tabs>
          <w:tab w:val="left" w:pos="6300"/>
        </w:tabs>
        <w:snapToGrid w:val="0"/>
        <w:spacing w:line="500" w:lineRule="exact"/>
        <w:ind w:firstLine="570"/>
        <w:rPr>
          <w:rFonts w:hint="eastAsia" w:ascii="宋体" w:hAnsi="宋体" w:eastAsia="宋体" w:cs="宋体"/>
          <w:color w:val="auto"/>
          <w:sz w:val="24"/>
          <w:highlight w:val="none"/>
        </w:rPr>
      </w:pPr>
    </w:p>
    <w:p w14:paraId="2ACA7AF6">
      <w:pPr>
        <w:tabs>
          <w:tab w:val="left" w:pos="6300"/>
        </w:tabs>
        <w:snapToGrid w:val="0"/>
        <w:spacing w:line="500" w:lineRule="exact"/>
        <w:ind w:firstLine="570"/>
        <w:rPr>
          <w:rFonts w:hint="eastAsia" w:ascii="宋体" w:hAnsi="宋体" w:eastAsia="宋体" w:cs="宋体"/>
          <w:color w:val="auto"/>
          <w:sz w:val="24"/>
          <w:highlight w:val="none"/>
        </w:rPr>
      </w:pPr>
    </w:p>
    <w:p w14:paraId="184CEEB9">
      <w:pPr>
        <w:tabs>
          <w:tab w:val="left" w:pos="6300"/>
        </w:tabs>
        <w:snapToGrid w:val="0"/>
        <w:spacing w:line="500" w:lineRule="exact"/>
        <w:ind w:firstLine="570"/>
        <w:rPr>
          <w:rFonts w:hint="eastAsia" w:ascii="宋体" w:hAnsi="宋体" w:eastAsia="宋体" w:cs="宋体"/>
          <w:color w:val="auto"/>
          <w:sz w:val="24"/>
          <w:highlight w:val="none"/>
        </w:rPr>
      </w:pPr>
    </w:p>
    <w:p w14:paraId="43E3C0A7">
      <w:pPr>
        <w:tabs>
          <w:tab w:val="left" w:pos="6300"/>
        </w:tabs>
        <w:snapToGrid w:val="0"/>
        <w:spacing w:line="500" w:lineRule="exact"/>
        <w:ind w:firstLine="570"/>
        <w:rPr>
          <w:rFonts w:hint="eastAsia" w:ascii="宋体" w:hAnsi="宋体" w:eastAsia="宋体" w:cs="宋体"/>
          <w:color w:val="auto"/>
          <w:sz w:val="24"/>
          <w:highlight w:val="none"/>
        </w:rPr>
      </w:pPr>
    </w:p>
    <w:p w14:paraId="3487A914">
      <w:pPr>
        <w:tabs>
          <w:tab w:val="left" w:pos="6300"/>
        </w:tabs>
        <w:snapToGrid w:val="0"/>
        <w:spacing w:line="500" w:lineRule="exact"/>
        <w:ind w:firstLine="570"/>
        <w:rPr>
          <w:rFonts w:hint="eastAsia" w:ascii="宋体" w:hAnsi="宋体" w:eastAsia="宋体" w:cs="宋体"/>
          <w:color w:val="auto"/>
          <w:sz w:val="24"/>
          <w:highlight w:val="none"/>
        </w:rPr>
      </w:pPr>
    </w:p>
    <w:p w14:paraId="74B9A9B1">
      <w:pPr>
        <w:tabs>
          <w:tab w:val="left" w:pos="6300"/>
        </w:tabs>
        <w:snapToGrid w:val="0"/>
        <w:spacing w:line="500" w:lineRule="exact"/>
        <w:ind w:firstLine="570"/>
        <w:rPr>
          <w:rFonts w:hint="eastAsia" w:ascii="宋体" w:hAnsi="宋体" w:eastAsia="宋体" w:cs="宋体"/>
          <w:color w:val="auto"/>
          <w:sz w:val="24"/>
          <w:highlight w:val="none"/>
        </w:rPr>
      </w:pPr>
    </w:p>
    <w:p w14:paraId="4021BC7F">
      <w:pPr>
        <w:tabs>
          <w:tab w:val="left" w:pos="6300"/>
        </w:tabs>
        <w:snapToGrid w:val="0"/>
        <w:spacing w:line="500" w:lineRule="exact"/>
        <w:ind w:firstLine="570"/>
        <w:rPr>
          <w:rFonts w:hint="eastAsia" w:ascii="宋体" w:hAnsi="宋体" w:eastAsia="宋体" w:cs="宋体"/>
          <w:color w:val="auto"/>
          <w:highlight w:val="none"/>
        </w:rPr>
      </w:pPr>
      <w:r>
        <w:rPr>
          <w:rFonts w:hint="eastAsia" w:ascii="宋体" w:hAnsi="宋体" w:eastAsia="宋体" w:cs="宋体"/>
          <w:color w:val="auto"/>
          <w:highlight w:val="none"/>
        </w:rPr>
        <w:br w:type="column"/>
      </w:r>
      <w:r>
        <w:rPr>
          <w:rFonts w:hint="eastAsia" w:ascii="宋体" w:hAnsi="宋体" w:eastAsia="宋体" w:cs="宋体"/>
          <w:color w:val="auto"/>
          <w:sz w:val="24"/>
          <w:szCs w:val="24"/>
          <w:highlight w:val="none"/>
        </w:rPr>
        <w:t>（三）法定代表人授权委托书（格式）</w:t>
      </w:r>
    </w:p>
    <w:p w14:paraId="4ACF8C97">
      <w:pPr>
        <w:tabs>
          <w:tab w:val="left" w:pos="6300"/>
        </w:tabs>
        <w:snapToGrid w:val="0"/>
        <w:spacing w:line="500" w:lineRule="exact"/>
        <w:ind w:firstLine="570"/>
        <w:rPr>
          <w:rFonts w:hint="eastAsia" w:ascii="宋体" w:hAnsi="宋体" w:eastAsia="宋体" w:cs="宋体"/>
          <w:color w:val="auto"/>
          <w:sz w:val="24"/>
          <w:highlight w:val="none"/>
        </w:rPr>
      </w:pPr>
    </w:p>
    <w:p w14:paraId="5C688F79">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szCs w:val="28"/>
          <w:highlight w:val="none"/>
        </w:rPr>
        <w:t>采购项目名称</w:t>
      </w:r>
      <w:r>
        <w:rPr>
          <w:rFonts w:hint="eastAsia" w:ascii="宋体" w:hAnsi="宋体" w:eastAsia="宋体" w:cs="宋体"/>
          <w:color w:val="auto"/>
          <w:sz w:val="24"/>
          <w:highlight w:val="none"/>
        </w:rPr>
        <w:t>：</w:t>
      </w:r>
    </w:p>
    <w:p w14:paraId="6512DB53">
      <w:pPr>
        <w:tabs>
          <w:tab w:val="left" w:pos="6300"/>
        </w:tabs>
        <w:snapToGrid w:val="0"/>
        <w:spacing w:line="500" w:lineRule="exact"/>
        <w:ind w:firstLine="570"/>
        <w:rPr>
          <w:rFonts w:hint="eastAsia" w:ascii="宋体" w:hAnsi="宋体" w:eastAsia="宋体" w:cs="宋体"/>
          <w:color w:val="auto"/>
          <w:sz w:val="24"/>
          <w:highlight w:val="none"/>
        </w:rPr>
      </w:pPr>
    </w:p>
    <w:p w14:paraId="5C1E904D">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68A48123">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（供应商法定代表人名称）是</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（供应商名称）的法定代表人，特授权</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（被授权人姓名及身份证号码）代表我单位全权办理上述项目的采购、签约等具体工作，并签署全部有关文件、协议及合同。</w:t>
      </w:r>
    </w:p>
    <w:p w14:paraId="1BFBEA70">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我单位对被授权人的签字负全部责任。</w:t>
      </w:r>
    </w:p>
    <w:p w14:paraId="740204CA">
      <w:pPr>
        <w:tabs>
          <w:tab w:val="left" w:pos="6300"/>
        </w:tabs>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在撤消授权的书面通知以前，本授权书一直有效。被授权人在授权书有效期内签署的所有文件不因授权的撤消而失效。</w:t>
      </w:r>
    </w:p>
    <w:p w14:paraId="6E69BD38">
      <w:pPr>
        <w:tabs>
          <w:tab w:val="left" w:pos="6300"/>
        </w:tabs>
        <w:snapToGrid w:val="0"/>
        <w:spacing w:line="500" w:lineRule="exact"/>
        <w:ind w:firstLine="570"/>
        <w:rPr>
          <w:rFonts w:hint="eastAsia" w:ascii="宋体" w:hAnsi="宋体" w:eastAsia="宋体" w:cs="宋体"/>
          <w:color w:val="auto"/>
          <w:sz w:val="24"/>
          <w:highlight w:val="none"/>
        </w:rPr>
      </w:pPr>
    </w:p>
    <w:p w14:paraId="461BA35A">
      <w:pPr>
        <w:tabs>
          <w:tab w:val="left" w:pos="6300"/>
        </w:tabs>
        <w:snapToGrid w:val="0"/>
        <w:spacing w:line="500" w:lineRule="exact"/>
        <w:ind w:firstLine="570"/>
        <w:rPr>
          <w:rFonts w:hint="eastAsia" w:ascii="宋体" w:hAnsi="宋体" w:eastAsia="宋体" w:cs="宋体"/>
          <w:color w:val="auto"/>
          <w:sz w:val="24"/>
          <w:highlight w:val="none"/>
        </w:rPr>
      </w:pPr>
    </w:p>
    <w:p w14:paraId="3EE0653B">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被授权人：                                   供应商法定代表人：</w:t>
      </w:r>
    </w:p>
    <w:p w14:paraId="4A638751">
      <w:pPr>
        <w:tabs>
          <w:tab w:val="left" w:pos="6300"/>
        </w:tabs>
        <w:snapToGrid w:val="0"/>
        <w:spacing w:line="500" w:lineRule="exact"/>
        <w:ind w:firstLine="570"/>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（签字或盖章）                                （签字或盖章）</w:t>
      </w:r>
    </w:p>
    <w:p w14:paraId="734C298E">
      <w:pPr>
        <w:tabs>
          <w:tab w:val="left" w:pos="6300"/>
        </w:tabs>
        <w:snapToGrid w:val="0"/>
        <w:spacing w:line="500" w:lineRule="exact"/>
        <w:ind w:firstLine="570"/>
        <w:rPr>
          <w:rFonts w:hint="eastAsia" w:ascii="宋体" w:hAnsi="宋体" w:eastAsia="宋体" w:cs="宋体"/>
          <w:color w:val="auto"/>
          <w:sz w:val="24"/>
          <w:szCs w:val="28"/>
          <w:highlight w:val="none"/>
        </w:rPr>
      </w:pPr>
    </w:p>
    <w:p w14:paraId="369304B7">
      <w:pPr>
        <w:tabs>
          <w:tab w:val="left" w:pos="6300"/>
        </w:tabs>
        <w:snapToGrid w:val="0"/>
        <w:spacing w:line="500" w:lineRule="exact"/>
        <w:ind w:firstLine="570"/>
        <w:rPr>
          <w:rFonts w:hint="eastAsia" w:ascii="宋体" w:hAnsi="宋体" w:eastAsia="宋体" w:cs="宋体"/>
          <w:color w:val="auto"/>
          <w:sz w:val="24"/>
          <w:highlight w:val="none"/>
        </w:rPr>
      </w:pPr>
      <w:r>
        <w:rPr>
          <w:rFonts w:hint="eastAsia" w:ascii="宋体" w:hAnsi="宋体" w:eastAsia="宋体" w:cs="宋体"/>
          <w:color w:val="auto"/>
          <w:sz w:val="24"/>
          <w:highlight w:val="none"/>
        </w:rPr>
        <w:t>（附：被授权人身份证正反面复印件）</w:t>
      </w:r>
    </w:p>
    <w:p w14:paraId="7CC1C2D9">
      <w:pPr>
        <w:tabs>
          <w:tab w:val="left" w:pos="6300"/>
        </w:tabs>
        <w:snapToGrid w:val="0"/>
        <w:spacing w:line="500" w:lineRule="exact"/>
        <w:ind w:firstLine="570"/>
        <w:rPr>
          <w:rFonts w:hint="eastAsia" w:ascii="宋体" w:hAnsi="宋体" w:eastAsia="宋体" w:cs="宋体"/>
          <w:color w:val="auto"/>
          <w:sz w:val="24"/>
          <w:highlight w:val="none"/>
        </w:rPr>
      </w:pPr>
    </w:p>
    <w:p w14:paraId="77D0DF38">
      <w:pPr>
        <w:tabs>
          <w:tab w:val="left" w:pos="6300"/>
        </w:tabs>
        <w:snapToGrid w:val="0"/>
        <w:spacing w:line="500" w:lineRule="exact"/>
        <w:ind w:firstLine="570"/>
        <w:rPr>
          <w:rFonts w:hint="eastAsia" w:ascii="宋体" w:hAnsi="宋体" w:eastAsia="宋体" w:cs="宋体"/>
          <w:color w:val="auto"/>
          <w:sz w:val="24"/>
          <w:highlight w:val="none"/>
        </w:rPr>
      </w:pPr>
    </w:p>
    <w:p w14:paraId="34AE6F74">
      <w:pPr>
        <w:tabs>
          <w:tab w:val="left" w:pos="6300"/>
        </w:tabs>
        <w:snapToGrid w:val="0"/>
        <w:spacing w:line="500" w:lineRule="exact"/>
        <w:ind w:firstLine="570"/>
        <w:rPr>
          <w:rFonts w:hint="eastAsia" w:ascii="宋体" w:hAnsi="宋体" w:eastAsia="宋体" w:cs="宋体"/>
          <w:color w:val="auto"/>
          <w:sz w:val="24"/>
          <w:highlight w:val="none"/>
        </w:rPr>
      </w:pPr>
    </w:p>
    <w:p w14:paraId="7DC8768F">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D0D5D7A">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9018208">
      <w:pPr>
        <w:tabs>
          <w:tab w:val="left" w:pos="6300"/>
        </w:tabs>
        <w:snapToGrid w:val="0"/>
        <w:spacing w:line="500" w:lineRule="exact"/>
        <w:ind w:right="480" w:firstLine="570"/>
        <w:jc w:val="right"/>
        <w:rPr>
          <w:rFonts w:hint="eastAsia" w:ascii="宋体" w:hAnsi="宋体" w:eastAsia="宋体" w:cs="宋体"/>
          <w:color w:val="auto"/>
          <w:sz w:val="24"/>
          <w:highlight w:val="none"/>
        </w:rPr>
      </w:pPr>
    </w:p>
    <w:p w14:paraId="665CD1C1">
      <w:pPr>
        <w:widowControl/>
        <w:spacing w:line="400" w:lineRule="exact"/>
        <w:ind w:firstLine="56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highlight w:val="none"/>
        </w:rPr>
        <w:br w:type="column"/>
      </w:r>
      <w:bookmarkStart w:id="266" w:name="_Toc14422"/>
      <w:r>
        <w:rPr>
          <w:rFonts w:hint="eastAsia" w:ascii="宋体" w:hAnsi="宋体" w:eastAsia="宋体" w:cs="宋体"/>
          <w:color w:val="auto"/>
          <w:sz w:val="24"/>
          <w:szCs w:val="24"/>
          <w:highlight w:val="none"/>
        </w:rPr>
        <w:t>（四）基本资格条件承诺函（格式）</w:t>
      </w:r>
    </w:p>
    <w:p w14:paraId="610559CA">
      <w:pPr>
        <w:tabs>
          <w:tab w:val="left" w:pos="6300"/>
        </w:tabs>
        <w:snapToGrid w:val="0"/>
        <w:spacing w:line="530" w:lineRule="exact"/>
        <w:rPr>
          <w:rFonts w:hint="eastAsia" w:ascii="宋体" w:hAnsi="宋体" w:eastAsia="宋体" w:cs="宋体"/>
          <w:color w:val="auto"/>
          <w:sz w:val="24"/>
          <w:highlight w:val="none"/>
        </w:rPr>
      </w:pPr>
    </w:p>
    <w:p w14:paraId="47581861">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（采购人名称）：</w:t>
      </w:r>
    </w:p>
    <w:p w14:paraId="726DC4A2">
      <w:pPr>
        <w:tabs>
          <w:tab w:val="left" w:pos="6300"/>
        </w:tabs>
        <w:snapToGrid w:val="0"/>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（供应商名称）郑重承诺：</w:t>
      </w:r>
    </w:p>
    <w:p w14:paraId="0656A6A2">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1.我方具有良好的商业信誉和健全的财务会计制度，具有履行合同所必需的设备和专业技术能力，具</w:t>
      </w:r>
      <w:r>
        <w:rPr>
          <w:rFonts w:hint="eastAsia" w:ascii="宋体" w:hAnsi="宋体" w:eastAsia="宋体" w:cs="宋体"/>
          <w:color w:val="auto"/>
          <w:sz w:val="24"/>
          <w:highlight w:val="none"/>
          <w:lang w:val="zh-CN"/>
        </w:rPr>
        <w:t>有依法缴纳税收和社会保障金的良好记录</w:t>
      </w:r>
      <w:r>
        <w:rPr>
          <w:rFonts w:hint="eastAsia" w:ascii="宋体" w:hAnsi="宋体" w:eastAsia="宋体" w:cs="宋体"/>
          <w:color w:val="auto"/>
          <w:sz w:val="24"/>
          <w:highlight w:val="none"/>
        </w:rPr>
        <w:t>，参加本项目采购活动前三年内无重大违法活动记录。</w:t>
      </w:r>
    </w:p>
    <w:p w14:paraId="0152F5E3">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14:paraId="5BA54C05">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37C85A1F">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我方对以上承诺负全部法律责任。</w:t>
      </w:r>
    </w:p>
    <w:p w14:paraId="53EF130B">
      <w:pPr>
        <w:tabs>
          <w:tab w:val="left" w:pos="6300"/>
        </w:tabs>
        <w:snapToGrid w:val="0"/>
        <w:spacing w:line="500" w:lineRule="exact"/>
        <w:ind w:right="480" w:firstLine="57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特此承诺。</w:t>
      </w:r>
    </w:p>
    <w:p w14:paraId="401631D4">
      <w:pPr>
        <w:tabs>
          <w:tab w:val="left" w:pos="6300"/>
        </w:tabs>
        <w:snapToGrid w:val="0"/>
        <w:spacing w:line="530" w:lineRule="exact"/>
        <w:rPr>
          <w:rFonts w:hint="eastAsia" w:ascii="宋体" w:hAnsi="宋体" w:eastAsia="宋体" w:cs="宋体"/>
          <w:color w:val="auto"/>
          <w:sz w:val="24"/>
          <w:szCs w:val="24"/>
          <w:highlight w:val="none"/>
        </w:rPr>
      </w:pPr>
    </w:p>
    <w:p w14:paraId="7E998B87">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（供应商公章）</w:t>
      </w:r>
    </w:p>
    <w:p w14:paraId="0CAD4613">
      <w:pPr>
        <w:tabs>
          <w:tab w:val="left" w:pos="6300"/>
        </w:tabs>
        <w:snapToGrid w:val="0"/>
        <w:spacing w:line="500" w:lineRule="exact"/>
        <w:ind w:right="480" w:firstLine="57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年 月 日</w:t>
      </w:r>
    </w:p>
    <w:p w14:paraId="056C1DB2">
      <w:pPr>
        <w:tabs>
          <w:tab w:val="left" w:pos="6300"/>
        </w:tabs>
        <w:snapToGrid w:val="0"/>
        <w:spacing w:line="500" w:lineRule="exact"/>
        <w:ind w:firstLine="570"/>
        <w:rPr>
          <w:rFonts w:hint="eastAsia" w:ascii="宋体" w:hAnsi="宋体" w:eastAsia="宋体" w:cs="宋体"/>
          <w:color w:val="auto"/>
          <w:sz w:val="24"/>
          <w:szCs w:val="24"/>
          <w:highlight w:val="none"/>
        </w:rPr>
      </w:pPr>
    </w:p>
    <w:p w14:paraId="2F75F78E">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66D441E7">
      <w:pPr>
        <w:tabs>
          <w:tab w:val="left" w:pos="6300"/>
        </w:tabs>
        <w:snapToGrid w:val="0"/>
        <w:spacing w:line="500" w:lineRule="exact"/>
        <w:ind w:firstLine="480" w:firstLineChars="200"/>
        <w:rPr>
          <w:rFonts w:hint="eastAsia" w:ascii="宋体" w:hAnsi="宋体" w:eastAsia="宋体" w:cs="宋体"/>
          <w:color w:val="auto"/>
          <w:sz w:val="24"/>
          <w:szCs w:val="24"/>
          <w:highlight w:val="none"/>
        </w:rPr>
      </w:pPr>
    </w:p>
    <w:p w14:paraId="757EC79B">
      <w:pPr>
        <w:pStyle w:val="5"/>
        <w:rPr>
          <w:rFonts w:hint="eastAsia" w:ascii="宋体" w:hAnsi="宋体" w:eastAsia="宋体" w:cs="宋体"/>
          <w:color w:val="auto"/>
          <w:sz w:val="24"/>
          <w:szCs w:val="24"/>
          <w:highlight w:val="none"/>
        </w:rPr>
      </w:pPr>
    </w:p>
    <w:p w14:paraId="057867A9">
      <w:pPr>
        <w:rPr>
          <w:rFonts w:hint="eastAsia" w:ascii="宋体" w:hAnsi="宋体" w:eastAsia="宋体" w:cs="宋体"/>
          <w:color w:val="auto"/>
          <w:sz w:val="24"/>
          <w:szCs w:val="24"/>
          <w:highlight w:val="none"/>
        </w:rPr>
      </w:pPr>
    </w:p>
    <w:p w14:paraId="5E853995">
      <w:pPr>
        <w:pStyle w:val="5"/>
        <w:rPr>
          <w:rFonts w:hint="eastAsia" w:ascii="宋体" w:hAnsi="宋体" w:eastAsia="宋体" w:cs="宋体"/>
          <w:color w:val="auto"/>
          <w:sz w:val="24"/>
          <w:szCs w:val="24"/>
          <w:highlight w:val="none"/>
        </w:rPr>
      </w:pPr>
    </w:p>
    <w:p w14:paraId="4F4E099E">
      <w:pPr>
        <w:rPr>
          <w:rFonts w:hint="eastAsia" w:ascii="宋体" w:hAnsi="宋体" w:eastAsia="宋体" w:cs="宋体"/>
          <w:color w:val="auto"/>
          <w:sz w:val="24"/>
          <w:szCs w:val="24"/>
          <w:highlight w:val="none"/>
        </w:rPr>
      </w:pPr>
    </w:p>
    <w:p w14:paraId="7C6FF67B">
      <w:pPr>
        <w:tabs>
          <w:tab w:val="left" w:pos="6300"/>
        </w:tabs>
        <w:snapToGrid w:val="0"/>
        <w:spacing w:line="500" w:lineRule="exact"/>
        <w:ind w:firstLine="570"/>
        <w:rPr>
          <w:rFonts w:hint="eastAsia" w:ascii="宋体" w:hAnsi="宋体" w:eastAsia="宋体" w:cs="宋体"/>
          <w:color w:val="auto"/>
          <w:sz w:val="24"/>
          <w:szCs w:val="24"/>
          <w:highlight w:val="none"/>
        </w:rPr>
      </w:pPr>
    </w:p>
    <w:p w14:paraId="1DA6FB94">
      <w:pPr>
        <w:tabs>
          <w:tab w:val="left" w:pos="6300"/>
        </w:tabs>
        <w:snapToGrid w:val="0"/>
        <w:spacing w:line="500" w:lineRule="exact"/>
        <w:ind w:firstLine="570"/>
        <w:rPr>
          <w:rFonts w:hint="eastAsia" w:ascii="宋体" w:hAnsi="宋体" w:eastAsia="宋体" w:cs="宋体"/>
          <w:color w:val="auto"/>
          <w:sz w:val="24"/>
          <w:szCs w:val="24"/>
          <w:highlight w:val="none"/>
        </w:rPr>
      </w:pPr>
    </w:p>
    <w:p w14:paraId="25097CCD">
      <w:pPr>
        <w:tabs>
          <w:tab w:val="left" w:pos="6300"/>
        </w:tabs>
        <w:snapToGrid w:val="0"/>
        <w:spacing w:line="500" w:lineRule="exact"/>
        <w:ind w:firstLine="57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（五）特定资格条件证明文件（如果有）</w:t>
      </w:r>
    </w:p>
    <w:p w14:paraId="1AC49A33">
      <w:pPr>
        <w:pStyle w:val="5"/>
        <w:spacing w:before="0" w:after="0" w:line="360" w:lineRule="auto"/>
        <w:rPr>
          <w:rFonts w:hint="eastAsia" w:ascii="宋体" w:hAnsi="宋体" w:eastAsia="宋体" w:cs="宋体"/>
          <w:b w:val="0"/>
          <w:bCs/>
          <w:color w:val="auto"/>
          <w:highlight w:val="none"/>
        </w:rPr>
      </w:pPr>
      <w:r>
        <w:rPr>
          <w:rFonts w:hint="eastAsia" w:ascii="宋体" w:hAnsi="宋体" w:eastAsia="宋体" w:cs="宋体"/>
          <w:b w:val="0"/>
          <w:color w:val="auto"/>
          <w:sz w:val="28"/>
          <w:highlight w:val="none"/>
        </w:rPr>
        <w:br w:type="page"/>
      </w:r>
      <w:bookmarkStart w:id="267" w:name="_Toc26481"/>
      <w:bookmarkStart w:id="268" w:name="_Toc17417"/>
      <w:bookmarkStart w:id="269" w:name="_Toc15318"/>
      <w:bookmarkStart w:id="270" w:name="_Toc5951"/>
      <w:r>
        <w:rPr>
          <w:rFonts w:hint="eastAsia" w:ascii="宋体" w:hAnsi="宋体" w:eastAsia="宋体" w:cs="宋体"/>
          <w:b w:val="0"/>
          <w:bCs/>
          <w:color w:val="auto"/>
          <w:sz w:val="24"/>
          <w:szCs w:val="24"/>
          <w:highlight w:val="none"/>
        </w:rPr>
        <w:t>五、其他应提供的资料</w:t>
      </w:r>
      <w:bookmarkEnd w:id="266"/>
      <w:bookmarkEnd w:id="267"/>
      <w:bookmarkEnd w:id="268"/>
      <w:bookmarkEnd w:id="269"/>
      <w:bookmarkEnd w:id="270"/>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如有，格式自拟）</w:t>
      </w:r>
    </w:p>
    <w:p w14:paraId="16D99C11">
      <w:pPr>
        <w:tabs>
          <w:tab w:val="left" w:pos="6300"/>
        </w:tabs>
        <w:snapToGrid w:val="0"/>
        <w:spacing w:line="500" w:lineRule="exact"/>
        <w:ind w:firstLine="570"/>
        <w:rPr>
          <w:rFonts w:hint="eastAsia" w:ascii="宋体" w:hAnsi="宋体" w:eastAsia="宋体" w:cs="宋体"/>
          <w:color w:val="auto"/>
          <w:sz w:val="24"/>
          <w:szCs w:val="24"/>
          <w:highlight w:val="none"/>
        </w:rPr>
      </w:pPr>
      <w:bookmarkStart w:id="271" w:name="_Toc10494"/>
      <w:bookmarkStart w:id="272" w:name="_Toc136879718"/>
      <w:bookmarkStart w:id="273" w:name="_Toc27041"/>
      <w:bookmarkStart w:id="274" w:name="_Toc136880175"/>
    </w:p>
    <w:bookmarkEnd w:id="271"/>
    <w:bookmarkEnd w:id="272"/>
    <w:bookmarkEnd w:id="273"/>
    <w:bookmarkEnd w:id="274"/>
    <w:p w14:paraId="7901D7C2">
      <w:pPr>
        <w:spacing w:line="360" w:lineRule="auto"/>
        <w:ind w:firstLine="480" w:firstLineChars="200"/>
        <w:jc w:val="center"/>
        <w:rPr>
          <w:rFonts w:hint="eastAsia" w:ascii="宋体" w:hAnsi="宋体" w:eastAsia="宋体" w:cs="宋体"/>
          <w:color w:val="auto"/>
          <w:sz w:val="24"/>
          <w:szCs w:val="24"/>
          <w:highlight w:val="none"/>
        </w:rPr>
      </w:pPr>
    </w:p>
    <w:p w14:paraId="68404DE1">
      <w:pPr>
        <w:spacing w:line="400" w:lineRule="exact"/>
        <w:ind w:firstLine="480" w:firstLineChars="200"/>
        <w:jc w:val="center"/>
        <w:rPr>
          <w:rFonts w:hint="eastAsia" w:ascii="宋体" w:hAnsi="宋体" w:eastAsia="宋体" w:cs="宋体"/>
          <w:color w:val="auto"/>
          <w:sz w:val="24"/>
          <w:szCs w:val="24"/>
          <w:highlight w:val="none"/>
        </w:rPr>
      </w:pPr>
    </w:p>
    <w:p w14:paraId="348AE5C5">
      <w:pPr>
        <w:spacing w:line="400" w:lineRule="exact"/>
        <w:ind w:firstLine="480" w:firstLineChars="200"/>
        <w:jc w:val="center"/>
        <w:rPr>
          <w:rFonts w:hint="eastAsia" w:ascii="宋体" w:hAnsi="宋体" w:eastAsia="宋体" w:cs="宋体"/>
          <w:color w:val="auto"/>
          <w:sz w:val="24"/>
          <w:szCs w:val="24"/>
          <w:highlight w:val="none"/>
        </w:rPr>
      </w:pPr>
    </w:p>
    <w:p w14:paraId="74EEF736">
      <w:pPr>
        <w:spacing w:line="400" w:lineRule="exact"/>
        <w:ind w:firstLine="480" w:firstLineChars="200"/>
        <w:jc w:val="center"/>
        <w:rPr>
          <w:rFonts w:hint="eastAsia" w:ascii="宋体" w:hAnsi="宋体" w:eastAsia="宋体" w:cs="宋体"/>
          <w:color w:val="auto"/>
          <w:sz w:val="24"/>
          <w:szCs w:val="24"/>
          <w:highlight w:val="none"/>
        </w:rPr>
      </w:pPr>
    </w:p>
    <w:p w14:paraId="1CFDC5DE">
      <w:pPr>
        <w:spacing w:line="400" w:lineRule="exact"/>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（结束）</w:t>
      </w:r>
    </w:p>
    <w:p w14:paraId="55FE3589">
      <w:pPr>
        <w:spacing w:line="360" w:lineRule="auto"/>
        <w:ind w:firstLine="480" w:firstLineChars="200"/>
        <w:rPr>
          <w:rFonts w:hint="eastAsia" w:ascii="宋体" w:hAnsi="宋体" w:eastAsia="宋体" w:cs="宋体"/>
          <w:color w:val="auto"/>
          <w:sz w:val="24"/>
          <w:szCs w:val="24"/>
          <w:highlight w:val="none"/>
        </w:rPr>
      </w:pPr>
    </w:p>
    <w:p w14:paraId="2A27AAC3">
      <w:pPr>
        <w:spacing w:line="360" w:lineRule="auto"/>
        <w:ind w:firstLine="480" w:firstLineChars="200"/>
        <w:jc w:val="center"/>
        <w:rPr>
          <w:rFonts w:hint="eastAsia" w:ascii="宋体" w:hAnsi="宋体" w:eastAsia="宋体" w:cs="宋体"/>
          <w:color w:val="auto"/>
          <w:sz w:val="24"/>
          <w:szCs w:val="24"/>
          <w:highlight w:val="none"/>
        </w:rPr>
      </w:pPr>
    </w:p>
    <w:p w14:paraId="417B31E0">
      <w:pPr>
        <w:spacing w:line="360" w:lineRule="auto"/>
        <w:ind w:firstLine="480" w:firstLineChars="200"/>
        <w:jc w:val="center"/>
        <w:rPr>
          <w:rFonts w:hint="eastAsia" w:ascii="宋体" w:hAnsi="宋体" w:eastAsia="宋体" w:cs="宋体"/>
          <w:color w:val="auto"/>
          <w:sz w:val="24"/>
          <w:szCs w:val="24"/>
          <w:highlight w:val="none"/>
        </w:rPr>
      </w:pPr>
    </w:p>
    <w:p w14:paraId="3FAC228A">
      <w:pPr>
        <w:spacing w:line="360" w:lineRule="auto"/>
        <w:ind w:firstLine="480" w:firstLineChars="200"/>
        <w:jc w:val="center"/>
        <w:rPr>
          <w:rFonts w:hint="eastAsia" w:ascii="宋体" w:hAnsi="宋体" w:eastAsia="宋体" w:cs="宋体"/>
          <w:color w:val="auto"/>
          <w:sz w:val="24"/>
          <w:szCs w:val="24"/>
          <w:highlight w:val="none"/>
        </w:rPr>
      </w:pPr>
    </w:p>
    <w:p w14:paraId="4AECBAE6">
      <w:pPr>
        <w:spacing w:line="360" w:lineRule="auto"/>
        <w:ind w:firstLine="480" w:firstLineChars="200"/>
        <w:jc w:val="center"/>
        <w:rPr>
          <w:rFonts w:hint="eastAsia" w:ascii="宋体" w:hAnsi="宋体" w:eastAsia="宋体" w:cs="宋体"/>
          <w:color w:val="auto"/>
          <w:sz w:val="24"/>
          <w:szCs w:val="24"/>
          <w:highlight w:val="none"/>
        </w:rPr>
      </w:pPr>
    </w:p>
    <w:p w14:paraId="768E7E5B">
      <w:pPr>
        <w:spacing w:line="360" w:lineRule="auto"/>
        <w:ind w:firstLine="480" w:firstLineChars="200"/>
        <w:jc w:val="center"/>
        <w:rPr>
          <w:rFonts w:hint="eastAsia" w:ascii="宋体" w:hAnsi="宋体" w:eastAsia="宋体" w:cs="宋体"/>
          <w:color w:val="auto"/>
          <w:sz w:val="24"/>
          <w:szCs w:val="24"/>
          <w:highlight w:val="none"/>
        </w:rPr>
      </w:pPr>
    </w:p>
    <w:p w14:paraId="7B932C53">
      <w:pPr>
        <w:pStyle w:val="127"/>
        <w:spacing w:line="20" w:lineRule="atLeast"/>
        <w:jc w:val="center"/>
        <w:rPr>
          <w:rFonts w:hint="eastAsia" w:ascii="宋体" w:hAnsi="宋体" w:eastAsia="宋体" w:cs="宋体"/>
          <w:color w:val="auto"/>
          <w:highlight w:val="none"/>
        </w:rPr>
      </w:pPr>
    </w:p>
    <w:p w14:paraId="37915123">
      <w:pPr>
        <w:pStyle w:val="127"/>
        <w:spacing w:line="20" w:lineRule="atLeast"/>
        <w:jc w:val="center"/>
        <w:rPr>
          <w:rFonts w:hint="eastAsia" w:ascii="宋体" w:hAnsi="宋体" w:eastAsia="宋体" w:cs="宋体"/>
          <w:color w:val="auto"/>
          <w:highlight w:val="none"/>
        </w:rPr>
      </w:pPr>
    </w:p>
    <w:sectPr>
      <w:headerReference r:id="rId9" w:type="default"/>
      <w:footerReference r:id="rId10" w:type="default"/>
      <w:pgSz w:w="11907" w:h="16840"/>
      <w:pgMar w:top="1134" w:right="1191" w:bottom="1134" w:left="1304" w:header="624"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1" w:fontKey="{57008DC2-32E5-4328-9807-07675ED73311}"/>
  </w:font>
  <w:font w:name="Calibri Light">
    <w:panose1 w:val="020F0302020204030204"/>
    <w:charset w:val="00"/>
    <w:family w:val="swiss"/>
    <w:pitch w:val="default"/>
    <w:sig w:usb0="E4002EFF" w:usb1="C000247B" w:usb2="00000009" w:usb3="00000000" w:csb0="200001FF" w:csb1="00000000"/>
  </w:font>
  <w:font w:name="Helvetica">
    <w:altName w:val="Arial"/>
    <w:panose1 w:val="020B0604020202020204"/>
    <w:charset w:val="00"/>
    <w:family w:val="auto"/>
    <w:pitch w:val="default"/>
    <w:sig w:usb0="00000000" w:usb1="00000000" w:usb2="00000000" w:usb3="00000000" w:csb0="00000001" w:csb1="00000000"/>
  </w:font>
  <w:font w:name="昆仑楷体">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文鼎粗黑">
    <w:altName w:val="黑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embedRegular r:id="rId2" w:fontKey="{B5D46641-B3A9-48D9-BCD8-51D88536C39C}"/>
  </w:font>
  <w:font w:name="方正仿宋_GBK">
    <w:panose1 w:val="03000509000000000000"/>
    <w:charset w:val="86"/>
    <w:family w:val="script"/>
    <w:pitch w:val="default"/>
    <w:sig w:usb0="00000001" w:usb1="080E0000" w:usb2="00000000" w:usb3="00000000" w:csb0="00040000" w:csb1="00000000"/>
    <w:embedRegular r:id="rId3" w:fontKey="{D4C61749-026B-4F92-829B-0E844E617FDF}"/>
  </w:font>
  <w:font w:name="WPSEMBED1">
    <w:panose1 w:val="02010600040101010101"/>
    <w:charset w:val="86"/>
    <w:family w:val="auto"/>
    <w:pitch w:val="default"/>
    <w:sig w:usb0="00000287" w:usb1="080F0000" w:usb2="00000000" w:usb3="00000000" w:csb0="0004009F" w:csb1="DFD7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379A6">
    <w:pPr>
      <w:pStyle w:val="37"/>
      <w:framePr w:wrap="around" w:vAnchor="text" w:hAnchor="margin" w:xAlign="center" w:y="1"/>
      <w:jc w:val="center"/>
      <w:rPr>
        <w:rStyle w:val="66"/>
        <w:rFonts w:ascii="宋体"/>
        <w:sz w:val="21"/>
        <w:szCs w:val="21"/>
      </w:rPr>
    </w:pPr>
    <w:r>
      <w:rPr>
        <w:rFonts w:ascii="宋体"/>
        <w:sz w:val="21"/>
        <w:szCs w:val="21"/>
      </w:rPr>
      <w:fldChar w:fldCharType="begin"/>
    </w:r>
    <w:r>
      <w:rPr>
        <w:rStyle w:val="66"/>
        <w:rFonts w:ascii="宋体"/>
        <w:sz w:val="21"/>
        <w:szCs w:val="21"/>
      </w:rPr>
      <w:instrText xml:space="preserve">PAGE  </w:instrText>
    </w:r>
    <w:r>
      <w:rPr>
        <w:rFonts w:ascii="宋体"/>
        <w:sz w:val="21"/>
        <w:szCs w:val="21"/>
      </w:rPr>
      <w:fldChar w:fldCharType="separate"/>
    </w:r>
    <w:r>
      <w:rPr>
        <w:rStyle w:val="66"/>
        <w:rFonts w:ascii="宋体"/>
        <w:sz w:val="21"/>
        <w:szCs w:val="21"/>
      </w:rPr>
      <w:t>- 6 -</w:t>
    </w:r>
    <w:r>
      <w:rPr>
        <w:rFonts w:ascii="宋体"/>
        <w:sz w:val="21"/>
        <w:szCs w:val="21"/>
      </w:rPr>
      <w:fldChar w:fldCharType="end"/>
    </w:r>
  </w:p>
  <w:p w14:paraId="3CC24D5F">
    <w:pPr>
      <w:pStyle w:val="3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802F4">
    <w:pPr>
      <w:pStyle w:val="3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0FB67">
    <w:pPr>
      <w:pStyle w:val="37"/>
      <w:ind w:right="360"/>
      <w:jc w:val="center"/>
    </w:pPr>
    <w:r>
      <w:fldChar w:fldCharType="begin"/>
    </w:r>
    <w:r>
      <w:rPr>
        <w:rStyle w:val="66"/>
      </w:rPr>
      <w:instrText xml:space="preserve"> PAGE </w:instrText>
    </w:r>
    <w:r>
      <w:fldChar w:fldCharType="separate"/>
    </w:r>
    <w:r>
      <w:rPr>
        <w:rStyle w:val="66"/>
      </w:rPr>
      <w:t>- 31 -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C8989A">
    <w:pPr>
      <w:pStyle w:val="37"/>
      <w:jc w:val="center"/>
      <w:rPr>
        <w:rFonts w:ascii="宋体" w:hAnsi="宋体"/>
        <w:sz w:val="21"/>
        <w:szCs w:val="21"/>
      </w:rPr>
    </w:pPr>
    <w:r>
      <w:rPr>
        <w:rFonts w:ascii="宋体" w:hAnsi="宋体"/>
        <w:sz w:val="21"/>
        <w:szCs w:val="21"/>
      </w:rPr>
      <w:fldChar w:fldCharType="begin"/>
    </w:r>
    <w:r>
      <w:rPr>
        <w:rStyle w:val="66"/>
        <w:rFonts w:ascii="宋体" w:hAnsi="宋体"/>
        <w:sz w:val="21"/>
        <w:szCs w:val="21"/>
      </w:rPr>
      <w:instrText xml:space="preserve"> PAGE </w:instrText>
    </w:r>
    <w:r>
      <w:rPr>
        <w:rFonts w:ascii="宋体" w:hAnsi="宋体"/>
        <w:sz w:val="21"/>
        <w:szCs w:val="21"/>
      </w:rPr>
      <w:fldChar w:fldCharType="separate"/>
    </w:r>
    <w:r>
      <w:rPr>
        <w:rStyle w:val="66"/>
        <w:rFonts w:ascii="宋体" w:hAnsi="宋体"/>
        <w:sz w:val="21"/>
        <w:szCs w:val="21"/>
      </w:rPr>
      <w:t>- 65 -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1158D">
    <w:pPr>
      <w:pStyle w:val="39"/>
      <w:jc w:val="both"/>
      <w:rPr>
        <w:rFonts w:ascii="仿宋" w:hAnsi="仿宋" w:eastAsia="仿宋" w:cs="仿宋"/>
        <w:sz w:val="24"/>
        <w:szCs w:val="24"/>
      </w:rPr>
    </w:pPr>
    <w:r>
      <w:rPr>
        <w:rFonts w:hint="eastAsia" w:ascii="仿宋" w:hAnsi="仿宋" w:eastAsia="仿宋" w:cs="仿宋"/>
        <w:sz w:val="24"/>
        <w:szCs w:val="24"/>
        <w:lang w:val="en-US" w:eastAsia="zh-CN"/>
      </w:rPr>
      <w:t>重庆千诺工程项目管理有限公司</w:t>
    </w:r>
    <w:r>
      <w:rPr>
        <w:rFonts w:hint="eastAsia" w:ascii="仿宋" w:hAnsi="仿宋" w:eastAsia="仿宋" w:cs="仿宋"/>
        <w:sz w:val="24"/>
        <w:szCs w:val="24"/>
      </w:rPr>
      <w:t xml:space="preserve">                                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0E5BB">
    <w:pPr>
      <w:pStyle w:val="3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516E5">
    <w:pPr>
      <w:pStyle w:val="39"/>
      <w:jc w:val="both"/>
      <w:rPr>
        <w:rFonts w:ascii="仿宋" w:hAnsi="仿宋" w:eastAsia="仿宋" w:cs="仿宋"/>
        <w:sz w:val="24"/>
        <w:szCs w:val="24"/>
      </w:rPr>
    </w:pPr>
    <w:r>
      <w:rPr>
        <w:rFonts w:hint="eastAsia" w:ascii="仿宋" w:hAnsi="仿宋" w:eastAsia="仿宋" w:cs="仿宋"/>
        <w:sz w:val="24"/>
        <w:szCs w:val="24"/>
        <w:lang w:eastAsia="zh-CN"/>
      </w:rPr>
      <w:t>重庆千诺工程项目管理有限公司</w:t>
    </w:r>
    <w:r>
      <w:rPr>
        <w:rFonts w:hint="eastAsia" w:ascii="仿宋" w:hAnsi="仿宋" w:eastAsia="仿宋" w:cs="仿宋"/>
        <w:sz w:val="24"/>
        <w:szCs w:val="24"/>
      </w:rPr>
      <w:t xml:space="preserve">                                     网上竞采文件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4E076">
    <w:pPr>
      <w:pStyle w:val="39"/>
      <w:jc w:val="both"/>
    </w:pPr>
    <w:r>
      <w:rPr>
        <w:rFonts w:hint="eastAsia" w:ascii="方正仿宋_GBK" w:eastAsia="方正仿宋_GBK"/>
        <w:sz w:val="21"/>
        <w:szCs w:val="21"/>
        <w:lang w:eastAsia="zh-CN"/>
      </w:rPr>
      <w:t>重庆千诺工程项目管理有限公司</w:t>
    </w:r>
    <w:r>
      <w:rPr>
        <w:rFonts w:hint="eastAsia" w:ascii="方正仿宋_GBK" w:eastAsia="方正仿宋_GBK"/>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5EF082"/>
    <w:multiLevelType w:val="singleLevel"/>
    <w:tmpl w:val="BB5EF082"/>
    <w:lvl w:ilvl="0" w:tentative="0">
      <w:start w:val="2"/>
      <w:numFmt w:val="chineseCounting"/>
      <w:suff w:val="nothing"/>
      <w:lvlText w:val="（%1）"/>
      <w:lvlJc w:val="left"/>
      <w:rPr>
        <w:rFonts w:hint="eastAsia"/>
      </w:rPr>
    </w:lvl>
  </w:abstractNum>
  <w:abstractNum w:abstractNumId="1">
    <w:nsid w:val="D5CF5DDE"/>
    <w:multiLevelType w:val="singleLevel"/>
    <w:tmpl w:val="D5CF5DDE"/>
    <w:lvl w:ilvl="0" w:tentative="0">
      <w:start w:val="1"/>
      <w:numFmt w:val="chineseCounting"/>
      <w:suff w:val="nothing"/>
      <w:lvlText w:val="%1、"/>
      <w:lvlJc w:val="left"/>
      <w:rPr>
        <w:rFonts w:hint="eastAsia"/>
      </w:rPr>
    </w:lvl>
  </w:abstractNum>
  <w:abstractNum w:abstractNumId="2">
    <w:nsid w:val="FAA715AA"/>
    <w:multiLevelType w:val="singleLevel"/>
    <w:tmpl w:val="FAA715AA"/>
    <w:lvl w:ilvl="0" w:tentative="0">
      <w:start w:val="2"/>
      <w:numFmt w:val="decimal"/>
      <w:lvlText w:val="%1."/>
      <w:lvlJc w:val="left"/>
      <w:pPr>
        <w:tabs>
          <w:tab w:val="left" w:pos="312"/>
        </w:tabs>
      </w:pPr>
    </w:lvl>
  </w:abstractNum>
  <w:abstractNum w:abstractNumId="3">
    <w:nsid w:val="00000009"/>
    <w:multiLevelType w:val="multilevel"/>
    <w:tmpl w:val="00000009"/>
    <w:lvl w:ilvl="0" w:tentative="0">
      <w:start w:val="1"/>
      <w:numFmt w:val="upperLetter"/>
      <w:pStyle w:val="178"/>
      <w:suff w:val="nothing"/>
      <w:lvlText w:val="附　录　%1"/>
      <w:lvlJc w:val="left"/>
      <w:pPr>
        <w:ind w:left="0" w:firstLine="0"/>
      </w:pPr>
      <w:rPr>
        <w:rFonts w:hint="eastAsia" w:ascii="黑体" w:hAnsi="Times New Roman" w:eastAsia="黑体"/>
        <w:b w:val="0"/>
        <w:i w:val="0"/>
        <w:sz w:val="21"/>
      </w:rPr>
    </w:lvl>
    <w:lvl w:ilvl="1" w:tentative="0">
      <w:start w:val="1"/>
      <w:numFmt w:val="decimal"/>
      <w:pStyle w:val="196"/>
      <w:suff w:val="nothing"/>
      <w:lvlText w:val="%1.%2　"/>
      <w:lvlJc w:val="left"/>
      <w:pPr>
        <w:ind w:left="210" w:firstLine="0"/>
      </w:pPr>
      <w:rPr>
        <w:rFonts w:hint="eastAsia" w:ascii="黑体" w:hAnsi="Times New Roman" w:eastAsia="黑体"/>
        <w:b w:val="0"/>
        <w:i w:val="0"/>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4">
    <w:nsid w:val="0000000A"/>
    <w:multiLevelType w:val="multilevel"/>
    <w:tmpl w:val="0000000A"/>
    <w:lvl w:ilvl="0" w:tentative="0">
      <w:start w:val="1"/>
      <w:numFmt w:val="bullet"/>
      <w:pStyle w:val="169"/>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B"/>
    <w:multiLevelType w:val="singleLevel"/>
    <w:tmpl w:val="0000000B"/>
    <w:lvl w:ilvl="0" w:tentative="0">
      <w:start w:val="1"/>
      <w:numFmt w:val="bullet"/>
      <w:pStyle w:val="185"/>
      <w:lvlText w:val=""/>
      <w:lvlJc w:val="left"/>
      <w:pPr>
        <w:tabs>
          <w:tab w:val="left" w:pos="360"/>
        </w:tabs>
        <w:ind w:left="360" w:hanging="360"/>
      </w:pPr>
      <w:rPr>
        <w:rFonts w:hint="default" w:ascii="Wingdings" w:hAnsi="Wingdings"/>
      </w:rPr>
    </w:lvl>
  </w:abstractNum>
  <w:abstractNum w:abstractNumId="6">
    <w:nsid w:val="0000000D"/>
    <w:multiLevelType w:val="singleLevel"/>
    <w:tmpl w:val="0000000D"/>
    <w:lvl w:ilvl="0" w:tentative="0">
      <w:start w:val="1"/>
      <w:numFmt w:val="bullet"/>
      <w:pStyle w:val="243"/>
      <w:lvlText w:val=""/>
      <w:lvlJc w:val="left"/>
      <w:pPr>
        <w:tabs>
          <w:tab w:val="left" w:pos="1200"/>
        </w:tabs>
        <w:ind w:left="1200" w:hanging="360"/>
      </w:pPr>
      <w:rPr>
        <w:rFonts w:hint="default" w:ascii="Wingdings" w:hAnsi="Wingdings"/>
      </w:rPr>
    </w:lvl>
  </w:abstractNum>
  <w:abstractNum w:abstractNumId="7">
    <w:nsid w:val="0000000E"/>
    <w:multiLevelType w:val="multilevel"/>
    <w:tmpl w:val="0000000E"/>
    <w:lvl w:ilvl="0" w:tentative="0">
      <w:start w:val="1"/>
      <w:numFmt w:val="bullet"/>
      <w:pStyle w:val="147"/>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8">
    <w:nsid w:val="00000010"/>
    <w:multiLevelType w:val="singleLevel"/>
    <w:tmpl w:val="00000010"/>
    <w:lvl w:ilvl="0" w:tentative="0">
      <w:start w:val="1"/>
      <w:numFmt w:val="bullet"/>
      <w:pStyle w:val="177"/>
      <w:lvlText w:val=""/>
      <w:lvlJc w:val="left"/>
      <w:pPr>
        <w:tabs>
          <w:tab w:val="left" w:pos="1620"/>
        </w:tabs>
        <w:ind w:left="1620" w:hanging="360"/>
      </w:pPr>
      <w:rPr>
        <w:rFonts w:hint="default" w:ascii="Wingdings" w:hAnsi="Wingdings"/>
      </w:rPr>
    </w:lvl>
  </w:abstractNum>
  <w:abstractNum w:abstractNumId="9">
    <w:nsid w:val="00000011"/>
    <w:multiLevelType w:val="multilevel"/>
    <w:tmpl w:val="00000011"/>
    <w:lvl w:ilvl="0" w:tentative="0">
      <w:start w:val="1"/>
      <w:numFmt w:val="decimal"/>
      <w:pStyle w:val="207"/>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2"/>
    <w:multiLevelType w:val="multilevel"/>
    <w:tmpl w:val="00000012"/>
    <w:lvl w:ilvl="0" w:tentative="0">
      <w:start w:val="1"/>
      <w:numFmt w:val="bullet"/>
      <w:pStyle w:val="2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1">
    <w:nsid w:val="00000013"/>
    <w:multiLevelType w:val="singleLevel"/>
    <w:tmpl w:val="00000013"/>
    <w:lvl w:ilvl="0" w:tentative="0">
      <w:start w:val="1"/>
      <w:numFmt w:val="decimal"/>
      <w:pStyle w:val="14"/>
      <w:lvlText w:val="%1."/>
      <w:lvlJc w:val="left"/>
      <w:pPr>
        <w:tabs>
          <w:tab w:val="left" w:pos="425"/>
        </w:tabs>
        <w:ind w:left="425" w:hanging="425"/>
      </w:pPr>
      <w:rPr>
        <w:rFonts w:hint="default"/>
      </w:rPr>
    </w:lvl>
  </w:abstractNum>
  <w:abstractNum w:abstractNumId="12">
    <w:nsid w:val="00000014"/>
    <w:multiLevelType w:val="singleLevel"/>
    <w:tmpl w:val="00000014"/>
    <w:lvl w:ilvl="0" w:tentative="0">
      <w:start w:val="1"/>
      <w:numFmt w:val="bullet"/>
      <w:pStyle w:val="29"/>
      <w:lvlText w:val=""/>
      <w:lvlJc w:val="left"/>
      <w:pPr>
        <w:tabs>
          <w:tab w:val="left" w:pos="780"/>
        </w:tabs>
        <w:ind w:left="780" w:hanging="360"/>
      </w:pPr>
      <w:rPr>
        <w:rFonts w:hint="default" w:ascii="Wingdings" w:hAnsi="Wingdings"/>
      </w:rPr>
    </w:lvl>
  </w:abstractNum>
  <w:abstractNum w:abstractNumId="13">
    <w:nsid w:val="00000016"/>
    <w:multiLevelType w:val="singleLevel"/>
    <w:tmpl w:val="00000016"/>
    <w:lvl w:ilvl="0" w:tentative="0">
      <w:start w:val="1"/>
      <w:numFmt w:val="decimal"/>
      <w:pStyle w:val="128"/>
      <w:lvlText w:val="%1)"/>
      <w:lvlJc w:val="left"/>
      <w:pPr>
        <w:tabs>
          <w:tab w:val="left" w:pos="425"/>
        </w:tabs>
        <w:ind w:left="425" w:hanging="425"/>
      </w:pPr>
      <w:rPr>
        <w:rFonts w:hint="eastAsia"/>
      </w:rPr>
    </w:lvl>
  </w:abstractNum>
  <w:abstractNum w:abstractNumId="14">
    <w:nsid w:val="00000017"/>
    <w:multiLevelType w:val="multilevel"/>
    <w:tmpl w:val="00000017"/>
    <w:lvl w:ilvl="0" w:tentative="0">
      <w:start w:val="1"/>
      <w:numFmt w:val="chineseCountingThousand"/>
      <w:pStyle w:val="253"/>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199"/>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1"/>
  </w:num>
  <w:num w:numId="2">
    <w:abstractNumId w:val="12"/>
  </w:num>
  <w:num w:numId="3">
    <w:abstractNumId w:val="13"/>
  </w:num>
  <w:num w:numId="4">
    <w:abstractNumId w:val="7"/>
  </w:num>
  <w:num w:numId="5">
    <w:abstractNumId w:val="4"/>
  </w:num>
  <w:num w:numId="6">
    <w:abstractNumId w:val="8"/>
  </w:num>
  <w:num w:numId="7">
    <w:abstractNumId w:val="3"/>
  </w:num>
  <w:num w:numId="8">
    <w:abstractNumId w:val="5"/>
  </w:num>
  <w:num w:numId="9">
    <w:abstractNumId w:val="15"/>
  </w:num>
  <w:num w:numId="10">
    <w:abstractNumId w:val="9"/>
  </w:num>
  <w:num w:numId="11">
    <w:abstractNumId w:val="10"/>
  </w:num>
  <w:num w:numId="12">
    <w:abstractNumId w:val="6"/>
  </w:num>
  <w:num w:numId="13">
    <w:abstractNumId w:val="14"/>
  </w:num>
  <w:num w:numId="14">
    <w:abstractNumId w:val="1"/>
  </w:num>
  <w:num w:numId="15">
    <w:abstractNumId w:val="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466196e3-2bcf-42ae-96dc-6deba7c9db18"/>
  </w:docVars>
  <w:rsids>
    <w:rsidRoot w:val="00B50FC0"/>
    <w:rsid w:val="000661D3"/>
    <w:rsid w:val="0006680A"/>
    <w:rsid w:val="000851E6"/>
    <w:rsid w:val="000E7F13"/>
    <w:rsid w:val="0016285F"/>
    <w:rsid w:val="00166E1F"/>
    <w:rsid w:val="0019222D"/>
    <w:rsid w:val="002D3BA6"/>
    <w:rsid w:val="003222D6"/>
    <w:rsid w:val="00492675"/>
    <w:rsid w:val="0055698A"/>
    <w:rsid w:val="0060114B"/>
    <w:rsid w:val="00601ABD"/>
    <w:rsid w:val="0061627F"/>
    <w:rsid w:val="00632475"/>
    <w:rsid w:val="006E15F2"/>
    <w:rsid w:val="00760250"/>
    <w:rsid w:val="008214F7"/>
    <w:rsid w:val="00877DFA"/>
    <w:rsid w:val="0089674D"/>
    <w:rsid w:val="00985640"/>
    <w:rsid w:val="0099707F"/>
    <w:rsid w:val="009A721B"/>
    <w:rsid w:val="009B50C5"/>
    <w:rsid w:val="00A6769A"/>
    <w:rsid w:val="00AC1D8C"/>
    <w:rsid w:val="00AF7683"/>
    <w:rsid w:val="00B50FC0"/>
    <w:rsid w:val="00CB6E3A"/>
    <w:rsid w:val="00CC09AC"/>
    <w:rsid w:val="00CD75C2"/>
    <w:rsid w:val="00D249A5"/>
    <w:rsid w:val="00E42B9F"/>
    <w:rsid w:val="00E60A79"/>
    <w:rsid w:val="00F05E08"/>
    <w:rsid w:val="00F340E6"/>
    <w:rsid w:val="00F368F8"/>
    <w:rsid w:val="00F96D4B"/>
    <w:rsid w:val="011A5340"/>
    <w:rsid w:val="012807F8"/>
    <w:rsid w:val="01891B53"/>
    <w:rsid w:val="01C21457"/>
    <w:rsid w:val="0221276B"/>
    <w:rsid w:val="025877D0"/>
    <w:rsid w:val="026D64DC"/>
    <w:rsid w:val="027C16B8"/>
    <w:rsid w:val="0317318F"/>
    <w:rsid w:val="03556AB2"/>
    <w:rsid w:val="04382163"/>
    <w:rsid w:val="04676E77"/>
    <w:rsid w:val="04A63819"/>
    <w:rsid w:val="04E658DE"/>
    <w:rsid w:val="04F85FF1"/>
    <w:rsid w:val="05057701"/>
    <w:rsid w:val="05BB42A5"/>
    <w:rsid w:val="05FB28F4"/>
    <w:rsid w:val="0606443B"/>
    <w:rsid w:val="06635A4F"/>
    <w:rsid w:val="06F977F0"/>
    <w:rsid w:val="072145DC"/>
    <w:rsid w:val="074F3252"/>
    <w:rsid w:val="07ED235A"/>
    <w:rsid w:val="088B55C9"/>
    <w:rsid w:val="08B3253E"/>
    <w:rsid w:val="09284BA9"/>
    <w:rsid w:val="092C7268"/>
    <w:rsid w:val="09D1609A"/>
    <w:rsid w:val="09D77CF9"/>
    <w:rsid w:val="09ED2E9B"/>
    <w:rsid w:val="0A4B01E4"/>
    <w:rsid w:val="0A707BE7"/>
    <w:rsid w:val="0A7D7D7B"/>
    <w:rsid w:val="0AD61B81"/>
    <w:rsid w:val="0ADF4EB4"/>
    <w:rsid w:val="0B8961FD"/>
    <w:rsid w:val="0D0C2411"/>
    <w:rsid w:val="0E331896"/>
    <w:rsid w:val="0E671979"/>
    <w:rsid w:val="0F167D68"/>
    <w:rsid w:val="0F251EFA"/>
    <w:rsid w:val="0F2C1D70"/>
    <w:rsid w:val="0FAC1E0F"/>
    <w:rsid w:val="0FB35FED"/>
    <w:rsid w:val="0FC92E5D"/>
    <w:rsid w:val="10104F83"/>
    <w:rsid w:val="10D23E14"/>
    <w:rsid w:val="11060443"/>
    <w:rsid w:val="112F264C"/>
    <w:rsid w:val="118C42A1"/>
    <w:rsid w:val="11A541D1"/>
    <w:rsid w:val="11AE2F4A"/>
    <w:rsid w:val="11B31A46"/>
    <w:rsid w:val="11DD4F52"/>
    <w:rsid w:val="12227F59"/>
    <w:rsid w:val="12A41BD4"/>
    <w:rsid w:val="12B60FA3"/>
    <w:rsid w:val="12F021A3"/>
    <w:rsid w:val="13054DB2"/>
    <w:rsid w:val="132412C3"/>
    <w:rsid w:val="133D2E2F"/>
    <w:rsid w:val="13E73C4E"/>
    <w:rsid w:val="14A33DD8"/>
    <w:rsid w:val="15D07BCF"/>
    <w:rsid w:val="16640530"/>
    <w:rsid w:val="16755E9F"/>
    <w:rsid w:val="171C5300"/>
    <w:rsid w:val="17492F0E"/>
    <w:rsid w:val="17881C2D"/>
    <w:rsid w:val="179F70B6"/>
    <w:rsid w:val="18785439"/>
    <w:rsid w:val="18A5104D"/>
    <w:rsid w:val="190F569C"/>
    <w:rsid w:val="1947355A"/>
    <w:rsid w:val="19F95FF3"/>
    <w:rsid w:val="19FC4286"/>
    <w:rsid w:val="1A6E148E"/>
    <w:rsid w:val="1A8216F7"/>
    <w:rsid w:val="1AB23A71"/>
    <w:rsid w:val="1B98237C"/>
    <w:rsid w:val="1B9F7EE3"/>
    <w:rsid w:val="1C220379"/>
    <w:rsid w:val="1C4A7CD9"/>
    <w:rsid w:val="1CBB6F3F"/>
    <w:rsid w:val="1D05527E"/>
    <w:rsid w:val="1D1516C2"/>
    <w:rsid w:val="1EBA7398"/>
    <w:rsid w:val="1F417171"/>
    <w:rsid w:val="1F6470B0"/>
    <w:rsid w:val="1F9F033C"/>
    <w:rsid w:val="1FA0658E"/>
    <w:rsid w:val="204F1D62"/>
    <w:rsid w:val="205729E2"/>
    <w:rsid w:val="20880DD0"/>
    <w:rsid w:val="20914128"/>
    <w:rsid w:val="20D90162"/>
    <w:rsid w:val="21A06DEB"/>
    <w:rsid w:val="21C226F3"/>
    <w:rsid w:val="220652BA"/>
    <w:rsid w:val="22EE6607"/>
    <w:rsid w:val="22FF5139"/>
    <w:rsid w:val="24672062"/>
    <w:rsid w:val="248C3E9A"/>
    <w:rsid w:val="248E2DE1"/>
    <w:rsid w:val="24AE4614"/>
    <w:rsid w:val="24CB3DC0"/>
    <w:rsid w:val="24D665AE"/>
    <w:rsid w:val="24E928B8"/>
    <w:rsid w:val="24FB6014"/>
    <w:rsid w:val="25E76908"/>
    <w:rsid w:val="2614136F"/>
    <w:rsid w:val="26B20955"/>
    <w:rsid w:val="27420045"/>
    <w:rsid w:val="278A4A2C"/>
    <w:rsid w:val="28456613"/>
    <w:rsid w:val="2860721B"/>
    <w:rsid w:val="28A80261"/>
    <w:rsid w:val="292567E1"/>
    <w:rsid w:val="29626024"/>
    <w:rsid w:val="2B05230C"/>
    <w:rsid w:val="2BFC0FF0"/>
    <w:rsid w:val="2C304924"/>
    <w:rsid w:val="2C426408"/>
    <w:rsid w:val="2CAD3314"/>
    <w:rsid w:val="2CC35BC3"/>
    <w:rsid w:val="2CCF2A57"/>
    <w:rsid w:val="2CED0673"/>
    <w:rsid w:val="2D2C2A74"/>
    <w:rsid w:val="2D3F79D7"/>
    <w:rsid w:val="2D474C54"/>
    <w:rsid w:val="2D9E007B"/>
    <w:rsid w:val="2DA76D39"/>
    <w:rsid w:val="2DE339BF"/>
    <w:rsid w:val="2E4C297A"/>
    <w:rsid w:val="2E8207C4"/>
    <w:rsid w:val="2F5E2951"/>
    <w:rsid w:val="300761B5"/>
    <w:rsid w:val="300E2A05"/>
    <w:rsid w:val="303A24A6"/>
    <w:rsid w:val="304E59DB"/>
    <w:rsid w:val="3098247E"/>
    <w:rsid w:val="30FB789A"/>
    <w:rsid w:val="322122F4"/>
    <w:rsid w:val="322C3CB1"/>
    <w:rsid w:val="337E678E"/>
    <w:rsid w:val="338B4A07"/>
    <w:rsid w:val="347F407A"/>
    <w:rsid w:val="34C507EF"/>
    <w:rsid w:val="34D5216F"/>
    <w:rsid w:val="354D18D5"/>
    <w:rsid w:val="369062CC"/>
    <w:rsid w:val="36A65A03"/>
    <w:rsid w:val="36E14B30"/>
    <w:rsid w:val="36E33724"/>
    <w:rsid w:val="370E4697"/>
    <w:rsid w:val="371371EE"/>
    <w:rsid w:val="37206361"/>
    <w:rsid w:val="37411742"/>
    <w:rsid w:val="37B00EE0"/>
    <w:rsid w:val="38064393"/>
    <w:rsid w:val="380C6E13"/>
    <w:rsid w:val="386D0B7F"/>
    <w:rsid w:val="38705A0B"/>
    <w:rsid w:val="38934A8A"/>
    <w:rsid w:val="38BE6992"/>
    <w:rsid w:val="39C74C55"/>
    <w:rsid w:val="39F43377"/>
    <w:rsid w:val="3A170959"/>
    <w:rsid w:val="3A1C1BAF"/>
    <w:rsid w:val="3A305137"/>
    <w:rsid w:val="3A570589"/>
    <w:rsid w:val="3A9E0B23"/>
    <w:rsid w:val="3AE07D2F"/>
    <w:rsid w:val="3AF95E24"/>
    <w:rsid w:val="3B31460B"/>
    <w:rsid w:val="3B3836C7"/>
    <w:rsid w:val="3BB80457"/>
    <w:rsid w:val="3C2B6D87"/>
    <w:rsid w:val="3CAF5C6E"/>
    <w:rsid w:val="3D0D0E66"/>
    <w:rsid w:val="3D183C25"/>
    <w:rsid w:val="3D1909C8"/>
    <w:rsid w:val="3D5640D5"/>
    <w:rsid w:val="3DD94A4F"/>
    <w:rsid w:val="3DEE62BF"/>
    <w:rsid w:val="3E6D08CC"/>
    <w:rsid w:val="3F081602"/>
    <w:rsid w:val="3F7841B5"/>
    <w:rsid w:val="3F852AA5"/>
    <w:rsid w:val="3F99798D"/>
    <w:rsid w:val="3FB65C45"/>
    <w:rsid w:val="3FCF35E7"/>
    <w:rsid w:val="401270D9"/>
    <w:rsid w:val="406F4F58"/>
    <w:rsid w:val="40B732E0"/>
    <w:rsid w:val="40CE016E"/>
    <w:rsid w:val="40CE3973"/>
    <w:rsid w:val="41E158E5"/>
    <w:rsid w:val="42153520"/>
    <w:rsid w:val="423A2BAE"/>
    <w:rsid w:val="424474C6"/>
    <w:rsid w:val="426B4971"/>
    <w:rsid w:val="42F04068"/>
    <w:rsid w:val="43171167"/>
    <w:rsid w:val="43326EBF"/>
    <w:rsid w:val="43901207"/>
    <w:rsid w:val="43D321DE"/>
    <w:rsid w:val="445251D5"/>
    <w:rsid w:val="44605159"/>
    <w:rsid w:val="44B7744D"/>
    <w:rsid w:val="4504286C"/>
    <w:rsid w:val="45144193"/>
    <w:rsid w:val="451D77E8"/>
    <w:rsid w:val="464F5D68"/>
    <w:rsid w:val="465D46FF"/>
    <w:rsid w:val="466924B3"/>
    <w:rsid w:val="46A25D38"/>
    <w:rsid w:val="46CB09CA"/>
    <w:rsid w:val="47384EDF"/>
    <w:rsid w:val="48096CE3"/>
    <w:rsid w:val="48167282"/>
    <w:rsid w:val="4843113A"/>
    <w:rsid w:val="48457423"/>
    <w:rsid w:val="48582566"/>
    <w:rsid w:val="48593F0E"/>
    <w:rsid w:val="48864335"/>
    <w:rsid w:val="49D22F38"/>
    <w:rsid w:val="49DD3664"/>
    <w:rsid w:val="4A7B03DF"/>
    <w:rsid w:val="4C2048B8"/>
    <w:rsid w:val="4C83217E"/>
    <w:rsid w:val="4CD60F5E"/>
    <w:rsid w:val="4D461C92"/>
    <w:rsid w:val="4D466727"/>
    <w:rsid w:val="4D50664E"/>
    <w:rsid w:val="4E7D0D4F"/>
    <w:rsid w:val="4EA70ED0"/>
    <w:rsid w:val="4F807FCA"/>
    <w:rsid w:val="4FCF212F"/>
    <w:rsid w:val="4FF95795"/>
    <w:rsid w:val="5067435B"/>
    <w:rsid w:val="51E92AD9"/>
    <w:rsid w:val="51F7263B"/>
    <w:rsid w:val="52524C16"/>
    <w:rsid w:val="526606C2"/>
    <w:rsid w:val="5293012E"/>
    <w:rsid w:val="529C40E3"/>
    <w:rsid w:val="531D273D"/>
    <w:rsid w:val="5338205E"/>
    <w:rsid w:val="535527CB"/>
    <w:rsid w:val="53C108BF"/>
    <w:rsid w:val="53D24C9F"/>
    <w:rsid w:val="541A08A5"/>
    <w:rsid w:val="54AE5EA0"/>
    <w:rsid w:val="54D63934"/>
    <w:rsid w:val="54F02F3B"/>
    <w:rsid w:val="556D1537"/>
    <w:rsid w:val="56091A90"/>
    <w:rsid w:val="562904EF"/>
    <w:rsid w:val="5682571F"/>
    <w:rsid w:val="57CB07DE"/>
    <w:rsid w:val="57E32488"/>
    <w:rsid w:val="58196DAC"/>
    <w:rsid w:val="58382B00"/>
    <w:rsid w:val="58452DC6"/>
    <w:rsid w:val="58EE3C77"/>
    <w:rsid w:val="59017D1E"/>
    <w:rsid w:val="59063F78"/>
    <w:rsid w:val="59594AC9"/>
    <w:rsid w:val="596A402B"/>
    <w:rsid w:val="597032B3"/>
    <w:rsid w:val="599975CF"/>
    <w:rsid w:val="59C12681"/>
    <w:rsid w:val="59CE316E"/>
    <w:rsid w:val="59DB6963"/>
    <w:rsid w:val="5A627539"/>
    <w:rsid w:val="5A75672B"/>
    <w:rsid w:val="5A932270"/>
    <w:rsid w:val="5AD771BE"/>
    <w:rsid w:val="5B505E97"/>
    <w:rsid w:val="5BB21112"/>
    <w:rsid w:val="5C1E267D"/>
    <w:rsid w:val="5D1458EA"/>
    <w:rsid w:val="5D226789"/>
    <w:rsid w:val="5DF647A0"/>
    <w:rsid w:val="5DFF0E1E"/>
    <w:rsid w:val="5E503D20"/>
    <w:rsid w:val="5E886CE4"/>
    <w:rsid w:val="5EC80938"/>
    <w:rsid w:val="5EFB2B28"/>
    <w:rsid w:val="5F4571B2"/>
    <w:rsid w:val="60912A5D"/>
    <w:rsid w:val="60D5460C"/>
    <w:rsid w:val="60FD0320"/>
    <w:rsid w:val="61581B1D"/>
    <w:rsid w:val="61F72DEE"/>
    <w:rsid w:val="62B61E66"/>
    <w:rsid w:val="63D01E3F"/>
    <w:rsid w:val="643050EE"/>
    <w:rsid w:val="643248A8"/>
    <w:rsid w:val="6437528C"/>
    <w:rsid w:val="64A217F0"/>
    <w:rsid w:val="65B64922"/>
    <w:rsid w:val="6645421B"/>
    <w:rsid w:val="669929BC"/>
    <w:rsid w:val="66B4618F"/>
    <w:rsid w:val="66B56861"/>
    <w:rsid w:val="66CD2666"/>
    <w:rsid w:val="66F7101E"/>
    <w:rsid w:val="66FE3167"/>
    <w:rsid w:val="670F1A60"/>
    <w:rsid w:val="67185FD7"/>
    <w:rsid w:val="67CC5F51"/>
    <w:rsid w:val="67E46396"/>
    <w:rsid w:val="6832131A"/>
    <w:rsid w:val="69630B43"/>
    <w:rsid w:val="697F1C90"/>
    <w:rsid w:val="69AC6EAA"/>
    <w:rsid w:val="6AD0079D"/>
    <w:rsid w:val="6ADD55FC"/>
    <w:rsid w:val="6AE9031A"/>
    <w:rsid w:val="6B0D74AC"/>
    <w:rsid w:val="6B366553"/>
    <w:rsid w:val="6BA3608B"/>
    <w:rsid w:val="6BE61D2D"/>
    <w:rsid w:val="6C0F2059"/>
    <w:rsid w:val="6C171218"/>
    <w:rsid w:val="6C521322"/>
    <w:rsid w:val="6CF52602"/>
    <w:rsid w:val="6D3A7F90"/>
    <w:rsid w:val="6E223B68"/>
    <w:rsid w:val="6E2A648C"/>
    <w:rsid w:val="6F03756C"/>
    <w:rsid w:val="6F121638"/>
    <w:rsid w:val="6F3027C1"/>
    <w:rsid w:val="6F6B0886"/>
    <w:rsid w:val="6F6B0AA1"/>
    <w:rsid w:val="6FD5166D"/>
    <w:rsid w:val="700C5C21"/>
    <w:rsid w:val="701D465E"/>
    <w:rsid w:val="7055244F"/>
    <w:rsid w:val="705E77F2"/>
    <w:rsid w:val="70E84CDA"/>
    <w:rsid w:val="712B426F"/>
    <w:rsid w:val="71D770C3"/>
    <w:rsid w:val="726F4F19"/>
    <w:rsid w:val="72830B08"/>
    <w:rsid w:val="72A11576"/>
    <w:rsid w:val="72B50B7E"/>
    <w:rsid w:val="735B48B6"/>
    <w:rsid w:val="73DF3770"/>
    <w:rsid w:val="73FB6A64"/>
    <w:rsid w:val="74727AC0"/>
    <w:rsid w:val="74AF129E"/>
    <w:rsid w:val="74CE5606"/>
    <w:rsid w:val="752E4C17"/>
    <w:rsid w:val="758119C2"/>
    <w:rsid w:val="761D1EEE"/>
    <w:rsid w:val="76657CA8"/>
    <w:rsid w:val="766C5EFC"/>
    <w:rsid w:val="76872172"/>
    <w:rsid w:val="76B659D2"/>
    <w:rsid w:val="76CC46E8"/>
    <w:rsid w:val="7707390B"/>
    <w:rsid w:val="770C71DA"/>
    <w:rsid w:val="77377CE0"/>
    <w:rsid w:val="77E37F3B"/>
    <w:rsid w:val="781A6515"/>
    <w:rsid w:val="782347DB"/>
    <w:rsid w:val="78970D25"/>
    <w:rsid w:val="78A44C3B"/>
    <w:rsid w:val="78AE6B25"/>
    <w:rsid w:val="78CA4C57"/>
    <w:rsid w:val="7A200710"/>
    <w:rsid w:val="7A337B1E"/>
    <w:rsid w:val="7A744676"/>
    <w:rsid w:val="7A99611A"/>
    <w:rsid w:val="7AD91D9F"/>
    <w:rsid w:val="7BC5214A"/>
    <w:rsid w:val="7BDC213F"/>
    <w:rsid w:val="7C0F2651"/>
    <w:rsid w:val="7C264E67"/>
    <w:rsid w:val="7C6641AB"/>
    <w:rsid w:val="7CA63C51"/>
    <w:rsid w:val="7D6A4C5A"/>
    <w:rsid w:val="7DD81BC4"/>
    <w:rsid w:val="7DF54524"/>
    <w:rsid w:val="7E206D18"/>
    <w:rsid w:val="7E5751DF"/>
    <w:rsid w:val="7EAD237F"/>
    <w:rsid w:val="7ED35B5A"/>
    <w:rsid w:val="7F127358"/>
    <w:rsid w:val="7F985AAF"/>
    <w:rsid w:val="7FDA2596"/>
    <w:rsid w:val="7FF52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0" w:name="List Continue 5"/>
    <w:lsdException w:uiPriority="0" w:name="Message Header"/>
    <w:lsdException w:qFormat="1" w:unhideWhenUsed="0" w:uiPriority="99"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73"/>
    <w:qFormat/>
    <w:uiPriority w:val="0"/>
    <w:pPr>
      <w:widowControl w:val="0"/>
      <w:jc w:val="both"/>
    </w:pPr>
    <w:rPr>
      <w:rFonts w:ascii="Calibri" w:hAnsi="Calibri"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104"/>
    <w:qFormat/>
    <w:uiPriority w:val="0"/>
    <w:pPr>
      <w:keepNext/>
      <w:keepLines/>
      <w:spacing w:before="260" w:after="260" w:line="413" w:lineRule="auto"/>
      <w:outlineLvl w:val="1"/>
    </w:pPr>
    <w:rPr>
      <w:rFonts w:ascii="Arial" w:hAnsi="Arial" w:eastAsia="黑体"/>
      <w:b/>
      <w:sz w:val="32"/>
    </w:rPr>
  </w:style>
  <w:style w:type="paragraph" w:styleId="5">
    <w:name w:val="heading 3"/>
    <w:basedOn w:val="1"/>
    <w:next w:val="1"/>
    <w:link w:val="108"/>
    <w:qFormat/>
    <w:uiPriority w:val="0"/>
    <w:pPr>
      <w:keepNext/>
      <w:keepLines/>
      <w:spacing w:before="260" w:after="260" w:line="413" w:lineRule="auto"/>
      <w:outlineLvl w:val="2"/>
    </w:pPr>
    <w:rPr>
      <w:b/>
      <w:sz w:val="32"/>
    </w:rPr>
  </w:style>
  <w:style w:type="paragraph" w:styleId="6">
    <w:name w:val="heading 4"/>
    <w:basedOn w:val="1"/>
    <w:next w:val="1"/>
    <w:qFormat/>
    <w:uiPriority w:val="0"/>
    <w:pPr>
      <w:spacing w:before="280" w:after="290" w:line="372" w:lineRule="auto"/>
      <w:outlineLvl w:val="3"/>
    </w:pPr>
  </w:style>
  <w:style w:type="paragraph" w:styleId="7">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8">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4">
    <w:name w:val="Default Paragraph Font"/>
    <w:semiHidden/>
    <w:unhideWhenUsed/>
    <w:qFormat/>
    <w:uiPriority w:val="1"/>
  </w:style>
  <w:style w:type="table" w:default="1" w:styleId="6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Times New Roman"/>
      <w:color w:val="000000"/>
      <w:sz w:val="24"/>
      <w:lang w:val="en-US" w:eastAsia="zh-CN" w:bidi="ar-SA"/>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left" w:pos="780"/>
        <w:tab w:val="clear" w:pos="425"/>
      </w:tabs>
      <w:spacing w:line="360" w:lineRule="auto"/>
    </w:pPr>
    <w:rPr>
      <w:sz w:val="24"/>
    </w:rPr>
  </w:style>
  <w:style w:type="paragraph" w:styleId="15">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next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85"/>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tabs>
        <w:tab w:val="left" w:pos="1200"/>
      </w:tabs>
      <w:adjustRightInd w:val="0"/>
      <w:snapToGrid w:val="0"/>
      <w:spacing w:line="360" w:lineRule="auto"/>
      <w:ind w:left="1200" w:hanging="36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87"/>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Block Text"/>
    <w:basedOn w:val="1"/>
    <w:qFormat/>
    <w:uiPriority w:val="0"/>
    <w:pPr>
      <w:spacing w:after="120"/>
      <w:ind w:left="1440" w:leftChars="700" w:right="1440" w:rightChars="700"/>
    </w:pPr>
  </w:style>
  <w:style w:type="paragraph" w:styleId="29">
    <w:name w:val="List Bullet 2"/>
    <w:basedOn w:val="1"/>
    <w:qFormat/>
    <w:uiPriority w:val="0"/>
    <w:pPr>
      <w:numPr>
        <w:ilvl w:val="0"/>
        <w:numId w:val="2"/>
      </w:numPr>
      <w:adjustRightInd w:val="0"/>
      <w:snapToGrid w:val="0"/>
      <w:spacing w:line="360" w:lineRule="auto"/>
    </w:pPr>
    <w:rPr>
      <w:sz w:val="24"/>
    </w:rPr>
  </w:style>
  <w:style w:type="paragraph" w:styleId="30">
    <w:name w:val="toc 5"/>
    <w:basedOn w:val="1"/>
    <w:next w:val="1"/>
    <w:qFormat/>
    <w:uiPriority w:val="0"/>
    <w:pPr>
      <w:ind w:left="1680" w:leftChars="800"/>
    </w:pPr>
  </w:style>
  <w:style w:type="paragraph" w:styleId="31">
    <w:name w:val="toc 3"/>
    <w:basedOn w:val="1"/>
    <w:next w:val="1"/>
    <w:qFormat/>
    <w:uiPriority w:val="39"/>
    <w:pPr>
      <w:ind w:left="840" w:leftChars="400"/>
    </w:pPr>
  </w:style>
  <w:style w:type="paragraph" w:styleId="32">
    <w:name w:val="Plain Text"/>
    <w:basedOn w:val="1"/>
    <w:qFormat/>
    <w:uiPriority w:val="0"/>
    <w:rPr>
      <w:rFonts w:ascii="宋体" w:hAnsi="Courier New"/>
      <w:sz w:val="21"/>
    </w:rPr>
  </w:style>
  <w:style w:type="paragraph" w:styleId="33">
    <w:name w:val="toc 8"/>
    <w:basedOn w:val="1"/>
    <w:next w:val="1"/>
    <w:qFormat/>
    <w:uiPriority w:val="0"/>
    <w:pPr>
      <w:ind w:left="2940" w:leftChars="1400"/>
    </w:pPr>
  </w:style>
  <w:style w:type="paragraph" w:styleId="34">
    <w:name w:val="Date"/>
    <w:basedOn w:val="1"/>
    <w:next w:val="1"/>
    <w:link w:val="113"/>
    <w:qFormat/>
    <w:uiPriority w:val="0"/>
  </w:style>
  <w:style w:type="paragraph" w:styleId="35">
    <w:name w:val="Body Text Indent 2"/>
    <w:basedOn w:val="1"/>
    <w:link w:val="82"/>
    <w:qFormat/>
    <w:uiPriority w:val="0"/>
    <w:pPr>
      <w:snapToGrid w:val="0"/>
      <w:spacing w:line="560" w:lineRule="atLeast"/>
      <w:ind w:firstLine="540"/>
    </w:pPr>
  </w:style>
  <w:style w:type="paragraph" w:styleId="36">
    <w:name w:val="Balloon Text"/>
    <w:basedOn w:val="1"/>
    <w:qFormat/>
    <w:uiPriority w:val="0"/>
    <w:rPr>
      <w:sz w:val="18"/>
    </w:rPr>
  </w:style>
  <w:style w:type="paragraph" w:styleId="37">
    <w:name w:val="footer"/>
    <w:basedOn w:val="1"/>
    <w:link w:val="120"/>
    <w:qFormat/>
    <w:uiPriority w:val="99"/>
    <w:pPr>
      <w:tabs>
        <w:tab w:val="center" w:pos="4153"/>
        <w:tab w:val="right" w:pos="8306"/>
      </w:tabs>
      <w:snapToGrid w:val="0"/>
      <w:jc w:val="left"/>
    </w:pPr>
    <w:rPr>
      <w:sz w:val="18"/>
    </w:rPr>
  </w:style>
  <w:style w:type="paragraph" w:styleId="38">
    <w:name w:val="envelope return"/>
    <w:basedOn w:val="1"/>
    <w:qFormat/>
    <w:uiPriority w:val="0"/>
    <w:pPr>
      <w:snapToGrid w:val="0"/>
    </w:pPr>
    <w:rPr>
      <w:rFonts w:ascii="Arial" w:hAnsi="Arial"/>
    </w:rPr>
  </w:style>
  <w:style w:type="paragraph" w:styleId="39">
    <w:name w:val="header"/>
    <w:basedOn w:val="1"/>
    <w:qFormat/>
    <w:uiPriority w:val="0"/>
    <w:pPr>
      <w:pBdr>
        <w:bottom w:val="single" w:color="auto" w:sz="6" w:space="1"/>
      </w:pBdr>
      <w:tabs>
        <w:tab w:val="center" w:pos="4153"/>
        <w:tab w:val="right" w:pos="8306"/>
      </w:tabs>
      <w:snapToGrid w:val="0"/>
      <w:jc w:val="center"/>
    </w:pPr>
    <w:rPr>
      <w:sz w:val="18"/>
    </w:rPr>
  </w:style>
  <w:style w:type="paragraph" w:styleId="40">
    <w:name w:val="toc 1"/>
    <w:basedOn w:val="1"/>
    <w:next w:val="1"/>
    <w:qFormat/>
    <w:uiPriority w:val="0"/>
    <w:pPr>
      <w:spacing w:line="180" w:lineRule="auto"/>
      <w:jc w:val="center"/>
    </w:pPr>
    <w:rPr>
      <w:sz w:val="30"/>
    </w:rPr>
  </w:style>
  <w:style w:type="paragraph" w:styleId="41">
    <w:name w:val="List Continue 4"/>
    <w:basedOn w:val="1"/>
    <w:qFormat/>
    <w:uiPriority w:val="0"/>
    <w:pPr>
      <w:adjustRightInd w:val="0"/>
      <w:snapToGrid w:val="0"/>
      <w:spacing w:after="120" w:line="360" w:lineRule="auto"/>
      <w:ind w:left="1680" w:leftChars="800"/>
    </w:pPr>
    <w:rPr>
      <w:sz w:val="24"/>
    </w:rPr>
  </w:style>
  <w:style w:type="paragraph" w:styleId="42">
    <w:name w:val="toc 4"/>
    <w:basedOn w:val="1"/>
    <w:next w:val="1"/>
    <w:qFormat/>
    <w:uiPriority w:val="0"/>
    <w:pPr>
      <w:ind w:left="1260" w:leftChars="600"/>
    </w:pPr>
  </w:style>
  <w:style w:type="paragraph" w:styleId="43">
    <w:name w:val="Subtitle"/>
    <w:basedOn w:val="1"/>
    <w:next w:val="1"/>
    <w:qFormat/>
    <w:uiPriority w:val="99"/>
    <w:pPr>
      <w:spacing w:before="240" w:after="60" w:line="312" w:lineRule="auto"/>
      <w:jc w:val="center"/>
      <w:outlineLvl w:val="1"/>
    </w:pPr>
    <w:rPr>
      <w:rFonts w:ascii="Calibri Light" w:hAnsi="Calibri Light"/>
      <w:b/>
      <w:bCs/>
      <w:kern w:val="28"/>
      <w:sz w:val="32"/>
      <w:szCs w:val="32"/>
    </w:rPr>
  </w:style>
  <w:style w:type="paragraph" w:styleId="44">
    <w:name w:val="footnote text"/>
    <w:basedOn w:val="1"/>
    <w:link w:val="93"/>
    <w:qFormat/>
    <w:uiPriority w:val="0"/>
    <w:pPr>
      <w:spacing w:line="360" w:lineRule="auto"/>
    </w:pPr>
    <w:rPr>
      <w:sz w:val="18"/>
    </w:rPr>
  </w:style>
  <w:style w:type="paragraph" w:styleId="45">
    <w:name w:val="toc 6"/>
    <w:basedOn w:val="1"/>
    <w:next w:val="1"/>
    <w:qFormat/>
    <w:uiPriority w:val="0"/>
    <w:pPr>
      <w:ind w:left="2100" w:leftChars="1000"/>
    </w:pPr>
  </w:style>
  <w:style w:type="paragraph" w:styleId="46">
    <w:name w:val="List 5"/>
    <w:basedOn w:val="1"/>
    <w:qFormat/>
    <w:uiPriority w:val="0"/>
    <w:pPr>
      <w:adjustRightInd w:val="0"/>
      <w:snapToGrid w:val="0"/>
      <w:spacing w:line="360" w:lineRule="auto"/>
      <w:ind w:left="100" w:leftChars="800" w:hanging="200" w:hangingChars="200"/>
    </w:pPr>
    <w:rPr>
      <w:sz w:val="24"/>
    </w:rPr>
  </w:style>
  <w:style w:type="paragraph" w:styleId="47">
    <w:name w:val="Body Text Indent 3"/>
    <w:basedOn w:val="1"/>
    <w:qFormat/>
    <w:uiPriority w:val="0"/>
    <w:pPr>
      <w:spacing w:line="360" w:lineRule="auto"/>
      <w:ind w:firstLine="632"/>
    </w:pPr>
    <w:rPr>
      <w:rFonts w:ascii="黑体" w:eastAsia="黑体"/>
    </w:rPr>
  </w:style>
  <w:style w:type="paragraph" w:styleId="48">
    <w:name w:val="table of figures"/>
    <w:basedOn w:val="1"/>
    <w:next w:val="1"/>
    <w:qFormat/>
    <w:uiPriority w:val="0"/>
    <w:pPr>
      <w:tabs>
        <w:tab w:val="right" w:leader="dot" w:pos="8640"/>
      </w:tabs>
      <w:spacing w:line="360" w:lineRule="auto"/>
      <w:ind w:left="400" w:hanging="400"/>
    </w:pPr>
    <w:rPr>
      <w:sz w:val="24"/>
    </w:rPr>
  </w:style>
  <w:style w:type="paragraph" w:styleId="49">
    <w:name w:val="toc 2"/>
    <w:basedOn w:val="1"/>
    <w:next w:val="1"/>
    <w:qFormat/>
    <w:uiPriority w:val="39"/>
    <w:pPr>
      <w:ind w:left="420" w:leftChars="200"/>
    </w:pPr>
  </w:style>
  <w:style w:type="paragraph" w:styleId="50">
    <w:name w:val="toc 9"/>
    <w:basedOn w:val="1"/>
    <w:next w:val="1"/>
    <w:qFormat/>
    <w:uiPriority w:val="0"/>
    <w:pPr>
      <w:ind w:left="3360" w:leftChars="1600"/>
    </w:pPr>
  </w:style>
  <w:style w:type="paragraph" w:styleId="51">
    <w:name w:val="Body Text 2"/>
    <w:basedOn w:val="1"/>
    <w:qFormat/>
    <w:uiPriority w:val="0"/>
    <w:pPr>
      <w:adjustRightInd w:val="0"/>
      <w:snapToGrid w:val="0"/>
      <w:spacing w:after="120" w:line="480" w:lineRule="auto"/>
    </w:pPr>
    <w:rPr>
      <w:sz w:val="24"/>
    </w:rPr>
  </w:style>
  <w:style w:type="paragraph" w:styleId="52">
    <w:name w:val="List 4"/>
    <w:basedOn w:val="1"/>
    <w:qFormat/>
    <w:uiPriority w:val="0"/>
    <w:pPr>
      <w:adjustRightInd w:val="0"/>
      <w:snapToGrid w:val="0"/>
      <w:spacing w:line="360" w:lineRule="auto"/>
      <w:ind w:left="100" w:leftChars="600" w:hanging="200" w:hangingChars="200"/>
    </w:pPr>
    <w:rPr>
      <w:sz w:val="24"/>
    </w:rPr>
  </w:style>
  <w:style w:type="paragraph" w:styleId="53">
    <w:name w:val="List Continue 2"/>
    <w:basedOn w:val="1"/>
    <w:qFormat/>
    <w:uiPriority w:val="0"/>
    <w:pPr>
      <w:adjustRightInd w:val="0"/>
      <w:snapToGrid w:val="0"/>
      <w:spacing w:after="120" w:line="360" w:lineRule="auto"/>
      <w:ind w:left="840" w:leftChars="400"/>
    </w:pPr>
    <w:rPr>
      <w:sz w:val="24"/>
    </w:rPr>
  </w:style>
  <w:style w:type="paragraph" w:styleId="54">
    <w:name w:val="HTML Preformatted"/>
    <w:basedOn w:val="1"/>
    <w:qFormat/>
    <w:uiPriority w:val="0"/>
    <w:rPr>
      <w:rFonts w:ascii="Courier New" w:hAnsi="Courier New"/>
      <w:sz w:val="20"/>
    </w:rPr>
  </w:style>
  <w:style w:type="paragraph" w:styleId="55">
    <w:name w:val="Normal (Web)"/>
    <w:basedOn w:val="1"/>
    <w:qFormat/>
    <w:uiPriority w:val="0"/>
    <w:pPr>
      <w:widowControl/>
      <w:spacing w:before="100" w:beforeAutospacing="1" w:after="100" w:afterAutospacing="1"/>
      <w:jc w:val="left"/>
    </w:pPr>
    <w:rPr>
      <w:rFonts w:ascii="宋体" w:hAnsi="宋体"/>
      <w:kern w:val="0"/>
      <w:sz w:val="24"/>
    </w:rPr>
  </w:style>
  <w:style w:type="paragraph" w:styleId="56">
    <w:name w:val="List Continue 3"/>
    <w:basedOn w:val="1"/>
    <w:qFormat/>
    <w:uiPriority w:val="0"/>
    <w:pPr>
      <w:adjustRightInd w:val="0"/>
      <w:snapToGrid w:val="0"/>
      <w:spacing w:after="120" w:line="360" w:lineRule="auto"/>
      <w:ind w:left="1260" w:leftChars="600"/>
    </w:pPr>
    <w:rPr>
      <w:sz w:val="24"/>
    </w:rPr>
  </w:style>
  <w:style w:type="paragraph" w:styleId="57">
    <w:name w:val="index 1"/>
    <w:basedOn w:val="1"/>
    <w:next w:val="1"/>
    <w:qFormat/>
    <w:uiPriority w:val="0"/>
    <w:pPr>
      <w:adjustRightInd w:val="0"/>
      <w:spacing w:line="240" w:lineRule="atLeast"/>
      <w:textAlignment w:val="baseline"/>
    </w:pPr>
    <w:rPr>
      <w:rFonts w:ascii="宋体"/>
      <w:kern w:val="0"/>
      <w:sz w:val="21"/>
    </w:rPr>
  </w:style>
  <w:style w:type="paragraph" w:styleId="58">
    <w:name w:val="Title"/>
    <w:basedOn w:val="1"/>
    <w:qFormat/>
    <w:uiPriority w:val="0"/>
    <w:pPr>
      <w:widowControl/>
      <w:spacing w:after="240" w:line="360" w:lineRule="auto"/>
      <w:jc w:val="center"/>
    </w:pPr>
    <w:rPr>
      <w:rFonts w:ascii="Arial" w:hAnsi="Arial"/>
      <w:b/>
      <w:smallCaps/>
      <w:kern w:val="28"/>
      <w:sz w:val="36"/>
      <w:lang w:eastAsia="en-US"/>
    </w:rPr>
  </w:style>
  <w:style w:type="paragraph" w:styleId="59">
    <w:name w:val="annotation subject"/>
    <w:basedOn w:val="20"/>
    <w:next w:val="20"/>
    <w:link w:val="84"/>
    <w:qFormat/>
    <w:uiPriority w:val="0"/>
    <w:pPr>
      <w:adjustRightInd/>
      <w:spacing w:line="240" w:lineRule="auto"/>
      <w:textAlignment w:val="auto"/>
    </w:pPr>
  </w:style>
  <w:style w:type="paragraph" w:styleId="60">
    <w:name w:val="Body Text First Indent"/>
    <w:basedOn w:val="23"/>
    <w:next w:val="61"/>
    <w:qFormat/>
    <w:uiPriority w:val="0"/>
    <w:pPr>
      <w:spacing w:line="360" w:lineRule="auto"/>
      <w:ind w:firstLine="420"/>
    </w:pPr>
    <w:rPr>
      <w:rFonts w:ascii="宋体" w:hAnsi="宋体"/>
      <w:sz w:val="24"/>
    </w:rPr>
  </w:style>
  <w:style w:type="paragraph" w:styleId="61">
    <w:name w:val="Body Text First Indent 2"/>
    <w:basedOn w:val="24"/>
    <w:next w:val="1"/>
    <w:link w:val="111"/>
    <w:qFormat/>
    <w:uiPriority w:val="0"/>
    <w:pPr>
      <w:spacing w:after="120" w:line="240" w:lineRule="auto"/>
      <w:ind w:left="420" w:leftChars="200" w:firstLine="420" w:firstLineChars="200"/>
    </w:pPr>
  </w:style>
  <w:style w:type="table" w:styleId="63">
    <w:name w:val="Table Grid"/>
    <w:basedOn w:val="6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5">
    <w:name w:val="Strong"/>
    <w:qFormat/>
    <w:uiPriority w:val="0"/>
    <w:rPr>
      <w:b/>
    </w:rPr>
  </w:style>
  <w:style w:type="character" w:styleId="66">
    <w:name w:val="page number"/>
    <w:basedOn w:val="64"/>
    <w:qFormat/>
    <w:uiPriority w:val="0"/>
  </w:style>
  <w:style w:type="character" w:styleId="67">
    <w:name w:val="FollowedHyperlink"/>
    <w:qFormat/>
    <w:uiPriority w:val="0"/>
    <w:rPr>
      <w:color w:val="800080"/>
      <w:u w:val="single"/>
    </w:rPr>
  </w:style>
  <w:style w:type="character" w:styleId="68">
    <w:name w:val="Emphasis"/>
    <w:qFormat/>
    <w:uiPriority w:val="0"/>
    <w:rPr>
      <w:i/>
    </w:rPr>
  </w:style>
  <w:style w:type="character" w:styleId="69">
    <w:name w:val="Hyperlink"/>
    <w:qFormat/>
    <w:uiPriority w:val="99"/>
    <w:rPr>
      <w:color w:val="0000FF"/>
      <w:u w:val="single"/>
    </w:rPr>
  </w:style>
  <w:style w:type="character" w:styleId="70">
    <w:name w:val="annotation reference"/>
    <w:qFormat/>
    <w:uiPriority w:val="0"/>
    <w:rPr>
      <w:sz w:val="21"/>
      <w:szCs w:val="21"/>
    </w:rPr>
  </w:style>
  <w:style w:type="character" w:styleId="71">
    <w:name w:val="footnote reference"/>
    <w:qFormat/>
    <w:uiPriority w:val="0"/>
    <w:rPr>
      <w:position w:val="6"/>
      <w:sz w:val="14"/>
      <w:vertAlign w:val="superscript"/>
    </w:rPr>
  </w:style>
  <w:style w:type="paragraph" w:customStyle="1" w:styleId="72">
    <w:name w:val="列出段落1"/>
    <w:qFormat/>
    <w:uiPriority w:val="0"/>
    <w:pPr>
      <w:framePr w:wrap="around" w:vAnchor="margin" w:hAnchor="text" w:y="1"/>
      <w:widowControl w:val="0"/>
      <w:ind w:firstLine="420"/>
      <w:jc w:val="both"/>
    </w:pPr>
    <w:rPr>
      <w:rFonts w:ascii="Calibri" w:hAnsi="Calibri" w:eastAsia="Times New Roman" w:cs="Calibri"/>
      <w:color w:val="000000"/>
      <w:kern w:val="2"/>
      <w:sz w:val="21"/>
      <w:szCs w:val="21"/>
      <w:u w:color="000000"/>
      <w:lang w:val="en-US" w:eastAsia="zh-CN" w:bidi="ar-SA"/>
    </w:rPr>
  </w:style>
  <w:style w:type="paragraph" w:customStyle="1" w:styleId="73">
    <w:name w:val="默认"/>
    <w:qFormat/>
    <w:uiPriority w:val="99"/>
    <w:rPr>
      <w:rFonts w:ascii="Helvetica" w:hAnsi="Helvetica" w:eastAsia="宋体" w:cs="Times New Roman"/>
      <w:color w:val="000000"/>
      <w:sz w:val="22"/>
      <w:szCs w:val="22"/>
      <w:lang w:val="en-US" w:eastAsia="zh-CN" w:bidi="ar-SA"/>
    </w:rPr>
  </w:style>
  <w:style w:type="paragraph" w:customStyle="1" w:styleId="74">
    <w:name w:val="目录 53"/>
    <w:next w:val="1"/>
    <w:qFormat/>
    <w:uiPriority w:val="0"/>
    <w:pPr>
      <w:wordWrap w:val="0"/>
      <w:ind w:left="1275"/>
      <w:jc w:val="both"/>
    </w:pPr>
    <w:rPr>
      <w:rFonts w:ascii="Times New Roman" w:hAnsi="Times New Roman" w:eastAsia="宋体" w:cs="Times New Roman"/>
      <w:sz w:val="21"/>
      <w:lang w:val="en-US" w:eastAsia="zh-CN" w:bidi="ar-SA"/>
    </w:rPr>
  </w:style>
  <w:style w:type="paragraph" w:customStyle="1" w:styleId="75">
    <w:name w:val="正文1"/>
    <w:basedOn w:val="1"/>
    <w:next w:val="1"/>
    <w:qFormat/>
    <w:uiPriority w:val="0"/>
    <w:pPr>
      <w:spacing w:line="300" w:lineRule="auto"/>
      <w:ind w:firstLine="200" w:firstLineChars="200"/>
    </w:pPr>
    <w:rPr>
      <w:sz w:val="24"/>
    </w:rPr>
  </w:style>
  <w:style w:type="paragraph" w:customStyle="1" w:styleId="76">
    <w:name w:val="标书正文1"/>
    <w:basedOn w:val="1"/>
    <w:qFormat/>
    <w:uiPriority w:val="0"/>
    <w:pPr>
      <w:spacing w:line="520" w:lineRule="exact"/>
      <w:ind w:firstLine="640" w:firstLineChars="200"/>
    </w:pPr>
    <w:rPr>
      <w:rFonts w:ascii="Times New Roman" w:hAnsi="Times New Roman"/>
    </w:rPr>
  </w:style>
  <w:style w:type="character" w:customStyle="1" w:styleId="77">
    <w:name w:val="Char Char7"/>
    <w:qFormat/>
    <w:uiPriority w:val="0"/>
    <w:rPr>
      <w:rFonts w:ascii="宋体" w:hAnsi="宋体" w:eastAsia="宋体"/>
      <w:kern w:val="2"/>
      <w:sz w:val="28"/>
    </w:rPr>
  </w:style>
  <w:style w:type="character" w:customStyle="1" w:styleId="78">
    <w:name w:val="font91"/>
    <w:qFormat/>
    <w:uiPriority w:val="0"/>
    <w:rPr>
      <w:rFonts w:hint="eastAsia" w:ascii="宋体" w:hAnsi="宋体" w:eastAsia="宋体" w:cs="宋体"/>
      <w:color w:val="000000"/>
      <w:sz w:val="20"/>
      <w:szCs w:val="20"/>
      <w:u w:val="none"/>
    </w:rPr>
  </w:style>
  <w:style w:type="character" w:customStyle="1" w:styleId="79">
    <w:name w:val="未命名11"/>
    <w:qFormat/>
    <w:uiPriority w:val="0"/>
    <w:rPr>
      <w:color w:val="77FFFF"/>
      <w:sz w:val="24"/>
    </w:rPr>
  </w:style>
  <w:style w:type="character" w:customStyle="1" w:styleId="80">
    <w:name w:val="font51"/>
    <w:qFormat/>
    <w:uiPriority w:val="0"/>
    <w:rPr>
      <w:rFonts w:hint="eastAsia" w:ascii="宋体" w:hAnsi="宋体" w:eastAsia="宋体" w:cs="宋体"/>
      <w:color w:val="000000"/>
      <w:sz w:val="20"/>
      <w:szCs w:val="20"/>
      <w:u w:val="none"/>
      <w:vertAlign w:val="superscript"/>
    </w:rPr>
  </w:style>
  <w:style w:type="character" w:customStyle="1" w:styleId="81">
    <w:name w:val="content-white1"/>
    <w:qFormat/>
    <w:uiPriority w:val="0"/>
    <w:rPr>
      <w:color w:val="auto"/>
      <w:sz w:val="18"/>
      <w:u w:val="none"/>
    </w:rPr>
  </w:style>
  <w:style w:type="character" w:customStyle="1" w:styleId="82">
    <w:name w:val="正文文本缩进 2 字符"/>
    <w:link w:val="35"/>
    <w:qFormat/>
    <w:uiPriority w:val="0"/>
    <w:rPr>
      <w:kern w:val="2"/>
      <w:sz w:val="28"/>
    </w:rPr>
  </w:style>
  <w:style w:type="character" w:customStyle="1" w:styleId="83">
    <w:name w:val="Char Char11"/>
    <w:qFormat/>
    <w:uiPriority w:val="0"/>
    <w:rPr>
      <w:rFonts w:ascii="宋体"/>
      <w:kern w:val="2"/>
      <w:sz w:val="28"/>
    </w:rPr>
  </w:style>
  <w:style w:type="character" w:customStyle="1" w:styleId="84">
    <w:name w:val="批注主题 字符"/>
    <w:basedOn w:val="85"/>
    <w:link w:val="59"/>
    <w:qFormat/>
    <w:uiPriority w:val="0"/>
    <w:rPr>
      <w:sz w:val="24"/>
    </w:rPr>
  </w:style>
  <w:style w:type="character" w:customStyle="1" w:styleId="85">
    <w:name w:val="批注文字 字符"/>
    <w:link w:val="20"/>
    <w:qFormat/>
    <w:uiPriority w:val="0"/>
    <w:rPr>
      <w:sz w:val="24"/>
    </w:rPr>
  </w:style>
  <w:style w:type="character" w:customStyle="1" w:styleId="86">
    <w:name w:val="font41"/>
    <w:qFormat/>
    <w:uiPriority w:val="0"/>
    <w:rPr>
      <w:rFonts w:hint="eastAsia" w:ascii="宋体" w:hAnsi="宋体" w:eastAsia="宋体" w:cs="宋体"/>
      <w:color w:val="000000"/>
      <w:sz w:val="20"/>
      <w:szCs w:val="20"/>
      <w:u w:val="none"/>
    </w:rPr>
  </w:style>
  <w:style w:type="character" w:customStyle="1" w:styleId="87">
    <w:name w:val="正文文本缩进 字符"/>
    <w:link w:val="24"/>
    <w:qFormat/>
    <w:uiPriority w:val="0"/>
    <w:rPr>
      <w:kern w:val="2"/>
      <w:sz w:val="44"/>
    </w:rPr>
  </w:style>
  <w:style w:type="character" w:customStyle="1" w:styleId="88">
    <w:name w:val="Table Text Char"/>
    <w:link w:val="89"/>
    <w:qFormat/>
    <w:uiPriority w:val="0"/>
    <w:rPr>
      <w:rFonts w:ascii="Arial" w:hAnsi="Arial"/>
      <w:kern w:val="2"/>
      <w:sz w:val="18"/>
      <w:lang w:val="en-US" w:eastAsia="zh-CN" w:bidi="ar-SA"/>
    </w:rPr>
  </w:style>
  <w:style w:type="paragraph" w:customStyle="1" w:styleId="89">
    <w:name w:val="Table Text"/>
    <w:link w:val="88"/>
    <w:qFormat/>
    <w:uiPriority w:val="0"/>
    <w:pPr>
      <w:snapToGrid w:val="0"/>
      <w:spacing w:before="80" w:after="80"/>
    </w:pPr>
    <w:rPr>
      <w:rFonts w:ascii="Arial" w:hAnsi="Arial" w:eastAsia="宋体" w:cs="Times New Roman"/>
      <w:kern w:val="2"/>
      <w:sz w:val="18"/>
      <w:lang w:val="en-US" w:eastAsia="zh-CN" w:bidi="ar-SA"/>
    </w:rPr>
  </w:style>
  <w:style w:type="character" w:customStyle="1" w:styleId="90">
    <w:name w:val="v151"/>
    <w:qFormat/>
    <w:uiPriority w:val="0"/>
    <w:rPr>
      <w:sz w:val="18"/>
    </w:rPr>
  </w:style>
  <w:style w:type="character" w:customStyle="1" w:styleId="91">
    <w:name w:val="样式 宋体"/>
    <w:qFormat/>
    <w:uiPriority w:val="0"/>
    <w:rPr>
      <w:rFonts w:ascii="宋体" w:hAnsi="宋体" w:eastAsia="宋体"/>
      <w:sz w:val="28"/>
    </w:rPr>
  </w:style>
  <w:style w:type="character" w:customStyle="1" w:styleId="92">
    <w:name w:val="title_emph1"/>
    <w:qFormat/>
    <w:uiPriority w:val="0"/>
    <w:rPr>
      <w:rFonts w:hint="default" w:ascii="Arial" w:hAnsi="Arial"/>
      <w:b/>
      <w:sz w:val="20"/>
    </w:rPr>
  </w:style>
  <w:style w:type="character" w:customStyle="1" w:styleId="93">
    <w:name w:val="脚注文本 字符"/>
    <w:link w:val="44"/>
    <w:qFormat/>
    <w:uiPriority w:val="0"/>
    <w:rPr>
      <w:kern w:val="2"/>
      <w:sz w:val="18"/>
    </w:rPr>
  </w:style>
  <w:style w:type="character" w:customStyle="1" w:styleId="94">
    <w:name w:val="Char Char"/>
    <w:qFormat/>
    <w:uiPriority w:val="0"/>
    <w:rPr>
      <w:rFonts w:ascii="宋体" w:hAnsi="宋体" w:eastAsia="宋体"/>
      <w:kern w:val="2"/>
      <w:sz w:val="24"/>
      <w:lang w:val="en-US" w:eastAsia="zh-CN" w:bidi="ar-SA"/>
    </w:rPr>
  </w:style>
  <w:style w:type="character" w:customStyle="1" w:styleId="95">
    <w:name w:val="Table Heading Char Char"/>
    <w:qFormat/>
    <w:uiPriority w:val="0"/>
    <w:rPr>
      <w:rFonts w:ascii="Arial" w:hAnsi="Arial" w:eastAsia="黑体"/>
      <w:kern w:val="2"/>
      <w:sz w:val="18"/>
      <w:lang w:val="en-US" w:eastAsia="zh-CN"/>
    </w:rPr>
  </w:style>
  <w:style w:type="character" w:customStyle="1" w:styleId="96">
    <w:name w:val="正文 + 三号 Char"/>
    <w:qFormat/>
    <w:uiPriority w:val="0"/>
    <w:rPr>
      <w:rFonts w:eastAsia="宋体"/>
      <w:kern w:val="2"/>
      <w:sz w:val="21"/>
      <w:lang w:val="en-US" w:eastAsia="zh-CN"/>
    </w:rPr>
  </w:style>
  <w:style w:type="character" w:customStyle="1" w:styleId="97">
    <w:name w:val="Char Char5"/>
    <w:qFormat/>
    <w:uiPriority w:val="0"/>
    <w:rPr>
      <w:rFonts w:ascii="Arial" w:hAnsi="Arial" w:eastAsia="宋体"/>
      <w:b/>
      <w:smallCaps/>
      <w:kern w:val="28"/>
      <w:sz w:val="36"/>
      <w:lang w:val="en-US" w:eastAsia="en-US"/>
    </w:rPr>
  </w:style>
  <w:style w:type="character" w:customStyle="1" w:styleId="98">
    <w:name w:val="Table Text Char Char Char Char"/>
    <w:link w:val="99"/>
    <w:qFormat/>
    <w:uiPriority w:val="0"/>
    <w:rPr>
      <w:rFonts w:ascii="Arial" w:hAnsi="Arial"/>
      <w:kern w:val="2"/>
      <w:sz w:val="18"/>
      <w:lang w:val="en-US" w:eastAsia="zh-CN" w:bidi="ar-SA"/>
    </w:rPr>
  </w:style>
  <w:style w:type="paragraph" w:customStyle="1" w:styleId="99">
    <w:name w:val="Table Text Char Char Char"/>
    <w:link w:val="98"/>
    <w:qFormat/>
    <w:uiPriority w:val="0"/>
    <w:pPr>
      <w:snapToGrid w:val="0"/>
      <w:spacing w:before="80" w:after="80"/>
    </w:pPr>
    <w:rPr>
      <w:rFonts w:ascii="Arial" w:hAnsi="Arial" w:eastAsia="宋体" w:cs="Times New Roman"/>
      <w:kern w:val="2"/>
      <w:sz w:val="18"/>
      <w:lang w:val="en-US" w:eastAsia="zh-CN" w:bidi="ar-SA"/>
    </w:rPr>
  </w:style>
  <w:style w:type="character" w:customStyle="1" w:styleId="100">
    <w:name w:val="font01"/>
    <w:basedOn w:val="64"/>
    <w:qFormat/>
    <w:uiPriority w:val="0"/>
    <w:rPr>
      <w:rFonts w:hint="default" w:ascii="Times New Roman" w:hAnsi="Times New Roman" w:cs="Times New Roman"/>
      <w:color w:val="000000"/>
      <w:sz w:val="20"/>
      <w:szCs w:val="20"/>
      <w:u w:val="none"/>
    </w:rPr>
  </w:style>
  <w:style w:type="character" w:customStyle="1" w:styleId="101">
    <w:name w:val="font101"/>
    <w:qFormat/>
    <w:uiPriority w:val="0"/>
    <w:rPr>
      <w:rFonts w:hint="default" w:ascii="Times New Roman" w:hAnsi="Times New Roman" w:cs="Times New Roman"/>
      <w:color w:val="000000"/>
      <w:sz w:val="20"/>
      <w:szCs w:val="20"/>
      <w:u w:val="none"/>
    </w:rPr>
  </w:style>
  <w:style w:type="character" w:customStyle="1" w:styleId="102">
    <w:name w:val="Table Text Char1 Char"/>
    <w:qFormat/>
    <w:uiPriority w:val="0"/>
    <w:rPr>
      <w:rFonts w:ascii="Arial" w:hAnsi="Arial"/>
      <w:kern w:val="2"/>
      <w:sz w:val="18"/>
      <w:lang w:val="en-US" w:eastAsia="zh-CN" w:bidi="ar-SA"/>
    </w:rPr>
  </w:style>
  <w:style w:type="character" w:customStyle="1" w:styleId="103">
    <w:name w:val="Char Char2"/>
    <w:qFormat/>
    <w:uiPriority w:val="0"/>
    <w:rPr>
      <w:rFonts w:eastAsia="宋体"/>
      <w:kern w:val="2"/>
      <w:sz w:val="18"/>
      <w:lang w:val="en-US" w:eastAsia="zh-CN"/>
    </w:rPr>
  </w:style>
  <w:style w:type="character" w:customStyle="1" w:styleId="104">
    <w:name w:val="标题 2 字符"/>
    <w:link w:val="4"/>
    <w:qFormat/>
    <w:uiPriority w:val="0"/>
    <w:rPr>
      <w:rFonts w:ascii="Arial" w:hAnsi="Arial" w:eastAsia="黑体"/>
      <w:b/>
      <w:kern w:val="2"/>
      <w:sz w:val="32"/>
    </w:rPr>
  </w:style>
  <w:style w:type="character" w:customStyle="1" w:styleId="105">
    <w:name w:val="font31"/>
    <w:qFormat/>
    <w:uiPriority w:val="0"/>
    <w:rPr>
      <w:rFonts w:hint="eastAsia" w:ascii="宋体" w:hAnsi="宋体" w:eastAsia="宋体" w:cs="宋体"/>
      <w:b/>
      <w:color w:val="000000"/>
      <w:sz w:val="20"/>
      <w:szCs w:val="20"/>
      <w:u w:val="none"/>
    </w:rPr>
  </w:style>
  <w:style w:type="character" w:customStyle="1" w:styleId="106">
    <w:name w:val="文字 Char"/>
    <w:link w:val="107"/>
    <w:qFormat/>
    <w:uiPriority w:val="0"/>
    <w:rPr>
      <w:rFonts w:ascii="宋体"/>
      <w:kern w:val="2"/>
      <w:sz w:val="28"/>
    </w:rPr>
  </w:style>
  <w:style w:type="paragraph" w:customStyle="1" w:styleId="107">
    <w:name w:val="文字"/>
    <w:basedOn w:val="1"/>
    <w:link w:val="106"/>
    <w:qFormat/>
    <w:uiPriority w:val="0"/>
    <w:pPr>
      <w:tabs>
        <w:tab w:val="left" w:pos="8520"/>
      </w:tabs>
      <w:spacing w:line="312" w:lineRule="auto"/>
      <w:ind w:right="-210" w:firstLine="556"/>
    </w:pPr>
    <w:rPr>
      <w:rFonts w:ascii="宋体"/>
    </w:rPr>
  </w:style>
  <w:style w:type="character" w:customStyle="1" w:styleId="108">
    <w:name w:val="标题 3 字符"/>
    <w:link w:val="5"/>
    <w:qFormat/>
    <w:uiPriority w:val="0"/>
    <w:rPr>
      <w:rFonts w:eastAsia="宋体"/>
      <w:b/>
      <w:kern w:val="2"/>
      <w:sz w:val="32"/>
      <w:lang w:val="en-US" w:eastAsia="zh-CN"/>
    </w:rPr>
  </w:style>
  <w:style w:type="character" w:customStyle="1" w:styleId="109">
    <w:name w:val="Char Char6"/>
    <w:qFormat/>
    <w:uiPriority w:val="0"/>
    <w:rPr>
      <w:rFonts w:ascii="仿宋_GB2312" w:eastAsia="仿宋_GB2312"/>
      <w:kern w:val="2"/>
      <w:sz w:val="32"/>
    </w:rPr>
  </w:style>
  <w:style w:type="character" w:customStyle="1" w:styleId="110">
    <w:name w:val="Char Char3"/>
    <w:qFormat/>
    <w:uiPriority w:val="0"/>
    <w:rPr>
      <w:rFonts w:eastAsia="宋体"/>
      <w:kern w:val="2"/>
      <w:sz w:val="18"/>
      <w:lang w:val="en-US" w:eastAsia="zh-CN"/>
    </w:rPr>
  </w:style>
  <w:style w:type="character" w:customStyle="1" w:styleId="111">
    <w:name w:val="正文文本首行缩进 2 字符"/>
    <w:basedOn w:val="87"/>
    <w:link w:val="61"/>
    <w:qFormat/>
    <w:uiPriority w:val="0"/>
    <w:rPr>
      <w:kern w:val="2"/>
      <w:sz w:val="44"/>
    </w:rPr>
  </w:style>
  <w:style w:type="character" w:customStyle="1" w:styleId="112">
    <w:name w:val="标书正文:  0.74 厘米 Char1"/>
    <w:qFormat/>
    <w:uiPriority w:val="0"/>
    <w:rPr>
      <w:rFonts w:eastAsia="宋体"/>
      <w:kern w:val="2"/>
      <w:sz w:val="24"/>
      <w:lang w:val="en-US" w:eastAsia="zh-CN"/>
    </w:rPr>
  </w:style>
  <w:style w:type="character" w:customStyle="1" w:styleId="113">
    <w:name w:val="日期 字符"/>
    <w:link w:val="34"/>
    <w:qFormat/>
    <w:uiPriority w:val="0"/>
    <w:rPr>
      <w:kern w:val="2"/>
      <w:sz w:val="28"/>
    </w:rPr>
  </w:style>
  <w:style w:type="character" w:customStyle="1" w:styleId="114">
    <w:name w:val="font1"/>
    <w:qFormat/>
    <w:uiPriority w:val="0"/>
    <w:rPr>
      <w:color w:val="000000"/>
      <w:sz w:val="18"/>
    </w:rPr>
  </w:style>
  <w:style w:type="character" w:customStyle="1" w:styleId="115">
    <w:name w:val="Char Char4"/>
    <w:qFormat/>
    <w:uiPriority w:val="0"/>
    <w:rPr>
      <w:rFonts w:eastAsia="宋体"/>
      <w:b/>
      <w:kern w:val="2"/>
      <w:sz w:val="21"/>
      <w:lang w:val="en-US" w:eastAsia="zh-CN"/>
    </w:rPr>
  </w:style>
  <w:style w:type="character" w:customStyle="1" w:styleId="116">
    <w:name w:val="top-det1"/>
    <w:qFormat/>
    <w:uiPriority w:val="0"/>
    <w:rPr>
      <w:b/>
      <w:color w:val="000000"/>
    </w:rPr>
  </w:style>
  <w:style w:type="character" w:customStyle="1" w:styleId="117">
    <w:name w:val="crowed11"/>
    <w:qFormat/>
    <w:uiPriority w:val="0"/>
    <w:rPr>
      <w:rFonts w:hint="default"/>
      <w:sz w:val="24"/>
    </w:rPr>
  </w:style>
  <w:style w:type="character" w:customStyle="1" w:styleId="118">
    <w:name w:val="H2 Char"/>
    <w:qFormat/>
    <w:uiPriority w:val="0"/>
    <w:rPr>
      <w:rFonts w:ascii="Arial" w:hAnsi="Arial" w:eastAsia="宋体"/>
      <w:kern w:val="2"/>
      <w:sz w:val="28"/>
      <w:lang w:val="en-US" w:eastAsia="zh-CN"/>
    </w:rPr>
  </w:style>
  <w:style w:type="character" w:customStyle="1" w:styleId="119">
    <w:name w:val="小 Char"/>
    <w:qFormat/>
    <w:uiPriority w:val="0"/>
    <w:rPr>
      <w:rFonts w:ascii="宋体" w:hAnsi="Courier New" w:eastAsia="宋体"/>
      <w:kern w:val="2"/>
      <w:sz w:val="21"/>
      <w:lang w:val="en-US" w:eastAsia="zh-CN" w:bidi="ar-SA"/>
    </w:rPr>
  </w:style>
  <w:style w:type="character" w:customStyle="1" w:styleId="120">
    <w:name w:val="页脚 字符"/>
    <w:link w:val="37"/>
    <w:qFormat/>
    <w:uiPriority w:val="99"/>
    <w:rPr>
      <w:kern w:val="2"/>
      <w:sz w:val="18"/>
    </w:rPr>
  </w:style>
  <w:style w:type="character" w:customStyle="1" w:styleId="121">
    <w:name w:val="font11"/>
    <w:qFormat/>
    <w:uiPriority w:val="0"/>
    <w:rPr>
      <w:rFonts w:hint="eastAsia" w:ascii="宋体" w:hAnsi="宋体" w:eastAsia="宋体" w:cs="宋体"/>
      <w:color w:val="000000"/>
      <w:sz w:val="20"/>
      <w:szCs w:val="20"/>
      <w:u w:val="none"/>
      <w:vertAlign w:val="superscript"/>
    </w:rPr>
  </w:style>
  <w:style w:type="paragraph" w:customStyle="1" w:styleId="122">
    <w:name w:val="样式 正文缩进正文（首行缩进两字）表正文正文非缩进特点标题4段1 + 首行缩进:  2 字符"/>
    <w:basedOn w:val="16"/>
    <w:qFormat/>
    <w:uiPriority w:val="0"/>
    <w:pPr>
      <w:ind w:firstLine="480" w:firstLineChars="200"/>
    </w:pPr>
  </w:style>
  <w:style w:type="paragraph" w:customStyle="1" w:styleId="123">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24">
    <w:name w:val="修订1"/>
    <w:qFormat/>
    <w:uiPriority w:val="0"/>
    <w:rPr>
      <w:rFonts w:ascii="Calibri" w:hAnsi="Calibri" w:eastAsia="宋体" w:cs="Times New Roman"/>
      <w:kern w:val="2"/>
      <w:sz w:val="21"/>
      <w:lang w:val="en-US" w:eastAsia="zh-CN" w:bidi="ar-SA"/>
    </w:rPr>
  </w:style>
  <w:style w:type="paragraph" w:customStyle="1" w:styleId="125">
    <w:name w:val="正文（首行不缩进）"/>
    <w:basedOn w:val="1"/>
    <w:qFormat/>
    <w:uiPriority w:val="0"/>
    <w:pPr>
      <w:autoSpaceDE w:val="0"/>
      <w:autoSpaceDN w:val="0"/>
      <w:adjustRightInd w:val="0"/>
      <w:spacing w:line="360" w:lineRule="auto"/>
      <w:jc w:val="left"/>
    </w:pPr>
    <w:rPr>
      <w:kern w:val="0"/>
      <w:sz w:val="21"/>
    </w:rPr>
  </w:style>
  <w:style w:type="paragraph" w:customStyle="1" w:styleId="126">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7">
    <w:name w:val="无间隔1"/>
    <w:qFormat/>
    <w:uiPriority w:val="1"/>
    <w:pPr>
      <w:jc w:val="both"/>
    </w:pPr>
    <w:rPr>
      <w:rFonts w:ascii="Calibri" w:hAnsi="Calibri" w:eastAsia="Times New Roman" w:cs="Times New Roman"/>
      <w:lang w:val="en-US" w:eastAsia="zh-CN" w:bidi="ar-SA"/>
    </w:rPr>
  </w:style>
  <w:style w:type="paragraph" w:customStyle="1" w:styleId="128">
    <w:name w:val="操作步骤"/>
    <w:basedOn w:val="1"/>
    <w:qFormat/>
    <w:uiPriority w:val="0"/>
    <w:pPr>
      <w:numPr>
        <w:ilvl w:val="0"/>
        <w:numId w:val="3"/>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29">
    <w:name w:val="Table Paragraph"/>
    <w:basedOn w:val="1"/>
    <w:qFormat/>
    <w:uiPriority w:val="1"/>
    <w:pPr>
      <w:autoSpaceDE w:val="0"/>
      <w:autoSpaceDN w:val="0"/>
      <w:adjustRightInd w:val="0"/>
    </w:pPr>
    <w:rPr>
      <w:sz w:val="24"/>
    </w:rPr>
  </w:style>
  <w:style w:type="paragraph" w:customStyle="1" w:styleId="130">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31">
    <w:name w:val="样式5"/>
    <w:basedOn w:val="132"/>
    <w:next w:val="1"/>
    <w:qFormat/>
    <w:uiPriority w:val="0"/>
  </w:style>
  <w:style w:type="paragraph" w:customStyle="1" w:styleId="132">
    <w:name w:val="编号正文"/>
    <w:basedOn w:val="133"/>
    <w:qFormat/>
    <w:uiPriority w:val="0"/>
    <w:pPr>
      <w:snapToGrid/>
      <w:spacing w:line="360" w:lineRule="auto"/>
      <w:ind w:left="1407" w:hanging="1047"/>
      <w:jc w:val="left"/>
    </w:pPr>
    <w:rPr>
      <w:rFonts w:eastAsia="仿宋_GB2312"/>
    </w:rPr>
  </w:style>
  <w:style w:type="paragraph" w:customStyle="1" w:styleId="133">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34">
    <w:name w:val="样式10"/>
    <w:basedOn w:val="1"/>
    <w:next w:val="1"/>
    <w:qFormat/>
    <w:uiPriority w:val="0"/>
    <w:rPr>
      <w:rFonts w:ascii="Times New Roman" w:hAnsi="Times New Roman" w:eastAsia="仿宋"/>
      <w:sz w:val="24"/>
    </w:rPr>
  </w:style>
  <w:style w:type="paragraph" w:customStyle="1" w:styleId="135">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36">
    <w:name w:val="Char Char1 Char"/>
    <w:basedOn w:val="1"/>
    <w:qFormat/>
    <w:uiPriority w:val="0"/>
    <w:rPr>
      <w:rFonts w:ascii="Tahoma" w:hAnsi="Tahoma"/>
      <w:sz w:val="24"/>
      <w:szCs w:val="24"/>
    </w:rPr>
  </w:style>
  <w:style w:type="paragraph" w:customStyle="1" w:styleId="137">
    <w:name w:val="样式1xz"/>
    <w:basedOn w:val="1"/>
    <w:qFormat/>
    <w:uiPriority w:val="0"/>
    <w:pPr>
      <w:tabs>
        <w:tab w:val="left" w:pos="1050"/>
        <w:tab w:val="right" w:leader="dot" w:pos="8296"/>
      </w:tabs>
    </w:pPr>
    <w:rPr>
      <w:caps/>
      <w:spacing w:val="20"/>
      <w:sz w:val="24"/>
    </w:rPr>
  </w:style>
  <w:style w:type="paragraph" w:customStyle="1" w:styleId="138">
    <w:name w:val="_Style 19"/>
    <w:basedOn w:val="1"/>
    <w:next w:val="139"/>
    <w:qFormat/>
    <w:uiPriority w:val="0"/>
    <w:pPr>
      <w:ind w:firstLine="420" w:firstLineChars="200"/>
    </w:pPr>
    <w:rPr>
      <w:sz w:val="21"/>
      <w:szCs w:val="22"/>
    </w:rPr>
  </w:style>
  <w:style w:type="paragraph" w:customStyle="1" w:styleId="139">
    <w:name w:val="列表段落1"/>
    <w:basedOn w:val="1"/>
    <w:qFormat/>
    <w:uiPriority w:val="0"/>
    <w:pPr>
      <w:ind w:firstLine="420" w:firstLineChars="200"/>
    </w:pPr>
  </w:style>
  <w:style w:type="paragraph" w:customStyle="1" w:styleId="140">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41">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42">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司法正文"/>
    <w:qFormat/>
    <w:uiPriority w:val="0"/>
    <w:pPr>
      <w:widowControl w:val="0"/>
      <w:ind w:firstLine="200" w:firstLineChars="200"/>
      <w:jc w:val="both"/>
    </w:pPr>
    <w:rPr>
      <w:rFonts w:ascii="Calibri" w:hAnsi="Calibri" w:eastAsia="仿宋_GB2312" w:cs="Times New Roman"/>
      <w:sz w:val="32"/>
      <w:lang w:val="en-US" w:eastAsia="zh-CN" w:bidi="ar-SA"/>
    </w:rPr>
  </w:style>
  <w:style w:type="paragraph" w:customStyle="1" w:styleId="145">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46">
    <w:name w:val="正文文本 21"/>
    <w:basedOn w:val="1"/>
    <w:qFormat/>
    <w:uiPriority w:val="0"/>
    <w:pPr>
      <w:adjustRightInd w:val="0"/>
      <w:spacing w:before="120" w:line="360" w:lineRule="auto"/>
      <w:ind w:firstLine="480"/>
      <w:textAlignment w:val="baseline"/>
    </w:pPr>
    <w:rPr>
      <w:sz w:val="24"/>
    </w:rPr>
  </w:style>
  <w:style w:type="paragraph" w:customStyle="1" w:styleId="147">
    <w:name w:val="首行缩进"/>
    <w:basedOn w:val="1"/>
    <w:qFormat/>
    <w:uiPriority w:val="0"/>
    <w:pPr>
      <w:numPr>
        <w:ilvl w:val="0"/>
        <w:numId w:val="4"/>
      </w:numPr>
      <w:spacing w:line="360" w:lineRule="auto"/>
    </w:pPr>
    <w:rPr>
      <w:rFonts w:eastAsia="仿宋_GB2312"/>
    </w:rPr>
  </w:style>
  <w:style w:type="paragraph" w:customStyle="1" w:styleId="148">
    <w:name w:val="简单回函地址"/>
    <w:basedOn w:val="1"/>
    <w:qFormat/>
    <w:uiPriority w:val="0"/>
    <w:pPr>
      <w:adjustRightInd w:val="0"/>
      <w:snapToGrid w:val="0"/>
      <w:spacing w:line="360" w:lineRule="auto"/>
    </w:pPr>
    <w:rPr>
      <w:sz w:val="24"/>
    </w:rPr>
  </w:style>
  <w:style w:type="paragraph" w:customStyle="1" w:styleId="149">
    <w:name w:val="二级列表"/>
    <w:basedOn w:val="150"/>
    <w:next w:val="150"/>
    <w:qFormat/>
    <w:uiPriority w:val="0"/>
    <w:pPr>
      <w:tabs>
        <w:tab w:val="left" w:pos="2120"/>
      </w:tabs>
      <w:ind w:firstLine="0" w:firstLineChars="0"/>
    </w:pPr>
    <w:rPr>
      <w:b/>
    </w:rPr>
  </w:style>
  <w:style w:type="paragraph" w:customStyle="1" w:styleId="150">
    <w:name w:val="段落正文"/>
    <w:basedOn w:val="1"/>
    <w:qFormat/>
    <w:uiPriority w:val="0"/>
    <w:pPr>
      <w:spacing w:beforeLines="50" w:line="360" w:lineRule="auto"/>
      <w:ind w:firstLine="200" w:firstLineChars="200"/>
    </w:pPr>
    <w:rPr>
      <w:spacing w:val="2"/>
      <w:sz w:val="24"/>
    </w:rPr>
  </w:style>
  <w:style w:type="paragraph" w:customStyle="1" w:styleId="151">
    <w:name w:val="标题无"/>
    <w:basedOn w:val="1"/>
    <w:qFormat/>
    <w:uiPriority w:val="0"/>
    <w:pPr>
      <w:spacing w:line="360" w:lineRule="auto"/>
    </w:pPr>
    <w:rPr>
      <w:sz w:val="24"/>
    </w:rPr>
  </w:style>
  <w:style w:type="paragraph" w:customStyle="1" w:styleId="152">
    <w:name w:val="没有缩进（为图形使用）"/>
    <w:basedOn w:val="1"/>
    <w:qFormat/>
    <w:uiPriority w:val="0"/>
    <w:pPr>
      <w:spacing w:before="120" w:after="120" w:line="360" w:lineRule="auto"/>
    </w:pPr>
    <w:rPr>
      <w:sz w:val="24"/>
    </w:rPr>
  </w:style>
  <w:style w:type="paragraph" w:customStyle="1" w:styleId="153">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154">
    <w:name w:val="正文表格"/>
    <w:basedOn w:val="1"/>
    <w:qFormat/>
    <w:uiPriority w:val="0"/>
    <w:pPr>
      <w:adjustRightInd w:val="0"/>
      <w:spacing w:before="40" w:after="40"/>
    </w:pPr>
    <w:rPr>
      <w:sz w:val="24"/>
    </w:rPr>
  </w:style>
  <w:style w:type="paragraph" w:customStyle="1" w:styleId="15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56">
    <w:name w:val="标书正文:  0.74 厘米"/>
    <w:basedOn w:val="1"/>
    <w:qFormat/>
    <w:uiPriority w:val="0"/>
    <w:pPr>
      <w:snapToGrid w:val="0"/>
      <w:spacing w:line="360" w:lineRule="auto"/>
      <w:ind w:firstLine="420"/>
    </w:pPr>
    <w:rPr>
      <w:sz w:val="24"/>
    </w:rPr>
  </w:style>
  <w:style w:type="paragraph" w:customStyle="1" w:styleId="157">
    <w:name w:val="Title - Date"/>
    <w:basedOn w:val="58"/>
    <w:next w:val="1"/>
    <w:qFormat/>
    <w:uiPriority w:val="0"/>
    <w:pPr>
      <w:spacing w:before="240" w:after="720"/>
    </w:pPr>
    <w:rPr>
      <w:sz w:val="28"/>
    </w:rPr>
  </w:style>
  <w:style w:type="paragraph" w:customStyle="1" w:styleId="158">
    <w:name w:val="样式 标题 6第五层条 + 三号 段前: 0.5 行"/>
    <w:basedOn w:val="8"/>
    <w:qFormat/>
    <w:uiPriority w:val="0"/>
    <w:pPr>
      <w:widowControl/>
      <w:adjustRightInd/>
      <w:snapToGrid/>
      <w:spacing w:beforeLines="50"/>
      <w:jc w:val="left"/>
    </w:pPr>
    <w:rPr>
      <w:snapToGrid w:val="0"/>
      <w:kern w:val="24"/>
      <w:sz w:val="28"/>
    </w:rPr>
  </w:style>
  <w:style w:type="paragraph" w:customStyle="1" w:styleId="159">
    <w:name w:val="样式11"/>
    <w:basedOn w:val="1"/>
    <w:next w:val="1"/>
    <w:qFormat/>
    <w:uiPriority w:val="0"/>
    <w:rPr>
      <w:rFonts w:ascii="Times New Roman" w:hAnsi="Times New Roman"/>
    </w:rPr>
  </w:style>
  <w:style w:type="paragraph" w:customStyle="1" w:styleId="160">
    <w:name w:val="Char Char14 Char Char"/>
    <w:basedOn w:val="1"/>
    <w:qFormat/>
    <w:uiPriority w:val="0"/>
    <w:rPr>
      <w:sz w:val="21"/>
      <w:szCs w:val="24"/>
    </w:rPr>
  </w:style>
  <w:style w:type="paragraph" w:customStyle="1" w:styleId="161">
    <w:name w:val="表头文本"/>
    <w:qFormat/>
    <w:uiPriority w:val="0"/>
    <w:pPr>
      <w:jc w:val="center"/>
    </w:pPr>
    <w:rPr>
      <w:rFonts w:ascii="Arial" w:hAnsi="Arial" w:eastAsia="宋体" w:cs="Times New Roman"/>
      <w:b/>
      <w:sz w:val="21"/>
      <w:lang w:val="en-US" w:eastAsia="zh-CN" w:bidi="ar-SA"/>
    </w:rPr>
  </w:style>
  <w:style w:type="paragraph" w:customStyle="1" w:styleId="162">
    <w:name w:val="Char Char Char Char Char Char Char"/>
    <w:basedOn w:val="1"/>
    <w:qFormat/>
    <w:uiPriority w:val="0"/>
    <w:rPr>
      <w:rFonts w:ascii="Tahoma" w:hAnsi="Tahoma"/>
      <w:sz w:val="24"/>
    </w:rPr>
  </w:style>
  <w:style w:type="paragraph" w:customStyle="1" w:styleId="163">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65">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166">
    <w:name w:val="正文文本缩进 21"/>
    <w:basedOn w:val="1"/>
    <w:qFormat/>
    <w:uiPriority w:val="0"/>
    <w:pPr>
      <w:adjustRightInd w:val="0"/>
      <w:spacing w:before="120"/>
      <w:ind w:firstLine="420"/>
      <w:textAlignment w:val="baseline"/>
    </w:pPr>
    <w:rPr>
      <w:sz w:val="24"/>
    </w:rPr>
  </w:style>
  <w:style w:type="paragraph" w:customStyle="1" w:styleId="167">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6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69">
    <w:name w:val="样式 正文首行缩进 2 + 首行缩进:  2 字符"/>
    <w:basedOn w:val="1"/>
    <w:qFormat/>
    <w:uiPriority w:val="0"/>
    <w:pPr>
      <w:numPr>
        <w:ilvl w:val="0"/>
        <w:numId w:val="5"/>
      </w:numPr>
      <w:adjustRightInd w:val="0"/>
      <w:snapToGrid w:val="0"/>
      <w:spacing w:line="360" w:lineRule="auto"/>
    </w:pPr>
    <w:rPr>
      <w:rFonts w:ascii="Arial" w:hAnsi="Arial"/>
      <w:b/>
      <w:sz w:val="24"/>
    </w:rPr>
  </w:style>
  <w:style w:type="paragraph" w:customStyle="1" w:styleId="170">
    <w:name w:val="样式 首行缩进:  0.74 厘米"/>
    <w:basedOn w:val="1"/>
    <w:qFormat/>
    <w:uiPriority w:val="0"/>
    <w:pPr>
      <w:spacing w:line="360" w:lineRule="auto"/>
      <w:ind w:firstLine="420"/>
    </w:pPr>
    <w:rPr>
      <w:sz w:val="24"/>
    </w:rPr>
  </w:style>
  <w:style w:type="paragraph" w:customStyle="1" w:styleId="171">
    <w:name w:val="表格文本"/>
    <w:qFormat/>
    <w:uiPriority w:val="0"/>
    <w:pPr>
      <w:tabs>
        <w:tab w:val="decimal" w:pos="0"/>
      </w:tabs>
    </w:pPr>
    <w:rPr>
      <w:rFonts w:ascii="Arial" w:hAnsi="Arial" w:eastAsia="宋体" w:cs="Times New Roman"/>
      <w:sz w:val="21"/>
      <w:lang w:val="en-US" w:eastAsia="zh-CN" w:bidi="ar-SA"/>
    </w:rPr>
  </w:style>
  <w:style w:type="paragraph" w:customStyle="1" w:styleId="172">
    <w:name w:val="默认段落字体 Para Char Char Char Char Char Char Char"/>
    <w:basedOn w:val="1"/>
    <w:qFormat/>
    <w:uiPriority w:val="0"/>
    <w:rPr>
      <w:rFonts w:ascii="Tahoma" w:hAnsi="Tahoma"/>
      <w:sz w:val="24"/>
    </w:rPr>
  </w:style>
  <w:style w:type="paragraph" w:customStyle="1" w:styleId="173">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74">
    <w:name w:val="Char1"/>
    <w:basedOn w:val="1"/>
    <w:qFormat/>
    <w:uiPriority w:val="0"/>
    <w:rPr>
      <w:sz w:val="21"/>
    </w:rPr>
  </w:style>
  <w:style w:type="paragraph" w:customStyle="1" w:styleId="175">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176">
    <w:name w:val="Char1 Char Char Char"/>
    <w:basedOn w:val="1"/>
    <w:qFormat/>
    <w:uiPriority w:val="0"/>
    <w:rPr>
      <w:rFonts w:ascii="Tahoma" w:hAnsi="Tahoma"/>
      <w:sz w:val="30"/>
    </w:rPr>
  </w:style>
  <w:style w:type="paragraph" w:customStyle="1" w:styleId="177">
    <w:name w:val="Char Char Char Char Char"/>
    <w:basedOn w:val="1"/>
    <w:qFormat/>
    <w:uiPriority w:val="0"/>
    <w:pPr>
      <w:numPr>
        <w:ilvl w:val="0"/>
        <w:numId w:val="6"/>
      </w:numPr>
      <w:tabs>
        <w:tab w:val="left" w:pos="425"/>
        <w:tab w:val="clear" w:pos="1620"/>
      </w:tabs>
    </w:pPr>
    <w:rPr>
      <w:rFonts w:ascii="Tahoma" w:hAnsi="Tahoma"/>
      <w:sz w:val="24"/>
    </w:rPr>
  </w:style>
  <w:style w:type="paragraph" w:customStyle="1" w:styleId="178">
    <w:name w:val="Item Step in Table"/>
    <w:qFormat/>
    <w:uiPriority w:val="0"/>
    <w:pPr>
      <w:numPr>
        <w:ilvl w:val="0"/>
        <w:numId w:val="7"/>
      </w:numPr>
      <w:tabs>
        <w:tab w:val="left" w:pos="397"/>
      </w:tabs>
      <w:spacing w:before="40" w:after="40"/>
      <w:jc w:val="both"/>
    </w:pPr>
    <w:rPr>
      <w:rFonts w:ascii="Arial" w:hAnsi="Arial" w:eastAsia="宋体" w:cs="Times New Roman"/>
      <w:sz w:val="18"/>
      <w:lang w:val="en-US" w:eastAsia="zh-CN" w:bidi="ar-SA"/>
    </w:rPr>
  </w:style>
  <w:style w:type="paragraph" w:customStyle="1" w:styleId="179">
    <w:name w:val="Table Contents"/>
    <w:basedOn w:val="23"/>
    <w:qFormat/>
    <w:uiPriority w:val="0"/>
    <w:pPr>
      <w:suppressAutoHyphens/>
      <w:jc w:val="left"/>
    </w:pPr>
    <w:rPr>
      <w:rFonts w:ascii="Times New Roman" w:eastAsia="Times New Roman"/>
      <w:kern w:val="0"/>
      <w:sz w:val="24"/>
    </w:rPr>
  </w:style>
  <w:style w:type="paragraph" w:customStyle="1" w:styleId="18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81">
    <w:name w:val="List Paragraph11"/>
    <w:basedOn w:val="1"/>
    <w:qFormat/>
    <w:uiPriority w:val="0"/>
    <w:pPr>
      <w:ind w:firstLine="420" w:firstLineChars="200"/>
    </w:pPr>
    <w:rPr>
      <w:rFonts w:ascii="等线" w:hAnsi="等线" w:eastAsia="等线"/>
      <w:sz w:val="21"/>
      <w:szCs w:val="22"/>
    </w:rPr>
  </w:style>
  <w:style w:type="paragraph" w:customStyle="1" w:styleId="182">
    <w:name w:val="附录3"/>
    <w:basedOn w:val="1"/>
    <w:next w:val="1"/>
    <w:qFormat/>
    <w:uiPriority w:val="0"/>
    <w:pPr>
      <w:tabs>
        <w:tab w:val="left" w:pos="851"/>
      </w:tabs>
      <w:ind w:left="425" w:hanging="425"/>
      <w:outlineLvl w:val="2"/>
    </w:pPr>
    <w:rPr>
      <w:rFonts w:eastAsia="黑体"/>
      <w:b/>
      <w:sz w:val="32"/>
    </w:rPr>
  </w:style>
  <w:style w:type="paragraph" w:customStyle="1" w:styleId="183">
    <w:name w:val="标题3——2"/>
    <w:basedOn w:val="5"/>
    <w:next w:val="60"/>
    <w:qFormat/>
    <w:uiPriority w:val="0"/>
    <w:pPr>
      <w:tabs>
        <w:tab w:val="left" w:pos="1280"/>
        <w:tab w:val="right" w:leader="dot" w:pos="8777"/>
      </w:tabs>
      <w:spacing w:beforeLines="100" w:after="0" w:line="240" w:lineRule="auto"/>
      <w:ind w:left="851" w:hanging="851"/>
      <w:outlineLvl w:val="9"/>
    </w:pPr>
    <w:rPr>
      <w:rFonts w:ascii="黑体" w:hAnsi="宋体" w:eastAsia="黑体"/>
      <w:sz w:val="30"/>
    </w:rPr>
  </w:style>
  <w:style w:type="paragraph" w:customStyle="1" w:styleId="184">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85">
    <w:name w:val="表号"/>
    <w:basedOn w:val="1"/>
    <w:qFormat/>
    <w:uiPriority w:val="0"/>
    <w:pPr>
      <w:numPr>
        <w:ilvl w:val="0"/>
        <w:numId w:val="8"/>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86">
    <w:name w:val="List Paragraph1"/>
    <w:basedOn w:val="1"/>
    <w:qFormat/>
    <w:uiPriority w:val="0"/>
    <w:pPr>
      <w:ind w:firstLine="420" w:firstLineChars="200"/>
    </w:pPr>
    <w:rPr>
      <w:sz w:val="21"/>
      <w:szCs w:val="22"/>
    </w:rPr>
  </w:style>
  <w:style w:type="paragraph" w:customStyle="1" w:styleId="187">
    <w:name w:val="af"/>
    <w:basedOn w:val="1"/>
    <w:qFormat/>
    <w:uiPriority w:val="0"/>
    <w:pPr>
      <w:widowControl/>
      <w:spacing w:line="300" w:lineRule="atLeast"/>
      <w:jc w:val="left"/>
    </w:pPr>
    <w:rPr>
      <w:rFonts w:ascii="宋体" w:hAnsi="宋体"/>
      <w:kern w:val="0"/>
      <w:sz w:val="18"/>
    </w:rPr>
  </w:style>
  <w:style w:type="paragraph" w:customStyle="1" w:styleId="188">
    <w:name w:val="样式8"/>
    <w:basedOn w:val="1"/>
    <w:next w:val="1"/>
    <w:qFormat/>
    <w:uiPriority w:val="0"/>
    <w:rPr>
      <w:rFonts w:ascii="Times New Roman" w:hAnsi="Times New Roman" w:eastAsia="仿宋"/>
      <w:sz w:val="24"/>
    </w:rPr>
  </w:style>
  <w:style w:type="paragraph" w:customStyle="1" w:styleId="189">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90">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91">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92">
    <w:name w:val="图片文字"/>
    <w:basedOn w:val="1"/>
    <w:qFormat/>
    <w:uiPriority w:val="0"/>
    <w:pPr>
      <w:spacing w:line="240" w:lineRule="atLeast"/>
      <w:jc w:val="center"/>
    </w:pPr>
    <w:rPr>
      <w:sz w:val="21"/>
    </w:rPr>
  </w:style>
  <w:style w:type="paragraph" w:customStyle="1" w:styleId="193">
    <w:name w:val="表格内文字"/>
    <w:basedOn w:val="32"/>
    <w:qFormat/>
    <w:uiPriority w:val="0"/>
    <w:pPr>
      <w:adjustRightInd w:val="0"/>
    </w:pPr>
    <w:rPr>
      <w:color w:val="000000"/>
      <w:lang w:val="en-GB"/>
    </w:rPr>
  </w:style>
  <w:style w:type="paragraph" w:customStyle="1" w:styleId="194">
    <w:name w:val="二级条标题"/>
    <w:basedOn w:val="195"/>
    <w:next w:val="197"/>
    <w:qFormat/>
    <w:uiPriority w:val="0"/>
    <w:pPr>
      <w:ind w:left="840"/>
      <w:outlineLvl w:val="3"/>
    </w:pPr>
  </w:style>
  <w:style w:type="paragraph" w:customStyle="1" w:styleId="195">
    <w:name w:val="一级条标题"/>
    <w:basedOn w:val="196"/>
    <w:next w:val="197"/>
    <w:qFormat/>
    <w:uiPriority w:val="0"/>
    <w:pPr>
      <w:numPr>
        <w:numId w:val="0"/>
      </w:numPr>
      <w:spacing w:beforeLines="0" w:afterLines="0"/>
      <w:ind w:left="525"/>
      <w:outlineLvl w:val="2"/>
    </w:pPr>
    <w:rPr>
      <w:sz w:val="21"/>
    </w:rPr>
  </w:style>
  <w:style w:type="paragraph" w:customStyle="1" w:styleId="196">
    <w:name w:val="章标题"/>
    <w:next w:val="1"/>
    <w:qFormat/>
    <w:uiPriority w:val="0"/>
    <w:pPr>
      <w:numPr>
        <w:ilvl w:val="1"/>
        <w:numId w:val="7"/>
      </w:numPr>
      <w:spacing w:beforeLines="50" w:afterLines="50"/>
      <w:ind w:left="0"/>
      <w:jc w:val="both"/>
      <w:outlineLvl w:val="1"/>
    </w:pPr>
    <w:rPr>
      <w:rFonts w:ascii="黑体" w:hAnsi="Calibri" w:eastAsia="宋体" w:cs="Times New Roman"/>
      <w:sz w:val="24"/>
      <w:lang w:val="en-US" w:eastAsia="zh-CN" w:bidi="ar-SA"/>
    </w:rPr>
  </w:style>
  <w:style w:type="paragraph" w:customStyle="1" w:styleId="197">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8">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99">
    <w:name w:val="标题 5（有编号）（绿盟科技）"/>
    <w:basedOn w:val="1"/>
    <w:next w:val="153"/>
    <w:qFormat/>
    <w:uiPriority w:val="0"/>
    <w:pPr>
      <w:keepNext/>
      <w:keepLines/>
      <w:numPr>
        <w:ilvl w:val="4"/>
        <w:numId w:val="9"/>
      </w:numPr>
      <w:spacing w:before="280" w:after="156" w:line="377" w:lineRule="auto"/>
      <w:jc w:val="left"/>
      <w:outlineLvl w:val="4"/>
    </w:pPr>
    <w:rPr>
      <w:rFonts w:ascii="Arial" w:hAnsi="Arial" w:eastAsia="黑体"/>
      <w:b/>
      <w:kern w:val="0"/>
      <w:sz w:val="24"/>
      <w:szCs w:val="28"/>
    </w:rPr>
  </w:style>
  <w:style w:type="paragraph" w:customStyle="1" w:styleId="200">
    <w:name w:val="Char2 Char Char Char Char Char Char"/>
    <w:basedOn w:val="1"/>
    <w:qFormat/>
    <w:uiPriority w:val="0"/>
    <w:rPr>
      <w:rFonts w:ascii="仿宋_GB2312"/>
      <w:b/>
      <w:sz w:val="30"/>
    </w:rPr>
  </w:style>
  <w:style w:type="paragraph" w:customStyle="1" w:styleId="201">
    <w:name w:val="表头样式"/>
    <w:basedOn w:val="1"/>
    <w:qFormat/>
    <w:uiPriority w:val="0"/>
    <w:pPr>
      <w:autoSpaceDE w:val="0"/>
      <w:autoSpaceDN w:val="0"/>
      <w:adjustRightInd w:val="0"/>
      <w:spacing w:line="360" w:lineRule="auto"/>
      <w:jc w:val="left"/>
    </w:pPr>
    <w:rPr>
      <w:b/>
      <w:kern w:val="0"/>
      <w:sz w:val="21"/>
    </w:rPr>
  </w:style>
  <w:style w:type="paragraph" w:customStyle="1" w:styleId="202">
    <w:name w:val="文本框样式1"/>
    <w:basedOn w:val="1"/>
    <w:qFormat/>
    <w:uiPriority w:val="0"/>
    <w:pPr>
      <w:adjustRightInd w:val="0"/>
      <w:snapToGrid w:val="0"/>
      <w:spacing w:before="60" w:line="180" w:lineRule="exact"/>
      <w:jc w:val="center"/>
    </w:pPr>
    <w:rPr>
      <w:sz w:val="21"/>
    </w:rPr>
  </w:style>
  <w:style w:type="paragraph" w:customStyle="1" w:styleId="203">
    <w:name w:val="样式6"/>
    <w:basedOn w:val="1"/>
    <w:next w:val="1"/>
    <w:qFormat/>
    <w:uiPriority w:val="0"/>
    <w:rPr>
      <w:rFonts w:ascii="Times New Roman" w:hAnsi="Times New Roman"/>
    </w:rPr>
  </w:style>
  <w:style w:type="paragraph" w:customStyle="1" w:styleId="204">
    <w:name w:val="_"/>
    <w:basedOn w:val="1"/>
    <w:qFormat/>
    <w:uiPriority w:val="0"/>
    <w:pPr>
      <w:adjustRightInd w:val="0"/>
      <w:spacing w:line="360" w:lineRule="auto"/>
      <w:ind w:left="480" w:firstLine="200" w:firstLineChars="200"/>
      <w:textAlignment w:val="baseline"/>
    </w:pPr>
    <w:rPr>
      <w:kern w:val="0"/>
      <w:sz w:val="24"/>
    </w:rPr>
  </w:style>
  <w:style w:type="paragraph" w:customStyle="1" w:styleId="205">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06">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07">
    <w:name w:val="样式 样式 首行缩进:  2 字符 + 首行缩进:  2 字符"/>
    <w:basedOn w:val="1"/>
    <w:qFormat/>
    <w:uiPriority w:val="0"/>
    <w:pPr>
      <w:numPr>
        <w:ilvl w:val="0"/>
        <w:numId w:val="10"/>
      </w:numPr>
      <w:tabs>
        <w:tab w:val="clear" w:pos="1230"/>
      </w:tabs>
      <w:spacing w:line="360" w:lineRule="auto"/>
      <w:ind w:firstLine="480" w:firstLineChars="200"/>
    </w:pPr>
    <w:rPr>
      <w:sz w:val="24"/>
    </w:rPr>
  </w:style>
  <w:style w:type="paragraph" w:customStyle="1" w:styleId="208">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209">
    <w:name w:val="Table Heading"/>
    <w:qFormat/>
    <w:uiPriority w:val="0"/>
    <w:pPr>
      <w:keepNext/>
      <w:snapToGrid w:val="0"/>
      <w:spacing w:before="80" w:after="80"/>
      <w:jc w:val="center"/>
    </w:pPr>
    <w:rPr>
      <w:rFonts w:ascii="Arial" w:hAnsi="Arial" w:eastAsia="宋体" w:cs="Times New Roman"/>
      <w:sz w:val="18"/>
      <w:lang w:val="en-US" w:eastAsia="zh-CN" w:bidi="ar-SA"/>
    </w:rPr>
  </w:style>
  <w:style w:type="paragraph" w:customStyle="1" w:styleId="210">
    <w:name w:val="文本1"/>
    <w:basedOn w:val="1"/>
    <w:qFormat/>
    <w:uiPriority w:val="0"/>
    <w:pPr>
      <w:adjustRightInd w:val="0"/>
      <w:spacing w:line="312" w:lineRule="atLeast"/>
      <w:jc w:val="center"/>
      <w:textAlignment w:val="baseline"/>
    </w:pPr>
    <w:rPr>
      <w:kern w:val="0"/>
      <w:sz w:val="18"/>
    </w:rPr>
  </w:style>
  <w:style w:type="paragraph" w:customStyle="1" w:styleId="211">
    <w:name w:val="IN Feature"/>
    <w:next w:val="212"/>
    <w:qFormat/>
    <w:uiPriority w:val="0"/>
    <w:pPr>
      <w:keepNext/>
      <w:keepLines/>
      <w:spacing w:before="240" w:after="240"/>
      <w:outlineLvl w:val="7"/>
    </w:pPr>
    <w:rPr>
      <w:rFonts w:ascii="Arial" w:hAnsi="Arial" w:eastAsia="宋体" w:cs="Times New Roman"/>
      <w:sz w:val="21"/>
      <w:lang w:val="en-US" w:eastAsia="zh-CN" w:bidi="ar-SA"/>
    </w:rPr>
  </w:style>
  <w:style w:type="paragraph" w:customStyle="1" w:styleId="212">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213">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14">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215">
    <w:name w:val="正文字缩2字"/>
    <w:basedOn w:val="1"/>
    <w:qFormat/>
    <w:uiPriority w:val="0"/>
    <w:pPr>
      <w:spacing w:before="60" w:after="60" w:line="360" w:lineRule="auto"/>
      <w:ind w:left="200" w:leftChars="200" w:firstLine="200" w:firstLineChars="200"/>
    </w:pPr>
    <w:rPr>
      <w:sz w:val="24"/>
    </w:rPr>
  </w:style>
  <w:style w:type="paragraph" w:customStyle="1" w:styleId="21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17">
    <w:name w:val="样式4"/>
    <w:basedOn w:val="6"/>
    <w:qFormat/>
    <w:uiPriority w:val="0"/>
    <w:pPr>
      <w:adjustRightInd w:val="0"/>
      <w:snapToGrid w:val="0"/>
    </w:pPr>
  </w:style>
  <w:style w:type="paragraph" w:customStyle="1" w:styleId="218">
    <w:name w:val="样式 行距: 1.5 倍行距1"/>
    <w:basedOn w:val="1"/>
    <w:qFormat/>
    <w:uiPriority w:val="0"/>
    <w:pPr>
      <w:snapToGrid w:val="0"/>
    </w:pPr>
    <w:rPr>
      <w:sz w:val="21"/>
    </w:rPr>
  </w:style>
  <w:style w:type="paragraph" w:customStyle="1" w:styleId="219">
    <w:name w:val="Char"/>
    <w:basedOn w:val="1"/>
    <w:qFormat/>
    <w:uiPriority w:val="0"/>
    <w:pPr>
      <w:spacing w:line="240" w:lineRule="atLeast"/>
      <w:ind w:left="420" w:firstLine="420"/>
    </w:pPr>
    <w:rPr>
      <w:kern w:val="0"/>
      <w:sz w:val="21"/>
    </w:rPr>
  </w:style>
  <w:style w:type="paragraph" w:customStyle="1" w:styleId="220">
    <w:name w:val="样式1"/>
    <w:basedOn w:val="6"/>
    <w:qFormat/>
    <w:uiPriority w:val="0"/>
    <w:pPr>
      <w:tabs>
        <w:tab w:val="left" w:pos="720"/>
      </w:tabs>
      <w:spacing w:before="500" w:after="260" w:line="560" w:lineRule="atLeast"/>
      <w:ind w:left="420" w:hanging="420"/>
    </w:pPr>
  </w:style>
  <w:style w:type="paragraph" w:customStyle="1" w:styleId="221">
    <w:name w:val="标准正文"/>
    <w:basedOn w:val="24"/>
    <w:qFormat/>
    <w:uiPriority w:val="0"/>
    <w:pPr>
      <w:spacing w:before="60" w:after="60" w:line="360" w:lineRule="auto"/>
      <w:ind w:left="0" w:firstLine="482"/>
    </w:pPr>
    <w:rPr>
      <w:rFonts w:ascii="Arial" w:hAnsi="Arial"/>
      <w:sz w:val="24"/>
    </w:rPr>
  </w:style>
  <w:style w:type="paragraph" w:customStyle="1" w:styleId="222">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23">
    <w:name w:val="Item List"/>
    <w:qFormat/>
    <w:uiPriority w:val="0"/>
    <w:pPr>
      <w:numPr>
        <w:ilvl w:val="0"/>
        <w:numId w:val="11"/>
      </w:numPr>
      <w:spacing w:line="300" w:lineRule="auto"/>
      <w:jc w:val="both"/>
    </w:pPr>
    <w:rPr>
      <w:rFonts w:ascii="Arial" w:hAnsi="Arial" w:eastAsia="宋体" w:cs="Times New Roman"/>
      <w:sz w:val="21"/>
      <w:lang w:val="en-US" w:eastAsia="zh-CN" w:bidi="ar-SA"/>
    </w:rPr>
  </w:style>
  <w:style w:type="paragraph" w:customStyle="1" w:styleId="224">
    <w:name w:val="Figure Description"/>
    <w:next w:val="1"/>
    <w:qFormat/>
    <w:uiPriority w:val="0"/>
    <w:pPr>
      <w:snapToGrid w:val="0"/>
      <w:spacing w:before="80" w:after="320"/>
      <w:ind w:left="1134"/>
      <w:jc w:val="center"/>
    </w:pPr>
    <w:rPr>
      <w:rFonts w:ascii="Arial" w:hAnsi="Arial" w:eastAsia="宋体" w:cs="Times New Roman"/>
      <w:sz w:val="18"/>
      <w:lang w:val="en-US" w:eastAsia="zh-CN" w:bidi="ar-SA"/>
    </w:rPr>
  </w:style>
  <w:style w:type="paragraph" w:customStyle="1" w:styleId="225">
    <w:name w:val="样式7"/>
    <w:basedOn w:val="1"/>
    <w:next w:val="1"/>
    <w:qFormat/>
    <w:uiPriority w:val="0"/>
    <w:rPr>
      <w:rFonts w:ascii="Times New Roman" w:hAnsi="Times New Roman"/>
    </w:rPr>
  </w:style>
  <w:style w:type="paragraph" w:customStyle="1" w:styleId="226">
    <w:name w:val="正文 A"/>
    <w:qFormat/>
    <w:uiPriority w:val="0"/>
    <w:pPr>
      <w:framePr w:wrap="around" w:vAnchor="margin" w:hAnchor="text" w:y="1"/>
      <w:widowControl w:val="0"/>
      <w:jc w:val="both"/>
    </w:pPr>
    <w:rPr>
      <w:rFonts w:ascii="Calibri" w:hAnsi="Calibri" w:eastAsia="Times New Roman" w:cs="Times New Roman"/>
      <w:color w:val="000000"/>
      <w:kern w:val="2"/>
      <w:sz w:val="28"/>
      <w:szCs w:val="28"/>
      <w:lang w:val="en-US" w:eastAsia="zh-CN" w:bidi="ar-SA"/>
    </w:rPr>
  </w:style>
  <w:style w:type="paragraph" w:customStyle="1" w:styleId="227">
    <w:name w:val="样式 宋体 五号 行距: 单倍行距"/>
    <w:basedOn w:val="1"/>
    <w:qFormat/>
    <w:uiPriority w:val="0"/>
    <w:pPr>
      <w:adjustRightInd w:val="0"/>
      <w:jc w:val="left"/>
    </w:pPr>
    <w:rPr>
      <w:rFonts w:ascii="宋体" w:hAnsi="宋体"/>
      <w:kern w:val="0"/>
      <w:sz w:val="21"/>
    </w:rPr>
  </w:style>
  <w:style w:type="paragraph" w:customStyle="1" w:styleId="228">
    <w:name w:val="Table Description"/>
    <w:next w:val="1"/>
    <w:qFormat/>
    <w:uiPriority w:val="0"/>
    <w:pPr>
      <w:keepNext/>
      <w:snapToGrid w:val="0"/>
      <w:spacing w:before="160" w:after="80"/>
      <w:ind w:left="1134"/>
      <w:jc w:val="center"/>
    </w:pPr>
    <w:rPr>
      <w:rFonts w:ascii="Arial" w:hAnsi="Arial" w:eastAsia="宋体" w:cs="Times New Roman"/>
      <w:sz w:val="18"/>
      <w:lang w:val="en-US" w:eastAsia="zh-CN" w:bidi="ar-SA"/>
    </w:rPr>
  </w:style>
  <w:style w:type="paragraph" w:customStyle="1" w:styleId="229">
    <w:name w:val="Char Char 字元 字元 字元 Char Char Char Char"/>
    <w:basedOn w:val="1"/>
    <w:qFormat/>
    <w:uiPriority w:val="0"/>
    <w:pPr>
      <w:adjustRightInd w:val="0"/>
      <w:spacing w:line="360" w:lineRule="auto"/>
    </w:pPr>
    <w:rPr>
      <w:kern w:val="0"/>
      <w:sz w:val="24"/>
    </w:rPr>
  </w:style>
  <w:style w:type="paragraph" w:customStyle="1" w:styleId="230">
    <w:name w:val="内容标题"/>
    <w:basedOn w:val="18"/>
    <w:qFormat/>
    <w:uiPriority w:val="0"/>
    <w:rPr>
      <w:rFonts w:ascii="Tahoma" w:hAnsi="Tahoma"/>
      <w:sz w:val="24"/>
    </w:rPr>
  </w:style>
  <w:style w:type="paragraph" w:customStyle="1" w:styleId="231">
    <w:name w:val="Char Char Char Char Char Char Char Char Char Char Char Char Char Char Char Char"/>
    <w:basedOn w:val="1"/>
    <w:qFormat/>
    <w:uiPriority w:val="0"/>
    <w:pPr>
      <w:tabs>
        <w:tab w:val="left" w:pos="360"/>
      </w:tabs>
    </w:pPr>
    <w:rPr>
      <w:sz w:val="24"/>
    </w:rPr>
  </w:style>
  <w:style w:type="paragraph" w:customStyle="1" w:styleId="232">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233">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34">
    <w:name w:val="图例"/>
    <w:basedOn w:val="1"/>
    <w:qFormat/>
    <w:uiPriority w:val="0"/>
    <w:pPr>
      <w:spacing w:before="120" w:after="120" w:line="360" w:lineRule="auto"/>
      <w:jc w:val="center"/>
    </w:pPr>
    <w:rPr>
      <w:rFonts w:eastAsia="仿宋_GB2312"/>
      <w:b/>
      <w:sz w:val="24"/>
    </w:rPr>
  </w:style>
  <w:style w:type="paragraph" w:customStyle="1" w:styleId="235">
    <w:name w:val="00"/>
    <w:basedOn w:val="1"/>
    <w:qFormat/>
    <w:uiPriority w:val="0"/>
    <w:pPr>
      <w:autoSpaceDE w:val="0"/>
      <w:autoSpaceDN w:val="0"/>
      <w:adjustRightInd w:val="0"/>
      <w:jc w:val="left"/>
    </w:pPr>
    <w:rPr>
      <w:rFonts w:ascii="黑体" w:eastAsia="黑体"/>
      <w:b/>
      <w:kern w:val="0"/>
      <w:sz w:val="20"/>
    </w:rPr>
  </w:style>
  <w:style w:type="paragraph" w:customStyle="1" w:styleId="236">
    <w:name w:val="Char1 Char Char Char1"/>
    <w:basedOn w:val="1"/>
    <w:qFormat/>
    <w:uiPriority w:val="0"/>
    <w:rPr>
      <w:rFonts w:ascii="Tahoma" w:hAnsi="Tahoma"/>
      <w:sz w:val="24"/>
    </w:rPr>
  </w:style>
  <w:style w:type="paragraph" w:customStyle="1" w:styleId="237">
    <w:name w:val="表文字"/>
    <w:qFormat/>
    <w:uiPriority w:val="0"/>
    <w:rPr>
      <w:rFonts w:ascii="宋体" w:hAnsi="Calibri" w:eastAsia="宋体" w:cs="Times New Roman"/>
      <w:kern w:val="2"/>
      <w:lang w:val="en-US" w:eastAsia="zh-CN" w:bidi="ar-SA"/>
    </w:rPr>
  </w:style>
  <w:style w:type="paragraph" w:customStyle="1" w:styleId="238">
    <w:name w:val="正文4"/>
    <w:basedOn w:val="1"/>
    <w:qFormat/>
    <w:uiPriority w:val="0"/>
    <w:pPr>
      <w:tabs>
        <w:tab w:val="left" w:pos="1275"/>
      </w:tabs>
      <w:spacing w:before="60" w:after="60" w:line="360" w:lineRule="auto"/>
      <w:ind w:left="820" w:leftChars="400" w:hanging="705"/>
    </w:pPr>
    <w:rPr>
      <w:sz w:val="24"/>
    </w:rPr>
  </w:style>
  <w:style w:type="paragraph" w:customStyle="1" w:styleId="239">
    <w:name w:val="可研正文"/>
    <w:basedOn w:val="23"/>
    <w:qFormat/>
    <w:uiPriority w:val="0"/>
    <w:pPr>
      <w:adjustRightInd w:val="0"/>
      <w:snapToGrid w:val="0"/>
      <w:spacing w:line="440" w:lineRule="exact"/>
      <w:ind w:firstLine="567"/>
    </w:pPr>
    <w:rPr>
      <w:sz w:val="28"/>
    </w:rPr>
  </w:style>
  <w:style w:type="paragraph" w:customStyle="1" w:styleId="240">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41">
    <w:name w:val="正文 + 三号"/>
    <w:basedOn w:val="1"/>
    <w:qFormat/>
    <w:uiPriority w:val="0"/>
    <w:rPr>
      <w:sz w:val="21"/>
    </w:rPr>
  </w:style>
  <w:style w:type="paragraph" w:customStyle="1" w:styleId="242">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43">
    <w:name w:val="列表项目"/>
    <w:basedOn w:val="1"/>
    <w:qFormat/>
    <w:uiPriority w:val="0"/>
    <w:pPr>
      <w:numPr>
        <w:ilvl w:val="0"/>
        <w:numId w:val="12"/>
      </w:numPr>
      <w:tabs>
        <w:tab w:val="left" w:pos="420"/>
        <w:tab w:val="clear" w:pos="1200"/>
      </w:tabs>
      <w:spacing w:line="288" w:lineRule="auto"/>
      <w:ind w:left="840" w:leftChars="200" w:hanging="420" w:hangingChars="200"/>
    </w:pPr>
    <w:rPr>
      <w:sz w:val="21"/>
    </w:rPr>
  </w:style>
  <w:style w:type="paragraph" w:customStyle="1" w:styleId="244">
    <w:name w:val="标题1"/>
    <w:basedOn w:val="1"/>
    <w:next w:val="1"/>
    <w:qFormat/>
    <w:uiPriority w:val="0"/>
    <w:rPr>
      <w:rFonts w:ascii="Times New Roman" w:hAnsi="Times New Roman"/>
    </w:rPr>
  </w:style>
  <w:style w:type="paragraph" w:customStyle="1" w:styleId="24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246">
    <w:name w:val="关键词"/>
    <w:basedOn w:val="1"/>
    <w:next w:val="1"/>
    <w:qFormat/>
    <w:uiPriority w:val="0"/>
    <w:pPr>
      <w:spacing w:line="360" w:lineRule="auto"/>
    </w:pPr>
    <w:rPr>
      <w:rFonts w:eastAsia="黑体"/>
      <w:sz w:val="20"/>
    </w:rPr>
  </w:style>
  <w:style w:type="paragraph" w:customStyle="1" w:styleId="247">
    <w:name w:val="Char Char Char Char Char Char Char1"/>
    <w:basedOn w:val="18"/>
    <w:qFormat/>
    <w:uiPriority w:val="0"/>
    <w:rPr>
      <w:rFonts w:ascii="宋体" w:hAnsi="Tahoma"/>
    </w:rPr>
  </w:style>
  <w:style w:type="paragraph" w:customStyle="1" w:styleId="248">
    <w:name w:val="普通(网站)1"/>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49">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251">
    <w:name w:val="Char2"/>
    <w:basedOn w:val="1"/>
    <w:qFormat/>
    <w:uiPriority w:val="0"/>
    <w:pPr>
      <w:spacing w:line="240" w:lineRule="atLeast"/>
      <w:ind w:left="420" w:firstLine="420"/>
    </w:pPr>
    <w:rPr>
      <w:kern w:val="0"/>
      <w:sz w:val="21"/>
    </w:rPr>
  </w:style>
  <w:style w:type="paragraph" w:customStyle="1" w:styleId="252">
    <w:name w:val="样式12"/>
    <w:basedOn w:val="1"/>
    <w:next w:val="1"/>
    <w:qFormat/>
    <w:uiPriority w:val="0"/>
    <w:rPr>
      <w:rFonts w:ascii="Times New Roman" w:hAnsi="Times New Roman" w:eastAsia="仿宋"/>
      <w:sz w:val="24"/>
    </w:rPr>
  </w:style>
  <w:style w:type="paragraph" w:customStyle="1" w:styleId="253">
    <w:name w:val="样式2"/>
    <w:basedOn w:val="6"/>
    <w:qFormat/>
    <w:uiPriority w:val="0"/>
    <w:pPr>
      <w:numPr>
        <w:ilvl w:val="0"/>
        <w:numId w:val="13"/>
      </w:numPr>
      <w:spacing w:before="560" w:line="400" w:lineRule="exact"/>
      <w:jc w:val="center"/>
      <w:outlineLvl w:val="0"/>
    </w:pPr>
    <w:rPr>
      <w:sz w:val="44"/>
    </w:rPr>
  </w:style>
  <w:style w:type="paragraph" w:customStyle="1" w:styleId="254">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55">
    <w:name w:val="文章正文"/>
    <w:basedOn w:val="1"/>
    <w:qFormat/>
    <w:uiPriority w:val="0"/>
    <w:pPr>
      <w:ind w:firstLine="560" w:firstLineChars="200"/>
    </w:pPr>
    <w:rPr>
      <w:rFonts w:ascii="仿宋_GB2312" w:hAnsi="宋体" w:eastAsia="仿宋_GB2312"/>
      <w:color w:val="000000"/>
    </w:rPr>
  </w:style>
  <w:style w:type="paragraph" w:customStyle="1" w:styleId="256">
    <w:name w:val="默认段落字体 Para Char Char Char Char Char Char Char Char Char1 Char Char Char Char"/>
    <w:basedOn w:val="1"/>
    <w:qFormat/>
    <w:uiPriority w:val="0"/>
    <w:rPr>
      <w:rFonts w:ascii="Tahoma" w:hAnsi="Tahoma"/>
      <w:sz w:val="24"/>
    </w:rPr>
  </w:style>
  <w:style w:type="paragraph" w:customStyle="1" w:styleId="257">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258">
    <w:name w:val="Title - Revision"/>
    <w:basedOn w:val="58"/>
    <w:qFormat/>
    <w:uiPriority w:val="0"/>
    <w:pPr>
      <w:spacing w:before="720"/>
    </w:pPr>
  </w:style>
  <w:style w:type="paragraph" w:customStyle="1" w:styleId="259">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60">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61">
    <w:name w:val="Note"/>
    <w:basedOn w:val="1"/>
    <w:qFormat/>
    <w:uiPriority w:val="0"/>
    <w:pPr>
      <w:pBdr>
        <w:top w:val="single" w:color="auto" w:sz="12" w:space="3"/>
        <w:bottom w:val="single" w:color="auto" w:sz="12" w:space="3"/>
      </w:pBdr>
      <w:spacing w:line="360" w:lineRule="auto"/>
    </w:pPr>
    <w:rPr>
      <w:sz w:val="24"/>
    </w:rPr>
  </w:style>
  <w:style w:type="paragraph" w:customStyle="1" w:styleId="262">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63">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264">
    <w:name w:val="样式9"/>
    <w:basedOn w:val="1"/>
    <w:next w:val="1"/>
    <w:qFormat/>
    <w:uiPriority w:val="0"/>
    <w:rPr>
      <w:rFonts w:ascii="Times New Roman" w:hAnsi="Times New Roman" w:eastAsia="仿宋"/>
      <w:sz w:val="24"/>
    </w:rPr>
  </w:style>
  <w:style w:type="paragraph" w:customStyle="1" w:styleId="265">
    <w:name w:val="首行缩进 1"/>
    <w:basedOn w:val="1"/>
    <w:qFormat/>
    <w:uiPriority w:val="0"/>
    <w:pPr>
      <w:spacing w:after="120" w:line="360" w:lineRule="auto"/>
      <w:ind w:firstLine="200" w:firstLineChars="200"/>
    </w:pPr>
    <w:rPr>
      <w:sz w:val="24"/>
    </w:rPr>
  </w:style>
  <w:style w:type="paragraph" w:customStyle="1" w:styleId="266">
    <w:name w:val="1"/>
    <w:basedOn w:val="1"/>
    <w:next w:val="32"/>
    <w:qFormat/>
    <w:uiPriority w:val="0"/>
    <w:rPr>
      <w:rFonts w:ascii="宋体" w:hAnsi="Courier New"/>
      <w:sz w:val="21"/>
    </w:rPr>
  </w:style>
  <w:style w:type="paragraph" w:customStyle="1" w:styleId="267">
    <w:name w:val="1.正文"/>
    <w:basedOn w:val="1"/>
    <w:qFormat/>
    <w:uiPriority w:val="0"/>
    <w:pPr>
      <w:spacing w:line="360" w:lineRule="auto"/>
      <w:ind w:left="540" w:leftChars="225" w:firstLine="540" w:firstLineChars="225"/>
    </w:pPr>
    <w:rPr>
      <w:sz w:val="24"/>
    </w:rPr>
  </w:style>
  <w:style w:type="paragraph" w:customStyle="1" w:styleId="268">
    <w:name w:val="Style Heading 3h3Heading 3 - oldLevel 3 HeadH3level_3PIM 3se..."/>
    <w:basedOn w:val="5"/>
    <w:qFormat/>
    <w:uiPriority w:val="0"/>
    <w:pPr>
      <w:tabs>
        <w:tab w:val="left" w:pos="709"/>
        <w:tab w:val="left" w:pos="1620"/>
      </w:tabs>
      <w:ind w:left="1620" w:hanging="360"/>
    </w:pPr>
  </w:style>
  <w:style w:type="paragraph" w:customStyle="1" w:styleId="269">
    <w:name w:val="摘要"/>
    <w:basedOn w:val="1"/>
    <w:next w:val="4"/>
    <w:qFormat/>
    <w:uiPriority w:val="0"/>
    <w:pPr>
      <w:spacing w:line="360" w:lineRule="auto"/>
    </w:pPr>
    <w:rPr>
      <w:rFonts w:eastAsia="黑体"/>
      <w:sz w:val="20"/>
    </w:rPr>
  </w:style>
  <w:style w:type="paragraph" w:customStyle="1" w:styleId="270">
    <w:name w:val="Char Char Char"/>
    <w:basedOn w:val="1"/>
    <w:qFormat/>
    <w:uiPriority w:val="0"/>
    <w:rPr>
      <w:rFonts w:ascii="Tahoma" w:hAnsi="Tahoma"/>
      <w:sz w:val="24"/>
    </w:rPr>
  </w:style>
  <w:style w:type="character" w:customStyle="1" w:styleId="271">
    <w:name w:val="font61"/>
    <w:basedOn w:val="64"/>
    <w:qFormat/>
    <w:uiPriority w:val="0"/>
    <w:rPr>
      <w:rFonts w:hint="default" w:ascii="Times New Roman" w:hAnsi="Times New Roman" w:cs="Times New Roman"/>
      <w:color w:val="000000"/>
      <w:sz w:val="18"/>
      <w:szCs w:val="18"/>
      <w:u w:val="none"/>
    </w:rPr>
  </w:style>
  <w:style w:type="character" w:customStyle="1" w:styleId="272">
    <w:name w:val="font21"/>
    <w:basedOn w:val="64"/>
    <w:qFormat/>
    <w:uiPriority w:val="0"/>
    <w:rPr>
      <w:rFonts w:hint="eastAsia" w:ascii="宋体" w:hAnsi="宋体" w:eastAsia="宋体" w:cs="宋体"/>
      <w:color w:val="000000"/>
      <w:sz w:val="18"/>
      <w:szCs w:val="18"/>
      <w:u w:val="none"/>
    </w:rPr>
  </w:style>
  <w:style w:type="character" w:customStyle="1" w:styleId="273">
    <w:name w:val="NormalCharacter"/>
    <w:link w:val="1"/>
    <w:qFormat/>
    <w:uiPriority w:val="0"/>
    <w:rPr>
      <w:rFonts w:ascii="Calibri" w:hAnsi="Calibri" w:eastAsia="宋体" w:cs="Times New Roman"/>
      <w:kern w:val="2"/>
      <w:sz w:val="28"/>
      <w:lang w:val="en-US" w:eastAsia="zh-CN" w:bidi="ar-SA"/>
    </w:rPr>
  </w:style>
  <w:style w:type="character" w:customStyle="1" w:styleId="274">
    <w:name w:val="font71"/>
    <w:basedOn w:val="64"/>
    <w:qFormat/>
    <w:uiPriority w:val="0"/>
    <w:rPr>
      <w:rFonts w:hint="eastAsia" w:ascii="宋体" w:hAnsi="宋体" w:eastAsia="宋体" w:cs="宋体"/>
      <w:color w:val="000000"/>
      <w:sz w:val="20"/>
      <w:szCs w:val="20"/>
      <w:u w:val="none"/>
    </w:rPr>
  </w:style>
  <w:style w:type="paragraph" w:customStyle="1" w:styleId="275">
    <w:name w:val="BodyText"/>
    <w:basedOn w:val="1"/>
    <w:next w:val="1"/>
    <w:qFormat/>
    <w:uiPriority w:val="99"/>
    <w:pPr>
      <w:spacing w:line="500" w:lineRule="exact"/>
      <w:textAlignment w:val="baseline"/>
    </w:pPr>
    <w:rPr>
      <w:rFonts w:ascii="宋体" w:hAnsi="宋体" w:cs="宋体"/>
      <w:kern w:val="0"/>
    </w:rPr>
  </w:style>
  <w:style w:type="paragraph" w:customStyle="1" w:styleId="276">
    <w:name w:val="BodyTextIndent"/>
    <w:basedOn w:val="1"/>
    <w:qFormat/>
    <w:uiPriority w:val="0"/>
    <w:pPr>
      <w:spacing w:line="700" w:lineRule="exact"/>
      <w:ind w:left="960"/>
      <w:jc w:val="both"/>
      <w:textAlignment w:val="baseline"/>
    </w:pPr>
    <w:rPr>
      <w:rFonts w:ascii="Times New Roman" w:hAnsi="Times New Roman"/>
      <w:kern w:val="2"/>
      <w:sz w:val="44"/>
      <w:lang w:val="en-US" w:eastAsia="zh-CN" w:bidi="ar-SA"/>
    </w:rPr>
  </w:style>
  <w:style w:type="paragraph" w:styleId="277">
    <w:name w:val="List Paragraph"/>
    <w:basedOn w:val="1"/>
    <w:unhideWhenUsed/>
    <w:qFormat/>
    <w:uiPriority w:val="99"/>
    <w:pPr>
      <w:ind w:firstLine="420" w:firstLineChars="200"/>
    </w:pPr>
  </w:style>
  <w:style w:type="paragraph" w:customStyle="1" w:styleId="278">
    <w:name w:val="Heading3"/>
    <w:basedOn w:val="1"/>
    <w:next w:val="1"/>
    <w:qFormat/>
    <w:uiPriority w:val="0"/>
    <w:pPr>
      <w:keepNext/>
      <w:keepLines/>
      <w:spacing w:before="260" w:after="260" w:line="413" w:lineRule="auto"/>
      <w:jc w:val="both"/>
      <w:textAlignment w:val="baseline"/>
    </w:pPr>
    <w:rPr>
      <w:b/>
      <w:kern w:val="2"/>
      <w:sz w:val="32"/>
      <w:lang w:val="en-US" w:eastAsia="zh-CN" w:bidi="ar-SA"/>
    </w:rPr>
  </w:style>
  <w:style w:type="paragraph" w:customStyle="1" w:styleId="279">
    <w:name w:val="参数正文"/>
    <w:basedOn w:val="1"/>
    <w:qFormat/>
    <w:uiPriority w:val="0"/>
    <w:pPr>
      <w:spacing w:before="0" w:beforeLines="0" w:beforeAutospacing="0" w:after="0" w:afterLines="0" w:afterAutospacing="0"/>
    </w:pPr>
    <w:rPr>
      <w:lang w:val="en-US" w:eastAsia="uk-UA"/>
    </w:rPr>
  </w:style>
  <w:style w:type="paragraph" w:customStyle="1" w:styleId="280">
    <w:name w:val="AONormal"/>
    <w:qFormat/>
    <w:uiPriority w:val="0"/>
    <w:pPr>
      <w:spacing w:line="260" w:lineRule="atLeast"/>
    </w:pPr>
    <w:rPr>
      <w:rFonts w:ascii="Times New Roman" w:hAnsi="Times New Roman" w:eastAsia="宋体" w:cs="Times New Roman"/>
      <w:sz w:val="22"/>
      <w:szCs w:val="22"/>
      <w:lang w:val="en-GB"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44</Pages>
  <Words>11101</Words>
  <Characters>12177</Characters>
  <Lines>133</Lines>
  <Paragraphs>37</Paragraphs>
  <TotalTime>38</TotalTime>
  <ScaleCrop>false</ScaleCrop>
  <LinksUpToDate>false</LinksUpToDate>
  <CharactersWithSpaces>12278</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2023-08-01T10:12:00Z</dcterms:created>
  <dc:creator>刘胜仲</dc:creator>
  <cp:lastModifiedBy>WPS_1640659495</cp:lastModifiedBy>
  <cp:lastPrinted>2023-10-20T03:01:00Z</cp:lastPrinted>
  <dcterms:modified xsi:type="dcterms:W3CDTF">2026-05-25T07:27:18Z</dcterms:modified>
  <dc:title>竞争性谈判文件</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SaveFontToCloudKey">
    <vt:lpwstr>7990579_cloud</vt:lpwstr>
  </property>
  <property fmtid="{D5CDD505-2E9C-101B-9397-08002B2CF9AE}" pid="4" name="ICV">
    <vt:lpwstr>2C786EC283E7467A84BC550CB3E8D08C_13</vt:lpwstr>
  </property>
  <property fmtid="{D5CDD505-2E9C-101B-9397-08002B2CF9AE}" pid="5" name="KSOTemplateDocerSaveRecord">
    <vt:lpwstr>eyJoZGlkIjoiMDhjNmU2MzVjZDFjOTgxMTIzNzQ1Nzg2ZTEwMDcwZTgiLCJ1c2VySWQiOiIxMzA3MTMwNDA3In0=</vt:lpwstr>
  </property>
</Properties>
</file>