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94583">
      <w:pPr>
        <w:rPr>
          <w:rFonts w:hint="eastAsia" w:ascii="仿宋" w:hAnsi="仿宋" w:eastAsia="仿宋" w:cs="仿宋"/>
          <w:color w:val="auto"/>
          <w:highlight w:val="none"/>
        </w:rPr>
      </w:pPr>
    </w:p>
    <w:p w14:paraId="1B1137D6">
      <w:pPr>
        <w:spacing w:line="360" w:lineRule="auto"/>
        <w:jc w:val="center"/>
        <w:rPr>
          <w:rFonts w:ascii="仿宋" w:hAnsi="仿宋" w:eastAsia="仿宋" w:cs="仿宋"/>
          <w:color w:val="auto"/>
          <w:highlight w:val="none"/>
        </w:rPr>
      </w:pPr>
      <w:r>
        <w:rPr>
          <w:color w:val="auto"/>
          <w:highlight w:val="none"/>
        </w:rPr>
        <w:drawing>
          <wp:anchor distT="0" distB="0" distL="0" distR="0" simplePos="0" relativeHeight="251659264" behindDoc="0" locked="0" layoutInCell="1" allowOverlap="1">
            <wp:simplePos x="0" y="0"/>
            <wp:positionH relativeFrom="column">
              <wp:posOffset>-76200</wp:posOffset>
            </wp:positionH>
            <wp:positionV relativeFrom="page">
              <wp:posOffset>781685</wp:posOffset>
            </wp:positionV>
            <wp:extent cx="1078865" cy="713105"/>
            <wp:effectExtent l="0" t="0" r="6985" b="10795"/>
            <wp:wrapTopAndBottom/>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2" cstate="print"/>
                    <a:srcRect/>
                    <a:stretch>
                      <a:fillRect/>
                    </a:stretch>
                  </pic:blipFill>
                  <pic:spPr>
                    <a:xfrm>
                      <a:off x="0" y="0"/>
                      <a:ext cx="1078865" cy="713103"/>
                    </a:xfrm>
                    <a:prstGeom prst="rect">
                      <a:avLst/>
                    </a:prstGeom>
                    <a:ln>
                      <a:noFill/>
                    </a:ln>
                  </pic:spPr>
                </pic:pic>
              </a:graphicData>
            </a:graphic>
          </wp:anchor>
        </w:drawing>
      </w:r>
      <w:r>
        <w:rPr>
          <w:rFonts w:hint="eastAsia" w:ascii="仿宋" w:hAnsi="仿宋" w:eastAsia="仿宋" w:cs="仿宋"/>
          <w:color w:val="auto"/>
          <w:highlight w:val="none"/>
        </w:rPr>
        <w:t xml:space="preserve"> </w:t>
      </w:r>
    </w:p>
    <w:p w14:paraId="0BAB30CB">
      <w:pPr>
        <w:rPr>
          <w:color w:val="auto"/>
          <w:highlight w:val="none"/>
        </w:rPr>
      </w:pPr>
    </w:p>
    <w:p w14:paraId="77AA93AE">
      <w:pPr>
        <w:spacing w:line="360" w:lineRule="auto"/>
        <w:jc w:val="center"/>
        <w:rPr>
          <w:rFonts w:ascii="宋体" w:hAnsi="宋体" w:cs="宋体"/>
          <w:b/>
          <w:bCs/>
          <w:color w:val="auto"/>
          <w:spacing w:val="80"/>
          <w:sz w:val="48"/>
          <w:szCs w:val="48"/>
          <w:highlight w:val="none"/>
        </w:rPr>
      </w:pPr>
      <w:r>
        <w:rPr>
          <w:rFonts w:hint="eastAsia" w:ascii="宋体" w:hAnsi="宋体" w:cs="宋体"/>
          <w:b/>
          <w:bCs/>
          <w:color w:val="auto"/>
          <w:spacing w:val="80"/>
          <w:sz w:val="96"/>
          <w:szCs w:val="96"/>
          <w:highlight w:val="none"/>
        </w:rPr>
        <w:t>网上竞采文件</w:t>
      </w:r>
    </w:p>
    <w:p w14:paraId="6AC46086">
      <w:pPr>
        <w:spacing w:line="360" w:lineRule="auto"/>
        <w:rPr>
          <w:rFonts w:ascii="宋体" w:hAnsi="宋体" w:cs="宋体"/>
          <w:b/>
          <w:bCs/>
          <w:color w:val="auto"/>
          <w:spacing w:val="80"/>
          <w:sz w:val="44"/>
          <w:szCs w:val="44"/>
          <w:highlight w:val="none"/>
        </w:rPr>
      </w:pPr>
    </w:p>
    <w:p w14:paraId="22039A4A">
      <w:pPr>
        <w:spacing w:line="360" w:lineRule="auto"/>
        <w:ind w:firstLine="720" w:firstLineChars="200"/>
        <w:jc w:val="left"/>
        <w:rPr>
          <w:rFonts w:ascii="宋体" w:hAnsi="宋体" w:cs="宋体"/>
          <w:color w:val="auto"/>
          <w:sz w:val="36"/>
          <w:szCs w:val="30"/>
          <w:highlight w:val="none"/>
        </w:rPr>
      </w:pPr>
    </w:p>
    <w:p w14:paraId="27DD3180">
      <w:pPr>
        <w:pStyle w:val="7"/>
        <w:spacing w:line="360" w:lineRule="auto"/>
        <w:jc w:val="both"/>
        <w:rPr>
          <w:rFonts w:hint="eastAsia" w:ascii="仿宋" w:hAnsi="仿宋" w:eastAsia="仿宋" w:cs="仿宋"/>
          <w:b/>
          <w:bCs/>
          <w:color w:val="auto"/>
          <w:szCs w:val="28"/>
          <w:highlight w:val="none"/>
        </w:rPr>
      </w:pPr>
    </w:p>
    <w:p w14:paraId="7FA5FFC8">
      <w:pPr>
        <w:pStyle w:val="7"/>
        <w:spacing w:line="360" w:lineRule="auto"/>
        <w:ind w:firstLine="321" w:firstLineChars="100"/>
        <w:jc w:val="both"/>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rPr>
        <w:t>项目编</w:t>
      </w:r>
      <w:r>
        <w:rPr>
          <w:rFonts w:hint="eastAsia" w:ascii="仿宋" w:hAnsi="仿宋" w:eastAsia="仿宋" w:cs="仿宋"/>
          <w:b/>
          <w:bCs/>
          <w:color w:val="auto"/>
          <w:szCs w:val="28"/>
          <w:highlight w:val="none"/>
          <w:lang w:eastAsia="zh-CN"/>
        </w:rPr>
        <w:t>号：</w:t>
      </w:r>
      <w:bookmarkStart w:id="0" w:name="_Hlk111636989"/>
      <w:r>
        <w:rPr>
          <w:rFonts w:hint="eastAsia" w:ascii="仿宋" w:hAnsi="仿宋" w:eastAsia="仿宋" w:cs="仿宋"/>
          <w:b/>
          <w:bCs/>
          <w:color w:val="auto"/>
          <w:szCs w:val="28"/>
          <w:highlight w:val="none"/>
          <w:lang w:eastAsia="zh-CN"/>
        </w:rPr>
        <w:t>HYD-（招）-咨字-2025-A048</w:t>
      </w:r>
    </w:p>
    <w:p w14:paraId="022CA229">
      <w:pPr>
        <w:pStyle w:val="7"/>
        <w:spacing w:line="360" w:lineRule="auto"/>
        <w:jc w:val="center"/>
        <w:rPr>
          <w:rFonts w:hint="eastAsia" w:ascii="仿宋" w:hAnsi="仿宋" w:eastAsia="仿宋" w:cs="仿宋"/>
          <w:b/>
          <w:bCs/>
          <w:color w:val="auto"/>
          <w:szCs w:val="28"/>
          <w:highlight w:val="none"/>
          <w:lang w:eastAsia="zh-CN"/>
        </w:rPr>
      </w:pPr>
      <w:r>
        <w:rPr>
          <w:rFonts w:hint="eastAsia" w:ascii="仿宋" w:hAnsi="仿宋" w:eastAsia="仿宋" w:cs="仿宋"/>
          <w:b/>
          <w:bCs/>
          <w:color w:val="auto"/>
          <w:szCs w:val="28"/>
          <w:highlight w:val="none"/>
          <w:lang w:eastAsia="zh-CN"/>
        </w:rPr>
        <w:t>项目名称：重庆中医药学院智慧教室驻场运维服务采购项目</w:t>
      </w:r>
    </w:p>
    <w:bookmarkEnd w:id="0"/>
    <w:p w14:paraId="120F6B5E">
      <w:pPr>
        <w:rPr>
          <w:color w:val="auto"/>
          <w:highlight w:val="none"/>
        </w:rPr>
      </w:pPr>
    </w:p>
    <w:p w14:paraId="77186761">
      <w:pPr>
        <w:rPr>
          <w:color w:val="auto"/>
          <w:highlight w:val="none"/>
        </w:rPr>
      </w:pPr>
    </w:p>
    <w:p w14:paraId="421D42F6">
      <w:pPr>
        <w:pStyle w:val="8"/>
        <w:rPr>
          <w:highlight w:val="none"/>
        </w:rPr>
      </w:pPr>
    </w:p>
    <w:p w14:paraId="2A9D06B6">
      <w:pPr>
        <w:pStyle w:val="8"/>
        <w:rPr>
          <w:rFonts w:ascii="仿宋" w:hAnsi="仿宋" w:eastAsia="仿宋" w:cs="仿宋"/>
          <w:color w:val="auto"/>
          <w:highlight w:val="none"/>
        </w:rPr>
      </w:pPr>
    </w:p>
    <w:p w14:paraId="11CEB467">
      <w:pPr>
        <w:rPr>
          <w:rFonts w:ascii="仿宋" w:hAnsi="仿宋" w:eastAsia="仿宋" w:cs="仿宋"/>
          <w:color w:val="auto"/>
          <w:highlight w:val="none"/>
        </w:rPr>
      </w:pPr>
    </w:p>
    <w:p w14:paraId="3197DDE0">
      <w:pPr>
        <w:pStyle w:val="8"/>
        <w:rPr>
          <w:color w:val="auto"/>
          <w:highlight w:val="none"/>
        </w:rPr>
      </w:pPr>
    </w:p>
    <w:p w14:paraId="4EA14A0C">
      <w:pPr>
        <w:pStyle w:val="7"/>
        <w:spacing w:line="360" w:lineRule="auto"/>
        <w:jc w:val="center"/>
        <w:rPr>
          <w:rFonts w:ascii="仿宋" w:hAnsi="仿宋" w:eastAsia="仿宋" w:cs="仿宋"/>
          <w:b/>
          <w:bCs/>
          <w:color w:val="auto"/>
          <w:szCs w:val="28"/>
          <w:highlight w:val="none"/>
        </w:rPr>
      </w:pPr>
      <w:r>
        <w:rPr>
          <w:rFonts w:hint="eastAsia" w:ascii="仿宋" w:hAnsi="仿宋" w:eastAsia="仿宋" w:cs="仿宋"/>
          <w:b/>
          <w:bCs/>
          <w:color w:val="auto"/>
          <w:szCs w:val="28"/>
          <w:highlight w:val="none"/>
        </w:rPr>
        <w:t>采购人：重庆中医药学院</w:t>
      </w:r>
    </w:p>
    <w:p w14:paraId="54779B77">
      <w:pPr>
        <w:pStyle w:val="7"/>
        <w:spacing w:line="360" w:lineRule="auto"/>
        <w:jc w:val="center"/>
        <w:rPr>
          <w:rFonts w:ascii="仿宋" w:hAnsi="仿宋" w:eastAsia="仿宋" w:cs="仿宋"/>
          <w:b/>
          <w:bCs/>
          <w:color w:val="auto"/>
          <w:szCs w:val="28"/>
          <w:highlight w:val="none"/>
        </w:rPr>
      </w:pPr>
      <w:r>
        <w:rPr>
          <w:rFonts w:hint="eastAsia" w:ascii="仿宋" w:hAnsi="仿宋" w:eastAsia="仿宋" w:cs="仿宋"/>
          <w:b/>
          <w:bCs/>
          <w:color w:val="auto"/>
          <w:szCs w:val="28"/>
          <w:highlight w:val="none"/>
        </w:rPr>
        <w:t>采购代理机构：重庆合越达工程管理有限公司</w:t>
      </w:r>
    </w:p>
    <w:p w14:paraId="05E3E14C">
      <w:pPr>
        <w:spacing w:line="360" w:lineRule="auto"/>
        <w:jc w:val="center"/>
        <w:rPr>
          <w:rFonts w:ascii="仿宋" w:hAnsi="仿宋" w:eastAsia="仿宋" w:cs="仿宋"/>
          <w:b/>
          <w:bCs/>
          <w:color w:val="auto"/>
          <w:sz w:val="32"/>
          <w:szCs w:val="28"/>
          <w:highlight w:val="none"/>
        </w:rPr>
      </w:pPr>
    </w:p>
    <w:p w14:paraId="783420ED">
      <w:pPr>
        <w:pStyle w:val="7"/>
        <w:spacing w:line="360" w:lineRule="auto"/>
        <w:jc w:val="center"/>
        <w:rPr>
          <w:rFonts w:ascii="仿宋" w:hAnsi="仿宋" w:eastAsia="仿宋" w:cs="仿宋"/>
          <w:b/>
          <w:bCs/>
          <w:color w:val="auto"/>
          <w:spacing w:val="80"/>
          <w:sz w:val="44"/>
          <w:szCs w:val="44"/>
          <w:highlight w:val="none"/>
        </w:rPr>
      </w:pPr>
      <w:r>
        <w:rPr>
          <w:rFonts w:hint="eastAsia" w:ascii="仿宋" w:hAnsi="仿宋" w:eastAsia="仿宋" w:cs="仿宋"/>
          <w:b/>
          <w:bCs/>
          <w:color w:val="auto"/>
          <w:szCs w:val="28"/>
          <w:highlight w:val="none"/>
        </w:rPr>
        <w:t>二〇二</w:t>
      </w:r>
      <w:r>
        <w:rPr>
          <w:rFonts w:hint="eastAsia" w:ascii="仿宋" w:hAnsi="仿宋" w:eastAsia="仿宋" w:cs="仿宋"/>
          <w:b/>
          <w:bCs/>
          <w:color w:val="auto"/>
          <w:szCs w:val="28"/>
          <w:highlight w:val="none"/>
          <w:lang w:val="en-US" w:eastAsia="zh-CN"/>
        </w:rPr>
        <w:t>五</w:t>
      </w:r>
      <w:r>
        <w:rPr>
          <w:rFonts w:hint="eastAsia" w:ascii="仿宋" w:hAnsi="仿宋" w:eastAsia="仿宋" w:cs="仿宋"/>
          <w:b/>
          <w:bCs/>
          <w:color w:val="auto"/>
          <w:szCs w:val="28"/>
          <w:highlight w:val="none"/>
        </w:rPr>
        <w:t>年</w:t>
      </w:r>
      <w:r>
        <w:rPr>
          <w:rFonts w:hint="eastAsia" w:ascii="仿宋" w:hAnsi="仿宋" w:eastAsia="仿宋" w:cs="仿宋"/>
          <w:b/>
          <w:bCs/>
          <w:color w:val="auto"/>
          <w:szCs w:val="28"/>
          <w:highlight w:val="none"/>
          <w:lang w:val="en-US" w:eastAsia="zh-CN"/>
        </w:rPr>
        <w:t>七</w:t>
      </w:r>
      <w:r>
        <w:rPr>
          <w:rFonts w:hint="eastAsia" w:ascii="仿宋" w:hAnsi="仿宋" w:eastAsia="仿宋" w:cs="仿宋"/>
          <w:b/>
          <w:bCs/>
          <w:color w:val="auto"/>
          <w:szCs w:val="28"/>
          <w:highlight w:val="none"/>
        </w:rPr>
        <w:t>月</w:t>
      </w:r>
      <w:r>
        <w:rPr>
          <w:rFonts w:hint="eastAsia" w:ascii="仿宋" w:hAnsi="仿宋" w:eastAsia="仿宋" w:cs="仿宋"/>
          <w:color w:val="auto"/>
          <w:sz w:val="44"/>
          <w:szCs w:val="28"/>
          <w:highlight w:val="none"/>
        </w:rPr>
        <w:br w:type="page"/>
      </w:r>
    </w:p>
    <w:p w14:paraId="3CEBCDCA">
      <w:pPr>
        <w:spacing w:line="720" w:lineRule="auto"/>
        <w:jc w:val="center"/>
        <w:rPr>
          <w:rFonts w:ascii="宋体" w:hAnsi="宋体"/>
          <w:color w:val="auto"/>
          <w:sz w:val="30"/>
          <w:szCs w:val="30"/>
          <w:highlight w:val="none"/>
        </w:rPr>
      </w:pPr>
      <w:bookmarkStart w:id="1" w:name="_Toc106030870"/>
      <w:bookmarkStart w:id="2" w:name="_Toc11641050"/>
      <w:bookmarkStart w:id="3" w:name="_Toc12789052"/>
      <w:bookmarkStart w:id="4" w:name="_Toc76462316"/>
      <w:r>
        <w:rPr>
          <w:rFonts w:ascii="宋体" w:hAnsi="宋体"/>
          <w:color w:val="auto"/>
          <w:sz w:val="30"/>
          <w:szCs w:val="30"/>
          <w:highlight w:val="none"/>
        </w:rPr>
        <w:t>目录</w:t>
      </w:r>
    </w:p>
    <w:p w14:paraId="518CC824">
      <w:pPr>
        <w:pStyle w:val="16"/>
        <w:tabs>
          <w:tab w:val="right" w:leader="dot" w:pos="9014"/>
        </w:tabs>
        <w:spacing w:line="720" w:lineRule="auto"/>
        <w:rPr>
          <w:sz w:val="30"/>
          <w:szCs w:val="30"/>
          <w:highlight w:val="none"/>
        </w:rPr>
      </w:pPr>
      <w:r>
        <w:rPr>
          <w:color w:val="auto"/>
          <w:sz w:val="30"/>
          <w:szCs w:val="30"/>
          <w:highlight w:val="none"/>
        </w:rPr>
        <w:fldChar w:fldCharType="begin"/>
      </w:r>
      <w:r>
        <w:rPr>
          <w:color w:val="auto"/>
          <w:sz w:val="30"/>
          <w:szCs w:val="30"/>
          <w:highlight w:val="none"/>
        </w:rPr>
        <w:instrText xml:space="preserve">TOC \o "1-1" \h \u </w:instrText>
      </w:r>
      <w:r>
        <w:rPr>
          <w:color w:val="auto"/>
          <w:sz w:val="30"/>
          <w:szCs w:val="30"/>
          <w:highlight w:val="none"/>
        </w:rPr>
        <w:fldChar w:fldCharType="separate"/>
      </w:r>
      <w:r>
        <w:rPr>
          <w:color w:val="auto"/>
          <w:sz w:val="30"/>
          <w:szCs w:val="30"/>
          <w:highlight w:val="none"/>
        </w:rPr>
        <w:fldChar w:fldCharType="begin"/>
      </w:r>
      <w:r>
        <w:rPr>
          <w:sz w:val="30"/>
          <w:szCs w:val="30"/>
          <w:highlight w:val="none"/>
        </w:rPr>
        <w:instrText xml:space="preserve"> HYPERLINK \l _Toc10479 </w:instrText>
      </w:r>
      <w:r>
        <w:rPr>
          <w:sz w:val="30"/>
          <w:szCs w:val="30"/>
          <w:highlight w:val="none"/>
        </w:rPr>
        <w:fldChar w:fldCharType="separate"/>
      </w:r>
      <w:r>
        <w:rPr>
          <w:rFonts w:hint="eastAsia" w:ascii="仿宋" w:hAnsi="仿宋" w:eastAsia="仿宋" w:cs="仿宋"/>
          <w:bCs/>
          <w:sz w:val="30"/>
          <w:szCs w:val="30"/>
          <w:highlight w:val="none"/>
        </w:rPr>
        <w:t>第一篇  竞采邀请书</w:t>
      </w:r>
      <w:r>
        <w:rPr>
          <w:sz w:val="30"/>
          <w:szCs w:val="30"/>
          <w:highlight w:val="none"/>
        </w:rPr>
        <w:tab/>
      </w:r>
      <w:r>
        <w:rPr>
          <w:sz w:val="30"/>
          <w:szCs w:val="30"/>
          <w:highlight w:val="none"/>
        </w:rPr>
        <w:fldChar w:fldCharType="begin"/>
      </w:r>
      <w:r>
        <w:rPr>
          <w:sz w:val="30"/>
          <w:szCs w:val="30"/>
          <w:highlight w:val="none"/>
        </w:rPr>
        <w:instrText xml:space="preserve"> PAGEREF _Toc10479 \h </w:instrText>
      </w:r>
      <w:r>
        <w:rPr>
          <w:sz w:val="30"/>
          <w:szCs w:val="30"/>
          <w:highlight w:val="none"/>
        </w:rPr>
        <w:fldChar w:fldCharType="separate"/>
      </w:r>
      <w:r>
        <w:rPr>
          <w:sz w:val="30"/>
          <w:szCs w:val="30"/>
          <w:highlight w:val="none"/>
        </w:rPr>
        <w:t>1</w:t>
      </w:r>
      <w:r>
        <w:rPr>
          <w:sz w:val="30"/>
          <w:szCs w:val="30"/>
          <w:highlight w:val="none"/>
        </w:rPr>
        <w:fldChar w:fldCharType="end"/>
      </w:r>
      <w:r>
        <w:rPr>
          <w:color w:val="auto"/>
          <w:sz w:val="30"/>
          <w:szCs w:val="30"/>
          <w:highlight w:val="none"/>
        </w:rPr>
        <w:fldChar w:fldCharType="end"/>
      </w:r>
    </w:p>
    <w:p w14:paraId="32FC6D9F">
      <w:pPr>
        <w:pStyle w:val="16"/>
        <w:tabs>
          <w:tab w:val="right" w:leader="dot" w:pos="9014"/>
        </w:tabs>
        <w:spacing w:line="720" w:lineRule="auto"/>
        <w:rPr>
          <w:sz w:val="30"/>
          <w:szCs w:val="30"/>
          <w:highlight w:val="none"/>
        </w:rPr>
      </w:pPr>
      <w:r>
        <w:rPr>
          <w:color w:val="auto"/>
          <w:sz w:val="30"/>
          <w:szCs w:val="30"/>
          <w:highlight w:val="none"/>
        </w:rPr>
        <w:fldChar w:fldCharType="begin"/>
      </w:r>
      <w:r>
        <w:rPr>
          <w:sz w:val="30"/>
          <w:szCs w:val="30"/>
          <w:highlight w:val="none"/>
        </w:rPr>
        <w:instrText xml:space="preserve"> HYPERLINK \l _Toc4085 </w:instrText>
      </w:r>
      <w:r>
        <w:rPr>
          <w:sz w:val="30"/>
          <w:szCs w:val="30"/>
          <w:highlight w:val="none"/>
        </w:rPr>
        <w:fldChar w:fldCharType="separate"/>
      </w:r>
      <w:r>
        <w:rPr>
          <w:rFonts w:hint="eastAsia" w:ascii="仿宋" w:hAnsi="仿宋" w:eastAsia="仿宋" w:cs="仿宋"/>
          <w:bCs/>
          <w:sz w:val="30"/>
          <w:szCs w:val="30"/>
          <w:highlight w:val="none"/>
        </w:rPr>
        <w:t xml:space="preserve">第二篇  </w:t>
      </w:r>
      <w:r>
        <w:rPr>
          <w:rFonts w:hint="eastAsia" w:ascii="仿宋" w:hAnsi="仿宋" w:eastAsia="仿宋" w:cs="仿宋"/>
          <w:bCs/>
          <w:sz w:val="30"/>
          <w:szCs w:val="30"/>
          <w:highlight w:val="none"/>
          <w:lang w:eastAsia="zh-CN"/>
        </w:rPr>
        <w:t>项目服务需求</w:t>
      </w:r>
      <w:r>
        <w:rPr>
          <w:sz w:val="30"/>
          <w:szCs w:val="30"/>
          <w:highlight w:val="none"/>
        </w:rPr>
        <w:tab/>
      </w:r>
      <w:r>
        <w:rPr>
          <w:sz w:val="30"/>
          <w:szCs w:val="30"/>
          <w:highlight w:val="none"/>
        </w:rPr>
        <w:fldChar w:fldCharType="begin"/>
      </w:r>
      <w:r>
        <w:rPr>
          <w:sz w:val="30"/>
          <w:szCs w:val="30"/>
          <w:highlight w:val="none"/>
        </w:rPr>
        <w:instrText xml:space="preserve"> PAGEREF _Toc4085 \h </w:instrText>
      </w:r>
      <w:r>
        <w:rPr>
          <w:sz w:val="30"/>
          <w:szCs w:val="30"/>
          <w:highlight w:val="none"/>
        </w:rPr>
        <w:fldChar w:fldCharType="separate"/>
      </w:r>
      <w:r>
        <w:rPr>
          <w:sz w:val="30"/>
          <w:szCs w:val="30"/>
          <w:highlight w:val="none"/>
        </w:rPr>
        <w:t>4</w:t>
      </w:r>
      <w:r>
        <w:rPr>
          <w:sz w:val="30"/>
          <w:szCs w:val="30"/>
          <w:highlight w:val="none"/>
        </w:rPr>
        <w:fldChar w:fldCharType="end"/>
      </w:r>
      <w:r>
        <w:rPr>
          <w:color w:val="auto"/>
          <w:sz w:val="30"/>
          <w:szCs w:val="30"/>
          <w:highlight w:val="none"/>
        </w:rPr>
        <w:fldChar w:fldCharType="end"/>
      </w:r>
    </w:p>
    <w:p w14:paraId="41263559">
      <w:pPr>
        <w:pStyle w:val="16"/>
        <w:tabs>
          <w:tab w:val="right" w:leader="dot" w:pos="9014"/>
        </w:tabs>
        <w:spacing w:line="720" w:lineRule="auto"/>
        <w:rPr>
          <w:sz w:val="30"/>
          <w:szCs w:val="30"/>
          <w:highlight w:val="none"/>
        </w:rPr>
      </w:pPr>
      <w:r>
        <w:rPr>
          <w:color w:val="auto"/>
          <w:sz w:val="30"/>
          <w:szCs w:val="30"/>
          <w:highlight w:val="none"/>
        </w:rPr>
        <w:fldChar w:fldCharType="begin"/>
      </w:r>
      <w:r>
        <w:rPr>
          <w:sz w:val="30"/>
          <w:szCs w:val="30"/>
          <w:highlight w:val="none"/>
        </w:rPr>
        <w:instrText xml:space="preserve"> HYPERLINK \l _Toc2097 </w:instrText>
      </w:r>
      <w:r>
        <w:rPr>
          <w:sz w:val="30"/>
          <w:szCs w:val="30"/>
          <w:highlight w:val="none"/>
        </w:rPr>
        <w:fldChar w:fldCharType="separate"/>
      </w:r>
      <w:r>
        <w:rPr>
          <w:rFonts w:hint="eastAsia" w:ascii="仿宋" w:hAnsi="仿宋" w:eastAsia="仿宋" w:cs="仿宋"/>
          <w:bCs/>
          <w:sz w:val="30"/>
          <w:szCs w:val="30"/>
          <w:highlight w:val="none"/>
        </w:rPr>
        <w:t>第三篇</w:t>
      </w:r>
      <w:r>
        <w:rPr>
          <w:rFonts w:hint="eastAsia" w:ascii="仿宋" w:hAnsi="仿宋" w:eastAsia="仿宋" w:cs="仿宋"/>
          <w:bCs/>
          <w:sz w:val="30"/>
          <w:szCs w:val="30"/>
          <w:highlight w:val="none"/>
          <w:lang w:val="en-US" w:eastAsia="zh-CN"/>
        </w:rPr>
        <w:t xml:space="preserve"> </w:t>
      </w:r>
      <w:r>
        <w:rPr>
          <w:rFonts w:hint="eastAsia" w:ascii="仿宋" w:hAnsi="仿宋" w:eastAsia="仿宋" w:cs="仿宋"/>
          <w:bCs/>
          <w:sz w:val="30"/>
          <w:szCs w:val="30"/>
          <w:highlight w:val="none"/>
        </w:rPr>
        <w:t xml:space="preserve"> 项目商务需求</w:t>
      </w:r>
      <w:r>
        <w:rPr>
          <w:sz w:val="30"/>
          <w:szCs w:val="30"/>
          <w:highlight w:val="none"/>
        </w:rPr>
        <w:tab/>
      </w:r>
      <w:r>
        <w:rPr>
          <w:sz w:val="30"/>
          <w:szCs w:val="30"/>
          <w:highlight w:val="none"/>
        </w:rPr>
        <w:fldChar w:fldCharType="begin"/>
      </w:r>
      <w:r>
        <w:rPr>
          <w:sz w:val="30"/>
          <w:szCs w:val="30"/>
          <w:highlight w:val="none"/>
        </w:rPr>
        <w:instrText xml:space="preserve"> PAGEREF _Toc2097 \h </w:instrText>
      </w:r>
      <w:r>
        <w:rPr>
          <w:sz w:val="30"/>
          <w:szCs w:val="30"/>
          <w:highlight w:val="none"/>
        </w:rPr>
        <w:fldChar w:fldCharType="separate"/>
      </w:r>
      <w:r>
        <w:rPr>
          <w:sz w:val="30"/>
          <w:szCs w:val="30"/>
          <w:highlight w:val="none"/>
        </w:rPr>
        <w:t>9</w:t>
      </w:r>
      <w:r>
        <w:rPr>
          <w:sz w:val="30"/>
          <w:szCs w:val="30"/>
          <w:highlight w:val="none"/>
        </w:rPr>
        <w:fldChar w:fldCharType="end"/>
      </w:r>
      <w:r>
        <w:rPr>
          <w:color w:val="auto"/>
          <w:sz w:val="30"/>
          <w:szCs w:val="30"/>
          <w:highlight w:val="none"/>
        </w:rPr>
        <w:fldChar w:fldCharType="end"/>
      </w:r>
    </w:p>
    <w:p w14:paraId="07A5041B">
      <w:pPr>
        <w:pStyle w:val="16"/>
        <w:tabs>
          <w:tab w:val="right" w:leader="dot" w:pos="9014"/>
        </w:tabs>
        <w:spacing w:line="720" w:lineRule="auto"/>
        <w:rPr>
          <w:sz w:val="30"/>
          <w:szCs w:val="30"/>
          <w:highlight w:val="none"/>
        </w:rPr>
      </w:pPr>
      <w:r>
        <w:rPr>
          <w:color w:val="auto"/>
          <w:sz w:val="30"/>
          <w:szCs w:val="30"/>
          <w:highlight w:val="none"/>
        </w:rPr>
        <w:fldChar w:fldCharType="begin"/>
      </w:r>
      <w:r>
        <w:rPr>
          <w:sz w:val="30"/>
          <w:szCs w:val="30"/>
          <w:highlight w:val="none"/>
        </w:rPr>
        <w:instrText xml:space="preserve"> HYPERLINK \l _Toc23688 </w:instrText>
      </w:r>
      <w:r>
        <w:rPr>
          <w:sz w:val="30"/>
          <w:szCs w:val="30"/>
          <w:highlight w:val="none"/>
        </w:rPr>
        <w:fldChar w:fldCharType="separate"/>
      </w:r>
      <w:r>
        <w:rPr>
          <w:rFonts w:hint="eastAsia" w:ascii="仿宋" w:hAnsi="仿宋" w:eastAsia="仿宋" w:cs="仿宋"/>
          <w:bCs/>
          <w:sz w:val="30"/>
          <w:szCs w:val="30"/>
          <w:highlight w:val="none"/>
        </w:rPr>
        <w:t>第四篇  竞采程序、评标办法、无效响应及采购终止</w:t>
      </w:r>
      <w:r>
        <w:rPr>
          <w:sz w:val="30"/>
          <w:szCs w:val="30"/>
          <w:highlight w:val="none"/>
        </w:rPr>
        <w:tab/>
      </w:r>
      <w:r>
        <w:rPr>
          <w:sz w:val="30"/>
          <w:szCs w:val="30"/>
          <w:highlight w:val="none"/>
        </w:rPr>
        <w:fldChar w:fldCharType="begin"/>
      </w:r>
      <w:r>
        <w:rPr>
          <w:sz w:val="30"/>
          <w:szCs w:val="30"/>
          <w:highlight w:val="none"/>
        </w:rPr>
        <w:instrText xml:space="preserve"> PAGEREF _Toc23688 \h </w:instrText>
      </w:r>
      <w:r>
        <w:rPr>
          <w:sz w:val="30"/>
          <w:szCs w:val="30"/>
          <w:highlight w:val="none"/>
        </w:rPr>
        <w:fldChar w:fldCharType="separate"/>
      </w:r>
      <w:r>
        <w:rPr>
          <w:sz w:val="30"/>
          <w:szCs w:val="30"/>
          <w:highlight w:val="none"/>
        </w:rPr>
        <w:t>11</w:t>
      </w:r>
      <w:r>
        <w:rPr>
          <w:sz w:val="30"/>
          <w:szCs w:val="30"/>
          <w:highlight w:val="none"/>
        </w:rPr>
        <w:fldChar w:fldCharType="end"/>
      </w:r>
      <w:r>
        <w:rPr>
          <w:color w:val="auto"/>
          <w:sz w:val="30"/>
          <w:szCs w:val="30"/>
          <w:highlight w:val="none"/>
        </w:rPr>
        <w:fldChar w:fldCharType="end"/>
      </w:r>
    </w:p>
    <w:p w14:paraId="197A3FB3">
      <w:pPr>
        <w:pStyle w:val="16"/>
        <w:tabs>
          <w:tab w:val="right" w:leader="dot" w:pos="9014"/>
        </w:tabs>
        <w:spacing w:line="720" w:lineRule="auto"/>
        <w:rPr>
          <w:sz w:val="30"/>
          <w:szCs w:val="30"/>
          <w:highlight w:val="none"/>
        </w:rPr>
      </w:pPr>
      <w:r>
        <w:rPr>
          <w:color w:val="auto"/>
          <w:sz w:val="30"/>
          <w:szCs w:val="30"/>
          <w:highlight w:val="none"/>
        </w:rPr>
        <w:fldChar w:fldCharType="begin"/>
      </w:r>
      <w:r>
        <w:rPr>
          <w:sz w:val="30"/>
          <w:szCs w:val="30"/>
          <w:highlight w:val="none"/>
        </w:rPr>
        <w:instrText xml:space="preserve"> HYPERLINK \l _Toc6547 </w:instrText>
      </w:r>
      <w:r>
        <w:rPr>
          <w:sz w:val="30"/>
          <w:szCs w:val="30"/>
          <w:highlight w:val="none"/>
        </w:rPr>
        <w:fldChar w:fldCharType="separate"/>
      </w:r>
      <w:r>
        <w:rPr>
          <w:rFonts w:hint="eastAsia" w:ascii="仿宋" w:hAnsi="仿宋" w:eastAsia="仿宋" w:cs="仿宋"/>
          <w:bCs/>
          <w:sz w:val="30"/>
          <w:szCs w:val="30"/>
          <w:highlight w:val="none"/>
        </w:rPr>
        <w:t>第五篇  供应商须知</w:t>
      </w:r>
      <w:r>
        <w:rPr>
          <w:sz w:val="30"/>
          <w:szCs w:val="30"/>
          <w:highlight w:val="none"/>
        </w:rPr>
        <w:tab/>
      </w:r>
      <w:r>
        <w:rPr>
          <w:sz w:val="30"/>
          <w:szCs w:val="30"/>
          <w:highlight w:val="none"/>
        </w:rPr>
        <w:fldChar w:fldCharType="begin"/>
      </w:r>
      <w:r>
        <w:rPr>
          <w:sz w:val="30"/>
          <w:szCs w:val="30"/>
          <w:highlight w:val="none"/>
        </w:rPr>
        <w:instrText xml:space="preserve"> PAGEREF _Toc6547 \h </w:instrText>
      </w:r>
      <w:r>
        <w:rPr>
          <w:sz w:val="30"/>
          <w:szCs w:val="30"/>
          <w:highlight w:val="none"/>
        </w:rPr>
        <w:fldChar w:fldCharType="separate"/>
      </w:r>
      <w:r>
        <w:rPr>
          <w:sz w:val="30"/>
          <w:szCs w:val="30"/>
          <w:highlight w:val="none"/>
        </w:rPr>
        <w:t>17</w:t>
      </w:r>
      <w:r>
        <w:rPr>
          <w:sz w:val="30"/>
          <w:szCs w:val="30"/>
          <w:highlight w:val="none"/>
        </w:rPr>
        <w:fldChar w:fldCharType="end"/>
      </w:r>
      <w:r>
        <w:rPr>
          <w:color w:val="auto"/>
          <w:sz w:val="30"/>
          <w:szCs w:val="30"/>
          <w:highlight w:val="none"/>
        </w:rPr>
        <w:fldChar w:fldCharType="end"/>
      </w:r>
    </w:p>
    <w:p w14:paraId="7AE05374">
      <w:pPr>
        <w:pStyle w:val="16"/>
        <w:tabs>
          <w:tab w:val="right" w:leader="dot" w:pos="9014"/>
        </w:tabs>
        <w:spacing w:line="720" w:lineRule="auto"/>
        <w:rPr>
          <w:sz w:val="30"/>
          <w:szCs w:val="30"/>
          <w:highlight w:val="none"/>
        </w:rPr>
      </w:pPr>
      <w:r>
        <w:rPr>
          <w:color w:val="auto"/>
          <w:sz w:val="30"/>
          <w:szCs w:val="30"/>
          <w:highlight w:val="none"/>
        </w:rPr>
        <w:fldChar w:fldCharType="begin"/>
      </w:r>
      <w:r>
        <w:rPr>
          <w:sz w:val="30"/>
          <w:szCs w:val="30"/>
          <w:highlight w:val="none"/>
        </w:rPr>
        <w:instrText xml:space="preserve"> HYPERLINK \l _Toc8369 </w:instrText>
      </w:r>
      <w:r>
        <w:rPr>
          <w:sz w:val="30"/>
          <w:szCs w:val="30"/>
          <w:highlight w:val="none"/>
        </w:rPr>
        <w:fldChar w:fldCharType="separate"/>
      </w:r>
      <w:r>
        <w:rPr>
          <w:rFonts w:hint="eastAsia" w:ascii="仿宋" w:hAnsi="仿宋" w:eastAsia="仿宋" w:cs="仿宋"/>
          <w:bCs/>
          <w:sz w:val="30"/>
          <w:szCs w:val="30"/>
          <w:highlight w:val="none"/>
        </w:rPr>
        <w:t>第六篇  采购合同</w:t>
      </w:r>
      <w:r>
        <w:rPr>
          <w:sz w:val="30"/>
          <w:szCs w:val="30"/>
          <w:highlight w:val="none"/>
        </w:rPr>
        <w:tab/>
      </w:r>
      <w:r>
        <w:rPr>
          <w:sz w:val="30"/>
          <w:szCs w:val="30"/>
          <w:highlight w:val="none"/>
        </w:rPr>
        <w:fldChar w:fldCharType="begin"/>
      </w:r>
      <w:r>
        <w:rPr>
          <w:sz w:val="30"/>
          <w:szCs w:val="30"/>
          <w:highlight w:val="none"/>
        </w:rPr>
        <w:instrText xml:space="preserve"> PAGEREF _Toc8369 \h </w:instrText>
      </w:r>
      <w:r>
        <w:rPr>
          <w:sz w:val="30"/>
          <w:szCs w:val="30"/>
          <w:highlight w:val="none"/>
        </w:rPr>
        <w:fldChar w:fldCharType="separate"/>
      </w:r>
      <w:r>
        <w:rPr>
          <w:sz w:val="30"/>
          <w:szCs w:val="30"/>
          <w:highlight w:val="none"/>
        </w:rPr>
        <w:t>22</w:t>
      </w:r>
      <w:r>
        <w:rPr>
          <w:sz w:val="30"/>
          <w:szCs w:val="30"/>
          <w:highlight w:val="none"/>
        </w:rPr>
        <w:fldChar w:fldCharType="end"/>
      </w:r>
      <w:r>
        <w:rPr>
          <w:color w:val="auto"/>
          <w:sz w:val="30"/>
          <w:szCs w:val="30"/>
          <w:highlight w:val="none"/>
        </w:rPr>
        <w:fldChar w:fldCharType="end"/>
      </w:r>
    </w:p>
    <w:p w14:paraId="02ADA60B">
      <w:pPr>
        <w:pStyle w:val="16"/>
        <w:tabs>
          <w:tab w:val="right" w:leader="dot" w:pos="9014"/>
        </w:tabs>
        <w:spacing w:line="720" w:lineRule="auto"/>
        <w:rPr>
          <w:sz w:val="30"/>
          <w:szCs w:val="30"/>
          <w:highlight w:val="none"/>
        </w:rPr>
      </w:pPr>
      <w:r>
        <w:rPr>
          <w:color w:val="auto"/>
          <w:sz w:val="30"/>
          <w:szCs w:val="30"/>
          <w:highlight w:val="none"/>
        </w:rPr>
        <w:fldChar w:fldCharType="begin"/>
      </w:r>
      <w:r>
        <w:rPr>
          <w:sz w:val="30"/>
          <w:szCs w:val="30"/>
          <w:highlight w:val="none"/>
        </w:rPr>
        <w:instrText xml:space="preserve"> HYPERLINK \l _Toc19273 </w:instrText>
      </w:r>
      <w:r>
        <w:rPr>
          <w:sz w:val="30"/>
          <w:szCs w:val="30"/>
          <w:highlight w:val="none"/>
        </w:rPr>
        <w:fldChar w:fldCharType="separate"/>
      </w:r>
      <w:r>
        <w:rPr>
          <w:rFonts w:hint="eastAsia" w:ascii="仿宋" w:hAnsi="仿宋" w:eastAsia="仿宋" w:cs="仿宋"/>
          <w:bCs/>
          <w:sz w:val="30"/>
          <w:szCs w:val="30"/>
          <w:highlight w:val="none"/>
        </w:rPr>
        <w:t>第七篇  响应文件编制要求</w:t>
      </w:r>
      <w:r>
        <w:rPr>
          <w:sz w:val="30"/>
          <w:szCs w:val="30"/>
          <w:highlight w:val="none"/>
        </w:rPr>
        <w:tab/>
      </w:r>
      <w:r>
        <w:rPr>
          <w:sz w:val="30"/>
          <w:szCs w:val="30"/>
          <w:highlight w:val="none"/>
        </w:rPr>
        <w:fldChar w:fldCharType="begin"/>
      </w:r>
      <w:r>
        <w:rPr>
          <w:sz w:val="30"/>
          <w:szCs w:val="30"/>
          <w:highlight w:val="none"/>
        </w:rPr>
        <w:instrText xml:space="preserve"> PAGEREF _Toc19273 \h </w:instrText>
      </w:r>
      <w:r>
        <w:rPr>
          <w:sz w:val="30"/>
          <w:szCs w:val="30"/>
          <w:highlight w:val="none"/>
        </w:rPr>
        <w:fldChar w:fldCharType="separate"/>
      </w:r>
      <w:r>
        <w:rPr>
          <w:sz w:val="30"/>
          <w:szCs w:val="30"/>
          <w:highlight w:val="none"/>
        </w:rPr>
        <w:t>38</w:t>
      </w:r>
      <w:r>
        <w:rPr>
          <w:sz w:val="30"/>
          <w:szCs w:val="30"/>
          <w:highlight w:val="none"/>
        </w:rPr>
        <w:fldChar w:fldCharType="end"/>
      </w:r>
      <w:r>
        <w:rPr>
          <w:color w:val="auto"/>
          <w:sz w:val="30"/>
          <w:szCs w:val="30"/>
          <w:highlight w:val="none"/>
        </w:rPr>
        <w:fldChar w:fldCharType="end"/>
      </w:r>
    </w:p>
    <w:p w14:paraId="4A2C298A">
      <w:pPr>
        <w:spacing w:line="720" w:lineRule="auto"/>
        <w:rPr>
          <w:color w:val="auto"/>
          <w:sz w:val="21"/>
          <w:szCs w:val="21"/>
          <w:highlight w:val="none"/>
        </w:rPr>
      </w:pPr>
      <w:r>
        <w:rPr>
          <w:color w:val="auto"/>
          <w:sz w:val="30"/>
          <w:szCs w:val="30"/>
          <w:highlight w:val="none"/>
        </w:rPr>
        <w:fldChar w:fldCharType="end"/>
      </w:r>
    </w:p>
    <w:p w14:paraId="499DC29F">
      <w:pPr>
        <w:snapToGrid w:val="0"/>
        <w:spacing w:line="360" w:lineRule="auto"/>
        <w:jc w:val="center"/>
        <w:outlineLvl w:val="0"/>
        <w:rPr>
          <w:rFonts w:hint="eastAsia" w:ascii="仿宋" w:hAnsi="仿宋" w:eastAsia="仿宋" w:cs="仿宋"/>
          <w:b/>
          <w:bCs/>
          <w:color w:val="auto"/>
          <w:sz w:val="36"/>
          <w:szCs w:val="30"/>
          <w:highlight w:val="none"/>
        </w:rPr>
        <w:sectPr>
          <w:footerReference r:id="rId3" w:type="default"/>
          <w:pgSz w:w="11906" w:h="16838"/>
          <w:pgMar w:top="1984" w:right="1446" w:bottom="1644" w:left="1446" w:header="851" w:footer="1304" w:gutter="0"/>
          <w:pgNumType w:start="0"/>
          <w:cols w:space="0" w:num="1"/>
          <w:titlePg/>
          <w:docGrid w:type="lines" w:linePitch="312" w:charSpace="0"/>
        </w:sectPr>
      </w:pPr>
    </w:p>
    <w:p w14:paraId="35971525">
      <w:pPr>
        <w:snapToGrid w:val="0"/>
        <w:spacing w:line="360" w:lineRule="auto"/>
        <w:jc w:val="center"/>
        <w:outlineLvl w:val="0"/>
        <w:rPr>
          <w:rFonts w:ascii="仿宋" w:hAnsi="仿宋" w:eastAsia="仿宋" w:cs="仿宋"/>
          <w:b/>
          <w:bCs/>
          <w:color w:val="auto"/>
          <w:sz w:val="24"/>
          <w:szCs w:val="24"/>
          <w:highlight w:val="none"/>
        </w:rPr>
      </w:pPr>
      <w:bookmarkStart w:id="5" w:name="_Toc10479"/>
      <w:r>
        <w:rPr>
          <w:rFonts w:hint="eastAsia" w:ascii="仿宋" w:hAnsi="仿宋" w:eastAsia="仿宋" w:cs="仿宋"/>
          <w:b/>
          <w:bCs/>
          <w:color w:val="auto"/>
          <w:sz w:val="36"/>
          <w:szCs w:val="30"/>
          <w:highlight w:val="none"/>
        </w:rPr>
        <w:t>第一篇  竞采邀请书</w:t>
      </w:r>
      <w:bookmarkEnd w:id="1"/>
      <w:bookmarkEnd w:id="2"/>
      <w:bookmarkEnd w:id="3"/>
      <w:bookmarkEnd w:id="4"/>
      <w:bookmarkEnd w:id="5"/>
    </w:p>
    <w:p w14:paraId="24AC8F42">
      <w:pPr>
        <w:snapToGrid w:val="0"/>
        <w:spacing w:line="360" w:lineRule="auto"/>
        <w:ind w:firstLine="480" w:firstLineChars="200"/>
        <w:rPr>
          <w:rFonts w:ascii="仿宋" w:hAnsi="仿宋" w:eastAsia="仿宋" w:cs="仿宋"/>
          <w:color w:val="auto"/>
          <w:sz w:val="24"/>
          <w:szCs w:val="24"/>
          <w:highlight w:val="none"/>
          <w:u w:val="single"/>
        </w:rPr>
      </w:pPr>
    </w:p>
    <w:p w14:paraId="0DDB41F1">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重庆合越达工程管理有限公司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rPr>
        <w:t>重庆中医药学院</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重庆中医药学院智慧教室驻场运维服务采购项目</w:t>
      </w:r>
      <w:r>
        <w:rPr>
          <w:rFonts w:hint="eastAsia" w:ascii="仿宋" w:hAnsi="仿宋" w:eastAsia="仿宋" w:cs="仿宋"/>
          <w:color w:val="auto"/>
          <w:sz w:val="24"/>
          <w:szCs w:val="24"/>
          <w:highlight w:val="none"/>
          <w:u w:val="none"/>
          <w:lang w:eastAsia="zh-CN"/>
        </w:rPr>
        <w:t>进行</w:t>
      </w:r>
      <w:r>
        <w:rPr>
          <w:rFonts w:hint="eastAsia" w:ascii="仿宋" w:hAnsi="仿宋" w:eastAsia="仿宋" w:cs="仿宋"/>
          <w:color w:val="auto"/>
          <w:sz w:val="24"/>
          <w:szCs w:val="24"/>
          <w:highlight w:val="none"/>
        </w:rPr>
        <w:t>网上竞采采购。欢迎有资格的供应商前来参与网上竞采。</w:t>
      </w:r>
    </w:p>
    <w:p w14:paraId="1C7E94E0">
      <w:pPr>
        <w:snapToGrid w:val="0"/>
        <w:spacing w:line="360" w:lineRule="auto"/>
        <w:ind w:firstLine="802" w:firstLineChars="200"/>
        <w:jc w:val="center"/>
        <w:rPr>
          <w:rFonts w:ascii="仿宋" w:hAnsi="仿宋" w:eastAsia="仿宋" w:cs="仿宋"/>
          <w:b/>
          <w:bCs/>
          <w:color w:val="auto"/>
          <w:spacing w:val="80"/>
          <w:sz w:val="44"/>
          <w:szCs w:val="44"/>
          <w:highlight w:val="none"/>
        </w:rPr>
      </w:pPr>
      <w:r>
        <w:rPr>
          <w:rFonts w:hint="eastAsia" w:ascii="仿宋" w:hAnsi="仿宋" w:eastAsia="仿宋" w:cs="仿宋"/>
          <w:b/>
          <w:bCs/>
          <w:color w:val="auto"/>
          <w:spacing w:val="80"/>
          <w:sz w:val="24"/>
          <w:szCs w:val="24"/>
          <w:highlight w:val="none"/>
        </w:rPr>
        <w:t>（综合评分法）</w:t>
      </w:r>
    </w:p>
    <w:p w14:paraId="50D490DB">
      <w:pPr>
        <w:spacing w:line="360" w:lineRule="auto"/>
        <w:rPr>
          <w:rFonts w:ascii="仿宋" w:hAnsi="仿宋" w:eastAsia="仿宋" w:cs="仿宋"/>
          <w:b/>
          <w:bCs/>
          <w:color w:val="auto"/>
          <w:sz w:val="24"/>
          <w:szCs w:val="24"/>
          <w:highlight w:val="none"/>
        </w:rPr>
      </w:pPr>
      <w:bookmarkStart w:id="6" w:name="_Toc25458"/>
      <w:bookmarkStart w:id="7" w:name="_Toc26820"/>
      <w:bookmarkStart w:id="8" w:name="_Toc7625"/>
      <w:bookmarkStart w:id="9" w:name="_Toc3463"/>
      <w:bookmarkStart w:id="10" w:name="_Toc18159"/>
      <w:bookmarkStart w:id="11" w:name="_Toc12808"/>
      <w:bookmarkStart w:id="12" w:name="_Toc313893526"/>
      <w:bookmarkStart w:id="13" w:name="_Toc317775175"/>
      <w:bookmarkStart w:id="14" w:name="_Toc18881"/>
      <w:r>
        <w:rPr>
          <w:rFonts w:hint="eastAsia" w:ascii="仿宋" w:hAnsi="仿宋" w:eastAsia="仿宋" w:cs="仿宋"/>
          <w:b/>
          <w:bCs/>
          <w:color w:val="auto"/>
          <w:sz w:val="24"/>
          <w:szCs w:val="24"/>
          <w:highlight w:val="none"/>
        </w:rPr>
        <w:t>一、竞采项目内容</w:t>
      </w:r>
      <w:bookmarkEnd w:id="6"/>
      <w:bookmarkEnd w:id="7"/>
      <w:bookmarkEnd w:id="8"/>
      <w:bookmarkEnd w:id="9"/>
      <w:bookmarkEnd w:id="10"/>
      <w:bookmarkEnd w:id="11"/>
      <w:bookmarkEnd w:id="12"/>
      <w:bookmarkEnd w:id="13"/>
      <w:bookmarkEnd w:id="14"/>
    </w:p>
    <w:tbl>
      <w:tblPr>
        <w:tblStyle w:val="21"/>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3"/>
        <w:gridCol w:w="1584"/>
        <w:gridCol w:w="2062"/>
      </w:tblGrid>
      <w:tr w14:paraId="08F0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5313" w:type="dxa"/>
            <w:tcBorders>
              <w:top w:val="single" w:color="auto" w:sz="4" w:space="0"/>
              <w:left w:val="single" w:color="auto" w:sz="4" w:space="0"/>
              <w:right w:val="single" w:color="auto" w:sz="4" w:space="0"/>
            </w:tcBorders>
            <w:vAlign w:val="center"/>
          </w:tcPr>
          <w:p w14:paraId="6DEB7244">
            <w:pPr>
              <w:widowControl/>
              <w:spacing w:line="360" w:lineRule="auto"/>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1584" w:type="dxa"/>
            <w:tcBorders>
              <w:top w:val="single" w:color="auto" w:sz="4" w:space="0"/>
              <w:left w:val="single" w:color="auto" w:sz="4" w:space="0"/>
              <w:right w:val="single" w:color="auto" w:sz="4" w:space="0"/>
            </w:tcBorders>
            <w:vAlign w:val="center"/>
          </w:tcPr>
          <w:p w14:paraId="22BC3593">
            <w:pPr>
              <w:widowControl/>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预算金额</w:t>
            </w:r>
          </w:p>
          <w:p w14:paraId="248F9911">
            <w:pPr>
              <w:widowControl/>
              <w:spacing w:line="36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万</w:t>
            </w:r>
            <w:r>
              <w:rPr>
                <w:rFonts w:hint="eastAsia" w:ascii="仿宋" w:hAnsi="仿宋" w:eastAsia="仿宋" w:cs="仿宋"/>
                <w:b/>
                <w:bCs/>
                <w:color w:val="auto"/>
                <w:kern w:val="0"/>
                <w:sz w:val="24"/>
                <w:szCs w:val="24"/>
                <w:highlight w:val="none"/>
                <w:lang w:eastAsia="zh-CN"/>
              </w:rPr>
              <w:t>元）</w:t>
            </w:r>
          </w:p>
        </w:tc>
        <w:tc>
          <w:tcPr>
            <w:tcW w:w="2062" w:type="dxa"/>
            <w:tcBorders>
              <w:top w:val="single" w:color="auto" w:sz="4" w:space="0"/>
              <w:left w:val="single" w:color="auto" w:sz="4" w:space="0"/>
              <w:right w:val="single" w:color="auto" w:sz="4" w:space="0"/>
            </w:tcBorders>
            <w:vAlign w:val="center"/>
          </w:tcPr>
          <w:p w14:paraId="740BEF9E">
            <w:pPr>
              <w:spacing w:line="360" w:lineRule="auto"/>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r>
      <w:tr w14:paraId="06B8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13" w:type="dxa"/>
            <w:tcBorders>
              <w:top w:val="single" w:color="auto" w:sz="4" w:space="0"/>
              <w:left w:val="single" w:color="auto" w:sz="4" w:space="0"/>
              <w:right w:val="single" w:color="auto" w:sz="4" w:space="0"/>
            </w:tcBorders>
            <w:vAlign w:val="center"/>
          </w:tcPr>
          <w:p w14:paraId="6C1E49B0">
            <w:pPr>
              <w:widowControl/>
              <w:spacing w:line="240" w:lineRule="auto"/>
              <w:jc w:val="center"/>
              <w:rPr>
                <w:rFonts w:hint="eastAsia" w:ascii="仿宋" w:hAnsi="仿宋" w:eastAsia="仿宋" w:cs="仿宋"/>
                <w:color w:val="auto"/>
                <w:kern w:val="0"/>
                <w:sz w:val="24"/>
                <w:szCs w:val="24"/>
                <w:highlight w:val="none"/>
                <w:lang w:eastAsia="zh-CN"/>
              </w:rPr>
            </w:pPr>
            <w:bookmarkStart w:id="15" w:name="_Hlk344477914"/>
            <w:r>
              <w:rPr>
                <w:rFonts w:hint="eastAsia" w:ascii="仿宋" w:hAnsi="仿宋" w:eastAsia="仿宋" w:cs="仿宋"/>
                <w:color w:val="auto"/>
                <w:kern w:val="0"/>
                <w:sz w:val="24"/>
                <w:szCs w:val="24"/>
                <w:highlight w:val="none"/>
                <w:lang w:eastAsia="zh-CN"/>
              </w:rPr>
              <w:t>重庆中医药学院智慧教室驻场运维服务采购项目</w:t>
            </w:r>
          </w:p>
        </w:tc>
        <w:tc>
          <w:tcPr>
            <w:tcW w:w="1584" w:type="dxa"/>
            <w:tcBorders>
              <w:top w:val="single" w:color="auto" w:sz="4" w:space="0"/>
              <w:left w:val="single" w:color="auto" w:sz="4" w:space="0"/>
              <w:right w:val="single" w:color="auto" w:sz="4" w:space="0"/>
            </w:tcBorders>
            <w:vAlign w:val="center"/>
          </w:tcPr>
          <w:p w14:paraId="4BDBD6D7">
            <w:pPr>
              <w:widowControl/>
              <w:spacing w:line="240" w:lineRule="auto"/>
              <w:jc w:val="center"/>
              <w:rPr>
                <w:rFonts w:hint="default" w:ascii="仿宋" w:hAnsi="仿宋" w:eastAsia="仿宋" w:cs="仿宋"/>
                <w:color w:val="auto"/>
                <w:kern w:val="0"/>
                <w:sz w:val="24"/>
                <w:szCs w:val="24"/>
                <w:highlight w:val="none"/>
                <w:lang w:val="en-US" w:eastAsia="zh-CN"/>
              </w:rPr>
            </w:pPr>
            <w:r>
              <w:rPr>
                <w:rFonts w:hint="eastAsia" w:eastAsia="仿宋"/>
                <w:sz w:val="24"/>
                <w:szCs w:val="24"/>
                <w:highlight w:val="none"/>
                <w:u w:val="none"/>
                <w:lang w:val="en-US" w:eastAsia="zh-CN"/>
              </w:rPr>
              <w:t>57.6</w:t>
            </w:r>
          </w:p>
        </w:tc>
        <w:tc>
          <w:tcPr>
            <w:tcW w:w="2062" w:type="dxa"/>
            <w:tcBorders>
              <w:top w:val="single" w:color="auto" w:sz="4" w:space="0"/>
              <w:left w:val="single" w:color="auto" w:sz="4" w:space="0"/>
              <w:right w:val="single" w:color="auto" w:sz="4" w:space="0"/>
            </w:tcBorders>
            <w:vAlign w:val="center"/>
          </w:tcPr>
          <w:p w14:paraId="28E31739">
            <w:pPr>
              <w:widowControl/>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r>
      <w:bookmarkEnd w:id="15"/>
    </w:tbl>
    <w:p w14:paraId="1B8CA315">
      <w:pPr>
        <w:spacing w:line="360" w:lineRule="auto"/>
        <w:rPr>
          <w:rFonts w:ascii="仿宋" w:hAnsi="仿宋" w:eastAsia="仿宋" w:cs="仿宋"/>
          <w:b/>
          <w:bCs/>
          <w:color w:val="auto"/>
          <w:sz w:val="24"/>
          <w:szCs w:val="24"/>
          <w:highlight w:val="none"/>
        </w:rPr>
      </w:pPr>
      <w:bookmarkStart w:id="16" w:name="_Toc15727"/>
      <w:bookmarkStart w:id="17" w:name="_Toc19437"/>
      <w:bookmarkStart w:id="18" w:name="_Toc22399"/>
      <w:bookmarkStart w:id="19" w:name="_Toc1790"/>
      <w:bookmarkStart w:id="20" w:name="_Toc25190"/>
      <w:bookmarkStart w:id="21" w:name="_Toc6462"/>
      <w:bookmarkStart w:id="22" w:name="_Toc15576"/>
      <w:bookmarkStart w:id="23" w:name="_Toc317775178"/>
      <w:bookmarkStart w:id="24" w:name="_Toc373860293"/>
      <w:r>
        <w:rPr>
          <w:rFonts w:hint="eastAsia" w:ascii="仿宋" w:hAnsi="仿宋" w:eastAsia="仿宋" w:cs="仿宋"/>
          <w:b/>
          <w:bCs/>
          <w:color w:val="auto"/>
          <w:sz w:val="24"/>
          <w:szCs w:val="24"/>
          <w:highlight w:val="none"/>
        </w:rPr>
        <w:t>二、资金来源</w:t>
      </w:r>
    </w:p>
    <w:p w14:paraId="5AF6DC01">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财政</w:t>
      </w:r>
      <w:r>
        <w:rPr>
          <w:rFonts w:hint="eastAsia" w:ascii="仿宋" w:hAnsi="仿宋" w:eastAsia="仿宋" w:cs="仿宋"/>
          <w:bCs/>
          <w:color w:val="auto"/>
          <w:sz w:val="24"/>
          <w:szCs w:val="24"/>
          <w:highlight w:val="none"/>
        </w:rPr>
        <w:t>资金。</w:t>
      </w:r>
    </w:p>
    <w:p w14:paraId="3A00DBA0">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w:t>
      </w:r>
      <w:bookmarkEnd w:id="16"/>
      <w:bookmarkEnd w:id="17"/>
      <w:bookmarkEnd w:id="18"/>
      <w:bookmarkEnd w:id="19"/>
      <w:bookmarkEnd w:id="20"/>
      <w:bookmarkEnd w:id="21"/>
      <w:bookmarkEnd w:id="22"/>
      <w:r>
        <w:rPr>
          <w:rFonts w:hint="eastAsia" w:ascii="仿宋" w:hAnsi="仿宋" w:eastAsia="仿宋" w:cs="仿宋"/>
          <w:b/>
          <w:bCs/>
          <w:color w:val="auto"/>
          <w:sz w:val="24"/>
          <w:szCs w:val="24"/>
          <w:highlight w:val="none"/>
        </w:rPr>
        <w:t>竞采资格条件</w:t>
      </w:r>
    </w:p>
    <w:p w14:paraId="4812540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4304ADB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满足《中华人民共和国政府采购法》第二十二条规定：　</w:t>
      </w:r>
    </w:p>
    <w:p w14:paraId="2801A74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207A71F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p w14:paraId="689718A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14:paraId="1BE5551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2AB2D2D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w:t>
      </w:r>
    </w:p>
    <w:p w14:paraId="64A4EABD">
      <w:pPr>
        <w:spacing w:line="360" w:lineRule="auto"/>
        <w:ind w:firstLine="480" w:firstLineChars="200"/>
        <w:rPr>
          <w:rFonts w:hint="eastAsia" w:ascii="方正仿宋_GBK" w:hAnsi="宋体" w:eastAsia="方正仿宋_GBK" w:cs="Times New Roman"/>
          <w:b/>
          <w:bCs/>
          <w:iCs/>
          <w:color w:val="auto"/>
          <w:sz w:val="24"/>
          <w:szCs w:val="24"/>
          <w:highlight w:val="none"/>
        </w:rPr>
      </w:pPr>
      <w:r>
        <w:rPr>
          <w:rFonts w:hint="eastAsia" w:ascii="仿宋" w:hAnsi="仿宋" w:eastAsia="仿宋" w:cs="仿宋"/>
          <w:color w:val="auto"/>
          <w:sz w:val="24"/>
          <w:szCs w:val="24"/>
          <w:highlight w:val="none"/>
        </w:rPr>
        <w:t>（二）特定资</w:t>
      </w:r>
      <w:r>
        <w:rPr>
          <w:rFonts w:hint="eastAsia" w:ascii="仿宋" w:hAnsi="仿宋" w:eastAsia="仿宋" w:cs="仿宋"/>
          <w:sz w:val="24"/>
          <w:szCs w:val="24"/>
          <w:highlight w:val="none"/>
        </w:rPr>
        <w:t>格条件</w:t>
      </w:r>
      <w:bookmarkEnd w:id="23"/>
      <w:bookmarkEnd w:id="24"/>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无</w:t>
      </w:r>
      <w:r>
        <w:rPr>
          <w:rFonts w:hint="eastAsia" w:ascii="方正仿宋_GBK" w:hAnsi="宋体" w:eastAsia="方正仿宋_GBK" w:cs="Times New Roman"/>
          <w:b/>
          <w:bCs/>
          <w:iCs/>
          <w:color w:val="auto"/>
          <w:sz w:val="24"/>
          <w:szCs w:val="24"/>
          <w:highlight w:val="none"/>
        </w:rPr>
        <w:t>。</w:t>
      </w:r>
    </w:p>
    <w:p w14:paraId="35188CE9">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四、竞采有关说明</w:t>
      </w:r>
    </w:p>
    <w:p w14:paraId="54C49E5A">
      <w:pPr>
        <w:spacing w:line="360" w:lineRule="auto"/>
        <w:ind w:firstLine="480" w:firstLineChars="200"/>
        <w:rPr>
          <w:rFonts w:ascii="仿宋" w:hAnsi="仿宋" w:eastAsia="仿宋" w:cs="仿宋"/>
          <w:sz w:val="24"/>
          <w:szCs w:val="24"/>
          <w:highlight w:val="none"/>
        </w:rPr>
      </w:pPr>
      <w:bookmarkStart w:id="25" w:name="_Toc106030878"/>
      <w:bookmarkStart w:id="26" w:name="_Toc76462324"/>
      <w:r>
        <w:rPr>
          <w:rFonts w:hint="eastAsia" w:ascii="仿宋" w:hAnsi="仿宋" w:eastAsia="仿宋" w:cs="仿宋"/>
          <w:sz w:val="24"/>
          <w:szCs w:val="24"/>
          <w:highlight w:val="none"/>
        </w:rPr>
        <w:t>（一）供应商应通过行采家平台（</w:t>
      </w:r>
      <w:r>
        <w:rPr>
          <w:highlight w:val="none"/>
        </w:rPr>
        <w:fldChar w:fldCharType="begin"/>
      </w:r>
      <w:r>
        <w:rPr>
          <w:highlight w:val="none"/>
        </w:rPr>
        <w:instrText xml:space="preserve"> HYPERLINK "http://www.cqgp.gov.cn" </w:instrText>
      </w:r>
      <w:r>
        <w:rPr>
          <w:highlight w:val="none"/>
        </w:rPr>
        <w:fldChar w:fldCharType="separate"/>
      </w:r>
      <w:r>
        <w:rPr>
          <w:rFonts w:hint="eastAsia" w:ascii="仿宋" w:hAnsi="仿宋" w:eastAsia="仿宋" w:cs="仿宋"/>
          <w:sz w:val="24"/>
          <w:szCs w:val="24"/>
          <w:highlight w:val="none"/>
        </w:rPr>
        <w:t>www.</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gec123.com）登记加入“行采家供应商库”。</w:t>
      </w:r>
    </w:p>
    <w:p w14:paraId="07FED865">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凡有意参加采购的供应商，请在行采家·竞采中心（https://www.gec123.com/xe/）网上下载本项目网上竞采文件以及变更等采购前公布的所有项目资料，无论供应商下载与否，均视为已知晓所有采购实质性要求内容。</w:t>
      </w:r>
    </w:p>
    <w:p w14:paraId="65884A5B">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（三）网上竞采文件发售期限： </w:t>
      </w:r>
    </w:p>
    <w:p w14:paraId="7C2CE58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1.网上竞采文件发售期：</w:t>
      </w:r>
      <w:r>
        <w:rPr>
          <w:rFonts w:hint="eastAsia" w:ascii="仿宋" w:hAnsi="仿宋" w:eastAsia="仿宋" w:cs="仿宋"/>
          <w:b/>
          <w:bCs/>
          <w:sz w:val="24"/>
          <w:szCs w:val="24"/>
          <w:highlight w:val="none"/>
        </w:rPr>
        <w:t>2025年</w:t>
      </w: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18</w:t>
      </w:r>
      <w:r>
        <w:rPr>
          <w:rFonts w:hint="eastAsia" w:ascii="仿宋" w:hAnsi="仿宋" w:eastAsia="仿宋" w:cs="仿宋"/>
          <w:b/>
          <w:bCs/>
          <w:sz w:val="24"/>
          <w:szCs w:val="24"/>
          <w:highlight w:val="none"/>
        </w:rPr>
        <w:t>日至2025年</w:t>
      </w: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23</w:t>
      </w:r>
      <w:r>
        <w:rPr>
          <w:rFonts w:hint="eastAsia" w:ascii="仿宋" w:hAnsi="仿宋" w:eastAsia="仿宋" w:cs="仿宋"/>
          <w:b/>
          <w:bCs/>
          <w:sz w:val="24"/>
          <w:szCs w:val="24"/>
          <w:highlight w:val="none"/>
        </w:rPr>
        <w:t>日11:00</w:t>
      </w:r>
      <w:r>
        <w:rPr>
          <w:rFonts w:hint="eastAsia" w:ascii="仿宋" w:hAnsi="仿宋" w:eastAsia="仿宋" w:cs="仿宋"/>
          <w:sz w:val="24"/>
          <w:szCs w:val="24"/>
          <w:highlight w:val="none"/>
        </w:rPr>
        <w:t>。</w:t>
      </w:r>
    </w:p>
    <w:p w14:paraId="52C6385A">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2.报名方式：在报名及网上竞采文件发售期内，供应商将《合越达采购文件发售登记表》（加盖供应商公章）扫描后发送至邮箱：280621921@qq.com。</w:t>
      </w:r>
    </w:p>
    <w:p w14:paraId="59AD9479">
      <w:pPr>
        <w:spacing w:line="360" w:lineRule="auto"/>
        <w:ind w:firstLine="480" w:firstLineChars="200"/>
        <w:rPr>
          <w:rFonts w:ascii="方正仿宋_GBK" w:hAnsi="宋体" w:eastAsia="方正仿宋_GBK"/>
          <w:sz w:val="24"/>
          <w:szCs w:val="24"/>
          <w:highlight w:val="none"/>
        </w:rPr>
      </w:pPr>
      <w:r>
        <w:rPr>
          <w:rFonts w:hint="eastAsia" w:ascii="仿宋" w:hAnsi="仿宋" w:eastAsia="仿宋" w:cs="仿宋"/>
          <w:sz w:val="24"/>
          <w:szCs w:val="24"/>
          <w:highlight w:val="none"/>
        </w:rPr>
        <w:t>3.网上竞采文件售价：人民币300</w:t>
      </w:r>
      <w:r>
        <w:rPr>
          <w:rFonts w:hint="eastAsia" w:ascii="方正仿宋_GBK" w:hAnsi="宋体" w:eastAsia="方正仿宋_GBK"/>
          <w:sz w:val="24"/>
          <w:szCs w:val="24"/>
          <w:highlight w:val="none"/>
        </w:rPr>
        <w:t>元/包（付款方式详见合越达采购文件发售登记表）。</w:t>
      </w:r>
    </w:p>
    <w:p w14:paraId="5D94A81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（四）线上报价</w:t>
      </w:r>
    </w:p>
    <w:p w14:paraId="61E939B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1.线上报价时间：以本项目网上公告规定的报价时间为准。</w:t>
      </w:r>
    </w:p>
    <w:p w14:paraId="1F80CB3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2.线上报价要求：按本项目规定的时间在行采家平台·竞采中心（https://www.gec123.com/xe/）进行网上报价并上传</w:t>
      </w:r>
      <w:r>
        <w:rPr>
          <w:rFonts w:hint="eastAsia" w:ascii="仿宋" w:hAnsi="仿宋" w:eastAsia="仿宋" w:cs="仿宋"/>
          <w:b/>
          <w:bCs/>
          <w:sz w:val="24"/>
          <w:szCs w:val="24"/>
          <w:highlight w:val="none"/>
        </w:rPr>
        <w:t>响应文件电子档一份</w:t>
      </w:r>
      <w:r>
        <w:rPr>
          <w:rFonts w:hint="eastAsia" w:ascii="仿宋" w:hAnsi="仿宋" w:eastAsia="仿宋" w:cs="仿宋"/>
          <w:sz w:val="24"/>
          <w:szCs w:val="24"/>
          <w:highlight w:val="none"/>
        </w:rPr>
        <w:t>。</w:t>
      </w:r>
    </w:p>
    <w:p w14:paraId="15469B98">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（五）纸质响应文件递交要求：</w:t>
      </w:r>
      <w:r>
        <w:rPr>
          <w:rFonts w:hint="eastAsia" w:ascii="仿宋" w:hAnsi="仿宋" w:eastAsia="仿宋" w:cs="仿宋"/>
          <w:b/>
          <w:bCs/>
          <w:sz w:val="24"/>
          <w:szCs w:val="24"/>
          <w:highlight w:val="none"/>
        </w:rPr>
        <w:t>（本项目采取线上线下相结合方式）</w:t>
      </w:r>
    </w:p>
    <w:p w14:paraId="3DDDD45D">
      <w:pPr>
        <w:spacing w:line="360" w:lineRule="auto"/>
        <w:ind w:firstLine="480" w:firstLineChars="200"/>
        <w:rPr>
          <w:rFonts w:ascii="仿宋" w:hAnsi="仿宋" w:eastAsia="仿宋" w:cs="仿宋"/>
          <w:b/>
          <w:bCs/>
          <w:sz w:val="24"/>
          <w:szCs w:val="24"/>
          <w:highlight w:val="none"/>
        </w:rPr>
      </w:pPr>
      <w:r>
        <w:rPr>
          <w:rFonts w:hint="eastAsia" w:ascii="仿宋" w:hAnsi="仿宋" w:eastAsia="仿宋" w:cs="仿宋"/>
          <w:sz w:val="24"/>
          <w:szCs w:val="24"/>
          <w:highlight w:val="none"/>
        </w:rPr>
        <w:t>1.纸质响应文件份数：</w:t>
      </w:r>
      <w:r>
        <w:rPr>
          <w:rFonts w:hint="eastAsia" w:ascii="仿宋" w:hAnsi="仿宋" w:eastAsia="仿宋" w:cs="仿宋"/>
          <w:b/>
          <w:bCs/>
          <w:sz w:val="24"/>
          <w:szCs w:val="24"/>
          <w:highlight w:val="none"/>
        </w:rPr>
        <w:t>正本1份，副本2份。密封完好，封套注明项目名称、供应商名称。副本可为正本复印件，纸质档与网上上传的电子档须保持一致，如出现不一致情况以纸质档正本为准。</w:t>
      </w:r>
    </w:p>
    <w:p w14:paraId="45A254D0">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2.递交方式：可现场递交或通过邮寄方式（邮寄仅支持顺丰寄付）</w:t>
      </w:r>
    </w:p>
    <w:p w14:paraId="16376450">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收件人及收件地址：冉老师18080686626，重庆市渝北区财富大厦A座1905室</w:t>
      </w:r>
    </w:p>
    <w:p w14:paraId="0A521CD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3.纸质响应递交截止时间：按本项目网上公告规定的报价截止时间为准（如邮寄递交以收到时间为准）。</w:t>
      </w:r>
    </w:p>
    <w:p w14:paraId="05DFED65">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（六）供应商须报名缴纳文件费，在截止时间内在平台上报价按要求上传响应文件并线下递交纸质响应文件，未按要求提供的为无效供应商。</w:t>
      </w:r>
    </w:p>
    <w:p w14:paraId="1109335E">
      <w:pPr>
        <w:spacing w:line="360" w:lineRule="auto"/>
        <w:rPr>
          <w:rFonts w:ascii="仿宋" w:hAnsi="仿宋" w:eastAsia="仿宋" w:cs="仿宋"/>
          <w:b/>
          <w:bCs/>
          <w:sz w:val="24"/>
          <w:szCs w:val="24"/>
          <w:highlight w:val="none"/>
        </w:rPr>
      </w:pPr>
      <w:bookmarkStart w:id="27" w:name="_Toc15478"/>
      <w:bookmarkStart w:id="28" w:name="_Toc19730"/>
      <w:bookmarkStart w:id="29" w:name="_Toc13969"/>
      <w:bookmarkStart w:id="30" w:name="_Toc14778"/>
      <w:bookmarkStart w:id="31" w:name="_Toc9027"/>
      <w:bookmarkStart w:id="32" w:name="_Toc31315"/>
      <w:bookmarkStart w:id="33" w:name="_Toc25516"/>
      <w:r>
        <w:rPr>
          <w:rFonts w:hint="eastAsia" w:ascii="仿宋" w:hAnsi="仿宋" w:eastAsia="仿宋" w:cs="仿宋"/>
          <w:b/>
          <w:bCs/>
          <w:sz w:val="24"/>
          <w:szCs w:val="24"/>
          <w:highlight w:val="none"/>
        </w:rPr>
        <w:t>五、</w:t>
      </w:r>
      <w:bookmarkEnd w:id="27"/>
      <w:bookmarkEnd w:id="28"/>
      <w:bookmarkEnd w:id="29"/>
      <w:bookmarkEnd w:id="30"/>
      <w:bookmarkEnd w:id="31"/>
      <w:bookmarkEnd w:id="32"/>
      <w:bookmarkEnd w:id="33"/>
      <w:r>
        <w:rPr>
          <w:rFonts w:hint="eastAsia" w:ascii="仿宋" w:hAnsi="仿宋" w:eastAsia="仿宋" w:cs="仿宋"/>
          <w:b/>
          <w:bCs/>
          <w:sz w:val="24"/>
          <w:szCs w:val="24"/>
          <w:highlight w:val="none"/>
        </w:rPr>
        <w:t>其它有关规定</w:t>
      </w:r>
    </w:p>
    <w:p w14:paraId="20FFDE73">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（一）单位负责人为同一人或者存在直接控股、管理关系的不同供应商，不得参加同一合同项（分包）下的竞采活动，否则均为无效响应。</w:t>
      </w:r>
    </w:p>
    <w:p w14:paraId="418F1334">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（二）为采购项目提供整体设计、规范编制或者项目管理、监理、检测等服务的供应商，不得再参加该采购项目的其他采购活动。</w:t>
      </w:r>
    </w:p>
    <w:p w14:paraId="365F528A">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（三）本项目的变更等文件（如果有）一律在“行采家•网上竞采”上发布，请各供应商注意下载；无论供应商下载与否，均视同供应商已知晓本项目澄清文件（如果有）的内容。</w:t>
      </w:r>
    </w:p>
    <w:p w14:paraId="4E457EFC">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（四）超过响应文件截止时间递交的响应文件，恕不接收。</w:t>
      </w:r>
    </w:p>
    <w:p w14:paraId="19563C9B">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（五）竞采费用：无论竞采结果如何，供应商参与本项目竞采的所有成本费用均应由供应商自行承担。</w:t>
      </w:r>
    </w:p>
    <w:p w14:paraId="3DFEC27B">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（六）</w:t>
      </w:r>
      <w:r>
        <w:rPr>
          <w:rFonts w:hint="eastAsia" w:ascii="仿宋" w:hAnsi="仿宋" w:eastAsia="仿宋" w:cs="仿宋"/>
          <w:b/>
          <w:sz w:val="24"/>
          <w:szCs w:val="24"/>
          <w:highlight w:val="none"/>
        </w:rPr>
        <w:t>本项目不接受联合体参与竞采、不接受分包，否则作无效投标处理。</w:t>
      </w:r>
    </w:p>
    <w:p w14:paraId="0E52D723">
      <w:pPr>
        <w:snapToGrid w:val="0"/>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网上竞采活动。</w:t>
      </w:r>
    </w:p>
    <w:p w14:paraId="4D92C6BF">
      <w:pPr>
        <w:snapToGrid w:val="0"/>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六、供应商提交响应文件</w:t>
      </w:r>
    </w:p>
    <w:p w14:paraId="4C734C47">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1、供应商线上报名、报价时需上传盖章后的电子文档一份，并按网上竞采文件要求递交响应文件纸质文件。</w:t>
      </w:r>
    </w:p>
    <w:p w14:paraId="7DCB9E6E">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2、采购人将以线下递交的响应文件正本资料作为评判依据。</w:t>
      </w:r>
    </w:p>
    <w:p w14:paraId="293AA7CB">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3、供应商制作的响应文件须按照要求制作，规定签字、盖章的地方必须按其规定签字、盖章，未按要求制作响应文件的进行废标处理。</w:t>
      </w:r>
    </w:p>
    <w:p w14:paraId="5336A9EE">
      <w:pPr>
        <w:snapToGrid w:val="0"/>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七、</w:t>
      </w:r>
      <w:bookmarkStart w:id="34" w:name="_Toc20778"/>
      <w:bookmarkStart w:id="35" w:name="_Toc25886"/>
      <w:bookmarkStart w:id="36" w:name="_Toc27955"/>
      <w:bookmarkStart w:id="37" w:name="_Toc9654"/>
      <w:bookmarkStart w:id="38" w:name="_Toc3475"/>
      <w:bookmarkStart w:id="39" w:name="_Toc5085"/>
      <w:bookmarkStart w:id="40" w:name="_Toc11828"/>
      <w:r>
        <w:rPr>
          <w:rFonts w:hint="eastAsia" w:ascii="仿宋" w:hAnsi="仿宋" w:eastAsia="仿宋" w:cs="仿宋"/>
          <w:b/>
          <w:bCs/>
          <w:sz w:val="24"/>
          <w:szCs w:val="24"/>
          <w:highlight w:val="none"/>
        </w:rPr>
        <w:t>联系方式</w:t>
      </w:r>
      <w:bookmarkEnd w:id="34"/>
      <w:bookmarkEnd w:id="35"/>
      <w:bookmarkEnd w:id="36"/>
      <w:bookmarkEnd w:id="37"/>
      <w:bookmarkEnd w:id="38"/>
      <w:bookmarkEnd w:id="39"/>
      <w:bookmarkEnd w:id="40"/>
    </w:p>
    <w:p w14:paraId="6102461D">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（一）采购人：重庆中医药学院</w:t>
      </w:r>
    </w:p>
    <w:p w14:paraId="4DF496F2">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李</w:t>
      </w:r>
      <w:r>
        <w:rPr>
          <w:rFonts w:hint="eastAsia" w:ascii="仿宋" w:hAnsi="仿宋" w:eastAsia="仿宋" w:cs="仿宋"/>
          <w:sz w:val="24"/>
          <w:szCs w:val="24"/>
          <w:highlight w:val="none"/>
        </w:rPr>
        <w:t>老师</w:t>
      </w:r>
    </w:p>
    <w:p w14:paraId="011071EC">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电  话：</w:t>
      </w:r>
      <w:r>
        <w:rPr>
          <w:rFonts w:ascii="仿宋" w:hAnsi="仿宋" w:eastAsia="仿宋" w:cs="仿宋"/>
          <w:sz w:val="24"/>
          <w:szCs w:val="24"/>
          <w:highlight w:val="none"/>
        </w:rPr>
        <w:t>023-</w:t>
      </w:r>
      <w:r>
        <w:rPr>
          <w:rFonts w:hint="eastAsia" w:ascii="仿宋" w:hAnsi="仿宋" w:eastAsia="仿宋" w:cs="仿宋"/>
          <w:sz w:val="24"/>
          <w:szCs w:val="24"/>
          <w:highlight w:val="none"/>
        </w:rPr>
        <w:t>65880567</w:t>
      </w:r>
    </w:p>
    <w:p w14:paraId="7BFB9623">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  址：重庆市璧山区</w:t>
      </w:r>
      <w:r>
        <w:rPr>
          <w:rFonts w:hint="eastAsia" w:ascii="仿宋" w:hAnsi="仿宋" w:eastAsia="仿宋" w:cs="仿宋"/>
          <w:sz w:val="24"/>
          <w:szCs w:val="24"/>
          <w:highlight w:val="none"/>
          <w:lang w:eastAsia="zh-CN"/>
        </w:rPr>
        <w:t>璧</w:t>
      </w:r>
      <w:r>
        <w:rPr>
          <w:rFonts w:hint="eastAsia" w:ascii="仿宋" w:hAnsi="仿宋" w:eastAsia="仿宋" w:cs="仿宋"/>
          <w:sz w:val="24"/>
          <w:szCs w:val="24"/>
          <w:highlight w:val="none"/>
        </w:rPr>
        <w:t>城街道国学路61号</w:t>
      </w:r>
    </w:p>
    <w:p w14:paraId="7E63F4DB">
      <w:pPr>
        <w:spacing w:line="360" w:lineRule="auto"/>
        <w:ind w:firstLine="480" w:firstLineChars="200"/>
        <w:rPr>
          <w:rFonts w:ascii="仿宋" w:hAnsi="仿宋" w:eastAsia="仿宋" w:cs="仿宋"/>
          <w:sz w:val="24"/>
          <w:szCs w:val="24"/>
          <w:highlight w:val="none"/>
        </w:rPr>
      </w:pPr>
    </w:p>
    <w:p w14:paraId="2DAD0874">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（二）采购代理机构：重庆合越达工程管理有限公司</w:t>
      </w:r>
    </w:p>
    <w:p w14:paraId="6F86DB7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联系人：冉老师</w:t>
      </w:r>
    </w:p>
    <w:p w14:paraId="113F0159">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电  话：18080686626</w:t>
      </w:r>
    </w:p>
    <w:p w14:paraId="68402D8E">
      <w:pPr>
        <w:spacing w:line="360" w:lineRule="auto"/>
        <w:ind w:firstLine="480" w:firstLineChars="200"/>
        <w:rPr>
          <w:rFonts w:hint="eastAsia" w:ascii="仿宋" w:hAnsi="仿宋" w:eastAsia="仿宋" w:cs="仿宋"/>
          <w:b/>
          <w:bCs/>
          <w:color w:val="auto"/>
          <w:sz w:val="36"/>
          <w:szCs w:val="36"/>
          <w:highlight w:val="none"/>
        </w:rPr>
      </w:pPr>
      <w:r>
        <w:rPr>
          <w:rFonts w:hint="eastAsia" w:ascii="仿宋" w:hAnsi="仿宋" w:eastAsia="仿宋" w:cs="仿宋"/>
          <w:sz w:val="24"/>
          <w:szCs w:val="24"/>
          <w:highlight w:val="none"/>
        </w:rPr>
        <w:t>地  址：重庆市渝北区财富大厦A座1905室</w:t>
      </w:r>
      <w:r>
        <w:rPr>
          <w:rFonts w:hint="eastAsia" w:ascii="仿宋" w:hAnsi="仿宋" w:eastAsia="仿宋" w:cs="仿宋"/>
          <w:b/>
          <w:bCs/>
          <w:color w:val="auto"/>
          <w:sz w:val="36"/>
          <w:szCs w:val="36"/>
          <w:highlight w:val="none"/>
        </w:rPr>
        <w:br w:type="page"/>
      </w:r>
    </w:p>
    <w:p w14:paraId="71886F8F">
      <w:pPr>
        <w:spacing w:line="360" w:lineRule="auto"/>
        <w:jc w:val="center"/>
        <w:outlineLvl w:val="0"/>
        <w:rPr>
          <w:rFonts w:hint="eastAsia" w:ascii="仿宋" w:hAnsi="仿宋" w:eastAsia="仿宋" w:cs="仿宋"/>
          <w:b/>
          <w:bCs/>
          <w:color w:val="auto"/>
          <w:sz w:val="36"/>
          <w:szCs w:val="36"/>
          <w:highlight w:val="none"/>
          <w:lang w:eastAsia="zh-CN"/>
        </w:rPr>
      </w:pPr>
      <w:bookmarkStart w:id="41" w:name="_Toc4085"/>
      <w:r>
        <w:rPr>
          <w:rFonts w:hint="eastAsia" w:ascii="仿宋" w:hAnsi="仿宋" w:eastAsia="仿宋" w:cs="仿宋"/>
          <w:b/>
          <w:bCs/>
          <w:color w:val="auto"/>
          <w:sz w:val="36"/>
          <w:szCs w:val="36"/>
          <w:highlight w:val="none"/>
        </w:rPr>
        <w:t xml:space="preserve">第二篇  </w:t>
      </w:r>
      <w:bookmarkEnd w:id="25"/>
      <w:bookmarkEnd w:id="26"/>
      <w:r>
        <w:rPr>
          <w:rFonts w:hint="eastAsia" w:ascii="仿宋" w:hAnsi="仿宋" w:eastAsia="仿宋" w:cs="仿宋"/>
          <w:b/>
          <w:bCs/>
          <w:color w:val="auto"/>
          <w:sz w:val="36"/>
          <w:szCs w:val="36"/>
          <w:highlight w:val="none"/>
          <w:lang w:eastAsia="zh-CN"/>
        </w:rPr>
        <w:t>项目服务需求</w:t>
      </w:r>
      <w:bookmarkEnd w:id="41"/>
    </w:p>
    <w:p w14:paraId="511F6CF0">
      <w:pPr>
        <w:spacing w:line="360" w:lineRule="auto"/>
        <w:jc w:val="left"/>
        <w:rPr>
          <w:rFonts w:ascii="仿宋" w:hAnsi="仿宋" w:eastAsia="仿宋" w:cs="仿宋"/>
          <w:b/>
          <w:bCs/>
          <w:color w:val="auto"/>
          <w:sz w:val="24"/>
          <w:szCs w:val="24"/>
          <w:highlight w:val="none"/>
          <w:u w:val="single"/>
        </w:rPr>
      </w:pPr>
      <w:bookmarkStart w:id="42" w:name="_Toc76462325"/>
      <w:bookmarkStart w:id="43" w:name="_Toc12789058"/>
    </w:p>
    <w:p w14:paraId="4EC9F982">
      <w:pPr>
        <w:spacing w:line="360" w:lineRule="auto"/>
        <w:jc w:val="center"/>
        <w:rPr>
          <w:rFonts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本篇服务需求为符合性审查中的实质性要求，响应文件若不满足按无效处理。</w:t>
      </w:r>
    </w:p>
    <w:p w14:paraId="07A2159A">
      <w:pPr>
        <w:spacing w:line="360" w:lineRule="auto"/>
        <w:jc w:val="left"/>
        <w:rPr>
          <w:rFonts w:ascii="仿宋" w:hAnsi="仿宋" w:eastAsia="仿宋" w:cs="仿宋"/>
          <w:b/>
          <w:bCs/>
          <w:color w:val="auto"/>
          <w:sz w:val="24"/>
          <w:szCs w:val="24"/>
          <w:highlight w:val="none"/>
        </w:rPr>
      </w:pPr>
      <w:bookmarkStart w:id="44" w:name="_Toc106030879"/>
      <w:r>
        <w:rPr>
          <w:rFonts w:hint="eastAsia" w:ascii="仿宋" w:hAnsi="仿宋" w:eastAsia="仿宋" w:cs="仿宋"/>
          <w:b/>
          <w:bCs/>
          <w:color w:val="auto"/>
          <w:sz w:val="24"/>
          <w:szCs w:val="24"/>
          <w:highlight w:val="none"/>
        </w:rPr>
        <w:t>一、项目基本概况介绍</w:t>
      </w:r>
      <w:bookmarkEnd w:id="42"/>
      <w:bookmarkEnd w:id="44"/>
    </w:p>
    <w:p w14:paraId="091A520C">
      <w:pPr>
        <w:spacing w:line="360" w:lineRule="auto"/>
        <w:ind w:firstLine="480" w:firstLineChars="200"/>
        <w:jc w:val="left"/>
        <w:rPr>
          <w:rFonts w:hint="eastAsia" w:ascii="仿宋" w:hAnsi="仿宋" w:eastAsia="仿宋" w:cs="仿宋"/>
          <w:color w:val="auto"/>
          <w:sz w:val="24"/>
          <w:szCs w:val="24"/>
          <w:highlight w:val="none"/>
          <w:lang w:val="en-US" w:eastAsia="zh-CN"/>
        </w:rPr>
      </w:pPr>
      <w:bookmarkStart w:id="45" w:name="_Toc106030880"/>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lang w:eastAsia="zh-CN"/>
        </w:rPr>
        <w:t>内容主要包含智慧教室（</w:t>
      </w:r>
      <w:r>
        <w:rPr>
          <w:rFonts w:hint="eastAsia" w:ascii="仿宋" w:hAnsi="仿宋" w:eastAsia="仿宋" w:cs="仿宋"/>
          <w:color w:val="auto"/>
          <w:sz w:val="24"/>
          <w:szCs w:val="24"/>
          <w:highlight w:val="none"/>
          <w:lang w:val="en-US" w:eastAsia="zh-CN"/>
        </w:rPr>
        <w:t>包含计算机教室</w:t>
      </w:r>
      <w:r>
        <w:rPr>
          <w:rFonts w:hint="eastAsia" w:ascii="仿宋" w:hAnsi="仿宋" w:eastAsia="仿宋" w:cs="仿宋"/>
          <w:color w:val="auto"/>
          <w:sz w:val="24"/>
          <w:szCs w:val="24"/>
          <w:highlight w:val="none"/>
          <w:lang w:eastAsia="zh-CN"/>
        </w:rPr>
        <w:t>）设备运维服务、标准化考场设备运维服务、中控室及机房日常管理及巡检服务、智慧教室基础软硬件数据统计服务、备机服务、维修服务、保障服务、巡检服务等。本次采购的运维服务采取专业运维技术人员驻校服务形式，运维服务供应商具备完整的运维服务实施团队，包括项目管理人员、技术支持人员和驻校技术服务人员。</w:t>
      </w:r>
    </w:p>
    <w:p w14:paraId="07F7F3C1">
      <w:pPr>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二、服务范围、要求及标准</w:t>
      </w:r>
      <w:bookmarkEnd w:id="45"/>
    </w:p>
    <w:p w14:paraId="02EB0607">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（一）服务范围：包含智慧教室（包含计算机教室）197间、标准化考场49间、控制室1间的设备运维服务、日常管理及巡检服务、数据统计服务、备机服务、维修服务、保障服务、巡检服务等。</w:t>
      </w:r>
    </w:p>
    <w:p w14:paraId="1F6F1E56">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（二）服务要求：</w:t>
      </w:r>
    </w:p>
    <w:p w14:paraId="6D16611E">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1.智慧教室（包含计算机教室）设备运维服务</w:t>
      </w:r>
    </w:p>
    <w:p w14:paraId="76331B24">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内容包括但不限于：显示设备（投影机、一体机、智慧黑板、互联绿板、幕布、云桌面系统、教学终端等），扩声设备（音箱、功放、话筒、音频处理器等），控制设备（中控、触控显示屏、语音呼叫等），录播设备（录播主机、教师和学生摄像机、录播吊麦、录播音频处理器等），信息发布设备，升降讲台，音视频制作系统，教学督导巡课评课重修系统，智能运维系统，语音呼叫系统的日常维护、故障处理、巡检和重要活动保障。</w:t>
      </w:r>
    </w:p>
    <w:p w14:paraId="38DE9C9E">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每月定期巡检，内容包括但不限于：检查投影机效果（确保显示亮度足够，画面不倾斜、不偏色），中控和控制面板（测试上下课程序运行情况、面板按键对应功能、信号切换等），检查音视频输入输出线路（确保无松动情况），调试功放、话筒音量（确保正常扩音），检查云桌面和教学终端运行情况（是否正常开机、音视频信号输出是否正常、运行是否流畅、软件更新、安全漏洞修补等）。</w:t>
      </w:r>
    </w:p>
    <w:p w14:paraId="5FEFAF45">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（2）每月定期对相关管理平台服务器系统进行维护服务，及时对服务器提供最新的安全漏洞修补程序，以避免服务器出现故障影响使用。 </w:t>
      </w:r>
    </w:p>
    <w:p w14:paraId="7B76A08E">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每年对教室所有投影机进行两次清洁维护，寒假期间进行普通维护，暑假期间进行超声波深度维护（包括光路清洁等）并提供维护信息记录表（内容包括但不限于：维护前后光源亮度、光源使用时间等），维护之后保证设备运行正常。</w:t>
      </w:r>
    </w:p>
    <w:p w14:paraId="2B38A729">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（4）每年对招标范围内除投影机以外的设备寒假期间做一次除尘、检修，暑期期间做一次全面除尘、检修。</w:t>
      </w:r>
    </w:p>
    <w:p w14:paraId="625DAC5B">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（5）所有设备按学校要求对接学校数据中心。        </w:t>
      </w:r>
    </w:p>
    <w:p w14:paraId="6929BCBF">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2.标准化考场设备运维服务</w:t>
      </w:r>
    </w:p>
    <w:p w14:paraId="15393E6F">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标准化考场系统运维服务包括但不限于：监控、广播、LED时钟、防作弊、防雷、UPS、标考监控室内机房等设备的日常维护、故障处理、巡检和考试保障等。</w:t>
      </w:r>
    </w:p>
    <w:p w14:paraId="3235722F">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（1）根据英语四六级、研究生等各类考试提供设备检查、维护和人员驻场保障服务。</w:t>
      </w:r>
    </w:p>
    <w:p w14:paraId="48603E9C">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（2）每月定期对标考系统设备（包括但不限于：监控、广播、时钟等）进行巡检（包括检查设备的运行状态、硬件是否存在损坏、软件是否需要更新、线路是否通畅等）和清洁等服务。</w:t>
      </w:r>
    </w:p>
    <w:p w14:paraId="5CE99980">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（3）每月定期对中控室内的电视墙、控制电脑、流媒体存储服务器、交换机、音频播放设备、空调、UPS、市电等硬件设备进行巡检（包括网络通信、磁盘存储状态等）和清洁等服务。</w:t>
      </w:r>
    </w:p>
    <w:p w14:paraId="105971A2">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3.中控室及机房运维服务</w:t>
      </w:r>
    </w:p>
    <w:p w14:paraId="3D543696">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（1）对中控室和机房的温度、湿度、照明、防鼠、防水、防尘、消防、卫生、门窗的关闭进行检查和维护并做好记录。</w:t>
      </w:r>
    </w:p>
    <w:p w14:paraId="069EF6DC">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（2）对机房内交换机（含骨干交换机等）、路由器等软硬件设备设施进行定期维护与巡检并做好记录。</w:t>
      </w:r>
    </w:p>
    <w:p w14:paraId="7FD55F64">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（3）对机房的空调、UPS系统等进行日常巡检与维护并做好记录。</w:t>
      </w:r>
    </w:p>
    <w:p w14:paraId="6927EAA2">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（4）对中控室电视墙、控制电脑、网络、标考广播播放设备等软硬件设备设施进行定期维护与巡检并做好记录。</w:t>
      </w:r>
    </w:p>
    <w:p w14:paraId="5EC9E40F">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4.智慧教室基础软硬件数据统计服务</w:t>
      </w:r>
    </w:p>
    <w:p w14:paraId="36ECF8C6">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（1）统计相关硬件产品型号、资产编号、采购日期、质保期、设备厂家名称、数量、存放地点等，同时上传至重庆中医药学院智能运维系统。</w:t>
      </w:r>
    </w:p>
    <w:p w14:paraId="18899A42">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（2）统计相关软件产品型号和版本等内容并整理为文档保存。</w:t>
      </w:r>
    </w:p>
    <w:p w14:paraId="75DE7F5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（3）统计软硬件产品IP信息并整理为文档保存。</w:t>
      </w:r>
    </w:p>
    <w:p w14:paraId="4299A2C5">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（4）提供智慧教学系统显示、控制、扩声、录播等系统拓扑图。</w:t>
      </w:r>
    </w:p>
    <w:p w14:paraId="102868D9">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（5）提供标准化考场系统监控、广播、LED时钟、防屏蔽等系统拓扑图。</w:t>
      </w:r>
    </w:p>
    <w:p w14:paraId="064F9B3C">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5.提供备机服务</w:t>
      </w:r>
    </w:p>
    <w:p w14:paraId="6EB842FB">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根据教室设备情况，要求供应商提供相应数量的备用设备，包括但不限于：智能控制主机、数字红外无线主机、数字红外无线麦克风、信息发布终端、标考红外高清网络半球摄像机、终端解码器等。</w:t>
      </w:r>
    </w:p>
    <w:p w14:paraId="31343E3B">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6.维修服务要求</w:t>
      </w:r>
    </w:p>
    <w:p w14:paraId="082DC3F2">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质保期内：设备出现故障后，由提供运维服务的供应商进行检查，确认需返厂维修或更换配件等，运维人员负责联系对应供应商进行维修处理。</w:t>
      </w:r>
    </w:p>
    <w:p w14:paraId="7654435E">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质保期外：设备出现故障后，由提供运维服务的供应商进行检查，确认需返厂维修或更换配件等，运维人员负责联系对应供应商进行维修处理，相关维修费用由对应维修供应商开具发票据实报销。</w:t>
      </w:r>
    </w:p>
    <w:p w14:paraId="5E4C92E5">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7.保障服务要求</w:t>
      </w:r>
    </w:p>
    <w:p w14:paraId="3F9126A9">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根据活动、比赛或考试的具体要求提前做好设备调试、安装、检查工作。</w:t>
      </w:r>
    </w:p>
    <w:p w14:paraId="32E14F25">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根据用户要求提供技术人员现场保障工作。</w:t>
      </w:r>
    </w:p>
    <w:p w14:paraId="6E1ABA8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8.巡检服务要求</w:t>
      </w:r>
    </w:p>
    <w:p w14:paraId="168995D2">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每次巡检时间不少于2天，巡检人员不少于2人，发现问题及时处理并上报学校相关管理人员。</w:t>
      </w:r>
    </w:p>
    <w:p w14:paraId="55CCE39C">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9.运维工单记录要求</w:t>
      </w:r>
    </w:p>
    <w:p w14:paraId="056E35B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针对上述服务内容按服务次数形成运维记录工单提交至学校相关管理人员同时上传至重庆中医药学院智能运维系统。</w:t>
      </w:r>
    </w:p>
    <w:p w14:paraId="3572A9CE">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（三）质量标准：符合采购人需求及相关技术标准及规范，并达到合格标准，具体要求如下：</w:t>
      </w:r>
    </w:p>
    <w:tbl>
      <w:tblPr>
        <w:tblStyle w:val="21"/>
        <w:tblW w:w="503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6"/>
        <w:gridCol w:w="1952"/>
        <w:gridCol w:w="6605"/>
      </w:tblGrid>
      <w:tr w14:paraId="0D06BE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96" w:type="pct"/>
            <w:shd w:val="clear" w:color="auto" w:fill="auto"/>
            <w:vAlign w:val="center"/>
          </w:tcPr>
          <w:p w14:paraId="0DD141B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050" w:type="pct"/>
            <w:shd w:val="clear" w:color="auto" w:fill="auto"/>
            <w:vAlign w:val="center"/>
          </w:tcPr>
          <w:p w14:paraId="573847D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服务内容</w:t>
            </w:r>
          </w:p>
        </w:tc>
        <w:tc>
          <w:tcPr>
            <w:tcW w:w="3552" w:type="pct"/>
            <w:shd w:val="clear" w:color="auto" w:fill="auto"/>
            <w:vAlign w:val="center"/>
          </w:tcPr>
          <w:p w14:paraId="25254344">
            <w:pPr>
              <w:spacing w:line="360" w:lineRule="auto"/>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服务标准</w:t>
            </w:r>
          </w:p>
        </w:tc>
      </w:tr>
      <w:tr w14:paraId="22D974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96" w:type="pct"/>
            <w:vAlign w:val="center"/>
          </w:tcPr>
          <w:p w14:paraId="39FF2ED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50" w:type="pct"/>
            <w:vAlign w:val="center"/>
          </w:tcPr>
          <w:p w14:paraId="69EC92E9">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值班岗位值守</w:t>
            </w:r>
          </w:p>
        </w:tc>
        <w:tc>
          <w:tcPr>
            <w:tcW w:w="3552" w:type="pct"/>
            <w:vAlign w:val="center"/>
          </w:tcPr>
          <w:p w14:paraId="6C09AD4D">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值班人员不得无故离岗或在值班时睡觉；外来人员进入值班室必须严格控制并按规定履行手续、做好相关记录；对外来设备厂家单位，经相关部门准许后方可进入，在做好责任区域的情况介绍（严禁泄密）的同时，注意安全工作，并事后做好工作记录。</w:t>
            </w:r>
          </w:p>
          <w:p w14:paraId="2B72B866">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2.要求7×24小时电话值班，一旦发生紧急突发情况，应在两小时内赶到现场处置。</w:t>
            </w:r>
          </w:p>
        </w:tc>
      </w:tr>
      <w:tr w14:paraId="72F34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96" w:type="pct"/>
            <w:vAlign w:val="center"/>
          </w:tcPr>
          <w:p w14:paraId="3D12AB1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50" w:type="pct"/>
            <w:vAlign w:val="center"/>
          </w:tcPr>
          <w:p w14:paraId="1E86E3FB">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中控室及机房日常运维</w:t>
            </w:r>
          </w:p>
        </w:tc>
        <w:tc>
          <w:tcPr>
            <w:tcW w:w="3552" w:type="pct"/>
            <w:vAlign w:val="center"/>
          </w:tcPr>
          <w:p w14:paraId="26B8CDF2">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1.每天对机房的运行环境和所有硬件设备的运行状态进行巡查监测工作。记录巡查结果，发现问题及时通知相关负责人并给出解决方案进行故障处理。</w:t>
            </w:r>
          </w:p>
          <w:p w14:paraId="7D64AA35">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2.每天对中控室所有硬件设备的运行状态进行巡查检测，检测教室设备运行情况，发现问题及时解决。</w:t>
            </w:r>
          </w:p>
        </w:tc>
      </w:tr>
      <w:tr w14:paraId="73E1D7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96" w:type="pct"/>
            <w:vAlign w:val="center"/>
          </w:tcPr>
          <w:p w14:paraId="3305D8C6">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050" w:type="pct"/>
            <w:vAlign w:val="center"/>
          </w:tcPr>
          <w:p w14:paraId="27B1415F">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智慧教室设备运维</w:t>
            </w:r>
          </w:p>
        </w:tc>
        <w:tc>
          <w:tcPr>
            <w:tcW w:w="3552" w:type="pct"/>
            <w:vAlign w:val="center"/>
          </w:tcPr>
          <w:p w14:paraId="4AF0C7C2">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运维人员在接到故障报修后，应立刻响应并着手处理相关故障，从接受故障报修、处理故障、恢复故障到反馈意见形成完整的工作流程闭环，形成工单记录。故障恢复时间须不超过24小时（特殊情况除外）。</w:t>
            </w:r>
          </w:p>
        </w:tc>
      </w:tr>
      <w:tr w14:paraId="3D3AD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96" w:type="pct"/>
            <w:vAlign w:val="center"/>
          </w:tcPr>
          <w:p w14:paraId="5EDC6345">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050" w:type="pct"/>
            <w:vAlign w:val="center"/>
          </w:tcPr>
          <w:p w14:paraId="1F3C85A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标准化考场系统运维</w:t>
            </w:r>
          </w:p>
        </w:tc>
        <w:tc>
          <w:tcPr>
            <w:tcW w:w="3552" w:type="pct"/>
            <w:vAlign w:val="center"/>
          </w:tcPr>
          <w:p w14:paraId="3EE85E24">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运维人员在接受故障报修后，应立刻响应并着手处理相关故障，从接受故障报修、处理故障、恢复故障到反馈意见形成完整的工作流程闭环，形成工单记录，故障恢复时间须不超过24小时（特殊情况除外）。</w:t>
            </w:r>
          </w:p>
        </w:tc>
      </w:tr>
      <w:tr w14:paraId="1D78D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96" w:type="pct"/>
            <w:vAlign w:val="center"/>
          </w:tcPr>
          <w:p w14:paraId="6BC411B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050" w:type="pct"/>
            <w:vAlign w:val="center"/>
          </w:tcPr>
          <w:p w14:paraId="5E242346">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业务相关软硬件系统巡检、维护和清查</w:t>
            </w:r>
          </w:p>
        </w:tc>
        <w:tc>
          <w:tcPr>
            <w:tcW w:w="3552" w:type="pct"/>
            <w:vAlign w:val="center"/>
          </w:tcPr>
          <w:p w14:paraId="1798391B">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1.每月对业务相关软硬件设备及系统进行定期巡检检查，并形成记录。</w:t>
            </w:r>
          </w:p>
          <w:p w14:paraId="4E423EF2">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2.整理设备信息、安装和存放位置、数量等，形成记录，并根据变动情况实时更新，定期向相关负责人汇报。</w:t>
            </w:r>
          </w:p>
          <w:p w14:paraId="29199660">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3.配合教务处定期完成业务相关软硬件设备清查工作。</w:t>
            </w:r>
          </w:p>
        </w:tc>
      </w:tr>
    </w:tbl>
    <w:p w14:paraId="7E416488">
      <w:pPr>
        <w:spacing w:line="360" w:lineRule="auto"/>
        <w:jc w:val="left"/>
        <w:rPr>
          <w:rFonts w:hint="default" w:ascii="仿宋" w:hAnsi="仿宋" w:eastAsia="仿宋" w:cs="仿宋"/>
          <w:b/>
          <w:bCs/>
          <w:color w:val="auto"/>
          <w:sz w:val="24"/>
          <w:szCs w:val="24"/>
          <w:highlight w:val="none"/>
          <w:lang w:val="en-US" w:eastAsia="zh-CN"/>
        </w:rPr>
      </w:pPr>
      <w:bookmarkStart w:id="46" w:name="_Toc32736"/>
      <w:bookmarkStart w:id="47" w:name="_Toc153793328"/>
      <w:bookmarkStart w:id="48" w:name="_Toc10177"/>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bookmarkEnd w:id="46"/>
      <w:bookmarkEnd w:id="47"/>
      <w:bookmarkEnd w:id="48"/>
      <w:r>
        <w:rPr>
          <w:rFonts w:hint="eastAsia" w:ascii="仿宋" w:hAnsi="仿宋" w:eastAsia="仿宋" w:cs="仿宋"/>
          <w:b/>
          <w:bCs/>
          <w:color w:val="auto"/>
          <w:sz w:val="24"/>
          <w:szCs w:val="24"/>
          <w:highlight w:val="none"/>
          <w:lang w:val="en-US" w:eastAsia="zh-CN"/>
        </w:rPr>
        <w:t>项目人员要求</w:t>
      </w:r>
    </w:p>
    <w:p w14:paraId="43354742">
      <w:pPr>
        <w:spacing w:line="360" w:lineRule="auto"/>
        <w:ind w:firstLine="480" w:firstLineChars="200"/>
        <w:jc w:val="left"/>
        <w:rPr>
          <w:rFonts w:hint="eastAsia" w:ascii="仿宋" w:hAnsi="仿宋" w:eastAsia="仿宋" w:cs="仿宋"/>
          <w:color w:val="auto"/>
          <w:sz w:val="24"/>
          <w:szCs w:val="24"/>
          <w:highlight w:val="none"/>
          <w:lang w:eastAsia="zh-CN"/>
        </w:rPr>
      </w:pPr>
      <w:bookmarkStart w:id="49" w:name="_Toc106030882"/>
      <w:bookmarkStart w:id="50" w:name="_Toc76462327"/>
      <w:r>
        <w:rPr>
          <w:rFonts w:hint="eastAsia" w:ascii="仿宋" w:hAnsi="仿宋" w:eastAsia="仿宋" w:cs="仿宋"/>
          <w:color w:val="auto"/>
          <w:sz w:val="24"/>
          <w:szCs w:val="24"/>
          <w:highlight w:val="none"/>
          <w:lang w:eastAsia="zh-CN"/>
        </w:rPr>
        <w:t>1、固定驻场运维服务人员：不低于2人，</w:t>
      </w:r>
      <w:r>
        <w:rPr>
          <w:rFonts w:hint="eastAsia" w:ascii="仿宋" w:hAnsi="仿宋" w:eastAsia="仿宋" w:cs="仿宋"/>
          <w:color w:val="auto"/>
          <w:sz w:val="24"/>
          <w:szCs w:val="24"/>
          <w:highlight w:val="none"/>
          <w:lang w:val="en-US" w:eastAsia="zh-CN"/>
        </w:rPr>
        <w:t>主要</w:t>
      </w:r>
      <w:r>
        <w:rPr>
          <w:rFonts w:hint="eastAsia" w:ascii="仿宋" w:hAnsi="仿宋" w:eastAsia="仿宋" w:cs="仿宋"/>
          <w:color w:val="auto"/>
          <w:sz w:val="24"/>
          <w:szCs w:val="24"/>
          <w:highlight w:val="none"/>
          <w:lang w:eastAsia="zh-CN"/>
        </w:rPr>
        <w:t>负责重庆中医药学院智慧教室</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标考系统设备的运行和维护的</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lang w:eastAsia="zh-CN"/>
        </w:rPr>
        <w:t>要求学历全日制大学专科及以上学历并为计算机相关专业。</w:t>
      </w:r>
    </w:p>
    <w:p w14:paraId="42EEEC7F">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lang w:eastAsia="zh-CN"/>
        </w:rPr>
        <w:t>如遇运维服务人员调整需提前1个月提交报告至学校相关管理人员审批，同意后才可更换。</w:t>
      </w:r>
    </w:p>
    <w:p w14:paraId="6C497E5F">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运维</w:t>
      </w:r>
      <w:r>
        <w:rPr>
          <w:rFonts w:hint="eastAsia" w:ascii="仿宋" w:hAnsi="仿宋" w:eastAsia="仿宋" w:cs="仿宋"/>
          <w:color w:val="auto"/>
          <w:sz w:val="24"/>
          <w:szCs w:val="24"/>
          <w:highlight w:val="none"/>
          <w:lang w:eastAsia="zh-CN"/>
        </w:rPr>
        <w:t>服务人员要求</w:t>
      </w:r>
    </w:p>
    <w:p w14:paraId="301B1504">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（1）从事本行业2年及以上的专业技术人员。</w:t>
      </w:r>
    </w:p>
    <w:p w14:paraId="23802DF6">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（2）具备网络中控编程、调试和问题处理能力。</w:t>
      </w:r>
    </w:p>
    <w:p w14:paraId="7F436F4D">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熟悉投影机、一体机、智慧黑板、互联绿板、幕布、云桌面系统、教学终端、智能控制终端、触控显示屏、录播主机、教师和学生摄像机、录播吊麦、录播音频处理器、信息发布、标考监控、广播、LED时钟、防作弊等设备。</w:t>
      </w:r>
    </w:p>
    <w:p w14:paraId="7ADAECC8">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（4）掌握计算机基础操作，能独立解决计算机各种常规故障。</w:t>
      </w:r>
    </w:p>
    <w:p w14:paraId="6E6BD621">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（5）熟悉日常办公软件和其他常用软件的使用，能进行常见操作系统和应用软件的日常运维。</w:t>
      </w:r>
    </w:p>
    <w:p w14:paraId="6174CD01">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（6）熟悉服务器系统及设备，Linux、Windows等操作系统，Oracle、mysql等数据库，具备一定的故障诊断和处理能力。</w:t>
      </w:r>
    </w:p>
    <w:p w14:paraId="62D54EF8">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（7）运维服务人员应遵守采购人相关管理制度，遵守作业规程，文明作业，不得从事合同规定以外的活动。若因违规作业等造成财产损失、人身伤害事件等，由供应商承担全部责任。</w:t>
      </w:r>
    </w:p>
    <w:p w14:paraId="680C41A6">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（8）运维服务人员到现场排除多媒体故障及处理时不得以任何形式、任何理由向采购人收取合同规定范围内的费用。</w:t>
      </w:r>
    </w:p>
    <w:p w14:paraId="0520E05F">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（9）运维服务人员应遵守采购人管理规章制度,及时响应进行维修,确保维修质量、安全、设备运行良好并满足使用要求，如因供应商原因造成采购人损失或出现安全事故, 供应商应向采购人进行相应赔偿并承担相应责任。</w:t>
      </w:r>
    </w:p>
    <w:p w14:paraId="20827BCE">
      <w:pPr>
        <w:spacing w:line="360" w:lineRule="auto"/>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四、驻场</w:t>
      </w:r>
      <w:r>
        <w:rPr>
          <w:rFonts w:hint="eastAsia" w:ascii="仿宋" w:hAnsi="仿宋" w:eastAsia="仿宋" w:cs="仿宋"/>
          <w:b/>
          <w:bCs/>
          <w:color w:val="auto"/>
          <w:sz w:val="24"/>
          <w:szCs w:val="24"/>
          <w:highlight w:val="none"/>
          <w:lang w:val="zh-CN" w:eastAsia="zh-CN"/>
        </w:rPr>
        <w:t>服务时间</w:t>
      </w:r>
      <w:r>
        <w:rPr>
          <w:rFonts w:hint="eastAsia" w:ascii="仿宋" w:hAnsi="仿宋" w:eastAsia="仿宋" w:cs="仿宋"/>
          <w:b/>
          <w:bCs/>
          <w:color w:val="auto"/>
          <w:sz w:val="24"/>
          <w:szCs w:val="24"/>
          <w:highlight w:val="none"/>
          <w:lang w:val="en-US" w:eastAsia="zh-CN"/>
        </w:rPr>
        <w:t>要求</w:t>
      </w:r>
    </w:p>
    <w:p w14:paraId="26045391">
      <w:pPr>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1、工作日（周一至周五）：8:00-18:00（驻场运维人员不低于2人）；</w:t>
      </w:r>
    </w:p>
    <w:p w14:paraId="386E2A32">
      <w:pPr>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2、周六：9:00-</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:00，（驻场运维人员不低于1人）。</w:t>
      </w:r>
    </w:p>
    <w:p w14:paraId="69BD1C1E">
      <w:pPr>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、电话值班时间：要求7×24小时电话值班，一旦发生紧急突发情况，应在两小时内赶到现场处置。</w:t>
      </w:r>
    </w:p>
    <w:p w14:paraId="3C332F8A">
      <w:pPr>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、特殊情况（如重要活动、考试等）：按学校要求安排人员值班。</w:t>
      </w:r>
    </w:p>
    <w:p w14:paraId="42361A86">
      <w:pPr>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14:paraId="02FA08A5">
      <w:pPr>
        <w:numPr>
          <w:ilvl w:val="0"/>
          <w:numId w:val="1"/>
        </w:numPr>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bookmarkEnd w:id="43"/>
      <w:bookmarkStart w:id="51" w:name="_Toc2097"/>
      <w:r>
        <w:rPr>
          <w:rFonts w:hint="eastAsia" w:ascii="仿宋" w:hAnsi="仿宋" w:eastAsia="仿宋" w:cs="仿宋"/>
          <w:b/>
          <w:bCs/>
          <w:color w:val="auto"/>
          <w:sz w:val="36"/>
          <w:szCs w:val="36"/>
          <w:highlight w:val="none"/>
        </w:rPr>
        <w:t>项目商务需求</w:t>
      </w:r>
      <w:bookmarkEnd w:id="49"/>
      <w:bookmarkEnd w:id="50"/>
      <w:bookmarkEnd w:id="51"/>
    </w:p>
    <w:p w14:paraId="0F569FCF">
      <w:pPr>
        <w:spacing w:line="360" w:lineRule="auto"/>
        <w:rPr>
          <w:rFonts w:ascii="仿宋" w:hAnsi="仿宋" w:eastAsia="仿宋" w:cs="仿宋"/>
          <w:b/>
          <w:bCs/>
          <w:color w:val="auto"/>
          <w:sz w:val="24"/>
          <w:szCs w:val="24"/>
          <w:highlight w:val="none"/>
          <w:u w:val="single"/>
        </w:rPr>
      </w:pPr>
    </w:p>
    <w:p w14:paraId="1B698CD4">
      <w:pPr>
        <w:spacing w:line="440" w:lineRule="exact"/>
        <w:jc w:val="center"/>
        <w:rPr>
          <w:rFonts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本篇商务需求为符合性审查中的实质性要求，响应文件若不满足按无效处理。</w:t>
      </w:r>
    </w:p>
    <w:p w14:paraId="36B2BB22">
      <w:pPr>
        <w:spacing w:line="440" w:lineRule="exact"/>
        <w:jc w:val="left"/>
        <w:rPr>
          <w:rFonts w:ascii="仿宋" w:hAnsi="仿宋" w:eastAsia="仿宋" w:cs="仿宋"/>
          <w:b/>
          <w:bCs/>
          <w:color w:val="auto"/>
          <w:sz w:val="24"/>
          <w:szCs w:val="24"/>
          <w:highlight w:val="none"/>
        </w:rPr>
      </w:pPr>
      <w:bookmarkStart w:id="52" w:name="_Toc106030883"/>
      <w:bookmarkStart w:id="53" w:name="_Toc76462328"/>
      <w:bookmarkStart w:id="54" w:name="_Toc344475120"/>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服务期</w:t>
      </w:r>
      <w:r>
        <w:rPr>
          <w:rFonts w:hint="eastAsia" w:ascii="仿宋" w:hAnsi="仿宋" w:eastAsia="仿宋" w:cs="仿宋"/>
          <w:b/>
          <w:bCs/>
          <w:color w:val="auto"/>
          <w:sz w:val="24"/>
          <w:szCs w:val="24"/>
          <w:highlight w:val="none"/>
        </w:rPr>
        <w:t>、地点及验收方式</w:t>
      </w:r>
      <w:bookmarkEnd w:id="52"/>
      <w:bookmarkEnd w:id="53"/>
      <w:bookmarkEnd w:id="54"/>
    </w:p>
    <w:p w14:paraId="12BEB969">
      <w:pPr>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服务期：</w:t>
      </w:r>
      <w:r>
        <w:rPr>
          <w:rFonts w:hint="eastAsia" w:ascii="仿宋" w:hAnsi="仿宋" w:eastAsia="仿宋" w:cs="仿宋"/>
          <w:color w:val="auto"/>
          <w:sz w:val="24"/>
          <w:szCs w:val="24"/>
          <w:highlight w:val="none"/>
          <w:lang w:val="en-US" w:eastAsia="zh-CN"/>
        </w:rPr>
        <w:t>3年，具体时间为</w:t>
      </w:r>
      <w:r>
        <w:rPr>
          <w:rFonts w:hint="eastAsia" w:ascii="仿宋" w:hAnsi="仿宋" w:eastAsia="仿宋" w:cs="仿宋"/>
          <w:color w:val="auto"/>
          <w:sz w:val="24"/>
          <w:szCs w:val="24"/>
          <w:highlight w:val="none"/>
          <w:lang w:eastAsia="zh-CN"/>
        </w:rPr>
        <w:t>2025年10月10日—2028年10月9日</w:t>
      </w:r>
      <w:r>
        <w:rPr>
          <w:rFonts w:hint="eastAsia" w:ascii="仿宋" w:hAnsi="仿宋" w:eastAsia="仿宋" w:cs="仿宋"/>
          <w:color w:val="auto"/>
          <w:sz w:val="24"/>
          <w:szCs w:val="24"/>
          <w:highlight w:val="none"/>
        </w:rPr>
        <w:t>。</w:t>
      </w:r>
    </w:p>
    <w:p w14:paraId="602A9D7B">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地点：采购人指定地点。</w:t>
      </w:r>
    </w:p>
    <w:p w14:paraId="77E3C930">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（三）验收方式：</w:t>
      </w:r>
      <w:r>
        <w:rPr>
          <w:rFonts w:hint="eastAsia" w:ascii="仿宋" w:hAnsi="仿宋" w:eastAsia="仿宋" w:cs="仿宋"/>
          <w:color w:val="auto"/>
          <w:sz w:val="24"/>
          <w:szCs w:val="24"/>
          <w:highlight w:val="none"/>
          <w:lang w:val="en-US" w:eastAsia="zh-CN"/>
        </w:rPr>
        <w:t>采购人指定的验收方式</w:t>
      </w:r>
      <w:r>
        <w:rPr>
          <w:rFonts w:hint="eastAsia" w:ascii="仿宋" w:hAnsi="仿宋" w:eastAsia="仿宋" w:cs="仿宋"/>
          <w:color w:val="auto"/>
          <w:sz w:val="24"/>
          <w:szCs w:val="24"/>
          <w:highlight w:val="none"/>
        </w:rPr>
        <w:t>。</w:t>
      </w:r>
    </w:p>
    <w:p w14:paraId="7BE11497">
      <w:pPr>
        <w:spacing w:line="360" w:lineRule="auto"/>
        <w:jc w:val="left"/>
        <w:rPr>
          <w:rFonts w:hint="eastAsia" w:ascii="仿宋" w:hAnsi="仿宋" w:eastAsia="仿宋" w:cs="仿宋"/>
          <w:b/>
          <w:bCs/>
          <w:color w:val="auto"/>
          <w:sz w:val="24"/>
          <w:szCs w:val="24"/>
          <w:highlight w:val="none"/>
          <w:lang w:val="zh-CN" w:eastAsia="zh-CN"/>
        </w:rPr>
      </w:pPr>
      <w:bookmarkStart w:id="55" w:name="_Toc186125405"/>
      <w:bookmarkStart w:id="56" w:name="_Toc344475121"/>
      <w:bookmarkStart w:id="57" w:name="_Toc106030884"/>
      <w:bookmarkStart w:id="58" w:name="_Toc76462329"/>
      <w:r>
        <w:rPr>
          <w:rFonts w:hint="eastAsia" w:ascii="仿宋" w:hAnsi="仿宋" w:eastAsia="仿宋" w:cs="仿宋"/>
          <w:b/>
          <w:bCs/>
          <w:color w:val="auto"/>
          <w:sz w:val="24"/>
          <w:szCs w:val="24"/>
          <w:highlight w:val="none"/>
          <w:lang w:val="en-US" w:eastAsia="zh-CN"/>
        </w:rPr>
        <w:t>二、技术配套</w:t>
      </w:r>
      <w:r>
        <w:rPr>
          <w:rFonts w:hint="eastAsia" w:ascii="仿宋" w:hAnsi="仿宋" w:eastAsia="仿宋" w:cs="仿宋"/>
          <w:b/>
          <w:bCs/>
          <w:color w:val="auto"/>
          <w:sz w:val="24"/>
          <w:szCs w:val="24"/>
          <w:highlight w:val="none"/>
          <w:lang w:val="zh-CN" w:eastAsia="zh-CN"/>
        </w:rPr>
        <w:t>服务</w:t>
      </w:r>
      <w:bookmarkEnd w:id="55"/>
    </w:p>
    <w:p w14:paraId="088E17F9">
      <w:pPr>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电话咨询：成交供应商应当为采购人提供技术援助电话服务，解答采购人在使用中遇到的问题，及时为采购人提出解决问题的建议。</w:t>
      </w:r>
    </w:p>
    <w:p w14:paraId="7140AB91">
      <w:pPr>
        <w:spacing w:line="360" w:lineRule="auto"/>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现场响应：成交供应商派出的驻场人员如遇到无法解决的技术问题，成交供应商应在2小时内派出技术支撑工程师到达现场进行处理，确保相关设备正常工作；无法在24小时内解决的，应在48小时内提供备用产品，使采购人能够正常使用。</w:t>
      </w:r>
    </w:p>
    <w:p w14:paraId="34A75A7A">
      <w:pPr>
        <w:spacing w:line="4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bookmarkEnd w:id="56"/>
      <w:r>
        <w:rPr>
          <w:rFonts w:hint="eastAsia" w:ascii="仿宋" w:hAnsi="仿宋" w:eastAsia="仿宋" w:cs="仿宋"/>
          <w:b/>
          <w:bCs/>
          <w:color w:val="auto"/>
          <w:sz w:val="24"/>
          <w:szCs w:val="24"/>
          <w:highlight w:val="none"/>
        </w:rPr>
        <w:t>报价要求</w:t>
      </w:r>
      <w:bookmarkEnd w:id="57"/>
      <w:bookmarkEnd w:id="58"/>
    </w:p>
    <w:p w14:paraId="1A2C20C1">
      <w:pPr>
        <w:spacing w:line="440" w:lineRule="exact"/>
        <w:ind w:firstLine="480" w:firstLineChars="200"/>
        <w:jc w:val="left"/>
        <w:rPr>
          <w:rFonts w:hint="default" w:ascii="方正仿宋_GBK" w:hAnsi="宋体" w:eastAsia="方正仿宋_GBK" w:cs="Times New Roman"/>
          <w:sz w:val="24"/>
          <w:szCs w:val="24"/>
          <w:highlight w:val="none"/>
          <w:lang w:val="en-US" w:eastAsia="zh-CN"/>
        </w:rPr>
      </w:pPr>
      <w:bookmarkStart w:id="59" w:name="_Toc11730"/>
      <w:bookmarkStart w:id="60" w:name="_Toc32652"/>
      <w:bookmarkStart w:id="61" w:name="_Toc24284"/>
      <w:bookmarkStart w:id="62" w:name="_Toc4713"/>
      <w:r>
        <w:rPr>
          <w:rFonts w:hint="eastAsia" w:ascii="方正仿宋_GBK" w:hAnsi="宋体" w:eastAsia="方正仿宋_GBK" w:cs="Times New Roman"/>
          <w:sz w:val="24"/>
          <w:szCs w:val="24"/>
          <w:highlight w:val="none"/>
          <w:lang w:val="en-US" w:eastAsia="zh-CN"/>
        </w:rPr>
        <w:t>本项目报价方式为人民币报价。供应商应根据项目情况并结合自身实力自行填报，成交后中标价不作调整。报价不得超过本项目最高限价，否则均为无效响应。</w:t>
      </w:r>
      <w:r>
        <w:rPr>
          <w:rFonts w:hint="eastAsia" w:ascii="仿宋" w:hAnsi="仿宋" w:eastAsia="仿宋" w:cs="仿宋"/>
          <w:color w:val="auto"/>
          <w:sz w:val="24"/>
          <w:szCs w:val="24"/>
          <w:highlight w:val="none"/>
        </w:rPr>
        <w:t>报价包括服务期所需的服务费、人工费及提供服务所需的设备或货物购买（制造）费、辅材费、运输费、装卸费、安装调试费、培训费等一切费用及各种应纳的税费等。因成交供应商自身原因造成漏报、少报皆由其自行承担责任，采购人不再补偿。</w:t>
      </w:r>
    </w:p>
    <w:bookmarkEnd w:id="59"/>
    <w:bookmarkEnd w:id="60"/>
    <w:bookmarkEnd w:id="61"/>
    <w:bookmarkEnd w:id="62"/>
    <w:p w14:paraId="68739139">
      <w:pPr>
        <w:spacing w:line="440" w:lineRule="exact"/>
        <w:jc w:val="left"/>
        <w:rPr>
          <w:rFonts w:ascii="仿宋" w:hAnsi="仿宋" w:eastAsia="仿宋" w:cs="仿宋"/>
          <w:b/>
          <w:bCs/>
          <w:color w:val="auto"/>
          <w:sz w:val="24"/>
          <w:szCs w:val="24"/>
          <w:highlight w:val="none"/>
        </w:rPr>
      </w:pPr>
      <w:bookmarkStart w:id="63" w:name="_Toc344475122"/>
      <w:bookmarkStart w:id="64" w:name="_Toc106030885"/>
      <w:bookmarkStart w:id="65" w:name="_Toc76462330"/>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付款方式</w:t>
      </w:r>
      <w:bookmarkEnd w:id="63"/>
      <w:bookmarkEnd w:id="64"/>
      <w:bookmarkEnd w:id="65"/>
    </w:p>
    <w:p w14:paraId="5DFB23FF">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合同签订生效后，采购人根据考核标准按月对运维服务进行考核，合同金额1年支付一次。</w:t>
      </w:r>
    </w:p>
    <w:p w14:paraId="586AB597">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支付金额计算规则：本年度每月考核平均得分为80～100分按本年度合同金额的100%支付，60～80分按本年度合同金额的70%支付，0～60分按本年度金额的50%支付且采购人有权单方面取消合同。</w:t>
      </w:r>
    </w:p>
    <w:p w14:paraId="109C12F0">
      <w:pPr>
        <w:numPr>
          <w:ilvl w:val="0"/>
          <w:numId w:val="0"/>
        </w:numPr>
        <w:spacing w:line="44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五、考核标准</w:t>
      </w:r>
    </w:p>
    <w:tbl>
      <w:tblPr>
        <w:tblStyle w:val="21"/>
        <w:tblW w:w="5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122"/>
        <w:gridCol w:w="3003"/>
        <w:gridCol w:w="1500"/>
      </w:tblGrid>
      <w:tr w14:paraId="1DD7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shd w:val="clear" w:color="auto" w:fill="auto"/>
            <w:noWrap/>
            <w:vAlign w:val="center"/>
          </w:tcPr>
          <w:p w14:paraId="7CEEC721">
            <w:pPr>
              <w:spacing w:line="440" w:lineRule="exact"/>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序号</w:t>
            </w:r>
          </w:p>
        </w:tc>
        <w:tc>
          <w:tcPr>
            <w:tcW w:w="2189" w:type="pct"/>
            <w:shd w:val="clear" w:color="auto" w:fill="auto"/>
            <w:noWrap/>
            <w:vAlign w:val="center"/>
          </w:tcPr>
          <w:p w14:paraId="5D1BB12F">
            <w:pPr>
              <w:spacing w:line="440" w:lineRule="exact"/>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考核观测点</w:t>
            </w:r>
          </w:p>
        </w:tc>
        <w:tc>
          <w:tcPr>
            <w:tcW w:w="1595" w:type="pct"/>
            <w:shd w:val="clear" w:color="auto" w:fill="auto"/>
            <w:noWrap/>
            <w:vAlign w:val="center"/>
          </w:tcPr>
          <w:p w14:paraId="5E24BE90">
            <w:pPr>
              <w:spacing w:line="440" w:lineRule="exact"/>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扣分标准</w:t>
            </w:r>
          </w:p>
        </w:tc>
        <w:tc>
          <w:tcPr>
            <w:tcW w:w="796" w:type="pct"/>
            <w:shd w:val="clear" w:color="auto" w:fill="auto"/>
            <w:noWrap/>
            <w:vAlign w:val="center"/>
          </w:tcPr>
          <w:p w14:paraId="73BBA84B">
            <w:pPr>
              <w:spacing w:line="440" w:lineRule="exact"/>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备注</w:t>
            </w:r>
          </w:p>
        </w:tc>
      </w:tr>
      <w:tr w14:paraId="3CCE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0FB0B2EC">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c>
          <w:tcPr>
            <w:tcW w:w="2189" w:type="pct"/>
            <w:noWrap/>
            <w:vAlign w:val="center"/>
          </w:tcPr>
          <w:p w14:paraId="23410D43">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未做好信息安全保密工作（严禁泄密）</w:t>
            </w:r>
          </w:p>
        </w:tc>
        <w:tc>
          <w:tcPr>
            <w:tcW w:w="1595" w:type="pct"/>
            <w:noWrap/>
            <w:vAlign w:val="center"/>
          </w:tcPr>
          <w:p w14:paraId="3F0F24C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按5～15分/次.项扣考核分</w:t>
            </w:r>
          </w:p>
        </w:tc>
        <w:tc>
          <w:tcPr>
            <w:tcW w:w="796" w:type="pct"/>
            <w:noWrap/>
            <w:vAlign w:val="center"/>
          </w:tcPr>
          <w:p w14:paraId="1C58A36C">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任何时间</w:t>
            </w:r>
          </w:p>
        </w:tc>
      </w:tr>
      <w:tr w14:paraId="61BF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13F430E9">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2189" w:type="pct"/>
            <w:noWrap/>
            <w:vAlign w:val="center"/>
          </w:tcPr>
          <w:p w14:paraId="27629072">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人员未准时到岗或无故不到岗</w:t>
            </w:r>
          </w:p>
        </w:tc>
        <w:tc>
          <w:tcPr>
            <w:tcW w:w="1595" w:type="pct"/>
            <w:noWrap/>
            <w:vAlign w:val="center"/>
          </w:tcPr>
          <w:p w14:paraId="79421B86">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按1～5分/次.项扣考核分</w:t>
            </w:r>
          </w:p>
        </w:tc>
        <w:tc>
          <w:tcPr>
            <w:tcW w:w="796" w:type="pct"/>
            <w:noWrap/>
            <w:vAlign w:val="center"/>
          </w:tcPr>
          <w:p w14:paraId="7DA9DA6F">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工作时间</w:t>
            </w:r>
          </w:p>
        </w:tc>
      </w:tr>
      <w:tr w14:paraId="4721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73B213C1">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2189" w:type="pct"/>
            <w:noWrap/>
            <w:vAlign w:val="center"/>
          </w:tcPr>
          <w:p w14:paraId="7C4B0BC5">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未按要求履行值班制度或离岗</w:t>
            </w:r>
          </w:p>
        </w:tc>
        <w:tc>
          <w:tcPr>
            <w:tcW w:w="1595" w:type="pct"/>
            <w:noWrap/>
            <w:vAlign w:val="center"/>
          </w:tcPr>
          <w:p w14:paraId="406A884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6987465C">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值班时间</w:t>
            </w:r>
          </w:p>
        </w:tc>
      </w:tr>
      <w:tr w14:paraId="6E15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080B992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2189" w:type="pct"/>
            <w:noWrap/>
            <w:vAlign w:val="center"/>
          </w:tcPr>
          <w:p w14:paraId="5A450213">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检查、巡查、维修、报告不及时或巡检记录不全</w:t>
            </w:r>
          </w:p>
        </w:tc>
        <w:tc>
          <w:tcPr>
            <w:tcW w:w="1595" w:type="pct"/>
            <w:noWrap/>
            <w:vAlign w:val="center"/>
          </w:tcPr>
          <w:p w14:paraId="7D04EF83">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78DEE27D">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未及时巡检，代检漏检等。</w:t>
            </w:r>
          </w:p>
        </w:tc>
      </w:tr>
      <w:tr w14:paraId="03DE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3795C4A6">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2189" w:type="pct"/>
            <w:noWrap/>
            <w:vAlign w:val="center"/>
          </w:tcPr>
          <w:p w14:paraId="0F088560">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接到教室多媒体设备报修后10分钟内未到达现场</w:t>
            </w:r>
          </w:p>
        </w:tc>
        <w:tc>
          <w:tcPr>
            <w:tcW w:w="1595" w:type="pct"/>
            <w:noWrap/>
            <w:vAlign w:val="center"/>
          </w:tcPr>
          <w:p w14:paraId="0C5C1CBF">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45952040">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工作时间</w:t>
            </w:r>
          </w:p>
        </w:tc>
      </w:tr>
      <w:tr w14:paraId="3F29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23D80AF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2189" w:type="pct"/>
            <w:noWrap/>
            <w:vAlign w:val="center"/>
          </w:tcPr>
          <w:p w14:paraId="401B50BF">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未完成多媒体紧急故障处理等工作</w:t>
            </w:r>
          </w:p>
        </w:tc>
        <w:tc>
          <w:tcPr>
            <w:tcW w:w="1595" w:type="pct"/>
            <w:noWrap/>
            <w:vAlign w:val="center"/>
          </w:tcPr>
          <w:p w14:paraId="0FE57C7A">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34A856F8">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工作时间</w:t>
            </w:r>
          </w:p>
        </w:tc>
      </w:tr>
      <w:tr w14:paraId="4CAC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79C0E803">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2189" w:type="pct"/>
            <w:noWrap/>
            <w:vAlign w:val="center"/>
          </w:tcPr>
          <w:p w14:paraId="2E882F78">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带无关人员进入机房</w:t>
            </w:r>
          </w:p>
        </w:tc>
        <w:tc>
          <w:tcPr>
            <w:tcW w:w="1595" w:type="pct"/>
            <w:noWrap/>
            <w:vAlign w:val="center"/>
          </w:tcPr>
          <w:p w14:paraId="5F3AB1C5">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4CEBB50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任何时间</w:t>
            </w:r>
          </w:p>
        </w:tc>
      </w:tr>
      <w:tr w14:paraId="3B19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66C35020">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2189" w:type="pct"/>
            <w:noWrap/>
            <w:vAlign w:val="center"/>
          </w:tcPr>
          <w:p w14:paraId="740EAD1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携带水、火等违禁物品进入机房</w:t>
            </w:r>
          </w:p>
        </w:tc>
        <w:tc>
          <w:tcPr>
            <w:tcW w:w="1595" w:type="pct"/>
            <w:noWrap/>
            <w:vAlign w:val="center"/>
          </w:tcPr>
          <w:p w14:paraId="0951AA76">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按10分/次.项扣考核分</w:t>
            </w:r>
          </w:p>
        </w:tc>
        <w:tc>
          <w:tcPr>
            <w:tcW w:w="796" w:type="pct"/>
            <w:noWrap/>
            <w:vAlign w:val="center"/>
          </w:tcPr>
          <w:p w14:paraId="702BCD7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严禁在巡检过程中抽烟</w:t>
            </w:r>
          </w:p>
        </w:tc>
      </w:tr>
      <w:tr w14:paraId="5AB2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0E3CA9CC">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2189" w:type="pct"/>
            <w:noWrap/>
            <w:vAlign w:val="center"/>
          </w:tcPr>
          <w:p w14:paraId="24F75F7D">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巡检结束后未关好门窗</w:t>
            </w:r>
          </w:p>
        </w:tc>
        <w:tc>
          <w:tcPr>
            <w:tcW w:w="1595" w:type="pct"/>
            <w:noWrap/>
            <w:vAlign w:val="center"/>
          </w:tcPr>
          <w:p w14:paraId="310470A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75251F83">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任何时间</w:t>
            </w:r>
          </w:p>
        </w:tc>
      </w:tr>
      <w:tr w14:paraId="6D11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34BAAC1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2189" w:type="pct"/>
            <w:noWrap/>
            <w:vAlign w:val="center"/>
          </w:tcPr>
          <w:p w14:paraId="7B7783C2">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未按期完成汇总分析报告</w:t>
            </w:r>
          </w:p>
        </w:tc>
        <w:tc>
          <w:tcPr>
            <w:tcW w:w="1595" w:type="pct"/>
            <w:noWrap/>
            <w:vAlign w:val="center"/>
          </w:tcPr>
          <w:p w14:paraId="41C20441">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按1～5分/次.项扣考核分</w:t>
            </w:r>
          </w:p>
        </w:tc>
        <w:tc>
          <w:tcPr>
            <w:tcW w:w="796" w:type="pct"/>
            <w:noWrap/>
            <w:vAlign w:val="center"/>
          </w:tcPr>
          <w:p w14:paraId="70D031D2">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工作时间</w:t>
            </w:r>
          </w:p>
        </w:tc>
      </w:tr>
      <w:tr w14:paraId="1D93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ign w:val="center"/>
          </w:tcPr>
          <w:p w14:paraId="54F5FC7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2189" w:type="pct"/>
            <w:noWrap/>
            <w:vAlign w:val="center"/>
          </w:tcPr>
          <w:p w14:paraId="2A729DD1">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未及时发现中心机房设备故障</w:t>
            </w:r>
          </w:p>
        </w:tc>
        <w:tc>
          <w:tcPr>
            <w:tcW w:w="1595" w:type="pct"/>
            <w:noWrap/>
            <w:vAlign w:val="center"/>
          </w:tcPr>
          <w:p w14:paraId="5CD3D49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按2～5分/次.项扣考核分</w:t>
            </w:r>
          </w:p>
        </w:tc>
        <w:tc>
          <w:tcPr>
            <w:tcW w:w="796" w:type="pct"/>
            <w:noWrap/>
            <w:vAlign w:val="center"/>
          </w:tcPr>
          <w:p w14:paraId="44468561">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任何时间</w:t>
            </w:r>
          </w:p>
        </w:tc>
      </w:tr>
    </w:tbl>
    <w:p w14:paraId="365012A5">
      <w:pPr>
        <w:spacing w:line="44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w:t>
      </w:r>
      <w:bookmarkStart w:id="66" w:name="_Toc2042"/>
      <w:r>
        <w:rPr>
          <w:rFonts w:hint="eastAsia" w:ascii="仿宋" w:hAnsi="仿宋" w:eastAsia="仿宋" w:cs="仿宋"/>
          <w:b/>
          <w:bCs/>
          <w:color w:val="auto"/>
          <w:sz w:val="24"/>
          <w:szCs w:val="24"/>
          <w:highlight w:val="none"/>
          <w:lang w:val="en-US" w:eastAsia="zh-CN"/>
        </w:rPr>
        <w:t>知识产权</w:t>
      </w:r>
      <w:bookmarkEnd w:id="66"/>
    </w:p>
    <w:p w14:paraId="767941B6">
      <w:pPr>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54A77C1C">
      <w:pPr>
        <w:spacing w:line="44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七、违约责任</w:t>
      </w:r>
    </w:p>
    <w:p w14:paraId="4EDE4E08">
      <w:pPr>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val="en-US" w:eastAsia="zh-CN"/>
        </w:rPr>
        <w:t>本项目合同约定</w:t>
      </w:r>
      <w:r>
        <w:rPr>
          <w:rFonts w:hint="eastAsia" w:ascii="仿宋" w:hAnsi="仿宋" w:eastAsia="仿宋" w:cs="仿宋"/>
          <w:color w:val="auto"/>
          <w:sz w:val="24"/>
          <w:szCs w:val="24"/>
          <w:highlight w:val="none"/>
        </w:rPr>
        <w:t>执行。</w:t>
      </w:r>
    </w:p>
    <w:p w14:paraId="3CF225D7">
      <w:pPr>
        <w:spacing w:line="44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八、履约保证金</w:t>
      </w:r>
    </w:p>
    <w:p w14:paraId="365F908A">
      <w:pPr>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成交供应商与采购人签订合同前成交供应商应向采购人缴纳</w:t>
      </w:r>
      <w:r>
        <w:rPr>
          <w:rFonts w:hint="eastAsia" w:ascii="仿宋" w:hAnsi="仿宋" w:eastAsia="仿宋" w:cs="仿宋"/>
          <w:color w:val="auto"/>
          <w:sz w:val="24"/>
          <w:szCs w:val="24"/>
          <w:highlight w:val="none"/>
          <w:u w:val="single"/>
          <w:lang w:val="en-US" w:eastAsia="zh-CN"/>
        </w:rPr>
        <w:t>成交金额10%</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lang w:val="en-US" w:eastAsia="zh-CN"/>
        </w:rPr>
        <w:t>履约保证金，（以支票、汇票、本票或者金融机构、担保机构出具的保函等非现金形式提交。不按约定缴纳履约保证金的，视为放弃中标）服务期结束后采购人向供应商无息退还履约保证金。</w:t>
      </w:r>
    </w:p>
    <w:p w14:paraId="46F05156">
      <w:pPr>
        <w:spacing w:line="4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、其他</w:t>
      </w:r>
    </w:p>
    <w:p w14:paraId="0A2D37BF">
      <w:p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1．供应商必须对以上条款和服务承诺明确列出，承诺内容必须达到要求。</w:t>
      </w:r>
    </w:p>
    <w:p w14:paraId="17C580E4">
      <w:pPr>
        <w:spacing w:line="44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．其他未尽事宜由供需双方在采购合同中详细约定。</w:t>
      </w:r>
    </w:p>
    <w:p w14:paraId="72E0301B">
      <w:pPr>
        <w:spacing w:line="360" w:lineRule="auto"/>
        <w:jc w:val="center"/>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67" w:name="_Toc109836389"/>
      <w:bookmarkStart w:id="68" w:name="_Toc23688"/>
      <w:r>
        <w:rPr>
          <w:rFonts w:hint="eastAsia" w:ascii="仿宋" w:hAnsi="仿宋" w:eastAsia="仿宋" w:cs="仿宋"/>
          <w:b/>
          <w:bCs/>
          <w:color w:val="auto"/>
          <w:sz w:val="36"/>
          <w:szCs w:val="36"/>
          <w:highlight w:val="none"/>
        </w:rPr>
        <w:t>第四篇  竞采程序、评标办法</w:t>
      </w:r>
      <w:bookmarkEnd w:id="67"/>
      <w:r>
        <w:rPr>
          <w:rFonts w:hint="eastAsia" w:ascii="仿宋" w:hAnsi="仿宋" w:eastAsia="仿宋" w:cs="仿宋"/>
          <w:b/>
          <w:bCs/>
          <w:color w:val="auto"/>
          <w:sz w:val="36"/>
          <w:szCs w:val="36"/>
          <w:highlight w:val="none"/>
        </w:rPr>
        <w:t>、无效响应及采购终止</w:t>
      </w:r>
      <w:bookmarkEnd w:id="68"/>
    </w:p>
    <w:p w14:paraId="0B4C39FA">
      <w:pPr>
        <w:spacing w:line="360" w:lineRule="auto"/>
        <w:jc w:val="left"/>
        <w:rPr>
          <w:rFonts w:ascii="仿宋" w:hAnsi="仿宋" w:eastAsia="仿宋" w:cs="仿宋"/>
          <w:b/>
          <w:bCs/>
          <w:color w:val="auto"/>
          <w:sz w:val="24"/>
          <w:szCs w:val="24"/>
          <w:highlight w:val="none"/>
        </w:rPr>
      </w:pPr>
      <w:bookmarkStart w:id="69" w:name="_Toc10124"/>
      <w:r>
        <w:rPr>
          <w:rFonts w:hint="eastAsia" w:ascii="仿宋" w:hAnsi="仿宋" w:eastAsia="仿宋" w:cs="仿宋"/>
          <w:b/>
          <w:bCs/>
          <w:color w:val="auto"/>
          <w:sz w:val="24"/>
          <w:szCs w:val="24"/>
          <w:highlight w:val="none"/>
        </w:rPr>
        <w:t>一、</w:t>
      </w:r>
      <w:bookmarkEnd w:id="69"/>
      <w:bookmarkStart w:id="70" w:name="_Toc75793518"/>
      <w:r>
        <w:rPr>
          <w:rFonts w:hint="eastAsia" w:ascii="仿宋" w:hAnsi="仿宋" w:eastAsia="仿宋" w:cs="仿宋"/>
          <w:b/>
          <w:bCs/>
          <w:color w:val="auto"/>
          <w:sz w:val="24"/>
          <w:szCs w:val="24"/>
          <w:highlight w:val="none"/>
        </w:rPr>
        <w:t>网上竞采程序</w:t>
      </w:r>
      <w:bookmarkEnd w:id="70"/>
    </w:p>
    <w:p w14:paraId="1DC1B8F2">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（一）报价截止后评审小组对各供应商的资格条件、响应文件的有效性、完整性和响应程度进行审查。各供应商只有在完全符合要求的前提下，才能参与正式采购。</w:t>
      </w:r>
    </w:p>
    <w:p w14:paraId="2EB71C09">
      <w:pPr>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依据法律法规和采购文件的规定，对响应文件中的资格证明等进行审查，以确定供应商是否具备采购资格。资格性检查资料表如下：</w:t>
      </w:r>
    </w:p>
    <w:tbl>
      <w:tblPr>
        <w:tblStyle w:val="21"/>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8"/>
        <w:gridCol w:w="2898"/>
        <w:gridCol w:w="5017"/>
      </w:tblGrid>
      <w:tr w14:paraId="435A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5" w:type="dxa"/>
            <w:vAlign w:val="center"/>
          </w:tcPr>
          <w:p w14:paraId="11AC5584">
            <w:pPr>
              <w:spacing w:line="24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586" w:type="dxa"/>
            <w:gridSpan w:val="2"/>
            <w:vAlign w:val="center"/>
          </w:tcPr>
          <w:p w14:paraId="16F588F4">
            <w:pPr>
              <w:spacing w:line="24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017" w:type="dxa"/>
            <w:vAlign w:val="center"/>
          </w:tcPr>
          <w:p w14:paraId="1FD895E0">
            <w:pPr>
              <w:spacing w:line="24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44E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55" w:type="dxa"/>
            <w:vMerge w:val="restart"/>
            <w:vAlign w:val="center"/>
          </w:tcPr>
          <w:p w14:paraId="7FC70413">
            <w:pPr>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88" w:type="dxa"/>
            <w:vMerge w:val="restart"/>
            <w:vAlign w:val="center"/>
          </w:tcPr>
          <w:p w14:paraId="57DBCFE0">
            <w:pPr>
              <w:spacing w:line="240" w:lineRule="auto"/>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2898" w:type="dxa"/>
            <w:vAlign w:val="center"/>
          </w:tcPr>
          <w:p w14:paraId="4E242165">
            <w:pPr>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017" w:type="dxa"/>
            <w:vAlign w:val="center"/>
          </w:tcPr>
          <w:p w14:paraId="1257D05B">
            <w:pPr>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供应商法人营业执照（副本）或事业单位法人证书（副本）或个体工商户营业执照或有效的自然人身份证明或社会团体法人登记证书； 供应商法定代表人身份证明</w:t>
            </w:r>
            <w:r>
              <w:rPr>
                <w:rFonts w:hint="eastAsia" w:ascii="仿宋" w:hAnsi="仿宋" w:eastAsia="仿宋" w:cs="仿宋"/>
                <w:color w:val="auto"/>
                <w:sz w:val="24"/>
                <w:szCs w:val="24"/>
                <w:highlight w:val="none"/>
                <w:lang w:val="en-US" w:eastAsia="zh-CN"/>
              </w:rPr>
              <w:t>或其</w:t>
            </w:r>
            <w:r>
              <w:rPr>
                <w:rFonts w:hint="eastAsia" w:ascii="仿宋" w:hAnsi="仿宋" w:eastAsia="仿宋" w:cs="仿宋"/>
                <w:color w:val="auto"/>
                <w:sz w:val="24"/>
                <w:szCs w:val="24"/>
                <w:highlight w:val="none"/>
              </w:rPr>
              <w:t>法定代表人授权代表委托书。</w:t>
            </w:r>
          </w:p>
        </w:tc>
      </w:tr>
      <w:tr w14:paraId="46ED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5" w:type="dxa"/>
            <w:vMerge w:val="continue"/>
            <w:vAlign w:val="center"/>
          </w:tcPr>
          <w:p w14:paraId="5568CA7A">
            <w:pPr>
              <w:spacing w:line="240" w:lineRule="auto"/>
              <w:jc w:val="center"/>
              <w:rPr>
                <w:rFonts w:ascii="仿宋" w:hAnsi="仿宋" w:eastAsia="仿宋" w:cs="仿宋"/>
                <w:color w:val="auto"/>
                <w:sz w:val="24"/>
                <w:szCs w:val="24"/>
                <w:highlight w:val="none"/>
              </w:rPr>
            </w:pPr>
          </w:p>
        </w:tc>
        <w:tc>
          <w:tcPr>
            <w:tcW w:w="688" w:type="dxa"/>
            <w:vMerge w:val="continue"/>
            <w:vAlign w:val="center"/>
          </w:tcPr>
          <w:p w14:paraId="68A02B03">
            <w:pPr>
              <w:spacing w:line="240" w:lineRule="auto"/>
              <w:jc w:val="left"/>
              <w:rPr>
                <w:rFonts w:ascii="仿宋" w:hAnsi="仿宋" w:eastAsia="仿宋" w:cs="仿宋"/>
                <w:color w:val="auto"/>
                <w:sz w:val="24"/>
                <w:szCs w:val="24"/>
                <w:highlight w:val="none"/>
                <w:lang w:val="zh-CN"/>
              </w:rPr>
            </w:pPr>
          </w:p>
        </w:tc>
        <w:tc>
          <w:tcPr>
            <w:tcW w:w="2898" w:type="dxa"/>
            <w:vAlign w:val="center"/>
          </w:tcPr>
          <w:p w14:paraId="4ECED186">
            <w:pPr>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017" w:type="dxa"/>
            <w:vMerge w:val="restart"/>
            <w:vAlign w:val="center"/>
          </w:tcPr>
          <w:p w14:paraId="2CFA6E5A">
            <w:pPr>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4668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5" w:type="dxa"/>
            <w:vMerge w:val="continue"/>
            <w:vAlign w:val="center"/>
          </w:tcPr>
          <w:p w14:paraId="469FFE20">
            <w:pPr>
              <w:spacing w:line="240" w:lineRule="auto"/>
              <w:jc w:val="center"/>
              <w:rPr>
                <w:rFonts w:ascii="仿宋" w:hAnsi="仿宋" w:eastAsia="仿宋" w:cs="仿宋"/>
                <w:color w:val="auto"/>
                <w:sz w:val="24"/>
                <w:szCs w:val="24"/>
                <w:highlight w:val="none"/>
              </w:rPr>
            </w:pPr>
          </w:p>
        </w:tc>
        <w:tc>
          <w:tcPr>
            <w:tcW w:w="688" w:type="dxa"/>
            <w:vMerge w:val="continue"/>
            <w:vAlign w:val="center"/>
          </w:tcPr>
          <w:p w14:paraId="57AE6DB9">
            <w:pPr>
              <w:spacing w:line="240" w:lineRule="auto"/>
              <w:jc w:val="left"/>
              <w:rPr>
                <w:rFonts w:ascii="仿宋" w:hAnsi="仿宋" w:eastAsia="仿宋" w:cs="仿宋"/>
                <w:color w:val="auto"/>
                <w:sz w:val="24"/>
                <w:szCs w:val="24"/>
                <w:highlight w:val="none"/>
                <w:lang w:val="zh-CN"/>
              </w:rPr>
            </w:pPr>
          </w:p>
        </w:tc>
        <w:tc>
          <w:tcPr>
            <w:tcW w:w="2898" w:type="dxa"/>
            <w:vAlign w:val="center"/>
          </w:tcPr>
          <w:p w14:paraId="70C838A9">
            <w:pPr>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017" w:type="dxa"/>
            <w:vMerge w:val="continue"/>
            <w:vAlign w:val="center"/>
          </w:tcPr>
          <w:p w14:paraId="5DEF4A42">
            <w:pPr>
              <w:spacing w:line="240" w:lineRule="auto"/>
              <w:jc w:val="left"/>
              <w:rPr>
                <w:rFonts w:ascii="仿宋" w:hAnsi="仿宋" w:eastAsia="仿宋" w:cs="仿宋"/>
                <w:color w:val="auto"/>
                <w:sz w:val="24"/>
                <w:szCs w:val="24"/>
                <w:highlight w:val="none"/>
              </w:rPr>
            </w:pPr>
          </w:p>
        </w:tc>
      </w:tr>
      <w:tr w14:paraId="39E7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5" w:type="dxa"/>
            <w:vMerge w:val="continue"/>
            <w:vAlign w:val="center"/>
          </w:tcPr>
          <w:p w14:paraId="67F1659E">
            <w:pPr>
              <w:spacing w:line="240" w:lineRule="auto"/>
              <w:jc w:val="center"/>
              <w:rPr>
                <w:rFonts w:ascii="仿宋" w:hAnsi="仿宋" w:eastAsia="仿宋" w:cs="仿宋"/>
                <w:color w:val="auto"/>
                <w:sz w:val="24"/>
                <w:szCs w:val="24"/>
                <w:highlight w:val="none"/>
              </w:rPr>
            </w:pPr>
          </w:p>
        </w:tc>
        <w:tc>
          <w:tcPr>
            <w:tcW w:w="688" w:type="dxa"/>
            <w:vMerge w:val="continue"/>
            <w:vAlign w:val="center"/>
          </w:tcPr>
          <w:p w14:paraId="23425EF0">
            <w:pPr>
              <w:spacing w:line="240" w:lineRule="auto"/>
              <w:jc w:val="left"/>
              <w:rPr>
                <w:rFonts w:ascii="仿宋" w:hAnsi="仿宋" w:eastAsia="仿宋" w:cs="仿宋"/>
                <w:color w:val="auto"/>
                <w:sz w:val="24"/>
                <w:szCs w:val="24"/>
                <w:highlight w:val="none"/>
                <w:lang w:val="zh-CN"/>
              </w:rPr>
            </w:pPr>
          </w:p>
        </w:tc>
        <w:tc>
          <w:tcPr>
            <w:tcW w:w="2898" w:type="dxa"/>
            <w:vAlign w:val="center"/>
          </w:tcPr>
          <w:p w14:paraId="4A7CE77B">
            <w:pPr>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017" w:type="dxa"/>
            <w:vMerge w:val="continue"/>
            <w:vAlign w:val="center"/>
          </w:tcPr>
          <w:p w14:paraId="3367670D">
            <w:pPr>
              <w:spacing w:line="240" w:lineRule="auto"/>
              <w:jc w:val="left"/>
              <w:rPr>
                <w:rFonts w:ascii="仿宋" w:hAnsi="仿宋" w:eastAsia="仿宋" w:cs="仿宋"/>
                <w:color w:val="auto"/>
                <w:sz w:val="24"/>
                <w:szCs w:val="24"/>
                <w:highlight w:val="none"/>
              </w:rPr>
            </w:pPr>
          </w:p>
        </w:tc>
      </w:tr>
      <w:tr w14:paraId="2027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655" w:type="dxa"/>
            <w:vMerge w:val="continue"/>
            <w:vAlign w:val="center"/>
          </w:tcPr>
          <w:p w14:paraId="694417CD">
            <w:pPr>
              <w:spacing w:line="240" w:lineRule="auto"/>
              <w:jc w:val="center"/>
              <w:rPr>
                <w:rFonts w:ascii="仿宋" w:hAnsi="仿宋" w:eastAsia="仿宋" w:cs="仿宋"/>
                <w:color w:val="auto"/>
                <w:sz w:val="24"/>
                <w:szCs w:val="24"/>
                <w:highlight w:val="none"/>
              </w:rPr>
            </w:pPr>
          </w:p>
        </w:tc>
        <w:tc>
          <w:tcPr>
            <w:tcW w:w="688" w:type="dxa"/>
            <w:vMerge w:val="continue"/>
            <w:vAlign w:val="center"/>
          </w:tcPr>
          <w:p w14:paraId="3BA7F363">
            <w:pPr>
              <w:spacing w:line="240" w:lineRule="auto"/>
              <w:jc w:val="left"/>
              <w:rPr>
                <w:rFonts w:ascii="仿宋" w:hAnsi="仿宋" w:eastAsia="仿宋" w:cs="仿宋"/>
                <w:color w:val="auto"/>
                <w:sz w:val="24"/>
                <w:szCs w:val="24"/>
                <w:highlight w:val="none"/>
                <w:lang w:val="zh-CN"/>
              </w:rPr>
            </w:pPr>
          </w:p>
        </w:tc>
        <w:tc>
          <w:tcPr>
            <w:tcW w:w="2898" w:type="dxa"/>
            <w:vAlign w:val="center"/>
          </w:tcPr>
          <w:p w14:paraId="7F81CABA">
            <w:pPr>
              <w:spacing w:line="240" w:lineRule="auto"/>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017" w:type="dxa"/>
            <w:vAlign w:val="center"/>
          </w:tcPr>
          <w:p w14:paraId="488E977B">
            <w:pPr>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1.供应商提供书面声明（见格式文件）；2.采购人或采购代理机构将通过 “信用中国”网站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等渠道查询供应商信用记录，对列入失信被执行人、重大税收违法案件当事人名单、政府采购严重违法失信行为记录名单的供应商将拒绝其参与本次采购活动。</w:t>
            </w:r>
          </w:p>
        </w:tc>
      </w:tr>
      <w:tr w14:paraId="168A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5" w:type="dxa"/>
            <w:vMerge w:val="continue"/>
            <w:vAlign w:val="center"/>
          </w:tcPr>
          <w:p w14:paraId="600E914F">
            <w:pPr>
              <w:spacing w:line="240" w:lineRule="auto"/>
              <w:jc w:val="center"/>
              <w:rPr>
                <w:rFonts w:ascii="仿宋" w:hAnsi="仿宋" w:eastAsia="仿宋" w:cs="仿宋"/>
                <w:color w:val="auto"/>
                <w:sz w:val="24"/>
                <w:szCs w:val="24"/>
                <w:highlight w:val="none"/>
              </w:rPr>
            </w:pPr>
          </w:p>
        </w:tc>
        <w:tc>
          <w:tcPr>
            <w:tcW w:w="688" w:type="dxa"/>
            <w:vMerge w:val="continue"/>
            <w:vAlign w:val="center"/>
          </w:tcPr>
          <w:p w14:paraId="40405F5C">
            <w:pPr>
              <w:spacing w:line="240" w:lineRule="auto"/>
              <w:jc w:val="left"/>
              <w:rPr>
                <w:rFonts w:ascii="仿宋" w:hAnsi="仿宋" w:eastAsia="仿宋" w:cs="仿宋"/>
                <w:color w:val="auto"/>
                <w:sz w:val="24"/>
                <w:szCs w:val="24"/>
                <w:highlight w:val="none"/>
                <w:lang w:val="zh-CN"/>
              </w:rPr>
            </w:pPr>
          </w:p>
        </w:tc>
        <w:tc>
          <w:tcPr>
            <w:tcW w:w="2898" w:type="dxa"/>
            <w:vAlign w:val="center"/>
          </w:tcPr>
          <w:p w14:paraId="792CEF9B">
            <w:pPr>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017" w:type="dxa"/>
            <w:vAlign w:val="center"/>
          </w:tcPr>
          <w:p w14:paraId="07E15FE6">
            <w:pPr>
              <w:spacing w:line="240" w:lineRule="auto"/>
              <w:jc w:val="left"/>
              <w:rPr>
                <w:rFonts w:ascii="仿宋" w:hAnsi="仿宋" w:eastAsia="仿宋" w:cs="仿宋"/>
                <w:color w:val="auto"/>
                <w:sz w:val="24"/>
                <w:szCs w:val="24"/>
                <w:highlight w:val="none"/>
              </w:rPr>
            </w:pPr>
          </w:p>
        </w:tc>
      </w:tr>
      <w:tr w14:paraId="05FB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55" w:type="dxa"/>
            <w:vAlign w:val="center"/>
          </w:tcPr>
          <w:p w14:paraId="2CAE4FDF">
            <w:pPr>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586" w:type="dxa"/>
            <w:gridSpan w:val="2"/>
            <w:vAlign w:val="center"/>
          </w:tcPr>
          <w:p w14:paraId="568222C4">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特定资格条件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p>
        </w:tc>
        <w:tc>
          <w:tcPr>
            <w:tcW w:w="5017" w:type="dxa"/>
            <w:vAlign w:val="center"/>
          </w:tcPr>
          <w:p w14:paraId="709C9F7B">
            <w:pPr>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按第一篇“三、供应商资格条件（二）特定资格要求”的要求提交</w:t>
            </w:r>
          </w:p>
        </w:tc>
      </w:tr>
    </w:tbl>
    <w:p w14:paraId="1E1886F7">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A12377B">
      <w:pPr>
        <w:snapToGrid w:val="0"/>
        <w:spacing w:line="360" w:lineRule="auto"/>
        <w:ind w:firstLine="482" w:firstLineChars="200"/>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1"/>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19"/>
        <w:gridCol w:w="2208"/>
        <w:gridCol w:w="5148"/>
      </w:tblGrid>
      <w:tr w14:paraId="7058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Align w:val="center"/>
          </w:tcPr>
          <w:p w14:paraId="6633D04C">
            <w:pPr>
              <w:spacing w:line="360" w:lineRule="auto"/>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727" w:type="dxa"/>
            <w:gridSpan w:val="2"/>
            <w:vAlign w:val="center"/>
          </w:tcPr>
          <w:p w14:paraId="69A12BC3">
            <w:pPr>
              <w:spacing w:line="360" w:lineRule="auto"/>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148" w:type="dxa"/>
            <w:vAlign w:val="center"/>
          </w:tcPr>
          <w:p w14:paraId="4DB9CBF1">
            <w:pPr>
              <w:spacing w:line="360" w:lineRule="auto"/>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41A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Merge w:val="restart"/>
            <w:vAlign w:val="center"/>
          </w:tcPr>
          <w:p w14:paraId="200F0607">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19" w:type="dxa"/>
            <w:vMerge w:val="restart"/>
            <w:vAlign w:val="center"/>
          </w:tcPr>
          <w:p w14:paraId="4F9EE3CC">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2208" w:type="dxa"/>
            <w:vAlign w:val="center"/>
          </w:tcPr>
          <w:p w14:paraId="6DDB4926">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148" w:type="dxa"/>
            <w:vAlign w:val="center"/>
          </w:tcPr>
          <w:p w14:paraId="6DF6797B">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highlight w:val="none"/>
              </w:rPr>
              <w:t>网上电子文档及响应文件</w:t>
            </w:r>
            <w:r>
              <w:rPr>
                <w:rFonts w:hint="eastAsia" w:ascii="仿宋" w:hAnsi="仿宋" w:eastAsia="仿宋" w:cs="仿宋"/>
                <w:color w:val="auto"/>
                <w:sz w:val="24"/>
                <w:szCs w:val="24"/>
                <w:highlight w:val="none"/>
              </w:rPr>
              <w:t>上法定代表人或其授权代表人的签字齐全。</w:t>
            </w:r>
          </w:p>
        </w:tc>
      </w:tr>
      <w:tr w14:paraId="1F94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56" w:type="dxa"/>
            <w:vMerge w:val="continue"/>
            <w:vAlign w:val="center"/>
          </w:tcPr>
          <w:p w14:paraId="6F856FA0">
            <w:pPr>
              <w:spacing w:line="360" w:lineRule="auto"/>
              <w:jc w:val="center"/>
              <w:rPr>
                <w:rFonts w:ascii="仿宋" w:hAnsi="仿宋" w:eastAsia="仿宋" w:cs="仿宋"/>
                <w:color w:val="auto"/>
                <w:kern w:val="0"/>
                <w:sz w:val="24"/>
                <w:szCs w:val="24"/>
                <w:highlight w:val="none"/>
              </w:rPr>
            </w:pPr>
          </w:p>
        </w:tc>
        <w:tc>
          <w:tcPr>
            <w:tcW w:w="1519" w:type="dxa"/>
            <w:vMerge w:val="continue"/>
            <w:vAlign w:val="center"/>
          </w:tcPr>
          <w:p w14:paraId="4C647C5C">
            <w:pPr>
              <w:spacing w:line="360" w:lineRule="auto"/>
              <w:rPr>
                <w:rFonts w:ascii="仿宋" w:hAnsi="仿宋" w:eastAsia="仿宋" w:cs="仿宋"/>
                <w:color w:val="auto"/>
                <w:kern w:val="0"/>
                <w:sz w:val="24"/>
                <w:szCs w:val="24"/>
                <w:highlight w:val="none"/>
              </w:rPr>
            </w:pPr>
          </w:p>
        </w:tc>
        <w:tc>
          <w:tcPr>
            <w:tcW w:w="2208" w:type="dxa"/>
            <w:vAlign w:val="center"/>
          </w:tcPr>
          <w:p w14:paraId="3AB537A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148" w:type="dxa"/>
            <w:vAlign w:val="center"/>
          </w:tcPr>
          <w:p w14:paraId="350AD496">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val="en-US" w:eastAsia="zh-CN"/>
              </w:rPr>
              <w:t>或其</w:t>
            </w:r>
            <w:r>
              <w:rPr>
                <w:rFonts w:hint="eastAsia" w:ascii="仿宋" w:hAnsi="仿宋" w:eastAsia="仿宋" w:cs="仿宋"/>
                <w:color w:val="auto"/>
                <w:sz w:val="24"/>
                <w:szCs w:val="24"/>
                <w:highlight w:val="none"/>
              </w:rPr>
              <w:t>授权委托书有效，符合网上竞采文件规定的格式，签字或盖章齐全。</w:t>
            </w:r>
          </w:p>
        </w:tc>
      </w:tr>
      <w:tr w14:paraId="7910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56" w:type="dxa"/>
            <w:vMerge w:val="continue"/>
            <w:vAlign w:val="center"/>
          </w:tcPr>
          <w:p w14:paraId="3ED91F22">
            <w:pPr>
              <w:spacing w:line="360" w:lineRule="auto"/>
              <w:jc w:val="center"/>
              <w:rPr>
                <w:rFonts w:ascii="仿宋" w:hAnsi="仿宋" w:eastAsia="仿宋" w:cs="仿宋"/>
                <w:color w:val="auto"/>
                <w:kern w:val="0"/>
                <w:sz w:val="24"/>
                <w:szCs w:val="24"/>
                <w:highlight w:val="none"/>
              </w:rPr>
            </w:pPr>
          </w:p>
        </w:tc>
        <w:tc>
          <w:tcPr>
            <w:tcW w:w="1519" w:type="dxa"/>
            <w:vMerge w:val="continue"/>
            <w:vAlign w:val="center"/>
          </w:tcPr>
          <w:p w14:paraId="3106E222">
            <w:pPr>
              <w:spacing w:line="360" w:lineRule="auto"/>
              <w:rPr>
                <w:rFonts w:ascii="仿宋" w:hAnsi="仿宋" w:eastAsia="仿宋" w:cs="仿宋"/>
                <w:color w:val="auto"/>
                <w:kern w:val="0"/>
                <w:sz w:val="24"/>
                <w:szCs w:val="24"/>
                <w:highlight w:val="none"/>
              </w:rPr>
            </w:pPr>
          </w:p>
        </w:tc>
        <w:tc>
          <w:tcPr>
            <w:tcW w:w="2208" w:type="dxa"/>
            <w:vAlign w:val="center"/>
          </w:tcPr>
          <w:p w14:paraId="24848C07">
            <w:pP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148" w:type="dxa"/>
            <w:vAlign w:val="center"/>
          </w:tcPr>
          <w:p w14:paraId="4B0A954F">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36A5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Merge w:val="continue"/>
            <w:vAlign w:val="center"/>
          </w:tcPr>
          <w:p w14:paraId="0E805DB2">
            <w:pPr>
              <w:spacing w:line="360" w:lineRule="auto"/>
              <w:jc w:val="center"/>
              <w:rPr>
                <w:rFonts w:ascii="仿宋" w:hAnsi="仿宋" w:eastAsia="仿宋" w:cs="仿宋"/>
                <w:color w:val="auto"/>
                <w:kern w:val="0"/>
                <w:sz w:val="24"/>
                <w:szCs w:val="24"/>
                <w:highlight w:val="none"/>
              </w:rPr>
            </w:pPr>
          </w:p>
        </w:tc>
        <w:tc>
          <w:tcPr>
            <w:tcW w:w="1519" w:type="dxa"/>
            <w:vMerge w:val="continue"/>
            <w:vAlign w:val="center"/>
          </w:tcPr>
          <w:p w14:paraId="1BAE885B">
            <w:pPr>
              <w:spacing w:line="360" w:lineRule="auto"/>
              <w:rPr>
                <w:rFonts w:ascii="仿宋" w:hAnsi="仿宋" w:eastAsia="仿宋" w:cs="仿宋"/>
                <w:color w:val="auto"/>
                <w:kern w:val="0"/>
                <w:sz w:val="24"/>
                <w:szCs w:val="24"/>
                <w:highlight w:val="none"/>
              </w:rPr>
            </w:pPr>
          </w:p>
        </w:tc>
        <w:tc>
          <w:tcPr>
            <w:tcW w:w="2208" w:type="dxa"/>
            <w:vAlign w:val="center"/>
          </w:tcPr>
          <w:p w14:paraId="4D4C98BD">
            <w:pP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148" w:type="dxa"/>
            <w:vAlign w:val="center"/>
          </w:tcPr>
          <w:p w14:paraId="3603619A">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2518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56" w:type="dxa"/>
            <w:vAlign w:val="center"/>
          </w:tcPr>
          <w:p w14:paraId="735AB5CD">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19" w:type="dxa"/>
            <w:vAlign w:val="center"/>
          </w:tcPr>
          <w:p w14:paraId="0DB433E8">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2208" w:type="dxa"/>
            <w:vAlign w:val="center"/>
          </w:tcPr>
          <w:p w14:paraId="2FC7EFBC">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148" w:type="dxa"/>
            <w:vAlign w:val="center"/>
          </w:tcPr>
          <w:p w14:paraId="0843022C">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sz w:val="24"/>
                <w:szCs w:val="24"/>
                <w:highlight w:val="none"/>
              </w:rPr>
              <w:t>网上竞采</w:t>
            </w:r>
            <w:r>
              <w:rPr>
                <w:rFonts w:hint="eastAsia" w:ascii="仿宋" w:hAnsi="仿宋" w:eastAsia="仿宋" w:cs="仿宋"/>
                <w:color w:val="auto"/>
                <w:sz w:val="24"/>
                <w:szCs w:val="24"/>
                <w:highlight w:val="none"/>
                <w:lang w:val="zh-CN"/>
              </w:rPr>
              <w:t>文件要求。</w:t>
            </w:r>
          </w:p>
        </w:tc>
      </w:tr>
      <w:tr w14:paraId="5916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Merge w:val="restart"/>
            <w:vAlign w:val="center"/>
          </w:tcPr>
          <w:p w14:paraId="4D74AF75">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19" w:type="dxa"/>
            <w:vMerge w:val="restart"/>
            <w:vAlign w:val="center"/>
          </w:tcPr>
          <w:p w14:paraId="521D0322">
            <w:pP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网上竞采文件的响应程度审查</w:t>
            </w:r>
          </w:p>
        </w:tc>
        <w:tc>
          <w:tcPr>
            <w:tcW w:w="2208" w:type="dxa"/>
            <w:vAlign w:val="center"/>
          </w:tcPr>
          <w:p w14:paraId="45BF4C45">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148" w:type="dxa"/>
            <w:vAlign w:val="center"/>
          </w:tcPr>
          <w:p w14:paraId="6142CBAB">
            <w:pPr>
              <w:pStyle w:val="11"/>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对网上竞采文件第二篇、第三篇规定的网上竞采内容作出响应。</w:t>
            </w:r>
          </w:p>
        </w:tc>
      </w:tr>
      <w:tr w14:paraId="7B3C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56" w:type="dxa"/>
            <w:vMerge w:val="continue"/>
            <w:vAlign w:val="center"/>
          </w:tcPr>
          <w:p w14:paraId="3A531C55">
            <w:pPr>
              <w:spacing w:line="360" w:lineRule="auto"/>
              <w:jc w:val="center"/>
              <w:rPr>
                <w:rFonts w:ascii="仿宋" w:hAnsi="仿宋" w:eastAsia="仿宋" w:cs="仿宋"/>
                <w:color w:val="auto"/>
                <w:kern w:val="0"/>
                <w:sz w:val="24"/>
                <w:szCs w:val="24"/>
                <w:highlight w:val="none"/>
              </w:rPr>
            </w:pPr>
          </w:p>
        </w:tc>
        <w:tc>
          <w:tcPr>
            <w:tcW w:w="1519" w:type="dxa"/>
            <w:vMerge w:val="continue"/>
            <w:vAlign w:val="center"/>
          </w:tcPr>
          <w:p w14:paraId="2DB227CD">
            <w:pPr>
              <w:spacing w:line="360" w:lineRule="auto"/>
              <w:rPr>
                <w:rFonts w:ascii="仿宋" w:hAnsi="仿宋" w:eastAsia="仿宋" w:cs="仿宋"/>
                <w:color w:val="auto"/>
                <w:sz w:val="24"/>
                <w:szCs w:val="24"/>
                <w:highlight w:val="none"/>
                <w:lang w:val="zh-CN"/>
              </w:rPr>
            </w:pPr>
          </w:p>
        </w:tc>
        <w:tc>
          <w:tcPr>
            <w:tcW w:w="2208" w:type="dxa"/>
            <w:vAlign w:val="center"/>
          </w:tcPr>
          <w:p w14:paraId="414998B7">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网上竞采有效期</w:t>
            </w:r>
          </w:p>
        </w:tc>
        <w:tc>
          <w:tcPr>
            <w:tcW w:w="5148" w:type="dxa"/>
            <w:vAlign w:val="center"/>
          </w:tcPr>
          <w:p w14:paraId="4C2C1533">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满足网上竞采文件</w:t>
            </w:r>
            <w:r>
              <w:rPr>
                <w:rFonts w:hint="eastAsia" w:ascii="仿宋" w:hAnsi="仿宋" w:eastAsia="仿宋" w:cs="仿宋"/>
                <w:color w:val="auto"/>
                <w:sz w:val="24"/>
                <w:szCs w:val="24"/>
                <w:highlight w:val="none"/>
                <w:lang w:val="zh-CN"/>
              </w:rPr>
              <w:t>规定。</w:t>
            </w:r>
          </w:p>
        </w:tc>
      </w:tr>
    </w:tbl>
    <w:p w14:paraId="216BE09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1A7E13">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A17574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942C26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2B5CA1F6">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3.评选方法：综合评分法。</w:t>
      </w:r>
    </w:p>
    <w:p w14:paraId="5D683FF2">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bookmarkStart w:id="71" w:name="_Hlk27399823"/>
      <w:r>
        <w:rPr>
          <w:rFonts w:hint="eastAsia" w:ascii="仿宋" w:hAnsi="仿宋" w:eastAsia="仿宋" w:cs="仿宋"/>
          <w:color w:val="auto"/>
          <w:kern w:val="0"/>
          <w:sz w:val="24"/>
          <w:szCs w:val="24"/>
          <w:highlight w:val="none"/>
        </w:rPr>
        <w:t>供应商出现评分相同的情况，按</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部分得分进行由低到高进行排序。</w:t>
      </w:r>
    </w:p>
    <w:p w14:paraId="3E0BAB33">
      <w:pPr>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二、评审标准</w:t>
      </w:r>
    </w:p>
    <w:tbl>
      <w:tblPr>
        <w:tblStyle w:val="21"/>
        <w:tblpPr w:leftFromText="180" w:rightFromText="180" w:vertAnchor="text" w:tblpXSpec="center" w:tblpY="1"/>
        <w:tblOverlap w:val="never"/>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58"/>
        <w:gridCol w:w="710"/>
        <w:gridCol w:w="5693"/>
        <w:gridCol w:w="1702"/>
      </w:tblGrid>
      <w:tr w14:paraId="2823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4" w:type="dxa"/>
            <w:vAlign w:val="center"/>
          </w:tcPr>
          <w:p w14:paraId="5693D32A">
            <w:pPr>
              <w:spacing w:line="24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58" w:type="dxa"/>
            <w:vAlign w:val="center"/>
          </w:tcPr>
          <w:p w14:paraId="0D56E866">
            <w:pPr>
              <w:spacing w:line="24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tc>
        <w:tc>
          <w:tcPr>
            <w:tcW w:w="710" w:type="dxa"/>
            <w:vAlign w:val="center"/>
          </w:tcPr>
          <w:p w14:paraId="37743C95">
            <w:pPr>
              <w:spacing w:line="24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5693" w:type="dxa"/>
            <w:vAlign w:val="center"/>
          </w:tcPr>
          <w:p w14:paraId="11366FFC">
            <w:pPr>
              <w:spacing w:line="24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702" w:type="dxa"/>
            <w:vAlign w:val="center"/>
          </w:tcPr>
          <w:p w14:paraId="225C647F">
            <w:pPr>
              <w:pStyle w:val="26"/>
              <w:spacing w:before="0" w:after="0"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1068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14" w:type="dxa"/>
            <w:vAlign w:val="center"/>
          </w:tcPr>
          <w:p w14:paraId="69D01D51">
            <w:pPr>
              <w:widowControl/>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58" w:type="dxa"/>
            <w:vAlign w:val="center"/>
          </w:tcPr>
          <w:p w14:paraId="20BB74F8">
            <w:pPr>
              <w:widowControl/>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710" w:type="dxa"/>
            <w:vAlign w:val="center"/>
          </w:tcPr>
          <w:p w14:paraId="066151F9">
            <w:pPr>
              <w:widowControl/>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w:t>
            </w:r>
          </w:p>
        </w:tc>
        <w:tc>
          <w:tcPr>
            <w:tcW w:w="5693" w:type="dxa"/>
            <w:vAlign w:val="center"/>
          </w:tcPr>
          <w:p w14:paraId="62523E4B">
            <w:pPr>
              <w:spacing w:line="400" w:lineRule="exact"/>
              <w:ind w:firstLine="480" w:firstLineChars="200"/>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有效的投标报价中的最低价为评标基准价，按照下列公式计算每个供应商的投标价格得分。</w:t>
            </w:r>
          </w:p>
          <w:p w14:paraId="0784B858">
            <w:pPr>
              <w:spacing w:line="400" w:lineRule="exact"/>
              <w:ind w:firstLine="480" w:firstLineChars="200"/>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投标报价得分＝（评标基准价/投标报价）×价格权重×100。</w:t>
            </w:r>
          </w:p>
        </w:tc>
        <w:tc>
          <w:tcPr>
            <w:tcW w:w="1702" w:type="dxa"/>
            <w:vAlign w:val="center"/>
          </w:tcPr>
          <w:p w14:paraId="49BD432F">
            <w:pPr>
              <w:spacing w:line="400" w:lineRule="exact"/>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高于最高限价</w:t>
            </w:r>
            <w:r>
              <w:rPr>
                <w:rFonts w:hint="eastAsia" w:ascii="Times New Roman" w:hAnsi="Times New Roman" w:eastAsia="方正仿宋_GBK" w:cs="Times New Roman"/>
                <w:color w:val="auto"/>
                <w:sz w:val="24"/>
                <w:szCs w:val="24"/>
                <w:highlight w:val="none"/>
                <w:lang w:val="en-US" w:eastAsia="zh-CN"/>
              </w:rPr>
              <w:t>的</w:t>
            </w:r>
            <w:r>
              <w:rPr>
                <w:rFonts w:hint="eastAsia" w:ascii="Times New Roman" w:hAnsi="Times New Roman" w:eastAsia="方正仿宋_GBK" w:cs="Times New Roman"/>
                <w:color w:val="auto"/>
                <w:sz w:val="24"/>
                <w:szCs w:val="24"/>
                <w:highlight w:val="none"/>
                <w:lang w:eastAsia="zh-CN"/>
              </w:rPr>
              <w:t>为无效报价</w:t>
            </w:r>
          </w:p>
        </w:tc>
      </w:tr>
      <w:tr w14:paraId="30C8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vMerge w:val="restart"/>
            <w:vAlign w:val="center"/>
          </w:tcPr>
          <w:p w14:paraId="2E2ACB19">
            <w:pPr>
              <w:widowControl/>
              <w:spacing w:line="24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58" w:type="dxa"/>
            <w:vMerge w:val="restart"/>
            <w:vAlign w:val="center"/>
          </w:tcPr>
          <w:p w14:paraId="395594D3">
            <w:pPr>
              <w:widowControl/>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p>
        </w:tc>
        <w:tc>
          <w:tcPr>
            <w:tcW w:w="710" w:type="dxa"/>
            <w:vMerge w:val="restart"/>
            <w:vAlign w:val="center"/>
          </w:tcPr>
          <w:p w14:paraId="11BB5A49">
            <w:pPr>
              <w:widowControl/>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5693" w:type="dxa"/>
            <w:vAlign w:val="center"/>
          </w:tcPr>
          <w:p w14:paraId="4A9D9658">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sz w:val="24"/>
                <w:szCs w:val="24"/>
                <w:highlight w:val="none"/>
                <w:lang w:eastAsia="zh-CN"/>
              </w:rPr>
              <w:t>1.日常运维服务方案（</w:t>
            </w:r>
            <w:r>
              <w:rPr>
                <w:rFonts w:hint="eastAsia" w:eastAsia="方正仿宋_GBK" w:cs="Times New Roman"/>
                <w:b w:val="0"/>
                <w:bCs w:val="0"/>
                <w:color w:val="auto"/>
                <w:sz w:val="24"/>
                <w:szCs w:val="24"/>
                <w:highlight w:val="none"/>
                <w:lang w:val="en-US" w:eastAsia="zh-CN"/>
              </w:rPr>
              <w:t>15</w:t>
            </w:r>
            <w:r>
              <w:rPr>
                <w:rFonts w:hint="eastAsia" w:ascii="Times New Roman" w:hAnsi="Times New Roman" w:eastAsia="方正仿宋_GBK" w:cs="Times New Roman"/>
                <w:b w:val="0"/>
                <w:bCs w:val="0"/>
                <w:color w:val="auto"/>
                <w:sz w:val="24"/>
                <w:szCs w:val="24"/>
                <w:highlight w:val="none"/>
                <w:lang w:eastAsia="zh-CN"/>
              </w:rPr>
              <w:t>分）：</w:t>
            </w:r>
          </w:p>
          <w:p w14:paraId="17CDB6F7">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sz w:val="24"/>
                <w:szCs w:val="24"/>
                <w:highlight w:val="none"/>
                <w:lang w:eastAsia="zh-CN"/>
              </w:rPr>
              <w:t>从设备巡检维护计划、故障响应及处理流程、设备保养措施等方面评审。</w:t>
            </w:r>
          </w:p>
          <w:p w14:paraId="764F65A6">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sz w:val="24"/>
                <w:szCs w:val="24"/>
                <w:highlight w:val="none"/>
                <w:lang w:eastAsia="zh-CN"/>
              </w:rPr>
              <w:t>优得</w:t>
            </w:r>
            <w:r>
              <w:rPr>
                <w:rFonts w:hint="eastAsia" w:eastAsia="方正仿宋_GBK" w:cs="Times New Roman"/>
                <w:b w:val="0"/>
                <w:bCs w:val="0"/>
                <w:color w:val="auto"/>
                <w:sz w:val="24"/>
                <w:szCs w:val="24"/>
                <w:highlight w:val="none"/>
                <w:lang w:val="en-US" w:eastAsia="zh-CN"/>
              </w:rPr>
              <w:t>15</w:t>
            </w:r>
            <w:r>
              <w:rPr>
                <w:rFonts w:hint="eastAsia" w:ascii="Times New Roman" w:hAnsi="Times New Roman" w:eastAsia="方正仿宋_GBK" w:cs="Times New Roman"/>
                <w:b w:val="0"/>
                <w:bCs w:val="0"/>
                <w:color w:val="auto"/>
                <w:sz w:val="24"/>
                <w:szCs w:val="24"/>
                <w:highlight w:val="none"/>
                <w:lang w:eastAsia="zh-CN"/>
              </w:rPr>
              <w:t>分：方案全面详细，巡检计划科学合理，故障响应迅速（响应时间≤30分钟），处理流程规范，保养措施专业有效，完全满足智慧教室运维需求；</w:t>
            </w:r>
          </w:p>
          <w:p w14:paraId="2ACD63F7">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sz w:val="24"/>
                <w:szCs w:val="24"/>
                <w:highlight w:val="none"/>
                <w:lang w:eastAsia="zh-CN"/>
              </w:rPr>
              <w:t>良得</w:t>
            </w:r>
            <w:r>
              <w:rPr>
                <w:rFonts w:hint="eastAsia" w:eastAsia="方正仿宋_GBK" w:cs="Times New Roman"/>
                <w:b w:val="0"/>
                <w:bCs w:val="0"/>
                <w:color w:val="auto"/>
                <w:sz w:val="24"/>
                <w:szCs w:val="24"/>
                <w:highlight w:val="none"/>
                <w:lang w:val="en-US" w:eastAsia="zh-CN"/>
              </w:rPr>
              <w:t>8</w:t>
            </w:r>
            <w:r>
              <w:rPr>
                <w:rFonts w:hint="eastAsia" w:ascii="Times New Roman" w:hAnsi="Times New Roman" w:eastAsia="方正仿宋_GBK" w:cs="Times New Roman"/>
                <w:b w:val="0"/>
                <w:bCs w:val="0"/>
                <w:color w:val="auto"/>
                <w:sz w:val="24"/>
                <w:szCs w:val="24"/>
                <w:highlight w:val="none"/>
                <w:lang w:eastAsia="zh-CN"/>
              </w:rPr>
              <w:t>分：方案较完整，巡检计划可行，故障响应较及时（响应时间≤1小时），处理流程基本规范，保养措施合理，部分满足需求；</w:t>
            </w:r>
          </w:p>
          <w:p w14:paraId="13D460BF">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sz w:val="24"/>
                <w:szCs w:val="24"/>
                <w:highlight w:val="none"/>
                <w:lang w:eastAsia="zh-CN"/>
              </w:rPr>
              <w:t>差得</w:t>
            </w:r>
            <w:r>
              <w:rPr>
                <w:rFonts w:hint="eastAsia" w:eastAsia="方正仿宋_GBK" w:cs="Times New Roman"/>
                <w:b w:val="0"/>
                <w:bCs w:val="0"/>
                <w:color w:val="auto"/>
                <w:sz w:val="24"/>
                <w:szCs w:val="24"/>
                <w:highlight w:val="none"/>
                <w:lang w:val="en-US" w:eastAsia="zh-CN"/>
              </w:rPr>
              <w:t>5</w:t>
            </w:r>
            <w:r>
              <w:rPr>
                <w:rFonts w:hint="eastAsia" w:ascii="Times New Roman" w:hAnsi="Times New Roman" w:eastAsia="方正仿宋_GBK" w:cs="Times New Roman"/>
                <w:b w:val="0"/>
                <w:bCs w:val="0"/>
                <w:color w:val="auto"/>
                <w:sz w:val="24"/>
                <w:szCs w:val="24"/>
                <w:highlight w:val="none"/>
                <w:lang w:eastAsia="zh-CN"/>
              </w:rPr>
              <w:t>分：方案不完整，巡检计划不合理，故障响应慢，处理流程混乱，保养措施无保障，不满足需求；</w:t>
            </w:r>
          </w:p>
          <w:p w14:paraId="072D8451">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eastAsia="zh-CN"/>
              </w:rPr>
            </w:pPr>
            <w:r>
              <w:rPr>
                <w:rFonts w:hint="eastAsia" w:ascii="Times New Roman" w:hAnsi="Times New Roman" w:eastAsia="方正仿宋_GBK" w:cs="Times New Roman"/>
                <w:b w:val="0"/>
                <w:bCs w:val="0"/>
                <w:color w:val="auto"/>
                <w:sz w:val="24"/>
                <w:szCs w:val="24"/>
                <w:highlight w:val="none"/>
                <w:lang w:eastAsia="zh-CN"/>
              </w:rPr>
              <w:t>未提供得 0 分。</w:t>
            </w:r>
          </w:p>
        </w:tc>
        <w:tc>
          <w:tcPr>
            <w:tcW w:w="1702" w:type="dxa"/>
            <w:vMerge w:val="restart"/>
            <w:vAlign w:val="center"/>
          </w:tcPr>
          <w:p w14:paraId="58136872">
            <w:pPr>
              <w:spacing w:line="400" w:lineRule="exact"/>
              <w:ind w:firstLine="480" w:firstLineChars="200"/>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1、供应商须提供书面方案，格式自拟。</w:t>
            </w:r>
          </w:p>
          <w:p w14:paraId="2EA0E1A3">
            <w:pPr>
              <w:spacing w:line="400" w:lineRule="exact"/>
              <w:ind w:firstLine="480" w:firstLineChars="200"/>
              <w:rPr>
                <w:rFonts w:hint="eastAsia" w:ascii="Times New Roman" w:hAnsi="Times New Roman" w:eastAsia="方正仿宋_GBK" w:cs="Times New Roman"/>
                <w:color w:val="auto"/>
                <w:sz w:val="24"/>
                <w:szCs w:val="24"/>
                <w:highlight w:val="none"/>
                <w:lang w:eastAsia="zh-CN"/>
              </w:rPr>
            </w:pPr>
          </w:p>
          <w:p w14:paraId="1CEE4CD3">
            <w:pPr>
              <w:spacing w:line="400" w:lineRule="exact"/>
              <w:ind w:firstLine="480" w:firstLineChars="200"/>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2、评审小组会根据竞采文件服务要求为标准，对各供应商提供的书面方案进行独立评分。</w:t>
            </w:r>
          </w:p>
          <w:p w14:paraId="2039B8F4">
            <w:pPr>
              <w:spacing w:line="400" w:lineRule="exact"/>
              <w:ind w:firstLine="480" w:firstLineChars="200"/>
              <w:rPr>
                <w:rFonts w:hint="eastAsia" w:ascii="Times New Roman" w:hAnsi="Times New Roman" w:eastAsia="方正仿宋_GBK" w:cs="Times New Roman"/>
                <w:color w:val="auto"/>
                <w:sz w:val="24"/>
                <w:szCs w:val="24"/>
                <w:highlight w:val="none"/>
                <w:lang w:eastAsia="zh-CN"/>
              </w:rPr>
            </w:pPr>
          </w:p>
          <w:p w14:paraId="38FE2405">
            <w:pPr>
              <w:spacing w:line="400" w:lineRule="exact"/>
              <w:ind w:firstLine="480" w:firstLineChars="200"/>
              <w:rPr>
                <w:rFonts w:hint="eastAsia" w:ascii="Times New Roman" w:hAnsi="Times New Roman" w:eastAsia="方正仿宋_GBK" w:cs="Times New Roman"/>
                <w:color w:val="auto"/>
                <w:sz w:val="24"/>
                <w:szCs w:val="24"/>
                <w:highlight w:val="none"/>
                <w:lang w:eastAsia="zh-CN"/>
              </w:rPr>
            </w:pPr>
            <w:r>
              <w:rPr>
                <w:rFonts w:hint="eastAsia" w:ascii="Times New Roman" w:hAnsi="Times New Roman" w:eastAsia="方正仿宋_GBK" w:cs="Times New Roman"/>
                <w:color w:val="auto"/>
                <w:sz w:val="24"/>
                <w:szCs w:val="24"/>
                <w:highlight w:val="none"/>
                <w:lang w:eastAsia="zh-CN"/>
              </w:rPr>
              <w:t>3、取评审小组的算术平均值作为</w:t>
            </w:r>
            <w:r>
              <w:rPr>
                <w:rFonts w:hint="eastAsia" w:ascii="Times New Roman" w:hAnsi="Times New Roman" w:eastAsia="方正仿宋_GBK" w:cs="Times New Roman"/>
                <w:color w:val="auto"/>
                <w:sz w:val="24"/>
                <w:szCs w:val="24"/>
                <w:highlight w:val="none"/>
                <w:lang w:val="en-US" w:eastAsia="zh-CN"/>
              </w:rPr>
              <w:t>服务</w:t>
            </w:r>
            <w:r>
              <w:rPr>
                <w:rFonts w:hint="eastAsia" w:ascii="Times New Roman" w:hAnsi="Times New Roman" w:eastAsia="方正仿宋_GBK" w:cs="Times New Roman"/>
                <w:color w:val="auto"/>
                <w:sz w:val="24"/>
                <w:szCs w:val="24"/>
                <w:highlight w:val="none"/>
                <w:lang w:eastAsia="zh-CN"/>
              </w:rPr>
              <w:t>部分得分。</w:t>
            </w:r>
          </w:p>
        </w:tc>
      </w:tr>
      <w:tr w14:paraId="3C6A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714" w:type="dxa"/>
            <w:vMerge w:val="continue"/>
            <w:vAlign w:val="center"/>
          </w:tcPr>
          <w:p w14:paraId="11915F82">
            <w:pPr>
              <w:widowControl/>
              <w:spacing w:line="240" w:lineRule="auto"/>
              <w:jc w:val="center"/>
              <w:rPr>
                <w:rFonts w:ascii="仿宋" w:hAnsi="仿宋" w:eastAsia="仿宋" w:cs="仿宋"/>
                <w:color w:val="auto"/>
                <w:sz w:val="24"/>
                <w:szCs w:val="24"/>
                <w:highlight w:val="none"/>
              </w:rPr>
            </w:pPr>
          </w:p>
        </w:tc>
        <w:tc>
          <w:tcPr>
            <w:tcW w:w="1258" w:type="dxa"/>
            <w:vMerge w:val="continue"/>
            <w:vAlign w:val="center"/>
          </w:tcPr>
          <w:p w14:paraId="39741234">
            <w:pPr>
              <w:widowControl/>
              <w:spacing w:line="240" w:lineRule="auto"/>
              <w:jc w:val="left"/>
              <w:rPr>
                <w:rFonts w:ascii="仿宋" w:hAnsi="仿宋" w:eastAsia="仿宋" w:cs="仿宋"/>
                <w:color w:val="auto"/>
                <w:sz w:val="24"/>
                <w:szCs w:val="24"/>
                <w:highlight w:val="none"/>
              </w:rPr>
            </w:pPr>
          </w:p>
        </w:tc>
        <w:tc>
          <w:tcPr>
            <w:tcW w:w="710" w:type="dxa"/>
            <w:vMerge w:val="continue"/>
            <w:vAlign w:val="center"/>
          </w:tcPr>
          <w:p w14:paraId="7BA1E875">
            <w:pPr>
              <w:widowControl/>
              <w:spacing w:line="240" w:lineRule="auto"/>
              <w:jc w:val="left"/>
              <w:rPr>
                <w:rFonts w:ascii="仿宋" w:hAnsi="仿宋" w:eastAsia="仿宋" w:cs="仿宋"/>
                <w:color w:val="auto"/>
                <w:sz w:val="24"/>
                <w:szCs w:val="24"/>
                <w:highlight w:val="none"/>
              </w:rPr>
            </w:pPr>
          </w:p>
        </w:tc>
        <w:tc>
          <w:tcPr>
            <w:tcW w:w="5693" w:type="dxa"/>
            <w:vAlign w:val="center"/>
          </w:tcPr>
          <w:p w14:paraId="79598983">
            <w:pPr>
              <w:spacing w:line="40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 系统升级与优化方案（1</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w:t>
            </w:r>
          </w:p>
          <w:p w14:paraId="0EBCD156">
            <w:pPr>
              <w:spacing w:line="40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评审内容涵盖系统升级规划、新技术应用、兼容性测试、数据安全保障等。</w:t>
            </w:r>
          </w:p>
          <w:p w14:paraId="0D866164">
            <w:pPr>
              <w:spacing w:line="40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优得1</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分：升级规划清晰合理，积极采用前沿技术，兼容性测试全面，数据安全措施严密，有效提升智慧教室性能；</w:t>
            </w:r>
          </w:p>
          <w:p w14:paraId="1DF6BA9C">
            <w:pPr>
              <w:spacing w:line="40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良得8分：升级规划较明确，技术应用可行，有基本兼容性测试和数据安全措施，对系统有一定优化；</w:t>
            </w:r>
          </w:p>
          <w:p w14:paraId="58BBC922">
            <w:pPr>
              <w:spacing w:line="40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差4分：升级规划模糊，技术应用落后，无兼容性测试和数据安全保障，无法实现系统优化；</w:t>
            </w:r>
          </w:p>
          <w:p w14:paraId="63E04E95">
            <w:pPr>
              <w:spacing w:line="40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未提供得 0 分。</w:t>
            </w:r>
          </w:p>
        </w:tc>
        <w:tc>
          <w:tcPr>
            <w:tcW w:w="1702" w:type="dxa"/>
            <w:vMerge w:val="continue"/>
            <w:vAlign w:val="center"/>
          </w:tcPr>
          <w:p w14:paraId="63B5806F">
            <w:pPr>
              <w:widowControl/>
              <w:spacing w:line="240" w:lineRule="auto"/>
              <w:rPr>
                <w:rFonts w:ascii="仿宋" w:hAnsi="仿宋" w:eastAsia="仿宋" w:cs="仿宋"/>
                <w:color w:val="auto"/>
                <w:sz w:val="24"/>
                <w:szCs w:val="24"/>
                <w:highlight w:val="none"/>
              </w:rPr>
            </w:pPr>
          </w:p>
        </w:tc>
      </w:tr>
      <w:tr w14:paraId="6A93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714" w:type="dxa"/>
            <w:vMerge w:val="continue"/>
            <w:vAlign w:val="center"/>
          </w:tcPr>
          <w:p w14:paraId="22EF3E24">
            <w:pPr>
              <w:widowControl/>
              <w:spacing w:line="240" w:lineRule="auto"/>
              <w:jc w:val="center"/>
              <w:rPr>
                <w:rFonts w:ascii="仿宋" w:hAnsi="仿宋" w:eastAsia="仿宋" w:cs="仿宋"/>
                <w:color w:val="auto"/>
                <w:sz w:val="24"/>
                <w:szCs w:val="24"/>
                <w:highlight w:val="none"/>
              </w:rPr>
            </w:pPr>
          </w:p>
        </w:tc>
        <w:tc>
          <w:tcPr>
            <w:tcW w:w="1258" w:type="dxa"/>
            <w:vMerge w:val="continue"/>
            <w:vAlign w:val="center"/>
          </w:tcPr>
          <w:p w14:paraId="2EE352DB">
            <w:pPr>
              <w:widowControl/>
              <w:spacing w:line="240" w:lineRule="auto"/>
              <w:jc w:val="left"/>
              <w:rPr>
                <w:rFonts w:ascii="仿宋" w:hAnsi="仿宋" w:eastAsia="仿宋" w:cs="仿宋"/>
                <w:color w:val="auto"/>
                <w:sz w:val="24"/>
                <w:szCs w:val="24"/>
                <w:highlight w:val="none"/>
              </w:rPr>
            </w:pPr>
          </w:p>
        </w:tc>
        <w:tc>
          <w:tcPr>
            <w:tcW w:w="710" w:type="dxa"/>
            <w:vMerge w:val="continue"/>
            <w:vAlign w:val="center"/>
          </w:tcPr>
          <w:p w14:paraId="50979A35">
            <w:pPr>
              <w:widowControl/>
              <w:spacing w:line="240" w:lineRule="auto"/>
              <w:jc w:val="left"/>
              <w:rPr>
                <w:rFonts w:ascii="仿宋" w:hAnsi="仿宋" w:eastAsia="仿宋" w:cs="仿宋"/>
                <w:color w:val="auto"/>
                <w:sz w:val="24"/>
                <w:szCs w:val="24"/>
                <w:highlight w:val="none"/>
              </w:rPr>
            </w:pPr>
          </w:p>
        </w:tc>
        <w:tc>
          <w:tcPr>
            <w:tcW w:w="5693" w:type="dxa"/>
            <w:vAlign w:val="center"/>
          </w:tcPr>
          <w:p w14:paraId="632099DB">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3.运维数据治理与分析报告方案</w:t>
            </w:r>
            <w:r>
              <w:rPr>
                <w:rFonts w:hint="eastAsia" w:eastAsia="方正仿宋_GBK" w:cs="Times New Roman"/>
                <w:b w:val="0"/>
                <w:bCs w:val="0"/>
                <w:color w:val="auto"/>
                <w:sz w:val="24"/>
                <w:szCs w:val="24"/>
                <w:highlight w:val="none"/>
                <w:lang w:val="en-US" w:eastAsia="zh-CN"/>
              </w:rPr>
              <w:t>（15分）</w:t>
            </w:r>
            <w:r>
              <w:rPr>
                <w:rFonts w:hint="eastAsia" w:ascii="Times New Roman" w:hAnsi="Times New Roman" w:eastAsia="方正仿宋_GBK" w:cs="Times New Roman"/>
                <w:b w:val="0"/>
                <w:bCs w:val="0"/>
                <w:color w:val="auto"/>
                <w:sz w:val="24"/>
                <w:szCs w:val="24"/>
                <w:highlight w:val="none"/>
                <w:lang w:val="en-US" w:eastAsia="zh-CN"/>
              </w:rPr>
              <w:t>：</w:t>
            </w:r>
          </w:p>
          <w:p w14:paraId="5C5EC528">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从数据收集、分析方法、报告内容、成果应用等方面评审。</w:t>
            </w:r>
          </w:p>
          <w:p w14:paraId="407CDE02">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优1</w:t>
            </w:r>
            <w:r>
              <w:rPr>
                <w:rFonts w:hint="eastAsia" w:eastAsia="方正仿宋_GBK" w:cs="Times New Roman"/>
                <w:b w:val="0"/>
                <w:bCs w:val="0"/>
                <w:color w:val="auto"/>
                <w:sz w:val="24"/>
                <w:szCs w:val="24"/>
                <w:highlight w:val="none"/>
                <w:lang w:val="en-US" w:eastAsia="zh-CN"/>
              </w:rPr>
              <w:t>5</w:t>
            </w:r>
            <w:r>
              <w:rPr>
                <w:rFonts w:hint="eastAsia" w:ascii="Times New Roman" w:hAnsi="Times New Roman" w:eastAsia="方正仿宋_GBK" w:cs="Times New Roman"/>
                <w:b w:val="0"/>
                <w:bCs w:val="0"/>
                <w:color w:val="auto"/>
                <w:sz w:val="24"/>
                <w:szCs w:val="24"/>
                <w:highlight w:val="none"/>
                <w:lang w:val="en-US" w:eastAsia="zh-CN"/>
              </w:rPr>
              <w:t>分：数据收集全面，分析方法科学，报告内容详实，成果应用价值高，契合实际需求；</w:t>
            </w:r>
          </w:p>
          <w:p w14:paraId="5C0F16DC">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良8分：数据收集较完整，分析方法可行，报告内容较充实，成果有一定应用价值，部分符合需求；</w:t>
            </w:r>
          </w:p>
          <w:p w14:paraId="66ED31A5">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差得4分：数据收集不完整，分析方法不合理，报告内容空洞，无应用价值，不符合需求；</w:t>
            </w:r>
          </w:p>
          <w:p w14:paraId="1CC075F0">
            <w:pPr>
              <w:spacing w:line="400" w:lineRule="exact"/>
              <w:ind w:firstLine="480" w:firstLineChars="200"/>
              <w:rPr>
                <w:rFonts w:hint="eastAsia" w:ascii="仿宋" w:hAnsi="仿宋" w:eastAsia="仿宋" w:cs="仿宋"/>
                <w:b w:val="0"/>
                <w:bCs w:val="0"/>
                <w:color w:val="auto"/>
                <w:sz w:val="24"/>
                <w:szCs w:val="24"/>
                <w:highlight w:val="none"/>
              </w:rPr>
            </w:pPr>
            <w:r>
              <w:rPr>
                <w:rFonts w:hint="eastAsia" w:ascii="Times New Roman" w:hAnsi="Times New Roman" w:eastAsia="方正仿宋_GBK" w:cs="Times New Roman"/>
                <w:b w:val="0"/>
                <w:bCs w:val="0"/>
                <w:color w:val="auto"/>
                <w:sz w:val="24"/>
                <w:szCs w:val="24"/>
                <w:highlight w:val="none"/>
                <w:lang w:val="en-US" w:eastAsia="zh-CN"/>
              </w:rPr>
              <w:t>未提供得 0 分。</w:t>
            </w:r>
          </w:p>
        </w:tc>
        <w:tc>
          <w:tcPr>
            <w:tcW w:w="1702" w:type="dxa"/>
            <w:vMerge w:val="continue"/>
            <w:vAlign w:val="center"/>
          </w:tcPr>
          <w:p w14:paraId="6B3F1545">
            <w:pPr>
              <w:widowControl/>
              <w:spacing w:line="240" w:lineRule="auto"/>
              <w:rPr>
                <w:rFonts w:ascii="仿宋" w:hAnsi="仿宋" w:eastAsia="仿宋" w:cs="仿宋"/>
                <w:color w:val="auto"/>
                <w:sz w:val="24"/>
                <w:szCs w:val="24"/>
                <w:highlight w:val="none"/>
              </w:rPr>
            </w:pPr>
          </w:p>
        </w:tc>
      </w:tr>
      <w:tr w14:paraId="27BF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14" w:type="dxa"/>
            <w:vMerge w:val="continue"/>
            <w:vAlign w:val="center"/>
          </w:tcPr>
          <w:p w14:paraId="7CF1CBC7">
            <w:pPr>
              <w:widowControl/>
              <w:spacing w:line="240" w:lineRule="auto"/>
              <w:jc w:val="center"/>
              <w:rPr>
                <w:rFonts w:ascii="仿宋" w:hAnsi="仿宋" w:eastAsia="仿宋" w:cs="仿宋"/>
                <w:color w:val="auto"/>
                <w:sz w:val="24"/>
                <w:szCs w:val="24"/>
                <w:highlight w:val="none"/>
              </w:rPr>
            </w:pPr>
          </w:p>
        </w:tc>
        <w:tc>
          <w:tcPr>
            <w:tcW w:w="1258" w:type="dxa"/>
            <w:vMerge w:val="continue"/>
            <w:vAlign w:val="center"/>
          </w:tcPr>
          <w:p w14:paraId="1B161A3F">
            <w:pPr>
              <w:widowControl/>
              <w:spacing w:line="240" w:lineRule="auto"/>
              <w:jc w:val="left"/>
              <w:rPr>
                <w:rFonts w:ascii="仿宋" w:hAnsi="仿宋" w:eastAsia="仿宋" w:cs="仿宋"/>
                <w:color w:val="auto"/>
                <w:sz w:val="24"/>
                <w:szCs w:val="24"/>
                <w:highlight w:val="none"/>
              </w:rPr>
            </w:pPr>
          </w:p>
        </w:tc>
        <w:tc>
          <w:tcPr>
            <w:tcW w:w="710" w:type="dxa"/>
            <w:vMerge w:val="continue"/>
            <w:vAlign w:val="center"/>
          </w:tcPr>
          <w:p w14:paraId="72F131E9">
            <w:pPr>
              <w:widowControl/>
              <w:spacing w:line="240" w:lineRule="auto"/>
              <w:jc w:val="left"/>
              <w:rPr>
                <w:rFonts w:ascii="仿宋" w:hAnsi="仿宋" w:eastAsia="仿宋" w:cs="仿宋"/>
                <w:color w:val="auto"/>
                <w:sz w:val="24"/>
                <w:szCs w:val="24"/>
                <w:highlight w:val="none"/>
              </w:rPr>
            </w:pPr>
          </w:p>
        </w:tc>
        <w:tc>
          <w:tcPr>
            <w:tcW w:w="5693" w:type="dxa"/>
            <w:vAlign w:val="center"/>
          </w:tcPr>
          <w:p w14:paraId="00FC6CB3">
            <w:pPr>
              <w:numPr>
                <w:ilvl w:val="0"/>
                <w:numId w:val="2"/>
              </w:num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急处理预案</w:t>
            </w:r>
            <w:r>
              <w:rPr>
                <w:rFonts w:hint="eastAsia" w:eastAsia="方正仿宋_GBK" w:cs="Times New Roman"/>
                <w:b w:val="0"/>
                <w:bCs w:val="0"/>
                <w:color w:val="auto"/>
                <w:sz w:val="24"/>
                <w:szCs w:val="24"/>
                <w:highlight w:val="none"/>
                <w:lang w:val="en-US" w:eastAsia="zh-CN"/>
              </w:rPr>
              <w:t>（5分）</w:t>
            </w:r>
          </w:p>
          <w:p w14:paraId="34E231C5">
            <w:pPr>
              <w:numPr>
                <w:ilvl w:val="0"/>
                <w:numId w:val="0"/>
              </w:numPr>
              <w:spacing w:line="400" w:lineRule="exact"/>
              <w:ind w:firstLine="480" w:firstLineChars="200"/>
              <w:rPr>
                <w:rFonts w:hint="eastAsia"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提供完善的智慧教室驻场运维服务突发故障应急处理预案</w:t>
            </w:r>
            <w:r>
              <w:rPr>
                <w:rFonts w:hint="eastAsia" w:eastAsia="方正仿宋_GBK" w:cs="Times New Roman"/>
                <w:b w:val="0"/>
                <w:bCs w:val="0"/>
                <w:color w:val="auto"/>
                <w:sz w:val="24"/>
                <w:szCs w:val="24"/>
                <w:highlight w:val="none"/>
                <w:lang w:val="en-US" w:eastAsia="zh-CN"/>
              </w:rPr>
              <w:t>，</w:t>
            </w:r>
            <w:r>
              <w:rPr>
                <w:rFonts w:hint="eastAsia" w:ascii="Times New Roman" w:hAnsi="Times New Roman" w:eastAsia="方正仿宋_GBK" w:cs="Times New Roman"/>
                <w:b w:val="0"/>
                <w:bCs w:val="0"/>
                <w:color w:val="auto"/>
                <w:sz w:val="24"/>
                <w:szCs w:val="24"/>
                <w:highlight w:val="none"/>
                <w:lang w:val="en-US" w:eastAsia="zh-CN"/>
              </w:rPr>
              <w:t>内容需包括应急响应流程、提供相关备机、责任分工、恢复时间目标等</w:t>
            </w:r>
            <w:r>
              <w:rPr>
                <w:rFonts w:hint="eastAsia" w:eastAsia="方正仿宋_GBK" w:cs="Times New Roman"/>
                <w:b w:val="0"/>
                <w:bCs w:val="0"/>
                <w:color w:val="auto"/>
                <w:sz w:val="24"/>
                <w:szCs w:val="24"/>
                <w:highlight w:val="none"/>
                <w:lang w:val="en-US" w:eastAsia="zh-CN"/>
              </w:rPr>
              <w:t>。</w:t>
            </w:r>
          </w:p>
          <w:p w14:paraId="7503127C">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优</w:t>
            </w:r>
            <w:r>
              <w:rPr>
                <w:rFonts w:hint="eastAsia" w:eastAsia="方正仿宋_GBK" w:cs="Times New Roman"/>
                <w:b w:val="0"/>
                <w:bCs w:val="0"/>
                <w:color w:val="auto"/>
                <w:sz w:val="24"/>
                <w:szCs w:val="24"/>
                <w:highlight w:val="none"/>
                <w:lang w:val="en-US" w:eastAsia="zh-CN"/>
              </w:rPr>
              <w:t>5</w:t>
            </w:r>
            <w:r>
              <w:rPr>
                <w:rFonts w:hint="eastAsia" w:ascii="Times New Roman" w:hAnsi="Times New Roman" w:eastAsia="方正仿宋_GBK" w:cs="Times New Roman"/>
                <w:b w:val="0"/>
                <w:bCs w:val="0"/>
                <w:color w:val="auto"/>
                <w:sz w:val="24"/>
                <w:szCs w:val="24"/>
                <w:highlight w:val="none"/>
                <w:lang w:val="en-US" w:eastAsia="zh-CN"/>
              </w:rPr>
              <w:t>分：</w:t>
            </w:r>
            <w:r>
              <w:rPr>
                <w:rFonts w:hint="eastAsia" w:eastAsia="方正仿宋_GBK" w:cs="Times New Roman"/>
                <w:b w:val="0"/>
                <w:bCs w:val="0"/>
                <w:color w:val="auto"/>
                <w:sz w:val="24"/>
                <w:szCs w:val="24"/>
                <w:highlight w:val="none"/>
                <w:lang w:val="en-US" w:eastAsia="zh-CN"/>
              </w:rPr>
              <w:t>内容完整全面</w:t>
            </w:r>
            <w:r>
              <w:rPr>
                <w:rFonts w:hint="eastAsia" w:ascii="Times New Roman" w:hAnsi="Times New Roman" w:eastAsia="方正仿宋_GBK" w:cs="Times New Roman"/>
                <w:b w:val="0"/>
                <w:bCs w:val="0"/>
                <w:color w:val="auto"/>
                <w:sz w:val="24"/>
                <w:szCs w:val="24"/>
                <w:highlight w:val="none"/>
                <w:lang w:val="en-US" w:eastAsia="zh-CN"/>
              </w:rPr>
              <w:t>，契合</w:t>
            </w:r>
            <w:r>
              <w:rPr>
                <w:rFonts w:hint="eastAsia" w:eastAsia="方正仿宋_GBK" w:cs="Times New Roman"/>
                <w:b w:val="0"/>
                <w:bCs w:val="0"/>
                <w:color w:val="auto"/>
                <w:sz w:val="24"/>
                <w:szCs w:val="24"/>
                <w:highlight w:val="none"/>
                <w:lang w:val="en-US" w:eastAsia="zh-CN"/>
              </w:rPr>
              <w:t>项目</w:t>
            </w:r>
            <w:r>
              <w:rPr>
                <w:rFonts w:hint="eastAsia" w:ascii="Times New Roman" w:hAnsi="Times New Roman" w:eastAsia="方正仿宋_GBK" w:cs="Times New Roman"/>
                <w:b w:val="0"/>
                <w:bCs w:val="0"/>
                <w:color w:val="auto"/>
                <w:sz w:val="24"/>
                <w:szCs w:val="24"/>
                <w:highlight w:val="none"/>
                <w:lang w:val="en-US" w:eastAsia="zh-CN"/>
              </w:rPr>
              <w:t>实际需求</w:t>
            </w:r>
            <w:r>
              <w:rPr>
                <w:rFonts w:hint="eastAsia" w:eastAsia="方正仿宋_GBK" w:cs="Times New Roman"/>
                <w:b w:val="0"/>
                <w:bCs w:val="0"/>
                <w:color w:val="auto"/>
                <w:sz w:val="24"/>
                <w:szCs w:val="24"/>
                <w:highlight w:val="none"/>
                <w:lang w:val="en-US" w:eastAsia="zh-CN"/>
              </w:rPr>
              <w:t>，实施性强，分工明确，目标清晰</w:t>
            </w:r>
            <w:r>
              <w:rPr>
                <w:rFonts w:hint="eastAsia" w:ascii="Times New Roman" w:hAnsi="Times New Roman" w:eastAsia="方正仿宋_GBK" w:cs="Times New Roman"/>
                <w:b w:val="0"/>
                <w:bCs w:val="0"/>
                <w:color w:val="auto"/>
                <w:sz w:val="24"/>
                <w:szCs w:val="24"/>
                <w:highlight w:val="none"/>
                <w:lang w:val="en-US" w:eastAsia="zh-CN"/>
              </w:rPr>
              <w:t>；</w:t>
            </w:r>
          </w:p>
          <w:p w14:paraId="521D6188">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良</w:t>
            </w:r>
            <w:r>
              <w:rPr>
                <w:rFonts w:hint="eastAsia" w:eastAsia="方正仿宋_GBK" w:cs="Times New Roman"/>
                <w:b w:val="0"/>
                <w:bCs w:val="0"/>
                <w:color w:val="auto"/>
                <w:sz w:val="24"/>
                <w:szCs w:val="24"/>
                <w:highlight w:val="none"/>
                <w:lang w:val="en-US" w:eastAsia="zh-CN"/>
              </w:rPr>
              <w:t>3</w:t>
            </w:r>
            <w:r>
              <w:rPr>
                <w:rFonts w:hint="eastAsia" w:ascii="Times New Roman" w:hAnsi="Times New Roman" w:eastAsia="方正仿宋_GBK" w:cs="Times New Roman"/>
                <w:b w:val="0"/>
                <w:bCs w:val="0"/>
                <w:color w:val="auto"/>
                <w:sz w:val="24"/>
                <w:szCs w:val="24"/>
                <w:highlight w:val="none"/>
                <w:lang w:val="en-US" w:eastAsia="zh-CN"/>
              </w:rPr>
              <w:t>分：</w:t>
            </w:r>
            <w:r>
              <w:rPr>
                <w:rFonts w:hint="eastAsia" w:eastAsia="方正仿宋_GBK" w:cs="Times New Roman"/>
                <w:b w:val="0"/>
                <w:bCs w:val="0"/>
                <w:color w:val="auto"/>
                <w:sz w:val="24"/>
                <w:szCs w:val="24"/>
                <w:highlight w:val="none"/>
                <w:lang w:val="en-US" w:eastAsia="zh-CN"/>
              </w:rPr>
              <w:t>内容较完整全面</w:t>
            </w:r>
            <w:r>
              <w:rPr>
                <w:rFonts w:hint="eastAsia" w:ascii="Times New Roman" w:hAnsi="Times New Roman" w:eastAsia="方正仿宋_GBK" w:cs="Times New Roman"/>
                <w:b w:val="0"/>
                <w:bCs w:val="0"/>
                <w:color w:val="auto"/>
                <w:sz w:val="24"/>
                <w:szCs w:val="24"/>
                <w:highlight w:val="none"/>
                <w:lang w:val="en-US" w:eastAsia="zh-CN"/>
              </w:rPr>
              <w:t>，</w:t>
            </w:r>
            <w:r>
              <w:rPr>
                <w:rFonts w:hint="eastAsia" w:eastAsia="方正仿宋_GBK" w:cs="Times New Roman"/>
                <w:b w:val="0"/>
                <w:bCs w:val="0"/>
                <w:color w:val="auto"/>
                <w:sz w:val="24"/>
                <w:szCs w:val="24"/>
                <w:highlight w:val="none"/>
                <w:lang w:val="en-US" w:eastAsia="zh-CN"/>
              </w:rPr>
              <w:t>较</w:t>
            </w:r>
            <w:r>
              <w:rPr>
                <w:rFonts w:hint="eastAsia" w:ascii="Times New Roman" w:hAnsi="Times New Roman" w:eastAsia="方正仿宋_GBK" w:cs="Times New Roman"/>
                <w:b w:val="0"/>
                <w:bCs w:val="0"/>
                <w:color w:val="auto"/>
                <w:sz w:val="24"/>
                <w:szCs w:val="24"/>
                <w:highlight w:val="none"/>
                <w:lang w:val="en-US" w:eastAsia="zh-CN"/>
              </w:rPr>
              <w:t>契合</w:t>
            </w:r>
            <w:r>
              <w:rPr>
                <w:rFonts w:hint="eastAsia" w:eastAsia="方正仿宋_GBK" w:cs="Times New Roman"/>
                <w:b w:val="0"/>
                <w:bCs w:val="0"/>
                <w:color w:val="auto"/>
                <w:sz w:val="24"/>
                <w:szCs w:val="24"/>
                <w:highlight w:val="none"/>
                <w:lang w:val="en-US" w:eastAsia="zh-CN"/>
              </w:rPr>
              <w:t>项目</w:t>
            </w:r>
            <w:r>
              <w:rPr>
                <w:rFonts w:hint="eastAsia" w:ascii="Times New Roman" w:hAnsi="Times New Roman" w:eastAsia="方正仿宋_GBK" w:cs="Times New Roman"/>
                <w:b w:val="0"/>
                <w:bCs w:val="0"/>
                <w:color w:val="auto"/>
                <w:sz w:val="24"/>
                <w:szCs w:val="24"/>
                <w:highlight w:val="none"/>
                <w:lang w:val="en-US" w:eastAsia="zh-CN"/>
              </w:rPr>
              <w:t>实际需求</w:t>
            </w:r>
            <w:r>
              <w:rPr>
                <w:rFonts w:hint="eastAsia" w:eastAsia="方正仿宋_GBK" w:cs="Times New Roman"/>
                <w:b w:val="0"/>
                <w:bCs w:val="0"/>
                <w:color w:val="auto"/>
                <w:sz w:val="24"/>
                <w:szCs w:val="24"/>
                <w:highlight w:val="none"/>
                <w:lang w:val="en-US" w:eastAsia="zh-CN"/>
              </w:rPr>
              <w:t>，实施性较强，分工较明确，目标较清晰</w:t>
            </w:r>
            <w:r>
              <w:rPr>
                <w:rFonts w:hint="eastAsia" w:ascii="Times New Roman" w:hAnsi="Times New Roman" w:eastAsia="方正仿宋_GBK" w:cs="Times New Roman"/>
                <w:b w:val="0"/>
                <w:bCs w:val="0"/>
                <w:color w:val="auto"/>
                <w:sz w:val="24"/>
                <w:szCs w:val="24"/>
                <w:highlight w:val="none"/>
                <w:lang w:val="en-US" w:eastAsia="zh-CN"/>
              </w:rPr>
              <w:t>；</w:t>
            </w:r>
          </w:p>
          <w:p w14:paraId="433B13A9">
            <w:p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差得</w:t>
            </w:r>
            <w:r>
              <w:rPr>
                <w:rFonts w:hint="eastAsia" w:eastAsia="方正仿宋_GBK" w:cs="Times New Roman"/>
                <w:b w:val="0"/>
                <w:bCs w:val="0"/>
                <w:color w:val="auto"/>
                <w:sz w:val="24"/>
                <w:szCs w:val="24"/>
                <w:highlight w:val="none"/>
                <w:lang w:val="en-US" w:eastAsia="zh-CN"/>
              </w:rPr>
              <w:t>1</w:t>
            </w:r>
            <w:r>
              <w:rPr>
                <w:rFonts w:hint="eastAsia" w:ascii="Times New Roman" w:hAnsi="Times New Roman" w:eastAsia="方正仿宋_GBK" w:cs="Times New Roman"/>
                <w:b w:val="0"/>
                <w:bCs w:val="0"/>
                <w:color w:val="auto"/>
                <w:sz w:val="24"/>
                <w:szCs w:val="24"/>
                <w:highlight w:val="none"/>
                <w:lang w:val="en-US" w:eastAsia="zh-CN"/>
              </w:rPr>
              <w:t>分：</w:t>
            </w:r>
            <w:r>
              <w:rPr>
                <w:rFonts w:hint="eastAsia" w:eastAsia="方正仿宋_GBK" w:cs="Times New Roman"/>
                <w:b w:val="0"/>
                <w:bCs w:val="0"/>
                <w:color w:val="auto"/>
                <w:sz w:val="24"/>
                <w:szCs w:val="24"/>
                <w:highlight w:val="none"/>
                <w:lang w:val="en-US" w:eastAsia="zh-CN"/>
              </w:rPr>
              <w:t>内容不够完整全面</w:t>
            </w:r>
            <w:r>
              <w:rPr>
                <w:rFonts w:hint="eastAsia" w:ascii="Times New Roman" w:hAnsi="Times New Roman" w:eastAsia="方正仿宋_GBK" w:cs="Times New Roman"/>
                <w:b w:val="0"/>
                <w:bCs w:val="0"/>
                <w:color w:val="auto"/>
                <w:sz w:val="24"/>
                <w:szCs w:val="24"/>
                <w:highlight w:val="none"/>
                <w:lang w:val="en-US" w:eastAsia="zh-CN"/>
              </w:rPr>
              <w:t>，</w:t>
            </w:r>
            <w:r>
              <w:rPr>
                <w:rFonts w:hint="eastAsia" w:eastAsia="方正仿宋_GBK" w:cs="Times New Roman"/>
                <w:b w:val="0"/>
                <w:bCs w:val="0"/>
                <w:color w:val="auto"/>
                <w:sz w:val="24"/>
                <w:szCs w:val="24"/>
                <w:highlight w:val="none"/>
                <w:lang w:val="en-US" w:eastAsia="zh-CN"/>
              </w:rPr>
              <w:t>不</w:t>
            </w:r>
            <w:r>
              <w:rPr>
                <w:rFonts w:hint="eastAsia" w:ascii="Times New Roman" w:hAnsi="Times New Roman" w:eastAsia="方正仿宋_GBK" w:cs="Times New Roman"/>
                <w:b w:val="0"/>
                <w:bCs w:val="0"/>
                <w:color w:val="auto"/>
                <w:sz w:val="24"/>
                <w:szCs w:val="24"/>
                <w:highlight w:val="none"/>
                <w:lang w:val="en-US" w:eastAsia="zh-CN"/>
              </w:rPr>
              <w:t>契合</w:t>
            </w:r>
            <w:r>
              <w:rPr>
                <w:rFonts w:hint="eastAsia" w:eastAsia="方正仿宋_GBK" w:cs="Times New Roman"/>
                <w:b w:val="0"/>
                <w:bCs w:val="0"/>
                <w:color w:val="auto"/>
                <w:sz w:val="24"/>
                <w:szCs w:val="24"/>
                <w:highlight w:val="none"/>
                <w:lang w:val="en-US" w:eastAsia="zh-CN"/>
              </w:rPr>
              <w:t>项目</w:t>
            </w:r>
            <w:r>
              <w:rPr>
                <w:rFonts w:hint="eastAsia" w:ascii="Times New Roman" w:hAnsi="Times New Roman" w:eastAsia="方正仿宋_GBK" w:cs="Times New Roman"/>
                <w:b w:val="0"/>
                <w:bCs w:val="0"/>
                <w:color w:val="auto"/>
                <w:sz w:val="24"/>
                <w:szCs w:val="24"/>
                <w:highlight w:val="none"/>
                <w:lang w:val="en-US" w:eastAsia="zh-CN"/>
              </w:rPr>
              <w:t>实际需求</w:t>
            </w:r>
            <w:r>
              <w:rPr>
                <w:rFonts w:hint="eastAsia" w:eastAsia="方正仿宋_GBK" w:cs="Times New Roman"/>
                <w:b w:val="0"/>
                <w:bCs w:val="0"/>
                <w:color w:val="auto"/>
                <w:sz w:val="24"/>
                <w:szCs w:val="24"/>
                <w:highlight w:val="none"/>
                <w:lang w:val="en-US" w:eastAsia="zh-CN"/>
              </w:rPr>
              <w:t>，实施性较差，分工不明确，目标不清晰</w:t>
            </w:r>
            <w:r>
              <w:rPr>
                <w:rFonts w:hint="eastAsia" w:ascii="Times New Roman" w:hAnsi="Times New Roman" w:eastAsia="方正仿宋_GBK" w:cs="Times New Roman"/>
                <w:b w:val="0"/>
                <w:bCs w:val="0"/>
                <w:color w:val="auto"/>
                <w:sz w:val="24"/>
                <w:szCs w:val="24"/>
                <w:highlight w:val="none"/>
                <w:lang w:val="en-US" w:eastAsia="zh-CN"/>
              </w:rPr>
              <w:t>；</w:t>
            </w:r>
          </w:p>
          <w:p w14:paraId="7E0A7747">
            <w:pPr>
              <w:numPr>
                <w:ilvl w:val="0"/>
                <w:numId w:val="0"/>
              </w:numPr>
              <w:spacing w:line="400" w:lineRule="exact"/>
              <w:ind w:firstLine="480" w:firstLineChars="200"/>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未提供得 0 分。</w:t>
            </w:r>
          </w:p>
        </w:tc>
        <w:tc>
          <w:tcPr>
            <w:tcW w:w="1702" w:type="dxa"/>
            <w:vMerge w:val="continue"/>
            <w:vAlign w:val="center"/>
          </w:tcPr>
          <w:p w14:paraId="375E8386">
            <w:pPr>
              <w:widowControl/>
              <w:spacing w:line="240" w:lineRule="auto"/>
              <w:rPr>
                <w:rFonts w:ascii="仿宋" w:hAnsi="仿宋" w:eastAsia="仿宋" w:cs="仿宋"/>
                <w:color w:val="auto"/>
                <w:sz w:val="24"/>
                <w:szCs w:val="24"/>
                <w:highlight w:val="none"/>
              </w:rPr>
            </w:pPr>
          </w:p>
        </w:tc>
      </w:tr>
      <w:tr w14:paraId="0393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714" w:type="dxa"/>
            <w:vMerge w:val="restart"/>
            <w:vAlign w:val="center"/>
          </w:tcPr>
          <w:p w14:paraId="6CED9F8F">
            <w:pPr>
              <w:widowControl/>
              <w:spacing w:line="240" w:lineRule="auto"/>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p w14:paraId="2AE00D64">
            <w:pPr>
              <w:widowControl/>
              <w:spacing w:line="240" w:lineRule="auto"/>
              <w:ind w:firstLine="0" w:firstLineChars="0"/>
              <w:jc w:val="center"/>
              <w:rPr>
                <w:rFonts w:hint="eastAsia" w:ascii="仿宋" w:hAnsi="仿宋" w:eastAsia="仿宋" w:cs="仿宋"/>
                <w:color w:val="auto"/>
                <w:sz w:val="24"/>
                <w:szCs w:val="24"/>
                <w:highlight w:val="none"/>
              </w:rPr>
            </w:pPr>
          </w:p>
        </w:tc>
        <w:tc>
          <w:tcPr>
            <w:tcW w:w="1258" w:type="dxa"/>
            <w:vMerge w:val="restart"/>
            <w:vAlign w:val="center"/>
          </w:tcPr>
          <w:p w14:paraId="59D9D03E">
            <w:pPr>
              <w:widowControl/>
              <w:spacing w:line="240" w:lineRule="auto"/>
              <w:ind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p w14:paraId="3C97CA35">
            <w:pPr>
              <w:widowControl/>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p>
        </w:tc>
        <w:tc>
          <w:tcPr>
            <w:tcW w:w="710" w:type="dxa"/>
            <w:vMerge w:val="restart"/>
            <w:vAlign w:val="center"/>
          </w:tcPr>
          <w:p w14:paraId="69D86D9C">
            <w:pPr>
              <w:widowControl/>
              <w:spacing w:line="240" w:lineRule="auto"/>
              <w:ind w:firstLine="0" w:firstLineChars="0"/>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20</w:t>
            </w:r>
          </w:p>
        </w:tc>
        <w:tc>
          <w:tcPr>
            <w:tcW w:w="5693" w:type="dxa"/>
            <w:vAlign w:val="center"/>
          </w:tcPr>
          <w:p w14:paraId="0D67724F">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供应商实力（12分）</w:t>
            </w:r>
          </w:p>
          <w:p w14:paraId="00E39BB5">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1</w:t>
            </w:r>
            <w:r>
              <w:rPr>
                <w:rFonts w:hint="eastAsia"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拟投入本项目的技术支撑工程师或驻场人员具备有效的</w:t>
            </w:r>
            <w:r>
              <w:rPr>
                <w:rFonts w:hint="eastAsia" w:ascii="Times New Roman" w:hAnsi="Times New Roman" w:eastAsia="方正仿宋_GBK" w:cs="Times New Roman"/>
                <w:b w:val="0"/>
                <w:bCs w:val="0"/>
                <w:color w:val="auto"/>
                <w:sz w:val="24"/>
                <w:szCs w:val="24"/>
                <w:highlight w:val="none"/>
                <w:lang w:val="en-US" w:eastAsia="zh-CN"/>
              </w:rPr>
              <w:t>教学督导巡课评课重修系统</w:t>
            </w:r>
            <w:r>
              <w:rPr>
                <w:rFonts w:hint="eastAsia" w:ascii="Times New Roman" w:hAnsi="Times New Roman" w:eastAsia="方正仿宋_GBK" w:cs="Times New Roman"/>
                <w:color w:val="auto"/>
                <w:sz w:val="24"/>
                <w:szCs w:val="24"/>
                <w:highlight w:val="none"/>
                <w:lang w:val="en-US" w:eastAsia="zh-CN"/>
              </w:rPr>
              <w:t>运维相关经验的，得6分，未提供得0分。</w:t>
            </w:r>
          </w:p>
          <w:p w14:paraId="4C873E18">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2</w:t>
            </w:r>
            <w:r>
              <w:rPr>
                <w:rFonts w:hint="eastAsia"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拟投入本项目的技术支撑工程师或驻场人员具备有效的</w:t>
            </w:r>
            <w:r>
              <w:rPr>
                <w:rFonts w:hint="eastAsia" w:ascii="Times New Roman" w:hAnsi="Times New Roman" w:eastAsia="方正仿宋_GBK" w:cs="Times New Roman"/>
                <w:b w:val="0"/>
                <w:bCs w:val="0"/>
                <w:color w:val="auto"/>
                <w:sz w:val="24"/>
                <w:szCs w:val="24"/>
                <w:highlight w:val="none"/>
                <w:lang w:val="en-US" w:eastAsia="zh-CN"/>
              </w:rPr>
              <w:t>云桌面系统</w:t>
            </w:r>
            <w:r>
              <w:rPr>
                <w:rFonts w:hint="eastAsia" w:ascii="Times New Roman" w:hAnsi="Times New Roman" w:eastAsia="方正仿宋_GBK" w:cs="Times New Roman"/>
                <w:color w:val="auto"/>
                <w:sz w:val="24"/>
                <w:szCs w:val="24"/>
                <w:highlight w:val="none"/>
                <w:lang w:val="en-US" w:eastAsia="zh-CN"/>
              </w:rPr>
              <w:t>运维相关经验的</w:t>
            </w:r>
            <w:r>
              <w:rPr>
                <w:rFonts w:hint="eastAsia" w:eastAsia="方正仿宋_GBK" w:cs="Times New Roman"/>
                <w:color w:val="auto"/>
                <w:sz w:val="24"/>
                <w:szCs w:val="24"/>
                <w:highlight w:val="none"/>
                <w:lang w:val="en-US" w:eastAsia="zh-CN"/>
              </w:rPr>
              <w:t>，</w:t>
            </w:r>
            <w:r>
              <w:rPr>
                <w:rFonts w:hint="eastAsia" w:ascii="Times New Roman" w:hAnsi="Times New Roman" w:eastAsia="方正仿宋_GBK" w:cs="Times New Roman"/>
                <w:color w:val="auto"/>
                <w:sz w:val="24"/>
                <w:szCs w:val="24"/>
                <w:highlight w:val="none"/>
                <w:lang w:val="en-US" w:eastAsia="zh-CN"/>
              </w:rPr>
              <w:t>得6分，未提供得0分。</w:t>
            </w:r>
          </w:p>
          <w:p w14:paraId="14B5967E">
            <w:pPr>
              <w:spacing w:line="4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相关经验证明材料：项目合同（需明确体现该人员姓名及所承担的运维工作内容）或用户单位出具的加盖公章的工作证明（需注明工作起止时间、所负责的系统运维具体工作）或系统运维过程中形成的经甲方确认的运维记录（如运维报告、故障处理单等，需包含该人员姓名）等。</w:t>
            </w:r>
          </w:p>
        </w:tc>
        <w:tc>
          <w:tcPr>
            <w:tcW w:w="1702" w:type="dxa"/>
            <w:vAlign w:val="center"/>
          </w:tcPr>
          <w:p w14:paraId="11BE0F64">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供应商</w:t>
            </w:r>
            <w:r>
              <w:rPr>
                <w:rFonts w:hint="eastAsia" w:ascii="Times New Roman" w:hAnsi="Times New Roman" w:eastAsia="方正仿宋_GBK" w:cs="Times New Roman"/>
                <w:color w:val="auto"/>
                <w:sz w:val="24"/>
                <w:szCs w:val="24"/>
                <w:highlight w:val="none"/>
                <w:lang w:val="en-US" w:eastAsia="zh-CN"/>
              </w:rPr>
              <w:t>需在响应文件中提供</w:t>
            </w:r>
            <w:r>
              <w:rPr>
                <w:rFonts w:hint="eastAsia" w:eastAsia="方正仿宋_GBK" w:cs="Times New Roman"/>
                <w:color w:val="auto"/>
                <w:sz w:val="24"/>
                <w:szCs w:val="24"/>
                <w:highlight w:val="none"/>
                <w:lang w:val="en-US" w:eastAsia="zh-CN"/>
              </w:rPr>
              <w:t>该部分人员</w:t>
            </w:r>
            <w:r>
              <w:rPr>
                <w:rFonts w:hint="eastAsia" w:ascii="Times New Roman" w:hAnsi="Times New Roman" w:eastAsia="方正仿宋_GBK" w:cs="Times New Roman"/>
                <w:color w:val="auto"/>
                <w:sz w:val="24"/>
                <w:szCs w:val="24"/>
                <w:highlight w:val="none"/>
                <w:lang w:val="en-US" w:eastAsia="zh-CN"/>
              </w:rPr>
              <w:t>相关证明</w:t>
            </w:r>
            <w:r>
              <w:rPr>
                <w:rFonts w:hint="eastAsia" w:eastAsia="方正仿宋_GBK" w:cs="Times New Roman"/>
                <w:color w:val="auto"/>
                <w:sz w:val="24"/>
                <w:szCs w:val="24"/>
                <w:highlight w:val="none"/>
                <w:lang w:val="en-US" w:eastAsia="zh-CN"/>
              </w:rPr>
              <w:t>材料复印件、</w:t>
            </w:r>
            <w:r>
              <w:rPr>
                <w:rFonts w:hint="eastAsia" w:ascii="Times New Roman" w:hAnsi="Times New Roman" w:eastAsia="方正仿宋_GBK" w:cs="Times New Roman"/>
                <w:color w:val="auto"/>
                <w:sz w:val="24"/>
                <w:szCs w:val="24"/>
                <w:highlight w:val="none"/>
                <w:lang w:val="en-US" w:eastAsia="zh-CN"/>
              </w:rPr>
              <w:t>为其相关人员缴纳开标当月或开标前一月的</w:t>
            </w:r>
            <w:r>
              <w:rPr>
                <w:rFonts w:hint="eastAsia" w:eastAsia="方正仿宋_GBK" w:cs="Times New Roman"/>
                <w:color w:val="auto"/>
                <w:sz w:val="24"/>
                <w:szCs w:val="24"/>
                <w:highlight w:val="none"/>
                <w:lang w:val="en-US" w:eastAsia="zh-CN"/>
              </w:rPr>
              <w:t>养老保险</w:t>
            </w:r>
            <w:r>
              <w:rPr>
                <w:rFonts w:hint="eastAsia" w:ascii="Times New Roman" w:hAnsi="Times New Roman" w:eastAsia="方正仿宋_GBK" w:cs="Times New Roman"/>
                <w:color w:val="auto"/>
                <w:sz w:val="24"/>
                <w:szCs w:val="24"/>
                <w:highlight w:val="none"/>
                <w:lang w:val="en-US" w:eastAsia="zh-CN"/>
              </w:rPr>
              <w:t>证明材料复印件加盖</w:t>
            </w:r>
            <w:r>
              <w:rPr>
                <w:rFonts w:hint="eastAsia" w:eastAsia="方正仿宋_GBK" w:cs="Times New Roman"/>
                <w:color w:val="auto"/>
                <w:sz w:val="24"/>
                <w:szCs w:val="24"/>
                <w:highlight w:val="none"/>
                <w:lang w:val="en-US" w:eastAsia="zh-CN"/>
              </w:rPr>
              <w:t>供应商</w:t>
            </w:r>
            <w:r>
              <w:rPr>
                <w:rFonts w:hint="eastAsia" w:ascii="Times New Roman" w:hAnsi="Times New Roman" w:eastAsia="方正仿宋_GBK" w:cs="Times New Roman"/>
                <w:color w:val="auto"/>
                <w:sz w:val="24"/>
                <w:szCs w:val="24"/>
                <w:highlight w:val="none"/>
                <w:lang w:val="en-US" w:eastAsia="zh-CN"/>
              </w:rPr>
              <w:t>公章。</w:t>
            </w:r>
          </w:p>
        </w:tc>
      </w:tr>
      <w:tr w14:paraId="6A62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14" w:type="dxa"/>
            <w:vMerge w:val="continue"/>
            <w:vAlign w:val="center"/>
          </w:tcPr>
          <w:p w14:paraId="2726084A">
            <w:pPr>
              <w:widowControl/>
              <w:spacing w:line="240" w:lineRule="auto"/>
              <w:ind w:firstLine="0" w:firstLineChars="0"/>
              <w:jc w:val="center"/>
              <w:rPr>
                <w:rFonts w:hint="eastAsia" w:ascii="仿宋" w:hAnsi="仿宋" w:eastAsia="仿宋" w:cs="仿宋"/>
                <w:color w:val="auto"/>
                <w:sz w:val="24"/>
                <w:szCs w:val="24"/>
                <w:highlight w:val="none"/>
              </w:rPr>
            </w:pPr>
            <w:bookmarkStart w:id="72" w:name="_Toc76462337"/>
            <w:bookmarkStart w:id="73" w:name="_Toc102227313"/>
            <w:bookmarkStart w:id="74" w:name="_Toc106030892"/>
          </w:p>
        </w:tc>
        <w:tc>
          <w:tcPr>
            <w:tcW w:w="1258" w:type="dxa"/>
            <w:vMerge w:val="continue"/>
            <w:vAlign w:val="center"/>
          </w:tcPr>
          <w:p w14:paraId="21F2E16F">
            <w:pPr>
              <w:widowControl/>
              <w:spacing w:line="240" w:lineRule="auto"/>
              <w:ind w:firstLine="0" w:firstLineChars="0"/>
              <w:jc w:val="left"/>
              <w:rPr>
                <w:rFonts w:hint="eastAsia" w:ascii="仿宋" w:hAnsi="仿宋" w:eastAsia="仿宋" w:cs="仿宋"/>
                <w:color w:val="auto"/>
                <w:sz w:val="24"/>
                <w:szCs w:val="24"/>
                <w:highlight w:val="none"/>
              </w:rPr>
            </w:pPr>
          </w:p>
        </w:tc>
        <w:tc>
          <w:tcPr>
            <w:tcW w:w="710" w:type="dxa"/>
            <w:vMerge w:val="continue"/>
            <w:vAlign w:val="center"/>
          </w:tcPr>
          <w:p w14:paraId="34F0C3D2">
            <w:pPr>
              <w:widowControl/>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5693" w:type="dxa"/>
            <w:vAlign w:val="center"/>
          </w:tcPr>
          <w:p w14:paraId="7805300C">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企业</w:t>
            </w:r>
            <w:r>
              <w:rPr>
                <w:rFonts w:hint="eastAsia" w:ascii="Times New Roman" w:hAnsi="Times New Roman" w:eastAsia="方正仿宋_GBK" w:cs="Times New Roman"/>
                <w:color w:val="auto"/>
                <w:sz w:val="24"/>
                <w:szCs w:val="24"/>
                <w:highlight w:val="none"/>
                <w:lang w:val="en-US" w:eastAsia="zh-CN"/>
              </w:rPr>
              <w:t>业绩（4分）</w:t>
            </w:r>
          </w:p>
          <w:p w14:paraId="6AB7536F">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供应商自2022年1月1日起（以合同签订时间为准），具备驻场运维服务</w:t>
            </w:r>
            <w:r>
              <w:rPr>
                <w:rFonts w:hint="eastAsia" w:eastAsia="方正仿宋_GBK" w:cs="Times New Roman"/>
                <w:color w:val="auto"/>
                <w:sz w:val="24"/>
                <w:szCs w:val="24"/>
                <w:highlight w:val="none"/>
                <w:lang w:val="en-US" w:eastAsia="zh-CN"/>
              </w:rPr>
              <w:t>类似</w:t>
            </w:r>
            <w:r>
              <w:rPr>
                <w:rFonts w:hint="eastAsia" w:ascii="Times New Roman" w:hAnsi="Times New Roman" w:eastAsia="方正仿宋_GBK" w:cs="Times New Roman"/>
                <w:color w:val="auto"/>
                <w:sz w:val="24"/>
                <w:szCs w:val="24"/>
                <w:highlight w:val="none"/>
                <w:lang w:val="en-US" w:eastAsia="zh-CN"/>
              </w:rPr>
              <w:t>业绩</w:t>
            </w:r>
            <w:r>
              <w:rPr>
                <w:rFonts w:hint="eastAsia" w:eastAsia="方正仿宋_GBK" w:cs="Times New Roman"/>
                <w:color w:val="auto"/>
                <w:sz w:val="24"/>
                <w:szCs w:val="24"/>
                <w:highlight w:val="none"/>
                <w:lang w:val="en-US" w:eastAsia="zh-CN"/>
              </w:rPr>
              <w:t>的</w:t>
            </w:r>
            <w:r>
              <w:rPr>
                <w:rFonts w:hint="eastAsia" w:ascii="Times New Roman" w:hAnsi="Times New Roman" w:eastAsia="方正仿宋_GBK" w:cs="Times New Roman"/>
                <w:color w:val="auto"/>
                <w:sz w:val="24"/>
                <w:szCs w:val="24"/>
                <w:highlight w:val="none"/>
                <w:lang w:val="en-US" w:eastAsia="zh-CN"/>
              </w:rPr>
              <w:t xml:space="preserve">，每提供1个得1分、最多得4分。不满足或未提供的得0分。 </w:t>
            </w:r>
          </w:p>
        </w:tc>
        <w:tc>
          <w:tcPr>
            <w:tcW w:w="1702" w:type="dxa"/>
            <w:vAlign w:val="center"/>
          </w:tcPr>
          <w:p w14:paraId="55BD41DE">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提供合同或相关证明</w:t>
            </w:r>
            <w:r>
              <w:rPr>
                <w:rFonts w:hint="eastAsia" w:eastAsia="方正仿宋_GBK" w:cs="Times New Roman"/>
                <w:color w:val="auto"/>
                <w:sz w:val="24"/>
                <w:szCs w:val="24"/>
                <w:highlight w:val="none"/>
                <w:lang w:val="en-US" w:eastAsia="zh-CN"/>
              </w:rPr>
              <w:t>材</w:t>
            </w:r>
            <w:r>
              <w:rPr>
                <w:rFonts w:hint="eastAsia" w:ascii="Times New Roman" w:hAnsi="Times New Roman" w:eastAsia="方正仿宋_GBK" w:cs="Times New Roman"/>
                <w:color w:val="auto"/>
                <w:sz w:val="24"/>
                <w:szCs w:val="24"/>
                <w:highlight w:val="none"/>
                <w:lang w:val="en-US" w:eastAsia="zh-CN"/>
              </w:rPr>
              <w:t>料复印件并加盖</w:t>
            </w:r>
            <w:r>
              <w:rPr>
                <w:rFonts w:hint="eastAsia" w:eastAsia="方正仿宋_GBK" w:cs="Times New Roman"/>
                <w:color w:val="auto"/>
                <w:sz w:val="24"/>
                <w:szCs w:val="24"/>
                <w:highlight w:val="none"/>
                <w:lang w:val="en-US" w:eastAsia="zh-CN"/>
              </w:rPr>
              <w:t>供应商</w:t>
            </w:r>
            <w:r>
              <w:rPr>
                <w:rFonts w:hint="eastAsia" w:ascii="Times New Roman" w:hAnsi="Times New Roman" w:eastAsia="方正仿宋_GBK" w:cs="Times New Roman"/>
                <w:color w:val="auto"/>
                <w:sz w:val="24"/>
                <w:szCs w:val="24"/>
                <w:highlight w:val="none"/>
                <w:lang w:val="en-US" w:eastAsia="zh-CN"/>
              </w:rPr>
              <w:t>公章。</w:t>
            </w:r>
          </w:p>
        </w:tc>
      </w:tr>
      <w:tr w14:paraId="153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714" w:type="dxa"/>
            <w:vMerge w:val="continue"/>
            <w:vAlign w:val="center"/>
          </w:tcPr>
          <w:p w14:paraId="689D6FAF">
            <w:pPr>
              <w:widowControl/>
              <w:spacing w:line="240" w:lineRule="auto"/>
              <w:ind w:firstLine="0" w:firstLineChars="0"/>
              <w:jc w:val="center"/>
              <w:rPr>
                <w:rFonts w:hint="eastAsia" w:ascii="仿宋" w:hAnsi="仿宋" w:eastAsia="仿宋" w:cs="仿宋"/>
                <w:color w:val="auto"/>
                <w:sz w:val="24"/>
                <w:szCs w:val="24"/>
                <w:highlight w:val="none"/>
              </w:rPr>
            </w:pPr>
          </w:p>
        </w:tc>
        <w:tc>
          <w:tcPr>
            <w:tcW w:w="1258" w:type="dxa"/>
            <w:vMerge w:val="continue"/>
            <w:vAlign w:val="center"/>
          </w:tcPr>
          <w:p w14:paraId="67F67D7A">
            <w:pPr>
              <w:widowControl/>
              <w:spacing w:line="240" w:lineRule="auto"/>
              <w:ind w:firstLine="0" w:firstLineChars="0"/>
              <w:jc w:val="left"/>
              <w:rPr>
                <w:rFonts w:hint="eastAsia" w:ascii="仿宋" w:hAnsi="仿宋" w:eastAsia="仿宋" w:cs="仿宋"/>
                <w:color w:val="auto"/>
                <w:sz w:val="24"/>
                <w:szCs w:val="24"/>
                <w:highlight w:val="none"/>
              </w:rPr>
            </w:pPr>
          </w:p>
        </w:tc>
        <w:tc>
          <w:tcPr>
            <w:tcW w:w="710" w:type="dxa"/>
            <w:vMerge w:val="continue"/>
            <w:vAlign w:val="center"/>
          </w:tcPr>
          <w:p w14:paraId="224A3721">
            <w:pPr>
              <w:widowControl/>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5693" w:type="dxa"/>
            <w:vAlign w:val="center"/>
          </w:tcPr>
          <w:p w14:paraId="55E23DF4">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应急保障</w:t>
            </w:r>
            <w:r>
              <w:rPr>
                <w:rFonts w:hint="eastAsia" w:eastAsia="方正仿宋_GBK" w:cs="Times New Roman"/>
                <w:color w:val="auto"/>
                <w:sz w:val="24"/>
                <w:szCs w:val="24"/>
                <w:highlight w:val="none"/>
                <w:lang w:val="en-US" w:eastAsia="zh-CN"/>
              </w:rPr>
              <w:t>承诺</w:t>
            </w:r>
            <w:r>
              <w:rPr>
                <w:rFonts w:hint="eastAsia" w:ascii="Times New Roman" w:hAnsi="Times New Roman" w:eastAsia="方正仿宋_GBK" w:cs="Times New Roman"/>
                <w:color w:val="auto"/>
                <w:sz w:val="24"/>
                <w:szCs w:val="24"/>
                <w:highlight w:val="none"/>
                <w:lang w:val="en-US" w:eastAsia="zh-CN"/>
              </w:rPr>
              <w:t>（</w:t>
            </w:r>
            <w:r>
              <w:rPr>
                <w:rFonts w:hint="eastAsia" w:eastAsia="方正仿宋_GBK" w:cs="Times New Roman"/>
                <w:color w:val="auto"/>
                <w:sz w:val="24"/>
                <w:szCs w:val="24"/>
                <w:highlight w:val="none"/>
                <w:lang w:val="en-US" w:eastAsia="zh-CN"/>
              </w:rPr>
              <w:t>4</w:t>
            </w:r>
            <w:r>
              <w:rPr>
                <w:rFonts w:hint="eastAsia" w:ascii="Times New Roman" w:hAnsi="Times New Roman" w:eastAsia="方正仿宋_GBK" w:cs="Times New Roman"/>
                <w:color w:val="auto"/>
                <w:sz w:val="24"/>
                <w:szCs w:val="24"/>
                <w:highlight w:val="none"/>
                <w:lang w:val="en-US" w:eastAsia="zh-CN"/>
              </w:rPr>
              <w:t>分）</w:t>
            </w:r>
          </w:p>
          <w:p w14:paraId="0FB6C03C">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承诺中标后在学校周边设立应急服务点，配备必要的应急设备和人员得</w:t>
            </w:r>
            <w:r>
              <w:rPr>
                <w:rFonts w:hint="eastAsia" w:eastAsia="方正仿宋_GBK" w:cs="Times New Roman"/>
                <w:color w:val="auto"/>
                <w:sz w:val="24"/>
                <w:szCs w:val="24"/>
                <w:highlight w:val="none"/>
                <w:lang w:val="en-US" w:eastAsia="zh-CN"/>
              </w:rPr>
              <w:t>4</w:t>
            </w:r>
            <w:r>
              <w:rPr>
                <w:rFonts w:hint="eastAsia" w:ascii="Times New Roman" w:hAnsi="Times New Roman" w:eastAsia="方正仿宋_GBK" w:cs="Times New Roman"/>
                <w:color w:val="auto"/>
                <w:sz w:val="24"/>
                <w:szCs w:val="24"/>
                <w:highlight w:val="none"/>
                <w:lang w:val="en-US" w:eastAsia="zh-CN"/>
              </w:rPr>
              <w:t>分，未承诺或承诺不满足要求得0分。</w:t>
            </w:r>
          </w:p>
        </w:tc>
        <w:tc>
          <w:tcPr>
            <w:tcW w:w="1702" w:type="dxa"/>
            <w:vAlign w:val="center"/>
          </w:tcPr>
          <w:p w14:paraId="31D9C269">
            <w:pPr>
              <w:spacing w:line="400" w:lineRule="exact"/>
              <w:ind w:firstLine="480" w:firstLineChars="200"/>
              <w:rPr>
                <w:rFonts w:hint="eastAsia"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提供承诺书</w:t>
            </w:r>
            <w:r>
              <w:rPr>
                <w:rFonts w:hint="eastAsia" w:eastAsia="方正仿宋_GBK" w:cs="Times New Roman"/>
                <w:color w:val="auto"/>
                <w:sz w:val="24"/>
                <w:szCs w:val="24"/>
                <w:highlight w:val="none"/>
                <w:lang w:val="en-US" w:eastAsia="zh-CN"/>
              </w:rPr>
              <w:t>（格式自拟）</w:t>
            </w:r>
            <w:r>
              <w:rPr>
                <w:rFonts w:hint="eastAsia" w:ascii="Times New Roman" w:hAnsi="Times New Roman" w:eastAsia="方正仿宋_GBK" w:cs="Times New Roman"/>
                <w:color w:val="auto"/>
                <w:sz w:val="24"/>
                <w:szCs w:val="24"/>
                <w:highlight w:val="none"/>
                <w:lang w:val="en-US" w:eastAsia="zh-CN"/>
              </w:rPr>
              <w:t>并加盖</w:t>
            </w:r>
            <w:r>
              <w:rPr>
                <w:rFonts w:hint="eastAsia" w:eastAsia="方正仿宋_GBK" w:cs="Times New Roman"/>
                <w:color w:val="auto"/>
                <w:sz w:val="24"/>
                <w:szCs w:val="24"/>
                <w:highlight w:val="none"/>
                <w:lang w:val="en-US" w:eastAsia="zh-CN"/>
              </w:rPr>
              <w:t>供应商</w:t>
            </w:r>
            <w:r>
              <w:rPr>
                <w:rFonts w:hint="eastAsia" w:ascii="Times New Roman" w:hAnsi="Times New Roman" w:eastAsia="方正仿宋_GBK" w:cs="Times New Roman"/>
                <w:color w:val="auto"/>
                <w:sz w:val="24"/>
                <w:szCs w:val="24"/>
                <w:highlight w:val="none"/>
                <w:lang w:val="en-US" w:eastAsia="zh-CN"/>
              </w:rPr>
              <w:t>公章。</w:t>
            </w:r>
          </w:p>
        </w:tc>
      </w:tr>
      <w:bookmarkEnd w:id="71"/>
    </w:tbl>
    <w:p w14:paraId="60F7940C">
      <w:pPr>
        <w:widowControl/>
        <w:adjustRightInd/>
        <w:snapToGrid/>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三、无效响应</w:t>
      </w:r>
    </w:p>
    <w:p w14:paraId="7FD8BD92">
      <w:pPr>
        <w:widowControl/>
        <w:snapToGrid/>
        <w:spacing w:line="4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val="0"/>
          <w:color w:val="auto"/>
          <w:sz w:val="24"/>
          <w:szCs w:val="24"/>
          <w:highlight w:val="none"/>
        </w:rPr>
        <w:t>供应商发生以下条款情况之一者，视为无效报价：</w:t>
      </w:r>
    </w:p>
    <w:p w14:paraId="7BB2EF82">
      <w:pPr>
        <w:pStyle w:val="12"/>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29627695">
      <w:pPr>
        <w:pStyle w:val="12"/>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2EC17388">
      <w:pPr>
        <w:pStyle w:val="12"/>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0EDEA37C">
      <w:pPr>
        <w:pStyle w:val="12"/>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5506BB05">
      <w:pPr>
        <w:pStyle w:val="12"/>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20B4E295">
      <w:pPr>
        <w:pStyle w:val="12"/>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D148F8A">
      <w:pPr>
        <w:pStyle w:val="12"/>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4926CAC3">
      <w:pPr>
        <w:adjustRightInd w:val="0"/>
        <w:snapToGrid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四、采购终止</w:t>
      </w:r>
    </w:p>
    <w:p w14:paraId="4CC239E0">
      <w:pPr>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出现下列情形之一的，采购人或者采购代理机构应当终止采购活动，发布项目终止公告并说明原因，重新开展采购活动：</w:t>
      </w:r>
    </w:p>
    <w:p w14:paraId="23739A54">
      <w:pPr>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（一）因情况变化，不再符合规定的采购方式适用情形的；</w:t>
      </w:r>
    </w:p>
    <w:p w14:paraId="1BE538E7">
      <w:pPr>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（二）出现影响采购公正的违法、违规行为的；</w:t>
      </w:r>
    </w:p>
    <w:p w14:paraId="3DA60C8B">
      <w:pPr>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（三）在采购</w:t>
      </w:r>
      <w:bookmarkStart w:id="126" w:name="_GoBack"/>
      <w:bookmarkEnd w:id="126"/>
      <w:r>
        <w:rPr>
          <w:rFonts w:hint="eastAsia" w:ascii="仿宋" w:hAnsi="仿宋" w:eastAsia="仿宋" w:cs="仿宋"/>
          <w:bCs/>
          <w:color w:val="auto"/>
          <w:sz w:val="24"/>
          <w:szCs w:val="24"/>
          <w:highlight w:val="none"/>
        </w:rPr>
        <w:t>过程中符合竞争要求的供应商或者报价未超过采购预算的供应商不足</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家的。</w:t>
      </w:r>
    </w:p>
    <w:p w14:paraId="087455A6">
      <w:pPr>
        <w:snapToGrid w:val="0"/>
        <w:spacing w:line="360" w:lineRule="auto"/>
        <w:ind w:firstLine="480" w:firstLineChars="200"/>
        <w:rPr>
          <w:rFonts w:ascii="仿宋" w:hAnsi="仿宋" w:eastAsia="仿宋" w:cs="仿宋"/>
          <w:b/>
          <w:bCs/>
          <w:color w:val="auto"/>
          <w:sz w:val="36"/>
          <w:szCs w:val="36"/>
          <w:highlight w:val="none"/>
        </w:rPr>
      </w:pPr>
      <w:r>
        <w:rPr>
          <w:rFonts w:hint="eastAsia" w:ascii="仿宋" w:hAnsi="仿宋" w:eastAsia="仿宋" w:cs="仿宋"/>
          <w:bCs/>
          <w:color w:val="auto"/>
          <w:sz w:val="24"/>
          <w:szCs w:val="24"/>
          <w:highlight w:val="none"/>
        </w:rPr>
        <w:t>（四）项目出现其他实质性影响，可能导致项目无法正常开展的情形。</w:t>
      </w:r>
    </w:p>
    <w:p w14:paraId="2610C550">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412D0489">
      <w:pPr>
        <w:pStyle w:val="27"/>
        <w:ind w:firstLine="723"/>
        <w:jc w:val="center"/>
        <w:outlineLvl w:val="0"/>
        <w:rPr>
          <w:rFonts w:ascii="仿宋" w:hAnsi="仿宋" w:eastAsia="仿宋" w:cs="仿宋"/>
          <w:b/>
          <w:bCs/>
          <w:color w:val="auto"/>
          <w:sz w:val="36"/>
          <w:szCs w:val="36"/>
          <w:highlight w:val="none"/>
        </w:rPr>
      </w:pPr>
      <w:bookmarkStart w:id="75" w:name="_Toc6547"/>
      <w:r>
        <w:rPr>
          <w:rFonts w:hint="eastAsia" w:ascii="仿宋" w:hAnsi="仿宋" w:eastAsia="仿宋" w:cs="仿宋"/>
          <w:b/>
          <w:bCs/>
          <w:color w:val="auto"/>
          <w:sz w:val="36"/>
          <w:szCs w:val="36"/>
          <w:highlight w:val="none"/>
        </w:rPr>
        <w:t>第五篇  供应商须知</w:t>
      </w:r>
      <w:bookmarkEnd w:id="72"/>
      <w:bookmarkEnd w:id="73"/>
      <w:bookmarkEnd w:id="74"/>
      <w:bookmarkEnd w:id="75"/>
    </w:p>
    <w:p w14:paraId="73CB0154">
      <w:pPr>
        <w:pStyle w:val="27"/>
        <w:ind w:firstLine="482"/>
        <w:rPr>
          <w:rFonts w:ascii="仿宋" w:hAnsi="仿宋" w:eastAsia="仿宋" w:cs="仿宋"/>
          <w:b/>
          <w:bCs/>
          <w:color w:val="auto"/>
          <w:szCs w:val="28"/>
          <w:highlight w:val="none"/>
        </w:rPr>
      </w:pPr>
      <w:bookmarkStart w:id="76" w:name="_Toc106030893"/>
      <w:bookmarkStart w:id="77" w:name="_Toc342913389"/>
      <w:bookmarkStart w:id="78" w:name="_Toc76462338"/>
      <w:r>
        <w:rPr>
          <w:rFonts w:hint="eastAsia" w:ascii="仿宋" w:hAnsi="仿宋" w:eastAsia="仿宋" w:cs="仿宋"/>
          <w:b/>
          <w:bCs/>
          <w:color w:val="auto"/>
          <w:szCs w:val="28"/>
          <w:highlight w:val="none"/>
        </w:rPr>
        <w:t>一、竞采费用</w:t>
      </w:r>
      <w:bookmarkEnd w:id="76"/>
      <w:bookmarkEnd w:id="77"/>
      <w:bookmarkEnd w:id="78"/>
    </w:p>
    <w:p w14:paraId="49451A06">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参与竞采的供应商应承担其编制响应文件与递交响应文件所涉及的一切费用，不论竞采结果如何由供应商自行承担。</w:t>
      </w:r>
    </w:p>
    <w:p w14:paraId="35E540FD">
      <w:pPr>
        <w:pStyle w:val="27"/>
        <w:ind w:firstLine="482"/>
        <w:rPr>
          <w:rFonts w:ascii="仿宋" w:hAnsi="仿宋" w:eastAsia="仿宋" w:cs="仿宋"/>
          <w:b/>
          <w:bCs/>
          <w:color w:val="auto"/>
          <w:szCs w:val="28"/>
          <w:highlight w:val="none"/>
        </w:rPr>
      </w:pPr>
      <w:bookmarkStart w:id="79" w:name="_Toc106030894"/>
      <w:bookmarkStart w:id="80" w:name="_Toc76462339"/>
      <w:bookmarkStart w:id="81" w:name="_Toc342913391"/>
      <w:r>
        <w:rPr>
          <w:rFonts w:hint="eastAsia" w:ascii="仿宋" w:hAnsi="仿宋" w:eastAsia="仿宋" w:cs="仿宋"/>
          <w:b/>
          <w:bCs/>
          <w:color w:val="auto"/>
          <w:szCs w:val="28"/>
          <w:highlight w:val="none"/>
        </w:rPr>
        <w:t>二、竞采文件</w:t>
      </w:r>
      <w:bookmarkEnd w:id="79"/>
      <w:bookmarkEnd w:id="80"/>
      <w:bookmarkEnd w:id="81"/>
    </w:p>
    <w:p w14:paraId="6B557EFF">
      <w:pPr>
        <w:pStyle w:val="27"/>
        <w:ind w:firstLine="480"/>
        <w:rPr>
          <w:rFonts w:ascii="仿宋" w:hAnsi="仿宋" w:eastAsia="仿宋" w:cs="仿宋"/>
          <w:b/>
          <w:bCs/>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b/>
          <w:bCs/>
          <w:color w:val="auto"/>
          <w:szCs w:val="28"/>
          <w:highlight w:val="none"/>
        </w:rPr>
        <w:t>竞采文件由采购邀请书、</w:t>
      </w:r>
      <w:r>
        <w:rPr>
          <w:rFonts w:hint="eastAsia" w:ascii="仿宋" w:hAnsi="仿宋" w:eastAsia="仿宋" w:cs="仿宋"/>
          <w:b/>
          <w:bCs/>
          <w:color w:val="auto"/>
          <w:szCs w:val="28"/>
          <w:highlight w:val="none"/>
          <w:lang w:eastAsia="zh-CN"/>
        </w:rPr>
        <w:t>项目服务需求</w:t>
      </w:r>
      <w:r>
        <w:rPr>
          <w:rFonts w:hint="eastAsia" w:ascii="仿宋" w:hAnsi="仿宋" w:eastAsia="仿宋" w:cs="仿宋"/>
          <w:b/>
          <w:bCs/>
          <w:color w:val="auto"/>
          <w:szCs w:val="28"/>
          <w:highlight w:val="none"/>
        </w:rPr>
        <w:t>、供应商须知、项目商务需求、竞采程序及评审标准、采购合同、响应文件编制要求七部分组成。</w:t>
      </w:r>
    </w:p>
    <w:p w14:paraId="6516849B">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（二）采购人（或采购代理机构）所作的一切有效的书面通知、修改及补充，都是竞采文件不可分割的部分。</w:t>
      </w:r>
    </w:p>
    <w:p w14:paraId="1844A990">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（三）竞采文件的解释</w:t>
      </w:r>
    </w:p>
    <w:p w14:paraId="5E1218D2">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82" w:name="_Toc318159780"/>
      <w:bookmarkStart w:id="83" w:name="_Toc318159160"/>
      <w:bookmarkStart w:id="84" w:name="_Toc318166429"/>
      <w:bookmarkStart w:id="85" w:name="_Toc318159349"/>
    </w:p>
    <w:p w14:paraId="52243F76">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（四）评审的依据为竞采文件和响应文件（含有效的书面承诺）。评审小组判断响应文件对竞采文件的响应，仅基于响应文件本身而不靠外部证据。</w:t>
      </w:r>
    </w:p>
    <w:bookmarkEnd w:id="82"/>
    <w:bookmarkEnd w:id="83"/>
    <w:bookmarkEnd w:id="84"/>
    <w:bookmarkEnd w:id="85"/>
    <w:p w14:paraId="5B672321">
      <w:pPr>
        <w:pStyle w:val="27"/>
        <w:ind w:firstLine="482"/>
        <w:rPr>
          <w:rFonts w:ascii="仿宋" w:hAnsi="仿宋" w:eastAsia="仿宋" w:cs="仿宋"/>
          <w:b/>
          <w:bCs/>
          <w:color w:val="auto"/>
          <w:szCs w:val="28"/>
          <w:highlight w:val="none"/>
        </w:rPr>
      </w:pPr>
      <w:bookmarkStart w:id="86" w:name="_Toc102227318"/>
      <w:bookmarkStart w:id="87" w:name="_Toc76462340"/>
      <w:bookmarkStart w:id="88" w:name="_Toc106030895"/>
      <w:bookmarkStart w:id="89" w:name="_Toc179714297"/>
      <w:bookmarkStart w:id="90" w:name="_Toc342913392"/>
      <w:r>
        <w:rPr>
          <w:rFonts w:hint="eastAsia" w:ascii="仿宋" w:hAnsi="仿宋" w:eastAsia="仿宋" w:cs="仿宋"/>
          <w:b/>
          <w:bCs/>
          <w:color w:val="auto"/>
          <w:szCs w:val="28"/>
          <w:highlight w:val="none"/>
        </w:rPr>
        <w:t>三、竞采要求</w:t>
      </w:r>
      <w:bookmarkEnd w:id="86"/>
      <w:bookmarkEnd w:id="87"/>
      <w:bookmarkEnd w:id="88"/>
      <w:bookmarkEnd w:id="89"/>
      <w:bookmarkEnd w:id="90"/>
    </w:p>
    <w:p w14:paraId="3FE80D24">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（一）响应文件</w:t>
      </w:r>
    </w:p>
    <w:p w14:paraId="515FD136">
      <w:pPr>
        <w:pStyle w:val="27"/>
        <w:ind w:firstLine="480"/>
        <w:rPr>
          <w:rFonts w:ascii="仿宋" w:hAnsi="仿宋" w:eastAsia="仿宋" w:cs="仿宋"/>
          <w:color w:val="auto"/>
          <w:sz w:val="48"/>
          <w:szCs w:val="48"/>
          <w:highlight w:val="none"/>
        </w:rPr>
      </w:pPr>
      <w:r>
        <w:rPr>
          <w:rFonts w:hint="eastAsia" w:ascii="仿宋" w:hAnsi="仿宋" w:eastAsia="仿宋" w:cs="仿宋"/>
          <w:color w:val="auto"/>
          <w:szCs w:val="28"/>
          <w:highlight w:val="none"/>
        </w:rPr>
        <w:t>1.供应商应当按照竞采文件的要求编制响应文件，并对竞采文件提出的要求和条件作出实质性响应。</w:t>
      </w:r>
    </w:p>
    <w:p w14:paraId="1D18A538">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2.响应文件组成</w:t>
      </w:r>
    </w:p>
    <w:p w14:paraId="66FABD35">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7EE5D1C">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（二）竞采有效期：响应文件及有关承诺文件有效期为提交响应文件截止时间起90天。</w:t>
      </w:r>
    </w:p>
    <w:p w14:paraId="1E3A1306">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（三）修正错误</w:t>
      </w:r>
    </w:p>
    <w:p w14:paraId="3B3F4CB9">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color w:val="auto"/>
          <w:szCs w:val="28"/>
          <w:highlight w:val="none"/>
        </w:rPr>
        <w:t>。</w:t>
      </w:r>
    </w:p>
    <w:p w14:paraId="2748AC87">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62BC2EED">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（四）提交响应文件的份数和签署</w:t>
      </w:r>
    </w:p>
    <w:p w14:paraId="193D9316">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b/>
          <w:bCs/>
          <w:color w:val="auto"/>
          <w:szCs w:val="28"/>
          <w:highlight w:val="none"/>
        </w:rPr>
        <w:t>响应文件电子文档一份，纸质档一正两副</w:t>
      </w:r>
      <w:r>
        <w:rPr>
          <w:rFonts w:hint="eastAsia" w:ascii="仿宋" w:hAnsi="仿宋" w:eastAsia="仿宋" w:cs="仿宋"/>
          <w:color w:val="auto"/>
          <w:szCs w:val="28"/>
          <w:highlight w:val="none"/>
        </w:rPr>
        <w:t>。</w:t>
      </w:r>
    </w:p>
    <w:p w14:paraId="26EAA2B1">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2.响应文件按竞采文件“第七篇响应文件编制要求”要求签署或盖章。</w:t>
      </w:r>
    </w:p>
    <w:p w14:paraId="16BDEC45">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（五）响应文件的递交</w:t>
      </w:r>
    </w:p>
    <w:p w14:paraId="3642ED42">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响应文件的电子文档应在有效报名时间段内，通过竞采系统在线提交，响应文件纸质件可通过现场递交或邮寄。</w:t>
      </w:r>
    </w:p>
    <w:p w14:paraId="21DF1B77">
      <w:pPr>
        <w:pStyle w:val="27"/>
        <w:ind w:firstLine="482"/>
        <w:rPr>
          <w:rFonts w:ascii="仿宋" w:hAnsi="仿宋" w:eastAsia="仿宋" w:cs="仿宋"/>
          <w:b/>
          <w:bCs/>
          <w:color w:val="auto"/>
          <w:szCs w:val="28"/>
          <w:highlight w:val="none"/>
        </w:rPr>
      </w:pPr>
      <w:bookmarkStart w:id="91" w:name="_Toc106030896"/>
      <w:bookmarkStart w:id="92" w:name="_Toc76462341"/>
      <w:r>
        <w:rPr>
          <w:rFonts w:hint="eastAsia" w:ascii="仿宋" w:hAnsi="仿宋" w:eastAsia="仿宋" w:cs="仿宋"/>
          <w:b/>
          <w:bCs/>
          <w:color w:val="auto"/>
          <w:szCs w:val="28"/>
          <w:highlight w:val="none"/>
        </w:rPr>
        <w:t>四、成交供应商的确认和变更</w:t>
      </w:r>
      <w:bookmarkEnd w:id="91"/>
      <w:bookmarkEnd w:id="92"/>
    </w:p>
    <w:p w14:paraId="495B8925">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（一）成交供应商的确认</w:t>
      </w:r>
    </w:p>
    <w:p w14:paraId="1EA864DF">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采购人应当在5个工作日内，从评审报告提出的成交候选供应商中，按照排序由高到低的原则确定成交供应商。</w:t>
      </w:r>
    </w:p>
    <w:p w14:paraId="03B1693F">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（二）成交供应商的变更</w:t>
      </w:r>
    </w:p>
    <w:p w14:paraId="4A127865">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成交供应商拒绝与采购人签订合同的，采购人可以按照评标报告推荐的成交候选供应商顺序，确定排名下一位的候选人为成交供应商，也可以重新开展竞采活动。</w:t>
      </w:r>
    </w:p>
    <w:p w14:paraId="5A12B3D7">
      <w:pPr>
        <w:pStyle w:val="27"/>
        <w:ind w:firstLine="482"/>
        <w:rPr>
          <w:rFonts w:hint="eastAsia" w:ascii="仿宋" w:hAnsi="仿宋" w:eastAsia="仿宋" w:cs="仿宋"/>
          <w:b/>
          <w:bCs/>
          <w:color w:val="auto"/>
          <w:szCs w:val="28"/>
          <w:highlight w:val="none"/>
        </w:rPr>
      </w:pPr>
      <w:bookmarkStart w:id="93" w:name="_Toc106030897"/>
      <w:bookmarkStart w:id="94" w:name="_Toc342913395"/>
      <w:bookmarkStart w:id="95" w:name="_Toc76462342"/>
      <w:bookmarkStart w:id="96" w:name="_Toc102227321"/>
    </w:p>
    <w:p w14:paraId="34B10F53">
      <w:pPr>
        <w:pStyle w:val="27"/>
        <w:ind w:firstLine="482"/>
        <w:rPr>
          <w:rFonts w:hint="eastAsia" w:ascii="仿宋" w:hAnsi="仿宋" w:eastAsia="仿宋" w:cs="仿宋"/>
          <w:b/>
          <w:bCs/>
          <w:color w:val="auto"/>
          <w:szCs w:val="28"/>
          <w:highlight w:val="none"/>
        </w:rPr>
      </w:pPr>
    </w:p>
    <w:p w14:paraId="4FE89935">
      <w:pPr>
        <w:pStyle w:val="27"/>
        <w:ind w:firstLine="482"/>
        <w:rPr>
          <w:rFonts w:ascii="仿宋" w:hAnsi="仿宋" w:eastAsia="仿宋" w:cs="仿宋"/>
          <w:b/>
          <w:bCs/>
          <w:color w:val="auto"/>
          <w:szCs w:val="28"/>
          <w:highlight w:val="none"/>
        </w:rPr>
      </w:pPr>
      <w:r>
        <w:rPr>
          <w:rFonts w:hint="eastAsia" w:ascii="仿宋" w:hAnsi="仿宋" w:eastAsia="仿宋" w:cs="仿宋"/>
          <w:b/>
          <w:bCs/>
          <w:color w:val="auto"/>
          <w:szCs w:val="28"/>
          <w:highlight w:val="none"/>
        </w:rPr>
        <w:t>五、成交通知</w:t>
      </w:r>
      <w:bookmarkEnd w:id="93"/>
      <w:bookmarkEnd w:id="94"/>
      <w:bookmarkEnd w:id="95"/>
      <w:bookmarkEnd w:id="96"/>
    </w:p>
    <w:p w14:paraId="259C27CB">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（一）成交供应商确定后，采购人/代理机构将在行采家平台（wwwg.gec123.com）上发布成交结果公告。</w:t>
      </w:r>
    </w:p>
    <w:p w14:paraId="3041ADCC">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（二）结果公告发出同时，采购人/代理机构将以书面形式发出《成交通知书》。《成交通知书》一经发出即发生法律效力。</w:t>
      </w:r>
    </w:p>
    <w:p w14:paraId="7C7E1478">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（三）《成交通知书》作为签订合同的依据。</w:t>
      </w:r>
    </w:p>
    <w:p w14:paraId="02A6D16F">
      <w:pPr>
        <w:pStyle w:val="27"/>
        <w:ind w:firstLine="482"/>
        <w:rPr>
          <w:rFonts w:ascii="仿宋" w:hAnsi="仿宋" w:eastAsia="仿宋" w:cs="仿宋"/>
          <w:b/>
          <w:bCs/>
          <w:color w:val="auto"/>
          <w:szCs w:val="28"/>
          <w:highlight w:val="none"/>
        </w:rPr>
      </w:pPr>
      <w:bookmarkStart w:id="97" w:name="_Toc106030898"/>
      <w:bookmarkStart w:id="98" w:name="_Toc76462343"/>
      <w:r>
        <w:rPr>
          <w:rFonts w:hint="eastAsia" w:ascii="仿宋" w:hAnsi="仿宋" w:eastAsia="仿宋" w:cs="仿宋"/>
          <w:b/>
          <w:bCs/>
          <w:color w:val="auto"/>
          <w:szCs w:val="28"/>
          <w:highlight w:val="none"/>
        </w:rPr>
        <w:t>六、关于质疑和投诉</w:t>
      </w:r>
      <w:bookmarkEnd w:id="97"/>
      <w:bookmarkEnd w:id="98"/>
    </w:p>
    <w:p w14:paraId="6AC67D4C">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（一）质疑</w:t>
      </w:r>
    </w:p>
    <w:p w14:paraId="15AF94EB">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供应商认为采购文件、采购过程和成交结果使自己的权益受到伤害的，可向采购人或采购代理机构以书面形式质疑。</w:t>
      </w:r>
    </w:p>
    <w:p w14:paraId="44C8F28A">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 xml:space="preserve">提出质疑的应当是参与所质疑项目采购活动的供应商。 </w:t>
      </w:r>
    </w:p>
    <w:p w14:paraId="346044AD">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1.质疑时限、内容</w:t>
      </w:r>
    </w:p>
    <w:p w14:paraId="79401ADD">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供应商认为采购文件、采购过程、成交结果使自己的权益受到损害的，可以在知道或者应知其权益受到损害之日起</w:t>
      </w:r>
      <w:r>
        <w:rPr>
          <w:rFonts w:hint="eastAsia" w:ascii="仿宋" w:hAnsi="仿宋" w:eastAsia="仿宋" w:cs="仿宋"/>
          <w:b/>
          <w:bCs/>
          <w:color w:val="auto"/>
          <w:szCs w:val="28"/>
          <w:highlight w:val="none"/>
        </w:rPr>
        <w:t>2</w:t>
      </w:r>
      <w:r>
        <w:rPr>
          <w:rFonts w:hint="eastAsia" w:ascii="仿宋" w:hAnsi="仿宋" w:eastAsia="仿宋" w:cs="仿宋"/>
          <w:color w:val="auto"/>
          <w:szCs w:val="28"/>
          <w:highlight w:val="none"/>
        </w:rPr>
        <w:t>个工作日内，以书面形式向采购人、采购代理机构提出质疑。</w:t>
      </w:r>
    </w:p>
    <w:p w14:paraId="0B4EC787">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1.2供应商提出质疑应当提交质疑函和必要的证明材料，质疑函应当包括下列内容：</w:t>
      </w:r>
    </w:p>
    <w:p w14:paraId="196DD707">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1.2.1供应商的名称、地址、联系人及联系电话；</w:t>
      </w:r>
    </w:p>
    <w:p w14:paraId="241BB3B3">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1.2.2质疑项目的名称、采购编号；</w:t>
      </w:r>
    </w:p>
    <w:p w14:paraId="529F77C7">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1.2.3具体、明确的质疑事项和与质疑事项相关的请求；</w:t>
      </w:r>
    </w:p>
    <w:p w14:paraId="108BFD15">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1.2.4事实依据；</w:t>
      </w:r>
    </w:p>
    <w:p w14:paraId="4611C20C">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1.2.5必要的法律依据；</w:t>
      </w:r>
    </w:p>
    <w:p w14:paraId="6A334F09">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1.2.6提出质疑的日期；</w:t>
      </w:r>
    </w:p>
    <w:p w14:paraId="4BE5E9FA">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1.2.7营业执照（或事业单位法人证书，或个体工商户营业执照或有效的自然人身份证明）复印件；</w:t>
      </w:r>
    </w:p>
    <w:p w14:paraId="186D1430">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1.2.8法定代表人授权委托书原件、法定代表人身份证复印件和其授权代表人的身份证复印件（供应商为自然人的提供自然人身份证复印件）；</w:t>
      </w:r>
    </w:p>
    <w:p w14:paraId="2BC1CBD1">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1.3供应商为自然人的，质疑函应当由本人签字；供应商为法人或者其他组织的，质疑函应当由法定代表人、主要负责人，或者其授权代表签字或者盖章，并加盖公章。</w:t>
      </w:r>
    </w:p>
    <w:p w14:paraId="4000E8F8">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2.质疑答复</w:t>
      </w:r>
    </w:p>
    <w:p w14:paraId="7AFB8964">
      <w:pPr>
        <w:pStyle w:val="27"/>
        <w:ind w:firstLine="480"/>
        <w:rPr>
          <w:rFonts w:ascii="仿宋" w:hAnsi="仿宋" w:eastAsia="仿宋" w:cs="仿宋"/>
          <w:b/>
          <w:bCs/>
          <w:color w:val="auto"/>
          <w:sz w:val="48"/>
          <w:szCs w:val="48"/>
          <w:highlight w:val="none"/>
        </w:rPr>
      </w:pPr>
      <w:r>
        <w:rPr>
          <w:rFonts w:hint="eastAsia" w:ascii="仿宋" w:hAnsi="仿宋" w:eastAsia="仿宋" w:cs="仿宋"/>
          <w:color w:val="auto"/>
          <w:szCs w:val="28"/>
          <w:highlight w:val="none"/>
        </w:rPr>
        <w:t>采购人、采购代理机构应当在收到供应商的书面质疑后2个工作日内作出答复，并以书面形式通知质疑供应商和其他有关供应商。</w:t>
      </w:r>
    </w:p>
    <w:p w14:paraId="4331061C">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（二）投诉</w:t>
      </w:r>
    </w:p>
    <w:p w14:paraId="28451E55">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1.供应商对采购人、采购代理机构的答复不满意，或者采购人、采购代理机构未在规定时间内作出答复的，可以在答复期满后2个工作日内</w:t>
      </w:r>
      <w:r>
        <w:rPr>
          <w:rFonts w:hint="eastAsia" w:ascii="仿宋" w:hAnsi="仿宋" w:eastAsia="仿宋" w:cs="仿宋"/>
          <w:b/>
          <w:bCs/>
          <w:color w:val="auto"/>
          <w:szCs w:val="28"/>
          <w:highlight w:val="none"/>
          <w:u w:val="single"/>
        </w:rPr>
        <w:t>按照平台相关规则规定向平台运营方</w:t>
      </w:r>
      <w:r>
        <w:rPr>
          <w:rFonts w:hint="eastAsia" w:ascii="仿宋" w:hAnsi="仿宋" w:eastAsia="仿宋" w:cs="仿宋"/>
          <w:color w:val="auto"/>
          <w:szCs w:val="28"/>
          <w:highlight w:val="none"/>
        </w:rPr>
        <w:t>提起投诉。</w:t>
      </w:r>
    </w:p>
    <w:p w14:paraId="04835927">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2.在确定受理投诉后，</w:t>
      </w:r>
      <w:r>
        <w:rPr>
          <w:rFonts w:hint="eastAsia" w:ascii="仿宋" w:hAnsi="仿宋" w:eastAsia="仿宋" w:cs="仿宋"/>
          <w:b/>
          <w:bCs/>
          <w:color w:val="auto"/>
          <w:szCs w:val="28"/>
          <w:highlight w:val="none"/>
          <w:u w:val="single"/>
        </w:rPr>
        <w:t>平台运营方自受理投诉之日起7个工作日内</w:t>
      </w:r>
      <w:r>
        <w:rPr>
          <w:rFonts w:hint="eastAsia" w:ascii="仿宋" w:hAnsi="仿宋" w:eastAsia="仿宋" w:cs="仿宋"/>
          <w:color w:val="auto"/>
          <w:szCs w:val="28"/>
          <w:highlight w:val="none"/>
        </w:rPr>
        <w:t>（需要检验、检测、鉴定、专家评审以及需要投诉人补正材料的，所需时间不计算在投诉处理期限内）对投诉事项做出处理决定。</w:t>
      </w:r>
    </w:p>
    <w:p w14:paraId="658B6C10">
      <w:pPr>
        <w:pStyle w:val="27"/>
        <w:ind w:firstLine="482"/>
        <w:rPr>
          <w:rFonts w:ascii="仿宋" w:hAnsi="仿宋" w:eastAsia="仿宋" w:cs="仿宋"/>
          <w:b/>
          <w:bCs/>
          <w:color w:val="auto"/>
          <w:szCs w:val="28"/>
          <w:highlight w:val="none"/>
        </w:rPr>
      </w:pPr>
      <w:bookmarkStart w:id="99" w:name="_Toc76462344"/>
      <w:bookmarkStart w:id="100" w:name="_Toc106030899"/>
      <w:r>
        <w:rPr>
          <w:rFonts w:hint="eastAsia" w:ascii="仿宋" w:hAnsi="仿宋" w:eastAsia="仿宋" w:cs="仿宋"/>
          <w:b/>
          <w:bCs/>
          <w:color w:val="auto"/>
          <w:szCs w:val="28"/>
          <w:highlight w:val="none"/>
        </w:rPr>
        <w:t>七、采购代理服务费</w:t>
      </w:r>
      <w:bookmarkEnd w:id="99"/>
      <w:bookmarkEnd w:id="100"/>
    </w:p>
    <w:p w14:paraId="7E170670">
      <w:pPr>
        <w:spacing w:line="400" w:lineRule="exact"/>
        <w:ind w:firstLine="480" w:firstLineChars="200"/>
        <w:rPr>
          <w:rFonts w:ascii="方正仿宋_GBK" w:hAnsi="宋体" w:eastAsia="方正仿宋_GBK"/>
          <w:b/>
          <w:color w:val="auto"/>
          <w:sz w:val="24"/>
          <w:highlight w:val="none"/>
        </w:rPr>
      </w:pPr>
      <w:bookmarkStart w:id="101" w:name="OLE_LINK7"/>
      <w:bookmarkStart w:id="102" w:name="OLE_LINK8"/>
      <w:bookmarkStart w:id="103" w:name="_Toc102227322"/>
      <w:bookmarkStart w:id="104" w:name="_Toc342913396"/>
      <w:bookmarkStart w:id="105" w:name="_Toc106030901"/>
      <w:bookmarkStart w:id="106" w:name="_Toc76462346"/>
      <w:r>
        <w:rPr>
          <w:rFonts w:hint="eastAsia" w:ascii="方正仿宋_GBK" w:hAnsi="宋体" w:eastAsia="方正仿宋_GBK"/>
          <w:color w:val="auto"/>
          <w:sz w:val="24"/>
          <w:highlight w:val="none"/>
        </w:rPr>
        <w:t>供应商成交后向采购代理机构缴纳</w:t>
      </w:r>
      <w:r>
        <w:rPr>
          <w:rFonts w:hint="eastAsia" w:ascii="方正仿宋_GBK" w:hAnsi="宋体" w:eastAsia="方正仿宋_GBK"/>
          <w:color w:val="auto"/>
          <w:sz w:val="24"/>
          <w:szCs w:val="24"/>
          <w:highlight w:val="none"/>
        </w:rPr>
        <w:t>采购</w:t>
      </w:r>
      <w:r>
        <w:rPr>
          <w:rFonts w:hint="eastAsia" w:ascii="方正仿宋_GBK" w:hAnsi="宋体" w:eastAsia="方正仿宋_GBK"/>
          <w:color w:val="auto"/>
          <w:sz w:val="24"/>
          <w:highlight w:val="none"/>
        </w:rPr>
        <w:t>代理服务费，采购代理服务费为5000元人民币。</w:t>
      </w:r>
    </w:p>
    <w:bookmarkEnd w:id="101"/>
    <w:bookmarkEnd w:id="102"/>
    <w:p w14:paraId="4D837237">
      <w:pPr>
        <w:pStyle w:val="27"/>
        <w:ind w:firstLine="482"/>
        <w:rPr>
          <w:rFonts w:ascii="仿宋" w:hAnsi="仿宋" w:eastAsia="仿宋" w:cs="仿宋"/>
          <w:b/>
          <w:bCs/>
          <w:color w:val="auto"/>
          <w:szCs w:val="28"/>
          <w:highlight w:val="none"/>
        </w:rPr>
      </w:pPr>
      <w:r>
        <w:rPr>
          <w:rFonts w:hint="eastAsia" w:ascii="仿宋" w:hAnsi="仿宋" w:eastAsia="仿宋" w:cs="仿宋"/>
          <w:b/>
          <w:bCs/>
          <w:color w:val="auto"/>
          <w:szCs w:val="28"/>
          <w:highlight w:val="none"/>
        </w:rPr>
        <w:t>八、签订</w:t>
      </w:r>
      <w:bookmarkEnd w:id="103"/>
      <w:r>
        <w:rPr>
          <w:rFonts w:hint="eastAsia" w:ascii="仿宋" w:hAnsi="仿宋" w:eastAsia="仿宋" w:cs="仿宋"/>
          <w:b/>
          <w:bCs/>
          <w:color w:val="auto"/>
          <w:szCs w:val="28"/>
          <w:highlight w:val="none"/>
        </w:rPr>
        <w:t>合同</w:t>
      </w:r>
      <w:bookmarkEnd w:id="104"/>
      <w:bookmarkEnd w:id="105"/>
      <w:bookmarkEnd w:id="106"/>
    </w:p>
    <w:p w14:paraId="413EA70C">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（一）采购人原则上应在结果公告发出之日起</w:t>
      </w:r>
      <w:r>
        <w:rPr>
          <w:rFonts w:hint="eastAsia" w:ascii="仿宋" w:hAnsi="仿宋" w:eastAsia="仿宋" w:cs="仿宋"/>
          <w:color w:val="auto"/>
          <w:szCs w:val="28"/>
          <w:highlight w:val="none"/>
          <w:lang w:val="en-US" w:eastAsia="zh-CN"/>
        </w:rPr>
        <w:t>20</w:t>
      </w:r>
      <w:r>
        <w:rPr>
          <w:rFonts w:hint="eastAsia" w:ascii="仿宋" w:hAnsi="仿宋" w:eastAsia="仿宋" w:cs="仿宋"/>
          <w:color w:val="auto"/>
          <w:szCs w:val="28"/>
          <w:highlight w:val="none"/>
        </w:rPr>
        <w:t>日内和成交供应商签订采购合同，无正当理由不得拒绝或拖延合同签订。所签订的合同不得对竞采文件和供应商的响应文件作实质性修改。其他未尽事宜由采购人和成交供应商在采购合同中详细约定。</w:t>
      </w:r>
    </w:p>
    <w:p w14:paraId="14D95A62">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（二）竞采文件、供应商的响应文件及澄清文件等，均为签订采购合同的依据。</w:t>
      </w:r>
    </w:p>
    <w:p w14:paraId="5E7FE1BE">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14:paraId="6A193548">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（四）合同原则上应按照《采购合同》签订，相关单位要求适用合同通用格式版本的，应按其要求另行签订其他合同。</w:t>
      </w:r>
    </w:p>
    <w:p w14:paraId="5AC993C9">
      <w:pPr>
        <w:pStyle w:val="27"/>
        <w:ind w:firstLine="480"/>
        <w:rPr>
          <w:rFonts w:ascii="仿宋" w:hAnsi="仿宋" w:eastAsia="仿宋" w:cs="仿宋"/>
          <w:color w:val="auto"/>
          <w:szCs w:val="28"/>
          <w:highlight w:val="none"/>
        </w:rPr>
      </w:pPr>
      <w:r>
        <w:rPr>
          <w:rFonts w:hint="eastAsia" w:ascii="仿宋" w:hAnsi="仿宋" w:eastAsia="仿宋" w:cs="仿宋"/>
          <w:color w:val="auto"/>
          <w:szCs w:val="28"/>
          <w:highlight w:val="none"/>
        </w:rPr>
        <w:t>（五）采购人要求成交供应商提供履约保证金的，应当在采购文件中予以约定。成交供应商履约完毕后，采购人根据采购文件规定无息退还其履约保证金。</w:t>
      </w:r>
    </w:p>
    <w:p w14:paraId="506BE5A0">
      <w:pPr>
        <w:rPr>
          <w:rFonts w:hint="eastAsia" w:ascii="仿宋" w:hAnsi="仿宋" w:eastAsia="仿宋" w:cs="仿宋"/>
          <w:b/>
          <w:bCs/>
          <w:color w:val="auto"/>
          <w:sz w:val="36"/>
          <w:szCs w:val="36"/>
          <w:highlight w:val="none"/>
        </w:rPr>
      </w:pPr>
      <w:bookmarkStart w:id="107" w:name="_Toc109836391"/>
      <w:r>
        <w:rPr>
          <w:rFonts w:hint="eastAsia" w:ascii="仿宋" w:hAnsi="仿宋" w:eastAsia="仿宋" w:cs="仿宋"/>
          <w:b/>
          <w:bCs/>
          <w:color w:val="auto"/>
          <w:sz w:val="36"/>
          <w:szCs w:val="36"/>
          <w:highlight w:val="none"/>
        </w:rPr>
        <w:br w:type="page"/>
      </w:r>
    </w:p>
    <w:p w14:paraId="7113B36B">
      <w:pPr>
        <w:pStyle w:val="27"/>
        <w:ind w:left="0" w:leftChars="0" w:firstLine="0" w:firstLineChars="0"/>
        <w:jc w:val="center"/>
        <w:outlineLvl w:val="0"/>
        <w:rPr>
          <w:rFonts w:hint="eastAsia" w:ascii="仿宋" w:hAnsi="仿宋" w:eastAsia="仿宋" w:cs="仿宋"/>
          <w:b/>
          <w:bCs/>
          <w:color w:val="auto"/>
          <w:sz w:val="36"/>
          <w:szCs w:val="36"/>
          <w:highlight w:val="none"/>
        </w:rPr>
      </w:pPr>
      <w:bookmarkStart w:id="108" w:name="_Toc8369"/>
      <w:r>
        <w:rPr>
          <w:rFonts w:hint="eastAsia" w:ascii="仿宋" w:hAnsi="仿宋" w:eastAsia="仿宋" w:cs="仿宋"/>
          <w:b/>
          <w:bCs/>
          <w:color w:val="auto"/>
          <w:sz w:val="36"/>
          <w:szCs w:val="36"/>
          <w:highlight w:val="none"/>
        </w:rPr>
        <w:t>第六篇  采购合同</w:t>
      </w:r>
      <w:bookmarkEnd w:id="107"/>
      <w:bookmarkEnd w:id="108"/>
    </w:p>
    <w:p w14:paraId="03CB352D">
      <w:pPr>
        <w:spacing w:line="660" w:lineRule="exact"/>
        <w:jc w:val="center"/>
        <w:rPr>
          <w:rFonts w:ascii="Times New Roman" w:hAnsi="Times New Roman" w:eastAsia="方正仿宋_GBK" w:cs="Times New Roman"/>
          <w:sz w:val="48"/>
          <w:szCs w:val="48"/>
          <w:highlight w:val="none"/>
        </w:rPr>
      </w:pPr>
    </w:p>
    <w:p w14:paraId="70126C91">
      <w:pPr>
        <w:spacing w:line="660" w:lineRule="exact"/>
        <w:jc w:val="center"/>
        <w:rPr>
          <w:rFonts w:ascii="Times New Roman" w:hAnsi="Times New Roman" w:eastAsia="方正仿宋_GBK" w:cs="Times New Roman"/>
          <w:sz w:val="48"/>
          <w:szCs w:val="48"/>
          <w:highlight w:val="none"/>
        </w:rPr>
      </w:pPr>
    </w:p>
    <w:p w14:paraId="1B6BCECD">
      <w:pPr>
        <w:spacing w:line="660" w:lineRule="exact"/>
        <w:jc w:val="center"/>
        <w:rPr>
          <w:rFonts w:ascii="Times New Roman" w:hAnsi="Times New Roman" w:eastAsia="方正仿宋_GBK" w:cs="Times New Roman"/>
          <w:sz w:val="48"/>
          <w:szCs w:val="48"/>
          <w:highlight w:val="none"/>
        </w:rPr>
      </w:pPr>
    </w:p>
    <w:p w14:paraId="413D02D4">
      <w:pPr>
        <w:spacing w:line="660" w:lineRule="exact"/>
        <w:jc w:val="center"/>
        <w:rPr>
          <w:rFonts w:ascii="方正小标宋_GBK" w:hAnsi="方正小标宋_GBK" w:eastAsia="方正小标宋_GBK" w:cs="方正小标宋_GBK"/>
          <w:sz w:val="52"/>
          <w:szCs w:val="52"/>
          <w:highlight w:val="none"/>
        </w:rPr>
      </w:pPr>
      <w:r>
        <w:rPr>
          <w:rFonts w:hint="eastAsia" w:ascii="方正小标宋_GBK" w:hAnsi="方正小标宋_GBK" w:eastAsia="方正小标宋_GBK" w:cs="方正小标宋_GBK"/>
          <w:sz w:val="52"/>
          <w:szCs w:val="52"/>
          <w:highlight w:val="none"/>
        </w:rPr>
        <w:t>重庆中医药学院服务采购合同</w:t>
      </w:r>
    </w:p>
    <w:p w14:paraId="22C72DDB">
      <w:pPr>
        <w:spacing w:line="660" w:lineRule="exact"/>
        <w:jc w:val="center"/>
        <w:rPr>
          <w:rFonts w:ascii="Times New Roman" w:hAnsi="Times New Roman" w:eastAsia="方正仿宋_GBK" w:cs="Times New Roman"/>
          <w:sz w:val="48"/>
          <w:szCs w:val="48"/>
          <w:highlight w:val="none"/>
        </w:rPr>
      </w:pPr>
    </w:p>
    <w:p w14:paraId="4FC22525">
      <w:pPr>
        <w:spacing w:line="660" w:lineRule="exact"/>
        <w:jc w:val="center"/>
        <w:rPr>
          <w:rFonts w:ascii="Times New Roman" w:hAnsi="Times New Roman" w:eastAsia="方正仿宋_GBK" w:cs="Times New Roman"/>
          <w:sz w:val="48"/>
          <w:szCs w:val="48"/>
          <w:highlight w:val="none"/>
        </w:rPr>
      </w:pPr>
    </w:p>
    <w:p w14:paraId="33AB73C7">
      <w:pPr>
        <w:spacing w:line="660" w:lineRule="exact"/>
        <w:jc w:val="center"/>
        <w:rPr>
          <w:rFonts w:ascii="Times New Roman" w:hAnsi="Times New Roman" w:eastAsia="方正仿宋_GBK" w:cs="Times New Roman"/>
          <w:sz w:val="48"/>
          <w:szCs w:val="48"/>
          <w:highlight w:val="none"/>
        </w:rPr>
      </w:pPr>
    </w:p>
    <w:p w14:paraId="20B7F7FC">
      <w:pPr>
        <w:spacing w:line="660" w:lineRule="exact"/>
        <w:jc w:val="center"/>
        <w:rPr>
          <w:rFonts w:ascii="方正黑体_GBK" w:hAnsi="方正黑体_GBK" w:eastAsia="方正黑体_GBK" w:cs="方正黑体_GBK"/>
          <w:sz w:val="32"/>
          <w:szCs w:val="32"/>
          <w:highlight w:val="none"/>
        </w:rPr>
      </w:pPr>
    </w:p>
    <w:p w14:paraId="119E2C5A">
      <w:pPr>
        <w:spacing w:line="660" w:lineRule="exact"/>
        <w:ind w:left="700" w:leftChars="250" w:right="700" w:rightChars="250"/>
        <w:rPr>
          <w:rFonts w:ascii="方正黑体_GBK" w:hAnsi="方正黑体_GBK" w:eastAsia="方正黑体_GBK" w:cs="方正黑体_GBK"/>
          <w:sz w:val="32"/>
          <w:szCs w:val="32"/>
          <w:highlight w:val="none"/>
          <w:u w:val="single"/>
        </w:rPr>
      </w:pPr>
      <w:r>
        <w:rPr>
          <w:rFonts w:hint="eastAsia" w:ascii="方正黑体_GBK" w:hAnsi="方正黑体_GBK" w:eastAsia="方正黑体_GBK" w:cs="方正黑体_GBK"/>
          <w:sz w:val="32"/>
          <w:szCs w:val="32"/>
          <w:highlight w:val="none"/>
        </w:rPr>
        <w:t>项</w:t>
      </w:r>
      <w:r>
        <w:rPr>
          <w:rFonts w:ascii="方正黑体_GBK" w:hAnsi="方正黑体_GBK" w:eastAsia="方正黑体_GBK" w:cs="方正黑体_GBK"/>
          <w:sz w:val="32"/>
          <w:szCs w:val="32"/>
          <w:highlight w:val="none"/>
        </w:rPr>
        <w:t xml:space="preserve"> </w:t>
      </w:r>
      <w:r>
        <w:rPr>
          <w:rFonts w:hint="eastAsia" w:ascii="方正黑体_GBK" w:hAnsi="方正黑体_GBK" w:eastAsia="方正黑体_GBK" w:cs="方正黑体_GBK"/>
          <w:sz w:val="32"/>
          <w:szCs w:val="32"/>
          <w:highlight w:val="none"/>
        </w:rPr>
        <w:t>目</w:t>
      </w:r>
      <w:r>
        <w:rPr>
          <w:rFonts w:ascii="方正黑体_GBK" w:hAnsi="方正黑体_GBK" w:eastAsia="方正黑体_GBK" w:cs="方正黑体_GBK"/>
          <w:sz w:val="32"/>
          <w:szCs w:val="32"/>
          <w:highlight w:val="none"/>
        </w:rPr>
        <w:t xml:space="preserve"> </w:t>
      </w:r>
      <w:r>
        <w:rPr>
          <w:rFonts w:hint="eastAsia" w:ascii="方正黑体_GBK" w:hAnsi="方正黑体_GBK" w:eastAsia="方正黑体_GBK" w:cs="方正黑体_GBK"/>
          <w:sz w:val="32"/>
          <w:szCs w:val="32"/>
          <w:highlight w:val="none"/>
        </w:rPr>
        <w:t>号：</w:t>
      </w:r>
      <w:r>
        <w:rPr>
          <w:rFonts w:hint="eastAsia" w:ascii="方正黑体_GBK" w:hAnsi="方正黑体_GBK" w:eastAsia="方正黑体_GBK" w:cs="方正黑体_GBK"/>
          <w:sz w:val="32"/>
          <w:szCs w:val="32"/>
          <w:highlight w:val="none"/>
          <w:u w:val="single"/>
        </w:rPr>
        <w:t xml:space="preserve">HYD-（招）-咨字-2025-A048                   </w:t>
      </w:r>
    </w:p>
    <w:p w14:paraId="6032950F">
      <w:pPr>
        <w:spacing w:line="660" w:lineRule="exact"/>
        <w:ind w:left="2300" w:leftChars="250" w:right="700" w:rightChars="250" w:hanging="1600" w:hangingChars="500"/>
        <w:rPr>
          <w:rFonts w:ascii="方正黑体_GBK" w:hAnsi="方正黑体_GBK" w:eastAsia="方正黑体_GBK" w:cs="方正黑体_GBK"/>
          <w:sz w:val="32"/>
          <w:szCs w:val="32"/>
          <w:highlight w:val="none"/>
          <w:u w:val="single"/>
        </w:rPr>
      </w:pPr>
      <w:r>
        <w:rPr>
          <w:rFonts w:hint="eastAsia" w:ascii="方正黑体_GBK" w:hAnsi="方正黑体_GBK" w:eastAsia="方正黑体_GBK" w:cs="方正黑体_GBK"/>
          <w:sz w:val="32"/>
          <w:szCs w:val="32"/>
          <w:highlight w:val="none"/>
        </w:rPr>
        <w:t>合同项目：</w:t>
      </w:r>
      <w:r>
        <w:rPr>
          <w:rFonts w:hint="eastAsia" w:ascii="方正黑体_GBK" w:hAnsi="方正黑体_GBK" w:eastAsia="方正黑体_GBK" w:cs="方正黑体_GBK"/>
          <w:sz w:val="32"/>
          <w:szCs w:val="32"/>
          <w:highlight w:val="none"/>
          <w:u w:val="single"/>
        </w:rPr>
        <w:t xml:space="preserve">重庆中医药学院智慧教室驻场运维服务采购项目            </w:t>
      </w:r>
    </w:p>
    <w:p w14:paraId="36477781">
      <w:pPr>
        <w:spacing w:line="660" w:lineRule="exact"/>
        <w:ind w:left="2300" w:leftChars="250" w:right="700" w:rightChars="250" w:hanging="1600" w:hangingChars="500"/>
        <w:rPr>
          <w:rFonts w:ascii="方正黑体_GBK" w:hAnsi="方正黑体_GBK" w:eastAsia="方正黑体_GBK" w:cs="方正黑体_GBK"/>
          <w:sz w:val="32"/>
          <w:szCs w:val="32"/>
          <w:highlight w:val="none"/>
          <w:u w:val="single"/>
        </w:rPr>
      </w:pPr>
      <w:r>
        <w:rPr>
          <w:rFonts w:hint="eastAsia" w:ascii="方正黑体_GBK" w:hAnsi="方正黑体_GBK" w:eastAsia="方正黑体_GBK" w:cs="方正黑体_GBK"/>
          <w:sz w:val="32"/>
          <w:szCs w:val="32"/>
          <w:highlight w:val="none"/>
        </w:rPr>
        <w:t>合同金额：</w:t>
      </w:r>
      <w:r>
        <w:rPr>
          <w:rFonts w:hint="eastAsia" w:ascii="方正黑体_GBK" w:hAnsi="方正黑体_GBK" w:eastAsia="方正黑体_GBK" w:cs="方正黑体_GBK"/>
          <w:sz w:val="2"/>
          <w:szCs w:val="2"/>
          <w:highlight w:val="none"/>
        </w:rPr>
        <w:t xml:space="preserve"> </w:t>
      </w:r>
      <w:r>
        <w:rPr>
          <w:rFonts w:ascii="方正黑体_GBK" w:hAnsi="方正黑体_GBK" w:eastAsia="方正黑体_GBK" w:cs="方正黑体_GBK"/>
          <w:sz w:val="32"/>
          <w:szCs w:val="32"/>
          <w:highlight w:val="none"/>
          <w:u w:val="single"/>
        </w:rPr>
        <w:t xml:space="preserve"> </w:t>
      </w:r>
      <w:bookmarkStart w:id="109" w:name="OLE_LINK11"/>
      <w:r>
        <w:rPr>
          <w:rFonts w:ascii="方正黑体_GBK" w:hAnsi="方正黑体_GBK" w:eastAsia="方正黑体_GBK" w:cs="方正黑体_GBK"/>
          <w:sz w:val="32"/>
          <w:szCs w:val="32"/>
          <w:highlight w:val="none"/>
          <w:u w:val="single"/>
        </w:rPr>
        <w:t xml:space="preserve">  </w:t>
      </w:r>
      <w:bookmarkEnd w:id="109"/>
      <w:r>
        <w:rPr>
          <w:rFonts w:hint="eastAsia" w:ascii="方正黑体_GBK" w:hAnsi="方正黑体_GBK" w:eastAsia="方正黑体_GBK" w:cs="方正黑体_GBK"/>
          <w:sz w:val="32"/>
          <w:szCs w:val="32"/>
          <w:highlight w:val="none"/>
          <w:u w:val="single"/>
        </w:rPr>
        <w:t xml:space="preserve">                                       </w:t>
      </w:r>
    </w:p>
    <w:p w14:paraId="7FCABC5C">
      <w:pPr>
        <w:spacing w:line="660" w:lineRule="exact"/>
        <w:ind w:left="700" w:leftChars="250" w:right="700" w:rightChars="25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经费科目：</w:t>
      </w:r>
      <w:r>
        <w:rPr>
          <w:rFonts w:ascii="方正黑体_GBK" w:hAnsi="方正黑体_GBK" w:eastAsia="方正黑体_GBK" w:cs="方正黑体_GBK"/>
          <w:sz w:val="32"/>
          <w:szCs w:val="32"/>
          <w:highlight w:val="none"/>
          <w:u w:val="single"/>
        </w:rPr>
        <w:t xml:space="preserve">                     </w:t>
      </w:r>
      <w:r>
        <w:rPr>
          <w:rFonts w:hint="eastAsia" w:ascii="方正黑体_GBK" w:hAnsi="方正黑体_GBK" w:eastAsia="方正黑体_GBK" w:cs="方正黑体_GBK"/>
          <w:sz w:val="32"/>
          <w:szCs w:val="32"/>
          <w:highlight w:val="none"/>
          <w:u w:val="single"/>
        </w:rPr>
        <w:t xml:space="preserve">                     </w:t>
      </w:r>
    </w:p>
    <w:p w14:paraId="07F7BFFB">
      <w:pPr>
        <w:spacing w:line="660" w:lineRule="exact"/>
        <w:ind w:left="700" w:leftChars="250" w:right="700" w:rightChars="25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甲    方：</w:t>
      </w:r>
      <w:r>
        <w:rPr>
          <w:rFonts w:hint="eastAsia" w:ascii="方正黑体_GBK" w:hAnsi="方正黑体_GBK" w:eastAsia="方正黑体_GBK" w:cs="方正黑体_GBK"/>
          <w:sz w:val="32"/>
          <w:szCs w:val="32"/>
          <w:highlight w:val="none"/>
          <w:u w:val="single"/>
        </w:rPr>
        <w:t>重庆中医药学院</w:t>
      </w:r>
      <w:r>
        <w:rPr>
          <w:rFonts w:ascii="方正黑体_GBK" w:hAnsi="方正黑体_GBK" w:eastAsia="方正黑体_GBK" w:cs="方正黑体_GBK"/>
          <w:sz w:val="32"/>
          <w:szCs w:val="32"/>
          <w:highlight w:val="none"/>
          <w:u w:val="single"/>
        </w:rPr>
        <w:t xml:space="preserve">                            </w:t>
      </w:r>
    </w:p>
    <w:p w14:paraId="1AA1F456">
      <w:pPr>
        <w:spacing w:line="660" w:lineRule="exact"/>
        <w:ind w:left="700" w:leftChars="250" w:right="700" w:rightChars="25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乙</w:t>
      </w:r>
      <w:r>
        <w:rPr>
          <w:rFonts w:ascii="方正黑体_GBK" w:hAnsi="方正黑体_GBK" w:eastAsia="方正黑体_GBK" w:cs="方正黑体_GBK"/>
          <w:sz w:val="32"/>
          <w:szCs w:val="32"/>
          <w:highlight w:val="none"/>
        </w:rPr>
        <w:t xml:space="preserve">    方</w:t>
      </w:r>
      <w:r>
        <w:rPr>
          <w:rFonts w:hint="eastAsia" w:ascii="方正黑体_GBK" w:hAnsi="方正黑体_GBK" w:eastAsia="方正黑体_GBK" w:cs="方正黑体_GBK"/>
          <w:sz w:val="32"/>
          <w:szCs w:val="32"/>
          <w:highlight w:val="none"/>
        </w:rPr>
        <w:t>：</w:t>
      </w:r>
      <w:r>
        <w:rPr>
          <w:rFonts w:ascii="方正黑体_GBK" w:hAnsi="方正黑体_GBK" w:eastAsia="方正黑体_GBK" w:cs="方正黑体_GBK"/>
          <w:sz w:val="32"/>
          <w:szCs w:val="32"/>
          <w:highlight w:val="none"/>
          <w:u w:val="single"/>
        </w:rPr>
        <w:t xml:space="preserve">        </w:t>
      </w:r>
      <w:r>
        <w:rPr>
          <w:rFonts w:hint="eastAsia" w:ascii="方正黑体_GBK" w:hAnsi="方正黑体_GBK" w:eastAsia="方正黑体_GBK" w:cs="方正黑体_GBK"/>
          <w:sz w:val="32"/>
          <w:szCs w:val="32"/>
          <w:highlight w:val="none"/>
          <w:u w:val="single"/>
        </w:rPr>
        <w:t xml:space="preserve">                                  </w:t>
      </w:r>
    </w:p>
    <w:p w14:paraId="3FFC3BEF">
      <w:pPr>
        <w:spacing w:line="660" w:lineRule="exact"/>
        <w:ind w:left="700" w:leftChars="250" w:right="700" w:rightChars="250"/>
        <w:rPr>
          <w:rFonts w:ascii="方正黑体_GBK" w:hAnsi="方正黑体_GBK" w:eastAsia="方正黑体_GBK" w:cs="方正黑体_GBK"/>
          <w:sz w:val="32"/>
          <w:szCs w:val="32"/>
          <w:highlight w:val="none"/>
          <w:u w:val="single"/>
        </w:rPr>
      </w:pPr>
      <w:r>
        <w:rPr>
          <w:rFonts w:hint="eastAsia" w:ascii="方正黑体_GBK" w:hAnsi="方正黑体_GBK" w:eastAsia="方正黑体_GBK" w:cs="方正黑体_GBK"/>
          <w:sz w:val="32"/>
          <w:szCs w:val="32"/>
          <w:highlight w:val="none"/>
        </w:rPr>
        <w:t>合同编号：</w:t>
      </w:r>
      <w:r>
        <w:rPr>
          <w:rFonts w:hint="eastAsia" w:ascii="方正黑体_GBK" w:hAnsi="方正黑体_GBK" w:eastAsia="方正黑体_GBK" w:cs="方正黑体_GBK"/>
          <w:sz w:val="32"/>
          <w:szCs w:val="32"/>
          <w:highlight w:val="none"/>
          <w:u w:val="single"/>
        </w:rPr>
        <w:t xml:space="preserve">                                          </w:t>
      </w:r>
    </w:p>
    <w:p w14:paraId="3669E7A8">
      <w:pPr>
        <w:spacing w:line="660" w:lineRule="exact"/>
        <w:ind w:left="700" w:leftChars="250" w:right="700" w:rightChars="250"/>
        <w:rPr>
          <w:rFonts w:ascii="方正黑体_GBK" w:hAnsi="方正黑体_GBK" w:eastAsia="方正黑体_GBK" w:cs="方正黑体_GBK"/>
          <w:sz w:val="32"/>
          <w:szCs w:val="32"/>
          <w:highlight w:val="none"/>
          <w:u w:val="single"/>
        </w:rPr>
      </w:pPr>
      <w:r>
        <w:rPr>
          <w:rFonts w:hint="eastAsia" w:ascii="方正黑体_GBK" w:hAnsi="方正黑体_GBK" w:eastAsia="方正黑体_GBK" w:cs="方正黑体_GBK"/>
          <w:sz w:val="32"/>
          <w:szCs w:val="32"/>
          <w:highlight w:val="none"/>
        </w:rPr>
        <w:t>签订时间：</w:t>
      </w:r>
      <w:r>
        <w:rPr>
          <w:rFonts w:ascii="方正黑体_GBK" w:hAnsi="方正黑体_GBK" w:eastAsia="方正黑体_GBK" w:cs="方正黑体_GBK"/>
          <w:sz w:val="32"/>
          <w:szCs w:val="32"/>
          <w:highlight w:val="none"/>
          <w:u w:val="single"/>
        </w:rPr>
        <w:t>202</w:t>
      </w:r>
      <w:r>
        <w:rPr>
          <w:rFonts w:hint="eastAsia" w:ascii="方正黑体_GBK" w:hAnsi="方正黑体_GBK" w:eastAsia="方正黑体_GBK" w:cs="方正黑体_GBK"/>
          <w:sz w:val="32"/>
          <w:szCs w:val="32"/>
          <w:highlight w:val="none"/>
          <w:u w:val="single"/>
          <w:lang w:val="en-US" w:eastAsia="zh-CN"/>
        </w:rPr>
        <w:t>5</w:t>
      </w:r>
      <w:r>
        <w:rPr>
          <w:rFonts w:hint="eastAsia" w:ascii="方正黑体_GBK" w:hAnsi="方正黑体_GBK" w:eastAsia="方正黑体_GBK" w:cs="方正黑体_GBK"/>
          <w:sz w:val="32"/>
          <w:szCs w:val="32"/>
          <w:highlight w:val="none"/>
          <w:u w:val="single"/>
        </w:rPr>
        <w:t>年</w:t>
      </w:r>
      <w:r>
        <w:rPr>
          <w:rFonts w:ascii="方正黑体_GBK" w:hAnsi="方正黑体_GBK" w:eastAsia="方正黑体_GBK" w:cs="方正黑体_GBK"/>
          <w:sz w:val="32"/>
          <w:szCs w:val="32"/>
          <w:highlight w:val="none"/>
          <w:u w:val="single"/>
        </w:rPr>
        <w:t xml:space="preserve">   </w:t>
      </w:r>
      <w:r>
        <w:rPr>
          <w:rFonts w:hint="eastAsia" w:ascii="方正黑体_GBK" w:hAnsi="方正黑体_GBK" w:eastAsia="方正黑体_GBK" w:cs="方正黑体_GBK"/>
          <w:sz w:val="32"/>
          <w:szCs w:val="32"/>
          <w:highlight w:val="none"/>
          <w:u w:val="single"/>
        </w:rPr>
        <w:t>月</w:t>
      </w:r>
      <w:r>
        <w:rPr>
          <w:rFonts w:ascii="方正黑体_GBK" w:hAnsi="方正黑体_GBK" w:eastAsia="方正黑体_GBK" w:cs="方正黑体_GBK"/>
          <w:sz w:val="32"/>
          <w:szCs w:val="32"/>
          <w:highlight w:val="none"/>
          <w:u w:val="single"/>
        </w:rPr>
        <w:t xml:space="preserve">   </w:t>
      </w:r>
      <w:r>
        <w:rPr>
          <w:rFonts w:hint="eastAsia" w:ascii="方正黑体_GBK" w:hAnsi="方正黑体_GBK" w:eastAsia="方正黑体_GBK" w:cs="方正黑体_GBK"/>
          <w:sz w:val="32"/>
          <w:szCs w:val="32"/>
          <w:highlight w:val="none"/>
          <w:u w:val="single"/>
        </w:rPr>
        <w:t>日</w:t>
      </w:r>
      <w:r>
        <w:rPr>
          <w:rFonts w:ascii="方正黑体_GBK" w:hAnsi="方正黑体_GBK" w:eastAsia="方正黑体_GBK" w:cs="方正黑体_GBK"/>
          <w:sz w:val="32"/>
          <w:szCs w:val="32"/>
          <w:highlight w:val="none"/>
          <w:u w:val="single"/>
        </w:rPr>
        <w:t xml:space="preserve">                         </w:t>
      </w:r>
    </w:p>
    <w:p w14:paraId="49865479">
      <w:pPr>
        <w:spacing w:line="660" w:lineRule="exact"/>
        <w:jc w:val="center"/>
        <w:rPr>
          <w:rFonts w:ascii="Times New Roman" w:hAnsi="Times New Roman" w:eastAsia="方正仿宋_GBK" w:cs="Times New Roman"/>
          <w:sz w:val="28"/>
          <w:szCs w:val="28"/>
          <w:highlight w:val="none"/>
        </w:rPr>
      </w:pPr>
    </w:p>
    <w:p w14:paraId="13FCB3B5">
      <w:pPr>
        <w:spacing w:line="660" w:lineRule="exact"/>
        <w:rPr>
          <w:rFonts w:ascii="Times New Roman" w:hAnsi="Times New Roman" w:eastAsia="方正仿宋_GBK" w:cs="Times New Roman"/>
          <w:sz w:val="48"/>
          <w:szCs w:val="48"/>
          <w:highlight w:val="none"/>
        </w:rPr>
        <w:sectPr>
          <w:footerReference r:id="rId5" w:type="first"/>
          <w:footerReference r:id="rId4" w:type="default"/>
          <w:pgSz w:w="11906" w:h="16838"/>
          <w:pgMar w:top="1984" w:right="1446" w:bottom="1644" w:left="1446" w:header="851" w:footer="1304" w:gutter="0"/>
          <w:pgNumType w:fmt="decimal" w:start="1"/>
          <w:cols w:space="0" w:num="1"/>
          <w:titlePg/>
          <w:docGrid w:type="lines" w:linePitch="312" w:charSpace="0"/>
        </w:sectPr>
      </w:pPr>
    </w:p>
    <w:p w14:paraId="12059CC5">
      <w:pPr>
        <w:spacing w:line="6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重庆中医药学院服务采购合同</w:t>
      </w:r>
    </w:p>
    <w:p w14:paraId="6207A26F">
      <w:pPr>
        <w:spacing w:line="560" w:lineRule="exact"/>
        <w:ind w:firstLine="560" w:firstLineChars="200"/>
        <w:jc w:val="center"/>
        <w:rPr>
          <w:rFonts w:ascii="Times New Roman" w:hAnsi="Times New Roman" w:eastAsia="方正仿宋_GBK" w:cs="Times New Roman"/>
          <w:sz w:val="28"/>
          <w:szCs w:val="28"/>
          <w:highlight w:val="none"/>
        </w:rPr>
      </w:pPr>
    </w:p>
    <w:p w14:paraId="22F9D650">
      <w:pPr>
        <w:spacing w:line="560" w:lineRule="exact"/>
        <w:ind w:right="414" w:rightChars="148"/>
        <w:rPr>
          <w:rFonts w:ascii="Times New Roman" w:hAnsi="Times New Roman" w:eastAsia="方正黑体_GBK" w:cs="Times New Roman"/>
          <w:kern w:val="0"/>
          <w:sz w:val="28"/>
          <w:szCs w:val="28"/>
          <w:highlight w:val="none"/>
        </w:rPr>
      </w:pPr>
      <w:r>
        <w:rPr>
          <w:rFonts w:ascii="Times New Roman" w:hAnsi="Times New Roman" w:eastAsia="方正黑体_GBK" w:cs="Times New Roman"/>
          <w:kern w:val="0"/>
          <w:sz w:val="28"/>
          <w:szCs w:val="28"/>
          <w:highlight w:val="none"/>
        </w:rPr>
        <w:t>甲  方：重庆中医药学院</w:t>
      </w:r>
    </w:p>
    <w:p w14:paraId="69FC4CA9">
      <w:pPr>
        <w:spacing w:line="560" w:lineRule="exact"/>
        <w:ind w:right="414" w:rightChars="148"/>
        <w:rPr>
          <w:rFonts w:ascii="Times New Roman" w:hAnsi="Times New Roman" w:eastAsia="方正黑体_GBK" w:cs="Times New Roman"/>
          <w:kern w:val="0"/>
          <w:sz w:val="28"/>
          <w:szCs w:val="28"/>
          <w:highlight w:val="none"/>
        </w:rPr>
      </w:pPr>
      <w:r>
        <w:rPr>
          <w:rFonts w:ascii="Times New Roman" w:hAnsi="Times New Roman" w:eastAsia="方正黑体_GBK" w:cs="Times New Roman"/>
          <w:kern w:val="0"/>
          <w:sz w:val="28"/>
          <w:szCs w:val="28"/>
          <w:highlight w:val="none"/>
        </w:rPr>
        <w:t>住所地：重庆市璧山区璧城街道国学路61号</w:t>
      </w:r>
    </w:p>
    <w:p w14:paraId="29A028C1">
      <w:pPr>
        <w:spacing w:line="560" w:lineRule="exact"/>
        <w:ind w:right="414" w:rightChars="148"/>
        <w:rPr>
          <w:rFonts w:ascii="Times New Roman" w:hAnsi="Times New Roman" w:eastAsia="方正黑体_GBK" w:cs="Times New Roman"/>
          <w:kern w:val="0"/>
          <w:sz w:val="28"/>
          <w:szCs w:val="28"/>
          <w:highlight w:val="none"/>
        </w:rPr>
      </w:pPr>
      <w:r>
        <w:rPr>
          <w:rFonts w:ascii="Times New Roman" w:hAnsi="Times New Roman" w:eastAsia="方正黑体_GBK" w:cs="Times New Roman"/>
          <w:kern w:val="0"/>
          <w:sz w:val="28"/>
          <w:szCs w:val="28"/>
          <w:highlight w:val="none"/>
        </w:rPr>
        <w:t>乙  方：</w:t>
      </w:r>
    </w:p>
    <w:p w14:paraId="334B0D66">
      <w:pPr>
        <w:spacing w:line="560" w:lineRule="exact"/>
        <w:ind w:right="414" w:rightChars="148"/>
        <w:rPr>
          <w:rFonts w:ascii="Times New Roman" w:hAnsi="Times New Roman" w:eastAsia="方正黑体_GBK" w:cs="Times New Roman"/>
          <w:kern w:val="0"/>
          <w:sz w:val="28"/>
          <w:szCs w:val="28"/>
          <w:highlight w:val="none"/>
        </w:rPr>
      </w:pPr>
      <w:r>
        <w:rPr>
          <w:rFonts w:ascii="Times New Roman" w:hAnsi="Times New Roman" w:eastAsia="方正黑体_GBK" w:cs="Times New Roman"/>
          <w:kern w:val="0"/>
          <w:sz w:val="28"/>
          <w:szCs w:val="28"/>
          <w:highlight w:val="none"/>
        </w:rPr>
        <w:t>住所地：</w:t>
      </w:r>
    </w:p>
    <w:p w14:paraId="6E86B3EF">
      <w:pPr>
        <w:spacing w:line="560" w:lineRule="exact"/>
        <w:ind w:firstLine="560" w:firstLineChars="200"/>
        <w:rPr>
          <w:rFonts w:ascii="Times New Roman" w:hAnsi="Times New Roman" w:eastAsia="方正仿宋_GBK" w:cs="Times New Roman"/>
          <w:sz w:val="28"/>
          <w:szCs w:val="28"/>
          <w:highlight w:val="none"/>
          <w:u w:val="single"/>
        </w:rPr>
      </w:pPr>
    </w:p>
    <w:p w14:paraId="08E59094">
      <w:pPr>
        <w:spacing w:line="560" w:lineRule="exact"/>
        <w:ind w:firstLine="560" w:firstLineChars="200"/>
        <w:rPr>
          <w:rFonts w:ascii="Times New Roman" w:hAnsi="Times New Roman" w:eastAsia="方正仿宋_GBK" w:cs="Times New Roman"/>
          <w:sz w:val="28"/>
          <w:szCs w:val="28"/>
          <w:highlight w:val="none"/>
          <w:u w:val="single"/>
        </w:rPr>
      </w:pPr>
      <w:r>
        <w:rPr>
          <w:rFonts w:ascii="Times New Roman" w:hAnsi="Times New Roman" w:eastAsia="方正仿宋_GBK" w:cs="Times New Roman"/>
          <w:sz w:val="28"/>
          <w:szCs w:val="28"/>
          <w:highlight w:val="none"/>
        </w:rPr>
        <w:t>根据</w:t>
      </w:r>
      <w:r>
        <w:rPr>
          <w:rFonts w:ascii="Times New Roman" w:hAnsi="Times New Roman" w:eastAsia="方正仿宋_GBK" w:cs="Times New Roman"/>
          <w:sz w:val="28"/>
          <w:szCs w:val="28"/>
          <w:highlight w:val="none"/>
          <w:u w:val="single"/>
        </w:rPr>
        <w:t xml:space="preserve">  </w:t>
      </w:r>
      <w:r>
        <w:rPr>
          <w:rFonts w:hint="eastAsia" w:ascii="Times New Roman" w:hAnsi="Times New Roman" w:eastAsia="方正仿宋_GBK" w:cs="Times New Roman"/>
          <w:sz w:val="28"/>
          <w:szCs w:val="28"/>
          <w:highlight w:val="none"/>
          <w:u w:val="single"/>
        </w:rPr>
        <w:t xml:space="preserve">HYD-（招）-咨字-2025-A048 </w:t>
      </w:r>
      <w:r>
        <w:rPr>
          <w:rFonts w:ascii="Times New Roman" w:hAnsi="Times New Roman" w:eastAsia="方正仿宋_GBK" w:cs="Times New Roman"/>
          <w:sz w:val="28"/>
          <w:szCs w:val="28"/>
          <w:highlight w:val="none"/>
          <w:u w:val="single"/>
        </w:rPr>
        <w:t xml:space="preserve"> </w:t>
      </w:r>
      <w:r>
        <w:rPr>
          <w:rFonts w:ascii="Times New Roman" w:hAnsi="Times New Roman" w:eastAsia="方正仿宋_GBK" w:cs="Times New Roman"/>
          <w:sz w:val="28"/>
          <w:szCs w:val="28"/>
          <w:highlight w:val="none"/>
        </w:rPr>
        <w:t>号招标项目的投标结果，由乙方为中标方。按照《中华人民共和国民法典》，经甲乙双方平等协商，就甲方委托乙方承担服务采购项目，达成以下合同条款：</w:t>
      </w:r>
    </w:p>
    <w:p w14:paraId="0B24CE98">
      <w:pPr>
        <w:spacing w:line="560" w:lineRule="exact"/>
        <w:ind w:firstLine="560" w:firstLineChars="200"/>
        <w:rPr>
          <w:rFonts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第一条  项目目标与内容</w:t>
      </w:r>
    </w:p>
    <w:p w14:paraId="068B2125">
      <w:pPr>
        <w:spacing w:line="560" w:lineRule="exact"/>
        <w:ind w:firstLine="560" w:firstLineChars="200"/>
        <w:rPr>
          <w:rFonts w:ascii="Times New Roman" w:hAnsi="Times New Roman" w:eastAsia="方正仿宋_GBK" w:cs="Times New Roman"/>
          <w:sz w:val="28"/>
          <w:szCs w:val="28"/>
          <w:highlight w:val="none"/>
          <w:u w:val="single"/>
        </w:rPr>
      </w:pPr>
      <w:r>
        <w:rPr>
          <w:rFonts w:ascii="Times New Roman" w:hAnsi="Times New Roman" w:eastAsia="方正仿宋_GBK" w:cs="Times New Roman"/>
          <w:sz w:val="28"/>
          <w:szCs w:val="28"/>
          <w:highlight w:val="none"/>
        </w:rPr>
        <w:t>服务时间：</w:t>
      </w:r>
      <w:r>
        <w:rPr>
          <w:rFonts w:hint="eastAsia" w:ascii="Times New Roman" w:hAnsi="Times New Roman" w:eastAsia="方正仿宋_GBK" w:cs="Times New Roman"/>
          <w:sz w:val="28"/>
          <w:szCs w:val="28"/>
          <w:highlight w:val="none"/>
          <w:u w:val="single"/>
        </w:rPr>
        <w:t>3年，具体时间为2025年10月10日—2028年10月9日</w:t>
      </w:r>
      <w:r>
        <w:rPr>
          <w:rFonts w:ascii="Times New Roman" w:hAnsi="Times New Roman" w:eastAsia="方正仿宋_GBK" w:cs="Times New Roman"/>
          <w:sz w:val="28"/>
          <w:szCs w:val="28"/>
          <w:highlight w:val="none"/>
        </w:rPr>
        <w:t>。</w:t>
      </w:r>
    </w:p>
    <w:p w14:paraId="3513454D">
      <w:pPr>
        <w:spacing w:line="560" w:lineRule="exact"/>
        <w:ind w:firstLine="560" w:firstLineChars="200"/>
        <w:rPr>
          <w:rFonts w:ascii="Times New Roman" w:hAnsi="Times New Roman" w:eastAsia="方正仿宋_GBK" w:cs="Times New Roman"/>
          <w:sz w:val="28"/>
          <w:szCs w:val="28"/>
          <w:highlight w:val="none"/>
          <w:u w:val="single"/>
        </w:rPr>
      </w:pPr>
      <w:r>
        <w:rPr>
          <w:rFonts w:ascii="Times New Roman" w:hAnsi="Times New Roman" w:eastAsia="方正仿宋_GBK" w:cs="Times New Roman"/>
          <w:sz w:val="28"/>
          <w:szCs w:val="28"/>
          <w:highlight w:val="none"/>
          <w:u w:val="single"/>
        </w:rPr>
        <w:t>履约保证金：</w:t>
      </w:r>
      <w:r>
        <w:rPr>
          <w:rFonts w:hint="eastAsia" w:eastAsia="方正仿宋_GBK" w:cs="Times New Roman"/>
          <w:sz w:val="28"/>
          <w:szCs w:val="28"/>
          <w:highlight w:val="none"/>
          <w:u w:val="single"/>
          <w:lang w:val="en-US" w:eastAsia="zh-CN"/>
        </w:rPr>
        <w:t>签订合同时乙方需向甲方交纳成交金额10%的履约保证金人民币       元（大写：   元整），服务期满后无息退还其履约保证金</w:t>
      </w:r>
      <w:r>
        <w:rPr>
          <w:rFonts w:ascii="Times New Roman" w:hAnsi="Times New Roman" w:eastAsia="方正仿宋_GBK" w:cs="Times New Roman"/>
          <w:sz w:val="28"/>
          <w:szCs w:val="28"/>
          <w:highlight w:val="none"/>
          <w:u w:val="single"/>
        </w:rPr>
        <w:t>。</w:t>
      </w:r>
    </w:p>
    <w:p w14:paraId="4A3F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bookmarkStart w:id="110" w:name="_Hlk110862304"/>
      <w:r>
        <w:rPr>
          <w:rFonts w:ascii="Times New Roman" w:hAnsi="Times New Roman" w:eastAsia="方正仿宋_GBK" w:cs="Times New Roman"/>
          <w:sz w:val="28"/>
          <w:szCs w:val="28"/>
          <w:highlight w:val="none"/>
          <w:u w:val="single"/>
        </w:rPr>
        <w:t>合同价款</w:t>
      </w:r>
      <w:bookmarkEnd w:id="110"/>
      <w:r>
        <w:rPr>
          <w:rFonts w:ascii="Times New Roman" w:hAnsi="Times New Roman" w:eastAsia="方正仿宋_GBK" w:cs="Times New Roman"/>
          <w:sz w:val="28"/>
          <w:szCs w:val="28"/>
          <w:highlight w:val="none"/>
          <w:u w:val="single"/>
        </w:rPr>
        <w:t xml:space="preserve">为：     </w:t>
      </w:r>
      <w:r>
        <w:rPr>
          <w:rFonts w:hint="eastAsia" w:eastAsia="方正仿宋_GBK" w:cs="Times New Roman"/>
          <w:sz w:val="28"/>
          <w:szCs w:val="28"/>
          <w:highlight w:val="none"/>
          <w:u w:val="single"/>
          <w:lang w:val="en-US" w:eastAsia="zh-CN"/>
        </w:rPr>
        <w:t>元</w:t>
      </w:r>
      <w:r>
        <w:rPr>
          <w:rFonts w:ascii="Times New Roman" w:hAnsi="Times New Roman" w:eastAsia="方正仿宋_GBK" w:cs="Times New Roman"/>
          <w:sz w:val="28"/>
          <w:szCs w:val="28"/>
          <w:highlight w:val="none"/>
          <w:u w:val="single"/>
        </w:rPr>
        <w:t>。此价格为固定价格，含一切税、费。</w:t>
      </w:r>
      <w:r>
        <w:rPr>
          <w:rFonts w:ascii="Times New Roman" w:hAnsi="Times New Roman" w:eastAsia="方正仿宋_GBK" w:cs="Times New Roman"/>
          <w:sz w:val="28"/>
          <w:szCs w:val="28"/>
          <w:highlight w:val="none"/>
        </w:rPr>
        <w:t>本合同价款包括但不限于乙方为实施本项目所需的设备仪器费、车辆租赁费、服务和技术费用、各种方式寄送技术资料到甲方指定收货位置所发生的费用等乙方为履行本合同义务所发生的一切费用和支出。</w:t>
      </w:r>
    </w:p>
    <w:p w14:paraId="6FDF70FB">
      <w:pPr>
        <w:spacing w:line="560" w:lineRule="exact"/>
        <w:ind w:firstLine="560" w:firstLineChars="200"/>
        <w:rPr>
          <w:rFonts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 xml:space="preserve">第二条  </w:t>
      </w:r>
      <w:r>
        <w:rPr>
          <w:rFonts w:ascii="方正黑体_GBK" w:hAnsi="方正黑体_GBK" w:eastAsia="方正黑体_GBK" w:cs="方正黑体_GBK"/>
          <w:sz w:val="28"/>
          <w:szCs w:val="28"/>
          <w:highlight w:val="none"/>
        </w:rPr>
        <w:t>服务内容</w:t>
      </w:r>
    </w:p>
    <w:p w14:paraId="53F25BFD">
      <w:pPr>
        <w:spacing w:line="560" w:lineRule="exact"/>
        <w:ind w:firstLine="562" w:firstLineChars="200"/>
        <w:rPr>
          <w:rFonts w:ascii="Times New Roman" w:hAnsi="Times New Roman" w:eastAsia="方正仿宋_GBK" w:cs="Times New Roman"/>
          <w:b/>
          <w:bCs/>
          <w:sz w:val="28"/>
          <w:szCs w:val="28"/>
          <w:highlight w:val="none"/>
          <w:u w:val="single"/>
        </w:rPr>
      </w:pPr>
      <w:r>
        <w:rPr>
          <w:rFonts w:hint="eastAsia" w:ascii="Times New Roman" w:hAnsi="Times New Roman" w:eastAsia="方正仿宋_GBK" w:cs="Times New Roman"/>
          <w:b/>
          <w:bCs/>
          <w:sz w:val="28"/>
          <w:szCs w:val="28"/>
          <w:highlight w:val="none"/>
          <w:u w:val="single"/>
        </w:rPr>
        <w:t>包含智慧教室（包含计算机教室）197间、标准化考场49间、控制室1间的设备运维服务、日常管理及巡检服务、数据统计服务、备机服务、维修服务、保障服务、巡检服务等。</w:t>
      </w:r>
    </w:p>
    <w:p w14:paraId="75BA8943">
      <w:pPr>
        <w:spacing w:line="560" w:lineRule="exact"/>
        <w:ind w:firstLine="560" w:firstLineChars="200"/>
        <w:rPr>
          <w:rFonts w:ascii="方正黑体_GBK" w:hAnsi="方正黑体_GBK" w:eastAsia="方正黑体_GBK" w:cs="方正黑体_GBK"/>
          <w:sz w:val="28"/>
          <w:szCs w:val="28"/>
          <w:highlight w:val="none"/>
        </w:rPr>
      </w:pPr>
      <w:bookmarkStart w:id="111" w:name="_Hlk112580751"/>
      <w:r>
        <w:rPr>
          <w:rFonts w:hint="eastAsia" w:ascii="方正黑体_GBK" w:hAnsi="方正黑体_GBK" w:eastAsia="方正黑体_GBK" w:cs="方正黑体_GBK"/>
          <w:sz w:val="28"/>
          <w:szCs w:val="28"/>
          <w:highlight w:val="none"/>
        </w:rPr>
        <w:t xml:space="preserve">第三条  </w:t>
      </w:r>
      <w:r>
        <w:rPr>
          <w:rFonts w:ascii="方正黑体_GBK" w:hAnsi="方正黑体_GBK" w:eastAsia="方正黑体_GBK" w:cs="方正黑体_GBK"/>
          <w:sz w:val="28"/>
          <w:szCs w:val="28"/>
          <w:highlight w:val="none"/>
        </w:rPr>
        <w:t>时间要求</w:t>
      </w:r>
      <w:bookmarkEnd w:id="111"/>
      <w:r>
        <w:rPr>
          <w:rFonts w:ascii="方正黑体_GBK" w:hAnsi="方正黑体_GBK" w:eastAsia="方正黑体_GBK" w:cs="方正黑体_GBK"/>
          <w:sz w:val="28"/>
          <w:szCs w:val="28"/>
          <w:highlight w:val="none"/>
        </w:rPr>
        <w:t>及阶段成果</w:t>
      </w:r>
    </w:p>
    <w:p w14:paraId="0A668447">
      <w:pPr>
        <w:spacing w:line="560" w:lineRule="exact"/>
        <w:ind w:firstLine="560" w:firstLineChars="200"/>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single"/>
        </w:rPr>
        <w:t>3年，具体时间为2025年10月10日—2028年10月9日。</w:t>
      </w:r>
    </w:p>
    <w:p w14:paraId="740EFBBB">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第四条</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 xml:space="preserve"> 服务资料归属</w:t>
      </w:r>
    </w:p>
    <w:p w14:paraId="62A140E8">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所有提交给甲方的服务文件及相关的资料的最后文本，包括为履行技术服务范围所编制的各类文件、情况报告等，都属于甲方的财产，乙方在提交给甲方之前应将上述资料进行整理归类和编制索引。</w:t>
      </w:r>
    </w:p>
    <w:p w14:paraId="2C6B45C1">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乙方未经甲方的书面同意，不得将上述资料用于与本项目之外的任何项目。</w:t>
      </w:r>
    </w:p>
    <w:p w14:paraId="4C4D8D16">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合同履行完毕，未经甲方的书面同意，乙方不得保存在履行合同过程中所获得或接触到的任何内部数据资料。</w:t>
      </w:r>
    </w:p>
    <w:p w14:paraId="4C5FC904">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第五条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甲方的义务</w:t>
      </w:r>
    </w:p>
    <w:p w14:paraId="36744026">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负责与本项目有关的第三方的协调，提供开展服务工作的外部条件。</w:t>
      </w:r>
    </w:p>
    <w:p w14:paraId="162ACC62">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向乙方提供与本项目服务工作有关的资料。</w:t>
      </w:r>
    </w:p>
    <w:p w14:paraId="50FB8EB6">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负责组织有关专家对项目成果评估报告的评审。</w:t>
      </w:r>
    </w:p>
    <w:p w14:paraId="0866A7AB">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第六条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乙方的义务</w:t>
      </w:r>
    </w:p>
    <w:p w14:paraId="3741A4A7">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应按照甲方招标文件、乙方投标文件要求按期完成本项目服务工作。</w:t>
      </w:r>
    </w:p>
    <w:p w14:paraId="463BFE57">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必须严格执行国家法律法规，自觉接受甲方的业务指导和监督管理，全力维护甲方的合法权益；运用自身的专业技能为甲方做好服务工作，并提供与项目有关的其它服务。在服务的整个过程需按照国家相关法律法规的要求，符合流程，不得有违法违规的行为。</w:t>
      </w:r>
    </w:p>
    <w:p w14:paraId="26BD43E9">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乙方在项目服务过程要做出工作进度表给甲方，让甲方了解整个服务工作的进展情况；在服务期限内，由甲方根据工作的特点和要求具体确定时间，乙方必须在约定的时间内完成相关工作。</w:t>
      </w:r>
    </w:p>
    <w:p w14:paraId="29E31F8F">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4</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服务期限内若确实需要更换拟派负责人的，须征得甲方的书面同意，而且更换人员的技术职称和工作经验必须高于或等于拟派人员的技术职称和工作经验；</w:t>
      </w:r>
    </w:p>
    <w:p w14:paraId="11F3C6CF">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5</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甲方向乙方提出的意见建议，乙方应予以审核，如与法规不符，乙方应当予以拒绝并提出相应意见，确保服务项目合法、合规。</w:t>
      </w:r>
    </w:p>
    <w:p w14:paraId="333465F9">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6</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乙方必须对甲方单位信息进行保密，在未经甲方事先书面同意的情况下，任何时候均不得将有关甲方的任何内容或者从甲方处知晓的关于甲方单位的任何信息泄露给任何其它方。</w:t>
      </w:r>
    </w:p>
    <w:p w14:paraId="1288705A">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7</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承接服务前，应充分了解掌握服务项目需求情况，紧贴项目实际拟制各类文书，严禁随意将以往的服务文件复制剪贴，糊弄应付，甚至错漏百出。合同履约过程中，甲方将建立相关考评制度，对乙方实施量化考评，考核不合格与乙方将解除本服务合同。</w:t>
      </w:r>
    </w:p>
    <w:p w14:paraId="549C35F0">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8</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乙方须无条件配合甲方接收各级审计、巡视工作；与本项目服务业务相关资料（含音视频资料）保存期限为招标结束之日起至少15年。</w:t>
      </w:r>
    </w:p>
    <w:p w14:paraId="7B9748E8">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9</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在履行合同期间或合同规定期限内，不得向第三方泄露与本合同规定业务活动有关的任何资料。</w:t>
      </w:r>
    </w:p>
    <w:p w14:paraId="374BA538">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第七条</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 xml:space="preserve"> 甲方的权利</w:t>
      </w:r>
    </w:p>
    <w:p w14:paraId="3EE2D35D">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有权向乙方询问工作进展情况及相关的内容。</w:t>
      </w:r>
    </w:p>
    <w:p w14:paraId="4DA532B4">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有权阐述对具体问题的意义和建议。</w:t>
      </w:r>
    </w:p>
    <w:p w14:paraId="1170387A">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当甲方认定乙方人员不按合同履行其职责，或与第三人串通给甲方造成经济损失的，甲方有权要求更换人员或解除合同并要求乙方承担相应的赔偿责任。</w:t>
      </w:r>
    </w:p>
    <w:p w14:paraId="46563589">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第八条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乙方的权利</w:t>
      </w:r>
    </w:p>
    <w:p w14:paraId="0E585226">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乙方在本项目服务过程中，如甲方提供的资料不明确时可向甲方提出书面报告。</w:t>
      </w:r>
    </w:p>
    <w:p w14:paraId="26227CC1">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乙方在本项目服务过程中，有权对第三方提出与本服务业务有关的问题进行核对或查问。</w:t>
      </w:r>
    </w:p>
    <w:p w14:paraId="56DEEC05">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乙方在本项目服务过程中，有随时了解项目进度的权利。</w:t>
      </w:r>
    </w:p>
    <w:p w14:paraId="2223A81A">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第九条</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 xml:space="preserve"> 甲方的责任</w:t>
      </w:r>
    </w:p>
    <w:p w14:paraId="30D21141">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如乙方全面履行合同约定内容，甲方则按本合同约定履行付款义务，如有违反则应当承担违约责任。</w:t>
      </w:r>
    </w:p>
    <w:p w14:paraId="1F3E1573">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甲方有权对乙方实施量化考评，考核不合格，有权解除合同，并要求乙方承担违约责任。</w:t>
      </w:r>
    </w:p>
    <w:p w14:paraId="3C330830">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甲方向乙方提出赔偿要求不能成立时，则应补偿由于该赔偿或其他要求所导致乙方的各种费用的支出。</w:t>
      </w:r>
    </w:p>
    <w:p w14:paraId="340E8452">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第十条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乙方的责任</w:t>
      </w:r>
    </w:p>
    <w:p w14:paraId="47977B91">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乙方的责任期即本合同有效期。如因非乙方的责任造成进度的推迟或延误而超过约定的日期，双方应进一步约定相应延长合同有效期。</w:t>
      </w:r>
    </w:p>
    <w:p w14:paraId="5D167ACC">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乙方的责任期内，应当履行本合同中约定的义务，因乙方的单方过失给甲方造成损失，应当向甲方进行赔偿。</w:t>
      </w:r>
    </w:p>
    <w:p w14:paraId="21C316D6">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乙方对甲方或甲方指定的第三方所提出的问题不能及时核对或答复，导致合同不能全部或部分履行，甲方将记录在量化考评中，属于乙方违约，乙方应承担相应的违约责任。</w:t>
      </w:r>
    </w:p>
    <w:p w14:paraId="26E3F018">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4</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乙方向甲方提出赔偿要求不能成立时，则应补偿由于该赔偿或其他要求所导致甲方的各种费用的支出。</w:t>
      </w:r>
    </w:p>
    <w:p w14:paraId="4C8778D3">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第十一条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人员要求</w:t>
      </w:r>
    </w:p>
    <w:p w14:paraId="0A74D77B">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参加本项目的人员必须具有国家和有关部门规定的相应资质。</w:t>
      </w:r>
    </w:p>
    <w:p w14:paraId="5073AD67">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参加本项目的人员配置必须与投标文件中的服务承诺书和服务组织实施方案一致。</w:t>
      </w:r>
    </w:p>
    <w:p w14:paraId="6E4AE2BF">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必须以直属工作人员参与本项目服务，不得使用挂靠队伍。</w:t>
      </w:r>
    </w:p>
    <w:p w14:paraId="1289DAB7">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第十二条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乙方服务业务工具要求</w:t>
      </w:r>
    </w:p>
    <w:p w14:paraId="6EA4ED12">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乙方应配备中标项目所需的足够数量的各类设施设备。甲方不需向乙方提供任何本项目所需的各类设施设备。</w:t>
      </w:r>
    </w:p>
    <w:p w14:paraId="301E0DC6">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2、乙方在提供服务过程中应自备车辆。</w:t>
      </w:r>
    </w:p>
    <w:p w14:paraId="4C541BFD">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第十三条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保密要求</w:t>
      </w:r>
    </w:p>
    <w:p w14:paraId="3EA57195">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由甲方收集的、开发的、整理的、复制的、研究的和准备的与本合同项下工作有关的所有资料在提供给乙方时，均为保密资料，不得泄漏给除甲方或其指定的代表之外的任何人、企业或公司，不管本合同因何种原因终止，本条款对乙方一直有效。</w:t>
      </w:r>
    </w:p>
    <w:p w14:paraId="772D3ED4">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乙方在履行合同过程中所获得或接触到的任何内部数据资料，未经甲方书面同意，不得向第三方透露。</w:t>
      </w:r>
    </w:p>
    <w:p w14:paraId="06B9AFEF">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乙方实施项目的一切程序都应符合国家安全、保密的有关规定和标准。</w:t>
      </w:r>
    </w:p>
    <w:p w14:paraId="0D80F137">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4</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乙方参加项目的有关人员均需同甲方签订保密协议。</w:t>
      </w:r>
    </w:p>
    <w:p w14:paraId="6D5DCBF4">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第十四条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项目验收</w:t>
      </w:r>
    </w:p>
    <w:p w14:paraId="2347C81E">
      <w:pPr>
        <w:spacing w:line="560" w:lineRule="exact"/>
        <w:ind w:firstLine="562" w:firstLineChars="200"/>
        <w:rPr>
          <w:rFonts w:ascii="Times New Roman" w:hAnsi="Times New Roman" w:eastAsia="方正仿宋_GBK" w:cs="Times New Roman"/>
          <w:b/>
          <w:bCs/>
          <w:sz w:val="28"/>
          <w:szCs w:val="28"/>
          <w:highlight w:val="none"/>
          <w:u w:val="single"/>
        </w:rPr>
      </w:pPr>
      <w:r>
        <w:rPr>
          <w:rFonts w:hint="eastAsia" w:eastAsia="方正仿宋_GBK" w:cs="Times New Roman"/>
          <w:b/>
          <w:bCs/>
          <w:sz w:val="28"/>
          <w:szCs w:val="28"/>
          <w:highlight w:val="none"/>
          <w:u w:val="single"/>
          <w:lang w:val="en-US" w:eastAsia="zh-CN"/>
        </w:rPr>
        <w:t>甲方</w:t>
      </w:r>
      <w:r>
        <w:rPr>
          <w:rFonts w:hint="eastAsia" w:ascii="Times New Roman" w:hAnsi="Times New Roman" w:eastAsia="方正仿宋_GBK" w:cs="Times New Roman"/>
          <w:b/>
          <w:bCs/>
          <w:sz w:val="28"/>
          <w:szCs w:val="28"/>
          <w:highlight w:val="none"/>
          <w:u w:val="single"/>
        </w:rPr>
        <w:t>指定的验收方式</w:t>
      </w:r>
      <w:r>
        <w:rPr>
          <w:rFonts w:ascii="Times New Roman" w:hAnsi="Times New Roman" w:eastAsia="方正仿宋_GBK" w:cs="Times New Roman"/>
          <w:b/>
          <w:bCs/>
          <w:sz w:val="28"/>
          <w:szCs w:val="28"/>
          <w:highlight w:val="none"/>
          <w:u w:val="single"/>
        </w:rPr>
        <w:t>。</w:t>
      </w:r>
    </w:p>
    <w:p w14:paraId="543EED6D">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第十五条 </w:t>
      </w:r>
      <w:bookmarkStart w:id="112" w:name="_Hlk112581267"/>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付款方式</w:t>
      </w:r>
      <w:bookmarkEnd w:id="112"/>
    </w:p>
    <w:p w14:paraId="6A25B3A1">
      <w:pPr>
        <w:spacing w:line="560" w:lineRule="exact"/>
        <w:ind w:firstLine="562" w:firstLineChars="200"/>
        <w:rPr>
          <w:rFonts w:hint="eastAsia" w:ascii="Times New Roman" w:hAnsi="Times New Roman" w:eastAsia="方正仿宋_GBK" w:cs="Times New Roman"/>
          <w:b/>
          <w:bCs/>
          <w:sz w:val="28"/>
          <w:szCs w:val="28"/>
          <w:highlight w:val="none"/>
          <w:u w:val="single"/>
          <w:lang w:val="zh-TW" w:eastAsia="zh-CN"/>
        </w:rPr>
      </w:pPr>
      <w:r>
        <w:rPr>
          <w:rFonts w:hint="eastAsia" w:ascii="Times New Roman" w:hAnsi="Times New Roman" w:eastAsia="方正仿宋_GBK" w:cs="Times New Roman"/>
          <w:b/>
          <w:bCs/>
          <w:sz w:val="28"/>
          <w:szCs w:val="28"/>
          <w:highlight w:val="none"/>
          <w:u w:val="single"/>
          <w:lang w:val="zh-TW" w:eastAsia="zh-CN"/>
        </w:rPr>
        <w:t>合同签订生效后，</w:t>
      </w:r>
      <w:r>
        <w:rPr>
          <w:rFonts w:hint="eastAsia" w:eastAsia="方正仿宋_GBK" w:cs="Times New Roman"/>
          <w:b/>
          <w:bCs/>
          <w:sz w:val="28"/>
          <w:szCs w:val="28"/>
          <w:highlight w:val="none"/>
          <w:u w:val="single"/>
          <w:lang w:val="en-US" w:eastAsia="zh-CN"/>
        </w:rPr>
        <w:t>甲方</w:t>
      </w:r>
      <w:r>
        <w:rPr>
          <w:rFonts w:hint="eastAsia" w:ascii="Times New Roman" w:hAnsi="Times New Roman" w:eastAsia="方正仿宋_GBK" w:cs="Times New Roman"/>
          <w:b/>
          <w:bCs/>
          <w:sz w:val="28"/>
          <w:szCs w:val="28"/>
          <w:highlight w:val="none"/>
          <w:u w:val="single"/>
          <w:lang w:val="zh-TW" w:eastAsia="zh-CN"/>
        </w:rPr>
        <w:t>根据考核标准按月对运维服务进行考核，合同金额1年支付一次。</w:t>
      </w:r>
    </w:p>
    <w:p w14:paraId="1936FBEF">
      <w:pPr>
        <w:spacing w:line="560" w:lineRule="exact"/>
        <w:ind w:firstLine="562" w:firstLineChars="200"/>
        <w:rPr>
          <w:rFonts w:hint="eastAsia" w:ascii="Times New Roman" w:hAnsi="Times New Roman" w:eastAsia="方正仿宋_GBK" w:cs="Times New Roman"/>
          <w:b/>
          <w:bCs/>
          <w:sz w:val="28"/>
          <w:szCs w:val="28"/>
          <w:highlight w:val="none"/>
          <w:u w:val="single"/>
          <w:lang w:val="zh-TW" w:eastAsia="zh-CN"/>
        </w:rPr>
      </w:pPr>
      <w:r>
        <w:rPr>
          <w:rFonts w:hint="eastAsia" w:ascii="Times New Roman" w:hAnsi="Times New Roman" w:eastAsia="方正仿宋_GBK" w:cs="Times New Roman"/>
          <w:b/>
          <w:bCs/>
          <w:sz w:val="28"/>
          <w:szCs w:val="28"/>
          <w:highlight w:val="none"/>
          <w:u w:val="single"/>
          <w:lang w:val="zh-TW" w:eastAsia="zh-CN"/>
        </w:rPr>
        <w:t>支付金额计算规则：本年度每月考核平均得分为80～100分按本年度合同金额的100%支付，60～80分按本年度合同金额的70%支付，0～60分按本年度金额的50%支付且</w:t>
      </w:r>
      <w:r>
        <w:rPr>
          <w:rFonts w:hint="eastAsia" w:eastAsia="方正仿宋_GBK" w:cs="Times New Roman"/>
          <w:b/>
          <w:bCs/>
          <w:sz w:val="28"/>
          <w:szCs w:val="28"/>
          <w:highlight w:val="none"/>
          <w:u w:val="single"/>
          <w:lang w:val="en-US" w:eastAsia="zh-CN"/>
        </w:rPr>
        <w:t>甲方</w:t>
      </w:r>
      <w:r>
        <w:rPr>
          <w:rFonts w:hint="eastAsia" w:ascii="Times New Roman" w:hAnsi="Times New Roman" w:eastAsia="方正仿宋_GBK" w:cs="Times New Roman"/>
          <w:b/>
          <w:bCs/>
          <w:sz w:val="28"/>
          <w:szCs w:val="28"/>
          <w:highlight w:val="none"/>
          <w:u w:val="single"/>
          <w:lang w:val="zh-TW" w:eastAsia="zh-CN"/>
        </w:rPr>
        <w:t>有权单方面取消合同。</w:t>
      </w:r>
    </w:p>
    <w:p w14:paraId="3FC4DB2D">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第十六条</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 xml:space="preserve"> 争议解决办法</w:t>
      </w:r>
    </w:p>
    <w:p w14:paraId="6EBA8CAA">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甲、乙双方在合同履行过程中发生的一切争议，由双方及时协商解决。协商不成时，双方均有权向甲方所在地管辖法院起诉。</w:t>
      </w:r>
    </w:p>
    <w:p w14:paraId="5CE54854">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诉讼期间，除正在进行诉讼的部分外，合同其它部分继续执行，除非诉讼部分与合同其他部分的履行存在时间上的先后关系。</w:t>
      </w:r>
    </w:p>
    <w:p w14:paraId="741A6527">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第十七条  风险责任</w:t>
      </w:r>
    </w:p>
    <w:p w14:paraId="2D49A26C">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乙方应完全地按照本合同对应招标文件的要求和乙方投标文件的承诺完成本项目，出于自身财务、技术、人力等原因导致服务未完成的，应承担违约责任。</w:t>
      </w:r>
    </w:p>
    <w:p w14:paraId="4C6E92DF">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乙方在服务过程中应对自身的安全负责，若由乙方原因发生的各种事故甲方不承担任何责任。</w:t>
      </w:r>
    </w:p>
    <w:p w14:paraId="2011E016">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第十八条  违约责任</w:t>
      </w:r>
    </w:p>
    <w:p w14:paraId="6ABC1773">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因乙方原因，未能按规定时间完成有关工作的，每延误一天，甲方可在支付合同余款中扣除合同价款千分之一。</w:t>
      </w:r>
    </w:p>
    <w:p w14:paraId="55544C4A">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由于乙方原因造成服务质量不佳，未能满足甲方所需服务时，甲方有权终止合同，并享有追究乙方违约责任及要求赔偿损失的权利。</w:t>
      </w:r>
    </w:p>
    <w:p w14:paraId="0D0933F3">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因乙方原因不能在本合同约定的时间内完成各阶段的项目内容，经甲方催告乙方仍不能在催告时间内完成项目内容，甲方有权与第三方合作，由第三方完成乙方未完成的工作内容。乙方应承担由此产生的费用，并向甲方支付这一阶段所对应的合同金额10%的违约金，同时甲方有单方面解除合同的权利。</w:t>
      </w:r>
    </w:p>
    <w:p w14:paraId="296F405F">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4、本合同各条款约定的乙方承担的违约责任除特别明确外，违约金均为合同金额的10%。</w:t>
      </w:r>
    </w:p>
    <w:p w14:paraId="39014718">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第十九条  附则</w:t>
      </w:r>
    </w:p>
    <w:p w14:paraId="734CA82A">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本合同是按照本合同对应招标文件和乙方投标文件订立的，除招标文件和投标文件中实质性条款之外的约定，以本合同条款为准。</w:t>
      </w:r>
    </w:p>
    <w:p w14:paraId="51C7FED1">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本合同未尽事宜，甲乙双方可另行协商一致签订补充协议。合同的变更或补充，须签订书面文件。补充协议与本合同具有同等法律效力。</w:t>
      </w:r>
    </w:p>
    <w:p w14:paraId="32B2EAB6">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付款时请开具增值税普通发票。</w:t>
      </w:r>
    </w:p>
    <w:p w14:paraId="21B19956">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4</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下列文件均为本合同的组成部分：</w:t>
      </w:r>
    </w:p>
    <w:p w14:paraId="69DD75A3">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（1）本合同对应招标文件、答疑及补充通知；</w:t>
      </w:r>
    </w:p>
    <w:p w14:paraId="46D53538">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（2）投标文件</w:t>
      </w:r>
    </w:p>
    <w:p w14:paraId="70EA9924">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（3）本合同执行中共同签署的补充与修正文件。</w:t>
      </w:r>
    </w:p>
    <w:p w14:paraId="2597723D">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本合同一式</w:t>
      </w:r>
      <w:r>
        <w:rPr>
          <w:rFonts w:ascii="Times New Roman" w:hAnsi="Times New Roman" w:eastAsia="方正仿宋_GBK" w:cs="Times New Roman"/>
          <w:sz w:val="28"/>
          <w:szCs w:val="28"/>
          <w:highlight w:val="none"/>
          <w:u w:val="single"/>
        </w:rPr>
        <w:t xml:space="preserve"> 陆</w:t>
      </w:r>
      <w:r>
        <w:rPr>
          <w:rFonts w:ascii="Times New Roman" w:hAnsi="Times New Roman" w:eastAsia="方正仿宋_GBK" w:cs="Times New Roman"/>
          <w:sz w:val="28"/>
          <w:szCs w:val="28"/>
          <w:highlight w:val="none"/>
        </w:rPr>
        <w:t>份，甲方</w:t>
      </w:r>
      <w:r>
        <w:rPr>
          <w:rFonts w:ascii="Times New Roman" w:hAnsi="Times New Roman" w:eastAsia="方正仿宋_GBK" w:cs="Times New Roman"/>
          <w:sz w:val="28"/>
          <w:szCs w:val="28"/>
          <w:highlight w:val="none"/>
          <w:u w:val="single"/>
        </w:rPr>
        <w:t xml:space="preserve"> 肆 </w:t>
      </w:r>
      <w:r>
        <w:rPr>
          <w:rFonts w:ascii="Times New Roman" w:hAnsi="Times New Roman" w:eastAsia="方正仿宋_GBK" w:cs="Times New Roman"/>
          <w:sz w:val="28"/>
          <w:szCs w:val="28"/>
          <w:highlight w:val="none"/>
        </w:rPr>
        <w:t>份，乙方</w:t>
      </w:r>
      <w:r>
        <w:rPr>
          <w:rFonts w:ascii="Times New Roman" w:hAnsi="Times New Roman" w:eastAsia="方正仿宋_GBK" w:cs="Times New Roman"/>
          <w:sz w:val="28"/>
          <w:szCs w:val="28"/>
          <w:highlight w:val="none"/>
          <w:u w:val="single"/>
        </w:rPr>
        <w:t>贰</w:t>
      </w:r>
      <w:r>
        <w:rPr>
          <w:rFonts w:ascii="Times New Roman" w:hAnsi="Times New Roman" w:eastAsia="方正仿宋_GBK" w:cs="Times New Roman"/>
          <w:sz w:val="28"/>
          <w:szCs w:val="28"/>
          <w:highlight w:val="none"/>
        </w:rPr>
        <w:t>份，具有同等法律效力。本合同自双方法人代表签字（盖章）认可之日起生效。</w:t>
      </w:r>
    </w:p>
    <w:p w14:paraId="4468518E">
      <w:pPr>
        <w:spacing w:line="560" w:lineRule="exact"/>
        <w:ind w:firstLine="560" w:firstLineChars="2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（以下无正文）</w:t>
      </w:r>
    </w:p>
    <w:tbl>
      <w:tblPr>
        <w:tblStyle w:val="21"/>
        <w:tblW w:w="9331" w:type="dxa"/>
        <w:jc w:val="center"/>
        <w:tblLayout w:type="fixed"/>
        <w:tblCellMar>
          <w:top w:w="0" w:type="dxa"/>
          <w:left w:w="108" w:type="dxa"/>
          <w:bottom w:w="0" w:type="dxa"/>
          <w:right w:w="108" w:type="dxa"/>
        </w:tblCellMar>
      </w:tblPr>
      <w:tblGrid>
        <w:gridCol w:w="4489"/>
        <w:gridCol w:w="4842"/>
      </w:tblGrid>
      <w:tr w14:paraId="0B63A573">
        <w:tblPrEx>
          <w:tblCellMar>
            <w:top w:w="0" w:type="dxa"/>
            <w:left w:w="108" w:type="dxa"/>
            <w:bottom w:w="0" w:type="dxa"/>
            <w:right w:w="108" w:type="dxa"/>
          </w:tblCellMar>
        </w:tblPrEx>
        <w:trPr>
          <w:trHeight w:val="915" w:hRule="atLeast"/>
          <w:jc w:val="center"/>
        </w:trPr>
        <w:tc>
          <w:tcPr>
            <w:tcW w:w="4489" w:type="dxa"/>
            <w:tcBorders>
              <w:tl2br w:val="nil"/>
              <w:tr2bl w:val="nil"/>
            </w:tcBorders>
          </w:tcPr>
          <w:p w14:paraId="16AF7B15">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甲    方：重庆中医药学院</w:t>
            </w:r>
          </w:p>
        </w:tc>
        <w:tc>
          <w:tcPr>
            <w:tcW w:w="4842" w:type="dxa"/>
            <w:tcBorders>
              <w:tl2br w:val="nil"/>
              <w:tr2bl w:val="nil"/>
            </w:tcBorders>
          </w:tcPr>
          <w:p w14:paraId="44E94785">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乙    方：</w:t>
            </w:r>
          </w:p>
        </w:tc>
      </w:tr>
      <w:tr w14:paraId="76BB1B69">
        <w:tblPrEx>
          <w:tblCellMar>
            <w:top w:w="0" w:type="dxa"/>
            <w:left w:w="108" w:type="dxa"/>
            <w:bottom w:w="0" w:type="dxa"/>
            <w:right w:w="108" w:type="dxa"/>
          </w:tblCellMar>
        </w:tblPrEx>
        <w:trPr>
          <w:trHeight w:val="745" w:hRule="atLeast"/>
          <w:jc w:val="center"/>
        </w:trPr>
        <w:tc>
          <w:tcPr>
            <w:tcW w:w="4489" w:type="dxa"/>
            <w:tcBorders>
              <w:tl2br w:val="nil"/>
              <w:tr2bl w:val="nil"/>
            </w:tcBorders>
          </w:tcPr>
          <w:p w14:paraId="5C8BC89D">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法人代表人</w:t>
            </w:r>
          </w:p>
          <w:p w14:paraId="4A90A4FA">
            <w:pPr>
              <w:spacing w:line="560" w:lineRule="exact"/>
              <w:rPr>
                <w:rFonts w:ascii="Times New Roman" w:hAnsi="Times New Roman" w:cs="Times New Roman"/>
                <w:sz w:val="28"/>
                <w:szCs w:val="28"/>
                <w:highlight w:val="none"/>
              </w:rPr>
            </w:pPr>
            <w:r>
              <w:rPr>
                <w:rFonts w:ascii="Times New Roman" w:hAnsi="Times New Roman" w:eastAsia="方正仿宋_GBK" w:cs="Times New Roman"/>
                <w:sz w:val="28"/>
                <w:szCs w:val="28"/>
                <w:highlight w:val="none"/>
              </w:rPr>
              <w:t>或委托代理人（签字）：</w:t>
            </w:r>
          </w:p>
        </w:tc>
        <w:tc>
          <w:tcPr>
            <w:tcW w:w="4842" w:type="dxa"/>
            <w:tcBorders>
              <w:tl2br w:val="nil"/>
              <w:tr2bl w:val="nil"/>
            </w:tcBorders>
          </w:tcPr>
          <w:p w14:paraId="3B96AAAF">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法人代表人</w:t>
            </w:r>
          </w:p>
          <w:p w14:paraId="061DEC6A">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或委托代理人（签字）：</w:t>
            </w:r>
          </w:p>
          <w:p w14:paraId="73473B33">
            <w:pPr>
              <w:pStyle w:val="7"/>
              <w:rPr>
                <w:rFonts w:ascii="Times New Roman"/>
                <w:highlight w:val="none"/>
              </w:rPr>
            </w:pPr>
          </w:p>
        </w:tc>
      </w:tr>
      <w:tr w14:paraId="2F80850F">
        <w:tblPrEx>
          <w:tblCellMar>
            <w:top w:w="0" w:type="dxa"/>
            <w:left w:w="108" w:type="dxa"/>
            <w:bottom w:w="0" w:type="dxa"/>
            <w:right w:w="108" w:type="dxa"/>
          </w:tblCellMar>
        </w:tblPrEx>
        <w:trPr>
          <w:trHeight w:val="664" w:hRule="atLeast"/>
          <w:jc w:val="center"/>
        </w:trPr>
        <w:tc>
          <w:tcPr>
            <w:tcW w:w="4489" w:type="dxa"/>
            <w:tcBorders>
              <w:tl2br w:val="nil"/>
              <w:tr2bl w:val="nil"/>
            </w:tcBorders>
          </w:tcPr>
          <w:p w14:paraId="24FCFD36">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税    号：12500000MB1G7951XD</w:t>
            </w:r>
          </w:p>
        </w:tc>
        <w:tc>
          <w:tcPr>
            <w:tcW w:w="4842" w:type="dxa"/>
            <w:tcBorders>
              <w:tl2br w:val="nil"/>
              <w:tr2bl w:val="nil"/>
            </w:tcBorders>
          </w:tcPr>
          <w:p w14:paraId="01445C02">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税    号：</w:t>
            </w:r>
          </w:p>
        </w:tc>
      </w:tr>
      <w:tr w14:paraId="3B99FC84">
        <w:tblPrEx>
          <w:tblCellMar>
            <w:top w:w="0" w:type="dxa"/>
            <w:left w:w="108" w:type="dxa"/>
            <w:bottom w:w="0" w:type="dxa"/>
            <w:right w:w="108" w:type="dxa"/>
          </w:tblCellMar>
        </w:tblPrEx>
        <w:trPr>
          <w:trHeight w:val="649" w:hRule="atLeast"/>
          <w:jc w:val="center"/>
        </w:trPr>
        <w:tc>
          <w:tcPr>
            <w:tcW w:w="4489" w:type="dxa"/>
            <w:tcBorders>
              <w:tl2br w:val="nil"/>
              <w:tr2bl w:val="nil"/>
            </w:tcBorders>
          </w:tcPr>
          <w:p w14:paraId="7B0E39F7">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开户银行：中信银行重庆科学城</w:t>
            </w:r>
          </w:p>
          <w:p w14:paraId="3B67C32B">
            <w:pPr>
              <w:spacing w:line="560" w:lineRule="exact"/>
              <w:ind w:firstLine="1439" w:firstLineChars="514"/>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支行</w:t>
            </w:r>
          </w:p>
        </w:tc>
        <w:tc>
          <w:tcPr>
            <w:tcW w:w="4842" w:type="dxa"/>
            <w:tcBorders>
              <w:tl2br w:val="nil"/>
              <w:tr2bl w:val="nil"/>
            </w:tcBorders>
          </w:tcPr>
          <w:p w14:paraId="5D9122F8">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开户银行：</w:t>
            </w:r>
          </w:p>
        </w:tc>
      </w:tr>
      <w:tr w14:paraId="54097927">
        <w:tblPrEx>
          <w:tblCellMar>
            <w:top w:w="0" w:type="dxa"/>
            <w:left w:w="108" w:type="dxa"/>
            <w:bottom w:w="0" w:type="dxa"/>
            <w:right w:w="108" w:type="dxa"/>
          </w:tblCellMar>
        </w:tblPrEx>
        <w:trPr>
          <w:trHeight w:val="649" w:hRule="atLeast"/>
          <w:jc w:val="center"/>
        </w:trPr>
        <w:tc>
          <w:tcPr>
            <w:tcW w:w="4489" w:type="dxa"/>
            <w:tcBorders>
              <w:tl2br w:val="nil"/>
              <w:tr2bl w:val="nil"/>
            </w:tcBorders>
          </w:tcPr>
          <w:p w14:paraId="6D41585F">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账    号：8111201013500508457</w:t>
            </w:r>
          </w:p>
        </w:tc>
        <w:tc>
          <w:tcPr>
            <w:tcW w:w="4842" w:type="dxa"/>
            <w:tcBorders>
              <w:tl2br w:val="nil"/>
              <w:tr2bl w:val="nil"/>
            </w:tcBorders>
          </w:tcPr>
          <w:p w14:paraId="6D50E5C0">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账    号：</w:t>
            </w:r>
          </w:p>
        </w:tc>
      </w:tr>
      <w:tr w14:paraId="4A60CC51">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14:paraId="66127F07">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电    话：023-65880092</w:t>
            </w:r>
          </w:p>
        </w:tc>
        <w:tc>
          <w:tcPr>
            <w:tcW w:w="4842" w:type="dxa"/>
            <w:tcBorders>
              <w:tl2br w:val="nil"/>
              <w:tr2bl w:val="nil"/>
            </w:tcBorders>
            <w:shd w:val="clear" w:color="auto" w:fill="auto"/>
          </w:tcPr>
          <w:p w14:paraId="52C1844D">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电    话：</w:t>
            </w:r>
          </w:p>
        </w:tc>
      </w:tr>
      <w:tr w14:paraId="63FCEE87">
        <w:tblPrEx>
          <w:tblCellMar>
            <w:top w:w="0" w:type="dxa"/>
            <w:left w:w="108" w:type="dxa"/>
            <w:bottom w:w="0" w:type="dxa"/>
            <w:right w:w="108" w:type="dxa"/>
          </w:tblCellMar>
        </w:tblPrEx>
        <w:trPr>
          <w:trHeight w:val="1127" w:hRule="atLeast"/>
          <w:jc w:val="center"/>
        </w:trPr>
        <w:tc>
          <w:tcPr>
            <w:tcW w:w="4489" w:type="dxa"/>
            <w:tcBorders>
              <w:tl2br w:val="nil"/>
              <w:tr2bl w:val="nil"/>
            </w:tcBorders>
          </w:tcPr>
          <w:p w14:paraId="338AF521">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地    址：重庆市璧山区璧城街道</w:t>
            </w:r>
          </w:p>
          <w:p w14:paraId="466931F3">
            <w:pPr>
              <w:spacing w:line="560" w:lineRule="exact"/>
              <w:ind w:firstLine="1439" w:firstLineChars="514"/>
              <w:rPr>
                <w:rFonts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国学</w:t>
            </w:r>
            <w:r>
              <w:rPr>
                <w:rFonts w:ascii="Times New Roman" w:hAnsi="Times New Roman" w:eastAsia="方正仿宋_GBK" w:cs="Times New Roman"/>
                <w:sz w:val="28"/>
                <w:szCs w:val="28"/>
                <w:highlight w:val="none"/>
              </w:rPr>
              <w:t>路61号</w:t>
            </w:r>
          </w:p>
        </w:tc>
        <w:tc>
          <w:tcPr>
            <w:tcW w:w="4842" w:type="dxa"/>
            <w:tcBorders>
              <w:tl2br w:val="nil"/>
              <w:tr2bl w:val="nil"/>
            </w:tcBorders>
          </w:tcPr>
          <w:p w14:paraId="70C2637C">
            <w:pPr>
              <w:spacing w:line="560" w:lineRule="exact"/>
              <w:ind w:left="1400" w:hanging="1400" w:hangingChars="5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地    址：</w:t>
            </w:r>
          </w:p>
        </w:tc>
      </w:tr>
      <w:tr w14:paraId="5FD10C22">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14:paraId="364FE9AE">
            <w:pPr>
              <w:spacing w:line="560" w:lineRule="exact"/>
              <w:ind w:left="1400" w:hanging="1400" w:hangingChars="5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时    间：     年   月   日</w:t>
            </w:r>
          </w:p>
        </w:tc>
        <w:tc>
          <w:tcPr>
            <w:tcW w:w="4842" w:type="dxa"/>
            <w:tcBorders>
              <w:tl2br w:val="nil"/>
              <w:tr2bl w:val="nil"/>
            </w:tcBorders>
            <w:shd w:val="clear" w:color="auto" w:fill="auto"/>
          </w:tcPr>
          <w:p w14:paraId="3D60CDBE">
            <w:pPr>
              <w:spacing w:line="560" w:lineRule="exact"/>
              <w:ind w:left="1400" w:hanging="1400" w:hangingChars="5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时    间：     年   月   日</w:t>
            </w:r>
          </w:p>
        </w:tc>
      </w:tr>
      <w:tr w14:paraId="31C5F354">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14:paraId="27B8E3E6">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签约地点：</w:t>
            </w:r>
            <w:r>
              <w:rPr>
                <w:rFonts w:ascii="Times New Roman" w:hAnsi="Times New Roman" w:eastAsia="方正仿宋_GBK" w:cs="Times New Roman"/>
                <w:kern w:val="0"/>
                <w:sz w:val="28"/>
                <w:szCs w:val="28"/>
                <w:highlight w:val="none"/>
              </w:rPr>
              <w:t>重</w:t>
            </w:r>
            <w:r>
              <w:rPr>
                <w:rFonts w:ascii="Times New Roman" w:hAnsi="Times New Roman" w:eastAsia="方正仿宋_GBK" w:cs="Times New Roman"/>
                <w:sz w:val="28"/>
                <w:szCs w:val="28"/>
                <w:highlight w:val="none"/>
              </w:rPr>
              <w:t>庆市璧山区璧城街道</w:t>
            </w:r>
            <w:r>
              <w:rPr>
                <w:rFonts w:hint="eastAsia" w:ascii="Times New Roman" w:hAnsi="Times New Roman" w:eastAsia="方正仿宋_GBK" w:cs="Times New Roman"/>
                <w:sz w:val="28"/>
                <w:szCs w:val="28"/>
                <w:highlight w:val="none"/>
              </w:rPr>
              <w:t>国学</w:t>
            </w:r>
            <w:r>
              <w:rPr>
                <w:rFonts w:ascii="Times New Roman" w:hAnsi="Times New Roman" w:eastAsia="方正仿宋_GBK" w:cs="Times New Roman"/>
                <w:sz w:val="28"/>
                <w:szCs w:val="28"/>
                <w:highlight w:val="none"/>
              </w:rPr>
              <w:t>路61号重庆中医药学院</w:t>
            </w:r>
          </w:p>
        </w:tc>
      </w:tr>
    </w:tbl>
    <w:p w14:paraId="158118AF">
      <w:pPr>
        <w:spacing w:line="560" w:lineRule="exact"/>
        <w:rPr>
          <w:rFonts w:ascii="Times New Roman" w:hAnsi="Times New Roman" w:eastAsia="方正仿宋_GBK" w:cs="Times New Roman"/>
          <w:b/>
          <w:bCs/>
          <w:sz w:val="28"/>
          <w:szCs w:val="28"/>
          <w:highlight w:val="none"/>
        </w:rPr>
      </w:pPr>
      <w:r>
        <w:rPr>
          <w:rFonts w:ascii="Times New Roman" w:hAnsi="Times New Roman" w:eastAsia="方正仿宋_GBK" w:cs="Times New Roman"/>
          <w:b/>
          <w:bCs/>
          <w:sz w:val="28"/>
          <w:szCs w:val="28"/>
          <w:highlight w:val="none"/>
        </w:rPr>
        <w:br w:type="page"/>
      </w:r>
    </w:p>
    <w:p w14:paraId="63D0F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方正黑体_GBK" w:cs="Times New Roman"/>
          <w:sz w:val="28"/>
          <w:szCs w:val="28"/>
          <w:highlight w:val="none"/>
        </w:rPr>
      </w:pPr>
      <w:r>
        <w:rPr>
          <w:rFonts w:ascii="Times New Roman" w:hAnsi="Times New Roman" w:eastAsia="方正黑体_GBK" w:cs="Times New Roman"/>
          <w:sz w:val="28"/>
          <w:szCs w:val="28"/>
          <w:highlight w:val="none"/>
        </w:rPr>
        <w:t>附件1</w:t>
      </w:r>
    </w:p>
    <w:p w14:paraId="4AF6D65A">
      <w:pPr>
        <w:spacing w:line="660" w:lineRule="exact"/>
        <w:jc w:val="center"/>
        <w:rPr>
          <w:rFonts w:ascii="方正小标宋_GBK" w:hAnsi="方正小标宋_GBK" w:eastAsia="方正小标宋_GBK" w:cs="方正小标宋_GBK"/>
          <w:sz w:val="44"/>
          <w:szCs w:val="44"/>
          <w:highlight w:val="none"/>
        </w:rPr>
      </w:pPr>
      <w:r>
        <w:rPr>
          <w:rFonts w:ascii="方正小标宋_GBK" w:hAnsi="方正小标宋_GBK" w:eastAsia="方正小标宋_GBK" w:cs="方正小标宋_GBK"/>
          <w:sz w:val="44"/>
          <w:szCs w:val="44"/>
          <w:highlight w:val="none"/>
        </w:rPr>
        <w:t>信息安全保密协议</w:t>
      </w:r>
    </w:p>
    <w:p w14:paraId="2784C5E0">
      <w:pPr>
        <w:spacing w:line="560" w:lineRule="exact"/>
        <w:ind w:right="414" w:rightChars="148"/>
        <w:rPr>
          <w:rFonts w:ascii="Times New Roman" w:hAnsi="Times New Roman" w:eastAsia="方正黑体_GBK" w:cs="Times New Roman"/>
          <w:kern w:val="0"/>
          <w:sz w:val="28"/>
          <w:szCs w:val="28"/>
          <w:highlight w:val="none"/>
        </w:rPr>
      </w:pPr>
    </w:p>
    <w:p w14:paraId="09F6864A">
      <w:pPr>
        <w:spacing w:line="560" w:lineRule="exact"/>
        <w:ind w:right="414" w:rightChars="148"/>
        <w:rPr>
          <w:rFonts w:ascii="Times New Roman" w:hAnsi="Times New Roman" w:eastAsia="方正黑体_GBK" w:cs="Times New Roman"/>
          <w:kern w:val="0"/>
          <w:sz w:val="28"/>
          <w:szCs w:val="28"/>
          <w:highlight w:val="none"/>
        </w:rPr>
      </w:pPr>
      <w:r>
        <w:rPr>
          <w:rFonts w:ascii="Times New Roman" w:hAnsi="Times New Roman" w:eastAsia="方正黑体_GBK" w:cs="Times New Roman"/>
          <w:kern w:val="0"/>
          <w:sz w:val="28"/>
          <w:szCs w:val="28"/>
          <w:highlight w:val="none"/>
        </w:rPr>
        <w:t>甲  方：重庆中医药学院</w:t>
      </w:r>
    </w:p>
    <w:p w14:paraId="63FF0FB6">
      <w:pPr>
        <w:spacing w:line="560" w:lineRule="exact"/>
        <w:ind w:right="414" w:rightChars="148"/>
        <w:rPr>
          <w:rFonts w:ascii="Times New Roman" w:hAnsi="Times New Roman" w:eastAsia="方正黑体_GBK" w:cs="Times New Roman"/>
          <w:kern w:val="0"/>
          <w:sz w:val="28"/>
          <w:szCs w:val="28"/>
          <w:highlight w:val="none"/>
        </w:rPr>
      </w:pPr>
      <w:r>
        <w:rPr>
          <w:rFonts w:ascii="Times New Roman" w:hAnsi="Times New Roman" w:eastAsia="方正黑体_GBK" w:cs="Times New Roman"/>
          <w:kern w:val="0"/>
          <w:sz w:val="28"/>
          <w:szCs w:val="28"/>
          <w:highlight w:val="none"/>
        </w:rPr>
        <w:t>乙  方：</w:t>
      </w:r>
    </w:p>
    <w:p w14:paraId="1F59B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p>
    <w:p w14:paraId="72413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因乙方为甲方提供本主协议所述服务或/和采购供货，已经(或将要)知悉甲方的</w:t>
      </w:r>
      <w:r>
        <w:rPr>
          <w:rFonts w:ascii="Times New Roman" w:hAnsi="Times New Roman" w:eastAsia="方正仿宋_GBK" w:cs="Times New Roman"/>
          <w:sz w:val="28"/>
          <w:szCs w:val="28"/>
          <w:highlight w:val="none"/>
          <w:lang w:eastAsia="zh-Hans"/>
        </w:rPr>
        <w:t>信息</w:t>
      </w:r>
      <w:r>
        <w:rPr>
          <w:rFonts w:ascii="Times New Roman" w:hAnsi="Times New Roman" w:eastAsia="方正仿宋_GBK" w:cs="Times New Roman"/>
          <w:sz w:val="28"/>
          <w:szCs w:val="28"/>
          <w:highlight w:val="none"/>
        </w:rPr>
        <w:t>，为明确乙方的保密义务和维护双方的合法权益，依据相关法规，甲乙双方本着平等、自愿、公平和诚实信用的原则签订本协议。</w:t>
      </w:r>
    </w:p>
    <w:p w14:paraId="0578F5FF">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第一条</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 xml:space="preserve"> 保密内容及范围</w:t>
      </w:r>
    </w:p>
    <w:p w14:paraId="675C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乙方同意对甲方、或者</w:t>
      </w:r>
      <w:r>
        <w:rPr>
          <w:rFonts w:ascii="Times New Roman" w:hAnsi="Times New Roman" w:eastAsia="方正仿宋_GBK" w:cs="Times New Roman"/>
          <w:sz w:val="28"/>
          <w:szCs w:val="28"/>
          <w:highlight w:val="none"/>
          <w:lang w:eastAsia="zh-Hans"/>
        </w:rPr>
        <w:t>虽属于</w:t>
      </w:r>
      <w:r>
        <w:rPr>
          <w:rFonts w:ascii="Times New Roman" w:hAnsi="Times New Roman" w:eastAsia="方正仿宋_GBK" w:cs="Times New Roman"/>
          <w:sz w:val="28"/>
          <w:szCs w:val="28"/>
          <w:highlight w:val="none"/>
        </w:rPr>
        <w:t>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等第三方但甲方负有保密义务的</w:t>
      </w:r>
      <w:r>
        <w:rPr>
          <w:rFonts w:ascii="Times New Roman" w:hAnsi="Times New Roman" w:eastAsia="方正仿宋_GBK" w:cs="Times New Roman"/>
          <w:sz w:val="28"/>
          <w:szCs w:val="28"/>
          <w:highlight w:val="none"/>
          <w:lang w:eastAsia="zh-Hans"/>
        </w:rPr>
        <w:t>一</w:t>
      </w:r>
      <w:r>
        <w:rPr>
          <w:rFonts w:ascii="Times New Roman" w:hAnsi="Times New Roman" w:eastAsia="方正仿宋_GBK" w:cs="Times New Roman"/>
          <w:sz w:val="28"/>
          <w:szCs w:val="28"/>
          <w:highlight w:val="none"/>
        </w:rPr>
        <w:t>切保密信息予以严格保密。</w:t>
      </w:r>
    </w:p>
    <w:p w14:paraId="7996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本协议中的</w:t>
      </w:r>
      <w:r>
        <w:rPr>
          <w:rFonts w:hint="eastAsia" w:ascii="方正仿宋_GBK" w:hAnsi="方正仿宋_GBK" w:eastAsia="方正仿宋_GBK" w:cs="方正仿宋_GBK"/>
          <w:sz w:val="28"/>
          <w:szCs w:val="28"/>
          <w:highlight w:val="none"/>
        </w:rPr>
        <w:t>“</w:t>
      </w:r>
      <w:r>
        <w:rPr>
          <w:rFonts w:ascii="Times New Roman" w:hAnsi="Times New Roman" w:eastAsia="方正仿宋_GBK" w:cs="Times New Roman"/>
          <w:sz w:val="28"/>
          <w:szCs w:val="28"/>
          <w:highlight w:val="none"/>
        </w:rPr>
        <w:t>保密信息</w:t>
      </w:r>
      <w:r>
        <w:rPr>
          <w:rFonts w:hint="eastAsia" w:ascii="方正仿宋_GBK" w:hAnsi="方正仿宋_GBK" w:eastAsia="方正仿宋_GBK" w:cs="方正仿宋_GBK"/>
          <w:sz w:val="28"/>
          <w:szCs w:val="28"/>
          <w:highlight w:val="none"/>
        </w:rPr>
        <w:t>”</w:t>
      </w:r>
      <w:r>
        <w:rPr>
          <w:rFonts w:ascii="Times New Roman" w:hAnsi="Times New Roman" w:eastAsia="方正仿宋_GBK" w:cs="Times New Roman"/>
          <w:sz w:val="28"/>
          <w:szCs w:val="28"/>
          <w:highlight w:val="none"/>
        </w:rPr>
        <w:t>是指乙方在甲方</w:t>
      </w:r>
      <w:r>
        <w:rPr>
          <w:rFonts w:ascii="Times New Roman" w:hAnsi="Times New Roman" w:eastAsia="方正仿宋_GBK" w:cs="Times New Roman"/>
          <w:sz w:val="28"/>
          <w:szCs w:val="28"/>
          <w:highlight w:val="none"/>
          <w:lang w:eastAsia="zh-Hans"/>
        </w:rPr>
        <w:t>服务</w:t>
      </w:r>
      <w:r>
        <w:rPr>
          <w:rFonts w:ascii="Times New Roman" w:hAnsi="Times New Roman" w:eastAsia="方正仿宋_GBK" w:cs="Times New Roman"/>
          <w:sz w:val="28"/>
          <w:szCs w:val="28"/>
          <w:highlight w:val="none"/>
        </w:rPr>
        <w:t>期间接触到的甲方、甲方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w:t>
      </w:r>
      <w:r>
        <w:rPr>
          <w:rFonts w:ascii="Times New Roman" w:hAnsi="Times New Roman" w:eastAsia="方正仿宋_GBK" w:cs="Times New Roman"/>
          <w:sz w:val="28"/>
          <w:szCs w:val="28"/>
          <w:highlight w:val="none"/>
        </w:rPr>
        <w:t>的任何形式的秘密信息，包括但不限于:</w:t>
      </w:r>
    </w:p>
    <w:p w14:paraId="11FAE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（1）任何甲方、甲方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w:t>
      </w:r>
      <w:r>
        <w:rPr>
          <w:rFonts w:ascii="Times New Roman" w:hAnsi="Times New Roman" w:eastAsia="方正仿宋_GBK" w:cs="Times New Roman"/>
          <w:sz w:val="28"/>
          <w:szCs w:val="28"/>
          <w:highlight w:val="none"/>
        </w:rPr>
        <w:t>不欲公开的观点、发现、发明、公式、程序、计划、图表、模型、参数、数据、标准、商业秘密、专有技术以及任何知识产权等</w:t>
      </w:r>
      <w:r>
        <w:rPr>
          <w:rFonts w:hint="eastAsia" w:ascii="Times New Roman" w:hAnsi="Times New Roman" w:eastAsia="方正仿宋_GBK" w:cs="Times New Roman"/>
          <w:sz w:val="28"/>
          <w:szCs w:val="28"/>
          <w:highlight w:val="none"/>
        </w:rPr>
        <w:t>；</w:t>
      </w:r>
    </w:p>
    <w:p w14:paraId="30CD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（2）甲方、甲方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w:t>
      </w:r>
      <w:r>
        <w:rPr>
          <w:rFonts w:ascii="Times New Roman" w:hAnsi="Times New Roman" w:eastAsia="方正仿宋_GBK" w:cs="Times New Roman"/>
          <w:sz w:val="28"/>
          <w:szCs w:val="28"/>
          <w:highlight w:val="none"/>
        </w:rPr>
        <w:t>制作或拥有的任何形式的报告、访谈记录、数据、信件、电子邮件、报表、模型以及其他文件的原件或副件</w:t>
      </w:r>
      <w:r>
        <w:rPr>
          <w:rFonts w:hint="eastAsia" w:ascii="Times New Roman" w:hAnsi="Times New Roman" w:eastAsia="方正仿宋_GBK" w:cs="Times New Roman"/>
          <w:sz w:val="28"/>
          <w:szCs w:val="28"/>
          <w:highlight w:val="none"/>
        </w:rPr>
        <w:t>；</w:t>
      </w:r>
    </w:p>
    <w:p w14:paraId="2253C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（3）甲方、甲方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w:t>
      </w:r>
      <w:r>
        <w:rPr>
          <w:rFonts w:ascii="Times New Roman" w:hAnsi="Times New Roman" w:eastAsia="方正仿宋_GBK" w:cs="Times New Roman"/>
          <w:sz w:val="28"/>
          <w:szCs w:val="28"/>
          <w:highlight w:val="none"/>
        </w:rPr>
        <w:t>的技术资料或秘密、经营情况、经营策略及经营信息、客户信息、客户经营状况等</w:t>
      </w:r>
      <w:r>
        <w:rPr>
          <w:rFonts w:hint="eastAsia" w:ascii="Times New Roman" w:hAnsi="Times New Roman" w:eastAsia="方正仿宋_GBK" w:cs="Times New Roman"/>
          <w:sz w:val="28"/>
          <w:szCs w:val="28"/>
          <w:highlight w:val="none"/>
        </w:rPr>
        <w:t>；</w:t>
      </w:r>
    </w:p>
    <w:p w14:paraId="093D9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（4）甲方内外部项目的项目建议书、项目计划、报价、合同、项目研究方法和工具、培训资料和工具以及项目成果等</w:t>
      </w:r>
      <w:r>
        <w:rPr>
          <w:rFonts w:hint="eastAsia" w:ascii="Times New Roman" w:hAnsi="Times New Roman" w:eastAsia="方正仿宋_GBK" w:cs="Times New Roman"/>
          <w:sz w:val="28"/>
          <w:szCs w:val="28"/>
          <w:highlight w:val="none"/>
        </w:rPr>
        <w:t>；</w:t>
      </w:r>
    </w:p>
    <w:p w14:paraId="3662C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（5）甲方内部不欲公开或未经公开的公司制度、文件、决议、消息和公司运营情况等</w:t>
      </w:r>
      <w:r>
        <w:rPr>
          <w:rFonts w:hint="eastAsia" w:ascii="Times New Roman" w:hAnsi="Times New Roman" w:eastAsia="方正仿宋_GBK" w:cs="Times New Roman"/>
          <w:sz w:val="28"/>
          <w:szCs w:val="28"/>
          <w:highlight w:val="none"/>
        </w:rPr>
        <w:t>；</w:t>
      </w:r>
    </w:p>
    <w:p w14:paraId="4881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（6）任何甲方、甲方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w:t>
      </w:r>
      <w:r>
        <w:rPr>
          <w:rFonts w:ascii="Times New Roman" w:hAnsi="Times New Roman" w:eastAsia="方正仿宋_GBK" w:cs="Times New Roman"/>
          <w:sz w:val="28"/>
          <w:szCs w:val="28"/>
          <w:highlight w:val="none"/>
        </w:rPr>
        <w:t>不欲公开的关于财务、成本、利润、市场、销售、合同的信息及</w:t>
      </w:r>
      <w:r>
        <w:rPr>
          <w:rFonts w:ascii="Times New Roman" w:hAnsi="Times New Roman" w:eastAsia="方正仿宋_GBK" w:cs="Times New Roman"/>
          <w:sz w:val="28"/>
          <w:szCs w:val="28"/>
          <w:highlight w:val="none"/>
          <w:lang w:eastAsia="zh-Hans"/>
        </w:rPr>
        <w:t>上下级单位</w:t>
      </w:r>
      <w:r>
        <w:rPr>
          <w:rFonts w:ascii="Times New Roman" w:hAnsi="Times New Roman" w:eastAsia="方正仿宋_GBK" w:cs="Times New Roman"/>
          <w:sz w:val="28"/>
          <w:szCs w:val="28"/>
          <w:highlight w:val="none"/>
        </w:rPr>
        <w:t>和</w:t>
      </w:r>
      <w:r>
        <w:rPr>
          <w:rFonts w:ascii="Times New Roman" w:hAnsi="Times New Roman" w:eastAsia="方正仿宋_GBK" w:cs="Times New Roman"/>
          <w:sz w:val="28"/>
          <w:szCs w:val="28"/>
          <w:highlight w:val="none"/>
          <w:lang w:eastAsia="zh-Hans"/>
        </w:rPr>
        <w:t>供应</w:t>
      </w:r>
      <w:r>
        <w:rPr>
          <w:rFonts w:ascii="Times New Roman" w:hAnsi="Times New Roman" w:eastAsia="方正仿宋_GBK" w:cs="Times New Roman"/>
          <w:sz w:val="28"/>
          <w:szCs w:val="28"/>
          <w:highlight w:val="none"/>
        </w:rPr>
        <w:t>商名单等。</w:t>
      </w:r>
    </w:p>
    <w:p w14:paraId="12EC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乙方承认，上述</w:t>
      </w:r>
      <w:r>
        <w:rPr>
          <w:rFonts w:hint="eastAsia" w:ascii="方正仿宋_GBK" w:hAnsi="方正仿宋_GBK" w:eastAsia="方正仿宋_GBK" w:cs="方正仿宋_GBK"/>
          <w:sz w:val="28"/>
          <w:szCs w:val="28"/>
          <w:highlight w:val="none"/>
        </w:rPr>
        <w:t>“</w:t>
      </w:r>
      <w:r>
        <w:rPr>
          <w:rFonts w:ascii="Times New Roman" w:hAnsi="Times New Roman" w:eastAsia="方正仿宋_GBK" w:cs="Times New Roman"/>
          <w:sz w:val="28"/>
          <w:szCs w:val="28"/>
          <w:highlight w:val="none"/>
        </w:rPr>
        <w:t>保密信息</w:t>
      </w:r>
      <w:r>
        <w:rPr>
          <w:rFonts w:hint="eastAsia" w:ascii="方正仿宋_GBK" w:hAnsi="方正仿宋_GBK" w:eastAsia="方正仿宋_GBK" w:cs="方正仿宋_GBK"/>
          <w:sz w:val="28"/>
          <w:szCs w:val="28"/>
          <w:highlight w:val="none"/>
        </w:rPr>
        <w:t>”</w:t>
      </w:r>
      <w:r>
        <w:rPr>
          <w:rFonts w:ascii="Times New Roman" w:hAnsi="Times New Roman" w:eastAsia="方正仿宋_GBK" w:cs="Times New Roman"/>
          <w:sz w:val="28"/>
          <w:szCs w:val="28"/>
          <w:highlight w:val="none"/>
        </w:rPr>
        <w:t>均为甲方的保密信息。本协议不仅适用于乙方在本协议签订之后接触的保密信息，也适用于乙方在本协议生效日期前接触的所有保密信息。</w:t>
      </w:r>
    </w:p>
    <w:p w14:paraId="5DE3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乙方确认，如果对是否属于保密信息存在争议，则乙方应按保密信息进行处理，除非得到甲方明确否认。</w:t>
      </w:r>
    </w:p>
    <w:p w14:paraId="7BA35FBE">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第二条</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 xml:space="preserve"> 乙方的保密义务</w:t>
      </w:r>
    </w:p>
    <w:p w14:paraId="3B866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乙方同意为甲方利益尽最佳努力，在提供</w:t>
      </w:r>
      <w:r>
        <w:rPr>
          <w:rFonts w:ascii="Times New Roman" w:hAnsi="Times New Roman" w:eastAsia="方正仿宋_GBK" w:cs="Times New Roman"/>
          <w:sz w:val="28"/>
          <w:szCs w:val="28"/>
          <w:highlight w:val="none"/>
          <w:u w:val="single"/>
        </w:rPr>
        <w:t xml:space="preserve"> </w:t>
      </w:r>
      <w:r>
        <w:rPr>
          <w:rFonts w:ascii="Times New Roman" w:hAnsi="Times New Roman" w:eastAsia="方正仿宋_GBK" w:cs="Times New Roman"/>
          <w:sz w:val="28"/>
          <w:szCs w:val="28"/>
          <w:highlight w:val="none"/>
        </w:rPr>
        <w:t>本主协议所述服务或/和采购供货不组织、参加或计划组织、参加任何竞争企业、或从事任何不正当使用甲方商业秘密的行为。</w:t>
      </w:r>
    </w:p>
    <w:p w14:paraId="0235B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乙方在为甲方提供服务期间，应严格遵守甲方规定的任何成文或不成文的保密规章、制度，履行与其服务内容相应的保密职责</w:t>
      </w:r>
      <w:r>
        <w:rPr>
          <w:rFonts w:hint="eastAsia" w:ascii="Times New Roman" w:hAnsi="Times New Roman" w:eastAsia="方正仿宋_GBK" w:cs="Times New Roman"/>
          <w:sz w:val="28"/>
          <w:szCs w:val="28"/>
          <w:highlight w:val="none"/>
        </w:rPr>
        <w:t>；</w:t>
      </w:r>
      <w:r>
        <w:rPr>
          <w:rFonts w:ascii="Times New Roman" w:hAnsi="Times New Roman" w:eastAsia="方正仿宋_GBK" w:cs="Times New Roman"/>
          <w:sz w:val="28"/>
          <w:szCs w:val="28"/>
          <w:highlight w:val="none"/>
        </w:rPr>
        <w:t>若甲方的保密规章、制度没有规定或者规定不明确之处，乙方亦应本着谨慎、诚实的态度，采取任何必要、合理的措施，维护其</w:t>
      </w:r>
      <w:r>
        <w:rPr>
          <w:rFonts w:ascii="Times New Roman" w:hAnsi="Times New Roman" w:eastAsia="方正仿宋_GBK" w:cs="Times New Roman"/>
          <w:sz w:val="28"/>
          <w:szCs w:val="28"/>
          <w:highlight w:val="none"/>
          <w:lang w:eastAsia="zh-Hans"/>
        </w:rPr>
        <w:t>服务</w:t>
      </w:r>
      <w:r>
        <w:rPr>
          <w:rFonts w:ascii="Times New Roman" w:hAnsi="Times New Roman" w:eastAsia="方正仿宋_GBK" w:cs="Times New Roman"/>
          <w:sz w:val="28"/>
          <w:szCs w:val="28"/>
          <w:highlight w:val="none"/>
        </w:rPr>
        <w:t>期间知悉或者持有的保密信息。</w:t>
      </w:r>
    </w:p>
    <w:p w14:paraId="7EFC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甲方或乙方</w:t>
      </w:r>
      <w:r>
        <w:rPr>
          <w:rFonts w:ascii="Times New Roman" w:hAnsi="Times New Roman" w:eastAsia="方正仿宋_GBK" w:cs="Times New Roman"/>
          <w:sz w:val="28"/>
          <w:szCs w:val="28"/>
          <w:highlight w:val="none"/>
          <w:lang w:eastAsia="zh-Hans"/>
        </w:rPr>
        <w:t>在服务</w:t>
      </w:r>
      <w:r>
        <w:rPr>
          <w:rFonts w:ascii="Times New Roman" w:hAnsi="Times New Roman" w:eastAsia="方正仿宋_GBK" w:cs="Times New Roman"/>
          <w:sz w:val="28"/>
          <w:szCs w:val="28"/>
          <w:highlight w:val="none"/>
        </w:rPr>
        <w:t>范围内就保密事宜对乙方提出的合理要求，乙方应予执行，并作为本合同约定的保密义务的</w:t>
      </w:r>
      <w:r>
        <w:rPr>
          <w:rFonts w:ascii="Times New Roman" w:hAnsi="Times New Roman" w:eastAsia="方正仿宋_GBK" w:cs="Times New Roman"/>
          <w:sz w:val="28"/>
          <w:szCs w:val="28"/>
          <w:highlight w:val="none"/>
          <w:lang w:eastAsia="zh-Hans"/>
        </w:rPr>
        <w:t>一部分。</w:t>
      </w:r>
    </w:p>
    <w:p w14:paraId="0D2EB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lang w:eastAsia="zh-Hans"/>
        </w:rPr>
        <w:t>4</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lang w:eastAsia="zh-Hans"/>
        </w:rPr>
        <w:t>乙方同意对保密信息予以严格保密，承担的保密义务包括但不限于:</w:t>
      </w:r>
    </w:p>
    <w:p w14:paraId="5738C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eastAsia="zh-Hans"/>
        </w:rPr>
        <w:t>（1）乙方因某一项目而从甲方、</w:t>
      </w:r>
      <w:r>
        <w:rPr>
          <w:rFonts w:ascii="Times New Roman" w:hAnsi="Times New Roman" w:eastAsia="方正仿宋_GBK" w:cs="Times New Roman"/>
          <w:sz w:val="28"/>
          <w:szCs w:val="28"/>
          <w:highlight w:val="none"/>
        </w:rPr>
        <w:t>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单位处获得的保密信息，乙方承诺只在进行该项目或与该项目紧密相关的项目研究时使用，绝不为与该项目无关的目的使用该保密信息</w:t>
      </w:r>
      <w:r>
        <w:rPr>
          <w:rFonts w:hint="eastAsia" w:ascii="Times New Roman" w:hAnsi="Times New Roman" w:eastAsia="方正仿宋_GBK" w:cs="Times New Roman"/>
          <w:sz w:val="28"/>
          <w:szCs w:val="28"/>
          <w:highlight w:val="none"/>
        </w:rPr>
        <w:t>；</w:t>
      </w:r>
    </w:p>
    <w:p w14:paraId="40290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eastAsia="zh-Hans"/>
        </w:rPr>
        <w:t>乙方应对甲方、</w:t>
      </w:r>
      <w:r>
        <w:rPr>
          <w:rFonts w:ascii="Times New Roman" w:hAnsi="Times New Roman" w:eastAsia="方正仿宋_GBK" w:cs="Times New Roman"/>
          <w:sz w:val="28"/>
          <w:szCs w:val="28"/>
          <w:highlight w:val="none"/>
        </w:rPr>
        <w:t>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单位交到自己手中的保密信息予以妥善保存，不得泄漏或遗失，在未经甲方事先书面许可，不得私自保留或复制、记录</w:t>
      </w:r>
      <w:r>
        <w:rPr>
          <w:rFonts w:hint="eastAsia" w:ascii="Times New Roman" w:hAnsi="Times New Roman" w:eastAsia="方正仿宋_GBK" w:cs="Times New Roman"/>
          <w:sz w:val="28"/>
          <w:szCs w:val="28"/>
          <w:highlight w:val="none"/>
        </w:rPr>
        <w:t>；</w:t>
      </w:r>
    </w:p>
    <w:p w14:paraId="4BD3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eastAsia="zh-Hans"/>
        </w:rPr>
        <w:t>（3）非经甲方事先书面许可，乙方不得直接或间接地以任何方式或向任何第三方(包括除甲方该项目组人员以外的任何机构和人员)披露或透露保密信息</w:t>
      </w:r>
      <w:r>
        <w:rPr>
          <w:rFonts w:hint="eastAsia" w:ascii="Times New Roman" w:hAnsi="Times New Roman" w:eastAsia="方正仿宋_GBK" w:cs="Times New Roman"/>
          <w:sz w:val="28"/>
          <w:szCs w:val="28"/>
          <w:highlight w:val="none"/>
        </w:rPr>
        <w:t>；</w:t>
      </w:r>
      <w:r>
        <w:rPr>
          <w:rFonts w:ascii="Times New Roman" w:hAnsi="Times New Roman" w:eastAsia="方正仿宋_GBK" w:cs="Times New Roman"/>
          <w:sz w:val="28"/>
          <w:szCs w:val="28"/>
          <w:highlight w:val="none"/>
          <w:lang w:eastAsia="zh-Hans"/>
        </w:rPr>
        <w:t>亦不得依据保密信息，就任何问题，向任何第三方做出任何建议</w:t>
      </w:r>
      <w:r>
        <w:rPr>
          <w:rFonts w:hint="eastAsia" w:ascii="Times New Roman" w:hAnsi="Times New Roman" w:eastAsia="方正仿宋_GBK" w:cs="Times New Roman"/>
          <w:sz w:val="28"/>
          <w:szCs w:val="28"/>
          <w:highlight w:val="none"/>
        </w:rPr>
        <w:t>；</w:t>
      </w:r>
    </w:p>
    <w:p w14:paraId="714D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eastAsia="zh-Hans"/>
        </w:rPr>
        <w:t>（4）当甲方、</w:t>
      </w:r>
      <w:r>
        <w:rPr>
          <w:rFonts w:ascii="Times New Roman" w:hAnsi="Times New Roman" w:eastAsia="方正仿宋_GBK" w:cs="Times New Roman"/>
          <w:sz w:val="28"/>
          <w:szCs w:val="28"/>
          <w:highlight w:val="none"/>
        </w:rPr>
        <w:t>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单位要求乙方交回保密信息时(无论出于何种理由)，乙方应立即将保密信息(及保密信息的载体、复制品等)完整交回</w:t>
      </w:r>
      <w:r>
        <w:rPr>
          <w:rFonts w:hint="eastAsia" w:ascii="Times New Roman" w:hAnsi="Times New Roman" w:eastAsia="方正仿宋_GBK" w:cs="Times New Roman"/>
          <w:sz w:val="28"/>
          <w:szCs w:val="28"/>
          <w:highlight w:val="none"/>
        </w:rPr>
        <w:t>；</w:t>
      </w:r>
    </w:p>
    <w:p w14:paraId="037DB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eastAsia="zh-Hans"/>
        </w:rPr>
        <w:t>（5）根据甲方的要求，如实向甲方提供保密信息的使用记录</w:t>
      </w:r>
      <w:r>
        <w:rPr>
          <w:rFonts w:hint="eastAsia" w:ascii="Times New Roman" w:hAnsi="Times New Roman" w:eastAsia="方正仿宋_GBK" w:cs="Times New Roman"/>
          <w:sz w:val="28"/>
          <w:szCs w:val="28"/>
          <w:highlight w:val="none"/>
        </w:rPr>
        <w:t>；</w:t>
      </w:r>
    </w:p>
    <w:p w14:paraId="12C8C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lang w:eastAsia="zh-Hans"/>
        </w:rPr>
        <w:t>（6）乙方提供服务结束时或任何时候甲方提出要求时，须将一切保密信息(及保密信息的载体、复制品等)在甲方要求的时间内交还甲方</w:t>
      </w:r>
      <w:r>
        <w:rPr>
          <w:rFonts w:hint="eastAsia" w:ascii="Times New Roman" w:hAnsi="Times New Roman" w:eastAsia="方正仿宋_GBK" w:cs="Times New Roman"/>
          <w:sz w:val="28"/>
          <w:szCs w:val="28"/>
          <w:highlight w:val="none"/>
        </w:rPr>
        <w:t>；</w:t>
      </w:r>
    </w:p>
    <w:p w14:paraId="4713E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lang w:eastAsia="zh-Hans"/>
        </w:rPr>
        <w:t>乙方在提供服务结束后，应严格遵守相关法律规定，以及以上各项保密义务，不得以任何方式利用、传播、披露所掌握或知悉的保密信息，不得利用所掌握或知悉的保密信息从事损害甲方利益或可能对甲方利益造成不利影响的活动，包括向乙方之后用户单位披露或使用保密信息、为乙方自营企业利益使用保密信息等。</w:t>
      </w:r>
    </w:p>
    <w:p w14:paraId="3FFF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lang w:eastAsia="zh-Hans"/>
        </w:rPr>
        <w:t>5</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lang w:eastAsia="zh-Hans"/>
        </w:rPr>
        <w:t>保密信息的保密期是指：乙方服务期间或服务期间后，甲方、</w:t>
      </w:r>
      <w:r>
        <w:rPr>
          <w:rFonts w:ascii="Times New Roman" w:hAnsi="Times New Roman" w:eastAsia="方正仿宋_GBK" w:cs="Times New Roman"/>
          <w:sz w:val="28"/>
          <w:szCs w:val="28"/>
          <w:highlight w:val="none"/>
        </w:rPr>
        <w:t>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单位对外公布保密信息，或者保密信息为公众所知之前的任何时间。</w:t>
      </w:r>
    </w:p>
    <w:p w14:paraId="57C30765">
      <w:pPr>
        <w:spacing w:line="560" w:lineRule="exact"/>
        <w:ind w:firstLine="560" w:firstLineChars="200"/>
        <w:rPr>
          <w:rFonts w:ascii="方正黑体_GBK" w:hAnsi="方正黑体_GBK" w:eastAsia="方正黑体_GBK" w:cs="方正黑体_GBK"/>
          <w:sz w:val="28"/>
          <w:szCs w:val="28"/>
          <w:highlight w:val="none"/>
          <w:lang w:eastAsia="zh-Hans"/>
        </w:rPr>
      </w:pPr>
      <w:r>
        <w:rPr>
          <w:rFonts w:ascii="方正黑体_GBK" w:hAnsi="方正黑体_GBK" w:eastAsia="方正黑体_GBK" w:cs="方正黑体_GBK"/>
          <w:sz w:val="28"/>
          <w:szCs w:val="28"/>
          <w:highlight w:val="none"/>
          <w:lang w:eastAsia="zh-Hans"/>
        </w:rPr>
        <w:t>第三条</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lang w:eastAsia="zh-Hans"/>
        </w:rPr>
        <w:t xml:space="preserve"> 甲乙双方确认</w:t>
      </w:r>
    </w:p>
    <w:p w14:paraId="797A4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lang w:eastAsia="zh-Hans"/>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lang w:eastAsia="zh-Hans"/>
        </w:rPr>
        <w:t>双方确认，就本协议的履行，甲方无需额外向乙方支付费用或报酬，除非双方另有约定。</w:t>
      </w:r>
    </w:p>
    <w:p w14:paraId="3725A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lang w:eastAsia="zh-Hans"/>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lang w:eastAsia="zh-Hans"/>
        </w:rPr>
        <w:t>乙方确认，已经知悉并理解甲方的上述制度，并同意遵守执行:</w:t>
      </w:r>
    </w:p>
    <w:p w14:paraId="15C86540">
      <w:pPr>
        <w:spacing w:line="560" w:lineRule="exact"/>
        <w:ind w:firstLine="560" w:firstLineChars="200"/>
        <w:rPr>
          <w:rFonts w:ascii="方正黑体_GBK" w:hAnsi="方正黑体_GBK" w:eastAsia="方正黑体_GBK" w:cs="方正黑体_GBK"/>
          <w:sz w:val="28"/>
          <w:szCs w:val="28"/>
          <w:highlight w:val="none"/>
          <w:lang w:eastAsia="zh-Hans"/>
        </w:rPr>
      </w:pPr>
      <w:r>
        <w:rPr>
          <w:rFonts w:ascii="方正黑体_GBK" w:hAnsi="方正黑体_GBK" w:eastAsia="方正黑体_GBK" w:cs="方正黑体_GBK"/>
          <w:sz w:val="28"/>
          <w:szCs w:val="28"/>
          <w:highlight w:val="none"/>
          <w:lang w:eastAsia="zh-Hans"/>
        </w:rPr>
        <w:t xml:space="preserve">第四条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lang w:eastAsia="zh-Hans"/>
        </w:rPr>
        <w:t>违约责任</w:t>
      </w:r>
    </w:p>
    <w:p w14:paraId="60A1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lang w:eastAsia="zh-Hans"/>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lang w:eastAsia="zh-Hans"/>
        </w:rPr>
        <w:t>乙方违反保密义务时，应向甲方支付</w:t>
      </w:r>
      <w:r>
        <w:rPr>
          <w:rFonts w:ascii="Times New Roman" w:hAnsi="Times New Roman" w:eastAsia="方正仿宋_GBK" w:cs="Times New Roman"/>
          <w:sz w:val="28"/>
          <w:szCs w:val="28"/>
          <w:highlight w:val="none"/>
        </w:rPr>
        <w:t>合同金额3%的</w:t>
      </w:r>
      <w:r>
        <w:rPr>
          <w:rFonts w:ascii="Times New Roman" w:hAnsi="Times New Roman" w:eastAsia="方正仿宋_GBK" w:cs="Times New Roman"/>
          <w:sz w:val="28"/>
          <w:szCs w:val="28"/>
          <w:highlight w:val="none"/>
          <w:lang w:eastAsia="zh-Hans"/>
        </w:rPr>
        <w:t>违约金。同时还应赔偿由此给甲方、甲方的供应商及甲方关联单位造成的一切损失，损失范围包括但不限于甲方的名誉损失、直接损失和可得利益的损失，以及调查费用、公证费用、诉讼费用、律师费用，向第三方支付的赔偿，为应对第三方的指控而支付的一切费用等。上述赔偿可以从乙方的服务报酬或劳动报酬中扣除。</w:t>
      </w:r>
    </w:p>
    <w:p w14:paraId="6265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lang w:eastAsia="zh-Hans"/>
        </w:rPr>
        <w:t>如果乙方侵犯</w:t>
      </w:r>
      <w:r>
        <w:rPr>
          <w:rFonts w:ascii="Times New Roman" w:hAnsi="Times New Roman" w:eastAsia="方正仿宋_GBK" w:cs="Times New Roman"/>
          <w:sz w:val="28"/>
          <w:szCs w:val="28"/>
          <w:highlight w:val="none"/>
        </w:rPr>
        <w:t>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单位相关的保密信息或知识产权，甲方有权代表</w:t>
      </w:r>
      <w:r>
        <w:rPr>
          <w:rFonts w:ascii="Times New Roman" w:hAnsi="Times New Roman" w:eastAsia="方正仿宋_GBK" w:cs="Times New Roman"/>
          <w:sz w:val="28"/>
          <w:szCs w:val="28"/>
          <w:highlight w:val="none"/>
        </w:rPr>
        <w:t>甲方</w:t>
      </w:r>
      <w:r>
        <w:rPr>
          <w:rFonts w:ascii="Times New Roman" w:hAnsi="Times New Roman" w:eastAsia="方正仿宋_GBK" w:cs="Times New Roman"/>
          <w:sz w:val="28"/>
          <w:szCs w:val="28"/>
          <w:highlight w:val="none"/>
          <w:lang w:eastAsia="zh-Hans"/>
        </w:rPr>
        <w:t>的供应商</w:t>
      </w:r>
      <w:r>
        <w:rPr>
          <w:rFonts w:ascii="Times New Roman" w:hAnsi="Times New Roman" w:eastAsia="方正仿宋_GBK" w:cs="Times New Roman"/>
          <w:sz w:val="28"/>
          <w:szCs w:val="28"/>
          <w:highlight w:val="none"/>
        </w:rPr>
        <w:t>及甲方关联</w:t>
      </w:r>
      <w:r>
        <w:rPr>
          <w:rFonts w:ascii="Times New Roman" w:hAnsi="Times New Roman" w:eastAsia="方正仿宋_GBK" w:cs="Times New Roman"/>
          <w:sz w:val="28"/>
          <w:szCs w:val="28"/>
          <w:highlight w:val="none"/>
          <w:lang w:eastAsia="zh-Hans"/>
        </w:rPr>
        <w:t>单位追究乙方的法律责任。</w:t>
      </w:r>
    </w:p>
    <w:p w14:paraId="1249D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乙方若违反本协议书内容，甲方有权制止乙方违约行为或侵权行为并要求乙方积极采取措施消除影响、赔偿损失；情节严重的，甲方有权向有关部门报案，乙方</w:t>
      </w:r>
      <w:r>
        <w:rPr>
          <w:rFonts w:ascii="Times New Roman" w:hAnsi="Times New Roman" w:eastAsia="方正仿宋_GBK" w:cs="Times New Roman"/>
          <w:sz w:val="28"/>
          <w:szCs w:val="28"/>
          <w:highlight w:val="none"/>
          <w:lang w:eastAsia="zh-Hans"/>
        </w:rPr>
        <w:t>应</w:t>
      </w:r>
      <w:r>
        <w:rPr>
          <w:rFonts w:ascii="Times New Roman" w:hAnsi="Times New Roman" w:eastAsia="方正仿宋_GBK" w:cs="Times New Roman"/>
          <w:sz w:val="28"/>
          <w:szCs w:val="28"/>
          <w:highlight w:val="none"/>
        </w:rPr>
        <w:t>承担相应的行政和刑事责任。</w:t>
      </w:r>
    </w:p>
    <w:p w14:paraId="56B1C8EA">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lang w:eastAsia="zh-Hans"/>
        </w:rPr>
        <w:t xml:space="preserve">第五条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lang w:eastAsia="zh-Hans"/>
        </w:rPr>
        <w:t>争议解决</w:t>
      </w:r>
      <w:r>
        <w:rPr>
          <w:rFonts w:hint="eastAsia" w:ascii="方正黑体_GBK" w:hAnsi="方正黑体_GBK" w:eastAsia="方正黑体_GBK" w:cs="方正黑体_GBK"/>
          <w:sz w:val="28"/>
          <w:szCs w:val="28"/>
          <w:highlight w:val="none"/>
        </w:rPr>
        <w:t xml:space="preserve">. </w:t>
      </w:r>
    </w:p>
    <w:p w14:paraId="3E8AA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lang w:eastAsia="zh-Hans"/>
        </w:rPr>
        <w:t>双方同意，因签订本协议发生的或同本协议有关的一切纠纷，由双方当事人协商解决，协商不成的，任何一方均可向甲方所在地有管辖权的人民法院提起诉讼。</w:t>
      </w:r>
    </w:p>
    <w:p w14:paraId="12F72EB8">
      <w:pPr>
        <w:spacing w:line="560" w:lineRule="exact"/>
        <w:ind w:firstLine="560" w:firstLineChars="200"/>
        <w:rPr>
          <w:rFonts w:ascii="方正黑体_GBK" w:hAnsi="方正黑体_GBK" w:eastAsia="方正黑体_GBK" w:cs="方正黑体_GBK"/>
          <w:sz w:val="28"/>
          <w:szCs w:val="28"/>
          <w:highlight w:val="none"/>
          <w:lang w:eastAsia="zh-Hans"/>
        </w:rPr>
      </w:pPr>
      <w:r>
        <w:rPr>
          <w:rFonts w:ascii="方正黑体_GBK" w:hAnsi="方正黑体_GBK" w:eastAsia="方正黑体_GBK" w:cs="方正黑体_GBK"/>
          <w:sz w:val="28"/>
          <w:szCs w:val="28"/>
          <w:highlight w:val="none"/>
          <w:lang w:eastAsia="zh-Hans"/>
        </w:rPr>
        <w:t xml:space="preserve">第六条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lang w:eastAsia="zh-Hans"/>
        </w:rPr>
        <w:t>附则</w:t>
      </w:r>
    </w:p>
    <w:p w14:paraId="54E8D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任何一方不得将本协议项下的权利和义务转让给第三方，但获得对方书面同意的除外。</w:t>
      </w:r>
    </w:p>
    <w:p w14:paraId="100B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乙方的保密义务自本项目建设合作起开始生效。</w:t>
      </w:r>
    </w:p>
    <w:p w14:paraId="539E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乙方的保密义务并不因双方合作关系的解除而免除。</w:t>
      </w:r>
    </w:p>
    <w:p w14:paraId="1F169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lang w:eastAsia="zh-Hans"/>
        </w:rPr>
      </w:pPr>
      <w:r>
        <w:rPr>
          <w:rFonts w:ascii="Times New Roman" w:hAnsi="Times New Roman" w:eastAsia="方正仿宋_GBK" w:cs="Times New Roman"/>
          <w:sz w:val="28"/>
          <w:szCs w:val="28"/>
          <w:highlight w:val="none"/>
        </w:rPr>
        <w:t>4</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本协议一式</w:t>
      </w:r>
      <w:r>
        <w:rPr>
          <w:rFonts w:ascii="Times New Roman" w:hAnsi="Times New Roman" w:eastAsia="方正仿宋_GBK" w:cs="Times New Roman"/>
          <w:sz w:val="28"/>
          <w:szCs w:val="28"/>
          <w:highlight w:val="none"/>
          <w:u w:val="single"/>
        </w:rPr>
        <w:t xml:space="preserve"> 陆 </w:t>
      </w:r>
      <w:r>
        <w:rPr>
          <w:rFonts w:ascii="Times New Roman" w:hAnsi="Times New Roman" w:eastAsia="方正仿宋_GBK" w:cs="Times New Roman"/>
          <w:sz w:val="28"/>
          <w:szCs w:val="28"/>
          <w:highlight w:val="none"/>
        </w:rPr>
        <w:t>份，甲方</w:t>
      </w:r>
      <w:r>
        <w:rPr>
          <w:rFonts w:ascii="Times New Roman" w:hAnsi="Times New Roman" w:eastAsia="方正仿宋_GBK" w:cs="Times New Roman"/>
          <w:sz w:val="28"/>
          <w:szCs w:val="28"/>
          <w:highlight w:val="none"/>
          <w:u w:val="single"/>
        </w:rPr>
        <w:t xml:space="preserve"> 肆 </w:t>
      </w:r>
      <w:r>
        <w:rPr>
          <w:rFonts w:ascii="Times New Roman" w:hAnsi="Times New Roman" w:eastAsia="方正仿宋_GBK" w:cs="Times New Roman"/>
          <w:sz w:val="28"/>
          <w:szCs w:val="28"/>
          <w:highlight w:val="none"/>
        </w:rPr>
        <w:t>份和乙方</w:t>
      </w:r>
      <w:r>
        <w:rPr>
          <w:rFonts w:ascii="Times New Roman" w:hAnsi="Times New Roman" w:eastAsia="方正仿宋_GBK" w:cs="Times New Roman"/>
          <w:sz w:val="28"/>
          <w:szCs w:val="28"/>
          <w:highlight w:val="none"/>
          <w:u w:val="single"/>
        </w:rPr>
        <w:t xml:space="preserve"> 贰 </w:t>
      </w:r>
      <w:r>
        <w:rPr>
          <w:rFonts w:ascii="Times New Roman" w:hAnsi="Times New Roman" w:eastAsia="方正仿宋_GBK" w:cs="Times New Roman"/>
          <w:sz w:val="28"/>
          <w:szCs w:val="28"/>
          <w:highlight w:val="none"/>
        </w:rPr>
        <w:t>份。未尽事宜，甲乙双方友好协商，</w:t>
      </w:r>
      <w:r>
        <w:rPr>
          <w:rFonts w:ascii="Times New Roman" w:hAnsi="Times New Roman" w:eastAsia="方正仿宋_GBK" w:cs="Times New Roman"/>
          <w:sz w:val="28"/>
          <w:szCs w:val="28"/>
          <w:highlight w:val="none"/>
          <w:lang w:eastAsia="zh-Hans"/>
        </w:rPr>
        <w:t>可签订定补充协议予以完善。</w:t>
      </w:r>
    </w:p>
    <w:p w14:paraId="48F1E110">
      <w:pPr>
        <w:spacing w:line="560" w:lineRule="exact"/>
        <w:rPr>
          <w:rFonts w:ascii="Times New Roman" w:hAnsi="Times New Roman" w:eastAsia="方正仿宋_GBK" w:cs="Times New Roman"/>
          <w:sz w:val="28"/>
          <w:szCs w:val="28"/>
          <w:highlight w:val="none"/>
        </w:rPr>
      </w:pPr>
    </w:p>
    <w:tbl>
      <w:tblPr>
        <w:tblStyle w:val="21"/>
        <w:tblW w:w="9139" w:type="dxa"/>
        <w:jc w:val="center"/>
        <w:tblLayout w:type="fixed"/>
        <w:tblCellMar>
          <w:top w:w="0" w:type="dxa"/>
          <w:left w:w="108" w:type="dxa"/>
          <w:bottom w:w="0" w:type="dxa"/>
          <w:right w:w="108" w:type="dxa"/>
        </w:tblCellMar>
      </w:tblPr>
      <w:tblGrid>
        <w:gridCol w:w="4397"/>
        <w:gridCol w:w="4742"/>
      </w:tblGrid>
      <w:tr w14:paraId="0399FC4C">
        <w:tblPrEx>
          <w:tblCellMar>
            <w:top w:w="0" w:type="dxa"/>
            <w:left w:w="108" w:type="dxa"/>
            <w:bottom w:w="0" w:type="dxa"/>
            <w:right w:w="108" w:type="dxa"/>
          </w:tblCellMar>
        </w:tblPrEx>
        <w:trPr>
          <w:trHeight w:val="450" w:hRule="atLeast"/>
          <w:jc w:val="center"/>
        </w:trPr>
        <w:tc>
          <w:tcPr>
            <w:tcW w:w="4397" w:type="dxa"/>
            <w:tcBorders>
              <w:tl2br w:val="nil"/>
              <w:tr2bl w:val="nil"/>
            </w:tcBorders>
          </w:tcPr>
          <w:p w14:paraId="009B068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甲    方：重庆中医药学院</w:t>
            </w:r>
          </w:p>
        </w:tc>
        <w:tc>
          <w:tcPr>
            <w:tcW w:w="4742" w:type="dxa"/>
            <w:tcBorders>
              <w:tl2br w:val="nil"/>
              <w:tr2bl w:val="nil"/>
            </w:tcBorders>
          </w:tcPr>
          <w:p w14:paraId="5E015A3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乙    方：</w:t>
            </w:r>
          </w:p>
        </w:tc>
      </w:tr>
      <w:tr w14:paraId="3BB68BB7">
        <w:tblPrEx>
          <w:tblCellMar>
            <w:top w:w="0" w:type="dxa"/>
            <w:left w:w="108" w:type="dxa"/>
            <w:bottom w:w="0" w:type="dxa"/>
            <w:right w:w="108" w:type="dxa"/>
          </w:tblCellMar>
        </w:tblPrEx>
        <w:trPr>
          <w:trHeight w:val="1351" w:hRule="atLeast"/>
          <w:jc w:val="center"/>
        </w:trPr>
        <w:tc>
          <w:tcPr>
            <w:tcW w:w="4397" w:type="dxa"/>
            <w:tcBorders>
              <w:tl2br w:val="nil"/>
              <w:tr2bl w:val="nil"/>
            </w:tcBorders>
          </w:tcPr>
          <w:p w14:paraId="2F05AE8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法人代表人</w:t>
            </w:r>
          </w:p>
          <w:p w14:paraId="362E177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或委托代理人（签字）：</w:t>
            </w:r>
          </w:p>
          <w:p w14:paraId="781F62F5">
            <w:pPr>
              <w:pStyle w:val="16"/>
              <w:keepNext w:val="0"/>
              <w:keepLines w:val="0"/>
              <w:pageBreakBefore w:val="0"/>
              <w:widowControl w:val="0"/>
              <w:tabs>
                <w:tab w:val="left" w:pos="1260"/>
                <w:tab w:val="left" w:pos="1685"/>
                <w:tab w:val="right" w:leader="dot" w:pos="8400"/>
              </w:tabs>
              <w:kinsoku/>
              <w:wordWrap/>
              <w:overflowPunct/>
              <w:topLinePunct w:val="0"/>
              <w:autoSpaceDE/>
              <w:autoSpaceDN/>
              <w:bidi w:val="0"/>
              <w:adjustRightInd/>
              <w:snapToGrid/>
              <w:spacing w:line="360" w:lineRule="exact"/>
              <w:textAlignment w:val="auto"/>
              <w:rPr>
                <w:rFonts w:ascii="Times New Roman" w:hAnsi="Times New Roman" w:cs="Times New Roman"/>
                <w:sz w:val="28"/>
                <w:szCs w:val="28"/>
                <w:highlight w:val="none"/>
              </w:rPr>
            </w:pPr>
          </w:p>
        </w:tc>
        <w:tc>
          <w:tcPr>
            <w:tcW w:w="4742" w:type="dxa"/>
            <w:tcBorders>
              <w:tl2br w:val="nil"/>
              <w:tr2bl w:val="nil"/>
            </w:tcBorders>
          </w:tcPr>
          <w:p w14:paraId="7235D402">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法人代表人</w:t>
            </w:r>
          </w:p>
          <w:p w14:paraId="62D6377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或委托代理人（签字）：</w:t>
            </w:r>
          </w:p>
          <w:p w14:paraId="42C2BF1C">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ighlight w:val="none"/>
              </w:rPr>
            </w:pPr>
          </w:p>
        </w:tc>
      </w:tr>
      <w:tr w14:paraId="31C9E559">
        <w:tblPrEx>
          <w:tblCellMar>
            <w:top w:w="0" w:type="dxa"/>
            <w:left w:w="108" w:type="dxa"/>
            <w:bottom w:w="0" w:type="dxa"/>
            <w:right w:w="108" w:type="dxa"/>
          </w:tblCellMar>
        </w:tblPrEx>
        <w:trPr>
          <w:trHeight w:val="450" w:hRule="atLeast"/>
          <w:jc w:val="center"/>
        </w:trPr>
        <w:tc>
          <w:tcPr>
            <w:tcW w:w="4397" w:type="dxa"/>
            <w:tcBorders>
              <w:tl2br w:val="nil"/>
              <w:tr2bl w:val="nil"/>
            </w:tcBorders>
            <w:shd w:val="clear" w:color="auto" w:fill="auto"/>
          </w:tcPr>
          <w:p w14:paraId="2417037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电    话：023-65880092</w:t>
            </w:r>
          </w:p>
        </w:tc>
        <w:tc>
          <w:tcPr>
            <w:tcW w:w="4742" w:type="dxa"/>
            <w:tcBorders>
              <w:tl2br w:val="nil"/>
              <w:tr2bl w:val="nil"/>
            </w:tcBorders>
            <w:shd w:val="clear" w:color="auto" w:fill="auto"/>
          </w:tcPr>
          <w:p w14:paraId="6B5DB30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电    话：</w:t>
            </w:r>
          </w:p>
        </w:tc>
      </w:tr>
      <w:tr w14:paraId="7F287519">
        <w:tblPrEx>
          <w:tblCellMar>
            <w:top w:w="0" w:type="dxa"/>
            <w:left w:w="108" w:type="dxa"/>
            <w:bottom w:w="0" w:type="dxa"/>
            <w:right w:w="108" w:type="dxa"/>
          </w:tblCellMar>
        </w:tblPrEx>
        <w:trPr>
          <w:trHeight w:val="900" w:hRule="atLeast"/>
          <w:jc w:val="center"/>
        </w:trPr>
        <w:tc>
          <w:tcPr>
            <w:tcW w:w="4397" w:type="dxa"/>
            <w:tcBorders>
              <w:tl2br w:val="nil"/>
              <w:tr2bl w:val="nil"/>
            </w:tcBorders>
          </w:tcPr>
          <w:p w14:paraId="459754E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地    址：重庆市璧山区璧城街道</w:t>
            </w:r>
          </w:p>
          <w:p w14:paraId="70420C2B">
            <w:pPr>
              <w:keepNext w:val="0"/>
              <w:keepLines w:val="0"/>
              <w:pageBreakBefore w:val="0"/>
              <w:widowControl w:val="0"/>
              <w:kinsoku/>
              <w:wordWrap/>
              <w:overflowPunct/>
              <w:topLinePunct w:val="0"/>
              <w:autoSpaceDE/>
              <w:autoSpaceDN/>
              <w:bidi w:val="0"/>
              <w:adjustRightInd/>
              <w:snapToGrid/>
              <w:spacing w:line="360" w:lineRule="exact"/>
              <w:ind w:firstLine="1439" w:firstLineChars="514"/>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国学路61号</w:t>
            </w:r>
          </w:p>
        </w:tc>
        <w:tc>
          <w:tcPr>
            <w:tcW w:w="4742" w:type="dxa"/>
            <w:tcBorders>
              <w:tl2br w:val="nil"/>
              <w:tr2bl w:val="nil"/>
            </w:tcBorders>
          </w:tcPr>
          <w:p w14:paraId="2ACE8569">
            <w:pPr>
              <w:keepNext w:val="0"/>
              <w:keepLines w:val="0"/>
              <w:pageBreakBefore w:val="0"/>
              <w:widowControl w:val="0"/>
              <w:kinsoku/>
              <w:wordWrap/>
              <w:overflowPunct/>
              <w:topLinePunct w:val="0"/>
              <w:autoSpaceDE/>
              <w:autoSpaceDN/>
              <w:bidi w:val="0"/>
              <w:adjustRightInd/>
              <w:snapToGrid/>
              <w:spacing w:line="360" w:lineRule="exact"/>
              <w:ind w:left="1400" w:hanging="1400" w:hangingChars="500"/>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地    址：</w:t>
            </w:r>
          </w:p>
        </w:tc>
      </w:tr>
      <w:tr w14:paraId="57CB1850">
        <w:tblPrEx>
          <w:tblCellMar>
            <w:top w:w="0" w:type="dxa"/>
            <w:left w:w="108" w:type="dxa"/>
            <w:bottom w:w="0" w:type="dxa"/>
            <w:right w:w="108" w:type="dxa"/>
          </w:tblCellMar>
        </w:tblPrEx>
        <w:trPr>
          <w:trHeight w:val="450" w:hRule="atLeast"/>
          <w:jc w:val="center"/>
        </w:trPr>
        <w:tc>
          <w:tcPr>
            <w:tcW w:w="4397" w:type="dxa"/>
            <w:tcBorders>
              <w:tl2br w:val="nil"/>
              <w:tr2bl w:val="nil"/>
            </w:tcBorders>
            <w:shd w:val="clear" w:color="auto" w:fill="auto"/>
          </w:tcPr>
          <w:p w14:paraId="40B9D91D">
            <w:pPr>
              <w:keepNext w:val="0"/>
              <w:keepLines w:val="0"/>
              <w:pageBreakBefore w:val="0"/>
              <w:widowControl w:val="0"/>
              <w:kinsoku/>
              <w:wordWrap/>
              <w:overflowPunct/>
              <w:topLinePunct w:val="0"/>
              <w:autoSpaceDE/>
              <w:autoSpaceDN/>
              <w:bidi w:val="0"/>
              <w:adjustRightInd/>
              <w:snapToGrid/>
              <w:spacing w:line="360" w:lineRule="exact"/>
              <w:ind w:left="1400" w:hanging="1400" w:hangingChars="500"/>
              <w:jc w:val="lef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时    间：     年   月   日</w:t>
            </w:r>
          </w:p>
        </w:tc>
        <w:tc>
          <w:tcPr>
            <w:tcW w:w="4742" w:type="dxa"/>
            <w:tcBorders>
              <w:tl2br w:val="nil"/>
              <w:tr2bl w:val="nil"/>
            </w:tcBorders>
            <w:shd w:val="clear" w:color="auto" w:fill="auto"/>
          </w:tcPr>
          <w:p w14:paraId="146E793E">
            <w:pPr>
              <w:keepNext w:val="0"/>
              <w:keepLines w:val="0"/>
              <w:pageBreakBefore w:val="0"/>
              <w:widowControl w:val="0"/>
              <w:kinsoku/>
              <w:wordWrap/>
              <w:overflowPunct/>
              <w:topLinePunct w:val="0"/>
              <w:autoSpaceDE/>
              <w:autoSpaceDN/>
              <w:bidi w:val="0"/>
              <w:adjustRightInd/>
              <w:snapToGrid/>
              <w:spacing w:line="360" w:lineRule="exact"/>
              <w:ind w:left="1400" w:hanging="1400" w:hangingChars="500"/>
              <w:jc w:val="lef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时    间：     年   月   日</w:t>
            </w:r>
          </w:p>
        </w:tc>
      </w:tr>
      <w:tr w14:paraId="1DC7E47D">
        <w:tblPrEx>
          <w:tblCellMar>
            <w:top w:w="0" w:type="dxa"/>
            <w:left w:w="108" w:type="dxa"/>
            <w:bottom w:w="0" w:type="dxa"/>
            <w:right w:w="108" w:type="dxa"/>
          </w:tblCellMar>
        </w:tblPrEx>
        <w:trPr>
          <w:trHeight w:val="450" w:hRule="atLeast"/>
          <w:jc w:val="center"/>
        </w:trPr>
        <w:tc>
          <w:tcPr>
            <w:tcW w:w="9139" w:type="dxa"/>
            <w:gridSpan w:val="2"/>
            <w:tcBorders>
              <w:tl2br w:val="nil"/>
              <w:tr2bl w:val="nil"/>
            </w:tcBorders>
          </w:tcPr>
          <w:p w14:paraId="463CD20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签约地点：</w:t>
            </w:r>
            <w:r>
              <w:rPr>
                <w:rFonts w:ascii="Times New Roman" w:hAnsi="Times New Roman" w:eastAsia="方正仿宋_GBK" w:cs="Times New Roman"/>
                <w:kern w:val="0"/>
                <w:sz w:val="28"/>
                <w:szCs w:val="28"/>
                <w:highlight w:val="none"/>
              </w:rPr>
              <w:t>重</w:t>
            </w:r>
            <w:r>
              <w:rPr>
                <w:rFonts w:ascii="Times New Roman" w:hAnsi="Times New Roman" w:eastAsia="方正仿宋_GBK" w:cs="Times New Roman"/>
                <w:sz w:val="28"/>
                <w:szCs w:val="28"/>
                <w:highlight w:val="none"/>
              </w:rPr>
              <w:t>庆市璧山区璧城街道国学路61号重庆中医药学院</w:t>
            </w:r>
          </w:p>
        </w:tc>
      </w:tr>
    </w:tbl>
    <w:p w14:paraId="428FC8C1">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br w:type="page"/>
      </w:r>
    </w:p>
    <w:p w14:paraId="2DF5C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方正黑体_GBK" w:cs="Times New Roman"/>
          <w:sz w:val="28"/>
          <w:szCs w:val="28"/>
          <w:highlight w:val="none"/>
        </w:rPr>
      </w:pPr>
      <w:r>
        <w:rPr>
          <w:rFonts w:ascii="Times New Roman" w:hAnsi="Times New Roman" w:eastAsia="方正黑体_GBK" w:cs="Times New Roman"/>
          <w:sz w:val="28"/>
          <w:szCs w:val="28"/>
          <w:highlight w:val="none"/>
        </w:rPr>
        <w:t>附件2</w:t>
      </w:r>
    </w:p>
    <w:p w14:paraId="56030869">
      <w:pPr>
        <w:spacing w:line="660" w:lineRule="exact"/>
        <w:jc w:val="center"/>
        <w:rPr>
          <w:rFonts w:ascii="方正小标宋_GBK" w:hAnsi="方正小标宋_GBK" w:eastAsia="方正小标宋_GBK" w:cs="方正小标宋_GBK"/>
          <w:sz w:val="44"/>
          <w:szCs w:val="44"/>
          <w:highlight w:val="none"/>
        </w:rPr>
      </w:pPr>
      <w:r>
        <w:rPr>
          <w:rFonts w:ascii="方正小标宋_GBK" w:hAnsi="方正小标宋_GBK" w:eastAsia="方正小标宋_GBK" w:cs="方正小标宋_GBK"/>
          <w:sz w:val="44"/>
          <w:szCs w:val="44"/>
          <w:highlight w:val="none"/>
        </w:rPr>
        <w:t>安</w:t>
      </w:r>
      <w:r>
        <w:rPr>
          <w:rFonts w:hint="eastAsia" w:ascii="方正小标宋_GBK" w:hAnsi="方正小标宋_GBK" w:eastAsia="方正小标宋_GBK" w:cs="方正小标宋_GBK"/>
          <w:sz w:val="44"/>
          <w:szCs w:val="44"/>
          <w:highlight w:val="none"/>
        </w:rPr>
        <w:t xml:space="preserve"> </w:t>
      </w:r>
      <w:r>
        <w:rPr>
          <w:rFonts w:ascii="方正小标宋_GBK" w:hAnsi="方正小标宋_GBK" w:eastAsia="方正小标宋_GBK" w:cs="方正小标宋_GBK"/>
          <w:sz w:val="44"/>
          <w:szCs w:val="44"/>
          <w:highlight w:val="none"/>
        </w:rPr>
        <w:t>全</w:t>
      </w:r>
      <w:r>
        <w:rPr>
          <w:rFonts w:hint="eastAsia" w:ascii="方正小标宋_GBK" w:hAnsi="方正小标宋_GBK" w:eastAsia="方正小标宋_GBK" w:cs="方正小标宋_GBK"/>
          <w:sz w:val="44"/>
          <w:szCs w:val="44"/>
          <w:highlight w:val="none"/>
        </w:rPr>
        <w:t xml:space="preserve"> </w:t>
      </w:r>
      <w:r>
        <w:rPr>
          <w:rFonts w:ascii="方正小标宋_GBK" w:hAnsi="方正小标宋_GBK" w:eastAsia="方正小标宋_GBK" w:cs="方正小标宋_GBK"/>
          <w:sz w:val="44"/>
          <w:szCs w:val="44"/>
          <w:highlight w:val="none"/>
        </w:rPr>
        <w:t>协</w:t>
      </w:r>
      <w:r>
        <w:rPr>
          <w:rFonts w:hint="eastAsia" w:ascii="方正小标宋_GBK" w:hAnsi="方正小标宋_GBK" w:eastAsia="方正小标宋_GBK" w:cs="方正小标宋_GBK"/>
          <w:sz w:val="44"/>
          <w:szCs w:val="44"/>
          <w:highlight w:val="none"/>
        </w:rPr>
        <w:t xml:space="preserve"> </w:t>
      </w:r>
      <w:r>
        <w:rPr>
          <w:rFonts w:ascii="方正小标宋_GBK" w:hAnsi="方正小标宋_GBK" w:eastAsia="方正小标宋_GBK" w:cs="方正小标宋_GBK"/>
          <w:sz w:val="44"/>
          <w:szCs w:val="44"/>
          <w:highlight w:val="none"/>
        </w:rPr>
        <w:t>议</w:t>
      </w:r>
    </w:p>
    <w:p w14:paraId="7ED1F32B">
      <w:pPr>
        <w:spacing w:line="560" w:lineRule="exact"/>
        <w:ind w:right="414" w:rightChars="148"/>
        <w:rPr>
          <w:rFonts w:ascii="Times New Roman" w:hAnsi="Times New Roman" w:eastAsia="方正黑体_GBK" w:cs="Times New Roman"/>
          <w:kern w:val="0"/>
          <w:sz w:val="28"/>
          <w:szCs w:val="28"/>
          <w:highlight w:val="none"/>
        </w:rPr>
      </w:pPr>
    </w:p>
    <w:p w14:paraId="25D3FB0C">
      <w:pPr>
        <w:spacing w:line="560" w:lineRule="exact"/>
        <w:ind w:right="414" w:rightChars="148"/>
        <w:rPr>
          <w:rFonts w:ascii="Times New Roman" w:hAnsi="Times New Roman" w:eastAsia="方正黑体_GBK" w:cs="Times New Roman"/>
          <w:kern w:val="0"/>
          <w:sz w:val="28"/>
          <w:szCs w:val="28"/>
          <w:highlight w:val="none"/>
        </w:rPr>
      </w:pPr>
      <w:r>
        <w:rPr>
          <w:rFonts w:ascii="Times New Roman" w:hAnsi="Times New Roman" w:eastAsia="方正黑体_GBK" w:cs="Times New Roman"/>
          <w:kern w:val="0"/>
          <w:sz w:val="28"/>
          <w:szCs w:val="28"/>
          <w:highlight w:val="none"/>
        </w:rPr>
        <w:t>甲  方：重庆中医药学院</w:t>
      </w:r>
    </w:p>
    <w:p w14:paraId="6A0E2BCE">
      <w:pPr>
        <w:spacing w:line="560" w:lineRule="exact"/>
        <w:ind w:right="414" w:rightChars="148"/>
        <w:rPr>
          <w:rFonts w:ascii="Times New Roman" w:hAnsi="Times New Roman" w:eastAsia="方正黑体_GBK" w:cs="Times New Roman"/>
          <w:kern w:val="0"/>
          <w:sz w:val="28"/>
          <w:szCs w:val="28"/>
          <w:highlight w:val="none"/>
        </w:rPr>
      </w:pPr>
      <w:r>
        <w:rPr>
          <w:rFonts w:ascii="Times New Roman" w:hAnsi="Times New Roman" w:eastAsia="方正黑体_GBK" w:cs="Times New Roman"/>
          <w:kern w:val="0"/>
          <w:sz w:val="28"/>
          <w:szCs w:val="28"/>
          <w:highlight w:val="none"/>
        </w:rPr>
        <w:t>乙  方：</w:t>
      </w:r>
    </w:p>
    <w:p w14:paraId="3F79A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p>
    <w:p w14:paraId="6BEB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根据</w:t>
      </w:r>
      <w:r>
        <w:rPr>
          <w:rFonts w:hint="eastAsia" w:eastAsia="方正仿宋_GBK" w:cs="Times New Roman"/>
          <w:sz w:val="28"/>
          <w:szCs w:val="28"/>
          <w:highlight w:val="none"/>
          <w:u w:val="single"/>
          <w:lang w:val="en-US" w:eastAsia="zh-CN"/>
        </w:rPr>
        <w:t xml:space="preserve"> </w:t>
      </w:r>
      <w:r>
        <w:rPr>
          <w:rFonts w:ascii="Times New Roman" w:hAnsi="Times New Roman" w:eastAsia="方正仿宋_GBK" w:cs="Times New Roman"/>
          <w:sz w:val="28"/>
          <w:szCs w:val="28"/>
          <w:highlight w:val="none"/>
          <w:u w:val="single"/>
        </w:rPr>
        <w:t xml:space="preserve"> </w:t>
      </w:r>
      <w:r>
        <w:rPr>
          <w:rFonts w:hint="eastAsia" w:ascii="Times New Roman" w:hAnsi="Times New Roman" w:eastAsia="方正仿宋_GBK" w:cs="Times New Roman"/>
          <w:sz w:val="28"/>
          <w:szCs w:val="28"/>
          <w:highlight w:val="none"/>
          <w:u w:val="single"/>
        </w:rPr>
        <w:t xml:space="preserve">HYD-（招）-咨字-2025-A048 </w:t>
      </w:r>
      <w:r>
        <w:rPr>
          <w:rFonts w:hint="eastAsia" w:eastAsia="方正仿宋_GBK" w:cs="Times New Roman"/>
          <w:sz w:val="28"/>
          <w:szCs w:val="28"/>
          <w:highlight w:val="none"/>
          <w:u w:val="single"/>
          <w:lang w:val="en-US" w:eastAsia="zh-CN"/>
        </w:rPr>
        <w:t xml:space="preserve"> </w:t>
      </w:r>
      <w:r>
        <w:rPr>
          <w:rFonts w:ascii="Times New Roman" w:hAnsi="Times New Roman" w:eastAsia="方正仿宋_GBK" w:cs="Times New Roman"/>
          <w:sz w:val="28"/>
          <w:szCs w:val="28"/>
          <w:highlight w:val="none"/>
        </w:rPr>
        <w:t>号招标项目的投标结果，中标方（乙方）成为项目的供应商。为避免乙方在提供服务、供货或施工过程中的安全生产风险，有效防止安全事故发生，保障生命、财产安全，促进服务、供货或施工的顺利进行，明确双方安全责任，经甲乙双方友好协商，达成以下安全协议。</w:t>
      </w:r>
    </w:p>
    <w:p w14:paraId="7F88E41E">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第一条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甲方安全责任</w:t>
      </w:r>
    </w:p>
    <w:p w14:paraId="274B8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甲方有协助乙方在提供服务、供货或施工过程中遇到的安全风险、防火管理以及督促检查的义务。甲方有权检查督促乙方执行有关安全方面的工作情况，对乙方不符合安全文明施工的行为进行制止、纠正并发出安全整改通知书，直至清退出场。</w:t>
      </w:r>
    </w:p>
    <w:p w14:paraId="6A65D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甲方及甲方委托的监管机构有权对乙方安全生产情况随时进行抽查，有权对乙方参与服务、供货或施工过程中人员进行安全技术知识和安全工作规程的抽查。乙方应予积极配合。若在检查过程中被发现存在的安全隐患，应立即按要求在甲方规定时限内进行整改。</w:t>
      </w:r>
    </w:p>
    <w:p w14:paraId="292B6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乙方在提供服务、供货或施工过程中如发生特、重大事故，甲方有权督促乙方立即通知当地政府和公安部门，要求派人保护现场；并有权要求乙方提供事故调查书面结论及处理意见。</w:t>
      </w:r>
    </w:p>
    <w:p w14:paraId="0CF9A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4</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甲方不得要求乙方违反安全管理规定进行服务、供货或施工。</w:t>
      </w:r>
    </w:p>
    <w:p w14:paraId="61D2F774">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第二条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乙方安全责任</w:t>
      </w:r>
    </w:p>
    <w:p w14:paraId="5BB50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乙方作为服务、供货或施工项目的实施单位，对提供服务、供货或施工项目过程中发生的人身伤害、设备损坏、环境污染等影响甲方安全的一切事故承担安全责任。乙方应切实履行以下安全责任:</w:t>
      </w:r>
    </w:p>
    <w:p w14:paraId="4904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乙方提供的服务、供货或施工项目所要求的相关资质证明材料应真实、合法、有效。</w:t>
      </w:r>
    </w:p>
    <w:p w14:paraId="10478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如乙方作为施工项目的供应商，乙方应取得施工企业安全生产许可证后方可从事工程施工（零星施工项目或国家没有强制企业施工前取得安全生产许可证的除外）。施工企业的主要负责人、项目负责人、专职安全生产管理人员任职或上岗条件必须符合国家法律、法规相关规定。</w:t>
      </w:r>
    </w:p>
    <w:p w14:paraId="7652B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乙方在提供服务、供货或施工项目过程中必须贯彻执行国家有关安全生产的法律法规，必须制定相应的安全管理制度；严格按照各种操作规程进行操控作业。</w:t>
      </w:r>
    </w:p>
    <w:p w14:paraId="45B36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4</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乙方在提供服务、供货或施工期间，应根据项目需求设立安全责任岗位。</w:t>
      </w:r>
    </w:p>
    <w:p w14:paraId="5ED52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5</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乙方用与提供服务、供货或施工项目的施工机械、工器具及安全防护用品等数量和质量必须满足项目需要</w:t>
      </w:r>
      <w:r>
        <w:rPr>
          <w:rFonts w:hint="eastAsia" w:ascii="Times New Roman" w:hAnsi="Times New Roman" w:eastAsia="方正仿宋_GBK" w:cs="Times New Roman"/>
          <w:sz w:val="28"/>
          <w:szCs w:val="28"/>
          <w:highlight w:val="none"/>
        </w:rPr>
        <w:t>，</w:t>
      </w:r>
      <w:r>
        <w:rPr>
          <w:rFonts w:ascii="Times New Roman" w:hAnsi="Times New Roman" w:eastAsia="方正仿宋_GBK" w:cs="Times New Roman"/>
          <w:sz w:val="28"/>
          <w:szCs w:val="28"/>
          <w:highlight w:val="none"/>
        </w:rPr>
        <w:t>乙方对因使用工器具不当所造成的人员伤亡及设备损坏负责。</w:t>
      </w:r>
    </w:p>
    <w:p w14:paraId="373F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6</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乙方在提供服务、供货或施工项目前，应组织全体工作人员进行安全教育。如需特种工作人员作业，必须有有关部门核发的合格有效的上岗资格证书。</w:t>
      </w:r>
    </w:p>
    <w:p w14:paraId="0738E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7</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乙方在提供服务、供货或施工项目前，乙方应组织人员对工作区域、作业环境、设施设备、工器具等进行检查，确认符合安全要求。</w:t>
      </w:r>
    </w:p>
    <w:p w14:paraId="17381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8</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乙方在提供服务、供货或施工项目过程中需要使用电、水源，应事先与甲方取得联系，不得私拉乱接。中断作业或遇故障应立即切断有关开关。</w:t>
      </w:r>
    </w:p>
    <w:p w14:paraId="2A2EE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9</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乙方在提供服务、供货或施工项目过程中必须接受甲方的监督、检查，对甲方提出的安全整改意见必须及时整改。</w:t>
      </w:r>
    </w:p>
    <w:p w14:paraId="7B80F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10</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乙方在提供服务、供货或施工项目过程中发生人身伤亡、设备事故或危及生产运行的不安全情况，应立即报告甲方</w:t>
      </w:r>
      <w:r>
        <w:rPr>
          <w:rFonts w:hint="eastAsia" w:ascii="Times New Roman" w:hAnsi="Times New Roman" w:eastAsia="方正仿宋_GBK" w:cs="Times New Roman"/>
          <w:sz w:val="28"/>
          <w:szCs w:val="28"/>
          <w:highlight w:val="none"/>
        </w:rPr>
        <w:t>，</w:t>
      </w:r>
      <w:r>
        <w:rPr>
          <w:rFonts w:ascii="Times New Roman" w:hAnsi="Times New Roman" w:eastAsia="方正仿宋_GBK" w:cs="Times New Roman"/>
          <w:sz w:val="28"/>
          <w:szCs w:val="28"/>
          <w:highlight w:val="none"/>
        </w:rPr>
        <w:t>并积极配合调查。</w:t>
      </w:r>
    </w:p>
    <w:p w14:paraId="0F7EA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项目过程中由于管理不善，违章操作，违章施工，造成甲方其他设施、设备受损，包括但不限于房屋墙面地面损毁，通信网络管道损毁、信号中断等，由乙方承担补修和赔偿的全部责任。</w:t>
      </w:r>
    </w:p>
    <w:p w14:paraId="207DD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乙方在提供服务、供货或施工项目过程中(验收前)，由于管理不善，造成工程施工材料损坏或丢失，由乙方承担全部责任。</w:t>
      </w:r>
    </w:p>
    <w:p w14:paraId="2766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乙方应依法为在提供服务、供货或施工项目过程中的工作人员缴纳工伤社会保险或购买意外伤害保险。</w:t>
      </w:r>
    </w:p>
    <w:p w14:paraId="615FA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14</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要加强对提供服务、供货或施工项目工作人员的管理教育，提高他们的安全意识，时刻考虑到学校师生的安全。教育其不得随意出入师生生活、学习及办公区域，不得随意与学生来往，所有施工人员要严格遵守甲方规章制度。</w:t>
      </w:r>
    </w:p>
    <w:p w14:paraId="229BC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15</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乙方须遵守有关环境保护法律、法规的规定，建筑材料摆放规范，并合理调整工作时间，尽量减少工地噪音，在确保安全的同时不影响正常教学及办公秩序。</w:t>
      </w:r>
    </w:p>
    <w:p w14:paraId="5A38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16</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乙方在提供服务、供货或施工过程中，应根据师生活动范围，搭设防护通道，并在显著的位置张贴安全生产的宣传标语，合理设置警示标志、绕行标志等，提示和引导避让危险，严密防范安全事故发生，确保在校师生和施工人员的人身安全。</w:t>
      </w:r>
    </w:p>
    <w:p w14:paraId="3BFAEE2A">
      <w:pPr>
        <w:spacing w:line="560" w:lineRule="exact"/>
        <w:ind w:firstLine="560" w:firstLineChars="200"/>
        <w:rPr>
          <w:rFonts w:ascii="方正黑体_GBK" w:hAnsi="方正黑体_GBK" w:eastAsia="方正黑体_GBK" w:cs="方正黑体_GBK"/>
          <w:sz w:val="28"/>
          <w:szCs w:val="28"/>
          <w:highlight w:val="none"/>
        </w:rPr>
      </w:pPr>
      <w:r>
        <w:rPr>
          <w:rFonts w:ascii="方正黑体_GBK" w:hAnsi="方正黑体_GBK" w:eastAsia="方正黑体_GBK" w:cs="方正黑体_GBK"/>
          <w:sz w:val="28"/>
          <w:szCs w:val="28"/>
          <w:highlight w:val="none"/>
        </w:rPr>
        <w:t xml:space="preserve">第三条 </w:t>
      </w:r>
      <w:r>
        <w:rPr>
          <w:rFonts w:hint="eastAsia" w:ascii="方正黑体_GBK" w:hAnsi="方正黑体_GBK" w:eastAsia="方正黑体_GBK" w:cs="方正黑体_GBK"/>
          <w:sz w:val="28"/>
          <w:szCs w:val="28"/>
          <w:highlight w:val="none"/>
        </w:rPr>
        <w:t xml:space="preserve"> </w:t>
      </w:r>
      <w:r>
        <w:rPr>
          <w:rFonts w:ascii="方正黑体_GBK" w:hAnsi="方正黑体_GBK" w:eastAsia="方正黑体_GBK" w:cs="方正黑体_GBK"/>
          <w:sz w:val="28"/>
          <w:szCs w:val="28"/>
          <w:highlight w:val="none"/>
        </w:rPr>
        <w:t>违约责任</w:t>
      </w:r>
    </w:p>
    <w:p w14:paraId="44CC8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由于乙方责任造成对方或第三方的人身伤害、设备损坏、环境污染等人身或财产损失，由乙方承担相应责任</w:t>
      </w:r>
      <w:r>
        <w:rPr>
          <w:rFonts w:hint="eastAsia" w:ascii="Times New Roman" w:hAnsi="Times New Roman" w:eastAsia="方正仿宋_GBK" w:cs="Times New Roman"/>
          <w:sz w:val="28"/>
          <w:szCs w:val="28"/>
          <w:highlight w:val="none"/>
        </w:rPr>
        <w:t>，</w:t>
      </w:r>
      <w:r>
        <w:rPr>
          <w:rFonts w:ascii="Times New Roman" w:hAnsi="Times New Roman" w:eastAsia="方正仿宋_GBK" w:cs="Times New Roman"/>
          <w:sz w:val="28"/>
          <w:szCs w:val="28"/>
          <w:highlight w:val="none"/>
        </w:rPr>
        <w:t>并赔偿对方或第三方因此造成的全部损失。</w:t>
      </w:r>
    </w:p>
    <w:p w14:paraId="2E13A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合同履行中，发现乙方提供的有关资质材料无效，甲方有权解除合同，并由乙方承担由此造成的一切损失。</w:t>
      </w:r>
    </w:p>
    <w:p w14:paraId="5C159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w:t>
      </w:r>
      <w:r>
        <w:rPr>
          <w:rFonts w:hint="eastAsia" w:ascii="Times New Roman" w:hAnsi="Times New Roman" w:eastAsia="方正仿宋_GBK" w:cs="Times New Roman"/>
          <w:sz w:val="28"/>
          <w:szCs w:val="28"/>
          <w:highlight w:val="none"/>
        </w:rPr>
        <w:t xml:space="preserve">. </w:t>
      </w:r>
      <w:r>
        <w:rPr>
          <w:rFonts w:ascii="Times New Roman" w:hAnsi="Times New Roman" w:eastAsia="方正仿宋_GBK" w:cs="Times New Roman"/>
          <w:sz w:val="28"/>
          <w:szCs w:val="28"/>
          <w:highlight w:val="none"/>
        </w:rPr>
        <w:t>如提供服务、供货或施工项目中，乙方需要设置安全责任人员而未设置，未能正确、全面执行安全技术措施、施工组织设计；工作人员未掌握本项目特点及安全措施；用于本项目的施工机械、工器具及安全防护用品不满足施工需要</w:t>
      </w:r>
      <w:r>
        <w:rPr>
          <w:rFonts w:hint="eastAsia" w:ascii="Times New Roman" w:hAnsi="Times New Roman" w:eastAsia="方正仿宋_GBK" w:cs="Times New Roman"/>
          <w:sz w:val="28"/>
          <w:szCs w:val="28"/>
          <w:highlight w:val="none"/>
        </w:rPr>
        <w:t>，</w:t>
      </w:r>
      <w:r>
        <w:rPr>
          <w:rFonts w:ascii="Times New Roman" w:hAnsi="Times New Roman" w:eastAsia="方正仿宋_GBK" w:cs="Times New Roman"/>
          <w:sz w:val="28"/>
          <w:szCs w:val="28"/>
          <w:highlight w:val="none"/>
        </w:rPr>
        <w:t>甲方有权要求乙方立即停工整改，由此引起的后果及损失由乙方承担。</w:t>
      </w:r>
    </w:p>
    <w:p w14:paraId="3E7A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第四条 争议解决方式</w:t>
      </w:r>
    </w:p>
    <w:p w14:paraId="2BF3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本协议执行过程中，如发生争议，由双方协商解决；协商不成，任何一方可以向甲方所在地人民法院提出诉讼。</w:t>
      </w:r>
    </w:p>
    <w:p w14:paraId="23C13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本协议一式</w:t>
      </w:r>
      <w:r>
        <w:rPr>
          <w:rFonts w:ascii="Times New Roman" w:hAnsi="Times New Roman" w:eastAsia="方正仿宋_GBK" w:cs="Times New Roman"/>
          <w:sz w:val="28"/>
          <w:szCs w:val="28"/>
          <w:highlight w:val="none"/>
          <w:u w:val="single"/>
        </w:rPr>
        <w:t>陆</w:t>
      </w:r>
      <w:r>
        <w:rPr>
          <w:rFonts w:ascii="Times New Roman" w:hAnsi="Times New Roman" w:eastAsia="方正仿宋_GBK" w:cs="Times New Roman"/>
          <w:sz w:val="28"/>
          <w:szCs w:val="28"/>
          <w:highlight w:val="none"/>
        </w:rPr>
        <w:t>份，甲方</w:t>
      </w:r>
      <w:r>
        <w:rPr>
          <w:rFonts w:ascii="Times New Roman" w:hAnsi="Times New Roman" w:eastAsia="方正仿宋_GBK" w:cs="Times New Roman"/>
          <w:sz w:val="28"/>
          <w:szCs w:val="28"/>
          <w:highlight w:val="none"/>
          <w:u w:val="single"/>
        </w:rPr>
        <w:t>肆</w:t>
      </w:r>
      <w:r>
        <w:rPr>
          <w:rFonts w:ascii="Times New Roman" w:hAnsi="Times New Roman" w:eastAsia="方正仿宋_GBK" w:cs="Times New Roman"/>
          <w:sz w:val="28"/>
          <w:szCs w:val="28"/>
          <w:highlight w:val="none"/>
        </w:rPr>
        <w:t>份和乙方</w:t>
      </w:r>
      <w:r>
        <w:rPr>
          <w:rFonts w:ascii="Times New Roman" w:hAnsi="Times New Roman" w:eastAsia="方正仿宋_GBK" w:cs="Times New Roman"/>
          <w:sz w:val="28"/>
          <w:szCs w:val="28"/>
          <w:highlight w:val="none"/>
          <w:u w:val="single"/>
        </w:rPr>
        <w:t>贰</w:t>
      </w:r>
      <w:r>
        <w:rPr>
          <w:rFonts w:ascii="Times New Roman" w:hAnsi="Times New Roman" w:eastAsia="方正仿宋_GBK" w:cs="Times New Roman"/>
          <w:sz w:val="28"/>
          <w:szCs w:val="28"/>
          <w:highlight w:val="none"/>
        </w:rPr>
        <w:t>份。未尽事宜，甲乙双方经友好协商可签订补充协议。</w:t>
      </w:r>
    </w:p>
    <w:p w14:paraId="7555D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p>
    <w:p w14:paraId="0E1F8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p>
    <w:p w14:paraId="5CF2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p>
    <w:p w14:paraId="4E5B2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ascii="Times New Roman" w:hAnsi="Times New Roman" w:eastAsia="方正仿宋_GBK" w:cs="Times New Roman"/>
          <w:sz w:val="28"/>
          <w:szCs w:val="28"/>
          <w:highlight w:val="none"/>
        </w:rPr>
      </w:pPr>
    </w:p>
    <w:tbl>
      <w:tblPr>
        <w:tblStyle w:val="21"/>
        <w:tblW w:w="9331" w:type="dxa"/>
        <w:jc w:val="center"/>
        <w:tblLayout w:type="fixed"/>
        <w:tblCellMar>
          <w:top w:w="0" w:type="dxa"/>
          <w:left w:w="108" w:type="dxa"/>
          <w:bottom w:w="0" w:type="dxa"/>
          <w:right w:w="108" w:type="dxa"/>
        </w:tblCellMar>
      </w:tblPr>
      <w:tblGrid>
        <w:gridCol w:w="4489"/>
        <w:gridCol w:w="4842"/>
      </w:tblGrid>
      <w:tr w14:paraId="0CCF60BA">
        <w:tblPrEx>
          <w:tblCellMar>
            <w:top w:w="0" w:type="dxa"/>
            <w:left w:w="108" w:type="dxa"/>
            <w:bottom w:w="0" w:type="dxa"/>
            <w:right w:w="108" w:type="dxa"/>
          </w:tblCellMar>
        </w:tblPrEx>
        <w:trPr>
          <w:trHeight w:val="915" w:hRule="atLeast"/>
          <w:jc w:val="center"/>
        </w:trPr>
        <w:tc>
          <w:tcPr>
            <w:tcW w:w="4489" w:type="dxa"/>
            <w:tcBorders>
              <w:tl2br w:val="nil"/>
              <w:tr2bl w:val="nil"/>
            </w:tcBorders>
          </w:tcPr>
          <w:p w14:paraId="2278BBCB">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甲    方：重庆中医药学院</w:t>
            </w:r>
          </w:p>
        </w:tc>
        <w:tc>
          <w:tcPr>
            <w:tcW w:w="4842" w:type="dxa"/>
            <w:tcBorders>
              <w:tl2br w:val="nil"/>
              <w:tr2bl w:val="nil"/>
            </w:tcBorders>
          </w:tcPr>
          <w:p w14:paraId="108A659B">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乙    方：</w:t>
            </w:r>
          </w:p>
        </w:tc>
      </w:tr>
      <w:tr w14:paraId="5E8B7275">
        <w:tblPrEx>
          <w:tblCellMar>
            <w:top w:w="0" w:type="dxa"/>
            <w:left w:w="108" w:type="dxa"/>
            <w:bottom w:w="0" w:type="dxa"/>
            <w:right w:w="108" w:type="dxa"/>
          </w:tblCellMar>
        </w:tblPrEx>
        <w:trPr>
          <w:trHeight w:val="745" w:hRule="atLeast"/>
          <w:jc w:val="center"/>
        </w:trPr>
        <w:tc>
          <w:tcPr>
            <w:tcW w:w="4489" w:type="dxa"/>
            <w:tcBorders>
              <w:tl2br w:val="nil"/>
              <w:tr2bl w:val="nil"/>
            </w:tcBorders>
          </w:tcPr>
          <w:p w14:paraId="2886D7E4">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法人代表人</w:t>
            </w:r>
          </w:p>
          <w:p w14:paraId="5E5E8838">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或委托代理人（签字）：</w:t>
            </w:r>
          </w:p>
          <w:p w14:paraId="161DCF69">
            <w:pPr>
              <w:pStyle w:val="16"/>
              <w:tabs>
                <w:tab w:val="left" w:pos="1260"/>
                <w:tab w:val="left" w:pos="1685"/>
                <w:tab w:val="right" w:leader="dot" w:pos="8400"/>
              </w:tabs>
              <w:spacing w:line="560" w:lineRule="exact"/>
              <w:rPr>
                <w:rFonts w:ascii="Times New Roman" w:hAnsi="Times New Roman" w:cs="Times New Roman"/>
                <w:sz w:val="28"/>
                <w:szCs w:val="28"/>
                <w:highlight w:val="none"/>
              </w:rPr>
            </w:pPr>
          </w:p>
        </w:tc>
        <w:tc>
          <w:tcPr>
            <w:tcW w:w="4842" w:type="dxa"/>
            <w:tcBorders>
              <w:tl2br w:val="nil"/>
              <w:tr2bl w:val="nil"/>
            </w:tcBorders>
          </w:tcPr>
          <w:p w14:paraId="3C840DD5">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法人代表人</w:t>
            </w:r>
          </w:p>
          <w:p w14:paraId="2EC6709A">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或委托代理人（签字）：</w:t>
            </w:r>
          </w:p>
          <w:p w14:paraId="7FB493FB">
            <w:pPr>
              <w:pStyle w:val="7"/>
              <w:rPr>
                <w:rFonts w:ascii="Times New Roman"/>
                <w:highlight w:val="none"/>
              </w:rPr>
            </w:pPr>
          </w:p>
        </w:tc>
      </w:tr>
      <w:tr w14:paraId="7FE65169">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14:paraId="0015AF4B">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电    话：023-65880092</w:t>
            </w:r>
          </w:p>
        </w:tc>
        <w:tc>
          <w:tcPr>
            <w:tcW w:w="4842" w:type="dxa"/>
            <w:tcBorders>
              <w:tl2br w:val="nil"/>
              <w:tr2bl w:val="nil"/>
            </w:tcBorders>
            <w:shd w:val="clear" w:color="auto" w:fill="auto"/>
          </w:tcPr>
          <w:p w14:paraId="0DD21F84">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电    话：</w:t>
            </w:r>
          </w:p>
        </w:tc>
      </w:tr>
      <w:tr w14:paraId="598E91CD">
        <w:tblPrEx>
          <w:tblCellMar>
            <w:top w:w="0" w:type="dxa"/>
            <w:left w:w="108" w:type="dxa"/>
            <w:bottom w:w="0" w:type="dxa"/>
            <w:right w:w="108" w:type="dxa"/>
          </w:tblCellMar>
        </w:tblPrEx>
        <w:trPr>
          <w:trHeight w:val="1127" w:hRule="atLeast"/>
          <w:jc w:val="center"/>
        </w:trPr>
        <w:tc>
          <w:tcPr>
            <w:tcW w:w="4489" w:type="dxa"/>
            <w:tcBorders>
              <w:tl2br w:val="nil"/>
              <w:tr2bl w:val="nil"/>
            </w:tcBorders>
          </w:tcPr>
          <w:p w14:paraId="00FD7550">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地    址：重庆市璧山区璧城街道</w:t>
            </w:r>
          </w:p>
          <w:p w14:paraId="06A2430C">
            <w:pPr>
              <w:spacing w:line="560" w:lineRule="exact"/>
              <w:ind w:firstLine="1439" w:firstLineChars="514"/>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国学路61号</w:t>
            </w:r>
          </w:p>
        </w:tc>
        <w:tc>
          <w:tcPr>
            <w:tcW w:w="4842" w:type="dxa"/>
            <w:tcBorders>
              <w:tl2br w:val="nil"/>
              <w:tr2bl w:val="nil"/>
            </w:tcBorders>
          </w:tcPr>
          <w:p w14:paraId="7634E8BF">
            <w:pPr>
              <w:spacing w:line="560" w:lineRule="exact"/>
              <w:ind w:left="1400" w:hanging="1400" w:hangingChars="500"/>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地    址：</w:t>
            </w:r>
          </w:p>
        </w:tc>
      </w:tr>
      <w:tr w14:paraId="56222F9F">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14:paraId="34ADCBEC">
            <w:pPr>
              <w:spacing w:line="560" w:lineRule="exact"/>
              <w:ind w:left="1400" w:hanging="1400" w:hangingChars="5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时    间：     年   月   日</w:t>
            </w:r>
          </w:p>
        </w:tc>
        <w:tc>
          <w:tcPr>
            <w:tcW w:w="4842" w:type="dxa"/>
            <w:tcBorders>
              <w:tl2br w:val="nil"/>
              <w:tr2bl w:val="nil"/>
            </w:tcBorders>
            <w:shd w:val="clear" w:color="auto" w:fill="auto"/>
          </w:tcPr>
          <w:p w14:paraId="1C151F4F">
            <w:pPr>
              <w:spacing w:line="560" w:lineRule="exact"/>
              <w:ind w:left="1400" w:hanging="1400" w:hangingChars="500"/>
              <w:jc w:val="lef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时    间：     年   月   日</w:t>
            </w:r>
          </w:p>
        </w:tc>
      </w:tr>
      <w:tr w14:paraId="4841F804">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14:paraId="1B772237">
            <w:pPr>
              <w:spacing w:line="5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签约地点：</w:t>
            </w:r>
            <w:r>
              <w:rPr>
                <w:rFonts w:ascii="Times New Roman" w:hAnsi="Times New Roman" w:eastAsia="方正仿宋_GBK" w:cs="Times New Roman"/>
                <w:kern w:val="0"/>
                <w:sz w:val="28"/>
                <w:szCs w:val="28"/>
                <w:highlight w:val="none"/>
              </w:rPr>
              <w:t>重</w:t>
            </w:r>
            <w:r>
              <w:rPr>
                <w:rFonts w:ascii="Times New Roman" w:hAnsi="Times New Roman" w:eastAsia="方正仿宋_GBK" w:cs="Times New Roman"/>
                <w:sz w:val="28"/>
                <w:szCs w:val="28"/>
                <w:highlight w:val="none"/>
              </w:rPr>
              <w:t>庆市璧山区璧城街道国学路61号重庆中医药学院</w:t>
            </w:r>
          </w:p>
        </w:tc>
      </w:tr>
    </w:tbl>
    <w:p w14:paraId="21C7A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eastAsia" w:ascii="方正仿宋_GBK" w:hAnsi="方正仿宋_GBK" w:eastAsia="方正仿宋_GBK" w:cs="方正仿宋_GBK"/>
          <w:b/>
          <w:bCs/>
          <w:sz w:val="28"/>
          <w:szCs w:val="28"/>
          <w:highlight w:val="none"/>
        </w:rPr>
      </w:pPr>
      <w:bookmarkStart w:id="113" w:name="_Hlt41879464"/>
      <w:bookmarkEnd w:id="113"/>
    </w:p>
    <w:p w14:paraId="33988E7F">
      <w:pPr>
        <w:spacing w:after="120"/>
        <w:rPr>
          <w:rFonts w:ascii="宋体" w:hAnsi="宋体"/>
          <w:color w:val="auto"/>
          <w:sz w:val="24"/>
          <w:szCs w:val="24"/>
          <w:highlight w:val="none"/>
        </w:rPr>
      </w:pPr>
    </w:p>
    <w:p w14:paraId="0E7331C7">
      <w:pPr>
        <w:spacing w:line="360" w:lineRule="auto"/>
        <w:jc w:val="center"/>
        <w:outlineLvl w:val="0"/>
        <w:rPr>
          <w:rFonts w:hint="eastAsia" w:ascii="仿宋" w:hAnsi="仿宋" w:eastAsia="仿宋" w:cs="仿宋"/>
          <w:b/>
          <w:bCs/>
          <w:color w:val="auto"/>
          <w:sz w:val="36"/>
          <w:szCs w:val="30"/>
          <w:highlight w:val="none"/>
        </w:rPr>
        <w:sectPr>
          <w:headerReference r:id="rId6" w:type="default"/>
          <w:footerReference r:id="rId7" w:type="default"/>
          <w:pgSz w:w="11907" w:h="16840"/>
          <w:pgMar w:top="1134" w:right="1191" w:bottom="1134" w:left="1304" w:header="851" w:footer="992" w:gutter="0"/>
          <w:pgNumType w:fmt="decimal"/>
          <w:cols w:space="720" w:num="1"/>
          <w:docGrid w:linePitch="380" w:charSpace="-5735"/>
        </w:sectPr>
      </w:pPr>
      <w:bookmarkStart w:id="114" w:name="_Toc10837"/>
      <w:bookmarkStart w:id="115" w:name="_Toc19273"/>
    </w:p>
    <w:p w14:paraId="15A2C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Times New Roman" w:hAnsi="Times New Roman" w:eastAsia="方正黑体_GBK" w:cs="Times New Roman"/>
          <w:sz w:val="28"/>
          <w:szCs w:val="28"/>
          <w:highlight w:val="none"/>
          <w:lang w:val="en-US" w:eastAsia="zh-CN"/>
        </w:rPr>
      </w:pPr>
      <w:r>
        <w:rPr>
          <w:rFonts w:hint="eastAsia" w:ascii="Times New Roman" w:hAnsi="Times New Roman" w:eastAsia="方正黑体_GBK" w:cs="Times New Roman"/>
          <w:sz w:val="28"/>
          <w:szCs w:val="28"/>
          <w:highlight w:val="none"/>
          <w:lang w:val="en-US" w:eastAsia="zh-CN"/>
        </w:rPr>
        <w:t>附件3：考核标准</w:t>
      </w:r>
    </w:p>
    <w:p w14:paraId="72EDC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default" w:ascii="Times New Roman" w:hAnsi="Times New Roman" w:eastAsia="方正仿宋_GBK" w:cs="Times New Roman"/>
          <w:b/>
          <w:bCs/>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考核标准</w:t>
      </w:r>
    </w:p>
    <w:tbl>
      <w:tblPr>
        <w:tblStyle w:val="21"/>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126"/>
        <w:gridCol w:w="3005"/>
        <w:gridCol w:w="1500"/>
      </w:tblGrid>
      <w:tr w14:paraId="4458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7" w:type="pct"/>
            <w:shd w:val="clear" w:color="auto" w:fill="auto"/>
            <w:noWrap/>
            <w:vAlign w:val="center"/>
          </w:tcPr>
          <w:p w14:paraId="51E30728">
            <w:pPr>
              <w:spacing w:line="440" w:lineRule="exact"/>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序号</w:t>
            </w:r>
          </w:p>
        </w:tc>
        <w:tc>
          <w:tcPr>
            <w:tcW w:w="2190" w:type="pct"/>
            <w:shd w:val="clear" w:color="auto" w:fill="auto"/>
            <w:noWrap/>
            <w:vAlign w:val="center"/>
          </w:tcPr>
          <w:p w14:paraId="1A7042CE">
            <w:pPr>
              <w:spacing w:line="440" w:lineRule="exact"/>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考核观测点</w:t>
            </w:r>
          </w:p>
        </w:tc>
        <w:tc>
          <w:tcPr>
            <w:tcW w:w="1595" w:type="pct"/>
            <w:shd w:val="clear" w:color="auto" w:fill="auto"/>
            <w:noWrap/>
            <w:vAlign w:val="center"/>
          </w:tcPr>
          <w:p w14:paraId="5B4674FB">
            <w:pPr>
              <w:spacing w:line="440" w:lineRule="exact"/>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扣分标准</w:t>
            </w:r>
          </w:p>
        </w:tc>
        <w:tc>
          <w:tcPr>
            <w:tcW w:w="796" w:type="pct"/>
            <w:shd w:val="clear" w:color="auto" w:fill="auto"/>
            <w:noWrap/>
            <w:vAlign w:val="center"/>
          </w:tcPr>
          <w:p w14:paraId="7A500ED5">
            <w:pPr>
              <w:spacing w:line="440" w:lineRule="exact"/>
              <w:jc w:val="center"/>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备注</w:t>
            </w:r>
          </w:p>
        </w:tc>
      </w:tr>
      <w:tr w14:paraId="0E4F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7" w:type="pct"/>
            <w:noWrap/>
            <w:vAlign w:val="center"/>
          </w:tcPr>
          <w:p w14:paraId="294AAB6D">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c>
          <w:tcPr>
            <w:tcW w:w="2190" w:type="pct"/>
            <w:noWrap/>
            <w:vAlign w:val="center"/>
          </w:tcPr>
          <w:p w14:paraId="57B7FFFC">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未做好信息安全保密工作（严禁泄密）</w:t>
            </w:r>
          </w:p>
        </w:tc>
        <w:tc>
          <w:tcPr>
            <w:tcW w:w="1595" w:type="pct"/>
            <w:noWrap/>
            <w:vAlign w:val="center"/>
          </w:tcPr>
          <w:p w14:paraId="6F21D1F1">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按5～15分/次.项扣考核分</w:t>
            </w:r>
          </w:p>
        </w:tc>
        <w:tc>
          <w:tcPr>
            <w:tcW w:w="796" w:type="pct"/>
            <w:noWrap/>
            <w:vAlign w:val="center"/>
          </w:tcPr>
          <w:p w14:paraId="0E26D02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任何时间</w:t>
            </w:r>
          </w:p>
        </w:tc>
      </w:tr>
      <w:tr w14:paraId="787C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7" w:type="pct"/>
            <w:noWrap/>
            <w:vAlign w:val="center"/>
          </w:tcPr>
          <w:p w14:paraId="22817CE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2190" w:type="pct"/>
            <w:noWrap/>
            <w:vAlign w:val="center"/>
          </w:tcPr>
          <w:p w14:paraId="2A3E0102">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人员未准时到岗或无故不到岗</w:t>
            </w:r>
          </w:p>
        </w:tc>
        <w:tc>
          <w:tcPr>
            <w:tcW w:w="1595" w:type="pct"/>
            <w:noWrap/>
            <w:vAlign w:val="center"/>
          </w:tcPr>
          <w:p w14:paraId="78324A2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按1～5分/次.项扣考核分</w:t>
            </w:r>
          </w:p>
        </w:tc>
        <w:tc>
          <w:tcPr>
            <w:tcW w:w="796" w:type="pct"/>
            <w:noWrap/>
            <w:vAlign w:val="center"/>
          </w:tcPr>
          <w:p w14:paraId="1B46A76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工作时间</w:t>
            </w:r>
          </w:p>
        </w:tc>
      </w:tr>
      <w:tr w14:paraId="68D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7" w:type="pct"/>
            <w:noWrap/>
            <w:vAlign w:val="center"/>
          </w:tcPr>
          <w:p w14:paraId="3844B8C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2190" w:type="pct"/>
            <w:noWrap/>
            <w:vAlign w:val="center"/>
          </w:tcPr>
          <w:p w14:paraId="71E91010">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未按要求履行值班制度或离岗</w:t>
            </w:r>
          </w:p>
        </w:tc>
        <w:tc>
          <w:tcPr>
            <w:tcW w:w="1595" w:type="pct"/>
            <w:noWrap/>
            <w:vAlign w:val="center"/>
          </w:tcPr>
          <w:p w14:paraId="46B14796">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799E6976">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值班时间</w:t>
            </w:r>
          </w:p>
        </w:tc>
      </w:tr>
      <w:tr w14:paraId="6719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17" w:type="pct"/>
            <w:noWrap/>
            <w:vAlign w:val="center"/>
          </w:tcPr>
          <w:p w14:paraId="7845DF8E">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2190" w:type="pct"/>
            <w:noWrap/>
            <w:vAlign w:val="center"/>
          </w:tcPr>
          <w:p w14:paraId="61DE82DC">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检查、巡查、维修、报告不及时或巡检记录不全</w:t>
            </w:r>
          </w:p>
        </w:tc>
        <w:tc>
          <w:tcPr>
            <w:tcW w:w="1595" w:type="pct"/>
            <w:noWrap/>
            <w:vAlign w:val="center"/>
          </w:tcPr>
          <w:p w14:paraId="27B4A531">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0E5BA7C9">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未及时巡检，代检漏检等。</w:t>
            </w:r>
          </w:p>
        </w:tc>
      </w:tr>
      <w:tr w14:paraId="026D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17" w:type="pct"/>
            <w:noWrap/>
            <w:vAlign w:val="center"/>
          </w:tcPr>
          <w:p w14:paraId="2495E233">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2190" w:type="pct"/>
            <w:noWrap/>
            <w:vAlign w:val="center"/>
          </w:tcPr>
          <w:p w14:paraId="72BE26FD">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接到教室多媒体设备报修后10分钟内未到达现场</w:t>
            </w:r>
          </w:p>
        </w:tc>
        <w:tc>
          <w:tcPr>
            <w:tcW w:w="1595" w:type="pct"/>
            <w:noWrap/>
            <w:vAlign w:val="center"/>
          </w:tcPr>
          <w:p w14:paraId="5B36B086">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4EAD7BFF">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工作时间</w:t>
            </w:r>
          </w:p>
        </w:tc>
      </w:tr>
      <w:tr w14:paraId="527B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7" w:type="pct"/>
            <w:noWrap/>
            <w:vAlign w:val="center"/>
          </w:tcPr>
          <w:p w14:paraId="3DFB6B8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2190" w:type="pct"/>
            <w:noWrap/>
            <w:vAlign w:val="center"/>
          </w:tcPr>
          <w:p w14:paraId="3F075F59">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未完成多媒体紧急故障处理等工作</w:t>
            </w:r>
          </w:p>
        </w:tc>
        <w:tc>
          <w:tcPr>
            <w:tcW w:w="1595" w:type="pct"/>
            <w:noWrap/>
            <w:vAlign w:val="center"/>
          </w:tcPr>
          <w:p w14:paraId="10D2996B">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7BBF943F">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工作时间</w:t>
            </w:r>
          </w:p>
        </w:tc>
      </w:tr>
      <w:tr w14:paraId="17F5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7" w:type="pct"/>
            <w:noWrap/>
            <w:vAlign w:val="center"/>
          </w:tcPr>
          <w:p w14:paraId="3F261E85">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2190" w:type="pct"/>
            <w:noWrap/>
            <w:vAlign w:val="center"/>
          </w:tcPr>
          <w:p w14:paraId="70A8573F">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带无关人员进入机房</w:t>
            </w:r>
          </w:p>
        </w:tc>
        <w:tc>
          <w:tcPr>
            <w:tcW w:w="1595" w:type="pct"/>
            <w:noWrap/>
            <w:vAlign w:val="center"/>
          </w:tcPr>
          <w:p w14:paraId="4C4C17D1">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13AB21C0">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任何时间</w:t>
            </w:r>
          </w:p>
        </w:tc>
      </w:tr>
      <w:tr w14:paraId="0FF9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17" w:type="pct"/>
            <w:noWrap/>
            <w:vAlign w:val="center"/>
          </w:tcPr>
          <w:p w14:paraId="04625535">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2190" w:type="pct"/>
            <w:noWrap/>
            <w:vAlign w:val="center"/>
          </w:tcPr>
          <w:p w14:paraId="05820F2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携带水、火等违禁物品进入机房</w:t>
            </w:r>
          </w:p>
        </w:tc>
        <w:tc>
          <w:tcPr>
            <w:tcW w:w="1595" w:type="pct"/>
            <w:noWrap/>
            <w:vAlign w:val="center"/>
          </w:tcPr>
          <w:p w14:paraId="7AE517DC">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按10分/次.项扣考核分</w:t>
            </w:r>
          </w:p>
        </w:tc>
        <w:tc>
          <w:tcPr>
            <w:tcW w:w="796" w:type="pct"/>
            <w:noWrap/>
            <w:vAlign w:val="center"/>
          </w:tcPr>
          <w:p w14:paraId="25968B72">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严禁在巡检过程中抽烟</w:t>
            </w:r>
          </w:p>
        </w:tc>
      </w:tr>
      <w:tr w14:paraId="1CB0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7" w:type="pct"/>
            <w:noWrap/>
            <w:vAlign w:val="center"/>
          </w:tcPr>
          <w:p w14:paraId="74EF88EE">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2190" w:type="pct"/>
            <w:noWrap/>
            <w:vAlign w:val="center"/>
          </w:tcPr>
          <w:p w14:paraId="3DD36A47">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巡检结束后未关好门窗</w:t>
            </w:r>
          </w:p>
        </w:tc>
        <w:tc>
          <w:tcPr>
            <w:tcW w:w="1595" w:type="pct"/>
            <w:noWrap/>
            <w:vAlign w:val="center"/>
          </w:tcPr>
          <w:p w14:paraId="04725B31">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按1～2分/次.项扣考核分</w:t>
            </w:r>
          </w:p>
        </w:tc>
        <w:tc>
          <w:tcPr>
            <w:tcW w:w="796" w:type="pct"/>
            <w:noWrap/>
            <w:vAlign w:val="center"/>
          </w:tcPr>
          <w:p w14:paraId="35D157F1">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任何时间</w:t>
            </w:r>
          </w:p>
        </w:tc>
      </w:tr>
      <w:tr w14:paraId="394D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7" w:type="pct"/>
            <w:noWrap/>
            <w:vAlign w:val="center"/>
          </w:tcPr>
          <w:p w14:paraId="3083F0CB">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2190" w:type="pct"/>
            <w:noWrap/>
            <w:vAlign w:val="center"/>
          </w:tcPr>
          <w:p w14:paraId="1F2151F4">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未按期完成汇总分析报告</w:t>
            </w:r>
          </w:p>
        </w:tc>
        <w:tc>
          <w:tcPr>
            <w:tcW w:w="1595" w:type="pct"/>
            <w:noWrap/>
            <w:vAlign w:val="center"/>
          </w:tcPr>
          <w:p w14:paraId="490DBBCF">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按1～5分/次.项扣考核分</w:t>
            </w:r>
          </w:p>
        </w:tc>
        <w:tc>
          <w:tcPr>
            <w:tcW w:w="796" w:type="pct"/>
            <w:noWrap/>
            <w:vAlign w:val="center"/>
          </w:tcPr>
          <w:p w14:paraId="16AC6628">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工作时间</w:t>
            </w:r>
          </w:p>
        </w:tc>
      </w:tr>
      <w:tr w14:paraId="2708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17" w:type="pct"/>
            <w:noWrap/>
            <w:vAlign w:val="center"/>
          </w:tcPr>
          <w:p w14:paraId="3C45FFA3">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2190" w:type="pct"/>
            <w:noWrap/>
            <w:vAlign w:val="center"/>
          </w:tcPr>
          <w:p w14:paraId="7CEFBFFE">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未及时发现中心机房设备故障</w:t>
            </w:r>
          </w:p>
        </w:tc>
        <w:tc>
          <w:tcPr>
            <w:tcW w:w="1595" w:type="pct"/>
            <w:noWrap/>
            <w:vAlign w:val="center"/>
          </w:tcPr>
          <w:p w14:paraId="26FDB31C">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按2～5分/次.项扣考核分</w:t>
            </w:r>
          </w:p>
        </w:tc>
        <w:tc>
          <w:tcPr>
            <w:tcW w:w="796" w:type="pct"/>
            <w:noWrap/>
            <w:vAlign w:val="center"/>
          </w:tcPr>
          <w:p w14:paraId="64B0668E">
            <w:pPr>
              <w:spacing w:line="44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任何时间</w:t>
            </w:r>
          </w:p>
        </w:tc>
      </w:tr>
    </w:tbl>
    <w:p w14:paraId="47F3892D">
      <w:pPr>
        <w:spacing w:line="360" w:lineRule="auto"/>
        <w:jc w:val="center"/>
        <w:outlineLvl w:val="0"/>
        <w:rPr>
          <w:rFonts w:hint="default" w:ascii="仿宋" w:hAnsi="仿宋" w:eastAsia="仿宋" w:cs="仿宋"/>
          <w:b/>
          <w:bCs/>
          <w:color w:val="auto"/>
          <w:sz w:val="36"/>
          <w:szCs w:val="30"/>
          <w:highlight w:val="none"/>
          <w:lang w:val="en-US" w:eastAsia="zh-CN"/>
        </w:rPr>
        <w:sectPr>
          <w:pgSz w:w="11907" w:h="16840"/>
          <w:pgMar w:top="1134" w:right="1191" w:bottom="1134" w:left="1304" w:header="851" w:footer="992" w:gutter="0"/>
          <w:pgNumType w:fmt="decimal"/>
          <w:cols w:space="720" w:num="1"/>
          <w:docGrid w:linePitch="380" w:charSpace="-5735"/>
        </w:sectPr>
      </w:pPr>
    </w:p>
    <w:p w14:paraId="408A70B0">
      <w:pPr>
        <w:spacing w:line="360" w:lineRule="auto"/>
        <w:jc w:val="center"/>
        <w:outlineLvl w:val="0"/>
        <w:rPr>
          <w:rFonts w:ascii="仿宋" w:hAnsi="仿宋" w:eastAsia="仿宋" w:cs="仿宋"/>
          <w:b/>
          <w:bCs/>
          <w:color w:val="auto"/>
          <w:sz w:val="36"/>
          <w:szCs w:val="30"/>
          <w:highlight w:val="none"/>
        </w:rPr>
      </w:pPr>
      <w:r>
        <w:rPr>
          <w:rFonts w:hint="eastAsia" w:ascii="仿宋" w:hAnsi="仿宋" w:eastAsia="仿宋" w:cs="仿宋"/>
          <w:b/>
          <w:bCs/>
          <w:color w:val="auto"/>
          <w:sz w:val="36"/>
          <w:szCs w:val="30"/>
          <w:highlight w:val="none"/>
        </w:rPr>
        <w:t>第七篇  响应文件编制要求</w:t>
      </w:r>
      <w:bookmarkEnd w:id="114"/>
      <w:bookmarkEnd w:id="115"/>
    </w:p>
    <w:p w14:paraId="30EA1877">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12E0257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6B6948D7">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eastAsia="zh-CN"/>
        </w:rPr>
        <w:t>服务部分</w:t>
      </w:r>
    </w:p>
    <w:p w14:paraId="4980480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服务应答</w:t>
      </w:r>
    </w:p>
    <w:p w14:paraId="1DF6A01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服务响应偏离表</w:t>
      </w:r>
    </w:p>
    <w:p w14:paraId="1B79442D">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4D6D3FD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要求响应情况</w:t>
      </w:r>
    </w:p>
    <w:p w14:paraId="00A1DF3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w:t>
      </w:r>
    </w:p>
    <w:p w14:paraId="5C6A0AD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（三）其它优惠承诺</w:t>
      </w:r>
    </w:p>
    <w:p w14:paraId="4FEAAF7A">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594923B7">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5C3935E0">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（二）法定代表人身份证明书（格式）/法定代表人授权委托书（格式）</w:t>
      </w:r>
    </w:p>
    <w:p w14:paraId="13211850">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（三）基本资格条件承诺函（格式）</w:t>
      </w:r>
    </w:p>
    <w:p w14:paraId="786CE911">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55D8B06D">
      <w:pPr>
        <w:spacing w:line="360" w:lineRule="auto"/>
        <w:ind w:firstLine="480" w:firstLineChars="200"/>
        <w:rPr>
          <w:rFonts w:ascii="仿宋" w:hAnsi="仿宋" w:eastAsia="仿宋" w:cs="仿宋"/>
          <w:color w:val="auto"/>
          <w:sz w:val="24"/>
          <w:szCs w:val="24"/>
          <w:highlight w:val="none"/>
          <w:bdr w:val="single" w:color="auto" w:sz="4" w:space="0"/>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（一）其他与项目有关的资料（自附）</w:t>
      </w:r>
    </w:p>
    <w:p w14:paraId="0ADCF2C7">
      <w:pPr>
        <w:numPr>
          <w:ilvl w:val="0"/>
          <w:numId w:val="3"/>
        </w:numPr>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经济部分</w:t>
      </w:r>
    </w:p>
    <w:p w14:paraId="2CE0CBAB">
      <w:pPr>
        <w:tabs>
          <w:tab w:val="left" w:pos="6300"/>
        </w:tabs>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（一）报价函</w:t>
      </w:r>
    </w:p>
    <w:p w14:paraId="50F050D7">
      <w:pPr>
        <w:tabs>
          <w:tab w:val="left" w:pos="6300"/>
        </w:tabs>
        <w:snapToGri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报价函</w:t>
      </w:r>
    </w:p>
    <w:p w14:paraId="0F53B9F5">
      <w:pPr>
        <w:tabs>
          <w:tab w:val="left" w:pos="6300"/>
        </w:tabs>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2C106CFF">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（项目名称）的竞采采购文件，经详细研究，决定参加该项目的竞采。</w:t>
      </w:r>
    </w:p>
    <w:p w14:paraId="198B5742">
      <w:pPr>
        <w:tabs>
          <w:tab w:val="left" w:pos="6300"/>
        </w:tabs>
        <w:snapToGrid w:val="0"/>
        <w:spacing w:line="360" w:lineRule="auto"/>
        <w:ind w:left="252" w:leftChars="90" w:firstLine="216" w:firstLineChars="9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1、愿意按照竞采采购文件中的一切要求，提供本项目的技术服务，</w:t>
      </w:r>
      <w:r>
        <w:rPr>
          <w:rFonts w:hint="eastAsia" w:ascii="仿宋" w:hAnsi="仿宋" w:eastAsia="仿宋" w:cs="仿宋"/>
          <w:color w:val="auto"/>
          <w:sz w:val="24"/>
          <w:szCs w:val="24"/>
          <w:highlight w:val="none"/>
          <w:lang w:val="en-US" w:eastAsia="zh-CN"/>
        </w:rPr>
        <w:t>投标报价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val="en-US" w:eastAsia="zh-CN"/>
        </w:rPr>
        <w:t xml:space="preserve">      元</w:t>
      </w:r>
      <w:r>
        <w:rPr>
          <w:rFonts w:hint="eastAsia" w:ascii="仿宋" w:hAnsi="仿宋" w:eastAsia="仿宋" w:cs="仿宋"/>
          <w:color w:val="auto"/>
          <w:sz w:val="24"/>
          <w:szCs w:val="24"/>
          <w:highlight w:val="none"/>
          <w:lang w:val="en-US" w:eastAsia="zh-CN"/>
        </w:rPr>
        <w:t>。</w:t>
      </w:r>
    </w:p>
    <w:p w14:paraId="620D6FCB">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份，纸质件正本1份，副本2份。</w:t>
      </w:r>
    </w:p>
    <w:p w14:paraId="6E30DA23">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489C379B">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54C8F0E8">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5、在整个竞采采购过程中，我方若有违规行为，接受按照行采家平台规定给予惩罚。</w:t>
      </w:r>
    </w:p>
    <w:p w14:paraId="128EB18A">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7A2E31DB">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56657190">
      <w:pPr>
        <w:tabs>
          <w:tab w:val="left" w:pos="6300"/>
        </w:tabs>
        <w:snapToGrid w:val="0"/>
        <w:spacing w:line="360" w:lineRule="auto"/>
        <w:ind w:firstLine="570"/>
        <w:rPr>
          <w:rFonts w:ascii="仿宋" w:hAnsi="仿宋" w:eastAsia="仿宋" w:cs="仿宋"/>
          <w:color w:val="auto"/>
          <w:sz w:val="24"/>
          <w:szCs w:val="24"/>
          <w:highlight w:val="none"/>
        </w:rPr>
      </w:pPr>
    </w:p>
    <w:p w14:paraId="370120BC">
      <w:pPr>
        <w:tabs>
          <w:tab w:val="left" w:pos="6300"/>
        </w:tabs>
        <w:snapToGrid w:val="0"/>
        <w:spacing w:line="360" w:lineRule="auto"/>
        <w:ind w:firstLine="570"/>
        <w:rPr>
          <w:rFonts w:ascii="仿宋" w:hAnsi="仿宋" w:eastAsia="仿宋" w:cs="仿宋"/>
          <w:color w:val="auto"/>
          <w:sz w:val="24"/>
          <w:szCs w:val="24"/>
          <w:highlight w:val="none"/>
        </w:rPr>
      </w:pPr>
    </w:p>
    <w:p w14:paraId="712FD970">
      <w:pPr>
        <w:tabs>
          <w:tab w:val="left" w:pos="6300"/>
        </w:tabs>
        <w:snapToGrid w:val="0"/>
        <w:spacing w:line="360" w:lineRule="auto"/>
        <w:ind w:firstLine="570"/>
        <w:rPr>
          <w:rFonts w:ascii="仿宋" w:hAnsi="仿宋" w:eastAsia="仿宋" w:cs="仿宋"/>
          <w:color w:val="auto"/>
          <w:sz w:val="24"/>
          <w:szCs w:val="24"/>
          <w:highlight w:val="none"/>
        </w:rPr>
      </w:pPr>
    </w:p>
    <w:p w14:paraId="6E67B11C">
      <w:pPr>
        <w:tabs>
          <w:tab w:val="left" w:pos="6300"/>
        </w:tabs>
        <w:snapToGrid w:val="0"/>
        <w:spacing w:line="360" w:lineRule="auto"/>
        <w:ind w:firstLine="570"/>
        <w:rPr>
          <w:rFonts w:ascii="仿宋" w:hAnsi="仿宋" w:eastAsia="仿宋" w:cs="仿宋"/>
          <w:color w:val="auto"/>
          <w:sz w:val="24"/>
          <w:szCs w:val="24"/>
          <w:highlight w:val="none"/>
        </w:rPr>
      </w:pPr>
    </w:p>
    <w:p w14:paraId="3641E65F">
      <w:pPr>
        <w:tabs>
          <w:tab w:val="left" w:pos="6300"/>
        </w:tabs>
        <w:snapToGrid w:val="0"/>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0BC008CC">
      <w:pPr>
        <w:snapToGrid w:val="0"/>
        <w:spacing w:line="360" w:lineRule="auto"/>
        <w:ind w:firstLine="480" w:firstLineChars="200"/>
        <w:rPr>
          <w:rFonts w:ascii="仿宋" w:hAnsi="仿宋" w:eastAsia="仿宋" w:cs="仿宋"/>
          <w:color w:val="auto"/>
          <w:sz w:val="24"/>
          <w:szCs w:val="24"/>
          <w:highlight w:val="none"/>
        </w:rPr>
        <w:sectPr>
          <w:footerReference r:id="rId8"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 xml:space="preserve">                                                  年   月   日</w:t>
      </w:r>
    </w:p>
    <w:p w14:paraId="40452DAD">
      <w:pPr>
        <w:spacing w:line="360" w:lineRule="auto"/>
        <w:rPr>
          <w:rFonts w:hint="eastAsia" w:ascii="仿宋" w:hAnsi="仿宋" w:eastAsia="仿宋" w:cs="仿宋"/>
          <w:color w:val="auto"/>
          <w:sz w:val="24"/>
          <w:szCs w:val="24"/>
          <w:highlight w:val="none"/>
          <w:lang w:eastAsia="zh-CN"/>
        </w:rPr>
      </w:pPr>
      <w:bookmarkStart w:id="116" w:name="_Toc487204798"/>
      <w:bookmarkStart w:id="117" w:name="_Toc486608278"/>
      <w:bookmarkStart w:id="118" w:name="_Toc486585241"/>
      <w:bookmarkStart w:id="119" w:name="_Toc3192"/>
      <w:bookmarkStart w:id="120" w:name="_Toc9090"/>
      <w:r>
        <w:rPr>
          <w:rFonts w:hint="eastAsia" w:ascii="仿宋" w:hAnsi="仿宋" w:eastAsia="仿宋" w:cs="仿宋"/>
          <w:color w:val="auto"/>
          <w:sz w:val="24"/>
          <w:szCs w:val="24"/>
          <w:highlight w:val="none"/>
        </w:rPr>
        <w:t>二、</w:t>
      </w:r>
      <w:bookmarkEnd w:id="116"/>
      <w:bookmarkEnd w:id="117"/>
      <w:bookmarkEnd w:id="118"/>
      <w:bookmarkEnd w:id="119"/>
      <w:bookmarkEnd w:id="120"/>
      <w:r>
        <w:rPr>
          <w:rFonts w:hint="eastAsia" w:ascii="仿宋" w:hAnsi="仿宋" w:eastAsia="仿宋" w:cs="仿宋"/>
          <w:color w:val="auto"/>
          <w:sz w:val="24"/>
          <w:szCs w:val="24"/>
          <w:highlight w:val="none"/>
          <w:lang w:eastAsia="zh-CN"/>
        </w:rPr>
        <w:t>服务部分</w:t>
      </w:r>
    </w:p>
    <w:p w14:paraId="4A8BAD72">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服务应答</w:t>
      </w:r>
      <w:r>
        <w:rPr>
          <w:rFonts w:hint="eastAsia" w:ascii="仿宋" w:hAnsi="仿宋" w:eastAsia="仿宋" w:cs="仿宋"/>
          <w:color w:val="auto"/>
          <w:sz w:val="24"/>
          <w:szCs w:val="24"/>
          <w:highlight w:val="none"/>
        </w:rPr>
        <w:t>（格式自拟）</w:t>
      </w:r>
    </w:p>
    <w:p w14:paraId="49197DFC">
      <w:pPr>
        <w:pStyle w:val="5"/>
        <w:spacing w:line="360" w:lineRule="auto"/>
        <w:ind w:left="560"/>
        <w:rPr>
          <w:rFonts w:ascii="仿宋" w:hAnsi="仿宋" w:eastAsia="仿宋" w:cs="仿宋"/>
          <w:color w:val="auto"/>
          <w:sz w:val="24"/>
          <w:szCs w:val="24"/>
          <w:highlight w:val="none"/>
        </w:rPr>
      </w:pPr>
    </w:p>
    <w:p w14:paraId="166099A8">
      <w:pPr>
        <w:spacing w:line="360" w:lineRule="auto"/>
        <w:rPr>
          <w:rFonts w:ascii="仿宋" w:hAnsi="仿宋" w:eastAsia="仿宋" w:cs="仿宋"/>
          <w:color w:val="auto"/>
          <w:sz w:val="24"/>
          <w:szCs w:val="24"/>
          <w:highlight w:val="none"/>
        </w:rPr>
      </w:pPr>
    </w:p>
    <w:p w14:paraId="5FEF97CF">
      <w:pPr>
        <w:pStyle w:val="5"/>
        <w:spacing w:line="360" w:lineRule="auto"/>
        <w:ind w:left="560"/>
        <w:rPr>
          <w:rFonts w:ascii="仿宋" w:hAnsi="仿宋" w:eastAsia="仿宋" w:cs="仿宋"/>
          <w:color w:val="auto"/>
          <w:sz w:val="24"/>
          <w:szCs w:val="24"/>
          <w:highlight w:val="none"/>
        </w:rPr>
      </w:pPr>
    </w:p>
    <w:p w14:paraId="47ACA3DA">
      <w:pPr>
        <w:spacing w:line="360" w:lineRule="auto"/>
        <w:rPr>
          <w:rFonts w:ascii="仿宋" w:hAnsi="仿宋" w:eastAsia="仿宋" w:cs="仿宋"/>
          <w:color w:val="auto"/>
          <w:sz w:val="24"/>
          <w:szCs w:val="24"/>
          <w:highlight w:val="none"/>
        </w:rPr>
      </w:pPr>
    </w:p>
    <w:p w14:paraId="570C6CDF">
      <w:pPr>
        <w:pStyle w:val="5"/>
        <w:spacing w:line="360" w:lineRule="auto"/>
        <w:ind w:left="560"/>
        <w:rPr>
          <w:rFonts w:ascii="仿宋" w:hAnsi="仿宋" w:eastAsia="仿宋" w:cs="仿宋"/>
          <w:color w:val="auto"/>
          <w:sz w:val="24"/>
          <w:szCs w:val="24"/>
          <w:highlight w:val="none"/>
        </w:rPr>
      </w:pPr>
    </w:p>
    <w:p w14:paraId="3ED251CB">
      <w:pPr>
        <w:spacing w:line="360" w:lineRule="auto"/>
        <w:rPr>
          <w:rFonts w:ascii="仿宋" w:hAnsi="仿宋" w:eastAsia="仿宋" w:cs="仿宋"/>
          <w:color w:val="auto"/>
          <w:sz w:val="24"/>
          <w:szCs w:val="24"/>
          <w:highlight w:val="none"/>
        </w:rPr>
      </w:pPr>
    </w:p>
    <w:p w14:paraId="0FF6B521">
      <w:pPr>
        <w:pStyle w:val="5"/>
        <w:spacing w:line="360" w:lineRule="auto"/>
        <w:ind w:left="560"/>
        <w:rPr>
          <w:rFonts w:ascii="仿宋" w:hAnsi="仿宋" w:eastAsia="仿宋" w:cs="仿宋"/>
          <w:color w:val="auto"/>
          <w:sz w:val="24"/>
          <w:szCs w:val="24"/>
          <w:highlight w:val="none"/>
        </w:rPr>
      </w:pPr>
    </w:p>
    <w:p w14:paraId="0476D968">
      <w:pPr>
        <w:spacing w:line="360" w:lineRule="auto"/>
        <w:rPr>
          <w:rFonts w:ascii="仿宋" w:hAnsi="仿宋" w:eastAsia="仿宋" w:cs="仿宋"/>
          <w:color w:val="auto"/>
          <w:sz w:val="24"/>
          <w:szCs w:val="24"/>
          <w:highlight w:val="none"/>
        </w:rPr>
      </w:pPr>
    </w:p>
    <w:p w14:paraId="07843BA9">
      <w:pPr>
        <w:pStyle w:val="5"/>
        <w:spacing w:line="360" w:lineRule="auto"/>
        <w:ind w:left="560"/>
        <w:rPr>
          <w:rFonts w:ascii="仿宋" w:hAnsi="仿宋" w:eastAsia="仿宋" w:cs="仿宋"/>
          <w:color w:val="auto"/>
          <w:sz w:val="24"/>
          <w:szCs w:val="24"/>
          <w:highlight w:val="none"/>
        </w:rPr>
      </w:pPr>
    </w:p>
    <w:p w14:paraId="0521FF88">
      <w:pPr>
        <w:spacing w:line="360" w:lineRule="auto"/>
        <w:rPr>
          <w:rFonts w:ascii="仿宋" w:hAnsi="仿宋" w:eastAsia="仿宋" w:cs="仿宋"/>
          <w:color w:val="auto"/>
          <w:sz w:val="24"/>
          <w:szCs w:val="24"/>
          <w:highlight w:val="none"/>
        </w:rPr>
      </w:pPr>
    </w:p>
    <w:p w14:paraId="16826166">
      <w:pPr>
        <w:pStyle w:val="5"/>
        <w:spacing w:line="360" w:lineRule="auto"/>
        <w:ind w:left="560"/>
        <w:rPr>
          <w:rFonts w:ascii="仿宋" w:hAnsi="仿宋" w:eastAsia="仿宋" w:cs="仿宋"/>
          <w:color w:val="auto"/>
          <w:sz w:val="24"/>
          <w:szCs w:val="24"/>
          <w:highlight w:val="none"/>
        </w:rPr>
      </w:pPr>
    </w:p>
    <w:p w14:paraId="349EF642">
      <w:pPr>
        <w:spacing w:line="360" w:lineRule="auto"/>
        <w:rPr>
          <w:rFonts w:ascii="仿宋" w:hAnsi="仿宋" w:eastAsia="仿宋" w:cs="仿宋"/>
          <w:color w:val="auto"/>
          <w:sz w:val="24"/>
          <w:szCs w:val="24"/>
          <w:highlight w:val="none"/>
        </w:rPr>
      </w:pPr>
    </w:p>
    <w:p w14:paraId="0FDDE833">
      <w:pPr>
        <w:pStyle w:val="5"/>
        <w:spacing w:line="360" w:lineRule="auto"/>
        <w:ind w:left="560"/>
        <w:rPr>
          <w:rFonts w:ascii="仿宋" w:hAnsi="仿宋" w:eastAsia="仿宋" w:cs="仿宋"/>
          <w:color w:val="auto"/>
          <w:sz w:val="24"/>
          <w:szCs w:val="24"/>
          <w:highlight w:val="none"/>
        </w:rPr>
      </w:pPr>
    </w:p>
    <w:p w14:paraId="770D1497">
      <w:pPr>
        <w:spacing w:line="360" w:lineRule="auto"/>
        <w:rPr>
          <w:rFonts w:ascii="仿宋" w:hAnsi="仿宋" w:eastAsia="仿宋" w:cs="仿宋"/>
          <w:color w:val="auto"/>
          <w:sz w:val="24"/>
          <w:szCs w:val="24"/>
          <w:highlight w:val="none"/>
        </w:rPr>
      </w:pPr>
    </w:p>
    <w:p w14:paraId="735A36B0">
      <w:pPr>
        <w:pStyle w:val="5"/>
        <w:spacing w:line="360" w:lineRule="auto"/>
        <w:ind w:left="560"/>
        <w:rPr>
          <w:rFonts w:ascii="仿宋" w:hAnsi="仿宋" w:eastAsia="仿宋" w:cs="仿宋"/>
          <w:color w:val="auto"/>
          <w:highlight w:val="none"/>
        </w:rPr>
      </w:pPr>
    </w:p>
    <w:p w14:paraId="7D1DDDD8">
      <w:pPr>
        <w:snapToGrid w:val="0"/>
        <w:spacing w:line="360" w:lineRule="auto"/>
        <w:rPr>
          <w:rFonts w:ascii="仿宋" w:hAnsi="仿宋" w:eastAsia="仿宋" w:cs="仿宋"/>
          <w:color w:val="auto"/>
          <w:sz w:val="24"/>
          <w:szCs w:val="24"/>
          <w:highlight w:val="none"/>
        </w:rPr>
      </w:pPr>
    </w:p>
    <w:p w14:paraId="46A0A53E">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CF90FDB">
      <w:pPr>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服务响应偏离表</w:t>
      </w:r>
    </w:p>
    <w:p w14:paraId="51C67858">
      <w:pPr>
        <w:tabs>
          <w:tab w:val="left" w:pos="63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CD2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DCB8650">
            <w:pPr>
              <w:tabs>
                <w:tab w:val="left" w:pos="6300"/>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58" w:type="dxa"/>
            <w:vAlign w:val="center"/>
          </w:tcPr>
          <w:p w14:paraId="15E391D4">
            <w:pPr>
              <w:tabs>
                <w:tab w:val="left" w:pos="63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采购需求</w:t>
            </w:r>
          </w:p>
        </w:tc>
        <w:tc>
          <w:tcPr>
            <w:tcW w:w="2759" w:type="dxa"/>
            <w:vAlign w:val="center"/>
          </w:tcPr>
          <w:p w14:paraId="4902A754">
            <w:pPr>
              <w:tabs>
                <w:tab w:val="left" w:pos="63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响应情况</w:t>
            </w:r>
          </w:p>
        </w:tc>
        <w:tc>
          <w:tcPr>
            <w:tcW w:w="2067" w:type="dxa"/>
            <w:vAlign w:val="center"/>
          </w:tcPr>
          <w:p w14:paraId="403D66C0">
            <w:pPr>
              <w:tabs>
                <w:tab w:val="left" w:pos="6300"/>
              </w:tabs>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差异说明</w:t>
            </w:r>
          </w:p>
        </w:tc>
      </w:tr>
      <w:tr w14:paraId="63A2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8DFACFA">
            <w:pPr>
              <w:tabs>
                <w:tab w:val="left" w:pos="6300"/>
              </w:tabs>
              <w:snapToGrid w:val="0"/>
              <w:spacing w:line="360" w:lineRule="auto"/>
              <w:jc w:val="center"/>
              <w:rPr>
                <w:rFonts w:ascii="仿宋" w:hAnsi="仿宋" w:eastAsia="仿宋" w:cs="仿宋"/>
                <w:color w:val="auto"/>
                <w:sz w:val="21"/>
                <w:szCs w:val="21"/>
                <w:highlight w:val="none"/>
              </w:rPr>
            </w:pPr>
          </w:p>
        </w:tc>
        <w:tc>
          <w:tcPr>
            <w:tcW w:w="2658" w:type="dxa"/>
            <w:vAlign w:val="center"/>
          </w:tcPr>
          <w:p w14:paraId="4FF3AF2D">
            <w:pPr>
              <w:tabs>
                <w:tab w:val="left" w:pos="6300"/>
              </w:tabs>
              <w:snapToGrid w:val="0"/>
              <w:spacing w:line="360" w:lineRule="auto"/>
              <w:jc w:val="center"/>
              <w:rPr>
                <w:rFonts w:ascii="仿宋" w:hAnsi="仿宋" w:eastAsia="仿宋" w:cs="仿宋"/>
                <w:color w:val="auto"/>
                <w:sz w:val="21"/>
                <w:szCs w:val="21"/>
                <w:highlight w:val="none"/>
              </w:rPr>
            </w:pPr>
          </w:p>
        </w:tc>
        <w:tc>
          <w:tcPr>
            <w:tcW w:w="2759" w:type="dxa"/>
            <w:vAlign w:val="center"/>
          </w:tcPr>
          <w:p w14:paraId="1DB6DE54">
            <w:pPr>
              <w:spacing w:line="360" w:lineRule="auto"/>
              <w:rPr>
                <w:rFonts w:ascii="仿宋" w:hAnsi="仿宋" w:eastAsia="仿宋" w:cs="仿宋"/>
                <w:color w:val="auto"/>
                <w:highlight w:val="none"/>
              </w:rPr>
            </w:pPr>
            <w:bookmarkStart w:id="121" w:name="_Toc8080"/>
            <w:bookmarkStart w:id="122" w:name="_Toc30143"/>
            <w:r>
              <w:rPr>
                <w:rFonts w:hint="eastAsia" w:ascii="仿宋" w:hAnsi="仿宋" w:eastAsia="仿宋" w:cs="仿宋"/>
                <w:color w:val="auto"/>
                <w:sz w:val="24"/>
                <w:highlight w:val="none"/>
              </w:rPr>
              <w:t>提醒：请注明技术参数或具体内容</w:t>
            </w:r>
            <w:bookmarkEnd w:id="121"/>
            <w:bookmarkEnd w:id="122"/>
          </w:p>
        </w:tc>
        <w:tc>
          <w:tcPr>
            <w:tcW w:w="2067" w:type="dxa"/>
            <w:vAlign w:val="center"/>
          </w:tcPr>
          <w:p w14:paraId="0FFAE0D7">
            <w:pPr>
              <w:tabs>
                <w:tab w:val="left" w:pos="6300"/>
              </w:tabs>
              <w:snapToGrid w:val="0"/>
              <w:spacing w:line="360" w:lineRule="auto"/>
              <w:jc w:val="center"/>
              <w:rPr>
                <w:rFonts w:ascii="仿宋" w:hAnsi="仿宋" w:eastAsia="仿宋" w:cs="仿宋"/>
                <w:color w:val="auto"/>
                <w:sz w:val="21"/>
                <w:szCs w:val="21"/>
                <w:highlight w:val="none"/>
              </w:rPr>
            </w:pPr>
          </w:p>
        </w:tc>
      </w:tr>
      <w:tr w14:paraId="3D18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861C49C">
            <w:pPr>
              <w:tabs>
                <w:tab w:val="left" w:pos="6300"/>
              </w:tabs>
              <w:snapToGrid w:val="0"/>
              <w:spacing w:line="360" w:lineRule="auto"/>
              <w:jc w:val="center"/>
              <w:rPr>
                <w:rFonts w:ascii="仿宋" w:hAnsi="仿宋" w:eastAsia="仿宋" w:cs="仿宋"/>
                <w:color w:val="auto"/>
                <w:sz w:val="21"/>
                <w:szCs w:val="21"/>
                <w:highlight w:val="none"/>
              </w:rPr>
            </w:pPr>
          </w:p>
        </w:tc>
        <w:tc>
          <w:tcPr>
            <w:tcW w:w="2658" w:type="dxa"/>
            <w:vAlign w:val="center"/>
          </w:tcPr>
          <w:p w14:paraId="46B19222">
            <w:pPr>
              <w:tabs>
                <w:tab w:val="left" w:pos="6300"/>
              </w:tabs>
              <w:snapToGrid w:val="0"/>
              <w:spacing w:line="360" w:lineRule="auto"/>
              <w:jc w:val="center"/>
              <w:rPr>
                <w:rFonts w:ascii="仿宋" w:hAnsi="仿宋" w:eastAsia="仿宋" w:cs="仿宋"/>
                <w:color w:val="auto"/>
                <w:sz w:val="21"/>
                <w:szCs w:val="21"/>
                <w:highlight w:val="none"/>
              </w:rPr>
            </w:pPr>
          </w:p>
        </w:tc>
        <w:tc>
          <w:tcPr>
            <w:tcW w:w="2759" w:type="dxa"/>
            <w:vAlign w:val="center"/>
          </w:tcPr>
          <w:p w14:paraId="0225A8A5">
            <w:pPr>
              <w:tabs>
                <w:tab w:val="left" w:pos="6300"/>
              </w:tabs>
              <w:snapToGrid w:val="0"/>
              <w:spacing w:line="360" w:lineRule="auto"/>
              <w:jc w:val="center"/>
              <w:rPr>
                <w:rFonts w:ascii="仿宋" w:hAnsi="仿宋" w:eastAsia="仿宋" w:cs="仿宋"/>
                <w:color w:val="auto"/>
                <w:sz w:val="21"/>
                <w:szCs w:val="21"/>
                <w:highlight w:val="none"/>
              </w:rPr>
            </w:pPr>
          </w:p>
        </w:tc>
        <w:tc>
          <w:tcPr>
            <w:tcW w:w="2067" w:type="dxa"/>
            <w:vAlign w:val="center"/>
          </w:tcPr>
          <w:p w14:paraId="6580A6F1">
            <w:pPr>
              <w:tabs>
                <w:tab w:val="left" w:pos="6300"/>
              </w:tabs>
              <w:snapToGrid w:val="0"/>
              <w:spacing w:line="360" w:lineRule="auto"/>
              <w:jc w:val="center"/>
              <w:rPr>
                <w:rFonts w:ascii="仿宋" w:hAnsi="仿宋" w:eastAsia="仿宋" w:cs="仿宋"/>
                <w:color w:val="auto"/>
                <w:sz w:val="21"/>
                <w:szCs w:val="21"/>
                <w:highlight w:val="none"/>
              </w:rPr>
            </w:pPr>
          </w:p>
        </w:tc>
      </w:tr>
      <w:tr w14:paraId="4784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7D78458">
            <w:pPr>
              <w:tabs>
                <w:tab w:val="left" w:pos="6300"/>
              </w:tabs>
              <w:snapToGrid w:val="0"/>
              <w:spacing w:line="360" w:lineRule="auto"/>
              <w:jc w:val="center"/>
              <w:rPr>
                <w:rFonts w:ascii="仿宋" w:hAnsi="仿宋" w:eastAsia="仿宋" w:cs="仿宋"/>
                <w:color w:val="auto"/>
                <w:sz w:val="21"/>
                <w:szCs w:val="21"/>
                <w:highlight w:val="none"/>
              </w:rPr>
            </w:pPr>
          </w:p>
        </w:tc>
        <w:tc>
          <w:tcPr>
            <w:tcW w:w="2658" w:type="dxa"/>
            <w:vAlign w:val="center"/>
          </w:tcPr>
          <w:p w14:paraId="201F4E94">
            <w:pPr>
              <w:tabs>
                <w:tab w:val="left" w:pos="6300"/>
              </w:tabs>
              <w:snapToGrid w:val="0"/>
              <w:spacing w:line="360" w:lineRule="auto"/>
              <w:jc w:val="center"/>
              <w:rPr>
                <w:rFonts w:ascii="仿宋" w:hAnsi="仿宋" w:eastAsia="仿宋" w:cs="仿宋"/>
                <w:color w:val="auto"/>
                <w:sz w:val="21"/>
                <w:szCs w:val="21"/>
                <w:highlight w:val="none"/>
              </w:rPr>
            </w:pPr>
          </w:p>
        </w:tc>
        <w:tc>
          <w:tcPr>
            <w:tcW w:w="2759" w:type="dxa"/>
            <w:vAlign w:val="center"/>
          </w:tcPr>
          <w:p w14:paraId="576171AB">
            <w:pPr>
              <w:tabs>
                <w:tab w:val="left" w:pos="6300"/>
              </w:tabs>
              <w:snapToGrid w:val="0"/>
              <w:spacing w:line="360" w:lineRule="auto"/>
              <w:jc w:val="center"/>
              <w:rPr>
                <w:rFonts w:ascii="仿宋" w:hAnsi="仿宋" w:eastAsia="仿宋" w:cs="仿宋"/>
                <w:color w:val="auto"/>
                <w:sz w:val="21"/>
                <w:szCs w:val="21"/>
                <w:highlight w:val="none"/>
              </w:rPr>
            </w:pPr>
          </w:p>
        </w:tc>
        <w:tc>
          <w:tcPr>
            <w:tcW w:w="2067" w:type="dxa"/>
            <w:vAlign w:val="center"/>
          </w:tcPr>
          <w:p w14:paraId="639914E3">
            <w:pPr>
              <w:tabs>
                <w:tab w:val="left" w:pos="6300"/>
              </w:tabs>
              <w:snapToGrid w:val="0"/>
              <w:spacing w:line="360" w:lineRule="auto"/>
              <w:jc w:val="center"/>
              <w:rPr>
                <w:rFonts w:ascii="仿宋" w:hAnsi="仿宋" w:eastAsia="仿宋" w:cs="仿宋"/>
                <w:color w:val="auto"/>
                <w:sz w:val="21"/>
                <w:szCs w:val="21"/>
                <w:highlight w:val="none"/>
              </w:rPr>
            </w:pPr>
          </w:p>
        </w:tc>
      </w:tr>
      <w:tr w14:paraId="7B2A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8B7DB13">
            <w:pPr>
              <w:tabs>
                <w:tab w:val="left" w:pos="6300"/>
              </w:tabs>
              <w:snapToGrid w:val="0"/>
              <w:spacing w:line="360" w:lineRule="auto"/>
              <w:jc w:val="center"/>
              <w:rPr>
                <w:rFonts w:ascii="仿宋" w:hAnsi="仿宋" w:eastAsia="仿宋" w:cs="仿宋"/>
                <w:color w:val="auto"/>
                <w:sz w:val="21"/>
                <w:szCs w:val="21"/>
                <w:highlight w:val="none"/>
              </w:rPr>
            </w:pPr>
          </w:p>
        </w:tc>
        <w:tc>
          <w:tcPr>
            <w:tcW w:w="2658" w:type="dxa"/>
            <w:vAlign w:val="center"/>
          </w:tcPr>
          <w:p w14:paraId="31B87987">
            <w:pPr>
              <w:tabs>
                <w:tab w:val="left" w:pos="6300"/>
              </w:tabs>
              <w:snapToGrid w:val="0"/>
              <w:spacing w:line="360" w:lineRule="auto"/>
              <w:jc w:val="center"/>
              <w:rPr>
                <w:rFonts w:ascii="仿宋" w:hAnsi="仿宋" w:eastAsia="仿宋" w:cs="仿宋"/>
                <w:color w:val="auto"/>
                <w:sz w:val="21"/>
                <w:szCs w:val="21"/>
                <w:highlight w:val="none"/>
              </w:rPr>
            </w:pPr>
          </w:p>
        </w:tc>
        <w:tc>
          <w:tcPr>
            <w:tcW w:w="2759" w:type="dxa"/>
            <w:vAlign w:val="center"/>
          </w:tcPr>
          <w:p w14:paraId="6E9B966F">
            <w:pPr>
              <w:tabs>
                <w:tab w:val="left" w:pos="6300"/>
              </w:tabs>
              <w:snapToGrid w:val="0"/>
              <w:spacing w:line="360" w:lineRule="auto"/>
              <w:jc w:val="center"/>
              <w:rPr>
                <w:rFonts w:ascii="仿宋" w:hAnsi="仿宋" w:eastAsia="仿宋" w:cs="仿宋"/>
                <w:color w:val="auto"/>
                <w:sz w:val="21"/>
                <w:szCs w:val="21"/>
                <w:highlight w:val="none"/>
              </w:rPr>
            </w:pPr>
          </w:p>
        </w:tc>
        <w:tc>
          <w:tcPr>
            <w:tcW w:w="2067" w:type="dxa"/>
            <w:vAlign w:val="center"/>
          </w:tcPr>
          <w:p w14:paraId="63C5DFC3">
            <w:pPr>
              <w:tabs>
                <w:tab w:val="left" w:pos="6300"/>
              </w:tabs>
              <w:snapToGrid w:val="0"/>
              <w:spacing w:line="360" w:lineRule="auto"/>
              <w:jc w:val="center"/>
              <w:rPr>
                <w:rFonts w:ascii="仿宋" w:hAnsi="仿宋" w:eastAsia="仿宋" w:cs="仿宋"/>
                <w:color w:val="auto"/>
                <w:sz w:val="21"/>
                <w:szCs w:val="21"/>
                <w:highlight w:val="none"/>
              </w:rPr>
            </w:pPr>
          </w:p>
        </w:tc>
      </w:tr>
      <w:tr w14:paraId="1D24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AC3642">
            <w:pPr>
              <w:tabs>
                <w:tab w:val="left" w:pos="6300"/>
              </w:tabs>
              <w:snapToGrid w:val="0"/>
              <w:spacing w:line="360" w:lineRule="auto"/>
              <w:jc w:val="center"/>
              <w:rPr>
                <w:rFonts w:ascii="仿宋" w:hAnsi="仿宋" w:eastAsia="仿宋" w:cs="仿宋"/>
                <w:color w:val="auto"/>
                <w:sz w:val="21"/>
                <w:szCs w:val="21"/>
                <w:highlight w:val="none"/>
              </w:rPr>
            </w:pPr>
          </w:p>
        </w:tc>
        <w:tc>
          <w:tcPr>
            <w:tcW w:w="2658" w:type="dxa"/>
            <w:vAlign w:val="center"/>
          </w:tcPr>
          <w:p w14:paraId="14D5F309">
            <w:pPr>
              <w:tabs>
                <w:tab w:val="left" w:pos="6300"/>
              </w:tabs>
              <w:snapToGrid w:val="0"/>
              <w:spacing w:line="360" w:lineRule="auto"/>
              <w:jc w:val="center"/>
              <w:rPr>
                <w:rFonts w:ascii="仿宋" w:hAnsi="仿宋" w:eastAsia="仿宋" w:cs="仿宋"/>
                <w:color w:val="auto"/>
                <w:sz w:val="21"/>
                <w:szCs w:val="21"/>
                <w:highlight w:val="none"/>
              </w:rPr>
            </w:pPr>
          </w:p>
        </w:tc>
        <w:tc>
          <w:tcPr>
            <w:tcW w:w="2759" w:type="dxa"/>
            <w:vAlign w:val="center"/>
          </w:tcPr>
          <w:p w14:paraId="09CA5169">
            <w:pPr>
              <w:tabs>
                <w:tab w:val="left" w:pos="6300"/>
              </w:tabs>
              <w:snapToGrid w:val="0"/>
              <w:spacing w:line="360" w:lineRule="auto"/>
              <w:jc w:val="center"/>
              <w:rPr>
                <w:rFonts w:ascii="仿宋" w:hAnsi="仿宋" w:eastAsia="仿宋" w:cs="仿宋"/>
                <w:color w:val="auto"/>
                <w:sz w:val="21"/>
                <w:szCs w:val="21"/>
                <w:highlight w:val="none"/>
              </w:rPr>
            </w:pPr>
          </w:p>
        </w:tc>
        <w:tc>
          <w:tcPr>
            <w:tcW w:w="2067" w:type="dxa"/>
            <w:vAlign w:val="center"/>
          </w:tcPr>
          <w:p w14:paraId="702EBDAE">
            <w:pPr>
              <w:tabs>
                <w:tab w:val="left" w:pos="6300"/>
              </w:tabs>
              <w:snapToGrid w:val="0"/>
              <w:spacing w:line="360" w:lineRule="auto"/>
              <w:jc w:val="center"/>
              <w:rPr>
                <w:rFonts w:ascii="仿宋" w:hAnsi="仿宋" w:eastAsia="仿宋" w:cs="仿宋"/>
                <w:color w:val="auto"/>
                <w:sz w:val="21"/>
                <w:szCs w:val="21"/>
                <w:highlight w:val="none"/>
              </w:rPr>
            </w:pPr>
          </w:p>
        </w:tc>
      </w:tr>
      <w:tr w14:paraId="338B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38E58A">
            <w:pPr>
              <w:tabs>
                <w:tab w:val="left" w:pos="6300"/>
              </w:tabs>
              <w:snapToGrid w:val="0"/>
              <w:spacing w:line="360" w:lineRule="auto"/>
              <w:jc w:val="center"/>
              <w:rPr>
                <w:rFonts w:ascii="仿宋" w:hAnsi="仿宋" w:eastAsia="仿宋" w:cs="仿宋"/>
                <w:color w:val="auto"/>
                <w:sz w:val="21"/>
                <w:szCs w:val="21"/>
                <w:highlight w:val="none"/>
              </w:rPr>
            </w:pPr>
          </w:p>
        </w:tc>
        <w:tc>
          <w:tcPr>
            <w:tcW w:w="2658" w:type="dxa"/>
            <w:vAlign w:val="center"/>
          </w:tcPr>
          <w:p w14:paraId="7D811479">
            <w:pPr>
              <w:tabs>
                <w:tab w:val="left" w:pos="6300"/>
              </w:tabs>
              <w:snapToGrid w:val="0"/>
              <w:spacing w:line="360" w:lineRule="auto"/>
              <w:jc w:val="center"/>
              <w:rPr>
                <w:rFonts w:ascii="仿宋" w:hAnsi="仿宋" w:eastAsia="仿宋" w:cs="仿宋"/>
                <w:color w:val="auto"/>
                <w:sz w:val="21"/>
                <w:szCs w:val="21"/>
                <w:highlight w:val="none"/>
              </w:rPr>
            </w:pPr>
          </w:p>
        </w:tc>
        <w:tc>
          <w:tcPr>
            <w:tcW w:w="2759" w:type="dxa"/>
            <w:vAlign w:val="center"/>
          </w:tcPr>
          <w:p w14:paraId="68DCC5D4">
            <w:pPr>
              <w:tabs>
                <w:tab w:val="left" w:pos="6300"/>
              </w:tabs>
              <w:snapToGrid w:val="0"/>
              <w:spacing w:line="360" w:lineRule="auto"/>
              <w:jc w:val="center"/>
              <w:rPr>
                <w:rFonts w:ascii="仿宋" w:hAnsi="仿宋" w:eastAsia="仿宋" w:cs="仿宋"/>
                <w:color w:val="auto"/>
                <w:sz w:val="21"/>
                <w:szCs w:val="21"/>
                <w:highlight w:val="none"/>
              </w:rPr>
            </w:pPr>
          </w:p>
        </w:tc>
        <w:tc>
          <w:tcPr>
            <w:tcW w:w="2067" w:type="dxa"/>
            <w:vAlign w:val="center"/>
          </w:tcPr>
          <w:p w14:paraId="746DA329">
            <w:pPr>
              <w:tabs>
                <w:tab w:val="left" w:pos="6300"/>
              </w:tabs>
              <w:snapToGrid w:val="0"/>
              <w:spacing w:line="360" w:lineRule="auto"/>
              <w:jc w:val="center"/>
              <w:rPr>
                <w:rFonts w:ascii="仿宋" w:hAnsi="仿宋" w:eastAsia="仿宋" w:cs="仿宋"/>
                <w:color w:val="auto"/>
                <w:sz w:val="21"/>
                <w:szCs w:val="21"/>
                <w:highlight w:val="none"/>
              </w:rPr>
            </w:pPr>
          </w:p>
        </w:tc>
      </w:tr>
      <w:tr w14:paraId="376A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6CCF631">
            <w:pPr>
              <w:tabs>
                <w:tab w:val="left" w:pos="6300"/>
              </w:tabs>
              <w:snapToGrid w:val="0"/>
              <w:spacing w:line="360" w:lineRule="auto"/>
              <w:jc w:val="center"/>
              <w:rPr>
                <w:rFonts w:ascii="仿宋" w:hAnsi="仿宋" w:eastAsia="仿宋" w:cs="仿宋"/>
                <w:color w:val="auto"/>
                <w:sz w:val="21"/>
                <w:szCs w:val="21"/>
                <w:highlight w:val="none"/>
              </w:rPr>
            </w:pPr>
          </w:p>
        </w:tc>
        <w:tc>
          <w:tcPr>
            <w:tcW w:w="2658" w:type="dxa"/>
            <w:vAlign w:val="center"/>
          </w:tcPr>
          <w:p w14:paraId="406A3C42">
            <w:pPr>
              <w:tabs>
                <w:tab w:val="left" w:pos="6300"/>
              </w:tabs>
              <w:snapToGrid w:val="0"/>
              <w:spacing w:line="360" w:lineRule="auto"/>
              <w:jc w:val="center"/>
              <w:rPr>
                <w:rFonts w:ascii="仿宋" w:hAnsi="仿宋" w:eastAsia="仿宋" w:cs="仿宋"/>
                <w:color w:val="auto"/>
                <w:sz w:val="21"/>
                <w:szCs w:val="21"/>
                <w:highlight w:val="none"/>
              </w:rPr>
            </w:pPr>
          </w:p>
        </w:tc>
        <w:tc>
          <w:tcPr>
            <w:tcW w:w="2759" w:type="dxa"/>
            <w:vAlign w:val="center"/>
          </w:tcPr>
          <w:p w14:paraId="7D8F06B7">
            <w:pPr>
              <w:tabs>
                <w:tab w:val="left" w:pos="6300"/>
              </w:tabs>
              <w:snapToGrid w:val="0"/>
              <w:spacing w:line="360" w:lineRule="auto"/>
              <w:jc w:val="center"/>
              <w:rPr>
                <w:rFonts w:ascii="仿宋" w:hAnsi="仿宋" w:eastAsia="仿宋" w:cs="仿宋"/>
                <w:color w:val="auto"/>
                <w:sz w:val="21"/>
                <w:szCs w:val="21"/>
                <w:highlight w:val="none"/>
              </w:rPr>
            </w:pPr>
          </w:p>
        </w:tc>
        <w:tc>
          <w:tcPr>
            <w:tcW w:w="2067" w:type="dxa"/>
            <w:vAlign w:val="center"/>
          </w:tcPr>
          <w:p w14:paraId="5F1B9A63">
            <w:pPr>
              <w:tabs>
                <w:tab w:val="left" w:pos="6300"/>
              </w:tabs>
              <w:snapToGrid w:val="0"/>
              <w:spacing w:line="360" w:lineRule="auto"/>
              <w:jc w:val="center"/>
              <w:rPr>
                <w:rFonts w:ascii="仿宋" w:hAnsi="仿宋" w:eastAsia="仿宋" w:cs="仿宋"/>
                <w:color w:val="auto"/>
                <w:sz w:val="21"/>
                <w:szCs w:val="21"/>
                <w:highlight w:val="none"/>
              </w:rPr>
            </w:pPr>
          </w:p>
        </w:tc>
      </w:tr>
    </w:tbl>
    <w:p w14:paraId="1939F3C2">
      <w:pPr>
        <w:spacing w:line="360" w:lineRule="auto"/>
        <w:ind w:firstLine="600" w:firstLineChars="250"/>
        <w:rPr>
          <w:rFonts w:ascii="仿宋" w:hAnsi="仿宋" w:eastAsia="仿宋" w:cs="仿宋"/>
          <w:color w:val="auto"/>
          <w:sz w:val="24"/>
          <w:highlight w:val="none"/>
        </w:rPr>
      </w:pPr>
    </w:p>
    <w:p w14:paraId="1A2A635F">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14:paraId="0505D29D">
      <w:pPr>
        <w:spacing w:line="360" w:lineRule="auto"/>
        <w:rPr>
          <w:rFonts w:ascii="仿宋" w:hAnsi="仿宋" w:eastAsia="仿宋" w:cs="仿宋"/>
          <w:color w:val="auto"/>
          <w:sz w:val="24"/>
          <w:highlight w:val="none"/>
        </w:rPr>
      </w:pPr>
    </w:p>
    <w:p w14:paraId="78D0FC60">
      <w:pPr>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14:paraId="0E338457">
      <w:pPr>
        <w:tabs>
          <w:tab w:val="left" w:pos="6300"/>
        </w:tabs>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E5B8C93">
      <w:pPr>
        <w:tabs>
          <w:tab w:val="left" w:pos="6300"/>
        </w:tabs>
        <w:snapToGrid w:val="0"/>
        <w:spacing w:line="360" w:lineRule="auto"/>
        <w:ind w:firstLine="57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5399F0D">
      <w:pPr>
        <w:spacing w:line="360" w:lineRule="auto"/>
        <w:rPr>
          <w:rFonts w:ascii="仿宋" w:hAnsi="仿宋" w:eastAsia="仿宋" w:cs="仿宋"/>
          <w:b/>
          <w:color w:val="auto"/>
          <w:sz w:val="24"/>
          <w:szCs w:val="24"/>
          <w:highlight w:val="none"/>
        </w:rPr>
      </w:pPr>
    </w:p>
    <w:p w14:paraId="1D75DDF4">
      <w:pPr>
        <w:spacing w:line="360" w:lineRule="auto"/>
        <w:jc w:val="left"/>
        <w:rPr>
          <w:rFonts w:ascii="仿宋" w:hAnsi="仿宋" w:eastAsia="仿宋" w:cs="仿宋"/>
          <w:color w:val="auto"/>
          <w:sz w:val="24"/>
          <w:szCs w:val="24"/>
          <w:highlight w:val="none"/>
        </w:rPr>
      </w:pPr>
    </w:p>
    <w:p w14:paraId="7F6D28AC">
      <w:pPr>
        <w:snapToGrid w:val="0"/>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C84CAB6">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1.本表即为对本项目“第二篇 </w:t>
      </w:r>
      <w:r>
        <w:rPr>
          <w:rFonts w:hint="eastAsia" w:ascii="仿宋" w:hAnsi="仿宋" w:eastAsia="仿宋" w:cs="仿宋"/>
          <w:color w:val="auto"/>
          <w:sz w:val="24"/>
          <w:szCs w:val="24"/>
          <w:highlight w:val="none"/>
          <w:lang w:eastAsia="zh-CN"/>
        </w:rPr>
        <w:t>项目服务需求</w:t>
      </w:r>
      <w:r>
        <w:rPr>
          <w:rFonts w:hint="eastAsia" w:ascii="仿宋" w:hAnsi="仿宋" w:eastAsia="仿宋" w:cs="仿宋"/>
          <w:color w:val="auto"/>
          <w:sz w:val="24"/>
          <w:szCs w:val="24"/>
          <w:highlight w:val="none"/>
        </w:rPr>
        <w:t>”中所列要求进行比较和响应；</w:t>
      </w:r>
    </w:p>
    <w:p w14:paraId="62DF8276">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网上竞采要求逐条如实填写，“响应情况”中必须列出具体数值或内容，否则将视为不满足网上竞采要求；根据响应情况在“差异说明”项填写正偏离或负偏离及原因，完全符合的填写“无差异”，未按要求填写的按无效响应处理；</w:t>
      </w:r>
    </w:p>
    <w:p w14:paraId="7C12809D">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3.该表可扩展，并逐页签字或盖供应商公章。</w:t>
      </w:r>
    </w:p>
    <w:p w14:paraId="2F99E154">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0077EB8B">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3C54FD41">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要求响应情况（格式自拟）</w:t>
      </w:r>
    </w:p>
    <w:p w14:paraId="21E472F2">
      <w:pPr>
        <w:spacing w:line="360" w:lineRule="auto"/>
        <w:rPr>
          <w:rFonts w:ascii="仿宋" w:hAnsi="仿宋" w:eastAsia="仿宋" w:cs="仿宋"/>
          <w:color w:val="auto"/>
          <w:sz w:val="24"/>
          <w:szCs w:val="24"/>
          <w:highlight w:val="none"/>
        </w:rPr>
      </w:pPr>
    </w:p>
    <w:p w14:paraId="3E9ADBD0">
      <w:pPr>
        <w:spacing w:line="360" w:lineRule="auto"/>
        <w:rPr>
          <w:rFonts w:ascii="仿宋" w:hAnsi="仿宋" w:eastAsia="仿宋" w:cs="仿宋"/>
          <w:color w:val="auto"/>
          <w:sz w:val="24"/>
          <w:szCs w:val="24"/>
          <w:highlight w:val="none"/>
        </w:rPr>
      </w:pPr>
    </w:p>
    <w:p w14:paraId="5927ECF2">
      <w:pPr>
        <w:spacing w:line="360" w:lineRule="auto"/>
        <w:rPr>
          <w:rFonts w:ascii="仿宋" w:hAnsi="仿宋" w:eastAsia="仿宋" w:cs="仿宋"/>
          <w:color w:val="auto"/>
          <w:sz w:val="24"/>
          <w:szCs w:val="24"/>
          <w:highlight w:val="none"/>
        </w:rPr>
      </w:pPr>
    </w:p>
    <w:p w14:paraId="1C34C612">
      <w:pPr>
        <w:spacing w:line="360" w:lineRule="auto"/>
        <w:rPr>
          <w:rFonts w:ascii="仿宋" w:hAnsi="仿宋" w:eastAsia="仿宋" w:cs="仿宋"/>
          <w:color w:val="auto"/>
          <w:sz w:val="24"/>
          <w:szCs w:val="24"/>
          <w:highlight w:val="none"/>
        </w:rPr>
      </w:pPr>
    </w:p>
    <w:p w14:paraId="2FAB8B7F">
      <w:pPr>
        <w:spacing w:line="360" w:lineRule="auto"/>
        <w:rPr>
          <w:rFonts w:ascii="仿宋" w:hAnsi="仿宋" w:eastAsia="仿宋" w:cs="仿宋"/>
          <w:color w:val="auto"/>
          <w:sz w:val="24"/>
          <w:szCs w:val="24"/>
          <w:highlight w:val="none"/>
        </w:rPr>
      </w:pPr>
    </w:p>
    <w:p w14:paraId="0451D41A">
      <w:pPr>
        <w:spacing w:line="360" w:lineRule="auto"/>
        <w:rPr>
          <w:rFonts w:ascii="仿宋" w:hAnsi="仿宋" w:eastAsia="仿宋" w:cs="仿宋"/>
          <w:color w:val="auto"/>
          <w:sz w:val="24"/>
          <w:szCs w:val="24"/>
          <w:highlight w:val="none"/>
        </w:rPr>
      </w:pPr>
    </w:p>
    <w:p w14:paraId="0C11BF7F">
      <w:pPr>
        <w:spacing w:line="360" w:lineRule="auto"/>
        <w:rPr>
          <w:rFonts w:ascii="仿宋" w:hAnsi="仿宋" w:eastAsia="仿宋" w:cs="仿宋"/>
          <w:color w:val="auto"/>
          <w:sz w:val="24"/>
          <w:szCs w:val="24"/>
          <w:highlight w:val="none"/>
        </w:rPr>
      </w:pPr>
    </w:p>
    <w:p w14:paraId="060D0272">
      <w:pPr>
        <w:spacing w:line="360" w:lineRule="auto"/>
        <w:rPr>
          <w:rFonts w:ascii="仿宋" w:hAnsi="仿宋" w:eastAsia="仿宋" w:cs="仿宋"/>
          <w:color w:val="auto"/>
          <w:sz w:val="24"/>
          <w:szCs w:val="24"/>
          <w:highlight w:val="none"/>
        </w:rPr>
      </w:pPr>
    </w:p>
    <w:p w14:paraId="4DFC8295">
      <w:pPr>
        <w:spacing w:line="360" w:lineRule="auto"/>
        <w:rPr>
          <w:rFonts w:ascii="仿宋" w:hAnsi="仿宋" w:eastAsia="仿宋" w:cs="仿宋"/>
          <w:color w:val="auto"/>
          <w:sz w:val="24"/>
          <w:szCs w:val="24"/>
          <w:highlight w:val="none"/>
        </w:rPr>
      </w:pPr>
    </w:p>
    <w:p w14:paraId="478FB583">
      <w:pPr>
        <w:spacing w:line="360" w:lineRule="auto"/>
        <w:rPr>
          <w:rFonts w:ascii="仿宋" w:hAnsi="仿宋" w:eastAsia="仿宋" w:cs="仿宋"/>
          <w:color w:val="auto"/>
          <w:sz w:val="24"/>
          <w:szCs w:val="24"/>
          <w:highlight w:val="none"/>
        </w:rPr>
      </w:pPr>
    </w:p>
    <w:p w14:paraId="218467E0">
      <w:pPr>
        <w:spacing w:line="360" w:lineRule="auto"/>
        <w:rPr>
          <w:rFonts w:ascii="仿宋" w:hAnsi="仿宋" w:eastAsia="仿宋" w:cs="仿宋"/>
          <w:color w:val="auto"/>
          <w:sz w:val="24"/>
          <w:szCs w:val="24"/>
          <w:highlight w:val="none"/>
        </w:rPr>
      </w:pPr>
    </w:p>
    <w:p w14:paraId="423244D1">
      <w:pPr>
        <w:spacing w:line="360" w:lineRule="auto"/>
        <w:rPr>
          <w:rFonts w:ascii="仿宋" w:hAnsi="仿宋" w:eastAsia="仿宋" w:cs="仿宋"/>
          <w:color w:val="auto"/>
          <w:sz w:val="24"/>
          <w:szCs w:val="24"/>
          <w:highlight w:val="none"/>
        </w:rPr>
      </w:pPr>
    </w:p>
    <w:p w14:paraId="71132E2B">
      <w:pPr>
        <w:spacing w:line="360" w:lineRule="auto"/>
        <w:rPr>
          <w:rFonts w:ascii="仿宋" w:hAnsi="仿宋" w:eastAsia="仿宋" w:cs="仿宋"/>
          <w:color w:val="auto"/>
          <w:sz w:val="24"/>
          <w:szCs w:val="24"/>
          <w:highlight w:val="none"/>
        </w:rPr>
      </w:pPr>
    </w:p>
    <w:p w14:paraId="2E30958C">
      <w:pPr>
        <w:spacing w:line="360" w:lineRule="auto"/>
        <w:rPr>
          <w:rFonts w:ascii="仿宋" w:hAnsi="仿宋" w:eastAsia="仿宋" w:cs="仿宋"/>
          <w:color w:val="auto"/>
          <w:sz w:val="24"/>
          <w:szCs w:val="24"/>
          <w:highlight w:val="none"/>
        </w:rPr>
      </w:pPr>
    </w:p>
    <w:p w14:paraId="3FC8694B">
      <w:pPr>
        <w:spacing w:line="360" w:lineRule="auto"/>
        <w:rPr>
          <w:rFonts w:ascii="仿宋" w:hAnsi="仿宋" w:eastAsia="仿宋" w:cs="仿宋"/>
          <w:color w:val="auto"/>
          <w:sz w:val="24"/>
          <w:szCs w:val="24"/>
          <w:highlight w:val="none"/>
        </w:rPr>
      </w:pPr>
    </w:p>
    <w:p w14:paraId="15D41A68">
      <w:pPr>
        <w:spacing w:line="360" w:lineRule="auto"/>
        <w:rPr>
          <w:rFonts w:ascii="仿宋" w:hAnsi="仿宋" w:eastAsia="仿宋" w:cs="仿宋"/>
          <w:color w:val="auto"/>
          <w:sz w:val="24"/>
          <w:szCs w:val="24"/>
          <w:highlight w:val="none"/>
        </w:rPr>
      </w:pPr>
    </w:p>
    <w:p w14:paraId="2416CAD0">
      <w:pPr>
        <w:spacing w:line="360" w:lineRule="auto"/>
        <w:rPr>
          <w:rFonts w:ascii="仿宋" w:hAnsi="仿宋" w:eastAsia="仿宋" w:cs="仿宋"/>
          <w:color w:val="auto"/>
          <w:sz w:val="24"/>
          <w:szCs w:val="24"/>
          <w:highlight w:val="none"/>
        </w:rPr>
      </w:pPr>
    </w:p>
    <w:p w14:paraId="13FE11A8">
      <w:pPr>
        <w:spacing w:line="360" w:lineRule="auto"/>
        <w:rPr>
          <w:rFonts w:ascii="仿宋" w:hAnsi="仿宋" w:eastAsia="仿宋" w:cs="仿宋"/>
          <w:color w:val="auto"/>
          <w:sz w:val="24"/>
          <w:szCs w:val="24"/>
          <w:highlight w:val="none"/>
        </w:rPr>
      </w:pPr>
    </w:p>
    <w:p w14:paraId="49EB6F8E">
      <w:pPr>
        <w:spacing w:line="360" w:lineRule="auto"/>
        <w:rPr>
          <w:rFonts w:ascii="仿宋" w:hAnsi="仿宋" w:eastAsia="仿宋" w:cs="仿宋"/>
          <w:color w:val="auto"/>
          <w:sz w:val="24"/>
          <w:szCs w:val="24"/>
          <w:highlight w:val="none"/>
        </w:rPr>
      </w:pPr>
    </w:p>
    <w:p w14:paraId="3D1DAF80">
      <w:pPr>
        <w:spacing w:line="360" w:lineRule="auto"/>
        <w:rPr>
          <w:rFonts w:ascii="仿宋" w:hAnsi="仿宋" w:eastAsia="仿宋" w:cs="仿宋"/>
          <w:color w:val="auto"/>
          <w:sz w:val="24"/>
          <w:szCs w:val="24"/>
          <w:highlight w:val="none"/>
        </w:rPr>
      </w:pPr>
    </w:p>
    <w:p w14:paraId="0A4147C3">
      <w:pPr>
        <w:spacing w:line="360" w:lineRule="auto"/>
        <w:rPr>
          <w:rFonts w:ascii="仿宋" w:hAnsi="仿宋" w:eastAsia="仿宋" w:cs="仿宋"/>
          <w:color w:val="auto"/>
          <w:sz w:val="24"/>
          <w:szCs w:val="24"/>
          <w:highlight w:val="none"/>
        </w:rPr>
      </w:pPr>
    </w:p>
    <w:p w14:paraId="4EF9267C">
      <w:pPr>
        <w:spacing w:line="360" w:lineRule="auto"/>
        <w:rPr>
          <w:rFonts w:ascii="仿宋" w:hAnsi="仿宋" w:eastAsia="仿宋" w:cs="仿宋"/>
          <w:color w:val="auto"/>
          <w:sz w:val="24"/>
          <w:szCs w:val="24"/>
          <w:highlight w:val="none"/>
        </w:rPr>
      </w:pPr>
    </w:p>
    <w:p w14:paraId="453FAC96">
      <w:pPr>
        <w:spacing w:line="360" w:lineRule="auto"/>
        <w:rPr>
          <w:rFonts w:ascii="仿宋" w:hAnsi="仿宋" w:eastAsia="仿宋" w:cs="仿宋"/>
          <w:color w:val="auto"/>
          <w:sz w:val="24"/>
          <w:szCs w:val="24"/>
          <w:highlight w:val="none"/>
        </w:rPr>
      </w:pPr>
    </w:p>
    <w:p w14:paraId="4F22CEF9">
      <w:pPr>
        <w:spacing w:line="360" w:lineRule="auto"/>
        <w:rPr>
          <w:rFonts w:ascii="仿宋" w:hAnsi="仿宋" w:eastAsia="仿宋" w:cs="仿宋"/>
          <w:color w:val="auto"/>
          <w:sz w:val="24"/>
          <w:szCs w:val="24"/>
          <w:highlight w:val="none"/>
        </w:rPr>
      </w:pPr>
    </w:p>
    <w:p w14:paraId="59ADDEE7">
      <w:pPr>
        <w:spacing w:line="360" w:lineRule="auto"/>
        <w:rPr>
          <w:rFonts w:ascii="仿宋" w:hAnsi="仿宋" w:eastAsia="仿宋" w:cs="仿宋"/>
          <w:color w:val="auto"/>
          <w:sz w:val="24"/>
          <w:szCs w:val="24"/>
          <w:highlight w:val="none"/>
        </w:rPr>
      </w:pPr>
    </w:p>
    <w:p w14:paraId="171CD6AB">
      <w:pPr>
        <w:spacing w:line="360" w:lineRule="auto"/>
        <w:rPr>
          <w:rFonts w:ascii="仿宋" w:hAnsi="仿宋" w:eastAsia="仿宋" w:cs="仿宋"/>
          <w:color w:val="auto"/>
          <w:sz w:val="24"/>
          <w:szCs w:val="24"/>
          <w:highlight w:val="none"/>
        </w:rPr>
      </w:pPr>
    </w:p>
    <w:p w14:paraId="23669F58">
      <w:pPr>
        <w:spacing w:line="360" w:lineRule="auto"/>
        <w:rPr>
          <w:rFonts w:ascii="仿宋" w:hAnsi="仿宋" w:eastAsia="仿宋" w:cs="仿宋"/>
          <w:color w:val="auto"/>
          <w:sz w:val="24"/>
          <w:szCs w:val="24"/>
          <w:highlight w:val="none"/>
        </w:rPr>
      </w:pPr>
    </w:p>
    <w:p w14:paraId="49F6AA96">
      <w:pPr>
        <w:spacing w:line="360" w:lineRule="auto"/>
        <w:rPr>
          <w:rFonts w:ascii="仿宋" w:hAnsi="仿宋" w:eastAsia="仿宋" w:cs="仿宋"/>
          <w:color w:val="auto"/>
          <w:sz w:val="24"/>
          <w:szCs w:val="24"/>
          <w:highlight w:val="none"/>
        </w:rPr>
      </w:pPr>
    </w:p>
    <w:p w14:paraId="510CF52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75E7641">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（二）商务响应偏离表</w:t>
      </w:r>
    </w:p>
    <w:p w14:paraId="793F3A95">
      <w:pPr>
        <w:snapToGri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tbl>
      <w:tblPr>
        <w:tblStyle w:val="21"/>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957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420BAFC6">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1E1E39FF">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采购需求</w:t>
            </w:r>
          </w:p>
        </w:tc>
        <w:tc>
          <w:tcPr>
            <w:tcW w:w="2434" w:type="dxa"/>
            <w:vAlign w:val="center"/>
          </w:tcPr>
          <w:p w14:paraId="0D6179EB">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10242ADC">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差异说明</w:t>
            </w:r>
          </w:p>
        </w:tc>
      </w:tr>
      <w:tr w14:paraId="7879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172E347">
            <w:pPr>
              <w:tabs>
                <w:tab w:val="left" w:pos="6300"/>
              </w:tabs>
              <w:snapToGrid w:val="0"/>
              <w:spacing w:line="360" w:lineRule="auto"/>
              <w:jc w:val="center"/>
              <w:rPr>
                <w:rFonts w:ascii="仿宋" w:hAnsi="仿宋" w:eastAsia="仿宋" w:cs="仿宋"/>
                <w:color w:val="auto"/>
                <w:sz w:val="21"/>
                <w:szCs w:val="24"/>
                <w:highlight w:val="none"/>
              </w:rPr>
            </w:pPr>
          </w:p>
        </w:tc>
        <w:tc>
          <w:tcPr>
            <w:tcW w:w="3179" w:type="dxa"/>
            <w:vAlign w:val="center"/>
          </w:tcPr>
          <w:p w14:paraId="650CCF3D">
            <w:pPr>
              <w:tabs>
                <w:tab w:val="left" w:pos="6300"/>
              </w:tabs>
              <w:snapToGrid w:val="0"/>
              <w:spacing w:line="360" w:lineRule="auto"/>
              <w:jc w:val="center"/>
              <w:rPr>
                <w:rFonts w:ascii="仿宋" w:hAnsi="仿宋" w:eastAsia="仿宋" w:cs="仿宋"/>
                <w:color w:val="auto"/>
                <w:sz w:val="21"/>
                <w:szCs w:val="24"/>
                <w:highlight w:val="none"/>
              </w:rPr>
            </w:pPr>
          </w:p>
        </w:tc>
        <w:tc>
          <w:tcPr>
            <w:tcW w:w="2434" w:type="dxa"/>
            <w:vAlign w:val="center"/>
          </w:tcPr>
          <w:p w14:paraId="1CDCC0E2">
            <w:pPr>
              <w:spacing w:line="360" w:lineRule="auto"/>
              <w:rPr>
                <w:rFonts w:ascii="仿宋" w:hAnsi="仿宋" w:eastAsia="仿宋" w:cs="仿宋"/>
                <w:color w:val="auto"/>
                <w:highlight w:val="none"/>
              </w:rPr>
            </w:pPr>
            <w:bookmarkStart w:id="123" w:name="_Toc25144"/>
            <w:bookmarkStart w:id="124" w:name="_Toc4318"/>
            <w:r>
              <w:rPr>
                <w:rFonts w:hint="eastAsia" w:ascii="仿宋" w:hAnsi="仿宋" w:eastAsia="仿宋" w:cs="仿宋"/>
                <w:color w:val="auto"/>
                <w:sz w:val="24"/>
                <w:szCs w:val="24"/>
                <w:highlight w:val="none"/>
              </w:rPr>
              <w:t>提醒：请注明具体内容</w:t>
            </w:r>
            <w:bookmarkEnd w:id="123"/>
            <w:bookmarkEnd w:id="124"/>
          </w:p>
        </w:tc>
        <w:tc>
          <w:tcPr>
            <w:tcW w:w="2355" w:type="dxa"/>
            <w:vAlign w:val="center"/>
          </w:tcPr>
          <w:p w14:paraId="438388B8">
            <w:pPr>
              <w:tabs>
                <w:tab w:val="left" w:pos="6300"/>
              </w:tabs>
              <w:snapToGrid w:val="0"/>
              <w:spacing w:line="360" w:lineRule="auto"/>
              <w:jc w:val="center"/>
              <w:rPr>
                <w:rFonts w:ascii="仿宋" w:hAnsi="仿宋" w:eastAsia="仿宋" w:cs="仿宋"/>
                <w:color w:val="auto"/>
                <w:sz w:val="21"/>
                <w:szCs w:val="24"/>
                <w:highlight w:val="none"/>
              </w:rPr>
            </w:pPr>
          </w:p>
        </w:tc>
      </w:tr>
      <w:tr w14:paraId="03D2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EAEB57">
            <w:pPr>
              <w:tabs>
                <w:tab w:val="left" w:pos="6300"/>
              </w:tabs>
              <w:snapToGrid w:val="0"/>
              <w:spacing w:line="360" w:lineRule="auto"/>
              <w:jc w:val="center"/>
              <w:rPr>
                <w:rFonts w:ascii="仿宋" w:hAnsi="仿宋" w:eastAsia="仿宋" w:cs="仿宋"/>
                <w:color w:val="auto"/>
                <w:sz w:val="21"/>
                <w:szCs w:val="24"/>
                <w:highlight w:val="none"/>
              </w:rPr>
            </w:pPr>
          </w:p>
        </w:tc>
        <w:tc>
          <w:tcPr>
            <w:tcW w:w="3179" w:type="dxa"/>
            <w:vAlign w:val="center"/>
          </w:tcPr>
          <w:p w14:paraId="6711BBAD">
            <w:pPr>
              <w:tabs>
                <w:tab w:val="left" w:pos="6300"/>
              </w:tabs>
              <w:snapToGrid w:val="0"/>
              <w:spacing w:line="360" w:lineRule="auto"/>
              <w:jc w:val="center"/>
              <w:rPr>
                <w:rFonts w:ascii="仿宋" w:hAnsi="仿宋" w:eastAsia="仿宋" w:cs="仿宋"/>
                <w:color w:val="auto"/>
                <w:sz w:val="21"/>
                <w:szCs w:val="24"/>
                <w:highlight w:val="none"/>
              </w:rPr>
            </w:pPr>
          </w:p>
        </w:tc>
        <w:tc>
          <w:tcPr>
            <w:tcW w:w="2434" w:type="dxa"/>
            <w:vAlign w:val="center"/>
          </w:tcPr>
          <w:p w14:paraId="4F9D2695">
            <w:pPr>
              <w:tabs>
                <w:tab w:val="left" w:pos="6300"/>
              </w:tabs>
              <w:snapToGrid w:val="0"/>
              <w:spacing w:line="360" w:lineRule="auto"/>
              <w:jc w:val="center"/>
              <w:rPr>
                <w:rFonts w:ascii="仿宋" w:hAnsi="仿宋" w:eastAsia="仿宋" w:cs="仿宋"/>
                <w:color w:val="auto"/>
                <w:sz w:val="21"/>
                <w:szCs w:val="24"/>
                <w:highlight w:val="none"/>
              </w:rPr>
            </w:pPr>
          </w:p>
        </w:tc>
        <w:tc>
          <w:tcPr>
            <w:tcW w:w="2355" w:type="dxa"/>
            <w:vAlign w:val="center"/>
          </w:tcPr>
          <w:p w14:paraId="5DD1C1EB">
            <w:pPr>
              <w:tabs>
                <w:tab w:val="left" w:pos="6300"/>
              </w:tabs>
              <w:snapToGrid w:val="0"/>
              <w:spacing w:line="360" w:lineRule="auto"/>
              <w:jc w:val="center"/>
              <w:rPr>
                <w:rFonts w:ascii="仿宋" w:hAnsi="仿宋" w:eastAsia="仿宋" w:cs="仿宋"/>
                <w:color w:val="auto"/>
                <w:sz w:val="21"/>
                <w:szCs w:val="24"/>
                <w:highlight w:val="none"/>
              </w:rPr>
            </w:pPr>
          </w:p>
        </w:tc>
      </w:tr>
      <w:tr w14:paraId="26BF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3695D5">
            <w:pPr>
              <w:tabs>
                <w:tab w:val="left" w:pos="6300"/>
              </w:tabs>
              <w:snapToGrid w:val="0"/>
              <w:spacing w:line="360" w:lineRule="auto"/>
              <w:jc w:val="center"/>
              <w:rPr>
                <w:rFonts w:ascii="仿宋" w:hAnsi="仿宋" w:eastAsia="仿宋" w:cs="仿宋"/>
                <w:color w:val="auto"/>
                <w:sz w:val="21"/>
                <w:szCs w:val="24"/>
                <w:highlight w:val="none"/>
              </w:rPr>
            </w:pPr>
          </w:p>
        </w:tc>
        <w:tc>
          <w:tcPr>
            <w:tcW w:w="3179" w:type="dxa"/>
            <w:vAlign w:val="center"/>
          </w:tcPr>
          <w:p w14:paraId="024FC02A">
            <w:pPr>
              <w:tabs>
                <w:tab w:val="left" w:pos="6300"/>
              </w:tabs>
              <w:snapToGrid w:val="0"/>
              <w:spacing w:line="360" w:lineRule="auto"/>
              <w:jc w:val="center"/>
              <w:rPr>
                <w:rFonts w:ascii="仿宋" w:hAnsi="仿宋" w:eastAsia="仿宋" w:cs="仿宋"/>
                <w:color w:val="auto"/>
                <w:sz w:val="21"/>
                <w:szCs w:val="24"/>
                <w:highlight w:val="none"/>
              </w:rPr>
            </w:pPr>
          </w:p>
        </w:tc>
        <w:tc>
          <w:tcPr>
            <w:tcW w:w="2434" w:type="dxa"/>
            <w:vAlign w:val="center"/>
          </w:tcPr>
          <w:p w14:paraId="7C8453B7">
            <w:pPr>
              <w:tabs>
                <w:tab w:val="left" w:pos="6300"/>
              </w:tabs>
              <w:snapToGrid w:val="0"/>
              <w:spacing w:line="360" w:lineRule="auto"/>
              <w:jc w:val="center"/>
              <w:rPr>
                <w:rFonts w:ascii="仿宋" w:hAnsi="仿宋" w:eastAsia="仿宋" w:cs="仿宋"/>
                <w:color w:val="auto"/>
                <w:sz w:val="21"/>
                <w:szCs w:val="24"/>
                <w:highlight w:val="none"/>
              </w:rPr>
            </w:pPr>
          </w:p>
        </w:tc>
        <w:tc>
          <w:tcPr>
            <w:tcW w:w="2355" w:type="dxa"/>
            <w:vAlign w:val="center"/>
          </w:tcPr>
          <w:p w14:paraId="2436E519">
            <w:pPr>
              <w:tabs>
                <w:tab w:val="left" w:pos="6300"/>
              </w:tabs>
              <w:snapToGrid w:val="0"/>
              <w:spacing w:line="360" w:lineRule="auto"/>
              <w:jc w:val="center"/>
              <w:rPr>
                <w:rFonts w:ascii="仿宋" w:hAnsi="仿宋" w:eastAsia="仿宋" w:cs="仿宋"/>
                <w:color w:val="auto"/>
                <w:sz w:val="21"/>
                <w:szCs w:val="24"/>
                <w:highlight w:val="none"/>
              </w:rPr>
            </w:pPr>
          </w:p>
        </w:tc>
      </w:tr>
      <w:tr w14:paraId="2402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DCD159">
            <w:pPr>
              <w:tabs>
                <w:tab w:val="left" w:pos="6300"/>
              </w:tabs>
              <w:snapToGrid w:val="0"/>
              <w:spacing w:line="360" w:lineRule="auto"/>
              <w:jc w:val="center"/>
              <w:rPr>
                <w:rFonts w:ascii="仿宋" w:hAnsi="仿宋" w:eastAsia="仿宋" w:cs="仿宋"/>
                <w:color w:val="auto"/>
                <w:sz w:val="21"/>
                <w:szCs w:val="24"/>
                <w:highlight w:val="none"/>
              </w:rPr>
            </w:pPr>
          </w:p>
        </w:tc>
        <w:tc>
          <w:tcPr>
            <w:tcW w:w="3179" w:type="dxa"/>
            <w:vAlign w:val="center"/>
          </w:tcPr>
          <w:p w14:paraId="4933FE68">
            <w:pPr>
              <w:tabs>
                <w:tab w:val="left" w:pos="6300"/>
              </w:tabs>
              <w:snapToGrid w:val="0"/>
              <w:spacing w:line="360" w:lineRule="auto"/>
              <w:jc w:val="center"/>
              <w:rPr>
                <w:rFonts w:ascii="仿宋" w:hAnsi="仿宋" w:eastAsia="仿宋" w:cs="仿宋"/>
                <w:color w:val="auto"/>
                <w:sz w:val="21"/>
                <w:szCs w:val="24"/>
                <w:highlight w:val="none"/>
              </w:rPr>
            </w:pPr>
          </w:p>
        </w:tc>
        <w:tc>
          <w:tcPr>
            <w:tcW w:w="2434" w:type="dxa"/>
            <w:vAlign w:val="center"/>
          </w:tcPr>
          <w:p w14:paraId="5234B65C">
            <w:pPr>
              <w:tabs>
                <w:tab w:val="left" w:pos="6300"/>
              </w:tabs>
              <w:snapToGrid w:val="0"/>
              <w:spacing w:line="360" w:lineRule="auto"/>
              <w:jc w:val="center"/>
              <w:rPr>
                <w:rFonts w:ascii="仿宋" w:hAnsi="仿宋" w:eastAsia="仿宋" w:cs="仿宋"/>
                <w:color w:val="auto"/>
                <w:sz w:val="21"/>
                <w:szCs w:val="24"/>
                <w:highlight w:val="none"/>
              </w:rPr>
            </w:pPr>
          </w:p>
        </w:tc>
        <w:tc>
          <w:tcPr>
            <w:tcW w:w="2355" w:type="dxa"/>
            <w:vAlign w:val="center"/>
          </w:tcPr>
          <w:p w14:paraId="24A4B295">
            <w:pPr>
              <w:tabs>
                <w:tab w:val="left" w:pos="6300"/>
              </w:tabs>
              <w:snapToGrid w:val="0"/>
              <w:spacing w:line="360" w:lineRule="auto"/>
              <w:jc w:val="center"/>
              <w:rPr>
                <w:rFonts w:ascii="仿宋" w:hAnsi="仿宋" w:eastAsia="仿宋" w:cs="仿宋"/>
                <w:color w:val="auto"/>
                <w:sz w:val="21"/>
                <w:szCs w:val="24"/>
                <w:highlight w:val="none"/>
              </w:rPr>
            </w:pPr>
          </w:p>
        </w:tc>
      </w:tr>
      <w:tr w14:paraId="1F4B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3EE35F">
            <w:pPr>
              <w:tabs>
                <w:tab w:val="left" w:pos="6300"/>
              </w:tabs>
              <w:snapToGrid w:val="0"/>
              <w:spacing w:line="360" w:lineRule="auto"/>
              <w:jc w:val="center"/>
              <w:rPr>
                <w:rFonts w:ascii="仿宋" w:hAnsi="仿宋" w:eastAsia="仿宋" w:cs="仿宋"/>
                <w:color w:val="auto"/>
                <w:sz w:val="21"/>
                <w:szCs w:val="24"/>
                <w:highlight w:val="none"/>
              </w:rPr>
            </w:pPr>
          </w:p>
        </w:tc>
        <w:tc>
          <w:tcPr>
            <w:tcW w:w="3179" w:type="dxa"/>
            <w:vAlign w:val="center"/>
          </w:tcPr>
          <w:p w14:paraId="5139757E">
            <w:pPr>
              <w:tabs>
                <w:tab w:val="left" w:pos="6300"/>
              </w:tabs>
              <w:snapToGrid w:val="0"/>
              <w:spacing w:line="360" w:lineRule="auto"/>
              <w:jc w:val="center"/>
              <w:rPr>
                <w:rFonts w:ascii="仿宋" w:hAnsi="仿宋" w:eastAsia="仿宋" w:cs="仿宋"/>
                <w:color w:val="auto"/>
                <w:sz w:val="21"/>
                <w:szCs w:val="24"/>
                <w:highlight w:val="none"/>
              </w:rPr>
            </w:pPr>
          </w:p>
        </w:tc>
        <w:tc>
          <w:tcPr>
            <w:tcW w:w="2434" w:type="dxa"/>
            <w:vAlign w:val="center"/>
          </w:tcPr>
          <w:p w14:paraId="1998F93A">
            <w:pPr>
              <w:tabs>
                <w:tab w:val="left" w:pos="6300"/>
              </w:tabs>
              <w:snapToGrid w:val="0"/>
              <w:spacing w:line="360" w:lineRule="auto"/>
              <w:jc w:val="center"/>
              <w:rPr>
                <w:rFonts w:ascii="仿宋" w:hAnsi="仿宋" w:eastAsia="仿宋" w:cs="仿宋"/>
                <w:color w:val="auto"/>
                <w:sz w:val="21"/>
                <w:szCs w:val="24"/>
                <w:highlight w:val="none"/>
              </w:rPr>
            </w:pPr>
          </w:p>
        </w:tc>
        <w:tc>
          <w:tcPr>
            <w:tcW w:w="2355" w:type="dxa"/>
            <w:vAlign w:val="center"/>
          </w:tcPr>
          <w:p w14:paraId="7DB9385E">
            <w:pPr>
              <w:tabs>
                <w:tab w:val="left" w:pos="6300"/>
              </w:tabs>
              <w:snapToGrid w:val="0"/>
              <w:spacing w:line="360" w:lineRule="auto"/>
              <w:jc w:val="center"/>
              <w:rPr>
                <w:rFonts w:ascii="仿宋" w:hAnsi="仿宋" w:eastAsia="仿宋" w:cs="仿宋"/>
                <w:color w:val="auto"/>
                <w:sz w:val="21"/>
                <w:szCs w:val="24"/>
                <w:highlight w:val="none"/>
              </w:rPr>
            </w:pPr>
          </w:p>
        </w:tc>
      </w:tr>
      <w:tr w14:paraId="71C6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356840F">
            <w:pPr>
              <w:tabs>
                <w:tab w:val="left" w:pos="6300"/>
              </w:tabs>
              <w:snapToGrid w:val="0"/>
              <w:spacing w:line="360" w:lineRule="auto"/>
              <w:jc w:val="center"/>
              <w:rPr>
                <w:rFonts w:ascii="仿宋" w:hAnsi="仿宋" w:eastAsia="仿宋" w:cs="仿宋"/>
                <w:color w:val="auto"/>
                <w:sz w:val="21"/>
                <w:szCs w:val="24"/>
                <w:highlight w:val="none"/>
              </w:rPr>
            </w:pPr>
          </w:p>
        </w:tc>
        <w:tc>
          <w:tcPr>
            <w:tcW w:w="3179" w:type="dxa"/>
            <w:vAlign w:val="center"/>
          </w:tcPr>
          <w:p w14:paraId="401F9FB4">
            <w:pPr>
              <w:tabs>
                <w:tab w:val="left" w:pos="6300"/>
              </w:tabs>
              <w:snapToGrid w:val="0"/>
              <w:spacing w:line="360" w:lineRule="auto"/>
              <w:jc w:val="center"/>
              <w:rPr>
                <w:rFonts w:ascii="仿宋" w:hAnsi="仿宋" w:eastAsia="仿宋" w:cs="仿宋"/>
                <w:color w:val="auto"/>
                <w:sz w:val="21"/>
                <w:szCs w:val="24"/>
                <w:highlight w:val="none"/>
              </w:rPr>
            </w:pPr>
          </w:p>
        </w:tc>
        <w:tc>
          <w:tcPr>
            <w:tcW w:w="2434" w:type="dxa"/>
            <w:vAlign w:val="center"/>
          </w:tcPr>
          <w:p w14:paraId="0A25F5DA">
            <w:pPr>
              <w:tabs>
                <w:tab w:val="left" w:pos="6300"/>
              </w:tabs>
              <w:snapToGrid w:val="0"/>
              <w:spacing w:line="360" w:lineRule="auto"/>
              <w:jc w:val="center"/>
              <w:rPr>
                <w:rFonts w:ascii="仿宋" w:hAnsi="仿宋" w:eastAsia="仿宋" w:cs="仿宋"/>
                <w:color w:val="auto"/>
                <w:sz w:val="21"/>
                <w:szCs w:val="24"/>
                <w:highlight w:val="none"/>
              </w:rPr>
            </w:pPr>
          </w:p>
        </w:tc>
        <w:tc>
          <w:tcPr>
            <w:tcW w:w="2355" w:type="dxa"/>
            <w:vAlign w:val="center"/>
          </w:tcPr>
          <w:p w14:paraId="613656AC">
            <w:pPr>
              <w:tabs>
                <w:tab w:val="left" w:pos="6300"/>
              </w:tabs>
              <w:snapToGrid w:val="0"/>
              <w:spacing w:line="360" w:lineRule="auto"/>
              <w:jc w:val="center"/>
              <w:rPr>
                <w:rFonts w:ascii="仿宋" w:hAnsi="仿宋" w:eastAsia="仿宋" w:cs="仿宋"/>
                <w:color w:val="auto"/>
                <w:sz w:val="21"/>
                <w:szCs w:val="24"/>
                <w:highlight w:val="none"/>
              </w:rPr>
            </w:pPr>
          </w:p>
        </w:tc>
      </w:tr>
    </w:tbl>
    <w:p w14:paraId="04003545">
      <w:pPr>
        <w:tabs>
          <w:tab w:val="left" w:pos="6300"/>
        </w:tabs>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62B9822A">
      <w:pPr>
        <w:snapToGrid w:val="0"/>
        <w:spacing w:line="360" w:lineRule="auto"/>
        <w:rPr>
          <w:rFonts w:ascii="仿宋" w:hAnsi="仿宋" w:eastAsia="仿宋" w:cs="仿宋"/>
          <w:color w:val="auto"/>
          <w:sz w:val="24"/>
          <w:szCs w:val="24"/>
          <w:highlight w:val="none"/>
        </w:rPr>
      </w:pPr>
    </w:p>
    <w:p w14:paraId="25EAE00B">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供应商：                                      法定代表人授权代表：</w:t>
      </w:r>
    </w:p>
    <w:p w14:paraId="442877B1">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（供应商公章）                                 （签字或盖章）</w:t>
      </w:r>
    </w:p>
    <w:p w14:paraId="617689CB">
      <w:pPr>
        <w:tabs>
          <w:tab w:val="left" w:pos="6300"/>
        </w:tabs>
        <w:snapToGrid w:val="0"/>
        <w:spacing w:line="360" w:lineRule="auto"/>
        <w:ind w:firstLine="57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E751CB2">
      <w:pPr>
        <w:tabs>
          <w:tab w:val="left" w:pos="6300"/>
        </w:tabs>
        <w:snapToGrid w:val="0"/>
        <w:spacing w:line="360" w:lineRule="auto"/>
        <w:ind w:firstLine="57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754F2AC8">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2C210F67">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1.本表即为对本项目“第三篇 项目商务需求”中所列要求进行比较和响应；</w:t>
      </w:r>
    </w:p>
    <w:p w14:paraId="65B860DB">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2.该表必须按照网上竞采要求逐条如实填写，“采购项目需求”填写本文件“第三篇 项目商务需求”中所列要求的内容，“响应情况”填写竞标响应的内容，根据响应情况在“差异说明”项填写正偏离或负偏离及原因，完全符合的填写“无差异”，未按要求填写的按无效响应处理；</w:t>
      </w:r>
    </w:p>
    <w:p w14:paraId="233384D5">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highlight w:val="none"/>
        </w:rPr>
        <w:t>3.该表可扩展，并逐页签字或盖供应商公章。</w:t>
      </w: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（三）其它优惠承诺（格式自定）</w:t>
      </w:r>
    </w:p>
    <w:p w14:paraId="3DF88709">
      <w:pPr>
        <w:spacing w:line="360" w:lineRule="auto"/>
        <w:rPr>
          <w:rFonts w:ascii="仿宋" w:hAnsi="仿宋" w:eastAsia="仿宋" w:cs="仿宋"/>
          <w:color w:val="auto"/>
          <w:sz w:val="24"/>
          <w:szCs w:val="24"/>
          <w:highlight w:val="none"/>
        </w:rPr>
      </w:pPr>
    </w:p>
    <w:p w14:paraId="04E31CF7">
      <w:pPr>
        <w:pStyle w:val="5"/>
        <w:spacing w:line="360" w:lineRule="auto"/>
        <w:ind w:left="560"/>
        <w:rPr>
          <w:rFonts w:ascii="仿宋" w:hAnsi="仿宋" w:eastAsia="仿宋" w:cs="仿宋"/>
          <w:color w:val="auto"/>
          <w:sz w:val="24"/>
          <w:szCs w:val="24"/>
          <w:highlight w:val="none"/>
        </w:rPr>
      </w:pPr>
    </w:p>
    <w:p w14:paraId="15517F8E">
      <w:pPr>
        <w:spacing w:line="360" w:lineRule="auto"/>
        <w:rPr>
          <w:rFonts w:ascii="仿宋" w:hAnsi="仿宋" w:eastAsia="仿宋" w:cs="仿宋"/>
          <w:color w:val="auto"/>
          <w:sz w:val="24"/>
          <w:szCs w:val="24"/>
          <w:highlight w:val="none"/>
        </w:rPr>
      </w:pPr>
    </w:p>
    <w:p w14:paraId="00B4BFBF">
      <w:pPr>
        <w:pStyle w:val="5"/>
        <w:spacing w:line="360" w:lineRule="auto"/>
        <w:ind w:left="560"/>
        <w:rPr>
          <w:rFonts w:ascii="仿宋" w:hAnsi="仿宋" w:eastAsia="仿宋" w:cs="仿宋"/>
          <w:color w:val="auto"/>
          <w:sz w:val="24"/>
          <w:szCs w:val="24"/>
          <w:highlight w:val="none"/>
        </w:rPr>
      </w:pPr>
    </w:p>
    <w:p w14:paraId="03B0A9F3">
      <w:pPr>
        <w:spacing w:line="360" w:lineRule="auto"/>
        <w:rPr>
          <w:rFonts w:ascii="仿宋" w:hAnsi="仿宋" w:eastAsia="仿宋" w:cs="仿宋"/>
          <w:color w:val="auto"/>
          <w:sz w:val="24"/>
          <w:szCs w:val="24"/>
          <w:highlight w:val="none"/>
        </w:rPr>
      </w:pPr>
    </w:p>
    <w:p w14:paraId="2A07F113">
      <w:pPr>
        <w:pStyle w:val="5"/>
        <w:spacing w:line="360" w:lineRule="auto"/>
        <w:ind w:left="560"/>
        <w:rPr>
          <w:rFonts w:ascii="仿宋" w:hAnsi="仿宋" w:eastAsia="仿宋" w:cs="仿宋"/>
          <w:color w:val="auto"/>
          <w:sz w:val="24"/>
          <w:szCs w:val="24"/>
          <w:highlight w:val="none"/>
        </w:rPr>
      </w:pPr>
    </w:p>
    <w:p w14:paraId="0AA7E6D4">
      <w:pPr>
        <w:spacing w:line="360" w:lineRule="auto"/>
        <w:rPr>
          <w:rFonts w:ascii="仿宋" w:hAnsi="仿宋" w:eastAsia="仿宋" w:cs="仿宋"/>
          <w:color w:val="auto"/>
          <w:sz w:val="24"/>
          <w:szCs w:val="24"/>
          <w:highlight w:val="none"/>
        </w:rPr>
      </w:pPr>
    </w:p>
    <w:p w14:paraId="11A22A81">
      <w:pPr>
        <w:pStyle w:val="5"/>
        <w:spacing w:line="360" w:lineRule="auto"/>
        <w:ind w:left="560"/>
        <w:rPr>
          <w:rFonts w:ascii="仿宋" w:hAnsi="仿宋" w:eastAsia="仿宋" w:cs="仿宋"/>
          <w:color w:val="auto"/>
          <w:sz w:val="24"/>
          <w:szCs w:val="24"/>
          <w:highlight w:val="none"/>
        </w:rPr>
      </w:pPr>
    </w:p>
    <w:p w14:paraId="25D6AB90">
      <w:pPr>
        <w:spacing w:line="360" w:lineRule="auto"/>
        <w:rPr>
          <w:rFonts w:ascii="仿宋" w:hAnsi="仿宋" w:eastAsia="仿宋" w:cs="仿宋"/>
          <w:color w:val="auto"/>
          <w:sz w:val="24"/>
          <w:szCs w:val="24"/>
          <w:highlight w:val="none"/>
        </w:rPr>
      </w:pPr>
    </w:p>
    <w:p w14:paraId="5A180550">
      <w:pPr>
        <w:pStyle w:val="5"/>
        <w:spacing w:line="360" w:lineRule="auto"/>
        <w:ind w:left="560"/>
        <w:rPr>
          <w:rFonts w:ascii="仿宋" w:hAnsi="仿宋" w:eastAsia="仿宋" w:cs="仿宋"/>
          <w:color w:val="auto"/>
          <w:sz w:val="24"/>
          <w:szCs w:val="24"/>
          <w:highlight w:val="none"/>
        </w:rPr>
      </w:pPr>
    </w:p>
    <w:p w14:paraId="78ACE369">
      <w:pPr>
        <w:spacing w:line="360" w:lineRule="auto"/>
        <w:rPr>
          <w:rFonts w:ascii="仿宋" w:hAnsi="仿宋" w:eastAsia="仿宋" w:cs="仿宋"/>
          <w:color w:val="auto"/>
          <w:sz w:val="24"/>
          <w:szCs w:val="24"/>
          <w:highlight w:val="none"/>
        </w:rPr>
      </w:pPr>
    </w:p>
    <w:p w14:paraId="3017F843">
      <w:pPr>
        <w:pStyle w:val="5"/>
        <w:spacing w:line="360" w:lineRule="auto"/>
        <w:ind w:left="560"/>
        <w:rPr>
          <w:rFonts w:ascii="仿宋" w:hAnsi="仿宋" w:eastAsia="仿宋" w:cs="仿宋"/>
          <w:color w:val="auto"/>
          <w:sz w:val="24"/>
          <w:szCs w:val="24"/>
          <w:highlight w:val="none"/>
        </w:rPr>
      </w:pPr>
    </w:p>
    <w:p w14:paraId="514B63B6">
      <w:pPr>
        <w:spacing w:line="360" w:lineRule="auto"/>
        <w:rPr>
          <w:rFonts w:ascii="仿宋" w:hAnsi="仿宋" w:eastAsia="仿宋" w:cs="仿宋"/>
          <w:color w:val="auto"/>
          <w:sz w:val="24"/>
          <w:szCs w:val="24"/>
          <w:highlight w:val="none"/>
        </w:rPr>
      </w:pPr>
    </w:p>
    <w:p w14:paraId="6C2F22FD">
      <w:pPr>
        <w:pStyle w:val="5"/>
        <w:spacing w:line="360" w:lineRule="auto"/>
        <w:ind w:left="560"/>
        <w:rPr>
          <w:rFonts w:ascii="仿宋" w:hAnsi="仿宋" w:eastAsia="仿宋" w:cs="仿宋"/>
          <w:color w:val="auto"/>
          <w:sz w:val="24"/>
          <w:szCs w:val="24"/>
          <w:highlight w:val="none"/>
        </w:rPr>
      </w:pPr>
    </w:p>
    <w:p w14:paraId="3014778B">
      <w:pPr>
        <w:spacing w:line="360" w:lineRule="auto"/>
        <w:rPr>
          <w:rFonts w:ascii="仿宋" w:hAnsi="仿宋" w:eastAsia="仿宋" w:cs="仿宋"/>
          <w:color w:val="auto"/>
          <w:sz w:val="24"/>
          <w:szCs w:val="24"/>
          <w:highlight w:val="none"/>
        </w:rPr>
      </w:pPr>
    </w:p>
    <w:p w14:paraId="460C16E9">
      <w:pPr>
        <w:pStyle w:val="5"/>
        <w:spacing w:line="360" w:lineRule="auto"/>
        <w:ind w:left="560"/>
        <w:rPr>
          <w:rFonts w:ascii="仿宋" w:hAnsi="仿宋" w:eastAsia="仿宋" w:cs="仿宋"/>
          <w:color w:val="auto"/>
          <w:sz w:val="24"/>
          <w:szCs w:val="24"/>
          <w:highlight w:val="none"/>
        </w:rPr>
      </w:pPr>
    </w:p>
    <w:p w14:paraId="497BD79D">
      <w:pPr>
        <w:spacing w:line="360" w:lineRule="auto"/>
        <w:rPr>
          <w:rFonts w:ascii="仿宋" w:hAnsi="仿宋" w:eastAsia="仿宋" w:cs="仿宋"/>
          <w:color w:val="auto"/>
          <w:sz w:val="24"/>
          <w:szCs w:val="24"/>
          <w:highlight w:val="none"/>
        </w:rPr>
      </w:pPr>
    </w:p>
    <w:p w14:paraId="2FD360E6">
      <w:pPr>
        <w:pStyle w:val="5"/>
        <w:spacing w:line="360" w:lineRule="auto"/>
        <w:ind w:left="560"/>
        <w:rPr>
          <w:rFonts w:ascii="仿宋" w:hAnsi="仿宋" w:eastAsia="仿宋" w:cs="仿宋"/>
          <w:color w:val="auto"/>
          <w:sz w:val="24"/>
          <w:szCs w:val="24"/>
          <w:highlight w:val="none"/>
        </w:rPr>
      </w:pPr>
    </w:p>
    <w:p w14:paraId="453B15B5">
      <w:pPr>
        <w:spacing w:line="360" w:lineRule="auto"/>
        <w:rPr>
          <w:rFonts w:ascii="仿宋" w:hAnsi="仿宋" w:eastAsia="仿宋" w:cs="仿宋"/>
          <w:color w:val="auto"/>
          <w:sz w:val="24"/>
          <w:szCs w:val="24"/>
          <w:highlight w:val="none"/>
        </w:rPr>
      </w:pPr>
    </w:p>
    <w:p w14:paraId="685AAE59">
      <w:pPr>
        <w:pStyle w:val="5"/>
        <w:spacing w:line="360" w:lineRule="auto"/>
        <w:ind w:left="560"/>
        <w:rPr>
          <w:rFonts w:ascii="仿宋" w:hAnsi="仿宋" w:eastAsia="仿宋" w:cs="仿宋"/>
          <w:color w:val="auto"/>
          <w:sz w:val="24"/>
          <w:szCs w:val="24"/>
          <w:highlight w:val="none"/>
        </w:rPr>
      </w:pPr>
    </w:p>
    <w:p w14:paraId="43E5CDEA">
      <w:pPr>
        <w:spacing w:line="360" w:lineRule="auto"/>
        <w:rPr>
          <w:rFonts w:ascii="仿宋" w:hAnsi="仿宋" w:eastAsia="仿宋" w:cs="仿宋"/>
          <w:color w:val="auto"/>
          <w:sz w:val="24"/>
          <w:szCs w:val="24"/>
          <w:highlight w:val="none"/>
        </w:rPr>
      </w:pPr>
    </w:p>
    <w:p w14:paraId="67D5286F">
      <w:pPr>
        <w:pStyle w:val="5"/>
        <w:spacing w:line="360" w:lineRule="auto"/>
        <w:ind w:left="560"/>
        <w:rPr>
          <w:rFonts w:ascii="仿宋" w:hAnsi="仿宋" w:eastAsia="仿宋" w:cs="仿宋"/>
          <w:color w:val="auto"/>
          <w:sz w:val="24"/>
          <w:szCs w:val="24"/>
          <w:highlight w:val="none"/>
        </w:rPr>
      </w:pPr>
    </w:p>
    <w:p w14:paraId="65AFFE2D">
      <w:pPr>
        <w:spacing w:line="360" w:lineRule="auto"/>
        <w:rPr>
          <w:rFonts w:ascii="仿宋" w:hAnsi="仿宋" w:eastAsia="仿宋" w:cs="仿宋"/>
          <w:color w:val="auto"/>
          <w:sz w:val="24"/>
          <w:szCs w:val="24"/>
          <w:highlight w:val="none"/>
        </w:rPr>
      </w:pPr>
    </w:p>
    <w:p w14:paraId="06E498B7">
      <w:pPr>
        <w:pStyle w:val="5"/>
        <w:spacing w:line="360" w:lineRule="auto"/>
        <w:ind w:left="560"/>
        <w:rPr>
          <w:rFonts w:ascii="仿宋" w:hAnsi="仿宋" w:eastAsia="仿宋" w:cs="仿宋"/>
          <w:color w:val="auto"/>
          <w:sz w:val="24"/>
          <w:szCs w:val="24"/>
          <w:highlight w:val="none"/>
        </w:rPr>
      </w:pPr>
    </w:p>
    <w:p w14:paraId="449E2077">
      <w:pPr>
        <w:spacing w:line="360" w:lineRule="auto"/>
        <w:rPr>
          <w:rFonts w:ascii="仿宋" w:hAnsi="仿宋" w:eastAsia="仿宋" w:cs="仿宋"/>
          <w:color w:val="auto"/>
          <w:sz w:val="24"/>
          <w:szCs w:val="24"/>
          <w:highlight w:val="none"/>
        </w:rPr>
      </w:pPr>
    </w:p>
    <w:p w14:paraId="559873B8">
      <w:pPr>
        <w:pStyle w:val="5"/>
        <w:spacing w:line="360" w:lineRule="auto"/>
        <w:ind w:left="560"/>
        <w:rPr>
          <w:rFonts w:ascii="仿宋" w:hAnsi="仿宋" w:eastAsia="仿宋" w:cs="仿宋"/>
          <w:color w:val="auto"/>
          <w:sz w:val="24"/>
          <w:szCs w:val="24"/>
          <w:highlight w:val="none"/>
        </w:rPr>
      </w:pPr>
    </w:p>
    <w:p w14:paraId="051E7C2A">
      <w:pPr>
        <w:spacing w:line="360" w:lineRule="auto"/>
        <w:rPr>
          <w:rFonts w:ascii="仿宋" w:hAnsi="仿宋" w:eastAsia="仿宋" w:cs="仿宋"/>
          <w:color w:val="auto"/>
          <w:sz w:val="24"/>
          <w:szCs w:val="24"/>
          <w:highlight w:val="none"/>
        </w:rPr>
      </w:pPr>
    </w:p>
    <w:p w14:paraId="0F6539A8">
      <w:pPr>
        <w:pStyle w:val="5"/>
        <w:spacing w:line="360" w:lineRule="auto"/>
        <w:ind w:left="560"/>
        <w:rPr>
          <w:rFonts w:ascii="仿宋" w:hAnsi="仿宋" w:eastAsia="仿宋" w:cs="仿宋"/>
          <w:color w:val="auto"/>
          <w:sz w:val="24"/>
          <w:szCs w:val="24"/>
          <w:highlight w:val="none"/>
        </w:rPr>
      </w:pPr>
    </w:p>
    <w:p w14:paraId="1FC183F4">
      <w:pPr>
        <w:spacing w:line="360" w:lineRule="auto"/>
        <w:rPr>
          <w:rFonts w:ascii="仿宋" w:hAnsi="仿宋" w:eastAsia="仿宋" w:cs="仿宋"/>
          <w:color w:val="auto"/>
          <w:sz w:val="24"/>
          <w:szCs w:val="24"/>
          <w:highlight w:val="none"/>
        </w:rPr>
      </w:pPr>
    </w:p>
    <w:p w14:paraId="4591CEE4">
      <w:pPr>
        <w:pStyle w:val="5"/>
        <w:spacing w:line="360" w:lineRule="auto"/>
        <w:ind w:left="560"/>
        <w:rPr>
          <w:rFonts w:ascii="仿宋" w:hAnsi="仿宋" w:eastAsia="仿宋" w:cs="仿宋"/>
          <w:color w:val="auto"/>
          <w:sz w:val="24"/>
          <w:szCs w:val="24"/>
          <w:highlight w:val="none"/>
        </w:rPr>
      </w:pPr>
    </w:p>
    <w:p w14:paraId="6444BBC8">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4A08EB44">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A59BA80">
      <w:pPr>
        <w:snapToGrid w:val="0"/>
        <w:spacing w:line="360" w:lineRule="auto"/>
        <w:ind w:firstLine="480" w:firstLineChars="200"/>
        <w:rPr>
          <w:rFonts w:ascii="仿宋" w:hAnsi="仿宋" w:eastAsia="仿宋" w:cs="仿宋"/>
          <w:color w:val="auto"/>
          <w:sz w:val="24"/>
          <w:szCs w:val="24"/>
          <w:highlight w:val="none"/>
        </w:rPr>
      </w:pPr>
    </w:p>
    <w:p w14:paraId="39737E1D">
      <w:pPr>
        <w:snapToGrid w:val="0"/>
        <w:spacing w:line="360" w:lineRule="auto"/>
        <w:ind w:firstLine="480" w:firstLineChars="200"/>
        <w:rPr>
          <w:rFonts w:ascii="仿宋" w:hAnsi="仿宋" w:eastAsia="仿宋" w:cs="仿宋"/>
          <w:color w:val="auto"/>
          <w:sz w:val="24"/>
          <w:szCs w:val="24"/>
          <w:highlight w:val="none"/>
        </w:rPr>
      </w:pPr>
    </w:p>
    <w:p w14:paraId="069ACC53">
      <w:pPr>
        <w:snapToGrid w:val="0"/>
        <w:spacing w:line="360" w:lineRule="auto"/>
        <w:ind w:firstLine="480" w:firstLineChars="200"/>
        <w:rPr>
          <w:rFonts w:ascii="仿宋" w:hAnsi="仿宋" w:eastAsia="仿宋" w:cs="仿宋"/>
          <w:color w:val="auto"/>
          <w:sz w:val="24"/>
          <w:szCs w:val="24"/>
          <w:highlight w:val="none"/>
        </w:rPr>
      </w:pPr>
    </w:p>
    <w:p w14:paraId="03A360AA">
      <w:pPr>
        <w:snapToGrid w:val="0"/>
        <w:spacing w:line="360" w:lineRule="auto"/>
        <w:ind w:firstLine="480" w:firstLineChars="200"/>
        <w:rPr>
          <w:rFonts w:ascii="仿宋" w:hAnsi="仿宋" w:eastAsia="仿宋" w:cs="仿宋"/>
          <w:color w:val="auto"/>
          <w:sz w:val="24"/>
          <w:szCs w:val="24"/>
          <w:highlight w:val="none"/>
        </w:rPr>
      </w:pPr>
    </w:p>
    <w:p w14:paraId="0018C05B">
      <w:pPr>
        <w:snapToGrid w:val="0"/>
        <w:spacing w:line="360" w:lineRule="auto"/>
        <w:ind w:firstLine="480" w:firstLineChars="200"/>
        <w:rPr>
          <w:rFonts w:ascii="仿宋" w:hAnsi="仿宋" w:eastAsia="仿宋" w:cs="仿宋"/>
          <w:color w:val="auto"/>
          <w:sz w:val="24"/>
          <w:szCs w:val="24"/>
          <w:highlight w:val="none"/>
        </w:rPr>
      </w:pPr>
    </w:p>
    <w:p w14:paraId="58A5098F">
      <w:pPr>
        <w:snapToGrid w:val="0"/>
        <w:spacing w:line="360" w:lineRule="auto"/>
        <w:ind w:firstLine="480" w:firstLineChars="200"/>
        <w:rPr>
          <w:rFonts w:ascii="仿宋" w:hAnsi="仿宋" w:eastAsia="仿宋" w:cs="仿宋"/>
          <w:color w:val="auto"/>
          <w:sz w:val="24"/>
          <w:szCs w:val="24"/>
          <w:highlight w:val="none"/>
        </w:rPr>
      </w:pPr>
    </w:p>
    <w:p w14:paraId="4771FF60">
      <w:pPr>
        <w:snapToGrid w:val="0"/>
        <w:spacing w:line="360" w:lineRule="auto"/>
        <w:ind w:firstLine="480" w:firstLineChars="200"/>
        <w:rPr>
          <w:rFonts w:ascii="仿宋" w:hAnsi="仿宋" w:eastAsia="仿宋" w:cs="仿宋"/>
          <w:color w:val="auto"/>
          <w:sz w:val="24"/>
          <w:szCs w:val="24"/>
          <w:highlight w:val="none"/>
        </w:rPr>
      </w:pPr>
    </w:p>
    <w:p w14:paraId="4033184D">
      <w:pPr>
        <w:snapToGrid w:val="0"/>
        <w:spacing w:line="360" w:lineRule="auto"/>
        <w:ind w:firstLine="480" w:firstLineChars="200"/>
        <w:rPr>
          <w:rFonts w:ascii="仿宋" w:hAnsi="仿宋" w:eastAsia="仿宋" w:cs="仿宋"/>
          <w:color w:val="auto"/>
          <w:sz w:val="24"/>
          <w:szCs w:val="24"/>
          <w:highlight w:val="none"/>
        </w:rPr>
      </w:pPr>
    </w:p>
    <w:p w14:paraId="302B087D">
      <w:pPr>
        <w:snapToGrid w:val="0"/>
        <w:spacing w:line="360" w:lineRule="auto"/>
        <w:ind w:firstLine="480" w:firstLineChars="200"/>
        <w:rPr>
          <w:rFonts w:ascii="仿宋" w:hAnsi="仿宋" w:eastAsia="仿宋" w:cs="仿宋"/>
          <w:color w:val="auto"/>
          <w:sz w:val="24"/>
          <w:szCs w:val="24"/>
          <w:highlight w:val="none"/>
        </w:rPr>
      </w:pPr>
    </w:p>
    <w:p w14:paraId="2316783B">
      <w:pPr>
        <w:snapToGrid w:val="0"/>
        <w:spacing w:line="360" w:lineRule="auto"/>
        <w:ind w:firstLine="480" w:firstLineChars="200"/>
        <w:rPr>
          <w:rFonts w:ascii="仿宋" w:hAnsi="仿宋" w:eastAsia="仿宋" w:cs="仿宋"/>
          <w:color w:val="auto"/>
          <w:sz w:val="24"/>
          <w:szCs w:val="24"/>
          <w:highlight w:val="none"/>
        </w:rPr>
      </w:pPr>
    </w:p>
    <w:p w14:paraId="63BBCD05">
      <w:pPr>
        <w:snapToGrid w:val="0"/>
        <w:spacing w:line="360" w:lineRule="auto"/>
        <w:ind w:firstLine="480" w:firstLineChars="200"/>
        <w:rPr>
          <w:rFonts w:ascii="仿宋" w:hAnsi="仿宋" w:eastAsia="仿宋" w:cs="仿宋"/>
          <w:color w:val="auto"/>
          <w:sz w:val="24"/>
          <w:szCs w:val="24"/>
          <w:highlight w:val="none"/>
        </w:rPr>
      </w:pPr>
    </w:p>
    <w:p w14:paraId="7B204A13">
      <w:pPr>
        <w:snapToGrid w:val="0"/>
        <w:spacing w:line="360" w:lineRule="auto"/>
        <w:ind w:firstLine="480" w:firstLineChars="200"/>
        <w:rPr>
          <w:rFonts w:ascii="仿宋" w:hAnsi="仿宋" w:eastAsia="仿宋" w:cs="仿宋"/>
          <w:color w:val="auto"/>
          <w:sz w:val="24"/>
          <w:szCs w:val="24"/>
          <w:highlight w:val="none"/>
        </w:rPr>
      </w:pPr>
    </w:p>
    <w:p w14:paraId="49F9C6C2">
      <w:pPr>
        <w:snapToGrid w:val="0"/>
        <w:spacing w:line="360" w:lineRule="auto"/>
        <w:ind w:firstLine="480" w:firstLineChars="200"/>
        <w:rPr>
          <w:rFonts w:ascii="仿宋" w:hAnsi="仿宋" w:eastAsia="仿宋" w:cs="仿宋"/>
          <w:color w:val="auto"/>
          <w:sz w:val="24"/>
          <w:szCs w:val="24"/>
          <w:highlight w:val="none"/>
        </w:rPr>
      </w:pPr>
    </w:p>
    <w:p w14:paraId="39DE170C">
      <w:pPr>
        <w:snapToGrid w:val="0"/>
        <w:spacing w:line="360" w:lineRule="auto"/>
        <w:ind w:firstLine="480" w:firstLineChars="200"/>
        <w:rPr>
          <w:rFonts w:ascii="仿宋" w:hAnsi="仿宋" w:eastAsia="仿宋" w:cs="仿宋"/>
          <w:color w:val="auto"/>
          <w:sz w:val="24"/>
          <w:szCs w:val="24"/>
          <w:highlight w:val="none"/>
        </w:rPr>
      </w:pPr>
    </w:p>
    <w:p w14:paraId="6E221633">
      <w:pPr>
        <w:snapToGrid w:val="0"/>
        <w:spacing w:line="360" w:lineRule="auto"/>
        <w:ind w:firstLine="480" w:firstLineChars="200"/>
        <w:rPr>
          <w:rFonts w:ascii="仿宋" w:hAnsi="仿宋" w:eastAsia="仿宋" w:cs="仿宋"/>
          <w:color w:val="auto"/>
          <w:sz w:val="24"/>
          <w:szCs w:val="24"/>
          <w:highlight w:val="none"/>
        </w:rPr>
      </w:pPr>
    </w:p>
    <w:p w14:paraId="09AD820D">
      <w:pPr>
        <w:snapToGrid w:val="0"/>
        <w:spacing w:line="360" w:lineRule="auto"/>
        <w:ind w:firstLine="480" w:firstLineChars="200"/>
        <w:rPr>
          <w:rFonts w:ascii="仿宋" w:hAnsi="仿宋" w:eastAsia="仿宋" w:cs="仿宋"/>
          <w:color w:val="auto"/>
          <w:sz w:val="24"/>
          <w:szCs w:val="24"/>
          <w:highlight w:val="none"/>
        </w:rPr>
      </w:pPr>
    </w:p>
    <w:p w14:paraId="63713DB4">
      <w:pPr>
        <w:snapToGrid w:val="0"/>
        <w:spacing w:line="360" w:lineRule="auto"/>
        <w:ind w:firstLine="480" w:firstLineChars="200"/>
        <w:rPr>
          <w:rFonts w:ascii="仿宋" w:hAnsi="仿宋" w:eastAsia="仿宋" w:cs="仿宋"/>
          <w:color w:val="auto"/>
          <w:sz w:val="24"/>
          <w:szCs w:val="24"/>
          <w:highlight w:val="none"/>
        </w:rPr>
      </w:pPr>
    </w:p>
    <w:p w14:paraId="3C50359F">
      <w:pPr>
        <w:snapToGrid w:val="0"/>
        <w:spacing w:line="360" w:lineRule="auto"/>
        <w:ind w:firstLine="480" w:firstLineChars="200"/>
        <w:rPr>
          <w:rFonts w:ascii="仿宋" w:hAnsi="仿宋" w:eastAsia="仿宋" w:cs="仿宋"/>
          <w:color w:val="auto"/>
          <w:sz w:val="24"/>
          <w:szCs w:val="24"/>
          <w:highlight w:val="none"/>
        </w:rPr>
      </w:pPr>
    </w:p>
    <w:p w14:paraId="0BC827D8">
      <w:pPr>
        <w:snapToGrid w:val="0"/>
        <w:spacing w:line="360" w:lineRule="auto"/>
        <w:ind w:firstLine="480" w:firstLineChars="200"/>
        <w:rPr>
          <w:rFonts w:ascii="仿宋" w:hAnsi="仿宋" w:eastAsia="仿宋" w:cs="仿宋"/>
          <w:color w:val="auto"/>
          <w:sz w:val="24"/>
          <w:szCs w:val="24"/>
          <w:highlight w:val="none"/>
        </w:rPr>
      </w:pPr>
    </w:p>
    <w:p w14:paraId="5AD5C0C5">
      <w:pPr>
        <w:snapToGrid w:val="0"/>
        <w:spacing w:line="360" w:lineRule="auto"/>
        <w:ind w:firstLine="480" w:firstLineChars="200"/>
        <w:rPr>
          <w:rFonts w:ascii="仿宋" w:hAnsi="仿宋" w:eastAsia="仿宋" w:cs="仿宋"/>
          <w:color w:val="auto"/>
          <w:sz w:val="24"/>
          <w:szCs w:val="24"/>
          <w:highlight w:val="none"/>
        </w:rPr>
      </w:pPr>
    </w:p>
    <w:p w14:paraId="5294E20D">
      <w:pPr>
        <w:snapToGrid w:val="0"/>
        <w:spacing w:line="360" w:lineRule="auto"/>
        <w:ind w:firstLine="480" w:firstLineChars="200"/>
        <w:rPr>
          <w:rFonts w:ascii="仿宋" w:hAnsi="仿宋" w:eastAsia="仿宋" w:cs="仿宋"/>
          <w:color w:val="auto"/>
          <w:sz w:val="24"/>
          <w:szCs w:val="24"/>
          <w:highlight w:val="none"/>
        </w:rPr>
      </w:pPr>
    </w:p>
    <w:p w14:paraId="35E809C8">
      <w:pPr>
        <w:snapToGrid w:val="0"/>
        <w:spacing w:line="360" w:lineRule="auto"/>
        <w:ind w:firstLine="480" w:firstLineChars="200"/>
        <w:rPr>
          <w:rFonts w:ascii="仿宋" w:hAnsi="仿宋" w:eastAsia="仿宋" w:cs="仿宋"/>
          <w:color w:val="auto"/>
          <w:sz w:val="24"/>
          <w:szCs w:val="24"/>
          <w:highlight w:val="none"/>
        </w:rPr>
      </w:pPr>
    </w:p>
    <w:p w14:paraId="21936E76">
      <w:pPr>
        <w:snapToGrid w:val="0"/>
        <w:spacing w:line="360" w:lineRule="auto"/>
        <w:ind w:firstLine="480" w:firstLineChars="200"/>
        <w:rPr>
          <w:rFonts w:ascii="仿宋" w:hAnsi="仿宋" w:eastAsia="仿宋" w:cs="仿宋"/>
          <w:color w:val="auto"/>
          <w:sz w:val="24"/>
          <w:szCs w:val="24"/>
          <w:highlight w:val="none"/>
        </w:rPr>
      </w:pPr>
    </w:p>
    <w:p w14:paraId="45CFCEAD">
      <w:pPr>
        <w:snapToGrid w:val="0"/>
        <w:spacing w:line="360" w:lineRule="auto"/>
        <w:ind w:firstLine="480" w:firstLineChars="200"/>
        <w:rPr>
          <w:rFonts w:ascii="仿宋" w:hAnsi="仿宋" w:eastAsia="仿宋" w:cs="仿宋"/>
          <w:color w:val="auto"/>
          <w:sz w:val="24"/>
          <w:szCs w:val="24"/>
          <w:highlight w:val="none"/>
        </w:rPr>
      </w:pPr>
    </w:p>
    <w:p w14:paraId="742E330E">
      <w:pPr>
        <w:snapToGrid w:val="0"/>
        <w:spacing w:line="360" w:lineRule="auto"/>
        <w:rPr>
          <w:rFonts w:ascii="仿宋" w:hAnsi="仿宋" w:eastAsia="仿宋" w:cs="仿宋"/>
          <w:color w:val="auto"/>
          <w:sz w:val="24"/>
          <w:szCs w:val="24"/>
          <w:highlight w:val="none"/>
        </w:rPr>
      </w:pPr>
    </w:p>
    <w:p w14:paraId="1109B246">
      <w:pPr>
        <w:tabs>
          <w:tab w:val="left" w:pos="6300"/>
        </w:tabs>
        <w:snapToGrid w:val="0"/>
        <w:spacing w:line="360" w:lineRule="auto"/>
        <w:rPr>
          <w:rFonts w:ascii="仿宋" w:hAnsi="仿宋" w:eastAsia="仿宋" w:cs="仿宋"/>
          <w:b/>
          <w:bCs/>
          <w:color w:val="auto"/>
          <w:sz w:val="24"/>
          <w:szCs w:val="24"/>
          <w:highlight w:val="none"/>
        </w:rPr>
      </w:pPr>
    </w:p>
    <w:p w14:paraId="285F8415">
      <w:pPr>
        <w:tabs>
          <w:tab w:val="left" w:pos="6300"/>
        </w:tabs>
        <w:snapToGrid w:val="0"/>
        <w:spacing w:line="360" w:lineRule="auto"/>
        <w:rPr>
          <w:rFonts w:ascii="仿宋" w:hAnsi="仿宋" w:eastAsia="仿宋" w:cs="仿宋"/>
          <w:b/>
          <w:bCs/>
          <w:color w:val="auto"/>
          <w:sz w:val="24"/>
          <w:szCs w:val="24"/>
          <w:highlight w:val="none"/>
        </w:rPr>
      </w:pPr>
    </w:p>
    <w:p w14:paraId="16DF3A8B">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84A2762">
      <w:pPr>
        <w:tabs>
          <w:tab w:val="left" w:pos="6300"/>
        </w:tabs>
        <w:snapToGrid w:val="0"/>
        <w:spacing w:line="360" w:lineRule="auto"/>
        <w:rPr>
          <w:rFonts w:ascii="仿宋" w:hAnsi="仿宋" w:eastAsia="仿宋" w:cs="仿宋"/>
          <w:color w:val="auto"/>
          <w:sz w:val="24"/>
          <w:szCs w:val="24"/>
          <w:highlight w:val="none"/>
        </w:rPr>
      </w:pPr>
      <w:bookmarkStart w:id="125" w:name="_Hlk27399531"/>
      <w:r>
        <w:rPr>
          <w:rFonts w:hint="eastAsia" w:ascii="仿宋" w:hAnsi="仿宋" w:eastAsia="仿宋" w:cs="仿宋"/>
          <w:color w:val="auto"/>
          <w:sz w:val="24"/>
          <w:szCs w:val="24"/>
          <w:highlight w:val="none"/>
        </w:rPr>
        <w:t>（二）法定代表人身份证明书（格式）/法定代表人授权委托书（格式）</w:t>
      </w:r>
    </w:p>
    <w:p w14:paraId="65B4ED7C">
      <w:pPr>
        <w:tabs>
          <w:tab w:val="left" w:pos="6300"/>
        </w:tabs>
        <w:snapToGrid w:val="0"/>
        <w:spacing w:line="360" w:lineRule="auto"/>
        <w:ind w:right="-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58E427B">
      <w:pPr>
        <w:tabs>
          <w:tab w:val="left" w:pos="6300"/>
        </w:tabs>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法定代表人身份证明书</w:t>
      </w:r>
    </w:p>
    <w:p w14:paraId="25D5740C">
      <w:pPr>
        <w:tabs>
          <w:tab w:val="left" w:pos="6300"/>
        </w:tabs>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7516CB44">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（法定代表人名称及身份证代码）是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代表我单位全权办理上述项目的竞采、签约等具体工作，并签署全部有关文件、协议及合同。签字负全部责任。</w:t>
      </w:r>
    </w:p>
    <w:p w14:paraId="4764A6B0">
      <w:pPr>
        <w:tabs>
          <w:tab w:val="left" w:pos="6300"/>
        </w:tabs>
        <w:snapToGrid w:val="0"/>
        <w:spacing w:line="360" w:lineRule="auto"/>
        <w:ind w:firstLine="570"/>
        <w:rPr>
          <w:rFonts w:ascii="仿宋" w:hAnsi="仿宋" w:eastAsia="仿宋" w:cs="仿宋"/>
          <w:color w:val="auto"/>
          <w:sz w:val="24"/>
          <w:szCs w:val="24"/>
          <w:highlight w:val="none"/>
        </w:rPr>
      </w:pPr>
    </w:p>
    <w:p w14:paraId="2DED735E">
      <w:pPr>
        <w:tabs>
          <w:tab w:val="left" w:pos="6300"/>
        </w:tabs>
        <w:snapToGrid w:val="0"/>
        <w:spacing w:line="360" w:lineRule="auto"/>
        <w:ind w:firstLine="570"/>
        <w:rPr>
          <w:rFonts w:ascii="仿宋" w:hAnsi="仿宋" w:eastAsia="仿宋" w:cs="仿宋"/>
          <w:color w:val="auto"/>
          <w:sz w:val="24"/>
          <w:szCs w:val="24"/>
          <w:highlight w:val="none"/>
        </w:rPr>
      </w:pPr>
    </w:p>
    <w:p w14:paraId="5D7ACC0F">
      <w:pPr>
        <w:tabs>
          <w:tab w:val="left" w:pos="6300"/>
        </w:tabs>
        <w:snapToGrid w:val="0"/>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                          供应商名称（公章）</w:t>
      </w:r>
    </w:p>
    <w:p w14:paraId="6161C1E9">
      <w:pPr>
        <w:tabs>
          <w:tab w:val="left" w:pos="6300"/>
        </w:tabs>
        <w:snapToGrid w:val="0"/>
        <w:spacing w:line="360" w:lineRule="auto"/>
        <w:ind w:right="360" w:firstLine="57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267AF32">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（附：法定代表人身份证正反面复印件）</w:t>
      </w:r>
    </w:p>
    <w:p w14:paraId="74FB203B">
      <w:pPr>
        <w:tabs>
          <w:tab w:val="left" w:pos="6300"/>
        </w:tabs>
        <w:snapToGrid w:val="0"/>
        <w:spacing w:line="360" w:lineRule="auto"/>
        <w:ind w:firstLine="570"/>
        <w:rPr>
          <w:rFonts w:hint="eastAsia" w:ascii="仿宋" w:hAnsi="仿宋" w:eastAsia="仿宋" w:cs="仿宋"/>
          <w:color w:val="auto"/>
          <w:sz w:val="24"/>
          <w:szCs w:val="24"/>
          <w:highlight w:val="none"/>
        </w:rPr>
      </w:pPr>
    </w:p>
    <w:p w14:paraId="1C1A60A1">
      <w:pPr>
        <w:tabs>
          <w:tab w:val="left" w:pos="6300"/>
        </w:tabs>
        <w:snapToGrid w:val="0"/>
        <w:spacing w:line="500" w:lineRule="exact"/>
        <w:ind w:right="480" w:firstLine="570"/>
        <w:jc w:val="left"/>
        <w:rPr>
          <w:rFonts w:ascii="仿宋" w:hAnsi="仿宋" w:eastAsia="仿宋" w:cs="仿宋"/>
          <w:color w:val="auto"/>
          <w:sz w:val="24"/>
          <w:szCs w:val="24"/>
          <w:highlight w:val="none"/>
        </w:rPr>
      </w:pPr>
      <w:r>
        <w:rPr>
          <w:rFonts w:hint="eastAsia" w:ascii="方正仿宋_GBK" w:hAnsi="仿宋" w:eastAsia="方正仿宋_GBK"/>
          <w:color w:val="auto"/>
          <w:sz w:val="24"/>
          <w:highlight w:val="none"/>
        </w:rPr>
        <w:t>注：若为法定代表人办理并签署响应文件的，可不提供法定代表人授权委托书。</w:t>
      </w:r>
      <w:r>
        <w:rPr>
          <w:rFonts w:hint="eastAsia" w:ascii="仿宋" w:hAnsi="仿宋" w:eastAsia="仿宋" w:cs="仿宋"/>
          <w:color w:val="auto"/>
          <w:sz w:val="24"/>
          <w:szCs w:val="24"/>
          <w:highlight w:val="none"/>
        </w:rPr>
        <w:t xml:space="preserve">--------------------------------------------------------------------------  </w:t>
      </w:r>
    </w:p>
    <w:p w14:paraId="5ECC0C19">
      <w:pPr>
        <w:tabs>
          <w:tab w:val="left" w:pos="6300"/>
        </w:tabs>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法定代表人授权委托书</w:t>
      </w:r>
    </w:p>
    <w:p w14:paraId="6A553D8E">
      <w:pPr>
        <w:tabs>
          <w:tab w:val="left" w:pos="6300"/>
        </w:tabs>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2DECE60C">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代表我单位全权办理上述项目的竞采、签约等具体工作，并签署全部有关文件、协议及合同。</w:t>
      </w:r>
    </w:p>
    <w:p w14:paraId="3E94E857">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5D935A7B">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6C9E3B14">
      <w:pPr>
        <w:tabs>
          <w:tab w:val="left" w:pos="6300"/>
        </w:tabs>
        <w:snapToGrid w:val="0"/>
        <w:spacing w:line="360" w:lineRule="auto"/>
        <w:ind w:firstLine="570"/>
        <w:rPr>
          <w:rFonts w:ascii="仿宋" w:hAnsi="仿宋" w:eastAsia="仿宋" w:cs="仿宋"/>
          <w:color w:val="auto"/>
          <w:sz w:val="24"/>
          <w:szCs w:val="24"/>
          <w:highlight w:val="none"/>
        </w:rPr>
      </w:pPr>
    </w:p>
    <w:p w14:paraId="207E290D">
      <w:pPr>
        <w:tabs>
          <w:tab w:val="left" w:pos="6300"/>
        </w:tabs>
        <w:snapToGrid w:val="0"/>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法定代表人：</w:t>
      </w:r>
    </w:p>
    <w:p w14:paraId="1B9237C2">
      <w:pPr>
        <w:tabs>
          <w:tab w:val="left" w:pos="6300"/>
        </w:tabs>
        <w:snapToGrid w:val="0"/>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62C5A259">
      <w:pPr>
        <w:tabs>
          <w:tab w:val="left" w:pos="6300"/>
        </w:tabs>
        <w:snapToGrid w:val="0"/>
        <w:spacing w:line="360" w:lineRule="auto"/>
        <w:ind w:firstLine="570"/>
        <w:rPr>
          <w:rFonts w:ascii="仿宋" w:hAnsi="仿宋" w:eastAsia="仿宋" w:cs="仿宋"/>
          <w:color w:val="auto"/>
          <w:sz w:val="24"/>
          <w:szCs w:val="24"/>
          <w:highlight w:val="none"/>
        </w:rPr>
      </w:pPr>
    </w:p>
    <w:p w14:paraId="65B1D7B4">
      <w:pPr>
        <w:tabs>
          <w:tab w:val="left" w:pos="6300"/>
        </w:tabs>
        <w:snapToGrid w:val="0"/>
        <w:spacing w:line="360" w:lineRule="auto"/>
        <w:ind w:firstLine="57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2B13EB7C">
      <w:pPr>
        <w:tabs>
          <w:tab w:val="left" w:pos="6300"/>
        </w:tabs>
        <w:snapToGrid w:val="0"/>
        <w:spacing w:line="360" w:lineRule="auto"/>
        <w:ind w:right="480" w:firstLine="57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供应商名称（公章）</w:t>
      </w:r>
    </w:p>
    <w:p w14:paraId="6A01FC9F">
      <w:pPr>
        <w:tabs>
          <w:tab w:val="left" w:pos="6300"/>
        </w:tabs>
        <w:snapToGrid w:val="0"/>
        <w:spacing w:line="360" w:lineRule="auto"/>
        <w:ind w:right="480" w:firstLine="57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0DC6ABB">
      <w:pPr>
        <w:rPr>
          <w:rFonts w:ascii="仿宋" w:hAnsi="仿宋" w:eastAsia="仿宋" w:cs="仿宋"/>
          <w:color w:val="auto"/>
          <w:sz w:val="24"/>
          <w:szCs w:val="24"/>
          <w:highlight w:val="none"/>
        </w:rPr>
      </w:pPr>
    </w:p>
    <w:p w14:paraId="449742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D5D4572">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（三）基本资格条件承诺函</w:t>
      </w:r>
    </w:p>
    <w:p w14:paraId="09B6D48E">
      <w:pPr>
        <w:widowControl/>
        <w:spacing w:line="360" w:lineRule="auto"/>
        <w:jc w:val="left"/>
        <w:rPr>
          <w:rFonts w:ascii="仿宋" w:hAnsi="仿宋" w:eastAsia="仿宋" w:cs="仿宋"/>
          <w:color w:val="auto"/>
          <w:sz w:val="24"/>
          <w:szCs w:val="24"/>
          <w:highlight w:val="none"/>
        </w:rPr>
      </w:pPr>
    </w:p>
    <w:p w14:paraId="2160CCE0">
      <w:pPr>
        <w:tabs>
          <w:tab w:val="left" w:pos="6300"/>
        </w:tabs>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14:paraId="4DF60537">
      <w:pPr>
        <w:tabs>
          <w:tab w:val="left" w:pos="6300"/>
        </w:tabs>
        <w:snapToGrid w:val="0"/>
        <w:spacing w:line="360" w:lineRule="auto"/>
        <w:rPr>
          <w:rFonts w:ascii="仿宋" w:hAnsi="仿宋" w:eastAsia="仿宋" w:cs="仿宋"/>
          <w:color w:val="auto"/>
          <w:sz w:val="24"/>
          <w:szCs w:val="24"/>
          <w:highlight w:val="none"/>
        </w:rPr>
      </w:pPr>
    </w:p>
    <w:p w14:paraId="6BC0DD95">
      <w:pPr>
        <w:tabs>
          <w:tab w:val="left" w:pos="6300"/>
        </w:tabs>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56EB282C">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（供应商名称）郑重承诺：</w:t>
      </w:r>
    </w:p>
    <w:p w14:paraId="4C23F45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00AA89A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561CEB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5BE96723">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FAAE5B4">
      <w:pPr>
        <w:tabs>
          <w:tab w:val="left" w:pos="6300"/>
        </w:tabs>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030BA869">
      <w:pPr>
        <w:tabs>
          <w:tab w:val="left" w:pos="6300"/>
        </w:tabs>
        <w:snapToGrid w:val="0"/>
        <w:spacing w:line="360" w:lineRule="auto"/>
        <w:rPr>
          <w:rFonts w:ascii="仿宋" w:hAnsi="仿宋" w:eastAsia="仿宋" w:cs="仿宋"/>
          <w:color w:val="auto"/>
          <w:sz w:val="24"/>
          <w:szCs w:val="24"/>
          <w:highlight w:val="none"/>
        </w:rPr>
      </w:pPr>
    </w:p>
    <w:p w14:paraId="44751F47">
      <w:pPr>
        <w:tabs>
          <w:tab w:val="left" w:pos="6300"/>
        </w:tabs>
        <w:snapToGrid w:val="0"/>
        <w:spacing w:line="360" w:lineRule="auto"/>
        <w:ind w:right="424" w:firstLine="57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25D98221">
      <w:pPr>
        <w:tabs>
          <w:tab w:val="left" w:pos="6300"/>
        </w:tabs>
        <w:snapToGrid w:val="0"/>
        <w:spacing w:line="360" w:lineRule="auto"/>
        <w:ind w:right="480" w:firstLine="57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16F95A9">
      <w:pPr>
        <w:tabs>
          <w:tab w:val="left" w:pos="6300"/>
        </w:tabs>
        <w:snapToGrid w:val="0"/>
        <w:spacing w:line="360" w:lineRule="auto"/>
        <w:rPr>
          <w:rFonts w:ascii="仿宋" w:hAnsi="仿宋" w:eastAsia="仿宋" w:cs="仿宋"/>
          <w:color w:val="auto"/>
          <w:sz w:val="24"/>
          <w:szCs w:val="24"/>
          <w:highlight w:val="none"/>
        </w:rPr>
      </w:pPr>
    </w:p>
    <w:p w14:paraId="53F2D818">
      <w:pPr>
        <w:snapToGrid w:val="0"/>
        <w:spacing w:line="360" w:lineRule="auto"/>
        <w:rPr>
          <w:rFonts w:ascii="仿宋" w:hAnsi="仿宋" w:eastAsia="仿宋" w:cs="仿宋"/>
          <w:color w:val="auto"/>
          <w:sz w:val="24"/>
          <w:szCs w:val="24"/>
          <w:highlight w:val="none"/>
        </w:rPr>
      </w:pPr>
    </w:p>
    <w:p w14:paraId="400B4F7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27950FE">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3937AB8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50908DCB">
      <w:pPr>
        <w:tabs>
          <w:tab w:val="left" w:pos="6300"/>
        </w:tabs>
        <w:snapToGrid w:val="0"/>
        <w:spacing w:line="360" w:lineRule="auto"/>
        <w:ind w:right="480"/>
        <w:rPr>
          <w:rFonts w:ascii="仿宋" w:hAnsi="仿宋" w:eastAsia="仿宋" w:cs="仿宋"/>
          <w:color w:val="auto"/>
          <w:sz w:val="24"/>
          <w:szCs w:val="24"/>
          <w:highlight w:val="none"/>
        </w:rPr>
      </w:pPr>
    </w:p>
    <w:p w14:paraId="7F98D7C7">
      <w:pPr>
        <w:tabs>
          <w:tab w:val="left" w:pos="6300"/>
        </w:tabs>
        <w:snapToGrid w:val="0"/>
        <w:spacing w:line="360" w:lineRule="auto"/>
        <w:ind w:right="480"/>
        <w:rPr>
          <w:rFonts w:ascii="仿宋" w:hAnsi="仿宋" w:eastAsia="仿宋" w:cs="仿宋"/>
          <w:color w:val="auto"/>
          <w:sz w:val="24"/>
          <w:szCs w:val="24"/>
          <w:highlight w:val="none"/>
        </w:rPr>
      </w:pPr>
    </w:p>
    <w:p w14:paraId="275B8FAB">
      <w:pPr>
        <w:tabs>
          <w:tab w:val="left" w:pos="6300"/>
        </w:tabs>
        <w:snapToGrid w:val="0"/>
        <w:spacing w:line="360" w:lineRule="auto"/>
        <w:ind w:right="480"/>
        <w:rPr>
          <w:rFonts w:ascii="仿宋" w:hAnsi="仿宋" w:eastAsia="仿宋" w:cs="仿宋"/>
          <w:color w:val="auto"/>
          <w:sz w:val="24"/>
          <w:szCs w:val="24"/>
          <w:highlight w:val="none"/>
        </w:rPr>
      </w:pPr>
    </w:p>
    <w:p w14:paraId="7871095A">
      <w:pPr>
        <w:tabs>
          <w:tab w:val="left" w:pos="6300"/>
        </w:tabs>
        <w:snapToGrid w:val="0"/>
        <w:spacing w:line="360" w:lineRule="auto"/>
        <w:ind w:right="480"/>
        <w:rPr>
          <w:rFonts w:ascii="仿宋" w:hAnsi="仿宋" w:eastAsia="仿宋" w:cs="仿宋"/>
          <w:color w:val="auto"/>
          <w:sz w:val="24"/>
          <w:szCs w:val="24"/>
          <w:highlight w:val="none"/>
        </w:rPr>
      </w:pPr>
    </w:p>
    <w:p w14:paraId="422BF6ED">
      <w:pPr>
        <w:tabs>
          <w:tab w:val="left" w:pos="6300"/>
        </w:tabs>
        <w:snapToGrid w:val="0"/>
        <w:spacing w:line="360" w:lineRule="auto"/>
        <w:ind w:right="480"/>
        <w:jc w:val="center"/>
        <w:rPr>
          <w:rFonts w:ascii="仿宋" w:hAnsi="仿宋" w:eastAsia="仿宋" w:cs="仿宋"/>
          <w:color w:val="auto"/>
          <w:sz w:val="24"/>
          <w:szCs w:val="24"/>
          <w:highlight w:val="none"/>
        </w:rPr>
      </w:pPr>
    </w:p>
    <w:p w14:paraId="45CF5F5B">
      <w:pPr>
        <w:tabs>
          <w:tab w:val="left" w:pos="6300"/>
        </w:tabs>
        <w:snapToGrid w:val="0"/>
        <w:spacing w:line="360" w:lineRule="auto"/>
        <w:ind w:right="480"/>
        <w:jc w:val="center"/>
        <w:rPr>
          <w:rFonts w:ascii="仿宋" w:hAnsi="仿宋" w:eastAsia="仿宋" w:cs="仿宋"/>
          <w:color w:val="auto"/>
          <w:sz w:val="24"/>
          <w:szCs w:val="24"/>
          <w:highlight w:val="none"/>
        </w:rPr>
      </w:pPr>
    </w:p>
    <w:p w14:paraId="487F994F">
      <w:pPr>
        <w:tabs>
          <w:tab w:val="left" w:pos="6300"/>
        </w:tabs>
        <w:snapToGrid w:val="0"/>
        <w:spacing w:line="360" w:lineRule="auto"/>
        <w:ind w:right="480"/>
        <w:jc w:val="center"/>
        <w:rPr>
          <w:rFonts w:ascii="仿宋" w:hAnsi="仿宋" w:eastAsia="仿宋" w:cs="仿宋"/>
          <w:color w:val="auto"/>
          <w:sz w:val="24"/>
          <w:szCs w:val="24"/>
          <w:highlight w:val="none"/>
        </w:rPr>
      </w:pPr>
    </w:p>
    <w:p w14:paraId="645E59E9">
      <w:pPr>
        <w:tabs>
          <w:tab w:val="left" w:pos="6300"/>
        </w:tabs>
        <w:snapToGrid w:val="0"/>
        <w:spacing w:line="360" w:lineRule="auto"/>
        <w:ind w:right="480"/>
        <w:jc w:val="center"/>
        <w:rPr>
          <w:rFonts w:ascii="仿宋" w:hAnsi="仿宋" w:eastAsia="仿宋" w:cs="仿宋"/>
          <w:color w:val="auto"/>
          <w:sz w:val="24"/>
          <w:szCs w:val="24"/>
          <w:highlight w:val="none"/>
        </w:rPr>
      </w:pPr>
    </w:p>
    <w:p w14:paraId="7C11D696">
      <w:pPr>
        <w:tabs>
          <w:tab w:val="left" w:pos="6300"/>
        </w:tabs>
        <w:snapToGrid w:val="0"/>
        <w:spacing w:line="360" w:lineRule="auto"/>
        <w:ind w:right="480"/>
        <w:jc w:val="center"/>
        <w:rPr>
          <w:rFonts w:ascii="仿宋" w:hAnsi="仿宋" w:eastAsia="仿宋" w:cs="仿宋"/>
          <w:color w:val="auto"/>
          <w:sz w:val="24"/>
          <w:szCs w:val="24"/>
          <w:highlight w:val="none"/>
        </w:rPr>
      </w:pPr>
    </w:p>
    <w:p w14:paraId="518F2DA6">
      <w:pPr>
        <w:tabs>
          <w:tab w:val="left" w:pos="6300"/>
        </w:tabs>
        <w:snapToGrid w:val="0"/>
        <w:spacing w:line="360" w:lineRule="auto"/>
        <w:ind w:right="480"/>
        <w:jc w:val="center"/>
        <w:rPr>
          <w:rFonts w:ascii="仿宋" w:hAnsi="仿宋" w:eastAsia="仿宋" w:cs="仿宋"/>
          <w:color w:val="auto"/>
          <w:sz w:val="24"/>
          <w:szCs w:val="24"/>
          <w:highlight w:val="none"/>
        </w:rPr>
      </w:pPr>
    </w:p>
    <w:p w14:paraId="6564B432">
      <w:pPr>
        <w:tabs>
          <w:tab w:val="left" w:pos="6300"/>
        </w:tabs>
        <w:snapToGrid w:val="0"/>
        <w:spacing w:line="360" w:lineRule="auto"/>
        <w:ind w:right="480"/>
        <w:jc w:val="center"/>
        <w:rPr>
          <w:rFonts w:ascii="仿宋" w:hAnsi="仿宋" w:eastAsia="仿宋" w:cs="仿宋"/>
          <w:color w:val="auto"/>
          <w:sz w:val="24"/>
          <w:szCs w:val="24"/>
          <w:highlight w:val="none"/>
        </w:rPr>
      </w:pPr>
    </w:p>
    <w:p w14:paraId="614C6BC5">
      <w:pPr>
        <w:tabs>
          <w:tab w:val="left" w:pos="6300"/>
        </w:tabs>
        <w:snapToGrid w:val="0"/>
        <w:spacing w:line="360" w:lineRule="auto"/>
        <w:ind w:right="480"/>
        <w:jc w:val="center"/>
        <w:rPr>
          <w:rFonts w:ascii="仿宋" w:hAnsi="仿宋" w:eastAsia="仿宋" w:cs="仿宋"/>
          <w:color w:val="auto"/>
          <w:sz w:val="24"/>
          <w:szCs w:val="24"/>
          <w:highlight w:val="none"/>
        </w:rPr>
      </w:pPr>
    </w:p>
    <w:p w14:paraId="415E01A6">
      <w:pPr>
        <w:tabs>
          <w:tab w:val="left" w:pos="6300"/>
        </w:tabs>
        <w:snapToGrid w:val="0"/>
        <w:spacing w:line="360" w:lineRule="auto"/>
        <w:ind w:right="480"/>
        <w:jc w:val="center"/>
        <w:rPr>
          <w:rFonts w:ascii="仿宋" w:hAnsi="仿宋" w:eastAsia="仿宋" w:cs="仿宋"/>
          <w:color w:val="auto"/>
          <w:sz w:val="24"/>
          <w:szCs w:val="24"/>
          <w:highlight w:val="none"/>
        </w:rPr>
      </w:pPr>
    </w:p>
    <w:p w14:paraId="17E927B3">
      <w:pPr>
        <w:tabs>
          <w:tab w:val="left" w:pos="6300"/>
        </w:tabs>
        <w:snapToGrid w:val="0"/>
        <w:spacing w:line="360" w:lineRule="auto"/>
        <w:ind w:right="480"/>
        <w:jc w:val="center"/>
        <w:rPr>
          <w:rFonts w:ascii="仿宋" w:hAnsi="仿宋" w:eastAsia="仿宋" w:cs="仿宋"/>
          <w:color w:val="auto"/>
          <w:sz w:val="24"/>
          <w:szCs w:val="24"/>
          <w:highlight w:val="none"/>
        </w:rPr>
      </w:pPr>
    </w:p>
    <w:p w14:paraId="10F2F77C">
      <w:pPr>
        <w:tabs>
          <w:tab w:val="left" w:pos="6300"/>
        </w:tabs>
        <w:snapToGrid w:val="0"/>
        <w:spacing w:line="360" w:lineRule="auto"/>
        <w:ind w:right="480"/>
        <w:jc w:val="center"/>
        <w:rPr>
          <w:rFonts w:ascii="仿宋" w:hAnsi="仿宋" w:eastAsia="仿宋" w:cs="仿宋"/>
          <w:color w:val="auto"/>
          <w:sz w:val="24"/>
          <w:szCs w:val="24"/>
          <w:highlight w:val="none"/>
        </w:rPr>
      </w:pPr>
    </w:p>
    <w:p w14:paraId="257031EB">
      <w:pPr>
        <w:tabs>
          <w:tab w:val="left" w:pos="6300"/>
        </w:tabs>
        <w:snapToGrid w:val="0"/>
        <w:spacing w:line="360" w:lineRule="auto"/>
        <w:ind w:right="480"/>
        <w:jc w:val="center"/>
        <w:rPr>
          <w:rFonts w:ascii="仿宋" w:hAnsi="仿宋" w:eastAsia="仿宋" w:cs="仿宋"/>
          <w:color w:val="auto"/>
          <w:sz w:val="24"/>
          <w:szCs w:val="24"/>
          <w:highlight w:val="none"/>
        </w:rPr>
      </w:pPr>
    </w:p>
    <w:p w14:paraId="7BDA2A4E">
      <w:pPr>
        <w:tabs>
          <w:tab w:val="left" w:pos="6300"/>
        </w:tabs>
        <w:snapToGrid w:val="0"/>
        <w:spacing w:line="360" w:lineRule="auto"/>
        <w:ind w:right="480"/>
        <w:jc w:val="center"/>
        <w:rPr>
          <w:rFonts w:ascii="仿宋" w:hAnsi="仿宋" w:eastAsia="仿宋" w:cs="仿宋"/>
          <w:color w:val="auto"/>
          <w:sz w:val="24"/>
          <w:szCs w:val="24"/>
          <w:highlight w:val="none"/>
        </w:rPr>
      </w:pPr>
    </w:p>
    <w:p w14:paraId="7FB50BEC">
      <w:pPr>
        <w:tabs>
          <w:tab w:val="left" w:pos="6300"/>
        </w:tabs>
        <w:snapToGrid w:val="0"/>
        <w:spacing w:line="360" w:lineRule="auto"/>
        <w:ind w:right="480"/>
        <w:jc w:val="center"/>
        <w:rPr>
          <w:rFonts w:ascii="仿宋" w:hAnsi="仿宋" w:eastAsia="仿宋" w:cs="仿宋"/>
          <w:color w:val="auto"/>
          <w:sz w:val="24"/>
          <w:szCs w:val="24"/>
          <w:highlight w:val="none"/>
        </w:rPr>
      </w:pPr>
    </w:p>
    <w:p w14:paraId="58B397DB">
      <w:pPr>
        <w:tabs>
          <w:tab w:val="left" w:pos="6300"/>
        </w:tabs>
        <w:snapToGrid w:val="0"/>
        <w:spacing w:line="360" w:lineRule="auto"/>
        <w:ind w:right="480"/>
        <w:jc w:val="center"/>
        <w:rPr>
          <w:rFonts w:ascii="仿宋" w:hAnsi="仿宋" w:eastAsia="仿宋" w:cs="仿宋"/>
          <w:color w:val="auto"/>
          <w:sz w:val="24"/>
          <w:szCs w:val="24"/>
          <w:highlight w:val="none"/>
        </w:rPr>
      </w:pPr>
    </w:p>
    <w:p w14:paraId="1A9DD9FA">
      <w:pPr>
        <w:tabs>
          <w:tab w:val="left" w:pos="6300"/>
        </w:tabs>
        <w:snapToGrid w:val="0"/>
        <w:spacing w:line="360" w:lineRule="auto"/>
        <w:ind w:right="480"/>
        <w:jc w:val="center"/>
        <w:rPr>
          <w:rFonts w:ascii="仿宋" w:hAnsi="仿宋" w:eastAsia="仿宋" w:cs="仿宋"/>
          <w:color w:val="auto"/>
          <w:sz w:val="24"/>
          <w:szCs w:val="24"/>
          <w:highlight w:val="none"/>
        </w:rPr>
      </w:pPr>
    </w:p>
    <w:p w14:paraId="5D3B2FE5">
      <w:pPr>
        <w:tabs>
          <w:tab w:val="left" w:pos="6300"/>
        </w:tabs>
        <w:snapToGrid w:val="0"/>
        <w:spacing w:line="360" w:lineRule="auto"/>
        <w:ind w:right="480"/>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（结束）</w:t>
      </w:r>
    </w:p>
    <w:bookmarkEnd w:id="125"/>
    <w:p w14:paraId="02B1B5A7">
      <w:pPr>
        <w:tabs>
          <w:tab w:val="left" w:pos="6300"/>
        </w:tabs>
        <w:snapToGrid w:val="0"/>
        <w:spacing w:line="360" w:lineRule="auto"/>
        <w:ind w:right="480"/>
        <w:rPr>
          <w:rFonts w:ascii="仿宋" w:hAnsi="仿宋" w:eastAsia="仿宋" w:cs="仿宋"/>
          <w:color w:val="auto"/>
          <w:sz w:val="24"/>
          <w:szCs w:val="24"/>
          <w:highlight w:val="none"/>
        </w:rPr>
      </w:pPr>
    </w:p>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5A9DF27-F2BF-4B97-8436-6A293E1D591C}"/>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2" w:fontKey="{9D6D4BDF-FFA7-4EDF-A2DF-E019196E0C0A}"/>
  </w:font>
  <w:font w:name="方正小标宋_GBK">
    <w:panose1 w:val="03000509000000000000"/>
    <w:charset w:val="86"/>
    <w:family w:val="script"/>
    <w:pitch w:val="default"/>
    <w:sig w:usb0="00000001" w:usb1="080E0000" w:usb2="00000000" w:usb3="00000000" w:csb0="00040000" w:csb1="00000000"/>
    <w:embedRegular r:id="rId3" w:fontKey="{9C97D739-7B7F-4522-BB5E-9E04A553E681}"/>
  </w:font>
  <w:font w:name="方正黑体_GBK">
    <w:panose1 w:val="03000509000000000000"/>
    <w:charset w:val="86"/>
    <w:family w:val="script"/>
    <w:pitch w:val="default"/>
    <w:sig w:usb0="00000001" w:usb1="080E0000" w:usb2="00000000" w:usb3="00000000" w:csb0="00040000" w:csb1="00000000"/>
    <w:embedRegular r:id="rId4" w:fontKey="{2EDD23ED-696E-4790-9A04-B84D475BCA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16F94">
    <w:pPr>
      <w:tabs>
        <w:tab w:val="center" w:pos="4153"/>
        <w:tab w:val="right" w:pos="8306"/>
      </w:tabs>
      <w:snapToGrid w:val="0"/>
      <w:jc w:val="left"/>
      <w:rPr>
        <w:rFonts w:ascii="Times New Roman" w:hAnsi="Times New Roman" w:eastAsia="宋体" w:cs="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81E4E">
    <w:pPr>
      <w:tabs>
        <w:tab w:val="center" w:pos="4153"/>
        <w:tab w:val="right" w:pos="8306"/>
      </w:tabs>
      <w:snapToGrid w:val="0"/>
      <w:jc w:val="left"/>
      <w:rPr>
        <w:rFonts w:ascii="Times New Roman" w:hAnsi="Times New Roman" w:eastAsia="宋体" w:cs="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024B7">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3024B7">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D564">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C7E7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9C7E7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4D5A">
    <w:pPr>
      <w:pStyle w:val="14"/>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CB5B4">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FCB5B4">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B295">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4DA6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04DA6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09DE9">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E44E8">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62E44E8">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FA71">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2BFA">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6F09C"/>
    <w:multiLevelType w:val="singleLevel"/>
    <w:tmpl w:val="C3B6F09C"/>
    <w:lvl w:ilvl="0" w:tentative="0">
      <w:start w:val="4"/>
      <w:numFmt w:val="decimal"/>
      <w:suff w:val="space"/>
      <w:lvlText w:val="%1."/>
      <w:lvlJc w:val="left"/>
    </w:lvl>
  </w:abstractNum>
  <w:abstractNum w:abstractNumId="1">
    <w:nsid w:val="0000000A"/>
    <w:multiLevelType w:val="singleLevel"/>
    <w:tmpl w:val="0000000A"/>
    <w:lvl w:ilvl="0" w:tentative="0">
      <w:start w:val="1"/>
      <w:numFmt w:val="chineseCounting"/>
      <w:suff w:val="nothing"/>
      <w:lvlText w:val="%1、"/>
      <w:lvlJc w:val="left"/>
      <w:rPr>
        <w:rFonts w:hint="eastAsia"/>
      </w:rPr>
    </w:lvl>
  </w:abstractNum>
  <w:abstractNum w:abstractNumId="2">
    <w:nsid w:val="0000000C"/>
    <w:multiLevelType w:val="singleLevel"/>
    <w:tmpl w:val="0000000C"/>
    <w:lvl w:ilvl="0" w:tentative="0">
      <w:start w:val="3"/>
      <w:numFmt w:val="chineseCounting"/>
      <w:suff w:val="space"/>
      <w:lvlText w:val="第%1篇"/>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YjQzNDczN2IxNjYwMmJmMWQyYmJmNDA5OGI0ZDkifQ=="/>
  </w:docVars>
  <w:rsids>
    <w:rsidRoot w:val="00000000"/>
    <w:rsid w:val="04187F7B"/>
    <w:rsid w:val="06943B8E"/>
    <w:rsid w:val="0E153CA2"/>
    <w:rsid w:val="0EE650CC"/>
    <w:rsid w:val="10896A30"/>
    <w:rsid w:val="11807745"/>
    <w:rsid w:val="11D0104E"/>
    <w:rsid w:val="12F85CAD"/>
    <w:rsid w:val="13FD3CDB"/>
    <w:rsid w:val="14221350"/>
    <w:rsid w:val="14955985"/>
    <w:rsid w:val="15073A0B"/>
    <w:rsid w:val="17BD76CF"/>
    <w:rsid w:val="1C75498D"/>
    <w:rsid w:val="1DFA2C78"/>
    <w:rsid w:val="1FD20711"/>
    <w:rsid w:val="21D4060F"/>
    <w:rsid w:val="23C206B2"/>
    <w:rsid w:val="260737D9"/>
    <w:rsid w:val="26D8566A"/>
    <w:rsid w:val="2A0D248D"/>
    <w:rsid w:val="2BD30AF4"/>
    <w:rsid w:val="2C696A69"/>
    <w:rsid w:val="2D55796B"/>
    <w:rsid w:val="2D677713"/>
    <w:rsid w:val="2E175CD9"/>
    <w:rsid w:val="313528AE"/>
    <w:rsid w:val="34325CB8"/>
    <w:rsid w:val="375B6B3F"/>
    <w:rsid w:val="37E454F1"/>
    <w:rsid w:val="3AA70688"/>
    <w:rsid w:val="41B628BF"/>
    <w:rsid w:val="44390021"/>
    <w:rsid w:val="445B3680"/>
    <w:rsid w:val="45640F00"/>
    <w:rsid w:val="45F0744B"/>
    <w:rsid w:val="48C64154"/>
    <w:rsid w:val="492E00E9"/>
    <w:rsid w:val="4ACF36DC"/>
    <w:rsid w:val="4D9329DF"/>
    <w:rsid w:val="4E200B89"/>
    <w:rsid w:val="518058C4"/>
    <w:rsid w:val="52EA1BC9"/>
    <w:rsid w:val="53150E9C"/>
    <w:rsid w:val="54880DC3"/>
    <w:rsid w:val="555330F7"/>
    <w:rsid w:val="61CB6FF3"/>
    <w:rsid w:val="626F4A8D"/>
    <w:rsid w:val="63CE60C7"/>
    <w:rsid w:val="64596731"/>
    <w:rsid w:val="694C1F68"/>
    <w:rsid w:val="696D5485"/>
    <w:rsid w:val="6BE369FE"/>
    <w:rsid w:val="6D3D2C47"/>
    <w:rsid w:val="6EF206C1"/>
    <w:rsid w:val="70CE255D"/>
    <w:rsid w:val="72AB6BB1"/>
    <w:rsid w:val="72AE660D"/>
    <w:rsid w:val="749A6D4F"/>
    <w:rsid w:val="78187E0F"/>
    <w:rsid w:val="7C1959F4"/>
    <w:rsid w:val="7DE80D01"/>
    <w:rsid w:val="7E2D7213"/>
    <w:rsid w:val="7E9C5F04"/>
    <w:rsid w:val="7EF4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8"/>
    <w:qFormat/>
    <w:uiPriority w:val="0"/>
    <w:rPr>
      <w:rFonts w:ascii="仿宋_GB2312" w:eastAsia="仿宋_GB2312"/>
      <w:sz w:val="32"/>
    </w:rPr>
  </w:style>
  <w:style w:type="paragraph" w:customStyle="1" w:styleId="8">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9">
    <w:name w:val="Body Text Indent"/>
    <w:basedOn w:val="1"/>
    <w:qFormat/>
    <w:uiPriority w:val="0"/>
    <w:pPr>
      <w:spacing w:line="700" w:lineRule="exact"/>
      <w:ind w:left="960"/>
    </w:pPr>
    <w:rPr>
      <w:sz w:val="44"/>
    </w:r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List"/>
    <w:basedOn w:val="1"/>
    <w:qFormat/>
    <w:uiPriority w:val="0"/>
    <w:pPr>
      <w:ind w:left="200" w:hanging="200" w:hangingChars="200"/>
    </w:pPr>
  </w:style>
  <w:style w:type="paragraph" w:styleId="18">
    <w:name w:val="table of figures"/>
    <w:basedOn w:val="1"/>
    <w:next w:val="1"/>
    <w:qFormat/>
    <w:uiPriority w:val="0"/>
    <w:pPr>
      <w:tabs>
        <w:tab w:val="right" w:leader="dot" w:pos="8640"/>
      </w:tabs>
      <w:spacing w:line="360" w:lineRule="auto"/>
      <w:ind w:left="400" w:hanging="400"/>
    </w:pPr>
    <w:rPr>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7"/>
    <w:qFormat/>
    <w:uiPriority w:val="0"/>
    <w:pPr>
      <w:ind w:firstLine="420" w:firstLineChars="100"/>
    </w:pPr>
  </w:style>
  <w:style w:type="table" w:styleId="22">
    <w:name w:val="Table Grid"/>
    <w:basedOn w:val="2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电建正文"/>
    <w:basedOn w:val="28"/>
    <w:qFormat/>
    <w:uiPriority w:val="0"/>
    <w:pPr>
      <w:tabs>
        <w:tab w:val="left" w:pos="720"/>
      </w:tabs>
      <w:spacing w:line="360" w:lineRule="auto"/>
      <w:ind w:firstLine="200" w:firstLineChars="200"/>
    </w:pPr>
    <w:rPr>
      <w:rFonts w:ascii="Tahoma" w:hAnsi="Tahoma"/>
      <w:sz w:val="24"/>
    </w:rPr>
  </w:style>
  <w:style w:type="paragraph" w:customStyle="1" w:styleId="28">
    <w:name w:val="List First"/>
    <w:basedOn w:val="17"/>
    <w:next w:val="17"/>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9">
    <w:name w:val="WPSOffice手动目录 1"/>
    <w:qFormat/>
    <w:uiPriority w:val="0"/>
    <w:rPr>
      <w:rFonts w:ascii="Calibri" w:hAnsi="Calibri" w:eastAsia="宋体" w:cs="宋体"/>
      <w:lang w:val="en-US" w:eastAsia="zh-CN" w:bidi="ar-SA"/>
    </w:rPr>
  </w:style>
  <w:style w:type="character" w:customStyle="1" w:styleId="30">
    <w:name w:val="批注框文本 字符"/>
    <w:basedOn w:val="23"/>
    <w:link w:val="13"/>
    <w:qFormat/>
    <w:uiPriority w:val="0"/>
    <w:rPr>
      <w:kern w:val="2"/>
      <w:sz w:val="18"/>
      <w:szCs w:val="18"/>
    </w:rPr>
  </w:style>
  <w:style w:type="paragraph" w:customStyle="1" w:styleId="31">
    <w:name w:val="正文1"/>
    <w:basedOn w:val="1"/>
    <w:next w:val="1"/>
    <w:qFormat/>
    <w:uiPriority w:val="0"/>
    <w:pPr>
      <w:spacing w:line="300" w:lineRule="auto"/>
      <w:ind w:firstLine="20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4049</Words>
  <Characters>4242</Characters>
  <Paragraphs>1129</Paragraphs>
  <TotalTime>22</TotalTime>
  <ScaleCrop>false</ScaleCrop>
  <LinksUpToDate>false</LinksUpToDate>
  <CharactersWithSpaces>4287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迟</cp:lastModifiedBy>
  <dcterms:modified xsi:type="dcterms:W3CDTF">2025-07-18T02:45:49Z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B048BE37C6A4465F90F09225AD0DBF49_13</vt:lpwstr>
  </property>
  <property fmtid="{D5CDD505-2E9C-101B-9397-08002B2CF9AE}" pid="4" name="KSOTemplateDocerSaveRecord">
    <vt:lpwstr>eyJoZGlkIjoiNmZmYjQzNDczN2IxNjYwMmJmMWQyYmJmNDA5OGI0ZDkiLCJ1c2VySWQiOiI1Mjg4OTM5NzMifQ==</vt:lpwstr>
  </property>
</Properties>
</file>