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ABAB0">
      <w:pPr>
        <w:jc w:val="center"/>
        <w:rPr>
          <w:rFonts w:hint="default" w:ascii="Times New Roman" w:hAnsi="Times New Roman" w:eastAsia="方正仿宋_GBK" w:cs="Times New Roman"/>
          <w:color w:val="auto"/>
          <w:highlight w:val="none"/>
        </w:rPr>
      </w:pPr>
    </w:p>
    <w:p w14:paraId="002E097E">
      <w:pPr>
        <w:bidi w:val="0"/>
        <w:rPr>
          <w:rFonts w:hint="default" w:ascii="Times New Roman" w:hAnsi="Times New Roman" w:eastAsia="方正仿宋_GBK" w:cs="Times New Roman"/>
          <w:color w:val="auto"/>
          <w:highlight w:val="none"/>
        </w:rPr>
      </w:pPr>
    </w:p>
    <w:p w14:paraId="41111C2C">
      <w:pPr>
        <w:bidi w:val="0"/>
        <w:jc w:val="center"/>
        <w:rPr>
          <w:rFonts w:hint="default" w:ascii="Times New Roman" w:hAnsi="Times New Roman" w:eastAsia="方正仿宋_GBK" w:cs="Times New Roman"/>
          <w:b/>
          <w:bCs/>
          <w:color w:val="auto"/>
          <w:sz w:val="112"/>
          <w:szCs w:val="112"/>
          <w:highlight w:val="none"/>
        </w:rPr>
      </w:pPr>
      <w:r>
        <w:rPr>
          <w:rFonts w:hint="default" w:ascii="Times New Roman" w:hAnsi="Times New Roman" w:eastAsia="方正仿宋_GBK" w:cs="Times New Roman"/>
          <w:b/>
          <w:bCs/>
          <w:color w:val="auto"/>
          <w:sz w:val="112"/>
          <w:szCs w:val="112"/>
          <w:highlight w:val="none"/>
        </w:rPr>
        <w:t>小额交易平台网上竞采文件</w:t>
      </w:r>
    </w:p>
    <w:p w14:paraId="60B93A25">
      <w:pPr>
        <w:spacing w:line="700" w:lineRule="exact"/>
        <w:jc w:val="center"/>
        <w:rPr>
          <w:rFonts w:hint="default" w:ascii="Times New Roman" w:hAnsi="Times New Roman" w:eastAsia="方正仿宋_GBK" w:cs="Times New Roman"/>
          <w:color w:val="auto"/>
          <w:sz w:val="32"/>
          <w:highlight w:val="none"/>
        </w:rPr>
      </w:pPr>
    </w:p>
    <w:p w14:paraId="4A86597D">
      <w:pPr>
        <w:spacing w:line="700" w:lineRule="exact"/>
        <w:jc w:val="center"/>
        <w:rPr>
          <w:rFonts w:hint="default" w:ascii="Times New Roman" w:hAnsi="Times New Roman" w:eastAsia="方正仿宋_GBK" w:cs="Times New Roman"/>
          <w:color w:val="auto"/>
          <w:sz w:val="32"/>
          <w:highlight w:val="none"/>
        </w:rPr>
      </w:pPr>
    </w:p>
    <w:p w14:paraId="7946608E">
      <w:pPr>
        <w:pStyle w:val="6"/>
        <w:rPr>
          <w:rFonts w:hint="default" w:ascii="Times New Roman" w:hAnsi="Times New Roman" w:eastAsia="方正仿宋_GBK" w:cs="Times New Roman"/>
          <w:color w:val="auto"/>
          <w:highlight w:val="none"/>
        </w:rPr>
      </w:pPr>
    </w:p>
    <w:p w14:paraId="7F9827B8">
      <w:pPr>
        <w:keepNext w:val="0"/>
        <w:keepLines w:val="0"/>
        <w:pageBreakBefore w:val="0"/>
        <w:widowControl w:val="0"/>
        <w:kinsoku/>
        <w:wordWrap/>
        <w:overflowPunct/>
        <w:topLinePunct w:val="0"/>
        <w:autoSpaceDE/>
        <w:autoSpaceDN/>
        <w:bidi w:val="0"/>
        <w:adjustRightInd/>
        <w:snapToGrid/>
        <w:spacing w:line="480" w:lineRule="auto"/>
        <w:ind w:left="2315" w:leftChars="401" w:hanging="1192" w:hangingChars="400"/>
        <w:jc w:val="both"/>
        <w:textAlignment w:val="auto"/>
        <w:rPr>
          <w:rFonts w:hint="default" w:ascii="Times New Roman" w:hAnsi="Times New Roman" w:eastAsia="方正仿宋_GBK" w:cs="Times New Roman"/>
          <w:color w:val="auto"/>
          <w:spacing w:val="-11"/>
          <w:sz w:val="32"/>
          <w:szCs w:val="32"/>
          <w:highlight w:val="none"/>
          <w:lang w:val="en-US" w:eastAsia="zh-CN"/>
        </w:rPr>
      </w:pPr>
      <w:r>
        <w:rPr>
          <w:rFonts w:hint="default" w:ascii="Times New Roman" w:hAnsi="Times New Roman" w:eastAsia="方正仿宋_GBK" w:cs="Times New Roman"/>
          <w:color w:val="auto"/>
          <w:spacing w:val="-11"/>
          <w:sz w:val="32"/>
          <w:szCs w:val="32"/>
          <w:highlight w:val="none"/>
          <w:lang w:eastAsia="zh-CN"/>
        </w:rPr>
        <w:t>采购项目名称：无偿献血微科普馆</w:t>
      </w:r>
    </w:p>
    <w:p w14:paraId="7D463F9B">
      <w:pPr>
        <w:bidi w:val="0"/>
        <w:rPr>
          <w:rFonts w:hint="default" w:ascii="Times New Roman" w:hAnsi="Times New Roman" w:eastAsia="方正仿宋_GBK" w:cs="Times New Roman"/>
          <w:b/>
          <w:bCs/>
          <w:color w:val="auto"/>
          <w:sz w:val="36"/>
          <w:szCs w:val="22"/>
          <w:highlight w:val="none"/>
        </w:rPr>
      </w:pPr>
    </w:p>
    <w:p w14:paraId="00027BC6">
      <w:pPr>
        <w:pStyle w:val="6"/>
        <w:rPr>
          <w:rFonts w:hint="default" w:ascii="Times New Roman" w:hAnsi="Times New Roman" w:eastAsia="方正仿宋_GBK" w:cs="Times New Roman"/>
          <w:b/>
          <w:bCs/>
          <w:color w:val="auto"/>
          <w:sz w:val="36"/>
          <w:szCs w:val="22"/>
          <w:highlight w:val="none"/>
        </w:rPr>
      </w:pPr>
    </w:p>
    <w:p w14:paraId="79844342">
      <w:pPr>
        <w:rPr>
          <w:rFonts w:hint="default" w:ascii="Times New Roman" w:hAnsi="Times New Roman" w:eastAsia="方正仿宋_GBK" w:cs="Times New Roman"/>
          <w:b/>
          <w:bCs/>
          <w:color w:val="auto"/>
          <w:sz w:val="36"/>
          <w:szCs w:val="22"/>
          <w:highlight w:val="none"/>
        </w:rPr>
      </w:pPr>
    </w:p>
    <w:p w14:paraId="38F73BF8">
      <w:pPr>
        <w:pStyle w:val="6"/>
        <w:rPr>
          <w:rFonts w:hint="default" w:ascii="Times New Roman" w:hAnsi="Times New Roman" w:eastAsia="方正仿宋_GBK" w:cs="Times New Roman"/>
          <w:b/>
          <w:bCs/>
          <w:color w:val="auto"/>
          <w:sz w:val="36"/>
          <w:szCs w:val="22"/>
          <w:highlight w:val="none"/>
        </w:rPr>
      </w:pPr>
    </w:p>
    <w:p w14:paraId="5A99753F">
      <w:pPr>
        <w:rPr>
          <w:rFonts w:hint="default" w:ascii="Times New Roman" w:hAnsi="Times New Roman" w:eastAsia="方正仿宋_GBK" w:cs="Times New Roman"/>
          <w:b/>
          <w:bCs/>
          <w:color w:val="auto"/>
          <w:sz w:val="36"/>
          <w:szCs w:val="22"/>
          <w:highlight w:val="none"/>
        </w:rPr>
      </w:pPr>
    </w:p>
    <w:p w14:paraId="23381B3C">
      <w:pPr>
        <w:pStyle w:val="6"/>
        <w:rPr>
          <w:rFonts w:hint="default" w:ascii="Times New Roman" w:hAnsi="Times New Roman" w:eastAsia="方正仿宋_GBK" w:cs="Times New Roman"/>
          <w:color w:val="auto"/>
          <w:highlight w:val="none"/>
        </w:rPr>
      </w:pPr>
    </w:p>
    <w:p w14:paraId="793E776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方正仿宋_GBK" w:cs="Times New Roman"/>
          <w:b/>
          <w:bCs/>
          <w:color w:val="auto"/>
          <w:sz w:val="36"/>
          <w:szCs w:val="22"/>
          <w:highlight w:val="none"/>
          <w:lang w:val="en-US" w:eastAsia="zh-CN"/>
        </w:rPr>
      </w:pPr>
      <w:r>
        <w:rPr>
          <w:rFonts w:hint="default" w:ascii="Times New Roman" w:hAnsi="Times New Roman" w:eastAsia="方正仿宋_GBK" w:cs="Times New Roman"/>
          <w:b/>
          <w:bCs/>
          <w:color w:val="auto"/>
          <w:sz w:val="36"/>
          <w:szCs w:val="22"/>
          <w:highlight w:val="none"/>
        </w:rPr>
        <w:t>采购人：</w:t>
      </w:r>
      <w:r>
        <w:rPr>
          <w:rFonts w:hint="eastAsia" w:ascii="Times New Roman" w:hAnsi="Times New Roman" w:eastAsia="方正仿宋_GBK" w:cs="Times New Roman"/>
          <w:b/>
          <w:bCs/>
          <w:color w:val="auto"/>
          <w:sz w:val="36"/>
          <w:szCs w:val="22"/>
          <w:highlight w:val="none"/>
          <w:lang w:val="en-US" w:eastAsia="zh-CN"/>
        </w:rPr>
        <w:t>秀山土家族苗族自治县中心血库</w:t>
      </w:r>
    </w:p>
    <w:p w14:paraId="2EA5FD5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方正仿宋_GBK" w:cs="Times New Roman"/>
          <w:b/>
          <w:bCs/>
          <w:color w:val="auto"/>
          <w:sz w:val="36"/>
          <w:szCs w:val="22"/>
          <w:highlight w:val="none"/>
          <w:lang w:eastAsia="zh-CN"/>
        </w:rPr>
      </w:pPr>
      <w:r>
        <w:rPr>
          <w:rFonts w:hint="default" w:ascii="Times New Roman" w:hAnsi="Times New Roman" w:eastAsia="方正仿宋_GBK" w:cs="Times New Roman"/>
          <w:b/>
          <w:bCs/>
          <w:color w:val="auto"/>
          <w:sz w:val="36"/>
          <w:szCs w:val="22"/>
          <w:highlight w:val="none"/>
        </w:rPr>
        <w:t>采购代理机构：</w:t>
      </w:r>
      <w:r>
        <w:rPr>
          <w:rFonts w:hint="eastAsia" w:ascii="Times New Roman" w:hAnsi="Times New Roman" w:eastAsia="方正仿宋_GBK" w:cs="Times New Roman"/>
          <w:b/>
          <w:bCs/>
          <w:color w:val="auto"/>
          <w:sz w:val="36"/>
          <w:szCs w:val="22"/>
          <w:highlight w:val="none"/>
          <w:lang w:eastAsia="zh-CN"/>
        </w:rPr>
        <w:t>重庆知策行工程项目管理有限公司</w:t>
      </w:r>
    </w:p>
    <w:p w14:paraId="1F66283E">
      <w:pPr>
        <w:bidi w:val="0"/>
        <w:jc w:val="center"/>
        <w:rPr>
          <w:rFonts w:hint="default" w:ascii="Times New Roman" w:hAnsi="Times New Roman" w:eastAsia="方正仿宋_GBK" w:cs="Times New Roman"/>
          <w:color w:val="auto"/>
          <w:highlight w:val="none"/>
        </w:rPr>
      </w:pPr>
    </w:p>
    <w:p w14:paraId="3B1B5E9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方正仿宋_GBK" w:cs="Times New Roman"/>
          <w:b/>
          <w:bCs/>
          <w:color w:val="auto"/>
          <w:sz w:val="36"/>
          <w:szCs w:val="22"/>
          <w:highlight w:val="none"/>
          <w:lang w:val="en-US" w:eastAsia="zh-CN"/>
        </w:rPr>
      </w:pPr>
      <w:r>
        <w:rPr>
          <w:rFonts w:hint="eastAsia" w:ascii="Times New Roman" w:hAnsi="Times New Roman" w:eastAsia="方正仿宋_GBK" w:cs="Times New Roman"/>
          <w:b/>
          <w:bCs/>
          <w:color w:val="auto"/>
          <w:sz w:val="36"/>
          <w:szCs w:val="22"/>
          <w:highlight w:val="none"/>
          <w:lang w:val="en-US" w:eastAsia="zh-CN"/>
        </w:rPr>
        <w:t>二〇二五年十月</w:t>
      </w:r>
    </w:p>
    <w:p w14:paraId="2DB0EDC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方正仿宋_GBK" w:cs="Times New Roman"/>
          <w:b/>
          <w:bCs/>
          <w:color w:val="auto"/>
          <w:sz w:val="36"/>
          <w:szCs w:val="22"/>
          <w:highlight w:val="none"/>
          <w:lang w:val="en-US" w:eastAsia="zh-CN"/>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decimal" w:start="1"/>
          <w:cols w:space="720" w:num="1"/>
          <w:titlePg/>
          <w:docGrid w:linePitch="381" w:charSpace="-5735"/>
        </w:sectPr>
      </w:pPr>
    </w:p>
    <w:p w14:paraId="53A4AAA6">
      <w:pPr>
        <w:bidi w:val="0"/>
        <w:jc w:val="center"/>
        <w:rPr>
          <w:rFonts w:hint="default" w:ascii="Times New Roman" w:hAnsi="Times New Roman" w:eastAsia="方正仿宋_GBK" w:cs="Times New Roman"/>
          <w:color w:val="auto"/>
          <w:sz w:val="40"/>
          <w:szCs w:val="24"/>
          <w:highlight w:val="none"/>
        </w:rPr>
      </w:pPr>
      <w:r>
        <w:rPr>
          <w:rFonts w:hint="default" w:ascii="Times New Roman" w:hAnsi="Times New Roman" w:eastAsia="方正仿宋_GBK" w:cs="Times New Roman"/>
          <w:color w:val="auto"/>
          <w:sz w:val="40"/>
          <w:szCs w:val="24"/>
          <w:highlight w:val="none"/>
        </w:rPr>
        <w:t>目   录</w:t>
      </w:r>
    </w:p>
    <w:p w14:paraId="5B6076F2">
      <w:pPr>
        <w:pStyle w:val="15"/>
        <w:tabs>
          <w:tab w:val="right" w:leader="dot" w:pos="9412"/>
        </w:tabs>
        <w:ind w:left="0" w:leftChars="0" w:firstLine="0" w:firstLineChars="0"/>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 w:val="21"/>
          <w:szCs w:val="21"/>
          <w:highlight w:val="none"/>
        </w:rPr>
        <w:fldChar w:fldCharType="begin"/>
      </w:r>
      <w:r>
        <w:rPr>
          <w:rFonts w:hint="default" w:ascii="Times New Roman" w:hAnsi="Times New Roman" w:eastAsia="方正仿宋_GBK" w:cs="Times New Roman"/>
          <w:color w:val="auto"/>
          <w:sz w:val="21"/>
          <w:szCs w:val="21"/>
          <w:highlight w:val="none"/>
        </w:rPr>
        <w:instrText xml:space="preserve"> TOC \o "1-3" \h \z </w:instrText>
      </w:r>
      <w:r>
        <w:rPr>
          <w:rFonts w:hint="default" w:ascii="Times New Roman" w:hAnsi="Times New Roman" w:eastAsia="方正仿宋_GBK" w:cs="Times New Roman"/>
          <w:color w:val="auto"/>
          <w:sz w:val="21"/>
          <w:szCs w:val="21"/>
          <w:highlight w:val="none"/>
        </w:rPr>
        <w:fldChar w:fldCharType="separate"/>
      </w: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_Toc24111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szCs w:val="30"/>
          <w:highlight w:val="none"/>
        </w:rPr>
        <w:t>第一篇  采购邀请书</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_Toc24111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2</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51E46312">
      <w:pPr>
        <w:pStyle w:val="15"/>
        <w:tabs>
          <w:tab w:val="right" w:leader="dot" w:pos="9412"/>
        </w:tabs>
        <w:ind w:left="0" w:leftChars="0" w:firstLine="0" w:firstLineChars="0"/>
        <w:rPr>
          <w:rFonts w:hint="default" w:ascii="Times New Roman" w:hAnsi="Times New Roman" w:eastAsia="方正仿宋_GBK" w:cs="Times New Roman"/>
          <w:color w:val="auto"/>
          <w:szCs w:val="21"/>
          <w:highlight w:val="none"/>
        </w:rPr>
      </w:pPr>
    </w:p>
    <w:p w14:paraId="36053694">
      <w:pPr>
        <w:pStyle w:val="15"/>
        <w:tabs>
          <w:tab w:val="right" w:leader="dot" w:pos="9412"/>
        </w:tabs>
        <w:ind w:left="0" w:leftChars="0" w:firstLine="0" w:firstLineChars="0"/>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_Toc4821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szCs w:val="30"/>
          <w:highlight w:val="none"/>
        </w:rPr>
        <w:t>第二篇  采购项目</w:t>
      </w:r>
      <w:r>
        <w:rPr>
          <w:rFonts w:hint="default" w:ascii="Times New Roman" w:hAnsi="Times New Roman" w:eastAsia="方正仿宋_GBK" w:cs="Times New Roman"/>
          <w:color w:val="auto"/>
          <w:szCs w:val="30"/>
          <w:highlight w:val="none"/>
          <w:lang w:val="en-US" w:eastAsia="zh-CN"/>
        </w:rPr>
        <w:t>技术</w:t>
      </w:r>
      <w:r>
        <w:rPr>
          <w:rFonts w:hint="default" w:ascii="Times New Roman" w:hAnsi="Times New Roman" w:eastAsia="方正仿宋_GBK" w:cs="Times New Roman"/>
          <w:color w:val="auto"/>
          <w:szCs w:val="30"/>
          <w:highlight w:val="none"/>
        </w:rPr>
        <w:t>需求</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_Toc4821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4</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49CEDE06">
      <w:pPr>
        <w:pStyle w:val="15"/>
        <w:tabs>
          <w:tab w:val="right" w:leader="dot" w:pos="9412"/>
        </w:tabs>
        <w:ind w:left="0" w:leftChars="0" w:firstLine="0" w:firstLineChars="0"/>
        <w:rPr>
          <w:rFonts w:hint="default" w:ascii="Times New Roman" w:hAnsi="Times New Roman" w:eastAsia="方正仿宋_GBK" w:cs="Times New Roman"/>
          <w:color w:val="auto"/>
          <w:szCs w:val="21"/>
          <w:highlight w:val="none"/>
        </w:rPr>
      </w:pPr>
    </w:p>
    <w:p w14:paraId="4C9E28BA">
      <w:pPr>
        <w:pStyle w:val="15"/>
        <w:tabs>
          <w:tab w:val="right" w:leader="dot" w:pos="9412"/>
        </w:tabs>
        <w:ind w:left="0" w:leftChars="0" w:firstLine="0" w:firstLineChars="0"/>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_Toc6710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szCs w:val="30"/>
          <w:highlight w:val="none"/>
        </w:rPr>
        <w:t>第三篇  项目</w:t>
      </w:r>
      <w:r>
        <w:rPr>
          <w:rFonts w:hint="default" w:ascii="Times New Roman" w:hAnsi="Times New Roman" w:eastAsia="方正仿宋_GBK" w:cs="Times New Roman"/>
          <w:color w:val="auto"/>
          <w:szCs w:val="30"/>
          <w:highlight w:val="none"/>
          <w:lang w:val="en-US" w:eastAsia="zh-CN"/>
        </w:rPr>
        <w:t>商务</w:t>
      </w:r>
      <w:r>
        <w:rPr>
          <w:rFonts w:hint="default" w:ascii="Times New Roman" w:hAnsi="Times New Roman" w:eastAsia="方正仿宋_GBK" w:cs="Times New Roman"/>
          <w:color w:val="auto"/>
          <w:szCs w:val="30"/>
          <w:highlight w:val="none"/>
        </w:rPr>
        <w:t>需求</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_Toc6710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5</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787C772D">
      <w:pPr>
        <w:pStyle w:val="15"/>
        <w:tabs>
          <w:tab w:val="right" w:leader="dot" w:pos="9412"/>
        </w:tabs>
        <w:ind w:left="0" w:leftChars="0" w:firstLine="0" w:firstLineChars="0"/>
        <w:rPr>
          <w:rFonts w:hint="default" w:ascii="Times New Roman" w:hAnsi="Times New Roman" w:eastAsia="方正仿宋_GBK" w:cs="Times New Roman"/>
          <w:color w:val="auto"/>
          <w:szCs w:val="21"/>
          <w:highlight w:val="none"/>
        </w:rPr>
      </w:pPr>
    </w:p>
    <w:p w14:paraId="35A7E77A">
      <w:pPr>
        <w:pStyle w:val="15"/>
        <w:tabs>
          <w:tab w:val="right" w:leader="dot" w:pos="9412"/>
        </w:tabs>
        <w:ind w:left="0" w:leftChars="0" w:firstLine="0" w:firstLineChars="0"/>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_Toc23334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szCs w:val="30"/>
          <w:highlight w:val="none"/>
        </w:rPr>
        <w:t>第四篇  网上竞采程序及方法、评审标准、无效响应和</w:t>
      </w:r>
      <w:r>
        <w:rPr>
          <w:rFonts w:hint="default" w:ascii="Times New Roman" w:hAnsi="Times New Roman" w:eastAsia="方正仿宋_GBK" w:cs="Times New Roman"/>
          <w:color w:val="auto"/>
          <w:szCs w:val="36"/>
          <w:highlight w:val="none"/>
        </w:rPr>
        <w:t>采购终止</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_Toc23334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10</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40336E0A">
      <w:pPr>
        <w:pStyle w:val="15"/>
        <w:tabs>
          <w:tab w:val="right" w:leader="dot" w:pos="9412"/>
        </w:tabs>
        <w:ind w:left="0" w:leftChars="0" w:firstLine="0" w:firstLineChars="0"/>
        <w:rPr>
          <w:rFonts w:hint="default" w:ascii="Times New Roman" w:hAnsi="Times New Roman" w:eastAsia="方正仿宋_GBK" w:cs="Times New Roman"/>
          <w:color w:val="auto"/>
          <w:szCs w:val="21"/>
          <w:highlight w:val="none"/>
        </w:rPr>
      </w:pPr>
    </w:p>
    <w:p w14:paraId="16E7F814">
      <w:pPr>
        <w:pStyle w:val="15"/>
        <w:tabs>
          <w:tab w:val="right" w:leader="dot" w:pos="9412"/>
        </w:tabs>
        <w:ind w:left="0" w:leftChars="0" w:firstLine="0" w:firstLineChars="0"/>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_Toc427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bCs/>
          <w:color w:val="auto"/>
          <w:szCs w:val="30"/>
          <w:highlight w:val="none"/>
        </w:rPr>
        <w:t xml:space="preserve">第五篇  </w:t>
      </w:r>
      <w:r>
        <w:rPr>
          <w:rFonts w:hint="default" w:ascii="Times New Roman" w:hAnsi="Times New Roman" w:eastAsia="方正仿宋_GBK" w:cs="Times New Roman"/>
          <w:bCs/>
          <w:color w:val="auto"/>
          <w:szCs w:val="30"/>
          <w:highlight w:val="none"/>
          <w:lang w:eastAsia="zh-CN"/>
        </w:rPr>
        <w:t>供应商</w:t>
      </w:r>
      <w:r>
        <w:rPr>
          <w:rFonts w:hint="default" w:ascii="Times New Roman" w:hAnsi="Times New Roman" w:eastAsia="方正仿宋_GBK" w:cs="Times New Roman"/>
          <w:bCs/>
          <w:color w:val="auto"/>
          <w:szCs w:val="30"/>
          <w:highlight w:val="none"/>
        </w:rPr>
        <w:t>须知</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_Toc427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15</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7837F747">
      <w:pPr>
        <w:pStyle w:val="15"/>
        <w:tabs>
          <w:tab w:val="right" w:leader="dot" w:pos="9412"/>
        </w:tabs>
        <w:ind w:left="0" w:leftChars="0" w:firstLine="0" w:firstLineChars="0"/>
        <w:rPr>
          <w:rFonts w:hint="default" w:ascii="Times New Roman" w:hAnsi="Times New Roman" w:eastAsia="方正仿宋_GBK" w:cs="Times New Roman"/>
          <w:color w:val="auto"/>
          <w:szCs w:val="21"/>
          <w:highlight w:val="none"/>
        </w:rPr>
      </w:pPr>
    </w:p>
    <w:p w14:paraId="2E4461FA">
      <w:pPr>
        <w:pStyle w:val="15"/>
        <w:tabs>
          <w:tab w:val="right" w:leader="dot" w:pos="9412"/>
        </w:tabs>
        <w:ind w:left="0" w:leftChars="0" w:firstLine="0" w:firstLineChars="0"/>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_Toc17664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szCs w:val="30"/>
          <w:highlight w:val="none"/>
        </w:rPr>
        <w:t>第六篇  政府采购合同</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_Toc17664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21</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0653A14C">
      <w:pPr>
        <w:pStyle w:val="15"/>
        <w:tabs>
          <w:tab w:val="right" w:leader="dot" w:pos="9412"/>
        </w:tabs>
        <w:ind w:left="0" w:leftChars="0" w:firstLine="0" w:firstLineChars="0"/>
        <w:rPr>
          <w:rFonts w:hint="default" w:ascii="Times New Roman" w:hAnsi="Times New Roman" w:eastAsia="方正仿宋_GBK" w:cs="Times New Roman"/>
          <w:color w:val="auto"/>
          <w:szCs w:val="21"/>
          <w:highlight w:val="none"/>
        </w:rPr>
      </w:pPr>
    </w:p>
    <w:p w14:paraId="5A69036B">
      <w:pPr>
        <w:pStyle w:val="15"/>
        <w:tabs>
          <w:tab w:val="right" w:leader="dot" w:pos="9412"/>
        </w:tabs>
        <w:ind w:left="0" w:leftChars="0" w:firstLine="0" w:firstLineChars="0"/>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Cs w:val="21"/>
          <w:highlight w:val="none"/>
        </w:rPr>
        <w:fldChar w:fldCharType="begin"/>
      </w:r>
      <w:r>
        <w:rPr>
          <w:rFonts w:hint="default" w:ascii="Times New Roman" w:hAnsi="Times New Roman" w:eastAsia="方正仿宋_GBK" w:cs="Times New Roman"/>
          <w:color w:val="auto"/>
          <w:szCs w:val="21"/>
          <w:highlight w:val="none"/>
        </w:rPr>
        <w:instrText xml:space="preserve"> HYPERLINK \l _Toc20913 </w:instrText>
      </w:r>
      <w:r>
        <w:rPr>
          <w:rFonts w:hint="default" w:ascii="Times New Roman" w:hAnsi="Times New Roman" w:eastAsia="方正仿宋_GBK" w:cs="Times New Roman"/>
          <w:color w:val="auto"/>
          <w:szCs w:val="21"/>
          <w:highlight w:val="none"/>
        </w:rPr>
        <w:fldChar w:fldCharType="separate"/>
      </w:r>
      <w:r>
        <w:rPr>
          <w:rFonts w:hint="default" w:ascii="Times New Roman" w:hAnsi="Times New Roman" w:eastAsia="方正仿宋_GBK" w:cs="Times New Roman"/>
          <w:color w:val="auto"/>
          <w:szCs w:val="30"/>
          <w:highlight w:val="none"/>
        </w:rPr>
        <w:t xml:space="preserve">第七篇  </w:t>
      </w:r>
      <w:r>
        <w:rPr>
          <w:rFonts w:hint="default" w:ascii="Times New Roman" w:hAnsi="Times New Roman" w:eastAsia="方正仿宋_GBK" w:cs="Times New Roman"/>
          <w:color w:val="auto"/>
          <w:szCs w:val="30"/>
          <w:highlight w:val="none"/>
          <w:lang w:val="en-US" w:eastAsia="zh-CN"/>
        </w:rPr>
        <w:t>电子</w:t>
      </w:r>
      <w:r>
        <w:rPr>
          <w:rFonts w:hint="default" w:ascii="Times New Roman" w:hAnsi="Times New Roman" w:eastAsia="方正仿宋_GBK" w:cs="Times New Roman"/>
          <w:color w:val="auto"/>
          <w:szCs w:val="30"/>
          <w:highlight w:val="none"/>
        </w:rPr>
        <w:t>响应文件编制要求</w:t>
      </w:r>
      <w:r>
        <w:rPr>
          <w:rFonts w:hint="default" w:ascii="Times New Roman" w:hAnsi="Times New Roman" w:eastAsia="方正仿宋_GBK" w:cs="Times New Roman"/>
          <w:color w:val="auto"/>
          <w:highlight w:val="none"/>
        </w:rPr>
        <w:tab/>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PAGEREF _Toc20913 \h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highlight w:val="none"/>
        </w:rPr>
        <w:t>21</w:t>
      </w:r>
      <w:r>
        <w:rPr>
          <w:rFonts w:hint="default" w:ascii="Times New Roman" w:hAnsi="Times New Roman" w:eastAsia="方正仿宋_GBK" w:cs="Times New Roman"/>
          <w:color w:val="auto"/>
          <w:highlight w:val="none"/>
        </w:rPr>
        <w:fldChar w:fldCharType="end"/>
      </w:r>
      <w:r>
        <w:rPr>
          <w:rFonts w:hint="default" w:ascii="Times New Roman" w:hAnsi="Times New Roman" w:eastAsia="方正仿宋_GBK" w:cs="Times New Roman"/>
          <w:color w:val="auto"/>
          <w:szCs w:val="21"/>
          <w:highlight w:val="none"/>
        </w:rPr>
        <w:fldChar w:fldCharType="end"/>
      </w:r>
    </w:p>
    <w:p w14:paraId="001D9503">
      <w:pPr>
        <w:pStyle w:val="15"/>
        <w:tabs>
          <w:tab w:val="right" w:leader="dot" w:pos="9412"/>
        </w:tabs>
        <w:rPr>
          <w:rFonts w:hint="default" w:ascii="Times New Roman" w:hAnsi="Times New Roman" w:eastAsia="方正仿宋_GBK" w:cs="Times New Roman"/>
          <w:color w:val="auto"/>
          <w:highlight w:val="none"/>
        </w:rPr>
      </w:pPr>
    </w:p>
    <w:p w14:paraId="7BE7423C">
      <w:pPr>
        <w:pStyle w:val="15"/>
        <w:tabs>
          <w:tab w:val="right" w:leader="dot" w:pos="9402"/>
        </w:tabs>
        <w:spacing w:line="480" w:lineRule="exact"/>
        <w:ind w:left="560"/>
        <w:jc w:val="center"/>
        <w:rPr>
          <w:rFonts w:hint="default" w:ascii="Times New Roman" w:hAnsi="Times New Roman" w:eastAsia="方正仿宋_GBK" w:cs="Times New Roman"/>
          <w:color w:val="auto"/>
          <w:sz w:val="18"/>
          <w:szCs w:val="22"/>
          <w:highlight w:val="none"/>
        </w:rPr>
        <w:sectPr>
          <w:pgSz w:w="11907" w:h="16840"/>
          <w:pgMar w:top="1134" w:right="1191" w:bottom="1134" w:left="1304" w:header="851" w:footer="992" w:gutter="0"/>
          <w:pgNumType w:fmt="decimal" w:start="1"/>
          <w:cols w:space="720" w:num="1"/>
          <w:docGrid w:linePitch="381" w:charSpace="-5735"/>
        </w:sectPr>
      </w:pPr>
      <w:r>
        <w:rPr>
          <w:rFonts w:hint="default" w:ascii="Times New Roman" w:hAnsi="Times New Roman" w:eastAsia="方正仿宋_GBK" w:cs="Times New Roman"/>
          <w:color w:val="auto"/>
          <w:szCs w:val="21"/>
          <w:highlight w:val="none"/>
        </w:rPr>
        <w:fldChar w:fldCharType="end"/>
      </w:r>
    </w:p>
    <w:p w14:paraId="09C4A874">
      <w:pPr>
        <w:pStyle w:val="2"/>
        <w:spacing w:line="360" w:lineRule="auto"/>
        <w:jc w:val="center"/>
        <w:rPr>
          <w:rFonts w:hint="default" w:ascii="Times New Roman" w:hAnsi="Times New Roman" w:eastAsia="方正仿宋_GBK" w:cs="Times New Roman"/>
          <w:b/>
          <w:bCs/>
          <w:color w:val="auto"/>
          <w:szCs w:val="30"/>
          <w:highlight w:val="none"/>
        </w:rPr>
      </w:pPr>
      <w:bookmarkStart w:id="0" w:name="_Toc24111"/>
      <w:bookmarkStart w:id="1" w:name="_Toc76462316"/>
      <w:bookmarkStart w:id="2" w:name="_Toc12789052"/>
      <w:bookmarkStart w:id="3" w:name="_Toc11641050"/>
      <w:r>
        <w:rPr>
          <w:rFonts w:hint="default" w:ascii="Times New Roman" w:hAnsi="Times New Roman" w:eastAsia="方正仿宋_GBK" w:cs="Times New Roman"/>
          <w:b/>
          <w:bCs/>
          <w:color w:val="auto"/>
          <w:sz w:val="36"/>
          <w:szCs w:val="30"/>
          <w:highlight w:val="none"/>
        </w:rPr>
        <w:t>第一篇  采购邀请书</w:t>
      </w:r>
      <w:bookmarkEnd w:id="0"/>
      <w:bookmarkEnd w:id="1"/>
      <w:bookmarkEnd w:id="2"/>
      <w:bookmarkEnd w:id="3"/>
    </w:p>
    <w:p w14:paraId="72E8D545">
      <w:pPr>
        <w:snapToGrid w:val="0"/>
        <w:spacing w:line="400" w:lineRule="exact"/>
        <w:ind w:firstLine="480" w:firstLineChars="200"/>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u w:val="single"/>
          <w:lang w:eastAsia="zh-CN"/>
        </w:rPr>
        <w:t>重庆知策行工程项目管理有限公司</w:t>
      </w:r>
      <w:r>
        <w:rPr>
          <w:rFonts w:hint="default" w:ascii="Times New Roman" w:hAnsi="Times New Roman" w:eastAsia="方正仿宋_GBK" w:cs="Times New Roman"/>
          <w:color w:val="auto"/>
          <w:sz w:val="24"/>
          <w:szCs w:val="24"/>
          <w:highlight w:val="none"/>
        </w:rPr>
        <w:t>（以下简称：采购代理机构）接受</w:t>
      </w:r>
      <w:r>
        <w:rPr>
          <w:rFonts w:hint="eastAsia" w:ascii="Times New Roman" w:hAnsi="Times New Roman" w:eastAsia="方正仿宋_GBK" w:cs="Times New Roman"/>
          <w:color w:val="auto"/>
          <w:sz w:val="24"/>
          <w:szCs w:val="24"/>
          <w:highlight w:val="none"/>
          <w:u w:val="single"/>
          <w:lang w:eastAsia="zh-CN"/>
        </w:rPr>
        <w:t>秀山土家族苗族自治县中心血库</w:t>
      </w:r>
      <w:r>
        <w:rPr>
          <w:rFonts w:hint="default" w:ascii="Times New Roman" w:hAnsi="Times New Roman" w:eastAsia="方正仿宋_GBK" w:cs="Times New Roman"/>
          <w:color w:val="auto"/>
          <w:sz w:val="24"/>
          <w:szCs w:val="24"/>
          <w:highlight w:val="none"/>
        </w:rPr>
        <w:t>（以下简称：采购人）的委托，对</w:t>
      </w:r>
      <w:r>
        <w:rPr>
          <w:rFonts w:hint="default" w:ascii="Times New Roman" w:hAnsi="Times New Roman" w:eastAsia="方正仿宋_GBK" w:cs="Times New Roman"/>
          <w:color w:val="auto"/>
          <w:sz w:val="24"/>
          <w:szCs w:val="24"/>
          <w:highlight w:val="none"/>
          <w:u w:val="single"/>
          <w:lang w:eastAsia="zh-CN"/>
        </w:rPr>
        <w:t>无偿献血微科普馆</w:t>
      </w:r>
      <w:r>
        <w:rPr>
          <w:rFonts w:hint="default" w:ascii="Times New Roman" w:hAnsi="Times New Roman" w:eastAsia="方正仿宋_GBK" w:cs="Times New Roman"/>
          <w:color w:val="auto"/>
          <w:sz w:val="24"/>
          <w:szCs w:val="24"/>
          <w:highlight w:val="none"/>
        </w:rPr>
        <w:t>进行网上竞采。欢迎有资格的</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前来参与</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网上竞采</w:t>
      </w:r>
      <w:r>
        <w:rPr>
          <w:rFonts w:hint="default" w:ascii="Times New Roman" w:hAnsi="Times New Roman" w:eastAsia="方正仿宋_GBK" w:cs="Times New Roman"/>
          <w:color w:val="auto"/>
          <w:sz w:val="24"/>
          <w:szCs w:val="24"/>
          <w:highlight w:val="none"/>
        </w:rPr>
        <w:t>。</w:t>
      </w:r>
    </w:p>
    <w:p w14:paraId="4E219E41">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highlight w:val="none"/>
        </w:rPr>
      </w:pPr>
      <w:bookmarkStart w:id="4" w:name="_Toc76462317"/>
      <w:bookmarkStart w:id="5" w:name="_Toc317775175"/>
      <w:bookmarkStart w:id="6" w:name="_Toc27419"/>
      <w:bookmarkStart w:id="7" w:name="_Toc313893526"/>
      <w:r>
        <w:rPr>
          <w:rFonts w:hint="default" w:ascii="Times New Roman" w:hAnsi="Times New Roman" w:eastAsia="方正仿宋_GBK" w:cs="Times New Roman"/>
          <w:color w:val="auto"/>
          <w:sz w:val="24"/>
          <w:highlight w:val="none"/>
        </w:rPr>
        <w:t>一、采购内容</w:t>
      </w:r>
      <w:bookmarkEnd w:id="4"/>
      <w:bookmarkEnd w:id="5"/>
      <w:bookmarkEnd w:id="6"/>
      <w:bookmarkEnd w:id="7"/>
    </w:p>
    <w:tbl>
      <w:tblPr>
        <w:tblStyle w:val="19"/>
        <w:tblW w:w="9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53"/>
        <w:gridCol w:w="2713"/>
        <w:gridCol w:w="1363"/>
        <w:gridCol w:w="1014"/>
      </w:tblGrid>
      <w:tr w14:paraId="56FBB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3953" w:type="dxa"/>
            <w:tcBorders>
              <w:top w:val="single" w:color="auto" w:sz="4" w:space="0"/>
              <w:left w:val="single" w:color="auto" w:sz="4" w:space="0"/>
              <w:right w:val="single" w:color="auto" w:sz="4" w:space="0"/>
            </w:tcBorders>
            <w:vAlign w:val="center"/>
          </w:tcPr>
          <w:p w14:paraId="6D551C64">
            <w:pPr>
              <w:widowControl/>
              <w:jc w:val="center"/>
              <w:rPr>
                <w:rFonts w:hint="default" w:ascii="Times New Roman" w:hAnsi="Times New Roman" w:eastAsia="方正仿宋_GBK" w:cs="Times New Roman"/>
                <w:b/>
                <w:bCs/>
                <w:color w:val="000000" w:themeColor="text1"/>
                <w:kern w:val="0"/>
                <w:sz w:val="24"/>
                <w:szCs w:val="24"/>
                <w:highlight w:val="none"/>
                <w14:textFill>
                  <w14:solidFill>
                    <w14:schemeClr w14:val="tx1"/>
                  </w14:solidFill>
                </w14:textFill>
              </w:rPr>
            </w:pPr>
            <w:bookmarkStart w:id="8" w:name="_Toc11681"/>
            <w:bookmarkStart w:id="9" w:name="_Toc76462318"/>
            <w:bookmarkStart w:id="10" w:name="_Toc373860293"/>
            <w:bookmarkStart w:id="11" w:name="_Toc317775178"/>
            <w:r>
              <w:rPr>
                <w:rFonts w:hint="default" w:ascii="Times New Roman" w:hAnsi="Times New Roman" w:eastAsia="方正仿宋_GBK" w:cs="Times New Roman"/>
                <w:b/>
                <w:bCs/>
                <w:color w:val="000000" w:themeColor="text1"/>
                <w:kern w:val="0"/>
                <w:sz w:val="24"/>
                <w:szCs w:val="24"/>
                <w:highlight w:val="none"/>
                <w14:textFill>
                  <w14:solidFill>
                    <w14:schemeClr w14:val="tx1"/>
                  </w14:solidFill>
                </w14:textFill>
              </w:rPr>
              <w:t>项目名称</w:t>
            </w:r>
          </w:p>
        </w:tc>
        <w:tc>
          <w:tcPr>
            <w:tcW w:w="2713" w:type="dxa"/>
            <w:tcBorders>
              <w:top w:val="single" w:color="auto" w:sz="4" w:space="0"/>
              <w:left w:val="single" w:color="auto" w:sz="4" w:space="0"/>
              <w:right w:val="single" w:color="auto" w:sz="4" w:space="0"/>
            </w:tcBorders>
            <w:vAlign w:val="center"/>
          </w:tcPr>
          <w:p w14:paraId="1D4EFDA4">
            <w:pPr>
              <w:widowControl/>
              <w:jc w:val="center"/>
              <w:rPr>
                <w:rFonts w:hint="default" w:ascii="Times New Roman" w:hAnsi="Times New Roman" w:eastAsia="方正仿宋_GBK" w:cs="Times New Roman"/>
                <w:b/>
                <w:bCs/>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b/>
                <w:bCs/>
                <w:color w:val="000000" w:themeColor="text1"/>
                <w:kern w:val="0"/>
                <w:sz w:val="24"/>
                <w:szCs w:val="24"/>
                <w:highlight w:val="none"/>
                <w14:textFill>
                  <w14:solidFill>
                    <w14:schemeClr w14:val="tx1"/>
                  </w14:solidFill>
                </w14:textFill>
              </w:rPr>
              <w:t>最高限价</w:t>
            </w:r>
          </w:p>
          <w:p w14:paraId="74C8CDE2">
            <w:pPr>
              <w:widowControl/>
              <w:jc w:val="center"/>
              <w:rPr>
                <w:rFonts w:hint="default" w:ascii="Times New Roman" w:hAnsi="Times New Roman" w:eastAsia="方正仿宋_GBK" w:cs="Times New Roman"/>
                <w:b/>
                <w:bCs/>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b/>
                <w:bCs/>
                <w:color w:val="000000" w:themeColor="text1"/>
                <w:kern w:val="0"/>
                <w:sz w:val="24"/>
                <w:szCs w:val="24"/>
                <w:highlight w:val="none"/>
                <w14:textFill>
                  <w14:solidFill>
                    <w14:schemeClr w14:val="tx1"/>
                  </w14:solidFill>
                </w14:textFill>
              </w:rPr>
              <w:t>（元）</w:t>
            </w:r>
          </w:p>
        </w:tc>
        <w:tc>
          <w:tcPr>
            <w:tcW w:w="1363" w:type="dxa"/>
            <w:tcBorders>
              <w:top w:val="single" w:color="auto" w:sz="4" w:space="0"/>
              <w:left w:val="single" w:color="auto" w:sz="4" w:space="0"/>
              <w:right w:val="single" w:color="auto" w:sz="4" w:space="0"/>
            </w:tcBorders>
            <w:vAlign w:val="center"/>
          </w:tcPr>
          <w:p w14:paraId="4FE73CCC">
            <w:pPr>
              <w:widowControl/>
              <w:jc w:val="center"/>
              <w:rPr>
                <w:rFonts w:hint="default" w:ascii="Times New Roman" w:hAnsi="Times New Roman" w:eastAsia="方正仿宋_GBK" w:cs="Times New Roman"/>
                <w:b/>
                <w:bCs/>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b/>
                <w:bCs/>
                <w:color w:val="000000" w:themeColor="text1"/>
                <w:kern w:val="0"/>
                <w:sz w:val="24"/>
                <w:szCs w:val="24"/>
                <w:highlight w:val="none"/>
                <w:lang w:eastAsia="zh-CN"/>
                <w14:textFill>
                  <w14:solidFill>
                    <w14:schemeClr w14:val="tx1"/>
                  </w14:solidFill>
                </w14:textFill>
              </w:rPr>
              <w:t>中标人</w:t>
            </w:r>
            <w:r>
              <w:rPr>
                <w:rFonts w:hint="default" w:ascii="Times New Roman" w:hAnsi="Times New Roman" w:eastAsia="方正仿宋_GBK" w:cs="Times New Roman"/>
                <w:b/>
                <w:bCs/>
                <w:color w:val="000000" w:themeColor="text1"/>
                <w:kern w:val="0"/>
                <w:sz w:val="24"/>
                <w:szCs w:val="24"/>
                <w:highlight w:val="none"/>
                <w14:textFill>
                  <w14:solidFill>
                    <w14:schemeClr w14:val="tx1"/>
                  </w14:solidFill>
                </w14:textFill>
              </w:rPr>
              <w:t>数量（名）</w:t>
            </w:r>
          </w:p>
        </w:tc>
        <w:tc>
          <w:tcPr>
            <w:tcW w:w="1014" w:type="dxa"/>
            <w:tcBorders>
              <w:top w:val="single" w:color="auto" w:sz="4" w:space="0"/>
              <w:left w:val="single" w:color="auto" w:sz="4" w:space="0"/>
              <w:right w:val="single" w:color="auto" w:sz="4" w:space="0"/>
            </w:tcBorders>
            <w:vAlign w:val="center"/>
          </w:tcPr>
          <w:p w14:paraId="18FAA53D">
            <w:pPr>
              <w:widowControl/>
              <w:jc w:val="center"/>
              <w:rPr>
                <w:rFonts w:hint="default" w:ascii="Times New Roman" w:hAnsi="Times New Roman" w:eastAsia="方正仿宋_GBK" w:cs="Times New Roman"/>
                <w:b/>
                <w:bCs/>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方正仿宋_GBK" w:cs="Times New Roman"/>
                <w:b/>
                <w:bCs/>
                <w:color w:val="000000" w:themeColor="text1"/>
                <w:kern w:val="0"/>
                <w:sz w:val="24"/>
                <w:szCs w:val="24"/>
                <w:highlight w:val="none"/>
                <w:lang w:val="en-US" w:eastAsia="zh-CN"/>
                <w14:textFill>
                  <w14:solidFill>
                    <w14:schemeClr w14:val="tx1"/>
                  </w14:solidFill>
                </w14:textFill>
              </w:rPr>
              <w:t>备注</w:t>
            </w:r>
          </w:p>
        </w:tc>
      </w:tr>
      <w:tr w14:paraId="5C9E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3953" w:type="dxa"/>
            <w:tcBorders>
              <w:top w:val="single" w:color="auto" w:sz="4" w:space="0"/>
              <w:left w:val="single" w:color="auto" w:sz="4" w:space="0"/>
              <w:right w:val="single" w:color="auto" w:sz="4" w:space="0"/>
            </w:tcBorders>
            <w:vAlign w:val="center"/>
          </w:tcPr>
          <w:p w14:paraId="47A46CB4">
            <w:pPr>
              <w:jc w:val="cente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bookmarkStart w:id="12" w:name="_Hlk344477914"/>
            <w:r>
              <w:rPr>
                <w:rFonts w:hint="eastAsia" w:ascii="Times New Roman" w:hAnsi="Times New Roman" w:eastAsia="方正仿宋_GBK" w:cs="Times New Roman"/>
                <w:color w:val="000000" w:themeColor="text1"/>
                <w:sz w:val="24"/>
                <w:szCs w:val="24"/>
                <w:highlight w:val="none"/>
                <w:lang w:val="en-US" w:eastAsia="zh-CN"/>
                <w14:textFill>
                  <w14:solidFill>
                    <w14:schemeClr w14:val="tx1"/>
                  </w14:solidFill>
                </w14:textFill>
              </w:rPr>
              <w:t>无偿献血微科普馆</w:t>
            </w:r>
          </w:p>
        </w:tc>
        <w:tc>
          <w:tcPr>
            <w:tcW w:w="2713" w:type="dxa"/>
            <w:tcBorders>
              <w:top w:val="single" w:color="auto" w:sz="4" w:space="0"/>
              <w:left w:val="single" w:color="auto" w:sz="4" w:space="0"/>
              <w:right w:val="single" w:color="auto" w:sz="4" w:space="0"/>
            </w:tcBorders>
            <w:vAlign w:val="center"/>
          </w:tcPr>
          <w:p w14:paraId="14C52714">
            <w:pPr>
              <w:jc w:val="center"/>
              <w:rPr>
                <w:rFonts w:hint="default" w:ascii="Times New Roman" w:hAnsi="Times New Roman" w:eastAsia="方正仿宋_GBK"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vertAlign w:val="baseline"/>
                <w:lang w:val="en-US" w:eastAsia="zh-CN"/>
                <w14:textFill>
                  <w14:solidFill>
                    <w14:schemeClr w14:val="tx1"/>
                  </w14:solidFill>
                </w14:textFill>
              </w:rPr>
              <w:t>87094.8</w:t>
            </w:r>
          </w:p>
        </w:tc>
        <w:tc>
          <w:tcPr>
            <w:tcW w:w="1363" w:type="dxa"/>
            <w:tcBorders>
              <w:left w:val="single" w:color="auto" w:sz="4" w:space="0"/>
              <w:right w:val="single" w:color="auto" w:sz="4" w:space="0"/>
            </w:tcBorders>
            <w:vAlign w:val="center"/>
          </w:tcPr>
          <w:p w14:paraId="3F9C77FF">
            <w:pPr>
              <w:widowControl/>
              <w:jc w:val="center"/>
              <w:rPr>
                <w:rFonts w:hint="default" w:ascii="Times New Roman" w:hAnsi="Times New Roman" w:eastAsia="方正仿宋_GBK"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4"/>
                <w:szCs w:val="24"/>
                <w:highlight w:val="none"/>
                <w:lang w:val="en-US" w:eastAsia="zh-CN"/>
                <w14:textFill>
                  <w14:solidFill>
                    <w14:schemeClr w14:val="tx1"/>
                  </w14:solidFill>
                </w14:textFill>
              </w:rPr>
              <w:t>1</w:t>
            </w:r>
          </w:p>
        </w:tc>
        <w:tc>
          <w:tcPr>
            <w:tcW w:w="1014" w:type="dxa"/>
            <w:tcBorders>
              <w:left w:val="single" w:color="auto" w:sz="4" w:space="0"/>
              <w:right w:val="single" w:color="auto" w:sz="4" w:space="0"/>
            </w:tcBorders>
            <w:vAlign w:val="center"/>
          </w:tcPr>
          <w:p w14:paraId="5B9F46A0">
            <w:pPr>
              <w:widowControl/>
              <w:jc w:val="center"/>
              <w:rPr>
                <w:rFonts w:hint="default" w:ascii="Times New Roman" w:hAnsi="Times New Roman" w:eastAsia="方正仿宋_GBK" w:cs="Times New Roman"/>
                <w:color w:val="000000" w:themeColor="text1"/>
                <w:kern w:val="0"/>
                <w:sz w:val="24"/>
                <w:szCs w:val="24"/>
                <w:highlight w:val="none"/>
                <w:lang w:val="en-US" w:eastAsia="zh-CN"/>
                <w14:textFill>
                  <w14:solidFill>
                    <w14:schemeClr w14:val="tx1"/>
                  </w14:solidFill>
                </w14:textFill>
              </w:rPr>
            </w:pPr>
          </w:p>
        </w:tc>
      </w:tr>
      <w:bookmarkEnd w:id="12"/>
    </w:tbl>
    <w:p w14:paraId="63D589DA">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二、资金来源</w:t>
      </w:r>
      <w:bookmarkEnd w:id="8"/>
      <w:bookmarkEnd w:id="9"/>
    </w:p>
    <w:p w14:paraId="75B66FED">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业主自筹</w:t>
      </w:r>
      <w:r>
        <w:rPr>
          <w:rFonts w:hint="default" w:ascii="Times New Roman" w:hAnsi="Times New Roman" w:eastAsia="方正仿宋_GBK" w:cs="Times New Roman"/>
          <w:color w:val="auto"/>
          <w:sz w:val="24"/>
          <w:szCs w:val="24"/>
          <w:highlight w:val="none"/>
        </w:rPr>
        <w:t>。</w:t>
      </w:r>
    </w:p>
    <w:p w14:paraId="6F3E4BA1">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highlight w:val="none"/>
        </w:rPr>
      </w:pPr>
      <w:bookmarkStart w:id="13" w:name="_Toc76462319"/>
      <w:bookmarkStart w:id="14" w:name="_Toc4322"/>
      <w:r>
        <w:rPr>
          <w:rFonts w:hint="default" w:ascii="Times New Roman" w:hAnsi="Times New Roman" w:eastAsia="方正仿宋_GBK" w:cs="Times New Roman"/>
          <w:color w:val="auto"/>
          <w:sz w:val="24"/>
          <w:highlight w:val="none"/>
        </w:rPr>
        <w:t>三、</w:t>
      </w:r>
      <w:r>
        <w:rPr>
          <w:rFonts w:hint="default" w:ascii="Times New Roman" w:hAnsi="Times New Roman" w:eastAsia="方正仿宋_GBK" w:cs="Times New Roman"/>
          <w:color w:val="auto"/>
          <w:sz w:val="24"/>
          <w:highlight w:val="none"/>
          <w:lang w:eastAsia="zh-CN"/>
        </w:rPr>
        <w:t>供应商</w:t>
      </w:r>
      <w:r>
        <w:rPr>
          <w:rFonts w:hint="default" w:ascii="Times New Roman" w:hAnsi="Times New Roman" w:eastAsia="方正仿宋_GBK" w:cs="Times New Roman"/>
          <w:color w:val="auto"/>
          <w:sz w:val="24"/>
          <w:highlight w:val="none"/>
        </w:rPr>
        <w:t>资格条件</w:t>
      </w:r>
      <w:bookmarkEnd w:id="13"/>
      <w:bookmarkEnd w:id="14"/>
    </w:p>
    <w:p w14:paraId="0725E209">
      <w:pPr>
        <w:spacing w:line="400" w:lineRule="exact"/>
        <w:ind w:firstLine="480" w:firstLineChars="200"/>
        <w:rPr>
          <w:rFonts w:hint="default" w:ascii="Times New Roman" w:hAnsi="Times New Roman" w:eastAsia="方正仿宋_GBK" w:cs="Times New Roman"/>
          <w:b w:val="0"/>
          <w:bCs/>
          <w:color w:val="auto"/>
          <w:sz w:val="24"/>
          <w:highlight w:val="none"/>
          <w:lang w:val="en-US" w:eastAsia="zh-CN"/>
        </w:rPr>
      </w:pPr>
      <w:bookmarkStart w:id="15" w:name="_Toc29336"/>
      <w:bookmarkStart w:id="16" w:name="_Toc76462320"/>
      <w:r>
        <w:rPr>
          <w:rFonts w:hint="default" w:ascii="Times New Roman" w:hAnsi="Times New Roman" w:eastAsia="方正仿宋_GBK" w:cs="Times New Roman"/>
          <w:b w:val="0"/>
          <w:bCs/>
          <w:color w:val="auto"/>
          <w:sz w:val="24"/>
          <w:highlight w:val="none"/>
          <w:lang w:val="en-US" w:eastAsia="zh-CN"/>
        </w:rPr>
        <w:t>（一）满足《中华人民共和国政府采购法》第二十二条规定；</w:t>
      </w:r>
    </w:p>
    <w:p w14:paraId="5B9678F3">
      <w:pPr>
        <w:spacing w:line="400" w:lineRule="exact"/>
        <w:ind w:firstLine="480" w:firstLineChars="200"/>
        <w:rPr>
          <w:rFonts w:hint="default" w:ascii="Times New Roman" w:hAnsi="Times New Roman" w:eastAsia="方正仿宋_GBK" w:cs="Times New Roman"/>
          <w:b w:val="0"/>
          <w:bCs/>
          <w:color w:val="auto"/>
          <w:sz w:val="24"/>
          <w:highlight w:val="none"/>
          <w:lang w:val="en-US" w:eastAsia="zh-CN"/>
        </w:rPr>
      </w:pPr>
      <w:r>
        <w:rPr>
          <w:rFonts w:hint="default" w:ascii="Times New Roman" w:hAnsi="Times New Roman" w:eastAsia="方正仿宋_GBK" w:cs="Times New Roman"/>
          <w:b w:val="0"/>
          <w:bCs/>
          <w:color w:val="auto"/>
          <w:sz w:val="24"/>
          <w:highlight w:val="none"/>
          <w:lang w:val="en-US" w:eastAsia="zh-CN"/>
        </w:rPr>
        <w:t>（二）落实政府采购政策需满足的资格要求：无</w:t>
      </w:r>
    </w:p>
    <w:p w14:paraId="4671C8D7">
      <w:pPr>
        <w:spacing w:line="400" w:lineRule="exact"/>
        <w:ind w:firstLine="480" w:firstLineChars="200"/>
        <w:rPr>
          <w:rFonts w:hint="default" w:ascii="Times New Roman" w:hAnsi="Times New Roman" w:eastAsia="方正仿宋_GBK" w:cs="Times New Roman"/>
          <w:b w:val="0"/>
          <w:bCs/>
          <w:color w:val="auto"/>
          <w:sz w:val="24"/>
          <w:highlight w:val="none"/>
          <w:lang w:val="en-US" w:eastAsia="zh-CN"/>
        </w:rPr>
      </w:pPr>
      <w:r>
        <w:rPr>
          <w:rFonts w:hint="default" w:ascii="Times New Roman" w:hAnsi="Times New Roman" w:eastAsia="方正仿宋_GBK" w:cs="Times New Roman"/>
          <w:b w:val="0"/>
          <w:bCs/>
          <w:color w:val="auto"/>
          <w:sz w:val="24"/>
          <w:highlight w:val="none"/>
          <w:lang w:val="en-US" w:eastAsia="zh-CN"/>
        </w:rPr>
        <w:t>（三）本项目的特定资格要求：供应商具备有效的营业执照且具备施工劳务不分等级（备案）资质。（提供有效的带二维码标识的营业执照复印件、资质证书并加盖供应商公章）</w:t>
      </w:r>
    </w:p>
    <w:p w14:paraId="04BA0F67">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四、</w:t>
      </w:r>
      <w:r>
        <w:rPr>
          <w:rFonts w:hint="default" w:ascii="Times New Roman" w:hAnsi="Times New Roman" w:eastAsia="方正仿宋_GBK" w:cs="Times New Roman"/>
          <w:color w:val="auto"/>
          <w:sz w:val="24"/>
          <w:highlight w:val="none"/>
          <w:lang w:val="en-US" w:eastAsia="zh-CN"/>
        </w:rPr>
        <w:t>竞采</w:t>
      </w:r>
      <w:r>
        <w:rPr>
          <w:rFonts w:hint="default" w:ascii="Times New Roman" w:hAnsi="Times New Roman" w:eastAsia="方正仿宋_GBK" w:cs="Times New Roman"/>
          <w:color w:val="auto"/>
          <w:sz w:val="24"/>
          <w:highlight w:val="none"/>
        </w:rPr>
        <w:t>有关说明</w:t>
      </w:r>
      <w:bookmarkEnd w:id="10"/>
      <w:bookmarkEnd w:id="15"/>
      <w:bookmarkEnd w:id="16"/>
    </w:p>
    <w:p w14:paraId="22F871C8">
      <w:pPr>
        <w:spacing w:line="400" w:lineRule="exact"/>
        <w:ind w:firstLine="480" w:firstLineChars="200"/>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（一）供应商应通过</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w:t>
      </w:r>
      <w:r>
        <w:rPr>
          <w:rFonts w:hint="default" w:ascii="Times New Roman" w:hAnsi="Times New Roman" w:eastAsia="方正仿宋_GBK" w:cs="Times New Roman"/>
          <w:color w:val="auto"/>
          <w:sz w:val="24"/>
          <w:szCs w:val="24"/>
          <w:highlight w:val="none"/>
        </w:rPr>
        <w:t>重庆秀山小额交易管理平台</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”服务平台注册，成为正式供应商</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w:t>
      </w:r>
    </w:p>
    <w:p w14:paraId="2C2EE0D6">
      <w:pPr>
        <w:spacing w:line="400" w:lineRule="exact"/>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auto"/>
          <w:sz w:val="24"/>
          <w:szCs w:val="24"/>
          <w:highlight w:val="none"/>
        </w:rPr>
        <w:t>（二）凡有意参加</w:t>
      </w:r>
      <w:r>
        <w:rPr>
          <w:rFonts w:hint="default" w:ascii="Times New Roman" w:hAnsi="Times New Roman" w:eastAsia="方正仿宋_GBK" w:cs="Times New Roman"/>
          <w:color w:val="auto"/>
          <w:sz w:val="24"/>
          <w:szCs w:val="24"/>
          <w:highlight w:val="none"/>
          <w:lang w:val="en-US" w:eastAsia="zh-CN"/>
        </w:rPr>
        <w:t>竞采</w:t>
      </w:r>
      <w:r>
        <w:rPr>
          <w:rFonts w:hint="default" w:ascii="Times New Roman" w:hAnsi="Times New Roman" w:eastAsia="方正仿宋_GBK" w:cs="Times New Roman"/>
          <w:color w:val="auto"/>
          <w:sz w:val="24"/>
          <w:szCs w:val="24"/>
          <w:highlight w:val="none"/>
        </w:rPr>
        <w:t>的供应商，</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请在</w:t>
      </w:r>
      <w:r>
        <w:rPr>
          <w:rFonts w:hint="default" w:ascii="Times New Roman" w:hAnsi="Times New Roman" w:eastAsia="方正仿宋_GBK" w:cs="Times New Roman"/>
          <w:color w:val="000000" w:themeColor="text1"/>
          <w:sz w:val="24"/>
          <w:szCs w:val="24"/>
          <w:highlight w:val="none"/>
          <w:lang w:val="zh-CN"/>
          <w14:textFill>
            <w14:solidFill>
              <w14:schemeClr w14:val="tx1"/>
            </w14:solidFill>
          </w14:textFill>
        </w:rPr>
        <w:t>秀山县小额交易管理平台竞采大厅</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https://cqxs-mall.gec123.com/</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下载本项目网上</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竞采</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文件以及补遗等采购前公布的所有项目资料，无论</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下载与否，均视为已知晓所有采购实质性要求内容。</w:t>
      </w:r>
      <w:bookmarkStart w:id="17" w:name="_Toc373860294"/>
      <w:bookmarkStart w:id="18" w:name="_Toc76462321"/>
    </w:p>
    <w:p w14:paraId="511CF802">
      <w:pPr>
        <w:spacing w:line="400" w:lineRule="exact"/>
        <w:ind w:firstLine="480" w:firstLineChars="200"/>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（三）凡有意参加采购的供应商请于2025年</w:t>
      </w:r>
      <w:r>
        <w:rPr>
          <w:rFonts w:hint="eastAsia" w:eastAsia="方正仿宋_GBK" w:cs="Times New Roman"/>
          <w:color w:val="000000" w:themeColor="text1"/>
          <w:sz w:val="24"/>
          <w:szCs w:val="24"/>
          <w:highlight w:val="none"/>
          <w:lang w:val="en-US" w:eastAsia="zh-CN"/>
          <w14:textFill>
            <w14:solidFill>
              <w14:schemeClr w14:val="tx1"/>
            </w14:solidFill>
          </w14:textFill>
        </w:rPr>
        <w:t>10</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月</w:t>
      </w:r>
      <w:r>
        <w:rPr>
          <w:rFonts w:hint="eastAsia" w:eastAsia="方正仿宋_GBK" w:cs="Times New Roman"/>
          <w:color w:val="000000" w:themeColor="text1"/>
          <w:sz w:val="24"/>
          <w:szCs w:val="24"/>
          <w:highlight w:val="none"/>
          <w:lang w:val="en-US" w:eastAsia="zh-CN"/>
          <w14:textFill>
            <w14:solidFill>
              <w14:schemeClr w14:val="tx1"/>
            </w14:solidFill>
          </w14:textFill>
        </w:rPr>
        <w:t>16</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日起将报名表加盖公章扫描后发送至</w:t>
      </w:r>
      <w:r>
        <w:rPr>
          <w:rFonts w:hint="eastAsia" w:ascii="Times New Roman" w:hAnsi="Times New Roman" w:eastAsia="方正仿宋_GBK" w:cs="Times New Roman"/>
          <w:color w:val="000000" w:themeColor="text1"/>
          <w:sz w:val="24"/>
          <w:szCs w:val="24"/>
          <w:highlight w:val="none"/>
          <w:lang w:val="en-US" w:eastAsia="zh-CN"/>
          <w14:textFill>
            <w14:solidFill>
              <w14:schemeClr w14:val="tx1"/>
            </w14:solidFill>
          </w14:textFill>
        </w:rPr>
        <w:t>953507508@qq.com</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（邮箱）进行报名并获取采购文件。</w:t>
      </w:r>
    </w:p>
    <w:p w14:paraId="73000471">
      <w:pPr>
        <w:spacing w:line="400" w:lineRule="exact"/>
        <w:ind w:firstLine="480" w:firstLineChars="200"/>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（四）</w:t>
      </w:r>
      <w:r>
        <w:rPr>
          <w:rFonts w:hint="default" w:ascii="Times New Roman" w:hAnsi="Times New Roman" w:eastAsia="方正仿宋_GBK" w:cs="Times New Roman"/>
          <w:color w:val="000000" w:themeColor="text1"/>
          <w:sz w:val="24"/>
          <w:szCs w:val="24"/>
          <w:highlight w:val="none"/>
          <w:lang w:val="zh-CN" w:eastAsia="zh-CN"/>
          <w14:textFill>
            <w14:solidFill>
              <w14:schemeClr w14:val="tx1"/>
            </w14:solidFill>
          </w14:textFill>
        </w:rPr>
        <w:t>采购文件每套售价人民币0.00元。</w:t>
      </w:r>
    </w:p>
    <w:p w14:paraId="7D5DE0F2">
      <w:pPr>
        <w:spacing w:line="44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五</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val="en-US" w:eastAsia="zh-CN"/>
        </w:rPr>
        <w:t>竞采</w:t>
      </w:r>
      <w:r>
        <w:rPr>
          <w:rFonts w:hint="default" w:ascii="Times New Roman" w:hAnsi="Times New Roman" w:eastAsia="方正仿宋_GBK" w:cs="Times New Roman"/>
          <w:color w:val="auto"/>
          <w:sz w:val="24"/>
          <w:szCs w:val="24"/>
          <w:highlight w:val="none"/>
        </w:rPr>
        <w:t>文件公告期限：自采购公告发布之日起</w:t>
      </w:r>
      <w:r>
        <w:rPr>
          <w:rFonts w:hint="default" w:ascii="Times New Roman" w:hAnsi="Times New Roman" w:eastAsia="方正仿宋_GBK" w:cs="Times New Roman"/>
          <w:color w:val="auto"/>
          <w:sz w:val="24"/>
          <w:szCs w:val="24"/>
          <w:highlight w:val="none"/>
          <w:lang w:eastAsia="zh-CN"/>
        </w:rPr>
        <w:t>三</w:t>
      </w:r>
      <w:r>
        <w:rPr>
          <w:rFonts w:hint="default" w:ascii="Times New Roman" w:hAnsi="Times New Roman" w:eastAsia="方正仿宋_GBK" w:cs="Times New Roman"/>
          <w:color w:val="auto"/>
          <w:sz w:val="24"/>
          <w:szCs w:val="24"/>
          <w:highlight w:val="none"/>
        </w:rPr>
        <w:t>个工作日。</w:t>
      </w:r>
    </w:p>
    <w:p w14:paraId="70CF6C06">
      <w:pPr>
        <w:spacing w:line="44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w:t>
      </w:r>
      <w:r>
        <w:rPr>
          <w:rFonts w:hint="eastAsia" w:ascii="Times New Roman" w:hAnsi="Times New Roman" w:eastAsia="方正仿宋_GBK" w:cs="Times New Roman"/>
          <w:color w:val="auto"/>
          <w:sz w:val="24"/>
          <w:szCs w:val="24"/>
          <w:highlight w:val="none"/>
          <w:lang w:val="en-US" w:eastAsia="zh-CN"/>
        </w:rPr>
        <w:t>六</w:t>
      </w:r>
      <w:r>
        <w:rPr>
          <w:rFonts w:hint="default" w:ascii="Times New Roman" w:hAnsi="Times New Roman" w:eastAsia="方正仿宋_GBK" w:cs="Times New Roman"/>
          <w:color w:val="auto"/>
          <w:sz w:val="24"/>
          <w:szCs w:val="24"/>
          <w:highlight w:val="none"/>
        </w:rPr>
        <w:t>）电子响应文件递交</w:t>
      </w:r>
    </w:p>
    <w:p w14:paraId="5AA18C87">
      <w:pPr>
        <w:spacing w:line="44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1.电子响应文件递交方式：本项目采用网上递交方式，供应商于电子响应文件递交截止时间前，</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按本项目规定的时间在</w:t>
      </w:r>
      <w:r>
        <w:rPr>
          <w:rFonts w:hint="default" w:ascii="Times New Roman" w:hAnsi="Times New Roman" w:eastAsia="方正仿宋_GBK" w:cs="Times New Roman"/>
          <w:color w:val="000000" w:themeColor="text1"/>
          <w:sz w:val="24"/>
          <w:szCs w:val="24"/>
          <w:highlight w:val="none"/>
          <w:lang w:val="zh-CN"/>
          <w14:textFill>
            <w14:solidFill>
              <w14:schemeClr w14:val="tx1"/>
            </w14:solidFill>
          </w14:textFill>
        </w:rPr>
        <w:t>秀山县小额交易管理平台竞采大厅</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进行网上报价，并在规定的时间内上传响应文件电子文档。未在规定时间内报价和上传响应文件电子文档的</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不具备竞标资格</w:t>
      </w:r>
      <w:r>
        <w:rPr>
          <w:rFonts w:hint="default" w:ascii="Times New Roman" w:hAnsi="Times New Roman" w:eastAsia="方正仿宋_GBK" w:cs="Times New Roman"/>
          <w:color w:val="auto"/>
          <w:sz w:val="24"/>
          <w:szCs w:val="24"/>
          <w:highlight w:val="none"/>
        </w:rPr>
        <w:t>。</w:t>
      </w:r>
    </w:p>
    <w:p w14:paraId="15863599">
      <w:pPr>
        <w:spacing w:line="44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2.电子响应文件递交开始、截止时间：202</w:t>
      </w:r>
      <w:r>
        <w:rPr>
          <w:rFonts w:hint="default" w:ascii="Times New Roman" w:hAnsi="Times New Roman" w:eastAsia="方正仿宋_GBK" w:cs="Times New Roman"/>
          <w:color w:val="auto"/>
          <w:sz w:val="24"/>
          <w:szCs w:val="24"/>
          <w:highlight w:val="none"/>
          <w:lang w:val="en-US" w:eastAsia="zh-CN"/>
        </w:rPr>
        <w:t>5</w:t>
      </w:r>
      <w:r>
        <w:rPr>
          <w:rFonts w:hint="default" w:ascii="Times New Roman" w:hAnsi="Times New Roman" w:eastAsia="方正仿宋_GBK" w:cs="Times New Roman"/>
          <w:color w:val="auto"/>
          <w:sz w:val="24"/>
          <w:szCs w:val="24"/>
          <w:highlight w:val="none"/>
        </w:rPr>
        <w:t>年</w:t>
      </w:r>
      <w:r>
        <w:rPr>
          <w:rFonts w:hint="eastAsia" w:eastAsia="方正仿宋_GBK" w:cs="Times New Roman"/>
          <w:color w:val="auto"/>
          <w:sz w:val="24"/>
          <w:szCs w:val="24"/>
          <w:highlight w:val="none"/>
          <w:lang w:val="en-US" w:eastAsia="zh-CN"/>
        </w:rPr>
        <w:t>10</w:t>
      </w:r>
      <w:r>
        <w:rPr>
          <w:rFonts w:hint="default" w:ascii="Times New Roman" w:hAnsi="Times New Roman" w:eastAsia="方正仿宋_GBK" w:cs="Times New Roman"/>
          <w:color w:val="auto"/>
          <w:sz w:val="24"/>
          <w:szCs w:val="24"/>
          <w:highlight w:val="none"/>
        </w:rPr>
        <w:t>月</w:t>
      </w:r>
      <w:r>
        <w:rPr>
          <w:rFonts w:hint="eastAsia" w:eastAsia="方正仿宋_GBK" w:cs="Times New Roman"/>
          <w:color w:val="auto"/>
          <w:sz w:val="24"/>
          <w:szCs w:val="24"/>
          <w:highlight w:val="none"/>
          <w:lang w:val="en-US" w:eastAsia="zh-CN"/>
        </w:rPr>
        <w:t>21</w:t>
      </w:r>
      <w:r>
        <w:rPr>
          <w:rFonts w:hint="default" w:ascii="Times New Roman" w:hAnsi="Times New Roman" w:eastAsia="方正仿宋_GBK" w:cs="Times New Roman"/>
          <w:color w:val="auto"/>
          <w:sz w:val="24"/>
          <w:szCs w:val="24"/>
          <w:highlight w:val="none"/>
        </w:rPr>
        <w:t>日北京时间</w:t>
      </w:r>
      <w:r>
        <w:rPr>
          <w:rFonts w:hint="default" w:ascii="Times New Roman" w:hAnsi="Times New Roman" w:eastAsia="方正仿宋_GBK" w:cs="Times New Roman"/>
          <w:color w:val="auto"/>
          <w:sz w:val="24"/>
          <w:szCs w:val="24"/>
          <w:highlight w:val="none"/>
          <w:lang w:val="en-US" w:eastAsia="zh-CN"/>
        </w:rPr>
        <w:t>09:00</w:t>
      </w:r>
      <w:r>
        <w:rPr>
          <w:rFonts w:hint="default" w:ascii="Times New Roman" w:hAnsi="Times New Roman" w:eastAsia="方正仿宋_GBK" w:cs="Times New Roman"/>
          <w:color w:val="auto"/>
          <w:sz w:val="24"/>
          <w:szCs w:val="24"/>
          <w:highlight w:val="none"/>
        </w:rPr>
        <w:t>—202</w:t>
      </w:r>
      <w:r>
        <w:rPr>
          <w:rFonts w:hint="default" w:ascii="Times New Roman" w:hAnsi="Times New Roman" w:eastAsia="方正仿宋_GBK" w:cs="Times New Roman"/>
          <w:color w:val="auto"/>
          <w:sz w:val="24"/>
          <w:szCs w:val="24"/>
          <w:highlight w:val="none"/>
          <w:lang w:val="en-US" w:eastAsia="zh-CN"/>
        </w:rPr>
        <w:t>5</w:t>
      </w:r>
      <w:r>
        <w:rPr>
          <w:rFonts w:hint="default" w:ascii="Times New Roman" w:hAnsi="Times New Roman" w:eastAsia="方正仿宋_GBK" w:cs="Times New Roman"/>
          <w:color w:val="auto"/>
          <w:sz w:val="24"/>
          <w:szCs w:val="24"/>
          <w:highlight w:val="none"/>
        </w:rPr>
        <w:t>年</w:t>
      </w:r>
      <w:r>
        <w:rPr>
          <w:rFonts w:hint="eastAsia" w:eastAsia="方正仿宋_GBK" w:cs="Times New Roman"/>
          <w:color w:val="auto"/>
          <w:sz w:val="24"/>
          <w:szCs w:val="24"/>
          <w:highlight w:val="none"/>
          <w:lang w:val="en-US" w:eastAsia="zh-CN"/>
        </w:rPr>
        <w:t>10</w:t>
      </w:r>
      <w:r>
        <w:rPr>
          <w:rFonts w:hint="default" w:ascii="Times New Roman" w:hAnsi="Times New Roman" w:eastAsia="方正仿宋_GBK" w:cs="Times New Roman"/>
          <w:color w:val="auto"/>
          <w:sz w:val="24"/>
          <w:szCs w:val="24"/>
          <w:highlight w:val="none"/>
        </w:rPr>
        <w:t>月</w:t>
      </w:r>
      <w:r>
        <w:rPr>
          <w:rFonts w:hint="eastAsia" w:eastAsia="方正仿宋_GBK" w:cs="Times New Roman"/>
          <w:color w:val="auto"/>
          <w:sz w:val="24"/>
          <w:szCs w:val="24"/>
          <w:highlight w:val="none"/>
          <w:lang w:val="en-US" w:eastAsia="zh-CN"/>
        </w:rPr>
        <w:t>21</w:t>
      </w:r>
      <w:r>
        <w:rPr>
          <w:rFonts w:hint="default" w:ascii="Times New Roman" w:hAnsi="Times New Roman" w:eastAsia="方正仿宋_GBK" w:cs="Times New Roman"/>
          <w:color w:val="auto"/>
          <w:sz w:val="24"/>
          <w:szCs w:val="24"/>
          <w:highlight w:val="none"/>
        </w:rPr>
        <w:t>日北京时间</w:t>
      </w:r>
      <w:r>
        <w:rPr>
          <w:rFonts w:hint="default" w:ascii="Times New Roman" w:hAnsi="Times New Roman" w:eastAsia="方正仿宋_GBK" w:cs="Times New Roman"/>
          <w:color w:val="auto"/>
          <w:sz w:val="24"/>
          <w:szCs w:val="24"/>
          <w:highlight w:val="none"/>
          <w:lang w:val="en-US" w:eastAsia="zh-CN"/>
        </w:rPr>
        <w:t>11:00</w:t>
      </w:r>
      <w:r>
        <w:rPr>
          <w:rFonts w:hint="default" w:ascii="Times New Roman" w:hAnsi="Times New Roman" w:eastAsia="方正仿宋_GBK" w:cs="Times New Roman"/>
          <w:color w:val="auto"/>
          <w:sz w:val="24"/>
          <w:szCs w:val="24"/>
          <w:highlight w:val="none"/>
        </w:rPr>
        <w:t>。</w:t>
      </w:r>
    </w:p>
    <w:p w14:paraId="2D822E3D">
      <w:pPr>
        <w:snapToGrid w:val="0"/>
        <w:spacing w:line="360" w:lineRule="auto"/>
        <w:ind w:firstLine="361" w:firstLineChars="150"/>
        <w:rPr>
          <w:rFonts w:hint="default" w:ascii="Times New Roman" w:hAnsi="Times New Roman" w:eastAsia="方正仿宋_GBK" w:cs="Times New Roman"/>
          <w:b/>
          <w:bCs/>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b/>
          <w:bCs/>
          <w:color w:val="000000" w:themeColor="text1"/>
          <w:sz w:val="24"/>
          <w:szCs w:val="24"/>
          <w:highlight w:val="none"/>
          <w14:textFill>
            <w14:solidFill>
              <w14:schemeClr w14:val="tx1"/>
            </w14:solidFill>
          </w14:textFill>
        </w:rPr>
        <w:t>（</w:t>
      </w:r>
      <w:r>
        <w:rPr>
          <w:rFonts w:hint="eastAsia" w:ascii="Times New Roman" w:hAnsi="Times New Roman" w:eastAsia="方正仿宋_GBK" w:cs="Times New Roman"/>
          <w:b/>
          <w:bCs/>
          <w:color w:val="000000" w:themeColor="text1"/>
          <w:sz w:val="24"/>
          <w:szCs w:val="24"/>
          <w:highlight w:val="none"/>
          <w:lang w:val="en-US" w:eastAsia="zh-CN"/>
          <w14:textFill>
            <w14:solidFill>
              <w14:schemeClr w14:val="tx1"/>
            </w14:solidFill>
          </w14:textFill>
        </w:rPr>
        <w:t>七</w:t>
      </w:r>
      <w:r>
        <w:rPr>
          <w:rFonts w:hint="default" w:ascii="Times New Roman" w:hAnsi="Times New Roman" w:eastAsia="方正仿宋_GBK" w:cs="Times New Roman"/>
          <w:b/>
          <w:bCs/>
          <w:color w:val="000000" w:themeColor="text1"/>
          <w:sz w:val="24"/>
          <w:szCs w:val="24"/>
          <w:highlight w:val="none"/>
          <w14:textFill>
            <w14:solidFill>
              <w14:schemeClr w14:val="tx1"/>
            </w14:solidFill>
          </w14:textFill>
        </w:rPr>
        <w:t>）</w:t>
      </w:r>
      <w:r>
        <w:rPr>
          <w:rFonts w:hint="default" w:ascii="Times New Roman" w:hAnsi="Times New Roman" w:eastAsia="方正仿宋_GBK" w:cs="Times New Roman"/>
          <w:b/>
          <w:bCs/>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b/>
          <w:bCs/>
          <w:color w:val="000000" w:themeColor="text1"/>
          <w:sz w:val="24"/>
          <w:szCs w:val="24"/>
          <w:highlight w:val="none"/>
          <w14:textFill>
            <w14:solidFill>
              <w14:schemeClr w14:val="tx1"/>
            </w14:solidFill>
          </w14:textFill>
        </w:rPr>
        <w:t>须满足以下三种要件，其响应文件才被接受：</w:t>
      </w:r>
    </w:p>
    <w:p w14:paraId="5144FDFF">
      <w:pPr>
        <w:wordWrap w:val="0"/>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1.按时在</w:t>
      </w:r>
      <w:r>
        <w:rPr>
          <w:rFonts w:hint="default" w:ascii="Times New Roman" w:hAnsi="Times New Roman" w:eastAsia="方正仿宋_GBK" w:cs="Times New Roman"/>
          <w:color w:val="000000" w:themeColor="text1"/>
          <w:sz w:val="24"/>
          <w:szCs w:val="24"/>
          <w:highlight w:val="none"/>
          <w:lang w:val="zh-CN"/>
          <w14:textFill>
            <w14:solidFill>
              <w14:schemeClr w14:val="tx1"/>
            </w14:solidFill>
          </w14:textFill>
        </w:rPr>
        <w:t>秀山县小额交易管理平台竞采大厅</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https://cqxs-mall.gec123.com/</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进行网上报价。</w:t>
      </w:r>
    </w:p>
    <w:p w14:paraId="22F9F6D6">
      <w:pPr>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2.按时递交</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线上和线下</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响应文件。</w:t>
      </w:r>
    </w:p>
    <w:p w14:paraId="67AF1D5C">
      <w:pPr>
        <w:spacing w:line="360" w:lineRule="auto"/>
        <w:ind w:firstLine="482" w:firstLineChars="200"/>
        <w:rPr>
          <w:rFonts w:hint="default" w:ascii="Times New Roman" w:hAnsi="Times New Roman" w:eastAsia="方正仿宋_GBK" w:cs="Times New Roman"/>
          <w:b/>
          <w:bCs/>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b/>
          <w:bCs/>
          <w:color w:val="000000" w:themeColor="text1"/>
          <w:sz w:val="24"/>
          <w:szCs w:val="24"/>
          <w:highlight w:val="none"/>
          <w14:textFill>
            <w14:solidFill>
              <w14:schemeClr w14:val="tx1"/>
            </w14:solidFill>
          </w14:textFill>
        </w:rPr>
        <w:t>注：线上及线下响应文件须一致，如不一致，</w:t>
      </w:r>
      <w:r>
        <w:rPr>
          <w:rFonts w:hint="default" w:ascii="Times New Roman" w:hAnsi="Times New Roman" w:eastAsia="方正仿宋_GBK" w:cs="Times New Roman"/>
          <w:b/>
          <w:bCs/>
          <w:color w:val="000000" w:themeColor="text1"/>
          <w:sz w:val="24"/>
          <w:szCs w:val="24"/>
          <w:highlight w:val="none"/>
          <w:lang w:val="en-US" w:eastAsia="zh-CN"/>
          <w14:textFill>
            <w14:solidFill>
              <w14:schemeClr w14:val="tx1"/>
            </w14:solidFill>
          </w14:textFill>
        </w:rPr>
        <w:t>以纸制文件正本为准</w:t>
      </w:r>
      <w:r>
        <w:rPr>
          <w:rFonts w:hint="default" w:ascii="Times New Roman" w:hAnsi="Times New Roman" w:eastAsia="方正仿宋_GBK" w:cs="Times New Roman"/>
          <w:b/>
          <w:bCs/>
          <w:color w:val="000000" w:themeColor="text1"/>
          <w:sz w:val="24"/>
          <w:szCs w:val="24"/>
          <w:highlight w:val="none"/>
          <w14:textFill>
            <w14:solidFill>
              <w14:schemeClr w14:val="tx1"/>
            </w14:solidFill>
          </w14:textFill>
        </w:rPr>
        <w:t>。</w:t>
      </w:r>
    </w:p>
    <w:p w14:paraId="1E01564B">
      <w:pPr>
        <w:snapToGrid w:val="0"/>
        <w:spacing w:line="360" w:lineRule="auto"/>
        <w:ind w:firstLine="480" w:firstLineChars="200"/>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eastAsia="方正仿宋_GBK" w:cs="Times New Roman"/>
          <w:color w:val="000000" w:themeColor="text1"/>
          <w:sz w:val="24"/>
          <w:szCs w:val="24"/>
          <w:highlight w:val="none"/>
          <w:lang w:val="en-US" w:eastAsia="zh-CN"/>
          <w14:textFill>
            <w14:solidFill>
              <w14:schemeClr w14:val="tx1"/>
            </w14:solidFill>
          </w14:textFill>
        </w:rPr>
        <w:t>八</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线下响应文件可选择邮寄或现场递交：</w:t>
      </w:r>
    </w:p>
    <w:p w14:paraId="18BB6973">
      <w:pPr>
        <w:snapToGrid w:val="0"/>
        <w:spacing w:line="360" w:lineRule="auto"/>
        <w:ind w:firstLine="480" w:firstLineChars="200"/>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线下响应文件可采取邮寄方式，邮寄地址：</w:t>
      </w:r>
      <w:r>
        <w:rPr>
          <w:rFonts w:hint="eastAsia" w:ascii="Times New Roman" w:hAnsi="Times New Roman" w:eastAsia="方正仿宋_GBK" w:cs="Times New Roman"/>
          <w:color w:val="auto"/>
          <w:sz w:val="24"/>
          <w:szCs w:val="24"/>
          <w:highlight w:val="none"/>
          <w:lang w:val="en-US" w:eastAsia="zh-CN"/>
        </w:rPr>
        <w:t>重庆知策行工程项目管理有限公司</w:t>
      </w:r>
      <w:r>
        <w:rPr>
          <w:rFonts w:hint="default" w:ascii="Times New Roman" w:hAnsi="Times New Roman" w:eastAsia="方正仿宋_GBK" w:cs="Times New Roman"/>
          <w:color w:val="auto"/>
          <w:sz w:val="24"/>
          <w:szCs w:val="24"/>
          <w:highlight w:val="none"/>
        </w:rPr>
        <w:t xml:space="preserve"> </w:t>
      </w:r>
      <w:r>
        <w:rPr>
          <w:rFonts w:hint="default" w:ascii="Times New Roman" w:hAnsi="Times New Roman" w:eastAsia="方正仿宋_GBK" w:cs="Times New Roman"/>
          <w:color w:val="auto"/>
          <w:sz w:val="24"/>
          <w:szCs w:val="24"/>
          <w:highlight w:val="none"/>
          <w:lang w:val="en-US" w:eastAsia="zh-CN"/>
        </w:rPr>
        <w:t>(</w:t>
      </w:r>
      <w:r>
        <w:rPr>
          <w:rFonts w:hint="eastAsia" w:ascii="Times New Roman" w:hAnsi="Times New Roman" w:eastAsia="方正仿宋_GBK" w:cs="Times New Roman"/>
          <w:color w:val="auto"/>
          <w:sz w:val="24"/>
          <w:szCs w:val="24"/>
          <w:highlight w:val="none"/>
          <w:lang w:val="en-US" w:eastAsia="zh-CN"/>
        </w:rPr>
        <w:t>重庆市秀山土家族苗族自治县中和街道香林中路</w:t>
      </w:r>
      <w:r>
        <w:rPr>
          <w:rFonts w:hint="eastAsia" w:eastAsia="方正仿宋_GBK" w:cs="Times New Roman"/>
          <w:color w:val="auto"/>
          <w:sz w:val="24"/>
          <w:szCs w:val="24"/>
          <w:highlight w:val="none"/>
          <w:lang w:val="en-US" w:eastAsia="zh-CN"/>
        </w:rPr>
        <w:t>16号锦绣府14栋1-6</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eastAsia="方正仿宋_GBK" w:cs="Times New Roman"/>
          <w:color w:val="000000" w:themeColor="text1"/>
          <w:sz w:val="24"/>
          <w:szCs w:val="24"/>
          <w:highlight w:val="none"/>
          <w:lang w:val="en-US" w:eastAsia="zh-CN"/>
          <w14:textFill>
            <w14:solidFill>
              <w14:schemeClr w14:val="tx1"/>
            </w14:solidFill>
          </w14:textFill>
        </w:rPr>
        <w:t>邹</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老师</w:t>
      </w:r>
      <w:r>
        <w:rPr>
          <w:rFonts w:hint="eastAsia" w:ascii="Times New Roman" w:hAnsi="Times New Roman" w:eastAsia="方正仿宋_GBK" w:cs="Times New Roman"/>
          <w:color w:val="000000" w:themeColor="text1"/>
          <w:sz w:val="24"/>
          <w:szCs w:val="24"/>
          <w:highlight w:val="none"/>
          <w:lang w:val="en-US" w:eastAsia="zh-CN"/>
          <w14:textFill>
            <w14:solidFill>
              <w14:schemeClr w14:val="tx1"/>
            </w14:solidFill>
          </w14:textFill>
        </w:rPr>
        <w:t>13310299377</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（收件截止时间为</w:t>
      </w:r>
      <w:r>
        <w:rPr>
          <w:rFonts w:hint="default" w:ascii="Times New Roman" w:hAnsi="Times New Roman" w:eastAsia="方正仿宋_GBK" w:cs="Times New Roman"/>
          <w:color w:val="auto"/>
          <w:sz w:val="24"/>
          <w:szCs w:val="24"/>
          <w:highlight w:val="none"/>
        </w:rPr>
        <w:t>202</w:t>
      </w:r>
      <w:r>
        <w:rPr>
          <w:rFonts w:hint="default" w:ascii="Times New Roman" w:hAnsi="Times New Roman" w:eastAsia="方正仿宋_GBK" w:cs="Times New Roman"/>
          <w:color w:val="auto"/>
          <w:sz w:val="24"/>
          <w:szCs w:val="24"/>
          <w:highlight w:val="none"/>
          <w:lang w:val="en-US" w:eastAsia="zh-CN"/>
        </w:rPr>
        <w:t>5</w:t>
      </w:r>
      <w:r>
        <w:rPr>
          <w:rFonts w:hint="default" w:ascii="Times New Roman" w:hAnsi="Times New Roman" w:eastAsia="方正仿宋_GBK" w:cs="Times New Roman"/>
          <w:color w:val="auto"/>
          <w:sz w:val="24"/>
          <w:szCs w:val="24"/>
          <w:highlight w:val="none"/>
        </w:rPr>
        <w:t>年</w:t>
      </w:r>
      <w:r>
        <w:rPr>
          <w:rFonts w:hint="eastAsia" w:eastAsia="方正仿宋_GBK" w:cs="Times New Roman"/>
          <w:color w:val="auto"/>
          <w:sz w:val="24"/>
          <w:szCs w:val="24"/>
          <w:highlight w:val="none"/>
          <w:lang w:val="en-US" w:eastAsia="zh-CN"/>
        </w:rPr>
        <w:t>10</w:t>
      </w:r>
      <w:r>
        <w:rPr>
          <w:rFonts w:hint="default" w:ascii="Times New Roman" w:hAnsi="Times New Roman" w:eastAsia="方正仿宋_GBK" w:cs="Times New Roman"/>
          <w:color w:val="auto"/>
          <w:sz w:val="24"/>
          <w:szCs w:val="24"/>
          <w:highlight w:val="none"/>
        </w:rPr>
        <w:t>月</w:t>
      </w:r>
      <w:r>
        <w:rPr>
          <w:rFonts w:hint="eastAsia" w:eastAsia="方正仿宋_GBK" w:cs="Times New Roman"/>
          <w:color w:val="auto"/>
          <w:sz w:val="24"/>
          <w:szCs w:val="24"/>
          <w:highlight w:val="none"/>
          <w:lang w:val="en-US" w:eastAsia="zh-CN"/>
        </w:rPr>
        <w:t>21</w:t>
      </w:r>
      <w:r>
        <w:rPr>
          <w:rFonts w:hint="default" w:ascii="Times New Roman" w:hAnsi="Times New Roman" w:eastAsia="方正仿宋_GBK" w:cs="Times New Roman"/>
          <w:color w:val="auto"/>
          <w:sz w:val="24"/>
          <w:szCs w:val="24"/>
          <w:highlight w:val="none"/>
        </w:rPr>
        <w:t>日</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 xml:space="preserve"> 11:00 </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北京时间）</w:t>
      </w:r>
    </w:p>
    <w:p w14:paraId="01BBB10B">
      <w:pPr>
        <w:snapToGrid w:val="0"/>
        <w:spacing w:line="360" w:lineRule="auto"/>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现场递交地址地点：</w:t>
      </w:r>
      <w:r>
        <w:rPr>
          <w:rFonts w:hint="eastAsia" w:ascii="Times New Roman" w:hAnsi="Times New Roman" w:eastAsia="方正仿宋_GBK" w:cs="Times New Roman"/>
          <w:color w:val="auto"/>
          <w:sz w:val="24"/>
          <w:szCs w:val="24"/>
          <w:highlight w:val="none"/>
          <w:lang w:val="en-US" w:eastAsia="zh-CN"/>
        </w:rPr>
        <w:t>重庆知策行工程项目管理有限公司</w:t>
      </w:r>
      <w:r>
        <w:rPr>
          <w:rFonts w:hint="default" w:ascii="Times New Roman" w:hAnsi="Times New Roman" w:eastAsia="方正仿宋_GBK" w:cs="Times New Roman"/>
          <w:color w:val="auto"/>
          <w:sz w:val="24"/>
          <w:szCs w:val="24"/>
          <w:highlight w:val="none"/>
        </w:rPr>
        <w:t xml:space="preserve"> </w:t>
      </w:r>
      <w:r>
        <w:rPr>
          <w:rFonts w:hint="default" w:ascii="Times New Roman" w:hAnsi="Times New Roman" w:eastAsia="方正仿宋_GBK" w:cs="Times New Roman"/>
          <w:color w:val="auto"/>
          <w:sz w:val="24"/>
          <w:szCs w:val="24"/>
          <w:highlight w:val="none"/>
          <w:lang w:val="en-US" w:eastAsia="zh-CN"/>
        </w:rPr>
        <w:t>(</w:t>
      </w:r>
      <w:r>
        <w:rPr>
          <w:rFonts w:hint="eastAsia" w:ascii="Times New Roman" w:hAnsi="Times New Roman" w:eastAsia="方正仿宋_GBK" w:cs="Times New Roman"/>
          <w:color w:val="auto"/>
          <w:sz w:val="24"/>
          <w:szCs w:val="24"/>
          <w:highlight w:val="none"/>
          <w:lang w:val="en-US" w:eastAsia="zh-CN"/>
        </w:rPr>
        <w:t>重庆市秀山土家族苗族自治县中和街道香林中路</w:t>
      </w:r>
      <w:r>
        <w:rPr>
          <w:rFonts w:hint="eastAsia" w:eastAsia="方正仿宋_GBK" w:cs="Times New Roman"/>
          <w:color w:val="auto"/>
          <w:sz w:val="24"/>
          <w:szCs w:val="24"/>
          <w:highlight w:val="none"/>
          <w:lang w:val="en-US" w:eastAsia="zh-CN"/>
        </w:rPr>
        <w:t>16号锦绣府14栋1-6</w:t>
      </w:r>
      <w:r>
        <w:rPr>
          <w:rFonts w:hint="default" w:ascii="Times New Roman" w:hAnsi="Times New Roman" w:eastAsia="方正仿宋_GBK" w:cs="Times New Roman"/>
          <w:color w:val="auto"/>
          <w:sz w:val="24"/>
          <w:szCs w:val="24"/>
          <w:highlight w:val="none"/>
          <w:lang w:val="en-US" w:eastAsia="zh-CN"/>
        </w:rPr>
        <w:t>)</w:t>
      </w:r>
    </w:p>
    <w:p w14:paraId="788145D6">
      <w:pPr>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w:t>
      </w:r>
      <w:r>
        <w:rPr>
          <w:rFonts w:hint="eastAsia" w:ascii="Times New Roman" w:hAnsi="Times New Roman" w:eastAsia="方正仿宋_GBK" w:cs="Times New Roman"/>
          <w:color w:val="000000" w:themeColor="text1"/>
          <w:sz w:val="24"/>
          <w:szCs w:val="24"/>
          <w:highlight w:val="none"/>
          <w:lang w:val="en-US" w:eastAsia="zh-CN"/>
          <w14:textFill>
            <w14:solidFill>
              <w14:schemeClr w14:val="tx1"/>
            </w14:solidFill>
          </w14:textFill>
        </w:rPr>
        <w:t>九</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）响应文件现场递交开始时间：</w:t>
      </w:r>
      <w:r>
        <w:rPr>
          <w:rFonts w:hint="default" w:ascii="Times New Roman" w:hAnsi="Times New Roman" w:eastAsia="方正仿宋_GBK" w:cs="Times New Roman"/>
          <w:color w:val="auto"/>
          <w:sz w:val="24"/>
          <w:szCs w:val="24"/>
          <w:highlight w:val="none"/>
        </w:rPr>
        <w:t>202</w:t>
      </w:r>
      <w:r>
        <w:rPr>
          <w:rFonts w:hint="default" w:ascii="Times New Roman" w:hAnsi="Times New Roman" w:eastAsia="方正仿宋_GBK" w:cs="Times New Roman"/>
          <w:color w:val="auto"/>
          <w:sz w:val="24"/>
          <w:szCs w:val="24"/>
          <w:highlight w:val="none"/>
          <w:lang w:val="en-US" w:eastAsia="zh-CN"/>
        </w:rPr>
        <w:t>5</w:t>
      </w:r>
      <w:r>
        <w:rPr>
          <w:rFonts w:hint="default" w:ascii="Times New Roman" w:hAnsi="Times New Roman" w:eastAsia="方正仿宋_GBK" w:cs="Times New Roman"/>
          <w:color w:val="auto"/>
          <w:sz w:val="24"/>
          <w:szCs w:val="24"/>
          <w:highlight w:val="none"/>
        </w:rPr>
        <w:t>年</w:t>
      </w:r>
      <w:r>
        <w:rPr>
          <w:rFonts w:hint="eastAsia" w:eastAsia="方正仿宋_GBK" w:cs="Times New Roman"/>
          <w:color w:val="auto"/>
          <w:sz w:val="24"/>
          <w:szCs w:val="24"/>
          <w:highlight w:val="none"/>
          <w:lang w:val="en-US" w:eastAsia="zh-CN"/>
        </w:rPr>
        <w:t>10</w:t>
      </w:r>
      <w:r>
        <w:rPr>
          <w:rFonts w:hint="default" w:ascii="Times New Roman" w:hAnsi="Times New Roman" w:eastAsia="方正仿宋_GBK" w:cs="Times New Roman"/>
          <w:color w:val="auto"/>
          <w:sz w:val="24"/>
          <w:szCs w:val="24"/>
          <w:highlight w:val="none"/>
        </w:rPr>
        <w:t>月</w:t>
      </w:r>
      <w:r>
        <w:rPr>
          <w:rFonts w:hint="eastAsia" w:eastAsia="方正仿宋_GBK" w:cs="Times New Roman"/>
          <w:color w:val="auto"/>
          <w:sz w:val="24"/>
          <w:szCs w:val="24"/>
          <w:highlight w:val="none"/>
          <w:lang w:val="en-US" w:eastAsia="zh-CN"/>
        </w:rPr>
        <w:t>21</w:t>
      </w:r>
      <w:r>
        <w:rPr>
          <w:rFonts w:hint="default" w:ascii="Times New Roman" w:hAnsi="Times New Roman" w:eastAsia="方正仿宋_GBK" w:cs="Times New Roman"/>
          <w:color w:val="auto"/>
          <w:sz w:val="24"/>
          <w:szCs w:val="24"/>
          <w:highlight w:val="none"/>
        </w:rPr>
        <w:t>日</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10:30</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北京时间。</w:t>
      </w:r>
    </w:p>
    <w:p w14:paraId="1659D8C0">
      <w:pPr>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w:t>
      </w:r>
      <w:r>
        <w:rPr>
          <w:rFonts w:hint="eastAsia" w:ascii="Times New Roman" w:hAnsi="Times New Roman" w:eastAsia="方正仿宋_GBK" w:cs="Times New Roman"/>
          <w:color w:val="000000" w:themeColor="text1"/>
          <w:sz w:val="24"/>
          <w:szCs w:val="24"/>
          <w:highlight w:val="none"/>
          <w:lang w:val="en-US" w:eastAsia="zh-CN"/>
          <w14:textFill>
            <w14:solidFill>
              <w14:schemeClr w14:val="tx1"/>
            </w14:solidFill>
          </w14:textFill>
        </w:rPr>
        <w:t>十</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）响应文件现场递交截止时间：</w:t>
      </w:r>
      <w:r>
        <w:rPr>
          <w:rFonts w:hint="default" w:ascii="Times New Roman" w:hAnsi="Times New Roman" w:eastAsia="方正仿宋_GBK" w:cs="Times New Roman"/>
          <w:color w:val="auto"/>
          <w:sz w:val="24"/>
          <w:szCs w:val="24"/>
          <w:highlight w:val="none"/>
        </w:rPr>
        <w:t>202</w:t>
      </w:r>
      <w:r>
        <w:rPr>
          <w:rFonts w:hint="default" w:ascii="Times New Roman" w:hAnsi="Times New Roman" w:eastAsia="方正仿宋_GBK" w:cs="Times New Roman"/>
          <w:color w:val="auto"/>
          <w:sz w:val="24"/>
          <w:szCs w:val="24"/>
          <w:highlight w:val="none"/>
          <w:lang w:val="en-US" w:eastAsia="zh-CN"/>
        </w:rPr>
        <w:t>5</w:t>
      </w:r>
      <w:r>
        <w:rPr>
          <w:rFonts w:hint="default" w:ascii="Times New Roman" w:hAnsi="Times New Roman" w:eastAsia="方正仿宋_GBK" w:cs="Times New Roman"/>
          <w:color w:val="auto"/>
          <w:sz w:val="24"/>
          <w:szCs w:val="24"/>
          <w:highlight w:val="none"/>
        </w:rPr>
        <w:t>年</w:t>
      </w:r>
      <w:r>
        <w:rPr>
          <w:rFonts w:hint="eastAsia" w:eastAsia="方正仿宋_GBK" w:cs="Times New Roman"/>
          <w:color w:val="auto"/>
          <w:sz w:val="24"/>
          <w:szCs w:val="24"/>
          <w:highlight w:val="none"/>
          <w:lang w:val="en-US" w:eastAsia="zh-CN"/>
        </w:rPr>
        <w:t>10</w:t>
      </w:r>
      <w:r>
        <w:rPr>
          <w:rFonts w:hint="default" w:ascii="Times New Roman" w:hAnsi="Times New Roman" w:eastAsia="方正仿宋_GBK" w:cs="Times New Roman"/>
          <w:color w:val="auto"/>
          <w:sz w:val="24"/>
          <w:szCs w:val="24"/>
          <w:highlight w:val="none"/>
        </w:rPr>
        <w:t>月</w:t>
      </w:r>
      <w:r>
        <w:rPr>
          <w:rFonts w:hint="eastAsia" w:eastAsia="方正仿宋_GBK" w:cs="Times New Roman"/>
          <w:color w:val="auto"/>
          <w:sz w:val="24"/>
          <w:szCs w:val="24"/>
          <w:highlight w:val="none"/>
          <w:lang w:val="en-US" w:eastAsia="zh-CN"/>
        </w:rPr>
        <w:t>21</w:t>
      </w:r>
      <w:r>
        <w:rPr>
          <w:rFonts w:hint="default" w:ascii="Times New Roman" w:hAnsi="Times New Roman" w:eastAsia="方正仿宋_GBK" w:cs="Times New Roman"/>
          <w:color w:val="auto"/>
          <w:sz w:val="24"/>
          <w:szCs w:val="24"/>
          <w:highlight w:val="none"/>
        </w:rPr>
        <w:t>日</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11:00</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北京时间。</w:t>
      </w:r>
    </w:p>
    <w:p w14:paraId="03304AE6">
      <w:pPr>
        <w:spacing w:line="440" w:lineRule="exact"/>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w:t>
      </w:r>
      <w:r>
        <w:rPr>
          <w:rFonts w:hint="eastAsia" w:ascii="Times New Roman" w:hAnsi="Times New Roman" w:eastAsia="方正仿宋_GBK" w:cs="Times New Roman"/>
          <w:color w:val="000000" w:themeColor="text1"/>
          <w:sz w:val="24"/>
          <w:szCs w:val="24"/>
          <w:highlight w:val="none"/>
          <w:lang w:val="en-US" w:eastAsia="zh-CN"/>
          <w14:textFill>
            <w14:solidFill>
              <w14:schemeClr w14:val="tx1"/>
            </w14:solidFill>
          </w14:textFill>
        </w:rPr>
        <w:t>十一</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）线下开标开始时间：</w:t>
      </w:r>
      <w:r>
        <w:rPr>
          <w:rFonts w:hint="default" w:ascii="Times New Roman" w:hAnsi="Times New Roman" w:eastAsia="方正仿宋_GBK" w:cs="Times New Roman"/>
          <w:color w:val="auto"/>
          <w:sz w:val="24"/>
          <w:szCs w:val="24"/>
          <w:highlight w:val="none"/>
        </w:rPr>
        <w:t>202</w:t>
      </w:r>
      <w:r>
        <w:rPr>
          <w:rFonts w:hint="default" w:ascii="Times New Roman" w:hAnsi="Times New Roman" w:eastAsia="方正仿宋_GBK" w:cs="Times New Roman"/>
          <w:color w:val="auto"/>
          <w:sz w:val="24"/>
          <w:szCs w:val="24"/>
          <w:highlight w:val="none"/>
          <w:lang w:val="en-US" w:eastAsia="zh-CN"/>
        </w:rPr>
        <w:t>5</w:t>
      </w:r>
      <w:r>
        <w:rPr>
          <w:rFonts w:hint="default" w:ascii="Times New Roman" w:hAnsi="Times New Roman" w:eastAsia="方正仿宋_GBK" w:cs="Times New Roman"/>
          <w:color w:val="auto"/>
          <w:sz w:val="24"/>
          <w:szCs w:val="24"/>
          <w:highlight w:val="none"/>
        </w:rPr>
        <w:t>年</w:t>
      </w:r>
      <w:r>
        <w:rPr>
          <w:rFonts w:hint="eastAsia" w:eastAsia="方正仿宋_GBK" w:cs="Times New Roman"/>
          <w:color w:val="auto"/>
          <w:sz w:val="24"/>
          <w:szCs w:val="24"/>
          <w:highlight w:val="none"/>
          <w:lang w:val="en-US" w:eastAsia="zh-CN"/>
        </w:rPr>
        <w:t>10</w:t>
      </w:r>
      <w:r>
        <w:rPr>
          <w:rFonts w:hint="default" w:ascii="Times New Roman" w:hAnsi="Times New Roman" w:eastAsia="方正仿宋_GBK" w:cs="Times New Roman"/>
          <w:color w:val="auto"/>
          <w:sz w:val="24"/>
          <w:szCs w:val="24"/>
          <w:highlight w:val="none"/>
        </w:rPr>
        <w:t>月</w:t>
      </w:r>
      <w:r>
        <w:rPr>
          <w:rFonts w:hint="eastAsia" w:eastAsia="方正仿宋_GBK" w:cs="Times New Roman"/>
          <w:color w:val="auto"/>
          <w:sz w:val="24"/>
          <w:szCs w:val="24"/>
          <w:highlight w:val="none"/>
          <w:lang w:val="en-US" w:eastAsia="zh-CN"/>
        </w:rPr>
        <w:t>21</w:t>
      </w:r>
      <w:r>
        <w:rPr>
          <w:rFonts w:hint="default" w:ascii="Times New Roman" w:hAnsi="Times New Roman" w:eastAsia="方正仿宋_GBK" w:cs="Times New Roman"/>
          <w:color w:val="auto"/>
          <w:sz w:val="24"/>
          <w:szCs w:val="24"/>
          <w:highlight w:val="none"/>
        </w:rPr>
        <w:t>日</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北京时间</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15:00</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北京时间。</w:t>
      </w:r>
      <w:bookmarkEnd w:id="11"/>
      <w:bookmarkEnd w:id="17"/>
      <w:bookmarkStart w:id="19" w:name="_Toc479668114"/>
      <w:bookmarkStart w:id="20" w:name="_Toc480466698"/>
    </w:p>
    <w:p w14:paraId="44F95091">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highlight w:val="none"/>
        </w:rPr>
      </w:pPr>
      <w:bookmarkStart w:id="21" w:name="_Toc18295"/>
      <w:r>
        <w:rPr>
          <w:rFonts w:hint="default" w:ascii="Times New Roman" w:hAnsi="Times New Roman" w:eastAsia="方正仿宋_GBK" w:cs="Times New Roman"/>
          <w:color w:val="auto"/>
          <w:sz w:val="24"/>
          <w:highlight w:val="none"/>
          <w:lang w:val="en-US" w:eastAsia="zh-CN"/>
        </w:rPr>
        <w:t>五、</w:t>
      </w:r>
      <w:r>
        <w:rPr>
          <w:rFonts w:hint="default" w:ascii="Times New Roman" w:hAnsi="Times New Roman" w:eastAsia="方正仿宋_GBK" w:cs="Times New Roman"/>
          <w:color w:val="auto"/>
          <w:sz w:val="24"/>
          <w:highlight w:val="none"/>
        </w:rPr>
        <w:t>采购项目需落实的政府采购政策</w:t>
      </w:r>
      <w:bookmarkEnd w:id="18"/>
      <w:bookmarkEnd w:id="19"/>
      <w:bookmarkEnd w:id="20"/>
      <w:bookmarkEnd w:id="21"/>
    </w:p>
    <w:p w14:paraId="6B408998">
      <w:pPr>
        <w:snapToGrid w:val="0"/>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139CAD70">
      <w:pPr>
        <w:snapToGrid w:val="0"/>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（二）按照财政部、工业和信息化部关于印发《政府采购促进中小企业发展管理办法》的通知（财库〔2020〕46号）的规定，落实促进中小企业发展政策。</w:t>
      </w:r>
    </w:p>
    <w:p w14:paraId="6F5DA129">
      <w:pPr>
        <w:snapToGrid w:val="0"/>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（三）按照《财政部、司法部关于政府采购支持监狱企业发展有关问题的通知》（财库〔2014〕68号）的规定，落实支持监狱企业发展政策。</w:t>
      </w:r>
    </w:p>
    <w:p w14:paraId="12AB759C">
      <w:pPr>
        <w:pageBreakBefore w:val="0"/>
        <w:widowControl w:val="0"/>
        <w:kinsoku/>
        <w:wordWrap/>
        <w:overflowPunct/>
        <w:topLinePunct w:val="0"/>
        <w:autoSpaceDE/>
        <w:autoSpaceDN/>
        <w:bidi w:val="0"/>
        <w:snapToGrid w:val="0"/>
        <w:spacing w:line="39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（四）按照《三部门联合发布关于促进残疾人就业政府采购政策的通知》（财库〔2017〕 141号）的规定，落实支持残疾人福利性单位发展政策。</w:t>
      </w:r>
    </w:p>
    <w:p w14:paraId="5B55CCCB">
      <w:pPr>
        <w:pStyle w:val="2"/>
        <w:pageBreakBefore w:val="0"/>
        <w:widowControl w:val="0"/>
        <w:kinsoku/>
        <w:wordWrap/>
        <w:overflowPunct/>
        <w:topLinePunct w:val="0"/>
        <w:autoSpaceDE/>
        <w:autoSpaceDN/>
        <w:bidi w:val="0"/>
        <w:adjustRightInd w:val="0"/>
        <w:snapToGrid w:val="0"/>
        <w:spacing w:before="0" w:after="0" w:line="390" w:lineRule="exact"/>
        <w:ind w:firstLine="482" w:firstLineChars="200"/>
        <w:textAlignment w:val="auto"/>
        <w:rPr>
          <w:rFonts w:hint="default" w:ascii="Times New Roman" w:hAnsi="Times New Roman" w:eastAsia="方正仿宋_GBK" w:cs="Times New Roman"/>
          <w:color w:val="auto"/>
          <w:sz w:val="24"/>
          <w:highlight w:val="none"/>
        </w:rPr>
      </w:pPr>
      <w:bookmarkStart w:id="22" w:name="_Toc76462322"/>
      <w:bookmarkStart w:id="23" w:name="_Toc480466699"/>
      <w:bookmarkStart w:id="24" w:name="_Toc18947"/>
      <w:r>
        <w:rPr>
          <w:rFonts w:hint="default" w:ascii="Times New Roman" w:hAnsi="Times New Roman" w:eastAsia="方正仿宋_GBK" w:cs="Times New Roman"/>
          <w:color w:val="auto"/>
          <w:sz w:val="24"/>
          <w:highlight w:val="none"/>
          <w:lang w:val="en-US" w:eastAsia="zh-CN"/>
        </w:rPr>
        <w:t>六</w:t>
      </w:r>
      <w:r>
        <w:rPr>
          <w:rFonts w:hint="default" w:ascii="Times New Roman" w:hAnsi="Times New Roman" w:eastAsia="方正仿宋_GBK" w:cs="Times New Roman"/>
          <w:color w:val="auto"/>
          <w:sz w:val="24"/>
          <w:highlight w:val="none"/>
        </w:rPr>
        <w:t>、其它有关规定</w:t>
      </w:r>
      <w:bookmarkEnd w:id="22"/>
      <w:bookmarkEnd w:id="23"/>
      <w:bookmarkEnd w:id="24"/>
    </w:p>
    <w:p w14:paraId="6D54B2DA">
      <w:pPr>
        <w:pageBreakBefore w:val="0"/>
        <w:widowControl w:val="0"/>
        <w:kinsoku/>
        <w:wordWrap/>
        <w:overflowPunct/>
        <w:topLinePunct w:val="0"/>
        <w:autoSpaceDE/>
        <w:autoSpaceDN/>
        <w:bidi w:val="0"/>
        <w:snapToGrid w:val="0"/>
        <w:spacing w:line="390" w:lineRule="exact"/>
        <w:ind w:firstLine="360" w:firstLineChars="15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（一）单位负责人为同一人或者存在直接控股、管理关系的不同</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，不得参加同一合同项（包）下的政府采购活动，否则均为无效响应。</w:t>
      </w:r>
    </w:p>
    <w:p w14:paraId="20E264C9">
      <w:pPr>
        <w:pageBreakBefore w:val="0"/>
        <w:widowControl w:val="0"/>
        <w:kinsoku/>
        <w:wordWrap/>
        <w:overflowPunct/>
        <w:topLinePunct w:val="0"/>
        <w:autoSpaceDE/>
        <w:autoSpaceDN/>
        <w:bidi w:val="0"/>
        <w:snapToGrid w:val="0"/>
        <w:spacing w:line="390" w:lineRule="exact"/>
        <w:ind w:firstLine="360" w:firstLineChars="15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（二）为采购项目提供整体设计、规范编制或者项目管理、监理、检测等服务的</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，不得再参加该采购项目的其他采购活动。</w:t>
      </w:r>
    </w:p>
    <w:p w14:paraId="1E853286">
      <w:pPr>
        <w:pageBreakBefore w:val="0"/>
        <w:widowControl w:val="0"/>
        <w:kinsoku/>
        <w:wordWrap/>
        <w:overflowPunct/>
        <w:topLinePunct w:val="0"/>
        <w:autoSpaceDE/>
        <w:autoSpaceDN/>
        <w:bidi w:val="0"/>
        <w:snapToGrid w:val="0"/>
        <w:spacing w:line="390" w:lineRule="exact"/>
        <w:ind w:firstLine="360" w:firstLineChars="15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（三）本项目的澄清文件（如果有）一律在</w:t>
      </w:r>
      <w:r>
        <w:rPr>
          <w:rFonts w:hint="default" w:ascii="Times New Roman" w:hAnsi="Times New Roman" w:eastAsia="方正仿宋_GBK" w:cs="Times New Roman"/>
          <w:color w:val="000000" w:themeColor="text1"/>
          <w:sz w:val="24"/>
          <w:szCs w:val="24"/>
          <w:highlight w:val="none"/>
          <w:lang w:val="zh-CN"/>
          <w14:textFill>
            <w14:solidFill>
              <w14:schemeClr w14:val="tx1"/>
            </w14:solidFill>
          </w14:textFill>
        </w:rPr>
        <w:t>秀山县小额交易管理平台竞采大厅</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https://cqxs-mall.gec123.com/</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方正仿宋_GBK" w:cs="Times New Roman"/>
          <w:color w:val="auto"/>
          <w:sz w:val="24"/>
          <w:szCs w:val="24"/>
          <w:highlight w:val="none"/>
        </w:rPr>
        <w:t>上发布，请各</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注意下载或到采购代理机构处领取；无论</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下载或领取与否，均视同</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已知晓本项目澄清文件（如果有）的内容。</w:t>
      </w:r>
    </w:p>
    <w:p w14:paraId="57F94297">
      <w:pPr>
        <w:pageBreakBefore w:val="0"/>
        <w:widowControl w:val="0"/>
        <w:kinsoku/>
        <w:wordWrap/>
        <w:overflowPunct/>
        <w:topLinePunct w:val="0"/>
        <w:autoSpaceDE/>
        <w:autoSpaceDN/>
        <w:bidi w:val="0"/>
        <w:snapToGrid w:val="0"/>
        <w:spacing w:line="390" w:lineRule="exact"/>
        <w:ind w:firstLine="360" w:firstLineChars="15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（四）超过</w:t>
      </w:r>
      <w:r>
        <w:rPr>
          <w:rFonts w:hint="default" w:ascii="Times New Roman" w:hAnsi="Times New Roman" w:eastAsia="方正仿宋_GBK" w:cs="Times New Roman"/>
          <w:color w:val="auto"/>
          <w:sz w:val="24"/>
          <w:szCs w:val="24"/>
          <w:highlight w:val="none"/>
          <w:lang w:val="en-US" w:eastAsia="zh-CN"/>
        </w:rPr>
        <w:t>电子</w:t>
      </w:r>
      <w:r>
        <w:rPr>
          <w:rFonts w:hint="default" w:ascii="Times New Roman" w:hAnsi="Times New Roman" w:eastAsia="方正仿宋_GBK" w:cs="Times New Roman"/>
          <w:color w:val="auto"/>
          <w:sz w:val="24"/>
          <w:szCs w:val="24"/>
          <w:highlight w:val="none"/>
        </w:rPr>
        <w:t>响应文件</w:t>
      </w:r>
      <w:r>
        <w:rPr>
          <w:rFonts w:hint="default" w:ascii="Times New Roman" w:hAnsi="Times New Roman" w:eastAsia="方正仿宋_GBK" w:cs="Times New Roman"/>
          <w:color w:val="auto"/>
          <w:sz w:val="24"/>
          <w:szCs w:val="24"/>
          <w:highlight w:val="none"/>
          <w:lang w:val="en-US" w:eastAsia="zh-CN"/>
        </w:rPr>
        <w:t>递交</w:t>
      </w:r>
      <w:r>
        <w:rPr>
          <w:rFonts w:hint="default" w:ascii="Times New Roman" w:hAnsi="Times New Roman" w:eastAsia="方正仿宋_GBK" w:cs="Times New Roman"/>
          <w:color w:val="auto"/>
          <w:sz w:val="24"/>
          <w:szCs w:val="24"/>
          <w:highlight w:val="none"/>
        </w:rPr>
        <w:t>截止时间递交的响应文件，恕不接收。</w:t>
      </w:r>
    </w:p>
    <w:p w14:paraId="3BC764D5">
      <w:pPr>
        <w:pageBreakBefore w:val="0"/>
        <w:widowControl w:val="0"/>
        <w:kinsoku/>
        <w:wordWrap/>
        <w:overflowPunct/>
        <w:topLinePunct w:val="0"/>
        <w:autoSpaceDE/>
        <w:autoSpaceDN/>
        <w:bidi w:val="0"/>
        <w:snapToGrid w:val="0"/>
        <w:spacing w:line="390" w:lineRule="exact"/>
        <w:ind w:firstLine="360" w:firstLineChars="15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（五）</w:t>
      </w:r>
      <w:r>
        <w:rPr>
          <w:rFonts w:hint="default" w:ascii="Times New Roman" w:hAnsi="Times New Roman" w:eastAsia="方正仿宋_GBK" w:cs="Times New Roman"/>
          <w:color w:val="auto"/>
          <w:sz w:val="24"/>
          <w:szCs w:val="24"/>
          <w:highlight w:val="none"/>
          <w:lang w:val="en-US" w:eastAsia="zh-CN"/>
        </w:rPr>
        <w:t>竞采</w:t>
      </w:r>
      <w:r>
        <w:rPr>
          <w:rFonts w:hint="default" w:ascii="Times New Roman" w:hAnsi="Times New Roman" w:eastAsia="方正仿宋_GBK" w:cs="Times New Roman"/>
          <w:color w:val="auto"/>
          <w:sz w:val="24"/>
          <w:szCs w:val="24"/>
          <w:highlight w:val="none"/>
        </w:rPr>
        <w:t>费用：无论</w:t>
      </w:r>
      <w:r>
        <w:rPr>
          <w:rFonts w:hint="default" w:ascii="Times New Roman" w:hAnsi="Times New Roman" w:eastAsia="方正仿宋_GBK" w:cs="Times New Roman"/>
          <w:color w:val="auto"/>
          <w:sz w:val="24"/>
          <w:szCs w:val="24"/>
          <w:highlight w:val="none"/>
          <w:lang w:val="en-US" w:eastAsia="zh-CN"/>
        </w:rPr>
        <w:t>竞采</w:t>
      </w:r>
      <w:r>
        <w:rPr>
          <w:rFonts w:hint="default" w:ascii="Times New Roman" w:hAnsi="Times New Roman" w:eastAsia="方正仿宋_GBK" w:cs="Times New Roman"/>
          <w:color w:val="auto"/>
          <w:sz w:val="24"/>
          <w:szCs w:val="24"/>
          <w:highlight w:val="none"/>
        </w:rPr>
        <w:t>结果如何，</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参与本项目</w:t>
      </w:r>
      <w:r>
        <w:rPr>
          <w:rFonts w:hint="default" w:ascii="Times New Roman" w:hAnsi="Times New Roman" w:eastAsia="方正仿宋_GBK" w:cs="Times New Roman"/>
          <w:color w:val="auto"/>
          <w:sz w:val="24"/>
          <w:szCs w:val="24"/>
          <w:highlight w:val="none"/>
          <w:lang w:val="en-US" w:eastAsia="zh-CN"/>
        </w:rPr>
        <w:t>竞采</w:t>
      </w:r>
      <w:r>
        <w:rPr>
          <w:rFonts w:hint="default" w:ascii="Times New Roman" w:hAnsi="Times New Roman" w:eastAsia="方正仿宋_GBK" w:cs="Times New Roman"/>
          <w:color w:val="auto"/>
          <w:sz w:val="24"/>
          <w:szCs w:val="24"/>
          <w:highlight w:val="none"/>
        </w:rPr>
        <w:t>的所有费用均应由</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自行承担。</w:t>
      </w:r>
    </w:p>
    <w:p w14:paraId="1CE6F167">
      <w:pPr>
        <w:pageBreakBefore w:val="0"/>
        <w:widowControl w:val="0"/>
        <w:kinsoku/>
        <w:wordWrap/>
        <w:overflowPunct/>
        <w:topLinePunct w:val="0"/>
        <w:autoSpaceDE/>
        <w:autoSpaceDN/>
        <w:bidi w:val="0"/>
        <w:snapToGrid w:val="0"/>
        <w:spacing w:line="390" w:lineRule="exact"/>
        <w:ind w:firstLine="360" w:firstLineChars="15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val="en-US" w:eastAsia="zh-CN"/>
        </w:rPr>
        <w:t>六</w:t>
      </w:r>
      <w:r>
        <w:rPr>
          <w:rFonts w:hint="default" w:ascii="Times New Roman" w:hAnsi="Times New Roman" w:eastAsia="方正仿宋_GBK" w:cs="Times New Roman"/>
          <w:color w:val="auto"/>
          <w:sz w:val="24"/>
          <w:szCs w:val="24"/>
          <w:highlight w:val="none"/>
        </w:rPr>
        <w:t>）</w:t>
      </w:r>
      <w:bookmarkStart w:id="25" w:name="_Toc480466700"/>
      <w:r>
        <w:rPr>
          <w:rFonts w:hint="default" w:ascii="Times New Roman" w:hAnsi="Times New Roman" w:eastAsia="方正仿宋_GBK" w:cs="Times New Roman"/>
          <w:color w:val="auto"/>
          <w:sz w:val="24"/>
          <w:szCs w:val="24"/>
          <w:highlight w:val="none"/>
        </w:rPr>
        <w:t>按照《财政部关于在政府采购活动中查询及使用信用记录有关问题的通知》财库〔2016〕125号，</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列入失信被执行人、重大税收违法案件当事人名单、政府采购严重违法失信行为记录名单及其他不符合《中华人民共和国政府采购法》第二十二条规定条件的</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，将拒绝其参与政府采购活动。</w:t>
      </w:r>
    </w:p>
    <w:p w14:paraId="661273C1">
      <w:pPr>
        <w:pStyle w:val="2"/>
        <w:pageBreakBefore w:val="0"/>
        <w:widowControl w:val="0"/>
        <w:kinsoku/>
        <w:wordWrap/>
        <w:overflowPunct/>
        <w:topLinePunct w:val="0"/>
        <w:autoSpaceDE/>
        <w:autoSpaceDN/>
        <w:bidi w:val="0"/>
        <w:adjustRightInd w:val="0"/>
        <w:snapToGrid w:val="0"/>
        <w:spacing w:before="0" w:after="0" w:line="390" w:lineRule="exact"/>
        <w:ind w:firstLine="482" w:firstLineChars="200"/>
        <w:textAlignment w:val="auto"/>
        <w:rPr>
          <w:rFonts w:hint="default" w:ascii="Times New Roman" w:hAnsi="Times New Roman" w:eastAsia="方正仿宋_GBK" w:cs="Times New Roman"/>
          <w:color w:val="auto"/>
          <w:sz w:val="24"/>
          <w:highlight w:val="none"/>
        </w:rPr>
      </w:pPr>
      <w:bookmarkStart w:id="26" w:name="_Toc76462323"/>
      <w:bookmarkStart w:id="27" w:name="_Toc32641"/>
      <w:r>
        <w:rPr>
          <w:rFonts w:hint="default" w:ascii="Times New Roman" w:hAnsi="Times New Roman" w:eastAsia="方正仿宋_GBK" w:cs="Times New Roman"/>
          <w:color w:val="auto"/>
          <w:sz w:val="24"/>
          <w:highlight w:val="none"/>
          <w:lang w:val="en-US" w:eastAsia="zh-CN"/>
        </w:rPr>
        <w:t>七</w:t>
      </w:r>
      <w:r>
        <w:rPr>
          <w:rFonts w:hint="default" w:ascii="Times New Roman" w:hAnsi="Times New Roman" w:eastAsia="方正仿宋_GBK" w:cs="Times New Roman"/>
          <w:color w:val="auto"/>
          <w:sz w:val="24"/>
          <w:highlight w:val="none"/>
        </w:rPr>
        <w:t>、联系方式</w:t>
      </w:r>
      <w:bookmarkEnd w:id="25"/>
      <w:bookmarkEnd w:id="26"/>
      <w:bookmarkEnd w:id="27"/>
    </w:p>
    <w:p w14:paraId="331D7B05">
      <w:pPr>
        <w:pageBreakBefore w:val="0"/>
        <w:widowControl w:val="0"/>
        <w:kinsoku/>
        <w:wordWrap/>
        <w:overflowPunct/>
        <w:topLinePunct w:val="0"/>
        <w:autoSpaceDE/>
        <w:autoSpaceDN/>
        <w:bidi w:val="0"/>
        <w:snapToGrid w:val="0"/>
        <w:spacing w:line="39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bookmarkStart w:id="28" w:name="_Toc4821"/>
      <w:bookmarkStart w:id="29" w:name="_Toc76462324"/>
      <w:r>
        <w:rPr>
          <w:rFonts w:hint="default" w:ascii="Times New Roman" w:hAnsi="Times New Roman" w:eastAsia="方正仿宋_GBK" w:cs="Times New Roman"/>
          <w:color w:val="auto"/>
          <w:sz w:val="24"/>
          <w:szCs w:val="24"/>
          <w:highlight w:val="none"/>
        </w:rPr>
        <w:t>（一）采购人：</w:t>
      </w:r>
      <w:r>
        <w:rPr>
          <w:rFonts w:hint="eastAsia" w:ascii="Times New Roman" w:hAnsi="Times New Roman" w:eastAsia="方正仿宋_GBK" w:cs="Times New Roman"/>
          <w:color w:val="auto"/>
          <w:sz w:val="24"/>
          <w:szCs w:val="24"/>
          <w:highlight w:val="none"/>
          <w:lang w:eastAsia="zh-CN"/>
        </w:rPr>
        <w:t>秀山土家族苗族自治县中心血库</w:t>
      </w:r>
    </w:p>
    <w:p w14:paraId="3E940417">
      <w:pPr>
        <w:pageBreakBefore w:val="0"/>
        <w:widowControl w:val="0"/>
        <w:kinsoku/>
        <w:wordWrap/>
        <w:overflowPunct/>
        <w:topLinePunct w:val="0"/>
        <w:autoSpaceDE/>
        <w:autoSpaceDN/>
        <w:bidi w:val="0"/>
        <w:snapToGrid w:val="0"/>
        <w:spacing w:line="39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联系人：</w:t>
      </w:r>
      <w:r>
        <w:rPr>
          <w:rFonts w:hint="eastAsia" w:ascii="Times New Roman" w:hAnsi="Times New Roman" w:eastAsia="方正仿宋_GBK" w:cs="Times New Roman"/>
          <w:color w:val="auto"/>
          <w:sz w:val="24"/>
          <w:szCs w:val="24"/>
          <w:highlight w:val="none"/>
          <w:lang w:val="en-US" w:eastAsia="zh-CN"/>
        </w:rPr>
        <w:t>张老师</w:t>
      </w:r>
    </w:p>
    <w:p w14:paraId="0C0DED09">
      <w:pPr>
        <w:pageBreakBefore w:val="0"/>
        <w:widowControl w:val="0"/>
        <w:kinsoku/>
        <w:wordWrap/>
        <w:overflowPunct/>
        <w:topLinePunct w:val="0"/>
        <w:autoSpaceDE/>
        <w:autoSpaceDN/>
        <w:bidi w:val="0"/>
        <w:snapToGrid w:val="0"/>
        <w:spacing w:line="390" w:lineRule="exact"/>
        <w:ind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电  话：</w:t>
      </w:r>
      <w:r>
        <w:rPr>
          <w:rFonts w:hint="eastAsia" w:ascii="Times New Roman" w:hAnsi="Times New Roman" w:eastAsia="方正仿宋_GBK" w:cs="Times New Roman"/>
          <w:color w:val="auto"/>
          <w:sz w:val="24"/>
          <w:szCs w:val="24"/>
          <w:highlight w:val="none"/>
          <w:lang w:val="en-US" w:eastAsia="zh-CN"/>
        </w:rPr>
        <w:t>13193050913</w:t>
      </w:r>
    </w:p>
    <w:p w14:paraId="6B551193">
      <w:pPr>
        <w:pageBreakBefore w:val="0"/>
        <w:widowControl w:val="0"/>
        <w:kinsoku/>
        <w:wordWrap/>
        <w:overflowPunct/>
        <w:topLinePunct w:val="0"/>
        <w:autoSpaceDE/>
        <w:autoSpaceDN/>
        <w:bidi w:val="0"/>
        <w:snapToGrid w:val="0"/>
        <w:spacing w:line="39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地  址：</w:t>
      </w:r>
      <w:r>
        <w:rPr>
          <w:rFonts w:hint="eastAsia" w:ascii="Times New Roman" w:hAnsi="Times New Roman" w:eastAsia="方正仿宋_GBK" w:cs="Times New Roman"/>
          <w:color w:val="auto"/>
          <w:sz w:val="24"/>
          <w:szCs w:val="24"/>
          <w:highlight w:val="none"/>
          <w:lang w:eastAsia="zh-CN"/>
        </w:rPr>
        <w:t>重庆市秀山县中和街道迎凤路205号</w:t>
      </w:r>
    </w:p>
    <w:p w14:paraId="63AF0E81">
      <w:pPr>
        <w:pStyle w:val="6"/>
        <w:rPr>
          <w:rFonts w:hint="default" w:ascii="Times New Roman" w:hAnsi="Times New Roman" w:eastAsia="方正仿宋_GBK" w:cs="Times New Roman"/>
          <w:highlight w:val="none"/>
        </w:rPr>
      </w:pPr>
    </w:p>
    <w:p w14:paraId="5F08D688">
      <w:pPr>
        <w:pageBreakBefore w:val="0"/>
        <w:widowControl w:val="0"/>
        <w:kinsoku/>
        <w:wordWrap/>
        <w:overflowPunct/>
        <w:topLinePunct w:val="0"/>
        <w:autoSpaceDE/>
        <w:autoSpaceDN/>
        <w:bidi w:val="0"/>
        <w:snapToGrid w:val="0"/>
        <w:spacing w:line="39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（二）采购代理机构：</w:t>
      </w:r>
      <w:r>
        <w:rPr>
          <w:rFonts w:hint="eastAsia" w:ascii="Times New Roman" w:hAnsi="Times New Roman" w:eastAsia="方正仿宋_GBK" w:cs="Times New Roman"/>
          <w:color w:val="auto"/>
          <w:sz w:val="24"/>
          <w:szCs w:val="24"/>
          <w:highlight w:val="none"/>
          <w:lang w:eastAsia="zh-CN"/>
        </w:rPr>
        <w:t>重庆知策行工程项目管理有限公司</w:t>
      </w:r>
      <w:r>
        <w:rPr>
          <w:rFonts w:hint="default" w:ascii="Times New Roman" w:hAnsi="Times New Roman" w:eastAsia="方正仿宋_GBK" w:cs="Times New Roman"/>
          <w:color w:val="auto"/>
          <w:sz w:val="24"/>
          <w:szCs w:val="24"/>
          <w:highlight w:val="none"/>
        </w:rPr>
        <w:t xml:space="preserve">  </w:t>
      </w:r>
    </w:p>
    <w:p w14:paraId="6D8CEA8C">
      <w:pPr>
        <w:pageBreakBefore w:val="0"/>
        <w:widowControl w:val="0"/>
        <w:kinsoku/>
        <w:wordWrap/>
        <w:overflowPunct/>
        <w:topLinePunct w:val="0"/>
        <w:autoSpaceDE/>
        <w:autoSpaceDN/>
        <w:bidi w:val="0"/>
        <w:snapToGrid w:val="0"/>
        <w:spacing w:line="39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联系人：</w:t>
      </w:r>
      <w:r>
        <w:rPr>
          <w:rFonts w:hint="eastAsia" w:ascii="Times New Roman" w:hAnsi="Times New Roman" w:eastAsia="方正仿宋_GBK" w:cs="Times New Roman"/>
          <w:color w:val="auto"/>
          <w:sz w:val="24"/>
          <w:szCs w:val="24"/>
          <w:highlight w:val="none"/>
          <w:lang w:val="en-US" w:eastAsia="zh-CN"/>
        </w:rPr>
        <w:t>邹老师</w:t>
      </w:r>
    </w:p>
    <w:p w14:paraId="2C8F9203">
      <w:pPr>
        <w:pageBreakBefore w:val="0"/>
        <w:widowControl w:val="0"/>
        <w:kinsoku/>
        <w:wordWrap/>
        <w:overflowPunct/>
        <w:topLinePunct w:val="0"/>
        <w:autoSpaceDE/>
        <w:autoSpaceDN/>
        <w:bidi w:val="0"/>
        <w:snapToGrid w:val="0"/>
        <w:spacing w:line="390" w:lineRule="exact"/>
        <w:ind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电  话：</w:t>
      </w:r>
      <w:r>
        <w:rPr>
          <w:rFonts w:hint="eastAsia" w:ascii="Times New Roman" w:hAnsi="Times New Roman" w:eastAsia="方正仿宋_GBK" w:cs="Times New Roman"/>
          <w:color w:val="auto"/>
          <w:sz w:val="24"/>
          <w:szCs w:val="24"/>
          <w:highlight w:val="none"/>
          <w:lang w:val="en-US" w:eastAsia="zh-CN"/>
        </w:rPr>
        <w:t>13310299377</w:t>
      </w:r>
    </w:p>
    <w:p w14:paraId="3A34006C">
      <w:pPr>
        <w:pageBreakBefore w:val="0"/>
        <w:widowControl w:val="0"/>
        <w:kinsoku/>
        <w:wordWrap/>
        <w:overflowPunct/>
        <w:topLinePunct w:val="0"/>
        <w:autoSpaceDE/>
        <w:autoSpaceDN/>
        <w:bidi w:val="0"/>
        <w:snapToGrid w:val="0"/>
        <w:spacing w:line="390" w:lineRule="exact"/>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地  址：</w:t>
      </w:r>
      <w:r>
        <w:rPr>
          <w:rFonts w:hint="eastAsia" w:ascii="Times New Roman" w:hAnsi="Times New Roman" w:eastAsia="方正仿宋_GBK" w:cs="Times New Roman"/>
          <w:color w:val="auto"/>
          <w:sz w:val="24"/>
          <w:szCs w:val="24"/>
          <w:highlight w:val="none"/>
          <w:lang w:eastAsia="zh-CN"/>
        </w:rPr>
        <w:t>重庆市秀山土家族苗族自治县中和街道香林中路</w:t>
      </w:r>
      <w:r>
        <w:rPr>
          <w:rFonts w:hint="eastAsia" w:eastAsia="方正仿宋_GBK" w:cs="Times New Roman"/>
          <w:color w:val="auto"/>
          <w:sz w:val="24"/>
          <w:szCs w:val="24"/>
          <w:highlight w:val="none"/>
          <w:lang w:eastAsia="zh-CN"/>
        </w:rPr>
        <w:t>16号锦绣府14栋1-6</w:t>
      </w:r>
    </w:p>
    <w:p w14:paraId="684F904F">
      <w:pPr>
        <w:pageBreakBefore w:val="0"/>
        <w:widowControl w:val="0"/>
        <w:kinsoku/>
        <w:wordWrap/>
        <w:overflowPunct/>
        <w:topLinePunct w:val="0"/>
        <w:autoSpaceDE/>
        <w:autoSpaceDN/>
        <w:bidi w:val="0"/>
        <w:spacing w:line="390" w:lineRule="exact"/>
        <w:textAlignment w:val="auto"/>
        <w:rPr>
          <w:rFonts w:hint="default" w:ascii="Times New Roman" w:hAnsi="Times New Roman" w:eastAsia="方正仿宋_GBK" w:cs="Times New Roman"/>
          <w:b w:val="0"/>
          <w:color w:val="auto"/>
          <w:sz w:val="36"/>
          <w:szCs w:val="30"/>
          <w:highlight w:val="none"/>
        </w:rPr>
      </w:pPr>
      <w:r>
        <w:rPr>
          <w:rFonts w:hint="default" w:ascii="Times New Roman" w:hAnsi="Times New Roman" w:eastAsia="方正仿宋_GBK" w:cs="Times New Roman"/>
          <w:b w:val="0"/>
          <w:color w:val="auto"/>
          <w:sz w:val="36"/>
          <w:szCs w:val="30"/>
          <w:highlight w:val="none"/>
        </w:rPr>
        <w:br w:type="page"/>
      </w:r>
    </w:p>
    <w:p w14:paraId="396343CA">
      <w:pPr>
        <w:pStyle w:val="2"/>
        <w:numPr>
          <w:ilvl w:val="0"/>
          <w:numId w:val="1"/>
        </w:numPr>
        <w:spacing w:before="0" w:after="0" w:line="360" w:lineRule="auto"/>
        <w:jc w:val="center"/>
        <w:rPr>
          <w:rFonts w:hint="default" w:ascii="Times New Roman" w:hAnsi="Times New Roman" w:eastAsia="方正仿宋_GBK" w:cs="Times New Roman"/>
          <w:b/>
          <w:bCs/>
          <w:color w:val="auto"/>
          <w:sz w:val="36"/>
          <w:szCs w:val="30"/>
          <w:highlight w:val="none"/>
        </w:rPr>
      </w:pPr>
      <w:r>
        <w:rPr>
          <w:rFonts w:hint="default" w:ascii="Times New Roman" w:hAnsi="Times New Roman" w:eastAsia="方正仿宋_GBK" w:cs="Times New Roman"/>
          <w:b/>
          <w:bCs/>
          <w:color w:val="auto"/>
          <w:sz w:val="36"/>
          <w:szCs w:val="30"/>
          <w:highlight w:val="none"/>
        </w:rPr>
        <w:t xml:space="preserve"> 项目</w:t>
      </w:r>
      <w:r>
        <w:rPr>
          <w:rFonts w:hint="default" w:ascii="Times New Roman" w:hAnsi="Times New Roman" w:eastAsia="方正仿宋_GBK" w:cs="Times New Roman"/>
          <w:b/>
          <w:bCs/>
          <w:color w:val="auto"/>
          <w:sz w:val="36"/>
          <w:szCs w:val="30"/>
          <w:highlight w:val="none"/>
          <w:lang w:val="en-US" w:eastAsia="zh-CN"/>
        </w:rPr>
        <w:t>技术</w:t>
      </w:r>
      <w:r>
        <w:rPr>
          <w:rFonts w:hint="default" w:ascii="Times New Roman" w:hAnsi="Times New Roman" w:eastAsia="方正仿宋_GBK" w:cs="Times New Roman"/>
          <w:b/>
          <w:bCs/>
          <w:color w:val="auto"/>
          <w:sz w:val="36"/>
          <w:szCs w:val="30"/>
          <w:highlight w:val="none"/>
        </w:rPr>
        <w:t>需求</w:t>
      </w:r>
      <w:bookmarkEnd w:id="28"/>
      <w:bookmarkEnd w:id="29"/>
      <w:bookmarkStart w:id="30" w:name="_Toc76462325"/>
      <w:bookmarkStart w:id="31" w:name="_Toc12789058"/>
    </w:p>
    <w:p w14:paraId="6C1F4004">
      <w:pPr>
        <w:keepNext w:val="0"/>
        <w:keepLines w:val="0"/>
        <w:widowControl/>
        <w:numPr>
          <w:ilvl w:val="0"/>
          <w:numId w:val="2"/>
        </w:numPr>
        <w:suppressLineNumbers w:val="0"/>
        <w:jc w:val="both"/>
        <w:textAlignment w:val="center"/>
        <w:rPr>
          <w:rFonts w:hint="default" w:ascii="Times New Roman" w:hAnsi="Times New Roman" w:eastAsia="方正仿宋_GBK" w:cs="Times New Roman"/>
          <w:b/>
          <w:bCs/>
          <w:i w:val="0"/>
          <w:iCs w:val="0"/>
          <w:color w:val="000000"/>
          <w:kern w:val="0"/>
          <w:sz w:val="28"/>
          <w:szCs w:val="28"/>
          <w:u w:val="none"/>
          <w:lang w:val="en-US" w:eastAsia="zh-CN" w:bidi="ar"/>
        </w:rPr>
      </w:pPr>
      <w:r>
        <w:rPr>
          <w:rFonts w:hint="default" w:ascii="Times New Roman" w:hAnsi="Times New Roman" w:eastAsia="方正仿宋_GBK" w:cs="Times New Roman"/>
          <w:b/>
          <w:bCs/>
          <w:i w:val="0"/>
          <w:iCs w:val="0"/>
          <w:color w:val="000000"/>
          <w:kern w:val="0"/>
          <w:sz w:val="28"/>
          <w:szCs w:val="28"/>
          <w:u w:val="none"/>
          <w:lang w:val="en-US" w:eastAsia="zh-CN" w:bidi="ar"/>
        </w:rPr>
        <w:t>项目基本情况</w:t>
      </w:r>
    </w:p>
    <w:bookmarkEnd w:id="30"/>
    <w:p w14:paraId="34EC1341">
      <w:pPr>
        <w:pageBreakBefore w:val="0"/>
        <w:widowControl w:val="0"/>
        <w:kinsoku/>
        <w:wordWrap/>
        <w:overflowPunct/>
        <w:topLinePunct w:val="0"/>
        <w:autoSpaceDE/>
        <w:autoSpaceDN/>
        <w:bidi w:val="0"/>
        <w:spacing w:line="400" w:lineRule="exact"/>
        <w:ind w:firstLine="480" w:firstLineChars="200"/>
        <w:textAlignment w:val="auto"/>
        <w:rPr>
          <w:rFonts w:hint="eastAsia" w:ascii="Times New Roman" w:hAnsi="Times New Roman" w:eastAsia="方正仿宋_GBK" w:cs="Times New Roman"/>
          <w:color w:val="auto"/>
          <w:sz w:val="24"/>
          <w:szCs w:val="24"/>
          <w:highlight w:val="none"/>
          <w:lang w:val="en-US" w:eastAsia="zh-CN"/>
        </w:rPr>
      </w:pPr>
      <w:bookmarkStart w:id="32" w:name="_Toc6710"/>
      <w:bookmarkStart w:id="33" w:name="_Toc76462327"/>
      <w:r>
        <w:rPr>
          <w:rFonts w:hint="eastAsia" w:ascii="Times New Roman" w:hAnsi="Times New Roman" w:eastAsia="方正仿宋_GBK" w:cs="Times New Roman"/>
          <w:color w:val="auto"/>
          <w:sz w:val="24"/>
          <w:szCs w:val="24"/>
          <w:highlight w:val="none"/>
          <w:lang w:val="en-US" w:eastAsia="zh-CN"/>
        </w:rPr>
        <w:t>本工程为无偿献血微科普馆，位于重庆市秀山自治县</w:t>
      </w:r>
      <w:r>
        <w:rPr>
          <w:rFonts w:hint="eastAsia" w:eastAsia="方正仿宋_GBK" w:cs="Times New Roman"/>
          <w:color w:val="auto"/>
          <w:sz w:val="24"/>
          <w:szCs w:val="24"/>
          <w:highlight w:val="none"/>
          <w:lang w:val="en-US" w:eastAsia="zh-CN"/>
        </w:rPr>
        <w:t>花灯广场</w:t>
      </w:r>
      <w:r>
        <w:rPr>
          <w:rFonts w:hint="eastAsia" w:ascii="Times New Roman" w:hAnsi="Times New Roman" w:eastAsia="方正仿宋_GBK" w:cs="Times New Roman"/>
          <w:color w:val="auto"/>
          <w:sz w:val="24"/>
          <w:szCs w:val="24"/>
          <w:highlight w:val="none"/>
          <w:lang w:val="en-US" w:eastAsia="zh-CN"/>
        </w:rPr>
        <w:t>。主要建设内容包括：无偿献血微科普馆阳光房建设。</w:t>
      </w:r>
    </w:p>
    <w:p w14:paraId="2689C3E0">
      <w:pPr>
        <w:keepNext w:val="0"/>
        <w:keepLines w:val="0"/>
        <w:widowControl/>
        <w:numPr>
          <w:ilvl w:val="0"/>
          <w:numId w:val="2"/>
        </w:numPr>
        <w:suppressLineNumbers w:val="0"/>
        <w:jc w:val="both"/>
        <w:textAlignment w:val="center"/>
        <w:rPr>
          <w:rFonts w:hint="default" w:ascii="Times New Roman" w:hAnsi="Times New Roman" w:eastAsia="方正仿宋_GBK" w:cs="Times New Roman"/>
          <w:b/>
          <w:bCs/>
          <w:i w:val="0"/>
          <w:iCs w:val="0"/>
          <w:color w:val="000000"/>
          <w:kern w:val="0"/>
          <w:sz w:val="28"/>
          <w:szCs w:val="28"/>
          <w:u w:val="none"/>
          <w:lang w:val="en-US" w:eastAsia="zh-CN" w:bidi="ar"/>
        </w:rPr>
      </w:pPr>
      <w:r>
        <w:rPr>
          <w:rFonts w:hint="eastAsia" w:eastAsia="方正仿宋_GBK" w:cs="Times New Roman"/>
          <w:b/>
          <w:bCs/>
          <w:i w:val="0"/>
          <w:iCs w:val="0"/>
          <w:color w:val="000000"/>
          <w:kern w:val="0"/>
          <w:sz w:val="28"/>
          <w:szCs w:val="28"/>
          <w:u w:val="none"/>
          <w:lang w:val="en-US" w:eastAsia="zh-CN" w:bidi="ar"/>
        </w:rPr>
        <w:t>清单</w:t>
      </w:r>
    </w:p>
    <w:tbl>
      <w:tblPr>
        <w:tblW w:w="97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505"/>
        <w:gridCol w:w="1600"/>
        <w:gridCol w:w="2117"/>
        <w:gridCol w:w="1011"/>
        <w:gridCol w:w="1307"/>
        <w:gridCol w:w="1505"/>
        <w:gridCol w:w="750"/>
      </w:tblGrid>
      <w:tr w14:paraId="32517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1505" w:type="dxa"/>
            <w:tcBorders>
              <w:top w:val="single" w:color="000000" w:sz="4" w:space="0"/>
              <w:left w:val="single" w:color="000000" w:sz="4" w:space="0"/>
              <w:bottom w:val="single" w:color="000000" w:sz="4" w:space="0"/>
              <w:right w:val="single" w:color="000000" w:sz="4" w:space="0"/>
            </w:tcBorders>
            <w:shd w:val="clear"/>
            <w:noWrap/>
            <w:vAlign w:val="center"/>
          </w:tcPr>
          <w:p w14:paraId="12FE422D">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bdr w:val="none" w:color="auto" w:sz="0" w:space="0"/>
                <w:lang w:val="en-US" w:eastAsia="zh-CN" w:bidi="ar"/>
              </w:rPr>
              <w:t>名称</w:t>
            </w:r>
          </w:p>
        </w:tc>
        <w:tc>
          <w:tcPr>
            <w:tcW w:w="1600" w:type="dxa"/>
            <w:tcBorders>
              <w:top w:val="single" w:color="000000" w:sz="4" w:space="0"/>
              <w:left w:val="single" w:color="000000" w:sz="4" w:space="0"/>
              <w:bottom w:val="single" w:color="000000" w:sz="4" w:space="0"/>
              <w:right w:val="single" w:color="000000" w:sz="4" w:space="0"/>
            </w:tcBorders>
            <w:shd w:val="clear"/>
            <w:noWrap/>
            <w:vAlign w:val="center"/>
          </w:tcPr>
          <w:p w14:paraId="151B57C7">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bdr w:val="none" w:color="auto" w:sz="0" w:space="0"/>
                <w:lang w:val="en-US" w:eastAsia="zh-CN" w:bidi="ar"/>
              </w:rPr>
              <w:t>材质</w:t>
            </w:r>
          </w:p>
        </w:tc>
        <w:tc>
          <w:tcPr>
            <w:tcW w:w="2117" w:type="dxa"/>
            <w:tcBorders>
              <w:top w:val="single" w:color="000000" w:sz="4" w:space="0"/>
              <w:left w:val="single" w:color="000000" w:sz="4" w:space="0"/>
              <w:bottom w:val="single" w:color="000000" w:sz="4" w:space="0"/>
              <w:right w:val="single" w:color="000000" w:sz="4" w:space="0"/>
            </w:tcBorders>
            <w:shd w:val="clear"/>
            <w:noWrap/>
            <w:vAlign w:val="center"/>
          </w:tcPr>
          <w:p w14:paraId="565B69E1">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bdr w:val="none" w:color="auto" w:sz="0" w:space="0"/>
                <w:lang w:val="en-US" w:eastAsia="zh-CN" w:bidi="ar"/>
              </w:rPr>
              <w:t>型号</w:t>
            </w:r>
          </w:p>
        </w:tc>
        <w:tc>
          <w:tcPr>
            <w:tcW w:w="1011" w:type="dxa"/>
            <w:tcBorders>
              <w:top w:val="single" w:color="000000" w:sz="4" w:space="0"/>
              <w:left w:val="single" w:color="000000" w:sz="4" w:space="0"/>
              <w:bottom w:val="single" w:color="000000" w:sz="4" w:space="0"/>
              <w:right w:val="single" w:color="000000" w:sz="4" w:space="0"/>
            </w:tcBorders>
            <w:shd w:val="clear"/>
            <w:noWrap/>
            <w:vAlign w:val="center"/>
          </w:tcPr>
          <w:p w14:paraId="52379CA8">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bdr w:val="none" w:color="auto" w:sz="0" w:space="0"/>
                <w:lang w:val="en-US" w:eastAsia="zh-CN" w:bidi="ar"/>
              </w:rPr>
              <w:t>数量</w:t>
            </w:r>
          </w:p>
        </w:tc>
        <w:tc>
          <w:tcPr>
            <w:tcW w:w="1307" w:type="dxa"/>
            <w:tcBorders>
              <w:top w:val="single" w:color="000000" w:sz="4" w:space="0"/>
              <w:left w:val="single" w:color="000000" w:sz="4" w:space="0"/>
              <w:bottom w:val="single" w:color="000000" w:sz="4" w:space="0"/>
              <w:right w:val="single" w:color="000000" w:sz="4" w:space="0"/>
            </w:tcBorders>
            <w:shd w:val="clear"/>
            <w:noWrap/>
            <w:vAlign w:val="center"/>
          </w:tcPr>
          <w:p w14:paraId="4189A796">
            <w:pPr>
              <w:keepNext w:val="0"/>
              <w:keepLines w:val="0"/>
              <w:widowControl/>
              <w:suppressLineNumbers w:val="0"/>
              <w:jc w:val="center"/>
              <w:textAlignment w:val="center"/>
              <w:rPr>
                <w:rFonts w:hint="default" w:ascii="方正黑体_GBK" w:hAnsi="方正黑体_GBK" w:eastAsia="方正黑体_GBK" w:cs="方正黑体_GBK"/>
                <w:i w:val="0"/>
                <w:iCs w:val="0"/>
                <w:color w:val="000000"/>
                <w:sz w:val="22"/>
                <w:szCs w:val="22"/>
                <w:u w:val="none"/>
                <w:lang w:val="en-US"/>
              </w:rPr>
            </w:pPr>
            <w:r>
              <w:rPr>
                <w:rFonts w:hint="eastAsia" w:ascii="方正黑体_GBK" w:hAnsi="方正黑体_GBK" w:eastAsia="方正黑体_GBK" w:cs="方正黑体_GBK"/>
                <w:i w:val="0"/>
                <w:iCs w:val="0"/>
                <w:color w:val="000000"/>
                <w:kern w:val="0"/>
                <w:sz w:val="22"/>
                <w:szCs w:val="22"/>
                <w:u w:val="none"/>
                <w:bdr w:val="none" w:color="auto" w:sz="0" w:space="0"/>
                <w:lang w:val="en-US" w:eastAsia="zh-CN" w:bidi="ar"/>
              </w:rPr>
              <w:t>单价（元）</w:t>
            </w:r>
          </w:p>
        </w:tc>
        <w:tc>
          <w:tcPr>
            <w:tcW w:w="1505" w:type="dxa"/>
            <w:tcBorders>
              <w:top w:val="single" w:color="000000" w:sz="4" w:space="0"/>
              <w:left w:val="single" w:color="000000" w:sz="4" w:space="0"/>
              <w:bottom w:val="single" w:color="000000" w:sz="4" w:space="0"/>
              <w:right w:val="single" w:color="000000" w:sz="4" w:space="0"/>
            </w:tcBorders>
            <w:shd w:val="clear"/>
            <w:noWrap/>
            <w:vAlign w:val="center"/>
          </w:tcPr>
          <w:p w14:paraId="0E5C46E4">
            <w:pPr>
              <w:keepNext w:val="0"/>
              <w:keepLines w:val="0"/>
              <w:widowControl/>
              <w:suppressLineNumbers w:val="0"/>
              <w:jc w:val="center"/>
              <w:textAlignment w:val="center"/>
              <w:rPr>
                <w:rFonts w:hint="default" w:ascii="方正黑体_GBK" w:hAnsi="方正黑体_GBK" w:eastAsia="方正黑体_GBK" w:cs="方正黑体_GBK"/>
                <w:i w:val="0"/>
                <w:iCs w:val="0"/>
                <w:color w:val="000000"/>
                <w:sz w:val="22"/>
                <w:szCs w:val="22"/>
                <w:u w:val="none"/>
                <w:lang w:val="en-US"/>
              </w:rPr>
            </w:pPr>
            <w:r>
              <w:rPr>
                <w:rFonts w:hint="eastAsia" w:ascii="方正黑体_GBK" w:hAnsi="方正黑体_GBK" w:eastAsia="方正黑体_GBK" w:cs="方正黑体_GBK"/>
                <w:i w:val="0"/>
                <w:iCs w:val="0"/>
                <w:color w:val="000000"/>
                <w:kern w:val="0"/>
                <w:sz w:val="22"/>
                <w:szCs w:val="22"/>
                <w:u w:val="none"/>
                <w:bdr w:val="none" w:color="auto" w:sz="0" w:space="0"/>
                <w:lang w:val="en-US" w:eastAsia="zh-CN" w:bidi="ar"/>
              </w:rPr>
              <w:t>金额（元）</w:t>
            </w:r>
          </w:p>
        </w:tc>
        <w:tc>
          <w:tcPr>
            <w:tcW w:w="750" w:type="dxa"/>
            <w:tcBorders>
              <w:top w:val="single" w:color="000000" w:sz="4" w:space="0"/>
              <w:left w:val="single" w:color="000000" w:sz="4" w:space="0"/>
              <w:bottom w:val="single" w:color="000000" w:sz="4" w:space="0"/>
              <w:right w:val="single" w:color="000000" w:sz="4" w:space="0"/>
            </w:tcBorders>
            <w:shd w:val="clear"/>
            <w:noWrap/>
            <w:vAlign w:val="center"/>
          </w:tcPr>
          <w:p w14:paraId="26CA90AE">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bdr w:val="none" w:color="auto" w:sz="0" w:space="0"/>
                <w:lang w:val="en-US" w:eastAsia="zh-CN" w:bidi="ar"/>
              </w:rPr>
              <w:t>备注</w:t>
            </w:r>
          </w:p>
        </w:tc>
      </w:tr>
      <w:tr w14:paraId="35B25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1505" w:type="dxa"/>
            <w:tcBorders>
              <w:top w:val="single" w:color="000000" w:sz="4" w:space="0"/>
              <w:left w:val="single" w:color="000000" w:sz="4" w:space="0"/>
              <w:bottom w:val="single" w:color="000000" w:sz="4" w:space="0"/>
              <w:right w:val="single" w:color="000000" w:sz="4" w:space="0"/>
            </w:tcBorders>
            <w:shd w:val="clear"/>
            <w:noWrap/>
            <w:vAlign w:val="center"/>
          </w:tcPr>
          <w:p w14:paraId="44C9024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钢构阳光棚</w:t>
            </w:r>
          </w:p>
        </w:tc>
        <w:tc>
          <w:tcPr>
            <w:tcW w:w="1600" w:type="dxa"/>
            <w:tcBorders>
              <w:top w:val="single" w:color="000000" w:sz="4" w:space="0"/>
              <w:left w:val="single" w:color="000000" w:sz="4" w:space="0"/>
              <w:bottom w:val="single" w:color="000000" w:sz="4" w:space="0"/>
              <w:right w:val="single" w:color="000000" w:sz="4" w:space="0"/>
            </w:tcBorders>
            <w:shd w:val="clear"/>
            <w:vAlign w:val="center"/>
          </w:tcPr>
          <w:p w14:paraId="6656264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铁方钢        铝隔热瓦</w:t>
            </w:r>
          </w:p>
        </w:tc>
        <w:tc>
          <w:tcPr>
            <w:tcW w:w="2117" w:type="dxa"/>
            <w:tcBorders>
              <w:top w:val="single" w:color="000000" w:sz="4" w:space="0"/>
              <w:left w:val="single" w:color="000000" w:sz="4" w:space="0"/>
              <w:bottom w:val="single" w:color="000000" w:sz="4" w:space="0"/>
              <w:right w:val="single" w:color="000000" w:sz="4" w:space="0"/>
            </w:tcBorders>
            <w:shd w:val="clear"/>
            <w:vAlign w:val="center"/>
          </w:tcPr>
          <w:p w14:paraId="221DCA2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120*120*2.5    131*16*0.8   </w:t>
            </w:r>
          </w:p>
        </w:tc>
        <w:tc>
          <w:tcPr>
            <w:tcW w:w="1011" w:type="dxa"/>
            <w:tcBorders>
              <w:top w:val="single" w:color="000000" w:sz="4" w:space="0"/>
              <w:left w:val="single" w:color="000000" w:sz="4" w:space="0"/>
              <w:bottom w:val="single" w:color="000000" w:sz="4" w:space="0"/>
              <w:right w:val="single" w:color="000000" w:sz="4" w:space="0"/>
            </w:tcBorders>
            <w:shd w:val="clear"/>
            <w:noWrap/>
            <w:vAlign w:val="center"/>
          </w:tcPr>
          <w:p w14:paraId="5E20D76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47.74</w:t>
            </w:r>
          </w:p>
        </w:tc>
        <w:tc>
          <w:tcPr>
            <w:tcW w:w="1307" w:type="dxa"/>
            <w:tcBorders>
              <w:top w:val="single" w:color="000000" w:sz="4" w:space="0"/>
              <w:left w:val="single" w:color="000000" w:sz="4" w:space="0"/>
              <w:bottom w:val="single" w:color="000000" w:sz="4" w:space="0"/>
              <w:right w:val="single" w:color="000000" w:sz="4" w:space="0"/>
            </w:tcBorders>
            <w:shd w:val="clear"/>
            <w:noWrap/>
            <w:vAlign w:val="center"/>
          </w:tcPr>
          <w:p w14:paraId="6E343DF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610</w:t>
            </w:r>
          </w:p>
        </w:tc>
        <w:tc>
          <w:tcPr>
            <w:tcW w:w="1505" w:type="dxa"/>
            <w:tcBorders>
              <w:top w:val="single" w:color="000000" w:sz="4" w:space="0"/>
              <w:left w:val="single" w:color="000000" w:sz="4" w:space="0"/>
              <w:bottom w:val="single" w:color="000000" w:sz="4" w:space="0"/>
              <w:right w:val="single" w:color="000000" w:sz="4" w:space="0"/>
            </w:tcBorders>
            <w:shd w:val="clear"/>
            <w:noWrap/>
            <w:vAlign w:val="center"/>
          </w:tcPr>
          <w:p w14:paraId="4B0F48C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29121.4</w:t>
            </w:r>
          </w:p>
        </w:tc>
        <w:tc>
          <w:tcPr>
            <w:tcW w:w="750" w:type="dxa"/>
            <w:tcBorders>
              <w:top w:val="single" w:color="000000" w:sz="4" w:space="0"/>
              <w:left w:val="single" w:color="000000" w:sz="4" w:space="0"/>
              <w:bottom w:val="single" w:color="000000" w:sz="4" w:space="0"/>
              <w:right w:val="single" w:color="000000" w:sz="4" w:space="0"/>
            </w:tcBorders>
            <w:shd w:val="clear"/>
            <w:noWrap/>
            <w:vAlign w:val="center"/>
          </w:tcPr>
          <w:p w14:paraId="5248BD28">
            <w:pPr>
              <w:jc w:val="center"/>
              <w:rPr>
                <w:rFonts w:hint="default" w:ascii="Times New Roman" w:hAnsi="Times New Roman" w:eastAsia="宋体" w:cs="Times New Roman"/>
                <w:i w:val="0"/>
                <w:iCs w:val="0"/>
                <w:color w:val="000000"/>
                <w:sz w:val="22"/>
                <w:szCs w:val="22"/>
                <w:u w:val="none"/>
              </w:rPr>
            </w:pPr>
          </w:p>
        </w:tc>
      </w:tr>
      <w:tr w14:paraId="04FDB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1505" w:type="dxa"/>
            <w:tcBorders>
              <w:top w:val="single" w:color="000000" w:sz="4" w:space="0"/>
              <w:left w:val="single" w:color="000000" w:sz="4" w:space="0"/>
              <w:bottom w:val="single" w:color="000000" w:sz="4" w:space="0"/>
              <w:right w:val="single" w:color="000000" w:sz="4" w:space="0"/>
            </w:tcBorders>
            <w:shd w:val="clear"/>
            <w:noWrap/>
            <w:vAlign w:val="center"/>
          </w:tcPr>
          <w:p w14:paraId="501CE7D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断桥玻璃窗</w:t>
            </w:r>
          </w:p>
        </w:tc>
        <w:tc>
          <w:tcPr>
            <w:tcW w:w="1600" w:type="dxa"/>
            <w:tcBorders>
              <w:top w:val="single" w:color="000000" w:sz="4" w:space="0"/>
              <w:left w:val="single" w:color="000000" w:sz="4" w:space="0"/>
              <w:bottom w:val="single" w:color="000000" w:sz="4" w:space="0"/>
              <w:right w:val="single" w:color="000000" w:sz="4" w:space="0"/>
            </w:tcBorders>
            <w:shd w:val="clear"/>
            <w:vAlign w:val="center"/>
          </w:tcPr>
          <w:p w14:paraId="2D92EDD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断桥铝       镀膜中空玻璃</w:t>
            </w:r>
          </w:p>
        </w:tc>
        <w:tc>
          <w:tcPr>
            <w:tcW w:w="2117" w:type="dxa"/>
            <w:tcBorders>
              <w:top w:val="single" w:color="000000" w:sz="4" w:space="0"/>
              <w:left w:val="single" w:color="000000" w:sz="4" w:space="0"/>
              <w:bottom w:val="single" w:color="000000" w:sz="4" w:space="0"/>
              <w:right w:val="single" w:color="000000" w:sz="4" w:space="0"/>
            </w:tcBorders>
            <w:shd w:val="clear"/>
            <w:vAlign w:val="center"/>
          </w:tcPr>
          <w:p w14:paraId="32BF9D9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110*30*2.0    8+16+8   </w:t>
            </w:r>
          </w:p>
        </w:tc>
        <w:tc>
          <w:tcPr>
            <w:tcW w:w="1011" w:type="dxa"/>
            <w:tcBorders>
              <w:top w:val="single" w:color="000000" w:sz="4" w:space="0"/>
              <w:left w:val="single" w:color="000000" w:sz="4" w:space="0"/>
              <w:bottom w:val="single" w:color="000000" w:sz="4" w:space="0"/>
              <w:right w:val="single" w:color="000000" w:sz="4" w:space="0"/>
            </w:tcBorders>
            <w:shd w:val="clear"/>
            <w:noWrap/>
            <w:vAlign w:val="center"/>
          </w:tcPr>
          <w:p w14:paraId="55FD2D6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65.88</w:t>
            </w:r>
          </w:p>
        </w:tc>
        <w:tc>
          <w:tcPr>
            <w:tcW w:w="1307" w:type="dxa"/>
            <w:tcBorders>
              <w:top w:val="single" w:color="000000" w:sz="4" w:space="0"/>
              <w:left w:val="single" w:color="000000" w:sz="4" w:space="0"/>
              <w:bottom w:val="single" w:color="000000" w:sz="4" w:space="0"/>
              <w:right w:val="single" w:color="000000" w:sz="4" w:space="0"/>
            </w:tcBorders>
            <w:shd w:val="clear"/>
            <w:noWrap/>
            <w:vAlign w:val="center"/>
          </w:tcPr>
          <w:p w14:paraId="50F1DCE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540</w:t>
            </w:r>
          </w:p>
        </w:tc>
        <w:tc>
          <w:tcPr>
            <w:tcW w:w="1505" w:type="dxa"/>
            <w:tcBorders>
              <w:top w:val="single" w:color="000000" w:sz="4" w:space="0"/>
              <w:left w:val="single" w:color="000000" w:sz="4" w:space="0"/>
              <w:bottom w:val="single" w:color="000000" w:sz="4" w:space="0"/>
              <w:right w:val="single" w:color="000000" w:sz="4" w:space="0"/>
            </w:tcBorders>
            <w:shd w:val="clear"/>
            <w:noWrap/>
            <w:vAlign w:val="center"/>
          </w:tcPr>
          <w:p w14:paraId="0A091FE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35575.2</w:t>
            </w:r>
          </w:p>
        </w:tc>
        <w:tc>
          <w:tcPr>
            <w:tcW w:w="750" w:type="dxa"/>
            <w:tcBorders>
              <w:top w:val="single" w:color="000000" w:sz="4" w:space="0"/>
              <w:left w:val="single" w:color="000000" w:sz="4" w:space="0"/>
              <w:bottom w:val="single" w:color="000000" w:sz="4" w:space="0"/>
              <w:right w:val="single" w:color="000000" w:sz="4" w:space="0"/>
            </w:tcBorders>
            <w:shd w:val="clear"/>
            <w:noWrap/>
            <w:vAlign w:val="center"/>
          </w:tcPr>
          <w:p w14:paraId="2D3389D7">
            <w:pPr>
              <w:jc w:val="center"/>
              <w:rPr>
                <w:rFonts w:hint="default" w:ascii="Times New Roman" w:hAnsi="Times New Roman" w:eastAsia="宋体" w:cs="Times New Roman"/>
                <w:i w:val="0"/>
                <w:iCs w:val="0"/>
                <w:color w:val="000000"/>
                <w:sz w:val="22"/>
                <w:szCs w:val="22"/>
                <w:u w:val="none"/>
              </w:rPr>
            </w:pPr>
          </w:p>
        </w:tc>
      </w:tr>
      <w:tr w14:paraId="3BD8C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1505" w:type="dxa"/>
            <w:tcBorders>
              <w:top w:val="single" w:color="000000" w:sz="4" w:space="0"/>
              <w:left w:val="single" w:color="000000" w:sz="4" w:space="0"/>
              <w:bottom w:val="single" w:color="000000" w:sz="4" w:space="0"/>
              <w:right w:val="single" w:color="000000" w:sz="4" w:space="0"/>
            </w:tcBorders>
            <w:shd w:val="clear"/>
            <w:noWrap/>
            <w:vAlign w:val="center"/>
          </w:tcPr>
          <w:p w14:paraId="01F4A56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窗帘</w:t>
            </w:r>
          </w:p>
        </w:tc>
        <w:tc>
          <w:tcPr>
            <w:tcW w:w="1600" w:type="dxa"/>
            <w:tcBorders>
              <w:top w:val="single" w:color="000000" w:sz="4" w:space="0"/>
              <w:left w:val="single" w:color="000000" w:sz="4" w:space="0"/>
              <w:bottom w:val="single" w:color="000000" w:sz="4" w:space="0"/>
              <w:right w:val="single" w:color="000000" w:sz="4" w:space="0"/>
            </w:tcBorders>
            <w:shd w:val="clear"/>
            <w:vAlign w:val="center"/>
          </w:tcPr>
          <w:p w14:paraId="66C75B2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棉麻         纱</w:t>
            </w:r>
          </w:p>
        </w:tc>
        <w:tc>
          <w:tcPr>
            <w:tcW w:w="2117" w:type="dxa"/>
            <w:tcBorders>
              <w:top w:val="single" w:color="000000" w:sz="4" w:space="0"/>
              <w:left w:val="single" w:color="000000" w:sz="4" w:space="0"/>
              <w:bottom w:val="single" w:color="000000" w:sz="4" w:space="0"/>
              <w:right w:val="single" w:color="000000" w:sz="4" w:space="0"/>
            </w:tcBorders>
            <w:shd w:val="clear"/>
            <w:vAlign w:val="center"/>
          </w:tcPr>
          <w:p w14:paraId="293C3EB2">
            <w:pPr>
              <w:jc w:val="center"/>
              <w:rPr>
                <w:rFonts w:hint="default" w:ascii="Times New Roman" w:hAnsi="Times New Roman" w:eastAsia="宋体" w:cs="Times New Roman"/>
                <w:i w:val="0"/>
                <w:iCs w:val="0"/>
                <w:color w:val="000000"/>
                <w:sz w:val="22"/>
                <w:szCs w:val="22"/>
                <w:u w:val="none"/>
              </w:rPr>
            </w:pPr>
          </w:p>
        </w:tc>
        <w:tc>
          <w:tcPr>
            <w:tcW w:w="1011" w:type="dxa"/>
            <w:tcBorders>
              <w:top w:val="single" w:color="000000" w:sz="4" w:space="0"/>
              <w:left w:val="single" w:color="000000" w:sz="4" w:space="0"/>
              <w:bottom w:val="single" w:color="000000" w:sz="4" w:space="0"/>
              <w:right w:val="single" w:color="000000" w:sz="4" w:space="0"/>
            </w:tcBorders>
            <w:shd w:val="clear"/>
            <w:noWrap/>
            <w:vAlign w:val="center"/>
          </w:tcPr>
          <w:p w14:paraId="69B12DB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47.52</w:t>
            </w:r>
          </w:p>
        </w:tc>
        <w:tc>
          <w:tcPr>
            <w:tcW w:w="1307" w:type="dxa"/>
            <w:tcBorders>
              <w:top w:val="single" w:color="000000" w:sz="4" w:space="0"/>
              <w:left w:val="single" w:color="000000" w:sz="4" w:space="0"/>
              <w:bottom w:val="single" w:color="000000" w:sz="4" w:space="0"/>
              <w:right w:val="single" w:color="000000" w:sz="4" w:space="0"/>
            </w:tcBorders>
            <w:shd w:val="clear"/>
            <w:noWrap/>
            <w:vAlign w:val="center"/>
          </w:tcPr>
          <w:p w14:paraId="25F85ED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120</w:t>
            </w:r>
          </w:p>
        </w:tc>
        <w:tc>
          <w:tcPr>
            <w:tcW w:w="1505" w:type="dxa"/>
            <w:tcBorders>
              <w:top w:val="single" w:color="000000" w:sz="4" w:space="0"/>
              <w:left w:val="single" w:color="000000" w:sz="4" w:space="0"/>
              <w:bottom w:val="single" w:color="000000" w:sz="4" w:space="0"/>
              <w:right w:val="single" w:color="000000" w:sz="4" w:space="0"/>
            </w:tcBorders>
            <w:shd w:val="clear"/>
            <w:noWrap/>
            <w:vAlign w:val="center"/>
          </w:tcPr>
          <w:p w14:paraId="47C509A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5702.4</w:t>
            </w:r>
          </w:p>
        </w:tc>
        <w:tc>
          <w:tcPr>
            <w:tcW w:w="750" w:type="dxa"/>
            <w:tcBorders>
              <w:top w:val="single" w:color="000000" w:sz="4" w:space="0"/>
              <w:left w:val="single" w:color="000000" w:sz="4" w:space="0"/>
              <w:bottom w:val="single" w:color="000000" w:sz="4" w:space="0"/>
              <w:right w:val="single" w:color="000000" w:sz="4" w:space="0"/>
            </w:tcBorders>
            <w:shd w:val="clear"/>
            <w:noWrap/>
            <w:vAlign w:val="center"/>
          </w:tcPr>
          <w:p w14:paraId="5371F4D3">
            <w:pPr>
              <w:jc w:val="center"/>
              <w:rPr>
                <w:rFonts w:hint="default" w:ascii="Times New Roman" w:hAnsi="Times New Roman" w:eastAsia="宋体" w:cs="Times New Roman"/>
                <w:i w:val="0"/>
                <w:iCs w:val="0"/>
                <w:color w:val="000000"/>
                <w:sz w:val="22"/>
                <w:szCs w:val="22"/>
                <w:u w:val="none"/>
              </w:rPr>
            </w:pPr>
          </w:p>
        </w:tc>
      </w:tr>
      <w:tr w14:paraId="4CD07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1505" w:type="dxa"/>
            <w:tcBorders>
              <w:top w:val="single" w:color="000000" w:sz="4" w:space="0"/>
              <w:left w:val="single" w:color="000000" w:sz="4" w:space="0"/>
              <w:bottom w:val="single" w:color="000000" w:sz="4" w:space="0"/>
              <w:right w:val="single" w:color="000000" w:sz="4" w:space="0"/>
            </w:tcBorders>
            <w:shd w:val="clear"/>
            <w:noWrap/>
            <w:vAlign w:val="center"/>
          </w:tcPr>
          <w:p w14:paraId="3CB1637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地砖</w:t>
            </w:r>
          </w:p>
        </w:tc>
        <w:tc>
          <w:tcPr>
            <w:tcW w:w="1600" w:type="dxa"/>
            <w:tcBorders>
              <w:top w:val="single" w:color="000000" w:sz="4" w:space="0"/>
              <w:left w:val="single" w:color="000000" w:sz="4" w:space="0"/>
              <w:bottom w:val="single" w:color="000000" w:sz="4" w:space="0"/>
              <w:right w:val="single" w:color="000000" w:sz="4" w:space="0"/>
            </w:tcBorders>
            <w:shd w:val="clear"/>
            <w:vAlign w:val="center"/>
          </w:tcPr>
          <w:p w14:paraId="2C150F2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瓷砖</w:t>
            </w:r>
          </w:p>
        </w:tc>
        <w:tc>
          <w:tcPr>
            <w:tcW w:w="2117" w:type="dxa"/>
            <w:tcBorders>
              <w:top w:val="single" w:color="000000" w:sz="4" w:space="0"/>
              <w:left w:val="single" w:color="000000" w:sz="4" w:space="0"/>
              <w:bottom w:val="single" w:color="000000" w:sz="4" w:space="0"/>
              <w:right w:val="single" w:color="000000" w:sz="4" w:space="0"/>
            </w:tcBorders>
            <w:shd w:val="clear"/>
            <w:vAlign w:val="center"/>
          </w:tcPr>
          <w:p w14:paraId="5D9241B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800*800</w:t>
            </w:r>
          </w:p>
        </w:tc>
        <w:tc>
          <w:tcPr>
            <w:tcW w:w="1011" w:type="dxa"/>
            <w:tcBorders>
              <w:top w:val="single" w:color="000000" w:sz="4" w:space="0"/>
              <w:left w:val="single" w:color="000000" w:sz="4" w:space="0"/>
              <w:bottom w:val="single" w:color="000000" w:sz="4" w:space="0"/>
              <w:right w:val="single" w:color="000000" w:sz="4" w:space="0"/>
            </w:tcBorders>
            <w:shd w:val="clear"/>
            <w:noWrap/>
            <w:vAlign w:val="center"/>
          </w:tcPr>
          <w:p w14:paraId="5D9F31F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60</w:t>
            </w:r>
          </w:p>
        </w:tc>
        <w:tc>
          <w:tcPr>
            <w:tcW w:w="1307" w:type="dxa"/>
            <w:tcBorders>
              <w:top w:val="single" w:color="000000" w:sz="4" w:space="0"/>
              <w:left w:val="single" w:color="000000" w:sz="4" w:space="0"/>
              <w:bottom w:val="single" w:color="000000" w:sz="4" w:space="0"/>
              <w:right w:val="single" w:color="000000" w:sz="4" w:space="0"/>
            </w:tcBorders>
            <w:shd w:val="clear"/>
            <w:noWrap/>
            <w:vAlign w:val="center"/>
          </w:tcPr>
          <w:p w14:paraId="674CA02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100</w:t>
            </w:r>
          </w:p>
        </w:tc>
        <w:tc>
          <w:tcPr>
            <w:tcW w:w="1505" w:type="dxa"/>
            <w:tcBorders>
              <w:top w:val="single" w:color="000000" w:sz="4" w:space="0"/>
              <w:left w:val="single" w:color="000000" w:sz="4" w:space="0"/>
              <w:bottom w:val="single" w:color="000000" w:sz="4" w:space="0"/>
              <w:right w:val="single" w:color="000000" w:sz="4" w:space="0"/>
            </w:tcBorders>
            <w:shd w:val="clear"/>
            <w:noWrap/>
            <w:vAlign w:val="center"/>
          </w:tcPr>
          <w:p w14:paraId="52B95A5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6000</w:t>
            </w:r>
          </w:p>
        </w:tc>
        <w:tc>
          <w:tcPr>
            <w:tcW w:w="750" w:type="dxa"/>
            <w:tcBorders>
              <w:top w:val="single" w:color="000000" w:sz="4" w:space="0"/>
              <w:left w:val="single" w:color="000000" w:sz="4" w:space="0"/>
              <w:bottom w:val="single" w:color="000000" w:sz="4" w:space="0"/>
              <w:right w:val="single" w:color="000000" w:sz="4" w:space="0"/>
            </w:tcBorders>
            <w:shd w:val="clear"/>
            <w:noWrap/>
            <w:vAlign w:val="center"/>
          </w:tcPr>
          <w:p w14:paraId="76B0B32D">
            <w:pPr>
              <w:jc w:val="center"/>
              <w:rPr>
                <w:rFonts w:hint="default" w:ascii="Times New Roman" w:hAnsi="Times New Roman" w:eastAsia="宋体" w:cs="Times New Roman"/>
                <w:i w:val="0"/>
                <w:iCs w:val="0"/>
                <w:color w:val="000000"/>
                <w:sz w:val="22"/>
                <w:szCs w:val="22"/>
                <w:u w:val="none"/>
              </w:rPr>
            </w:pPr>
          </w:p>
        </w:tc>
      </w:tr>
      <w:tr w14:paraId="20942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1505" w:type="dxa"/>
            <w:tcBorders>
              <w:top w:val="single" w:color="000000" w:sz="4" w:space="0"/>
              <w:left w:val="single" w:color="000000" w:sz="4" w:space="0"/>
              <w:bottom w:val="single" w:color="000000" w:sz="4" w:space="0"/>
              <w:right w:val="single" w:color="000000" w:sz="4" w:space="0"/>
            </w:tcBorders>
            <w:shd w:val="clear"/>
            <w:noWrap/>
            <w:vAlign w:val="center"/>
          </w:tcPr>
          <w:p w14:paraId="0597EFA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铝扣板吊顶</w:t>
            </w:r>
          </w:p>
        </w:tc>
        <w:tc>
          <w:tcPr>
            <w:tcW w:w="1600" w:type="dxa"/>
            <w:tcBorders>
              <w:top w:val="single" w:color="000000" w:sz="4" w:space="0"/>
              <w:left w:val="single" w:color="000000" w:sz="4" w:space="0"/>
              <w:bottom w:val="single" w:color="000000" w:sz="4" w:space="0"/>
              <w:right w:val="single" w:color="000000" w:sz="4" w:space="0"/>
            </w:tcBorders>
            <w:shd w:val="clear"/>
            <w:vAlign w:val="center"/>
          </w:tcPr>
          <w:p w14:paraId="1F3A764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铝扣板</w:t>
            </w:r>
          </w:p>
        </w:tc>
        <w:tc>
          <w:tcPr>
            <w:tcW w:w="2117" w:type="dxa"/>
            <w:tcBorders>
              <w:top w:val="single" w:color="000000" w:sz="4" w:space="0"/>
              <w:left w:val="single" w:color="000000" w:sz="4" w:space="0"/>
              <w:bottom w:val="single" w:color="000000" w:sz="4" w:space="0"/>
              <w:right w:val="single" w:color="000000" w:sz="4" w:space="0"/>
            </w:tcBorders>
            <w:shd w:val="clear"/>
            <w:vAlign w:val="center"/>
          </w:tcPr>
          <w:p w14:paraId="1DA97EF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600*600</w:t>
            </w:r>
          </w:p>
        </w:tc>
        <w:tc>
          <w:tcPr>
            <w:tcW w:w="1011" w:type="dxa"/>
            <w:tcBorders>
              <w:top w:val="single" w:color="000000" w:sz="4" w:space="0"/>
              <w:left w:val="single" w:color="000000" w:sz="4" w:space="0"/>
              <w:bottom w:val="single" w:color="000000" w:sz="4" w:space="0"/>
              <w:right w:val="single" w:color="000000" w:sz="4" w:space="0"/>
            </w:tcBorders>
            <w:shd w:val="clear"/>
            <w:noWrap/>
            <w:vAlign w:val="center"/>
          </w:tcPr>
          <w:p w14:paraId="38F59C6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47.74</w:t>
            </w:r>
          </w:p>
        </w:tc>
        <w:tc>
          <w:tcPr>
            <w:tcW w:w="1307" w:type="dxa"/>
            <w:tcBorders>
              <w:top w:val="single" w:color="000000" w:sz="4" w:space="0"/>
              <w:left w:val="single" w:color="000000" w:sz="4" w:space="0"/>
              <w:bottom w:val="single" w:color="000000" w:sz="4" w:space="0"/>
              <w:right w:val="single" w:color="000000" w:sz="4" w:space="0"/>
            </w:tcBorders>
            <w:shd w:val="clear"/>
            <w:noWrap/>
            <w:vAlign w:val="center"/>
          </w:tcPr>
          <w:p w14:paraId="33379D6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120</w:t>
            </w:r>
          </w:p>
        </w:tc>
        <w:tc>
          <w:tcPr>
            <w:tcW w:w="1505" w:type="dxa"/>
            <w:tcBorders>
              <w:top w:val="single" w:color="000000" w:sz="4" w:space="0"/>
              <w:left w:val="single" w:color="000000" w:sz="4" w:space="0"/>
              <w:bottom w:val="single" w:color="000000" w:sz="4" w:space="0"/>
              <w:right w:val="single" w:color="000000" w:sz="4" w:space="0"/>
            </w:tcBorders>
            <w:shd w:val="clear"/>
            <w:noWrap/>
            <w:vAlign w:val="center"/>
          </w:tcPr>
          <w:p w14:paraId="26BE000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5728.8</w:t>
            </w:r>
          </w:p>
        </w:tc>
        <w:tc>
          <w:tcPr>
            <w:tcW w:w="750" w:type="dxa"/>
            <w:tcBorders>
              <w:top w:val="single" w:color="000000" w:sz="4" w:space="0"/>
              <w:left w:val="single" w:color="000000" w:sz="4" w:space="0"/>
              <w:bottom w:val="single" w:color="000000" w:sz="4" w:space="0"/>
              <w:right w:val="single" w:color="000000" w:sz="4" w:space="0"/>
            </w:tcBorders>
            <w:shd w:val="clear"/>
            <w:noWrap/>
            <w:vAlign w:val="center"/>
          </w:tcPr>
          <w:p w14:paraId="75DEC8E7">
            <w:pPr>
              <w:jc w:val="center"/>
              <w:rPr>
                <w:rFonts w:hint="default" w:ascii="Times New Roman" w:hAnsi="Times New Roman" w:eastAsia="宋体" w:cs="Times New Roman"/>
                <w:i w:val="0"/>
                <w:iCs w:val="0"/>
                <w:color w:val="000000"/>
                <w:sz w:val="22"/>
                <w:szCs w:val="22"/>
                <w:u w:val="none"/>
              </w:rPr>
            </w:pPr>
          </w:p>
        </w:tc>
      </w:tr>
      <w:tr w14:paraId="74FEE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1505" w:type="dxa"/>
            <w:tcBorders>
              <w:top w:val="single" w:color="000000" w:sz="4" w:space="0"/>
              <w:left w:val="single" w:color="000000" w:sz="4" w:space="0"/>
              <w:bottom w:val="single" w:color="000000" w:sz="4" w:space="0"/>
              <w:right w:val="single" w:color="000000" w:sz="4" w:space="0"/>
            </w:tcBorders>
            <w:shd w:val="clear"/>
            <w:noWrap/>
            <w:vAlign w:val="center"/>
          </w:tcPr>
          <w:p w14:paraId="0420E33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电线</w:t>
            </w:r>
          </w:p>
        </w:tc>
        <w:tc>
          <w:tcPr>
            <w:tcW w:w="1600" w:type="dxa"/>
            <w:tcBorders>
              <w:top w:val="single" w:color="000000" w:sz="4" w:space="0"/>
              <w:left w:val="single" w:color="000000" w:sz="4" w:space="0"/>
              <w:bottom w:val="single" w:color="000000" w:sz="4" w:space="0"/>
              <w:right w:val="single" w:color="000000" w:sz="4" w:space="0"/>
            </w:tcBorders>
            <w:shd w:val="clear"/>
            <w:vAlign w:val="center"/>
          </w:tcPr>
          <w:p w14:paraId="0D6E987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阻燃铜芯</w:t>
            </w:r>
          </w:p>
        </w:tc>
        <w:tc>
          <w:tcPr>
            <w:tcW w:w="2117" w:type="dxa"/>
            <w:tcBorders>
              <w:top w:val="single" w:color="000000" w:sz="4" w:space="0"/>
              <w:left w:val="single" w:color="000000" w:sz="4" w:space="0"/>
              <w:bottom w:val="single" w:color="000000" w:sz="4" w:space="0"/>
              <w:right w:val="single" w:color="000000" w:sz="4" w:space="0"/>
            </w:tcBorders>
            <w:shd w:val="clear"/>
            <w:vAlign w:val="center"/>
          </w:tcPr>
          <w:p w14:paraId="396484D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∮6、∮4、∮2.5</w:t>
            </w:r>
          </w:p>
        </w:tc>
        <w:tc>
          <w:tcPr>
            <w:tcW w:w="1011" w:type="dxa"/>
            <w:tcBorders>
              <w:top w:val="single" w:color="000000" w:sz="4" w:space="0"/>
              <w:left w:val="single" w:color="000000" w:sz="4" w:space="0"/>
              <w:bottom w:val="single" w:color="000000" w:sz="4" w:space="0"/>
              <w:right w:val="single" w:color="000000" w:sz="4" w:space="0"/>
            </w:tcBorders>
            <w:shd w:val="clear"/>
            <w:noWrap/>
            <w:vAlign w:val="center"/>
          </w:tcPr>
          <w:p w14:paraId="647BDA2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3</w:t>
            </w:r>
          </w:p>
        </w:tc>
        <w:tc>
          <w:tcPr>
            <w:tcW w:w="1307" w:type="dxa"/>
            <w:tcBorders>
              <w:top w:val="single" w:color="000000" w:sz="4" w:space="0"/>
              <w:left w:val="single" w:color="000000" w:sz="4" w:space="0"/>
              <w:bottom w:val="single" w:color="000000" w:sz="4" w:space="0"/>
              <w:right w:val="single" w:color="000000" w:sz="4" w:space="0"/>
            </w:tcBorders>
            <w:shd w:val="clear"/>
            <w:noWrap/>
            <w:vAlign w:val="center"/>
          </w:tcPr>
          <w:p w14:paraId="7858101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420</w:t>
            </w:r>
          </w:p>
        </w:tc>
        <w:tc>
          <w:tcPr>
            <w:tcW w:w="1505" w:type="dxa"/>
            <w:tcBorders>
              <w:top w:val="single" w:color="000000" w:sz="4" w:space="0"/>
              <w:left w:val="single" w:color="000000" w:sz="4" w:space="0"/>
              <w:bottom w:val="single" w:color="000000" w:sz="4" w:space="0"/>
              <w:right w:val="single" w:color="000000" w:sz="4" w:space="0"/>
            </w:tcBorders>
            <w:shd w:val="clear"/>
            <w:noWrap/>
            <w:vAlign w:val="center"/>
          </w:tcPr>
          <w:p w14:paraId="1BB5106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1260</w:t>
            </w:r>
          </w:p>
        </w:tc>
        <w:tc>
          <w:tcPr>
            <w:tcW w:w="750" w:type="dxa"/>
            <w:tcBorders>
              <w:top w:val="single" w:color="000000" w:sz="4" w:space="0"/>
              <w:left w:val="single" w:color="000000" w:sz="4" w:space="0"/>
              <w:bottom w:val="single" w:color="000000" w:sz="4" w:space="0"/>
              <w:right w:val="single" w:color="000000" w:sz="4" w:space="0"/>
            </w:tcBorders>
            <w:shd w:val="clear"/>
            <w:noWrap/>
            <w:vAlign w:val="center"/>
          </w:tcPr>
          <w:p w14:paraId="0042C1BB">
            <w:pPr>
              <w:jc w:val="center"/>
              <w:rPr>
                <w:rFonts w:hint="default" w:ascii="Times New Roman" w:hAnsi="Times New Roman" w:eastAsia="宋体" w:cs="Times New Roman"/>
                <w:i w:val="0"/>
                <w:iCs w:val="0"/>
                <w:color w:val="000000"/>
                <w:sz w:val="22"/>
                <w:szCs w:val="22"/>
                <w:u w:val="none"/>
              </w:rPr>
            </w:pPr>
          </w:p>
        </w:tc>
      </w:tr>
      <w:tr w14:paraId="7A552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1505" w:type="dxa"/>
            <w:tcBorders>
              <w:top w:val="single" w:color="000000" w:sz="4" w:space="0"/>
              <w:left w:val="single" w:color="000000" w:sz="4" w:space="0"/>
              <w:bottom w:val="single" w:color="000000" w:sz="4" w:space="0"/>
              <w:right w:val="single" w:color="000000" w:sz="4" w:space="0"/>
            </w:tcBorders>
            <w:shd w:val="clear"/>
            <w:noWrap/>
            <w:vAlign w:val="center"/>
          </w:tcPr>
          <w:p w14:paraId="07D0602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顶灯</w:t>
            </w:r>
          </w:p>
        </w:tc>
        <w:tc>
          <w:tcPr>
            <w:tcW w:w="1600" w:type="dxa"/>
            <w:tcBorders>
              <w:top w:val="single" w:color="000000" w:sz="4" w:space="0"/>
              <w:left w:val="single" w:color="000000" w:sz="4" w:space="0"/>
              <w:bottom w:val="single" w:color="000000" w:sz="4" w:space="0"/>
              <w:right w:val="single" w:color="000000" w:sz="4" w:space="0"/>
            </w:tcBorders>
            <w:shd w:val="clear"/>
            <w:vAlign w:val="center"/>
          </w:tcPr>
          <w:p w14:paraId="38F7456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铝框LED</w:t>
            </w:r>
          </w:p>
        </w:tc>
        <w:tc>
          <w:tcPr>
            <w:tcW w:w="2117" w:type="dxa"/>
            <w:tcBorders>
              <w:top w:val="single" w:color="000000" w:sz="4" w:space="0"/>
              <w:left w:val="single" w:color="000000" w:sz="4" w:space="0"/>
              <w:bottom w:val="single" w:color="000000" w:sz="4" w:space="0"/>
              <w:right w:val="single" w:color="000000" w:sz="4" w:space="0"/>
            </w:tcBorders>
            <w:shd w:val="clear"/>
            <w:vAlign w:val="center"/>
          </w:tcPr>
          <w:p w14:paraId="02DBD03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600*600</w:t>
            </w:r>
          </w:p>
        </w:tc>
        <w:tc>
          <w:tcPr>
            <w:tcW w:w="1011" w:type="dxa"/>
            <w:tcBorders>
              <w:top w:val="single" w:color="000000" w:sz="4" w:space="0"/>
              <w:left w:val="single" w:color="000000" w:sz="4" w:space="0"/>
              <w:bottom w:val="single" w:color="000000" w:sz="4" w:space="0"/>
              <w:right w:val="single" w:color="000000" w:sz="4" w:space="0"/>
            </w:tcBorders>
            <w:shd w:val="clear"/>
            <w:noWrap/>
            <w:vAlign w:val="center"/>
          </w:tcPr>
          <w:p w14:paraId="3462421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w:t>
            </w:r>
          </w:p>
        </w:tc>
        <w:tc>
          <w:tcPr>
            <w:tcW w:w="1307" w:type="dxa"/>
            <w:tcBorders>
              <w:top w:val="single" w:color="000000" w:sz="4" w:space="0"/>
              <w:left w:val="single" w:color="000000" w:sz="4" w:space="0"/>
              <w:bottom w:val="single" w:color="000000" w:sz="4" w:space="0"/>
              <w:right w:val="single" w:color="000000" w:sz="4" w:space="0"/>
            </w:tcBorders>
            <w:shd w:val="clear"/>
            <w:noWrap/>
            <w:vAlign w:val="center"/>
          </w:tcPr>
          <w:p w14:paraId="11F7030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120</w:t>
            </w:r>
          </w:p>
        </w:tc>
        <w:tc>
          <w:tcPr>
            <w:tcW w:w="1505" w:type="dxa"/>
            <w:tcBorders>
              <w:top w:val="single" w:color="000000" w:sz="4" w:space="0"/>
              <w:left w:val="single" w:color="000000" w:sz="4" w:space="0"/>
              <w:bottom w:val="single" w:color="000000" w:sz="4" w:space="0"/>
              <w:right w:val="single" w:color="000000" w:sz="4" w:space="0"/>
            </w:tcBorders>
            <w:shd w:val="clear"/>
            <w:noWrap/>
            <w:vAlign w:val="center"/>
          </w:tcPr>
          <w:p w14:paraId="2949E07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720</w:t>
            </w:r>
          </w:p>
        </w:tc>
        <w:tc>
          <w:tcPr>
            <w:tcW w:w="750" w:type="dxa"/>
            <w:tcBorders>
              <w:top w:val="single" w:color="000000" w:sz="4" w:space="0"/>
              <w:left w:val="single" w:color="000000" w:sz="4" w:space="0"/>
              <w:bottom w:val="single" w:color="000000" w:sz="4" w:space="0"/>
              <w:right w:val="single" w:color="000000" w:sz="4" w:space="0"/>
            </w:tcBorders>
            <w:shd w:val="clear"/>
            <w:noWrap/>
            <w:vAlign w:val="center"/>
          </w:tcPr>
          <w:p w14:paraId="1F091CC3">
            <w:pPr>
              <w:jc w:val="center"/>
              <w:rPr>
                <w:rFonts w:hint="default" w:ascii="Times New Roman" w:hAnsi="Times New Roman" w:eastAsia="宋体" w:cs="Times New Roman"/>
                <w:i w:val="0"/>
                <w:iCs w:val="0"/>
                <w:color w:val="000000"/>
                <w:sz w:val="22"/>
                <w:szCs w:val="22"/>
                <w:u w:val="none"/>
              </w:rPr>
            </w:pPr>
          </w:p>
        </w:tc>
      </w:tr>
      <w:tr w14:paraId="10541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1505" w:type="dxa"/>
            <w:tcBorders>
              <w:top w:val="single" w:color="000000" w:sz="4" w:space="0"/>
              <w:left w:val="single" w:color="000000" w:sz="4" w:space="0"/>
              <w:bottom w:val="single" w:color="000000" w:sz="4" w:space="0"/>
              <w:right w:val="single" w:color="000000" w:sz="4" w:space="0"/>
            </w:tcBorders>
            <w:shd w:val="clear"/>
            <w:noWrap/>
            <w:vAlign w:val="center"/>
          </w:tcPr>
          <w:p w14:paraId="590486E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地插座</w:t>
            </w:r>
          </w:p>
        </w:tc>
        <w:tc>
          <w:tcPr>
            <w:tcW w:w="1600" w:type="dxa"/>
            <w:tcBorders>
              <w:top w:val="single" w:color="000000" w:sz="4" w:space="0"/>
              <w:left w:val="single" w:color="000000" w:sz="4" w:space="0"/>
              <w:bottom w:val="single" w:color="000000" w:sz="4" w:space="0"/>
              <w:right w:val="single" w:color="000000" w:sz="4" w:space="0"/>
            </w:tcBorders>
            <w:shd w:val="clear"/>
            <w:vAlign w:val="center"/>
          </w:tcPr>
          <w:p w14:paraId="55F5897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不锈钢</w:t>
            </w:r>
          </w:p>
        </w:tc>
        <w:tc>
          <w:tcPr>
            <w:tcW w:w="2117" w:type="dxa"/>
            <w:tcBorders>
              <w:top w:val="single" w:color="000000" w:sz="4" w:space="0"/>
              <w:left w:val="single" w:color="000000" w:sz="4" w:space="0"/>
              <w:bottom w:val="single" w:color="000000" w:sz="4" w:space="0"/>
              <w:right w:val="single" w:color="000000" w:sz="4" w:space="0"/>
            </w:tcBorders>
            <w:shd w:val="clear"/>
            <w:vAlign w:val="center"/>
          </w:tcPr>
          <w:p w14:paraId="5618C01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D11</w:t>
            </w:r>
          </w:p>
        </w:tc>
        <w:tc>
          <w:tcPr>
            <w:tcW w:w="1011" w:type="dxa"/>
            <w:tcBorders>
              <w:top w:val="single" w:color="000000" w:sz="4" w:space="0"/>
              <w:left w:val="single" w:color="000000" w:sz="4" w:space="0"/>
              <w:bottom w:val="single" w:color="000000" w:sz="4" w:space="0"/>
              <w:right w:val="single" w:color="000000" w:sz="4" w:space="0"/>
            </w:tcBorders>
            <w:shd w:val="clear"/>
            <w:noWrap/>
            <w:vAlign w:val="center"/>
          </w:tcPr>
          <w:p w14:paraId="76258B6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w:t>
            </w:r>
          </w:p>
        </w:tc>
        <w:tc>
          <w:tcPr>
            <w:tcW w:w="1307" w:type="dxa"/>
            <w:tcBorders>
              <w:top w:val="single" w:color="000000" w:sz="4" w:space="0"/>
              <w:left w:val="single" w:color="000000" w:sz="4" w:space="0"/>
              <w:bottom w:val="single" w:color="000000" w:sz="4" w:space="0"/>
              <w:right w:val="single" w:color="000000" w:sz="4" w:space="0"/>
            </w:tcBorders>
            <w:shd w:val="clear"/>
            <w:noWrap/>
            <w:vAlign w:val="center"/>
          </w:tcPr>
          <w:p w14:paraId="51F62CD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100</w:t>
            </w:r>
          </w:p>
        </w:tc>
        <w:tc>
          <w:tcPr>
            <w:tcW w:w="1505" w:type="dxa"/>
            <w:tcBorders>
              <w:top w:val="single" w:color="000000" w:sz="4" w:space="0"/>
              <w:left w:val="single" w:color="000000" w:sz="4" w:space="0"/>
              <w:bottom w:val="single" w:color="000000" w:sz="4" w:space="0"/>
              <w:right w:val="single" w:color="000000" w:sz="4" w:space="0"/>
            </w:tcBorders>
            <w:shd w:val="clear"/>
            <w:noWrap/>
            <w:vAlign w:val="center"/>
          </w:tcPr>
          <w:p w14:paraId="2C13CD9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600</w:t>
            </w:r>
          </w:p>
        </w:tc>
        <w:tc>
          <w:tcPr>
            <w:tcW w:w="750" w:type="dxa"/>
            <w:tcBorders>
              <w:top w:val="single" w:color="000000" w:sz="4" w:space="0"/>
              <w:left w:val="single" w:color="000000" w:sz="4" w:space="0"/>
              <w:bottom w:val="single" w:color="000000" w:sz="4" w:space="0"/>
              <w:right w:val="single" w:color="000000" w:sz="4" w:space="0"/>
            </w:tcBorders>
            <w:shd w:val="clear"/>
            <w:noWrap/>
            <w:vAlign w:val="center"/>
          </w:tcPr>
          <w:p w14:paraId="40C7284B">
            <w:pPr>
              <w:jc w:val="center"/>
              <w:rPr>
                <w:rFonts w:hint="default" w:ascii="Times New Roman" w:hAnsi="Times New Roman" w:eastAsia="宋体" w:cs="Times New Roman"/>
                <w:i w:val="0"/>
                <w:iCs w:val="0"/>
                <w:color w:val="000000"/>
                <w:sz w:val="22"/>
                <w:szCs w:val="22"/>
                <w:u w:val="none"/>
              </w:rPr>
            </w:pPr>
          </w:p>
        </w:tc>
      </w:tr>
      <w:tr w14:paraId="6371A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1505" w:type="dxa"/>
            <w:tcBorders>
              <w:top w:val="single" w:color="000000" w:sz="4" w:space="0"/>
              <w:left w:val="single" w:color="000000" w:sz="4" w:space="0"/>
              <w:bottom w:val="single" w:color="000000" w:sz="4" w:space="0"/>
              <w:right w:val="single" w:color="000000" w:sz="4" w:space="0"/>
            </w:tcBorders>
            <w:shd w:val="clear"/>
            <w:noWrap/>
            <w:vAlign w:val="center"/>
          </w:tcPr>
          <w:p w14:paraId="147DB42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护墙板</w:t>
            </w:r>
          </w:p>
        </w:tc>
        <w:tc>
          <w:tcPr>
            <w:tcW w:w="1600" w:type="dxa"/>
            <w:tcBorders>
              <w:top w:val="single" w:color="000000" w:sz="4" w:space="0"/>
              <w:left w:val="single" w:color="000000" w:sz="4" w:space="0"/>
              <w:bottom w:val="single" w:color="000000" w:sz="4" w:space="0"/>
              <w:right w:val="single" w:color="000000" w:sz="4" w:space="0"/>
            </w:tcBorders>
            <w:shd w:val="clear"/>
            <w:vAlign w:val="center"/>
          </w:tcPr>
          <w:p w14:paraId="145CDE0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竹木纤维</w:t>
            </w:r>
          </w:p>
        </w:tc>
        <w:tc>
          <w:tcPr>
            <w:tcW w:w="2117" w:type="dxa"/>
            <w:tcBorders>
              <w:top w:val="single" w:color="000000" w:sz="4" w:space="0"/>
              <w:left w:val="single" w:color="000000" w:sz="4" w:space="0"/>
              <w:bottom w:val="single" w:color="000000" w:sz="4" w:space="0"/>
              <w:right w:val="single" w:color="000000" w:sz="4" w:space="0"/>
            </w:tcBorders>
            <w:shd w:val="clear"/>
            <w:vAlign w:val="center"/>
          </w:tcPr>
          <w:p w14:paraId="739DEE6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400*9</w:t>
            </w:r>
          </w:p>
        </w:tc>
        <w:tc>
          <w:tcPr>
            <w:tcW w:w="1011" w:type="dxa"/>
            <w:tcBorders>
              <w:top w:val="single" w:color="000000" w:sz="4" w:space="0"/>
              <w:left w:val="single" w:color="000000" w:sz="4" w:space="0"/>
              <w:bottom w:val="single" w:color="000000" w:sz="4" w:space="0"/>
              <w:right w:val="single" w:color="000000" w:sz="4" w:space="0"/>
            </w:tcBorders>
            <w:shd w:val="clear"/>
            <w:noWrap/>
            <w:vAlign w:val="center"/>
          </w:tcPr>
          <w:p w14:paraId="43A0AFF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21.7</w:t>
            </w:r>
          </w:p>
        </w:tc>
        <w:tc>
          <w:tcPr>
            <w:tcW w:w="1307" w:type="dxa"/>
            <w:tcBorders>
              <w:top w:val="single" w:color="000000" w:sz="4" w:space="0"/>
              <w:left w:val="single" w:color="000000" w:sz="4" w:space="0"/>
              <w:bottom w:val="single" w:color="000000" w:sz="4" w:space="0"/>
              <w:right w:val="single" w:color="000000" w:sz="4" w:space="0"/>
            </w:tcBorders>
            <w:shd w:val="clear"/>
            <w:noWrap/>
            <w:vAlign w:val="center"/>
          </w:tcPr>
          <w:p w14:paraId="41D4D9D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110</w:t>
            </w:r>
          </w:p>
        </w:tc>
        <w:tc>
          <w:tcPr>
            <w:tcW w:w="1505" w:type="dxa"/>
            <w:tcBorders>
              <w:top w:val="single" w:color="000000" w:sz="4" w:space="0"/>
              <w:left w:val="single" w:color="000000" w:sz="4" w:space="0"/>
              <w:bottom w:val="single" w:color="000000" w:sz="4" w:space="0"/>
              <w:right w:val="single" w:color="000000" w:sz="4" w:space="0"/>
            </w:tcBorders>
            <w:shd w:val="clear"/>
            <w:noWrap/>
            <w:vAlign w:val="center"/>
          </w:tcPr>
          <w:p w14:paraId="3CD6674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2387</w:t>
            </w:r>
          </w:p>
        </w:tc>
        <w:tc>
          <w:tcPr>
            <w:tcW w:w="750" w:type="dxa"/>
            <w:tcBorders>
              <w:top w:val="single" w:color="000000" w:sz="4" w:space="0"/>
              <w:left w:val="single" w:color="000000" w:sz="4" w:space="0"/>
              <w:bottom w:val="single" w:color="000000" w:sz="4" w:space="0"/>
              <w:right w:val="single" w:color="000000" w:sz="4" w:space="0"/>
            </w:tcBorders>
            <w:shd w:val="clear"/>
            <w:noWrap/>
            <w:vAlign w:val="center"/>
          </w:tcPr>
          <w:p w14:paraId="6AF6B0C1">
            <w:pPr>
              <w:jc w:val="center"/>
              <w:rPr>
                <w:rFonts w:hint="default" w:ascii="Times New Roman" w:hAnsi="Times New Roman" w:eastAsia="宋体" w:cs="Times New Roman"/>
                <w:i w:val="0"/>
                <w:iCs w:val="0"/>
                <w:color w:val="000000"/>
                <w:sz w:val="22"/>
                <w:szCs w:val="22"/>
                <w:u w:val="none"/>
              </w:rPr>
            </w:pPr>
          </w:p>
        </w:tc>
      </w:tr>
      <w:tr w14:paraId="05C2D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9795" w:type="dxa"/>
            <w:gridSpan w:val="7"/>
            <w:tcBorders>
              <w:top w:val="single" w:color="000000" w:sz="4" w:space="0"/>
              <w:left w:val="single" w:color="000000" w:sz="4" w:space="0"/>
              <w:bottom w:val="single" w:color="000000" w:sz="4" w:space="0"/>
              <w:right w:val="single" w:color="000000" w:sz="4" w:space="0"/>
            </w:tcBorders>
            <w:shd w:val="clear"/>
            <w:noWrap/>
            <w:vAlign w:val="center"/>
          </w:tcPr>
          <w:p w14:paraId="6B5104F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合计：87094.8</w:t>
            </w:r>
          </w:p>
        </w:tc>
      </w:tr>
    </w:tbl>
    <w:p w14:paraId="4FADFEDF">
      <w:pPr>
        <w:pageBreakBefore w:val="0"/>
        <w:widowControl w:val="0"/>
        <w:kinsoku/>
        <w:wordWrap/>
        <w:overflowPunct/>
        <w:topLinePunct w:val="0"/>
        <w:autoSpaceDE/>
        <w:autoSpaceDN/>
        <w:bidi w:val="0"/>
        <w:spacing w:line="400" w:lineRule="exact"/>
        <w:ind w:firstLine="480" w:firstLineChars="200"/>
        <w:textAlignment w:val="auto"/>
        <w:rPr>
          <w:rFonts w:hint="default" w:ascii="Times New Roman" w:hAnsi="Times New Roman" w:eastAsia="方正仿宋_GBK" w:cs="Times New Roman"/>
          <w:color w:val="auto"/>
          <w:sz w:val="24"/>
          <w:szCs w:val="24"/>
          <w:highlight w:val="none"/>
          <w:lang w:val="en-US" w:eastAsia="zh-CN"/>
        </w:rPr>
      </w:pPr>
    </w:p>
    <w:p w14:paraId="5345D429">
      <w:pPr>
        <w:keepNext w:val="0"/>
        <w:keepLines w:val="0"/>
        <w:widowControl/>
        <w:numPr>
          <w:ilvl w:val="0"/>
          <w:numId w:val="2"/>
        </w:numPr>
        <w:suppressLineNumbers w:val="0"/>
        <w:jc w:val="both"/>
        <w:textAlignment w:val="center"/>
        <w:rPr>
          <w:rFonts w:hint="default" w:ascii="Times New Roman" w:hAnsi="Times New Roman" w:eastAsia="方正仿宋_GBK" w:cs="Times New Roman"/>
          <w:b/>
          <w:bCs/>
          <w:i w:val="0"/>
          <w:iCs w:val="0"/>
          <w:color w:val="000000"/>
          <w:kern w:val="0"/>
          <w:sz w:val="28"/>
          <w:szCs w:val="28"/>
          <w:u w:val="none"/>
          <w:lang w:val="en-US" w:eastAsia="zh-CN" w:bidi="ar"/>
        </w:rPr>
      </w:pPr>
      <w:r>
        <w:rPr>
          <w:rFonts w:hint="default" w:ascii="Times New Roman" w:hAnsi="Times New Roman" w:eastAsia="方正仿宋_GBK" w:cs="Times New Roman"/>
          <w:b/>
          <w:bCs/>
          <w:i w:val="0"/>
          <w:iCs w:val="0"/>
          <w:color w:val="000000"/>
          <w:kern w:val="0"/>
          <w:sz w:val="28"/>
          <w:szCs w:val="28"/>
          <w:u w:val="none"/>
          <w:lang w:val="en-US" w:eastAsia="zh-CN" w:bidi="ar"/>
        </w:rPr>
        <w:t>其他要求</w:t>
      </w:r>
    </w:p>
    <w:p w14:paraId="32FC26D4">
      <w:pPr>
        <w:numPr>
          <w:ilvl w:val="0"/>
          <w:numId w:val="3"/>
        </w:numPr>
        <w:snapToGrid w:val="0"/>
        <w:spacing w:line="360" w:lineRule="auto"/>
        <w:ind w:left="78" w:leftChars="0" w:firstLine="482" w:firstLineChars="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highlight w:val="none"/>
          <w:lang w:val="en-US" w:eastAsia="zh-CN"/>
        </w:rPr>
        <w:t>人员要求：</w:t>
      </w:r>
      <w:r>
        <w:rPr>
          <w:rFonts w:hint="default" w:ascii="Times New Roman" w:hAnsi="Times New Roman" w:eastAsia="方正仿宋_GBK" w:cs="Times New Roman"/>
          <w:color w:val="auto"/>
          <w:sz w:val="24"/>
          <w:szCs w:val="24"/>
          <w:highlight w:val="none"/>
          <w:lang w:eastAsia="zh-CN"/>
        </w:rPr>
        <w:t>供应商须承诺，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供应商不满足上述要求的，视为拒绝与其签订合同，采购人将上报政府采购监管部门取消其成交资格，并追究其责任。</w:t>
      </w:r>
      <w:r>
        <w:rPr>
          <w:rFonts w:hint="default" w:ascii="Times New Roman" w:hAnsi="Times New Roman" w:eastAsia="方正仿宋_GBK" w:cs="Times New Roman"/>
          <w:b/>
          <w:bCs/>
          <w:color w:val="auto"/>
          <w:sz w:val="24"/>
          <w:szCs w:val="24"/>
          <w:highlight w:val="none"/>
          <w:lang w:eastAsia="zh-CN"/>
        </w:rPr>
        <w:t>（提供承诺函，格式自定）</w:t>
      </w:r>
    </w:p>
    <w:p w14:paraId="5215DC38">
      <w:pPr>
        <w:numPr>
          <w:ilvl w:val="0"/>
          <w:numId w:val="3"/>
        </w:numPr>
        <w:snapToGrid w:val="0"/>
        <w:spacing w:line="360" w:lineRule="auto"/>
        <w:ind w:left="78" w:leftChars="0" w:firstLine="482" w:firstLineChars="0"/>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lang w:eastAsia="zh-CN"/>
        </w:rPr>
        <w:t>参与投标的授权代表的要求：供应商拟派参与本项目投标的授权代表。</w:t>
      </w:r>
    </w:p>
    <w:p w14:paraId="676BA1D6">
      <w:pPr>
        <w:numPr>
          <w:ilvl w:val="0"/>
          <w:numId w:val="0"/>
        </w:numPr>
        <w:snapToGrid w:val="0"/>
        <w:spacing w:line="360" w:lineRule="auto"/>
        <w:ind w:firstLine="480" w:firstLineChars="200"/>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lang w:val="en-US" w:eastAsia="zh-CN"/>
        </w:rPr>
        <w:t>3、踏勘要求：本项目不组织集中踏勘，由供应商自行进行踏勘，无论踏勘与否，采购人均视为对现场条件和项目情况有充分的了解。供应商自行考虑各种风险，不得因此申请调价或索赔。踏勘过程中的费用和涉及到的风险损失等均由供应商自行承担。供应商须在投标响应文件中提供已自行踏勘现场的承诺函</w:t>
      </w:r>
      <w:r>
        <w:rPr>
          <w:rFonts w:hint="default" w:ascii="Times New Roman" w:hAnsi="Times New Roman" w:eastAsia="方正仿宋_GBK" w:cs="Times New Roman"/>
          <w:b/>
          <w:bCs/>
          <w:color w:val="auto"/>
          <w:sz w:val="24"/>
          <w:szCs w:val="24"/>
          <w:highlight w:val="none"/>
          <w:lang w:val="en-US" w:eastAsia="zh-CN"/>
        </w:rPr>
        <w:t>（格式自拟）。</w:t>
      </w:r>
      <w:bookmarkEnd w:id="31"/>
      <w:bookmarkEnd w:id="32"/>
      <w:bookmarkEnd w:id="33"/>
      <w:bookmarkStart w:id="34" w:name="_Toc22944"/>
      <w:bookmarkStart w:id="35" w:name="_Toc156895489"/>
      <w:bookmarkStart w:id="36" w:name="_Toc267320049"/>
      <w:bookmarkStart w:id="37" w:name="_Toc10039"/>
      <w:bookmarkStart w:id="38" w:name="_Toc13389"/>
      <w:bookmarkStart w:id="39" w:name="_Toc119949877"/>
      <w:bookmarkStart w:id="40" w:name="_Toc75793509"/>
      <w:bookmarkStart w:id="41" w:name="_Toc14029"/>
      <w:bookmarkStart w:id="42" w:name="_Toc23501"/>
      <w:bookmarkStart w:id="43" w:name="_Toc28521"/>
      <w:bookmarkStart w:id="44" w:name="_Toc11380"/>
      <w:bookmarkStart w:id="45" w:name="_Toc21429"/>
      <w:bookmarkStart w:id="46" w:name="_Toc12768"/>
      <w:bookmarkStart w:id="47" w:name="_Toc9676"/>
      <w:bookmarkStart w:id="48" w:name="_Toc6595"/>
      <w:bookmarkStart w:id="49" w:name="_Toc8752"/>
      <w:bookmarkStart w:id="50" w:name="_Toc119579778"/>
      <w:bookmarkStart w:id="51" w:name="_Toc30118"/>
      <w:bookmarkStart w:id="52" w:name="_Toc13728"/>
    </w:p>
    <w:p w14:paraId="428DBDCA">
      <w:pPr>
        <w:snapToGrid w:val="0"/>
        <w:spacing w:line="400" w:lineRule="exact"/>
        <w:ind w:firstLine="482" w:firstLineChars="200"/>
        <w:rPr>
          <w:rFonts w:hint="default" w:ascii="Times New Roman" w:hAnsi="Times New Roman" w:eastAsia="方正仿宋_GBK" w:cs="Times New Roman"/>
          <w:b/>
          <w:bCs/>
          <w:color w:val="000000" w:themeColor="text1"/>
          <w:kern w:val="0"/>
          <w:sz w:val="24"/>
          <w:szCs w:val="24"/>
          <w:highlight w:val="none"/>
          <w14:textFill>
            <w14:solidFill>
              <w14:schemeClr w14:val="tx1"/>
            </w14:solidFill>
          </w14:textFill>
        </w:rPr>
      </w:pPr>
    </w:p>
    <w:p w14:paraId="30B07D8A">
      <w:pPr>
        <w:snapToGrid w:val="0"/>
        <w:spacing w:line="400" w:lineRule="exact"/>
        <w:jc w:val="center"/>
        <w:rPr>
          <w:rFonts w:hint="default" w:ascii="Times New Roman" w:hAnsi="Times New Roman" w:eastAsia="方正仿宋_GBK" w:cs="Times New Roman"/>
          <w:b w:val="0"/>
          <w:color w:val="auto"/>
          <w:sz w:val="36"/>
          <w:szCs w:val="30"/>
          <w:highlight w:val="none"/>
        </w:rPr>
      </w:pPr>
    </w:p>
    <w:p w14:paraId="0644E5EF">
      <w:pPr>
        <w:snapToGrid w:val="0"/>
        <w:spacing w:line="400" w:lineRule="exact"/>
        <w:jc w:val="center"/>
        <w:rPr>
          <w:rFonts w:hint="default" w:ascii="Times New Roman" w:hAnsi="Times New Roman" w:eastAsia="方正仿宋_GBK" w:cs="Times New Roman"/>
          <w:b w:val="0"/>
          <w:color w:val="auto"/>
          <w:sz w:val="36"/>
          <w:szCs w:val="30"/>
          <w:highlight w:val="none"/>
        </w:rPr>
      </w:pPr>
    </w:p>
    <w:p w14:paraId="2F787668">
      <w:pPr>
        <w:snapToGrid w:val="0"/>
        <w:spacing w:line="400" w:lineRule="exact"/>
        <w:jc w:val="center"/>
        <w:rPr>
          <w:rFonts w:hint="default" w:ascii="Times New Roman" w:hAnsi="Times New Roman" w:eastAsia="方正仿宋_GBK" w:cs="Times New Roman"/>
          <w:b w:val="0"/>
          <w:color w:val="auto"/>
          <w:sz w:val="36"/>
          <w:szCs w:val="30"/>
          <w:highlight w:val="none"/>
        </w:rPr>
      </w:pPr>
    </w:p>
    <w:p w14:paraId="2D61E4F0">
      <w:pPr>
        <w:snapToGrid w:val="0"/>
        <w:spacing w:line="400" w:lineRule="exact"/>
        <w:jc w:val="center"/>
        <w:rPr>
          <w:rFonts w:hint="default" w:ascii="Times New Roman" w:hAnsi="Times New Roman" w:eastAsia="方正仿宋_GBK" w:cs="Times New Roman"/>
          <w:b w:val="0"/>
          <w:color w:val="auto"/>
          <w:sz w:val="36"/>
          <w:szCs w:val="30"/>
          <w:highlight w:val="none"/>
        </w:rPr>
      </w:pPr>
    </w:p>
    <w:p w14:paraId="78994D51">
      <w:pPr>
        <w:snapToGrid w:val="0"/>
        <w:spacing w:line="400" w:lineRule="exact"/>
        <w:jc w:val="center"/>
        <w:rPr>
          <w:rFonts w:hint="default" w:ascii="Times New Roman" w:hAnsi="Times New Roman" w:eastAsia="方正仿宋_GBK" w:cs="Times New Roman"/>
          <w:b w:val="0"/>
          <w:color w:val="auto"/>
          <w:sz w:val="36"/>
          <w:szCs w:val="30"/>
          <w:highlight w:val="none"/>
        </w:rPr>
      </w:pPr>
    </w:p>
    <w:p w14:paraId="34EE4E61">
      <w:pPr>
        <w:pStyle w:val="6"/>
        <w:rPr>
          <w:rFonts w:hint="default" w:ascii="Times New Roman" w:hAnsi="Times New Roman" w:eastAsia="方正仿宋_GBK" w:cs="Times New Roman"/>
          <w:b w:val="0"/>
          <w:color w:val="auto"/>
          <w:sz w:val="36"/>
          <w:szCs w:val="30"/>
          <w:highlight w:val="none"/>
        </w:rPr>
      </w:pPr>
    </w:p>
    <w:p w14:paraId="2C4407F9">
      <w:pPr>
        <w:rPr>
          <w:rFonts w:hint="default" w:ascii="Times New Roman" w:hAnsi="Times New Roman" w:eastAsia="方正仿宋_GBK" w:cs="Times New Roman"/>
          <w:b w:val="0"/>
          <w:color w:val="auto"/>
          <w:sz w:val="36"/>
          <w:szCs w:val="30"/>
          <w:highlight w:val="none"/>
        </w:rPr>
      </w:pPr>
    </w:p>
    <w:p w14:paraId="3B1FCA80">
      <w:pPr>
        <w:rPr>
          <w:rFonts w:hint="default" w:ascii="Times New Roman" w:hAnsi="Times New Roman" w:eastAsia="方正仿宋_GBK" w:cs="Times New Roman"/>
          <w:b w:val="0"/>
          <w:color w:val="auto"/>
          <w:sz w:val="36"/>
          <w:szCs w:val="30"/>
          <w:highlight w:val="none"/>
        </w:rPr>
      </w:pPr>
    </w:p>
    <w:p w14:paraId="45A2A383">
      <w:pPr>
        <w:rPr>
          <w:rFonts w:hint="default" w:ascii="Times New Roman" w:hAnsi="Times New Roman" w:eastAsia="方正仿宋_GBK" w:cs="Times New Roman"/>
          <w:b w:val="0"/>
          <w:color w:val="auto"/>
          <w:sz w:val="36"/>
          <w:szCs w:val="30"/>
          <w:highlight w:val="none"/>
        </w:rPr>
      </w:pPr>
    </w:p>
    <w:p w14:paraId="5BE7839D">
      <w:pPr>
        <w:rPr>
          <w:rFonts w:hint="default" w:ascii="Times New Roman" w:hAnsi="Times New Roman" w:eastAsia="方正仿宋_GBK" w:cs="Times New Roman"/>
          <w:b w:val="0"/>
          <w:color w:val="auto"/>
          <w:sz w:val="36"/>
          <w:szCs w:val="30"/>
          <w:highlight w:val="none"/>
        </w:rPr>
      </w:pPr>
    </w:p>
    <w:p w14:paraId="1A33A1EE">
      <w:pPr>
        <w:rPr>
          <w:rFonts w:hint="default" w:ascii="Times New Roman" w:hAnsi="Times New Roman" w:eastAsia="方正仿宋_GBK" w:cs="Times New Roman"/>
          <w:b w:val="0"/>
          <w:color w:val="auto"/>
          <w:sz w:val="36"/>
          <w:szCs w:val="30"/>
          <w:highlight w:val="none"/>
        </w:rPr>
      </w:pPr>
    </w:p>
    <w:p w14:paraId="406EA788">
      <w:pPr>
        <w:rPr>
          <w:rFonts w:hint="default" w:ascii="Times New Roman" w:hAnsi="Times New Roman" w:eastAsia="方正仿宋_GBK" w:cs="Times New Roman"/>
          <w:b w:val="0"/>
          <w:color w:val="auto"/>
          <w:sz w:val="36"/>
          <w:szCs w:val="30"/>
          <w:highlight w:val="none"/>
        </w:rPr>
      </w:pPr>
    </w:p>
    <w:p w14:paraId="67D62EF1">
      <w:pPr>
        <w:rPr>
          <w:rFonts w:hint="default" w:ascii="Times New Roman" w:hAnsi="Times New Roman" w:eastAsia="方正仿宋_GBK" w:cs="Times New Roman"/>
          <w:b w:val="0"/>
          <w:color w:val="auto"/>
          <w:sz w:val="36"/>
          <w:szCs w:val="30"/>
          <w:highlight w:val="none"/>
        </w:rPr>
      </w:pPr>
    </w:p>
    <w:p w14:paraId="19F3ABE7">
      <w:pPr>
        <w:rPr>
          <w:rFonts w:hint="default" w:ascii="Times New Roman" w:hAnsi="Times New Roman" w:eastAsia="方正仿宋_GBK" w:cs="Times New Roman"/>
          <w:b w:val="0"/>
          <w:color w:val="auto"/>
          <w:sz w:val="36"/>
          <w:szCs w:val="30"/>
          <w:highlight w:val="none"/>
        </w:rPr>
      </w:pPr>
    </w:p>
    <w:p w14:paraId="429F2300">
      <w:pPr>
        <w:rPr>
          <w:rFonts w:hint="default" w:ascii="Times New Roman" w:hAnsi="Times New Roman" w:eastAsia="方正仿宋_GBK" w:cs="Times New Roman"/>
          <w:b w:val="0"/>
          <w:color w:val="auto"/>
          <w:sz w:val="36"/>
          <w:szCs w:val="30"/>
          <w:highlight w:val="none"/>
        </w:rPr>
      </w:pPr>
    </w:p>
    <w:p w14:paraId="11FD2A23">
      <w:pPr>
        <w:rPr>
          <w:rFonts w:hint="default" w:ascii="Times New Roman" w:hAnsi="Times New Roman" w:eastAsia="方正仿宋_GBK" w:cs="Times New Roman"/>
          <w:b w:val="0"/>
          <w:color w:val="auto"/>
          <w:sz w:val="36"/>
          <w:szCs w:val="30"/>
          <w:highlight w:val="none"/>
        </w:rPr>
      </w:pPr>
    </w:p>
    <w:p w14:paraId="3537F21E">
      <w:pPr>
        <w:rPr>
          <w:rFonts w:hint="default" w:ascii="Times New Roman" w:hAnsi="Times New Roman" w:eastAsia="方正仿宋_GBK" w:cs="Times New Roman"/>
          <w:b w:val="0"/>
          <w:color w:val="auto"/>
          <w:sz w:val="36"/>
          <w:szCs w:val="30"/>
          <w:highlight w:val="none"/>
        </w:rPr>
      </w:pPr>
    </w:p>
    <w:p w14:paraId="287A6E9B">
      <w:pPr>
        <w:rPr>
          <w:rFonts w:hint="default" w:ascii="Times New Roman" w:hAnsi="Times New Roman" w:eastAsia="方正仿宋_GBK" w:cs="Times New Roman"/>
          <w:b w:val="0"/>
          <w:color w:val="auto"/>
          <w:sz w:val="36"/>
          <w:szCs w:val="30"/>
          <w:highlight w:val="none"/>
        </w:rPr>
      </w:pPr>
    </w:p>
    <w:p w14:paraId="03111E8F">
      <w:pPr>
        <w:rPr>
          <w:rFonts w:hint="default" w:ascii="Times New Roman" w:hAnsi="Times New Roman" w:eastAsia="方正仿宋_GBK" w:cs="Times New Roman"/>
          <w:b w:val="0"/>
          <w:color w:val="auto"/>
          <w:sz w:val="36"/>
          <w:szCs w:val="30"/>
          <w:highlight w:val="none"/>
        </w:rPr>
      </w:pPr>
    </w:p>
    <w:p w14:paraId="4AB549A3">
      <w:pPr>
        <w:rPr>
          <w:rFonts w:hint="default" w:ascii="Times New Roman" w:hAnsi="Times New Roman" w:eastAsia="方正仿宋_GBK" w:cs="Times New Roman"/>
          <w:b w:val="0"/>
          <w:color w:val="auto"/>
          <w:sz w:val="36"/>
          <w:szCs w:val="30"/>
          <w:highlight w:val="none"/>
        </w:rPr>
      </w:pPr>
    </w:p>
    <w:p w14:paraId="5E7F3B4C">
      <w:pPr>
        <w:rPr>
          <w:rFonts w:hint="default" w:ascii="Times New Roman" w:hAnsi="Times New Roman" w:eastAsia="方正仿宋_GBK" w:cs="Times New Roman"/>
          <w:b w:val="0"/>
          <w:color w:val="auto"/>
          <w:sz w:val="36"/>
          <w:szCs w:val="30"/>
          <w:highlight w:val="none"/>
        </w:rPr>
      </w:pPr>
    </w:p>
    <w:p w14:paraId="27D38786">
      <w:pPr>
        <w:rPr>
          <w:rFonts w:hint="default" w:ascii="Times New Roman" w:hAnsi="Times New Roman" w:eastAsia="方正仿宋_GBK" w:cs="Times New Roman"/>
          <w:b w:val="0"/>
          <w:color w:val="auto"/>
          <w:sz w:val="36"/>
          <w:szCs w:val="30"/>
          <w:highlight w:val="none"/>
        </w:rPr>
      </w:pPr>
      <w:bookmarkStart w:id="777" w:name="_GoBack"/>
      <w:bookmarkEnd w:id="777"/>
    </w:p>
    <w:p w14:paraId="77468A73">
      <w:pPr>
        <w:rPr>
          <w:rFonts w:hint="default" w:ascii="Times New Roman" w:hAnsi="Times New Roman" w:eastAsia="方正仿宋_GBK" w:cs="Times New Roman"/>
          <w:b w:val="0"/>
          <w:color w:val="auto"/>
          <w:sz w:val="36"/>
          <w:szCs w:val="30"/>
          <w:highlight w:val="none"/>
        </w:rPr>
      </w:pPr>
    </w:p>
    <w:p w14:paraId="5F60E0FB">
      <w:pPr>
        <w:pStyle w:val="6"/>
        <w:rPr>
          <w:rFonts w:hint="default"/>
        </w:rPr>
      </w:pPr>
    </w:p>
    <w:p w14:paraId="167641E5">
      <w:pPr>
        <w:snapToGrid w:val="0"/>
        <w:spacing w:line="400" w:lineRule="exact"/>
        <w:jc w:val="center"/>
        <w:rPr>
          <w:rFonts w:hint="default" w:ascii="Times New Roman" w:hAnsi="Times New Roman" w:eastAsia="方正仿宋_GBK" w:cs="Times New Roman"/>
          <w:b w:val="0"/>
          <w:color w:val="auto"/>
          <w:sz w:val="36"/>
          <w:szCs w:val="30"/>
          <w:highlight w:val="none"/>
        </w:rPr>
      </w:pPr>
    </w:p>
    <w:p w14:paraId="4D3180A2">
      <w:pPr>
        <w:snapToGrid w:val="0"/>
        <w:spacing w:line="400" w:lineRule="exact"/>
        <w:jc w:val="center"/>
        <w:rPr>
          <w:rFonts w:hint="default" w:ascii="Times New Roman" w:hAnsi="Times New Roman" w:eastAsia="方正仿宋_GBK" w:cs="Times New Roman"/>
          <w:b w:val="0"/>
          <w:color w:val="auto"/>
          <w:sz w:val="36"/>
          <w:szCs w:val="30"/>
          <w:highlight w:val="none"/>
        </w:rPr>
      </w:pPr>
    </w:p>
    <w:p w14:paraId="1333E95E">
      <w:pPr>
        <w:snapToGrid w:val="0"/>
        <w:spacing w:line="400" w:lineRule="exact"/>
        <w:jc w:val="center"/>
        <w:rPr>
          <w:rFonts w:hint="default" w:ascii="Times New Roman" w:hAnsi="Times New Roman" w:eastAsia="方正仿宋_GBK" w:cs="Times New Roman"/>
          <w:b w:val="0"/>
          <w:color w:val="auto"/>
          <w:sz w:val="36"/>
          <w:szCs w:val="30"/>
          <w:highlight w:val="none"/>
        </w:rPr>
      </w:pPr>
    </w:p>
    <w:p w14:paraId="3A04E449">
      <w:pPr>
        <w:snapToGrid w:val="0"/>
        <w:spacing w:line="400" w:lineRule="exact"/>
        <w:jc w:val="center"/>
        <w:rPr>
          <w:rFonts w:hint="default" w:ascii="Times New Roman" w:hAnsi="Times New Roman" w:eastAsia="方正仿宋_GBK" w:cs="Times New Roman"/>
          <w:b w:val="0"/>
          <w:color w:val="auto"/>
          <w:sz w:val="36"/>
          <w:szCs w:val="30"/>
          <w:highlight w:val="none"/>
        </w:rPr>
      </w:pPr>
    </w:p>
    <w:p w14:paraId="038860B6">
      <w:pPr>
        <w:snapToGrid w:val="0"/>
        <w:spacing w:line="400" w:lineRule="exact"/>
        <w:jc w:val="center"/>
        <w:rPr>
          <w:rFonts w:hint="default" w:ascii="Times New Roman" w:hAnsi="Times New Roman" w:eastAsia="方正仿宋_GBK" w:cs="Times New Roman"/>
          <w:b/>
          <w:bCs/>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b/>
          <w:bCs/>
          <w:color w:val="auto"/>
          <w:sz w:val="36"/>
          <w:szCs w:val="30"/>
          <w:highlight w:val="none"/>
        </w:rPr>
        <w:t>第三篇  项目商务需求</w:t>
      </w:r>
    </w:p>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14:paraId="10ADD6D7">
      <w:pPr>
        <w:pStyle w:val="11"/>
        <w:spacing w:line="400" w:lineRule="exact"/>
        <w:ind w:firstLine="480" w:firstLineChars="200"/>
        <w:rPr>
          <w:rFonts w:hint="default" w:ascii="Times New Roman" w:hAnsi="Times New Roman" w:eastAsia="方正仿宋_GBK" w:cs="Times New Roman"/>
          <w:color w:val="auto"/>
          <w:sz w:val="24"/>
          <w:szCs w:val="24"/>
          <w:highlight w:val="none"/>
        </w:rPr>
      </w:pPr>
      <w:bookmarkStart w:id="53" w:name="_Toc76462328"/>
      <w:bookmarkStart w:id="54" w:name="_Toc344475120"/>
      <w:r>
        <w:rPr>
          <w:rFonts w:hint="default" w:ascii="Times New Roman" w:hAnsi="Times New Roman" w:eastAsia="方正仿宋_GBK" w:cs="Times New Roman"/>
          <w:color w:val="auto"/>
          <w:sz w:val="24"/>
          <w:szCs w:val="24"/>
          <w:highlight w:val="none"/>
        </w:rPr>
        <w:t>“※”标注的商务需求为符合性审查中的实质性要求，响应文件若不满足按无效响应处理。</w:t>
      </w:r>
    </w:p>
    <w:p w14:paraId="6BEEFAAC">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highlight w:val="none"/>
        </w:rPr>
      </w:pPr>
      <w:bookmarkStart w:id="55" w:name="_Toc27928"/>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highlight w:val="none"/>
        </w:rPr>
        <w:t>一、</w:t>
      </w:r>
      <w:r>
        <w:rPr>
          <w:rFonts w:hint="default" w:ascii="Times New Roman" w:hAnsi="Times New Roman" w:eastAsia="方正仿宋_GBK" w:cs="Times New Roman"/>
          <w:color w:val="auto"/>
          <w:sz w:val="24"/>
          <w:highlight w:val="none"/>
          <w:lang w:val="en-US" w:eastAsia="zh-CN"/>
        </w:rPr>
        <w:t>工</w:t>
      </w:r>
      <w:r>
        <w:rPr>
          <w:rFonts w:hint="default" w:ascii="Times New Roman" w:hAnsi="Times New Roman" w:eastAsia="方正仿宋_GBK" w:cs="Times New Roman"/>
          <w:color w:val="auto"/>
          <w:sz w:val="24"/>
          <w:highlight w:val="none"/>
        </w:rPr>
        <w:t>期、地点及验收方式</w:t>
      </w:r>
      <w:bookmarkEnd w:id="53"/>
      <w:bookmarkEnd w:id="54"/>
      <w:bookmarkEnd w:id="55"/>
    </w:p>
    <w:p w14:paraId="6AAB7A3B">
      <w:pPr>
        <w:pStyle w:val="11"/>
        <w:spacing w:line="4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（一）</w:t>
      </w:r>
      <w:r>
        <w:rPr>
          <w:rFonts w:hint="default" w:ascii="Times New Roman" w:hAnsi="Times New Roman" w:eastAsia="方正仿宋_GBK" w:cs="Times New Roman"/>
          <w:color w:val="auto"/>
          <w:sz w:val="24"/>
          <w:szCs w:val="24"/>
          <w:highlight w:val="none"/>
          <w:lang w:val="en-US" w:eastAsia="zh-CN"/>
        </w:rPr>
        <w:t>工</w:t>
      </w:r>
      <w:r>
        <w:rPr>
          <w:rFonts w:hint="default" w:ascii="Times New Roman" w:hAnsi="Times New Roman" w:eastAsia="方正仿宋_GBK" w:cs="Times New Roman"/>
          <w:color w:val="auto"/>
          <w:sz w:val="24"/>
          <w:szCs w:val="24"/>
          <w:highlight w:val="none"/>
        </w:rPr>
        <w:t>期：</w:t>
      </w:r>
      <w:r>
        <w:rPr>
          <w:rFonts w:hint="default" w:ascii="Times New Roman" w:hAnsi="Times New Roman" w:eastAsia="方正仿宋_GBK" w:cs="Times New Roman"/>
          <w:color w:val="auto"/>
          <w:sz w:val="24"/>
          <w:szCs w:val="24"/>
          <w:highlight w:val="none"/>
          <w:lang w:val="en-US" w:eastAsia="zh-CN"/>
        </w:rPr>
        <w:t>60日历天</w:t>
      </w:r>
    </w:p>
    <w:p w14:paraId="7850CF19">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（二）</w:t>
      </w:r>
      <w:r>
        <w:rPr>
          <w:rFonts w:hint="default" w:ascii="Times New Roman" w:hAnsi="Times New Roman" w:eastAsia="方正仿宋_GBK" w:cs="Times New Roman"/>
          <w:color w:val="auto"/>
          <w:sz w:val="24"/>
          <w:szCs w:val="24"/>
          <w:highlight w:val="none"/>
          <w:lang w:val="en-US" w:eastAsia="zh-CN"/>
        </w:rPr>
        <w:t>建设</w:t>
      </w:r>
      <w:r>
        <w:rPr>
          <w:rFonts w:hint="default" w:ascii="Times New Roman" w:hAnsi="Times New Roman" w:eastAsia="方正仿宋_GBK" w:cs="Times New Roman"/>
          <w:color w:val="auto"/>
          <w:sz w:val="24"/>
          <w:szCs w:val="24"/>
          <w:highlight w:val="none"/>
        </w:rPr>
        <w:t>地点：重庆市秀山自治县花灯广场</w:t>
      </w:r>
      <w:r>
        <w:rPr>
          <w:rFonts w:hint="default" w:ascii="Times New Roman" w:hAnsi="Times New Roman" w:eastAsia="方正仿宋_GBK" w:cs="Times New Roman"/>
          <w:color w:val="auto"/>
          <w:kern w:val="0"/>
          <w:sz w:val="21"/>
          <w:szCs w:val="24"/>
          <w:highlight w:val="none"/>
          <w:lang w:eastAsia="zh-CN"/>
        </w:rPr>
        <w:t>。</w:t>
      </w:r>
    </w:p>
    <w:p w14:paraId="03718683">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（三）验收方式：</w:t>
      </w:r>
    </w:p>
    <w:p w14:paraId="2E676349">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1.工程完工后，按国家相关标准验收程序和规程进行验收。</w:t>
      </w:r>
    </w:p>
    <w:p w14:paraId="28451C9C">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2.达到国家现行有关施工质量验收规范要求，并达到合格标准；且应满足采购人发布的施工要求。</w:t>
      </w:r>
    </w:p>
    <w:p w14:paraId="0A119C89">
      <w:pPr>
        <w:pStyle w:val="2"/>
        <w:adjustRightInd w:val="0"/>
        <w:snapToGrid w:val="0"/>
        <w:spacing w:before="0" w:after="0" w:line="400" w:lineRule="exact"/>
        <w:ind w:firstLine="482" w:firstLineChars="200"/>
        <w:jc w:val="both"/>
        <w:rPr>
          <w:rFonts w:hint="default" w:ascii="Times New Roman" w:hAnsi="Times New Roman" w:eastAsia="方正仿宋_GBK" w:cs="Times New Roman"/>
          <w:color w:val="auto"/>
          <w:sz w:val="24"/>
          <w:highlight w:val="none"/>
          <w:lang w:val="en-US" w:eastAsia="zh-CN"/>
        </w:rPr>
      </w:pPr>
      <w:bookmarkStart w:id="56" w:name="_Toc344475121"/>
      <w:bookmarkStart w:id="57" w:name="_Toc76462329"/>
      <w:bookmarkStart w:id="58" w:name="_Toc20527"/>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highlight w:val="none"/>
        </w:rPr>
        <w:t>二、</w:t>
      </w:r>
      <w:bookmarkEnd w:id="56"/>
      <w:bookmarkEnd w:id="57"/>
      <w:r>
        <w:rPr>
          <w:rFonts w:hint="default" w:ascii="Times New Roman" w:hAnsi="Times New Roman" w:eastAsia="方正仿宋_GBK" w:cs="Times New Roman"/>
          <w:color w:val="auto"/>
          <w:sz w:val="24"/>
          <w:highlight w:val="none"/>
        </w:rPr>
        <w:t>质量保证</w:t>
      </w:r>
      <w:r>
        <w:rPr>
          <w:rFonts w:hint="default" w:ascii="Times New Roman" w:hAnsi="Times New Roman" w:eastAsia="方正仿宋_GBK" w:cs="Times New Roman"/>
          <w:color w:val="auto"/>
          <w:sz w:val="24"/>
          <w:highlight w:val="none"/>
          <w:lang w:val="en-US" w:eastAsia="zh-CN"/>
        </w:rPr>
        <w:t>期限</w:t>
      </w:r>
      <w:r>
        <w:rPr>
          <w:rFonts w:hint="default" w:ascii="Times New Roman" w:hAnsi="Times New Roman" w:eastAsia="方正仿宋_GBK" w:cs="Times New Roman"/>
          <w:color w:val="auto"/>
          <w:sz w:val="24"/>
          <w:highlight w:val="none"/>
        </w:rPr>
        <w:t>及</w:t>
      </w:r>
      <w:bookmarkEnd w:id="58"/>
      <w:r>
        <w:rPr>
          <w:rFonts w:hint="default" w:ascii="Times New Roman" w:hAnsi="Times New Roman" w:eastAsia="方正仿宋_GBK" w:cs="Times New Roman"/>
          <w:color w:val="auto"/>
          <w:sz w:val="24"/>
          <w:highlight w:val="none"/>
          <w:lang w:val="en-US" w:eastAsia="zh-CN"/>
        </w:rPr>
        <w:t>起始时间</w:t>
      </w:r>
    </w:p>
    <w:p w14:paraId="1CCCBF5F">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工程缺陷责任期为</w:t>
      </w:r>
      <w:r>
        <w:rPr>
          <w:rFonts w:hint="default" w:ascii="Times New Roman" w:hAnsi="Times New Roman" w:eastAsia="方正仿宋_GBK" w:cs="Times New Roman"/>
          <w:color w:val="auto"/>
          <w:sz w:val="24"/>
          <w:szCs w:val="24"/>
          <w:highlight w:val="none"/>
          <w:lang w:val="en-US" w:eastAsia="zh-CN"/>
        </w:rPr>
        <w:t>12</w:t>
      </w:r>
      <w:r>
        <w:rPr>
          <w:rFonts w:hint="default" w:ascii="Times New Roman" w:hAnsi="Times New Roman" w:eastAsia="方正仿宋_GBK" w:cs="Times New Roman"/>
          <w:color w:val="auto"/>
          <w:sz w:val="24"/>
          <w:szCs w:val="24"/>
          <w:highlight w:val="none"/>
        </w:rPr>
        <w:t>个月，缺陷责任期自工程通过竣工验收之日起计算。</w:t>
      </w:r>
    </w:p>
    <w:p w14:paraId="387D025C">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highlight w:val="none"/>
          <w:lang w:val="en-US" w:eastAsia="zh-CN"/>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highlight w:val="none"/>
        </w:rPr>
        <w:t>三、</w:t>
      </w:r>
      <w:r>
        <w:rPr>
          <w:rFonts w:hint="default" w:ascii="Times New Roman" w:hAnsi="Times New Roman" w:eastAsia="方正仿宋_GBK" w:cs="Times New Roman"/>
          <w:color w:val="auto"/>
          <w:sz w:val="24"/>
          <w:highlight w:val="none"/>
          <w:lang w:val="en-US" w:eastAsia="zh-CN"/>
        </w:rPr>
        <w:t>报价要求</w:t>
      </w:r>
    </w:p>
    <w:p w14:paraId="71BA3479">
      <w:pPr>
        <w:snapToGrid w:val="0"/>
        <w:spacing w:line="400" w:lineRule="exact"/>
        <w:ind w:firstLine="482" w:firstLineChars="200"/>
        <w:rPr>
          <w:rFonts w:hint="default" w:ascii="Times New Roman" w:hAnsi="Times New Roman" w:eastAsia="方正仿宋_GBK" w:cs="Times New Roman"/>
          <w:b/>
          <w:bCs/>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rPr>
        <w:t>本次报价须为人民币报价。</w:t>
      </w:r>
    </w:p>
    <w:p w14:paraId="4D558968">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1、工程计价方式：本工程采用工程量清单计价方式。</w:t>
      </w:r>
    </w:p>
    <w:p w14:paraId="23E93325">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2、报价范围：</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应按照</w:t>
      </w:r>
      <w:r>
        <w:rPr>
          <w:rFonts w:hint="default" w:ascii="Times New Roman" w:hAnsi="Times New Roman" w:eastAsia="方正仿宋_GBK" w:cs="Times New Roman"/>
          <w:color w:val="auto"/>
          <w:sz w:val="24"/>
          <w:szCs w:val="24"/>
          <w:highlight w:val="none"/>
          <w:lang w:val="en-US" w:eastAsia="zh-CN"/>
        </w:rPr>
        <w:t>竞采</w:t>
      </w:r>
      <w:r>
        <w:rPr>
          <w:rFonts w:hint="default" w:ascii="Times New Roman" w:hAnsi="Times New Roman" w:eastAsia="方正仿宋_GBK" w:cs="Times New Roman"/>
          <w:color w:val="auto"/>
          <w:sz w:val="24"/>
          <w:szCs w:val="24"/>
          <w:highlight w:val="none"/>
        </w:rPr>
        <w:t>范围的规定，对</w:t>
      </w:r>
      <w:r>
        <w:rPr>
          <w:rFonts w:hint="default" w:ascii="Times New Roman" w:hAnsi="Times New Roman" w:eastAsia="方正仿宋_GBK" w:cs="Times New Roman"/>
          <w:color w:val="auto"/>
          <w:sz w:val="24"/>
          <w:szCs w:val="24"/>
          <w:highlight w:val="none"/>
          <w:lang w:val="en-US" w:eastAsia="zh-CN"/>
        </w:rPr>
        <w:t>采购人</w:t>
      </w:r>
      <w:r>
        <w:rPr>
          <w:rFonts w:hint="default" w:ascii="Times New Roman" w:hAnsi="Times New Roman" w:eastAsia="方正仿宋_GBK" w:cs="Times New Roman"/>
          <w:color w:val="auto"/>
          <w:sz w:val="24"/>
          <w:szCs w:val="24"/>
          <w:highlight w:val="none"/>
        </w:rPr>
        <w:t>提供的工程量清单，结合施工设计图纸</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如有）</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的要求进行自主报价。</w:t>
      </w:r>
    </w:p>
    <w:p w14:paraId="696A701B">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的报价应是完成本工程</w:t>
      </w:r>
      <w:r>
        <w:rPr>
          <w:rFonts w:hint="default" w:ascii="Times New Roman" w:hAnsi="Times New Roman" w:eastAsia="方正仿宋_GBK" w:cs="Times New Roman"/>
          <w:color w:val="auto"/>
          <w:sz w:val="24"/>
          <w:szCs w:val="24"/>
          <w:highlight w:val="none"/>
          <w:lang w:val="en-US" w:eastAsia="zh-CN"/>
        </w:rPr>
        <w:t>竞采</w:t>
      </w:r>
      <w:r>
        <w:rPr>
          <w:rFonts w:hint="default" w:ascii="Times New Roman" w:hAnsi="Times New Roman" w:eastAsia="方正仿宋_GBK" w:cs="Times New Roman"/>
          <w:color w:val="auto"/>
          <w:sz w:val="24"/>
          <w:szCs w:val="24"/>
          <w:highlight w:val="none"/>
        </w:rPr>
        <w:t>范围内的全部工程的报价，并以</w:t>
      </w:r>
      <w:r>
        <w:rPr>
          <w:rFonts w:hint="default" w:ascii="Times New Roman" w:hAnsi="Times New Roman" w:eastAsia="方正仿宋_GBK" w:cs="Times New Roman"/>
          <w:color w:val="auto"/>
          <w:sz w:val="24"/>
          <w:szCs w:val="24"/>
          <w:highlight w:val="none"/>
          <w:lang w:val="en-US" w:eastAsia="zh-CN"/>
        </w:rPr>
        <w:t>采购人</w:t>
      </w:r>
      <w:r>
        <w:rPr>
          <w:rFonts w:hint="default" w:ascii="Times New Roman" w:hAnsi="Times New Roman" w:eastAsia="方正仿宋_GBK" w:cs="Times New Roman"/>
          <w:color w:val="auto"/>
          <w:sz w:val="24"/>
          <w:szCs w:val="24"/>
          <w:highlight w:val="none"/>
        </w:rPr>
        <w:t>在工程量清单中提出的单价或总价为依据。</w:t>
      </w:r>
    </w:p>
    <w:p w14:paraId="0725692D">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4、</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应认真填写工程量清单中所列的本合同各工程子目的单价或总价。</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没有填入单价或总价的工程子目，</w:t>
      </w:r>
      <w:r>
        <w:rPr>
          <w:rFonts w:hint="default" w:ascii="Times New Roman" w:hAnsi="Times New Roman" w:eastAsia="方正仿宋_GBK" w:cs="Times New Roman"/>
          <w:color w:val="auto"/>
          <w:sz w:val="24"/>
          <w:szCs w:val="24"/>
          <w:highlight w:val="none"/>
          <w:lang w:val="en-US" w:eastAsia="zh-CN"/>
        </w:rPr>
        <w:t>采购人</w:t>
      </w:r>
      <w:r>
        <w:rPr>
          <w:rFonts w:hint="default" w:ascii="Times New Roman" w:hAnsi="Times New Roman" w:eastAsia="方正仿宋_GBK" w:cs="Times New Roman"/>
          <w:color w:val="auto"/>
          <w:sz w:val="24"/>
          <w:szCs w:val="24"/>
          <w:highlight w:val="none"/>
        </w:rPr>
        <w:t>将认为该子目的价款已包括在工程量清单其他子目的单价和总价中。</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在工程量清单中多报的子目和单价或总价发包人将不予接受，并将被视为重大偏差，按无效投标处理。</w:t>
      </w:r>
    </w:p>
    <w:p w14:paraId="6BDEEF3D">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5、如发现工程量清单中的数量与图纸</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如有）或勘察现场</w:t>
      </w:r>
      <w:r>
        <w:rPr>
          <w:rFonts w:hint="default" w:ascii="Times New Roman" w:hAnsi="Times New Roman" w:eastAsia="方正仿宋_GBK" w:cs="Times New Roman"/>
          <w:color w:val="auto"/>
          <w:sz w:val="24"/>
          <w:szCs w:val="24"/>
          <w:highlight w:val="none"/>
        </w:rPr>
        <w:t>中数量不一致，应于</w:t>
      </w:r>
      <w:r>
        <w:rPr>
          <w:rFonts w:hint="default" w:ascii="Times New Roman" w:hAnsi="Times New Roman" w:eastAsia="方正仿宋_GBK" w:cs="Times New Roman"/>
          <w:color w:val="auto"/>
          <w:sz w:val="24"/>
          <w:szCs w:val="24"/>
          <w:highlight w:val="none"/>
          <w:lang w:val="en-US" w:eastAsia="zh-CN"/>
        </w:rPr>
        <w:t>在开标前</w:t>
      </w:r>
      <w:r>
        <w:rPr>
          <w:rFonts w:hint="default" w:ascii="Times New Roman" w:hAnsi="Times New Roman" w:eastAsia="方正仿宋_GBK" w:cs="Times New Roman"/>
          <w:color w:val="auto"/>
          <w:sz w:val="24"/>
          <w:szCs w:val="24"/>
          <w:highlight w:val="none"/>
        </w:rPr>
        <w:t>书面通知</w:t>
      </w:r>
      <w:r>
        <w:rPr>
          <w:rFonts w:hint="default" w:ascii="Times New Roman" w:hAnsi="Times New Roman" w:eastAsia="方正仿宋_GBK" w:cs="Times New Roman"/>
          <w:color w:val="auto"/>
          <w:sz w:val="24"/>
          <w:szCs w:val="24"/>
          <w:highlight w:val="none"/>
          <w:lang w:val="en-US" w:eastAsia="zh-CN"/>
        </w:rPr>
        <w:t>采购人</w:t>
      </w:r>
      <w:r>
        <w:rPr>
          <w:rFonts w:hint="default" w:ascii="Times New Roman" w:hAnsi="Times New Roman" w:eastAsia="方正仿宋_GBK" w:cs="Times New Roman"/>
          <w:color w:val="auto"/>
          <w:sz w:val="24"/>
          <w:szCs w:val="24"/>
          <w:highlight w:val="none"/>
        </w:rPr>
        <w:t>核查，除非</w:t>
      </w:r>
      <w:r>
        <w:rPr>
          <w:rFonts w:hint="default" w:ascii="Times New Roman" w:hAnsi="Times New Roman" w:eastAsia="方正仿宋_GBK" w:cs="Times New Roman"/>
          <w:color w:val="auto"/>
          <w:sz w:val="24"/>
          <w:szCs w:val="24"/>
          <w:highlight w:val="none"/>
          <w:lang w:val="en-US" w:eastAsia="zh-CN"/>
        </w:rPr>
        <w:t>采购人</w:t>
      </w:r>
      <w:r>
        <w:rPr>
          <w:rFonts w:hint="default" w:ascii="Times New Roman" w:hAnsi="Times New Roman" w:eastAsia="方正仿宋_GBK" w:cs="Times New Roman"/>
          <w:color w:val="auto"/>
          <w:sz w:val="24"/>
          <w:szCs w:val="24"/>
          <w:highlight w:val="none"/>
        </w:rPr>
        <w:t>以补遗书的形式予以更正，否则，应以本工程量清单中列出的数量为准。</w:t>
      </w:r>
    </w:p>
    <w:p w14:paraId="3C2A6D07">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6、</w:t>
      </w:r>
      <w:r>
        <w:rPr>
          <w:rFonts w:hint="default" w:ascii="Times New Roman" w:hAnsi="Times New Roman" w:eastAsia="方正仿宋_GBK" w:cs="Times New Roman"/>
          <w:color w:val="auto"/>
          <w:sz w:val="24"/>
          <w:szCs w:val="24"/>
          <w:highlight w:val="none"/>
          <w:lang w:val="en-US" w:eastAsia="zh-CN"/>
        </w:rPr>
        <w:t>采购人</w:t>
      </w:r>
      <w:r>
        <w:rPr>
          <w:rFonts w:hint="default" w:ascii="Times New Roman" w:hAnsi="Times New Roman" w:eastAsia="方正仿宋_GBK" w:cs="Times New Roman"/>
          <w:color w:val="auto"/>
          <w:sz w:val="24"/>
          <w:szCs w:val="24"/>
          <w:highlight w:val="none"/>
        </w:rPr>
        <w:t>在工程量清单中所列出的价格（包括暂列金额、暂估价等），</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不得修改。否则，将被认定为无效投标。</w:t>
      </w:r>
    </w:p>
    <w:p w14:paraId="503543B3">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7、计量</w:t>
      </w:r>
      <w:r>
        <w:rPr>
          <w:rFonts w:hint="default" w:ascii="Times New Roman" w:hAnsi="Times New Roman" w:eastAsia="方正仿宋_GBK" w:cs="Times New Roman"/>
          <w:color w:val="auto"/>
          <w:sz w:val="24"/>
          <w:szCs w:val="24"/>
          <w:highlight w:val="none"/>
        </w:rPr>
        <w:t>原则</w:t>
      </w:r>
    </w:p>
    <w:p w14:paraId="0D20E7D7">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《建设工程工程量清单计价规范》（GB50500-2013）、《重庆市建设工程工程量清单计价规则》（CQJJGZ-2013）、《重庆市建设工程工程量计算规则》（CQJLGZ－2013）。</w:t>
      </w:r>
    </w:p>
    <w:p w14:paraId="6E6AD4EA">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8、</w:t>
      </w:r>
      <w:r>
        <w:rPr>
          <w:rFonts w:hint="default" w:ascii="Times New Roman" w:hAnsi="Times New Roman" w:eastAsia="方正仿宋_GBK" w:cs="Times New Roman"/>
          <w:color w:val="auto"/>
          <w:sz w:val="24"/>
          <w:szCs w:val="24"/>
          <w:highlight w:val="none"/>
        </w:rPr>
        <w:t>计价原则</w:t>
      </w:r>
    </w:p>
    <w:p w14:paraId="5D53C1E6">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本项目采用全费用综合单价计价，预算编制清单中将安装费与材料费单价进行了拆分，单价中均包含了机械费、管理费、利润、规费、税金等费用；《重庆市建筑工程计价定额》（CQJZDE-2018）、《重庆市建设工程费用定额》（CQFYDE-2018）、《重庆市房屋建筑与装饰工程计价定额》（CQJZZSDE-2018）、《重庆市通用安装工程计价定额》（CQAZDE-2018）、《重庆市房屋修缮工程计价定额》(CQXSDE-2018)及相关配套文件</w:t>
      </w:r>
      <w:r>
        <w:rPr>
          <w:rFonts w:hint="default" w:ascii="Times New Roman" w:hAnsi="Times New Roman" w:eastAsia="方正仿宋_GBK" w:cs="Times New Roman"/>
          <w:color w:val="auto"/>
          <w:sz w:val="24"/>
          <w:szCs w:val="24"/>
          <w:highlight w:val="none"/>
          <w:lang w:eastAsia="zh-CN"/>
        </w:rPr>
        <w:t>；</w:t>
      </w:r>
    </w:p>
    <w:p w14:paraId="05B80F61">
      <w:pPr>
        <w:spacing w:line="400" w:lineRule="exact"/>
        <w:ind w:firstLine="480" w:firstLineChars="200"/>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lang w:val="en-US" w:eastAsia="zh-CN"/>
        </w:rPr>
        <w:t>9、</w:t>
      </w:r>
      <w:r>
        <w:rPr>
          <w:rFonts w:hint="default" w:ascii="Times New Roman" w:hAnsi="Times New Roman" w:eastAsia="方正仿宋_GBK" w:cs="Times New Roman"/>
          <w:color w:val="auto"/>
          <w:sz w:val="24"/>
          <w:szCs w:val="24"/>
          <w:highlight w:val="none"/>
        </w:rPr>
        <w:t>人工单价采用《重庆工程造价信息》（秀山县）2025年</w:t>
      </w:r>
      <w:r>
        <w:rPr>
          <w:rFonts w:hint="eastAsia" w:eastAsia="方正仿宋_GBK" w:cs="Times New Roman"/>
          <w:color w:val="auto"/>
          <w:sz w:val="24"/>
          <w:szCs w:val="24"/>
          <w:highlight w:val="none"/>
          <w:lang w:val="en-US" w:eastAsia="zh-CN"/>
        </w:rPr>
        <w:t>三季度</w:t>
      </w:r>
      <w:r>
        <w:rPr>
          <w:rFonts w:hint="default" w:ascii="Times New Roman" w:hAnsi="Times New Roman" w:eastAsia="方正仿宋_GBK" w:cs="Times New Roman"/>
          <w:color w:val="auto"/>
          <w:sz w:val="24"/>
          <w:szCs w:val="24"/>
          <w:highlight w:val="none"/>
        </w:rPr>
        <w:t>价格；材料单价</w:t>
      </w:r>
      <w:r>
        <w:rPr>
          <w:rFonts w:hint="default" w:ascii="Times New Roman" w:hAnsi="Times New Roman" w:eastAsia="方正仿宋_GBK" w:cs="Times New Roman"/>
          <w:color w:val="auto"/>
          <w:sz w:val="24"/>
          <w:szCs w:val="24"/>
          <w:highlight w:val="none"/>
          <w:lang w:eastAsia="zh-CN"/>
        </w:rPr>
        <w:t>对于有信息价的材料和设备优先采用《重庆工程造价信息》2025年</w:t>
      </w:r>
      <w:r>
        <w:rPr>
          <w:rFonts w:hint="eastAsia" w:eastAsia="方正仿宋_GBK" w:cs="Times New Roman"/>
          <w:color w:val="auto"/>
          <w:sz w:val="24"/>
          <w:szCs w:val="24"/>
          <w:highlight w:val="none"/>
          <w:lang w:val="en-US" w:eastAsia="zh-CN"/>
        </w:rPr>
        <w:t>9</w:t>
      </w:r>
      <w:r>
        <w:rPr>
          <w:rFonts w:hint="default" w:ascii="Times New Roman" w:hAnsi="Times New Roman" w:eastAsia="方正仿宋_GBK" w:cs="Times New Roman"/>
          <w:color w:val="auto"/>
          <w:sz w:val="24"/>
          <w:szCs w:val="24"/>
          <w:highlight w:val="none"/>
          <w:lang w:eastAsia="zh-CN"/>
        </w:rPr>
        <w:t>月秀山县的价格，秀山县信息价中没有的采用重庆主城区同期信息价，无信息价的材料和设备参考市场价执行；</w:t>
      </w:r>
    </w:p>
    <w:p w14:paraId="472F1DD1">
      <w:pPr>
        <w:spacing w:line="400" w:lineRule="exact"/>
        <w:ind w:firstLine="480" w:firstLineChars="200"/>
        <w:rPr>
          <w:rFonts w:hint="default" w:ascii="Times New Roman" w:hAnsi="Times New Roman" w:eastAsia="方正仿宋_GBK" w:cs="Times New Roman"/>
          <w:color w:val="auto"/>
          <w:sz w:val="24"/>
          <w:szCs w:val="24"/>
          <w:highlight w:val="none"/>
          <w:lang w:eastAsia="zh-CN"/>
        </w:rPr>
      </w:pPr>
      <w:r>
        <w:rPr>
          <w:rFonts w:hint="eastAsia" w:eastAsia="方正仿宋_GBK" w:cs="Times New Roman"/>
          <w:color w:val="auto"/>
          <w:sz w:val="24"/>
          <w:szCs w:val="24"/>
          <w:highlight w:val="none"/>
          <w:lang w:val="en-US" w:eastAsia="zh-CN"/>
        </w:rPr>
        <w:t>10</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建设工程竣工档案编制费参照2018年《重庆市建设工程费用定额》调整后的费用标准计取</w:t>
      </w:r>
      <w:r>
        <w:rPr>
          <w:rFonts w:hint="default" w:ascii="Times New Roman" w:hAnsi="Times New Roman" w:eastAsia="方正仿宋_GBK" w:cs="Times New Roman"/>
          <w:color w:val="auto"/>
          <w:sz w:val="24"/>
          <w:szCs w:val="24"/>
          <w:highlight w:val="none"/>
          <w:lang w:eastAsia="zh-CN"/>
        </w:rPr>
        <w:t>；</w:t>
      </w:r>
    </w:p>
    <w:p w14:paraId="0626B8AC">
      <w:pPr>
        <w:spacing w:line="4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eastAsia" w:eastAsia="方正仿宋_GBK" w:cs="Times New Roman"/>
          <w:color w:val="auto"/>
          <w:sz w:val="24"/>
          <w:szCs w:val="24"/>
          <w:highlight w:val="none"/>
          <w:lang w:val="en-US" w:eastAsia="zh-CN"/>
        </w:rPr>
        <w:t>11</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按照国家和重庆市相关规定，增值税参照2018年《重庆市建设工程费用定额》按一般计税法计算。</w:t>
      </w:r>
    </w:p>
    <w:p w14:paraId="34008C07">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eastAsia" w:eastAsia="方正仿宋_GBK" w:cs="Times New Roman"/>
          <w:color w:val="auto"/>
          <w:sz w:val="24"/>
          <w:szCs w:val="24"/>
          <w:highlight w:val="none"/>
          <w:lang w:val="en-US" w:eastAsia="zh-CN"/>
        </w:rPr>
        <w:t>12</w:t>
      </w:r>
      <w:r>
        <w:rPr>
          <w:rFonts w:hint="default" w:ascii="Times New Roman" w:hAnsi="Times New Roman" w:eastAsia="方正仿宋_GBK" w:cs="Times New Roman"/>
          <w:color w:val="auto"/>
          <w:sz w:val="24"/>
          <w:szCs w:val="24"/>
          <w:highlight w:val="none"/>
        </w:rPr>
        <w:t>、本工程</w:t>
      </w:r>
      <w:r>
        <w:rPr>
          <w:rFonts w:hint="default" w:ascii="Times New Roman" w:hAnsi="Times New Roman" w:eastAsia="方正仿宋_GBK" w:cs="Times New Roman"/>
          <w:color w:val="auto"/>
          <w:sz w:val="24"/>
          <w:szCs w:val="24"/>
          <w:highlight w:val="none"/>
          <w:lang w:val="en-US" w:eastAsia="zh-CN"/>
        </w:rPr>
        <w:t>项目</w:t>
      </w:r>
      <w:r>
        <w:rPr>
          <w:rFonts w:hint="default" w:ascii="Times New Roman" w:hAnsi="Times New Roman" w:eastAsia="方正仿宋_GBK" w:cs="Times New Roman"/>
          <w:color w:val="auto"/>
          <w:sz w:val="24"/>
          <w:szCs w:val="24"/>
          <w:highlight w:val="none"/>
        </w:rPr>
        <w:t>设置总报价和清单单价最高限价，与</w:t>
      </w:r>
      <w:r>
        <w:rPr>
          <w:rFonts w:hint="default" w:ascii="Times New Roman" w:hAnsi="Times New Roman" w:eastAsia="方正仿宋_GBK" w:cs="Times New Roman"/>
          <w:color w:val="auto"/>
          <w:sz w:val="24"/>
          <w:szCs w:val="24"/>
          <w:highlight w:val="none"/>
          <w:lang w:eastAsia="zh-CN"/>
        </w:rPr>
        <w:t>竞采文件</w:t>
      </w:r>
      <w:r>
        <w:rPr>
          <w:rFonts w:hint="default" w:ascii="Times New Roman" w:hAnsi="Times New Roman" w:eastAsia="方正仿宋_GBK" w:cs="Times New Roman"/>
          <w:color w:val="auto"/>
          <w:sz w:val="24"/>
          <w:szCs w:val="24"/>
          <w:highlight w:val="none"/>
        </w:rPr>
        <w:t>同时发布。</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的总报价和清单单价不得超过最高限价，否则按废标处理。</w:t>
      </w:r>
    </w:p>
    <w:p w14:paraId="3A170805">
      <w:pPr>
        <w:spacing w:line="400" w:lineRule="exact"/>
        <w:ind w:firstLine="480" w:firstLineChars="200"/>
        <w:rPr>
          <w:rFonts w:hint="eastAsia" w:ascii="Times New Roman" w:hAnsi="Times New Roman" w:eastAsia="方正仿宋_GBK" w:cs="Times New Roman"/>
          <w:b/>
          <w:bCs/>
          <w:color w:val="auto"/>
          <w:sz w:val="24"/>
          <w:szCs w:val="24"/>
          <w:highlight w:val="none"/>
          <w:u w:val="single"/>
          <w:lang w:eastAsia="zh-CN"/>
        </w:rPr>
      </w:pPr>
      <w:r>
        <w:rPr>
          <w:rFonts w:hint="eastAsia" w:eastAsia="方正仿宋_GBK" w:cs="Times New Roman"/>
          <w:color w:val="auto"/>
          <w:sz w:val="24"/>
          <w:szCs w:val="24"/>
          <w:highlight w:val="none"/>
          <w:lang w:val="en-US" w:eastAsia="zh-CN"/>
        </w:rPr>
        <w:t>13</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b/>
          <w:bCs/>
          <w:color w:val="auto"/>
          <w:sz w:val="24"/>
          <w:szCs w:val="24"/>
          <w:highlight w:val="none"/>
        </w:rPr>
        <w:t>本项目总报价最高限价为人民币（大写）：</w:t>
      </w:r>
      <w:r>
        <w:rPr>
          <w:rFonts w:hint="eastAsia" w:ascii="Times New Roman" w:hAnsi="Times New Roman" w:eastAsia="方正仿宋_GBK" w:cs="Times New Roman"/>
          <w:b/>
          <w:bCs/>
          <w:color w:val="auto"/>
          <w:sz w:val="24"/>
          <w:szCs w:val="24"/>
          <w:highlight w:val="none"/>
          <w:u w:val="single"/>
          <w:lang w:val="en-US" w:eastAsia="zh-CN"/>
        </w:rPr>
        <w:t>捌万柒仟零玖拾肆元捌角</w:t>
      </w:r>
      <w:r>
        <w:rPr>
          <w:rFonts w:hint="default" w:ascii="Times New Roman" w:hAnsi="Times New Roman" w:eastAsia="方正仿宋_GBK" w:cs="Times New Roman"/>
          <w:b/>
          <w:bCs/>
          <w:color w:val="auto"/>
          <w:sz w:val="24"/>
          <w:szCs w:val="24"/>
          <w:highlight w:val="none"/>
          <w:u w:val="single"/>
        </w:rPr>
        <w:t>（</w:t>
      </w:r>
      <w:r>
        <w:rPr>
          <w:rFonts w:hint="default" w:ascii="Times New Roman" w:hAnsi="Times New Roman" w:eastAsia="方正仿宋_GBK" w:cs="Times New Roman"/>
          <w:b/>
          <w:bCs/>
          <w:color w:val="auto"/>
          <w:sz w:val="24"/>
          <w:szCs w:val="24"/>
          <w:highlight w:val="none"/>
          <w:u w:val="single"/>
          <w:lang w:val="en-US" w:eastAsia="zh-CN"/>
        </w:rPr>
        <w:t>87094.8</w:t>
      </w:r>
      <w:r>
        <w:rPr>
          <w:rFonts w:hint="default" w:ascii="Times New Roman" w:hAnsi="Times New Roman" w:eastAsia="方正仿宋_GBK" w:cs="Times New Roman"/>
          <w:b/>
          <w:bCs/>
          <w:color w:val="auto"/>
          <w:sz w:val="24"/>
          <w:szCs w:val="24"/>
          <w:highlight w:val="none"/>
          <w:u w:val="single"/>
        </w:rPr>
        <w:t>元）</w:t>
      </w:r>
      <w:r>
        <w:rPr>
          <w:rFonts w:hint="eastAsia" w:ascii="Times New Roman" w:hAnsi="Times New Roman" w:eastAsia="方正仿宋_GBK" w:cs="Times New Roman"/>
          <w:b/>
          <w:bCs/>
          <w:color w:val="auto"/>
          <w:sz w:val="24"/>
          <w:szCs w:val="24"/>
          <w:highlight w:val="none"/>
          <w:u w:val="single"/>
          <w:lang w:eastAsia="zh-CN"/>
        </w:rPr>
        <w:t>。</w:t>
      </w:r>
    </w:p>
    <w:p w14:paraId="5C96B3FF">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eastAsia"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rPr>
        <w:t>.其他说明</w:t>
      </w:r>
    </w:p>
    <w:p w14:paraId="47616D83">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eastAsia"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rPr>
        <w:t>.1</w:t>
      </w:r>
      <w:r>
        <w:rPr>
          <w:rFonts w:hint="default" w:ascii="Times New Roman" w:hAnsi="Times New Roman" w:eastAsia="方正仿宋_GBK" w:cs="Times New Roman"/>
          <w:color w:val="auto"/>
          <w:sz w:val="24"/>
          <w:szCs w:val="24"/>
          <w:highlight w:val="none"/>
          <w:lang w:eastAsia="zh-CN"/>
        </w:rPr>
        <w:t>竞采文件</w:t>
      </w:r>
      <w:r>
        <w:rPr>
          <w:rFonts w:hint="default" w:ascii="Times New Roman" w:hAnsi="Times New Roman" w:eastAsia="方正仿宋_GBK" w:cs="Times New Roman"/>
          <w:color w:val="auto"/>
          <w:sz w:val="24"/>
          <w:szCs w:val="24"/>
          <w:highlight w:val="none"/>
        </w:rPr>
        <w:t>报价函中的总报价必须与工程量清单报价表所报金额一致，若不一致，作无效处理；</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不得对</w:t>
      </w:r>
      <w:r>
        <w:rPr>
          <w:rFonts w:hint="default" w:ascii="Times New Roman" w:hAnsi="Times New Roman" w:eastAsia="方正仿宋_GBK" w:cs="Times New Roman"/>
          <w:color w:val="auto"/>
          <w:sz w:val="24"/>
          <w:szCs w:val="24"/>
          <w:highlight w:val="none"/>
          <w:lang w:eastAsia="zh-CN"/>
        </w:rPr>
        <w:t>采购人</w:t>
      </w:r>
      <w:r>
        <w:rPr>
          <w:rFonts w:hint="default" w:ascii="Times New Roman" w:hAnsi="Times New Roman" w:eastAsia="方正仿宋_GBK" w:cs="Times New Roman"/>
          <w:color w:val="auto"/>
          <w:sz w:val="24"/>
          <w:szCs w:val="24"/>
          <w:highlight w:val="none"/>
        </w:rPr>
        <w:t>发出的工程量清单的项、量进行修改或省略项目特征，否则按无效处理。</w:t>
      </w:r>
    </w:p>
    <w:p w14:paraId="7E051C99">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eastAsia"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rPr>
        <w:t>.2按政策和合同约定的应由</w:t>
      </w:r>
      <w:r>
        <w:rPr>
          <w:rFonts w:hint="default" w:ascii="Times New Roman" w:hAnsi="Times New Roman" w:eastAsia="方正仿宋_GBK" w:cs="Times New Roman"/>
          <w:color w:val="auto"/>
          <w:sz w:val="24"/>
          <w:szCs w:val="24"/>
          <w:highlight w:val="none"/>
          <w:lang w:eastAsia="zh-CN"/>
        </w:rPr>
        <w:t>中标人</w:t>
      </w:r>
      <w:r>
        <w:rPr>
          <w:rFonts w:hint="default" w:ascii="Times New Roman" w:hAnsi="Times New Roman" w:eastAsia="方正仿宋_GBK" w:cs="Times New Roman"/>
          <w:color w:val="auto"/>
          <w:sz w:val="24"/>
          <w:szCs w:val="24"/>
          <w:highlight w:val="none"/>
        </w:rPr>
        <w:t>交纳的各种保险费由</w:t>
      </w:r>
      <w:r>
        <w:rPr>
          <w:rFonts w:hint="default" w:ascii="Times New Roman" w:hAnsi="Times New Roman" w:eastAsia="方正仿宋_GBK" w:cs="Times New Roman"/>
          <w:color w:val="auto"/>
          <w:sz w:val="24"/>
          <w:szCs w:val="24"/>
          <w:highlight w:val="none"/>
          <w:lang w:eastAsia="zh-CN"/>
        </w:rPr>
        <w:t>中标人</w:t>
      </w:r>
      <w:r>
        <w:rPr>
          <w:rFonts w:hint="default" w:ascii="Times New Roman" w:hAnsi="Times New Roman" w:eastAsia="方正仿宋_GBK" w:cs="Times New Roman"/>
          <w:color w:val="auto"/>
          <w:sz w:val="24"/>
          <w:szCs w:val="24"/>
          <w:highlight w:val="none"/>
        </w:rPr>
        <w:t>自行投保，保险费由</w:t>
      </w:r>
      <w:r>
        <w:rPr>
          <w:rFonts w:hint="default" w:ascii="Times New Roman" w:hAnsi="Times New Roman" w:eastAsia="方正仿宋_GBK" w:cs="Times New Roman"/>
          <w:color w:val="auto"/>
          <w:sz w:val="24"/>
          <w:szCs w:val="24"/>
          <w:highlight w:val="none"/>
          <w:lang w:eastAsia="zh-CN"/>
        </w:rPr>
        <w:t>中标人</w:t>
      </w:r>
      <w:r>
        <w:rPr>
          <w:rFonts w:hint="default" w:ascii="Times New Roman" w:hAnsi="Times New Roman" w:eastAsia="方正仿宋_GBK" w:cs="Times New Roman"/>
          <w:color w:val="auto"/>
          <w:sz w:val="24"/>
          <w:szCs w:val="24"/>
          <w:highlight w:val="none"/>
        </w:rPr>
        <w:t>承担并支付，并根据企业自身和本工程情况，测算包含在相应的报价中。</w:t>
      </w:r>
    </w:p>
    <w:p w14:paraId="4F2D3A8F">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eastAsia"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rPr>
        <w:t>.3 符合合同条款规定的全部费用应认为已被计入有标价的工程量清单所列各子目之中，未列子目不予计量的工作，其费用应视为已分摊在本合同工程的有关子目的单价或总价之中。</w:t>
      </w:r>
    </w:p>
    <w:p w14:paraId="7FEA6354">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eastAsia"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rPr>
        <w:t>4每一项目只允许有一个报价。任何有选择的报价将不予接受，其响应文件为无效。</w:t>
      </w:r>
    </w:p>
    <w:p w14:paraId="5BE6C27A">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eastAsia"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rPr>
        <w:t>.5各</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对于相同的工程量清单（即工作内容和项目特征描述相同）报价须一致。若出现报价不一致，按无效处理。</w:t>
      </w:r>
    </w:p>
    <w:p w14:paraId="40C724D8">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eastAsia"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rPr>
        <w:t>.6弃渣外运运距及处置费各</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自行考虑，纳入分部分项工程量清单项目报价中，包干使用。</w:t>
      </w:r>
    </w:p>
    <w:p w14:paraId="73B36BEE">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eastAsia"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rPr>
        <w:t>.7</w:t>
      </w:r>
      <w:r>
        <w:rPr>
          <w:rFonts w:hint="default" w:ascii="Times New Roman" w:hAnsi="Times New Roman" w:eastAsia="方正仿宋_GBK" w:cs="Times New Roman"/>
          <w:color w:val="auto"/>
          <w:sz w:val="24"/>
          <w:szCs w:val="24"/>
          <w:highlight w:val="none"/>
          <w:lang w:eastAsia="zh-CN"/>
        </w:rPr>
        <w:t>采购人</w:t>
      </w:r>
      <w:r>
        <w:rPr>
          <w:rFonts w:hint="default" w:ascii="Times New Roman" w:hAnsi="Times New Roman" w:eastAsia="方正仿宋_GBK" w:cs="Times New Roman"/>
          <w:color w:val="auto"/>
          <w:sz w:val="24"/>
          <w:szCs w:val="24"/>
          <w:highlight w:val="none"/>
        </w:rPr>
        <w:t>提供水电接口，水电所有费用已包含在</w:t>
      </w:r>
      <w:r>
        <w:rPr>
          <w:rFonts w:hint="default" w:ascii="Times New Roman" w:hAnsi="Times New Roman" w:eastAsia="方正仿宋_GBK" w:cs="Times New Roman"/>
          <w:color w:val="auto"/>
          <w:sz w:val="24"/>
          <w:szCs w:val="24"/>
          <w:highlight w:val="none"/>
          <w:lang w:eastAsia="zh-CN"/>
        </w:rPr>
        <w:t>中标人竞采</w:t>
      </w:r>
      <w:r>
        <w:rPr>
          <w:rFonts w:hint="default" w:ascii="Times New Roman" w:hAnsi="Times New Roman" w:eastAsia="方正仿宋_GBK" w:cs="Times New Roman"/>
          <w:color w:val="auto"/>
          <w:sz w:val="24"/>
          <w:szCs w:val="24"/>
          <w:highlight w:val="none"/>
        </w:rPr>
        <w:t>报价中包干使用，结算时不作调整。为了不受停电影响延误工期，</w:t>
      </w:r>
      <w:r>
        <w:rPr>
          <w:rFonts w:hint="default" w:ascii="Times New Roman" w:hAnsi="Times New Roman" w:eastAsia="方正仿宋_GBK" w:cs="Times New Roman"/>
          <w:color w:val="auto"/>
          <w:sz w:val="24"/>
          <w:szCs w:val="24"/>
          <w:highlight w:val="none"/>
          <w:lang w:eastAsia="zh-CN"/>
        </w:rPr>
        <w:t>中标人</w:t>
      </w:r>
      <w:r>
        <w:rPr>
          <w:rFonts w:hint="default" w:ascii="Times New Roman" w:hAnsi="Times New Roman" w:eastAsia="方正仿宋_GBK" w:cs="Times New Roman"/>
          <w:color w:val="auto"/>
          <w:sz w:val="24"/>
          <w:szCs w:val="24"/>
          <w:highlight w:val="none"/>
        </w:rPr>
        <w:t>应自行预备柴油发电机组，确保施工期间能正常使用，</w:t>
      </w:r>
      <w:r>
        <w:rPr>
          <w:rFonts w:hint="default" w:ascii="Times New Roman" w:hAnsi="Times New Roman" w:eastAsia="方正仿宋_GBK" w:cs="Times New Roman"/>
          <w:color w:val="auto"/>
          <w:sz w:val="24"/>
          <w:szCs w:val="24"/>
          <w:highlight w:val="none"/>
          <w:lang w:eastAsia="zh-CN"/>
        </w:rPr>
        <w:t>采购人</w:t>
      </w:r>
      <w:r>
        <w:rPr>
          <w:rFonts w:hint="default" w:ascii="Times New Roman" w:hAnsi="Times New Roman" w:eastAsia="方正仿宋_GBK" w:cs="Times New Roman"/>
          <w:color w:val="auto"/>
          <w:sz w:val="24"/>
          <w:szCs w:val="24"/>
          <w:highlight w:val="none"/>
        </w:rPr>
        <w:t>不对其费用予以补偿。如停电，由</w:t>
      </w:r>
      <w:r>
        <w:rPr>
          <w:rFonts w:hint="default" w:ascii="Times New Roman" w:hAnsi="Times New Roman" w:eastAsia="方正仿宋_GBK" w:cs="Times New Roman"/>
          <w:color w:val="auto"/>
          <w:sz w:val="24"/>
          <w:szCs w:val="24"/>
          <w:highlight w:val="none"/>
          <w:lang w:eastAsia="zh-CN"/>
        </w:rPr>
        <w:t>中标人</w:t>
      </w:r>
      <w:r>
        <w:rPr>
          <w:rFonts w:hint="default" w:ascii="Times New Roman" w:hAnsi="Times New Roman" w:eastAsia="方正仿宋_GBK" w:cs="Times New Roman"/>
          <w:color w:val="auto"/>
          <w:sz w:val="24"/>
          <w:szCs w:val="24"/>
          <w:highlight w:val="none"/>
        </w:rPr>
        <w:t>自行发电，</w:t>
      </w:r>
      <w:r>
        <w:rPr>
          <w:rFonts w:hint="default" w:ascii="Times New Roman" w:hAnsi="Times New Roman" w:eastAsia="方正仿宋_GBK" w:cs="Times New Roman"/>
          <w:color w:val="auto"/>
          <w:sz w:val="24"/>
          <w:szCs w:val="24"/>
          <w:highlight w:val="none"/>
          <w:lang w:eastAsia="zh-CN"/>
        </w:rPr>
        <w:t>中标人</w:t>
      </w:r>
      <w:r>
        <w:rPr>
          <w:rFonts w:hint="default" w:ascii="Times New Roman" w:hAnsi="Times New Roman" w:eastAsia="方正仿宋_GBK" w:cs="Times New Roman"/>
          <w:color w:val="auto"/>
          <w:sz w:val="24"/>
          <w:szCs w:val="24"/>
          <w:highlight w:val="none"/>
        </w:rPr>
        <w:t>应自行考虑该因素的有关费用，</w:t>
      </w:r>
      <w:r>
        <w:rPr>
          <w:rFonts w:hint="default" w:ascii="Times New Roman" w:hAnsi="Times New Roman" w:eastAsia="方正仿宋_GBK" w:cs="Times New Roman"/>
          <w:color w:val="auto"/>
          <w:sz w:val="24"/>
          <w:szCs w:val="24"/>
          <w:highlight w:val="none"/>
          <w:lang w:eastAsia="zh-CN"/>
        </w:rPr>
        <w:t>采购人</w:t>
      </w:r>
      <w:r>
        <w:rPr>
          <w:rFonts w:hint="default" w:ascii="Times New Roman" w:hAnsi="Times New Roman" w:eastAsia="方正仿宋_GBK" w:cs="Times New Roman"/>
          <w:color w:val="auto"/>
          <w:sz w:val="24"/>
          <w:szCs w:val="24"/>
          <w:highlight w:val="none"/>
        </w:rPr>
        <w:t>不对发电费用予以补偿。</w:t>
      </w:r>
    </w:p>
    <w:p w14:paraId="18827F5F">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eastAsia"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rPr>
        <w:t>.8</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可以在响应文件递交截止时间前往现场踏勘以充分了解工地位置、地质情况、地下管网状况、进出场道路、交通管制、拆迁干扰、储存空间、装卸限制、水电接口、行车干扰、人行交通及任何其它足以影响承包价格的情况，任何因忽视或误解工地情况而导致的索赔或工期延长申请将不获批准。</w:t>
      </w:r>
    </w:p>
    <w:p w14:paraId="11BFAA0F">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eastAsia"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rPr>
        <w:t>.9各</w:t>
      </w:r>
      <w:r>
        <w:rPr>
          <w:rFonts w:hint="default" w:ascii="Times New Roman" w:hAnsi="Times New Roman" w:eastAsia="方正仿宋_GBK" w:cs="Times New Roman"/>
          <w:color w:val="auto"/>
          <w:sz w:val="24"/>
          <w:szCs w:val="24"/>
          <w:highlight w:val="none"/>
          <w:lang w:eastAsia="zh-CN"/>
        </w:rPr>
        <w:t>供应商</w:t>
      </w:r>
      <w:r>
        <w:rPr>
          <w:rFonts w:hint="default" w:ascii="Times New Roman" w:hAnsi="Times New Roman" w:eastAsia="方正仿宋_GBK" w:cs="Times New Roman"/>
          <w:color w:val="auto"/>
          <w:sz w:val="24"/>
          <w:szCs w:val="24"/>
          <w:highlight w:val="none"/>
        </w:rPr>
        <w:t>根据</w:t>
      </w:r>
      <w:r>
        <w:rPr>
          <w:rFonts w:hint="default" w:ascii="Times New Roman" w:hAnsi="Times New Roman" w:eastAsia="方正仿宋_GBK" w:cs="Times New Roman"/>
          <w:color w:val="auto"/>
          <w:sz w:val="24"/>
          <w:szCs w:val="24"/>
          <w:highlight w:val="none"/>
          <w:lang w:eastAsia="zh-CN"/>
        </w:rPr>
        <w:t>采购人</w:t>
      </w:r>
      <w:r>
        <w:rPr>
          <w:rFonts w:hint="default" w:ascii="Times New Roman" w:hAnsi="Times New Roman" w:eastAsia="方正仿宋_GBK" w:cs="Times New Roman"/>
          <w:color w:val="auto"/>
          <w:sz w:val="24"/>
          <w:szCs w:val="24"/>
          <w:highlight w:val="none"/>
        </w:rPr>
        <w:t>提供的工程量清单规定的表格，结合本项目并根据实际情况填报工程量清单。</w:t>
      </w:r>
    </w:p>
    <w:p w14:paraId="116555EA">
      <w:pPr>
        <w:pStyle w:val="2"/>
        <w:adjustRightInd w:val="0"/>
        <w:snapToGrid w:val="0"/>
        <w:spacing w:before="0" w:after="0" w:line="400" w:lineRule="exact"/>
        <w:ind w:firstLine="482" w:firstLineChars="200"/>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color w:val="auto"/>
          <w:sz w:val="24"/>
          <w:szCs w:val="24"/>
          <w:highlight w:val="none"/>
          <w:lang w:eastAsia="zh-CN"/>
        </w:rPr>
        <w:t>注：请</w:t>
      </w:r>
      <w:r>
        <w:rPr>
          <w:rFonts w:hint="default" w:ascii="Times New Roman" w:hAnsi="Times New Roman" w:eastAsia="方正仿宋_GBK" w:cs="Times New Roman"/>
          <w:color w:val="auto"/>
          <w:sz w:val="24"/>
          <w:szCs w:val="24"/>
          <w:highlight w:val="none"/>
          <w:lang w:val="en-US" w:eastAsia="zh-CN"/>
        </w:rPr>
        <w:t>供应商</w:t>
      </w:r>
      <w:r>
        <w:rPr>
          <w:rFonts w:hint="default" w:ascii="Times New Roman" w:hAnsi="Times New Roman" w:eastAsia="方正仿宋_GBK" w:cs="Times New Roman"/>
          <w:color w:val="auto"/>
          <w:sz w:val="24"/>
          <w:szCs w:val="24"/>
          <w:highlight w:val="none"/>
          <w:lang w:eastAsia="zh-CN"/>
        </w:rPr>
        <w:t>根据采购人发布的工程量清单填写，不得修改采购人发布的工程量清单中的实质性内容。</w:t>
      </w:r>
    </w:p>
    <w:p w14:paraId="0DD2E990">
      <w:pPr>
        <w:snapToGrid w:val="0"/>
        <w:spacing w:line="400" w:lineRule="exact"/>
        <w:ind w:firstLine="482" w:firstLineChars="200"/>
        <w:rPr>
          <w:rFonts w:hint="default" w:ascii="Times New Roman" w:hAnsi="Times New Roman" w:eastAsia="方正仿宋_GBK" w:cs="Times New Roman"/>
          <w:b/>
          <w:bCs/>
          <w:color w:val="000000" w:themeColor="text1"/>
          <w:kern w:val="0"/>
          <w:sz w:val="24"/>
          <w:szCs w:val="24"/>
          <w:highlight w:val="none"/>
          <w:lang w:val="en-US" w:eastAsia="zh-CN"/>
          <w14:textFill>
            <w14:solidFill>
              <w14:schemeClr w14:val="tx1"/>
            </w14:solidFill>
          </w14:textFill>
        </w:rPr>
      </w:pPr>
      <w:bookmarkStart w:id="59" w:name="_Toc267320052"/>
      <w:bookmarkStart w:id="60" w:name="_Toc156895493"/>
      <w:bookmarkStart w:id="61" w:name="_Toc3311"/>
      <w:bookmarkStart w:id="62" w:name="_Toc20369"/>
      <w:bookmarkStart w:id="63" w:name="_Toc27144"/>
      <w:bookmarkStart w:id="64" w:name="_Toc22431"/>
      <w:bookmarkStart w:id="65" w:name="_Toc4339"/>
      <w:bookmarkStart w:id="66" w:name="_Toc119949881"/>
      <w:bookmarkStart w:id="67" w:name="_Toc18959"/>
      <w:bookmarkStart w:id="68" w:name="_Toc9213"/>
      <w:bookmarkStart w:id="69" w:name="_Toc11399"/>
      <w:bookmarkStart w:id="70" w:name="_Toc28056"/>
      <w:bookmarkStart w:id="71" w:name="_Toc4897"/>
      <w:bookmarkStart w:id="72" w:name="_Toc25410"/>
      <w:bookmarkStart w:id="73" w:name="_Toc119579782"/>
      <w:bookmarkStart w:id="74" w:name="_Toc75793513"/>
      <w:bookmarkStart w:id="75" w:name="_Toc3565"/>
      <w:bookmarkStart w:id="76" w:name="_Toc10105"/>
      <w:bookmarkStart w:id="77" w:name="_Toc11060"/>
      <w:r>
        <w:rPr>
          <w:rFonts w:hint="default" w:ascii="Times New Roman" w:hAnsi="Times New Roman" w:eastAsia="方正仿宋_GBK" w:cs="Times New Roman"/>
          <w:b/>
          <w:bCs/>
          <w:color w:val="000000" w:themeColor="text1"/>
          <w:kern w:val="0"/>
          <w:sz w:val="24"/>
          <w:szCs w:val="24"/>
          <w:highlight w:val="none"/>
          <w:lang w:val="en-US" w:eastAsia="zh-CN"/>
          <w14:textFill>
            <w14:solidFill>
              <w14:schemeClr w14:val="tx1"/>
            </w14:solidFill>
          </w14:textFill>
        </w:rPr>
        <w:t xml:space="preserve">四、付款方式 </w:t>
      </w:r>
    </w:p>
    <w:p w14:paraId="17330932">
      <w:pPr>
        <w:numPr>
          <w:ilvl w:val="0"/>
          <w:numId w:val="0"/>
        </w:numPr>
        <w:snapToGrid w:val="0"/>
        <w:spacing w:line="400" w:lineRule="exact"/>
        <w:ind w:firstLine="480" w:firstLineChars="200"/>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color w:val="auto"/>
          <w:sz w:val="24"/>
          <w:szCs w:val="28"/>
          <w:highlight w:val="none"/>
          <w:lang w:val="en-US" w:eastAsia="zh-CN"/>
        </w:rPr>
        <w:t>（1）项目完工验收合格后，经审核，支付至审定金额的97%</w:t>
      </w:r>
      <w:r>
        <w:rPr>
          <w:rFonts w:hint="eastAsia" w:ascii="Times New Roman" w:hAnsi="Times New Roman" w:eastAsia="方正仿宋_GBK" w:cs="Times New Roman"/>
          <w:color w:val="auto"/>
          <w:sz w:val="24"/>
          <w:szCs w:val="28"/>
          <w:highlight w:val="none"/>
          <w:lang w:val="en-US" w:eastAsia="zh-CN"/>
        </w:rPr>
        <w:t>，</w:t>
      </w:r>
      <w:r>
        <w:rPr>
          <w:rFonts w:hint="default" w:ascii="Times New Roman" w:hAnsi="Times New Roman" w:eastAsia="方正仿宋_GBK" w:cs="Times New Roman"/>
          <w:color w:val="auto"/>
          <w:sz w:val="24"/>
          <w:szCs w:val="28"/>
          <w:highlight w:val="none"/>
          <w:lang w:val="en-US" w:eastAsia="zh-CN"/>
        </w:rPr>
        <w:t>一年质保期满后支付剩余审定金额的3%</w:t>
      </w:r>
      <w:r>
        <w:rPr>
          <w:rFonts w:hint="default" w:ascii="Times New Roman" w:hAnsi="Times New Roman" w:eastAsia="方正仿宋_GBK" w:cs="Times New Roman"/>
          <w:color w:val="000000" w:themeColor="text1"/>
          <w:kern w:val="0"/>
          <w:sz w:val="24"/>
          <w:szCs w:val="24"/>
          <w:highlight w:val="none"/>
          <w:lang w:val="en-US" w:eastAsia="zh-CN"/>
          <w14:textFill>
            <w14:solidFill>
              <w14:schemeClr w14:val="tx1"/>
            </w14:solidFill>
          </w14:textFill>
        </w:rPr>
        <w:t>。</w:t>
      </w:r>
    </w:p>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14:paraId="2BB8EB48">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五、农民工工资</w:t>
      </w:r>
    </w:p>
    <w:p w14:paraId="259C3F11">
      <w:pPr>
        <w:spacing w:line="400" w:lineRule="exact"/>
        <w:ind w:firstLine="480" w:firstLineChars="200"/>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严格按照《保障农民工工资支付条例》要求支付民工工资。</w:t>
      </w:r>
    </w:p>
    <w:p w14:paraId="5B790C01">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lang w:eastAsia="zh-CN"/>
        </w:rPr>
      </w:pPr>
      <w:bookmarkStart w:id="78" w:name="_Toc547"/>
      <w:r>
        <w:rPr>
          <w:rFonts w:hint="default" w:ascii="Times New Roman" w:hAnsi="Times New Roman" w:eastAsia="方正仿宋_GBK" w:cs="Times New Roman"/>
          <w:color w:val="auto"/>
          <w:sz w:val="24"/>
          <w:szCs w:val="24"/>
          <w:highlight w:val="none"/>
          <w:lang w:val="en-US" w:eastAsia="zh-CN"/>
        </w:rPr>
        <w:t>六、</w:t>
      </w:r>
      <w:r>
        <w:rPr>
          <w:rFonts w:hint="default" w:ascii="Times New Roman" w:hAnsi="Times New Roman" w:eastAsia="方正仿宋_GBK" w:cs="Times New Roman"/>
          <w:color w:val="auto"/>
          <w:sz w:val="24"/>
          <w:szCs w:val="24"/>
          <w:highlight w:val="none"/>
          <w:lang w:eastAsia="zh-CN"/>
        </w:rPr>
        <w:t>知识产权</w:t>
      </w:r>
      <w:bookmarkEnd w:id="78"/>
    </w:p>
    <w:p w14:paraId="3E2573A6">
      <w:pPr>
        <w:snapToGrid w:val="0"/>
        <w:spacing w:line="400" w:lineRule="exact"/>
        <w:ind w:firstLine="54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采购人在中华人民共和国境内使用</w:t>
      </w:r>
      <w:r>
        <w:rPr>
          <w:rFonts w:hint="default" w:ascii="Times New Roman" w:hAnsi="Times New Roman" w:eastAsia="方正仿宋_GBK" w:cs="Times New Roman"/>
          <w:color w:val="auto"/>
          <w:sz w:val="24"/>
          <w:szCs w:val="24"/>
          <w:highlight w:val="none"/>
          <w:lang w:eastAsia="zh-CN"/>
        </w:rPr>
        <w:t>中标人</w:t>
      </w:r>
      <w:r>
        <w:rPr>
          <w:rFonts w:hint="default" w:ascii="Times New Roman" w:hAnsi="Times New Roman" w:eastAsia="方正仿宋_GBK" w:cs="Times New Roman"/>
          <w:color w:val="auto"/>
          <w:sz w:val="24"/>
          <w:szCs w:val="24"/>
          <w:highlight w:val="none"/>
        </w:rPr>
        <w:t>提供的货物及服务时免受第三方提出的侵犯其专利权或其它知识产权的起诉。如果第三方提出侵权指控，</w:t>
      </w:r>
      <w:r>
        <w:rPr>
          <w:rFonts w:hint="default" w:ascii="Times New Roman" w:hAnsi="Times New Roman" w:eastAsia="方正仿宋_GBK" w:cs="Times New Roman"/>
          <w:color w:val="auto"/>
          <w:sz w:val="24"/>
          <w:szCs w:val="24"/>
          <w:highlight w:val="none"/>
          <w:lang w:eastAsia="zh-CN"/>
        </w:rPr>
        <w:t>中标人</w:t>
      </w:r>
      <w:r>
        <w:rPr>
          <w:rFonts w:hint="default" w:ascii="Times New Roman" w:hAnsi="Times New Roman" w:eastAsia="方正仿宋_GBK" w:cs="Times New Roman"/>
          <w:color w:val="auto"/>
          <w:sz w:val="24"/>
          <w:szCs w:val="24"/>
          <w:highlight w:val="none"/>
        </w:rPr>
        <w:t>应承担由此而引起的一切法律责任和费用。</w:t>
      </w:r>
    </w:p>
    <w:p w14:paraId="5B72ED18">
      <w:pPr>
        <w:pStyle w:val="2"/>
        <w:adjustRightInd w:val="0"/>
        <w:snapToGrid w:val="0"/>
        <w:spacing w:before="0" w:after="0" w:line="400" w:lineRule="exact"/>
        <w:ind w:firstLine="482" w:firstLineChars="200"/>
        <w:jc w:val="both"/>
        <w:rPr>
          <w:rFonts w:hint="default" w:ascii="Times New Roman" w:hAnsi="Times New Roman" w:eastAsia="方正仿宋_GBK" w:cs="Times New Roman"/>
          <w:b/>
          <w:bCs/>
          <w:color w:val="auto"/>
          <w:sz w:val="24"/>
          <w:szCs w:val="28"/>
          <w:highlight w:val="none"/>
        </w:rPr>
      </w:pPr>
      <w:bookmarkStart w:id="79" w:name="_Toc21248"/>
      <w:bookmarkStart w:id="80" w:name="_Toc24982"/>
      <w:bookmarkStart w:id="81" w:name="_Toc65660348"/>
      <w:bookmarkStart w:id="82" w:name="_Toc31659"/>
      <w:bookmarkStart w:id="83" w:name="_Toc24207"/>
      <w:r>
        <w:rPr>
          <w:rFonts w:hint="default" w:ascii="Times New Roman" w:hAnsi="Times New Roman" w:eastAsia="方正仿宋_GBK" w:cs="Times New Roman"/>
          <w:color w:val="auto"/>
          <w:sz w:val="24"/>
          <w:szCs w:val="24"/>
          <w:highlight w:val="none"/>
          <w:lang w:val="en-US" w:eastAsia="zh-CN"/>
        </w:rPr>
        <w:t>七</w:t>
      </w:r>
      <w:r>
        <w:rPr>
          <w:rFonts w:hint="default" w:ascii="Times New Roman" w:hAnsi="Times New Roman" w:eastAsia="方正仿宋_GBK" w:cs="Times New Roman"/>
          <w:color w:val="auto"/>
          <w:sz w:val="24"/>
          <w:szCs w:val="24"/>
          <w:highlight w:val="none"/>
          <w:lang w:eastAsia="zh-CN"/>
        </w:rPr>
        <w:t>、</w:t>
      </w:r>
      <w:bookmarkEnd w:id="79"/>
      <w:bookmarkEnd w:id="80"/>
      <w:bookmarkEnd w:id="81"/>
      <w:bookmarkEnd w:id="82"/>
      <w:r>
        <w:rPr>
          <w:rFonts w:hint="default" w:ascii="Times New Roman" w:hAnsi="Times New Roman" w:eastAsia="方正仿宋_GBK" w:cs="Times New Roman"/>
          <w:color w:val="auto"/>
          <w:sz w:val="24"/>
          <w:szCs w:val="24"/>
          <w:highlight w:val="none"/>
          <w:lang w:eastAsia="zh-CN"/>
        </w:rPr>
        <w:t>安全措施</w:t>
      </w:r>
      <w:bookmarkEnd w:id="83"/>
    </w:p>
    <w:p w14:paraId="6F9BA617">
      <w:pPr>
        <w:spacing w:line="400" w:lineRule="exact"/>
        <w:ind w:firstLine="480" w:firstLineChars="200"/>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1.本项目施工需符合国家、地方、行业各项规范，且施工单位需制定专门安全措施方案。</w:t>
      </w:r>
    </w:p>
    <w:p w14:paraId="658BE125">
      <w:pPr>
        <w:spacing w:line="400" w:lineRule="exact"/>
        <w:ind w:firstLine="480" w:firstLineChars="200"/>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2.建立定期的安全活动制度，班组每天进行班前、班后的安全检查及时清除不安全隐患，根据施工实际情况，提出安全生产措施，及时解决安全生产上存在的各种问题，协助解决安全生产中的疑难问题。</w:t>
      </w:r>
    </w:p>
    <w:p w14:paraId="6A730CEA">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lang w:val="en-US" w:eastAsia="zh-CN"/>
        </w:rPr>
      </w:pPr>
      <w:bookmarkStart w:id="84" w:name="_Toc20716"/>
      <w:r>
        <w:rPr>
          <w:rFonts w:hint="default" w:ascii="Times New Roman" w:hAnsi="Times New Roman" w:eastAsia="方正仿宋_GBK" w:cs="Times New Roman"/>
          <w:color w:val="auto"/>
          <w:sz w:val="24"/>
          <w:szCs w:val="24"/>
          <w:highlight w:val="none"/>
          <w:lang w:val="en-US" w:eastAsia="zh-CN"/>
        </w:rPr>
        <w:t>八、其他</w:t>
      </w:r>
      <w:bookmarkEnd w:id="84"/>
    </w:p>
    <w:p w14:paraId="5354B22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其他未尽事宜由供需双方在采购合同中详细约定。</w:t>
      </w:r>
    </w:p>
    <w:p w14:paraId="12D6181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color w:val="000000" w:themeColor="text1"/>
          <w:sz w:val="24"/>
          <w:szCs w:val="24"/>
          <w:highlight w:val="none"/>
          <w14:textFill>
            <w14:solidFill>
              <w14:schemeClr w14:val="tx1"/>
            </w14:solidFill>
          </w14:textFill>
        </w:rPr>
      </w:pPr>
    </w:p>
    <w:p w14:paraId="55FADDE2">
      <w:pPr>
        <w:pStyle w:val="2"/>
        <w:pageBreakBefore/>
        <w:spacing w:before="0" w:after="0" w:line="360" w:lineRule="auto"/>
        <w:jc w:val="center"/>
        <w:rPr>
          <w:rFonts w:hint="default" w:ascii="Times New Roman" w:hAnsi="Times New Roman" w:eastAsia="方正仿宋_GBK" w:cs="Times New Roman"/>
          <w:b w:val="0"/>
          <w:color w:val="auto"/>
          <w:sz w:val="32"/>
          <w:szCs w:val="28"/>
          <w:highlight w:val="none"/>
        </w:rPr>
      </w:pPr>
      <w:bookmarkStart w:id="85" w:name="_Toc76462332"/>
      <w:bookmarkStart w:id="86" w:name="_Toc23334"/>
      <w:r>
        <w:rPr>
          <w:rFonts w:hint="default" w:ascii="Times New Roman" w:hAnsi="Times New Roman" w:eastAsia="方正仿宋_GBK" w:cs="Times New Roman"/>
          <w:b/>
          <w:bCs/>
          <w:color w:val="auto"/>
          <w:sz w:val="32"/>
          <w:szCs w:val="28"/>
          <w:highlight w:val="none"/>
        </w:rPr>
        <w:t xml:space="preserve">第四篇  </w:t>
      </w:r>
      <w:r>
        <w:rPr>
          <w:rFonts w:hint="default" w:ascii="Times New Roman" w:hAnsi="Times New Roman" w:eastAsia="方正仿宋_GBK" w:cs="Times New Roman"/>
          <w:b/>
          <w:bCs/>
          <w:color w:val="auto"/>
          <w:sz w:val="32"/>
          <w:szCs w:val="28"/>
          <w:highlight w:val="none"/>
          <w:lang w:val="en-US" w:eastAsia="zh-CN"/>
        </w:rPr>
        <w:t>网上竞采</w:t>
      </w:r>
      <w:r>
        <w:rPr>
          <w:rFonts w:hint="default" w:ascii="Times New Roman" w:hAnsi="Times New Roman" w:eastAsia="方正仿宋_GBK" w:cs="Times New Roman"/>
          <w:b/>
          <w:bCs/>
          <w:color w:val="auto"/>
          <w:sz w:val="32"/>
          <w:szCs w:val="28"/>
          <w:highlight w:val="none"/>
        </w:rPr>
        <w:t>程序及方法、评审标准、无效响应和</w:t>
      </w:r>
      <w:r>
        <w:rPr>
          <w:rFonts w:hint="default" w:ascii="Times New Roman" w:hAnsi="Times New Roman" w:eastAsia="方正仿宋_GBK" w:cs="Times New Roman"/>
          <w:b/>
          <w:bCs/>
          <w:color w:val="auto"/>
          <w:sz w:val="32"/>
          <w:szCs w:val="32"/>
          <w:highlight w:val="none"/>
        </w:rPr>
        <w:t>采购终止</w:t>
      </w:r>
      <w:bookmarkEnd w:id="85"/>
      <w:bookmarkEnd w:id="86"/>
    </w:p>
    <w:p w14:paraId="541BC84A">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highlight w:val="none"/>
        </w:rPr>
      </w:pPr>
      <w:bookmarkStart w:id="87" w:name="_Toc76462333"/>
      <w:bookmarkStart w:id="88" w:name="_Toc28667"/>
      <w:r>
        <w:rPr>
          <w:rFonts w:hint="default" w:ascii="Times New Roman" w:hAnsi="Times New Roman" w:eastAsia="方正仿宋_GBK" w:cs="Times New Roman"/>
          <w:color w:val="auto"/>
          <w:sz w:val="24"/>
          <w:highlight w:val="none"/>
        </w:rPr>
        <w:t>一、</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网上竞采</w:t>
      </w:r>
      <w:r>
        <w:rPr>
          <w:rFonts w:hint="default" w:ascii="Times New Roman" w:hAnsi="Times New Roman" w:eastAsia="方正仿宋_GBK" w:cs="Times New Roman"/>
          <w:color w:val="auto"/>
          <w:sz w:val="24"/>
          <w:highlight w:val="none"/>
        </w:rPr>
        <w:t>及方法</w:t>
      </w:r>
      <w:bookmarkEnd w:id="87"/>
      <w:bookmarkEnd w:id="88"/>
    </w:p>
    <w:p w14:paraId="23D810F2">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（一）按</w:t>
      </w:r>
      <w:r>
        <w:rPr>
          <w:rFonts w:hint="default" w:ascii="Times New Roman" w:hAnsi="Times New Roman" w:eastAsia="方正仿宋_GBK" w:cs="Times New Roman"/>
          <w:color w:val="auto"/>
          <w:sz w:val="24"/>
          <w:szCs w:val="24"/>
          <w:highlight w:val="none"/>
          <w:lang w:val="en-US" w:eastAsia="zh-CN"/>
        </w:rPr>
        <w:t>竞采</w:t>
      </w:r>
      <w:r>
        <w:rPr>
          <w:rFonts w:hint="default" w:ascii="Times New Roman" w:hAnsi="Times New Roman" w:eastAsia="方正仿宋_GBK" w:cs="Times New Roman"/>
          <w:color w:val="auto"/>
          <w:sz w:val="24"/>
          <w:szCs w:val="24"/>
          <w:highlight w:val="none"/>
        </w:rPr>
        <w:t>文件规定的时间和地点、方式进行。供应商须有法定代表人（或其授权代表）或自然人参加。评审小组对各投标人的资格条件、响应文件的有效性、完整性和响应程度进行审查。各投标人只有在完全符合要求的前提下，才能参与正式网上竞采。</w:t>
      </w:r>
    </w:p>
    <w:p w14:paraId="1CF39D0F">
      <w:pPr>
        <w:snapToGrid w:val="0"/>
        <w:spacing w:line="400" w:lineRule="exact"/>
        <w:ind w:firstLine="480" w:firstLineChars="200"/>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sz w:val="24"/>
          <w:szCs w:val="24"/>
          <w:highlight w:val="none"/>
        </w:rPr>
        <w:t>1.</w:t>
      </w:r>
      <w:r>
        <w:rPr>
          <w:rFonts w:hint="default" w:ascii="Times New Roman" w:hAnsi="Times New Roman" w:eastAsia="方正仿宋_GBK" w:cs="Times New Roman"/>
          <w:color w:val="auto"/>
          <w:kern w:val="0"/>
          <w:sz w:val="24"/>
          <w:szCs w:val="24"/>
          <w:highlight w:val="none"/>
        </w:rPr>
        <w:t>资格性审查。依据法律法规和</w:t>
      </w:r>
      <w:r>
        <w:rPr>
          <w:rFonts w:hint="default" w:ascii="Times New Roman" w:hAnsi="Times New Roman" w:eastAsia="方正仿宋_GBK" w:cs="Times New Roman"/>
          <w:color w:val="auto"/>
          <w:kern w:val="0"/>
          <w:sz w:val="24"/>
          <w:szCs w:val="24"/>
          <w:highlight w:val="none"/>
          <w:lang w:val="en-US" w:eastAsia="zh-CN"/>
        </w:rPr>
        <w:t>竞采</w:t>
      </w:r>
      <w:r>
        <w:rPr>
          <w:rFonts w:hint="default" w:ascii="Times New Roman" w:hAnsi="Times New Roman" w:eastAsia="方正仿宋_GBK" w:cs="Times New Roman"/>
          <w:color w:val="auto"/>
          <w:kern w:val="0"/>
          <w:sz w:val="24"/>
          <w:szCs w:val="24"/>
          <w:highlight w:val="none"/>
        </w:rPr>
        <w:t>文件的规定，对响应文件中的资格证明等进行审查，以确定</w:t>
      </w:r>
      <w:r>
        <w:rPr>
          <w:rFonts w:hint="default" w:ascii="Times New Roman" w:hAnsi="Times New Roman" w:eastAsia="方正仿宋_GBK" w:cs="Times New Roman"/>
          <w:color w:val="auto"/>
          <w:kern w:val="0"/>
          <w:sz w:val="24"/>
          <w:szCs w:val="24"/>
          <w:highlight w:val="none"/>
          <w:lang w:eastAsia="zh-CN"/>
        </w:rPr>
        <w:t>供应商</w:t>
      </w:r>
      <w:r>
        <w:rPr>
          <w:rFonts w:hint="default" w:ascii="Times New Roman" w:hAnsi="Times New Roman" w:eastAsia="方正仿宋_GBK" w:cs="Times New Roman"/>
          <w:color w:val="auto"/>
          <w:kern w:val="0"/>
          <w:sz w:val="24"/>
          <w:szCs w:val="24"/>
          <w:highlight w:val="none"/>
        </w:rPr>
        <w:t>是否具备</w:t>
      </w:r>
      <w: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t>网上竞采</w:t>
      </w:r>
      <w:r>
        <w:rPr>
          <w:rFonts w:hint="default" w:ascii="Times New Roman" w:hAnsi="Times New Roman" w:eastAsia="方正仿宋_GBK" w:cs="Times New Roman"/>
          <w:color w:val="auto"/>
          <w:kern w:val="0"/>
          <w:sz w:val="24"/>
          <w:szCs w:val="24"/>
          <w:highlight w:val="none"/>
        </w:rPr>
        <w:t>资格。资格性审查资料表如下：</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771"/>
        <w:gridCol w:w="3118"/>
        <w:gridCol w:w="4984"/>
      </w:tblGrid>
      <w:tr w14:paraId="1788D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noWrap w:val="0"/>
            <w:vAlign w:val="center"/>
          </w:tcPr>
          <w:p w14:paraId="2155B68A">
            <w:pPr>
              <w:jc w:val="center"/>
              <w:rPr>
                <w:rFonts w:hint="default" w:ascii="Times New Roman" w:hAnsi="Times New Roman" w:eastAsia="方正仿宋_GBK" w:cs="Times New Roman"/>
                <w:b/>
                <w:color w:val="auto"/>
                <w:kern w:val="0"/>
                <w:sz w:val="21"/>
                <w:szCs w:val="21"/>
                <w:highlight w:val="none"/>
              </w:rPr>
            </w:pPr>
            <w:r>
              <w:rPr>
                <w:rFonts w:hint="default" w:ascii="Times New Roman" w:hAnsi="Times New Roman" w:eastAsia="方正仿宋_GBK" w:cs="Times New Roman"/>
                <w:b/>
                <w:color w:val="auto"/>
                <w:kern w:val="0"/>
                <w:sz w:val="21"/>
                <w:szCs w:val="21"/>
                <w:highlight w:val="none"/>
              </w:rPr>
              <w:t>序号</w:t>
            </w:r>
          </w:p>
        </w:tc>
        <w:tc>
          <w:tcPr>
            <w:tcW w:w="3889" w:type="dxa"/>
            <w:gridSpan w:val="2"/>
            <w:tcBorders>
              <w:top w:val="single" w:color="auto" w:sz="4" w:space="0"/>
              <w:left w:val="single" w:color="auto" w:sz="4" w:space="0"/>
              <w:bottom w:val="single" w:color="auto" w:sz="4" w:space="0"/>
              <w:right w:val="single" w:color="auto" w:sz="4" w:space="0"/>
            </w:tcBorders>
            <w:noWrap w:val="0"/>
            <w:vAlign w:val="center"/>
          </w:tcPr>
          <w:p w14:paraId="623CC981">
            <w:pPr>
              <w:jc w:val="center"/>
              <w:rPr>
                <w:rFonts w:hint="default" w:ascii="Times New Roman" w:hAnsi="Times New Roman" w:eastAsia="方正仿宋_GBK" w:cs="Times New Roman"/>
                <w:b/>
                <w:color w:val="auto"/>
                <w:kern w:val="0"/>
                <w:sz w:val="21"/>
                <w:szCs w:val="21"/>
                <w:highlight w:val="none"/>
              </w:rPr>
            </w:pPr>
            <w:r>
              <w:rPr>
                <w:rFonts w:hint="default" w:ascii="Times New Roman" w:hAnsi="Times New Roman" w:eastAsia="方正仿宋_GBK" w:cs="Times New Roman"/>
                <w:b/>
                <w:color w:val="auto"/>
                <w:kern w:val="0"/>
                <w:sz w:val="21"/>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noWrap w:val="0"/>
            <w:vAlign w:val="center"/>
          </w:tcPr>
          <w:p w14:paraId="7AB79310">
            <w:pPr>
              <w:jc w:val="center"/>
              <w:rPr>
                <w:rFonts w:hint="default" w:ascii="Times New Roman" w:hAnsi="Times New Roman" w:eastAsia="方正仿宋_GBK" w:cs="Times New Roman"/>
                <w:b/>
                <w:color w:val="auto"/>
                <w:kern w:val="0"/>
                <w:sz w:val="21"/>
                <w:szCs w:val="21"/>
                <w:highlight w:val="none"/>
              </w:rPr>
            </w:pPr>
            <w:r>
              <w:rPr>
                <w:rFonts w:hint="default" w:ascii="Times New Roman" w:hAnsi="Times New Roman" w:eastAsia="方正仿宋_GBK" w:cs="Times New Roman"/>
                <w:b/>
                <w:color w:val="auto"/>
                <w:kern w:val="0"/>
                <w:sz w:val="21"/>
                <w:szCs w:val="21"/>
                <w:highlight w:val="none"/>
              </w:rPr>
              <w:t>检查内容</w:t>
            </w:r>
          </w:p>
        </w:tc>
      </w:tr>
      <w:tr w14:paraId="14FD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Merge w:val="restart"/>
            <w:noWrap w:val="0"/>
            <w:vAlign w:val="center"/>
          </w:tcPr>
          <w:p w14:paraId="6334237E">
            <w:pPr>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（一）</w:t>
            </w:r>
          </w:p>
        </w:tc>
        <w:tc>
          <w:tcPr>
            <w:tcW w:w="771" w:type="dxa"/>
            <w:vMerge w:val="restart"/>
            <w:noWrap w:val="0"/>
            <w:vAlign w:val="center"/>
          </w:tcPr>
          <w:p w14:paraId="32075EF1">
            <w:pPr>
              <w:rPr>
                <w:rFonts w:hint="default" w:ascii="Times New Roman" w:hAnsi="Times New Roman" w:eastAsia="方正仿宋_GBK" w:cs="Times New Roman"/>
                <w:color w:val="auto"/>
                <w:sz w:val="21"/>
                <w:szCs w:val="21"/>
                <w:highlight w:val="none"/>
                <w:lang w:val="zh-CN"/>
              </w:rPr>
            </w:pPr>
            <w:r>
              <w:rPr>
                <w:rFonts w:hint="default" w:ascii="Times New Roman" w:hAnsi="Times New Roman" w:eastAsia="方正仿宋_GBK" w:cs="Times New Roman"/>
                <w:color w:val="auto"/>
                <w:sz w:val="21"/>
                <w:szCs w:val="21"/>
                <w:highlight w:val="none"/>
                <w:lang w:val="zh-CN"/>
              </w:rPr>
              <w:t>《中华人民共和国政府采购法》第二十二条规定</w:t>
            </w:r>
          </w:p>
        </w:tc>
        <w:tc>
          <w:tcPr>
            <w:tcW w:w="3118" w:type="dxa"/>
            <w:noWrap w:val="0"/>
            <w:vAlign w:val="center"/>
          </w:tcPr>
          <w:p w14:paraId="616A7257">
            <w:pP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1.具有独立承担民事责任的能力</w:t>
            </w:r>
          </w:p>
        </w:tc>
        <w:tc>
          <w:tcPr>
            <w:tcW w:w="4984" w:type="dxa"/>
            <w:noWrap w:val="0"/>
            <w:vAlign w:val="center"/>
          </w:tcPr>
          <w:p w14:paraId="3638E9CD">
            <w:pP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w:t>
            </w:r>
            <w:r>
              <w:rPr>
                <w:rFonts w:hint="default" w:ascii="Times New Roman" w:hAnsi="Times New Roman" w:eastAsia="方正仿宋_GBK" w:cs="Times New Roman"/>
                <w:color w:val="auto"/>
                <w:sz w:val="21"/>
                <w:szCs w:val="21"/>
                <w:highlight w:val="none"/>
                <w:lang w:eastAsia="zh-CN"/>
              </w:rPr>
              <w:t>供应商</w:t>
            </w:r>
            <w:r>
              <w:rPr>
                <w:rFonts w:hint="default" w:ascii="Times New Roman" w:hAnsi="Times New Roman" w:eastAsia="方正仿宋_GBK" w:cs="Times New Roman"/>
                <w:color w:val="auto"/>
                <w:sz w:val="21"/>
                <w:szCs w:val="21"/>
                <w:highlight w:val="none"/>
              </w:rPr>
              <w:t xml:space="preserve">法人营业执照（副本）或事业单位法人证书（副本）或个体工商户营业执照或有效的自然人身份证明或社会团体法人登记证书（提供扫描件）。 </w:t>
            </w:r>
          </w:p>
          <w:p w14:paraId="0A09D4FD">
            <w:pP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w:t>
            </w:r>
            <w:r>
              <w:rPr>
                <w:rFonts w:hint="default" w:ascii="Times New Roman" w:hAnsi="Times New Roman" w:eastAsia="方正仿宋_GBK" w:cs="Times New Roman"/>
                <w:color w:val="auto"/>
                <w:sz w:val="21"/>
                <w:szCs w:val="21"/>
                <w:highlight w:val="none"/>
                <w:lang w:eastAsia="zh-CN"/>
              </w:rPr>
              <w:t>供应商</w:t>
            </w:r>
            <w:r>
              <w:rPr>
                <w:rFonts w:hint="default" w:ascii="Times New Roman" w:hAnsi="Times New Roman" w:eastAsia="方正仿宋_GBK" w:cs="Times New Roman"/>
                <w:color w:val="auto"/>
                <w:sz w:val="21"/>
                <w:szCs w:val="21"/>
                <w:highlight w:val="none"/>
              </w:rPr>
              <w:t>法定代表人身份证明和法定代表人授权代表委托书。</w:t>
            </w:r>
          </w:p>
        </w:tc>
      </w:tr>
      <w:tr w14:paraId="7A0B0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Merge w:val="continue"/>
            <w:noWrap w:val="0"/>
            <w:vAlign w:val="center"/>
          </w:tcPr>
          <w:p w14:paraId="79914BCA">
            <w:pPr>
              <w:jc w:val="center"/>
              <w:rPr>
                <w:rFonts w:hint="default" w:ascii="Times New Roman" w:hAnsi="Times New Roman" w:eastAsia="方正仿宋_GBK" w:cs="Times New Roman"/>
                <w:color w:val="auto"/>
                <w:sz w:val="21"/>
                <w:szCs w:val="21"/>
                <w:highlight w:val="none"/>
              </w:rPr>
            </w:pPr>
          </w:p>
        </w:tc>
        <w:tc>
          <w:tcPr>
            <w:tcW w:w="771" w:type="dxa"/>
            <w:vMerge w:val="continue"/>
            <w:noWrap w:val="0"/>
            <w:vAlign w:val="center"/>
          </w:tcPr>
          <w:p w14:paraId="049F15E7">
            <w:pPr>
              <w:rPr>
                <w:rFonts w:hint="default" w:ascii="Times New Roman" w:hAnsi="Times New Roman" w:eastAsia="方正仿宋_GBK" w:cs="Times New Roman"/>
                <w:color w:val="auto"/>
                <w:sz w:val="21"/>
                <w:szCs w:val="21"/>
                <w:highlight w:val="none"/>
                <w:lang w:val="zh-CN"/>
              </w:rPr>
            </w:pPr>
          </w:p>
        </w:tc>
        <w:tc>
          <w:tcPr>
            <w:tcW w:w="3118" w:type="dxa"/>
            <w:noWrap w:val="0"/>
            <w:vAlign w:val="center"/>
          </w:tcPr>
          <w:p w14:paraId="4B612890">
            <w:pP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lang w:val="zh-CN"/>
              </w:rPr>
              <w:t>2.</w:t>
            </w:r>
            <w:r>
              <w:rPr>
                <w:rFonts w:hint="default" w:ascii="Times New Roman" w:hAnsi="Times New Roman" w:eastAsia="方正仿宋_GBK" w:cs="Times New Roman"/>
                <w:color w:val="auto"/>
                <w:sz w:val="21"/>
                <w:szCs w:val="21"/>
                <w:highlight w:val="none"/>
              </w:rPr>
              <w:t>具有良好的商业信誉和健全的财务会计制度</w:t>
            </w:r>
          </w:p>
        </w:tc>
        <w:tc>
          <w:tcPr>
            <w:tcW w:w="4984" w:type="dxa"/>
            <w:vMerge w:val="restart"/>
            <w:noWrap w:val="0"/>
            <w:vAlign w:val="center"/>
          </w:tcPr>
          <w:p w14:paraId="6BF39FDB">
            <w:pPr>
              <w:rPr>
                <w:rFonts w:hint="default" w:ascii="Times New Roman" w:hAnsi="Times New Roman" w:eastAsia="方正仿宋_GBK" w:cs="Times New Roman"/>
                <w:b/>
                <w:color w:val="auto"/>
                <w:sz w:val="21"/>
                <w:szCs w:val="21"/>
                <w:highlight w:val="none"/>
              </w:rPr>
            </w:pPr>
            <w:r>
              <w:rPr>
                <w:rFonts w:hint="default" w:ascii="Times New Roman" w:hAnsi="Times New Roman" w:eastAsia="方正仿宋_GBK" w:cs="Times New Roman"/>
                <w:color w:val="auto"/>
                <w:sz w:val="21"/>
                <w:szCs w:val="21"/>
                <w:highlight w:val="none"/>
                <w:lang w:eastAsia="zh-CN"/>
              </w:rPr>
              <w:t>供应商</w:t>
            </w:r>
            <w:r>
              <w:rPr>
                <w:rFonts w:hint="default" w:ascii="Times New Roman" w:hAnsi="Times New Roman" w:eastAsia="方正仿宋_GBK" w:cs="Times New Roman"/>
                <w:color w:val="auto"/>
                <w:sz w:val="21"/>
                <w:szCs w:val="21"/>
                <w:highlight w:val="none"/>
              </w:rPr>
              <w:t>提供“基本资格条件承诺函”（格式详见第七篇）</w:t>
            </w:r>
          </w:p>
        </w:tc>
      </w:tr>
      <w:tr w14:paraId="68648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Merge w:val="continue"/>
            <w:noWrap w:val="0"/>
            <w:vAlign w:val="center"/>
          </w:tcPr>
          <w:p w14:paraId="265FFC84">
            <w:pPr>
              <w:jc w:val="center"/>
              <w:rPr>
                <w:rFonts w:hint="default" w:ascii="Times New Roman" w:hAnsi="Times New Roman" w:eastAsia="方正仿宋_GBK" w:cs="Times New Roman"/>
                <w:color w:val="auto"/>
                <w:sz w:val="21"/>
                <w:szCs w:val="21"/>
                <w:highlight w:val="none"/>
              </w:rPr>
            </w:pPr>
          </w:p>
        </w:tc>
        <w:tc>
          <w:tcPr>
            <w:tcW w:w="771" w:type="dxa"/>
            <w:vMerge w:val="continue"/>
            <w:noWrap w:val="0"/>
            <w:vAlign w:val="center"/>
          </w:tcPr>
          <w:p w14:paraId="1035C748">
            <w:pPr>
              <w:rPr>
                <w:rFonts w:hint="default" w:ascii="Times New Roman" w:hAnsi="Times New Roman" w:eastAsia="方正仿宋_GBK" w:cs="Times New Roman"/>
                <w:color w:val="auto"/>
                <w:sz w:val="21"/>
                <w:szCs w:val="21"/>
                <w:highlight w:val="none"/>
                <w:lang w:val="zh-CN"/>
              </w:rPr>
            </w:pPr>
          </w:p>
        </w:tc>
        <w:tc>
          <w:tcPr>
            <w:tcW w:w="3118" w:type="dxa"/>
            <w:noWrap w:val="0"/>
            <w:vAlign w:val="center"/>
          </w:tcPr>
          <w:p w14:paraId="4BCF7D39">
            <w:pPr>
              <w:rPr>
                <w:rFonts w:hint="default" w:ascii="Times New Roman" w:hAnsi="Times New Roman" w:eastAsia="方正仿宋_GBK" w:cs="Times New Roman"/>
                <w:color w:val="auto"/>
                <w:sz w:val="21"/>
                <w:szCs w:val="21"/>
                <w:highlight w:val="none"/>
                <w:lang w:val="zh-CN"/>
              </w:rPr>
            </w:pPr>
            <w:r>
              <w:rPr>
                <w:rFonts w:hint="default" w:ascii="Times New Roman" w:hAnsi="Times New Roman" w:eastAsia="方正仿宋_GBK" w:cs="Times New Roman"/>
                <w:color w:val="auto"/>
                <w:sz w:val="21"/>
                <w:szCs w:val="21"/>
                <w:highlight w:val="none"/>
                <w:lang w:val="zh-CN"/>
              </w:rPr>
              <w:t>3.具有履行合同所必需的设备和专业技术能力</w:t>
            </w:r>
          </w:p>
        </w:tc>
        <w:tc>
          <w:tcPr>
            <w:tcW w:w="4984" w:type="dxa"/>
            <w:vMerge w:val="continue"/>
            <w:noWrap w:val="0"/>
            <w:vAlign w:val="center"/>
          </w:tcPr>
          <w:p w14:paraId="478ADD0C">
            <w:pPr>
              <w:rPr>
                <w:rFonts w:hint="default" w:ascii="Times New Roman" w:hAnsi="Times New Roman" w:eastAsia="方正仿宋_GBK" w:cs="Times New Roman"/>
                <w:color w:val="auto"/>
                <w:sz w:val="21"/>
                <w:szCs w:val="21"/>
                <w:highlight w:val="none"/>
              </w:rPr>
            </w:pPr>
          </w:p>
        </w:tc>
      </w:tr>
      <w:tr w14:paraId="3EA92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Merge w:val="continue"/>
            <w:noWrap w:val="0"/>
            <w:vAlign w:val="center"/>
          </w:tcPr>
          <w:p w14:paraId="2A98BF00">
            <w:pPr>
              <w:jc w:val="center"/>
              <w:rPr>
                <w:rFonts w:hint="default" w:ascii="Times New Roman" w:hAnsi="Times New Roman" w:eastAsia="方正仿宋_GBK" w:cs="Times New Roman"/>
                <w:color w:val="auto"/>
                <w:sz w:val="21"/>
                <w:szCs w:val="21"/>
                <w:highlight w:val="none"/>
              </w:rPr>
            </w:pPr>
          </w:p>
        </w:tc>
        <w:tc>
          <w:tcPr>
            <w:tcW w:w="771" w:type="dxa"/>
            <w:vMerge w:val="continue"/>
            <w:noWrap w:val="0"/>
            <w:vAlign w:val="center"/>
          </w:tcPr>
          <w:p w14:paraId="5B2925B7">
            <w:pPr>
              <w:rPr>
                <w:rFonts w:hint="default" w:ascii="Times New Roman" w:hAnsi="Times New Roman" w:eastAsia="方正仿宋_GBK" w:cs="Times New Roman"/>
                <w:color w:val="auto"/>
                <w:sz w:val="21"/>
                <w:szCs w:val="21"/>
                <w:highlight w:val="none"/>
                <w:lang w:val="zh-CN"/>
              </w:rPr>
            </w:pPr>
          </w:p>
        </w:tc>
        <w:tc>
          <w:tcPr>
            <w:tcW w:w="3118" w:type="dxa"/>
            <w:noWrap w:val="0"/>
            <w:vAlign w:val="center"/>
          </w:tcPr>
          <w:p w14:paraId="39C3DE7F">
            <w:pPr>
              <w:rPr>
                <w:rFonts w:hint="default" w:ascii="Times New Roman" w:hAnsi="Times New Roman" w:eastAsia="方正仿宋_GBK" w:cs="Times New Roman"/>
                <w:color w:val="auto"/>
                <w:sz w:val="21"/>
                <w:szCs w:val="21"/>
                <w:highlight w:val="none"/>
                <w:lang w:val="zh-CN"/>
              </w:rPr>
            </w:pPr>
            <w:r>
              <w:rPr>
                <w:rFonts w:hint="default" w:ascii="Times New Roman" w:hAnsi="Times New Roman" w:eastAsia="方正仿宋_GBK" w:cs="Times New Roman"/>
                <w:color w:val="auto"/>
                <w:sz w:val="21"/>
                <w:szCs w:val="21"/>
                <w:highlight w:val="none"/>
                <w:lang w:val="zh-CN"/>
              </w:rPr>
              <w:t>4.有依法缴纳税收和社会保障金的良好记录</w:t>
            </w:r>
          </w:p>
        </w:tc>
        <w:tc>
          <w:tcPr>
            <w:tcW w:w="4984" w:type="dxa"/>
            <w:vMerge w:val="continue"/>
            <w:noWrap w:val="0"/>
            <w:vAlign w:val="center"/>
          </w:tcPr>
          <w:p w14:paraId="54B87C66">
            <w:pPr>
              <w:rPr>
                <w:rFonts w:hint="default" w:ascii="Times New Roman" w:hAnsi="Times New Roman" w:eastAsia="方正仿宋_GBK" w:cs="Times New Roman"/>
                <w:color w:val="auto"/>
                <w:sz w:val="21"/>
                <w:szCs w:val="21"/>
                <w:highlight w:val="none"/>
              </w:rPr>
            </w:pPr>
          </w:p>
        </w:tc>
      </w:tr>
      <w:tr w14:paraId="3B452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Merge w:val="continue"/>
            <w:noWrap w:val="0"/>
            <w:vAlign w:val="center"/>
          </w:tcPr>
          <w:p w14:paraId="3AE28603">
            <w:pPr>
              <w:jc w:val="center"/>
              <w:rPr>
                <w:rFonts w:hint="default" w:ascii="Times New Roman" w:hAnsi="Times New Roman" w:eastAsia="方正仿宋_GBK" w:cs="Times New Roman"/>
                <w:color w:val="auto"/>
                <w:sz w:val="21"/>
                <w:szCs w:val="21"/>
                <w:highlight w:val="none"/>
              </w:rPr>
            </w:pPr>
          </w:p>
        </w:tc>
        <w:tc>
          <w:tcPr>
            <w:tcW w:w="771" w:type="dxa"/>
            <w:vMerge w:val="continue"/>
            <w:noWrap w:val="0"/>
            <w:vAlign w:val="center"/>
          </w:tcPr>
          <w:p w14:paraId="6CA63077">
            <w:pPr>
              <w:rPr>
                <w:rFonts w:hint="default" w:ascii="Times New Roman" w:hAnsi="Times New Roman" w:eastAsia="方正仿宋_GBK" w:cs="Times New Roman"/>
                <w:color w:val="auto"/>
                <w:sz w:val="21"/>
                <w:szCs w:val="21"/>
                <w:highlight w:val="none"/>
                <w:lang w:val="zh-CN"/>
              </w:rPr>
            </w:pPr>
          </w:p>
        </w:tc>
        <w:tc>
          <w:tcPr>
            <w:tcW w:w="3118" w:type="dxa"/>
            <w:noWrap w:val="0"/>
            <w:vAlign w:val="center"/>
          </w:tcPr>
          <w:p w14:paraId="78A556C1">
            <w:pPr>
              <w:rPr>
                <w:rFonts w:hint="default" w:ascii="Times New Roman" w:hAnsi="Times New Roman" w:eastAsia="方正仿宋_GBK" w:cs="Times New Roman"/>
                <w:color w:val="auto"/>
                <w:sz w:val="21"/>
                <w:szCs w:val="21"/>
                <w:highlight w:val="none"/>
                <w:lang w:val="zh-CN"/>
              </w:rPr>
            </w:pPr>
            <w:r>
              <w:rPr>
                <w:rFonts w:hint="default" w:ascii="Times New Roman" w:hAnsi="Times New Roman" w:eastAsia="方正仿宋_GBK" w:cs="Times New Roman"/>
                <w:color w:val="auto"/>
                <w:sz w:val="21"/>
                <w:szCs w:val="21"/>
                <w:highlight w:val="none"/>
              </w:rPr>
              <w:t>5.参加政府采购活动前三年内，在经营活动中没有重大违法记录</w:t>
            </w:r>
          </w:p>
        </w:tc>
        <w:tc>
          <w:tcPr>
            <w:tcW w:w="4984" w:type="dxa"/>
            <w:vMerge w:val="continue"/>
            <w:noWrap w:val="0"/>
            <w:vAlign w:val="center"/>
          </w:tcPr>
          <w:p w14:paraId="10455215">
            <w:pPr>
              <w:rPr>
                <w:rFonts w:hint="default" w:ascii="Times New Roman" w:hAnsi="Times New Roman" w:eastAsia="方正仿宋_GBK" w:cs="Times New Roman"/>
                <w:b/>
                <w:color w:val="auto"/>
                <w:sz w:val="21"/>
                <w:szCs w:val="21"/>
                <w:highlight w:val="none"/>
              </w:rPr>
            </w:pPr>
          </w:p>
        </w:tc>
      </w:tr>
      <w:tr w14:paraId="3A612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55" w:type="dxa"/>
            <w:vMerge w:val="continue"/>
            <w:noWrap w:val="0"/>
            <w:vAlign w:val="center"/>
          </w:tcPr>
          <w:p w14:paraId="7BD48DF0">
            <w:pPr>
              <w:jc w:val="center"/>
              <w:rPr>
                <w:rFonts w:hint="default" w:ascii="Times New Roman" w:hAnsi="Times New Roman" w:eastAsia="方正仿宋_GBK" w:cs="Times New Roman"/>
                <w:color w:val="auto"/>
                <w:sz w:val="21"/>
                <w:szCs w:val="21"/>
                <w:highlight w:val="none"/>
              </w:rPr>
            </w:pPr>
          </w:p>
        </w:tc>
        <w:tc>
          <w:tcPr>
            <w:tcW w:w="771" w:type="dxa"/>
            <w:vMerge w:val="continue"/>
            <w:noWrap w:val="0"/>
            <w:vAlign w:val="center"/>
          </w:tcPr>
          <w:p w14:paraId="7DB2FB77">
            <w:pPr>
              <w:rPr>
                <w:rFonts w:hint="default" w:ascii="Times New Roman" w:hAnsi="Times New Roman" w:eastAsia="方正仿宋_GBK" w:cs="Times New Roman"/>
                <w:color w:val="auto"/>
                <w:sz w:val="21"/>
                <w:szCs w:val="21"/>
                <w:highlight w:val="none"/>
              </w:rPr>
            </w:pPr>
          </w:p>
        </w:tc>
        <w:tc>
          <w:tcPr>
            <w:tcW w:w="3118" w:type="dxa"/>
            <w:noWrap w:val="0"/>
            <w:vAlign w:val="center"/>
          </w:tcPr>
          <w:p w14:paraId="5FB55114">
            <w:pP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6.法律、行政法规规定的其他条件</w:t>
            </w:r>
          </w:p>
        </w:tc>
        <w:tc>
          <w:tcPr>
            <w:tcW w:w="4984" w:type="dxa"/>
            <w:noWrap w:val="0"/>
            <w:vAlign w:val="center"/>
          </w:tcPr>
          <w:p w14:paraId="063E112F">
            <w:pPr>
              <w:rPr>
                <w:rFonts w:hint="default" w:ascii="Times New Roman" w:hAnsi="Times New Roman" w:eastAsia="方正仿宋_GBK" w:cs="Times New Roman"/>
                <w:color w:val="auto"/>
                <w:sz w:val="21"/>
                <w:szCs w:val="21"/>
                <w:highlight w:val="none"/>
              </w:rPr>
            </w:pPr>
          </w:p>
        </w:tc>
      </w:tr>
      <w:tr w14:paraId="44392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55" w:type="dxa"/>
            <w:vMerge w:val="continue"/>
            <w:noWrap w:val="0"/>
            <w:vAlign w:val="center"/>
          </w:tcPr>
          <w:p w14:paraId="41C2EAE9">
            <w:pPr>
              <w:jc w:val="center"/>
              <w:rPr>
                <w:rFonts w:hint="default" w:ascii="Times New Roman" w:hAnsi="Times New Roman" w:eastAsia="方正仿宋_GBK" w:cs="Times New Roman"/>
                <w:color w:val="auto"/>
                <w:sz w:val="21"/>
                <w:szCs w:val="21"/>
                <w:highlight w:val="none"/>
              </w:rPr>
            </w:pPr>
          </w:p>
        </w:tc>
        <w:tc>
          <w:tcPr>
            <w:tcW w:w="771" w:type="dxa"/>
            <w:vMerge w:val="continue"/>
            <w:noWrap w:val="0"/>
            <w:vAlign w:val="center"/>
          </w:tcPr>
          <w:p w14:paraId="5332553A">
            <w:pPr>
              <w:rPr>
                <w:rFonts w:hint="default" w:ascii="Times New Roman" w:hAnsi="Times New Roman" w:eastAsia="方正仿宋_GBK" w:cs="Times New Roman"/>
                <w:color w:val="auto"/>
                <w:sz w:val="21"/>
                <w:szCs w:val="21"/>
                <w:highlight w:val="none"/>
              </w:rPr>
            </w:pPr>
          </w:p>
        </w:tc>
        <w:tc>
          <w:tcPr>
            <w:tcW w:w="3118" w:type="dxa"/>
            <w:noWrap w:val="0"/>
            <w:vAlign w:val="center"/>
          </w:tcPr>
          <w:p w14:paraId="026946E2">
            <w:pP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7.本项目的特定资格要求</w:t>
            </w:r>
          </w:p>
        </w:tc>
        <w:tc>
          <w:tcPr>
            <w:tcW w:w="4984" w:type="dxa"/>
            <w:noWrap w:val="0"/>
            <w:vAlign w:val="center"/>
          </w:tcPr>
          <w:p w14:paraId="2F76BE93">
            <w:pP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按“第一篇三、</w:t>
            </w:r>
            <w:r>
              <w:rPr>
                <w:rFonts w:hint="default" w:ascii="Times New Roman" w:hAnsi="Times New Roman" w:eastAsia="方正仿宋_GBK" w:cs="Times New Roman"/>
                <w:color w:val="auto"/>
                <w:sz w:val="21"/>
                <w:szCs w:val="21"/>
                <w:highlight w:val="none"/>
                <w:lang w:eastAsia="zh-CN"/>
              </w:rPr>
              <w:t>供应商</w:t>
            </w:r>
            <w:r>
              <w:rPr>
                <w:rFonts w:hint="default" w:ascii="Times New Roman" w:hAnsi="Times New Roman" w:eastAsia="方正仿宋_GBK" w:cs="Times New Roman"/>
                <w:color w:val="auto"/>
                <w:sz w:val="21"/>
                <w:szCs w:val="21"/>
                <w:highlight w:val="none"/>
              </w:rPr>
              <w:t>资格</w:t>
            </w:r>
            <w:r>
              <w:rPr>
                <w:rFonts w:hint="default" w:ascii="Times New Roman" w:hAnsi="Times New Roman" w:eastAsia="方正仿宋_GBK" w:cs="Times New Roman"/>
                <w:color w:val="auto"/>
                <w:sz w:val="21"/>
                <w:szCs w:val="21"/>
                <w:highlight w:val="none"/>
                <w:lang w:val="en-US" w:eastAsia="zh-CN"/>
              </w:rPr>
              <w:t>条件</w:t>
            </w:r>
            <w:r>
              <w:rPr>
                <w:rFonts w:hint="default" w:ascii="Times New Roman" w:hAnsi="Times New Roman" w:eastAsia="方正仿宋_GBK" w:cs="Times New Roman"/>
                <w:color w:val="auto"/>
                <w:sz w:val="21"/>
                <w:szCs w:val="21"/>
                <w:highlight w:val="none"/>
              </w:rPr>
              <w:t>（三）本项目的特定资格要求”的要求提交（如果有）。</w:t>
            </w:r>
          </w:p>
        </w:tc>
      </w:tr>
      <w:tr w14:paraId="4B0AE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5CDF5A64">
            <w:pPr>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（二）</w:t>
            </w:r>
          </w:p>
        </w:tc>
        <w:tc>
          <w:tcPr>
            <w:tcW w:w="3889" w:type="dxa"/>
            <w:gridSpan w:val="2"/>
            <w:noWrap w:val="0"/>
            <w:vAlign w:val="center"/>
          </w:tcPr>
          <w:p w14:paraId="349D0EF0">
            <w:pP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落实政府采购政策需满足的资格要求</w:t>
            </w:r>
          </w:p>
        </w:tc>
        <w:tc>
          <w:tcPr>
            <w:tcW w:w="4984" w:type="dxa"/>
            <w:noWrap w:val="0"/>
            <w:vAlign w:val="center"/>
          </w:tcPr>
          <w:p w14:paraId="16A0FA07">
            <w:pP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按“第一篇三、</w:t>
            </w:r>
            <w:r>
              <w:rPr>
                <w:rFonts w:hint="default" w:ascii="Times New Roman" w:hAnsi="Times New Roman" w:eastAsia="方正仿宋_GBK" w:cs="Times New Roman"/>
                <w:color w:val="auto"/>
                <w:sz w:val="21"/>
                <w:szCs w:val="21"/>
                <w:highlight w:val="none"/>
                <w:lang w:eastAsia="zh-CN"/>
              </w:rPr>
              <w:t>供应商</w:t>
            </w:r>
            <w:r>
              <w:rPr>
                <w:rFonts w:hint="default" w:ascii="Times New Roman" w:hAnsi="Times New Roman" w:eastAsia="方正仿宋_GBK" w:cs="Times New Roman"/>
                <w:color w:val="auto"/>
                <w:sz w:val="21"/>
                <w:szCs w:val="21"/>
                <w:highlight w:val="none"/>
              </w:rPr>
              <w:t>资格</w:t>
            </w:r>
            <w:r>
              <w:rPr>
                <w:rFonts w:hint="default" w:ascii="Times New Roman" w:hAnsi="Times New Roman" w:eastAsia="方正仿宋_GBK" w:cs="Times New Roman"/>
                <w:color w:val="auto"/>
                <w:sz w:val="21"/>
                <w:szCs w:val="21"/>
                <w:highlight w:val="none"/>
                <w:lang w:val="en-US" w:eastAsia="zh-CN"/>
              </w:rPr>
              <w:t>条件</w:t>
            </w:r>
            <w:r>
              <w:rPr>
                <w:rFonts w:hint="default" w:ascii="Times New Roman" w:hAnsi="Times New Roman" w:eastAsia="方正仿宋_GBK" w:cs="Times New Roman"/>
                <w:color w:val="auto"/>
                <w:sz w:val="21"/>
                <w:szCs w:val="21"/>
                <w:highlight w:val="none"/>
              </w:rPr>
              <w:t>（二）落实政府采购政策需满足的资格要求”的要求提交（如果有）。</w:t>
            </w:r>
          </w:p>
        </w:tc>
      </w:tr>
    </w:tbl>
    <w:p w14:paraId="65AE0CD2">
      <w:pPr>
        <w:snapToGrid w:val="0"/>
        <w:spacing w:line="400" w:lineRule="exact"/>
        <w:ind w:firstLine="480" w:firstLineChars="200"/>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注：</w:t>
      </w:r>
    </w:p>
    <w:p w14:paraId="3187C7C6">
      <w:pPr>
        <w:snapToGrid w:val="0"/>
        <w:spacing w:line="400" w:lineRule="exact"/>
        <w:ind w:firstLine="480" w:firstLineChars="200"/>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fldChar w:fldCharType="begin"/>
      </w:r>
      <w:r>
        <w:rPr>
          <w:rFonts w:hint="default" w:ascii="Times New Roman" w:hAnsi="Times New Roman" w:eastAsia="方正仿宋_GBK" w:cs="Times New Roman"/>
          <w:color w:val="auto"/>
          <w:kern w:val="0"/>
          <w:sz w:val="24"/>
          <w:szCs w:val="24"/>
          <w:highlight w:val="none"/>
        </w:rPr>
        <w:instrText xml:space="preserve"> eq \o\ac(○,</w:instrText>
      </w:r>
      <w:r>
        <w:rPr>
          <w:rFonts w:hint="default" w:ascii="Times New Roman" w:hAnsi="Times New Roman" w:eastAsia="方正仿宋_GBK" w:cs="Times New Roman"/>
          <w:color w:val="auto"/>
          <w:kern w:val="0"/>
          <w:position w:val="3"/>
          <w:sz w:val="16"/>
          <w:szCs w:val="24"/>
          <w:highlight w:val="none"/>
        </w:rPr>
        <w:instrText xml:space="preserve">1</w:instrText>
      </w:r>
      <w:r>
        <w:rPr>
          <w:rFonts w:hint="default" w:ascii="Times New Roman" w:hAnsi="Times New Roman" w:eastAsia="方正仿宋_GBK" w:cs="Times New Roman"/>
          <w:color w:val="auto"/>
          <w:kern w:val="0"/>
          <w:sz w:val="24"/>
          <w:szCs w:val="24"/>
          <w:highlight w:val="none"/>
        </w:rPr>
        <w:instrText xml:space="preserve">)</w:instrText>
      </w:r>
      <w:r>
        <w:rPr>
          <w:rFonts w:hint="default" w:ascii="Times New Roman" w:hAnsi="Times New Roman" w:eastAsia="方正仿宋_GBK" w:cs="Times New Roman"/>
          <w:color w:val="auto"/>
          <w:kern w:val="0"/>
          <w:sz w:val="24"/>
          <w:szCs w:val="24"/>
          <w:highlight w:val="none"/>
        </w:rPr>
        <w:fldChar w:fldCharType="end"/>
      </w:r>
      <w:r>
        <w:rPr>
          <w:rFonts w:hint="default" w:ascii="Times New Roman" w:hAnsi="Times New Roman" w:eastAsia="方正仿宋_GBK" w:cs="Times New Roman"/>
          <w:color w:val="auto"/>
          <w:kern w:val="0"/>
          <w:sz w:val="24"/>
          <w:szCs w:val="24"/>
          <w:highlight w:val="none"/>
        </w:rPr>
        <w:t>根据《中华人民共和国政府采购法实施条例》第十九条“参加政府采购活动前三年内，在经营活动中没有重大违法记录”中“重大违法记录”，是指</w:t>
      </w:r>
      <w:r>
        <w:rPr>
          <w:rFonts w:hint="default" w:ascii="Times New Roman" w:hAnsi="Times New Roman" w:eastAsia="方正仿宋_GBK" w:cs="Times New Roman"/>
          <w:color w:val="auto"/>
          <w:kern w:val="0"/>
          <w:sz w:val="24"/>
          <w:szCs w:val="24"/>
          <w:highlight w:val="none"/>
          <w:lang w:eastAsia="zh-CN"/>
        </w:rPr>
        <w:t>供应商</w:t>
      </w:r>
      <w:r>
        <w:rPr>
          <w:rFonts w:hint="default" w:ascii="Times New Roman" w:hAnsi="Times New Roman" w:eastAsia="方正仿宋_GBK" w:cs="Times New Roman"/>
          <w:color w:val="auto"/>
          <w:kern w:val="0"/>
          <w:sz w:val="24"/>
          <w:szCs w:val="24"/>
          <w:highlight w:val="none"/>
        </w:rPr>
        <w:t>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r>
        <w:rPr>
          <w:rFonts w:hint="default" w:ascii="Times New Roman" w:hAnsi="Times New Roman" w:eastAsia="方正仿宋_GBK" w:cs="Times New Roman"/>
          <w:color w:val="auto"/>
          <w:kern w:val="0"/>
          <w:sz w:val="24"/>
          <w:szCs w:val="24"/>
          <w:highlight w:val="none"/>
          <w:lang w:eastAsia="zh-CN"/>
        </w:rPr>
        <w:t>供应商</w:t>
      </w:r>
      <w:r>
        <w:rPr>
          <w:rFonts w:hint="default" w:ascii="Times New Roman" w:hAnsi="Times New Roman" w:eastAsia="方正仿宋_GBK" w:cs="Times New Roman"/>
          <w:color w:val="auto"/>
          <w:kern w:val="0"/>
          <w:sz w:val="24"/>
          <w:szCs w:val="24"/>
          <w:highlight w:val="none"/>
        </w:rPr>
        <w:t>可于</w:t>
      </w:r>
      <w:r>
        <w:rPr>
          <w:rFonts w:hint="default" w:ascii="Times New Roman" w:hAnsi="Times New Roman" w:eastAsia="方正仿宋_GBK" w:cs="Times New Roman"/>
          <w:color w:val="auto"/>
          <w:kern w:val="0"/>
          <w:sz w:val="24"/>
          <w:szCs w:val="24"/>
          <w:highlight w:val="none"/>
          <w:lang w:val="en-US" w:eastAsia="zh-CN"/>
        </w:rPr>
        <w:t>电子</w:t>
      </w:r>
      <w:r>
        <w:rPr>
          <w:rFonts w:hint="default" w:ascii="Times New Roman" w:hAnsi="Times New Roman" w:eastAsia="方正仿宋_GBK" w:cs="Times New Roman"/>
          <w:color w:val="auto"/>
          <w:kern w:val="0"/>
          <w:sz w:val="24"/>
          <w:szCs w:val="24"/>
          <w:highlight w:val="none"/>
        </w:rPr>
        <w:t>响应文件递交截止时间前通过 “信用中国”网站(www.creditchina.gov.cn)、"中国政府采购网"(www.ccgp.gov.cn)等渠道查询信用记录。</w:t>
      </w:r>
    </w:p>
    <w:p w14:paraId="0BAF1F19">
      <w:pPr>
        <w:snapToGrid w:val="0"/>
        <w:spacing w:line="400" w:lineRule="exact"/>
        <w:ind w:firstLine="480" w:firstLineChars="200"/>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2.符合性审查。依据</w:t>
      </w:r>
      <w:r>
        <w:rPr>
          <w:rFonts w:hint="default" w:ascii="Times New Roman" w:hAnsi="Times New Roman" w:eastAsia="方正仿宋_GBK" w:cs="Times New Roman"/>
          <w:color w:val="auto"/>
          <w:kern w:val="0"/>
          <w:sz w:val="24"/>
          <w:szCs w:val="24"/>
          <w:highlight w:val="none"/>
          <w:lang w:val="en-US" w:eastAsia="zh-CN"/>
        </w:rPr>
        <w:t>竞采</w:t>
      </w:r>
      <w:r>
        <w:rPr>
          <w:rFonts w:hint="default" w:ascii="Times New Roman" w:hAnsi="Times New Roman" w:eastAsia="方正仿宋_GBK" w:cs="Times New Roman"/>
          <w:color w:val="auto"/>
          <w:kern w:val="0"/>
          <w:sz w:val="24"/>
          <w:szCs w:val="24"/>
          <w:highlight w:val="none"/>
        </w:rPr>
        <w:t>文件的规定，从</w:t>
      </w:r>
      <w:r>
        <w:rPr>
          <w:rFonts w:hint="default" w:ascii="Times New Roman" w:hAnsi="Times New Roman" w:eastAsia="方正仿宋_GBK" w:cs="Times New Roman"/>
          <w:color w:val="auto"/>
          <w:kern w:val="0"/>
          <w:sz w:val="24"/>
          <w:szCs w:val="24"/>
          <w:highlight w:val="none"/>
          <w:lang w:val="en-US" w:eastAsia="zh-CN"/>
        </w:rPr>
        <w:t>电子</w:t>
      </w:r>
      <w:r>
        <w:rPr>
          <w:rFonts w:hint="default" w:ascii="Times New Roman" w:hAnsi="Times New Roman" w:eastAsia="方正仿宋_GBK" w:cs="Times New Roman"/>
          <w:color w:val="auto"/>
          <w:kern w:val="0"/>
          <w:sz w:val="24"/>
          <w:szCs w:val="24"/>
          <w:highlight w:val="none"/>
        </w:rPr>
        <w:t>响应文件的有效性、完整性和对</w:t>
      </w:r>
      <w:r>
        <w:rPr>
          <w:rFonts w:hint="default" w:ascii="Times New Roman" w:hAnsi="Times New Roman" w:eastAsia="方正仿宋_GBK" w:cs="Times New Roman"/>
          <w:color w:val="auto"/>
          <w:kern w:val="0"/>
          <w:sz w:val="24"/>
          <w:szCs w:val="24"/>
          <w:highlight w:val="none"/>
          <w:lang w:val="en-US" w:eastAsia="zh-CN"/>
        </w:rPr>
        <w:t>竞采</w:t>
      </w:r>
      <w:r>
        <w:rPr>
          <w:rFonts w:hint="default" w:ascii="Times New Roman" w:hAnsi="Times New Roman" w:eastAsia="方正仿宋_GBK" w:cs="Times New Roman"/>
          <w:color w:val="auto"/>
          <w:kern w:val="0"/>
          <w:sz w:val="24"/>
          <w:szCs w:val="24"/>
          <w:highlight w:val="none"/>
        </w:rPr>
        <w:t>文件的响应程度进行审查，以确定是否对</w:t>
      </w:r>
      <w:r>
        <w:rPr>
          <w:rFonts w:hint="default" w:ascii="Times New Roman" w:hAnsi="Times New Roman" w:eastAsia="方正仿宋_GBK" w:cs="Times New Roman"/>
          <w:color w:val="auto"/>
          <w:kern w:val="0"/>
          <w:sz w:val="24"/>
          <w:szCs w:val="24"/>
          <w:highlight w:val="none"/>
          <w:lang w:eastAsia="zh-CN"/>
        </w:rPr>
        <w:t>竞采文件</w:t>
      </w:r>
      <w:r>
        <w:rPr>
          <w:rFonts w:hint="default" w:ascii="Times New Roman" w:hAnsi="Times New Roman" w:eastAsia="方正仿宋_GBK" w:cs="Times New Roman"/>
          <w:color w:val="auto"/>
          <w:kern w:val="0"/>
          <w:sz w:val="24"/>
          <w:szCs w:val="24"/>
          <w:highlight w:val="none"/>
        </w:rPr>
        <w:t>的实质性要求作出响应。符合性审查资料表如下：</w:t>
      </w:r>
    </w:p>
    <w:tbl>
      <w:tblPr>
        <w:tblStyle w:val="19"/>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3E616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675" w:type="dxa"/>
            <w:vAlign w:val="center"/>
          </w:tcPr>
          <w:p w14:paraId="05A8C473">
            <w:pPr>
              <w:spacing w:line="240" w:lineRule="exact"/>
              <w:jc w:val="center"/>
              <w:rPr>
                <w:rFonts w:hint="default" w:ascii="Times New Roman" w:hAnsi="Times New Roman" w:eastAsia="方正仿宋_GBK" w:cs="Times New Roman"/>
                <w:b/>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b/>
                <w:color w:val="000000" w:themeColor="text1"/>
                <w:kern w:val="0"/>
                <w:sz w:val="24"/>
                <w:szCs w:val="24"/>
                <w:highlight w:val="none"/>
                <w14:textFill>
                  <w14:solidFill>
                    <w14:schemeClr w14:val="tx1"/>
                  </w14:solidFill>
                </w14:textFill>
              </w:rPr>
              <w:t>序号</w:t>
            </w:r>
          </w:p>
        </w:tc>
        <w:tc>
          <w:tcPr>
            <w:tcW w:w="3544" w:type="dxa"/>
            <w:gridSpan w:val="2"/>
            <w:vAlign w:val="center"/>
          </w:tcPr>
          <w:p w14:paraId="2EDD9E93">
            <w:pPr>
              <w:spacing w:line="240" w:lineRule="exact"/>
              <w:jc w:val="center"/>
              <w:rPr>
                <w:rFonts w:hint="default" w:ascii="Times New Roman" w:hAnsi="Times New Roman" w:eastAsia="方正仿宋_GBK" w:cs="Times New Roman"/>
                <w:b/>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b/>
                <w:color w:val="000000" w:themeColor="text1"/>
                <w:kern w:val="0"/>
                <w:sz w:val="24"/>
                <w:szCs w:val="24"/>
                <w:highlight w:val="none"/>
                <w14:textFill>
                  <w14:solidFill>
                    <w14:schemeClr w14:val="tx1"/>
                  </w14:solidFill>
                </w14:textFill>
              </w:rPr>
              <w:t>评审因素</w:t>
            </w:r>
          </w:p>
        </w:tc>
        <w:tc>
          <w:tcPr>
            <w:tcW w:w="5409" w:type="dxa"/>
            <w:vAlign w:val="center"/>
          </w:tcPr>
          <w:p w14:paraId="7715FFA5">
            <w:pPr>
              <w:spacing w:line="240" w:lineRule="exact"/>
              <w:jc w:val="center"/>
              <w:rPr>
                <w:rFonts w:hint="default" w:ascii="Times New Roman" w:hAnsi="Times New Roman" w:eastAsia="方正仿宋_GBK" w:cs="Times New Roman"/>
                <w:b/>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b/>
                <w:color w:val="000000" w:themeColor="text1"/>
                <w:kern w:val="0"/>
                <w:sz w:val="24"/>
                <w:szCs w:val="24"/>
                <w:highlight w:val="none"/>
                <w14:textFill>
                  <w14:solidFill>
                    <w14:schemeClr w14:val="tx1"/>
                  </w14:solidFill>
                </w14:textFill>
              </w:rPr>
              <w:t>评审标准</w:t>
            </w:r>
          </w:p>
        </w:tc>
      </w:tr>
      <w:tr w14:paraId="67737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75" w:type="dxa"/>
            <w:vMerge w:val="restart"/>
            <w:vAlign w:val="center"/>
          </w:tcPr>
          <w:p w14:paraId="22A964DF">
            <w:pPr>
              <w:spacing w:line="240" w:lineRule="exact"/>
              <w:jc w:val="cente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t>1</w:t>
            </w:r>
          </w:p>
        </w:tc>
        <w:tc>
          <w:tcPr>
            <w:tcW w:w="1560" w:type="dxa"/>
            <w:vMerge w:val="restart"/>
            <w:vAlign w:val="center"/>
          </w:tcPr>
          <w:p w14:paraId="2207DB3D">
            <w:pPr>
              <w:spacing w:line="240" w:lineRule="exact"/>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t>有效性审查</w:t>
            </w:r>
          </w:p>
        </w:tc>
        <w:tc>
          <w:tcPr>
            <w:tcW w:w="1984" w:type="dxa"/>
            <w:vAlign w:val="center"/>
          </w:tcPr>
          <w:p w14:paraId="1FBB8328">
            <w:pPr>
              <w:spacing w:line="240" w:lineRule="exact"/>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响应文件签署</w:t>
            </w:r>
          </w:p>
        </w:tc>
        <w:tc>
          <w:tcPr>
            <w:tcW w:w="5409" w:type="dxa"/>
            <w:vAlign w:val="center"/>
          </w:tcPr>
          <w:p w14:paraId="742E72EE">
            <w:pPr>
              <w:spacing w:line="240" w:lineRule="exact"/>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网上电子文档及响应文件上法定代表人或其授权代表人的签字齐全。</w:t>
            </w:r>
          </w:p>
        </w:tc>
      </w:tr>
      <w:tr w14:paraId="685E8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675" w:type="dxa"/>
            <w:vMerge w:val="continue"/>
            <w:vAlign w:val="center"/>
          </w:tcPr>
          <w:p w14:paraId="1AD4A587">
            <w:pPr>
              <w:spacing w:line="240" w:lineRule="exact"/>
              <w:jc w:val="cente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p>
        </w:tc>
        <w:tc>
          <w:tcPr>
            <w:tcW w:w="1560" w:type="dxa"/>
            <w:vMerge w:val="continue"/>
            <w:vAlign w:val="center"/>
          </w:tcPr>
          <w:p w14:paraId="083285EB">
            <w:pPr>
              <w:spacing w:line="240" w:lineRule="exact"/>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p>
        </w:tc>
        <w:tc>
          <w:tcPr>
            <w:tcW w:w="1984" w:type="dxa"/>
            <w:vAlign w:val="center"/>
          </w:tcPr>
          <w:p w14:paraId="49BBC832">
            <w:pPr>
              <w:spacing w:line="240" w:lineRule="exact"/>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法定代表人身份证明及授权委托书</w:t>
            </w:r>
          </w:p>
        </w:tc>
        <w:tc>
          <w:tcPr>
            <w:tcW w:w="5409" w:type="dxa"/>
            <w:vAlign w:val="center"/>
          </w:tcPr>
          <w:p w14:paraId="7895E0F1">
            <w:pPr>
              <w:spacing w:line="240" w:lineRule="exact"/>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法定代表人身份证明及授权委托书有效，符合网上竞采文件规定的格式，签字或盖章齐全。</w:t>
            </w:r>
          </w:p>
        </w:tc>
      </w:tr>
      <w:tr w14:paraId="00D7C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vMerge w:val="continue"/>
            <w:vAlign w:val="center"/>
          </w:tcPr>
          <w:p w14:paraId="1E8D3666">
            <w:pPr>
              <w:spacing w:line="240" w:lineRule="exact"/>
              <w:jc w:val="cente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p>
        </w:tc>
        <w:tc>
          <w:tcPr>
            <w:tcW w:w="1560" w:type="dxa"/>
            <w:vMerge w:val="continue"/>
            <w:vAlign w:val="center"/>
          </w:tcPr>
          <w:p w14:paraId="52F53013">
            <w:pPr>
              <w:spacing w:line="240" w:lineRule="exact"/>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p>
        </w:tc>
        <w:tc>
          <w:tcPr>
            <w:tcW w:w="1984" w:type="dxa"/>
            <w:vAlign w:val="center"/>
          </w:tcPr>
          <w:p w14:paraId="5BD41F40">
            <w:pPr>
              <w:spacing w:line="240" w:lineRule="exact"/>
              <w:rPr>
                <w:rFonts w:hint="default" w:ascii="Times New Roman" w:hAnsi="Times New Roman" w:eastAsia="方正仿宋_GBK" w:cs="Times New Roman"/>
                <w:color w:val="000000" w:themeColor="text1"/>
                <w:sz w:val="24"/>
                <w:szCs w:val="24"/>
                <w:highlight w:val="none"/>
                <w:lang w:val="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响应</w:t>
            </w:r>
            <w:r>
              <w:rPr>
                <w:rFonts w:hint="default" w:ascii="Times New Roman" w:hAnsi="Times New Roman" w:eastAsia="方正仿宋_GBK" w:cs="Times New Roman"/>
                <w:color w:val="000000" w:themeColor="text1"/>
                <w:sz w:val="24"/>
                <w:szCs w:val="24"/>
                <w:highlight w:val="none"/>
                <w:lang w:val="zh-CN"/>
                <w14:textFill>
                  <w14:solidFill>
                    <w14:schemeClr w14:val="tx1"/>
                  </w14:solidFill>
                </w14:textFill>
              </w:rPr>
              <w:t>方案</w:t>
            </w:r>
          </w:p>
        </w:tc>
        <w:tc>
          <w:tcPr>
            <w:tcW w:w="5409" w:type="dxa"/>
            <w:vAlign w:val="center"/>
          </w:tcPr>
          <w:p w14:paraId="79EE2B9F">
            <w:pPr>
              <w:spacing w:line="240" w:lineRule="exact"/>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zh-CN"/>
                <w14:textFill>
                  <w14:solidFill>
                    <w14:schemeClr w14:val="tx1"/>
                  </w14:solidFill>
                </w14:textFill>
              </w:rPr>
              <w:t>每个分包只能有一个</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响应</w:t>
            </w:r>
            <w:r>
              <w:rPr>
                <w:rFonts w:hint="default" w:ascii="Times New Roman" w:hAnsi="Times New Roman" w:eastAsia="方正仿宋_GBK" w:cs="Times New Roman"/>
                <w:color w:val="000000" w:themeColor="text1"/>
                <w:sz w:val="24"/>
                <w:szCs w:val="24"/>
                <w:highlight w:val="none"/>
                <w:lang w:val="zh-CN"/>
                <w14:textFill>
                  <w14:solidFill>
                    <w14:schemeClr w14:val="tx1"/>
                  </w14:solidFill>
                </w14:textFill>
              </w:rPr>
              <w:t>方案。</w:t>
            </w:r>
          </w:p>
        </w:tc>
      </w:tr>
      <w:tr w14:paraId="165DA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5" w:type="dxa"/>
            <w:vMerge w:val="continue"/>
            <w:vAlign w:val="center"/>
          </w:tcPr>
          <w:p w14:paraId="60CC51A0">
            <w:pPr>
              <w:spacing w:line="240" w:lineRule="exact"/>
              <w:jc w:val="cente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p>
        </w:tc>
        <w:tc>
          <w:tcPr>
            <w:tcW w:w="1560" w:type="dxa"/>
            <w:vMerge w:val="continue"/>
            <w:vAlign w:val="center"/>
          </w:tcPr>
          <w:p w14:paraId="6F117B01">
            <w:pPr>
              <w:spacing w:line="240" w:lineRule="exact"/>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p>
        </w:tc>
        <w:tc>
          <w:tcPr>
            <w:tcW w:w="1984" w:type="dxa"/>
            <w:vAlign w:val="center"/>
          </w:tcPr>
          <w:p w14:paraId="0D6B82E2">
            <w:pPr>
              <w:spacing w:line="240" w:lineRule="exact"/>
              <w:rPr>
                <w:rFonts w:hint="default" w:ascii="Times New Roman" w:hAnsi="Times New Roman" w:eastAsia="方正仿宋_GBK" w:cs="Times New Roman"/>
                <w:color w:val="000000" w:themeColor="text1"/>
                <w:sz w:val="24"/>
                <w:szCs w:val="24"/>
                <w:highlight w:val="none"/>
                <w:lang w:val="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报价唯一</w:t>
            </w:r>
          </w:p>
        </w:tc>
        <w:tc>
          <w:tcPr>
            <w:tcW w:w="5409" w:type="dxa"/>
            <w:vAlign w:val="center"/>
          </w:tcPr>
          <w:p w14:paraId="2B94B9B9">
            <w:pPr>
              <w:spacing w:line="240" w:lineRule="exact"/>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zh-CN"/>
                <w14:textFill>
                  <w14:solidFill>
                    <w14:schemeClr w14:val="tx1"/>
                  </w14:solidFill>
                </w14:textFill>
              </w:rPr>
              <w:t>只能在采购预算范围内报价，</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只能有一个有效报价，不得提交选择性报价。</w:t>
            </w:r>
          </w:p>
        </w:tc>
      </w:tr>
      <w:tr w14:paraId="108DE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75" w:type="dxa"/>
            <w:vAlign w:val="center"/>
          </w:tcPr>
          <w:p w14:paraId="3F26928D">
            <w:pPr>
              <w:spacing w:line="240" w:lineRule="exact"/>
              <w:jc w:val="cente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t>2</w:t>
            </w:r>
          </w:p>
        </w:tc>
        <w:tc>
          <w:tcPr>
            <w:tcW w:w="1560" w:type="dxa"/>
            <w:vAlign w:val="center"/>
          </w:tcPr>
          <w:p w14:paraId="4790374D">
            <w:pPr>
              <w:spacing w:line="240" w:lineRule="exact"/>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t>完整性审查</w:t>
            </w:r>
          </w:p>
        </w:tc>
        <w:tc>
          <w:tcPr>
            <w:tcW w:w="1984" w:type="dxa"/>
            <w:vAlign w:val="center"/>
          </w:tcPr>
          <w:p w14:paraId="4D48B7B9">
            <w:pPr>
              <w:spacing w:line="240" w:lineRule="exact"/>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响应</w:t>
            </w:r>
            <w:r>
              <w:rPr>
                <w:rFonts w:hint="default" w:ascii="Times New Roman" w:hAnsi="Times New Roman" w:eastAsia="方正仿宋_GBK" w:cs="Times New Roman"/>
                <w:color w:val="000000" w:themeColor="text1"/>
                <w:sz w:val="24"/>
                <w:szCs w:val="24"/>
                <w:highlight w:val="none"/>
                <w:lang w:val="zh-CN"/>
                <w14:textFill>
                  <w14:solidFill>
                    <w14:schemeClr w14:val="tx1"/>
                  </w14:solidFill>
                </w14:textFill>
              </w:rPr>
              <w:t>文件份数</w:t>
            </w:r>
          </w:p>
        </w:tc>
        <w:tc>
          <w:tcPr>
            <w:tcW w:w="5409" w:type="dxa"/>
            <w:vAlign w:val="center"/>
          </w:tcPr>
          <w:p w14:paraId="02D3CB22">
            <w:pPr>
              <w:spacing w:line="240" w:lineRule="exact"/>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响应</w:t>
            </w:r>
            <w:r>
              <w:rPr>
                <w:rFonts w:hint="default" w:ascii="Times New Roman" w:hAnsi="Times New Roman" w:eastAsia="方正仿宋_GBK" w:cs="Times New Roman"/>
                <w:color w:val="000000" w:themeColor="text1"/>
                <w:sz w:val="24"/>
                <w:szCs w:val="24"/>
                <w:highlight w:val="none"/>
                <w:lang w:val="zh-CN"/>
                <w14:textFill>
                  <w14:solidFill>
                    <w14:schemeClr w14:val="tx1"/>
                  </w14:solidFill>
                </w14:textFill>
              </w:rPr>
              <w:t>文件数量符合</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网上竞采</w:t>
            </w:r>
            <w:r>
              <w:rPr>
                <w:rFonts w:hint="default" w:ascii="Times New Roman" w:hAnsi="Times New Roman" w:eastAsia="方正仿宋_GBK" w:cs="Times New Roman"/>
                <w:color w:val="000000" w:themeColor="text1"/>
                <w:sz w:val="24"/>
                <w:szCs w:val="24"/>
                <w:highlight w:val="none"/>
                <w:lang w:val="zh-CN"/>
                <w14:textFill>
                  <w14:solidFill>
                    <w14:schemeClr w14:val="tx1"/>
                  </w14:solidFill>
                </w14:textFill>
              </w:rPr>
              <w:t>文件要求。</w:t>
            </w:r>
          </w:p>
        </w:tc>
      </w:tr>
      <w:tr w14:paraId="681C1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vMerge w:val="restart"/>
            <w:vAlign w:val="center"/>
          </w:tcPr>
          <w:p w14:paraId="5FBAD2C5">
            <w:pPr>
              <w:spacing w:line="240" w:lineRule="exact"/>
              <w:jc w:val="cente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t>3</w:t>
            </w:r>
          </w:p>
        </w:tc>
        <w:tc>
          <w:tcPr>
            <w:tcW w:w="1560" w:type="dxa"/>
            <w:vMerge w:val="restart"/>
            <w:vAlign w:val="center"/>
          </w:tcPr>
          <w:p w14:paraId="5FA1EA27">
            <w:pPr>
              <w:spacing w:line="240" w:lineRule="exact"/>
              <w:rPr>
                <w:rFonts w:hint="default" w:ascii="Times New Roman" w:hAnsi="Times New Roman" w:eastAsia="方正仿宋_GBK" w:cs="Times New Roman"/>
                <w:color w:val="000000" w:themeColor="text1"/>
                <w:sz w:val="24"/>
                <w:szCs w:val="24"/>
                <w:highlight w:val="none"/>
                <w:lang w:val="zh-CN"/>
                <w14:textFill>
                  <w14:solidFill>
                    <w14:schemeClr w14:val="tx1"/>
                  </w14:solidFill>
                </w14:textFill>
              </w:rPr>
            </w:pPr>
            <w: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t>网上竞采文件的响应程度审查</w:t>
            </w:r>
          </w:p>
        </w:tc>
        <w:tc>
          <w:tcPr>
            <w:tcW w:w="1984" w:type="dxa"/>
            <w:vAlign w:val="center"/>
          </w:tcPr>
          <w:p w14:paraId="037B81C7">
            <w:pPr>
              <w:spacing w:line="240" w:lineRule="exact"/>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t>响应文件内容</w:t>
            </w:r>
          </w:p>
        </w:tc>
        <w:tc>
          <w:tcPr>
            <w:tcW w:w="5409" w:type="dxa"/>
            <w:vAlign w:val="center"/>
          </w:tcPr>
          <w:p w14:paraId="645FE4C9">
            <w:pPr>
              <w:pStyle w:val="10"/>
              <w:spacing w:line="240" w:lineRule="exact"/>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t>对网上竞采文件第二篇、第三篇规定的网上竞采内容作出响应。</w:t>
            </w:r>
          </w:p>
        </w:tc>
      </w:tr>
      <w:tr w14:paraId="5299D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75" w:type="dxa"/>
            <w:vMerge w:val="continue"/>
            <w:vAlign w:val="center"/>
          </w:tcPr>
          <w:p w14:paraId="1A2C5A8B">
            <w:pPr>
              <w:spacing w:line="240" w:lineRule="exact"/>
              <w:jc w:val="cente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p>
        </w:tc>
        <w:tc>
          <w:tcPr>
            <w:tcW w:w="1560" w:type="dxa"/>
            <w:vMerge w:val="continue"/>
            <w:vAlign w:val="center"/>
          </w:tcPr>
          <w:p w14:paraId="2CE3FBC6">
            <w:pPr>
              <w:spacing w:line="240" w:lineRule="exact"/>
              <w:rPr>
                <w:rFonts w:hint="default" w:ascii="Times New Roman" w:hAnsi="Times New Roman" w:eastAsia="方正仿宋_GBK" w:cs="Times New Roman"/>
                <w:color w:val="000000" w:themeColor="text1"/>
                <w:sz w:val="24"/>
                <w:szCs w:val="24"/>
                <w:highlight w:val="none"/>
                <w:lang w:val="zh-CN"/>
                <w14:textFill>
                  <w14:solidFill>
                    <w14:schemeClr w14:val="tx1"/>
                  </w14:solidFill>
                </w14:textFill>
              </w:rPr>
            </w:pPr>
          </w:p>
        </w:tc>
        <w:tc>
          <w:tcPr>
            <w:tcW w:w="1984" w:type="dxa"/>
            <w:vAlign w:val="center"/>
          </w:tcPr>
          <w:p w14:paraId="173FE350">
            <w:pPr>
              <w:spacing w:line="240" w:lineRule="exact"/>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t>网上竞采有效期</w:t>
            </w:r>
          </w:p>
        </w:tc>
        <w:tc>
          <w:tcPr>
            <w:tcW w:w="5409" w:type="dxa"/>
            <w:vAlign w:val="center"/>
          </w:tcPr>
          <w:p w14:paraId="2885AF52">
            <w:pPr>
              <w:spacing w:line="240" w:lineRule="exact"/>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t>满足网上竞采文件</w:t>
            </w:r>
            <w:r>
              <w:rPr>
                <w:rFonts w:hint="default" w:ascii="Times New Roman" w:hAnsi="Times New Roman" w:eastAsia="方正仿宋_GBK" w:cs="Times New Roman"/>
                <w:color w:val="000000" w:themeColor="text1"/>
                <w:sz w:val="24"/>
                <w:szCs w:val="24"/>
                <w:highlight w:val="none"/>
                <w:lang w:val="zh-CN"/>
                <w14:textFill>
                  <w14:solidFill>
                    <w14:schemeClr w14:val="tx1"/>
                  </w14:solidFill>
                </w14:textFill>
              </w:rPr>
              <w:t>规定。</w:t>
            </w:r>
          </w:p>
        </w:tc>
      </w:tr>
    </w:tbl>
    <w:p w14:paraId="2EF27925">
      <w:pPr>
        <w:spacing w:line="360" w:lineRule="auto"/>
        <w:ind w:firstLine="480" w:firstLineChars="200"/>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t>（二）评审小组在对响应文件的有效性、完整性和响应程度进行审查时，可以要求</w:t>
      </w:r>
      <w:r>
        <w:rPr>
          <w:rFonts w:hint="default" w:ascii="Times New Roman" w:hAnsi="Times New Roman" w:eastAsia="方正仿宋_GBK" w:cs="Times New Roman"/>
          <w:color w:val="000000" w:themeColor="text1"/>
          <w:kern w:val="0"/>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t>对响应文件中含义不明确、同类问题表述不一致或者有明显文字和计算错误的内容等作出必要的澄清、说明或者更正。</w:t>
      </w:r>
      <w:r>
        <w:rPr>
          <w:rFonts w:hint="default" w:ascii="Times New Roman" w:hAnsi="Times New Roman" w:eastAsia="方正仿宋_GBK" w:cs="Times New Roman"/>
          <w:color w:val="000000" w:themeColor="text1"/>
          <w:kern w:val="0"/>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t>的澄清、说明或者更正不得超出响应文件的范围或者改变响应文件的实质性内容。</w:t>
      </w:r>
    </w:p>
    <w:p w14:paraId="0264B672">
      <w:pPr>
        <w:spacing w:line="360" w:lineRule="auto"/>
        <w:ind w:firstLine="480" w:firstLineChars="200"/>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t>评审小组要求</w:t>
      </w:r>
      <w:r>
        <w:rPr>
          <w:rFonts w:hint="default" w:ascii="Times New Roman" w:hAnsi="Times New Roman" w:eastAsia="方正仿宋_GBK" w:cs="Times New Roman"/>
          <w:color w:val="000000" w:themeColor="text1"/>
          <w:kern w:val="0"/>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t>澄清、说明或者更正响应文件应当以书面形式作出。</w:t>
      </w:r>
      <w:r>
        <w:rPr>
          <w:rFonts w:hint="default" w:ascii="Times New Roman" w:hAnsi="Times New Roman" w:eastAsia="方正仿宋_GBK" w:cs="Times New Roman"/>
          <w:color w:val="000000" w:themeColor="text1"/>
          <w:kern w:val="0"/>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t>的澄清、说明或者更正应当由法定代表人（或其授权代表）或自然人（</w:t>
      </w:r>
      <w:r>
        <w:rPr>
          <w:rFonts w:hint="default" w:ascii="Times New Roman" w:hAnsi="Times New Roman" w:eastAsia="方正仿宋_GBK" w:cs="Times New Roman"/>
          <w:color w:val="000000" w:themeColor="text1"/>
          <w:kern w:val="0"/>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t>为自然人）签署或者加盖公章。由授权代表签署的，应当附法定代表人授权书。</w:t>
      </w:r>
      <w:r>
        <w:rPr>
          <w:rFonts w:hint="default" w:ascii="Times New Roman" w:hAnsi="Times New Roman" w:eastAsia="方正仿宋_GBK" w:cs="Times New Roman"/>
          <w:color w:val="000000" w:themeColor="text1"/>
          <w:kern w:val="0"/>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t>为自然人的，应当由本人签署并附身份证明。</w:t>
      </w:r>
    </w:p>
    <w:p w14:paraId="25DC1651">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t>（三）评审的依据为网上竞采文件和响应文件（含有效的补充文件）。评审小组判断响应文件对网上竞采文件的响应，仅基于响应文件本身而不靠外部证据。</w:t>
      </w:r>
    </w:p>
    <w:p w14:paraId="278751B3">
      <w:pPr>
        <w:pStyle w:val="3"/>
        <w:spacing w:before="0" w:after="0" w:line="360" w:lineRule="auto"/>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bookmarkStart w:id="89" w:name="_Toc18411"/>
      <w:bookmarkStart w:id="90" w:name="_Toc76462335"/>
      <w:bookmarkStart w:id="91" w:name="_Toc25635"/>
      <w:bookmarkStart w:id="92" w:name="_Toc342913394"/>
      <w:bookmarkStart w:id="93" w:name="_Toc102227320"/>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二、评标方法</w:t>
      </w:r>
    </w:p>
    <w:p w14:paraId="48261C0B">
      <w:pPr>
        <w:spacing w:line="360" w:lineRule="auto"/>
        <w:ind w:firstLine="240" w:firstLineChars="100"/>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本项目采用综合评估法进行评标。</w:t>
      </w:r>
    </w:p>
    <w:p w14:paraId="5F2359D6">
      <w:pPr>
        <w:spacing w:line="360" w:lineRule="auto"/>
        <w:ind w:firstLine="240" w:firstLineChars="100"/>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综合评分法，是指响应文件满足竞采文件全部实质性要求且按照评审因素的量化指标评审得分最高的供应商为成交供应商的评标方法。供应商总得分为价格、商务、技术（质量）等评定因素分别按照相应权重值计算分项得分后相加，满分为100分。</w:t>
      </w:r>
    </w:p>
    <w:p w14:paraId="27623AF0">
      <w:pPr>
        <w:snapToGrid w:val="0"/>
        <w:spacing w:line="400" w:lineRule="exact"/>
        <w:ind w:firstLine="482" w:firstLineChars="200"/>
        <w:outlineLvl w:val="2"/>
        <w:rPr>
          <w:rFonts w:hint="default" w:ascii="Times New Roman" w:hAnsi="Times New Roman" w:eastAsia="方正仿宋_GBK" w:cs="Times New Roman"/>
          <w:b/>
          <w:sz w:val="24"/>
          <w:szCs w:val="24"/>
          <w:highlight w:val="none"/>
        </w:rPr>
      </w:pPr>
      <w:r>
        <w:rPr>
          <w:rFonts w:hint="default" w:ascii="Times New Roman" w:hAnsi="Times New Roman" w:eastAsia="方正仿宋_GBK" w:cs="Times New Roman"/>
          <w:b/>
          <w:sz w:val="24"/>
          <w:szCs w:val="24"/>
          <w:highlight w:val="none"/>
        </w:rPr>
        <w:t>综合评分法：</w:t>
      </w:r>
    </w:p>
    <w:p w14:paraId="7E99D3D1">
      <w:pPr>
        <w:spacing w:line="360" w:lineRule="auto"/>
        <w:ind w:firstLine="240" w:firstLineChars="100"/>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（一）比较与评价。按竞采文件中规定的评标方法和标准，对资格审查和符合性审查合格的响应文件进行商务和技术评估。</w:t>
      </w:r>
    </w:p>
    <w:p w14:paraId="11AB05A7">
      <w:pPr>
        <w:spacing w:line="360" w:lineRule="auto"/>
        <w:ind w:firstLine="240" w:firstLineChars="100"/>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评审小组各成员独立对每个有效供应商（通过资格审查、符合性审查的供应商）的响应文件进行评价、打分，然后由评审小组对各成员打分情况进行核查及复核，个别成员对同一供应商同一评分项的打分偏离较大的，应对供应商的响应文件进行再次核对，确属打分有误的，应及时进行修正。复核后，评审小组汇总每个供应商每项评分因素的得分。</w:t>
      </w:r>
    </w:p>
    <w:p w14:paraId="564FA56A">
      <w:pPr>
        <w:spacing w:line="360" w:lineRule="auto"/>
        <w:ind w:firstLine="240" w:firstLineChars="100"/>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（二）关于技术（质量）、商务偏离</w:t>
      </w:r>
    </w:p>
    <w:p w14:paraId="55C3B69F">
      <w:pPr>
        <w:spacing w:line="360" w:lineRule="auto"/>
        <w:ind w:firstLine="240" w:firstLineChars="100"/>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1.电子响应文件投标应答有一条及以上不满足采购文件“第二篇 项目技术需求”要求的（“※”号标注的部分除外），供应商将失去成为成交供应商的资格；</w:t>
      </w:r>
    </w:p>
    <w:p w14:paraId="6B3CE032">
      <w:pPr>
        <w:spacing w:line="360" w:lineRule="auto"/>
        <w:ind w:firstLine="240" w:firstLineChars="100"/>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2.电子响应文件投标应答有一条及以上不满足采购文件“第三篇 项目商务需求”要求的（“※”号标注的部分除外），供应商将失去成为成交供应商的资格；</w:t>
      </w:r>
    </w:p>
    <w:p w14:paraId="1F1F77E5">
      <w:pPr>
        <w:spacing w:line="360" w:lineRule="auto"/>
        <w:ind w:firstLine="240" w:firstLineChars="100"/>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3. 评审小组认为供应商的报价明显低于其他通过符合性审查供应商的报价，有可能影响质量或者不能诚信履约的，应当要求其在评标现场合理的时间内在线提供书面说明，必要时提交相关证明材料电子档（PDF格式）；供应商不能证明其报价合理性的，评审小组应当将其作为无效投标处理。</w:t>
      </w:r>
    </w:p>
    <w:p w14:paraId="426A5F2D">
      <w:pPr>
        <w:spacing w:line="360" w:lineRule="auto"/>
        <w:ind w:firstLine="240" w:firstLineChars="100"/>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（三）推荐成交供应商名单。</w:t>
      </w:r>
    </w:p>
    <w:p w14:paraId="0BF47B82">
      <w:pPr>
        <w:spacing w:line="360" w:lineRule="auto"/>
        <w:ind w:firstLine="240" w:firstLineChars="100"/>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按评审后得分由高到低的排列顺序推荐综合得分排名前三的供应商为本包（项目）成交供应商，排名第一的为第一成交供应商。得分相同的，按投标报价由低到高顺序排列。得分且投标报价相同的由评审小组随机抽取的方式进行排列。不推荐技术（质量）部分得分为0分的供应商成为成交供应商。</w:t>
      </w:r>
    </w:p>
    <w:bookmarkEnd w:id="89"/>
    <w:p w14:paraId="15AA9EB6">
      <w:pPr>
        <w:pStyle w:val="2"/>
        <w:spacing w:line="400" w:lineRule="exact"/>
        <w:rPr>
          <w:rFonts w:hint="default" w:ascii="Times New Roman" w:hAnsi="Times New Roman" w:eastAsia="方正仿宋_GBK" w:cs="Times New Roman"/>
          <w:b/>
          <w:sz w:val="24"/>
          <w:szCs w:val="24"/>
          <w:highlight w:val="none"/>
        </w:rPr>
      </w:pPr>
      <w:r>
        <w:rPr>
          <w:rFonts w:hint="default" w:ascii="Times New Roman" w:hAnsi="Times New Roman" w:eastAsia="方正仿宋_GBK" w:cs="Times New Roman"/>
          <w:b/>
          <w:sz w:val="24"/>
          <w:szCs w:val="24"/>
          <w:highlight w:val="none"/>
          <w:lang w:val="en-US" w:eastAsia="zh-CN"/>
        </w:rPr>
        <w:t>三、</w:t>
      </w:r>
      <w:r>
        <w:rPr>
          <w:rFonts w:hint="default" w:ascii="Times New Roman" w:hAnsi="Times New Roman" w:eastAsia="方正仿宋_GBK" w:cs="Times New Roman"/>
          <w:b/>
          <w:sz w:val="24"/>
          <w:szCs w:val="24"/>
          <w:highlight w:val="none"/>
        </w:rPr>
        <w:t>评标标准</w:t>
      </w:r>
    </w:p>
    <w:p w14:paraId="70910BFA">
      <w:pPr>
        <w:snapToGrid w:val="0"/>
        <w:spacing w:line="400" w:lineRule="exact"/>
        <w:ind w:firstLine="482" w:firstLineChars="200"/>
        <w:rPr>
          <w:rFonts w:hint="eastAsia" w:ascii="Times New Roman" w:hAnsi="Times New Roman" w:eastAsia="方正仿宋_GBK" w:cs="Times New Roman"/>
          <w:b/>
          <w:sz w:val="24"/>
          <w:szCs w:val="24"/>
          <w:highlight w:val="none"/>
          <w:lang w:eastAsia="zh-CN"/>
        </w:rPr>
      </w:pPr>
      <w:r>
        <w:rPr>
          <w:rFonts w:hint="default" w:ascii="Times New Roman" w:hAnsi="Times New Roman" w:eastAsia="方正仿宋_GBK" w:cs="Times New Roman"/>
          <w:b/>
          <w:sz w:val="24"/>
          <w:szCs w:val="24"/>
          <w:highlight w:val="none"/>
        </w:rPr>
        <w:t>（综合评分法：</w:t>
      </w:r>
      <w:r>
        <w:rPr>
          <w:rFonts w:hint="eastAsia" w:ascii="Times New Roman" w:hAnsi="Times New Roman" w:eastAsia="方正仿宋_GBK" w:cs="Times New Roman"/>
          <w:b/>
          <w:sz w:val="24"/>
          <w:szCs w:val="24"/>
          <w:highlight w:val="none"/>
          <w:lang w:eastAsia="zh-CN"/>
        </w:rPr>
        <w:t>）</w:t>
      </w:r>
    </w:p>
    <w:p w14:paraId="3120C806">
      <w:pPr>
        <w:snapToGrid w:val="0"/>
        <w:spacing w:line="400" w:lineRule="exact"/>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评审因素</w:t>
      </w:r>
    </w:p>
    <w:tbl>
      <w:tblPr>
        <w:tblStyle w:val="19"/>
        <w:tblW w:w="10664" w:type="dxa"/>
        <w:tblInd w:w="-4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982"/>
        <w:gridCol w:w="1064"/>
        <w:gridCol w:w="6258"/>
        <w:gridCol w:w="1774"/>
      </w:tblGrid>
      <w:tr w14:paraId="4AF55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586" w:type="dxa"/>
            <w:noWrap w:val="0"/>
            <w:vAlign w:val="center"/>
          </w:tcPr>
          <w:p w14:paraId="41438EA3">
            <w:pPr>
              <w:spacing w:line="240" w:lineRule="auto"/>
              <w:ind w:firstLine="28"/>
              <w:jc w:val="center"/>
              <w:rPr>
                <w:rFonts w:hint="default" w:ascii="Times New Roman" w:hAnsi="Times New Roman" w:eastAsia="方正仿宋_GBK" w:cs="Times New Roman"/>
                <w:b/>
                <w:sz w:val="22"/>
                <w:szCs w:val="22"/>
                <w:highlight w:val="none"/>
              </w:rPr>
            </w:pPr>
            <w:r>
              <w:rPr>
                <w:rFonts w:hint="default" w:ascii="Times New Roman" w:hAnsi="Times New Roman" w:eastAsia="方正仿宋_GBK" w:cs="Times New Roman"/>
                <w:b/>
                <w:sz w:val="22"/>
                <w:szCs w:val="22"/>
                <w:highlight w:val="none"/>
              </w:rPr>
              <w:t>序号</w:t>
            </w:r>
          </w:p>
        </w:tc>
        <w:tc>
          <w:tcPr>
            <w:tcW w:w="982" w:type="dxa"/>
            <w:noWrap w:val="0"/>
            <w:vAlign w:val="center"/>
          </w:tcPr>
          <w:p w14:paraId="2806F5E3">
            <w:pPr>
              <w:spacing w:line="240" w:lineRule="auto"/>
              <w:ind w:firstLine="28"/>
              <w:jc w:val="both"/>
              <w:rPr>
                <w:rFonts w:hint="default" w:ascii="Times New Roman" w:hAnsi="Times New Roman" w:eastAsia="方正仿宋_GBK" w:cs="Times New Roman"/>
                <w:b/>
                <w:sz w:val="22"/>
                <w:szCs w:val="22"/>
                <w:highlight w:val="none"/>
              </w:rPr>
            </w:pPr>
            <w:r>
              <w:rPr>
                <w:rFonts w:hint="default" w:ascii="Times New Roman" w:hAnsi="Times New Roman" w:eastAsia="方正仿宋_GBK" w:cs="Times New Roman"/>
                <w:b/>
                <w:sz w:val="22"/>
                <w:szCs w:val="22"/>
                <w:highlight w:val="none"/>
              </w:rPr>
              <w:t>评分因素及权重</w:t>
            </w:r>
          </w:p>
        </w:tc>
        <w:tc>
          <w:tcPr>
            <w:tcW w:w="1064" w:type="dxa"/>
            <w:noWrap w:val="0"/>
            <w:vAlign w:val="center"/>
          </w:tcPr>
          <w:p w14:paraId="358D37CA">
            <w:pPr>
              <w:spacing w:line="240" w:lineRule="auto"/>
              <w:ind w:firstLine="28"/>
              <w:jc w:val="center"/>
              <w:rPr>
                <w:rFonts w:hint="default" w:ascii="Times New Roman" w:hAnsi="Times New Roman" w:eastAsia="方正仿宋_GBK" w:cs="Times New Roman"/>
                <w:b/>
                <w:sz w:val="22"/>
                <w:szCs w:val="22"/>
                <w:highlight w:val="none"/>
              </w:rPr>
            </w:pPr>
            <w:r>
              <w:rPr>
                <w:rFonts w:hint="default" w:ascii="Times New Roman" w:hAnsi="Times New Roman" w:eastAsia="方正仿宋_GBK" w:cs="Times New Roman"/>
                <w:b/>
                <w:sz w:val="22"/>
                <w:szCs w:val="22"/>
                <w:highlight w:val="none"/>
              </w:rPr>
              <w:t>分值</w:t>
            </w:r>
          </w:p>
        </w:tc>
        <w:tc>
          <w:tcPr>
            <w:tcW w:w="6258" w:type="dxa"/>
            <w:noWrap w:val="0"/>
            <w:vAlign w:val="center"/>
          </w:tcPr>
          <w:p w14:paraId="39FF3E1D">
            <w:pPr>
              <w:spacing w:line="240" w:lineRule="auto"/>
              <w:ind w:firstLine="28"/>
              <w:jc w:val="center"/>
              <w:rPr>
                <w:rFonts w:hint="default" w:ascii="Times New Roman" w:hAnsi="Times New Roman" w:eastAsia="方正仿宋_GBK" w:cs="Times New Roman"/>
                <w:b/>
                <w:sz w:val="22"/>
                <w:szCs w:val="22"/>
                <w:highlight w:val="none"/>
              </w:rPr>
            </w:pPr>
            <w:r>
              <w:rPr>
                <w:rFonts w:hint="default" w:ascii="Times New Roman" w:hAnsi="Times New Roman" w:eastAsia="方正仿宋_GBK" w:cs="Times New Roman"/>
                <w:b/>
                <w:sz w:val="22"/>
                <w:szCs w:val="22"/>
                <w:highlight w:val="none"/>
              </w:rPr>
              <w:t>评分标准</w:t>
            </w:r>
          </w:p>
        </w:tc>
        <w:tc>
          <w:tcPr>
            <w:tcW w:w="1774" w:type="dxa"/>
            <w:noWrap w:val="0"/>
            <w:vAlign w:val="center"/>
          </w:tcPr>
          <w:p w14:paraId="50C40696">
            <w:pPr>
              <w:pStyle w:val="26"/>
              <w:spacing w:before="0" w:after="0" w:line="240" w:lineRule="auto"/>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说明</w:t>
            </w:r>
          </w:p>
        </w:tc>
      </w:tr>
      <w:tr w14:paraId="753A9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586" w:type="dxa"/>
            <w:noWrap w:val="0"/>
            <w:vAlign w:val="center"/>
          </w:tcPr>
          <w:p w14:paraId="3099D552">
            <w:pPr>
              <w:spacing w:line="240" w:lineRule="auto"/>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1</w:t>
            </w:r>
          </w:p>
        </w:tc>
        <w:tc>
          <w:tcPr>
            <w:tcW w:w="982" w:type="dxa"/>
            <w:noWrap w:val="0"/>
            <w:vAlign w:val="center"/>
          </w:tcPr>
          <w:p w14:paraId="101BFE54">
            <w:pPr>
              <w:spacing w:line="240" w:lineRule="auto"/>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投标报价部分（60%）</w:t>
            </w:r>
          </w:p>
        </w:tc>
        <w:tc>
          <w:tcPr>
            <w:tcW w:w="1064" w:type="dxa"/>
            <w:noWrap w:val="0"/>
            <w:vAlign w:val="center"/>
          </w:tcPr>
          <w:p w14:paraId="6444A913">
            <w:pPr>
              <w:spacing w:line="240" w:lineRule="auto"/>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报  价</w:t>
            </w:r>
          </w:p>
          <w:p w14:paraId="452D60E1">
            <w:pPr>
              <w:spacing w:line="240" w:lineRule="auto"/>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（60分）</w:t>
            </w:r>
          </w:p>
        </w:tc>
        <w:tc>
          <w:tcPr>
            <w:tcW w:w="6258" w:type="dxa"/>
            <w:noWrap w:val="0"/>
            <w:vAlign w:val="center"/>
          </w:tcPr>
          <w:p w14:paraId="0CC42DCA">
            <w:pPr>
              <w:spacing w:line="240" w:lineRule="auto"/>
              <w:ind w:firstLine="440" w:firstLineChars="2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1、评标基准价计算方法</w:t>
            </w:r>
          </w:p>
          <w:p w14:paraId="7E8E4964">
            <w:pPr>
              <w:spacing w:line="240" w:lineRule="auto"/>
              <w:ind w:firstLine="440" w:firstLineChars="2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所有通过资格审查及符合性审查评审合格的投标人的投标报价中去掉六分之一（不能整除的按小数点前整数取整，不足六家报价则不去掉）的最低价和相同家数的最高价后的平均值再与最高限价的算术平均值即为投标报价的评标基准价。</w:t>
            </w:r>
          </w:p>
          <w:p w14:paraId="440C1EC5">
            <w:pPr>
              <w:spacing w:line="240" w:lineRule="auto"/>
              <w:ind w:firstLine="440" w:firstLineChars="2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评标基准价计算的最终结果保留两位小数，小数点后第三位四舍五入。在评标基准价计算完成后（除计算错误外），在后续的评审中不得再对其做出调整。</w:t>
            </w:r>
          </w:p>
          <w:p w14:paraId="19FA8365">
            <w:pPr>
              <w:spacing w:line="240" w:lineRule="auto"/>
              <w:ind w:firstLine="440" w:firstLineChars="2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2、投标报价的偏差率计算公式</w:t>
            </w:r>
          </w:p>
          <w:p w14:paraId="3DF6BE66">
            <w:pPr>
              <w:spacing w:line="240" w:lineRule="auto"/>
              <w:ind w:firstLine="440" w:firstLineChars="2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偏差率=100％×（投标人报价一评标基准价）／评标基准价，偏差率计算的最终结果保留两位小数，小数点后第三位四舍五入。</w:t>
            </w:r>
          </w:p>
          <w:p w14:paraId="4C476BDC">
            <w:pPr>
              <w:spacing w:line="240" w:lineRule="auto"/>
              <w:ind w:firstLine="440" w:firstLineChars="2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3、投标报价评分标准</w:t>
            </w:r>
          </w:p>
          <w:p w14:paraId="5C0322AC">
            <w:pPr>
              <w:spacing w:line="240" w:lineRule="auto"/>
              <w:ind w:firstLine="440" w:firstLineChars="2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所有通过资格审查及符合性审查评审合格的投标人，投标报价得满分60分。在此基础上，投标报价与评标基准价相比，每增加1%扣0.5分，每减少1%扣0.25分，扣完为止。</w:t>
            </w:r>
          </w:p>
          <w:p w14:paraId="2F9DA262">
            <w:pPr>
              <w:spacing w:line="240" w:lineRule="auto"/>
              <w:ind w:firstLine="220" w:firstLineChars="1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按插入法计算得分。未参与评标基准价计算的投标报价，仍应参加计算相应分值。投标报价得分最终结果保留两位小数，小数点后第三位四舍五入。</w:t>
            </w:r>
          </w:p>
        </w:tc>
        <w:tc>
          <w:tcPr>
            <w:tcW w:w="1774" w:type="dxa"/>
            <w:noWrap w:val="0"/>
            <w:vAlign w:val="center"/>
          </w:tcPr>
          <w:p w14:paraId="00F4F2F4">
            <w:pPr>
              <w:spacing w:line="240" w:lineRule="auto"/>
              <w:ind w:firstLine="220" w:firstLineChars="1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p>
        </w:tc>
      </w:tr>
      <w:tr w14:paraId="460E1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86" w:type="dxa"/>
            <w:vMerge w:val="restart"/>
            <w:noWrap w:val="0"/>
            <w:vAlign w:val="center"/>
          </w:tcPr>
          <w:p w14:paraId="7002A0CC">
            <w:pPr>
              <w:spacing w:line="240" w:lineRule="auto"/>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2</w:t>
            </w:r>
          </w:p>
        </w:tc>
        <w:tc>
          <w:tcPr>
            <w:tcW w:w="982" w:type="dxa"/>
            <w:vMerge w:val="restart"/>
            <w:noWrap w:val="0"/>
            <w:vAlign w:val="center"/>
          </w:tcPr>
          <w:p w14:paraId="74FD6ECD">
            <w:pPr>
              <w:spacing w:line="240" w:lineRule="auto"/>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技术部分（40%）</w:t>
            </w:r>
          </w:p>
        </w:tc>
        <w:tc>
          <w:tcPr>
            <w:tcW w:w="1064" w:type="dxa"/>
            <w:noWrap w:val="0"/>
            <w:vAlign w:val="center"/>
          </w:tcPr>
          <w:p w14:paraId="67BBE01D">
            <w:pPr>
              <w:spacing w:line="240" w:lineRule="auto"/>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实施方案</w:t>
            </w:r>
          </w:p>
          <w:p w14:paraId="106FEB29">
            <w:pPr>
              <w:spacing w:line="240" w:lineRule="auto"/>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（10分）</w:t>
            </w:r>
          </w:p>
        </w:tc>
        <w:tc>
          <w:tcPr>
            <w:tcW w:w="6258" w:type="dxa"/>
            <w:noWrap w:val="0"/>
            <w:vAlign w:val="center"/>
          </w:tcPr>
          <w:p w14:paraId="122AAB10">
            <w:pPr>
              <w:spacing w:line="240" w:lineRule="auto"/>
              <w:ind w:firstLine="440" w:firstLineChars="2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提供项目实施方案，包括不限于项目实施重点、难点分析及主要对策，施工程序、方法、工艺和技术保证措施。</w:t>
            </w:r>
          </w:p>
          <w:p w14:paraId="2EF3ABB9">
            <w:pPr>
              <w:spacing w:line="240" w:lineRule="auto"/>
              <w:ind w:firstLine="440" w:firstLineChars="2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 xml:space="preserve">方评审：方案包含上述所有要素，在此基础上，方案内容不存在瑕疵得 </w:t>
            </w: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10</w:t>
            </w: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分，方案内容存在 1 处瑕疵得</w:t>
            </w: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7</w:t>
            </w: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分，方案内容存在 2 处瑕疵得</w:t>
            </w: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4</w:t>
            </w: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 xml:space="preserve">分，方案内容存在 3处瑕疵得 1 分，方案内容存在 </w:t>
            </w: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3</w:t>
            </w: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处以上瑕疵得 0 分。</w:t>
            </w:r>
          </w:p>
        </w:tc>
        <w:tc>
          <w:tcPr>
            <w:tcW w:w="1774" w:type="dxa"/>
            <w:vMerge w:val="restart"/>
            <w:noWrap w:val="0"/>
            <w:vAlign w:val="center"/>
          </w:tcPr>
          <w:p w14:paraId="20FDF57F">
            <w:pPr>
              <w:spacing w:line="240" w:lineRule="auto"/>
              <w:ind w:firstLine="220" w:firstLineChars="1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eastAsia" w:ascii="仿宋" w:hAnsi="仿宋" w:eastAsia="仿宋" w:cs="仿宋_GB2312"/>
                <w:color w:val="auto"/>
                <w:sz w:val="22"/>
                <w:szCs w:val="22"/>
                <w:lang w:val="zh-CN" w:eastAsia="zh-CN"/>
              </w:rPr>
              <w:t>本项内容中所称的“瑕疵”指方案内容缺项、内容表述不完整、缺少任意一项内容的针对性描述分析或缺少关键分析点，方案内容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14:paraId="47D22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586" w:type="dxa"/>
            <w:vMerge w:val="continue"/>
            <w:noWrap w:val="0"/>
            <w:vAlign w:val="center"/>
          </w:tcPr>
          <w:p w14:paraId="5F92AEE5">
            <w:pPr>
              <w:spacing w:line="240" w:lineRule="auto"/>
              <w:ind w:firstLine="220" w:firstLineChars="1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p>
        </w:tc>
        <w:tc>
          <w:tcPr>
            <w:tcW w:w="982" w:type="dxa"/>
            <w:vMerge w:val="continue"/>
            <w:noWrap w:val="0"/>
            <w:vAlign w:val="center"/>
          </w:tcPr>
          <w:p w14:paraId="7EAD4D5F">
            <w:pPr>
              <w:spacing w:line="240" w:lineRule="auto"/>
              <w:ind w:firstLine="220" w:firstLineChars="1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p>
        </w:tc>
        <w:tc>
          <w:tcPr>
            <w:tcW w:w="1064" w:type="dxa"/>
            <w:noWrap w:val="0"/>
            <w:vAlign w:val="center"/>
          </w:tcPr>
          <w:p w14:paraId="77297266">
            <w:pPr>
              <w:spacing w:line="240" w:lineRule="auto"/>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质量管理体系（</w:t>
            </w: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10分</w:t>
            </w: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w:t>
            </w:r>
          </w:p>
        </w:tc>
        <w:tc>
          <w:tcPr>
            <w:tcW w:w="6258" w:type="dxa"/>
            <w:noWrap w:val="0"/>
            <w:vAlign w:val="center"/>
          </w:tcPr>
          <w:p w14:paraId="2CC7A523">
            <w:pPr>
              <w:spacing w:line="240" w:lineRule="auto"/>
              <w:ind w:firstLine="440" w:firstLineChars="2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质量标准响应采购文件要求，质量管理体系健全有效、保证措施具有针对性。</w:t>
            </w:r>
          </w:p>
          <w:p w14:paraId="321B8D96">
            <w:pPr>
              <w:spacing w:line="240" w:lineRule="auto"/>
              <w:ind w:firstLine="440" w:firstLineChars="2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 xml:space="preserve">方评审：方案包含上述所有要素，在此基础上，方案内容不存在瑕疵得 </w:t>
            </w: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10</w:t>
            </w: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分，方案内容存在 1 处瑕疵得</w:t>
            </w: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7</w:t>
            </w: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分，方案内容存在 2 处瑕疵得</w:t>
            </w: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4</w:t>
            </w: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 xml:space="preserve">分，方案内容存在 3处瑕疵得 1 分，方案内容存在 </w:t>
            </w: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3</w:t>
            </w: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处以上瑕疵得 0 分。</w:t>
            </w:r>
          </w:p>
        </w:tc>
        <w:tc>
          <w:tcPr>
            <w:tcW w:w="1774" w:type="dxa"/>
            <w:vMerge w:val="continue"/>
            <w:noWrap w:val="0"/>
            <w:vAlign w:val="center"/>
          </w:tcPr>
          <w:p w14:paraId="37866212">
            <w:pPr>
              <w:spacing w:line="240" w:lineRule="auto"/>
              <w:ind w:firstLine="220" w:firstLineChars="1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p>
        </w:tc>
      </w:tr>
      <w:tr w14:paraId="1992B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7" w:hRule="atLeast"/>
        </w:trPr>
        <w:tc>
          <w:tcPr>
            <w:tcW w:w="586" w:type="dxa"/>
            <w:vMerge w:val="continue"/>
            <w:noWrap w:val="0"/>
            <w:vAlign w:val="center"/>
          </w:tcPr>
          <w:p w14:paraId="0223B03D">
            <w:pPr>
              <w:spacing w:line="240" w:lineRule="auto"/>
              <w:ind w:firstLine="220" w:firstLineChars="1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p>
        </w:tc>
        <w:tc>
          <w:tcPr>
            <w:tcW w:w="982" w:type="dxa"/>
            <w:vMerge w:val="continue"/>
            <w:noWrap w:val="0"/>
            <w:vAlign w:val="center"/>
          </w:tcPr>
          <w:p w14:paraId="73CA3846">
            <w:pPr>
              <w:spacing w:line="240" w:lineRule="auto"/>
              <w:ind w:firstLine="220" w:firstLineChars="1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p>
        </w:tc>
        <w:tc>
          <w:tcPr>
            <w:tcW w:w="1064" w:type="dxa"/>
            <w:noWrap w:val="0"/>
            <w:vAlign w:val="center"/>
          </w:tcPr>
          <w:p w14:paraId="25630F7F">
            <w:pPr>
              <w:spacing w:line="240" w:lineRule="auto"/>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安全管理体系（</w:t>
            </w: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10分</w:t>
            </w: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w:t>
            </w:r>
          </w:p>
        </w:tc>
        <w:tc>
          <w:tcPr>
            <w:tcW w:w="6258" w:type="dxa"/>
            <w:noWrap w:val="0"/>
            <w:vAlign w:val="center"/>
          </w:tcPr>
          <w:p w14:paraId="446EE3B5">
            <w:pPr>
              <w:spacing w:line="240" w:lineRule="auto"/>
              <w:ind w:firstLine="440" w:firstLineChars="2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安全管理体系健全有效，施工安全专项方案及安全管理保证措施具有针对性、文明施工和防止扰民措施是否得当、针对本项目困难点做详细概述。</w:t>
            </w:r>
          </w:p>
          <w:p w14:paraId="5AC6C51C">
            <w:pPr>
              <w:spacing w:line="240" w:lineRule="auto"/>
              <w:ind w:firstLine="440" w:firstLineChars="2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 xml:space="preserve">方评审：方案包含上述所有要素，在此基础上，方案内容不存在瑕疵得 </w:t>
            </w: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10</w:t>
            </w: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分，方案内容存在 1 处瑕疵得</w:t>
            </w: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7</w:t>
            </w: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分，方案内容存在 2 处瑕疵得</w:t>
            </w: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4</w:t>
            </w: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 xml:space="preserve">分，方案内容存在 3处瑕疵得 1 分，方案内容存在 </w:t>
            </w: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3</w:t>
            </w: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处以上瑕疵得 0 分。</w:t>
            </w:r>
          </w:p>
        </w:tc>
        <w:tc>
          <w:tcPr>
            <w:tcW w:w="1774" w:type="dxa"/>
            <w:vMerge w:val="continue"/>
            <w:noWrap w:val="0"/>
            <w:vAlign w:val="center"/>
          </w:tcPr>
          <w:p w14:paraId="79E90841">
            <w:pPr>
              <w:spacing w:line="240" w:lineRule="auto"/>
              <w:ind w:firstLine="220" w:firstLineChars="1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p>
        </w:tc>
      </w:tr>
      <w:tr w14:paraId="076B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trPr>
        <w:tc>
          <w:tcPr>
            <w:tcW w:w="586" w:type="dxa"/>
            <w:vMerge w:val="continue"/>
            <w:noWrap w:val="0"/>
            <w:vAlign w:val="center"/>
          </w:tcPr>
          <w:p w14:paraId="207D3A52">
            <w:pPr>
              <w:spacing w:line="240" w:lineRule="auto"/>
              <w:ind w:firstLine="220" w:firstLineChars="1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p>
        </w:tc>
        <w:tc>
          <w:tcPr>
            <w:tcW w:w="982" w:type="dxa"/>
            <w:vMerge w:val="continue"/>
            <w:noWrap w:val="0"/>
            <w:vAlign w:val="center"/>
          </w:tcPr>
          <w:p w14:paraId="3CFE7CA2">
            <w:pPr>
              <w:spacing w:line="240" w:lineRule="auto"/>
              <w:ind w:firstLine="220" w:firstLineChars="1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p>
        </w:tc>
        <w:tc>
          <w:tcPr>
            <w:tcW w:w="1064" w:type="dxa"/>
            <w:noWrap w:val="0"/>
            <w:vAlign w:val="center"/>
          </w:tcPr>
          <w:p w14:paraId="278997F9">
            <w:pPr>
              <w:spacing w:line="240" w:lineRule="auto"/>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实施进度</w:t>
            </w:r>
          </w:p>
          <w:p w14:paraId="1EA57E40">
            <w:pPr>
              <w:spacing w:line="240" w:lineRule="auto"/>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10分</w:t>
            </w: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w:t>
            </w:r>
          </w:p>
        </w:tc>
        <w:tc>
          <w:tcPr>
            <w:tcW w:w="6258" w:type="dxa"/>
            <w:noWrap w:val="0"/>
            <w:vAlign w:val="center"/>
          </w:tcPr>
          <w:p w14:paraId="12522822">
            <w:pPr>
              <w:spacing w:line="240" w:lineRule="auto"/>
              <w:ind w:firstLine="440" w:firstLineChars="2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进度安排满足项目进度要求，工期安排合理可行。</w:t>
            </w:r>
          </w:p>
          <w:p w14:paraId="729683D0">
            <w:pPr>
              <w:spacing w:line="240" w:lineRule="auto"/>
              <w:ind w:firstLine="440" w:firstLineChars="2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 xml:space="preserve">方评审：方案包含上述所有要素，在此基础上，方案内容不存在瑕疵得 </w:t>
            </w: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10</w:t>
            </w: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分，方案内容存在 1 处瑕疵得</w:t>
            </w: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7</w:t>
            </w: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分，方案内容存在 2 处瑕疵得</w:t>
            </w: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4</w:t>
            </w: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 xml:space="preserve">分，方案内容存在 3处瑕疵得 1 分，方案内容存在 </w:t>
            </w:r>
            <w:r>
              <w:rPr>
                <w:rFonts w:hint="eastAsia" w:ascii="Times New Roman" w:hAnsi="Times New Roman" w:eastAsia="方正仿宋_GBK" w:cs="Times New Roman"/>
                <w:color w:val="000000" w:themeColor="text1"/>
                <w:sz w:val="22"/>
                <w:szCs w:val="22"/>
                <w:highlight w:val="none"/>
                <w:lang w:val="en-US" w:eastAsia="zh-CN"/>
                <w14:textFill>
                  <w14:solidFill>
                    <w14:schemeClr w14:val="tx1"/>
                  </w14:solidFill>
                </w14:textFill>
              </w:rPr>
              <w:t>3</w:t>
            </w:r>
            <w:r>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t>处以上瑕疵得 0 分。</w:t>
            </w:r>
          </w:p>
        </w:tc>
        <w:tc>
          <w:tcPr>
            <w:tcW w:w="1774" w:type="dxa"/>
            <w:vMerge w:val="continue"/>
            <w:noWrap w:val="0"/>
            <w:vAlign w:val="center"/>
          </w:tcPr>
          <w:p w14:paraId="05A0F82C">
            <w:pPr>
              <w:spacing w:line="240" w:lineRule="auto"/>
              <w:ind w:firstLine="220" w:firstLineChars="100"/>
              <w:rPr>
                <w:rFonts w:hint="default" w:ascii="Times New Roman" w:hAnsi="Times New Roman" w:eastAsia="方正仿宋_GBK" w:cs="Times New Roman"/>
                <w:color w:val="000000" w:themeColor="text1"/>
                <w:sz w:val="22"/>
                <w:szCs w:val="22"/>
                <w:highlight w:val="none"/>
                <w:lang w:val="en-US" w:eastAsia="zh-CN"/>
                <w14:textFill>
                  <w14:solidFill>
                    <w14:schemeClr w14:val="tx1"/>
                  </w14:solidFill>
                </w14:textFill>
              </w:rPr>
            </w:pPr>
          </w:p>
        </w:tc>
      </w:tr>
    </w:tbl>
    <w:p w14:paraId="04C0BCB9">
      <w:pPr>
        <w:spacing w:line="360" w:lineRule="auto"/>
        <w:ind w:firstLine="480" w:firstLineChars="200"/>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p>
    <w:p w14:paraId="445A19EC">
      <w:pPr>
        <w:pStyle w:val="2"/>
        <w:adjustRightInd w:val="0"/>
        <w:snapToGrid w:val="0"/>
        <w:spacing w:before="0" w:after="0" w:line="400" w:lineRule="exac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lang w:eastAsia="zh-CN"/>
        </w:rPr>
        <w:t>四</w:t>
      </w:r>
      <w:r>
        <w:rPr>
          <w:rFonts w:hint="default" w:ascii="Times New Roman" w:hAnsi="Times New Roman" w:eastAsia="方正仿宋_GBK" w:cs="Times New Roman"/>
          <w:color w:val="auto"/>
          <w:sz w:val="24"/>
          <w:highlight w:val="none"/>
        </w:rPr>
        <w:t>、无效响应</w:t>
      </w:r>
      <w:bookmarkEnd w:id="90"/>
      <w:bookmarkEnd w:id="91"/>
    </w:p>
    <w:p w14:paraId="49735B21">
      <w:pPr>
        <w:snapToGrid w:val="0"/>
        <w:spacing w:line="360" w:lineRule="auto"/>
        <w:ind w:firstLine="465"/>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发生以下条款情况之一者，视为响应无效，其响应文件将被拒绝：</w:t>
      </w:r>
    </w:p>
    <w:p w14:paraId="0A2382B6">
      <w:pPr>
        <w:snapToGrid w:val="0"/>
        <w:spacing w:line="360" w:lineRule="auto"/>
        <w:ind w:firstLine="465"/>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（一）</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不符合规定的基本资格条件或特定资格条件的；</w:t>
      </w:r>
    </w:p>
    <w:p w14:paraId="0088F80F">
      <w:pPr>
        <w:snapToGrid w:val="0"/>
        <w:spacing w:line="360" w:lineRule="auto"/>
        <w:ind w:firstLine="465"/>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（二）</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所提交的响应文件不按第七篇“响应文件编制要求”规定签字、盖章；</w:t>
      </w:r>
    </w:p>
    <w:p w14:paraId="0C81D102">
      <w:pPr>
        <w:snapToGrid w:val="0"/>
        <w:spacing w:line="360" w:lineRule="auto"/>
        <w:ind w:firstLine="465"/>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（三）</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的报价超过采购预算或总价最高限价或单价最高限价的；</w:t>
      </w:r>
    </w:p>
    <w:p w14:paraId="5948B6FB">
      <w:pPr>
        <w:snapToGrid w:val="0"/>
        <w:spacing w:line="360" w:lineRule="auto"/>
        <w:ind w:firstLine="465"/>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（四）法定代表人为同一个人的两个及两个以上法人，母公司、全资子公司及其控股公司，在同一分包采购中同时参与网上竞采；</w:t>
      </w:r>
    </w:p>
    <w:p w14:paraId="5C7CD3C1">
      <w:pPr>
        <w:snapToGrid w:val="0"/>
        <w:spacing w:line="360" w:lineRule="auto"/>
        <w:ind w:firstLine="465"/>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（六）</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的平台报价与上传的网上电子响应文件报价函中的报价不一致的；</w:t>
      </w:r>
    </w:p>
    <w:p w14:paraId="40DE72E7">
      <w:pPr>
        <w:snapToGrid w:val="0"/>
        <w:spacing w:line="360" w:lineRule="auto"/>
        <w:ind w:firstLine="465"/>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（七）单位负责人为同一人或者存在直接控股、管理关系的不同</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，参加同一合同项下的采购活动的；</w:t>
      </w:r>
    </w:p>
    <w:p w14:paraId="1476BF5F">
      <w:pPr>
        <w:snapToGrid w:val="0"/>
        <w:spacing w:line="360" w:lineRule="auto"/>
        <w:ind w:firstLine="465"/>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（八）为采购项目提供整体设计、规范编制或者项目管理、监理、检测等服务的</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，再参加该采购项目的其他采购活动；</w:t>
      </w:r>
    </w:p>
    <w:p w14:paraId="7A1217A2">
      <w:pPr>
        <w:snapToGrid w:val="0"/>
        <w:spacing w:line="360" w:lineRule="auto"/>
        <w:ind w:firstLine="465"/>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（九）</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的服务期、质量保证期及网上竞采有效期不满足网上竞采文件要求的；</w:t>
      </w:r>
    </w:p>
    <w:p w14:paraId="2EFA82CE">
      <w:pPr>
        <w:snapToGrid w:val="0"/>
        <w:spacing w:line="360" w:lineRule="auto"/>
        <w:ind w:firstLine="465"/>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（十）</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响应文件内容有与国家现行法律法规相违背的内容，或附有采购人无法接受的条件。</w:t>
      </w:r>
    </w:p>
    <w:p w14:paraId="1665DC3A">
      <w:pPr>
        <w:snapToGrid w:val="0"/>
        <w:spacing w:line="360" w:lineRule="auto"/>
        <w:ind w:firstLine="465"/>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（十一）</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被列入失信被执行人、税收违法黑名单、政府采购严重违法失信行为记录名单及其他不符合《中华人民共和国政府采购法》第二十二条规定条件的。</w:t>
      </w:r>
    </w:p>
    <w:p w14:paraId="2AC99F00">
      <w:pPr>
        <w:snapToGrid w:val="0"/>
        <w:spacing w:line="400" w:lineRule="exact"/>
        <w:ind w:firstLine="465"/>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采购人、采购代理机构将通过“信用中国”网站（www.creditchina.gov.cn)、中国政府采购网（www.ccgp.gov.cn）等渠道查询</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信用记录，对列入失信被执行人、税收违法黑名单、政府采购严重违法失信行为记录名单及其他不符合《中华人民共和国政府采购法》第二十二条规定条件的</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，应当拒绝其参与政府采购活动。</w:t>
      </w:r>
    </w:p>
    <w:p w14:paraId="0AAC0857">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highlight w:val="none"/>
        </w:rPr>
      </w:pPr>
      <w:bookmarkStart w:id="94" w:name="_Toc76462336"/>
      <w:bookmarkStart w:id="95" w:name="_Toc4203"/>
      <w:r>
        <w:rPr>
          <w:rFonts w:hint="default" w:ascii="Times New Roman" w:hAnsi="Times New Roman" w:eastAsia="方正仿宋_GBK" w:cs="Times New Roman"/>
          <w:color w:val="auto"/>
          <w:sz w:val="24"/>
          <w:highlight w:val="none"/>
          <w:lang w:eastAsia="zh-CN"/>
        </w:rPr>
        <w:t>五</w:t>
      </w:r>
      <w:r>
        <w:rPr>
          <w:rFonts w:hint="default" w:ascii="Times New Roman" w:hAnsi="Times New Roman" w:eastAsia="方正仿宋_GBK" w:cs="Times New Roman"/>
          <w:color w:val="auto"/>
          <w:sz w:val="24"/>
          <w:highlight w:val="none"/>
        </w:rPr>
        <w:t>、</w:t>
      </w:r>
      <w:bookmarkEnd w:id="92"/>
      <w:bookmarkEnd w:id="93"/>
      <w:r>
        <w:rPr>
          <w:rFonts w:hint="default" w:ascii="Times New Roman" w:hAnsi="Times New Roman" w:eastAsia="方正仿宋_GBK" w:cs="Times New Roman"/>
          <w:color w:val="auto"/>
          <w:sz w:val="24"/>
          <w:highlight w:val="none"/>
        </w:rPr>
        <w:t>采购终止</w:t>
      </w:r>
      <w:bookmarkEnd w:id="94"/>
      <w:bookmarkEnd w:id="95"/>
    </w:p>
    <w:p w14:paraId="21F5F7FD">
      <w:pPr>
        <w:snapToGrid w:val="0"/>
        <w:spacing w:line="360" w:lineRule="auto"/>
        <w:ind w:firstLine="465"/>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出现下列情形之一的，采购人或者采购代理机构应当终止网上竞采活动，发布项目终止公告并说明原因，重新开展采购活动：</w:t>
      </w:r>
    </w:p>
    <w:p w14:paraId="01EB0BA1">
      <w:pPr>
        <w:snapToGrid w:val="0"/>
        <w:spacing w:line="360" w:lineRule="auto"/>
        <w:ind w:firstLine="465"/>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（一）因情况变化，不再符合规定的网上竞采采购方式适用情形的；</w:t>
      </w:r>
    </w:p>
    <w:p w14:paraId="7D03FCD9">
      <w:pPr>
        <w:snapToGrid w:val="0"/>
        <w:spacing w:line="360" w:lineRule="auto"/>
        <w:ind w:firstLine="465"/>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（二）出现影响采购公正的违法、违规行为的；</w:t>
      </w:r>
    </w:p>
    <w:p w14:paraId="4ABE952A">
      <w:pPr>
        <w:snapToGrid w:val="0"/>
        <w:spacing w:line="400" w:lineRule="exact"/>
        <w:ind w:firstLine="465"/>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（三）通过资格性审查及符合性审查的</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不足</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家的，终止本次采购活动，并发布终止采购活动公告。</w:t>
      </w:r>
    </w:p>
    <w:p w14:paraId="6E01F9FE">
      <w:pPr>
        <w:spacing w:line="400" w:lineRule="exact"/>
        <w:ind w:firstLine="480" w:firstLineChars="200"/>
        <w:rPr>
          <w:rFonts w:hint="default" w:ascii="Times New Roman" w:hAnsi="Times New Roman" w:eastAsia="方正仿宋_GBK" w:cs="Times New Roman"/>
          <w:color w:val="auto"/>
          <w:sz w:val="24"/>
          <w:szCs w:val="24"/>
          <w:highlight w:val="none"/>
        </w:rPr>
        <w:sectPr>
          <w:footerReference r:id="rId8" w:type="default"/>
          <w:pgSz w:w="11907" w:h="16840"/>
          <w:pgMar w:top="1134" w:right="1191" w:bottom="1134" w:left="1304" w:header="964" w:footer="992" w:gutter="0"/>
          <w:pgNumType w:fmt="decimal"/>
          <w:cols w:space="720" w:num="1"/>
          <w:docGrid w:linePitch="312" w:charSpace="0"/>
        </w:sectPr>
      </w:pPr>
    </w:p>
    <w:p w14:paraId="14E2FE6B">
      <w:pPr>
        <w:pStyle w:val="2"/>
        <w:pageBreakBefore/>
        <w:spacing w:before="0" w:after="0" w:line="360" w:lineRule="auto"/>
        <w:jc w:val="center"/>
        <w:rPr>
          <w:rFonts w:hint="default" w:ascii="Times New Roman" w:hAnsi="Times New Roman" w:eastAsia="方正仿宋_GBK" w:cs="Times New Roman"/>
          <w:b/>
          <w:bCs w:val="0"/>
          <w:color w:val="auto"/>
          <w:sz w:val="36"/>
          <w:szCs w:val="30"/>
          <w:highlight w:val="none"/>
        </w:rPr>
      </w:pPr>
      <w:bookmarkStart w:id="96" w:name="_Toc427"/>
      <w:bookmarkStart w:id="97" w:name="_Toc102227313"/>
      <w:bookmarkStart w:id="98" w:name="_Toc76462337"/>
      <w:r>
        <w:rPr>
          <w:rFonts w:hint="default" w:ascii="Times New Roman" w:hAnsi="Times New Roman" w:eastAsia="方正仿宋_GBK" w:cs="Times New Roman"/>
          <w:b/>
          <w:bCs w:val="0"/>
          <w:color w:val="auto"/>
          <w:sz w:val="36"/>
          <w:szCs w:val="30"/>
          <w:highlight w:val="none"/>
        </w:rPr>
        <w:t xml:space="preserve">第五篇  </w:t>
      </w:r>
      <w:r>
        <w:rPr>
          <w:rFonts w:hint="default" w:ascii="Times New Roman" w:hAnsi="Times New Roman" w:eastAsia="方正仿宋_GBK" w:cs="Times New Roman"/>
          <w:b/>
          <w:bCs w:val="0"/>
          <w:color w:val="auto"/>
          <w:sz w:val="36"/>
          <w:szCs w:val="30"/>
          <w:highlight w:val="none"/>
          <w:lang w:eastAsia="zh-CN"/>
        </w:rPr>
        <w:t>供应商</w:t>
      </w:r>
      <w:r>
        <w:rPr>
          <w:rFonts w:hint="default" w:ascii="Times New Roman" w:hAnsi="Times New Roman" w:eastAsia="方正仿宋_GBK" w:cs="Times New Roman"/>
          <w:b/>
          <w:bCs w:val="0"/>
          <w:color w:val="auto"/>
          <w:sz w:val="36"/>
          <w:szCs w:val="30"/>
          <w:highlight w:val="none"/>
        </w:rPr>
        <w:t>须知</w:t>
      </w:r>
      <w:bookmarkEnd w:id="96"/>
      <w:bookmarkEnd w:id="97"/>
      <w:bookmarkEnd w:id="98"/>
    </w:p>
    <w:p w14:paraId="4032F79F">
      <w:pPr>
        <w:pStyle w:val="3"/>
        <w:spacing w:before="0" w:after="0" w:line="360" w:lineRule="auto"/>
        <w:rPr>
          <w:rFonts w:hint="default" w:ascii="Times New Roman" w:hAnsi="Times New Roman" w:eastAsia="方正仿宋_GBK" w:cs="Times New Roman"/>
          <w:color w:val="000000" w:themeColor="text1"/>
          <w:sz w:val="24"/>
          <w:szCs w:val="24"/>
          <w:highlight w:val="none"/>
          <w14:textFill>
            <w14:solidFill>
              <w14:schemeClr w14:val="tx1"/>
            </w14:solidFill>
          </w14:textFill>
        </w:rPr>
      </w:pPr>
      <w:bookmarkStart w:id="99" w:name="_Toc342913389"/>
      <w:bookmarkStart w:id="100" w:name="_Toc26510"/>
      <w:bookmarkStart w:id="101" w:name="_Toc8105"/>
      <w:bookmarkStart w:id="102" w:name="_Toc12789059"/>
      <w:bookmarkStart w:id="103" w:name="_Toc11641055"/>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一、网上竞采费用</w:t>
      </w:r>
      <w:bookmarkEnd w:id="99"/>
      <w:bookmarkEnd w:id="100"/>
      <w:bookmarkEnd w:id="101"/>
    </w:p>
    <w:p w14:paraId="3290F2B3">
      <w:pPr>
        <w:pStyle w:val="27"/>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参与网上竞采的</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应承担其编制响应文件与递交响应文件所涉及的一切费用，不论网上竞采结果如何，采购人和采购代理机构在任何情况下无义务也无责任承担这些费用。</w:t>
      </w:r>
    </w:p>
    <w:p w14:paraId="7F117C16">
      <w:pPr>
        <w:pStyle w:val="3"/>
        <w:tabs>
          <w:tab w:val="left" w:pos="2640"/>
        </w:tabs>
        <w:spacing w:before="0" w:after="0" w:line="360" w:lineRule="auto"/>
        <w:rPr>
          <w:rFonts w:hint="default" w:ascii="Times New Roman" w:hAnsi="Times New Roman" w:eastAsia="方正仿宋_GBK" w:cs="Times New Roman"/>
          <w:color w:val="000000" w:themeColor="text1"/>
          <w:sz w:val="24"/>
          <w:szCs w:val="24"/>
          <w:highlight w:val="none"/>
          <w14:textFill>
            <w14:solidFill>
              <w14:schemeClr w14:val="tx1"/>
            </w14:solidFill>
          </w14:textFill>
        </w:rPr>
      </w:pPr>
      <w:bookmarkStart w:id="104" w:name="_Toc342913391"/>
      <w:bookmarkStart w:id="105" w:name="_Toc4870"/>
      <w:bookmarkStart w:id="106" w:name="_Toc21089"/>
      <w:r>
        <w:rPr>
          <w:rFonts w:hint="default" w:ascii="Times New Roman" w:hAnsi="Times New Roman" w:eastAsia="方正仿宋_GBK" w:cs="Times New Roman"/>
          <w:color w:val="000000" w:themeColor="text1"/>
          <w:sz w:val="24"/>
          <w:szCs w:val="24"/>
          <w:highlight w:val="none"/>
          <w14:textFill>
            <w14:solidFill>
              <w14:schemeClr w14:val="tx1"/>
            </w14:solidFill>
          </w14:textFill>
        </w:rPr>
        <w:t>二、网上竞采文件</w:t>
      </w:r>
      <w:bookmarkEnd w:id="104"/>
      <w:bookmarkEnd w:id="105"/>
      <w:bookmarkEnd w:id="106"/>
    </w:p>
    <w:p w14:paraId="1E653DE4">
      <w:pPr>
        <w:snapToGrid w:val="0"/>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（一）网上竞采文件由采购邀请书、采购项目技术需求、采购项目商务需求、网上竞采程序及方法、评审标准、响应无效和采购终止、</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须知</w:t>
      </w:r>
      <w:r>
        <w:rPr>
          <w:rFonts w:hint="default" w:ascii="Times New Roman" w:hAnsi="Times New Roman" w:eastAsia="方正仿宋_GBK" w:cs="Times New Roman"/>
          <w:b/>
          <w:color w:val="000000" w:themeColor="text1"/>
          <w:sz w:val="24"/>
          <w:szCs w:val="24"/>
          <w:highlight w:val="none"/>
          <w14:textFill>
            <w14:solidFill>
              <w14:schemeClr w14:val="tx1"/>
            </w14:solidFill>
          </w14:textFill>
        </w:rPr>
        <w:t>、</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合同主要条款和格式合同</w:t>
      </w:r>
      <w:r>
        <w:rPr>
          <w:rFonts w:hint="default" w:ascii="Times New Roman" w:hAnsi="Times New Roman" w:eastAsia="方正仿宋_GBK" w:cs="Times New Roman"/>
          <w:b/>
          <w:color w:val="000000" w:themeColor="text1"/>
          <w:sz w:val="24"/>
          <w:szCs w:val="24"/>
          <w:highlight w:val="none"/>
          <w14:textFill>
            <w14:solidFill>
              <w14:schemeClr w14:val="tx1"/>
            </w14:solidFill>
          </w14:textFill>
        </w:rPr>
        <w:t>、</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响应文件编制要求七部分组成。</w:t>
      </w:r>
    </w:p>
    <w:p w14:paraId="0B805FCD">
      <w:pPr>
        <w:snapToGrid w:val="0"/>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（二）采购人（或采购代理机构）所作的一切有效的书面通知、修改及补充，都是网上竞采文件不可分割的部分。</w:t>
      </w:r>
    </w:p>
    <w:p w14:paraId="46E7F07D">
      <w:pPr>
        <w:snapToGrid w:val="0"/>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（三）网上竞采文件的解释</w:t>
      </w:r>
    </w:p>
    <w:p w14:paraId="42204A9A">
      <w:pPr>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如对网上竞采文件有疑问，必须以书面形式在提交响应文件截止时间2个工作日前向采购人（或采购代理机构）要求澄清，采购人（或采购代理机构）可视具体情况做出处理或答复。如</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未提出疑问，视为完全理解并同意本网上竞采文件。一经进入网上竞采程序，即视为</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已详细阅读全部文件资料，完全理解网上竞采文件所有条款内容并同意放弃对这方面有不明白及误解的权利。</w:t>
      </w:r>
      <w:bookmarkStart w:id="107" w:name="_Toc318159349"/>
      <w:bookmarkStart w:id="108" w:name="_Toc318166429"/>
      <w:bookmarkStart w:id="109" w:name="_Toc318159780"/>
      <w:bookmarkStart w:id="110" w:name="_Toc318159160"/>
    </w:p>
    <w:p w14:paraId="5C9F7C48">
      <w:pPr>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（四）本网上竞采文件中，网上竞采小组根据与</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进行网上竞采可能实质性变动的内容为网上竞采文件第二、三、四篇全部内容。</w:t>
      </w:r>
    </w:p>
    <w:p w14:paraId="53221B9C">
      <w:pPr>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（五）评审的依据为网上竞采文件和响应文件（含有效的书面承诺）。评审小组判断响应文件对网上竞采文件的响应，仅基于响应文件本身而不靠外部证据。</w:t>
      </w:r>
    </w:p>
    <w:bookmarkEnd w:id="107"/>
    <w:bookmarkEnd w:id="108"/>
    <w:bookmarkEnd w:id="109"/>
    <w:bookmarkEnd w:id="110"/>
    <w:p w14:paraId="4FBE6AE3">
      <w:pPr>
        <w:pStyle w:val="3"/>
        <w:spacing w:before="0" w:after="0" w:line="360" w:lineRule="auto"/>
        <w:rPr>
          <w:rFonts w:hint="default" w:ascii="Times New Roman" w:hAnsi="Times New Roman" w:eastAsia="方正仿宋_GBK" w:cs="Times New Roman"/>
          <w:color w:val="000000" w:themeColor="text1"/>
          <w:sz w:val="24"/>
          <w:szCs w:val="24"/>
          <w:highlight w:val="none"/>
          <w14:textFill>
            <w14:solidFill>
              <w14:schemeClr w14:val="tx1"/>
            </w14:solidFill>
          </w14:textFill>
        </w:rPr>
      </w:pPr>
      <w:bookmarkStart w:id="111" w:name="_Toc342913392"/>
      <w:bookmarkStart w:id="112" w:name="_Toc179714297"/>
      <w:bookmarkStart w:id="113" w:name="_Toc29912"/>
      <w:bookmarkStart w:id="114" w:name="_Toc102227318"/>
      <w:bookmarkStart w:id="115" w:name="_Toc16269"/>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三、网上竞采要求</w:t>
      </w:r>
      <w:bookmarkEnd w:id="111"/>
      <w:bookmarkEnd w:id="112"/>
      <w:bookmarkEnd w:id="113"/>
      <w:bookmarkEnd w:id="114"/>
      <w:bookmarkEnd w:id="115"/>
    </w:p>
    <w:p w14:paraId="0397D948">
      <w:pPr>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（一）响应文件</w:t>
      </w:r>
    </w:p>
    <w:p w14:paraId="79B4258F">
      <w:pPr>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1.</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应当按照网上竞采文件的要求编制响应文件，并对网上竞采文件提出的要求和条件作出实质性响应，同时应编制完整的页码、目录。</w:t>
      </w:r>
    </w:p>
    <w:p w14:paraId="418BA87D">
      <w:pPr>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2.响应文件组成</w:t>
      </w:r>
    </w:p>
    <w:p w14:paraId="5C88A496">
      <w:pPr>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响应文件由第七篇“响应文件编制要求”规定的部分和</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所作的一切有效补充、修改和承诺等文件组成，</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应按照第七篇“响应文件编制要求”规定的目录顺序组织编写和装订，也可在基本格式基础上对表格进行扩展，未规定格式的由</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自定格式。</w:t>
      </w:r>
    </w:p>
    <w:p w14:paraId="0D7F7314">
      <w:pPr>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3.</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须对所提供资料的真实性和准确性负责，一旦发现有弄虚作假的情况，按相应法律法规予以处罚。</w:t>
      </w:r>
    </w:p>
    <w:p w14:paraId="7B4A465F">
      <w:pPr>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（二）联合体</w:t>
      </w:r>
    </w:p>
    <w:p w14:paraId="63D39BB2">
      <w:pPr>
        <w:spacing w:line="360" w:lineRule="auto"/>
        <w:ind w:firstLine="482" w:firstLineChars="200"/>
        <w:rPr>
          <w:rFonts w:hint="default" w:ascii="Times New Roman" w:hAnsi="Times New Roman" w:eastAsia="方正仿宋_GBK" w:cs="Times New Roman"/>
          <w:b/>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b/>
          <w:color w:val="000000" w:themeColor="text1"/>
          <w:sz w:val="24"/>
          <w:szCs w:val="24"/>
          <w:highlight w:val="none"/>
          <w14:textFill>
            <w14:solidFill>
              <w14:schemeClr w14:val="tx1"/>
            </w14:solidFill>
          </w14:textFill>
        </w:rPr>
        <w:t>本项目不接受联合体竞标。</w:t>
      </w:r>
    </w:p>
    <w:p w14:paraId="23333EBA">
      <w:pPr>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（三）网上竞采有效期：响应文件及有关承诺文件有效期为提交响应文件截止时间起90天。</w:t>
      </w:r>
    </w:p>
    <w:p w14:paraId="3F03D54F">
      <w:pPr>
        <w:snapToGrid w:val="0"/>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（四）提交响应文件的份数和签署</w:t>
      </w:r>
    </w:p>
    <w:p w14:paraId="05EC02DE">
      <w:pPr>
        <w:snapToGrid w:val="0"/>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1.</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须在平台报价并上传盖章后的响应文件电子文档一份，线下竞采时提供响应文件一式二份，其中正本一份，副本一份（网上电子文档内容应与纸质文件正本、副本一致，如不一致以纸质文件为准，副本可为正本的复印件。）</w:t>
      </w:r>
    </w:p>
    <w:p w14:paraId="28FCEBBD">
      <w:pPr>
        <w:snapToGrid w:val="0"/>
        <w:spacing w:line="360" w:lineRule="auto"/>
        <w:ind w:firstLine="482"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b/>
          <w:bCs/>
          <w:color w:val="000000" w:themeColor="text1"/>
          <w:sz w:val="24"/>
          <w:szCs w:val="24"/>
          <w:highlight w:val="none"/>
          <w14:textFill>
            <w14:solidFill>
              <w14:schemeClr w14:val="tx1"/>
            </w14:solidFill>
          </w14:textFill>
        </w:rPr>
        <w:t>注：若</w:t>
      </w:r>
      <w:r>
        <w:rPr>
          <w:rFonts w:hint="default" w:ascii="Times New Roman" w:hAnsi="Times New Roman" w:eastAsia="方正仿宋_GBK" w:cs="Times New Roman"/>
          <w:b/>
          <w:bCs/>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b/>
          <w:bCs/>
          <w:color w:val="000000" w:themeColor="text1"/>
          <w:sz w:val="24"/>
          <w:szCs w:val="24"/>
          <w:highlight w:val="none"/>
          <w14:textFill>
            <w14:solidFill>
              <w14:schemeClr w14:val="tx1"/>
            </w14:solidFill>
          </w14:textFill>
        </w:rPr>
        <w:t>的平台报价与网上上传的响应文件电子文档报价函中的报价不一致，按响应无效处理。</w:t>
      </w:r>
    </w:p>
    <w:p w14:paraId="75D5BCDE">
      <w:pPr>
        <w:numPr>
          <w:ilvl w:val="0"/>
          <w:numId w:val="4"/>
        </w:numPr>
        <w:snapToGrid w:val="0"/>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在上传的网上电子文档中，网上竞采文件第七篇响应文件编制要求中规定签字、盖章的地方必须按其规定签字、盖章。</w:t>
      </w:r>
    </w:p>
    <w:p w14:paraId="5FBF18D3">
      <w:pPr>
        <w:snapToGrid w:val="0"/>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（五）响应文件的递交</w:t>
      </w:r>
    </w:p>
    <w:p w14:paraId="23D81820">
      <w:pPr>
        <w:snapToGrid w:val="0"/>
        <w:spacing w:line="360" w:lineRule="auto"/>
        <w:ind w:firstLine="482"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b/>
          <w:bCs/>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b/>
          <w:bCs/>
          <w:color w:val="000000" w:themeColor="text1"/>
          <w:sz w:val="24"/>
          <w:szCs w:val="24"/>
          <w:highlight w:val="none"/>
          <w14:textFill>
            <w14:solidFill>
              <w14:schemeClr w14:val="tx1"/>
            </w14:solidFill>
          </w14:textFill>
        </w:rPr>
        <w:t>须在规定时间内完成线上和线下的响应文件提交，否则视为无效响应。</w:t>
      </w:r>
    </w:p>
    <w:p w14:paraId="3139CAAE">
      <w:pPr>
        <w:pStyle w:val="3"/>
        <w:spacing w:before="0" w:after="0" w:line="360" w:lineRule="auto"/>
        <w:rPr>
          <w:rFonts w:hint="default" w:ascii="Times New Roman" w:hAnsi="Times New Roman" w:eastAsia="方正仿宋_GBK" w:cs="Times New Roman"/>
          <w:color w:val="000000" w:themeColor="text1"/>
          <w:sz w:val="24"/>
          <w:szCs w:val="24"/>
          <w:highlight w:val="none"/>
          <w14:textFill>
            <w14:solidFill>
              <w14:schemeClr w14:val="tx1"/>
            </w14:solidFill>
          </w14:textFill>
        </w:rPr>
      </w:pPr>
      <w:bookmarkStart w:id="116" w:name="_Toc9018"/>
      <w:bookmarkStart w:id="117" w:name="_Toc7456"/>
      <w:r>
        <w:rPr>
          <w:rFonts w:hint="default" w:ascii="Times New Roman" w:hAnsi="Times New Roman" w:eastAsia="方正仿宋_GBK" w:cs="Times New Roman"/>
          <w:color w:val="000000" w:themeColor="text1"/>
          <w:sz w:val="24"/>
          <w:szCs w:val="24"/>
          <w:highlight w:val="none"/>
          <w14:textFill>
            <w14:solidFill>
              <w14:schemeClr w14:val="tx1"/>
            </w14:solidFill>
          </w14:textFill>
        </w:rPr>
        <w:t>四、成交</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的确认和变更</w:t>
      </w:r>
      <w:bookmarkEnd w:id="116"/>
      <w:bookmarkEnd w:id="117"/>
    </w:p>
    <w:p w14:paraId="47798226">
      <w:pPr>
        <w:snapToGrid w:val="0"/>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（一）成交</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的确认</w:t>
      </w:r>
    </w:p>
    <w:p w14:paraId="71F192E7">
      <w:pPr>
        <w:snapToGrid w:val="0"/>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采购代理机构应当在评审结束后2个工作日内将评审报告送采购人确认。采购人应当在收到评审报告后5个工作日内，从评审报告提出的成交候选</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中，按照排序由高到低的原则确定成交</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，也可以书面授权评审小组直接确定成交</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。采购人逾期未确定成交</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且不提出异议的，视为确定评审报告提出的排序第一的</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为成交</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w:t>
      </w:r>
    </w:p>
    <w:p w14:paraId="611A75F6">
      <w:pPr>
        <w:snapToGrid w:val="0"/>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（二）成交</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的变更</w:t>
      </w:r>
    </w:p>
    <w:p w14:paraId="53E73F06">
      <w:pPr>
        <w:snapToGrid w:val="0"/>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成交</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拒绝与采购人签订合同的，采购人可以按照评标报告推荐的成交候选</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顺序，确定排名下一位的候选人为成交</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，也可以重新开展采购活动。</w:t>
      </w:r>
    </w:p>
    <w:p w14:paraId="39C6804D">
      <w:pPr>
        <w:pStyle w:val="3"/>
        <w:spacing w:before="0" w:after="0" w:line="360" w:lineRule="auto"/>
        <w:rPr>
          <w:rFonts w:hint="default" w:ascii="Times New Roman" w:hAnsi="Times New Roman" w:eastAsia="方正仿宋_GBK" w:cs="Times New Roman"/>
          <w:color w:val="000000" w:themeColor="text1"/>
          <w:sz w:val="24"/>
          <w:szCs w:val="24"/>
          <w:highlight w:val="none"/>
          <w14:textFill>
            <w14:solidFill>
              <w14:schemeClr w14:val="tx1"/>
            </w14:solidFill>
          </w14:textFill>
        </w:rPr>
      </w:pPr>
      <w:bookmarkStart w:id="118" w:name="_Toc342913395"/>
      <w:bookmarkStart w:id="119" w:name="_Toc102227321"/>
      <w:bookmarkStart w:id="120" w:name="_Toc3011"/>
      <w:bookmarkStart w:id="121" w:name="_Toc1297"/>
      <w:r>
        <w:rPr>
          <w:rFonts w:hint="default" w:ascii="Times New Roman" w:hAnsi="Times New Roman" w:eastAsia="方正仿宋_GBK" w:cs="Times New Roman"/>
          <w:color w:val="000000" w:themeColor="text1"/>
          <w:sz w:val="24"/>
          <w:szCs w:val="24"/>
          <w:highlight w:val="none"/>
          <w14:textFill>
            <w14:solidFill>
              <w14:schemeClr w14:val="tx1"/>
            </w14:solidFill>
          </w14:textFill>
        </w:rPr>
        <w:t>五、成交通知</w:t>
      </w:r>
      <w:bookmarkEnd w:id="118"/>
      <w:bookmarkEnd w:id="119"/>
      <w:bookmarkEnd w:id="120"/>
      <w:bookmarkEnd w:id="121"/>
    </w:p>
    <w:p w14:paraId="6BF6ED46">
      <w:pPr>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（一）成交</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确定后，采购人或采购代理机构将在</w:t>
      </w:r>
      <w:r>
        <w:rPr>
          <w:rFonts w:hint="default" w:ascii="Times New Roman" w:hAnsi="Times New Roman" w:eastAsia="方正仿宋_GBK" w:cs="Times New Roman"/>
          <w:color w:val="000000" w:themeColor="text1"/>
          <w:sz w:val="24"/>
          <w:szCs w:val="24"/>
          <w:highlight w:val="none"/>
          <w:lang w:val="zh-CN"/>
          <w14:textFill>
            <w14:solidFill>
              <w14:schemeClr w14:val="tx1"/>
            </w14:solidFill>
          </w14:textFill>
        </w:rPr>
        <w:t>秀山县小额交易管理平台竞采大厅</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https://cqxs-mall.gec123.com/</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上发布成交结果公告。</w:t>
      </w:r>
    </w:p>
    <w:p w14:paraId="1265285D">
      <w:pPr>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（二）结果公告发出同时，采购代理机构将以书面形式发出《成交通知书》。《成交通知书》一经发出即发生法律效力。</w:t>
      </w:r>
    </w:p>
    <w:p w14:paraId="6C545918">
      <w:pPr>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（三）《成交通知书》将作为签订合同的依据。</w:t>
      </w:r>
    </w:p>
    <w:p w14:paraId="4B8E5BC0">
      <w:pPr>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（四）如有</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对成交结果提出质疑的，在质疑处理完毕后发出成交通知书。</w:t>
      </w:r>
    </w:p>
    <w:p w14:paraId="27D5EF14">
      <w:pPr>
        <w:pStyle w:val="3"/>
        <w:spacing w:before="0" w:after="0" w:line="360" w:lineRule="auto"/>
        <w:rPr>
          <w:rFonts w:hint="default" w:ascii="Times New Roman" w:hAnsi="Times New Roman" w:eastAsia="方正仿宋_GBK" w:cs="Times New Roman"/>
          <w:color w:val="000000" w:themeColor="text1"/>
          <w:sz w:val="24"/>
          <w:szCs w:val="24"/>
          <w:highlight w:val="none"/>
          <w14:textFill>
            <w14:solidFill>
              <w14:schemeClr w14:val="tx1"/>
            </w14:solidFill>
          </w14:textFill>
        </w:rPr>
      </w:pPr>
      <w:bookmarkStart w:id="122" w:name="_Toc19876"/>
      <w:bookmarkStart w:id="123" w:name="_Toc22361"/>
      <w:r>
        <w:rPr>
          <w:rFonts w:hint="default" w:ascii="Times New Roman" w:hAnsi="Times New Roman" w:eastAsia="方正仿宋_GBK" w:cs="Times New Roman"/>
          <w:color w:val="000000" w:themeColor="text1"/>
          <w:sz w:val="24"/>
          <w:szCs w:val="24"/>
          <w:highlight w:val="none"/>
          <w14:textFill>
            <w14:solidFill>
              <w14:schemeClr w14:val="tx1"/>
            </w14:solidFill>
          </w14:textFill>
        </w:rPr>
        <w:t>六、采购代理服务费</w:t>
      </w:r>
      <w:bookmarkEnd w:id="122"/>
      <w:bookmarkEnd w:id="123"/>
    </w:p>
    <w:p w14:paraId="0A1A2D60">
      <w:pPr>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本次网上竞采由代理机构委托实施，</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本项目</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采购代理服务费</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为人民币</w:t>
      </w:r>
      <w:r>
        <w:rPr>
          <w:rFonts w:hint="default" w:ascii="Times New Roman" w:hAnsi="Times New Roman" w:eastAsia="方正仿宋_GBK" w:cs="Times New Roman"/>
          <w:color w:val="000000" w:themeColor="text1"/>
          <w:sz w:val="24"/>
          <w:szCs w:val="24"/>
          <w:highlight w:val="none"/>
          <w:u w:val="single"/>
          <w:lang w:val="en-US" w:eastAsia="zh-CN"/>
          <w14:textFill>
            <w14:solidFill>
              <w14:schemeClr w14:val="tx1"/>
            </w14:solidFill>
          </w14:textFill>
        </w:rPr>
        <w:t>：</w:t>
      </w:r>
      <w:r>
        <w:rPr>
          <w:rFonts w:hint="eastAsia" w:ascii="Times New Roman" w:hAnsi="Times New Roman" w:eastAsia="方正仿宋_GBK" w:cs="Times New Roman"/>
          <w:color w:val="000000" w:themeColor="text1"/>
          <w:sz w:val="24"/>
          <w:szCs w:val="24"/>
          <w:highlight w:val="none"/>
          <w:u w:val="single"/>
          <w:lang w:val="en-US" w:eastAsia="zh-CN"/>
          <w14:textFill>
            <w14:solidFill>
              <w14:schemeClr w14:val="tx1"/>
            </w14:solidFill>
          </w14:textFill>
        </w:rPr>
        <w:t>3000</w:t>
      </w:r>
      <w:r>
        <w:rPr>
          <w:rFonts w:hint="default" w:ascii="Times New Roman" w:hAnsi="Times New Roman" w:eastAsia="方正仿宋_GBK" w:cs="Times New Roman"/>
          <w:color w:val="000000" w:themeColor="text1"/>
          <w:sz w:val="24"/>
          <w:szCs w:val="24"/>
          <w:highlight w:val="none"/>
          <w:u w:val="single"/>
          <w:lang w:val="en-US" w:eastAsia="zh-CN"/>
          <w14:textFill>
            <w14:solidFill>
              <w14:schemeClr w14:val="tx1"/>
            </w14:solidFill>
          </w14:textFill>
        </w:rPr>
        <w:t xml:space="preserve">元 </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，由成交</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在领取成交通知书时一次性向代理机构缴纳。</w:t>
      </w:r>
    </w:p>
    <w:p w14:paraId="1F410576">
      <w:pPr>
        <w:pStyle w:val="3"/>
        <w:spacing w:before="0" w:after="0" w:line="360" w:lineRule="auto"/>
        <w:rPr>
          <w:rFonts w:hint="default" w:ascii="Times New Roman" w:hAnsi="Times New Roman" w:eastAsia="方正仿宋_GBK" w:cs="Times New Roman"/>
          <w:color w:val="000000" w:themeColor="text1"/>
          <w:sz w:val="24"/>
          <w:szCs w:val="24"/>
          <w:highlight w:val="none"/>
          <w14:textFill>
            <w14:solidFill>
              <w14:schemeClr w14:val="tx1"/>
            </w14:solidFill>
          </w14:textFill>
        </w:rPr>
      </w:pPr>
      <w:bookmarkStart w:id="124" w:name="_Toc1096"/>
      <w:bookmarkStart w:id="125" w:name="_Toc11155"/>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七、关于质疑和投诉</w:t>
      </w:r>
      <w:bookmarkEnd w:id="124"/>
      <w:bookmarkEnd w:id="125"/>
    </w:p>
    <w:p w14:paraId="39F77C25">
      <w:pPr>
        <w:spacing w:line="360"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（一）质疑</w:t>
      </w:r>
    </w:p>
    <w:p w14:paraId="1C52D55E">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认为</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竞采文件</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、采购过程和成交结果使自己的权益受到伤害的，可向采购人或采购代理机构以书面形式提出质疑。</w:t>
      </w:r>
    </w:p>
    <w:p w14:paraId="0F4870DC">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提出质疑的应当是参与所质疑项目采购活动的</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w:t>
      </w:r>
    </w:p>
    <w:p w14:paraId="23E7707C">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1.质疑时限、内容</w:t>
      </w:r>
    </w:p>
    <w:p w14:paraId="21DF5366">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1.1</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认为</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竞采文件</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、采购过程、成交结果使自己的权益受到损害的，可以在知道或者应知其权益受到损害之日起7个工作日内，以书面形式向采购人、采购代理机构提出质疑。</w:t>
      </w:r>
    </w:p>
    <w:p w14:paraId="6154E11F">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1.2</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对采购过程提出质疑的，应在各采购程序环节结束之日起七个工作日内提出。</w:t>
      </w:r>
    </w:p>
    <w:p w14:paraId="00FC6932">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1.3</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对成交结果提出质疑的，应当在成交结果公告期限届满之日起七个工作日内提出。</w:t>
      </w:r>
    </w:p>
    <w:p w14:paraId="13E3F839">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1.4</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提出质疑应当提交质疑函和必要的证明材料，质疑函应当包括下列内容：</w:t>
      </w:r>
    </w:p>
    <w:p w14:paraId="319B0CAA">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1.4.1</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的姓名或者名称、地址、邮编、联系人及联系电话；</w:t>
      </w:r>
    </w:p>
    <w:p w14:paraId="1B9D2AC6">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1.4.2质疑项目的名称、项目号以及项目编号；</w:t>
      </w:r>
    </w:p>
    <w:p w14:paraId="37167348">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1.4.3具体、明确的质疑事项和与质疑事项相关的请求；</w:t>
      </w:r>
    </w:p>
    <w:p w14:paraId="201E60E6">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1.4.4事实依据；</w:t>
      </w:r>
    </w:p>
    <w:p w14:paraId="23C3F2F9">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1.4.5必要的法律依据；</w:t>
      </w:r>
    </w:p>
    <w:p w14:paraId="243EAFB7">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1.4.6提出质疑的日期；</w:t>
      </w:r>
    </w:p>
    <w:p w14:paraId="1C1F15D4">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1.4.7营业执照（或事业单位法人证书，或个体工商户营业执照或有效的自然人身份证明、组织机构代码证）复印件；</w:t>
      </w:r>
    </w:p>
    <w:p w14:paraId="100A909B">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1.4.8法定代表人授权委托书原件、法定代表人身份证复印件和其授权代表的身份证复印件（</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为自然人的提供自然人身份证复印件）；</w:t>
      </w:r>
    </w:p>
    <w:p w14:paraId="7014331E">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1.5</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为自然人的，质疑函应当由本人签字；</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为法人或者其他组织的，质疑函应当由法定代表人、主要负责人，或者其授权代表签字或者盖章，并加盖公章。</w:t>
      </w:r>
    </w:p>
    <w:p w14:paraId="6B030110">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2.质疑答复</w:t>
      </w:r>
    </w:p>
    <w:p w14:paraId="73CDAA1D">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采购人、采购代理机构应当在收到</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的书面质疑后七个工作日内作出答复，并以书面形式通知质疑</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和其他有关</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w:t>
      </w:r>
    </w:p>
    <w:p w14:paraId="303FF66E">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3.其他</w:t>
      </w:r>
    </w:p>
    <w:p w14:paraId="1C68E541">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3.1</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应按照《政府采购质疑和投诉办法》（财政部令第94号）及相关法律法规要求，在法定质疑期内一次性提出针对同一采购程序环节的质疑。</w:t>
      </w:r>
    </w:p>
    <w:p w14:paraId="0EE266C8">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3.2质疑函范本可在财政部门户网站和中国政府采购网下载。</w:t>
      </w:r>
    </w:p>
    <w:p w14:paraId="1B636BDC">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（二）投诉</w:t>
      </w:r>
    </w:p>
    <w:p w14:paraId="679F5158">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bookmarkStart w:id="126" w:name="_Toc102227322"/>
      <w:bookmarkStart w:id="127" w:name="_Toc342913396"/>
      <w:bookmarkStart w:id="128" w:name="_Toc3031"/>
      <w:r>
        <w:rPr>
          <w:rFonts w:hint="default" w:ascii="Times New Roman" w:hAnsi="Times New Roman" w:eastAsia="方正仿宋_GBK" w:cs="Times New Roman"/>
          <w:color w:val="000000" w:themeColor="text1"/>
          <w:sz w:val="24"/>
          <w:szCs w:val="24"/>
          <w:highlight w:val="none"/>
          <w14:textFill>
            <w14:solidFill>
              <w14:schemeClr w14:val="tx1"/>
            </w14:solidFill>
          </w14:textFill>
        </w:rPr>
        <w:t>1.</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对采购人、采购代理机构的答复不满意，或者采购人、采购代理机构未在规定时间内作出答复的，可以在答复期满后15个工作日内按照相关法律法规向采购人监督部门提起投诉。</w:t>
      </w:r>
    </w:p>
    <w:p w14:paraId="6FCA0F05">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2.</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应按照《政府采购质疑和投诉办法》（财政部令第94号）及相关法律法规要求递交投诉书和必要的证明材料。投诉书范本可在财政部门户网站和中国政府采购网下载。</w:t>
      </w:r>
    </w:p>
    <w:p w14:paraId="44A947C5">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3.投诉书应当使用中文，相关当事人提供外文书证或者外国语视听资料的，应当附有中文译本，由翻译机构盖章或者翻译人员签名；相关当事人向采购人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7F9F7357">
      <w:pPr>
        <w:spacing w:line="360" w:lineRule="auto"/>
        <w:ind w:right="12" w:firstLine="48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4.在确定受理投诉后，监督部门自受理投诉之日起30个工作日内（需要检验、检测、鉴定、专家评审以及需要投诉人补正材料的，所需时间不计算在投诉处理期限内）对投诉事项做出处理决定。</w:t>
      </w:r>
    </w:p>
    <w:p w14:paraId="59F3EBF7">
      <w:pPr>
        <w:pStyle w:val="3"/>
        <w:spacing w:before="0" w:after="0" w:line="360" w:lineRule="auto"/>
        <w:rPr>
          <w:rFonts w:hint="default" w:ascii="Times New Roman" w:hAnsi="Times New Roman" w:eastAsia="方正仿宋_GBK" w:cs="Times New Roman"/>
          <w:color w:val="000000" w:themeColor="text1"/>
          <w:sz w:val="24"/>
          <w:szCs w:val="24"/>
          <w:highlight w:val="none"/>
          <w14:textFill>
            <w14:solidFill>
              <w14:schemeClr w14:val="tx1"/>
            </w14:solidFill>
          </w14:textFill>
        </w:rPr>
      </w:pPr>
      <w:bookmarkStart w:id="129" w:name="_Toc9469"/>
      <w:r>
        <w:rPr>
          <w:rFonts w:hint="default" w:ascii="Times New Roman" w:hAnsi="Times New Roman" w:eastAsia="方正仿宋_GBK" w:cs="Times New Roman"/>
          <w:color w:val="000000" w:themeColor="text1"/>
          <w:sz w:val="24"/>
          <w:szCs w:val="24"/>
          <w:highlight w:val="none"/>
          <w14:textFill>
            <w14:solidFill>
              <w14:schemeClr w14:val="tx1"/>
            </w14:solidFill>
          </w14:textFill>
        </w:rPr>
        <w:t>八、签订</w:t>
      </w:r>
      <w:bookmarkEnd w:id="126"/>
      <w:r>
        <w:rPr>
          <w:rFonts w:hint="default" w:ascii="Times New Roman" w:hAnsi="Times New Roman" w:eastAsia="方正仿宋_GBK" w:cs="Times New Roman"/>
          <w:color w:val="000000" w:themeColor="text1"/>
          <w:sz w:val="24"/>
          <w:szCs w:val="24"/>
          <w:highlight w:val="none"/>
          <w14:textFill>
            <w14:solidFill>
              <w14:schemeClr w14:val="tx1"/>
            </w14:solidFill>
          </w14:textFill>
        </w:rPr>
        <w:t>合同</w:t>
      </w:r>
      <w:bookmarkEnd w:id="127"/>
      <w:bookmarkEnd w:id="128"/>
      <w:bookmarkEnd w:id="129"/>
    </w:p>
    <w:p w14:paraId="4FABC27A">
      <w:pPr>
        <w:spacing w:line="360" w:lineRule="auto"/>
        <w:ind w:firstLine="360" w:firstLineChars="15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（一）采购人应当自成交通知书发出之日起二十日内，按照网上竞采文件和成交</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响应文件的约定，与成交</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签订书面合同。所签订的合同不得对网上竞采文件和投标</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的响应文件作实质性修改。</w:t>
      </w:r>
    </w:p>
    <w:p w14:paraId="352DC2DA">
      <w:pPr>
        <w:spacing w:line="360" w:lineRule="auto"/>
        <w:ind w:firstLine="360" w:firstLineChars="15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（二）网上竞采文件、</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的响应文件及澄清文件等，均为签订采购合同的依据。</w:t>
      </w:r>
    </w:p>
    <w:p w14:paraId="676D2AD1">
      <w:pPr>
        <w:spacing w:line="360" w:lineRule="auto"/>
        <w:ind w:firstLine="360" w:firstLineChars="15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（三）合同生效条款由供需双方约定，法律、行政法规规定应当办理批准、登记等手续后生效的合同，依照其规定。</w:t>
      </w:r>
    </w:p>
    <w:p w14:paraId="12FE22D5">
      <w:pPr>
        <w:spacing w:line="360" w:lineRule="auto"/>
        <w:ind w:firstLine="360" w:firstLineChars="15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（四）合同原则上应按照《采购合同》签订，</w:t>
      </w:r>
      <w:r>
        <w:rPr>
          <w:rFonts w:hint="default" w:ascii="Times New Roman" w:hAnsi="Times New Roman" w:eastAsia="方正仿宋_GBK" w:cs="Times New Roman"/>
          <w:b/>
          <w:bCs/>
          <w:color w:val="000000" w:themeColor="text1"/>
          <w:sz w:val="28"/>
          <w:szCs w:val="28"/>
          <w:highlight w:val="none"/>
          <w14:textFill>
            <w14:solidFill>
              <w14:schemeClr w14:val="tx1"/>
            </w14:solidFill>
          </w14:textFill>
        </w:rPr>
        <w:t>相关单位</w:t>
      </w:r>
      <w:r>
        <w:rPr>
          <w:rFonts w:hint="default" w:ascii="Times New Roman" w:hAnsi="Times New Roman" w:eastAsia="方正仿宋_GBK" w:cs="Times New Roman"/>
          <w:b/>
          <w:bCs/>
          <w:color w:val="000000" w:themeColor="text1"/>
          <w:sz w:val="28"/>
          <w:szCs w:val="28"/>
          <w:highlight w:val="none"/>
          <w:lang w:val="en-US" w:eastAsia="zh-CN"/>
          <w14:textFill>
            <w14:solidFill>
              <w14:schemeClr w14:val="tx1"/>
            </w14:solidFill>
          </w14:textFill>
        </w:rPr>
        <w:t>或采购人</w:t>
      </w:r>
      <w:r>
        <w:rPr>
          <w:rFonts w:hint="default" w:ascii="Times New Roman" w:hAnsi="Times New Roman" w:eastAsia="方正仿宋_GBK" w:cs="Times New Roman"/>
          <w:b/>
          <w:bCs/>
          <w:color w:val="000000" w:themeColor="text1"/>
          <w:sz w:val="28"/>
          <w:szCs w:val="28"/>
          <w:highlight w:val="none"/>
          <w14:textFill>
            <w14:solidFill>
              <w14:schemeClr w14:val="tx1"/>
            </w14:solidFill>
          </w14:textFill>
        </w:rPr>
        <w:t>要求</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适用合同通用格式版本的，应按其要求另行签订其他合同。</w:t>
      </w:r>
    </w:p>
    <w:p w14:paraId="64E87799">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（五）采购人要求成交</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提供履约保证金的，应当在网上竞采文件中予以约定。成交</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投标人</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履约完毕后，采购人应于五日内无息退还其履约保证金。</w:t>
      </w:r>
    </w:p>
    <w:p w14:paraId="0E7ECF84">
      <w:pPr>
        <w:pStyle w:val="2"/>
        <w:spacing w:before="0" w:after="0" w:line="360" w:lineRule="auto"/>
        <w:jc w:val="center"/>
        <w:rPr>
          <w:rFonts w:hint="default" w:ascii="Times New Roman" w:hAnsi="Times New Roman" w:eastAsia="方正仿宋_GBK" w:cs="Times New Roman"/>
          <w:sz w:val="24"/>
          <w:highlight w:val="none"/>
        </w:rPr>
      </w:pPr>
      <w:r>
        <w:rPr>
          <w:rFonts w:hint="default" w:ascii="Times New Roman" w:hAnsi="Times New Roman" w:eastAsia="方正仿宋_GBK" w:cs="Times New Roman"/>
          <w:color w:val="auto"/>
          <w:sz w:val="36"/>
          <w:szCs w:val="30"/>
          <w:highlight w:val="none"/>
        </w:rPr>
        <w:br w:type="page"/>
      </w:r>
      <w:bookmarkStart w:id="130" w:name="_Toc17664"/>
      <w:bookmarkStart w:id="131" w:name="_Toc76462348"/>
      <w:r>
        <w:rPr>
          <w:rFonts w:hint="default" w:ascii="Times New Roman" w:hAnsi="Times New Roman" w:eastAsia="方正仿宋_GBK" w:cs="Times New Roman"/>
          <w:b/>
          <w:bCs/>
          <w:color w:val="auto"/>
          <w:sz w:val="36"/>
          <w:szCs w:val="30"/>
          <w:highlight w:val="none"/>
        </w:rPr>
        <w:t xml:space="preserve">第六篇  </w:t>
      </w:r>
      <w:bookmarkEnd w:id="102"/>
      <w:bookmarkEnd w:id="103"/>
      <w:bookmarkEnd w:id="130"/>
      <w:bookmarkEnd w:id="131"/>
      <w:bookmarkStart w:id="132" w:name="_Toc76462349"/>
      <w:bookmarkStart w:id="133" w:name="_Toc20913"/>
      <w:r>
        <w:rPr>
          <w:rFonts w:hint="default" w:ascii="Times New Roman" w:hAnsi="Times New Roman" w:eastAsia="方正仿宋_GBK" w:cs="Times New Roman"/>
          <w:b/>
          <w:bCs/>
          <w:sz w:val="36"/>
          <w:szCs w:val="30"/>
          <w:highlight w:val="none"/>
          <w:lang w:val="en-US" w:eastAsia="zh-CN"/>
        </w:rPr>
        <w:t>建设工程施工合同</w:t>
      </w:r>
    </w:p>
    <w:p w14:paraId="15AAD3EF">
      <w:pPr>
        <w:bidi w:val="0"/>
        <w:jc w:val="center"/>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eastAsia="zh-CN"/>
        </w:rPr>
        <w:t>第一节</w:t>
      </w:r>
      <w:r>
        <w:rPr>
          <w:rFonts w:hint="default"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合同协议书</w:t>
      </w:r>
    </w:p>
    <w:p w14:paraId="69BC75C2">
      <w:pPr>
        <w:jc w:val="center"/>
        <w:rPr>
          <w:rFonts w:hint="default" w:ascii="Times New Roman" w:hAnsi="Times New Roman" w:eastAsia="方正仿宋_GBK" w:cs="Times New Roman"/>
          <w:b/>
          <w:color w:val="auto"/>
          <w:szCs w:val="28"/>
          <w:highlight w:val="none"/>
        </w:rPr>
      </w:pPr>
      <w:r>
        <w:rPr>
          <w:rFonts w:hint="default" w:ascii="Times New Roman" w:hAnsi="Times New Roman" w:eastAsia="方正仿宋_GBK" w:cs="Times New Roman"/>
          <w:b/>
          <w:color w:val="auto"/>
          <w:szCs w:val="28"/>
          <w:highlight w:val="none"/>
        </w:rPr>
        <w:t>合同协议书</w:t>
      </w:r>
    </w:p>
    <w:p w14:paraId="1D027376">
      <w:pPr>
        <w:jc w:val="center"/>
        <w:rPr>
          <w:rFonts w:hint="default" w:ascii="Times New Roman" w:hAnsi="Times New Roman" w:eastAsia="方正仿宋_GBK" w:cs="Times New Roman"/>
          <w:b/>
          <w:color w:val="auto"/>
          <w:sz w:val="24"/>
          <w:szCs w:val="24"/>
          <w:highlight w:val="none"/>
        </w:rPr>
      </w:pPr>
    </w:p>
    <w:p w14:paraId="4476B5AE">
      <w:pPr>
        <w:spacing w:line="360" w:lineRule="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发包人（采购人）：</w:t>
      </w:r>
    </w:p>
    <w:p w14:paraId="7706064D">
      <w:pPr>
        <w:spacing w:line="360" w:lineRule="auto"/>
        <w:rPr>
          <w:rFonts w:hint="default" w:ascii="Times New Roman" w:hAnsi="Times New Roman" w:eastAsia="方正仿宋_GBK" w:cs="Times New Roman"/>
          <w:b/>
          <w:color w:val="auto"/>
          <w:sz w:val="24"/>
          <w:szCs w:val="24"/>
          <w:highlight w:val="none"/>
          <w:u w:val="single"/>
        </w:rPr>
      </w:pPr>
      <w:r>
        <w:rPr>
          <w:rFonts w:hint="default" w:ascii="Times New Roman" w:hAnsi="Times New Roman" w:eastAsia="方正仿宋_GBK" w:cs="Times New Roman"/>
          <w:b/>
          <w:color w:val="auto"/>
          <w:sz w:val="24"/>
          <w:szCs w:val="24"/>
          <w:highlight w:val="none"/>
        </w:rPr>
        <w:t>承包人（</w:t>
      </w:r>
      <w:r>
        <w:rPr>
          <w:rFonts w:hint="default" w:ascii="Times New Roman" w:hAnsi="Times New Roman" w:eastAsia="方正仿宋_GBK" w:cs="Times New Roman"/>
          <w:b/>
          <w:color w:val="auto"/>
          <w:sz w:val="24"/>
          <w:szCs w:val="24"/>
          <w:highlight w:val="none"/>
          <w:lang w:eastAsia="zh-CN"/>
        </w:rPr>
        <w:t>中标人</w:t>
      </w:r>
      <w:r>
        <w:rPr>
          <w:rFonts w:hint="default" w:ascii="Times New Roman" w:hAnsi="Times New Roman" w:eastAsia="方正仿宋_GBK" w:cs="Times New Roman"/>
          <w:b/>
          <w:color w:val="auto"/>
          <w:sz w:val="24"/>
          <w:szCs w:val="24"/>
          <w:highlight w:val="none"/>
        </w:rPr>
        <w:t>）：</w:t>
      </w:r>
    </w:p>
    <w:p w14:paraId="187E6142">
      <w:pPr>
        <w:spacing w:line="44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发包人</w:t>
      </w:r>
      <w:r>
        <w:rPr>
          <w:rFonts w:hint="default" w:ascii="Times New Roman" w:hAnsi="Times New Roman" w:eastAsia="方正仿宋_GBK" w:cs="Times New Roman"/>
          <w:snapToGrid w:val="0"/>
          <w:color w:val="auto"/>
          <w:kern w:val="0"/>
          <w:sz w:val="24"/>
          <w:szCs w:val="24"/>
          <w:highlight w:val="none"/>
        </w:rPr>
        <w:t>为实施</w:t>
      </w:r>
      <w:r>
        <w:rPr>
          <w:rFonts w:hint="default" w:ascii="Times New Roman" w:hAnsi="Times New Roman" w:eastAsia="方正仿宋_GBK" w:cs="Times New Roman"/>
          <w:snapToGrid w:val="0"/>
          <w:color w:val="auto"/>
          <w:kern w:val="0"/>
          <w:sz w:val="24"/>
          <w:szCs w:val="24"/>
          <w:highlight w:val="none"/>
          <w:u w:val="single"/>
        </w:rPr>
        <w:t xml:space="preserve"> </w:t>
      </w:r>
      <w:r>
        <w:rPr>
          <w:rFonts w:hint="default" w:ascii="Times New Roman" w:hAnsi="Times New Roman" w:eastAsia="方正仿宋_GBK" w:cs="Times New Roman"/>
          <w:snapToGrid w:val="0"/>
          <w:color w:val="auto"/>
          <w:kern w:val="0"/>
          <w:sz w:val="24"/>
          <w:szCs w:val="24"/>
          <w:highlight w:val="none"/>
          <w:u w:val="single"/>
        </w:rPr>
        <w:tab/>
      </w:r>
      <w:r>
        <w:rPr>
          <w:rFonts w:hint="default" w:ascii="Times New Roman" w:hAnsi="Times New Roman" w:eastAsia="方正仿宋_GBK" w:cs="Times New Roman"/>
          <w:snapToGrid w:val="0"/>
          <w:color w:val="auto"/>
          <w:kern w:val="0"/>
          <w:sz w:val="24"/>
          <w:szCs w:val="24"/>
          <w:highlight w:val="none"/>
          <w:u w:val="single"/>
        </w:rPr>
        <w:t xml:space="preserve">                                    </w:t>
      </w:r>
      <w:r>
        <w:rPr>
          <w:rFonts w:hint="default" w:ascii="Times New Roman" w:hAnsi="Times New Roman" w:eastAsia="方正仿宋_GBK" w:cs="Times New Roman"/>
          <w:snapToGrid w:val="0"/>
          <w:color w:val="auto"/>
          <w:kern w:val="0"/>
          <w:sz w:val="24"/>
          <w:szCs w:val="24"/>
          <w:highlight w:val="none"/>
        </w:rPr>
        <w:t>（项目名称），已接受承包人对该项目</w:t>
      </w:r>
      <w:r>
        <w:rPr>
          <w:rFonts w:hint="default" w:ascii="Times New Roman" w:hAnsi="Times New Roman" w:eastAsia="方正仿宋_GBK" w:cs="Times New Roman"/>
          <w:snapToGrid w:val="0"/>
          <w:color w:val="auto"/>
          <w:kern w:val="0"/>
          <w:sz w:val="24"/>
          <w:szCs w:val="24"/>
          <w:highlight w:val="none"/>
          <w:u w:val="single"/>
        </w:rPr>
        <w:t xml:space="preserve">                          </w:t>
      </w:r>
      <w:r>
        <w:rPr>
          <w:rFonts w:hint="default" w:ascii="Times New Roman" w:hAnsi="Times New Roman" w:eastAsia="方正仿宋_GBK" w:cs="Times New Roman"/>
          <w:snapToGrid w:val="0"/>
          <w:color w:val="auto"/>
          <w:kern w:val="0"/>
          <w:sz w:val="24"/>
          <w:szCs w:val="24"/>
          <w:highlight w:val="none"/>
          <w:u w:val="single"/>
        </w:rPr>
        <w:tab/>
      </w:r>
      <w:r>
        <w:rPr>
          <w:rFonts w:hint="default" w:ascii="Times New Roman" w:hAnsi="Times New Roman" w:eastAsia="方正仿宋_GBK" w:cs="Times New Roman"/>
          <w:snapToGrid w:val="0"/>
          <w:color w:val="auto"/>
          <w:kern w:val="0"/>
          <w:sz w:val="24"/>
          <w:szCs w:val="24"/>
          <w:highlight w:val="none"/>
        </w:rPr>
        <w:t>施工的投标。 发包人和承包人</w:t>
      </w:r>
      <w:r>
        <w:rPr>
          <w:rFonts w:hint="default" w:ascii="Times New Roman" w:hAnsi="Times New Roman" w:eastAsia="方正仿宋_GBK" w:cs="Times New Roman"/>
          <w:color w:val="auto"/>
          <w:sz w:val="24"/>
          <w:szCs w:val="24"/>
          <w:highlight w:val="none"/>
        </w:rPr>
        <w:t>根据《中华人民共和国民法典》、《中华人民共和国建筑法》及有关法律规定，遵循平等、自愿、公平和诚实信用的原则，经协商一致，达成如下协议：</w:t>
      </w:r>
    </w:p>
    <w:p w14:paraId="27FD8206">
      <w:pPr>
        <w:spacing w:line="440" w:lineRule="exact"/>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 xml:space="preserve">   </w:t>
      </w:r>
      <w:r>
        <w:rPr>
          <w:rFonts w:hint="default" w:ascii="Times New Roman" w:hAnsi="Times New Roman" w:eastAsia="方正仿宋_GBK" w:cs="Times New Roman"/>
          <w:color w:val="auto"/>
          <w:sz w:val="24"/>
          <w:szCs w:val="24"/>
          <w:highlight w:val="none"/>
        </w:rPr>
        <w:t xml:space="preserve"> </w:t>
      </w:r>
      <w:bookmarkStart w:id="134" w:name="_Toc351203481"/>
      <w:r>
        <w:rPr>
          <w:rFonts w:hint="default" w:ascii="Times New Roman" w:hAnsi="Times New Roman" w:eastAsia="方正仿宋_GBK" w:cs="Times New Roman"/>
          <w:color w:val="auto"/>
          <w:sz w:val="24"/>
          <w:szCs w:val="24"/>
          <w:highlight w:val="none"/>
        </w:rPr>
        <w:t>一、工程概况</w:t>
      </w:r>
      <w:bookmarkEnd w:id="134"/>
    </w:p>
    <w:p w14:paraId="74987147">
      <w:pPr>
        <w:spacing w:line="440" w:lineRule="exact"/>
        <w:ind w:firstLine="470" w:firstLineChars="196"/>
        <w:rPr>
          <w:rFonts w:hint="default" w:ascii="Times New Roman" w:hAnsi="Times New Roman" w:eastAsia="方正仿宋_GBK" w:cs="Times New Roman"/>
          <w:color w:val="auto"/>
          <w:sz w:val="24"/>
          <w:szCs w:val="24"/>
          <w:highlight w:val="none"/>
          <w:u w:val="single"/>
        </w:rPr>
      </w:pPr>
      <w:r>
        <w:rPr>
          <w:rFonts w:hint="default" w:ascii="Times New Roman" w:hAnsi="Times New Roman" w:eastAsia="方正仿宋_GBK" w:cs="Times New Roman"/>
          <w:bCs/>
          <w:color w:val="auto"/>
          <w:sz w:val="24"/>
          <w:szCs w:val="24"/>
          <w:highlight w:val="none"/>
        </w:rPr>
        <w:t>1.工程名称</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u w:val="single"/>
        </w:rPr>
        <w:t xml:space="preserve">                              。</w:t>
      </w:r>
    </w:p>
    <w:p w14:paraId="0B5555DE">
      <w:pPr>
        <w:spacing w:line="440" w:lineRule="exact"/>
        <w:ind w:firstLine="470" w:firstLineChars="196"/>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2.工程地点：</w:t>
      </w:r>
      <w:r>
        <w:rPr>
          <w:rFonts w:hint="default" w:ascii="Times New Roman" w:hAnsi="Times New Roman" w:eastAsia="方正仿宋_GBK" w:cs="Times New Roman"/>
          <w:color w:val="auto"/>
          <w:sz w:val="24"/>
          <w:szCs w:val="24"/>
          <w:highlight w:val="none"/>
          <w:u w:val="single"/>
        </w:rPr>
        <w:t xml:space="preserve">                              。</w:t>
      </w:r>
    </w:p>
    <w:p w14:paraId="5931C4D3">
      <w:pPr>
        <w:spacing w:line="440" w:lineRule="exact"/>
        <w:ind w:firstLine="470" w:firstLineChars="196"/>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3.资金来源：</w:t>
      </w:r>
      <w:r>
        <w:rPr>
          <w:rFonts w:hint="default" w:ascii="Times New Roman" w:hAnsi="Times New Roman" w:eastAsia="方正仿宋_GBK" w:cs="Times New Roman"/>
          <w:color w:val="auto"/>
          <w:sz w:val="24"/>
          <w:szCs w:val="24"/>
          <w:highlight w:val="none"/>
          <w:u w:val="single"/>
        </w:rPr>
        <w:t xml:space="preserve">                              。</w:t>
      </w:r>
    </w:p>
    <w:p w14:paraId="6B3113F1">
      <w:pPr>
        <w:spacing w:line="440" w:lineRule="exact"/>
        <w:ind w:firstLine="470" w:firstLineChars="196"/>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4.工程内容：</w:t>
      </w:r>
      <w:r>
        <w:rPr>
          <w:rFonts w:hint="default" w:ascii="Times New Roman" w:hAnsi="Times New Roman" w:eastAsia="方正仿宋_GBK" w:cs="Times New Roman"/>
          <w:color w:val="auto"/>
          <w:sz w:val="24"/>
          <w:szCs w:val="24"/>
          <w:highlight w:val="none"/>
          <w:u w:val="single"/>
        </w:rPr>
        <w:t xml:space="preserve">                              。</w:t>
      </w:r>
    </w:p>
    <w:p w14:paraId="12A1CFA8">
      <w:pPr>
        <w:spacing w:line="440" w:lineRule="exact"/>
        <w:ind w:firstLine="470" w:firstLineChars="196"/>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color w:val="auto"/>
          <w:sz w:val="24"/>
          <w:szCs w:val="24"/>
          <w:highlight w:val="none"/>
        </w:rPr>
        <w:t>5.</w:t>
      </w:r>
      <w:r>
        <w:rPr>
          <w:rFonts w:hint="default" w:ascii="Times New Roman" w:hAnsi="Times New Roman" w:eastAsia="方正仿宋_GBK" w:cs="Times New Roman"/>
          <w:bCs/>
          <w:color w:val="auto"/>
          <w:sz w:val="24"/>
          <w:szCs w:val="24"/>
          <w:highlight w:val="none"/>
        </w:rPr>
        <w:t>工程规模：</w:t>
      </w:r>
      <w:r>
        <w:rPr>
          <w:rFonts w:hint="default" w:ascii="Times New Roman" w:hAnsi="Times New Roman" w:eastAsia="方正仿宋_GBK" w:cs="Times New Roman"/>
          <w:color w:val="auto"/>
          <w:sz w:val="24"/>
          <w:szCs w:val="24"/>
          <w:highlight w:val="none"/>
          <w:u w:val="single"/>
        </w:rPr>
        <w:t xml:space="preserve">                              。</w:t>
      </w:r>
    </w:p>
    <w:p w14:paraId="47A0877A">
      <w:pPr>
        <w:spacing w:line="440" w:lineRule="exact"/>
        <w:ind w:firstLine="470" w:firstLineChars="196"/>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6.工程承包范围：</w:t>
      </w:r>
      <w:r>
        <w:rPr>
          <w:rFonts w:hint="default" w:ascii="Times New Roman" w:hAnsi="Times New Roman" w:eastAsia="方正仿宋_GBK" w:cs="Times New Roman"/>
          <w:color w:val="auto"/>
          <w:sz w:val="24"/>
          <w:szCs w:val="24"/>
          <w:highlight w:val="none"/>
          <w:u w:val="single"/>
        </w:rPr>
        <w:t xml:space="preserve">                              。 </w:t>
      </w:r>
    </w:p>
    <w:p w14:paraId="4AFBB71F">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   </w:t>
      </w:r>
      <w:bookmarkStart w:id="135" w:name="_Toc351203482"/>
      <w:r>
        <w:rPr>
          <w:rFonts w:hint="default" w:ascii="Times New Roman" w:hAnsi="Times New Roman" w:eastAsia="方正仿宋_GBK" w:cs="Times New Roman"/>
          <w:color w:val="auto"/>
          <w:sz w:val="24"/>
          <w:szCs w:val="24"/>
          <w:highlight w:val="none"/>
        </w:rPr>
        <w:t>二、合同工期</w:t>
      </w:r>
      <w:bookmarkEnd w:id="135"/>
    </w:p>
    <w:p w14:paraId="7BADCC3E">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计划开工日期：</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年</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月</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日。</w:t>
      </w:r>
    </w:p>
    <w:p w14:paraId="77A75D13">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计划竣工日期：</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年</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月</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日。</w:t>
      </w:r>
    </w:p>
    <w:p w14:paraId="6F9E426D">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工期总日历天数：</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天。工期总日历天数与根据前述计划开竣工日期计算的工期天数不一致的，以工期总日历天数为准。</w:t>
      </w:r>
    </w:p>
    <w:p w14:paraId="3C4B5D39">
      <w:pPr>
        <w:spacing w:line="440" w:lineRule="exact"/>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 xml:space="preserve">    </w:t>
      </w:r>
      <w:bookmarkStart w:id="136" w:name="_Toc351203483"/>
      <w:r>
        <w:rPr>
          <w:rFonts w:hint="default" w:ascii="Times New Roman" w:hAnsi="Times New Roman" w:eastAsia="方正仿宋_GBK" w:cs="Times New Roman"/>
          <w:b/>
          <w:color w:val="auto"/>
          <w:sz w:val="24"/>
          <w:szCs w:val="24"/>
          <w:highlight w:val="none"/>
        </w:rPr>
        <w:t>三、质量标准</w:t>
      </w:r>
      <w:bookmarkEnd w:id="136"/>
    </w:p>
    <w:p w14:paraId="5A414058">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工程质量符合</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标准。</w:t>
      </w:r>
    </w:p>
    <w:p w14:paraId="79FAD1FC">
      <w:pPr>
        <w:spacing w:line="440" w:lineRule="exact"/>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 xml:space="preserve">   </w:t>
      </w:r>
      <w:r>
        <w:rPr>
          <w:rFonts w:hint="default" w:ascii="Times New Roman" w:hAnsi="Times New Roman" w:eastAsia="方正仿宋_GBK" w:cs="Times New Roman"/>
          <w:b/>
          <w:color w:val="auto"/>
          <w:sz w:val="24"/>
          <w:szCs w:val="24"/>
          <w:highlight w:val="none"/>
        </w:rPr>
        <w:t xml:space="preserve"> </w:t>
      </w:r>
      <w:bookmarkStart w:id="137" w:name="_Toc351203484"/>
      <w:r>
        <w:rPr>
          <w:rFonts w:hint="default" w:ascii="Times New Roman" w:hAnsi="Times New Roman" w:eastAsia="方正仿宋_GBK" w:cs="Times New Roman"/>
          <w:b/>
          <w:color w:val="auto"/>
          <w:sz w:val="24"/>
          <w:szCs w:val="24"/>
          <w:highlight w:val="none"/>
        </w:rPr>
        <w:t>四、签约合同价与合同价格形式</w:t>
      </w:r>
      <w:bookmarkEnd w:id="137"/>
      <w:r>
        <w:rPr>
          <w:rFonts w:hint="default" w:ascii="Times New Roman" w:hAnsi="Times New Roman" w:eastAsia="方正仿宋_GBK" w:cs="Times New Roman"/>
          <w:b/>
          <w:color w:val="auto"/>
          <w:sz w:val="24"/>
          <w:szCs w:val="24"/>
          <w:highlight w:val="none"/>
        </w:rPr>
        <w:tab/>
      </w:r>
    </w:p>
    <w:p w14:paraId="1F213A4C">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1.签约合同价为：</w:t>
      </w:r>
    </w:p>
    <w:p w14:paraId="47323196">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人民币（大写）</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元)；</w:t>
      </w:r>
    </w:p>
    <w:p w14:paraId="4C03128A">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其中：</w:t>
      </w:r>
    </w:p>
    <w:p w14:paraId="23DB049D">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w:t>
      </w:r>
      <w:r>
        <w:rPr>
          <w:rFonts w:hint="eastAsia" w:eastAsia="方正仿宋_GBK" w:cs="Times New Roman"/>
          <w:color w:val="auto"/>
          <w:sz w:val="24"/>
          <w:szCs w:val="24"/>
          <w:highlight w:val="none"/>
          <w:lang w:val="en-US" w:eastAsia="zh-CN"/>
        </w:rPr>
        <w:t>1</w:t>
      </w:r>
      <w:r>
        <w:rPr>
          <w:rFonts w:hint="default" w:ascii="Times New Roman" w:hAnsi="Times New Roman" w:eastAsia="方正仿宋_GBK" w:cs="Times New Roman"/>
          <w:color w:val="auto"/>
          <w:sz w:val="24"/>
          <w:szCs w:val="24"/>
          <w:highlight w:val="none"/>
        </w:rPr>
        <w:t>）材料和工程设备暂估价金额：</w:t>
      </w:r>
    </w:p>
    <w:p w14:paraId="209F809B">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人民币（大写）</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元)；</w:t>
      </w:r>
    </w:p>
    <w:p w14:paraId="51FA0D59">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w:t>
      </w:r>
      <w:r>
        <w:rPr>
          <w:rFonts w:hint="eastAsia"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rPr>
        <w:t>）专业工程暂估价金额：</w:t>
      </w:r>
    </w:p>
    <w:p w14:paraId="1B71D984">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人民币（大写）</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元)；</w:t>
      </w:r>
    </w:p>
    <w:p w14:paraId="76163B41">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w:t>
      </w:r>
      <w:r>
        <w:rPr>
          <w:rFonts w:hint="eastAsia" w:eastAsia="方正仿宋_GBK" w:cs="Times New Roman"/>
          <w:color w:val="auto"/>
          <w:sz w:val="24"/>
          <w:szCs w:val="24"/>
          <w:highlight w:val="none"/>
          <w:lang w:val="en-US" w:eastAsia="zh-CN"/>
        </w:rPr>
        <w:t>3</w:t>
      </w:r>
      <w:r>
        <w:rPr>
          <w:rFonts w:hint="default" w:ascii="Times New Roman" w:hAnsi="Times New Roman" w:eastAsia="方正仿宋_GBK" w:cs="Times New Roman"/>
          <w:color w:val="auto"/>
          <w:sz w:val="24"/>
          <w:szCs w:val="24"/>
          <w:highlight w:val="none"/>
        </w:rPr>
        <w:t>）暂列金额：</w:t>
      </w:r>
    </w:p>
    <w:p w14:paraId="38FF97F1">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人民币（大写）</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元)。</w:t>
      </w:r>
    </w:p>
    <w:p w14:paraId="34AA8D11">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2.合同价格形式：</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w:t>
      </w:r>
    </w:p>
    <w:p w14:paraId="095F9AD9">
      <w:pPr>
        <w:spacing w:line="440" w:lineRule="exact"/>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Cs/>
          <w:color w:val="auto"/>
          <w:sz w:val="24"/>
          <w:szCs w:val="24"/>
          <w:highlight w:val="none"/>
        </w:rPr>
        <w:t xml:space="preserve">   </w:t>
      </w:r>
      <w:r>
        <w:rPr>
          <w:rFonts w:hint="default" w:ascii="Times New Roman" w:hAnsi="Times New Roman" w:eastAsia="方正仿宋_GBK" w:cs="Times New Roman"/>
          <w:b/>
          <w:color w:val="auto"/>
          <w:sz w:val="24"/>
          <w:szCs w:val="24"/>
          <w:highlight w:val="none"/>
        </w:rPr>
        <w:t xml:space="preserve"> </w:t>
      </w:r>
      <w:bookmarkStart w:id="138" w:name="_Toc351203485"/>
      <w:r>
        <w:rPr>
          <w:rFonts w:hint="default" w:ascii="Times New Roman" w:hAnsi="Times New Roman" w:eastAsia="方正仿宋_GBK" w:cs="Times New Roman"/>
          <w:b/>
          <w:color w:val="auto"/>
          <w:sz w:val="24"/>
          <w:szCs w:val="24"/>
          <w:highlight w:val="none"/>
        </w:rPr>
        <w:t>五、</w:t>
      </w:r>
      <w:bookmarkEnd w:id="138"/>
      <w:r>
        <w:rPr>
          <w:rFonts w:hint="default" w:ascii="Times New Roman" w:hAnsi="Times New Roman" w:eastAsia="方正仿宋_GBK" w:cs="Times New Roman"/>
          <w:b/>
          <w:color w:val="auto"/>
          <w:sz w:val="24"/>
          <w:szCs w:val="24"/>
          <w:highlight w:val="none"/>
        </w:rPr>
        <w:t>项目经理</w:t>
      </w:r>
    </w:p>
    <w:p w14:paraId="12CD8D50">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承包人项目经理：</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w:t>
      </w:r>
    </w:p>
    <w:p w14:paraId="7ACB05FC">
      <w:pPr>
        <w:spacing w:line="440" w:lineRule="exact"/>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 xml:space="preserve"> </w:t>
      </w:r>
      <w:r>
        <w:rPr>
          <w:rFonts w:hint="default" w:ascii="Times New Roman" w:hAnsi="Times New Roman" w:eastAsia="方正仿宋_GBK" w:cs="Times New Roman"/>
          <w:b/>
          <w:color w:val="auto"/>
          <w:sz w:val="24"/>
          <w:szCs w:val="24"/>
          <w:highlight w:val="none"/>
        </w:rPr>
        <w:t xml:space="preserve"> </w:t>
      </w:r>
      <w:bookmarkStart w:id="139" w:name="_Toc351203486"/>
      <w:r>
        <w:rPr>
          <w:rFonts w:hint="default" w:ascii="Times New Roman" w:hAnsi="Times New Roman" w:eastAsia="方正仿宋_GBK" w:cs="Times New Roman"/>
          <w:b/>
          <w:color w:val="auto"/>
          <w:sz w:val="24"/>
          <w:szCs w:val="24"/>
          <w:highlight w:val="none"/>
        </w:rPr>
        <w:t>六、合同文件构成</w:t>
      </w:r>
      <w:bookmarkEnd w:id="139"/>
    </w:p>
    <w:p w14:paraId="2F34E681">
      <w:pPr>
        <w:spacing w:line="440" w:lineRule="exact"/>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本协议书与下列文件一起构成合同文件：</w:t>
      </w:r>
    </w:p>
    <w:p w14:paraId="0A309D66">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default" w:ascii="Times New Roman" w:hAnsi="Times New Roman" w:eastAsia="方正仿宋_GBK" w:cs="Times New Roman"/>
          <w:color w:val="auto"/>
          <w:sz w:val="24"/>
          <w:szCs w:val="24"/>
          <w:highlight w:val="none"/>
          <w:lang w:eastAsia="zh-CN"/>
        </w:rPr>
        <w:t>成交通知书</w:t>
      </w:r>
      <w:r>
        <w:rPr>
          <w:rFonts w:hint="default" w:ascii="Times New Roman" w:hAnsi="Times New Roman" w:eastAsia="方正仿宋_GBK" w:cs="Times New Roman"/>
          <w:color w:val="auto"/>
          <w:sz w:val="24"/>
          <w:szCs w:val="24"/>
          <w:highlight w:val="none"/>
        </w:rPr>
        <w:t>；</w:t>
      </w:r>
    </w:p>
    <w:p w14:paraId="144E8E97">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（2）投标函及其附录（如果有）； </w:t>
      </w:r>
    </w:p>
    <w:p w14:paraId="77EFF55C">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（3）专用合同条款及其附件；</w:t>
      </w:r>
    </w:p>
    <w:p w14:paraId="48223888">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（4）通用合同条款；</w:t>
      </w:r>
    </w:p>
    <w:p w14:paraId="2866FE24">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（5）技术标准和要求；</w:t>
      </w:r>
    </w:p>
    <w:p w14:paraId="3F16C339">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（6）图纸；</w:t>
      </w:r>
    </w:p>
    <w:p w14:paraId="79C98B15">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（7）已标价工程量清单或预算书；</w:t>
      </w:r>
    </w:p>
    <w:p w14:paraId="51E575EF">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（8）其他合同文件。</w:t>
      </w:r>
    </w:p>
    <w:p w14:paraId="610FC501">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在合同订立及履行过程中形成的与合同有关的文件均构成合同文件组成部分。</w:t>
      </w:r>
    </w:p>
    <w:p w14:paraId="11F26C92">
      <w:pPr>
        <w:spacing w:line="44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47E46DDF">
      <w:pPr>
        <w:spacing w:line="440" w:lineRule="exact"/>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bCs/>
          <w:color w:val="auto"/>
          <w:sz w:val="24"/>
          <w:szCs w:val="24"/>
          <w:highlight w:val="none"/>
        </w:rPr>
        <w:t xml:space="preserve">   </w:t>
      </w:r>
      <w:r>
        <w:rPr>
          <w:rFonts w:hint="default" w:ascii="Times New Roman" w:hAnsi="Times New Roman" w:eastAsia="方正仿宋_GBK" w:cs="Times New Roman"/>
          <w:b/>
          <w:color w:val="auto"/>
          <w:sz w:val="24"/>
          <w:szCs w:val="24"/>
          <w:highlight w:val="none"/>
        </w:rPr>
        <w:t xml:space="preserve"> </w:t>
      </w:r>
      <w:bookmarkStart w:id="140" w:name="_Toc351203487"/>
      <w:r>
        <w:rPr>
          <w:rFonts w:hint="default" w:ascii="Times New Roman" w:hAnsi="Times New Roman" w:eastAsia="方正仿宋_GBK" w:cs="Times New Roman"/>
          <w:b/>
          <w:color w:val="auto"/>
          <w:sz w:val="24"/>
          <w:szCs w:val="24"/>
          <w:highlight w:val="none"/>
        </w:rPr>
        <w:t>七、承诺</w:t>
      </w:r>
      <w:bookmarkEnd w:id="140"/>
    </w:p>
    <w:p w14:paraId="1520A492">
      <w:pPr>
        <w:spacing w:line="440" w:lineRule="exact"/>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1.发包人承诺按照法律规定履行项目审批手续、筹集工程建设资金并按照合同约定的期限和方式支付合同价款。</w:t>
      </w:r>
    </w:p>
    <w:p w14:paraId="798AD5D4">
      <w:pPr>
        <w:spacing w:line="440" w:lineRule="exact"/>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2.承包人承诺按照法律规定及合同约定组织完成工程施工，确保工程质量和安全，不进行转包及违法分包，并在缺陷责任期及保修期内承担相应的工程维修责任。</w:t>
      </w:r>
    </w:p>
    <w:p w14:paraId="699E98C7">
      <w:pPr>
        <w:spacing w:line="440" w:lineRule="exact"/>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3.发包人和承包人通过招投标形式签订合同的，双方理解并承诺不再就同一工程另行签订与合同实质性内容相背离的协议。</w:t>
      </w:r>
    </w:p>
    <w:p w14:paraId="76535B46">
      <w:pPr>
        <w:spacing w:line="440" w:lineRule="exact"/>
        <w:rPr>
          <w:rFonts w:hint="default" w:ascii="Times New Roman" w:hAnsi="Times New Roman" w:eastAsia="方正仿宋_GBK" w:cs="Times New Roman"/>
          <w:bCs/>
          <w:color w:val="auto"/>
          <w:sz w:val="24"/>
          <w:szCs w:val="24"/>
          <w:highlight w:val="none"/>
        </w:rPr>
      </w:pPr>
      <w:bookmarkStart w:id="141" w:name="_Toc351203488"/>
      <w:r>
        <w:rPr>
          <w:rFonts w:hint="default" w:ascii="Times New Roman" w:hAnsi="Times New Roman" w:eastAsia="方正仿宋_GBK" w:cs="Times New Roman"/>
          <w:b/>
          <w:color w:val="auto"/>
          <w:sz w:val="24"/>
          <w:szCs w:val="24"/>
          <w:highlight w:val="none"/>
        </w:rPr>
        <w:t xml:space="preserve">    八、词语含义</w:t>
      </w:r>
      <w:bookmarkEnd w:id="141"/>
    </w:p>
    <w:p w14:paraId="17A594C2">
      <w:pPr>
        <w:spacing w:line="440" w:lineRule="exact"/>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本协议书中词语含义与第二部分通用合同条款中赋予的含义相同。</w:t>
      </w:r>
    </w:p>
    <w:p w14:paraId="4D849ADD">
      <w:pPr>
        <w:spacing w:line="440" w:lineRule="exact"/>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 xml:space="preserve">  </w:t>
      </w:r>
      <w:r>
        <w:rPr>
          <w:rFonts w:hint="default" w:ascii="Times New Roman" w:hAnsi="Times New Roman" w:eastAsia="方正仿宋_GBK" w:cs="Times New Roman"/>
          <w:b/>
          <w:color w:val="auto"/>
          <w:sz w:val="24"/>
          <w:szCs w:val="24"/>
          <w:highlight w:val="none"/>
        </w:rPr>
        <w:t xml:space="preserve">  </w:t>
      </w:r>
      <w:bookmarkStart w:id="142" w:name="_Toc351203489"/>
      <w:r>
        <w:rPr>
          <w:rFonts w:hint="default" w:ascii="Times New Roman" w:hAnsi="Times New Roman" w:eastAsia="方正仿宋_GBK" w:cs="Times New Roman"/>
          <w:b/>
          <w:color w:val="auto"/>
          <w:sz w:val="24"/>
          <w:szCs w:val="24"/>
          <w:highlight w:val="none"/>
        </w:rPr>
        <w:t>九、签订时间</w:t>
      </w:r>
      <w:bookmarkEnd w:id="142"/>
    </w:p>
    <w:p w14:paraId="04084EE5">
      <w:pPr>
        <w:spacing w:line="440" w:lineRule="exact"/>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本合同于</w:t>
      </w:r>
      <w:r>
        <w:rPr>
          <w:rFonts w:hint="default" w:ascii="Times New Roman" w:hAnsi="Times New Roman" w:eastAsia="方正仿宋_GBK" w:cs="Times New Roman"/>
          <w:bCs/>
          <w:color w:val="auto"/>
          <w:sz w:val="24"/>
          <w:szCs w:val="24"/>
          <w:highlight w:val="none"/>
          <w:u w:val="single"/>
        </w:rPr>
        <w:t xml:space="preserve">         </w:t>
      </w:r>
      <w:r>
        <w:rPr>
          <w:rFonts w:hint="default" w:ascii="Times New Roman" w:hAnsi="Times New Roman" w:eastAsia="方正仿宋_GBK" w:cs="Times New Roman"/>
          <w:bCs/>
          <w:color w:val="auto"/>
          <w:sz w:val="24"/>
          <w:szCs w:val="24"/>
          <w:highlight w:val="none"/>
        </w:rPr>
        <w:t>年</w:t>
      </w:r>
      <w:r>
        <w:rPr>
          <w:rFonts w:hint="default" w:ascii="Times New Roman" w:hAnsi="Times New Roman" w:eastAsia="方正仿宋_GBK" w:cs="Times New Roman"/>
          <w:bCs/>
          <w:color w:val="auto"/>
          <w:sz w:val="24"/>
          <w:szCs w:val="24"/>
          <w:highlight w:val="none"/>
          <w:u w:val="single"/>
        </w:rPr>
        <w:t xml:space="preserve">    </w:t>
      </w:r>
      <w:r>
        <w:rPr>
          <w:rFonts w:hint="default" w:ascii="Times New Roman" w:hAnsi="Times New Roman" w:eastAsia="方正仿宋_GBK" w:cs="Times New Roman"/>
          <w:bCs/>
          <w:color w:val="auto"/>
          <w:sz w:val="24"/>
          <w:szCs w:val="24"/>
          <w:highlight w:val="none"/>
        </w:rPr>
        <w:t>月</w:t>
      </w:r>
      <w:r>
        <w:rPr>
          <w:rFonts w:hint="default" w:ascii="Times New Roman" w:hAnsi="Times New Roman" w:eastAsia="方正仿宋_GBK" w:cs="Times New Roman"/>
          <w:bCs/>
          <w:color w:val="auto"/>
          <w:sz w:val="24"/>
          <w:szCs w:val="24"/>
          <w:highlight w:val="none"/>
          <w:u w:val="single"/>
        </w:rPr>
        <w:t xml:space="preserve">    </w:t>
      </w:r>
      <w:r>
        <w:rPr>
          <w:rFonts w:hint="default" w:ascii="Times New Roman" w:hAnsi="Times New Roman" w:eastAsia="方正仿宋_GBK" w:cs="Times New Roman"/>
          <w:bCs/>
          <w:color w:val="auto"/>
          <w:sz w:val="24"/>
          <w:szCs w:val="24"/>
          <w:highlight w:val="none"/>
        </w:rPr>
        <w:t>日签订。</w:t>
      </w:r>
    </w:p>
    <w:p w14:paraId="66BA1E1F">
      <w:pPr>
        <w:spacing w:line="440" w:lineRule="exact"/>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 xml:space="preserve">    </w:t>
      </w:r>
      <w:bookmarkStart w:id="143" w:name="_Toc351203490"/>
      <w:r>
        <w:rPr>
          <w:rFonts w:hint="default" w:ascii="Times New Roman" w:hAnsi="Times New Roman" w:eastAsia="方正仿宋_GBK" w:cs="Times New Roman"/>
          <w:b/>
          <w:color w:val="auto"/>
          <w:sz w:val="24"/>
          <w:szCs w:val="24"/>
          <w:highlight w:val="none"/>
        </w:rPr>
        <w:t>十、签订地点</w:t>
      </w:r>
      <w:bookmarkEnd w:id="143"/>
    </w:p>
    <w:p w14:paraId="38987F57">
      <w:pPr>
        <w:spacing w:line="440" w:lineRule="exact"/>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本合同在</w:t>
      </w:r>
      <w:r>
        <w:rPr>
          <w:rFonts w:hint="default" w:ascii="Times New Roman" w:hAnsi="Times New Roman" w:eastAsia="方正仿宋_GBK" w:cs="Times New Roman"/>
          <w:bCs/>
          <w:color w:val="auto"/>
          <w:sz w:val="24"/>
          <w:szCs w:val="24"/>
          <w:highlight w:val="none"/>
          <w:u w:val="single"/>
        </w:rPr>
        <w:t xml:space="preserve">  </w:t>
      </w:r>
      <w:r>
        <w:rPr>
          <w:rFonts w:hint="default" w:ascii="Times New Roman" w:hAnsi="Times New Roman" w:eastAsia="方正仿宋_GBK" w:cs="Times New Roman"/>
          <w:bCs/>
          <w:color w:val="auto"/>
          <w:sz w:val="24"/>
          <w:szCs w:val="24"/>
          <w:highlight w:val="none"/>
          <w:u w:val="single"/>
          <w:lang w:val="en-US" w:eastAsia="zh-CN"/>
        </w:rPr>
        <w:t>秀山县人民医院</w:t>
      </w:r>
      <w:r>
        <w:rPr>
          <w:rFonts w:hint="default" w:ascii="Times New Roman" w:hAnsi="Times New Roman" w:eastAsia="方正仿宋_GBK" w:cs="Times New Roman"/>
          <w:bCs/>
          <w:color w:val="auto"/>
          <w:sz w:val="24"/>
          <w:szCs w:val="24"/>
          <w:highlight w:val="none"/>
          <w:u w:val="single"/>
        </w:rPr>
        <w:t xml:space="preserve">  </w:t>
      </w:r>
      <w:r>
        <w:rPr>
          <w:rFonts w:hint="default" w:ascii="Times New Roman" w:hAnsi="Times New Roman" w:eastAsia="方正仿宋_GBK" w:cs="Times New Roman"/>
          <w:bCs/>
          <w:color w:val="auto"/>
          <w:sz w:val="24"/>
          <w:szCs w:val="24"/>
          <w:highlight w:val="none"/>
        </w:rPr>
        <w:t>签订。</w:t>
      </w:r>
    </w:p>
    <w:p w14:paraId="4C86000A">
      <w:pPr>
        <w:spacing w:line="440" w:lineRule="exact"/>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 xml:space="preserve">    </w:t>
      </w:r>
      <w:bookmarkStart w:id="144" w:name="_Toc351203491"/>
      <w:r>
        <w:rPr>
          <w:rFonts w:hint="default" w:ascii="Times New Roman" w:hAnsi="Times New Roman" w:eastAsia="方正仿宋_GBK" w:cs="Times New Roman"/>
          <w:b/>
          <w:color w:val="auto"/>
          <w:sz w:val="24"/>
          <w:szCs w:val="24"/>
          <w:highlight w:val="none"/>
        </w:rPr>
        <w:t>十一、补充协议</w:t>
      </w:r>
      <w:bookmarkEnd w:id="144"/>
    </w:p>
    <w:p w14:paraId="717FB09A">
      <w:pPr>
        <w:spacing w:line="440" w:lineRule="exact"/>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Cs/>
          <w:color w:val="auto"/>
          <w:sz w:val="24"/>
          <w:szCs w:val="24"/>
          <w:highlight w:val="none"/>
        </w:rPr>
        <w:t>合同未尽事宜，合同当事人另行签订补充协议，补充协议是合同的组成部分。</w:t>
      </w:r>
    </w:p>
    <w:p w14:paraId="2A87E2A3">
      <w:pPr>
        <w:spacing w:line="440" w:lineRule="exact"/>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 xml:space="preserve">    </w:t>
      </w:r>
      <w:bookmarkStart w:id="145" w:name="_Toc351203492"/>
      <w:r>
        <w:rPr>
          <w:rFonts w:hint="default" w:ascii="Times New Roman" w:hAnsi="Times New Roman" w:eastAsia="方正仿宋_GBK" w:cs="Times New Roman"/>
          <w:b/>
          <w:color w:val="auto"/>
          <w:sz w:val="24"/>
          <w:szCs w:val="24"/>
          <w:highlight w:val="none"/>
        </w:rPr>
        <w:t>十二、合同生效</w:t>
      </w:r>
      <w:bookmarkEnd w:id="145"/>
    </w:p>
    <w:p w14:paraId="4EC5D828">
      <w:pPr>
        <w:spacing w:line="440" w:lineRule="exact"/>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本合同自</w:t>
      </w:r>
      <w:r>
        <w:rPr>
          <w:rFonts w:hint="default" w:ascii="Times New Roman" w:hAnsi="Times New Roman" w:eastAsia="方正仿宋_GBK" w:cs="Times New Roman"/>
          <w:bCs/>
          <w:color w:val="auto"/>
          <w:sz w:val="24"/>
          <w:szCs w:val="24"/>
          <w:highlight w:val="none"/>
          <w:u w:val="single"/>
        </w:rPr>
        <w:t xml:space="preserve">   </w:t>
      </w:r>
      <w:r>
        <w:rPr>
          <w:rFonts w:hint="default" w:ascii="Times New Roman" w:hAnsi="Times New Roman" w:eastAsia="方正仿宋_GBK" w:cs="Times New Roman"/>
          <w:bCs/>
          <w:color w:val="auto"/>
          <w:sz w:val="24"/>
          <w:szCs w:val="24"/>
          <w:highlight w:val="none"/>
          <w:u w:val="single"/>
          <w:lang w:val="en-US" w:eastAsia="zh-CN"/>
        </w:rPr>
        <w:t>签订之日起</w:t>
      </w:r>
      <w:r>
        <w:rPr>
          <w:rFonts w:hint="default" w:ascii="Times New Roman" w:hAnsi="Times New Roman" w:eastAsia="方正仿宋_GBK" w:cs="Times New Roman"/>
          <w:bCs/>
          <w:color w:val="auto"/>
          <w:sz w:val="24"/>
          <w:szCs w:val="24"/>
          <w:highlight w:val="none"/>
          <w:u w:val="single"/>
        </w:rPr>
        <w:t xml:space="preserve">   </w:t>
      </w:r>
      <w:r>
        <w:rPr>
          <w:rFonts w:hint="default" w:ascii="Times New Roman" w:hAnsi="Times New Roman" w:eastAsia="方正仿宋_GBK" w:cs="Times New Roman"/>
          <w:bCs/>
          <w:color w:val="auto"/>
          <w:sz w:val="24"/>
          <w:szCs w:val="24"/>
          <w:highlight w:val="none"/>
        </w:rPr>
        <w:t>生效。</w:t>
      </w:r>
    </w:p>
    <w:p w14:paraId="722B22E9">
      <w:pPr>
        <w:spacing w:line="440" w:lineRule="exact"/>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 xml:space="preserve">    </w:t>
      </w:r>
      <w:bookmarkStart w:id="146" w:name="_Toc351203493"/>
      <w:r>
        <w:rPr>
          <w:rFonts w:hint="default" w:ascii="Times New Roman" w:hAnsi="Times New Roman" w:eastAsia="方正仿宋_GBK" w:cs="Times New Roman"/>
          <w:b/>
          <w:color w:val="auto"/>
          <w:sz w:val="24"/>
          <w:szCs w:val="24"/>
          <w:highlight w:val="none"/>
        </w:rPr>
        <w:t>十三、合同份数</w:t>
      </w:r>
      <w:bookmarkEnd w:id="146"/>
    </w:p>
    <w:p w14:paraId="394AD3BC">
      <w:pPr>
        <w:spacing w:line="440" w:lineRule="exact"/>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本合同一式</w:t>
      </w:r>
      <w:r>
        <w:rPr>
          <w:rFonts w:hint="default" w:ascii="Times New Roman" w:hAnsi="Times New Roman" w:eastAsia="方正仿宋_GBK" w:cs="Times New Roman"/>
          <w:bCs/>
          <w:color w:val="auto"/>
          <w:sz w:val="24"/>
          <w:szCs w:val="24"/>
          <w:highlight w:val="none"/>
          <w:u w:val="single"/>
        </w:rPr>
        <w:t xml:space="preserve">  </w:t>
      </w:r>
      <w:r>
        <w:rPr>
          <w:rFonts w:hint="default" w:ascii="Times New Roman" w:hAnsi="Times New Roman" w:eastAsia="方正仿宋_GBK" w:cs="Times New Roman"/>
          <w:bCs/>
          <w:color w:val="auto"/>
          <w:sz w:val="24"/>
          <w:szCs w:val="24"/>
          <w:highlight w:val="none"/>
          <w:u w:val="single"/>
          <w:lang w:val="en-US" w:eastAsia="zh-CN"/>
        </w:rPr>
        <w:t>肆</w:t>
      </w:r>
      <w:r>
        <w:rPr>
          <w:rFonts w:hint="default" w:ascii="Times New Roman" w:hAnsi="Times New Roman" w:eastAsia="方正仿宋_GBK" w:cs="Times New Roman"/>
          <w:bCs/>
          <w:color w:val="auto"/>
          <w:sz w:val="24"/>
          <w:szCs w:val="24"/>
          <w:highlight w:val="none"/>
          <w:u w:val="single"/>
        </w:rPr>
        <w:t xml:space="preserve">  </w:t>
      </w:r>
      <w:r>
        <w:rPr>
          <w:rFonts w:hint="default" w:ascii="Times New Roman" w:hAnsi="Times New Roman" w:eastAsia="方正仿宋_GBK" w:cs="Times New Roman"/>
          <w:bCs/>
          <w:color w:val="auto"/>
          <w:sz w:val="24"/>
          <w:szCs w:val="24"/>
          <w:highlight w:val="none"/>
        </w:rPr>
        <w:t>份，均具有同等法律效力，发包人执</w:t>
      </w:r>
      <w:r>
        <w:rPr>
          <w:rFonts w:hint="default" w:ascii="Times New Roman" w:hAnsi="Times New Roman" w:eastAsia="方正仿宋_GBK" w:cs="Times New Roman"/>
          <w:bCs/>
          <w:color w:val="auto"/>
          <w:sz w:val="24"/>
          <w:szCs w:val="24"/>
          <w:highlight w:val="none"/>
          <w:u w:val="single"/>
        </w:rPr>
        <w:t xml:space="preserve">  </w:t>
      </w:r>
      <w:r>
        <w:rPr>
          <w:rFonts w:hint="default" w:ascii="Times New Roman" w:hAnsi="Times New Roman" w:eastAsia="方正仿宋_GBK" w:cs="Times New Roman"/>
          <w:bCs/>
          <w:color w:val="auto"/>
          <w:sz w:val="24"/>
          <w:szCs w:val="24"/>
          <w:highlight w:val="none"/>
          <w:u w:val="single"/>
          <w:lang w:val="en-US" w:eastAsia="zh-CN"/>
        </w:rPr>
        <w:t>贰</w:t>
      </w:r>
      <w:r>
        <w:rPr>
          <w:rFonts w:hint="default" w:ascii="Times New Roman" w:hAnsi="Times New Roman" w:eastAsia="方正仿宋_GBK" w:cs="Times New Roman"/>
          <w:bCs/>
          <w:color w:val="auto"/>
          <w:sz w:val="24"/>
          <w:szCs w:val="24"/>
          <w:highlight w:val="none"/>
          <w:u w:val="single"/>
        </w:rPr>
        <w:t xml:space="preserve">  </w:t>
      </w:r>
      <w:r>
        <w:rPr>
          <w:rFonts w:hint="default" w:ascii="Times New Roman" w:hAnsi="Times New Roman" w:eastAsia="方正仿宋_GBK" w:cs="Times New Roman"/>
          <w:bCs/>
          <w:color w:val="auto"/>
          <w:sz w:val="24"/>
          <w:szCs w:val="24"/>
          <w:highlight w:val="none"/>
        </w:rPr>
        <w:t>份，承包人执</w:t>
      </w:r>
      <w:r>
        <w:rPr>
          <w:rFonts w:hint="default" w:ascii="Times New Roman" w:hAnsi="Times New Roman" w:eastAsia="方正仿宋_GBK" w:cs="Times New Roman"/>
          <w:bCs/>
          <w:color w:val="auto"/>
          <w:sz w:val="24"/>
          <w:szCs w:val="24"/>
          <w:highlight w:val="none"/>
          <w:u w:val="single"/>
        </w:rPr>
        <w:t xml:space="preserve">  </w:t>
      </w:r>
      <w:r>
        <w:rPr>
          <w:rFonts w:hint="default" w:ascii="Times New Roman" w:hAnsi="Times New Roman" w:eastAsia="方正仿宋_GBK" w:cs="Times New Roman"/>
          <w:bCs/>
          <w:color w:val="auto"/>
          <w:sz w:val="24"/>
          <w:szCs w:val="24"/>
          <w:highlight w:val="none"/>
          <w:u w:val="single"/>
          <w:lang w:val="en-US" w:eastAsia="zh-CN"/>
        </w:rPr>
        <w:t>贰</w:t>
      </w:r>
      <w:r>
        <w:rPr>
          <w:rFonts w:hint="default" w:ascii="Times New Roman" w:hAnsi="Times New Roman" w:eastAsia="方正仿宋_GBK" w:cs="Times New Roman"/>
          <w:bCs/>
          <w:color w:val="auto"/>
          <w:sz w:val="24"/>
          <w:szCs w:val="24"/>
          <w:highlight w:val="none"/>
          <w:u w:val="single"/>
        </w:rPr>
        <w:t xml:space="preserve">  </w:t>
      </w:r>
      <w:r>
        <w:rPr>
          <w:rFonts w:hint="default" w:ascii="Times New Roman" w:hAnsi="Times New Roman" w:eastAsia="方正仿宋_GBK" w:cs="Times New Roman"/>
          <w:bCs/>
          <w:color w:val="auto"/>
          <w:sz w:val="24"/>
          <w:szCs w:val="24"/>
          <w:highlight w:val="none"/>
        </w:rPr>
        <w:t>份。</w:t>
      </w:r>
    </w:p>
    <w:p w14:paraId="5FF1EBE1">
      <w:pPr>
        <w:spacing w:line="440" w:lineRule="exact"/>
        <w:rPr>
          <w:rFonts w:hint="default" w:ascii="Times New Roman" w:hAnsi="Times New Roman" w:eastAsia="方正仿宋_GBK" w:cs="Times New Roman"/>
          <w:bCs/>
          <w:color w:val="auto"/>
          <w:sz w:val="24"/>
          <w:szCs w:val="24"/>
          <w:highlight w:val="none"/>
        </w:rPr>
      </w:pPr>
    </w:p>
    <w:p w14:paraId="7216643E">
      <w:pPr>
        <w:spacing w:line="400" w:lineRule="exact"/>
        <w:rPr>
          <w:rFonts w:hint="default" w:ascii="Times New Roman" w:hAnsi="Times New Roman" w:eastAsia="方正仿宋_GBK" w:cs="Times New Roman"/>
          <w:color w:val="auto"/>
          <w:sz w:val="24"/>
          <w:szCs w:val="24"/>
          <w:highlight w:val="none"/>
        </w:rPr>
      </w:pPr>
    </w:p>
    <w:p w14:paraId="68B18929">
      <w:pPr>
        <w:spacing w:line="4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发包人：  (公章)                              承包人：  (公章)</w:t>
      </w:r>
    </w:p>
    <w:p w14:paraId="7A7D0210">
      <w:pPr>
        <w:spacing w:line="400" w:lineRule="exact"/>
        <w:rPr>
          <w:rFonts w:hint="default" w:ascii="Times New Roman" w:hAnsi="Times New Roman" w:eastAsia="方正仿宋_GBK" w:cs="Times New Roman"/>
          <w:color w:val="auto"/>
          <w:sz w:val="24"/>
          <w:szCs w:val="24"/>
          <w:highlight w:val="none"/>
          <w:u w:val="single"/>
        </w:rPr>
      </w:pPr>
      <w:r>
        <w:rPr>
          <w:rFonts w:hint="default" w:ascii="Times New Roman" w:hAnsi="Times New Roman" w:eastAsia="方正仿宋_GBK" w:cs="Times New Roman"/>
          <w:color w:val="auto"/>
          <w:sz w:val="24"/>
          <w:szCs w:val="24"/>
          <w:highlight w:val="none"/>
        </w:rPr>
        <w:t xml:space="preserve">                                 </w:t>
      </w:r>
    </w:p>
    <w:p w14:paraId="2FBC1990">
      <w:pPr>
        <w:spacing w:line="4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法定代表人或其委托代理人：                    法定代表人或其委托代理人：</w:t>
      </w:r>
    </w:p>
    <w:p w14:paraId="1068AFD1">
      <w:pPr>
        <w:spacing w:line="4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（签字）                                      （签字）</w:t>
      </w:r>
    </w:p>
    <w:p w14:paraId="48F06E5F">
      <w:pPr>
        <w:spacing w:line="400" w:lineRule="exact"/>
        <w:rPr>
          <w:rFonts w:hint="default" w:ascii="Times New Roman" w:hAnsi="Times New Roman" w:eastAsia="方正仿宋_GBK" w:cs="Times New Roman"/>
          <w:color w:val="auto"/>
          <w:sz w:val="24"/>
          <w:szCs w:val="24"/>
          <w:highlight w:val="none"/>
          <w:u w:val="single"/>
        </w:rPr>
      </w:pPr>
    </w:p>
    <w:p w14:paraId="66311D48">
      <w:pPr>
        <w:spacing w:line="4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地  址：</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                  地  址：</w:t>
      </w:r>
      <w:r>
        <w:rPr>
          <w:rFonts w:hint="default" w:ascii="Times New Roman" w:hAnsi="Times New Roman" w:eastAsia="方正仿宋_GBK" w:cs="Times New Roman"/>
          <w:color w:val="auto"/>
          <w:sz w:val="24"/>
          <w:szCs w:val="24"/>
          <w:highlight w:val="none"/>
          <w:u w:val="single"/>
        </w:rPr>
        <w:t xml:space="preserve">      </w:t>
      </w:r>
    </w:p>
    <w:p w14:paraId="42820DA9">
      <w:pPr>
        <w:spacing w:line="4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邮政编码：</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                      邮政编码：</w:t>
      </w:r>
      <w:r>
        <w:rPr>
          <w:rFonts w:hint="default" w:ascii="Times New Roman" w:hAnsi="Times New Roman" w:eastAsia="方正仿宋_GBK" w:cs="Times New Roman"/>
          <w:color w:val="auto"/>
          <w:sz w:val="24"/>
          <w:szCs w:val="24"/>
          <w:highlight w:val="none"/>
          <w:u w:val="single"/>
        </w:rPr>
        <w:t xml:space="preserve">  </w:t>
      </w:r>
    </w:p>
    <w:p w14:paraId="247E8C7C">
      <w:pPr>
        <w:spacing w:line="4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法定代表人：</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                   法定代表人：</w:t>
      </w:r>
      <w:r>
        <w:rPr>
          <w:rFonts w:hint="default" w:ascii="Times New Roman" w:hAnsi="Times New Roman" w:eastAsia="方正仿宋_GBK" w:cs="Times New Roman"/>
          <w:color w:val="auto"/>
          <w:sz w:val="24"/>
          <w:szCs w:val="24"/>
          <w:highlight w:val="none"/>
          <w:u w:val="single"/>
        </w:rPr>
        <w:t xml:space="preserve">     </w:t>
      </w:r>
    </w:p>
    <w:p w14:paraId="38E956A9">
      <w:pPr>
        <w:spacing w:line="4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委托代理人：</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              委托代理人：</w:t>
      </w:r>
      <w:r>
        <w:rPr>
          <w:rFonts w:hint="default" w:ascii="Times New Roman" w:hAnsi="Times New Roman" w:eastAsia="方正仿宋_GBK" w:cs="Times New Roman"/>
          <w:color w:val="auto"/>
          <w:sz w:val="24"/>
          <w:szCs w:val="24"/>
          <w:highlight w:val="none"/>
          <w:u w:val="single"/>
        </w:rPr>
        <w:t xml:space="preserve">             </w:t>
      </w:r>
    </w:p>
    <w:p w14:paraId="52FBCD92">
      <w:pPr>
        <w:spacing w:line="4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电  话：</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                          电  话：</w:t>
      </w:r>
      <w:r>
        <w:rPr>
          <w:rFonts w:hint="default" w:ascii="Times New Roman" w:hAnsi="Times New Roman" w:eastAsia="方正仿宋_GBK" w:cs="Times New Roman"/>
          <w:color w:val="auto"/>
          <w:sz w:val="24"/>
          <w:szCs w:val="24"/>
          <w:highlight w:val="none"/>
          <w:u w:val="single"/>
        </w:rPr>
        <w:t xml:space="preserve">     </w:t>
      </w:r>
    </w:p>
    <w:p w14:paraId="782BA06A">
      <w:pPr>
        <w:spacing w:line="4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传  真：</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                          传  真：</w:t>
      </w:r>
      <w:r>
        <w:rPr>
          <w:rFonts w:hint="default" w:ascii="Times New Roman" w:hAnsi="Times New Roman" w:eastAsia="方正仿宋_GBK" w:cs="Times New Roman"/>
          <w:color w:val="auto"/>
          <w:sz w:val="24"/>
          <w:szCs w:val="24"/>
          <w:highlight w:val="none"/>
          <w:u w:val="single"/>
        </w:rPr>
        <w:t xml:space="preserve">   </w:t>
      </w:r>
    </w:p>
    <w:p w14:paraId="00767C8A">
      <w:pPr>
        <w:spacing w:line="4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电子信箱：</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          电子信箱：</w:t>
      </w:r>
      <w:r>
        <w:rPr>
          <w:rFonts w:hint="default" w:ascii="Times New Roman" w:hAnsi="Times New Roman" w:eastAsia="方正仿宋_GBK" w:cs="Times New Roman"/>
          <w:color w:val="auto"/>
          <w:sz w:val="24"/>
          <w:szCs w:val="24"/>
          <w:highlight w:val="none"/>
          <w:u w:val="single"/>
        </w:rPr>
        <w:t xml:space="preserve">   </w:t>
      </w:r>
    </w:p>
    <w:p w14:paraId="0AB59873">
      <w:pPr>
        <w:spacing w:line="4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开户银行：</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                         开户银行：</w:t>
      </w:r>
      <w:r>
        <w:rPr>
          <w:rFonts w:hint="default" w:ascii="Times New Roman" w:hAnsi="Times New Roman" w:eastAsia="方正仿宋_GBK" w:cs="Times New Roman"/>
          <w:color w:val="auto"/>
          <w:sz w:val="24"/>
          <w:szCs w:val="24"/>
          <w:highlight w:val="none"/>
          <w:u w:val="single"/>
        </w:rPr>
        <w:t xml:space="preserve">   </w:t>
      </w:r>
    </w:p>
    <w:p w14:paraId="43F491D3">
      <w:pPr>
        <w:spacing w:line="400" w:lineRule="exact"/>
        <w:rPr>
          <w:rFonts w:hint="default" w:ascii="Times New Roman" w:hAnsi="Times New Roman" w:eastAsia="方正仿宋_GBK" w:cs="Times New Roman"/>
          <w:color w:val="auto"/>
          <w:sz w:val="24"/>
          <w:szCs w:val="24"/>
          <w:highlight w:val="none"/>
          <w:u w:val="single"/>
        </w:rPr>
      </w:pPr>
      <w:r>
        <w:rPr>
          <w:rFonts w:hint="default" w:ascii="Times New Roman" w:hAnsi="Times New Roman" w:eastAsia="方正仿宋_GBK" w:cs="Times New Roman"/>
          <w:color w:val="auto"/>
          <w:sz w:val="24"/>
          <w:szCs w:val="24"/>
          <w:highlight w:val="none"/>
        </w:rPr>
        <w:t>账  号：</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                       账  号：</w:t>
      </w:r>
      <w:r>
        <w:rPr>
          <w:rFonts w:hint="default" w:ascii="Times New Roman" w:hAnsi="Times New Roman" w:eastAsia="方正仿宋_GBK" w:cs="Times New Roman"/>
          <w:color w:val="auto"/>
          <w:sz w:val="24"/>
          <w:szCs w:val="24"/>
          <w:highlight w:val="none"/>
          <w:u w:val="single"/>
        </w:rPr>
        <w:t xml:space="preserve">     </w:t>
      </w:r>
    </w:p>
    <w:p w14:paraId="66A515D2">
      <w:pPr>
        <w:pStyle w:val="3"/>
        <w:spacing w:before="0" w:after="0" w:line="500" w:lineRule="exact"/>
        <w:ind w:left="1140" w:firstLine="2409" w:firstLineChars="1000"/>
        <w:jc w:val="both"/>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u w:val="single"/>
        </w:rPr>
        <w:br w:type="page"/>
      </w:r>
      <w:bookmarkStart w:id="147" w:name="_Toc351203494"/>
      <w:bookmarkStart w:id="148" w:name="_Toc54861172"/>
      <w:bookmarkStart w:id="149" w:name="_Toc27378"/>
      <w:bookmarkStart w:id="150" w:name="_Toc34472396"/>
      <w:bookmarkStart w:id="151" w:name="_Toc529186482"/>
      <w:bookmarkStart w:id="152" w:name="_Toc13381854"/>
      <w:r>
        <w:rPr>
          <w:rFonts w:hint="default" w:ascii="Times New Roman" w:hAnsi="Times New Roman" w:eastAsia="方正仿宋_GBK" w:cs="Times New Roman"/>
          <w:color w:val="auto"/>
          <w:sz w:val="28"/>
          <w:szCs w:val="28"/>
          <w:highlight w:val="none"/>
        </w:rPr>
        <w:t>第二节 通用合同条款</w:t>
      </w:r>
      <w:bookmarkEnd w:id="147"/>
      <w:bookmarkEnd w:id="148"/>
      <w:bookmarkEnd w:id="149"/>
      <w:bookmarkEnd w:id="150"/>
      <w:bookmarkEnd w:id="151"/>
      <w:bookmarkEnd w:id="152"/>
      <w:bookmarkStart w:id="153" w:name="_Toc337558727"/>
    </w:p>
    <w:bookmarkEnd w:id="153"/>
    <w:p w14:paraId="6C33FA31">
      <w:pPr>
        <w:snapToGrid w:val="0"/>
        <w:spacing w:line="360" w:lineRule="auto"/>
        <w:ind w:firstLine="424" w:firstLineChars="201"/>
        <w:rPr>
          <w:rFonts w:hint="default" w:ascii="Times New Roman" w:hAnsi="Times New Roman" w:eastAsia="方正仿宋_GBK" w:cs="Times New Roman"/>
          <w:b/>
          <w:color w:val="auto"/>
          <w:sz w:val="21"/>
          <w:szCs w:val="21"/>
          <w:highlight w:val="none"/>
        </w:rPr>
      </w:pPr>
    </w:p>
    <w:p w14:paraId="3D331E38">
      <w:pPr>
        <w:snapToGrid w:val="0"/>
        <w:spacing w:line="360" w:lineRule="auto"/>
        <w:ind w:firstLine="484" w:firstLineChars="201"/>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通用合同条款直接采用中华人民共和国住房和城乡建设部与国家工商行政管理总局联合制定的《建设工程施工合同》（GF-2013-0201）示范文本第二章《通用合同条款》。</w:t>
      </w:r>
      <w:bookmarkStart w:id="154" w:name="_Toc351203632"/>
    </w:p>
    <w:p w14:paraId="2E2DA66F">
      <w:pPr>
        <w:snapToGrid w:val="0"/>
        <w:spacing w:line="360" w:lineRule="auto"/>
        <w:ind w:firstLine="424" w:firstLineChars="201"/>
        <w:rPr>
          <w:rFonts w:hint="default" w:ascii="Times New Roman" w:hAnsi="Times New Roman" w:eastAsia="方正仿宋_GBK" w:cs="Times New Roman"/>
          <w:b/>
          <w:color w:val="auto"/>
          <w:sz w:val="21"/>
          <w:szCs w:val="21"/>
          <w:highlight w:val="none"/>
        </w:rPr>
      </w:pPr>
    </w:p>
    <w:p w14:paraId="2F9C2C4F">
      <w:pPr>
        <w:pStyle w:val="3"/>
        <w:spacing w:before="0" w:after="0" w:line="500" w:lineRule="exact"/>
        <w:ind w:left="1140" w:firstLine="2108" w:firstLineChars="1000"/>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1"/>
          <w:szCs w:val="21"/>
          <w:highlight w:val="none"/>
        </w:rPr>
        <w:br w:type="page"/>
      </w:r>
      <w:bookmarkStart w:id="155" w:name="_Toc54861173"/>
      <w:bookmarkStart w:id="156" w:name="_Toc22027"/>
      <w:r>
        <w:rPr>
          <w:rFonts w:hint="default" w:ascii="Times New Roman" w:hAnsi="Times New Roman" w:eastAsia="方正仿宋_GBK" w:cs="Times New Roman"/>
          <w:color w:val="auto"/>
          <w:sz w:val="28"/>
          <w:szCs w:val="28"/>
          <w:highlight w:val="none"/>
        </w:rPr>
        <w:t xml:space="preserve">第三节 </w:t>
      </w:r>
      <w:bookmarkStart w:id="157" w:name="_Toc529186483"/>
      <w:r>
        <w:rPr>
          <w:rFonts w:hint="default" w:ascii="Times New Roman" w:hAnsi="Times New Roman" w:eastAsia="方正仿宋_GBK" w:cs="Times New Roman"/>
          <w:color w:val="auto"/>
          <w:sz w:val="28"/>
          <w:szCs w:val="28"/>
          <w:highlight w:val="none"/>
        </w:rPr>
        <w:t>专用合同条款</w:t>
      </w:r>
      <w:bookmarkEnd w:id="155"/>
      <w:bookmarkEnd w:id="156"/>
      <w:bookmarkEnd w:id="157"/>
    </w:p>
    <w:p w14:paraId="2E277637">
      <w:pPr>
        <w:rPr>
          <w:rFonts w:hint="default" w:ascii="Times New Roman" w:hAnsi="Times New Roman" w:eastAsia="方正仿宋_GBK" w:cs="Times New Roman"/>
          <w:color w:val="auto"/>
          <w:highlight w:val="none"/>
        </w:rPr>
      </w:pPr>
    </w:p>
    <w:bookmarkEnd w:id="154"/>
    <w:p w14:paraId="24B15044">
      <w:pPr>
        <w:snapToGrid w:val="0"/>
        <w:spacing w:line="360" w:lineRule="auto"/>
        <w:rPr>
          <w:rFonts w:hint="default" w:ascii="Times New Roman" w:hAnsi="Times New Roman" w:eastAsia="方正仿宋_GBK" w:cs="Times New Roman"/>
          <w:b/>
          <w:color w:val="auto"/>
          <w:kern w:val="0"/>
          <w:sz w:val="21"/>
          <w:szCs w:val="21"/>
          <w:highlight w:val="none"/>
        </w:rPr>
      </w:pPr>
      <w:bookmarkStart w:id="158" w:name="_Toc518391409"/>
      <w:bookmarkStart w:id="159" w:name="_Toc516756958"/>
      <w:bookmarkStart w:id="160" w:name="_Toc351203633"/>
      <w:bookmarkStart w:id="161" w:name="_Toc485992734"/>
      <w:bookmarkStart w:id="162" w:name="_Toc433623103"/>
      <w:r>
        <w:rPr>
          <w:rFonts w:hint="default" w:ascii="Times New Roman" w:hAnsi="Times New Roman" w:eastAsia="方正仿宋_GBK" w:cs="Times New Roman"/>
          <w:b/>
          <w:color w:val="auto"/>
          <w:kern w:val="0"/>
          <w:sz w:val="21"/>
          <w:szCs w:val="21"/>
          <w:highlight w:val="none"/>
        </w:rPr>
        <w:t>1</w:t>
      </w:r>
      <w:bookmarkStart w:id="163" w:name="_Toc296503156"/>
      <w:bookmarkStart w:id="164" w:name="_Toc296346657"/>
      <w:bookmarkStart w:id="165" w:name="_Toc296944495"/>
      <w:bookmarkStart w:id="166" w:name="_Toc297048342"/>
      <w:bookmarkStart w:id="167" w:name="_Toc296347155"/>
      <w:bookmarkStart w:id="168" w:name="_Toc296890984"/>
      <w:bookmarkStart w:id="169" w:name="_Toc296891196"/>
      <w:bookmarkStart w:id="170" w:name="_Toc292559361"/>
      <w:bookmarkStart w:id="171" w:name="_Toc292559866"/>
      <w:bookmarkStart w:id="172" w:name="_Toc297120456"/>
      <w:r>
        <w:rPr>
          <w:rFonts w:hint="default" w:ascii="Times New Roman" w:hAnsi="Times New Roman" w:eastAsia="方正仿宋_GBK" w:cs="Times New Roman"/>
          <w:b/>
          <w:color w:val="auto"/>
          <w:kern w:val="0"/>
          <w:sz w:val="21"/>
          <w:szCs w:val="21"/>
          <w:highlight w:val="none"/>
        </w:rPr>
        <w:t>. 一般约定</w:t>
      </w:r>
      <w:bookmarkEnd w:id="158"/>
      <w:bookmarkEnd w:id="159"/>
      <w:bookmarkEnd w:id="160"/>
      <w:bookmarkEnd w:id="161"/>
      <w:bookmarkEnd w:id="162"/>
    </w:p>
    <w:bookmarkEnd w:id="163"/>
    <w:bookmarkEnd w:id="164"/>
    <w:bookmarkEnd w:id="165"/>
    <w:bookmarkEnd w:id="166"/>
    <w:bookmarkEnd w:id="167"/>
    <w:bookmarkEnd w:id="168"/>
    <w:bookmarkEnd w:id="169"/>
    <w:bookmarkEnd w:id="170"/>
    <w:bookmarkEnd w:id="171"/>
    <w:bookmarkEnd w:id="172"/>
    <w:p w14:paraId="041092E4">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1.1 </w:t>
      </w:r>
      <w:r>
        <w:rPr>
          <w:rFonts w:hint="default" w:ascii="Times New Roman" w:hAnsi="Times New Roman" w:eastAsia="方正仿宋_GBK" w:cs="Times New Roman"/>
          <w:color w:val="auto"/>
          <w:kern w:val="0"/>
          <w:sz w:val="21"/>
          <w:szCs w:val="21"/>
          <w:highlight w:val="none"/>
        </w:rPr>
        <w:t>词语定义</w:t>
      </w:r>
    </w:p>
    <w:p w14:paraId="12C90922">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1.1.1 合同</w:t>
      </w:r>
    </w:p>
    <w:p w14:paraId="43B377FD">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1.1.1.6技术标准和要求：本目中的技术标准和要求是指技术规范，即合同所约定的技术标准和要求，是合同文件的组成部分。通用合同条款中“技术标准和要求”一词具有相同含义，包括合同双方当事人约定对其所作的修改或补充。</w:t>
      </w:r>
    </w:p>
    <w:p w14:paraId="77961056">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1.1.1.8 已标价工程量清单：指构成合同的由承包人按照发包人规定的格式和要求填写并标明价格、经算术性错误修订及其他错误修订（如有）且承包人已确认的工程量清单。</w:t>
      </w:r>
    </w:p>
    <w:p w14:paraId="12A00CDA">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1.1.1.10 其他合同文件包括：按照合同协议书〔第六条〕约定执行。</w:t>
      </w:r>
    </w:p>
    <w:p w14:paraId="0EEB28E3">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本项补充1.1.1.11～1.1.1.14目：</w:t>
      </w:r>
    </w:p>
    <w:p w14:paraId="5E49A435">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1.1.1.11 </w:t>
      </w:r>
      <w:r>
        <w:rPr>
          <w:rFonts w:hint="default" w:ascii="Times New Roman" w:hAnsi="Times New Roman" w:eastAsia="方正仿宋_GBK" w:cs="Times New Roman"/>
          <w:color w:val="auto"/>
          <w:sz w:val="21"/>
          <w:szCs w:val="21"/>
          <w:highlight w:val="none"/>
          <w:lang w:eastAsia="zh-CN"/>
        </w:rPr>
        <w:t>竞采文件</w:t>
      </w:r>
      <w:r>
        <w:rPr>
          <w:rFonts w:hint="default" w:ascii="Times New Roman" w:hAnsi="Times New Roman" w:eastAsia="方正仿宋_GBK" w:cs="Times New Roman"/>
          <w:color w:val="auto"/>
          <w:sz w:val="21"/>
          <w:szCs w:val="21"/>
          <w:highlight w:val="none"/>
        </w:rPr>
        <w:t>：指本工程的</w:t>
      </w:r>
      <w:r>
        <w:rPr>
          <w:rFonts w:hint="default" w:ascii="Times New Roman" w:hAnsi="Times New Roman" w:eastAsia="方正仿宋_GBK" w:cs="Times New Roman"/>
          <w:color w:val="auto"/>
          <w:sz w:val="21"/>
          <w:szCs w:val="21"/>
          <w:highlight w:val="none"/>
          <w:lang w:eastAsia="zh-CN"/>
        </w:rPr>
        <w:t>竞采文件</w:t>
      </w:r>
      <w:r>
        <w:rPr>
          <w:rFonts w:hint="default" w:ascii="Times New Roman" w:hAnsi="Times New Roman" w:eastAsia="方正仿宋_GBK" w:cs="Times New Roman"/>
          <w:color w:val="auto"/>
          <w:sz w:val="21"/>
          <w:szCs w:val="21"/>
          <w:highlight w:val="none"/>
        </w:rPr>
        <w:t>、图纸、其他技术资料及</w:t>
      </w:r>
      <w:r>
        <w:rPr>
          <w:rFonts w:hint="default" w:ascii="Times New Roman" w:hAnsi="Times New Roman" w:eastAsia="方正仿宋_GBK" w:cs="Times New Roman"/>
          <w:color w:val="auto"/>
          <w:sz w:val="21"/>
          <w:szCs w:val="21"/>
          <w:highlight w:val="none"/>
          <w:lang w:eastAsia="zh-CN"/>
        </w:rPr>
        <w:t>采购人</w:t>
      </w:r>
      <w:r>
        <w:rPr>
          <w:rFonts w:hint="default" w:ascii="Times New Roman" w:hAnsi="Times New Roman" w:eastAsia="方正仿宋_GBK" w:cs="Times New Roman"/>
          <w:color w:val="auto"/>
          <w:sz w:val="21"/>
          <w:szCs w:val="21"/>
          <w:highlight w:val="none"/>
        </w:rPr>
        <w:t>发出的对</w:t>
      </w:r>
      <w:r>
        <w:rPr>
          <w:rFonts w:hint="default" w:ascii="Times New Roman" w:hAnsi="Times New Roman" w:eastAsia="方正仿宋_GBK" w:cs="Times New Roman"/>
          <w:color w:val="auto"/>
          <w:sz w:val="21"/>
          <w:szCs w:val="21"/>
          <w:highlight w:val="none"/>
          <w:lang w:eastAsia="zh-CN"/>
        </w:rPr>
        <w:t>竞采文件</w:t>
      </w:r>
      <w:r>
        <w:rPr>
          <w:rFonts w:hint="default" w:ascii="Times New Roman" w:hAnsi="Times New Roman" w:eastAsia="方正仿宋_GBK" w:cs="Times New Roman"/>
          <w:color w:val="auto"/>
          <w:sz w:val="21"/>
          <w:szCs w:val="21"/>
          <w:highlight w:val="none"/>
        </w:rPr>
        <w:t>所作的澄清、修改、补遗等资料。</w:t>
      </w:r>
    </w:p>
    <w:p w14:paraId="5A251535">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1.1.1.12 工作：指根据合同条款规定，或根据合同合理推及的，为本工程（包括永久工程和临时工程）施工与维护所需要的管理、劳务、材料、施工设备和其他物品的提供。</w:t>
      </w:r>
    </w:p>
    <w:p w14:paraId="7EC1E3DF">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1.1.1.13 重大设计变更：按照规定需要重新报建设行政主管部门批准的设计变更。</w:t>
      </w:r>
    </w:p>
    <w:p w14:paraId="164C7D30">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1.1.1.14 公章：专指法定单位名称章。</w:t>
      </w:r>
    </w:p>
    <w:p w14:paraId="7EB6BFC3">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1.1.1.15 到岗：指承包人按照到岗履职承诺安排满足办理施工许可手续相关要求的项目主要管理人员实际到施工现场就职履约的行为。</w:t>
      </w:r>
    </w:p>
    <w:p w14:paraId="4F0CBED3">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1.1.1.16 项目法人：指具有民事权利能力和民事行为能力，依法独立享有民事权利和承担民事义务，以建设项目为目的，从事项目管理的机构、单位或组织。</w:t>
      </w:r>
    </w:p>
    <w:p w14:paraId="76933620">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1.1.2 合同当事人及其他相关方</w:t>
      </w:r>
    </w:p>
    <w:p w14:paraId="00927EB4">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1.1.2.4监理人：</w:t>
      </w:r>
    </w:p>
    <w:p w14:paraId="0994D07D">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名    称：</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4D03042F">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资质类别和等级：</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57A7DD74">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联系电话：</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11A515F7">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电子信箱：</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740A0B2E">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通信地址：</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04CE3C3B">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1.1.2.5 设计人：</w:t>
      </w:r>
    </w:p>
    <w:p w14:paraId="6680BCF4">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名    称：</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2CED8154">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资质类别和等级：</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271D3886">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联系电话：</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5E061523">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电子信箱：</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21608998">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通信地址：</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61A43409">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1.1.3 工程和设备</w:t>
      </w:r>
    </w:p>
    <w:p w14:paraId="1B655A1B">
      <w:pPr>
        <w:snapToGrid w:val="0"/>
        <w:spacing w:line="360" w:lineRule="auto"/>
        <w:ind w:firstLine="420" w:firstLineChars="20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1.1.3.7 作为施工现场组成部分的其他场所包括：</w:t>
      </w:r>
      <w:r>
        <w:rPr>
          <w:rFonts w:hint="default" w:ascii="Times New Roman" w:hAnsi="Times New Roman" w:eastAsia="方正仿宋_GBK" w:cs="Times New Roman"/>
          <w:color w:val="auto"/>
          <w:sz w:val="21"/>
          <w:szCs w:val="21"/>
          <w:highlight w:val="none"/>
          <w:u w:val="single"/>
        </w:rPr>
        <w:t>施工现场现状。</w:t>
      </w:r>
    </w:p>
    <w:p w14:paraId="72790925">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1.1.3.9 永久占地包括：</w:t>
      </w:r>
      <w:r>
        <w:rPr>
          <w:rFonts w:hint="default" w:ascii="Times New Roman" w:hAnsi="Times New Roman" w:eastAsia="方正仿宋_GBK" w:cs="Times New Roman"/>
          <w:color w:val="auto"/>
          <w:sz w:val="21"/>
          <w:szCs w:val="21"/>
          <w:highlight w:val="none"/>
          <w:u w:val="single"/>
        </w:rPr>
        <w:t xml:space="preserve"> 由发包人提供相关图纸 </w:t>
      </w:r>
      <w:r>
        <w:rPr>
          <w:rFonts w:hint="default" w:ascii="Times New Roman" w:hAnsi="Times New Roman" w:eastAsia="方正仿宋_GBK" w:cs="Times New Roman"/>
          <w:color w:val="auto"/>
          <w:kern w:val="0"/>
          <w:sz w:val="21"/>
          <w:szCs w:val="21"/>
          <w:highlight w:val="none"/>
        </w:rPr>
        <w:t>。</w:t>
      </w:r>
    </w:p>
    <w:p w14:paraId="58FF60EE">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kern w:val="0"/>
          <w:sz w:val="21"/>
          <w:szCs w:val="21"/>
          <w:highlight w:val="none"/>
        </w:rPr>
        <w:t>1.1.3.10 临时占地包括：</w:t>
      </w:r>
      <w:r>
        <w:rPr>
          <w:rFonts w:hint="default" w:ascii="Times New Roman" w:hAnsi="Times New Roman" w:eastAsia="方正仿宋_GBK" w:cs="Times New Roman"/>
          <w:color w:val="auto"/>
          <w:sz w:val="21"/>
          <w:szCs w:val="21"/>
          <w:highlight w:val="none"/>
          <w:u w:val="single"/>
        </w:rPr>
        <w:t xml:space="preserve">由发包人提供相关图纸 </w:t>
      </w:r>
      <w:r>
        <w:rPr>
          <w:rFonts w:hint="default" w:ascii="Times New Roman" w:hAnsi="Times New Roman" w:eastAsia="方正仿宋_GBK" w:cs="Times New Roman"/>
          <w:color w:val="auto"/>
          <w:kern w:val="0"/>
          <w:sz w:val="21"/>
          <w:szCs w:val="21"/>
          <w:highlight w:val="none"/>
        </w:rPr>
        <w:t>。</w:t>
      </w:r>
    </w:p>
    <w:p w14:paraId="556920B5">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1.3法律 </w:t>
      </w:r>
    </w:p>
    <w:p w14:paraId="6502E35C">
      <w:pPr>
        <w:autoSpaceDE w:val="0"/>
        <w:autoSpaceDN w:val="0"/>
        <w:adjustRightInd w:val="0"/>
        <w:snapToGrid w:val="0"/>
        <w:spacing w:line="360" w:lineRule="auto"/>
        <w:ind w:left="795" w:leftChars="284"/>
        <w:jc w:val="left"/>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适用于合同的其他规范性文件：</w:t>
      </w:r>
      <w:r>
        <w:rPr>
          <w:rFonts w:hint="default" w:ascii="Times New Roman" w:hAnsi="Times New Roman" w:eastAsia="方正仿宋_GBK" w:cs="Times New Roman"/>
          <w:color w:val="auto"/>
          <w:sz w:val="21"/>
          <w:szCs w:val="21"/>
          <w:highlight w:val="none"/>
          <w:u w:val="single"/>
        </w:rPr>
        <w:t xml:space="preserve"> 相关法律法规   </w:t>
      </w:r>
    </w:p>
    <w:p w14:paraId="637E60BC">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1.4 标准和规范</w:t>
      </w:r>
    </w:p>
    <w:p w14:paraId="4579BCFE">
      <w:pPr>
        <w:snapToGrid w:val="0"/>
        <w:spacing w:line="360" w:lineRule="auto"/>
        <w:ind w:left="795" w:leftChars="284"/>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1.4.1适用于工程的标准规范包括：</w:t>
      </w:r>
    </w:p>
    <w:p w14:paraId="6DE87A8C">
      <w:pPr>
        <w:snapToGrid w:val="0"/>
        <w:spacing w:line="360" w:lineRule="auto"/>
        <w:ind w:left="795" w:leftChars="284"/>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u w:val="single"/>
        </w:rPr>
        <w:t>（1）施工图所涉及的技术标准、规范、规程、图集等；</w:t>
      </w:r>
    </w:p>
    <w:p w14:paraId="54571C74">
      <w:pPr>
        <w:snapToGrid w:val="0"/>
        <w:spacing w:line="360" w:lineRule="auto"/>
        <w:ind w:left="795" w:leftChars="284"/>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u w:val="single"/>
        </w:rPr>
        <w:t>（2）国家、行业或重庆市与本工程有关的标准，以及相应的规范、规程等，当这些标准、规范、规程不一致时，以标准、规范、规程要求最高的为准。</w:t>
      </w:r>
    </w:p>
    <w:p w14:paraId="3B0DDEE4">
      <w:pPr>
        <w:snapToGrid w:val="0"/>
        <w:spacing w:line="360" w:lineRule="auto"/>
        <w:ind w:left="795" w:leftChars="284"/>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u w:val="single"/>
        </w:rPr>
        <w:t xml:space="preserve">（3）    </w:t>
      </w:r>
      <w:r>
        <w:rPr>
          <w:rFonts w:hint="default" w:ascii="Times New Roman" w:hAnsi="Times New Roman" w:eastAsia="方正仿宋_GBK" w:cs="Times New Roman"/>
          <w:color w:val="auto"/>
          <w:sz w:val="21"/>
          <w:szCs w:val="21"/>
          <w:highlight w:val="none"/>
          <w:u w:val="single"/>
          <w:lang w:val="en-US" w:eastAsia="zh-CN"/>
        </w:rPr>
        <w:t>/</w:t>
      </w:r>
      <w:r>
        <w:rPr>
          <w:rFonts w:hint="default" w:ascii="Times New Roman" w:hAnsi="Times New Roman" w:eastAsia="方正仿宋_GBK" w:cs="Times New Roman"/>
          <w:color w:val="auto"/>
          <w:sz w:val="21"/>
          <w:szCs w:val="21"/>
          <w:highlight w:val="none"/>
          <w:u w:val="single"/>
        </w:rPr>
        <w:t xml:space="preserve">    。 </w:t>
      </w:r>
    </w:p>
    <w:p w14:paraId="422684A5">
      <w:pPr>
        <w:snapToGrid w:val="0"/>
        <w:spacing w:line="360" w:lineRule="auto"/>
        <w:ind w:left="795" w:leftChars="284"/>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1.4.2 发包人提供国外标准、规范的名称：</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highlight w:val="none"/>
          <w:u w:val="single"/>
        </w:rPr>
        <w:t>/</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5C690FC4">
      <w:pPr>
        <w:snapToGrid w:val="0"/>
        <w:spacing w:line="360" w:lineRule="auto"/>
        <w:ind w:left="795" w:leftChars="284"/>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发包人提供国外标准、规范的份数：</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highlight w:val="none"/>
          <w:u w:val="single"/>
        </w:rPr>
        <w:t>/</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30862C5F">
      <w:pPr>
        <w:snapToGrid w:val="0"/>
        <w:spacing w:line="360" w:lineRule="auto"/>
        <w:ind w:left="795" w:leftChars="284"/>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发包人提供国外标准、规范的名称：</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highlight w:val="none"/>
          <w:u w:val="single"/>
        </w:rPr>
        <w:t>/</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3258F18B">
      <w:pPr>
        <w:snapToGrid w:val="0"/>
        <w:spacing w:line="360" w:lineRule="auto"/>
        <w:ind w:left="795" w:leftChars="284"/>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1.4.3发包人对工程的技术标准和功能要求的特殊要求：</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highlight w:val="none"/>
          <w:u w:val="single"/>
        </w:rPr>
        <w:t>/</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4D048A0E">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1.5 </w:t>
      </w:r>
      <w:r>
        <w:rPr>
          <w:rFonts w:hint="default" w:ascii="Times New Roman" w:hAnsi="Times New Roman" w:eastAsia="方正仿宋_GBK" w:cs="Times New Roman"/>
          <w:color w:val="auto"/>
          <w:kern w:val="0"/>
          <w:sz w:val="21"/>
          <w:szCs w:val="21"/>
          <w:highlight w:val="none"/>
        </w:rPr>
        <w:t>合同文件的优先顺序</w:t>
      </w:r>
    </w:p>
    <w:p w14:paraId="405D7FCA">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合同文件组成及优先顺序为：</w:t>
      </w:r>
    </w:p>
    <w:p w14:paraId="4691CA12">
      <w:pPr>
        <w:autoSpaceDE w:val="0"/>
        <w:autoSpaceDN w:val="0"/>
        <w:adjustRightInd w:val="0"/>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w:t>
      </w:r>
      <w:r>
        <w:rPr>
          <w:rFonts w:hint="default" w:ascii="Times New Roman" w:hAnsi="Times New Roman" w:eastAsia="方正仿宋_GBK" w:cs="Times New Roman"/>
          <w:color w:val="auto"/>
          <w:sz w:val="21"/>
          <w:szCs w:val="21"/>
          <w:highlight w:val="none"/>
          <w:lang w:eastAsia="zh-CN"/>
        </w:rPr>
        <w:t>成交</w:t>
      </w:r>
      <w:r>
        <w:rPr>
          <w:rFonts w:hint="default" w:ascii="Times New Roman" w:hAnsi="Times New Roman" w:eastAsia="方正仿宋_GBK" w:cs="Times New Roman"/>
          <w:color w:val="auto"/>
          <w:sz w:val="21"/>
          <w:szCs w:val="21"/>
          <w:highlight w:val="none"/>
        </w:rPr>
        <w:t>通知书；</w:t>
      </w:r>
    </w:p>
    <w:p w14:paraId="37AF7E05">
      <w:pPr>
        <w:autoSpaceDE w:val="0"/>
        <w:autoSpaceDN w:val="0"/>
        <w:adjustRightInd w:val="0"/>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w:t>
      </w:r>
      <w:r>
        <w:rPr>
          <w:rFonts w:hint="default" w:ascii="Times New Roman" w:hAnsi="Times New Roman" w:eastAsia="方正仿宋_GBK" w:cs="Times New Roman"/>
          <w:color w:val="auto"/>
          <w:sz w:val="21"/>
          <w:szCs w:val="21"/>
          <w:highlight w:val="none"/>
          <w:lang w:eastAsia="zh-CN"/>
        </w:rPr>
        <w:t>竞采文件</w:t>
      </w:r>
      <w:r>
        <w:rPr>
          <w:rFonts w:hint="default" w:ascii="Times New Roman" w:hAnsi="Times New Roman" w:eastAsia="方正仿宋_GBK" w:cs="Times New Roman"/>
          <w:color w:val="auto"/>
          <w:sz w:val="21"/>
          <w:szCs w:val="21"/>
          <w:highlight w:val="none"/>
        </w:rPr>
        <w:t>及答疑补遗；</w:t>
      </w:r>
    </w:p>
    <w:p w14:paraId="783047DA">
      <w:pPr>
        <w:autoSpaceDE w:val="0"/>
        <w:autoSpaceDN w:val="0"/>
        <w:adjustRightInd w:val="0"/>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w:t>
      </w:r>
      <w:r>
        <w:rPr>
          <w:rFonts w:hint="default" w:ascii="Times New Roman" w:hAnsi="Times New Roman" w:eastAsia="方正仿宋_GBK" w:cs="Times New Roman"/>
          <w:color w:val="auto"/>
          <w:sz w:val="21"/>
          <w:szCs w:val="21"/>
          <w:highlight w:val="none"/>
          <w:lang w:eastAsia="zh-CN"/>
        </w:rPr>
        <w:t>电子响应文件</w:t>
      </w:r>
      <w:r>
        <w:rPr>
          <w:rFonts w:hint="default" w:ascii="Times New Roman" w:hAnsi="Times New Roman" w:eastAsia="方正仿宋_GBK" w:cs="Times New Roman"/>
          <w:color w:val="auto"/>
          <w:sz w:val="21"/>
          <w:szCs w:val="21"/>
          <w:highlight w:val="none"/>
        </w:rPr>
        <w:t>；</w:t>
      </w:r>
    </w:p>
    <w:p w14:paraId="3DB92D81">
      <w:pPr>
        <w:autoSpaceDE w:val="0"/>
        <w:autoSpaceDN w:val="0"/>
        <w:adjustRightInd w:val="0"/>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（4）通用合同条款；</w:t>
      </w:r>
    </w:p>
    <w:p w14:paraId="35D40AE1">
      <w:pPr>
        <w:autoSpaceDE w:val="0"/>
        <w:autoSpaceDN w:val="0"/>
        <w:adjustRightInd w:val="0"/>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（5）专用合同条款及其附件；</w:t>
      </w:r>
    </w:p>
    <w:p w14:paraId="02A9E394">
      <w:pPr>
        <w:autoSpaceDE w:val="0"/>
        <w:autoSpaceDN w:val="0"/>
        <w:adjustRightInd w:val="0"/>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（6）已标价工程量清单；</w:t>
      </w:r>
    </w:p>
    <w:p w14:paraId="02AAD6D1">
      <w:pPr>
        <w:autoSpaceDE w:val="0"/>
        <w:autoSpaceDN w:val="0"/>
        <w:adjustRightInd w:val="0"/>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（7）图纸；</w:t>
      </w:r>
    </w:p>
    <w:p w14:paraId="7D7FB581">
      <w:pPr>
        <w:autoSpaceDE w:val="0"/>
        <w:autoSpaceDN w:val="0"/>
        <w:adjustRightInd w:val="0"/>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（8）技术标准和要求；</w:t>
      </w:r>
    </w:p>
    <w:p w14:paraId="51883A54">
      <w:pPr>
        <w:autoSpaceDE w:val="0"/>
        <w:autoSpaceDN w:val="0"/>
        <w:adjustRightInd w:val="0"/>
        <w:snapToGrid w:val="0"/>
        <w:spacing w:line="360" w:lineRule="auto"/>
        <w:ind w:firstLine="525" w:firstLineChars="25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(9) 其他合同文件。</w:t>
      </w:r>
    </w:p>
    <w:p w14:paraId="6A38AC70">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1.6 </w:t>
      </w:r>
      <w:r>
        <w:rPr>
          <w:rFonts w:hint="default" w:ascii="Times New Roman" w:hAnsi="Times New Roman" w:eastAsia="方正仿宋_GBK" w:cs="Times New Roman"/>
          <w:color w:val="auto"/>
          <w:kern w:val="0"/>
          <w:sz w:val="21"/>
          <w:szCs w:val="21"/>
          <w:highlight w:val="none"/>
        </w:rPr>
        <w:t>图纸和承包人文件</w:t>
      </w:r>
    </w:p>
    <w:p w14:paraId="6D562412">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1.6.1 图纸的提供</w:t>
      </w:r>
    </w:p>
    <w:p w14:paraId="7B1FA6F2">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发包人向承包人提供图纸的期限：</w:t>
      </w:r>
      <w:r>
        <w:rPr>
          <w:rFonts w:hint="default" w:ascii="Times New Roman" w:hAnsi="Times New Roman" w:eastAsia="方正仿宋_GBK" w:cs="Times New Roman"/>
          <w:color w:val="auto"/>
          <w:sz w:val="21"/>
          <w:szCs w:val="21"/>
          <w:highlight w:val="none"/>
          <w:u w:val="single"/>
        </w:rPr>
        <w:t xml:space="preserve"> 开工前14日内提供 </w:t>
      </w:r>
      <w:r>
        <w:rPr>
          <w:rFonts w:hint="default" w:ascii="Times New Roman" w:hAnsi="Times New Roman" w:eastAsia="方正仿宋_GBK" w:cs="Times New Roman"/>
          <w:color w:val="auto"/>
          <w:sz w:val="21"/>
          <w:szCs w:val="21"/>
          <w:highlight w:val="none"/>
        </w:rPr>
        <w:t>；</w:t>
      </w:r>
    </w:p>
    <w:p w14:paraId="3ADEBBF0">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发包人向承包人提供图纸的数量：</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u w:val="single"/>
          <w:lang w:val="en-US" w:eastAsia="zh-CN"/>
        </w:rPr>
        <w:t>1</w:t>
      </w:r>
      <w:r>
        <w:rPr>
          <w:rFonts w:hint="default" w:ascii="Times New Roman" w:hAnsi="Times New Roman" w:eastAsia="方正仿宋_GBK" w:cs="Times New Roman"/>
          <w:color w:val="auto"/>
          <w:sz w:val="21"/>
          <w:szCs w:val="21"/>
          <w:highlight w:val="none"/>
          <w:u w:val="single"/>
        </w:rPr>
        <w:t>套</w:t>
      </w:r>
      <w:r>
        <w:rPr>
          <w:rFonts w:hint="default" w:ascii="Times New Roman" w:hAnsi="Times New Roman" w:eastAsia="方正仿宋_GBK" w:cs="Times New Roman"/>
          <w:color w:val="auto"/>
          <w:sz w:val="21"/>
          <w:szCs w:val="21"/>
          <w:highlight w:val="none"/>
        </w:rPr>
        <w:t>；</w:t>
      </w:r>
    </w:p>
    <w:p w14:paraId="3B65E35A">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发包人向承包人提供图纸的内容：</w:t>
      </w:r>
      <w:r>
        <w:rPr>
          <w:rFonts w:hint="default" w:ascii="Times New Roman" w:hAnsi="Times New Roman" w:eastAsia="方正仿宋_GBK" w:cs="Times New Roman"/>
          <w:color w:val="auto"/>
          <w:sz w:val="21"/>
          <w:szCs w:val="21"/>
          <w:highlight w:val="none"/>
          <w:u w:val="single"/>
        </w:rPr>
        <w:t xml:space="preserve"> 工程承包范围内工程的施工图设计文件 </w:t>
      </w:r>
      <w:r>
        <w:rPr>
          <w:rFonts w:hint="default" w:ascii="Times New Roman" w:hAnsi="Times New Roman" w:eastAsia="方正仿宋_GBK" w:cs="Times New Roman"/>
          <w:color w:val="auto"/>
          <w:sz w:val="21"/>
          <w:szCs w:val="21"/>
          <w:highlight w:val="none"/>
        </w:rPr>
        <w:t>。</w:t>
      </w:r>
    </w:p>
    <w:p w14:paraId="2A9F7652">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1.6.4 承包人文件</w:t>
      </w:r>
    </w:p>
    <w:p w14:paraId="1593ECA6">
      <w:pPr>
        <w:snapToGrid w:val="0"/>
        <w:spacing w:line="360" w:lineRule="auto"/>
        <w:ind w:firstLine="420" w:firstLineChars="20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需要由承包人提供的文件，包括：</w:t>
      </w:r>
      <w:r>
        <w:rPr>
          <w:rFonts w:hint="default" w:ascii="Times New Roman" w:hAnsi="Times New Roman" w:eastAsia="方正仿宋_GBK" w:cs="Times New Roman"/>
          <w:color w:val="auto"/>
          <w:sz w:val="21"/>
          <w:szCs w:val="21"/>
          <w:highlight w:val="none"/>
          <w:u w:val="single"/>
        </w:rPr>
        <w:t xml:space="preserve">国家相关职能部门文件、现场会议纪要、技术资料（包括工程所需图集）、施工组织设计、专项施工方案、安全应急方案、当月实际完成合格工程量进度报表、次月进度计划、工程预算、结算、材料采购计划报表，以及合格的工程技术竣工资料等。 </w:t>
      </w:r>
    </w:p>
    <w:p w14:paraId="6EC455AD">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承包人提供的文件的期限、数量：</w:t>
      </w:r>
      <w:r>
        <w:rPr>
          <w:rFonts w:hint="default" w:ascii="Times New Roman" w:hAnsi="Times New Roman" w:eastAsia="方正仿宋_GBK" w:cs="Times New Roman"/>
          <w:color w:val="auto"/>
          <w:sz w:val="21"/>
          <w:szCs w:val="21"/>
          <w:highlight w:val="none"/>
          <w:u w:val="single"/>
        </w:rPr>
        <w:t>工程开工前一周内，提供施工组织设计和安全应急方案，专项工程实施前1个月提供专项施工方案；每月22日前报送本月已完合格工程进度报表和次月进度计划一式伍份。</w:t>
      </w:r>
    </w:p>
    <w:p w14:paraId="57AA392E">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承包人提供的文件的数量为：</w:t>
      </w:r>
      <w:r>
        <w:rPr>
          <w:rFonts w:hint="default" w:ascii="Times New Roman" w:hAnsi="Times New Roman" w:eastAsia="方正仿宋_GBK" w:cs="Times New Roman"/>
          <w:color w:val="auto"/>
          <w:sz w:val="21"/>
          <w:szCs w:val="21"/>
          <w:highlight w:val="none"/>
          <w:u w:val="single"/>
        </w:rPr>
        <w:t xml:space="preserve"> 一式五份 </w:t>
      </w:r>
      <w:r>
        <w:rPr>
          <w:rFonts w:hint="default" w:ascii="Times New Roman" w:hAnsi="Times New Roman" w:eastAsia="方正仿宋_GBK" w:cs="Times New Roman"/>
          <w:color w:val="auto"/>
          <w:sz w:val="21"/>
          <w:szCs w:val="21"/>
          <w:highlight w:val="none"/>
        </w:rPr>
        <w:t>；</w:t>
      </w:r>
    </w:p>
    <w:p w14:paraId="45B27BD1">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承包人提供的文件的形式为：</w:t>
      </w:r>
      <w:r>
        <w:rPr>
          <w:rFonts w:hint="default" w:ascii="Times New Roman" w:hAnsi="Times New Roman" w:eastAsia="方正仿宋_GBK" w:cs="Times New Roman"/>
          <w:color w:val="auto"/>
          <w:sz w:val="21"/>
          <w:szCs w:val="21"/>
          <w:highlight w:val="none"/>
          <w:u w:val="single"/>
        </w:rPr>
        <w:t xml:space="preserve"> 书面形式、加盖项目部公章 </w:t>
      </w:r>
      <w:r>
        <w:rPr>
          <w:rFonts w:hint="default" w:ascii="Times New Roman" w:hAnsi="Times New Roman" w:eastAsia="方正仿宋_GBK" w:cs="Times New Roman"/>
          <w:color w:val="auto"/>
          <w:sz w:val="21"/>
          <w:szCs w:val="21"/>
          <w:highlight w:val="none"/>
        </w:rPr>
        <w:t>；</w:t>
      </w:r>
    </w:p>
    <w:p w14:paraId="732678C6">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发包人审批承包人文件的期限：</w:t>
      </w:r>
      <w:r>
        <w:rPr>
          <w:rFonts w:hint="default" w:ascii="Times New Roman" w:hAnsi="Times New Roman" w:eastAsia="方正仿宋_GBK" w:cs="Times New Roman"/>
          <w:color w:val="auto"/>
          <w:sz w:val="21"/>
          <w:szCs w:val="21"/>
          <w:highlight w:val="none"/>
          <w:u w:val="single"/>
        </w:rPr>
        <w:t xml:space="preserve"> 执行通用条款  </w:t>
      </w:r>
      <w:r>
        <w:rPr>
          <w:rFonts w:hint="default" w:ascii="Times New Roman" w:hAnsi="Times New Roman" w:eastAsia="方正仿宋_GBK" w:cs="Times New Roman"/>
          <w:color w:val="auto"/>
          <w:sz w:val="21"/>
          <w:szCs w:val="21"/>
          <w:highlight w:val="none"/>
        </w:rPr>
        <w:t>。</w:t>
      </w:r>
    </w:p>
    <w:p w14:paraId="17EDAC3C">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1.6.5 现场图纸准备</w:t>
      </w:r>
    </w:p>
    <w:p w14:paraId="4F530BDB">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关于现场图纸准备的约定：</w:t>
      </w:r>
      <w:r>
        <w:rPr>
          <w:rFonts w:hint="default" w:ascii="Times New Roman" w:hAnsi="Times New Roman" w:eastAsia="方正仿宋_GBK" w:cs="Times New Roman"/>
          <w:color w:val="auto"/>
          <w:sz w:val="21"/>
          <w:szCs w:val="21"/>
          <w:highlight w:val="none"/>
          <w:u w:val="single"/>
        </w:rPr>
        <w:t xml:space="preserve"> 按通用合同条款执行 </w:t>
      </w:r>
      <w:r>
        <w:rPr>
          <w:rFonts w:hint="default" w:ascii="Times New Roman" w:hAnsi="Times New Roman" w:eastAsia="方正仿宋_GBK" w:cs="Times New Roman"/>
          <w:color w:val="auto"/>
          <w:sz w:val="21"/>
          <w:szCs w:val="21"/>
          <w:highlight w:val="none"/>
        </w:rPr>
        <w:t>。</w:t>
      </w:r>
    </w:p>
    <w:p w14:paraId="3C62FBAD">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1.7 联络</w:t>
      </w:r>
    </w:p>
    <w:p w14:paraId="1A417D36">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1.7.1发包人和承包人应当在</w:t>
      </w:r>
      <w:r>
        <w:rPr>
          <w:rFonts w:hint="default" w:ascii="Times New Roman" w:hAnsi="Times New Roman" w:eastAsia="方正仿宋_GBK" w:cs="Times New Roman"/>
          <w:color w:val="auto"/>
          <w:sz w:val="21"/>
          <w:szCs w:val="21"/>
          <w:highlight w:val="none"/>
          <w:u w:val="single"/>
        </w:rPr>
        <w:t xml:space="preserve"> 5  </w:t>
      </w:r>
      <w:r>
        <w:rPr>
          <w:rFonts w:hint="default" w:ascii="Times New Roman" w:hAnsi="Times New Roman" w:eastAsia="方正仿宋_GBK" w:cs="Times New Roman"/>
          <w:color w:val="auto"/>
          <w:kern w:val="0"/>
          <w:sz w:val="21"/>
          <w:szCs w:val="21"/>
          <w:highlight w:val="none"/>
        </w:rPr>
        <w:t>天内将与合同有关的通知、批准、证明、证书、指示、指令、要求、请求、同意、意见、确定和决定等书面函件送达对方当事人。</w:t>
      </w:r>
    </w:p>
    <w:p w14:paraId="47466F18">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1.7.2 发包人接收文件的地点：</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kern w:val="0"/>
          <w:sz w:val="21"/>
          <w:szCs w:val="21"/>
          <w:highlight w:val="none"/>
        </w:rPr>
        <w:t>；</w:t>
      </w:r>
    </w:p>
    <w:p w14:paraId="445C886A">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发包人指定的接收人为：</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kern w:val="0"/>
          <w:sz w:val="21"/>
          <w:szCs w:val="21"/>
          <w:highlight w:val="none"/>
        </w:rPr>
        <w:t>。</w:t>
      </w:r>
    </w:p>
    <w:p w14:paraId="21B85BFB">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承包人接收文件的地点：</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kern w:val="0"/>
          <w:sz w:val="21"/>
          <w:szCs w:val="21"/>
          <w:highlight w:val="none"/>
        </w:rPr>
        <w:t>；</w:t>
      </w:r>
    </w:p>
    <w:p w14:paraId="3C0A32EC">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承包人指定的接收人为：</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kern w:val="0"/>
          <w:sz w:val="21"/>
          <w:szCs w:val="21"/>
          <w:highlight w:val="none"/>
        </w:rPr>
        <w:t>。</w:t>
      </w:r>
    </w:p>
    <w:p w14:paraId="52283C20">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监理人接收文件的地点：</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kern w:val="0"/>
          <w:sz w:val="21"/>
          <w:szCs w:val="21"/>
          <w:highlight w:val="none"/>
        </w:rPr>
        <w:t>；</w:t>
      </w:r>
    </w:p>
    <w:p w14:paraId="627FC871">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监理人指定的接收人为：</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kern w:val="0"/>
          <w:sz w:val="21"/>
          <w:szCs w:val="21"/>
          <w:highlight w:val="none"/>
        </w:rPr>
        <w:t>。</w:t>
      </w:r>
    </w:p>
    <w:p w14:paraId="420CF7C2">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1.10 </w:t>
      </w:r>
      <w:r>
        <w:rPr>
          <w:rFonts w:hint="default" w:ascii="Times New Roman" w:hAnsi="Times New Roman" w:eastAsia="方正仿宋_GBK" w:cs="Times New Roman"/>
          <w:color w:val="auto"/>
          <w:kern w:val="0"/>
          <w:sz w:val="21"/>
          <w:szCs w:val="21"/>
          <w:highlight w:val="none"/>
        </w:rPr>
        <w:t>交通运输</w:t>
      </w:r>
    </w:p>
    <w:p w14:paraId="60F624B0">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w:t>
      </w:r>
      <w:bookmarkStart w:id="173" w:name="_Toc300934943"/>
      <w:bookmarkStart w:id="174" w:name="_Toc318581155"/>
      <w:bookmarkStart w:id="175" w:name="_Toc304295521"/>
      <w:bookmarkStart w:id="176" w:name="_Toc312677986"/>
      <w:bookmarkStart w:id="177" w:name="_Toc303539100"/>
      <w:r>
        <w:rPr>
          <w:rFonts w:hint="default" w:ascii="Times New Roman" w:hAnsi="Times New Roman" w:eastAsia="方正仿宋_GBK" w:cs="Times New Roman"/>
          <w:color w:val="auto"/>
          <w:sz w:val="21"/>
          <w:szCs w:val="21"/>
          <w:highlight w:val="none"/>
        </w:rPr>
        <w:t>.10.1 出入现场的权利</w:t>
      </w:r>
    </w:p>
    <w:p w14:paraId="4E62EC47">
      <w:pPr>
        <w:snapToGrid w:val="0"/>
        <w:spacing w:line="360" w:lineRule="auto"/>
        <w:ind w:firstLine="420" w:firstLineChars="20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关于出入现场的权利的约定：</w:t>
      </w:r>
      <w:r>
        <w:rPr>
          <w:rFonts w:hint="default" w:ascii="Times New Roman" w:hAnsi="Times New Roman" w:eastAsia="方正仿宋_GBK" w:cs="Times New Roman"/>
          <w:color w:val="auto"/>
          <w:sz w:val="21"/>
          <w:szCs w:val="21"/>
          <w:highlight w:val="none"/>
          <w:u w:val="single"/>
        </w:rPr>
        <w:t>由承包人按发包人要求负责取得出入施工现场所需的批准手续和全部权利；承包人应在竞标前自行踏勘现场，对进出施工现场的方式、手段、路线作出预估，并在报价时充分考虑完善进出现场条件所需的费用及对工期的影响，否则因此增加的费用和延误工期的责任由承包人承担。</w:t>
      </w:r>
    </w:p>
    <w:bookmarkEnd w:id="173"/>
    <w:bookmarkEnd w:id="174"/>
    <w:bookmarkEnd w:id="175"/>
    <w:bookmarkEnd w:id="176"/>
    <w:bookmarkEnd w:id="177"/>
    <w:p w14:paraId="7E137196">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w:t>
      </w:r>
      <w:bookmarkStart w:id="178" w:name="_Toc303539101"/>
      <w:bookmarkStart w:id="179" w:name="_Toc300934944"/>
      <w:bookmarkStart w:id="180" w:name="_Toc304295522"/>
      <w:bookmarkStart w:id="181" w:name="_Toc318581156"/>
      <w:bookmarkStart w:id="182" w:name="_Toc312677987"/>
      <w:r>
        <w:rPr>
          <w:rFonts w:hint="default" w:ascii="Times New Roman" w:hAnsi="Times New Roman" w:eastAsia="方正仿宋_GBK" w:cs="Times New Roman"/>
          <w:color w:val="auto"/>
          <w:sz w:val="21"/>
          <w:szCs w:val="21"/>
          <w:highlight w:val="none"/>
        </w:rPr>
        <w:t>.10.3 场内交通</w:t>
      </w:r>
    </w:p>
    <w:p w14:paraId="622A0AB1">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kern w:val="0"/>
          <w:sz w:val="21"/>
          <w:szCs w:val="21"/>
          <w:highlight w:val="none"/>
        </w:rPr>
        <w:t>关于场外交通和场内交通的边界的约定：</w:t>
      </w:r>
      <w:r>
        <w:rPr>
          <w:rFonts w:hint="default" w:ascii="Times New Roman" w:hAnsi="Times New Roman" w:eastAsia="方正仿宋_GBK" w:cs="Times New Roman"/>
          <w:color w:val="auto"/>
          <w:sz w:val="21"/>
          <w:szCs w:val="21"/>
          <w:highlight w:val="none"/>
          <w:u w:val="single"/>
        </w:rPr>
        <w:t xml:space="preserve">按通用条款执行  </w:t>
      </w:r>
    </w:p>
    <w:p w14:paraId="0CA4A079">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关于发包人向承包人免费提供满足工程施工需要的场内道路和交通设施的约定：</w:t>
      </w:r>
      <w:r>
        <w:rPr>
          <w:rFonts w:hint="default" w:ascii="Times New Roman" w:hAnsi="Times New Roman" w:eastAsia="方正仿宋_GBK" w:cs="Times New Roman"/>
          <w:color w:val="auto"/>
          <w:sz w:val="21"/>
          <w:szCs w:val="21"/>
          <w:highlight w:val="none"/>
          <w:u w:val="single"/>
        </w:rPr>
        <w:t xml:space="preserve">由承包人自行承担，费用已包含在综合单价内。  </w:t>
      </w:r>
      <w:bookmarkEnd w:id="178"/>
      <w:bookmarkEnd w:id="179"/>
      <w:bookmarkEnd w:id="180"/>
      <w:bookmarkEnd w:id="181"/>
      <w:bookmarkEnd w:id="182"/>
      <w:bookmarkStart w:id="183" w:name="_Toc318581157"/>
    </w:p>
    <w:p w14:paraId="36EE01F1">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1.10.4超大件和超重件的运输</w:t>
      </w:r>
    </w:p>
    <w:p w14:paraId="606094FD">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运输超大件或超重件所需的道路和桥梁临时加固改造费用和其他有关费用由</w:t>
      </w:r>
      <w:r>
        <w:rPr>
          <w:rFonts w:hint="default" w:ascii="Times New Roman" w:hAnsi="Times New Roman" w:eastAsia="方正仿宋_GBK" w:cs="Times New Roman"/>
          <w:color w:val="auto"/>
          <w:sz w:val="21"/>
          <w:szCs w:val="21"/>
          <w:highlight w:val="none"/>
          <w:u w:val="single"/>
        </w:rPr>
        <w:t xml:space="preserve"> 承包人 </w:t>
      </w:r>
      <w:r>
        <w:rPr>
          <w:rFonts w:hint="default" w:ascii="Times New Roman" w:hAnsi="Times New Roman" w:eastAsia="方正仿宋_GBK" w:cs="Times New Roman"/>
          <w:color w:val="auto"/>
          <w:sz w:val="21"/>
          <w:szCs w:val="21"/>
          <w:highlight w:val="none"/>
        </w:rPr>
        <w:t>承担。</w:t>
      </w:r>
    </w:p>
    <w:bookmarkEnd w:id="183"/>
    <w:p w14:paraId="65D2A716">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1.11 </w:t>
      </w:r>
      <w:r>
        <w:rPr>
          <w:rFonts w:hint="default" w:ascii="Times New Roman" w:hAnsi="Times New Roman" w:eastAsia="方正仿宋_GBK" w:cs="Times New Roman"/>
          <w:color w:val="auto"/>
          <w:kern w:val="0"/>
          <w:sz w:val="21"/>
          <w:szCs w:val="21"/>
          <w:highlight w:val="none"/>
        </w:rPr>
        <w:t>知识产权</w:t>
      </w:r>
    </w:p>
    <w:p w14:paraId="3443A22B">
      <w:pPr>
        <w:snapToGrid w:val="0"/>
        <w:spacing w:line="360" w:lineRule="auto"/>
        <w:ind w:firstLine="420" w:firstLineChars="20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1.11.1关于发包人提供给承包人的图纸、发包人为实施工程自行编制或委托编制的技术规范以及反映发包人关于合同要求或其他类似性质的文件的著作权的归属：</w:t>
      </w:r>
      <w:r>
        <w:rPr>
          <w:rFonts w:hint="default" w:ascii="Times New Roman" w:hAnsi="Times New Roman" w:eastAsia="方正仿宋_GBK" w:cs="Times New Roman"/>
          <w:color w:val="auto"/>
          <w:sz w:val="21"/>
          <w:szCs w:val="21"/>
          <w:highlight w:val="none"/>
          <w:u w:val="single"/>
        </w:rPr>
        <w:t>按通用合同条款执行</w:t>
      </w:r>
    </w:p>
    <w:p w14:paraId="6E5891A9">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关于发包人提供的上述文件的使用限制的要求：</w:t>
      </w:r>
      <w:r>
        <w:rPr>
          <w:rFonts w:hint="default" w:ascii="Times New Roman" w:hAnsi="Times New Roman" w:eastAsia="方正仿宋_GBK" w:cs="Times New Roman"/>
          <w:color w:val="auto"/>
          <w:sz w:val="21"/>
          <w:szCs w:val="21"/>
          <w:highlight w:val="none"/>
          <w:u w:val="single"/>
        </w:rPr>
        <w:t xml:space="preserve">     按通用合同条款执行    </w:t>
      </w:r>
    </w:p>
    <w:p w14:paraId="2AC5843A">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1.11.2 关于承包人为实施工程所编制文件的著作权的归属：</w:t>
      </w:r>
      <w:r>
        <w:rPr>
          <w:rFonts w:hint="default" w:ascii="Times New Roman" w:hAnsi="Times New Roman" w:eastAsia="方正仿宋_GBK" w:cs="Times New Roman"/>
          <w:color w:val="auto"/>
          <w:sz w:val="21"/>
          <w:szCs w:val="21"/>
          <w:highlight w:val="none"/>
          <w:u w:val="single"/>
        </w:rPr>
        <w:t xml:space="preserve">   按通用合同条款执行  </w:t>
      </w:r>
    </w:p>
    <w:p w14:paraId="0F461C7D">
      <w:pPr>
        <w:snapToGrid w:val="0"/>
        <w:spacing w:line="360" w:lineRule="auto"/>
        <w:ind w:firstLine="420" w:firstLineChars="20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关于承包人提供的上述文件的使用限制的要求：</w:t>
      </w:r>
      <w:r>
        <w:rPr>
          <w:rFonts w:hint="default" w:ascii="Times New Roman" w:hAnsi="Times New Roman" w:eastAsia="方正仿宋_GBK" w:cs="Times New Roman"/>
          <w:color w:val="auto"/>
          <w:sz w:val="21"/>
          <w:szCs w:val="21"/>
          <w:highlight w:val="none"/>
          <w:u w:val="single"/>
        </w:rPr>
        <w:t xml:space="preserve">按通用合同条款执行  </w:t>
      </w:r>
    </w:p>
    <w:p w14:paraId="64A41080">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sz w:val="21"/>
          <w:szCs w:val="21"/>
          <w:highlight w:val="none"/>
        </w:rPr>
        <w:t>1.11.4 承包人在施工过程中所采用的专利、专有技术、技术秘密的使用费的承担方式：</w:t>
      </w:r>
      <w:r>
        <w:rPr>
          <w:rFonts w:hint="default" w:ascii="Times New Roman" w:hAnsi="Times New Roman" w:eastAsia="方正仿宋_GBK" w:cs="Times New Roman"/>
          <w:color w:val="auto"/>
          <w:sz w:val="21"/>
          <w:szCs w:val="21"/>
          <w:highlight w:val="none"/>
          <w:u w:val="single"/>
        </w:rPr>
        <w:t>按通用合同条款执行</w:t>
      </w:r>
      <w:r>
        <w:rPr>
          <w:rFonts w:hint="default" w:ascii="Times New Roman" w:hAnsi="Times New Roman" w:eastAsia="方正仿宋_GBK" w:cs="Times New Roman"/>
          <w:color w:val="auto"/>
          <w:kern w:val="0"/>
          <w:sz w:val="21"/>
          <w:szCs w:val="21"/>
          <w:highlight w:val="none"/>
        </w:rPr>
        <w:t>。</w:t>
      </w:r>
    </w:p>
    <w:p w14:paraId="750A4DC0">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1.13工程量清单错误的修正</w:t>
      </w:r>
    </w:p>
    <w:p w14:paraId="070E4A70">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出现工程量清单错误时，是否调整合同价格：</w:t>
      </w:r>
      <w:r>
        <w:rPr>
          <w:rFonts w:hint="default" w:ascii="Times New Roman" w:hAnsi="Times New Roman" w:eastAsia="方正仿宋_GBK" w:cs="Times New Roman"/>
          <w:color w:val="auto"/>
          <w:sz w:val="21"/>
          <w:szCs w:val="21"/>
          <w:highlight w:val="none"/>
          <w:u w:val="single"/>
        </w:rPr>
        <w:t xml:space="preserve">   不调整  </w:t>
      </w:r>
      <w:r>
        <w:rPr>
          <w:rFonts w:hint="default" w:ascii="Times New Roman" w:hAnsi="Times New Roman" w:eastAsia="方正仿宋_GBK" w:cs="Times New Roman"/>
          <w:color w:val="auto"/>
          <w:kern w:val="0"/>
          <w:sz w:val="21"/>
          <w:szCs w:val="21"/>
          <w:highlight w:val="none"/>
        </w:rPr>
        <w:t>。</w:t>
      </w:r>
    </w:p>
    <w:p w14:paraId="49D315DE">
      <w:pPr>
        <w:snapToGrid w:val="0"/>
        <w:spacing w:line="360" w:lineRule="auto"/>
        <w:ind w:firstLine="420" w:firstLineChars="20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允许调整合同价格的工程量偏差范围：</w:t>
      </w:r>
      <w:r>
        <w:rPr>
          <w:rFonts w:hint="default" w:ascii="Times New Roman" w:hAnsi="Times New Roman" w:eastAsia="方正仿宋_GBK" w:cs="Times New Roman"/>
          <w:color w:val="auto"/>
          <w:sz w:val="21"/>
          <w:szCs w:val="21"/>
          <w:highlight w:val="none"/>
          <w:u w:val="single"/>
        </w:rPr>
        <w:t xml:space="preserve">不调整    </w:t>
      </w:r>
    </w:p>
    <w:p w14:paraId="3EDAF6CA">
      <w:pPr>
        <w:snapToGrid w:val="0"/>
        <w:spacing w:line="360" w:lineRule="auto"/>
        <w:rPr>
          <w:rFonts w:hint="default" w:ascii="Times New Roman" w:hAnsi="Times New Roman" w:eastAsia="方正仿宋_GBK" w:cs="Times New Roman"/>
          <w:b/>
          <w:color w:val="auto"/>
          <w:kern w:val="0"/>
          <w:sz w:val="21"/>
          <w:szCs w:val="21"/>
          <w:highlight w:val="none"/>
        </w:rPr>
      </w:pPr>
      <w:bookmarkStart w:id="184" w:name="_Toc518391410"/>
      <w:bookmarkStart w:id="185" w:name="_Toc351203634"/>
      <w:bookmarkStart w:id="186" w:name="_Toc516756959"/>
      <w:bookmarkStart w:id="187" w:name="_Toc485992735"/>
      <w:bookmarkStart w:id="188" w:name="_Toc433623104"/>
      <w:r>
        <w:rPr>
          <w:rFonts w:hint="default" w:ascii="Times New Roman" w:hAnsi="Times New Roman" w:eastAsia="方正仿宋_GBK" w:cs="Times New Roman"/>
          <w:b/>
          <w:color w:val="auto"/>
          <w:kern w:val="0"/>
          <w:sz w:val="21"/>
          <w:szCs w:val="21"/>
          <w:highlight w:val="none"/>
        </w:rPr>
        <w:t>2</w:t>
      </w:r>
      <w:bookmarkStart w:id="189" w:name="_Toc296890985"/>
      <w:bookmarkStart w:id="190" w:name="_Toc297120457"/>
      <w:bookmarkStart w:id="191" w:name="_Toc292559867"/>
      <w:bookmarkStart w:id="192" w:name="_Toc297048343"/>
      <w:bookmarkStart w:id="193" w:name="_Toc296891197"/>
      <w:bookmarkStart w:id="194" w:name="_Toc292559362"/>
      <w:bookmarkStart w:id="195" w:name="_Toc296503157"/>
      <w:bookmarkStart w:id="196" w:name="_Toc296346658"/>
      <w:bookmarkStart w:id="197" w:name="_Toc296944496"/>
      <w:bookmarkStart w:id="198" w:name="_Toc296347156"/>
      <w:r>
        <w:rPr>
          <w:rFonts w:hint="default" w:ascii="Times New Roman" w:hAnsi="Times New Roman" w:eastAsia="方正仿宋_GBK" w:cs="Times New Roman"/>
          <w:b/>
          <w:color w:val="auto"/>
          <w:kern w:val="0"/>
          <w:sz w:val="21"/>
          <w:szCs w:val="21"/>
          <w:highlight w:val="none"/>
        </w:rPr>
        <w:t>. 发包人</w:t>
      </w:r>
      <w:bookmarkEnd w:id="184"/>
      <w:bookmarkEnd w:id="185"/>
      <w:bookmarkEnd w:id="186"/>
      <w:bookmarkEnd w:id="187"/>
      <w:bookmarkEnd w:id="188"/>
    </w:p>
    <w:bookmarkEnd w:id="189"/>
    <w:bookmarkEnd w:id="190"/>
    <w:bookmarkEnd w:id="191"/>
    <w:bookmarkEnd w:id="192"/>
    <w:bookmarkEnd w:id="193"/>
    <w:bookmarkEnd w:id="194"/>
    <w:bookmarkEnd w:id="195"/>
    <w:bookmarkEnd w:id="196"/>
    <w:bookmarkEnd w:id="197"/>
    <w:bookmarkEnd w:id="198"/>
    <w:p w14:paraId="41A8910D">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2.2 </w:t>
      </w:r>
      <w:r>
        <w:rPr>
          <w:rFonts w:hint="default" w:ascii="Times New Roman" w:hAnsi="Times New Roman" w:eastAsia="方正仿宋_GBK" w:cs="Times New Roman"/>
          <w:color w:val="auto"/>
          <w:kern w:val="0"/>
          <w:sz w:val="21"/>
          <w:szCs w:val="21"/>
          <w:highlight w:val="none"/>
        </w:rPr>
        <w:t>发包人代表</w:t>
      </w:r>
    </w:p>
    <w:p w14:paraId="53E495AE">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发包人代表：</w:t>
      </w:r>
    </w:p>
    <w:p w14:paraId="2F2BA9FC">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姓    名：</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668C8FCB">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身份证号：</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107D6CED">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职    务：</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28D89324">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联系电话：</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5C1E4ED6">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电子信箱：</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24438F48">
      <w:pPr>
        <w:snapToGrid w:val="0"/>
        <w:spacing w:line="360" w:lineRule="auto"/>
        <w:ind w:firstLine="420" w:firstLineChars="200"/>
        <w:rPr>
          <w:rFonts w:hint="default" w:ascii="Times New Roman" w:hAnsi="Times New Roman" w:eastAsia="方正仿宋_GBK" w:cs="Times New Roman"/>
          <w:bCs/>
          <w:color w:val="auto"/>
          <w:sz w:val="21"/>
          <w:szCs w:val="21"/>
          <w:highlight w:val="none"/>
        </w:rPr>
      </w:pPr>
      <w:r>
        <w:rPr>
          <w:rFonts w:hint="default" w:ascii="Times New Roman" w:hAnsi="Times New Roman" w:eastAsia="方正仿宋_GBK" w:cs="Times New Roman"/>
          <w:color w:val="auto"/>
          <w:sz w:val="21"/>
          <w:szCs w:val="21"/>
          <w:highlight w:val="none"/>
        </w:rPr>
        <w:t>通信地址：</w:t>
      </w:r>
      <w:r>
        <w:rPr>
          <w:rFonts w:hint="default" w:ascii="Times New Roman" w:hAnsi="Times New Roman" w:eastAsia="方正仿宋_GBK" w:cs="Times New Roman"/>
          <w:bCs/>
          <w:color w:val="auto"/>
          <w:sz w:val="21"/>
          <w:szCs w:val="21"/>
          <w:highlight w:val="none"/>
          <w:u w:val="single"/>
        </w:rPr>
        <w:t xml:space="preserve">                                </w:t>
      </w:r>
      <w:r>
        <w:rPr>
          <w:rFonts w:hint="default" w:ascii="Times New Roman" w:hAnsi="Times New Roman" w:eastAsia="方正仿宋_GBK" w:cs="Times New Roman"/>
          <w:bCs/>
          <w:color w:val="auto"/>
          <w:sz w:val="21"/>
          <w:szCs w:val="21"/>
          <w:highlight w:val="none"/>
        </w:rPr>
        <w:t>；</w:t>
      </w:r>
    </w:p>
    <w:p w14:paraId="4103BCEC">
      <w:pPr>
        <w:snapToGrid w:val="0"/>
        <w:spacing w:line="360" w:lineRule="auto"/>
        <w:ind w:firstLine="420" w:firstLineChars="200"/>
        <w:rPr>
          <w:rFonts w:hint="default" w:ascii="Times New Roman" w:hAnsi="Times New Roman" w:eastAsia="方正仿宋_GBK" w:cs="Times New Roman"/>
          <w:color w:val="auto"/>
          <w:sz w:val="21"/>
          <w:szCs w:val="21"/>
          <w:highlight w:val="none"/>
          <w:u w:val="single"/>
          <w:lang w:eastAsia="zh-CN"/>
        </w:rPr>
      </w:pPr>
      <w:r>
        <w:rPr>
          <w:rFonts w:hint="default" w:ascii="Times New Roman" w:hAnsi="Times New Roman" w:eastAsia="方正仿宋_GBK" w:cs="Times New Roman"/>
          <w:color w:val="auto"/>
          <w:sz w:val="21"/>
          <w:szCs w:val="21"/>
          <w:highlight w:val="none"/>
        </w:rPr>
        <w:t>发包人对发包人代表的授权范围如下：</w:t>
      </w:r>
      <w:r>
        <w:rPr>
          <w:rFonts w:hint="default" w:ascii="Times New Roman" w:hAnsi="Times New Roman" w:eastAsia="方正仿宋_GBK" w:cs="Times New Roman"/>
          <w:color w:val="auto"/>
          <w:sz w:val="21"/>
          <w:szCs w:val="21"/>
          <w:highlight w:val="none"/>
          <w:u w:val="single"/>
        </w:rPr>
        <w:t>代表发包人对项目建设进行协调、管控、审查，确保安全、质量、环保、进度、成本可控，及时处理项目相关问题，向承包人、监理人等下达各类指令。由发包人授权的，以授权书载明的授权范围为准</w:t>
      </w:r>
      <w:r>
        <w:rPr>
          <w:rFonts w:hint="default" w:ascii="Times New Roman" w:hAnsi="Times New Roman" w:eastAsia="方正仿宋_GBK" w:cs="Times New Roman"/>
          <w:color w:val="auto"/>
          <w:sz w:val="21"/>
          <w:szCs w:val="21"/>
          <w:highlight w:val="none"/>
          <w:u w:val="single"/>
          <w:lang w:eastAsia="zh-CN"/>
        </w:rPr>
        <w:t>。</w:t>
      </w:r>
    </w:p>
    <w:p w14:paraId="21839F8C">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2.4 </w:t>
      </w:r>
      <w:r>
        <w:rPr>
          <w:rFonts w:hint="default" w:ascii="Times New Roman" w:hAnsi="Times New Roman" w:eastAsia="方正仿宋_GBK" w:cs="Times New Roman"/>
          <w:color w:val="auto"/>
          <w:kern w:val="0"/>
          <w:sz w:val="21"/>
          <w:szCs w:val="21"/>
          <w:highlight w:val="none"/>
        </w:rPr>
        <w:t>施工现场</w:t>
      </w:r>
      <w:r>
        <w:rPr>
          <w:rFonts w:hint="default" w:ascii="Times New Roman" w:hAnsi="Times New Roman" w:eastAsia="方正仿宋_GBK" w:cs="Times New Roman"/>
          <w:color w:val="auto"/>
          <w:sz w:val="21"/>
          <w:szCs w:val="21"/>
          <w:highlight w:val="none"/>
        </w:rPr>
        <w:t>、施工条件和基础资料的提供</w:t>
      </w:r>
    </w:p>
    <w:p w14:paraId="5E2F1280">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2.4.1 提供施工现场</w:t>
      </w:r>
    </w:p>
    <w:p w14:paraId="6C54057D">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关于发包人移交施工现场的期限要求： </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u w:val="single"/>
          <w:lang w:val="en-US" w:eastAsia="zh-CN"/>
        </w:rPr>
        <w:t>/</w:t>
      </w:r>
      <w:r>
        <w:rPr>
          <w:rFonts w:hint="default" w:ascii="Times New Roman" w:hAnsi="Times New Roman" w:eastAsia="方正仿宋_GBK" w:cs="Times New Roman"/>
          <w:color w:val="auto"/>
          <w:sz w:val="21"/>
          <w:szCs w:val="21"/>
          <w:highlight w:val="none"/>
          <w:u w:val="single"/>
        </w:rPr>
        <w:t xml:space="preserve">    </w:t>
      </w:r>
    </w:p>
    <w:p w14:paraId="21BAC3AF">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2.4.2 提供施工条件</w:t>
      </w:r>
    </w:p>
    <w:p w14:paraId="3C99C245">
      <w:pPr>
        <w:snapToGrid w:val="0"/>
        <w:spacing w:line="360" w:lineRule="auto"/>
        <w:ind w:left="700" w:leftChars="25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关于发包人应负责提供施工所需要的条件，包括：</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u w:val="single"/>
          <w:lang w:val="en-US" w:eastAsia="zh-CN"/>
        </w:rPr>
        <w:t>/</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05393C43">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2.5 </w:t>
      </w:r>
      <w:r>
        <w:rPr>
          <w:rFonts w:hint="default" w:ascii="Times New Roman" w:hAnsi="Times New Roman" w:eastAsia="方正仿宋_GBK" w:cs="Times New Roman"/>
          <w:color w:val="auto"/>
          <w:kern w:val="0"/>
          <w:sz w:val="21"/>
          <w:szCs w:val="21"/>
          <w:highlight w:val="none"/>
        </w:rPr>
        <w:t>资金来源证明及支付担保</w:t>
      </w:r>
    </w:p>
    <w:p w14:paraId="599A0E0F">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发包人提供资金来源证明的期限要求：</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u w:val="single"/>
          <w:lang w:eastAsia="zh-CN"/>
        </w:rPr>
        <w:t>不采用</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5EA1CA6E">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发包人是否提供支付担保：</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u w:val="single"/>
          <w:lang w:val="en-US" w:eastAsia="zh-CN"/>
        </w:rPr>
        <w:t>/</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1E76A31C">
      <w:pPr>
        <w:snapToGrid w:val="0"/>
        <w:spacing w:line="360" w:lineRule="auto"/>
        <w:ind w:firstLine="420" w:firstLineChars="20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发包人提供支付担保的形式：</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u w:val="single"/>
          <w:lang w:val="en-US" w:eastAsia="zh-CN"/>
        </w:rPr>
        <w:t>/</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7D937AA7">
      <w:pPr>
        <w:snapToGrid w:val="0"/>
        <w:spacing w:line="360" w:lineRule="auto"/>
        <w:rPr>
          <w:rFonts w:hint="default" w:ascii="Times New Roman" w:hAnsi="Times New Roman" w:eastAsia="方正仿宋_GBK" w:cs="Times New Roman"/>
          <w:b/>
          <w:color w:val="auto"/>
          <w:kern w:val="0"/>
          <w:sz w:val="21"/>
          <w:szCs w:val="21"/>
          <w:highlight w:val="none"/>
        </w:rPr>
      </w:pPr>
      <w:bookmarkStart w:id="199" w:name="_Toc516756960"/>
      <w:bookmarkStart w:id="200" w:name="_Toc485992736"/>
      <w:bookmarkStart w:id="201" w:name="_Toc433623105"/>
      <w:bookmarkStart w:id="202" w:name="_Toc351203635"/>
      <w:bookmarkStart w:id="203" w:name="_Toc518391411"/>
      <w:r>
        <w:rPr>
          <w:rFonts w:hint="default" w:ascii="Times New Roman" w:hAnsi="Times New Roman" w:eastAsia="方正仿宋_GBK" w:cs="Times New Roman"/>
          <w:b/>
          <w:color w:val="auto"/>
          <w:kern w:val="0"/>
          <w:sz w:val="21"/>
          <w:szCs w:val="21"/>
          <w:highlight w:val="none"/>
        </w:rPr>
        <w:t>3</w:t>
      </w:r>
      <w:bookmarkStart w:id="204" w:name="_Toc297048344"/>
      <w:bookmarkStart w:id="205" w:name="_Toc296347157"/>
      <w:bookmarkStart w:id="206" w:name="_Toc297120458"/>
      <w:bookmarkStart w:id="207" w:name="_Toc292559868"/>
      <w:bookmarkStart w:id="208" w:name="_Toc292559363"/>
      <w:bookmarkStart w:id="209" w:name="_Toc296891198"/>
      <w:bookmarkStart w:id="210" w:name="_Toc296944497"/>
      <w:bookmarkStart w:id="211" w:name="_Toc296346659"/>
      <w:bookmarkStart w:id="212" w:name="_Toc296503158"/>
      <w:bookmarkStart w:id="213" w:name="_Toc296890986"/>
      <w:r>
        <w:rPr>
          <w:rFonts w:hint="default" w:ascii="Times New Roman" w:hAnsi="Times New Roman" w:eastAsia="方正仿宋_GBK" w:cs="Times New Roman"/>
          <w:b/>
          <w:color w:val="auto"/>
          <w:kern w:val="0"/>
          <w:sz w:val="21"/>
          <w:szCs w:val="21"/>
          <w:highlight w:val="none"/>
        </w:rPr>
        <w:t>. 承包人</w:t>
      </w:r>
      <w:bookmarkEnd w:id="199"/>
      <w:bookmarkEnd w:id="200"/>
      <w:bookmarkEnd w:id="201"/>
      <w:bookmarkEnd w:id="202"/>
      <w:bookmarkEnd w:id="203"/>
    </w:p>
    <w:bookmarkEnd w:id="204"/>
    <w:bookmarkEnd w:id="205"/>
    <w:bookmarkEnd w:id="206"/>
    <w:bookmarkEnd w:id="207"/>
    <w:bookmarkEnd w:id="208"/>
    <w:bookmarkEnd w:id="209"/>
    <w:bookmarkEnd w:id="210"/>
    <w:bookmarkEnd w:id="211"/>
    <w:bookmarkEnd w:id="212"/>
    <w:bookmarkEnd w:id="213"/>
    <w:p w14:paraId="3A591668">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3.1 承包人的一般义务</w:t>
      </w:r>
    </w:p>
    <w:p w14:paraId="25FBE1E0">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kern w:val="0"/>
          <w:sz w:val="21"/>
          <w:szCs w:val="21"/>
          <w:highlight w:val="none"/>
        </w:rPr>
        <w:t>（5）</w:t>
      </w:r>
      <w:r>
        <w:rPr>
          <w:rFonts w:hint="default" w:ascii="Times New Roman" w:hAnsi="Times New Roman" w:eastAsia="方正仿宋_GBK" w:cs="Times New Roman"/>
          <w:color w:val="auto"/>
          <w:sz w:val="21"/>
          <w:szCs w:val="21"/>
          <w:highlight w:val="none"/>
        </w:rPr>
        <w:t>承包人提交的竣工资料的内容：</w:t>
      </w:r>
      <w:r>
        <w:rPr>
          <w:rFonts w:hint="default" w:ascii="Times New Roman" w:hAnsi="Times New Roman" w:eastAsia="方正仿宋_GBK" w:cs="Times New Roman"/>
          <w:color w:val="auto"/>
          <w:sz w:val="21"/>
          <w:szCs w:val="21"/>
          <w:highlight w:val="none"/>
          <w:u w:val="single"/>
        </w:rPr>
        <w:t>工程施工技术资料、工程质量保证资料、工程检验评定资料、竣工图及其他应交资料，应符合《建设工程文件归档整理规范》（GB/T50328-2014）和重庆市有关文件规定。</w:t>
      </w:r>
    </w:p>
    <w:p w14:paraId="14CC8598">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承包人需要提交的竣工资料套数：</w:t>
      </w:r>
      <w:r>
        <w:rPr>
          <w:rFonts w:hint="default" w:ascii="Times New Roman" w:hAnsi="Times New Roman" w:eastAsia="方正仿宋_GBK" w:cs="Times New Roman"/>
          <w:color w:val="auto"/>
          <w:sz w:val="21"/>
          <w:szCs w:val="21"/>
          <w:highlight w:val="none"/>
          <w:u w:val="single"/>
        </w:rPr>
        <w:t xml:space="preserve">完整竣工资料一式 </w:t>
      </w:r>
      <w:r>
        <w:rPr>
          <w:rFonts w:hint="default" w:ascii="Times New Roman" w:hAnsi="Times New Roman" w:eastAsia="方正仿宋_GBK" w:cs="Times New Roman"/>
          <w:color w:val="auto"/>
          <w:sz w:val="21"/>
          <w:szCs w:val="21"/>
          <w:highlight w:val="none"/>
          <w:u w:val="single"/>
          <w:lang w:val="en-US" w:eastAsia="zh-CN"/>
        </w:rPr>
        <w:t>2</w:t>
      </w:r>
      <w:r>
        <w:rPr>
          <w:rFonts w:hint="default" w:ascii="Times New Roman" w:hAnsi="Times New Roman" w:eastAsia="方正仿宋_GBK" w:cs="Times New Roman"/>
          <w:color w:val="auto"/>
          <w:sz w:val="21"/>
          <w:szCs w:val="21"/>
          <w:highlight w:val="none"/>
          <w:u w:val="single"/>
        </w:rPr>
        <w:t xml:space="preserve"> 套（含电子文档）</w:t>
      </w:r>
      <w:r>
        <w:rPr>
          <w:rFonts w:hint="default" w:ascii="Times New Roman" w:hAnsi="Times New Roman" w:eastAsia="方正仿宋_GBK" w:cs="Times New Roman"/>
          <w:color w:val="auto"/>
          <w:sz w:val="21"/>
          <w:szCs w:val="21"/>
          <w:highlight w:val="none"/>
        </w:rPr>
        <w:t>。</w:t>
      </w:r>
    </w:p>
    <w:p w14:paraId="72E4B1EA">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承包人提交的竣工资料的费用承担：</w:t>
      </w:r>
      <w:r>
        <w:rPr>
          <w:rFonts w:hint="default" w:ascii="Times New Roman" w:hAnsi="Times New Roman" w:eastAsia="方正仿宋_GBK" w:cs="Times New Roman"/>
          <w:color w:val="auto"/>
          <w:sz w:val="21"/>
          <w:szCs w:val="21"/>
          <w:highlight w:val="none"/>
          <w:u w:val="single"/>
        </w:rPr>
        <w:t>由承包人承担</w:t>
      </w:r>
      <w:r>
        <w:rPr>
          <w:rFonts w:hint="default" w:ascii="Times New Roman" w:hAnsi="Times New Roman" w:eastAsia="方正仿宋_GBK" w:cs="Times New Roman"/>
          <w:color w:val="auto"/>
          <w:sz w:val="21"/>
          <w:szCs w:val="21"/>
          <w:highlight w:val="none"/>
        </w:rPr>
        <w:t>。</w:t>
      </w:r>
    </w:p>
    <w:p w14:paraId="1A8CE840">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承包人提交的竣工资料移交时间：</w:t>
      </w:r>
      <w:r>
        <w:rPr>
          <w:rFonts w:hint="default" w:ascii="Times New Roman" w:hAnsi="Times New Roman" w:eastAsia="方正仿宋_GBK" w:cs="Times New Roman"/>
          <w:color w:val="auto"/>
          <w:sz w:val="21"/>
          <w:szCs w:val="21"/>
          <w:highlight w:val="none"/>
          <w:u w:val="single"/>
        </w:rPr>
        <w:t xml:space="preserve">工程竣工验收合格后 </w:t>
      </w:r>
      <w:r>
        <w:rPr>
          <w:rFonts w:hint="default" w:ascii="Times New Roman" w:hAnsi="Times New Roman" w:eastAsia="方正仿宋_GBK" w:cs="Times New Roman"/>
          <w:color w:val="auto"/>
          <w:sz w:val="21"/>
          <w:szCs w:val="21"/>
          <w:highlight w:val="none"/>
          <w:u w:val="single"/>
          <w:lang w:val="en-US" w:eastAsia="zh-CN"/>
        </w:rPr>
        <w:t xml:space="preserve">1 </w:t>
      </w:r>
      <w:r>
        <w:rPr>
          <w:rFonts w:hint="default" w:ascii="Times New Roman" w:hAnsi="Times New Roman" w:eastAsia="方正仿宋_GBK" w:cs="Times New Roman"/>
          <w:color w:val="auto"/>
          <w:sz w:val="21"/>
          <w:szCs w:val="21"/>
          <w:highlight w:val="none"/>
          <w:u w:val="single"/>
        </w:rPr>
        <w:t xml:space="preserve"> 个月内移交给发包人</w:t>
      </w:r>
      <w:r>
        <w:rPr>
          <w:rFonts w:hint="default" w:ascii="Times New Roman" w:hAnsi="Times New Roman" w:eastAsia="方正仿宋_GBK" w:cs="Times New Roman"/>
          <w:color w:val="auto"/>
          <w:sz w:val="21"/>
          <w:szCs w:val="21"/>
          <w:highlight w:val="none"/>
        </w:rPr>
        <w:t>。</w:t>
      </w:r>
    </w:p>
    <w:p w14:paraId="1D95801D">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承包人提交的竣工资料形式要求：</w:t>
      </w:r>
      <w:r>
        <w:rPr>
          <w:rFonts w:hint="default" w:ascii="Times New Roman" w:hAnsi="Times New Roman" w:eastAsia="方正仿宋_GBK" w:cs="Times New Roman"/>
          <w:color w:val="auto"/>
          <w:sz w:val="21"/>
          <w:szCs w:val="21"/>
          <w:highlight w:val="none"/>
          <w:u w:val="single"/>
        </w:rPr>
        <w:t>完整的书面文件及电子文档</w:t>
      </w:r>
      <w:r>
        <w:rPr>
          <w:rFonts w:hint="default" w:ascii="Times New Roman" w:hAnsi="Times New Roman" w:eastAsia="方正仿宋_GBK" w:cs="Times New Roman"/>
          <w:color w:val="auto"/>
          <w:sz w:val="21"/>
          <w:szCs w:val="21"/>
          <w:highlight w:val="none"/>
        </w:rPr>
        <w:t>。</w:t>
      </w:r>
    </w:p>
    <w:p w14:paraId="455297AF">
      <w:pPr>
        <w:numPr>
          <w:ilvl w:val="0"/>
          <w:numId w:val="0"/>
        </w:num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lang w:eastAsia="zh-CN"/>
        </w:rPr>
        <w:t>（</w:t>
      </w:r>
      <w:r>
        <w:rPr>
          <w:rFonts w:hint="default" w:ascii="Times New Roman" w:hAnsi="Times New Roman" w:eastAsia="方正仿宋_GBK" w:cs="Times New Roman"/>
          <w:color w:val="auto"/>
          <w:sz w:val="21"/>
          <w:szCs w:val="21"/>
          <w:highlight w:val="none"/>
          <w:lang w:val="en-US" w:eastAsia="zh-CN"/>
        </w:rPr>
        <w:t>6）</w:t>
      </w:r>
      <w:r>
        <w:rPr>
          <w:rFonts w:hint="default" w:ascii="Times New Roman" w:hAnsi="Times New Roman" w:eastAsia="方正仿宋_GBK" w:cs="Times New Roman"/>
          <w:color w:val="auto"/>
          <w:sz w:val="21"/>
          <w:szCs w:val="21"/>
          <w:highlight w:val="none"/>
        </w:rPr>
        <w:t>承包人应履行的其他义务：</w:t>
      </w:r>
    </w:p>
    <w:p w14:paraId="420E6450">
      <w:pPr>
        <w:numPr>
          <w:ilvl w:val="0"/>
          <w:numId w:val="0"/>
        </w:num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3.1.10.1在开始施工之前，承包人应核查、复测本工程的各种基准标志。承包人应及时将上述基准标志中存在的错误、不完整或其他缺陷通知发包人，以便发包人核实后重新确认。</w:t>
      </w:r>
    </w:p>
    <w:p w14:paraId="2678DA30">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3.1.10.2承包人应负责合同工程范围内测量控制网的测量设定和管理工作，为控制施工造成测量控制网误差累加，每月承包人复测一次测量控制网，并将修正数据及时通知发包人。经监理人批准，其他相关承包人可免费使用施工控制网。</w:t>
      </w:r>
    </w:p>
    <w:p w14:paraId="35C201F8">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3.1.10.3承包人应在开始施工之前对本工程进行排查，补充完善遗漏的危大工程重点部位及环节。危大工程施工前，承包人应对危大工程编制专项施工方案，对于超过一定规模的危大工程，承包人还应组织召开专家论证会对专项施工方案进行论证，通过后方可实施。</w:t>
      </w:r>
    </w:p>
    <w:p w14:paraId="11825DC6">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3.1.10.4承包人应服从发包人要求的管理模式、工作方式和工作要求，同时接受监理人、跟审单位的管理和全程监督，配合项目结、决算的办理。</w:t>
      </w:r>
    </w:p>
    <w:p w14:paraId="7CCD678C">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3.1.10.5承包人应为本工程开立专用帐户，接受发包人的监管。 </w:t>
      </w:r>
    </w:p>
    <w:p w14:paraId="3710FD4A">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3.2 项目经理</w:t>
      </w:r>
    </w:p>
    <w:p w14:paraId="0C4B4614">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kern w:val="0"/>
          <w:sz w:val="21"/>
          <w:szCs w:val="21"/>
          <w:highlight w:val="none"/>
        </w:rPr>
        <w:t xml:space="preserve">3.2.1 </w:t>
      </w:r>
      <w:r>
        <w:rPr>
          <w:rFonts w:hint="default" w:ascii="Times New Roman" w:hAnsi="Times New Roman" w:eastAsia="方正仿宋_GBK" w:cs="Times New Roman"/>
          <w:color w:val="auto"/>
          <w:sz w:val="21"/>
          <w:szCs w:val="21"/>
          <w:highlight w:val="none"/>
        </w:rPr>
        <w:t>项目经理：</w:t>
      </w:r>
    </w:p>
    <w:p w14:paraId="27B8E90A">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姓    名：</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0FFBB43F">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身份证号：</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4B28423D">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建造师执业资格等级：</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14737476">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建造师注册证书号：</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3F14DFBC">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建造师执业印章号：</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7C92EFC3">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安全生产考核合格证书号：</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15FDEE0D">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联系电话：</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6D479A94">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电子信箱：</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3D805FC9">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通信地址：</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45D5E21A">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承包人对项目经理的授权范围如下：</w:t>
      </w:r>
      <w:r>
        <w:rPr>
          <w:rFonts w:hint="default" w:ascii="Times New Roman" w:hAnsi="Times New Roman" w:eastAsia="方正仿宋_GBK" w:cs="Times New Roman"/>
          <w:color w:val="auto"/>
          <w:sz w:val="21"/>
          <w:szCs w:val="21"/>
          <w:highlight w:val="none"/>
          <w:u w:val="single"/>
        </w:rPr>
        <w:t>严格按设计图纸、现行国家施工规范及验收规范组织施工，保证工程质量、进度、安全；及时向监理人、发包人报告现场情况（以承包人书面授权范围为准）</w:t>
      </w:r>
      <w:r>
        <w:rPr>
          <w:rFonts w:hint="default" w:ascii="Times New Roman" w:hAnsi="Times New Roman" w:eastAsia="方正仿宋_GBK" w:cs="Times New Roman"/>
          <w:color w:val="auto"/>
          <w:sz w:val="21"/>
          <w:szCs w:val="21"/>
          <w:highlight w:val="none"/>
        </w:rPr>
        <w:t>。</w:t>
      </w:r>
    </w:p>
    <w:p w14:paraId="3F378A17">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关于项目经理每月在施工现场的时间要求：</w:t>
      </w:r>
      <w:r>
        <w:rPr>
          <w:rFonts w:hint="default" w:ascii="Times New Roman" w:hAnsi="Times New Roman" w:eastAsia="方正仿宋_GBK" w:cs="Times New Roman"/>
          <w:color w:val="auto"/>
          <w:sz w:val="21"/>
          <w:szCs w:val="21"/>
          <w:highlight w:val="none"/>
          <w:u w:val="single"/>
        </w:rPr>
        <w:t>不少于22天，并附考勤证明材料</w:t>
      </w:r>
      <w:r>
        <w:rPr>
          <w:rFonts w:hint="default" w:ascii="Times New Roman" w:hAnsi="Times New Roman" w:eastAsia="方正仿宋_GBK" w:cs="Times New Roman"/>
          <w:color w:val="auto"/>
          <w:sz w:val="21"/>
          <w:szCs w:val="21"/>
          <w:highlight w:val="none"/>
        </w:rPr>
        <w:t>。</w:t>
      </w:r>
    </w:p>
    <w:p w14:paraId="25ED41B8">
      <w:pPr>
        <w:snapToGrid w:val="0"/>
        <w:spacing w:line="360" w:lineRule="auto"/>
        <w:ind w:firstLine="420" w:firstLineChars="20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u w:val="single"/>
        </w:rPr>
        <w:t>承包人应在合同签订后7天内提交与项目经理签订的劳动合同及为项目经理缴纳社会保险的证明，承包人未在限期内提交的，项目经理无权履行职责，发包人有权要求更换项目经理。</w:t>
      </w:r>
    </w:p>
    <w:p w14:paraId="72AC0B37">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3.2.2 技术负责人</w:t>
      </w:r>
    </w:p>
    <w:p w14:paraId="051333E7">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姓    名：</w:t>
      </w:r>
      <w:r>
        <w:rPr>
          <w:rFonts w:hint="default" w:ascii="Times New Roman" w:hAnsi="Times New Roman" w:eastAsia="方正仿宋_GBK" w:cs="Times New Roman"/>
          <w:color w:val="auto"/>
          <w:sz w:val="21"/>
          <w:szCs w:val="21"/>
          <w:highlight w:val="none"/>
          <w:u w:val="single"/>
        </w:rPr>
        <w:t xml:space="preserve">                          </w:t>
      </w:r>
      <w:r>
        <w:rPr>
          <w:rFonts w:hint="default" w:ascii="Times New Roman" w:hAnsi="Times New Roman" w:eastAsia="方正仿宋_GBK" w:cs="Times New Roman"/>
          <w:color w:val="auto"/>
          <w:sz w:val="21"/>
          <w:szCs w:val="21"/>
          <w:highlight w:val="none"/>
        </w:rPr>
        <w:t xml:space="preserve"> ；</w:t>
      </w:r>
    </w:p>
    <w:p w14:paraId="58F96E09">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身份证号：</w:t>
      </w:r>
      <w:r>
        <w:rPr>
          <w:rFonts w:hint="default" w:ascii="Times New Roman" w:hAnsi="Times New Roman" w:eastAsia="方正仿宋_GBK" w:cs="Times New Roman"/>
          <w:color w:val="auto"/>
          <w:sz w:val="21"/>
          <w:szCs w:val="21"/>
          <w:highlight w:val="none"/>
          <w:u w:val="single"/>
        </w:rPr>
        <w:t xml:space="preserve">                           </w:t>
      </w:r>
      <w:r>
        <w:rPr>
          <w:rFonts w:hint="default" w:ascii="Times New Roman" w:hAnsi="Times New Roman" w:eastAsia="方正仿宋_GBK" w:cs="Times New Roman"/>
          <w:color w:val="auto"/>
          <w:sz w:val="21"/>
          <w:szCs w:val="21"/>
          <w:highlight w:val="none"/>
        </w:rPr>
        <w:t>；</w:t>
      </w:r>
    </w:p>
    <w:p w14:paraId="3F02D7C3">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联系方式：</w:t>
      </w:r>
      <w:r>
        <w:rPr>
          <w:rFonts w:hint="default" w:ascii="Times New Roman" w:hAnsi="Times New Roman" w:eastAsia="方正仿宋_GBK" w:cs="Times New Roman"/>
          <w:color w:val="auto"/>
          <w:sz w:val="21"/>
          <w:szCs w:val="21"/>
          <w:highlight w:val="none"/>
          <w:u w:val="single"/>
        </w:rPr>
        <w:t xml:space="preserve">                          </w:t>
      </w:r>
      <w:r>
        <w:rPr>
          <w:rFonts w:hint="default" w:ascii="Times New Roman" w:hAnsi="Times New Roman" w:eastAsia="方正仿宋_GBK" w:cs="Times New Roman"/>
          <w:color w:val="auto"/>
          <w:sz w:val="21"/>
          <w:szCs w:val="21"/>
          <w:highlight w:val="none"/>
        </w:rPr>
        <w:t xml:space="preserve"> ；</w:t>
      </w:r>
    </w:p>
    <w:p w14:paraId="2EB5F76F">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专     业：</w:t>
      </w:r>
      <w:r>
        <w:rPr>
          <w:rFonts w:hint="default" w:ascii="Times New Roman" w:hAnsi="Times New Roman" w:eastAsia="方正仿宋_GBK" w:cs="Times New Roman"/>
          <w:color w:val="auto"/>
          <w:sz w:val="21"/>
          <w:szCs w:val="21"/>
          <w:highlight w:val="none"/>
          <w:u w:val="single"/>
        </w:rPr>
        <w:t xml:space="preserve">                          </w:t>
      </w:r>
      <w:r>
        <w:rPr>
          <w:rFonts w:hint="default" w:ascii="Times New Roman" w:hAnsi="Times New Roman" w:eastAsia="方正仿宋_GBK" w:cs="Times New Roman"/>
          <w:color w:val="auto"/>
          <w:sz w:val="21"/>
          <w:szCs w:val="21"/>
          <w:highlight w:val="none"/>
        </w:rPr>
        <w:t xml:space="preserve"> ；</w:t>
      </w:r>
    </w:p>
    <w:p w14:paraId="0AC90FDA">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证书名称及号码：</w:t>
      </w:r>
      <w:r>
        <w:rPr>
          <w:rFonts w:hint="default" w:ascii="Times New Roman" w:hAnsi="Times New Roman" w:eastAsia="方正仿宋_GBK" w:cs="Times New Roman"/>
          <w:color w:val="auto"/>
          <w:sz w:val="21"/>
          <w:szCs w:val="21"/>
          <w:highlight w:val="none"/>
          <w:u w:val="single"/>
        </w:rPr>
        <w:t xml:space="preserve">                         </w:t>
      </w:r>
      <w:r>
        <w:rPr>
          <w:rFonts w:hint="default" w:ascii="Times New Roman" w:hAnsi="Times New Roman" w:eastAsia="方正仿宋_GBK" w:cs="Times New Roman"/>
          <w:color w:val="auto"/>
          <w:sz w:val="21"/>
          <w:szCs w:val="21"/>
          <w:highlight w:val="none"/>
        </w:rPr>
        <w:t>；</w:t>
      </w:r>
    </w:p>
    <w:p w14:paraId="5A098EFA">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联系方式：</w:t>
      </w:r>
      <w:r>
        <w:rPr>
          <w:rFonts w:hint="default" w:ascii="Times New Roman" w:hAnsi="Times New Roman" w:eastAsia="方正仿宋_GBK" w:cs="Times New Roman"/>
          <w:color w:val="auto"/>
          <w:sz w:val="21"/>
          <w:szCs w:val="21"/>
          <w:highlight w:val="none"/>
          <w:u w:val="single"/>
        </w:rPr>
        <w:t xml:space="preserve">         </w:t>
      </w:r>
      <w:r>
        <w:rPr>
          <w:rFonts w:hint="default" w:ascii="Times New Roman" w:hAnsi="Times New Roman" w:eastAsia="方正仿宋_GBK" w:cs="Times New Roman"/>
          <w:color w:val="auto"/>
          <w:sz w:val="21"/>
          <w:szCs w:val="21"/>
          <w:highlight w:val="none"/>
        </w:rPr>
        <w:t>。</w:t>
      </w:r>
    </w:p>
    <w:p w14:paraId="64E9C0C3">
      <w:pPr>
        <w:snapToGrid w:val="0"/>
        <w:spacing w:line="360" w:lineRule="auto"/>
        <w:ind w:firstLine="420" w:firstLineChars="20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u w:val="single"/>
        </w:rPr>
        <w:t>关于技术负责人每月在施工现场的时间要求：不少于22天，并附考勤证明材料。</w:t>
      </w:r>
    </w:p>
    <w:p w14:paraId="5FE4F282">
      <w:pPr>
        <w:snapToGrid w:val="0"/>
        <w:spacing w:line="360" w:lineRule="auto"/>
        <w:ind w:firstLine="420" w:firstLineChars="20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u w:val="single"/>
        </w:rPr>
        <w:t>承包人应在合同签订后7天内提交与技术负责人签订的劳动合同及为技术负责人缴纳社会保险的证明，承包人未在限期内提交的，技术负责人无权履行职责，发包人有权要求更换技术负责人。</w:t>
      </w:r>
      <w:bookmarkStart w:id="214" w:name="_Hlk528927599"/>
    </w:p>
    <w:bookmarkEnd w:id="214"/>
    <w:p w14:paraId="4E8F1BC2">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bookmarkStart w:id="215" w:name="_Hlk528927718"/>
      <w:r>
        <w:rPr>
          <w:rFonts w:hint="default" w:ascii="Times New Roman" w:hAnsi="Times New Roman" w:eastAsia="方正仿宋_GBK" w:cs="Times New Roman"/>
          <w:color w:val="auto"/>
          <w:sz w:val="21"/>
          <w:szCs w:val="21"/>
          <w:highlight w:val="none"/>
        </w:rPr>
        <w:t>3.2.3 发包人有权书面通知承包人更换其认为不称职/不履职的项目经理和（或）技术负责人，通知中应当载明要求更换的理由。承包人应在接到更换通知后7天内向发包人提出书面的改进报告。发包人收到改进报告后仍要求更换的，承包人应在接到第二次更换通知的14天内进行更换，并将新任命的项目经理和（或）技术负责人的注册执业资格、职称证书、管理经验等资料书面报送发包人审核批准。继任项目经理和（或）技术负责人继续履行合同约定的职责。</w:t>
      </w:r>
      <w:bookmarkEnd w:id="215"/>
    </w:p>
    <w:p w14:paraId="6CE64008">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若项目经理和技术负责人出现下列情形需更换的，承包人按通用条款第3.2.3项的规定向发包人发出通知，经发包人领导班子集体决策同意后予以批准，并将变更信息推送给行业主管部门：</w:t>
      </w:r>
    </w:p>
    <w:p w14:paraId="25CF5554">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1、死亡；</w:t>
      </w:r>
    </w:p>
    <w:p w14:paraId="631D0EDB">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2、非承包人原因导致工期延长，而致使项目经理和技术负责人达到法定退休年龄且确需退休；</w:t>
      </w:r>
    </w:p>
    <w:p w14:paraId="659E4F6D">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3、按《职工非因工伤残或因病丧失劳动能力程度鉴定标准（试行）》规定鉴定为完全丧失劳动能力和大部分丧失劳动能力；</w:t>
      </w:r>
    </w:p>
    <w:p w14:paraId="557C3D76">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4、非承包人原因导致中标3个月不能开工；</w:t>
      </w:r>
    </w:p>
    <w:p w14:paraId="61D7F2DA">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5、被公安或者司法机关限制人身自由；</w:t>
      </w:r>
    </w:p>
    <w:p w14:paraId="4277F459">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6、被取消职称或者执业资格，不满足项目管理要求；</w:t>
      </w:r>
    </w:p>
    <w:p w14:paraId="194C855C">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7、非承包人原因导致确需变更的其它情形。</w:t>
      </w:r>
    </w:p>
    <w:p w14:paraId="674F903B">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本款补充3.2.6项</w:t>
      </w:r>
    </w:p>
    <w:p w14:paraId="77C08F85">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3.2.6 国有投资项目其他主要人员变更参照《重庆市政府投资项目合同变更管理暂行办法》的规定。</w:t>
      </w:r>
    </w:p>
    <w:p w14:paraId="4A5A301D">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3.3 承包人人员</w:t>
      </w:r>
    </w:p>
    <w:p w14:paraId="0F2E9564">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3.3.1 承包人应按建设行政主管部门现行规定配备现场施工从业人员，具体要求如下：        </w:t>
      </w:r>
    </w:p>
    <w:p w14:paraId="71E1D344">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3.3.2承包人派驻到施工现场的主要施工管理人员在施工过程中如有变动，承包人应及时向监理人提交施工现场人员变动情况的报告。承包人更换主要施工管理人员时，应提前7天书面通知监理人，并征得发包人书面同意。通知中应当载明继任人员的职称、执业资格、项目管理经验等资料。更换后的施工管理人员应当是承包人的正式员工，且在职称、执业资格、项目管理经验等方面不低于原施工管理人员。</w:t>
      </w:r>
    </w:p>
    <w:p w14:paraId="13787471">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3.3.3 发包人有权书面通知承包人更换其认为不称职的主要施工管理人员，通知中应当载明要求更换的理由。承包人应在接到更换通知后7天内向发包人提出书面的改进报告。发包人收到改进报告后仍要求更换的，承包人应在接到第二次更换通知的7天内进行更换，并将新委派的主要施工管理人员的注册执业资格、职称证书、管理经验等资料书面报送发包人审核批准。</w:t>
      </w:r>
    </w:p>
    <w:p w14:paraId="373955C6">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3.3.4 承包人主要施工管理人员离开施工现场，指定的临时人员需满足：</w:t>
      </w:r>
      <w:r>
        <w:rPr>
          <w:rFonts w:hint="default" w:ascii="Times New Roman" w:hAnsi="Times New Roman" w:eastAsia="方正仿宋_GBK" w:cs="Times New Roman"/>
          <w:color w:val="auto"/>
          <w:sz w:val="21"/>
          <w:szCs w:val="21"/>
          <w:highlight w:val="none"/>
          <w:u w:val="single"/>
        </w:rPr>
        <w:t>《重庆市房屋建筑与市政基础设施工程现场施工从业人员配备标准》（DBJ50-157-2013）的相应要求。</w:t>
      </w:r>
    </w:p>
    <w:p w14:paraId="2AE4B548">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w:t>
      </w:r>
      <w:bookmarkStart w:id="216" w:name="_Toc296503159"/>
      <w:bookmarkStart w:id="217" w:name="_Toc304295523"/>
      <w:bookmarkStart w:id="218" w:name="_Toc297048345"/>
      <w:bookmarkStart w:id="219" w:name="_Toc292559869"/>
      <w:bookmarkStart w:id="220" w:name="_Toc312677988"/>
      <w:bookmarkStart w:id="221" w:name="_Toc296347158"/>
      <w:bookmarkStart w:id="222" w:name="_Toc296346660"/>
      <w:bookmarkStart w:id="223" w:name="_Toc300934945"/>
      <w:bookmarkStart w:id="224" w:name="_Toc297123492"/>
      <w:bookmarkStart w:id="225" w:name="_Toc296891199"/>
      <w:bookmarkStart w:id="226" w:name="_Toc292559364"/>
      <w:bookmarkStart w:id="227" w:name="_Toc297216151"/>
      <w:bookmarkStart w:id="228" w:name="_Toc303539102"/>
      <w:bookmarkStart w:id="229" w:name="_Toc297120459"/>
      <w:bookmarkStart w:id="230" w:name="_Toc296944498"/>
      <w:bookmarkStart w:id="231" w:name="_Toc296890987"/>
      <w:r>
        <w:rPr>
          <w:rFonts w:hint="default" w:ascii="Times New Roman" w:hAnsi="Times New Roman" w:eastAsia="方正仿宋_GBK" w:cs="Times New Roman"/>
          <w:color w:val="auto"/>
          <w:sz w:val="21"/>
          <w:szCs w:val="21"/>
          <w:highlight w:val="none"/>
        </w:rPr>
        <w:t>.5 分包</w:t>
      </w:r>
    </w:p>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14:paraId="4698ACA7">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w:t>
      </w:r>
      <w:bookmarkStart w:id="232" w:name="_Toc292559365"/>
      <w:bookmarkStart w:id="233" w:name="_Toc296347159"/>
      <w:bookmarkStart w:id="234" w:name="_Toc304295524"/>
      <w:bookmarkStart w:id="235" w:name="_Toc296891200"/>
      <w:bookmarkStart w:id="236" w:name="_Toc292559870"/>
      <w:bookmarkStart w:id="237" w:name="_Toc296346661"/>
      <w:bookmarkStart w:id="238" w:name="_Toc303539103"/>
      <w:bookmarkStart w:id="239" w:name="_Toc300934946"/>
      <w:bookmarkStart w:id="240" w:name="_Toc297216152"/>
      <w:bookmarkStart w:id="241" w:name="_Toc296944499"/>
      <w:bookmarkStart w:id="242" w:name="_Toc296890988"/>
      <w:bookmarkStart w:id="243" w:name="_Toc297123493"/>
      <w:bookmarkStart w:id="244" w:name="_Toc296503160"/>
      <w:bookmarkStart w:id="245" w:name="_Toc297048346"/>
      <w:bookmarkStart w:id="246" w:name="_Toc297120460"/>
      <w:bookmarkStart w:id="247" w:name="_Toc312677989"/>
      <w:bookmarkStart w:id="248" w:name="_Toc318581158"/>
      <w:r>
        <w:rPr>
          <w:rFonts w:hint="default" w:ascii="Times New Roman" w:hAnsi="Times New Roman" w:eastAsia="方正仿宋_GBK" w:cs="Times New Roman"/>
          <w:color w:val="auto"/>
          <w:sz w:val="21"/>
          <w:szCs w:val="21"/>
          <w:highlight w:val="none"/>
        </w:rPr>
        <w:t>.5.1 分包的一般约定</w:t>
      </w:r>
    </w:p>
    <w:p w14:paraId="7E21E8F4">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禁止分包的工程包括：</w:t>
      </w:r>
      <w:r>
        <w:rPr>
          <w:rFonts w:hint="default" w:ascii="Times New Roman" w:hAnsi="Times New Roman" w:eastAsia="方正仿宋_GBK" w:cs="Times New Roman"/>
          <w:color w:val="auto"/>
          <w:sz w:val="21"/>
          <w:szCs w:val="21"/>
          <w:highlight w:val="none"/>
          <w:u w:val="single"/>
        </w:rPr>
        <w:t xml:space="preserve">本工程不得分包  </w:t>
      </w:r>
      <w:r>
        <w:rPr>
          <w:rFonts w:hint="default" w:ascii="Times New Roman" w:hAnsi="Times New Roman" w:eastAsia="方正仿宋_GBK" w:cs="Times New Roman"/>
          <w:color w:val="auto"/>
          <w:sz w:val="21"/>
          <w:szCs w:val="21"/>
          <w:highlight w:val="none"/>
        </w:rPr>
        <w:t>。</w:t>
      </w:r>
    </w:p>
    <w:p w14:paraId="761AEC1F">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主体结构、关键性工作的范围：</w:t>
      </w:r>
      <w:r>
        <w:rPr>
          <w:rFonts w:hint="default" w:ascii="Times New Roman" w:hAnsi="Times New Roman" w:eastAsia="方正仿宋_GBK" w:cs="Times New Roman"/>
          <w:color w:val="auto"/>
          <w:sz w:val="21"/>
          <w:szCs w:val="21"/>
          <w:highlight w:val="none"/>
          <w:u w:val="single"/>
        </w:rPr>
        <w:t xml:space="preserve">本工程不得分包    </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Start w:id="249" w:name="_Toc304295525"/>
      <w:bookmarkStart w:id="250" w:name="_Toc297120461"/>
      <w:bookmarkStart w:id="251" w:name="_Toc296346662"/>
      <w:bookmarkStart w:id="252" w:name="_Toc296890989"/>
      <w:bookmarkStart w:id="253" w:name="_Toc300934947"/>
      <w:bookmarkStart w:id="254" w:name="_Toc297216153"/>
      <w:bookmarkStart w:id="255" w:name="_Toc296891201"/>
      <w:bookmarkStart w:id="256" w:name="_Toc296944500"/>
      <w:bookmarkStart w:id="257" w:name="_Toc296347160"/>
      <w:bookmarkStart w:id="258" w:name="_Toc297048347"/>
      <w:bookmarkStart w:id="259" w:name="_Toc297123494"/>
      <w:bookmarkStart w:id="260" w:name="_Toc303539104"/>
      <w:bookmarkStart w:id="261" w:name="_Toc296503161"/>
    </w:p>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14:paraId="7B5B655E">
      <w:pPr>
        <w:snapToGrid w:val="0"/>
        <w:spacing w:line="360" w:lineRule="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    3</w:t>
      </w:r>
      <w:bookmarkStart w:id="262" w:name="_Toc312677990"/>
      <w:bookmarkStart w:id="263" w:name="_Toc318581159"/>
      <w:r>
        <w:rPr>
          <w:rFonts w:hint="default" w:ascii="Times New Roman" w:hAnsi="Times New Roman" w:eastAsia="方正仿宋_GBK" w:cs="Times New Roman"/>
          <w:color w:val="auto"/>
          <w:sz w:val="21"/>
          <w:szCs w:val="21"/>
          <w:highlight w:val="none"/>
        </w:rPr>
        <w:t>.5.2分包的确定</w:t>
      </w:r>
    </w:p>
    <w:p w14:paraId="767EEBBE">
      <w:pPr>
        <w:snapToGrid w:val="0"/>
        <w:spacing w:line="360" w:lineRule="auto"/>
        <w:ind w:firstLine="420" w:firstLineChars="20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允许分包的专业工程包括：</w:t>
      </w:r>
      <w:r>
        <w:rPr>
          <w:rFonts w:hint="default" w:ascii="Times New Roman" w:hAnsi="Times New Roman" w:eastAsia="方正仿宋_GBK" w:cs="Times New Roman"/>
          <w:color w:val="auto"/>
          <w:sz w:val="21"/>
          <w:szCs w:val="21"/>
          <w:highlight w:val="none"/>
          <w:u w:val="single"/>
        </w:rPr>
        <w:t xml:space="preserve">本工程不得分包    </w:t>
      </w:r>
      <w:r>
        <w:rPr>
          <w:rFonts w:hint="default" w:ascii="Times New Roman" w:hAnsi="Times New Roman" w:eastAsia="方正仿宋_GBK" w:cs="Times New Roman"/>
          <w:color w:val="auto"/>
          <w:sz w:val="21"/>
          <w:szCs w:val="21"/>
          <w:highlight w:val="none"/>
        </w:rPr>
        <w:t>。</w:t>
      </w:r>
    </w:p>
    <w:p w14:paraId="09424BDE">
      <w:pPr>
        <w:snapToGrid w:val="0"/>
        <w:spacing w:line="360" w:lineRule="auto"/>
        <w:ind w:firstLine="420" w:firstLineChars="20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其他关于分包的约定：</w:t>
      </w:r>
      <w:r>
        <w:rPr>
          <w:rFonts w:hint="default" w:ascii="Times New Roman" w:hAnsi="Times New Roman" w:eastAsia="方正仿宋_GBK" w:cs="Times New Roman"/>
          <w:color w:val="auto"/>
          <w:sz w:val="21"/>
          <w:szCs w:val="21"/>
          <w:highlight w:val="none"/>
          <w:u w:val="single"/>
        </w:rPr>
        <w:t xml:space="preserve">  本工程不得分包      </w:t>
      </w:r>
      <w:r>
        <w:rPr>
          <w:rFonts w:hint="default" w:ascii="Times New Roman" w:hAnsi="Times New Roman" w:eastAsia="方正仿宋_GBK" w:cs="Times New Roman"/>
          <w:color w:val="auto"/>
          <w:sz w:val="21"/>
          <w:szCs w:val="21"/>
          <w:highlight w:val="none"/>
        </w:rPr>
        <w:t>。</w:t>
      </w:r>
    </w:p>
    <w:bookmarkEnd w:id="262"/>
    <w:bookmarkEnd w:id="263"/>
    <w:p w14:paraId="6C94196F">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3.6 工程照管与成品、半成品保护</w:t>
      </w:r>
    </w:p>
    <w:p w14:paraId="65622A38">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u w:val="single"/>
        </w:rPr>
      </w:pPr>
      <w:r>
        <w:rPr>
          <w:rFonts w:hint="default" w:ascii="Times New Roman" w:hAnsi="Times New Roman" w:eastAsia="方正仿宋_GBK" w:cs="Times New Roman"/>
          <w:color w:val="auto"/>
          <w:kern w:val="0"/>
          <w:sz w:val="21"/>
          <w:szCs w:val="21"/>
          <w:highlight w:val="none"/>
        </w:rPr>
        <w:t>承包人负责照管工程及工程相关的材料、工程设备的起始时间：</w:t>
      </w:r>
      <w:r>
        <w:rPr>
          <w:rFonts w:hint="default" w:ascii="Times New Roman" w:hAnsi="Times New Roman" w:eastAsia="方正仿宋_GBK" w:cs="Times New Roman"/>
          <w:color w:val="auto"/>
          <w:sz w:val="21"/>
          <w:szCs w:val="21"/>
          <w:highlight w:val="none"/>
          <w:u w:val="single"/>
        </w:rPr>
        <w:t>按通用条款执行</w:t>
      </w:r>
      <w:r>
        <w:rPr>
          <w:rFonts w:hint="default" w:ascii="Times New Roman" w:hAnsi="Times New Roman" w:eastAsia="方正仿宋_GBK" w:cs="Times New Roman"/>
          <w:color w:val="auto"/>
          <w:kern w:val="0"/>
          <w:sz w:val="21"/>
          <w:szCs w:val="21"/>
          <w:highlight w:val="none"/>
        </w:rPr>
        <w:t>。</w:t>
      </w:r>
    </w:p>
    <w:p w14:paraId="492C7308">
      <w:pPr>
        <w:snapToGrid w:val="0"/>
        <w:spacing w:line="360" w:lineRule="auto"/>
        <w:rPr>
          <w:rFonts w:hint="default" w:ascii="Times New Roman" w:hAnsi="Times New Roman" w:eastAsia="方正仿宋_GBK" w:cs="Times New Roman"/>
          <w:b/>
          <w:color w:val="auto"/>
          <w:kern w:val="0"/>
          <w:sz w:val="21"/>
          <w:szCs w:val="21"/>
          <w:highlight w:val="none"/>
        </w:rPr>
      </w:pPr>
      <w:bookmarkStart w:id="264" w:name="_Toc485992737"/>
      <w:bookmarkStart w:id="265" w:name="_Toc351203636"/>
      <w:bookmarkStart w:id="266" w:name="_Toc433623106"/>
      <w:bookmarkStart w:id="267" w:name="_Toc516756961"/>
      <w:bookmarkStart w:id="268" w:name="_Toc518391412"/>
      <w:r>
        <w:rPr>
          <w:rFonts w:hint="default" w:ascii="Times New Roman" w:hAnsi="Times New Roman" w:eastAsia="方正仿宋_GBK" w:cs="Times New Roman"/>
          <w:b/>
          <w:color w:val="auto"/>
          <w:kern w:val="0"/>
          <w:sz w:val="21"/>
          <w:szCs w:val="21"/>
          <w:highlight w:val="none"/>
        </w:rPr>
        <w:t>4</w:t>
      </w:r>
      <w:bookmarkStart w:id="269" w:name="_Toc296890990"/>
      <w:bookmarkStart w:id="270" w:name="_Toc297048348"/>
      <w:bookmarkStart w:id="271" w:name="_Toc292559871"/>
      <w:bookmarkStart w:id="272" w:name="_Toc296346663"/>
      <w:bookmarkStart w:id="273" w:name="_Toc297120462"/>
      <w:bookmarkStart w:id="274" w:name="_Toc296891202"/>
      <w:bookmarkStart w:id="275" w:name="_Toc296944501"/>
      <w:bookmarkStart w:id="276" w:name="_Toc296347161"/>
      <w:bookmarkStart w:id="277" w:name="_Toc296503162"/>
      <w:bookmarkStart w:id="278" w:name="_Toc292559366"/>
      <w:bookmarkStart w:id="279" w:name="_Toc267251413"/>
      <w:r>
        <w:rPr>
          <w:rFonts w:hint="default" w:ascii="Times New Roman" w:hAnsi="Times New Roman" w:eastAsia="方正仿宋_GBK" w:cs="Times New Roman"/>
          <w:b/>
          <w:color w:val="auto"/>
          <w:kern w:val="0"/>
          <w:sz w:val="21"/>
          <w:szCs w:val="21"/>
          <w:highlight w:val="none"/>
        </w:rPr>
        <w:t>. 监</w:t>
      </w:r>
      <w:bookmarkEnd w:id="269"/>
      <w:bookmarkEnd w:id="270"/>
      <w:bookmarkEnd w:id="271"/>
      <w:bookmarkEnd w:id="272"/>
      <w:bookmarkEnd w:id="273"/>
      <w:bookmarkEnd w:id="274"/>
      <w:bookmarkEnd w:id="275"/>
      <w:bookmarkEnd w:id="276"/>
      <w:bookmarkEnd w:id="277"/>
      <w:bookmarkEnd w:id="278"/>
      <w:bookmarkEnd w:id="279"/>
      <w:r>
        <w:rPr>
          <w:rFonts w:hint="default" w:ascii="Times New Roman" w:hAnsi="Times New Roman" w:eastAsia="方正仿宋_GBK" w:cs="Times New Roman"/>
          <w:b/>
          <w:color w:val="auto"/>
          <w:kern w:val="0"/>
          <w:sz w:val="21"/>
          <w:szCs w:val="21"/>
          <w:highlight w:val="none"/>
        </w:rPr>
        <w:t>理人</w:t>
      </w:r>
      <w:bookmarkEnd w:id="264"/>
      <w:bookmarkEnd w:id="265"/>
      <w:bookmarkEnd w:id="266"/>
      <w:bookmarkEnd w:id="267"/>
      <w:bookmarkEnd w:id="268"/>
    </w:p>
    <w:p w14:paraId="3A7A31A2">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4.1监理人的一般规定</w:t>
      </w:r>
    </w:p>
    <w:p w14:paraId="1014C22B">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关于监理人的监理内容：</w:t>
      </w:r>
      <w:r>
        <w:rPr>
          <w:rFonts w:hint="default" w:ascii="Times New Roman" w:hAnsi="Times New Roman" w:eastAsia="方正仿宋_GBK" w:cs="Times New Roman"/>
          <w:color w:val="auto"/>
          <w:sz w:val="21"/>
          <w:szCs w:val="21"/>
          <w:highlight w:val="none"/>
          <w:u w:val="single"/>
        </w:rPr>
        <w:t>按照发包人与监理方签订的监理合同执行。包括施工图示所有内容。具体包括：施工阶段全过程监理。包括：“三控制、三管理、一协调”即：投资控制、质量控制、进度控制；安全管理、合同管理、信息管理；协调有关单位之间的工作关系，配合所有工程结算审计和质量缺陷期内的争议问题处理</w:t>
      </w:r>
      <w:r>
        <w:rPr>
          <w:rFonts w:hint="default" w:ascii="Times New Roman" w:hAnsi="Times New Roman" w:eastAsia="方正仿宋_GBK" w:cs="Times New Roman"/>
          <w:color w:val="auto"/>
          <w:sz w:val="21"/>
          <w:szCs w:val="21"/>
          <w:highlight w:val="none"/>
        </w:rPr>
        <w:t>。</w:t>
      </w:r>
    </w:p>
    <w:p w14:paraId="112F61BA">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关于监理人的监理权限：</w:t>
      </w:r>
      <w:r>
        <w:rPr>
          <w:rFonts w:hint="default" w:ascii="Times New Roman" w:hAnsi="Times New Roman" w:eastAsia="方正仿宋_GBK" w:cs="Times New Roman"/>
          <w:color w:val="auto"/>
          <w:sz w:val="21"/>
          <w:szCs w:val="21"/>
          <w:highlight w:val="none"/>
          <w:u w:val="single"/>
        </w:rPr>
        <w:t>须经发包人事先批准行使的权力：开工、停工、复工令的签发需经发包人同意；工程计量与支付、工程设计变更、工程价款调整、工程签证以及施工组织设计和专项施工方案中涉及影响造价的内容均需发包人同意和批准后有效。其它按照发包人同监理单位签订的监理合同执行。对本工程项目的施工质量、进度、投资、安全文明施工、合同及信息管理等实施全过程监理和控制。对隐蔽工程、设备、材料及施工质量进行验收和工程量签证，对施工环境进行协调</w:t>
      </w:r>
      <w:r>
        <w:rPr>
          <w:rFonts w:hint="default" w:ascii="Times New Roman" w:hAnsi="Times New Roman" w:eastAsia="方正仿宋_GBK" w:cs="Times New Roman"/>
          <w:color w:val="auto"/>
          <w:sz w:val="21"/>
          <w:szCs w:val="21"/>
          <w:highlight w:val="none"/>
        </w:rPr>
        <w:t xml:space="preserve">。 </w:t>
      </w:r>
    </w:p>
    <w:p w14:paraId="1CEADC2B">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关于监理人在施工现场的办公场所、生活场所的提供和费用承担的约定：</w:t>
      </w:r>
      <w:r>
        <w:rPr>
          <w:rFonts w:hint="default" w:ascii="Times New Roman" w:hAnsi="Times New Roman" w:eastAsia="方正仿宋_GBK" w:cs="Times New Roman"/>
          <w:color w:val="auto"/>
          <w:sz w:val="21"/>
          <w:szCs w:val="21"/>
          <w:highlight w:val="none"/>
          <w:u w:val="single"/>
        </w:rPr>
        <w:t>由承包人承担。</w:t>
      </w:r>
    </w:p>
    <w:p w14:paraId="037932DB">
      <w:pPr>
        <w:snapToGrid w:val="0"/>
        <w:spacing w:line="360" w:lineRule="auto"/>
        <w:rPr>
          <w:rFonts w:hint="default" w:ascii="Times New Roman" w:hAnsi="Times New Roman" w:eastAsia="方正仿宋_GBK" w:cs="Times New Roman"/>
          <w:b/>
          <w:color w:val="auto"/>
          <w:kern w:val="0"/>
          <w:sz w:val="21"/>
          <w:szCs w:val="21"/>
          <w:highlight w:val="none"/>
        </w:rPr>
      </w:pPr>
      <w:bookmarkStart w:id="280" w:name="_Toc267251418"/>
      <w:bookmarkStart w:id="281" w:name="_Toc351203637"/>
      <w:bookmarkStart w:id="282" w:name="_Toc485992738"/>
      <w:bookmarkStart w:id="283" w:name="_Toc433623107"/>
      <w:bookmarkStart w:id="284" w:name="_Toc516756962"/>
      <w:bookmarkStart w:id="285" w:name="_Toc518391413"/>
      <w:r>
        <w:rPr>
          <w:rFonts w:hint="default" w:ascii="Times New Roman" w:hAnsi="Times New Roman" w:eastAsia="方正仿宋_GBK" w:cs="Times New Roman"/>
          <w:b/>
          <w:color w:val="auto"/>
          <w:kern w:val="0"/>
          <w:sz w:val="21"/>
          <w:szCs w:val="21"/>
          <w:highlight w:val="none"/>
        </w:rPr>
        <w:t>5</w:t>
      </w:r>
      <w:bookmarkEnd w:id="280"/>
      <w:bookmarkStart w:id="286" w:name="_Toc292559367"/>
      <w:bookmarkStart w:id="287" w:name="_Toc296944502"/>
      <w:bookmarkStart w:id="288" w:name="_Toc296891203"/>
      <w:bookmarkStart w:id="289" w:name="_Toc292559872"/>
      <w:bookmarkStart w:id="290" w:name="_Toc296890991"/>
      <w:bookmarkStart w:id="291" w:name="_Toc297120463"/>
      <w:bookmarkStart w:id="292" w:name="_Toc296347162"/>
      <w:bookmarkStart w:id="293" w:name="_Toc296346664"/>
      <w:bookmarkStart w:id="294" w:name="_Toc297048349"/>
      <w:bookmarkStart w:id="295" w:name="_Toc296503163"/>
      <w:r>
        <w:rPr>
          <w:rFonts w:hint="default" w:ascii="Times New Roman" w:hAnsi="Times New Roman" w:eastAsia="方正仿宋_GBK" w:cs="Times New Roman"/>
          <w:b/>
          <w:color w:val="auto"/>
          <w:kern w:val="0"/>
          <w:sz w:val="21"/>
          <w:szCs w:val="21"/>
          <w:highlight w:val="none"/>
        </w:rPr>
        <w:t>. 工程质量</w:t>
      </w:r>
      <w:bookmarkEnd w:id="281"/>
      <w:bookmarkEnd w:id="282"/>
      <w:bookmarkEnd w:id="283"/>
      <w:bookmarkEnd w:id="284"/>
      <w:bookmarkEnd w:id="285"/>
    </w:p>
    <w:p w14:paraId="7A8D09FF">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5.1 </w:t>
      </w:r>
      <w:r>
        <w:rPr>
          <w:rFonts w:hint="default" w:ascii="Times New Roman" w:hAnsi="Times New Roman" w:eastAsia="方正仿宋_GBK" w:cs="Times New Roman"/>
          <w:color w:val="auto"/>
          <w:kern w:val="0"/>
          <w:sz w:val="21"/>
          <w:szCs w:val="21"/>
          <w:highlight w:val="none"/>
        </w:rPr>
        <w:t>质量要求</w:t>
      </w:r>
    </w:p>
    <w:p w14:paraId="0D4DAA86">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5</w:t>
      </w:r>
      <w:bookmarkStart w:id="296" w:name="_Toc304295527"/>
      <w:bookmarkStart w:id="297" w:name="_Toc303539106"/>
      <w:bookmarkStart w:id="298" w:name="_Toc297216155"/>
      <w:bookmarkStart w:id="299" w:name="_Toc318581164"/>
      <w:bookmarkStart w:id="300" w:name="_Toc312677997"/>
      <w:bookmarkStart w:id="301" w:name="_Toc300934949"/>
      <w:bookmarkStart w:id="302" w:name="_Toc297123496"/>
      <w:r>
        <w:rPr>
          <w:rFonts w:hint="default" w:ascii="Times New Roman" w:hAnsi="Times New Roman" w:eastAsia="方正仿宋_GBK" w:cs="Times New Roman"/>
          <w:color w:val="auto"/>
          <w:sz w:val="21"/>
          <w:szCs w:val="21"/>
          <w:highlight w:val="none"/>
        </w:rPr>
        <w:t>.1.1 特殊质量标准和要求：</w:t>
      </w:r>
    </w:p>
    <w:p w14:paraId="04A336EC">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u w:val="single"/>
        </w:rPr>
        <w:t>质量要求：达到国家现行有关施工质量验收规范要求，并达到合格标准。</w:t>
      </w:r>
    </w:p>
    <w:p w14:paraId="7B4DED29">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u w:val="single"/>
        </w:rPr>
        <w:t>（1）基础设施工程、房屋建筑的地基基础工程和主体结构工程，为设计文件规定的该工程的合理使用年限。</w:t>
      </w:r>
    </w:p>
    <w:p w14:paraId="70FC2731">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u w:val="single"/>
        </w:rPr>
        <w:t>（2）屋面防水工程、有防水要求的卫生间、房间和外墙面的防渗漏，为5年。</w:t>
      </w:r>
    </w:p>
    <w:p w14:paraId="339F48B1">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u w:val="single"/>
        </w:rPr>
        <w:t>（3）供热与供冷系统，为2个采暖期、供冷期。</w:t>
      </w:r>
    </w:p>
    <w:p w14:paraId="4BE63F3F">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u w:val="single"/>
        </w:rPr>
        <w:t>（4）电气管线、给排水管道、设备安装和装修工程，为2年。</w:t>
      </w:r>
    </w:p>
    <w:p w14:paraId="64E63427">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u w:val="single"/>
        </w:rPr>
        <w:t>质量保修期自工程竣工验收合格(以竣工验收报告日期为准)之日起计算</w:t>
      </w:r>
      <w:r>
        <w:rPr>
          <w:rFonts w:hint="default" w:ascii="Times New Roman" w:hAnsi="Times New Roman" w:eastAsia="方正仿宋_GBK" w:cs="Times New Roman"/>
          <w:color w:val="auto"/>
          <w:sz w:val="21"/>
          <w:szCs w:val="21"/>
          <w:highlight w:val="none"/>
          <w:u w:val="single"/>
          <w:lang w:val="en-US" w:eastAsia="zh-CN"/>
        </w:rPr>
        <w:t>24个月</w:t>
      </w:r>
      <w:r>
        <w:rPr>
          <w:rFonts w:hint="default" w:ascii="Times New Roman" w:hAnsi="Times New Roman" w:eastAsia="方正仿宋_GBK" w:cs="Times New Roman"/>
          <w:color w:val="auto"/>
          <w:sz w:val="21"/>
          <w:szCs w:val="21"/>
          <w:highlight w:val="none"/>
          <w:u w:val="single"/>
        </w:rPr>
        <w:t>。</w:t>
      </w:r>
    </w:p>
    <w:p w14:paraId="5C9A88CD">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关于工程奖项的约定：</w:t>
      </w:r>
      <w:r>
        <w:rPr>
          <w:rFonts w:hint="default" w:ascii="Times New Roman" w:hAnsi="Times New Roman" w:eastAsia="方正仿宋_GBK" w:cs="Times New Roman"/>
          <w:color w:val="auto"/>
          <w:sz w:val="21"/>
          <w:szCs w:val="21"/>
          <w:highlight w:val="none"/>
          <w:u w:val="single"/>
        </w:rPr>
        <w:t xml:space="preserve">            无                  </w:t>
      </w:r>
    </w:p>
    <w:p w14:paraId="4043826B">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5.3 </w:t>
      </w:r>
      <w:r>
        <w:rPr>
          <w:rFonts w:hint="default" w:ascii="Times New Roman" w:hAnsi="Times New Roman" w:eastAsia="方正仿宋_GBK" w:cs="Times New Roman"/>
          <w:color w:val="auto"/>
          <w:kern w:val="0"/>
          <w:sz w:val="21"/>
          <w:szCs w:val="21"/>
          <w:highlight w:val="none"/>
        </w:rPr>
        <w:t>隐蔽工程检查</w:t>
      </w:r>
    </w:p>
    <w:p w14:paraId="030EC5E2">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5.3.2承包人提前通知监理人隐蔽工程检查的期限的约定：</w:t>
      </w:r>
      <w:r>
        <w:rPr>
          <w:rFonts w:hint="default" w:ascii="Times New Roman" w:hAnsi="Times New Roman" w:eastAsia="方正仿宋_GBK" w:cs="Times New Roman"/>
          <w:color w:val="auto"/>
          <w:sz w:val="21"/>
          <w:szCs w:val="21"/>
          <w:highlight w:val="none"/>
          <w:u w:val="single"/>
        </w:rPr>
        <w:t xml:space="preserve">   执行通用条款     </w:t>
      </w:r>
      <w:r>
        <w:rPr>
          <w:rFonts w:hint="default" w:ascii="Times New Roman" w:hAnsi="Times New Roman" w:eastAsia="方正仿宋_GBK" w:cs="Times New Roman"/>
          <w:color w:val="auto"/>
          <w:sz w:val="21"/>
          <w:szCs w:val="21"/>
          <w:highlight w:val="none"/>
        </w:rPr>
        <w:t>。</w:t>
      </w:r>
    </w:p>
    <w:p w14:paraId="4DCD0F3B">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监理人不能按时进行检查时，应提前</w:t>
      </w:r>
      <w:r>
        <w:rPr>
          <w:rFonts w:hint="default" w:ascii="Times New Roman" w:hAnsi="Times New Roman" w:eastAsia="方正仿宋_GBK" w:cs="Times New Roman"/>
          <w:color w:val="auto"/>
          <w:sz w:val="21"/>
          <w:szCs w:val="21"/>
          <w:highlight w:val="none"/>
          <w:u w:val="single"/>
        </w:rPr>
        <w:t xml:space="preserve">   24    </w:t>
      </w:r>
      <w:r>
        <w:rPr>
          <w:rFonts w:hint="default" w:ascii="Times New Roman" w:hAnsi="Times New Roman" w:eastAsia="方正仿宋_GBK" w:cs="Times New Roman"/>
          <w:color w:val="auto"/>
          <w:sz w:val="21"/>
          <w:szCs w:val="21"/>
          <w:highlight w:val="none"/>
        </w:rPr>
        <w:t>小时提交书面延期要求。</w:t>
      </w:r>
    </w:p>
    <w:p w14:paraId="3F34DBF1">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关于延期最长不得超过：</w:t>
      </w:r>
      <w:r>
        <w:rPr>
          <w:rFonts w:hint="default" w:ascii="Times New Roman" w:hAnsi="Times New Roman" w:eastAsia="方正仿宋_GBK" w:cs="Times New Roman"/>
          <w:color w:val="auto"/>
          <w:sz w:val="21"/>
          <w:szCs w:val="21"/>
          <w:highlight w:val="none"/>
          <w:u w:val="single"/>
        </w:rPr>
        <w:t xml:space="preserve">   48      </w:t>
      </w:r>
      <w:r>
        <w:rPr>
          <w:rFonts w:hint="default" w:ascii="Times New Roman" w:hAnsi="Times New Roman" w:eastAsia="方正仿宋_GBK" w:cs="Times New Roman"/>
          <w:color w:val="auto"/>
          <w:sz w:val="21"/>
          <w:szCs w:val="21"/>
          <w:highlight w:val="none"/>
        </w:rPr>
        <w:t>小时。</w:t>
      </w:r>
    </w:p>
    <w:p w14:paraId="153A6402">
      <w:pPr>
        <w:snapToGrid w:val="0"/>
        <w:spacing w:line="360" w:lineRule="auto"/>
        <w:rPr>
          <w:rFonts w:hint="default" w:ascii="Times New Roman" w:hAnsi="Times New Roman" w:eastAsia="方正仿宋_GBK" w:cs="Times New Roman"/>
          <w:b/>
          <w:color w:val="auto"/>
          <w:kern w:val="0"/>
          <w:sz w:val="21"/>
          <w:szCs w:val="21"/>
          <w:highlight w:val="none"/>
        </w:rPr>
      </w:pPr>
      <w:bookmarkStart w:id="303" w:name="_Toc518391414"/>
      <w:bookmarkStart w:id="304" w:name="_Toc516756963"/>
      <w:bookmarkStart w:id="305" w:name="_Toc351203638"/>
      <w:bookmarkStart w:id="306" w:name="_Toc433623108"/>
      <w:bookmarkStart w:id="307" w:name="_Toc485992739"/>
      <w:r>
        <w:rPr>
          <w:rFonts w:hint="default" w:ascii="Times New Roman" w:hAnsi="Times New Roman" w:eastAsia="方正仿宋_GBK" w:cs="Times New Roman"/>
          <w:b/>
          <w:color w:val="auto"/>
          <w:kern w:val="0"/>
          <w:sz w:val="21"/>
          <w:szCs w:val="21"/>
          <w:highlight w:val="none"/>
        </w:rPr>
        <w:t>6. 安全文明施工与环境保护</w:t>
      </w:r>
      <w:bookmarkEnd w:id="303"/>
      <w:bookmarkEnd w:id="304"/>
      <w:bookmarkEnd w:id="305"/>
      <w:bookmarkEnd w:id="306"/>
      <w:bookmarkEnd w:id="307"/>
    </w:p>
    <w:bookmarkEnd w:id="296"/>
    <w:bookmarkEnd w:id="297"/>
    <w:bookmarkEnd w:id="298"/>
    <w:bookmarkEnd w:id="299"/>
    <w:bookmarkEnd w:id="300"/>
    <w:bookmarkEnd w:id="301"/>
    <w:bookmarkEnd w:id="302"/>
    <w:p w14:paraId="71639390">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bookmarkStart w:id="308" w:name="_Toc351203639"/>
      <w:r>
        <w:rPr>
          <w:rFonts w:hint="default" w:ascii="Times New Roman" w:hAnsi="Times New Roman" w:eastAsia="方正仿宋_GBK" w:cs="Times New Roman"/>
          <w:color w:val="auto"/>
          <w:sz w:val="21"/>
          <w:szCs w:val="21"/>
          <w:highlight w:val="none"/>
        </w:rPr>
        <w:t>6.1安全文明施工</w:t>
      </w:r>
    </w:p>
    <w:p w14:paraId="074910EB">
      <w:pPr>
        <w:snapToGrid w:val="0"/>
        <w:spacing w:line="360" w:lineRule="auto"/>
        <w:ind w:firstLine="420" w:firstLineChars="20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6.1.1 项目安全生产的达标目标及相应事项的约定：</w:t>
      </w:r>
      <w:r>
        <w:rPr>
          <w:rFonts w:hint="default" w:ascii="Times New Roman" w:hAnsi="Times New Roman" w:eastAsia="方正仿宋_GBK" w:cs="Times New Roman"/>
          <w:color w:val="auto"/>
          <w:sz w:val="21"/>
          <w:szCs w:val="21"/>
          <w:highlight w:val="none"/>
          <w:u w:val="single"/>
        </w:rPr>
        <w:t>承包人应按《建筑施工企业安全生产管理机构设置及专职安全生产管理人员配备办法》（建质【2008】91号）、《建筑施工安全检查标准》（JGJ59-2011）、《重庆市建设工程安全生产监督管理办法》（渝建发〔2008〕177号）、《重庆市房屋建筑和市政基础设施工程现场文明施工标准》（渝建发〔2008〕169号）等相关文件设置专职安全生产管理人员，并按照相关内容和国家行业规范要求采取有效的安全措施，以保证自身及第三人的周边环境的安全 。承包人制定严格的安全防护措施，确保安全施工。如造成安全事故、责任事故，承包人应按规定上报，责任和经济损失由承包人自行承担，如给第三人造成的人身和财产损失，由承包人承担。</w:t>
      </w:r>
    </w:p>
    <w:p w14:paraId="49F78F21">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6.1.4 关于治安保卫的特别约定：</w:t>
      </w:r>
      <w:r>
        <w:rPr>
          <w:rFonts w:hint="default" w:ascii="Times New Roman" w:hAnsi="Times New Roman" w:eastAsia="方正仿宋_GBK" w:cs="Times New Roman"/>
          <w:color w:val="auto"/>
          <w:sz w:val="21"/>
          <w:szCs w:val="21"/>
          <w:highlight w:val="none"/>
          <w:u w:val="single"/>
        </w:rPr>
        <w:t>执行通用条款</w:t>
      </w:r>
      <w:r>
        <w:rPr>
          <w:rFonts w:hint="default" w:ascii="Times New Roman" w:hAnsi="Times New Roman" w:eastAsia="方正仿宋_GBK" w:cs="Times New Roman"/>
          <w:color w:val="auto"/>
          <w:sz w:val="21"/>
          <w:szCs w:val="21"/>
          <w:highlight w:val="none"/>
        </w:rPr>
        <w:t>。</w:t>
      </w:r>
    </w:p>
    <w:p w14:paraId="0E564CDB">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关于编制施工场地治安管理计划的约定：</w:t>
      </w:r>
      <w:r>
        <w:rPr>
          <w:rFonts w:hint="default" w:ascii="Times New Roman" w:hAnsi="Times New Roman" w:eastAsia="方正仿宋_GBK" w:cs="Times New Roman"/>
          <w:color w:val="auto"/>
          <w:sz w:val="21"/>
          <w:szCs w:val="21"/>
          <w:highlight w:val="none"/>
          <w:u w:val="single"/>
        </w:rPr>
        <w:t>执行通用条款</w:t>
      </w:r>
      <w:r>
        <w:rPr>
          <w:rFonts w:hint="default" w:ascii="Times New Roman" w:hAnsi="Times New Roman" w:eastAsia="方正仿宋_GBK" w:cs="Times New Roman"/>
          <w:color w:val="auto"/>
          <w:sz w:val="21"/>
          <w:szCs w:val="21"/>
          <w:highlight w:val="none"/>
        </w:rPr>
        <w:t>。</w:t>
      </w:r>
    </w:p>
    <w:p w14:paraId="09EDD791">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6.1.5 文明施工</w:t>
      </w:r>
    </w:p>
    <w:p w14:paraId="4E21F327">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合同当事人对文明施工的要求：</w:t>
      </w:r>
      <w:r>
        <w:rPr>
          <w:rFonts w:hint="default" w:ascii="Times New Roman" w:hAnsi="Times New Roman" w:eastAsia="方正仿宋_GBK" w:cs="Times New Roman"/>
          <w:color w:val="auto"/>
          <w:sz w:val="21"/>
          <w:szCs w:val="21"/>
          <w:highlight w:val="none"/>
          <w:u w:val="single"/>
        </w:rPr>
        <w:t>满足建设行政主管部门的相关规定和要求。承包人还应按照《房屋建筑和市政基础设施工程施工扬尘控制工作方案》（渝建发〔2009〕13号）、《重庆市房屋建筑和市政基础设施工程现场文明施工标准》（渝建发〔2008〕169号）等相关规定履行好施工扬尘控制、文明施工等责任。承包人办理的有关施工场地交通、环卫和施工噪音管理等手续均由承包人自行负责办理，费用由承包人承担</w:t>
      </w:r>
      <w:r>
        <w:rPr>
          <w:rFonts w:hint="default" w:ascii="Times New Roman" w:hAnsi="Times New Roman" w:eastAsia="方正仿宋_GBK" w:cs="Times New Roman"/>
          <w:color w:val="auto"/>
          <w:sz w:val="21"/>
          <w:szCs w:val="21"/>
          <w:highlight w:val="none"/>
        </w:rPr>
        <w:t>。</w:t>
      </w:r>
    </w:p>
    <w:p w14:paraId="0211EA1A">
      <w:pPr>
        <w:snapToGrid w:val="0"/>
        <w:spacing w:line="360" w:lineRule="auto"/>
        <w:rPr>
          <w:rFonts w:hint="default" w:ascii="Times New Roman" w:hAnsi="Times New Roman" w:eastAsia="方正仿宋_GBK" w:cs="Times New Roman"/>
          <w:b/>
          <w:color w:val="auto"/>
          <w:kern w:val="0"/>
          <w:sz w:val="21"/>
          <w:szCs w:val="21"/>
          <w:highlight w:val="none"/>
        </w:rPr>
      </w:pPr>
      <w:bookmarkStart w:id="309" w:name="_Toc485992740"/>
      <w:bookmarkStart w:id="310" w:name="_Toc518391415"/>
      <w:bookmarkStart w:id="311" w:name="_Toc516756964"/>
      <w:bookmarkStart w:id="312" w:name="_Toc433623109"/>
      <w:r>
        <w:rPr>
          <w:rFonts w:hint="default" w:ascii="Times New Roman" w:hAnsi="Times New Roman" w:eastAsia="方正仿宋_GBK" w:cs="Times New Roman"/>
          <w:b/>
          <w:color w:val="auto"/>
          <w:kern w:val="0"/>
          <w:sz w:val="21"/>
          <w:szCs w:val="21"/>
          <w:highlight w:val="none"/>
        </w:rPr>
        <w:t>7. 工期和进度</w:t>
      </w:r>
      <w:bookmarkEnd w:id="308"/>
      <w:bookmarkEnd w:id="309"/>
      <w:bookmarkEnd w:id="310"/>
      <w:bookmarkEnd w:id="311"/>
      <w:bookmarkEnd w:id="312"/>
    </w:p>
    <w:p w14:paraId="36E98182">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7.1 </w:t>
      </w:r>
      <w:r>
        <w:rPr>
          <w:rFonts w:hint="default" w:ascii="Times New Roman" w:hAnsi="Times New Roman" w:eastAsia="方正仿宋_GBK" w:cs="Times New Roman"/>
          <w:color w:val="auto"/>
          <w:kern w:val="0"/>
          <w:sz w:val="21"/>
          <w:szCs w:val="21"/>
          <w:highlight w:val="none"/>
        </w:rPr>
        <w:t>施工组织设计</w:t>
      </w:r>
    </w:p>
    <w:p w14:paraId="3BF74418">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bookmarkStart w:id="313" w:name="_Toc351203640"/>
      <w:r>
        <w:rPr>
          <w:rFonts w:hint="default" w:ascii="Times New Roman" w:hAnsi="Times New Roman" w:eastAsia="方正仿宋_GBK" w:cs="Times New Roman"/>
          <w:color w:val="auto"/>
          <w:sz w:val="21"/>
          <w:szCs w:val="21"/>
          <w:highlight w:val="none"/>
        </w:rPr>
        <w:t>7.1.1 合同当事人约定的施工组织设计应包括的其他内容：</w:t>
      </w:r>
      <w:r>
        <w:rPr>
          <w:rFonts w:hint="default" w:ascii="Times New Roman" w:hAnsi="Times New Roman" w:eastAsia="方正仿宋_GBK" w:cs="Times New Roman"/>
          <w:color w:val="auto"/>
          <w:sz w:val="21"/>
          <w:szCs w:val="21"/>
          <w:highlight w:val="none"/>
          <w:u w:val="single"/>
        </w:rPr>
        <w:t>施工组织设计、专项施工方案、安全应急方案等</w:t>
      </w:r>
      <w:r>
        <w:rPr>
          <w:rFonts w:hint="default" w:ascii="Times New Roman" w:hAnsi="Times New Roman" w:eastAsia="方正仿宋_GBK" w:cs="Times New Roman"/>
          <w:color w:val="auto"/>
          <w:sz w:val="21"/>
          <w:szCs w:val="21"/>
          <w:highlight w:val="none"/>
        </w:rPr>
        <w:t>。</w:t>
      </w:r>
    </w:p>
    <w:p w14:paraId="1587837F">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7.1.2 施工组织设计的提交和修改</w:t>
      </w:r>
    </w:p>
    <w:p w14:paraId="02B83339">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承包人提交详细施工组织设计的期限的约定：</w:t>
      </w:r>
      <w:r>
        <w:rPr>
          <w:rFonts w:hint="default" w:ascii="Times New Roman" w:hAnsi="Times New Roman" w:eastAsia="方正仿宋_GBK" w:cs="Times New Roman"/>
          <w:color w:val="auto"/>
          <w:sz w:val="21"/>
          <w:szCs w:val="21"/>
          <w:highlight w:val="none"/>
          <w:u w:val="single"/>
        </w:rPr>
        <w:t>图纸会审交底后7个工作日内</w:t>
      </w:r>
      <w:r>
        <w:rPr>
          <w:rFonts w:hint="default" w:ascii="Times New Roman" w:hAnsi="Times New Roman" w:eastAsia="方正仿宋_GBK" w:cs="Times New Roman"/>
          <w:color w:val="auto"/>
          <w:sz w:val="21"/>
          <w:szCs w:val="21"/>
          <w:highlight w:val="none"/>
        </w:rPr>
        <w:t>。</w:t>
      </w:r>
    </w:p>
    <w:p w14:paraId="03043AF0">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发包人和监理人在收到详细的施工组织设计后确认或提出修改意见的期限：</w:t>
      </w:r>
      <w:r>
        <w:rPr>
          <w:rFonts w:hint="default" w:ascii="Times New Roman" w:hAnsi="Times New Roman" w:eastAsia="方正仿宋_GBK" w:cs="Times New Roman"/>
          <w:color w:val="auto"/>
          <w:sz w:val="21"/>
          <w:szCs w:val="21"/>
          <w:highlight w:val="none"/>
          <w:u w:val="single"/>
        </w:rPr>
        <w:t xml:space="preserve"> 发包人收到施工组织设计后10个工作日内审查确认</w:t>
      </w:r>
      <w:r>
        <w:rPr>
          <w:rFonts w:hint="default" w:ascii="Times New Roman" w:hAnsi="Times New Roman" w:eastAsia="方正仿宋_GBK" w:cs="Times New Roman"/>
          <w:color w:val="auto"/>
          <w:sz w:val="21"/>
          <w:szCs w:val="21"/>
          <w:highlight w:val="none"/>
        </w:rPr>
        <w:t>。</w:t>
      </w:r>
    </w:p>
    <w:p w14:paraId="6A336599">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7</w:t>
      </w:r>
      <w:bookmarkStart w:id="314" w:name="_Toc312677479"/>
      <w:bookmarkStart w:id="315" w:name="_Toc312678005"/>
      <w:bookmarkStart w:id="316" w:name="_Toc297123514"/>
      <w:bookmarkStart w:id="317" w:name="_Toc303539123"/>
      <w:bookmarkStart w:id="318" w:name="_Toc297216173"/>
      <w:bookmarkStart w:id="319" w:name="_Toc300934966"/>
      <w:bookmarkStart w:id="320" w:name="_Toc304295541"/>
      <w:r>
        <w:rPr>
          <w:rFonts w:hint="default" w:ascii="Times New Roman" w:hAnsi="Times New Roman" w:eastAsia="方正仿宋_GBK" w:cs="Times New Roman"/>
          <w:color w:val="auto"/>
          <w:sz w:val="21"/>
          <w:szCs w:val="21"/>
          <w:highlight w:val="none"/>
        </w:rPr>
        <w:t xml:space="preserve">.2 </w:t>
      </w:r>
      <w:r>
        <w:rPr>
          <w:rFonts w:hint="default" w:ascii="Times New Roman" w:hAnsi="Times New Roman" w:eastAsia="方正仿宋_GBK" w:cs="Times New Roman"/>
          <w:color w:val="auto"/>
          <w:kern w:val="0"/>
          <w:sz w:val="21"/>
          <w:szCs w:val="21"/>
          <w:highlight w:val="none"/>
        </w:rPr>
        <w:t>施工进度计划</w:t>
      </w:r>
    </w:p>
    <w:p w14:paraId="5A6D0753">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7.2.2 施工进度计划的修订</w:t>
      </w:r>
    </w:p>
    <w:p w14:paraId="4C6CE59E">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发包人和监理人在收到修订的施工进度计划后确认或提出修改意见的期限：</w:t>
      </w:r>
      <w:r>
        <w:rPr>
          <w:rFonts w:hint="default" w:ascii="Times New Roman" w:hAnsi="Times New Roman" w:eastAsia="方正仿宋_GBK" w:cs="Times New Roman"/>
          <w:color w:val="auto"/>
          <w:sz w:val="21"/>
          <w:szCs w:val="21"/>
          <w:highlight w:val="none"/>
          <w:u w:val="single"/>
        </w:rPr>
        <w:t>发包人收到进度计划后10个工作日内审查确认，月进度计划在收到后的次月10日内审查确认。</w:t>
      </w:r>
    </w:p>
    <w:p w14:paraId="55E4C236">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7.3 </w:t>
      </w:r>
      <w:r>
        <w:rPr>
          <w:rFonts w:hint="default" w:ascii="Times New Roman" w:hAnsi="Times New Roman" w:eastAsia="方正仿宋_GBK" w:cs="Times New Roman"/>
          <w:color w:val="auto"/>
          <w:kern w:val="0"/>
          <w:sz w:val="21"/>
          <w:szCs w:val="21"/>
          <w:highlight w:val="none"/>
        </w:rPr>
        <w:t>开工</w:t>
      </w:r>
    </w:p>
    <w:p w14:paraId="258AB028">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7.3.1 开工准备</w:t>
      </w:r>
    </w:p>
    <w:p w14:paraId="3AB388F0">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关于承包人提交工程开工报审表的期限：</w:t>
      </w:r>
      <w:r>
        <w:rPr>
          <w:rFonts w:hint="default" w:ascii="Times New Roman" w:hAnsi="Times New Roman" w:eastAsia="方正仿宋_GBK" w:cs="Times New Roman"/>
          <w:color w:val="auto"/>
          <w:sz w:val="21"/>
          <w:szCs w:val="21"/>
          <w:highlight w:val="none"/>
          <w:u w:val="single"/>
        </w:rPr>
        <w:t xml:space="preserve">    不晚于开工前</w:t>
      </w:r>
      <w:r>
        <w:rPr>
          <w:rFonts w:hint="default" w:ascii="Times New Roman" w:hAnsi="Times New Roman" w:eastAsia="方正仿宋_GBK" w:cs="Times New Roman"/>
          <w:color w:val="auto"/>
          <w:sz w:val="21"/>
          <w:szCs w:val="21"/>
          <w:highlight w:val="none"/>
          <w:u w:val="single"/>
          <w:lang w:val="en-US" w:eastAsia="zh-CN"/>
        </w:rPr>
        <w:t>7</w:t>
      </w:r>
      <w:r>
        <w:rPr>
          <w:rFonts w:hint="default" w:ascii="Times New Roman" w:hAnsi="Times New Roman" w:eastAsia="方正仿宋_GBK" w:cs="Times New Roman"/>
          <w:color w:val="auto"/>
          <w:sz w:val="21"/>
          <w:szCs w:val="21"/>
          <w:highlight w:val="none"/>
          <w:u w:val="single"/>
        </w:rPr>
        <w:t xml:space="preserve">天  </w:t>
      </w:r>
      <w:r>
        <w:rPr>
          <w:rFonts w:hint="default" w:ascii="Times New Roman" w:hAnsi="Times New Roman" w:eastAsia="方正仿宋_GBK" w:cs="Times New Roman"/>
          <w:color w:val="auto"/>
          <w:sz w:val="21"/>
          <w:szCs w:val="21"/>
          <w:highlight w:val="none"/>
        </w:rPr>
        <w:t>。</w:t>
      </w:r>
    </w:p>
    <w:p w14:paraId="783433EA">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关于发包人应完成的其他开工准备工作及期限：</w:t>
      </w:r>
      <w:r>
        <w:rPr>
          <w:rFonts w:hint="default" w:ascii="Times New Roman" w:hAnsi="Times New Roman" w:eastAsia="方正仿宋_GBK" w:cs="Times New Roman"/>
          <w:color w:val="auto"/>
          <w:sz w:val="21"/>
          <w:szCs w:val="21"/>
          <w:highlight w:val="none"/>
          <w:u w:val="single"/>
        </w:rPr>
        <w:t xml:space="preserve">  不晚于开工前</w:t>
      </w:r>
      <w:r>
        <w:rPr>
          <w:rFonts w:hint="default" w:ascii="Times New Roman" w:hAnsi="Times New Roman" w:eastAsia="方正仿宋_GBK" w:cs="Times New Roman"/>
          <w:color w:val="auto"/>
          <w:sz w:val="21"/>
          <w:szCs w:val="21"/>
          <w:highlight w:val="none"/>
          <w:u w:val="single"/>
          <w:lang w:val="en-US" w:eastAsia="zh-CN"/>
        </w:rPr>
        <w:t>7</w:t>
      </w:r>
      <w:r>
        <w:rPr>
          <w:rFonts w:hint="default" w:ascii="Times New Roman" w:hAnsi="Times New Roman" w:eastAsia="方正仿宋_GBK" w:cs="Times New Roman"/>
          <w:color w:val="auto"/>
          <w:sz w:val="21"/>
          <w:szCs w:val="21"/>
          <w:highlight w:val="none"/>
          <w:u w:val="single"/>
        </w:rPr>
        <w:t xml:space="preserve">天  </w:t>
      </w:r>
      <w:r>
        <w:rPr>
          <w:rFonts w:hint="default" w:ascii="Times New Roman" w:hAnsi="Times New Roman" w:eastAsia="方正仿宋_GBK" w:cs="Times New Roman"/>
          <w:color w:val="auto"/>
          <w:sz w:val="21"/>
          <w:szCs w:val="21"/>
          <w:highlight w:val="none"/>
        </w:rPr>
        <w:t xml:space="preserve"> 。</w:t>
      </w:r>
    </w:p>
    <w:p w14:paraId="123649DD">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关于承包人应完成的其他开工准备工作及期限：</w:t>
      </w:r>
      <w:r>
        <w:rPr>
          <w:rFonts w:hint="default" w:ascii="Times New Roman" w:hAnsi="Times New Roman" w:eastAsia="方正仿宋_GBK" w:cs="Times New Roman"/>
          <w:color w:val="auto"/>
          <w:sz w:val="21"/>
          <w:szCs w:val="21"/>
          <w:highlight w:val="none"/>
          <w:u w:val="single"/>
        </w:rPr>
        <w:t xml:space="preserve">  不晚于开工前</w:t>
      </w:r>
      <w:r>
        <w:rPr>
          <w:rFonts w:hint="default" w:ascii="Times New Roman" w:hAnsi="Times New Roman" w:eastAsia="方正仿宋_GBK" w:cs="Times New Roman"/>
          <w:color w:val="auto"/>
          <w:sz w:val="21"/>
          <w:szCs w:val="21"/>
          <w:highlight w:val="none"/>
          <w:u w:val="single"/>
          <w:lang w:val="en-US" w:eastAsia="zh-CN"/>
        </w:rPr>
        <w:t>7</w:t>
      </w:r>
      <w:r>
        <w:rPr>
          <w:rFonts w:hint="default" w:ascii="Times New Roman" w:hAnsi="Times New Roman" w:eastAsia="方正仿宋_GBK" w:cs="Times New Roman"/>
          <w:color w:val="auto"/>
          <w:sz w:val="21"/>
          <w:szCs w:val="21"/>
          <w:highlight w:val="none"/>
          <w:u w:val="single"/>
        </w:rPr>
        <w:t xml:space="preserve">天 </w:t>
      </w:r>
      <w:r>
        <w:rPr>
          <w:rFonts w:hint="default" w:ascii="Times New Roman" w:hAnsi="Times New Roman" w:eastAsia="方正仿宋_GBK" w:cs="Times New Roman"/>
          <w:color w:val="auto"/>
          <w:sz w:val="21"/>
          <w:szCs w:val="21"/>
          <w:highlight w:val="none"/>
        </w:rPr>
        <w:t>。</w:t>
      </w:r>
    </w:p>
    <w:bookmarkEnd w:id="314"/>
    <w:bookmarkEnd w:id="315"/>
    <w:bookmarkEnd w:id="316"/>
    <w:bookmarkEnd w:id="317"/>
    <w:bookmarkEnd w:id="318"/>
    <w:bookmarkEnd w:id="319"/>
    <w:bookmarkEnd w:id="320"/>
    <w:p w14:paraId="22DB19A9">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7.4 测量放线</w:t>
      </w:r>
    </w:p>
    <w:p w14:paraId="3DB26012">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7.4.1发包人通过监理人向承包人提供测量基准点、基准线和水准点及其书面资料的期限：</w:t>
      </w:r>
      <w:r>
        <w:rPr>
          <w:rFonts w:hint="default" w:ascii="Times New Roman" w:hAnsi="Times New Roman" w:eastAsia="方正仿宋_GBK" w:cs="Times New Roman"/>
          <w:color w:val="auto"/>
          <w:sz w:val="21"/>
          <w:szCs w:val="21"/>
          <w:highlight w:val="none"/>
          <w:u w:val="single"/>
        </w:rPr>
        <w:t>开工前3日内</w:t>
      </w:r>
      <w:r>
        <w:rPr>
          <w:rFonts w:hint="default" w:ascii="Times New Roman" w:hAnsi="Times New Roman" w:eastAsia="方正仿宋_GBK" w:cs="Times New Roman"/>
          <w:color w:val="auto"/>
          <w:sz w:val="21"/>
          <w:szCs w:val="21"/>
          <w:highlight w:val="none"/>
        </w:rPr>
        <w:t>。</w:t>
      </w:r>
    </w:p>
    <w:p w14:paraId="3A94917B">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7</w:t>
      </w:r>
      <w:bookmarkStart w:id="321" w:name="_Toc297216175"/>
      <w:bookmarkStart w:id="322" w:name="_Toc300934968"/>
      <w:bookmarkStart w:id="323" w:name="_Toc304295546"/>
      <w:bookmarkStart w:id="324" w:name="_Toc303539125"/>
      <w:bookmarkStart w:id="325" w:name="_Toc312677484"/>
      <w:bookmarkStart w:id="326" w:name="_Toc312678010"/>
      <w:bookmarkStart w:id="327" w:name="_Toc297123516"/>
      <w:r>
        <w:rPr>
          <w:rFonts w:hint="default" w:ascii="Times New Roman" w:hAnsi="Times New Roman" w:eastAsia="方正仿宋_GBK" w:cs="Times New Roman"/>
          <w:color w:val="auto"/>
          <w:sz w:val="21"/>
          <w:szCs w:val="21"/>
          <w:highlight w:val="none"/>
        </w:rPr>
        <w:t xml:space="preserve">.5 </w:t>
      </w:r>
      <w:r>
        <w:rPr>
          <w:rFonts w:hint="default" w:ascii="Times New Roman" w:hAnsi="Times New Roman" w:eastAsia="方正仿宋_GBK" w:cs="Times New Roman"/>
          <w:color w:val="auto"/>
          <w:kern w:val="0"/>
          <w:sz w:val="21"/>
          <w:szCs w:val="21"/>
          <w:highlight w:val="none"/>
        </w:rPr>
        <w:t>工期延误</w:t>
      </w:r>
    </w:p>
    <w:bookmarkEnd w:id="321"/>
    <w:bookmarkEnd w:id="322"/>
    <w:bookmarkEnd w:id="323"/>
    <w:bookmarkEnd w:id="324"/>
    <w:bookmarkEnd w:id="325"/>
    <w:bookmarkEnd w:id="326"/>
    <w:bookmarkEnd w:id="327"/>
    <w:p w14:paraId="432AF967">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7.5.1 因发包人原因导致工期延误</w:t>
      </w:r>
    </w:p>
    <w:p w14:paraId="18AAA719">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（7）因发包人原因导致工期延误的其他情形：</w:t>
      </w:r>
      <w:r>
        <w:rPr>
          <w:rFonts w:hint="default" w:ascii="Times New Roman" w:hAnsi="Times New Roman" w:eastAsia="方正仿宋_GBK" w:cs="Times New Roman"/>
          <w:color w:val="auto"/>
          <w:sz w:val="21"/>
          <w:szCs w:val="21"/>
          <w:highlight w:val="none"/>
          <w:u w:val="single"/>
        </w:rPr>
        <w:t>因发包人原因不能按时开工的，发包人不负责赔偿承包人的延期开工损失费，但工期可顺延</w:t>
      </w:r>
      <w:r>
        <w:rPr>
          <w:rFonts w:hint="default" w:ascii="Times New Roman" w:hAnsi="Times New Roman" w:eastAsia="方正仿宋_GBK" w:cs="Times New Roman"/>
          <w:color w:val="auto"/>
          <w:sz w:val="21"/>
          <w:szCs w:val="21"/>
          <w:highlight w:val="none"/>
        </w:rPr>
        <w:t>。</w:t>
      </w:r>
    </w:p>
    <w:p w14:paraId="733065E7">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snapToGrid w:val="0"/>
          <w:color w:val="auto"/>
          <w:sz w:val="21"/>
          <w:szCs w:val="21"/>
          <w:highlight w:val="none"/>
          <w:u w:val="single"/>
        </w:rPr>
        <w:t>若因发生不可抗力原因造成施工工期延后，由此造成的赶工费，由发包人一并承担。</w:t>
      </w:r>
    </w:p>
    <w:p w14:paraId="1763E03E">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7</w:t>
      </w:r>
      <w:bookmarkStart w:id="328" w:name="_Toc318581169"/>
      <w:bookmarkStart w:id="329" w:name="_Toc312678012"/>
      <w:bookmarkStart w:id="330" w:name="_Toc312677486"/>
      <w:bookmarkStart w:id="331" w:name="_Toc303539127"/>
      <w:bookmarkStart w:id="332" w:name="_Toc297123518"/>
      <w:bookmarkStart w:id="333" w:name="_Toc300934970"/>
      <w:bookmarkStart w:id="334" w:name="_Toc304295548"/>
      <w:bookmarkStart w:id="335" w:name="_Toc297216177"/>
      <w:r>
        <w:rPr>
          <w:rFonts w:hint="default" w:ascii="Times New Roman" w:hAnsi="Times New Roman" w:eastAsia="方正仿宋_GBK" w:cs="Times New Roman"/>
          <w:color w:val="auto"/>
          <w:sz w:val="21"/>
          <w:szCs w:val="21"/>
          <w:highlight w:val="none"/>
        </w:rPr>
        <w:t>.5.2 因承包人原因导致工期延误</w:t>
      </w:r>
    </w:p>
    <w:bookmarkEnd w:id="328"/>
    <w:bookmarkEnd w:id="329"/>
    <w:bookmarkEnd w:id="330"/>
    <w:p w14:paraId="74F2A507">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因</w:t>
      </w:r>
      <w:bookmarkStart w:id="336" w:name="_Toc312678013"/>
      <w:bookmarkStart w:id="337" w:name="_Toc312677487"/>
      <w:bookmarkStart w:id="338" w:name="_Toc318581170"/>
      <w:r>
        <w:rPr>
          <w:rFonts w:hint="default" w:ascii="Times New Roman" w:hAnsi="Times New Roman" w:eastAsia="方正仿宋_GBK" w:cs="Times New Roman"/>
          <w:color w:val="auto"/>
          <w:sz w:val="21"/>
          <w:szCs w:val="21"/>
          <w:highlight w:val="none"/>
        </w:rPr>
        <w:t>承包人原因造成工期延误，逾期竣工违约金的计算方法为：</w:t>
      </w:r>
      <w:r>
        <w:rPr>
          <w:rFonts w:hint="default" w:ascii="Times New Roman" w:hAnsi="Times New Roman" w:eastAsia="方正仿宋_GBK" w:cs="Times New Roman"/>
          <w:color w:val="auto"/>
          <w:sz w:val="21"/>
          <w:szCs w:val="21"/>
          <w:highlight w:val="none"/>
          <w:u w:val="single"/>
          <w:lang w:eastAsia="zh-CN"/>
        </w:rPr>
        <w:t>中标人</w:t>
      </w:r>
      <w:r>
        <w:rPr>
          <w:rFonts w:hint="default" w:ascii="Times New Roman" w:hAnsi="Times New Roman" w:eastAsia="方正仿宋_GBK" w:cs="Times New Roman"/>
          <w:color w:val="auto"/>
          <w:sz w:val="21"/>
          <w:szCs w:val="21"/>
          <w:highlight w:val="none"/>
          <w:u w:val="single"/>
        </w:rPr>
        <w:t>不能在约定的工期内未完成施工的，凡超出一天，按照合同金额2‰/天计算违约责任，相关费用在支付进度款中一并扣除，并纳入工程结算</w:t>
      </w:r>
      <w:r>
        <w:rPr>
          <w:rFonts w:hint="default" w:ascii="Times New Roman" w:hAnsi="Times New Roman" w:eastAsia="方正仿宋_GBK" w:cs="Times New Roman"/>
          <w:color w:val="auto"/>
          <w:sz w:val="21"/>
          <w:szCs w:val="21"/>
          <w:highlight w:val="none"/>
        </w:rPr>
        <w:t>。</w:t>
      </w:r>
      <w:bookmarkEnd w:id="331"/>
      <w:bookmarkEnd w:id="332"/>
      <w:bookmarkEnd w:id="333"/>
      <w:bookmarkEnd w:id="334"/>
      <w:bookmarkEnd w:id="335"/>
      <w:bookmarkEnd w:id="336"/>
      <w:bookmarkEnd w:id="337"/>
    </w:p>
    <w:bookmarkEnd w:id="338"/>
    <w:p w14:paraId="0A4B4340">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因承包人原因造成工期延误，逾</w:t>
      </w:r>
      <w:bookmarkStart w:id="339" w:name="_Toc312678014"/>
      <w:bookmarkStart w:id="340" w:name="_Toc318581171"/>
      <w:r>
        <w:rPr>
          <w:rFonts w:hint="default" w:ascii="Times New Roman" w:hAnsi="Times New Roman" w:eastAsia="方正仿宋_GBK" w:cs="Times New Roman"/>
          <w:color w:val="auto"/>
          <w:sz w:val="21"/>
          <w:szCs w:val="21"/>
          <w:highlight w:val="none"/>
        </w:rPr>
        <w:t>期竣工违约金的上限：</w:t>
      </w:r>
      <w:r>
        <w:rPr>
          <w:rFonts w:hint="default" w:ascii="Times New Roman" w:hAnsi="Times New Roman" w:eastAsia="方正仿宋_GBK" w:cs="Times New Roman"/>
          <w:color w:val="auto"/>
          <w:sz w:val="21"/>
          <w:szCs w:val="21"/>
          <w:highlight w:val="none"/>
          <w:u w:val="single"/>
        </w:rPr>
        <w:t>/</w:t>
      </w:r>
      <w:r>
        <w:rPr>
          <w:rFonts w:hint="default" w:ascii="Times New Roman" w:hAnsi="Times New Roman" w:eastAsia="方正仿宋_GBK" w:cs="Times New Roman"/>
          <w:color w:val="auto"/>
          <w:sz w:val="21"/>
          <w:szCs w:val="21"/>
          <w:highlight w:val="none"/>
        </w:rPr>
        <w:t xml:space="preserve"> 。</w:t>
      </w:r>
    </w:p>
    <w:bookmarkEnd w:id="339"/>
    <w:bookmarkEnd w:id="340"/>
    <w:p w14:paraId="36699280">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7</w:t>
      </w:r>
      <w:bookmarkStart w:id="341" w:name="_Toc297216178"/>
      <w:bookmarkStart w:id="342" w:name="_Toc312678015"/>
      <w:bookmarkStart w:id="343" w:name="_Toc304295549"/>
      <w:bookmarkStart w:id="344" w:name="_Toc300934971"/>
      <w:bookmarkStart w:id="345" w:name="_Toc297123519"/>
      <w:bookmarkStart w:id="346" w:name="_Toc303539128"/>
      <w:r>
        <w:rPr>
          <w:rFonts w:hint="default" w:ascii="Times New Roman" w:hAnsi="Times New Roman" w:eastAsia="方正仿宋_GBK" w:cs="Times New Roman"/>
          <w:color w:val="auto"/>
          <w:sz w:val="21"/>
          <w:szCs w:val="21"/>
          <w:highlight w:val="none"/>
        </w:rPr>
        <w:t>.6 不</w:t>
      </w:r>
      <w:bookmarkEnd w:id="341"/>
      <w:bookmarkEnd w:id="342"/>
      <w:bookmarkEnd w:id="343"/>
      <w:bookmarkEnd w:id="344"/>
      <w:bookmarkEnd w:id="345"/>
      <w:bookmarkEnd w:id="346"/>
      <w:r>
        <w:rPr>
          <w:rFonts w:hint="default" w:ascii="Times New Roman" w:hAnsi="Times New Roman" w:eastAsia="方正仿宋_GBK" w:cs="Times New Roman"/>
          <w:color w:val="auto"/>
          <w:sz w:val="21"/>
          <w:szCs w:val="21"/>
          <w:highlight w:val="none"/>
        </w:rPr>
        <w:t>利物质条件</w:t>
      </w:r>
    </w:p>
    <w:p w14:paraId="4D52A75F">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bookmarkStart w:id="347" w:name="_Toc304295550"/>
      <w:bookmarkStart w:id="348" w:name="_Toc312678016"/>
      <w:bookmarkStart w:id="349" w:name="_Toc297123520"/>
      <w:bookmarkStart w:id="350" w:name="_Toc300934972"/>
      <w:bookmarkStart w:id="351" w:name="_Toc297216179"/>
      <w:bookmarkStart w:id="352" w:name="_Toc303539129"/>
      <w:bookmarkStart w:id="353" w:name="_Toc318581172"/>
      <w:r>
        <w:rPr>
          <w:rFonts w:hint="default" w:ascii="Times New Roman" w:hAnsi="Times New Roman" w:eastAsia="方正仿宋_GBK" w:cs="Times New Roman"/>
          <w:color w:val="auto"/>
          <w:sz w:val="21"/>
          <w:szCs w:val="21"/>
          <w:highlight w:val="none"/>
        </w:rPr>
        <w:t>不利物质条件的其他情形和有关约定：</w:t>
      </w:r>
      <w:r>
        <w:rPr>
          <w:rFonts w:hint="default" w:ascii="Times New Roman" w:hAnsi="Times New Roman" w:eastAsia="方正仿宋_GBK" w:cs="Times New Roman"/>
          <w:color w:val="auto"/>
          <w:sz w:val="21"/>
          <w:szCs w:val="21"/>
          <w:highlight w:val="none"/>
          <w:u w:val="single"/>
        </w:rPr>
        <w:t>按通用条款执行</w:t>
      </w:r>
      <w:r>
        <w:rPr>
          <w:rFonts w:hint="default" w:ascii="Times New Roman" w:hAnsi="Times New Roman" w:eastAsia="方正仿宋_GBK" w:cs="Times New Roman"/>
          <w:color w:val="auto"/>
          <w:sz w:val="21"/>
          <w:szCs w:val="21"/>
          <w:highlight w:val="none"/>
        </w:rPr>
        <w:t>。</w:t>
      </w:r>
    </w:p>
    <w:bookmarkEnd w:id="347"/>
    <w:bookmarkEnd w:id="348"/>
    <w:bookmarkEnd w:id="349"/>
    <w:bookmarkEnd w:id="350"/>
    <w:bookmarkEnd w:id="351"/>
    <w:bookmarkEnd w:id="352"/>
    <w:bookmarkEnd w:id="353"/>
    <w:p w14:paraId="4F6FC7B2">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7</w:t>
      </w:r>
      <w:bookmarkStart w:id="354" w:name="_Toc312678017"/>
      <w:bookmarkStart w:id="355" w:name="_Toc297123521"/>
      <w:bookmarkStart w:id="356" w:name="_Toc300934973"/>
      <w:bookmarkStart w:id="357" w:name="_Toc304295551"/>
      <w:bookmarkStart w:id="358" w:name="_Toc297216180"/>
      <w:bookmarkStart w:id="359" w:name="_Toc303539130"/>
      <w:r>
        <w:rPr>
          <w:rFonts w:hint="default" w:ascii="Times New Roman" w:hAnsi="Times New Roman" w:eastAsia="方正仿宋_GBK" w:cs="Times New Roman"/>
          <w:color w:val="auto"/>
          <w:sz w:val="21"/>
          <w:szCs w:val="21"/>
          <w:highlight w:val="none"/>
        </w:rPr>
        <w:t>.7异常恶劣的气候条件</w:t>
      </w:r>
    </w:p>
    <w:bookmarkEnd w:id="354"/>
    <w:bookmarkEnd w:id="355"/>
    <w:bookmarkEnd w:id="356"/>
    <w:bookmarkEnd w:id="357"/>
    <w:bookmarkEnd w:id="358"/>
    <w:bookmarkEnd w:id="359"/>
    <w:p w14:paraId="42995F1C">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发包人和承包人同意以下情形视为异常恶劣的气候条件</w:t>
      </w:r>
      <w:r>
        <w:rPr>
          <w:rFonts w:hint="default" w:ascii="Times New Roman" w:hAnsi="Times New Roman" w:eastAsia="方正仿宋_GBK" w:cs="Times New Roman"/>
          <w:color w:val="auto"/>
          <w:sz w:val="21"/>
          <w:szCs w:val="21"/>
          <w:highlight w:val="none"/>
          <w:u w:val="single"/>
        </w:rPr>
        <w:t>：按通用条款执行</w:t>
      </w:r>
      <w:r>
        <w:rPr>
          <w:rFonts w:hint="default" w:ascii="Times New Roman" w:hAnsi="Times New Roman" w:eastAsia="方正仿宋_GBK" w:cs="Times New Roman"/>
          <w:color w:val="auto"/>
          <w:sz w:val="21"/>
          <w:szCs w:val="21"/>
          <w:highlight w:val="none"/>
        </w:rPr>
        <w:t>。</w:t>
      </w:r>
    </w:p>
    <w:p w14:paraId="0CA55C01">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7.9 提前竣工的奖励</w:t>
      </w:r>
    </w:p>
    <w:p w14:paraId="7FB76B5F">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7.9.2提前竣工的奖励：</w:t>
      </w:r>
      <w:r>
        <w:rPr>
          <w:rFonts w:hint="default" w:ascii="Times New Roman" w:hAnsi="Times New Roman" w:eastAsia="方正仿宋_GBK" w:cs="Times New Roman"/>
          <w:color w:val="auto"/>
          <w:sz w:val="21"/>
          <w:szCs w:val="21"/>
          <w:highlight w:val="none"/>
          <w:u w:val="single"/>
        </w:rPr>
        <w:t xml:space="preserve">   承包人应按本</w:t>
      </w:r>
      <w:r>
        <w:rPr>
          <w:rFonts w:hint="default" w:ascii="Times New Roman" w:hAnsi="Times New Roman" w:eastAsia="方正仿宋_GBK" w:cs="Times New Roman"/>
          <w:color w:val="auto"/>
          <w:sz w:val="21"/>
          <w:szCs w:val="21"/>
          <w:highlight w:val="none"/>
          <w:u w:val="single"/>
          <w:lang w:eastAsia="zh-CN"/>
        </w:rPr>
        <w:t>竞采文件</w:t>
      </w:r>
      <w:r>
        <w:rPr>
          <w:rFonts w:hint="default" w:ascii="Times New Roman" w:hAnsi="Times New Roman" w:eastAsia="方正仿宋_GBK" w:cs="Times New Roman"/>
          <w:color w:val="auto"/>
          <w:sz w:val="21"/>
          <w:szCs w:val="21"/>
          <w:highlight w:val="none"/>
          <w:u w:val="single"/>
        </w:rPr>
        <w:t xml:space="preserve">要求的工期完成工程施工并交付发包人使用，工期在规定的期限完成或提前竣工的，发包人不奖不惩   </w:t>
      </w:r>
      <w:r>
        <w:rPr>
          <w:rFonts w:hint="default" w:ascii="Times New Roman" w:hAnsi="Times New Roman" w:eastAsia="方正仿宋_GBK" w:cs="Times New Roman"/>
          <w:color w:val="auto"/>
          <w:sz w:val="21"/>
          <w:szCs w:val="21"/>
          <w:highlight w:val="none"/>
        </w:rPr>
        <w:t xml:space="preserve"> 。</w:t>
      </w:r>
    </w:p>
    <w:p w14:paraId="79756900">
      <w:pPr>
        <w:snapToGrid w:val="0"/>
        <w:spacing w:line="360" w:lineRule="auto"/>
        <w:rPr>
          <w:rFonts w:hint="default" w:ascii="Times New Roman" w:hAnsi="Times New Roman" w:eastAsia="方正仿宋_GBK" w:cs="Times New Roman"/>
          <w:b/>
          <w:color w:val="auto"/>
          <w:kern w:val="0"/>
          <w:sz w:val="21"/>
          <w:szCs w:val="21"/>
          <w:highlight w:val="none"/>
        </w:rPr>
      </w:pPr>
      <w:bookmarkStart w:id="360" w:name="_Toc518391416"/>
      <w:bookmarkStart w:id="361" w:name="_Toc433623110"/>
      <w:bookmarkStart w:id="362" w:name="_Toc485992741"/>
      <w:bookmarkStart w:id="363" w:name="_Toc516756965"/>
      <w:r>
        <w:rPr>
          <w:rFonts w:hint="default" w:ascii="Times New Roman" w:hAnsi="Times New Roman" w:eastAsia="方正仿宋_GBK" w:cs="Times New Roman"/>
          <w:b/>
          <w:color w:val="auto"/>
          <w:kern w:val="0"/>
          <w:sz w:val="21"/>
          <w:szCs w:val="21"/>
          <w:highlight w:val="none"/>
        </w:rPr>
        <w:t>8. 材料与设备</w:t>
      </w:r>
      <w:bookmarkEnd w:id="313"/>
      <w:bookmarkEnd w:id="360"/>
      <w:bookmarkEnd w:id="361"/>
      <w:bookmarkEnd w:id="362"/>
      <w:bookmarkEnd w:id="363"/>
    </w:p>
    <w:bookmarkEnd w:id="286"/>
    <w:bookmarkEnd w:id="287"/>
    <w:bookmarkEnd w:id="288"/>
    <w:bookmarkEnd w:id="289"/>
    <w:bookmarkEnd w:id="290"/>
    <w:bookmarkEnd w:id="291"/>
    <w:bookmarkEnd w:id="292"/>
    <w:bookmarkEnd w:id="293"/>
    <w:bookmarkEnd w:id="294"/>
    <w:bookmarkEnd w:id="295"/>
    <w:p w14:paraId="1407369A">
      <w:pPr>
        <w:snapToGrid w:val="0"/>
        <w:spacing w:line="360" w:lineRule="auto"/>
        <w:ind w:firstLine="422" w:firstLineChars="200"/>
        <w:rPr>
          <w:rFonts w:hint="default" w:ascii="Times New Roman" w:hAnsi="Times New Roman" w:eastAsia="方正仿宋_GBK" w:cs="Times New Roman"/>
          <w:b/>
          <w:color w:val="auto"/>
          <w:sz w:val="21"/>
          <w:szCs w:val="21"/>
          <w:highlight w:val="none"/>
        </w:rPr>
      </w:pPr>
      <w:bookmarkStart w:id="364" w:name="_Toc361673431"/>
      <w:bookmarkStart w:id="365" w:name="_Toc297123528"/>
      <w:bookmarkStart w:id="366" w:name="_Toc296890996"/>
      <w:bookmarkStart w:id="367" w:name="_Toc296503168"/>
      <w:bookmarkStart w:id="368" w:name="_Toc318581173"/>
      <w:bookmarkStart w:id="369" w:name="_Toc296347167"/>
      <w:bookmarkStart w:id="370" w:name="_Toc304295557"/>
      <w:bookmarkStart w:id="371" w:name="_Toc297048354"/>
      <w:bookmarkStart w:id="372" w:name="_Toc297216187"/>
      <w:bookmarkStart w:id="373" w:name="_Toc296346669"/>
      <w:bookmarkStart w:id="374" w:name="_Toc312677494"/>
      <w:bookmarkStart w:id="375" w:name="_Toc312678020"/>
      <w:bookmarkStart w:id="376" w:name="_Toc300934980"/>
      <w:bookmarkStart w:id="377" w:name="_Toc296944507"/>
      <w:bookmarkStart w:id="378" w:name="_Toc303539137"/>
      <w:bookmarkStart w:id="379" w:name="_Toc296891208"/>
      <w:bookmarkStart w:id="380" w:name="_Toc297120468"/>
      <w:bookmarkStart w:id="381" w:name="_Toc267251424"/>
      <w:bookmarkStart w:id="382" w:name="_Toc280868655"/>
      <w:bookmarkStart w:id="383" w:name="_Toc280868656"/>
      <w:r>
        <w:rPr>
          <w:rFonts w:hint="default" w:ascii="Times New Roman" w:hAnsi="Times New Roman" w:eastAsia="方正仿宋_GBK" w:cs="Times New Roman"/>
          <w:b/>
          <w:color w:val="auto"/>
          <w:sz w:val="21"/>
          <w:szCs w:val="21"/>
          <w:highlight w:val="none"/>
        </w:rPr>
        <w:t xml:space="preserve">8.1  </w:t>
      </w:r>
      <w:r>
        <w:rPr>
          <w:rFonts w:hint="default" w:ascii="Times New Roman" w:hAnsi="Times New Roman" w:eastAsia="方正仿宋_GBK" w:cs="Times New Roman"/>
          <w:color w:val="auto"/>
          <w:sz w:val="21"/>
          <w:szCs w:val="21"/>
          <w:highlight w:val="none"/>
        </w:rPr>
        <w:t>承包人提供的材料和工程设备</w:t>
      </w:r>
      <w:bookmarkEnd w:id="364"/>
    </w:p>
    <w:p w14:paraId="27B99D54">
      <w:pPr>
        <w:adjustRightInd w:val="0"/>
        <w:snapToGrid w:val="0"/>
        <w:spacing w:line="360" w:lineRule="auto"/>
        <w:ind w:firstLine="420" w:firstLineChars="20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8.1.1  承包人负责采购、运输和保管的材料、工程设备：</w:t>
      </w:r>
      <w:r>
        <w:rPr>
          <w:rFonts w:hint="default" w:ascii="Times New Roman" w:hAnsi="Times New Roman" w:eastAsia="方正仿宋_GBK" w:cs="Times New Roman"/>
          <w:color w:val="auto"/>
          <w:sz w:val="21"/>
          <w:szCs w:val="21"/>
          <w:highlight w:val="none"/>
          <w:u w:val="single"/>
        </w:rPr>
        <w:t>由承包人自行采购。承包人采购材料设备必须经监理人和发包人批准，结算时由监理人和发包人按</w:t>
      </w:r>
      <w:r>
        <w:rPr>
          <w:rFonts w:hint="default" w:ascii="Times New Roman" w:hAnsi="Times New Roman" w:eastAsia="方正仿宋_GBK" w:cs="Times New Roman"/>
          <w:color w:val="auto"/>
          <w:sz w:val="21"/>
          <w:szCs w:val="21"/>
          <w:highlight w:val="none"/>
          <w:u w:val="single"/>
          <w:lang w:eastAsia="zh-CN"/>
        </w:rPr>
        <w:t>竞采文件</w:t>
      </w:r>
      <w:r>
        <w:rPr>
          <w:rFonts w:hint="default" w:ascii="Times New Roman" w:hAnsi="Times New Roman" w:eastAsia="方正仿宋_GBK" w:cs="Times New Roman"/>
          <w:color w:val="auto"/>
          <w:sz w:val="21"/>
          <w:szCs w:val="21"/>
          <w:highlight w:val="none"/>
          <w:u w:val="single"/>
        </w:rPr>
        <w:t>规定审核的数量和合同约定价格计算。</w:t>
      </w:r>
    </w:p>
    <w:p w14:paraId="10BF2451">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8.1.2  承包人报送监理人审批的时间：</w:t>
      </w:r>
      <w:r>
        <w:rPr>
          <w:rFonts w:hint="default" w:ascii="Times New Roman" w:hAnsi="Times New Roman" w:eastAsia="方正仿宋_GBK" w:cs="Times New Roman"/>
          <w:color w:val="auto"/>
          <w:sz w:val="21"/>
          <w:szCs w:val="21"/>
          <w:highlight w:val="none"/>
          <w:u w:val="single"/>
        </w:rPr>
        <w:t>按发包人及监理单位的相关规定执行。</w:t>
      </w:r>
      <w:r>
        <w:rPr>
          <w:rFonts w:hint="default" w:ascii="Times New Roman" w:hAnsi="Times New Roman" w:eastAsia="方正仿宋_GBK" w:cs="Times New Roman"/>
          <w:color w:val="auto"/>
          <w:sz w:val="21"/>
          <w:szCs w:val="21"/>
          <w:highlight w:val="none"/>
        </w:rPr>
        <w:t xml:space="preserve">    </w:t>
      </w:r>
    </w:p>
    <w:p w14:paraId="547AF81B">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8.1.3  材料和工程设备的接收、运输与保管：</w:t>
      </w:r>
      <w:r>
        <w:rPr>
          <w:rFonts w:hint="default" w:ascii="Times New Roman" w:hAnsi="Times New Roman" w:eastAsia="方正仿宋_GBK" w:cs="Times New Roman"/>
          <w:color w:val="auto"/>
          <w:kern w:val="0"/>
          <w:sz w:val="21"/>
          <w:szCs w:val="21"/>
          <w:highlight w:val="none"/>
          <w:u w:val="single"/>
        </w:rPr>
        <w:t>在现场内的下车及场内运输、验收、存储、保管、二次及多次搬运、安装损耗以及其他任何必要的辅助等工作由承包人负责，费用已经含在合同综合单价中</w:t>
      </w:r>
      <w:r>
        <w:rPr>
          <w:rFonts w:hint="default" w:ascii="Times New Roman" w:hAnsi="Times New Roman" w:eastAsia="方正仿宋_GBK" w:cs="Times New Roman"/>
          <w:color w:val="auto"/>
          <w:sz w:val="21"/>
          <w:szCs w:val="21"/>
          <w:highlight w:val="none"/>
          <w:u w:val="single"/>
        </w:rPr>
        <w:t>。</w:t>
      </w:r>
    </w:p>
    <w:p w14:paraId="3F7B64D4">
      <w:pPr>
        <w:snapToGrid w:val="0"/>
        <w:spacing w:line="360" w:lineRule="auto"/>
        <w:ind w:firstLine="420" w:firstLineChars="20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 xml:space="preserve">8.2  发包人提供的材料和工程设备 </w:t>
      </w:r>
      <w:r>
        <w:rPr>
          <w:rFonts w:hint="default" w:ascii="Times New Roman" w:hAnsi="Times New Roman" w:eastAsia="方正仿宋_GBK" w:cs="Times New Roman"/>
          <w:color w:val="auto"/>
          <w:sz w:val="21"/>
          <w:szCs w:val="21"/>
          <w:highlight w:val="none"/>
          <w:u w:val="single"/>
        </w:rPr>
        <w:t xml:space="preserve"> 无 </w:t>
      </w:r>
    </w:p>
    <w:p w14:paraId="2D44FE9F">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8.6 </w:t>
      </w:r>
      <w:r>
        <w:rPr>
          <w:rFonts w:hint="default" w:ascii="Times New Roman" w:hAnsi="Times New Roman" w:eastAsia="方正仿宋_GBK" w:cs="Times New Roman"/>
          <w:color w:val="auto"/>
          <w:kern w:val="0"/>
          <w:sz w:val="21"/>
          <w:szCs w:val="21"/>
          <w:highlight w:val="none"/>
        </w:rPr>
        <w:t>样品</w:t>
      </w:r>
    </w:p>
    <w:p w14:paraId="0EDA4C34">
      <w:pPr>
        <w:autoSpaceDE w:val="0"/>
        <w:autoSpaceDN w:val="0"/>
        <w:adjustRightInd w:val="0"/>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8.6.1</w:t>
      </w:r>
      <w:r>
        <w:rPr>
          <w:rFonts w:hint="default" w:ascii="Times New Roman" w:hAnsi="Times New Roman" w:eastAsia="方正仿宋_GBK" w:cs="Times New Roman"/>
          <w:color w:val="auto"/>
          <w:kern w:val="0"/>
          <w:sz w:val="21"/>
          <w:szCs w:val="21"/>
          <w:highlight w:val="none"/>
        </w:rPr>
        <w:tab/>
      </w:r>
      <w:r>
        <w:rPr>
          <w:rFonts w:hint="default" w:ascii="Times New Roman" w:hAnsi="Times New Roman" w:eastAsia="方正仿宋_GBK" w:cs="Times New Roman"/>
          <w:color w:val="auto"/>
          <w:kern w:val="0"/>
          <w:sz w:val="21"/>
          <w:szCs w:val="21"/>
          <w:highlight w:val="none"/>
        </w:rPr>
        <w:t>样品的报送与封存</w:t>
      </w:r>
    </w:p>
    <w:p w14:paraId="6E5298AC">
      <w:pPr>
        <w:autoSpaceDE w:val="0"/>
        <w:autoSpaceDN w:val="0"/>
        <w:adjustRightInd w:val="0"/>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kern w:val="0"/>
          <w:sz w:val="21"/>
          <w:szCs w:val="21"/>
          <w:highlight w:val="none"/>
        </w:rPr>
        <w:t>需要承包人报送样品的材料或工程设备，样品的种类、名称、规格、数量要求：</w:t>
      </w:r>
      <w:r>
        <w:rPr>
          <w:rFonts w:hint="default" w:ascii="Times New Roman" w:hAnsi="Times New Roman" w:eastAsia="方正仿宋_GBK" w:cs="Times New Roman"/>
          <w:color w:val="auto"/>
          <w:sz w:val="21"/>
          <w:szCs w:val="21"/>
          <w:highlight w:val="none"/>
          <w:u w:val="single"/>
        </w:rPr>
        <w:t>按管理部门要求和发包人需求确定  。</w:t>
      </w:r>
    </w:p>
    <w:p w14:paraId="0674F98D">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8.8 </w:t>
      </w:r>
      <w:r>
        <w:rPr>
          <w:rFonts w:hint="default" w:ascii="Times New Roman" w:hAnsi="Times New Roman" w:eastAsia="方正仿宋_GBK" w:cs="Times New Roman"/>
          <w:color w:val="auto"/>
          <w:kern w:val="0"/>
          <w:sz w:val="21"/>
          <w:szCs w:val="21"/>
          <w:highlight w:val="none"/>
        </w:rPr>
        <w:t>施工设备和临时设施</w:t>
      </w:r>
    </w:p>
    <w:p w14:paraId="7954F4F8">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8.8.1 承包人提供的施工设备和临时设施</w:t>
      </w:r>
    </w:p>
    <w:p w14:paraId="1C293F50">
      <w:pPr>
        <w:snapToGrid w:val="0"/>
        <w:spacing w:line="360" w:lineRule="auto"/>
        <w:ind w:firstLine="48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关于修建临时设施费用承担的约定：</w:t>
      </w:r>
      <w:r>
        <w:rPr>
          <w:rFonts w:hint="default" w:ascii="Times New Roman" w:hAnsi="Times New Roman" w:eastAsia="方正仿宋_GBK" w:cs="Times New Roman"/>
          <w:color w:val="auto"/>
          <w:sz w:val="21"/>
          <w:szCs w:val="21"/>
          <w:highlight w:val="none"/>
          <w:u w:val="single"/>
        </w:rPr>
        <w:t>由承包人承担 ，已包含在综合单价内。</w:t>
      </w:r>
    </w:p>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14:paraId="06E67D2F">
      <w:pPr>
        <w:snapToGrid w:val="0"/>
        <w:spacing w:line="360" w:lineRule="auto"/>
        <w:ind w:firstLine="480"/>
        <w:rPr>
          <w:rFonts w:hint="default" w:ascii="Times New Roman" w:hAnsi="Times New Roman" w:eastAsia="方正仿宋_GBK" w:cs="Times New Roman"/>
          <w:color w:val="auto"/>
          <w:sz w:val="21"/>
          <w:szCs w:val="21"/>
          <w:highlight w:val="none"/>
          <w:u w:val="single"/>
        </w:rPr>
      </w:pPr>
      <w:bookmarkStart w:id="384" w:name="_Toc351203641"/>
      <w:r>
        <w:rPr>
          <w:rFonts w:hint="default" w:ascii="Times New Roman" w:hAnsi="Times New Roman" w:eastAsia="方正仿宋_GBK" w:cs="Times New Roman"/>
          <w:color w:val="auto"/>
          <w:sz w:val="21"/>
          <w:szCs w:val="21"/>
          <w:highlight w:val="none"/>
        </w:rPr>
        <w:t>维护、管理临时设施及其占地的责任及费用：</w:t>
      </w:r>
      <w:r>
        <w:rPr>
          <w:rFonts w:hint="default" w:ascii="Times New Roman" w:hAnsi="Times New Roman" w:eastAsia="方正仿宋_GBK" w:cs="Times New Roman"/>
          <w:color w:val="auto"/>
          <w:sz w:val="21"/>
          <w:szCs w:val="21"/>
          <w:highlight w:val="none"/>
          <w:u w:val="single"/>
        </w:rPr>
        <w:t>由承包人自行负责。</w:t>
      </w:r>
    </w:p>
    <w:p w14:paraId="7EF3E105">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8.8.2 要求承包人增加或更换施工设备</w:t>
      </w:r>
    </w:p>
    <w:p w14:paraId="4BCE0ECC">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承包人使用的施工设备不能满足合同进度计划和（或）质量要求时，监理人有权要求承包人增加或更换施工设备，承包人应及时增加或更换，由此增加的费用和（或）工期延误由承包人承担。</w:t>
      </w:r>
    </w:p>
    <w:p w14:paraId="4119C125">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8.8.3 施工设备和临时设施专用于合同工程</w:t>
      </w:r>
    </w:p>
    <w:p w14:paraId="4252FE16">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 除合同另有约定外，运入施工场地的所有施工设备以及在施工场地建设的临时设施应专用于合同工程。未经监理人同意，不得将上述施工设备和临时设施中的任何部分运出施工场地或挪作他用。</w:t>
      </w:r>
    </w:p>
    <w:p w14:paraId="5E420EC6">
      <w:pPr>
        <w:snapToGrid w:val="0"/>
        <w:spacing w:line="360" w:lineRule="auto"/>
        <w:ind w:firstLine="420" w:firstLineChars="20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（2） 经监理人同意，承包人可根据合同进度计划撤走闲置的施工设备。</w:t>
      </w:r>
    </w:p>
    <w:p w14:paraId="58536AC2">
      <w:pPr>
        <w:snapToGrid w:val="0"/>
        <w:spacing w:line="360" w:lineRule="auto"/>
        <w:rPr>
          <w:rFonts w:hint="default" w:ascii="Times New Roman" w:hAnsi="Times New Roman" w:eastAsia="方正仿宋_GBK" w:cs="Times New Roman"/>
          <w:b/>
          <w:color w:val="auto"/>
          <w:kern w:val="0"/>
          <w:sz w:val="21"/>
          <w:szCs w:val="21"/>
          <w:highlight w:val="none"/>
        </w:rPr>
      </w:pPr>
      <w:bookmarkStart w:id="385" w:name="_Toc516756966"/>
      <w:bookmarkStart w:id="386" w:name="_Toc518391417"/>
      <w:bookmarkStart w:id="387" w:name="_Toc485992742"/>
      <w:bookmarkStart w:id="388" w:name="_Toc433623111"/>
      <w:r>
        <w:rPr>
          <w:rFonts w:hint="default" w:ascii="Times New Roman" w:hAnsi="Times New Roman" w:eastAsia="方正仿宋_GBK" w:cs="Times New Roman"/>
          <w:b/>
          <w:color w:val="auto"/>
          <w:kern w:val="0"/>
          <w:sz w:val="21"/>
          <w:szCs w:val="21"/>
          <w:highlight w:val="none"/>
        </w:rPr>
        <w:t>9</w:t>
      </w:r>
      <w:bookmarkEnd w:id="381"/>
      <w:bookmarkEnd w:id="382"/>
      <w:bookmarkEnd w:id="383"/>
      <w:bookmarkStart w:id="389" w:name="_Toc312677495"/>
      <w:bookmarkStart w:id="390" w:name="_Toc303539139"/>
      <w:bookmarkStart w:id="391" w:name="_Toc300934982"/>
      <w:bookmarkStart w:id="392" w:name="_Toc304295559"/>
      <w:bookmarkStart w:id="393" w:name="_Toc312678021"/>
      <w:bookmarkStart w:id="394" w:name="_Toc297216192"/>
      <w:bookmarkStart w:id="395" w:name="_Toc297123533"/>
      <w:bookmarkStart w:id="396" w:name="_Toc267251427"/>
      <w:bookmarkStart w:id="397" w:name="_Toc296944512"/>
      <w:bookmarkStart w:id="398" w:name="_Toc267251428"/>
      <w:bookmarkStart w:id="399" w:name="_Toc296346674"/>
      <w:bookmarkStart w:id="400" w:name="_Toc292559883"/>
      <w:bookmarkStart w:id="401" w:name="_Toc296503173"/>
      <w:bookmarkStart w:id="402" w:name="_Toc297048359"/>
      <w:bookmarkStart w:id="403" w:name="_Toc296891213"/>
      <w:bookmarkStart w:id="404" w:name="_Toc297120473"/>
      <w:bookmarkStart w:id="405" w:name="_Toc292559378"/>
      <w:bookmarkStart w:id="406" w:name="_Toc296347172"/>
      <w:bookmarkStart w:id="407" w:name="_Toc296891001"/>
      <w:r>
        <w:rPr>
          <w:rFonts w:hint="default" w:ascii="Times New Roman" w:hAnsi="Times New Roman" w:eastAsia="方正仿宋_GBK" w:cs="Times New Roman"/>
          <w:b/>
          <w:color w:val="auto"/>
          <w:kern w:val="0"/>
          <w:sz w:val="21"/>
          <w:szCs w:val="21"/>
          <w:highlight w:val="none"/>
        </w:rPr>
        <w:t>. 试验与检验</w:t>
      </w:r>
      <w:bookmarkEnd w:id="384"/>
      <w:bookmarkEnd w:id="385"/>
      <w:bookmarkEnd w:id="386"/>
      <w:bookmarkEnd w:id="387"/>
      <w:bookmarkEnd w:id="388"/>
    </w:p>
    <w:bookmarkEnd w:id="389"/>
    <w:bookmarkEnd w:id="390"/>
    <w:bookmarkEnd w:id="391"/>
    <w:bookmarkEnd w:id="392"/>
    <w:bookmarkEnd w:id="393"/>
    <w:bookmarkEnd w:id="394"/>
    <w:bookmarkEnd w:id="395"/>
    <w:p w14:paraId="43094DC5">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9</w:t>
      </w:r>
      <w:bookmarkStart w:id="408" w:name="_Toc312678022"/>
      <w:bookmarkStart w:id="409" w:name="_Toc300934983"/>
      <w:bookmarkStart w:id="410" w:name="_Toc312677496"/>
      <w:bookmarkStart w:id="411" w:name="_Toc297216193"/>
      <w:bookmarkStart w:id="412" w:name="_Toc304295560"/>
      <w:bookmarkStart w:id="413" w:name="_Toc297123534"/>
      <w:bookmarkStart w:id="414" w:name="_Toc303539140"/>
      <w:r>
        <w:rPr>
          <w:rFonts w:hint="default" w:ascii="Times New Roman" w:hAnsi="Times New Roman" w:eastAsia="方正仿宋_GBK" w:cs="Times New Roman"/>
          <w:color w:val="auto"/>
          <w:sz w:val="21"/>
          <w:szCs w:val="21"/>
          <w:highlight w:val="none"/>
        </w:rPr>
        <w:t>.1试验设备与试验人员</w:t>
      </w:r>
    </w:p>
    <w:bookmarkEnd w:id="408"/>
    <w:bookmarkEnd w:id="409"/>
    <w:bookmarkEnd w:id="410"/>
    <w:bookmarkEnd w:id="411"/>
    <w:bookmarkEnd w:id="412"/>
    <w:bookmarkEnd w:id="413"/>
    <w:bookmarkEnd w:id="414"/>
    <w:p w14:paraId="5A4273BD">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9</w:t>
      </w:r>
      <w:bookmarkStart w:id="415" w:name="_Toc300934984"/>
      <w:bookmarkStart w:id="416" w:name="_Toc297123535"/>
      <w:bookmarkStart w:id="417" w:name="_Toc304295561"/>
      <w:bookmarkStart w:id="418" w:name="_Toc303539141"/>
      <w:bookmarkStart w:id="419" w:name="_Toc312678023"/>
      <w:bookmarkStart w:id="420" w:name="_Toc312677497"/>
      <w:bookmarkStart w:id="421" w:name="_Toc297216194"/>
      <w:bookmarkStart w:id="422" w:name="_Toc318581174"/>
      <w:r>
        <w:rPr>
          <w:rFonts w:hint="default" w:ascii="Times New Roman" w:hAnsi="Times New Roman" w:eastAsia="方正仿宋_GBK" w:cs="Times New Roman"/>
          <w:color w:val="auto"/>
          <w:sz w:val="21"/>
          <w:szCs w:val="21"/>
          <w:highlight w:val="none"/>
        </w:rPr>
        <w:t xml:space="preserve">.1.2 </w:t>
      </w:r>
      <w:r>
        <w:rPr>
          <w:rFonts w:hint="default" w:ascii="Times New Roman" w:hAnsi="Times New Roman" w:eastAsia="方正仿宋_GBK" w:cs="Times New Roman"/>
          <w:color w:val="auto"/>
          <w:kern w:val="0"/>
          <w:sz w:val="21"/>
          <w:szCs w:val="21"/>
          <w:highlight w:val="none"/>
        </w:rPr>
        <w:t>试验设备</w:t>
      </w:r>
    </w:p>
    <w:p w14:paraId="69F6D0BC">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施工现场需要配置的试验场所：</w:t>
      </w:r>
      <w:bookmarkEnd w:id="415"/>
      <w:bookmarkEnd w:id="416"/>
      <w:bookmarkEnd w:id="417"/>
      <w:bookmarkEnd w:id="418"/>
      <w:bookmarkEnd w:id="419"/>
      <w:bookmarkEnd w:id="420"/>
      <w:bookmarkEnd w:id="421"/>
      <w:bookmarkStart w:id="423" w:name="_Toc297216195"/>
      <w:bookmarkStart w:id="424" w:name="_Toc297123536"/>
      <w:bookmarkStart w:id="425" w:name="_Toc312678024"/>
      <w:bookmarkStart w:id="426" w:name="_Toc300934985"/>
      <w:bookmarkStart w:id="427" w:name="_Toc303539142"/>
      <w:bookmarkStart w:id="428" w:name="_Toc312677498"/>
      <w:bookmarkStart w:id="429" w:name="_Toc304295562"/>
      <w:r>
        <w:rPr>
          <w:rFonts w:hint="default" w:ascii="Times New Roman" w:hAnsi="Times New Roman" w:eastAsia="方正仿宋_GBK" w:cs="Times New Roman"/>
          <w:color w:val="auto"/>
          <w:sz w:val="21"/>
          <w:szCs w:val="21"/>
          <w:highlight w:val="none"/>
          <w:u w:val="single"/>
        </w:rPr>
        <w:t xml:space="preserve">           /          </w:t>
      </w:r>
      <w:r>
        <w:rPr>
          <w:rFonts w:hint="default" w:ascii="Times New Roman" w:hAnsi="Times New Roman" w:eastAsia="方正仿宋_GBK" w:cs="Times New Roman"/>
          <w:color w:val="auto"/>
          <w:sz w:val="21"/>
          <w:szCs w:val="21"/>
          <w:highlight w:val="none"/>
        </w:rPr>
        <w:t xml:space="preserve">。 </w:t>
      </w:r>
    </w:p>
    <w:p w14:paraId="3834EDC7">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施工现场需要配备的试验设备：</w:t>
      </w:r>
      <w:r>
        <w:rPr>
          <w:rFonts w:hint="default" w:ascii="Times New Roman" w:hAnsi="Times New Roman" w:eastAsia="方正仿宋_GBK" w:cs="Times New Roman"/>
          <w:color w:val="auto"/>
          <w:sz w:val="21"/>
          <w:szCs w:val="21"/>
          <w:highlight w:val="none"/>
          <w:u w:val="single"/>
        </w:rPr>
        <w:t xml:space="preserve">            /         </w:t>
      </w:r>
      <w:r>
        <w:rPr>
          <w:rFonts w:hint="default" w:ascii="Times New Roman" w:hAnsi="Times New Roman" w:eastAsia="方正仿宋_GBK" w:cs="Times New Roman"/>
          <w:color w:val="auto"/>
          <w:sz w:val="21"/>
          <w:szCs w:val="21"/>
          <w:highlight w:val="none"/>
        </w:rPr>
        <w:t>。</w:t>
      </w:r>
    </w:p>
    <w:p w14:paraId="3B0D8F2B">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施工现场需要具备的其他试验条件：</w:t>
      </w:r>
      <w:r>
        <w:rPr>
          <w:rFonts w:hint="default" w:ascii="Times New Roman" w:hAnsi="Times New Roman" w:eastAsia="方正仿宋_GBK" w:cs="Times New Roman"/>
          <w:color w:val="auto"/>
          <w:sz w:val="21"/>
          <w:szCs w:val="21"/>
          <w:highlight w:val="none"/>
          <w:u w:val="single"/>
        </w:rPr>
        <w:t xml:space="preserve">       /           </w:t>
      </w:r>
      <w:r>
        <w:rPr>
          <w:rFonts w:hint="default" w:ascii="Times New Roman" w:hAnsi="Times New Roman" w:eastAsia="方正仿宋_GBK" w:cs="Times New Roman"/>
          <w:color w:val="auto"/>
          <w:sz w:val="21"/>
          <w:szCs w:val="21"/>
          <w:highlight w:val="none"/>
        </w:rPr>
        <w:t>。</w:t>
      </w:r>
    </w:p>
    <w:p w14:paraId="757B85A2">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9.4 </w:t>
      </w:r>
      <w:r>
        <w:rPr>
          <w:rFonts w:hint="default" w:ascii="Times New Roman" w:hAnsi="Times New Roman" w:eastAsia="方正仿宋_GBK" w:cs="Times New Roman"/>
          <w:color w:val="auto"/>
          <w:kern w:val="0"/>
          <w:sz w:val="21"/>
          <w:szCs w:val="21"/>
          <w:highlight w:val="none"/>
        </w:rPr>
        <w:t>现场工艺试验</w:t>
      </w:r>
      <w:r>
        <w:rPr>
          <w:rFonts w:hint="default" w:ascii="Times New Roman" w:hAnsi="Times New Roman" w:eastAsia="方正仿宋_GBK" w:cs="Times New Roman"/>
          <w:color w:val="auto"/>
          <w:sz w:val="21"/>
          <w:szCs w:val="21"/>
          <w:highlight w:val="none"/>
        </w:rPr>
        <w:t xml:space="preserve"> </w:t>
      </w:r>
    </w:p>
    <w:p w14:paraId="566C86EE">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现场工艺试验的有关约定：</w:t>
      </w:r>
      <w:r>
        <w:rPr>
          <w:rFonts w:hint="default" w:ascii="Times New Roman" w:hAnsi="Times New Roman" w:eastAsia="方正仿宋_GBK" w:cs="Times New Roman"/>
          <w:color w:val="auto"/>
          <w:sz w:val="21"/>
          <w:szCs w:val="21"/>
          <w:highlight w:val="none"/>
          <w:u w:val="single"/>
        </w:rPr>
        <w:t xml:space="preserve">          /               </w:t>
      </w:r>
      <w:r>
        <w:rPr>
          <w:rFonts w:hint="default" w:ascii="Times New Roman" w:hAnsi="Times New Roman" w:eastAsia="方正仿宋_GBK" w:cs="Times New Roman"/>
          <w:color w:val="auto"/>
          <w:sz w:val="21"/>
          <w:szCs w:val="21"/>
          <w:highlight w:val="none"/>
        </w:rPr>
        <w:t>。</w:t>
      </w:r>
    </w:p>
    <w:bookmarkEnd w:id="422"/>
    <w:bookmarkEnd w:id="423"/>
    <w:bookmarkEnd w:id="424"/>
    <w:bookmarkEnd w:id="425"/>
    <w:bookmarkEnd w:id="426"/>
    <w:bookmarkEnd w:id="427"/>
    <w:bookmarkEnd w:id="428"/>
    <w:bookmarkEnd w:id="429"/>
    <w:p w14:paraId="7D3038D5">
      <w:pPr>
        <w:snapToGrid w:val="0"/>
        <w:spacing w:line="360" w:lineRule="auto"/>
        <w:rPr>
          <w:rFonts w:hint="default" w:ascii="Times New Roman" w:hAnsi="Times New Roman" w:eastAsia="方正仿宋_GBK" w:cs="Times New Roman"/>
          <w:b/>
          <w:color w:val="auto"/>
          <w:kern w:val="0"/>
          <w:sz w:val="21"/>
          <w:szCs w:val="21"/>
          <w:highlight w:val="none"/>
        </w:rPr>
      </w:pPr>
      <w:bookmarkStart w:id="430" w:name="_Toc485992743"/>
      <w:bookmarkStart w:id="431" w:name="_Toc433623112"/>
      <w:bookmarkStart w:id="432" w:name="_Toc351203642"/>
      <w:bookmarkStart w:id="433" w:name="_Toc516756967"/>
      <w:bookmarkStart w:id="434" w:name="_Toc518391418"/>
      <w:r>
        <w:rPr>
          <w:rFonts w:hint="default" w:ascii="Times New Roman" w:hAnsi="Times New Roman" w:eastAsia="方正仿宋_GBK" w:cs="Times New Roman"/>
          <w:b/>
          <w:color w:val="auto"/>
          <w:kern w:val="0"/>
          <w:sz w:val="21"/>
          <w:szCs w:val="21"/>
          <w:highlight w:val="none"/>
        </w:rPr>
        <w:t>1</w:t>
      </w:r>
      <w:bookmarkEnd w:id="396"/>
      <w:bookmarkEnd w:id="397"/>
      <w:bookmarkEnd w:id="398"/>
      <w:bookmarkEnd w:id="399"/>
      <w:bookmarkEnd w:id="400"/>
      <w:bookmarkEnd w:id="401"/>
      <w:bookmarkEnd w:id="402"/>
      <w:bookmarkEnd w:id="403"/>
      <w:bookmarkEnd w:id="404"/>
      <w:bookmarkEnd w:id="405"/>
      <w:bookmarkEnd w:id="406"/>
      <w:bookmarkEnd w:id="407"/>
      <w:bookmarkStart w:id="435" w:name="_Toc296891021"/>
      <w:bookmarkStart w:id="436" w:name="_Toc297048379"/>
      <w:bookmarkStart w:id="437" w:name="_Toc304295566"/>
      <w:bookmarkStart w:id="438" w:name="_Toc296503193"/>
      <w:bookmarkStart w:id="439" w:name="_Toc292559903"/>
      <w:bookmarkStart w:id="440" w:name="_Toc297120493"/>
      <w:bookmarkStart w:id="441" w:name="_Toc303539146"/>
      <w:bookmarkStart w:id="442" w:name="_Toc296346694"/>
      <w:bookmarkStart w:id="443" w:name="_Toc296891233"/>
      <w:bookmarkStart w:id="444" w:name="_Toc300934989"/>
      <w:bookmarkStart w:id="445" w:name="_Toc297216199"/>
      <w:bookmarkStart w:id="446" w:name="_Toc292559398"/>
      <w:bookmarkStart w:id="447" w:name="_Toc296944532"/>
      <w:bookmarkStart w:id="448" w:name="_Toc297123540"/>
      <w:bookmarkStart w:id="449" w:name="_Toc296347192"/>
      <w:bookmarkStart w:id="450" w:name="_Toc312678025"/>
      <w:bookmarkStart w:id="451" w:name="_Toc312677499"/>
      <w:bookmarkStart w:id="452" w:name="_Toc267251433"/>
      <w:bookmarkStart w:id="453" w:name="_Toc267251441"/>
      <w:bookmarkStart w:id="454" w:name="_Toc267251435"/>
      <w:bookmarkStart w:id="455" w:name="_Toc267251437"/>
      <w:bookmarkStart w:id="456" w:name="_Toc267251439"/>
      <w:bookmarkStart w:id="457" w:name="_Toc267251440"/>
      <w:bookmarkStart w:id="458" w:name="_Toc267251442"/>
      <w:r>
        <w:rPr>
          <w:rFonts w:hint="default" w:ascii="Times New Roman" w:hAnsi="Times New Roman" w:eastAsia="方正仿宋_GBK" w:cs="Times New Roman"/>
          <w:b/>
          <w:color w:val="auto"/>
          <w:kern w:val="0"/>
          <w:sz w:val="21"/>
          <w:szCs w:val="21"/>
          <w:highlight w:val="none"/>
        </w:rPr>
        <w:t>0. 变更</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bookmarkEnd w:id="450"/>
    <w:bookmarkEnd w:id="451"/>
    <w:p w14:paraId="378E8475">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w:t>
      </w:r>
      <w:bookmarkStart w:id="459" w:name="_Toc312678026"/>
      <w:bookmarkStart w:id="460" w:name="_Toc296891022"/>
      <w:bookmarkStart w:id="461" w:name="_Toc296944533"/>
      <w:bookmarkStart w:id="462" w:name="_Toc296346695"/>
      <w:bookmarkStart w:id="463" w:name="_Toc297048380"/>
      <w:bookmarkStart w:id="464" w:name="_Toc297123541"/>
      <w:bookmarkStart w:id="465" w:name="_Toc292559904"/>
      <w:bookmarkStart w:id="466" w:name="_Toc303539147"/>
      <w:bookmarkStart w:id="467" w:name="_Toc312677500"/>
      <w:bookmarkStart w:id="468" w:name="_Toc292559399"/>
      <w:bookmarkStart w:id="469" w:name="_Toc300934990"/>
      <w:bookmarkStart w:id="470" w:name="_Toc304295567"/>
      <w:bookmarkStart w:id="471" w:name="_Toc296891234"/>
      <w:bookmarkStart w:id="472" w:name="_Toc296347193"/>
      <w:bookmarkStart w:id="473" w:name="_Toc296503194"/>
      <w:bookmarkStart w:id="474" w:name="_Toc297216200"/>
      <w:bookmarkStart w:id="475" w:name="_Toc297120494"/>
      <w:r>
        <w:rPr>
          <w:rFonts w:hint="default" w:ascii="Times New Roman" w:hAnsi="Times New Roman" w:eastAsia="方正仿宋_GBK" w:cs="Times New Roman"/>
          <w:color w:val="auto"/>
          <w:sz w:val="21"/>
          <w:szCs w:val="21"/>
          <w:highlight w:val="none"/>
        </w:rPr>
        <w:t>0.1变更的范围</w:t>
      </w:r>
    </w:p>
    <w:p w14:paraId="52A8A71A">
      <w:pPr>
        <w:snapToGrid w:val="0"/>
        <w:spacing w:line="360" w:lineRule="auto"/>
        <w:ind w:firstLine="48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关于变更的范围的约定：发</w:t>
      </w:r>
      <w:r>
        <w:rPr>
          <w:rFonts w:hint="default" w:ascii="Times New Roman" w:hAnsi="Times New Roman" w:eastAsia="方正仿宋_GBK" w:cs="Times New Roman"/>
          <w:color w:val="auto"/>
          <w:sz w:val="21"/>
          <w:szCs w:val="21"/>
          <w:highlight w:val="none"/>
          <w:u w:val="single"/>
        </w:rPr>
        <w:t>包人有权进行工程变更，工程设计变更需经发包人书面认定。</w:t>
      </w:r>
    </w:p>
    <w:p w14:paraId="503AE53F">
      <w:pPr>
        <w:snapToGrid w:val="0"/>
        <w:spacing w:line="360" w:lineRule="auto"/>
        <w:ind w:firstLine="48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经发包人认可的变更的范围与内容：</w:t>
      </w:r>
    </w:p>
    <w:p w14:paraId="7E394052">
      <w:pPr>
        <w:snapToGrid w:val="0"/>
        <w:spacing w:line="360" w:lineRule="auto"/>
        <w:ind w:firstLine="48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（1）改变合同工程的基线、标高、位置或尺寸；</w:t>
      </w:r>
    </w:p>
    <w:p w14:paraId="5F6E3472">
      <w:pPr>
        <w:snapToGrid w:val="0"/>
        <w:spacing w:line="360" w:lineRule="auto"/>
        <w:ind w:firstLine="48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（2）设计图纸外新增的额外工程；</w:t>
      </w:r>
    </w:p>
    <w:p w14:paraId="4AE7A4D7">
      <w:pPr>
        <w:snapToGrid w:val="0"/>
        <w:spacing w:line="360" w:lineRule="auto"/>
        <w:ind w:firstLine="48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（3）设计图纸外缺项、漏项工程。</w:t>
      </w:r>
    </w:p>
    <w:p w14:paraId="37766FC0">
      <w:pPr>
        <w:snapToGrid w:val="0"/>
        <w:spacing w:line="360" w:lineRule="auto"/>
        <w:ind w:firstLine="48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（4）其它变更的范围与内容。</w:t>
      </w:r>
    </w:p>
    <w:p w14:paraId="5840E4EE">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10.4 </w:t>
      </w:r>
      <w:r>
        <w:rPr>
          <w:rFonts w:hint="default" w:ascii="Times New Roman" w:hAnsi="Times New Roman" w:eastAsia="方正仿宋_GBK" w:cs="Times New Roman"/>
          <w:color w:val="auto"/>
          <w:kern w:val="0"/>
          <w:sz w:val="21"/>
          <w:szCs w:val="21"/>
          <w:highlight w:val="none"/>
        </w:rPr>
        <w:t>变更估价</w:t>
      </w:r>
    </w:p>
    <w:p w14:paraId="5BF1F78B">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10.4.1 变更估价原则：</w:t>
      </w:r>
      <w:r>
        <w:rPr>
          <w:rFonts w:hint="default" w:ascii="Times New Roman" w:hAnsi="Times New Roman" w:eastAsia="方正仿宋_GBK" w:cs="Times New Roman"/>
          <w:b/>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u w:val="single"/>
        </w:rPr>
        <w:t>按结算原则执行</w:t>
      </w:r>
      <w:r>
        <w:rPr>
          <w:rFonts w:hint="default" w:ascii="Times New Roman" w:hAnsi="Times New Roman" w:eastAsia="方正仿宋_GBK" w:cs="Times New Roman"/>
          <w:b/>
          <w:color w:val="auto"/>
          <w:sz w:val="21"/>
          <w:szCs w:val="21"/>
          <w:highlight w:val="none"/>
          <w:u w:val="single"/>
        </w:rPr>
        <w:t xml:space="preserve">   </w:t>
      </w:r>
    </w:p>
    <w:p w14:paraId="08205951">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Start w:id="476" w:name="_Toc292559907"/>
      <w:bookmarkStart w:id="477" w:name="_Toc297120497"/>
      <w:bookmarkStart w:id="478" w:name="_Toc296503197"/>
      <w:bookmarkStart w:id="479" w:name="_Toc292559402"/>
      <w:bookmarkStart w:id="480" w:name="_Toc296944536"/>
      <w:bookmarkStart w:id="481" w:name="_Toc296891025"/>
      <w:bookmarkStart w:id="482" w:name="_Toc296347196"/>
      <w:bookmarkStart w:id="483" w:name="_Toc300934993"/>
      <w:bookmarkStart w:id="484" w:name="_Toc303539150"/>
      <w:bookmarkStart w:id="485" w:name="_Toc296891237"/>
      <w:bookmarkStart w:id="486" w:name="_Toc297048383"/>
      <w:bookmarkStart w:id="487" w:name="_Toc296346698"/>
      <w:bookmarkStart w:id="488" w:name="_Toc297216203"/>
      <w:bookmarkStart w:id="489" w:name="_Toc297123544"/>
      <w:bookmarkStart w:id="490" w:name="_Toc304295570"/>
      <w:bookmarkStart w:id="491" w:name="_Toc312677503"/>
      <w:bookmarkStart w:id="492" w:name="_Toc312678029"/>
      <w:r>
        <w:rPr>
          <w:rFonts w:hint="default" w:ascii="Times New Roman" w:hAnsi="Times New Roman" w:eastAsia="方正仿宋_GBK" w:cs="Times New Roman"/>
          <w:color w:val="auto"/>
          <w:sz w:val="21"/>
          <w:szCs w:val="21"/>
          <w:highlight w:val="none"/>
        </w:rPr>
        <w:t>0.5承</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Start w:id="493" w:name="_Toc303539151"/>
      <w:bookmarkStart w:id="494" w:name="_Toc292559408"/>
      <w:bookmarkStart w:id="495" w:name="_Toc296891243"/>
      <w:bookmarkStart w:id="496" w:name="_Toc297120503"/>
      <w:bookmarkStart w:id="497" w:name="_Toc296347202"/>
      <w:bookmarkStart w:id="498" w:name="_Toc297123545"/>
      <w:bookmarkStart w:id="499" w:name="_Toc292559913"/>
      <w:bookmarkStart w:id="500" w:name="_Toc297216204"/>
      <w:bookmarkStart w:id="501" w:name="_Toc296503203"/>
      <w:bookmarkStart w:id="502" w:name="_Toc296944542"/>
      <w:bookmarkStart w:id="503" w:name="_Toc296891031"/>
      <w:bookmarkStart w:id="504" w:name="_Toc300934994"/>
      <w:bookmarkStart w:id="505" w:name="_Toc296346704"/>
      <w:bookmarkStart w:id="506" w:name="_Toc297048389"/>
      <w:r>
        <w:rPr>
          <w:rFonts w:hint="default" w:ascii="Times New Roman" w:hAnsi="Times New Roman" w:eastAsia="方正仿宋_GBK" w:cs="Times New Roman"/>
          <w:color w:val="auto"/>
          <w:sz w:val="21"/>
          <w:szCs w:val="21"/>
          <w:highlight w:val="none"/>
        </w:rPr>
        <w:t>包人的合理化建议</w:t>
      </w:r>
    </w:p>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14:paraId="02AD9D1B">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监理人审查承包人合理化建议的期限：</w:t>
      </w:r>
      <w:r>
        <w:rPr>
          <w:rFonts w:hint="default" w:ascii="Times New Roman" w:hAnsi="Times New Roman" w:eastAsia="方正仿宋_GBK" w:cs="Times New Roman"/>
          <w:color w:val="auto"/>
          <w:sz w:val="21"/>
          <w:szCs w:val="21"/>
          <w:highlight w:val="none"/>
          <w:u w:val="single"/>
        </w:rPr>
        <w:t>不超过14天。</w:t>
      </w:r>
    </w:p>
    <w:p w14:paraId="6C2EDF51">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发包人审批承包人合理化建议的期限：</w:t>
      </w:r>
      <w:r>
        <w:rPr>
          <w:rFonts w:hint="default" w:ascii="Times New Roman" w:hAnsi="Times New Roman" w:eastAsia="方正仿宋_GBK" w:cs="Times New Roman"/>
          <w:color w:val="auto"/>
          <w:sz w:val="21"/>
          <w:szCs w:val="21"/>
          <w:highlight w:val="none"/>
          <w:u w:val="single"/>
        </w:rPr>
        <w:t>不超过14天。</w:t>
      </w:r>
    </w:p>
    <w:p w14:paraId="462D196F">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承</w:t>
      </w:r>
      <w:bookmarkStart w:id="507" w:name="_Toc296891032"/>
      <w:bookmarkStart w:id="508" w:name="_Toc318581175"/>
      <w:bookmarkStart w:id="509" w:name="_Toc312678030"/>
      <w:bookmarkStart w:id="510" w:name="_Toc292559409"/>
      <w:bookmarkStart w:id="511" w:name="_Toc296347203"/>
      <w:bookmarkStart w:id="512" w:name="_Toc292559914"/>
      <w:bookmarkStart w:id="513" w:name="_Toc312677504"/>
      <w:bookmarkStart w:id="514" w:name="_Toc297048390"/>
      <w:bookmarkStart w:id="515" w:name="_Toc304295571"/>
      <w:bookmarkStart w:id="516" w:name="_Toc296503204"/>
      <w:bookmarkStart w:id="517" w:name="_Toc297123546"/>
      <w:bookmarkStart w:id="518" w:name="_Toc303539152"/>
      <w:bookmarkStart w:id="519" w:name="_Toc297216205"/>
      <w:bookmarkStart w:id="520" w:name="_Toc300934995"/>
      <w:bookmarkStart w:id="521" w:name="_Toc296346705"/>
      <w:bookmarkStart w:id="522" w:name="_Toc296891244"/>
      <w:bookmarkStart w:id="523" w:name="_Toc296944543"/>
      <w:bookmarkStart w:id="524" w:name="_Toc297120504"/>
      <w:r>
        <w:rPr>
          <w:rFonts w:hint="default" w:ascii="Times New Roman" w:hAnsi="Times New Roman" w:eastAsia="方正仿宋_GBK" w:cs="Times New Roman"/>
          <w:color w:val="auto"/>
          <w:sz w:val="21"/>
          <w:szCs w:val="21"/>
          <w:highlight w:val="none"/>
        </w:rPr>
        <w:t>包人提出的合理化建议降低了合同价格或者提高了工程经济效益的奖励的方法和金额为：</w:t>
      </w:r>
      <w:r>
        <w:rPr>
          <w:rFonts w:hint="default" w:ascii="Times New Roman" w:hAnsi="Times New Roman" w:eastAsia="方正仿宋_GBK" w:cs="Times New Roman"/>
          <w:color w:val="auto"/>
          <w:sz w:val="21"/>
          <w:szCs w:val="21"/>
          <w:highlight w:val="none"/>
          <w:u w:val="single"/>
        </w:rPr>
        <w:t xml:space="preserve">  无  </w:t>
      </w:r>
      <w:r>
        <w:rPr>
          <w:rFonts w:hint="default" w:ascii="Times New Roman" w:hAnsi="Times New Roman" w:eastAsia="方正仿宋_GBK" w:cs="Times New Roman"/>
          <w:color w:val="auto"/>
          <w:sz w:val="21"/>
          <w:szCs w:val="21"/>
          <w:highlight w:val="none"/>
        </w:rPr>
        <w:t>。</w:t>
      </w:r>
    </w:p>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14:paraId="6A63EC79">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w:t>
      </w:r>
      <w:bookmarkStart w:id="525" w:name="_Toc300934997"/>
      <w:bookmarkStart w:id="526" w:name="_Toc297120499"/>
      <w:bookmarkStart w:id="527" w:name="_Toc296891027"/>
      <w:bookmarkStart w:id="528" w:name="_Toc296891239"/>
      <w:bookmarkStart w:id="529" w:name="_Toc297048385"/>
      <w:bookmarkStart w:id="530" w:name="_Toc312678033"/>
      <w:bookmarkStart w:id="531" w:name="_Toc296346700"/>
      <w:bookmarkStart w:id="532" w:name="_Toc304295574"/>
      <w:bookmarkStart w:id="533" w:name="_Toc296503199"/>
      <w:bookmarkStart w:id="534" w:name="_Toc297123548"/>
      <w:bookmarkStart w:id="535" w:name="_Toc292559909"/>
      <w:bookmarkStart w:id="536" w:name="_Toc297216207"/>
      <w:bookmarkStart w:id="537" w:name="_Toc312677507"/>
      <w:bookmarkStart w:id="538" w:name="_Toc303539154"/>
      <w:bookmarkStart w:id="539" w:name="_Toc292559404"/>
      <w:bookmarkStart w:id="540" w:name="_Toc296944538"/>
      <w:bookmarkStart w:id="541" w:name="_Toc296347198"/>
      <w:r>
        <w:rPr>
          <w:rFonts w:hint="default" w:ascii="Times New Roman" w:hAnsi="Times New Roman" w:eastAsia="方正仿宋_GBK" w:cs="Times New Roman"/>
          <w:color w:val="auto"/>
          <w:sz w:val="21"/>
          <w:szCs w:val="21"/>
          <w:highlight w:val="none"/>
        </w:rPr>
        <w:t>0.7 暂估价</w:t>
      </w:r>
    </w:p>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14:paraId="568A0D46">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暂</w:t>
      </w:r>
      <w:bookmarkStart w:id="542" w:name="_Toc318581176"/>
      <w:bookmarkStart w:id="543" w:name="_Toc312678034"/>
      <w:bookmarkStart w:id="544" w:name="_Toc312677508"/>
      <w:r>
        <w:rPr>
          <w:rFonts w:hint="default" w:ascii="Times New Roman" w:hAnsi="Times New Roman" w:eastAsia="方正仿宋_GBK" w:cs="Times New Roman"/>
          <w:color w:val="auto"/>
          <w:sz w:val="21"/>
          <w:szCs w:val="21"/>
          <w:highlight w:val="none"/>
        </w:rPr>
        <w:t>估价材料和工程设备的明细：</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u w:val="single"/>
          <w:lang w:val="en-US" w:eastAsia="zh-CN"/>
        </w:rPr>
        <w:t>/</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bookmarkEnd w:id="542"/>
    <w:bookmarkEnd w:id="543"/>
    <w:bookmarkEnd w:id="544"/>
    <w:p w14:paraId="20FFC4C2">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w:t>
      </w:r>
      <w:bookmarkStart w:id="545" w:name="_Toc312677509"/>
      <w:bookmarkStart w:id="546" w:name="_Toc312678035"/>
      <w:bookmarkStart w:id="547" w:name="_Toc318581177"/>
      <w:r>
        <w:rPr>
          <w:rFonts w:hint="default" w:ascii="Times New Roman" w:hAnsi="Times New Roman" w:eastAsia="方正仿宋_GBK" w:cs="Times New Roman"/>
          <w:color w:val="auto"/>
          <w:sz w:val="21"/>
          <w:szCs w:val="21"/>
          <w:highlight w:val="none"/>
        </w:rPr>
        <w:t>0.7.1 依法必须</w:t>
      </w:r>
      <w:r>
        <w:rPr>
          <w:rFonts w:hint="default" w:ascii="Times New Roman" w:hAnsi="Times New Roman" w:eastAsia="方正仿宋_GBK" w:cs="Times New Roman"/>
          <w:color w:val="auto"/>
          <w:sz w:val="21"/>
          <w:szCs w:val="21"/>
          <w:highlight w:val="none"/>
          <w:lang w:val="en-US" w:eastAsia="zh-CN"/>
        </w:rPr>
        <w:t>招标</w:t>
      </w:r>
      <w:r>
        <w:rPr>
          <w:rFonts w:hint="default" w:ascii="Times New Roman" w:hAnsi="Times New Roman" w:eastAsia="方正仿宋_GBK" w:cs="Times New Roman"/>
          <w:color w:val="auto"/>
          <w:sz w:val="21"/>
          <w:szCs w:val="21"/>
          <w:highlight w:val="none"/>
        </w:rPr>
        <w:t>的暂估价项目</w:t>
      </w:r>
    </w:p>
    <w:bookmarkEnd w:id="545"/>
    <w:bookmarkEnd w:id="546"/>
    <w:bookmarkEnd w:id="547"/>
    <w:p w14:paraId="4616DBF1">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对于依法必须</w:t>
      </w:r>
      <w:r>
        <w:rPr>
          <w:rFonts w:hint="default" w:ascii="Times New Roman" w:hAnsi="Times New Roman" w:eastAsia="方正仿宋_GBK" w:cs="Times New Roman"/>
          <w:color w:val="auto"/>
          <w:sz w:val="21"/>
          <w:szCs w:val="21"/>
          <w:highlight w:val="none"/>
          <w:lang w:val="en-US" w:eastAsia="zh-CN"/>
        </w:rPr>
        <w:t xml:space="preserve">招标 </w:t>
      </w:r>
      <w:r>
        <w:rPr>
          <w:rFonts w:hint="default" w:ascii="Times New Roman" w:hAnsi="Times New Roman" w:eastAsia="方正仿宋_GBK" w:cs="Times New Roman"/>
          <w:color w:val="auto"/>
          <w:sz w:val="21"/>
          <w:szCs w:val="21"/>
          <w:highlight w:val="none"/>
        </w:rPr>
        <w:t>的暂估价项目的确认和批准采取第</w:t>
      </w:r>
      <w:r>
        <w:rPr>
          <w:rFonts w:hint="default" w:ascii="Times New Roman" w:hAnsi="Times New Roman" w:eastAsia="方正仿宋_GBK" w:cs="Times New Roman"/>
          <w:color w:val="auto"/>
          <w:sz w:val="21"/>
          <w:szCs w:val="21"/>
          <w:highlight w:val="none"/>
          <w:u w:val="single"/>
        </w:rPr>
        <w:t xml:space="preserve">  /  </w:t>
      </w:r>
      <w:r>
        <w:rPr>
          <w:rFonts w:hint="default" w:ascii="Times New Roman" w:hAnsi="Times New Roman" w:eastAsia="方正仿宋_GBK" w:cs="Times New Roman"/>
          <w:color w:val="auto"/>
          <w:sz w:val="21"/>
          <w:szCs w:val="21"/>
          <w:highlight w:val="none"/>
        </w:rPr>
        <w:t>种方式确定。</w:t>
      </w:r>
    </w:p>
    <w:p w14:paraId="29EF760F">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10.7.2 不属于依法必须</w:t>
      </w:r>
      <w:r>
        <w:rPr>
          <w:rFonts w:hint="default" w:ascii="Times New Roman" w:hAnsi="Times New Roman" w:eastAsia="方正仿宋_GBK" w:cs="Times New Roman"/>
          <w:color w:val="auto"/>
          <w:sz w:val="21"/>
          <w:szCs w:val="21"/>
          <w:highlight w:val="none"/>
          <w:lang w:val="en-US" w:eastAsia="zh-CN"/>
        </w:rPr>
        <w:t xml:space="preserve">招标 </w:t>
      </w:r>
      <w:r>
        <w:rPr>
          <w:rFonts w:hint="default" w:ascii="Times New Roman" w:hAnsi="Times New Roman" w:eastAsia="方正仿宋_GBK" w:cs="Times New Roman"/>
          <w:color w:val="auto"/>
          <w:sz w:val="21"/>
          <w:szCs w:val="21"/>
          <w:highlight w:val="none"/>
        </w:rPr>
        <w:t>的暂估价项目</w:t>
      </w:r>
    </w:p>
    <w:p w14:paraId="5A354FE6">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对于不属于依法必须</w:t>
      </w:r>
      <w:r>
        <w:rPr>
          <w:rFonts w:hint="default" w:ascii="Times New Roman" w:hAnsi="Times New Roman" w:eastAsia="方正仿宋_GBK" w:cs="Times New Roman"/>
          <w:color w:val="auto"/>
          <w:sz w:val="21"/>
          <w:szCs w:val="21"/>
          <w:highlight w:val="none"/>
          <w:lang w:val="en-US" w:eastAsia="zh-CN"/>
        </w:rPr>
        <w:t xml:space="preserve">招标 </w:t>
      </w:r>
      <w:r>
        <w:rPr>
          <w:rFonts w:hint="default" w:ascii="Times New Roman" w:hAnsi="Times New Roman" w:eastAsia="方正仿宋_GBK" w:cs="Times New Roman"/>
          <w:color w:val="auto"/>
          <w:sz w:val="21"/>
          <w:szCs w:val="21"/>
          <w:highlight w:val="none"/>
        </w:rPr>
        <w:t>的暂估价项目的确认和批准采取第</w:t>
      </w:r>
      <w:r>
        <w:rPr>
          <w:rFonts w:hint="default" w:ascii="Times New Roman" w:hAnsi="Times New Roman" w:eastAsia="方正仿宋_GBK" w:cs="Times New Roman"/>
          <w:color w:val="auto"/>
          <w:sz w:val="21"/>
          <w:szCs w:val="21"/>
          <w:highlight w:val="none"/>
          <w:u w:val="single"/>
        </w:rPr>
        <w:t xml:space="preserve">  /  </w:t>
      </w:r>
      <w:r>
        <w:rPr>
          <w:rFonts w:hint="default" w:ascii="Times New Roman" w:hAnsi="Times New Roman" w:eastAsia="方正仿宋_GBK" w:cs="Times New Roman"/>
          <w:color w:val="auto"/>
          <w:sz w:val="21"/>
          <w:szCs w:val="21"/>
          <w:highlight w:val="none"/>
        </w:rPr>
        <w:t>种方式确定。</w:t>
      </w:r>
    </w:p>
    <w:p w14:paraId="02A685F6">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10.8 暂</w:t>
      </w:r>
      <w:r>
        <w:rPr>
          <w:rFonts w:hint="default" w:ascii="Times New Roman" w:hAnsi="Times New Roman" w:eastAsia="方正仿宋_GBK" w:cs="Times New Roman"/>
          <w:color w:val="auto"/>
          <w:kern w:val="0"/>
          <w:sz w:val="21"/>
          <w:szCs w:val="21"/>
          <w:highlight w:val="none"/>
        </w:rPr>
        <w:t>列</w:t>
      </w:r>
      <w:r>
        <w:rPr>
          <w:rFonts w:hint="default" w:ascii="Times New Roman" w:hAnsi="Times New Roman" w:eastAsia="方正仿宋_GBK" w:cs="Times New Roman"/>
          <w:color w:val="auto"/>
          <w:sz w:val="21"/>
          <w:szCs w:val="21"/>
          <w:highlight w:val="none"/>
        </w:rPr>
        <w:t>金额</w:t>
      </w:r>
    </w:p>
    <w:p w14:paraId="7939C41F">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合同当事人关于暂列金额使用的约定：</w:t>
      </w:r>
      <w:r>
        <w:rPr>
          <w:rFonts w:hint="default" w:ascii="Times New Roman" w:hAnsi="Times New Roman" w:eastAsia="方正仿宋_GBK" w:cs="Times New Roman"/>
          <w:color w:val="auto"/>
          <w:sz w:val="21"/>
          <w:szCs w:val="21"/>
          <w:highlight w:val="none"/>
          <w:u w:val="single"/>
        </w:rPr>
        <w:t xml:space="preserve">   由发包人、承包人、监理人</w:t>
      </w:r>
      <w:r>
        <w:rPr>
          <w:rFonts w:hint="default" w:ascii="Times New Roman" w:hAnsi="Times New Roman" w:eastAsia="方正仿宋_GBK" w:cs="Times New Roman"/>
          <w:color w:val="auto"/>
          <w:sz w:val="21"/>
          <w:szCs w:val="21"/>
          <w:highlight w:val="none"/>
          <w:u w:val="single"/>
          <w:lang w:eastAsia="zh-CN"/>
        </w:rPr>
        <w:t>、</w:t>
      </w:r>
      <w:r>
        <w:rPr>
          <w:rFonts w:hint="default" w:ascii="Times New Roman" w:hAnsi="Times New Roman" w:eastAsia="方正仿宋_GBK" w:cs="Times New Roman"/>
          <w:color w:val="auto"/>
          <w:sz w:val="21"/>
          <w:szCs w:val="21"/>
          <w:highlight w:val="none"/>
          <w:u w:val="single"/>
          <w:lang w:val="en-US" w:eastAsia="zh-CN"/>
        </w:rPr>
        <w:t>跟审单位（如有）</w:t>
      </w:r>
      <w:r>
        <w:rPr>
          <w:rFonts w:hint="default" w:ascii="Times New Roman" w:hAnsi="Times New Roman" w:eastAsia="方正仿宋_GBK" w:cs="Times New Roman"/>
          <w:color w:val="auto"/>
          <w:sz w:val="21"/>
          <w:szCs w:val="21"/>
          <w:highlight w:val="none"/>
          <w:u w:val="single"/>
        </w:rPr>
        <w:t>共同确定，未得到发包人</w:t>
      </w:r>
      <w:r>
        <w:rPr>
          <w:rFonts w:hint="default" w:ascii="Times New Roman" w:hAnsi="Times New Roman" w:eastAsia="方正仿宋_GBK" w:cs="Times New Roman"/>
          <w:color w:val="auto"/>
          <w:sz w:val="21"/>
          <w:szCs w:val="21"/>
          <w:highlight w:val="none"/>
          <w:u w:val="single"/>
          <w:lang w:val="en-US" w:eastAsia="zh-CN"/>
        </w:rPr>
        <w:t>和跟审单位</w:t>
      </w:r>
      <w:r>
        <w:rPr>
          <w:rFonts w:hint="default" w:ascii="Times New Roman" w:hAnsi="Times New Roman" w:eastAsia="方正仿宋_GBK" w:cs="Times New Roman"/>
          <w:color w:val="auto"/>
          <w:sz w:val="21"/>
          <w:szCs w:val="21"/>
          <w:highlight w:val="none"/>
          <w:u w:val="single"/>
        </w:rPr>
        <w:t xml:space="preserve">同意而由监理人发出的使用指令，承包人不得接受  </w:t>
      </w:r>
      <w:r>
        <w:rPr>
          <w:rFonts w:hint="default" w:ascii="Times New Roman" w:hAnsi="Times New Roman" w:eastAsia="方正仿宋_GBK" w:cs="Times New Roman"/>
          <w:color w:val="auto"/>
          <w:kern w:val="0"/>
          <w:sz w:val="21"/>
          <w:szCs w:val="21"/>
          <w:highlight w:val="none"/>
        </w:rPr>
        <w:t>。</w:t>
      </w:r>
    </w:p>
    <w:p w14:paraId="093B1664">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10.9计日工</w:t>
      </w:r>
    </w:p>
    <w:p w14:paraId="0AB45153">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10.9.1 发包人认为有必要时，由监理人通知承包人以计日工方式实施变更的零星工作。其价款按列入已标价工程量清单中的计日工计价子目及其单价进行计算． </w:t>
      </w:r>
    </w:p>
    <w:p w14:paraId="129A8177">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10.9.2 采用计日工计价的任何一项变更工作，应从暂列金额中支付，承包人应在该项变更的实施过程中，每天提交以下报表和有关凭证报送监理人、</w:t>
      </w:r>
      <w:r>
        <w:rPr>
          <w:rFonts w:hint="default" w:ascii="Times New Roman" w:hAnsi="Times New Roman" w:eastAsia="方正仿宋_GBK" w:cs="Times New Roman"/>
          <w:color w:val="auto"/>
          <w:sz w:val="21"/>
          <w:szCs w:val="21"/>
          <w:highlight w:val="none"/>
          <w:lang w:val="en-US" w:eastAsia="zh-CN"/>
        </w:rPr>
        <w:t>跟审单位（如有）、</w:t>
      </w:r>
      <w:r>
        <w:rPr>
          <w:rFonts w:hint="default" w:ascii="Times New Roman" w:hAnsi="Times New Roman" w:eastAsia="方正仿宋_GBK" w:cs="Times New Roman"/>
          <w:color w:val="auto"/>
          <w:sz w:val="21"/>
          <w:szCs w:val="21"/>
          <w:highlight w:val="none"/>
        </w:rPr>
        <w:t>发包人审批：</w:t>
      </w:r>
    </w:p>
    <w:p w14:paraId="1A42D051">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(l）工作名称、内容和数量；</w:t>
      </w:r>
    </w:p>
    <w:p w14:paraId="3D3B18A4">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(2）投入该工作所有人员的姓名、工种、级别和耗用工时；</w:t>
      </w:r>
    </w:p>
    <w:p w14:paraId="590A3F91">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(3）投入该工作的材料类别和数量；</w:t>
      </w:r>
    </w:p>
    <w:p w14:paraId="202C25A0">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(4）投入该工作的施工设备型号、台数和耗用台时；</w:t>
      </w:r>
    </w:p>
    <w:p w14:paraId="1434D7F4">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(5）监理人要求提交的其他资料和凭证。</w:t>
      </w:r>
    </w:p>
    <w:p w14:paraId="27D6AF0C">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sz w:val="21"/>
          <w:szCs w:val="21"/>
          <w:highlight w:val="none"/>
        </w:rPr>
        <w:t>10.9.3 计日工由承包人汇总后，列入进度付款申请单，由监理人复核并经发包人同意后列入进度付款。</w:t>
      </w:r>
    </w:p>
    <w:p w14:paraId="77982E26">
      <w:pPr>
        <w:snapToGrid w:val="0"/>
        <w:spacing w:line="360" w:lineRule="auto"/>
        <w:rPr>
          <w:rFonts w:hint="default" w:ascii="Times New Roman" w:hAnsi="Times New Roman" w:eastAsia="方正仿宋_GBK" w:cs="Times New Roman"/>
          <w:b/>
          <w:color w:val="auto"/>
          <w:kern w:val="0"/>
          <w:sz w:val="21"/>
          <w:szCs w:val="21"/>
          <w:highlight w:val="none"/>
        </w:rPr>
      </w:pPr>
      <w:bookmarkStart w:id="548" w:name="_Toc485992744"/>
      <w:bookmarkStart w:id="549" w:name="_Toc351203643"/>
      <w:bookmarkStart w:id="550" w:name="_Toc518391419"/>
      <w:bookmarkStart w:id="551" w:name="_Toc516756968"/>
      <w:bookmarkStart w:id="552" w:name="_Toc433623113"/>
      <w:r>
        <w:rPr>
          <w:rFonts w:hint="default" w:ascii="Times New Roman" w:hAnsi="Times New Roman" w:eastAsia="方正仿宋_GBK" w:cs="Times New Roman"/>
          <w:b/>
          <w:color w:val="auto"/>
          <w:kern w:val="0"/>
          <w:sz w:val="21"/>
          <w:szCs w:val="21"/>
          <w:highlight w:val="none"/>
        </w:rPr>
        <w:t>11. 价格调整</w:t>
      </w:r>
      <w:bookmarkEnd w:id="548"/>
      <w:bookmarkEnd w:id="549"/>
      <w:bookmarkEnd w:id="550"/>
      <w:bookmarkEnd w:id="551"/>
      <w:bookmarkEnd w:id="552"/>
    </w:p>
    <w:p w14:paraId="2366E703">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bookmarkStart w:id="553" w:name="_Toc297120501"/>
      <w:bookmarkStart w:id="554" w:name="_Toc296347200"/>
      <w:bookmarkStart w:id="555" w:name="_Toc296891241"/>
      <w:bookmarkStart w:id="556" w:name="_Toc296503201"/>
      <w:bookmarkStart w:id="557" w:name="_Toc303539157"/>
      <w:bookmarkStart w:id="558" w:name="_Toc297123550"/>
      <w:bookmarkStart w:id="559" w:name="_Toc292559406"/>
      <w:bookmarkStart w:id="560" w:name="_Toc304295577"/>
      <w:bookmarkStart w:id="561" w:name="_Toc297048387"/>
      <w:bookmarkStart w:id="562" w:name="_Toc312678039"/>
      <w:bookmarkStart w:id="563" w:name="_Toc297216209"/>
      <w:bookmarkStart w:id="564" w:name="_Toc300935000"/>
      <w:bookmarkStart w:id="565" w:name="_Toc296346702"/>
      <w:bookmarkStart w:id="566" w:name="_Toc292559911"/>
      <w:bookmarkStart w:id="567" w:name="_Toc296891029"/>
      <w:bookmarkStart w:id="568" w:name="_Toc296944540"/>
      <w:r>
        <w:rPr>
          <w:rFonts w:hint="default" w:ascii="Times New Roman" w:hAnsi="Times New Roman" w:eastAsia="方正仿宋_GBK" w:cs="Times New Roman"/>
          <w:color w:val="auto"/>
          <w:sz w:val="21"/>
          <w:szCs w:val="21"/>
          <w:highlight w:val="none"/>
        </w:rPr>
        <w:t>11.1 市场价格波动引起的调整</w:t>
      </w:r>
    </w:p>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14:paraId="3375B897">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kern w:val="0"/>
          <w:sz w:val="21"/>
          <w:szCs w:val="21"/>
          <w:highlight w:val="none"/>
        </w:rPr>
        <w:t>市场价格波动是否调整合同价格的约定：</w:t>
      </w:r>
      <w:r>
        <w:rPr>
          <w:rFonts w:hint="default" w:ascii="Times New Roman" w:hAnsi="Times New Roman" w:eastAsia="方正仿宋_GBK" w:cs="Times New Roman"/>
          <w:color w:val="auto"/>
          <w:sz w:val="21"/>
          <w:szCs w:val="21"/>
          <w:highlight w:val="none"/>
          <w:u w:val="single"/>
        </w:rPr>
        <w:t xml:space="preserve">         不调整        </w:t>
      </w:r>
      <w:r>
        <w:rPr>
          <w:rFonts w:hint="default" w:ascii="Times New Roman" w:hAnsi="Times New Roman" w:eastAsia="方正仿宋_GBK" w:cs="Times New Roman"/>
          <w:color w:val="auto"/>
          <w:sz w:val="21"/>
          <w:szCs w:val="21"/>
          <w:highlight w:val="none"/>
        </w:rPr>
        <w:t>。</w:t>
      </w:r>
    </w:p>
    <w:bookmarkEnd w:id="452"/>
    <w:bookmarkEnd w:id="453"/>
    <w:bookmarkEnd w:id="454"/>
    <w:bookmarkEnd w:id="455"/>
    <w:bookmarkEnd w:id="456"/>
    <w:bookmarkEnd w:id="457"/>
    <w:p w14:paraId="5865E6DC">
      <w:pPr>
        <w:snapToGrid w:val="0"/>
        <w:spacing w:line="360" w:lineRule="auto"/>
        <w:rPr>
          <w:rFonts w:hint="default" w:ascii="Times New Roman" w:hAnsi="Times New Roman" w:eastAsia="方正仿宋_GBK" w:cs="Times New Roman"/>
          <w:b/>
          <w:color w:val="auto"/>
          <w:kern w:val="0"/>
          <w:sz w:val="21"/>
          <w:szCs w:val="21"/>
          <w:highlight w:val="none"/>
        </w:rPr>
      </w:pPr>
      <w:bookmarkStart w:id="569" w:name="_Toc296346706"/>
      <w:bookmarkStart w:id="570" w:name="_Toc296944544"/>
      <w:bookmarkStart w:id="571" w:name="_Toc297120505"/>
      <w:bookmarkStart w:id="572" w:name="_Toc296891245"/>
      <w:bookmarkStart w:id="573" w:name="_Toc292559915"/>
      <w:bookmarkStart w:id="574" w:name="_Toc296503205"/>
      <w:bookmarkStart w:id="575" w:name="_Toc296347204"/>
      <w:bookmarkStart w:id="576" w:name="_Toc297048391"/>
      <w:bookmarkStart w:id="577" w:name="_Toc296891033"/>
      <w:bookmarkStart w:id="578" w:name="_Toc292559410"/>
      <w:bookmarkStart w:id="579" w:name="_Toc518391420"/>
      <w:bookmarkStart w:id="580" w:name="_Toc485992745"/>
      <w:bookmarkStart w:id="581" w:name="_Toc516756969"/>
      <w:bookmarkStart w:id="582" w:name="_Toc433623114"/>
      <w:bookmarkStart w:id="583" w:name="_Toc351203644"/>
      <w:bookmarkStart w:id="584" w:name="_Toc304295579"/>
      <w:bookmarkStart w:id="585" w:name="_Toc303539159"/>
      <w:bookmarkStart w:id="586" w:name="_Toc312678040"/>
      <w:bookmarkStart w:id="587" w:name="_Toc300935002"/>
      <w:bookmarkStart w:id="588" w:name="_Toc297216211"/>
      <w:bookmarkStart w:id="589" w:name="_Toc297123552"/>
      <w:r>
        <w:rPr>
          <w:rFonts w:hint="default" w:ascii="Times New Roman" w:hAnsi="Times New Roman" w:eastAsia="方正仿宋_GBK" w:cs="Times New Roman"/>
          <w:b/>
          <w:color w:val="auto"/>
          <w:kern w:val="0"/>
          <w:sz w:val="21"/>
          <w:szCs w:val="21"/>
          <w:highlight w:val="none"/>
        </w:rPr>
        <w:t xml:space="preserve">12. </w:t>
      </w:r>
      <w:bookmarkEnd w:id="569"/>
      <w:bookmarkEnd w:id="570"/>
      <w:bookmarkEnd w:id="571"/>
      <w:bookmarkEnd w:id="572"/>
      <w:bookmarkEnd w:id="573"/>
      <w:bookmarkEnd w:id="574"/>
      <w:bookmarkEnd w:id="575"/>
      <w:bookmarkEnd w:id="576"/>
      <w:bookmarkEnd w:id="577"/>
      <w:bookmarkEnd w:id="578"/>
      <w:r>
        <w:rPr>
          <w:rFonts w:hint="default" w:ascii="Times New Roman" w:hAnsi="Times New Roman" w:eastAsia="方正仿宋_GBK" w:cs="Times New Roman"/>
          <w:b/>
          <w:color w:val="auto"/>
          <w:kern w:val="0"/>
          <w:sz w:val="21"/>
          <w:szCs w:val="21"/>
          <w:highlight w:val="none"/>
        </w:rPr>
        <w:t>合同价格、计量与支付</w:t>
      </w:r>
      <w:bookmarkEnd w:id="579"/>
      <w:bookmarkEnd w:id="580"/>
      <w:bookmarkEnd w:id="581"/>
      <w:bookmarkEnd w:id="582"/>
      <w:bookmarkEnd w:id="583"/>
    </w:p>
    <w:bookmarkEnd w:id="584"/>
    <w:bookmarkEnd w:id="585"/>
    <w:bookmarkEnd w:id="586"/>
    <w:bookmarkEnd w:id="587"/>
    <w:bookmarkEnd w:id="588"/>
    <w:bookmarkEnd w:id="589"/>
    <w:p w14:paraId="42173DC5">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bookmarkStart w:id="590" w:name="_Toc267251461"/>
      <w:bookmarkStart w:id="591" w:name="_Toc292559411"/>
      <w:bookmarkStart w:id="592" w:name="_Toc292559916"/>
      <w:bookmarkStart w:id="593" w:name="_Toc296891034"/>
      <w:bookmarkStart w:id="594" w:name="_Toc296891246"/>
      <w:bookmarkStart w:id="595" w:name="_Toc296346707"/>
      <w:bookmarkStart w:id="596" w:name="_Toc296944545"/>
      <w:bookmarkStart w:id="597" w:name="_Toc296503206"/>
      <w:bookmarkStart w:id="598" w:name="_Toc297048392"/>
      <w:bookmarkStart w:id="599" w:name="_Toc297120506"/>
      <w:bookmarkStart w:id="600" w:name="_Toc296347205"/>
      <w:bookmarkStart w:id="601" w:name="_Toc303539160"/>
      <w:bookmarkStart w:id="602" w:name="_Toc312678041"/>
      <w:bookmarkStart w:id="603" w:name="_Toc297123553"/>
      <w:bookmarkStart w:id="604" w:name="_Toc300935003"/>
      <w:bookmarkStart w:id="605" w:name="_Toc297216212"/>
      <w:bookmarkStart w:id="606" w:name="_Toc304295580"/>
      <w:r>
        <w:rPr>
          <w:rFonts w:hint="default" w:ascii="Times New Roman" w:hAnsi="Times New Roman" w:eastAsia="方正仿宋_GBK" w:cs="Times New Roman"/>
          <w:color w:val="auto"/>
          <w:sz w:val="21"/>
          <w:szCs w:val="21"/>
          <w:highlight w:val="none"/>
        </w:rPr>
        <w:t>12.1 合</w:t>
      </w:r>
      <w:bookmarkEnd w:id="590"/>
      <w:bookmarkEnd w:id="591"/>
      <w:bookmarkEnd w:id="592"/>
      <w:r>
        <w:rPr>
          <w:rFonts w:hint="default" w:ascii="Times New Roman" w:hAnsi="Times New Roman" w:eastAsia="方正仿宋_GBK" w:cs="Times New Roman"/>
          <w:color w:val="auto"/>
          <w:sz w:val="21"/>
          <w:szCs w:val="21"/>
          <w:highlight w:val="none"/>
        </w:rPr>
        <w:t>同价</w:t>
      </w:r>
      <w:bookmarkEnd w:id="593"/>
      <w:bookmarkEnd w:id="594"/>
      <w:bookmarkEnd w:id="595"/>
      <w:bookmarkEnd w:id="596"/>
      <w:bookmarkEnd w:id="597"/>
      <w:bookmarkEnd w:id="598"/>
      <w:bookmarkEnd w:id="599"/>
      <w:bookmarkEnd w:id="600"/>
      <w:r>
        <w:rPr>
          <w:rFonts w:hint="default" w:ascii="Times New Roman" w:hAnsi="Times New Roman" w:eastAsia="方正仿宋_GBK" w:cs="Times New Roman"/>
          <w:color w:val="auto"/>
          <w:sz w:val="21"/>
          <w:szCs w:val="21"/>
          <w:highlight w:val="none"/>
        </w:rPr>
        <w:t>格形式</w:t>
      </w:r>
    </w:p>
    <w:bookmarkEnd w:id="601"/>
    <w:bookmarkEnd w:id="602"/>
    <w:bookmarkEnd w:id="603"/>
    <w:bookmarkEnd w:id="604"/>
    <w:bookmarkEnd w:id="605"/>
    <w:bookmarkEnd w:id="606"/>
    <w:p w14:paraId="477E659A">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bookmarkStart w:id="607" w:name="_Toc312678042"/>
      <w:bookmarkStart w:id="608" w:name="_Toc304295581"/>
      <w:bookmarkStart w:id="609" w:name="_Toc296891035"/>
      <w:bookmarkStart w:id="610" w:name="_Toc296944546"/>
      <w:bookmarkStart w:id="611" w:name="_Toc297120507"/>
      <w:bookmarkStart w:id="612" w:name="_Toc297216213"/>
      <w:bookmarkStart w:id="613" w:name="_Toc292559917"/>
      <w:bookmarkStart w:id="614" w:name="_Toc292559412"/>
      <w:bookmarkStart w:id="615" w:name="_Toc296503207"/>
      <w:bookmarkStart w:id="616" w:name="_Toc297048393"/>
      <w:bookmarkStart w:id="617" w:name="_Toc296346708"/>
      <w:bookmarkStart w:id="618" w:name="_Toc296347206"/>
      <w:bookmarkStart w:id="619" w:name="_Toc297123554"/>
      <w:bookmarkStart w:id="620" w:name="_Toc296891247"/>
      <w:bookmarkStart w:id="621" w:name="_Toc303539161"/>
      <w:bookmarkStart w:id="622" w:name="_Toc300935004"/>
      <w:r>
        <w:rPr>
          <w:rFonts w:hint="default" w:ascii="Times New Roman" w:hAnsi="Times New Roman" w:eastAsia="方正仿宋_GBK" w:cs="Times New Roman"/>
          <w:color w:val="auto"/>
          <w:sz w:val="21"/>
          <w:szCs w:val="21"/>
          <w:highlight w:val="none"/>
        </w:rPr>
        <w:t>1、单价合同。</w:t>
      </w:r>
    </w:p>
    <w:p w14:paraId="15068495">
      <w:pPr>
        <w:snapToGrid w:val="0"/>
        <w:spacing w:line="360" w:lineRule="auto"/>
        <w:ind w:firstLine="420" w:firstLineChars="20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综合单价包含的风险范围：</w:t>
      </w:r>
      <w:r>
        <w:rPr>
          <w:rFonts w:hint="default" w:ascii="Times New Roman" w:hAnsi="Times New Roman" w:eastAsia="方正仿宋_GBK" w:cs="Times New Roman"/>
          <w:color w:val="auto"/>
          <w:sz w:val="21"/>
          <w:szCs w:val="21"/>
          <w:highlight w:val="none"/>
          <w:u w:val="single"/>
        </w:rPr>
        <w:t>包括但不限于为实施和完成合同工程所需的人工费、材料费、施工机具使用费、企业管理费、利润、风险费、施工技术措施项目费、施工组织措施项目费、总承包服务费、规费和税金及缺陷修复等费用，以及</w:t>
      </w:r>
      <w:bookmarkStart w:id="623" w:name="_Hlk528508096"/>
      <w:r>
        <w:rPr>
          <w:rFonts w:hint="default" w:ascii="Times New Roman" w:hAnsi="Times New Roman" w:eastAsia="方正仿宋_GBK" w:cs="Times New Roman"/>
          <w:color w:val="auto"/>
          <w:sz w:val="21"/>
          <w:szCs w:val="21"/>
          <w:highlight w:val="none"/>
          <w:u w:val="single"/>
        </w:rPr>
        <w:t>第11.1款〔市场价格波动引起的调整〕约定范围内的市场价格波动风险、政策性文件规定的各项应有费用、</w:t>
      </w:r>
      <w:bookmarkEnd w:id="623"/>
      <w:r>
        <w:rPr>
          <w:rFonts w:hint="default" w:ascii="Times New Roman" w:hAnsi="Times New Roman" w:eastAsia="方正仿宋_GBK" w:cs="Times New Roman"/>
          <w:color w:val="auto"/>
          <w:sz w:val="21"/>
          <w:szCs w:val="21"/>
          <w:highlight w:val="none"/>
          <w:u w:val="single"/>
          <w:lang w:eastAsia="zh-CN"/>
        </w:rPr>
        <w:t>竞争性磋商文件</w:t>
      </w:r>
      <w:r>
        <w:rPr>
          <w:rFonts w:hint="default" w:ascii="Times New Roman" w:hAnsi="Times New Roman" w:eastAsia="方正仿宋_GBK" w:cs="Times New Roman"/>
          <w:color w:val="auto"/>
          <w:sz w:val="21"/>
          <w:szCs w:val="21"/>
          <w:highlight w:val="none"/>
          <w:u w:val="single"/>
        </w:rPr>
        <w:t>和合同明示或暗示的应由承包人承担的所有责任、义务和风险等所需的费用。</w:t>
      </w:r>
    </w:p>
    <w:p w14:paraId="6B4120FF">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风险费用的计算方法：</w:t>
      </w:r>
      <w:r>
        <w:rPr>
          <w:rFonts w:hint="default" w:ascii="Times New Roman" w:hAnsi="Times New Roman" w:eastAsia="方正仿宋_GBK" w:cs="Times New Roman"/>
          <w:color w:val="auto"/>
          <w:sz w:val="21"/>
          <w:szCs w:val="21"/>
          <w:highlight w:val="none"/>
          <w:u w:val="single"/>
        </w:rPr>
        <w:t>由承包人自行考虑并计入签约合同价格中，包干使用。</w:t>
      </w:r>
    </w:p>
    <w:p w14:paraId="7E066125">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风险范围以外合同价格的调整方法：</w:t>
      </w:r>
      <w:r>
        <w:rPr>
          <w:rFonts w:hint="default" w:ascii="Times New Roman" w:hAnsi="Times New Roman" w:eastAsia="方正仿宋_GBK" w:cs="Times New Roman"/>
          <w:color w:val="auto"/>
          <w:sz w:val="21"/>
          <w:szCs w:val="21"/>
          <w:highlight w:val="none"/>
          <w:u w:val="single"/>
        </w:rPr>
        <w:t xml:space="preserve">  不调整  </w:t>
      </w:r>
      <w:r>
        <w:rPr>
          <w:rFonts w:hint="default" w:ascii="Times New Roman" w:hAnsi="Times New Roman" w:eastAsia="方正仿宋_GBK" w:cs="Times New Roman"/>
          <w:color w:val="auto"/>
          <w:sz w:val="21"/>
          <w:szCs w:val="21"/>
          <w:highlight w:val="none"/>
        </w:rPr>
        <w:t>。</w:t>
      </w:r>
    </w:p>
    <w:p w14:paraId="535C99FC">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12.2 预付款</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r>
        <w:rPr>
          <w:rFonts w:hint="default" w:ascii="Times New Roman" w:hAnsi="Times New Roman" w:eastAsia="方正仿宋_GBK" w:cs="Times New Roman"/>
          <w:color w:val="auto"/>
          <w:sz w:val="21"/>
          <w:szCs w:val="21"/>
          <w:highlight w:val="none"/>
          <w:lang w:eastAsia="zh-CN"/>
        </w:rPr>
        <w:t>：无</w:t>
      </w:r>
      <w:r>
        <w:rPr>
          <w:rFonts w:hint="default" w:ascii="Times New Roman" w:hAnsi="Times New Roman" w:eastAsia="方正仿宋_GBK" w:cs="Times New Roman"/>
          <w:color w:val="auto"/>
          <w:sz w:val="21"/>
          <w:szCs w:val="21"/>
          <w:highlight w:val="none"/>
          <w:u w:val="single"/>
          <w:lang w:val="en-US" w:eastAsia="zh-CN"/>
        </w:rPr>
        <w:t>。</w:t>
      </w:r>
    </w:p>
    <w:p w14:paraId="7906BCC2">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12.3 计量</w:t>
      </w:r>
    </w:p>
    <w:p w14:paraId="5EAFFA98">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12.3.1 计量原则</w:t>
      </w:r>
    </w:p>
    <w:p w14:paraId="23F60DB0">
      <w:pPr>
        <w:snapToGrid w:val="0"/>
        <w:spacing w:line="360" w:lineRule="auto"/>
        <w:ind w:firstLine="420" w:firstLineChars="20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工程量计算规则：</w:t>
      </w:r>
      <w:r>
        <w:rPr>
          <w:rFonts w:hint="default" w:ascii="Times New Roman" w:hAnsi="Times New Roman" w:eastAsia="方正仿宋_GBK" w:cs="Times New Roman"/>
          <w:color w:val="auto"/>
          <w:sz w:val="21"/>
          <w:szCs w:val="21"/>
          <w:highlight w:val="none"/>
          <w:u w:val="single"/>
        </w:rPr>
        <w:t>以施工图纸为依据，并经甲、乙双方和监理</w:t>
      </w:r>
      <w:r>
        <w:rPr>
          <w:rFonts w:hint="default" w:ascii="Times New Roman" w:hAnsi="Times New Roman" w:eastAsia="方正仿宋_GBK" w:cs="Times New Roman"/>
          <w:color w:val="auto"/>
          <w:sz w:val="21"/>
          <w:szCs w:val="21"/>
          <w:highlight w:val="none"/>
          <w:u w:val="single"/>
          <w:lang w:val="en-US" w:eastAsia="zh-CN"/>
        </w:rPr>
        <w:t>单位、跟审单位（如有）</w:t>
      </w:r>
      <w:r>
        <w:rPr>
          <w:rFonts w:hint="default" w:ascii="Times New Roman" w:hAnsi="Times New Roman" w:eastAsia="方正仿宋_GBK" w:cs="Times New Roman"/>
          <w:color w:val="auto"/>
          <w:sz w:val="21"/>
          <w:szCs w:val="21"/>
          <w:highlight w:val="none"/>
          <w:u w:val="single"/>
        </w:rPr>
        <w:t>等单位共同现场收方测量签字认可的工程量作为本工程的最终结算工程量。</w:t>
      </w:r>
    </w:p>
    <w:p w14:paraId="6A465F7C">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12.3.2 计量周期</w:t>
      </w:r>
    </w:p>
    <w:p w14:paraId="2598E6F1">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关于计量周期的约定：</w:t>
      </w:r>
      <w:r>
        <w:rPr>
          <w:rFonts w:hint="default" w:ascii="Times New Roman" w:hAnsi="Times New Roman" w:eastAsia="方正仿宋_GBK" w:cs="Times New Roman"/>
          <w:color w:val="auto"/>
          <w:sz w:val="21"/>
          <w:szCs w:val="21"/>
          <w:highlight w:val="none"/>
          <w:u w:val="single"/>
        </w:rPr>
        <w:t>按工程进度计量。</w:t>
      </w:r>
    </w:p>
    <w:p w14:paraId="4A4D24CD">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12.3.3 单价合同的计量</w:t>
      </w:r>
    </w:p>
    <w:p w14:paraId="4EC0226C">
      <w:pPr>
        <w:snapToGrid w:val="0"/>
        <w:spacing w:line="360" w:lineRule="auto"/>
        <w:ind w:firstLine="420" w:firstLineChars="20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关于单价合同计量的约定：</w:t>
      </w:r>
      <w:r>
        <w:rPr>
          <w:rFonts w:hint="default" w:ascii="Times New Roman" w:hAnsi="Times New Roman" w:eastAsia="方正仿宋_GBK" w:cs="Times New Roman"/>
          <w:color w:val="auto"/>
          <w:sz w:val="21"/>
          <w:szCs w:val="21"/>
          <w:highlight w:val="none"/>
          <w:u w:val="single"/>
        </w:rPr>
        <w:t>按工程进度计量。</w:t>
      </w:r>
    </w:p>
    <w:p w14:paraId="63891B77">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12.4 工程进度款支付</w:t>
      </w:r>
    </w:p>
    <w:p w14:paraId="10ACF490">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bookmarkStart w:id="624" w:name="_Toc297123556"/>
      <w:bookmarkStart w:id="625" w:name="_Toc296503211"/>
      <w:bookmarkStart w:id="626" w:name="_Toc292559921"/>
      <w:bookmarkStart w:id="627" w:name="_Toc297048397"/>
      <w:bookmarkStart w:id="628" w:name="_Toc303539163"/>
      <w:bookmarkStart w:id="629" w:name="_Toc297120511"/>
      <w:bookmarkStart w:id="630" w:name="_Toc297216215"/>
      <w:bookmarkStart w:id="631" w:name="_Toc296891251"/>
      <w:bookmarkStart w:id="632" w:name="_Toc296347210"/>
      <w:bookmarkStart w:id="633" w:name="_Toc300935006"/>
      <w:bookmarkStart w:id="634" w:name="_Toc296944550"/>
      <w:bookmarkStart w:id="635" w:name="_Toc296346712"/>
      <w:bookmarkStart w:id="636" w:name="_Toc292559416"/>
      <w:bookmarkStart w:id="637" w:name="_Toc296891039"/>
      <w:r>
        <w:rPr>
          <w:rFonts w:hint="default" w:ascii="Times New Roman" w:hAnsi="Times New Roman" w:eastAsia="方正仿宋_GBK" w:cs="Times New Roman"/>
          <w:color w:val="auto"/>
          <w:sz w:val="21"/>
          <w:szCs w:val="21"/>
          <w:highlight w:val="none"/>
        </w:rPr>
        <w:t>12.4.1 付款周期</w:t>
      </w:r>
    </w:p>
    <w:p w14:paraId="031FC6A5">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关于付款周期的约定：</w:t>
      </w:r>
    </w:p>
    <w:p w14:paraId="3FC576EA">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lang w:eastAsia="zh-CN"/>
        </w:rPr>
      </w:pPr>
      <w:r>
        <w:rPr>
          <w:rFonts w:hint="default" w:ascii="Times New Roman" w:hAnsi="Times New Roman" w:eastAsia="方正仿宋_GBK" w:cs="Times New Roman"/>
          <w:color w:val="auto"/>
          <w:sz w:val="21"/>
          <w:szCs w:val="21"/>
          <w:highlight w:val="none"/>
          <w:lang w:val="en-US" w:eastAsia="zh-CN"/>
        </w:rPr>
        <w:t>（1）项目完工验收合格后，经审核，支付至审定金额的97%</w:t>
      </w:r>
      <w:r>
        <w:rPr>
          <w:rFonts w:hint="eastAsia" w:ascii="Times New Roman" w:hAnsi="Times New Roman" w:eastAsia="方正仿宋_GBK" w:cs="Times New Roman"/>
          <w:color w:val="auto"/>
          <w:sz w:val="21"/>
          <w:szCs w:val="21"/>
          <w:highlight w:val="none"/>
          <w:lang w:val="en-US" w:eastAsia="zh-CN"/>
        </w:rPr>
        <w:t>，</w:t>
      </w:r>
      <w:r>
        <w:rPr>
          <w:rFonts w:hint="default" w:ascii="Times New Roman" w:hAnsi="Times New Roman" w:eastAsia="方正仿宋_GBK" w:cs="Times New Roman"/>
          <w:color w:val="auto"/>
          <w:sz w:val="21"/>
          <w:szCs w:val="21"/>
          <w:highlight w:val="none"/>
          <w:lang w:val="en-US" w:eastAsia="zh-CN"/>
        </w:rPr>
        <w:t>一年质保期满后支付剩余审定金额的3%。</w:t>
      </w:r>
    </w:p>
    <w:p w14:paraId="7C06CC31">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12.4.2 进度付款申请单的编制</w:t>
      </w:r>
    </w:p>
    <w:p w14:paraId="093F1A4E">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关于进度付款申请单编制的约定：</w:t>
      </w:r>
      <w:r>
        <w:rPr>
          <w:rFonts w:hint="default" w:ascii="Times New Roman" w:hAnsi="Times New Roman" w:eastAsia="方正仿宋_GBK" w:cs="Times New Roman"/>
          <w:color w:val="auto"/>
          <w:sz w:val="21"/>
          <w:szCs w:val="21"/>
          <w:highlight w:val="none"/>
          <w:u w:val="single"/>
        </w:rPr>
        <w:t xml:space="preserve"> 按照发包人要求进行编制 </w:t>
      </w:r>
      <w:r>
        <w:rPr>
          <w:rFonts w:hint="default" w:ascii="Times New Roman" w:hAnsi="Times New Roman" w:eastAsia="方正仿宋_GBK" w:cs="Times New Roman"/>
          <w:color w:val="auto"/>
          <w:sz w:val="21"/>
          <w:szCs w:val="21"/>
          <w:highlight w:val="none"/>
        </w:rPr>
        <w:t>。</w:t>
      </w:r>
    </w:p>
    <w:p w14:paraId="1B2C511D">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r>
        <w:rPr>
          <w:rFonts w:hint="default" w:ascii="Times New Roman" w:hAnsi="Times New Roman" w:eastAsia="方正仿宋_GBK" w:cs="Times New Roman"/>
          <w:color w:val="auto"/>
          <w:sz w:val="21"/>
          <w:szCs w:val="21"/>
          <w:highlight w:val="none"/>
        </w:rPr>
        <w:t>2.4.3 进度付款申请单的提交</w:t>
      </w:r>
    </w:p>
    <w:p w14:paraId="198A579F">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（2）总价合同进度付款申请单提交的约定：</w:t>
      </w:r>
      <w:r>
        <w:rPr>
          <w:rFonts w:hint="default" w:ascii="Times New Roman" w:hAnsi="Times New Roman" w:eastAsia="方正仿宋_GBK" w:cs="Times New Roman"/>
          <w:color w:val="auto"/>
          <w:sz w:val="21"/>
          <w:szCs w:val="21"/>
          <w:highlight w:val="none"/>
          <w:u w:val="single"/>
        </w:rPr>
        <w:t xml:space="preserve">    按照发包人要求进行编制   </w:t>
      </w:r>
      <w:r>
        <w:rPr>
          <w:rFonts w:hint="default" w:ascii="Times New Roman" w:hAnsi="Times New Roman" w:eastAsia="方正仿宋_GBK" w:cs="Times New Roman"/>
          <w:color w:val="auto"/>
          <w:sz w:val="21"/>
          <w:szCs w:val="21"/>
          <w:highlight w:val="none"/>
        </w:rPr>
        <w:t>。</w:t>
      </w:r>
    </w:p>
    <w:p w14:paraId="75BAC637">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12.4.4 进度款审核和支付</w:t>
      </w:r>
    </w:p>
    <w:p w14:paraId="73235366">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（1）监理人审查并报送发包人的期限：</w:t>
      </w:r>
      <w:r>
        <w:rPr>
          <w:rFonts w:hint="default" w:ascii="Times New Roman" w:hAnsi="Times New Roman" w:eastAsia="方正仿宋_GBK" w:cs="Times New Roman"/>
          <w:color w:val="auto"/>
          <w:sz w:val="21"/>
          <w:szCs w:val="21"/>
          <w:highlight w:val="none"/>
          <w:u w:val="single"/>
        </w:rPr>
        <w:t xml:space="preserve">     7日内     </w:t>
      </w:r>
      <w:r>
        <w:rPr>
          <w:rFonts w:hint="default" w:ascii="Times New Roman" w:hAnsi="Times New Roman" w:eastAsia="方正仿宋_GBK" w:cs="Times New Roman"/>
          <w:color w:val="auto"/>
          <w:sz w:val="21"/>
          <w:szCs w:val="21"/>
          <w:highlight w:val="none"/>
        </w:rPr>
        <w:t>。</w:t>
      </w:r>
    </w:p>
    <w:p w14:paraId="6EE42CE0">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发包人完成审批并签发进度款支付证书的期限：</w:t>
      </w:r>
      <w:r>
        <w:rPr>
          <w:rFonts w:hint="default" w:ascii="Times New Roman" w:hAnsi="Times New Roman" w:eastAsia="方正仿宋_GBK" w:cs="Times New Roman"/>
          <w:color w:val="auto"/>
          <w:sz w:val="21"/>
          <w:szCs w:val="21"/>
          <w:highlight w:val="none"/>
          <w:u w:val="single"/>
        </w:rPr>
        <w:t xml:space="preserve">      无     </w:t>
      </w:r>
      <w:r>
        <w:rPr>
          <w:rFonts w:hint="default" w:ascii="Times New Roman" w:hAnsi="Times New Roman" w:eastAsia="方正仿宋_GBK" w:cs="Times New Roman"/>
          <w:color w:val="auto"/>
          <w:sz w:val="21"/>
          <w:szCs w:val="21"/>
          <w:highlight w:val="none"/>
        </w:rPr>
        <w:t>。</w:t>
      </w:r>
    </w:p>
    <w:p w14:paraId="5BB2CF0D">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（2）发包人支付进度款的期限：</w:t>
      </w:r>
      <w:r>
        <w:rPr>
          <w:rFonts w:hint="default" w:ascii="Times New Roman" w:hAnsi="Times New Roman" w:eastAsia="方正仿宋_GBK" w:cs="Times New Roman"/>
          <w:color w:val="auto"/>
          <w:sz w:val="21"/>
          <w:szCs w:val="21"/>
          <w:highlight w:val="none"/>
          <w:u w:val="single"/>
        </w:rPr>
        <w:t xml:space="preserve">        无            </w:t>
      </w:r>
      <w:r>
        <w:rPr>
          <w:rFonts w:hint="default" w:ascii="Times New Roman" w:hAnsi="Times New Roman" w:eastAsia="方正仿宋_GBK" w:cs="Times New Roman"/>
          <w:color w:val="auto"/>
          <w:sz w:val="21"/>
          <w:szCs w:val="21"/>
          <w:highlight w:val="none"/>
        </w:rPr>
        <w:t>。</w:t>
      </w:r>
    </w:p>
    <w:p w14:paraId="13322F1B">
      <w:pPr>
        <w:snapToGrid w:val="0"/>
        <w:spacing w:line="360" w:lineRule="auto"/>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发包人逾期支付进度款的违约金的计算方式：</w:t>
      </w:r>
      <w:r>
        <w:rPr>
          <w:rFonts w:hint="default" w:ascii="Times New Roman" w:hAnsi="Times New Roman" w:eastAsia="方正仿宋_GBK" w:cs="Times New Roman"/>
          <w:color w:val="auto"/>
          <w:sz w:val="21"/>
          <w:szCs w:val="21"/>
          <w:highlight w:val="none"/>
          <w:u w:val="single"/>
        </w:rPr>
        <w:t xml:space="preserve">   不执行     </w:t>
      </w:r>
      <w:r>
        <w:rPr>
          <w:rFonts w:hint="default" w:ascii="Times New Roman" w:hAnsi="Times New Roman" w:eastAsia="方正仿宋_GBK" w:cs="Times New Roman"/>
          <w:color w:val="auto"/>
          <w:sz w:val="21"/>
          <w:szCs w:val="21"/>
          <w:highlight w:val="none"/>
        </w:rPr>
        <w:t>。</w:t>
      </w:r>
    </w:p>
    <w:p w14:paraId="6BB8A2F9">
      <w:pPr>
        <w:snapToGrid w:val="0"/>
        <w:spacing w:line="360" w:lineRule="auto"/>
        <w:ind w:firstLine="525" w:firstLineChars="25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12.4.6 支付分解表的编制</w:t>
      </w:r>
    </w:p>
    <w:p w14:paraId="20DBA56F">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单价合同的总价项目支付分解表的编制与审批：</w:t>
      </w:r>
      <w:r>
        <w:rPr>
          <w:rFonts w:hint="default" w:ascii="Times New Roman" w:hAnsi="Times New Roman" w:eastAsia="方正仿宋_GBK" w:cs="Times New Roman"/>
          <w:color w:val="auto"/>
          <w:sz w:val="21"/>
          <w:szCs w:val="21"/>
          <w:highlight w:val="none"/>
          <w:u w:val="single"/>
        </w:rPr>
        <w:t xml:space="preserve">   /   </w:t>
      </w:r>
      <w:r>
        <w:rPr>
          <w:rFonts w:hint="default" w:ascii="Times New Roman" w:hAnsi="Times New Roman" w:eastAsia="方正仿宋_GBK" w:cs="Times New Roman"/>
          <w:color w:val="auto"/>
          <w:sz w:val="21"/>
          <w:szCs w:val="21"/>
          <w:highlight w:val="none"/>
        </w:rPr>
        <w:t>。</w:t>
      </w:r>
    </w:p>
    <w:p w14:paraId="6C3D6664">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工程款的支付方式：</w:t>
      </w:r>
    </w:p>
    <w:p w14:paraId="5C90E73F">
      <w:pPr>
        <w:snapToGrid w:val="0"/>
        <w:spacing w:line="360" w:lineRule="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rPr>
        <w:t xml:space="preserve">    发包人逾期支付进度款时违约金的计算及支付方法：</w:t>
      </w:r>
      <w:r>
        <w:rPr>
          <w:rFonts w:hint="default" w:ascii="Times New Roman" w:hAnsi="Times New Roman" w:eastAsia="方正仿宋_GBK" w:cs="Times New Roman"/>
          <w:b/>
          <w:color w:val="auto"/>
          <w:sz w:val="21"/>
          <w:szCs w:val="21"/>
          <w:highlight w:val="none"/>
          <w:u w:val="single"/>
        </w:rPr>
        <w:t>无</w:t>
      </w:r>
      <w:r>
        <w:rPr>
          <w:rFonts w:hint="default" w:ascii="Times New Roman" w:hAnsi="Times New Roman" w:eastAsia="方正仿宋_GBK" w:cs="Times New Roman"/>
          <w:color w:val="auto"/>
          <w:sz w:val="21"/>
          <w:szCs w:val="21"/>
          <w:highlight w:val="none"/>
        </w:rPr>
        <w:t xml:space="preserve"> </w:t>
      </w:r>
      <w:bookmarkEnd w:id="458"/>
      <w:bookmarkStart w:id="638" w:name="_Toc351203645"/>
      <w:bookmarkStart w:id="639" w:name="_Toc485992746"/>
      <w:bookmarkStart w:id="640" w:name="_Toc518391421"/>
      <w:bookmarkStart w:id="641" w:name="_Toc516756970"/>
      <w:bookmarkStart w:id="642" w:name="_Toc433623115"/>
      <w:bookmarkStart w:id="643" w:name="_Toc297216223"/>
      <w:bookmarkStart w:id="644" w:name="_Toc300935015"/>
      <w:bookmarkStart w:id="645" w:name="_Toc296346720"/>
      <w:bookmarkStart w:id="646" w:name="_Toc296503219"/>
      <w:bookmarkStart w:id="647" w:name="_Toc297120519"/>
      <w:bookmarkStart w:id="648" w:name="_Toc292559929"/>
      <w:bookmarkStart w:id="649" w:name="_Toc303539172"/>
      <w:bookmarkStart w:id="650" w:name="_Toc296944558"/>
      <w:bookmarkStart w:id="651" w:name="_Toc312678053"/>
      <w:bookmarkStart w:id="652" w:name="_Toc297123564"/>
      <w:bookmarkStart w:id="653" w:name="_Toc304295593"/>
      <w:bookmarkStart w:id="654" w:name="_Toc296891259"/>
      <w:bookmarkStart w:id="655" w:name="_Toc296347218"/>
      <w:bookmarkStart w:id="656" w:name="_Toc296891047"/>
      <w:bookmarkStart w:id="657" w:name="_Toc297048405"/>
      <w:bookmarkStart w:id="658" w:name="_Toc292559424"/>
    </w:p>
    <w:p w14:paraId="760A4B73">
      <w:pPr>
        <w:snapToGrid w:val="0"/>
        <w:spacing w:line="360" w:lineRule="auto"/>
        <w:rPr>
          <w:rFonts w:hint="default" w:ascii="Times New Roman" w:hAnsi="Times New Roman" w:eastAsia="方正仿宋_GBK" w:cs="Times New Roman"/>
          <w:b/>
          <w:color w:val="auto"/>
          <w:kern w:val="0"/>
          <w:sz w:val="21"/>
          <w:szCs w:val="21"/>
          <w:highlight w:val="none"/>
        </w:rPr>
      </w:pPr>
      <w:r>
        <w:rPr>
          <w:rFonts w:hint="default" w:ascii="Times New Roman" w:hAnsi="Times New Roman" w:eastAsia="方正仿宋_GBK" w:cs="Times New Roman"/>
          <w:b/>
          <w:color w:val="auto"/>
          <w:kern w:val="0"/>
          <w:sz w:val="21"/>
          <w:szCs w:val="21"/>
          <w:highlight w:val="none"/>
        </w:rPr>
        <w:t>13. 验收</w:t>
      </w:r>
      <w:bookmarkEnd w:id="638"/>
      <w:bookmarkEnd w:id="639"/>
      <w:bookmarkEnd w:id="640"/>
      <w:bookmarkEnd w:id="641"/>
      <w:bookmarkEnd w:id="642"/>
    </w:p>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14:paraId="13D80479">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13.1 </w:t>
      </w:r>
      <w:r>
        <w:rPr>
          <w:rFonts w:hint="default" w:ascii="Times New Roman" w:hAnsi="Times New Roman" w:eastAsia="方正仿宋_GBK" w:cs="Times New Roman"/>
          <w:color w:val="auto"/>
          <w:kern w:val="0"/>
          <w:sz w:val="21"/>
          <w:szCs w:val="21"/>
          <w:highlight w:val="none"/>
        </w:rPr>
        <w:t>分部分项工程验收</w:t>
      </w:r>
    </w:p>
    <w:p w14:paraId="1A958D36">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13.1.2监理人不能按时进行验收时，应提前</w:t>
      </w:r>
      <w:r>
        <w:rPr>
          <w:rFonts w:hint="default" w:ascii="Times New Roman" w:hAnsi="Times New Roman" w:eastAsia="方正仿宋_GBK" w:cs="Times New Roman"/>
          <w:color w:val="auto"/>
          <w:sz w:val="21"/>
          <w:szCs w:val="21"/>
          <w:highlight w:val="none"/>
          <w:u w:val="single"/>
        </w:rPr>
        <w:t xml:space="preserve">  24  </w:t>
      </w:r>
      <w:r>
        <w:rPr>
          <w:rFonts w:hint="default" w:ascii="Times New Roman" w:hAnsi="Times New Roman" w:eastAsia="方正仿宋_GBK" w:cs="Times New Roman"/>
          <w:color w:val="auto"/>
          <w:sz w:val="21"/>
          <w:szCs w:val="21"/>
          <w:highlight w:val="none"/>
        </w:rPr>
        <w:t>小时提交书面延期要求。</w:t>
      </w:r>
    </w:p>
    <w:p w14:paraId="60ECF5ED">
      <w:pPr>
        <w:snapToGrid w:val="0"/>
        <w:spacing w:line="360" w:lineRule="auto"/>
        <w:ind w:firstLine="420" w:firstLineChars="200"/>
        <w:jc w:val="left"/>
        <w:rPr>
          <w:rFonts w:hint="default" w:ascii="Times New Roman" w:hAnsi="Times New Roman" w:eastAsia="方正仿宋_GBK" w:cs="Times New Roman"/>
          <w:b/>
          <w:color w:val="auto"/>
          <w:sz w:val="21"/>
          <w:szCs w:val="21"/>
          <w:highlight w:val="none"/>
        </w:rPr>
      </w:pPr>
      <w:r>
        <w:rPr>
          <w:rFonts w:hint="default" w:ascii="Times New Roman" w:hAnsi="Times New Roman" w:eastAsia="方正仿宋_GBK" w:cs="Times New Roman"/>
          <w:color w:val="auto"/>
          <w:sz w:val="21"/>
          <w:szCs w:val="21"/>
          <w:highlight w:val="none"/>
        </w:rPr>
        <w:t>关于延期最长不得超过：</w:t>
      </w:r>
      <w:r>
        <w:rPr>
          <w:rFonts w:hint="default" w:ascii="Times New Roman" w:hAnsi="Times New Roman" w:eastAsia="方正仿宋_GBK" w:cs="Times New Roman"/>
          <w:color w:val="auto"/>
          <w:sz w:val="21"/>
          <w:szCs w:val="21"/>
          <w:highlight w:val="none"/>
          <w:u w:val="single"/>
        </w:rPr>
        <w:t xml:space="preserve">   48  </w:t>
      </w:r>
      <w:r>
        <w:rPr>
          <w:rFonts w:hint="default" w:ascii="Times New Roman" w:hAnsi="Times New Roman" w:eastAsia="方正仿宋_GBK" w:cs="Times New Roman"/>
          <w:color w:val="auto"/>
          <w:sz w:val="21"/>
          <w:szCs w:val="21"/>
          <w:highlight w:val="none"/>
        </w:rPr>
        <w:t>小时。</w:t>
      </w:r>
    </w:p>
    <w:p w14:paraId="6E73C20E">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bookmarkStart w:id="659" w:name="_Toc297048409"/>
      <w:bookmarkStart w:id="660" w:name="_Toc297120523"/>
      <w:bookmarkStart w:id="661" w:name="_Toc312678056"/>
      <w:bookmarkStart w:id="662" w:name="_Toc304295596"/>
      <w:bookmarkStart w:id="663" w:name="_Toc300935016"/>
      <w:bookmarkStart w:id="664" w:name="_Toc296346724"/>
      <w:bookmarkStart w:id="665" w:name="_Toc292559933"/>
      <w:bookmarkStart w:id="666" w:name="_Toc296891263"/>
      <w:bookmarkStart w:id="667" w:name="_Toc296891051"/>
      <w:bookmarkStart w:id="668" w:name="_Toc296347222"/>
      <w:bookmarkStart w:id="669" w:name="_Toc296503223"/>
      <w:bookmarkStart w:id="670" w:name="_Toc303539173"/>
      <w:bookmarkStart w:id="671" w:name="_Toc297216224"/>
      <w:bookmarkStart w:id="672" w:name="_Toc296944562"/>
      <w:bookmarkStart w:id="673" w:name="_Toc292559428"/>
      <w:bookmarkStart w:id="674" w:name="_Toc297123565"/>
      <w:bookmarkStart w:id="675" w:name="_Toc267251471"/>
      <w:bookmarkStart w:id="676" w:name="_Toc267251472"/>
      <w:bookmarkStart w:id="677" w:name="_Toc267251473"/>
      <w:bookmarkStart w:id="678" w:name="_Toc267251475"/>
      <w:bookmarkStart w:id="679" w:name="_Toc267251470"/>
      <w:bookmarkStart w:id="680" w:name="_Toc267251476"/>
      <w:bookmarkStart w:id="681" w:name="_Toc267251474"/>
      <w:r>
        <w:rPr>
          <w:rFonts w:hint="default" w:ascii="Times New Roman" w:hAnsi="Times New Roman" w:eastAsia="方正仿宋_GBK" w:cs="Times New Roman"/>
          <w:color w:val="auto"/>
          <w:sz w:val="21"/>
          <w:szCs w:val="21"/>
          <w:highlight w:val="none"/>
        </w:rPr>
        <w:t xml:space="preserve">13.2 </w:t>
      </w:r>
      <w:r>
        <w:rPr>
          <w:rFonts w:hint="default" w:ascii="Times New Roman" w:hAnsi="Times New Roman" w:eastAsia="方正仿宋_GBK" w:cs="Times New Roman"/>
          <w:color w:val="auto"/>
          <w:kern w:val="0"/>
          <w:sz w:val="21"/>
          <w:szCs w:val="21"/>
          <w:highlight w:val="none"/>
        </w:rPr>
        <w:t>竣工验收</w:t>
      </w:r>
    </w:p>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p w14:paraId="7BCE9F4D">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bookmarkStart w:id="682" w:name="_Toc280868704"/>
      <w:bookmarkStart w:id="683" w:name="_Toc280868705"/>
      <w:bookmarkStart w:id="684" w:name="_Toc280868706"/>
      <w:bookmarkStart w:id="685" w:name="_Toc280868707"/>
      <w:bookmarkStart w:id="686" w:name="_Toc280868708"/>
      <w:bookmarkStart w:id="687" w:name="_Toc280868709"/>
      <w:r>
        <w:rPr>
          <w:rFonts w:hint="default" w:ascii="Times New Roman" w:hAnsi="Times New Roman" w:eastAsia="方正仿宋_GBK" w:cs="Times New Roman"/>
          <w:color w:val="auto"/>
          <w:sz w:val="21"/>
          <w:szCs w:val="21"/>
          <w:highlight w:val="none"/>
        </w:rPr>
        <w:t>13.2.2竣工验收程序</w:t>
      </w:r>
    </w:p>
    <w:bookmarkEnd w:id="682"/>
    <w:p w14:paraId="4B1DF3B8">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关于竣工验收程序的约定：</w:t>
      </w:r>
      <w:r>
        <w:rPr>
          <w:rFonts w:hint="default" w:ascii="Times New Roman" w:hAnsi="Times New Roman" w:eastAsia="方正仿宋_GBK" w:cs="Times New Roman"/>
          <w:color w:val="auto"/>
          <w:sz w:val="21"/>
          <w:szCs w:val="21"/>
          <w:highlight w:val="none"/>
          <w:u w:val="single"/>
        </w:rPr>
        <w:t>执行通用条款</w:t>
      </w:r>
      <w:r>
        <w:rPr>
          <w:rFonts w:hint="default" w:ascii="Times New Roman" w:hAnsi="Times New Roman" w:eastAsia="方正仿宋_GBK" w:cs="Times New Roman"/>
          <w:color w:val="auto"/>
          <w:sz w:val="21"/>
          <w:szCs w:val="21"/>
          <w:highlight w:val="none"/>
        </w:rPr>
        <w:t>。</w:t>
      </w:r>
    </w:p>
    <w:p w14:paraId="63990117">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发包人不按照本项约定组织竣工验收、颁发工程接收证书的违约金的计算方法：</w:t>
      </w:r>
      <w:r>
        <w:rPr>
          <w:rFonts w:hint="default" w:ascii="Times New Roman" w:hAnsi="Times New Roman" w:eastAsia="方正仿宋_GBK" w:cs="Times New Roman"/>
          <w:color w:val="auto"/>
          <w:sz w:val="21"/>
          <w:szCs w:val="21"/>
          <w:highlight w:val="none"/>
          <w:u w:val="single"/>
        </w:rPr>
        <w:t>无</w:t>
      </w:r>
      <w:r>
        <w:rPr>
          <w:rFonts w:hint="default" w:ascii="Times New Roman" w:hAnsi="Times New Roman" w:eastAsia="方正仿宋_GBK" w:cs="Times New Roman"/>
          <w:color w:val="auto"/>
          <w:sz w:val="21"/>
          <w:szCs w:val="21"/>
          <w:highlight w:val="none"/>
        </w:rPr>
        <w:t>。</w:t>
      </w:r>
    </w:p>
    <w:bookmarkEnd w:id="683"/>
    <w:p w14:paraId="52EEFBF0">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13.2.5移交全部与部分工程</w:t>
      </w:r>
    </w:p>
    <w:bookmarkEnd w:id="684"/>
    <w:bookmarkEnd w:id="685"/>
    <w:bookmarkEnd w:id="686"/>
    <w:p w14:paraId="65C3CE2E">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承包人向发包人移交工程的期限：</w:t>
      </w:r>
      <w:r>
        <w:rPr>
          <w:rFonts w:hint="default" w:ascii="Times New Roman" w:hAnsi="Times New Roman" w:eastAsia="方正仿宋_GBK" w:cs="Times New Roman"/>
          <w:color w:val="auto"/>
          <w:kern w:val="0"/>
          <w:sz w:val="21"/>
          <w:szCs w:val="21"/>
          <w:highlight w:val="none"/>
          <w:u w:val="single"/>
        </w:rPr>
        <w:t>按通用条款执行。</w:t>
      </w:r>
    </w:p>
    <w:p w14:paraId="45DD7D95">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u w:val="single"/>
        </w:rPr>
      </w:pPr>
      <w:r>
        <w:rPr>
          <w:rFonts w:hint="default" w:ascii="Times New Roman" w:hAnsi="Times New Roman" w:eastAsia="方正仿宋_GBK" w:cs="Times New Roman"/>
          <w:color w:val="auto"/>
          <w:kern w:val="0"/>
          <w:sz w:val="21"/>
          <w:szCs w:val="21"/>
          <w:highlight w:val="none"/>
        </w:rPr>
        <w:t>发包人未按本合同约定接收全部或部分工程的，违约金的计算方法为：</w:t>
      </w:r>
      <w:r>
        <w:rPr>
          <w:rFonts w:hint="default" w:ascii="Times New Roman" w:hAnsi="Times New Roman" w:eastAsia="方正仿宋_GBK" w:cs="Times New Roman"/>
          <w:color w:val="auto"/>
          <w:kern w:val="0"/>
          <w:sz w:val="21"/>
          <w:szCs w:val="21"/>
          <w:highlight w:val="none"/>
          <w:u w:val="single"/>
        </w:rPr>
        <w:t xml:space="preserve"> 无 </w:t>
      </w:r>
      <w:r>
        <w:rPr>
          <w:rFonts w:hint="default" w:ascii="Times New Roman" w:hAnsi="Times New Roman" w:eastAsia="方正仿宋_GBK" w:cs="Times New Roman"/>
          <w:color w:val="auto"/>
          <w:kern w:val="0"/>
          <w:sz w:val="21"/>
          <w:szCs w:val="21"/>
          <w:highlight w:val="none"/>
        </w:rPr>
        <w:t>。</w:t>
      </w:r>
    </w:p>
    <w:p w14:paraId="166551A0">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承包人未按时移交工程的，违约金的计算方法为：</w:t>
      </w:r>
      <w:r>
        <w:rPr>
          <w:rFonts w:hint="default" w:ascii="Times New Roman" w:hAnsi="Times New Roman" w:eastAsia="方正仿宋_GBK" w:cs="Times New Roman"/>
          <w:color w:val="auto"/>
          <w:kern w:val="0"/>
          <w:sz w:val="21"/>
          <w:szCs w:val="21"/>
          <w:highlight w:val="none"/>
          <w:u w:val="single"/>
        </w:rPr>
        <w:t xml:space="preserve">  每延后一天，发包人按2000元向承包人收取违约金 </w:t>
      </w:r>
      <w:r>
        <w:rPr>
          <w:rFonts w:hint="default" w:ascii="Times New Roman" w:hAnsi="Times New Roman" w:eastAsia="方正仿宋_GBK" w:cs="Times New Roman"/>
          <w:color w:val="auto"/>
          <w:kern w:val="0"/>
          <w:sz w:val="21"/>
          <w:szCs w:val="21"/>
          <w:highlight w:val="none"/>
        </w:rPr>
        <w:t>。</w:t>
      </w:r>
    </w:p>
    <w:p w14:paraId="5A03562C">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13.3 工程试车</w:t>
      </w:r>
    </w:p>
    <w:p w14:paraId="6547A1A5">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13.3.1 试车程序</w:t>
      </w:r>
    </w:p>
    <w:p w14:paraId="5020C482">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工程试车内容：</w:t>
      </w:r>
      <w:r>
        <w:rPr>
          <w:rFonts w:hint="default" w:ascii="Times New Roman" w:hAnsi="Times New Roman" w:eastAsia="方正仿宋_GBK" w:cs="Times New Roman"/>
          <w:color w:val="auto"/>
          <w:kern w:val="0"/>
          <w:sz w:val="21"/>
          <w:szCs w:val="21"/>
          <w:highlight w:val="none"/>
          <w:u w:val="single"/>
        </w:rPr>
        <w:t xml:space="preserve">  无   </w:t>
      </w:r>
      <w:r>
        <w:rPr>
          <w:rFonts w:hint="default" w:ascii="Times New Roman" w:hAnsi="Times New Roman" w:eastAsia="方正仿宋_GBK" w:cs="Times New Roman"/>
          <w:color w:val="auto"/>
          <w:kern w:val="0"/>
          <w:sz w:val="21"/>
          <w:szCs w:val="21"/>
          <w:highlight w:val="none"/>
        </w:rPr>
        <w:t>。</w:t>
      </w:r>
    </w:p>
    <w:p w14:paraId="5BBE0F22">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13.3.3 投料试车</w:t>
      </w:r>
    </w:p>
    <w:p w14:paraId="7AF3B096">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关于投料试车相关事项的约定：</w:t>
      </w:r>
      <w:r>
        <w:rPr>
          <w:rFonts w:hint="default" w:ascii="Times New Roman" w:hAnsi="Times New Roman" w:eastAsia="方正仿宋_GBK" w:cs="Times New Roman"/>
          <w:color w:val="auto"/>
          <w:kern w:val="0"/>
          <w:sz w:val="21"/>
          <w:szCs w:val="21"/>
          <w:highlight w:val="none"/>
          <w:u w:val="single"/>
        </w:rPr>
        <w:t xml:space="preserve">   /     </w:t>
      </w:r>
      <w:r>
        <w:rPr>
          <w:rFonts w:hint="default" w:ascii="Times New Roman" w:hAnsi="Times New Roman" w:eastAsia="方正仿宋_GBK" w:cs="Times New Roman"/>
          <w:color w:val="auto"/>
          <w:kern w:val="0"/>
          <w:sz w:val="21"/>
          <w:szCs w:val="21"/>
          <w:highlight w:val="none"/>
        </w:rPr>
        <w:t>。</w:t>
      </w:r>
    </w:p>
    <w:p w14:paraId="266B2505">
      <w:pPr>
        <w:snapToGrid w:val="0"/>
        <w:spacing w:line="360" w:lineRule="auto"/>
        <w:ind w:firstLine="420" w:firstLineChars="200"/>
        <w:rPr>
          <w:rFonts w:hint="default" w:ascii="Times New Roman" w:hAnsi="Times New Roman" w:eastAsia="方正仿宋_GBK" w:cs="Times New Roman"/>
          <w:snapToGrid w:val="0"/>
          <w:color w:val="auto"/>
          <w:sz w:val="21"/>
          <w:szCs w:val="21"/>
          <w:highlight w:val="none"/>
        </w:rPr>
      </w:pPr>
      <w:bookmarkStart w:id="688" w:name="_Toc361673508"/>
      <w:r>
        <w:rPr>
          <w:rFonts w:hint="default" w:ascii="Times New Roman" w:hAnsi="Times New Roman" w:eastAsia="方正仿宋_GBK" w:cs="Times New Roman"/>
          <w:snapToGrid w:val="0"/>
          <w:color w:val="auto"/>
          <w:sz w:val="21"/>
          <w:szCs w:val="21"/>
          <w:highlight w:val="none"/>
        </w:rPr>
        <w:t>13.4  施工期运行</w:t>
      </w:r>
      <w:bookmarkEnd w:id="688"/>
    </w:p>
    <w:p w14:paraId="65E8C8A8">
      <w:pPr>
        <w:snapToGrid w:val="0"/>
        <w:spacing w:line="360" w:lineRule="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    需要施工期运行单位工程或工程设备：</w:t>
      </w:r>
      <w:r>
        <w:rPr>
          <w:rFonts w:hint="default" w:ascii="Times New Roman" w:hAnsi="Times New Roman" w:eastAsia="方正仿宋_GBK" w:cs="Times New Roman"/>
          <w:color w:val="auto"/>
          <w:sz w:val="21"/>
          <w:szCs w:val="21"/>
          <w:highlight w:val="none"/>
          <w:u w:val="single"/>
        </w:rPr>
        <w:t xml:space="preserve"> 如有，另行协商 </w:t>
      </w:r>
      <w:r>
        <w:rPr>
          <w:rFonts w:hint="default" w:ascii="Times New Roman" w:hAnsi="Times New Roman" w:eastAsia="方正仿宋_GBK" w:cs="Times New Roman"/>
          <w:color w:val="auto"/>
          <w:sz w:val="21"/>
          <w:szCs w:val="21"/>
          <w:highlight w:val="none"/>
        </w:rPr>
        <w:t xml:space="preserve">          </w:t>
      </w:r>
    </w:p>
    <w:p w14:paraId="4D81732B">
      <w:pPr>
        <w:snapToGrid w:val="0"/>
        <w:spacing w:line="360" w:lineRule="auto"/>
        <w:ind w:firstLine="420" w:firstLineChars="200"/>
        <w:rPr>
          <w:rFonts w:hint="default" w:ascii="Times New Roman" w:hAnsi="Times New Roman" w:eastAsia="方正仿宋_GBK" w:cs="Times New Roman"/>
          <w:snapToGrid w:val="0"/>
          <w:color w:val="auto"/>
          <w:sz w:val="21"/>
          <w:szCs w:val="21"/>
          <w:highlight w:val="none"/>
        </w:rPr>
      </w:pPr>
      <w:bookmarkStart w:id="689" w:name="_Toc361673509"/>
      <w:r>
        <w:rPr>
          <w:rFonts w:hint="default" w:ascii="Times New Roman" w:hAnsi="Times New Roman" w:eastAsia="方正仿宋_GBK" w:cs="Times New Roman"/>
          <w:snapToGrid w:val="0"/>
          <w:color w:val="auto"/>
          <w:sz w:val="21"/>
          <w:szCs w:val="21"/>
          <w:highlight w:val="none"/>
        </w:rPr>
        <w:t>13.5  试运行</w:t>
      </w:r>
      <w:bookmarkEnd w:id="689"/>
    </w:p>
    <w:p w14:paraId="0AE52F67">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bookmarkStart w:id="690" w:name="_Toc361673510"/>
      <w:r>
        <w:rPr>
          <w:rFonts w:hint="default" w:ascii="Times New Roman" w:hAnsi="Times New Roman" w:eastAsia="方正仿宋_GBK" w:cs="Times New Roman"/>
          <w:color w:val="auto"/>
          <w:sz w:val="21"/>
          <w:szCs w:val="21"/>
          <w:highlight w:val="none"/>
        </w:rPr>
        <w:t xml:space="preserve">试运行的组织及费用承担： </w:t>
      </w:r>
      <w:r>
        <w:rPr>
          <w:rFonts w:hint="default" w:ascii="Times New Roman" w:hAnsi="Times New Roman" w:eastAsia="方正仿宋_GBK" w:cs="Times New Roman"/>
          <w:color w:val="auto"/>
          <w:sz w:val="21"/>
          <w:szCs w:val="21"/>
          <w:highlight w:val="none"/>
          <w:u w:val="single"/>
        </w:rPr>
        <w:t>由承包单位负责，并包含在竞标总价中</w:t>
      </w:r>
      <w:bookmarkEnd w:id="690"/>
    </w:p>
    <w:p w14:paraId="35CC782E">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13.6 </w:t>
      </w:r>
      <w:r>
        <w:rPr>
          <w:rFonts w:hint="default" w:ascii="Times New Roman" w:hAnsi="Times New Roman" w:eastAsia="方正仿宋_GBK" w:cs="Times New Roman"/>
          <w:color w:val="auto"/>
          <w:kern w:val="0"/>
          <w:sz w:val="21"/>
          <w:szCs w:val="21"/>
          <w:highlight w:val="none"/>
        </w:rPr>
        <w:t>竣工退场</w:t>
      </w:r>
    </w:p>
    <w:p w14:paraId="0922D73B">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13.6.1 竣工退场</w:t>
      </w:r>
    </w:p>
    <w:p w14:paraId="31A21907">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承包人完成竣工退场的期限：</w:t>
      </w:r>
      <w:r>
        <w:rPr>
          <w:rFonts w:hint="default" w:ascii="Times New Roman" w:hAnsi="Times New Roman" w:eastAsia="方正仿宋_GBK" w:cs="Times New Roman"/>
          <w:color w:val="auto"/>
          <w:sz w:val="21"/>
          <w:szCs w:val="21"/>
          <w:highlight w:val="none"/>
          <w:u w:val="single"/>
        </w:rPr>
        <w:t>在签发交工证书时，承包人应从施工现场清除并运出承包人装备、剩余材料、垃圾和各种临时设施，并保持整个现场及工程整洁，达到监理工程师认为合理的使用状态，费用由承包人承担</w:t>
      </w:r>
      <w:r>
        <w:rPr>
          <w:rFonts w:hint="default" w:ascii="Times New Roman" w:hAnsi="Times New Roman" w:eastAsia="方正仿宋_GBK" w:cs="Times New Roman"/>
          <w:color w:val="auto"/>
          <w:kern w:val="0"/>
          <w:sz w:val="21"/>
          <w:szCs w:val="21"/>
          <w:highlight w:val="none"/>
        </w:rPr>
        <w:t>。</w:t>
      </w:r>
    </w:p>
    <w:p w14:paraId="07377542">
      <w:pPr>
        <w:snapToGrid w:val="0"/>
        <w:spacing w:line="360" w:lineRule="auto"/>
        <w:rPr>
          <w:rFonts w:hint="default" w:ascii="Times New Roman" w:hAnsi="Times New Roman" w:eastAsia="方正仿宋_GBK" w:cs="Times New Roman"/>
          <w:b/>
          <w:color w:val="auto"/>
          <w:kern w:val="0"/>
          <w:sz w:val="21"/>
          <w:szCs w:val="21"/>
          <w:highlight w:val="none"/>
        </w:rPr>
      </w:pPr>
      <w:bookmarkStart w:id="691" w:name="_Toc516756971"/>
      <w:bookmarkStart w:id="692" w:name="_Toc351203646"/>
      <w:bookmarkStart w:id="693" w:name="_Toc433623116"/>
      <w:bookmarkStart w:id="694" w:name="_Toc485992747"/>
      <w:bookmarkStart w:id="695" w:name="_Toc518391422"/>
      <w:r>
        <w:rPr>
          <w:rFonts w:hint="default" w:ascii="Times New Roman" w:hAnsi="Times New Roman" w:eastAsia="方正仿宋_GBK" w:cs="Times New Roman"/>
          <w:b/>
          <w:color w:val="auto"/>
          <w:kern w:val="0"/>
          <w:sz w:val="21"/>
          <w:szCs w:val="21"/>
          <w:highlight w:val="none"/>
        </w:rPr>
        <w:t>14. 竣工结算</w:t>
      </w:r>
      <w:bookmarkEnd w:id="691"/>
      <w:bookmarkEnd w:id="692"/>
      <w:bookmarkEnd w:id="693"/>
      <w:bookmarkEnd w:id="694"/>
      <w:bookmarkEnd w:id="695"/>
    </w:p>
    <w:p w14:paraId="07C97351">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14.1 竣工付款申请</w:t>
      </w:r>
    </w:p>
    <w:p w14:paraId="788655D9">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承包人提交竣工结算申请单的期限：</w:t>
      </w:r>
      <w:r>
        <w:rPr>
          <w:rFonts w:hint="default" w:ascii="Times New Roman" w:hAnsi="Times New Roman" w:eastAsia="方正仿宋_GBK" w:cs="Times New Roman"/>
          <w:color w:val="auto"/>
          <w:sz w:val="21"/>
          <w:szCs w:val="21"/>
          <w:highlight w:val="none"/>
          <w:u w:val="single"/>
        </w:rPr>
        <w:t>竣工报告批准后，承包人应在15个工作日内以书面方式向发包人提出结算程序。</w:t>
      </w:r>
    </w:p>
    <w:p w14:paraId="5AB6746E">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竣工结算申请单应包括的内容：</w:t>
      </w:r>
      <w:r>
        <w:rPr>
          <w:rFonts w:hint="default" w:ascii="Times New Roman" w:hAnsi="Times New Roman" w:eastAsia="方正仿宋_GBK" w:cs="Times New Roman"/>
          <w:color w:val="auto"/>
          <w:sz w:val="21"/>
          <w:szCs w:val="21"/>
          <w:highlight w:val="none"/>
          <w:u w:val="single"/>
        </w:rPr>
        <w:t>竣工结算总价、已支付的工程价款、应扣回的款项、应扣留的质量保证金、应支付的竣工付款金额等。</w:t>
      </w:r>
    </w:p>
    <w:p w14:paraId="6391CFF2">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kern w:val="0"/>
          <w:sz w:val="21"/>
          <w:szCs w:val="21"/>
          <w:highlight w:val="none"/>
        </w:rPr>
        <w:t xml:space="preserve"> </w:t>
      </w:r>
      <w:r>
        <w:rPr>
          <w:rFonts w:hint="default" w:ascii="Times New Roman" w:hAnsi="Times New Roman" w:eastAsia="方正仿宋_GBK" w:cs="Times New Roman"/>
          <w:color w:val="auto"/>
          <w:sz w:val="21"/>
          <w:szCs w:val="21"/>
          <w:highlight w:val="none"/>
        </w:rPr>
        <w:t>14.2 竣工结算审核</w:t>
      </w:r>
    </w:p>
    <w:p w14:paraId="6D23C5F8">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发包人审批竣工付款申请单的期限：</w:t>
      </w:r>
      <w:r>
        <w:rPr>
          <w:rFonts w:hint="default" w:ascii="Times New Roman" w:hAnsi="Times New Roman" w:eastAsia="方正仿宋_GBK" w:cs="Times New Roman"/>
          <w:color w:val="auto"/>
          <w:sz w:val="21"/>
          <w:szCs w:val="21"/>
          <w:highlight w:val="none"/>
          <w:u w:val="single"/>
        </w:rPr>
        <w:t>结算审计审定后30日内。</w:t>
      </w:r>
    </w:p>
    <w:p w14:paraId="082C0ACA">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发包人完成竣工付款的期限：</w:t>
      </w:r>
      <w:r>
        <w:rPr>
          <w:rFonts w:hint="default" w:ascii="Times New Roman" w:hAnsi="Times New Roman" w:eastAsia="方正仿宋_GBK" w:cs="Times New Roman"/>
          <w:color w:val="auto"/>
          <w:sz w:val="21"/>
          <w:szCs w:val="21"/>
          <w:highlight w:val="none"/>
          <w:u w:val="single"/>
        </w:rPr>
        <w:t>结算审计审定后三个月内。</w:t>
      </w:r>
    </w:p>
    <w:p w14:paraId="6972D943">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关于竣工付款证书异议部分复核的方式和程序：</w:t>
      </w:r>
      <w:r>
        <w:rPr>
          <w:rFonts w:hint="default" w:ascii="Times New Roman" w:hAnsi="Times New Roman" w:eastAsia="方正仿宋_GBK" w:cs="Times New Roman"/>
          <w:color w:val="auto"/>
          <w:sz w:val="21"/>
          <w:szCs w:val="21"/>
          <w:highlight w:val="none"/>
          <w:u w:val="single"/>
        </w:rPr>
        <w:t>以审计结论为准。</w:t>
      </w:r>
    </w:p>
    <w:p w14:paraId="7EC7C0D2">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14.3工程结算：</w:t>
      </w:r>
    </w:p>
    <w:p w14:paraId="3F90BB83">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分部分项工程量清单综合单价(结算单价)的确定:以供应商首次电子响应文件中的各分项工程的综合单价为基价，以磋商过程中供应商第二次报价与第一次报价(两次报价均扣除暂估价、暂列金额)的比值作为下浮率，对分部分项工程综合单价进行下浮，已下浮后单价作为分部分项工程的结算单价。措施费，以中标清单中的价格总价包干结算，规费、税金</w:t>
      </w:r>
      <w:r>
        <w:rPr>
          <w:rFonts w:hint="default" w:ascii="Times New Roman" w:hAnsi="Times New Roman" w:eastAsia="方正仿宋_GBK" w:cs="Times New Roman"/>
          <w:color w:val="auto"/>
          <w:kern w:val="0"/>
          <w:sz w:val="21"/>
          <w:szCs w:val="21"/>
          <w:highlight w:val="none"/>
          <w:lang w:val="en-US" w:eastAsia="zh-CN"/>
        </w:rPr>
        <w:t>以</w:t>
      </w:r>
      <w:r>
        <w:rPr>
          <w:rFonts w:hint="default" w:ascii="Times New Roman" w:hAnsi="Times New Roman" w:eastAsia="方正仿宋_GBK" w:cs="Times New Roman"/>
          <w:color w:val="auto"/>
          <w:kern w:val="0"/>
          <w:sz w:val="21"/>
          <w:szCs w:val="21"/>
          <w:highlight w:val="none"/>
        </w:rPr>
        <w:t>中标清单中的</w:t>
      </w:r>
      <w:r>
        <w:rPr>
          <w:rFonts w:hint="default" w:ascii="Times New Roman" w:hAnsi="Times New Roman" w:eastAsia="方正仿宋_GBK" w:cs="Times New Roman"/>
          <w:color w:val="auto"/>
          <w:kern w:val="0"/>
          <w:sz w:val="21"/>
          <w:szCs w:val="21"/>
          <w:highlight w:val="none"/>
          <w:lang w:val="en-US" w:eastAsia="zh-CN"/>
        </w:rPr>
        <w:t>金额为基数，按照分部分项工程结算金额的浮动率同比例调整</w:t>
      </w:r>
      <w:r>
        <w:rPr>
          <w:rFonts w:hint="default" w:ascii="Times New Roman" w:hAnsi="Times New Roman" w:eastAsia="方正仿宋_GBK" w:cs="Times New Roman"/>
          <w:color w:val="auto"/>
          <w:kern w:val="0"/>
          <w:sz w:val="21"/>
          <w:szCs w:val="21"/>
          <w:highlight w:val="none"/>
        </w:rPr>
        <w:t>。</w:t>
      </w:r>
    </w:p>
    <w:p w14:paraId="203CE7A6">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1、子项工程量：计量规范：《建设工程工程量清单计价规范》（GB50500-2013）、《重庆市建设工程工程量清单计价规则》（CQJJGZ-2013）、《重庆市建设工程工程量计算规则》（CQJLGZ－2013）</w:t>
      </w:r>
      <w:r>
        <w:rPr>
          <w:rFonts w:hint="default" w:ascii="Times New Roman" w:hAnsi="Times New Roman" w:eastAsia="方正仿宋_GBK" w:cs="Times New Roman"/>
          <w:color w:val="auto"/>
          <w:kern w:val="0"/>
          <w:sz w:val="21"/>
          <w:szCs w:val="21"/>
          <w:highlight w:val="none"/>
          <w:lang w:eastAsia="zh-CN"/>
        </w:rPr>
        <w:t>、</w:t>
      </w:r>
      <w:r>
        <w:rPr>
          <w:rFonts w:hint="default" w:ascii="Times New Roman" w:hAnsi="Times New Roman" w:eastAsia="方正仿宋_GBK" w:cs="Times New Roman"/>
          <w:color w:val="auto"/>
          <w:kern w:val="0"/>
          <w:sz w:val="21"/>
          <w:szCs w:val="21"/>
          <w:highlight w:val="none"/>
          <w:lang w:val="en-US" w:eastAsia="zh-CN"/>
        </w:rPr>
        <w:t>《重庆市建筑工程计价定额》（CQJZDE-2018）、《重庆市建设工程费用定额》（CQFYDE-2018）、《重庆市房屋建筑与装饰工程计价定额》（CQJZZSDE-2018）、《重庆市通用安装工程计价定额》（CQAZDE-2018）、《重庆市房屋修缮工程计价定额》(CQXSDE-2018)及相关配套文件</w:t>
      </w:r>
      <w:r>
        <w:rPr>
          <w:rFonts w:hint="default" w:ascii="Times New Roman" w:hAnsi="Times New Roman" w:eastAsia="方正仿宋_GBK" w:cs="Times New Roman"/>
          <w:color w:val="auto"/>
          <w:kern w:val="0"/>
          <w:sz w:val="21"/>
          <w:szCs w:val="21"/>
          <w:highlight w:val="none"/>
        </w:rPr>
        <w:t>约定的计量规则计算的实际合格工程量。</w:t>
      </w:r>
    </w:p>
    <w:p w14:paraId="0E66B2A1">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2、子项综合单价以结算单价为结算依据。</w:t>
      </w:r>
    </w:p>
    <w:p w14:paraId="59F1540A">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实际已完成工程量以建设单位、施工单位</w:t>
      </w:r>
      <w:r>
        <w:rPr>
          <w:rFonts w:hint="default" w:ascii="Times New Roman" w:hAnsi="Times New Roman" w:eastAsia="方正仿宋_GBK" w:cs="Times New Roman"/>
          <w:color w:val="auto"/>
          <w:kern w:val="0"/>
          <w:sz w:val="21"/>
          <w:szCs w:val="21"/>
          <w:highlight w:val="none"/>
          <w:lang w:eastAsia="zh-CN"/>
        </w:rPr>
        <w:t>、</w:t>
      </w:r>
      <w:r>
        <w:rPr>
          <w:rFonts w:hint="default" w:ascii="Times New Roman" w:hAnsi="Times New Roman" w:eastAsia="方正仿宋_GBK" w:cs="Times New Roman"/>
          <w:color w:val="auto"/>
          <w:kern w:val="0"/>
          <w:sz w:val="21"/>
          <w:szCs w:val="21"/>
          <w:highlight w:val="none"/>
          <w:lang w:val="en-US" w:eastAsia="zh-CN"/>
        </w:rPr>
        <w:t>监理单位、跟审单位等签署的</w:t>
      </w:r>
      <w:r>
        <w:rPr>
          <w:rFonts w:hint="default" w:ascii="Times New Roman" w:hAnsi="Times New Roman" w:eastAsia="方正仿宋_GBK" w:cs="Times New Roman"/>
          <w:color w:val="auto"/>
          <w:kern w:val="0"/>
          <w:sz w:val="21"/>
          <w:szCs w:val="21"/>
          <w:highlight w:val="none"/>
        </w:rPr>
        <w:t>签证计量单</w:t>
      </w:r>
      <w:r>
        <w:rPr>
          <w:rFonts w:hint="default" w:ascii="Times New Roman" w:hAnsi="Times New Roman" w:eastAsia="方正仿宋_GBK" w:cs="Times New Roman"/>
          <w:color w:val="auto"/>
          <w:kern w:val="0"/>
          <w:sz w:val="21"/>
          <w:szCs w:val="21"/>
          <w:highlight w:val="none"/>
          <w:lang w:val="en-US" w:eastAsia="zh-CN"/>
        </w:rPr>
        <w:t>以及竣工图算量</w:t>
      </w:r>
      <w:r>
        <w:rPr>
          <w:rFonts w:hint="default" w:ascii="Times New Roman" w:hAnsi="Times New Roman" w:eastAsia="方正仿宋_GBK" w:cs="Times New Roman"/>
          <w:color w:val="auto"/>
          <w:kern w:val="0"/>
          <w:sz w:val="21"/>
          <w:szCs w:val="21"/>
          <w:highlight w:val="none"/>
        </w:rPr>
        <w:t>进行确认。</w:t>
      </w:r>
    </w:p>
    <w:p w14:paraId="52CEAE94">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3、设计变更、漏项及新增项目综合单价计算办法：</w:t>
      </w:r>
    </w:p>
    <w:p w14:paraId="52AB871B">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工程设计变更必须经采购人按相关审批程序审批同意，确定后的工程设计变更，由</w:t>
      </w:r>
      <w:r>
        <w:rPr>
          <w:rFonts w:hint="default" w:ascii="Times New Roman" w:hAnsi="Times New Roman" w:eastAsia="方正仿宋_GBK" w:cs="Times New Roman"/>
          <w:color w:val="auto"/>
          <w:kern w:val="0"/>
          <w:sz w:val="21"/>
          <w:szCs w:val="21"/>
          <w:highlight w:val="none"/>
          <w:lang w:eastAsia="zh-CN"/>
        </w:rPr>
        <w:t>中标人</w:t>
      </w:r>
      <w:r>
        <w:rPr>
          <w:rFonts w:hint="default" w:ascii="Times New Roman" w:hAnsi="Times New Roman" w:eastAsia="方正仿宋_GBK" w:cs="Times New Roman"/>
          <w:color w:val="auto"/>
          <w:kern w:val="0"/>
          <w:sz w:val="21"/>
          <w:szCs w:val="21"/>
          <w:highlight w:val="none"/>
        </w:rPr>
        <w:t>在工程设计变更确定后7天内向采购人提出设计变更、漏项及新增项目综合单价计算，上述情况均以采购人提供的设计图、工程量为基准进行比较。调整方法如下：</w:t>
      </w:r>
    </w:p>
    <w:p w14:paraId="163496AF">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（1）变更工程与合同的工程量清单中有相同的子项或类似子项，则按合同的工程量清单中的相同子项或类似子项的综合结算单价执行；</w:t>
      </w:r>
    </w:p>
    <w:p w14:paraId="7B46F9F8">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2）变更工程与合同的工程量清单中无相同的子项或类似子项，按照计量规范：《建设工程工程量清单计价规范》（GB50500-2013）、《重庆市建设工程工程量清单计价规则》（CQJJGZ-2013）、《重庆市建设工程工程量计算规则》（CQJLGZ－2013）</w:t>
      </w:r>
      <w:r>
        <w:rPr>
          <w:rFonts w:hint="default" w:ascii="Times New Roman" w:hAnsi="Times New Roman" w:eastAsia="方正仿宋_GBK" w:cs="Times New Roman"/>
          <w:color w:val="auto"/>
          <w:kern w:val="0"/>
          <w:sz w:val="21"/>
          <w:szCs w:val="21"/>
          <w:highlight w:val="none"/>
          <w:lang w:eastAsia="zh-CN"/>
        </w:rPr>
        <w:t>、</w:t>
      </w:r>
      <w:r>
        <w:rPr>
          <w:rFonts w:hint="default" w:ascii="Times New Roman" w:hAnsi="Times New Roman" w:eastAsia="方正仿宋_GBK" w:cs="Times New Roman"/>
          <w:color w:val="auto"/>
          <w:kern w:val="0"/>
          <w:sz w:val="21"/>
          <w:szCs w:val="21"/>
          <w:highlight w:val="none"/>
          <w:lang w:val="en-US" w:eastAsia="zh-CN"/>
        </w:rPr>
        <w:t>《重庆市建筑工程计价定额》（CQJZDE-2018）、《重庆市建设工程费用定额》（CQFYDE-2018）、《重庆市房屋建筑与装饰工程计价定额》（CQJZZSDE-2018）、《重庆市通用安装工程计价定额》（CQAZDE-2018）、《重庆市房屋修缮工程计价定额》(CQXSDE-2018)及相关配套文件</w:t>
      </w:r>
      <w:r>
        <w:rPr>
          <w:rFonts w:hint="default" w:ascii="Times New Roman" w:hAnsi="Times New Roman" w:eastAsia="方正仿宋_GBK" w:cs="Times New Roman"/>
          <w:color w:val="auto"/>
          <w:kern w:val="0"/>
          <w:sz w:val="21"/>
          <w:szCs w:val="21"/>
          <w:highlight w:val="none"/>
        </w:rPr>
        <w:t>组价，组价原则为采用竞标清单报价中的人工、材料、机械、设备单价和有关竞标取费费率的基础上编制计算后按成交总价（扣除暂估价、暂列金额）与本工程最高限价（扣除暂估价、暂列金额）之间的下浮比例下浮，经监理、</w:t>
      </w:r>
      <w:r>
        <w:rPr>
          <w:rFonts w:hint="default" w:ascii="Times New Roman" w:hAnsi="Times New Roman" w:eastAsia="方正仿宋_GBK" w:cs="Times New Roman"/>
          <w:color w:val="auto"/>
          <w:kern w:val="0"/>
          <w:sz w:val="21"/>
          <w:szCs w:val="21"/>
          <w:highlight w:val="none"/>
          <w:lang w:eastAsia="zh-CN"/>
        </w:rPr>
        <w:t>过控单位</w:t>
      </w:r>
      <w:r>
        <w:rPr>
          <w:rFonts w:hint="default" w:ascii="Times New Roman" w:hAnsi="Times New Roman" w:eastAsia="方正仿宋_GBK" w:cs="Times New Roman"/>
          <w:color w:val="auto"/>
          <w:kern w:val="0"/>
          <w:sz w:val="21"/>
          <w:szCs w:val="21"/>
          <w:highlight w:val="none"/>
        </w:rPr>
        <w:t>（如有）审核后报采购人按相关审批程序确定价格。当有材料缺项时，由采购人会同相关单位按市场行情认质核价。转运费、包干费、临时设施费等相关措施性费用不再计取；</w:t>
      </w:r>
    </w:p>
    <w:p w14:paraId="245F4C21">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lang w:eastAsia="zh-CN"/>
        </w:rPr>
      </w:pPr>
      <w:r>
        <w:rPr>
          <w:rFonts w:hint="default" w:ascii="Times New Roman" w:hAnsi="Times New Roman" w:eastAsia="方正仿宋_GBK" w:cs="Times New Roman"/>
          <w:color w:val="auto"/>
          <w:kern w:val="0"/>
          <w:sz w:val="21"/>
          <w:szCs w:val="21"/>
          <w:highlight w:val="none"/>
        </w:rPr>
        <w:t>（3）其他材料、设备价格:</w:t>
      </w:r>
      <w:r>
        <w:rPr>
          <w:rFonts w:hint="default" w:ascii="Times New Roman" w:hAnsi="Times New Roman" w:eastAsia="方正仿宋_GBK" w:cs="Times New Roman"/>
          <w:color w:val="auto"/>
          <w:kern w:val="0"/>
          <w:sz w:val="21"/>
          <w:szCs w:val="21"/>
          <w:highlight w:val="none"/>
          <w:lang w:eastAsia="zh-CN"/>
        </w:rPr>
        <w:t>对于有信息价的材料和设备优先采用《重庆工程造价信息》2025年</w:t>
      </w:r>
      <w:r>
        <w:rPr>
          <w:rFonts w:hint="eastAsia" w:eastAsia="方正仿宋_GBK" w:cs="Times New Roman"/>
          <w:color w:val="auto"/>
          <w:kern w:val="0"/>
          <w:sz w:val="21"/>
          <w:szCs w:val="21"/>
          <w:highlight w:val="none"/>
          <w:lang w:val="en-US" w:eastAsia="zh-CN"/>
        </w:rPr>
        <w:t>9</w:t>
      </w:r>
      <w:r>
        <w:rPr>
          <w:rFonts w:hint="default" w:ascii="Times New Roman" w:hAnsi="Times New Roman" w:eastAsia="方正仿宋_GBK" w:cs="Times New Roman"/>
          <w:color w:val="auto"/>
          <w:kern w:val="0"/>
          <w:sz w:val="21"/>
          <w:szCs w:val="21"/>
          <w:highlight w:val="none"/>
          <w:lang w:eastAsia="zh-CN"/>
        </w:rPr>
        <w:t>月秀山县的价格，秀山县信息价中没有的采用重庆主城区同期信息价，无信息价的材料和设备参考市场价执行。</w:t>
      </w:r>
    </w:p>
    <w:p w14:paraId="17E3FBBB">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lang w:eastAsia="zh-CN"/>
        </w:rPr>
        <w:t>供应商</w:t>
      </w:r>
      <w:r>
        <w:rPr>
          <w:rFonts w:hint="default" w:ascii="Times New Roman" w:hAnsi="Times New Roman" w:eastAsia="方正仿宋_GBK" w:cs="Times New Roman"/>
          <w:color w:val="auto"/>
          <w:kern w:val="0"/>
          <w:sz w:val="21"/>
          <w:szCs w:val="21"/>
          <w:highlight w:val="none"/>
        </w:rPr>
        <w:t>应自行分析、测算、并将物价涨落，资金筹划风险费用包含在报价中。本工程</w:t>
      </w:r>
      <w:r>
        <w:rPr>
          <w:rFonts w:hint="default" w:ascii="Times New Roman" w:hAnsi="Times New Roman" w:eastAsia="方正仿宋_GBK" w:cs="Times New Roman"/>
          <w:color w:val="auto"/>
          <w:kern w:val="0"/>
          <w:sz w:val="21"/>
          <w:szCs w:val="21"/>
          <w:highlight w:val="none"/>
          <w:lang w:val="en-US" w:eastAsia="zh-CN"/>
        </w:rPr>
        <w:t>结算时</w:t>
      </w:r>
      <w:r>
        <w:rPr>
          <w:rFonts w:hint="default" w:ascii="Times New Roman" w:hAnsi="Times New Roman" w:eastAsia="方正仿宋_GBK" w:cs="Times New Roman"/>
          <w:color w:val="auto"/>
          <w:kern w:val="0"/>
          <w:sz w:val="21"/>
          <w:szCs w:val="21"/>
          <w:highlight w:val="none"/>
        </w:rPr>
        <w:t>材料价格不调</w:t>
      </w:r>
      <w:r>
        <w:rPr>
          <w:rFonts w:hint="default" w:ascii="Times New Roman" w:hAnsi="Times New Roman" w:eastAsia="方正仿宋_GBK" w:cs="Times New Roman"/>
          <w:color w:val="auto"/>
          <w:kern w:val="0"/>
          <w:sz w:val="21"/>
          <w:szCs w:val="21"/>
          <w:highlight w:val="none"/>
          <w:lang w:val="en-US" w:eastAsia="zh-CN"/>
        </w:rPr>
        <w:t>差</w:t>
      </w:r>
      <w:r>
        <w:rPr>
          <w:rFonts w:hint="default" w:ascii="Times New Roman" w:hAnsi="Times New Roman" w:eastAsia="方正仿宋_GBK" w:cs="Times New Roman"/>
          <w:color w:val="auto"/>
          <w:kern w:val="0"/>
          <w:sz w:val="21"/>
          <w:szCs w:val="21"/>
          <w:highlight w:val="none"/>
        </w:rPr>
        <w:t>。</w:t>
      </w:r>
    </w:p>
    <w:p w14:paraId="42588946">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lang w:val="en-US" w:eastAsia="zh-CN"/>
        </w:rPr>
        <w:t>4.</w:t>
      </w:r>
      <w:r>
        <w:rPr>
          <w:rFonts w:hint="default" w:ascii="Times New Roman" w:hAnsi="Times New Roman" w:eastAsia="方正仿宋_GBK" w:cs="Times New Roman"/>
          <w:color w:val="auto"/>
          <w:kern w:val="0"/>
          <w:sz w:val="21"/>
          <w:szCs w:val="21"/>
          <w:highlight w:val="none"/>
        </w:rPr>
        <w:t>竣工结算价</w:t>
      </w:r>
    </w:p>
    <w:p w14:paraId="394E5E0F">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以</w:t>
      </w:r>
      <w:r>
        <w:rPr>
          <w:rFonts w:hint="default" w:ascii="Times New Roman" w:hAnsi="Times New Roman" w:eastAsia="方正仿宋_GBK" w:cs="Times New Roman"/>
          <w:color w:val="auto"/>
          <w:kern w:val="0"/>
          <w:sz w:val="21"/>
          <w:szCs w:val="21"/>
          <w:highlight w:val="none"/>
          <w:lang w:eastAsia="zh-CN"/>
        </w:rPr>
        <w:t>秀山县</w:t>
      </w:r>
      <w:r>
        <w:rPr>
          <w:rFonts w:hint="default" w:ascii="Times New Roman" w:hAnsi="Times New Roman" w:eastAsia="方正仿宋_GBK" w:cs="Times New Roman"/>
          <w:color w:val="auto"/>
          <w:kern w:val="0"/>
          <w:sz w:val="21"/>
          <w:szCs w:val="21"/>
          <w:highlight w:val="none"/>
        </w:rPr>
        <w:t>项目审计主管部门的评审或审计报告作为竣工结算的依据。乙方在工程竣工验收合格起30天内向监理人、甲方提交竣工结算申请单，并报送完整的工程竣工资料，待</w:t>
      </w:r>
      <w:r>
        <w:rPr>
          <w:rFonts w:hint="default" w:ascii="Times New Roman" w:hAnsi="Times New Roman" w:eastAsia="方正仿宋_GBK" w:cs="Times New Roman"/>
          <w:color w:val="auto"/>
          <w:kern w:val="0"/>
          <w:sz w:val="21"/>
          <w:szCs w:val="21"/>
          <w:highlight w:val="none"/>
          <w:lang w:eastAsia="zh-CN"/>
        </w:rPr>
        <w:t>采购人</w:t>
      </w:r>
      <w:r>
        <w:rPr>
          <w:rFonts w:hint="default" w:ascii="Times New Roman" w:hAnsi="Times New Roman" w:eastAsia="方正仿宋_GBK" w:cs="Times New Roman"/>
          <w:color w:val="auto"/>
          <w:kern w:val="0"/>
          <w:sz w:val="21"/>
          <w:szCs w:val="21"/>
          <w:highlight w:val="none"/>
        </w:rPr>
        <w:t>委托的造价咨询机构出具初审报告后，再由</w:t>
      </w:r>
      <w:r>
        <w:rPr>
          <w:rFonts w:hint="default" w:ascii="Times New Roman" w:hAnsi="Times New Roman" w:eastAsia="方正仿宋_GBK" w:cs="Times New Roman"/>
          <w:color w:val="auto"/>
          <w:kern w:val="0"/>
          <w:sz w:val="21"/>
          <w:szCs w:val="21"/>
          <w:highlight w:val="none"/>
          <w:lang w:eastAsia="zh-CN"/>
        </w:rPr>
        <w:t>采购人</w:t>
      </w:r>
      <w:r>
        <w:rPr>
          <w:rFonts w:hint="default" w:ascii="Times New Roman" w:hAnsi="Times New Roman" w:eastAsia="方正仿宋_GBK" w:cs="Times New Roman"/>
          <w:color w:val="auto"/>
          <w:kern w:val="0"/>
          <w:sz w:val="21"/>
          <w:szCs w:val="21"/>
          <w:highlight w:val="none"/>
        </w:rPr>
        <w:t>提交</w:t>
      </w:r>
      <w:r>
        <w:rPr>
          <w:rFonts w:hint="default" w:ascii="Times New Roman" w:hAnsi="Times New Roman" w:eastAsia="方正仿宋_GBK" w:cs="Times New Roman"/>
          <w:color w:val="auto"/>
          <w:kern w:val="0"/>
          <w:sz w:val="21"/>
          <w:szCs w:val="21"/>
          <w:highlight w:val="none"/>
          <w:lang w:eastAsia="zh-CN"/>
        </w:rPr>
        <w:t>秀山县</w:t>
      </w:r>
      <w:r>
        <w:rPr>
          <w:rFonts w:hint="default" w:ascii="Times New Roman" w:hAnsi="Times New Roman" w:eastAsia="方正仿宋_GBK" w:cs="Times New Roman"/>
          <w:color w:val="auto"/>
          <w:kern w:val="0"/>
          <w:sz w:val="21"/>
          <w:szCs w:val="21"/>
          <w:highlight w:val="none"/>
        </w:rPr>
        <w:t>项目审计主管部门评审或审计。经</w:t>
      </w:r>
      <w:r>
        <w:rPr>
          <w:rFonts w:hint="default" w:ascii="Times New Roman" w:hAnsi="Times New Roman" w:eastAsia="方正仿宋_GBK" w:cs="Times New Roman"/>
          <w:color w:val="auto"/>
          <w:kern w:val="0"/>
          <w:sz w:val="21"/>
          <w:szCs w:val="21"/>
          <w:highlight w:val="none"/>
          <w:lang w:eastAsia="zh-CN"/>
        </w:rPr>
        <w:t>秀山县</w:t>
      </w:r>
      <w:r>
        <w:rPr>
          <w:rFonts w:hint="default" w:ascii="Times New Roman" w:hAnsi="Times New Roman" w:eastAsia="方正仿宋_GBK" w:cs="Times New Roman"/>
          <w:color w:val="auto"/>
          <w:kern w:val="0"/>
          <w:sz w:val="21"/>
          <w:szCs w:val="21"/>
          <w:highlight w:val="none"/>
        </w:rPr>
        <w:t>项目审计主管部门定案并出具完整的审计报告的定案金额即为本工程的最终结算金额。</w:t>
      </w:r>
    </w:p>
    <w:p w14:paraId="6798B103">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lang w:val="en-US" w:eastAsia="zh-CN"/>
        </w:rPr>
      </w:pPr>
      <w:r>
        <w:rPr>
          <w:rFonts w:hint="eastAsia" w:eastAsia="方正仿宋_GBK" w:cs="Times New Roman"/>
          <w:color w:val="auto"/>
          <w:kern w:val="0"/>
          <w:sz w:val="21"/>
          <w:szCs w:val="21"/>
          <w:highlight w:val="none"/>
          <w:lang w:val="en-US" w:eastAsia="zh-CN"/>
        </w:rPr>
        <w:t>5</w:t>
      </w:r>
      <w:r>
        <w:rPr>
          <w:rFonts w:hint="default" w:ascii="Times New Roman" w:hAnsi="Times New Roman" w:eastAsia="方正仿宋_GBK" w:cs="Times New Roman"/>
          <w:color w:val="auto"/>
          <w:kern w:val="0"/>
          <w:sz w:val="21"/>
          <w:szCs w:val="21"/>
          <w:highlight w:val="none"/>
          <w:lang w:val="en-US" w:eastAsia="zh-CN"/>
        </w:rPr>
        <w:t>.</w:t>
      </w:r>
      <w:r>
        <w:rPr>
          <w:rFonts w:hint="default" w:ascii="Times New Roman" w:hAnsi="Times New Roman" w:eastAsia="方正仿宋_GBK" w:cs="Times New Roman"/>
          <w:color w:val="auto"/>
          <w:kern w:val="0"/>
          <w:sz w:val="21"/>
          <w:szCs w:val="21"/>
          <w:highlight w:val="none"/>
        </w:rPr>
        <w:t>人工价格:采用《重庆工程造价信息》（秀山县）2025年三季度价格</w:t>
      </w:r>
      <w:r>
        <w:rPr>
          <w:rFonts w:hint="default" w:ascii="Times New Roman" w:hAnsi="Times New Roman" w:eastAsia="方正仿宋_GBK" w:cs="Times New Roman"/>
          <w:color w:val="auto"/>
          <w:kern w:val="0"/>
          <w:sz w:val="21"/>
          <w:szCs w:val="21"/>
          <w:highlight w:val="none"/>
          <w:lang w:val="en-US" w:eastAsia="zh-CN"/>
        </w:rPr>
        <w:t>。</w:t>
      </w:r>
    </w:p>
    <w:p w14:paraId="00ABE6AE">
      <w:pPr>
        <w:tabs>
          <w:tab w:val="left" w:pos="2580"/>
        </w:tabs>
        <w:snapToGrid w:val="0"/>
        <w:spacing w:line="360" w:lineRule="auto"/>
        <w:ind w:right="54"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sz w:val="21"/>
          <w:szCs w:val="21"/>
          <w:highlight w:val="none"/>
        </w:rPr>
        <w:t>14.4最终结清</w:t>
      </w:r>
    </w:p>
    <w:p w14:paraId="5D991E53">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14.4.1 最终结清申请单</w:t>
      </w:r>
    </w:p>
    <w:p w14:paraId="35AC3458">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承包人提交最终结清申请单的份数：</w:t>
      </w:r>
      <w:r>
        <w:rPr>
          <w:rFonts w:hint="default" w:ascii="Times New Roman" w:hAnsi="Times New Roman" w:eastAsia="方正仿宋_GBK" w:cs="Times New Roman"/>
          <w:color w:val="auto"/>
          <w:sz w:val="21"/>
          <w:szCs w:val="21"/>
          <w:highlight w:val="none"/>
          <w:u w:val="single"/>
        </w:rPr>
        <w:t xml:space="preserve">  提交5份最终结清申请书 </w:t>
      </w:r>
      <w:r>
        <w:rPr>
          <w:rFonts w:hint="default" w:ascii="Times New Roman" w:hAnsi="Times New Roman" w:eastAsia="方正仿宋_GBK" w:cs="Times New Roman"/>
          <w:color w:val="auto"/>
          <w:sz w:val="21"/>
          <w:szCs w:val="21"/>
          <w:highlight w:val="none"/>
        </w:rPr>
        <w:t>。</w:t>
      </w:r>
    </w:p>
    <w:p w14:paraId="287E6F9E">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kern w:val="0"/>
          <w:sz w:val="21"/>
          <w:szCs w:val="21"/>
          <w:highlight w:val="none"/>
        </w:rPr>
        <w:t>承包人提交最终结算申请单的期限：</w:t>
      </w:r>
      <w:r>
        <w:rPr>
          <w:rFonts w:hint="default" w:ascii="Times New Roman" w:hAnsi="Times New Roman" w:eastAsia="方正仿宋_GBK" w:cs="Times New Roman"/>
          <w:color w:val="auto"/>
          <w:sz w:val="21"/>
          <w:szCs w:val="21"/>
          <w:highlight w:val="none"/>
          <w:u w:val="single"/>
        </w:rPr>
        <w:t xml:space="preserve">   在缺陷责任期终止证书颁发后28天内     </w:t>
      </w:r>
      <w:r>
        <w:rPr>
          <w:rFonts w:hint="default" w:ascii="Times New Roman" w:hAnsi="Times New Roman" w:eastAsia="方正仿宋_GBK" w:cs="Times New Roman"/>
          <w:color w:val="auto"/>
          <w:sz w:val="21"/>
          <w:szCs w:val="21"/>
          <w:highlight w:val="none"/>
        </w:rPr>
        <w:t>。</w:t>
      </w:r>
    </w:p>
    <w:p w14:paraId="6475D971">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14.4.2 最终结清证书和支付</w:t>
      </w:r>
    </w:p>
    <w:p w14:paraId="0B080D83">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（1）发包人完成最终结清申请单的审批并颁发最终结清证书的期限：</w:t>
      </w:r>
      <w:r>
        <w:rPr>
          <w:rFonts w:hint="default" w:ascii="Times New Roman" w:hAnsi="Times New Roman" w:eastAsia="方正仿宋_GBK" w:cs="Times New Roman"/>
          <w:color w:val="auto"/>
          <w:sz w:val="21"/>
          <w:szCs w:val="21"/>
          <w:highlight w:val="none"/>
          <w:u w:val="single"/>
        </w:rPr>
        <w:t>收到承包人提交的最终结清申请单后14天内 。</w:t>
      </w:r>
    </w:p>
    <w:p w14:paraId="056E8C6C">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（2）发包人完成支付的期限：</w:t>
      </w:r>
      <w:r>
        <w:rPr>
          <w:rFonts w:hint="default" w:ascii="Times New Roman" w:hAnsi="Times New Roman" w:eastAsia="方正仿宋_GBK" w:cs="Times New Roman"/>
          <w:color w:val="auto"/>
          <w:sz w:val="21"/>
          <w:szCs w:val="21"/>
          <w:highlight w:val="none"/>
          <w:u w:val="single"/>
        </w:rPr>
        <w:t>在最终结清证书颁发后28天内。</w:t>
      </w:r>
    </w:p>
    <w:bookmarkEnd w:id="675"/>
    <w:bookmarkEnd w:id="676"/>
    <w:bookmarkEnd w:id="677"/>
    <w:bookmarkEnd w:id="678"/>
    <w:bookmarkEnd w:id="679"/>
    <w:bookmarkEnd w:id="680"/>
    <w:bookmarkEnd w:id="681"/>
    <w:bookmarkEnd w:id="687"/>
    <w:p w14:paraId="7F12D601">
      <w:pPr>
        <w:snapToGrid w:val="0"/>
        <w:spacing w:line="360" w:lineRule="auto"/>
        <w:rPr>
          <w:rFonts w:hint="default" w:ascii="Times New Roman" w:hAnsi="Times New Roman" w:eastAsia="方正仿宋_GBK" w:cs="Times New Roman"/>
          <w:b/>
          <w:color w:val="auto"/>
          <w:kern w:val="0"/>
          <w:sz w:val="21"/>
          <w:szCs w:val="21"/>
          <w:highlight w:val="none"/>
        </w:rPr>
      </w:pPr>
      <w:bookmarkStart w:id="696" w:name="_Toc518391423"/>
      <w:bookmarkStart w:id="697" w:name="_Toc485992748"/>
      <w:bookmarkStart w:id="698" w:name="_Toc516756972"/>
      <w:bookmarkStart w:id="699" w:name="_Toc351203647"/>
      <w:bookmarkStart w:id="700" w:name="_Toc433623117"/>
      <w:bookmarkStart w:id="701" w:name="_Toc267251483"/>
      <w:bookmarkStart w:id="702" w:name="_Toc267251482"/>
      <w:bookmarkStart w:id="703" w:name="_Toc267251484"/>
      <w:bookmarkStart w:id="704" w:name="_Toc267251485"/>
      <w:bookmarkStart w:id="705" w:name="_Toc267251490"/>
      <w:bookmarkStart w:id="706" w:name="_Toc267251488"/>
      <w:bookmarkStart w:id="707" w:name="_Toc267251486"/>
      <w:bookmarkStart w:id="708" w:name="_Toc267251489"/>
      <w:bookmarkStart w:id="709" w:name="_Toc267251495"/>
      <w:bookmarkStart w:id="710" w:name="_Toc267251497"/>
      <w:bookmarkStart w:id="711" w:name="_Toc267251494"/>
      <w:bookmarkStart w:id="712" w:name="_Toc267251503"/>
      <w:bookmarkStart w:id="713" w:name="_Toc267251491"/>
      <w:bookmarkStart w:id="714" w:name="_Toc267251499"/>
      <w:bookmarkStart w:id="715" w:name="_Toc267251501"/>
      <w:bookmarkStart w:id="716" w:name="_Toc267251492"/>
      <w:bookmarkStart w:id="717" w:name="_Toc267251498"/>
      <w:bookmarkStart w:id="718" w:name="_Toc267251496"/>
      <w:bookmarkStart w:id="719" w:name="_Toc267251493"/>
      <w:bookmarkStart w:id="720" w:name="_Toc267251502"/>
      <w:bookmarkStart w:id="721" w:name="_Toc267251507"/>
      <w:bookmarkStart w:id="722" w:name="_Toc267251504"/>
      <w:bookmarkStart w:id="723" w:name="_Toc267251506"/>
      <w:bookmarkStart w:id="724" w:name="_Toc267251508"/>
      <w:bookmarkStart w:id="725" w:name="_Toc267251514"/>
      <w:bookmarkStart w:id="726" w:name="_Toc267251510"/>
      <w:bookmarkStart w:id="727" w:name="_Toc267251511"/>
      <w:bookmarkStart w:id="728" w:name="_Toc267251515"/>
      <w:bookmarkStart w:id="729" w:name="_Toc267251509"/>
      <w:bookmarkStart w:id="730" w:name="_Toc267251513"/>
      <w:r>
        <w:rPr>
          <w:rFonts w:hint="default" w:ascii="Times New Roman" w:hAnsi="Times New Roman" w:eastAsia="方正仿宋_GBK" w:cs="Times New Roman"/>
          <w:b/>
          <w:color w:val="auto"/>
          <w:kern w:val="0"/>
          <w:sz w:val="21"/>
          <w:szCs w:val="21"/>
          <w:highlight w:val="none"/>
        </w:rPr>
        <w:t>15. 缺陷责任期与保修</w:t>
      </w:r>
      <w:bookmarkEnd w:id="696"/>
      <w:bookmarkEnd w:id="697"/>
      <w:bookmarkEnd w:id="698"/>
      <w:bookmarkEnd w:id="699"/>
      <w:bookmarkEnd w:id="700"/>
    </w:p>
    <w:p w14:paraId="6C4582F4">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15.2缺陷责任期</w:t>
      </w:r>
      <w:bookmarkEnd w:id="701"/>
    </w:p>
    <w:p w14:paraId="4B702FED">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缺陷责任期的具体期限：</w:t>
      </w:r>
      <w:r>
        <w:rPr>
          <w:rFonts w:hint="default" w:ascii="Times New Roman" w:hAnsi="Times New Roman" w:eastAsia="方正仿宋_GBK" w:cs="Times New Roman"/>
          <w:color w:val="auto"/>
          <w:sz w:val="21"/>
          <w:szCs w:val="21"/>
          <w:highlight w:val="none"/>
          <w:u w:val="single"/>
        </w:rPr>
        <w:t xml:space="preserve">  按照《工程质量保修书》中要求执行  </w:t>
      </w:r>
      <w:r>
        <w:rPr>
          <w:rFonts w:hint="default" w:ascii="Times New Roman" w:hAnsi="Times New Roman" w:eastAsia="方正仿宋_GBK" w:cs="Times New Roman"/>
          <w:color w:val="auto"/>
          <w:sz w:val="21"/>
          <w:szCs w:val="21"/>
          <w:highlight w:val="none"/>
        </w:rPr>
        <w:t>。</w:t>
      </w:r>
    </w:p>
    <w:p w14:paraId="295EACE1">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15.3 </w:t>
      </w:r>
      <w:r>
        <w:rPr>
          <w:rFonts w:hint="default" w:ascii="Times New Roman" w:hAnsi="Times New Roman" w:eastAsia="方正仿宋_GBK" w:cs="Times New Roman"/>
          <w:color w:val="auto"/>
          <w:kern w:val="0"/>
          <w:sz w:val="21"/>
          <w:szCs w:val="21"/>
          <w:highlight w:val="none"/>
        </w:rPr>
        <w:t>质量保证金</w:t>
      </w:r>
    </w:p>
    <w:p w14:paraId="28D00D59">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关于是否扣留质量保证金的约定：</w:t>
      </w:r>
      <w:r>
        <w:rPr>
          <w:rFonts w:hint="default" w:ascii="Times New Roman" w:hAnsi="Times New Roman" w:eastAsia="方正仿宋_GBK" w:cs="Times New Roman"/>
          <w:color w:val="auto"/>
          <w:sz w:val="21"/>
          <w:szCs w:val="21"/>
          <w:highlight w:val="none"/>
          <w:u w:val="single"/>
        </w:rPr>
        <w:t xml:space="preserve">      是       </w:t>
      </w:r>
      <w:r>
        <w:rPr>
          <w:rFonts w:hint="default" w:ascii="Times New Roman" w:hAnsi="Times New Roman" w:eastAsia="方正仿宋_GBK" w:cs="Times New Roman"/>
          <w:color w:val="auto"/>
          <w:sz w:val="21"/>
          <w:szCs w:val="21"/>
          <w:highlight w:val="none"/>
        </w:rPr>
        <w:t>。</w:t>
      </w:r>
    </w:p>
    <w:p w14:paraId="01EECFA9">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15.3.1 承包人提供质量保证金的方式</w:t>
      </w:r>
    </w:p>
    <w:p w14:paraId="17FE94FF">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质量保证金采用以下第</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u w:val="single"/>
          <w:lang w:val="en-US" w:eastAsia="zh-CN"/>
        </w:rPr>
        <w:t>2</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种方式：</w:t>
      </w:r>
    </w:p>
    <w:p w14:paraId="5B560B5D">
      <w:pPr>
        <w:autoSpaceDE w:val="0"/>
        <w:autoSpaceDN w:val="0"/>
        <w:adjustRightInd w:val="0"/>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（1）质量保证金保函，保证金额为：</w:t>
      </w:r>
      <w:r>
        <w:rPr>
          <w:rFonts w:hint="default" w:ascii="Times New Roman" w:hAnsi="Times New Roman" w:eastAsia="方正仿宋_GBK" w:cs="Times New Roman"/>
          <w:color w:val="auto"/>
          <w:kern w:val="0"/>
          <w:sz w:val="21"/>
          <w:szCs w:val="21"/>
          <w:highlight w:val="none"/>
          <w:u w:val="single"/>
        </w:rPr>
        <w:t xml:space="preserve">        /           </w:t>
      </w:r>
      <w:r>
        <w:rPr>
          <w:rFonts w:hint="default" w:ascii="Times New Roman" w:hAnsi="Times New Roman" w:eastAsia="方正仿宋_GBK" w:cs="Times New Roman"/>
          <w:color w:val="auto"/>
          <w:kern w:val="0"/>
          <w:sz w:val="21"/>
          <w:szCs w:val="21"/>
          <w:highlight w:val="none"/>
        </w:rPr>
        <w:t xml:space="preserve">； </w:t>
      </w:r>
    </w:p>
    <w:p w14:paraId="4AA99693">
      <w:pPr>
        <w:autoSpaceDE w:val="0"/>
        <w:autoSpaceDN w:val="0"/>
        <w:adjustRightInd w:val="0"/>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（2）</w:t>
      </w:r>
      <w:r>
        <w:rPr>
          <w:rFonts w:hint="default" w:ascii="Times New Roman" w:hAnsi="Times New Roman" w:eastAsia="方正仿宋_GBK" w:cs="Times New Roman"/>
          <w:color w:val="auto"/>
          <w:kern w:val="0"/>
          <w:sz w:val="21"/>
          <w:szCs w:val="21"/>
          <w:highlight w:val="none"/>
          <w:u w:val="single"/>
        </w:rPr>
        <w:t xml:space="preserve"> </w:t>
      </w:r>
      <w:r>
        <w:rPr>
          <w:rFonts w:hint="default" w:ascii="Times New Roman" w:hAnsi="Times New Roman" w:eastAsia="方正仿宋_GBK" w:cs="Times New Roman"/>
          <w:color w:val="auto"/>
          <w:kern w:val="0"/>
          <w:sz w:val="21"/>
          <w:szCs w:val="21"/>
          <w:highlight w:val="none"/>
          <w:u w:val="single"/>
          <w:lang w:val="en-US" w:eastAsia="zh-CN"/>
        </w:rPr>
        <w:t>3</w:t>
      </w:r>
      <w:r>
        <w:rPr>
          <w:rFonts w:hint="default" w:ascii="Times New Roman" w:hAnsi="Times New Roman" w:eastAsia="方正仿宋_GBK" w:cs="Times New Roman"/>
          <w:color w:val="auto"/>
          <w:kern w:val="0"/>
          <w:sz w:val="21"/>
          <w:szCs w:val="21"/>
          <w:highlight w:val="none"/>
          <w:u w:val="single"/>
        </w:rPr>
        <w:t xml:space="preserve"> </w:t>
      </w:r>
      <w:r>
        <w:rPr>
          <w:rFonts w:hint="default" w:ascii="Times New Roman" w:hAnsi="Times New Roman" w:eastAsia="方正仿宋_GBK" w:cs="Times New Roman"/>
          <w:color w:val="auto"/>
          <w:kern w:val="0"/>
          <w:sz w:val="21"/>
          <w:szCs w:val="21"/>
          <w:highlight w:val="none"/>
        </w:rPr>
        <w:t>%的工程款；</w:t>
      </w:r>
    </w:p>
    <w:p w14:paraId="30564738">
      <w:pPr>
        <w:autoSpaceDE w:val="0"/>
        <w:autoSpaceDN w:val="0"/>
        <w:adjustRightInd w:val="0"/>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（3）其他方式:</w:t>
      </w:r>
      <w:r>
        <w:rPr>
          <w:rFonts w:hint="default" w:ascii="Times New Roman" w:hAnsi="Times New Roman" w:eastAsia="方正仿宋_GBK" w:cs="Times New Roman"/>
          <w:color w:val="auto"/>
          <w:kern w:val="0"/>
          <w:sz w:val="21"/>
          <w:szCs w:val="21"/>
          <w:highlight w:val="none"/>
          <w:u w:val="single"/>
        </w:rPr>
        <w:t xml:space="preserve"> </w:t>
      </w:r>
      <w:r>
        <w:rPr>
          <w:rFonts w:hint="default" w:ascii="Times New Roman" w:hAnsi="Times New Roman" w:eastAsia="方正仿宋_GBK" w:cs="Times New Roman"/>
          <w:color w:val="auto"/>
          <w:kern w:val="0"/>
          <w:sz w:val="21"/>
          <w:szCs w:val="21"/>
          <w:highlight w:val="none"/>
          <w:u w:val="single"/>
          <w:lang w:val="en-US" w:eastAsia="zh-CN"/>
        </w:rPr>
        <w:t xml:space="preserve">     </w:t>
      </w:r>
      <w:r>
        <w:rPr>
          <w:rFonts w:hint="default" w:ascii="Times New Roman" w:hAnsi="Times New Roman" w:eastAsia="方正仿宋_GBK" w:cs="Times New Roman"/>
          <w:color w:val="auto"/>
          <w:kern w:val="0"/>
          <w:sz w:val="21"/>
          <w:szCs w:val="21"/>
          <w:highlight w:val="none"/>
          <w:u w:val="single"/>
        </w:rPr>
        <w:t xml:space="preserve"> </w:t>
      </w:r>
      <w:r>
        <w:rPr>
          <w:rFonts w:hint="default" w:ascii="Times New Roman" w:hAnsi="Times New Roman" w:eastAsia="方正仿宋_GBK" w:cs="Times New Roman"/>
          <w:color w:val="auto"/>
          <w:kern w:val="0"/>
          <w:sz w:val="21"/>
          <w:szCs w:val="21"/>
          <w:highlight w:val="none"/>
          <w:u w:val="single"/>
          <w:lang w:val="en-US" w:eastAsia="zh-CN"/>
        </w:rPr>
        <w:t xml:space="preserve">  </w:t>
      </w:r>
      <w:r>
        <w:rPr>
          <w:rFonts w:hint="default" w:ascii="Times New Roman" w:hAnsi="Times New Roman" w:eastAsia="方正仿宋_GBK" w:cs="Times New Roman"/>
          <w:color w:val="auto"/>
          <w:kern w:val="0"/>
          <w:sz w:val="21"/>
          <w:szCs w:val="21"/>
          <w:highlight w:val="none"/>
        </w:rPr>
        <w:t>。</w:t>
      </w:r>
    </w:p>
    <w:p w14:paraId="3FB8537F">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15.3.2 质量保证金的扣留 </w:t>
      </w:r>
    </w:p>
    <w:p w14:paraId="692D4E2F">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质量保证金的扣留采取以下第</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u w:val="single"/>
          <w:lang w:val="en-US" w:eastAsia="zh-CN"/>
        </w:rPr>
        <w:t>2</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种方式：</w:t>
      </w:r>
    </w:p>
    <w:bookmarkEnd w:id="702"/>
    <w:bookmarkEnd w:id="703"/>
    <w:p w14:paraId="0AC0592D">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（1）在支付工程进度款时逐次扣留，在此情形下，质量保证金的计算基数不包括预付款的支付、扣回以及价格调整的金额；</w:t>
      </w:r>
    </w:p>
    <w:p w14:paraId="79ADB17A">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（2）工程竣工结算时一次性扣留质量保证金；</w:t>
      </w:r>
    </w:p>
    <w:p w14:paraId="728731D1">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（3）其他扣留方式:</w:t>
      </w:r>
      <w:r>
        <w:rPr>
          <w:rFonts w:hint="default" w:ascii="Times New Roman" w:hAnsi="Times New Roman" w:eastAsia="方正仿宋_GBK" w:cs="Times New Roman"/>
          <w:color w:val="auto"/>
          <w:kern w:val="0"/>
          <w:sz w:val="21"/>
          <w:szCs w:val="21"/>
          <w:highlight w:val="none"/>
          <w:u w:val="single"/>
        </w:rPr>
        <w:t xml:space="preserve"> </w:t>
      </w:r>
      <w:r>
        <w:rPr>
          <w:rFonts w:hint="default" w:ascii="Times New Roman" w:hAnsi="Times New Roman" w:eastAsia="方正仿宋_GBK" w:cs="Times New Roman"/>
          <w:color w:val="auto"/>
          <w:kern w:val="0"/>
          <w:sz w:val="21"/>
          <w:szCs w:val="21"/>
          <w:highlight w:val="none"/>
          <w:u w:val="single"/>
          <w:lang w:val="en-US" w:eastAsia="zh-CN"/>
        </w:rPr>
        <w:t xml:space="preserve">    </w:t>
      </w:r>
      <w:r>
        <w:rPr>
          <w:rFonts w:hint="default" w:ascii="Times New Roman" w:hAnsi="Times New Roman" w:eastAsia="方正仿宋_GBK" w:cs="Times New Roman"/>
          <w:color w:val="auto"/>
          <w:kern w:val="0"/>
          <w:sz w:val="21"/>
          <w:szCs w:val="21"/>
          <w:highlight w:val="none"/>
        </w:rPr>
        <w:t>。</w:t>
      </w:r>
    </w:p>
    <w:p w14:paraId="398016D3">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关于质量保证金的补充约定：</w:t>
      </w:r>
      <w:r>
        <w:rPr>
          <w:rFonts w:hint="default" w:ascii="Times New Roman" w:hAnsi="Times New Roman" w:eastAsia="方正仿宋_GBK" w:cs="Times New Roman"/>
          <w:color w:val="auto"/>
          <w:kern w:val="0"/>
          <w:sz w:val="21"/>
          <w:szCs w:val="21"/>
          <w:highlight w:val="none"/>
          <w:u w:val="single"/>
        </w:rPr>
        <w:t xml:space="preserve"> </w:t>
      </w:r>
      <w:r>
        <w:rPr>
          <w:rFonts w:hint="default" w:ascii="Times New Roman" w:hAnsi="Times New Roman" w:eastAsia="方正仿宋_GBK" w:cs="Times New Roman"/>
          <w:color w:val="auto"/>
          <w:kern w:val="0"/>
          <w:sz w:val="21"/>
          <w:szCs w:val="21"/>
          <w:highlight w:val="none"/>
          <w:u w:val="single"/>
          <w:lang w:eastAsia="zh-CN"/>
        </w:rPr>
        <w:t>质保期满后，完成缺陷修复后</w:t>
      </w:r>
      <w:r>
        <w:rPr>
          <w:rFonts w:hint="default" w:ascii="Times New Roman" w:hAnsi="Times New Roman" w:eastAsia="方正仿宋_GBK" w:cs="Times New Roman"/>
          <w:color w:val="auto"/>
          <w:kern w:val="0"/>
          <w:sz w:val="21"/>
          <w:szCs w:val="21"/>
          <w:highlight w:val="none"/>
          <w:u w:val="single"/>
          <w:lang w:val="en-US" w:eastAsia="zh-CN"/>
        </w:rPr>
        <w:t>30</w:t>
      </w:r>
      <w:r>
        <w:rPr>
          <w:rFonts w:hint="default" w:ascii="Times New Roman" w:hAnsi="Times New Roman" w:eastAsia="方正仿宋_GBK" w:cs="Times New Roman"/>
          <w:color w:val="auto"/>
          <w:kern w:val="0"/>
          <w:sz w:val="21"/>
          <w:szCs w:val="21"/>
          <w:highlight w:val="none"/>
          <w:u w:val="single"/>
          <w:lang w:eastAsia="zh-CN"/>
        </w:rPr>
        <w:t>个工作日内一次性退还（不计利息）</w:t>
      </w:r>
      <w:r>
        <w:rPr>
          <w:rFonts w:hint="default" w:ascii="Times New Roman" w:hAnsi="Times New Roman" w:eastAsia="方正仿宋_GBK" w:cs="Times New Roman"/>
          <w:color w:val="auto"/>
          <w:kern w:val="0"/>
          <w:sz w:val="21"/>
          <w:szCs w:val="21"/>
          <w:highlight w:val="none"/>
          <w:u w:val="single"/>
        </w:rPr>
        <w:t xml:space="preserve"> </w:t>
      </w:r>
      <w:r>
        <w:rPr>
          <w:rFonts w:hint="default" w:ascii="Times New Roman" w:hAnsi="Times New Roman" w:eastAsia="方正仿宋_GBK" w:cs="Times New Roman"/>
          <w:color w:val="auto"/>
          <w:kern w:val="0"/>
          <w:sz w:val="21"/>
          <w:szCs w:val="21"/>
          <w:highlight w:val="none"/>
        </w:rPr>
        <w:t>。</w:t>
      </w:r>
    </w:p>
    <w:p w14:paraId="7F33509D">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15.4保修</w:t>
      </w:r>
    </w:p>
    <w:bookmarkEnd w:id="704"/>
    <w:p w14:paraId="789053DA">
      <w:pPr>
        <w:snapToGrid w:val="0"/>
        <w:spacing w:line="360" w:lineRule="auto"/>
        <w:ind w:firstLine="409" w:firstLineChars="195"/>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15.4.1 保修责任</w:t>
      </w:r>
    </w:p>
    <w:p w14:paraId="588F6CBB">
      <w:pPr>
        <w:snapToGrid w:val="0"/>
        <w:spacing w:line="360" w:lineRule="auto"/>
        <w:ind w:firstLine="409" w:firstLineChars="195"/>
        <w:jc w:val="left"/>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工程保修期为：</w:t>
      </w:r>
      <w:r>
        <w:rPr>
          <w:rFonts w:hint="default" w:ascii="Times New Roman" w:hAnsi="Times New Roman" w:eastAsia="方正仿宋_GBK" w:cs="Times New Roman"/>
          <w:color w:val="auto"/>
          <w:sz w:val="21"/>
          <w:szCs w:val="21"/>
          <w:highlight w:val="none"/>
          <w:u w:val="single"/>
        </w:rPr>
        <w:t>保修期自竣工验收合格之日起计算</w:t>
      </w:r>
      <w:r>
        <w:rPr>
          <w:rFonts w:hint="default" w:ascii="Times New Roman" w:hAnsi="Times New Roman" w:eastAsia="方正仿宋_GBK" w:cs="Times New Roman"/>
          <w:color w:val="auto"/>
          <w:sz w:val="21"/>
          <w:szCs w:val="21"/>
          <w:highlight w:val="none"/>
          <w:u w:val="single"/>
          <w:lang w:val="en-US" w:eastAsia="zh-CN"/>
        </w:rPr>
        <w:t>24个月</w:t>
      </w:r>
      <w:r>
        <w:rPr>
          <w:rFonts w:hint="default" w:ascii="Times New Roman" w:hAnsi="Times New Roman" w:eastAsia="方正仿宋_GBK" w:cs="Times New Roman"/>
          <w:color w:val="auto"/>
          <w:sz w:val="21"/>
          <w:szCs w:val="21"/>
          <w:highlight w:val="none"/>
          <w:u w:val="single"/>
        </w:rPr>
        <w:t xml:space="preserve">。本工程的质量保修范围和责任及保修期限按《建设工程质量管理条列》的规定执行。在保修期内承包人应对由于施工质量原因造成的损害进行自费修复。若承包人不履行义务和责任，发包人自行修复的，发包人有权直接从质保金中抵扣，同时承包人应当在发包人抵扣后十日内补足质保金，否则承包人应承担由于违约造成的法律后果。 </w:t>
      </w:r>
    </w:p>
    <w:p w14:paraId="58D2C06F">
      <w:pPr>
        <w:snapToGrid w:val="0"/>
        <w:spacing w:line="360" w:lineRule="auto"/>
        <w:ind w:firstLine="409" w:firstLineChars="195"/>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15.4.3 修复通知</w:t>
      </w:r>
    </w:p>
    <w:p w14:paraId="5D3ED5CC">
      <w:pPr>
        <w:snapToGrid w:val="0"/>
        <w:spacing w:line="360" w:lineRule="auto"/>
        <w:ind w:firstLine="409" w:firstLineChars="195"/>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承包人收到保修通知并到达工程现场的合理时间：</w:t>
      </w:r>
      <w:r>
        <w:rPr>
          <w:rFonts w:hint="default" w:ascii="Times New Roman" w:hAnsi="Times New Roman" w:eastAsia="方正仿宋_GBK" w:cs="Times New Roman"/>
          <w:color w:val="auto"/>
          <w:kern w:val="0"/>
          <w:sz w:val="21"/>
          <w:szCs w:val="21"/>
          <w:highlight w:val="none"/>
          <w:u w:val="single"/>
        </w:rPr>
        <w:t xml:space="preserve">   48小时    </w:t>
      </w:r>
      <w:r>
        <w:rPr>
          <w:rFonts w:hint="default" w:ascii="Times New Roman" w:hAnsi="Times New Roman" w:eastAsia="方正仿宋_GBK" w:cs="Times New Roman"/>
          <w:color w:val="auto"/>
          <w:kern w:val="0"/>
          <w:sz w:val="21"/>
          <w:szCs w:val="21"/>
          <w:highlight w:val="none"/>
        </w:rPr>
        <w:t>。</w:t>
      </w:r>
    </w:p>
    <w:p w14:paraId="2D15B7AE">
      <w:pPr>
        <w:snapToGrid w:val="0"/>
        <w:spacing w:line="360" w:lineRule="auto"/>
        <w:rPr>
          <w:rFonts w:hint="default" w:ascii="Times New Roman" w:hAnsi="Times New Roman" w:eastAsia="方正仿宋_GBK" w:cs="Times New Roman"/>
          <w:b/>
          <w:color w:val="auto"/>
          <w:kern w:val="0"/>
          <w:sz w:val="21"/>
          <w:szCs w:val="21"/>
          <w:highlight w:val="none"/>
        </w:rPr>
      </w:pPr>
      <w:bookmarkStart w:id="731" w:name="_Toc518391424"/>
      <w:bookmarkStart w:id="732" w:name="_Toc516756973"/>
      <w:bookmarkStart w:id="733" w:name="_Toc485992749"/>
      <w:bookmarkStart w:id="734" w:name="_Toc433623118"/>
      <w:r>
        <w:rPr>
          <w:rFonts w:hint="default" w:ascii="Times New Roman" w:hAnsi="Times New Roman" w:eastAsia="方正仿宋_GBK" w:cs="Times New Roman"/>
          <w:b/>
          <w:color w:val="auto"/>
          <w:kern w:val="0"/>
          <w:sz w:val="21"/>
          <w:szCs w:val="21"/>
          <w:highlight w:val="none"/>
        </w:rPr>
        <w:t>16. 违约</w:t>
      </w:r>
      <w:bookmarkEnd w:id="731"/>
      <w:bookmarkEnd w:id="732"/>
      <w:bookmarkEnd w:id="733"/>
      <w:bookmarkEnd w:id="734"/>
    </w:p>
    <w:p w14:paraId="4A8B2632">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16.1 </w:t>
      </w:r>
      <w:r>
        <w:rPr>
          <w:rFonts w:hint="default" w:ascii="Times New Roman" w:hAnsi="Times New Roman" w:eastAsia="方正仿宋_GBK" w:cs="Times New Roman"/>
          <w:color w:val="auto"/>
          <w:kern w:val="0"/>
          <w:sz w:val="21"/>
          <w:szCs w:val="21"/>
          <w:highlight w:val="none"/>
        </w:rPr>
        <w:t>发包人违约</w:t>
      </w:r>
    </w:p>
    <w:p w14:paraId="68817FBF">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16.1.1</w:t>
      </w:r>
      <w:r>
        <w:rPr>
          <w:rFonts w:hint="default" w:ascii="Times New Roman" w:hAnsi="Times New Roman" w:eastAsia="方正仿宋_GBK" w:cs="Times New Roman"/>
          <w:color w:val="auto"/>
          <w:kern w:val="0"/>
          <w:sz w:val="21"/>
          <w:szCs w:val="21"/>
          <w:highlight w:val="none"/>
        </w:rPr>
        <w:t>发包人违约的情形</w:t>
      </w:r>
    </w:p>
    <w:p w14:paraId="0C552DC0">
      <w:pPr>
        <w:snapToGrid w:val="0"/>
        <w:spacing w:line="360" w:lineRule="auto"/>
        <w:ind w:firstLine="409" w:firstLineChars="195"/>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sz w:val="21"/>
          <w:szCs w:val="21"/>
          <w:highlight w:val="none"/>
        </w:rPr>
        <w:t>发包人违约的其他情形：</w:t>
      </w:r>
      <w:r>
        <w:rPr>
          <w:rFonts w:hint="default" w:ascii="Times New Roman" w:hAnsi="Times New Roman" w:eastAsia="方正仿宋_GBK" w:cs="Times New Roman"/>
          <w:color w:val="auto"/>
          <w:kern w:val="0"/>
          <w:sz w:val="21"/>
          <w:szCs w:val="21"/>
          <w:highlight w:val="none"/>
          <w:u w:val="single"/>
        </w:rPr>
        <w:t xml:space="preserve">    /     </w:t>
      </w:r>
      <w:r>
        <w:rPr>
          <w:rFonts w:hint="default" w:ascii="Times New Roman" w:hAnsi="Times New Roman" w:eastAsia="方正仿宋_GBK" w:cs="Times New Roman"/>
          <w:color w:val="auto"/>
          <w:kern w:val="0"/>
          <w:sz w:val="21"/>
          <w:szCs w:val="21"/>
          <w:highlight w:val="none"/>
        </w:rPr>
        <w:t>。</w:t>
      </w:r>
    </w:p>
    <w:p w14:paraId="08378CCE">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kern w:val="0"/>
          <w:sz w:val="21"/>
          <w:szCs w:val="21"/>
          <w:highlight w:val="none"/>
        </w:rPr>
        <w:t xml:space="preserve">   </w:t>
      </w:r>
      <w:r>
        <w:rPr>
          <w:rFonts w:hint="default" w:ascii="Times New Roman" w:hAnsi="Times New Roman" w:eastAsia="方正仿宋_GBK" w:cs="Times New Roman"/>
          <w:color w:val="auto"/>
          <w:sz w:val="21"/>
          <w:szCs w:val="21"/>
          <w:highlight w:val="none"/>
        </w:rPr>
        <w:t xml:space="preserve"> 16.1.2 </w:t>
      </w:r>
      <w:r>
        <w:rPr>
          <w:rFonts w:hint="default" w:ascii="Times New Roman" w:hAnsi="Times New Roman" w:eastAsia="方正仿宋_GBK" w:cs="Times New Roman"/>
          <w:color w:val="auto"/>
          <w:kern w:val="0"/>
          <w:sz w:val="21"/>
          <w:szCs w:val="21"/>
          <w:highlight w:val="none"/>
        </w:rPr>
        <w:t>发包人违约的责任</w:t>
      </w:r>
    </w:p>
    <w:p w14:paraId="32922A33">
      <w:pPr>
        <w:snapToGrid w:val="0"/>
        <w:spacing w:line="360" w:lineRule="auto"/>
        <w:ind w:firstLine="409" w:firstLineChars="195"/>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发包人违约责任的承担方式和计算方法：</w:t>
      </w:r>
    </w:p>
    <w:p w14:paraId="280F5EBC">
      <w:pPr>
        <w:snapToGrid w:val="0"/>
        <w:spacing w:line="360" w:lineRule="auto"/>
        <w:ind w:firstLine="409" w:firstLineChars="195"/>
        <w:jc w:val="left"/>
        <w:rPr>
          <w:rFonts w:hint="default" w:ascii="Times New Roman" w:hAnsi="Times New Roman" w:eastAsia="方正仿宋_GBK" w:cs="Times New Roman"/>
          <w:color w:val="auto"/>
          <w:kern w:val="0"/>
          <w:sz w:val="21"/>
          <w:szCs w:val="21"/>
          <w:highlight w:val="none"/>
          <w:u w:val="single"/>
        </w:rPr>
      </w:pPr>
      <w:r>
        <w:rPr>
          <w:rFonts w:hint="default" w:ascii="Times New Roman" w:hAnsi="Times New Roman" w:eastAsia="方正仿宋_GBK" w:cs="Times New Roman"/>
          <w:color w:val="auto"/>
          <w:sz w:val="21"/>
          <w:szCs w:val="21"/>
          <w:highlight w:val="none"/>
        </w:rPr>
        <w:t>（1）因发包人原因未能在计划开工日期前7天内下达开工通知的违约责任：</w:t>
      </w:r>
      <w:r>
        <w:rPr>
          <w:rFonts w:hint="default" w:ascii="Times New Roman" w:hAnsi="Times New Roman" w:eastAsia="方正仿宋_GBK" w:cs="Times New Roman"/>
          <w:color w:val="auto"/>
          <w:kern w:val="0"/>
          <w:sz w:val="21"/>
          <w:szCs w:val="21"/>
          <w:highlight w:val="none"/>
          <w:u w:val="single"/>
        </w:rPr>
        <w:t xml:space="preserve">  /     </w:t>
      </w:r>
      <w:r>
        <w:rPr>
          <w:rFonts w:hint="default" w:ascii="Times New Roman" w:hAnsi="Times New Roman" w:eastAsia="方正仿宋_GBK" w:cs="Times New Roman"/>
          <w:color w:val="auto"/>
          <w:kern w:val="0"/>
          <w:sz w:val="21"/>
          <w:szCs w:val="21"/>
          <w:highlight w:val="none"/>
        </w:rPr>
        <w:t>。</w:t>
      </w:r>
    </w:p>
    <w:p w14:paraId="2D923A06">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sz w:val="21"/>
          <w:szCs w:val="21"/>
          <w:highlight w:val="none"/>
        </w:rPr>
        <w:t>（2）因发包人原因未能按合同约定支付合同价款的违约责任：</w:t>
      </w:r>
      <w:r>
        <w:rPr>
          <w:rFonts w:hint="default" w:ascii="Times New Roman" w:hAnsi="Times New Roman" w:eastAsia="方正仿宋_GBK" w:cs="Times New Roman"/>
          <w:color w:val="auto"/>
          <w:kern w:val="0"/>
          <w:sz w:val="21"/>
          <w:szCs w:val="21"/>
          <w:highlight w:val="none"/>
          <w:u w:val="single"/>
        </w:rPr>
        <w:t xml:space="preserve">   /     </w:t>
      </w:r>
      <w:r>
        <w:rPr>
          <w:rFonts w:hint="default" w:ascii="Times New Roman" w:hAnsi="Times New Roman" w:eastAsia="方正仿宋_GBK" w:cs="Times New Roman"/>
          <w:color w:val="auto"/>
          <w:kern w:val="0"/>
          <w:sz w:val="21"/>
          <w:szCs w:val="21"/>
          <w:highlight w:val="none"/>
        </w:rPr>
        <w:t>。</w:t>
      </w:r>
    </w:p>
    <w:p w14:paraId="6CD6C209">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sz w:val="21"/>
          <w:szCs w:val="21"/>
          <w:highlight w:val="none"/>
        </w:rPr>
        <w:t>（3）发包人违反第10.1款〔变更的范围〕第（2）项约定，自行实施被取消的工作或转由他人实施的违约责任：</w:t>
      </w:r>
      <w:r>
        <w:rPr>
          <w:rFonts w:hint="default" w:ascii="Times New Roman" w:hAnsi="Times New Roman" w:eastAsia="方正仿宋_GBK" w:cs="Times New Roman"/>
          <w:color w:val="auto"/>
          <w:kern w:val="0"/>
          <w:sz w:val="21"/>
          <w:szCs w:val="21"/>
          <w:highlight w:val="none"/>
          <w:u w:val="single"/>
        </w:rPr>
        <w:t xml:space="preserve">  /     </w:t>
      </w:r>
      <w:r>
        <w:rPr>
          <w:rFonts w:hint="default" w:ascii="Times New Roman" w:hAnsi="Times New Roman" w:eastAsia="方正仿宋_GBK" w:cs="Times New Roman"/>
          <w:color w:val="auto"/>
          <w:kern w:val="0"/>
          <w:sz w:val="21"/>
          <w:szCs w:val="21"/>
          <w:highlight w:val="none"/>
        </w:rPr>
        <w:t>。</w:t>
      </w:r>
    </w:p>
    <w:p w14:paraId="10E321E8">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sz w:val="21"/>
          <w:szCs w:val="21"/>
          <w:highlight w:val="none"/>
        </w:rPr>
        <w:t>（4）发包人提供的材料、工程设备的规格、数量或质量不符合合同约定，或因发包人原因导致交货日期延误或交货地点变更等情况的违约责任：</w:t>
      </w:r>
      <w:r>
        <w:rPr>
          <w:rFonts w:hint="default" w:ascii="Times New Roman" w:hAnsi="Times New Roman" w:eastAsia="方正仿宋_GBK" w:cs="Times New Roman"/>
          <w:color w:val="auto"/>
          <w:kern w:val="0"/>
          <w:sz w:val="21"/>
          <w:szCs w:val="21"/>
          <w:highlight w:val="none"/>
          <w:u w:val="single"/>
        </w:rPr>
        <w:t xml:space="preserve">   /   </w:t>
      </w:r>
      <w:r>
        <w:rPr>
          <w:rFonts w:hint="default" w:ascii="Times New Roman" w:hAnsi="Times New Roman" w:eastAsia="方正仿宋_GBK" w:cs="Times New Roman"/>
          <w:color w:val="auto"/>
          <w:kern w:val="0"/>
          <w:sz w:val="21"/>
          <w:szCs w:val="21"/>
          <w:highlight w:val="none"/>
        </w:rPr>
        <w:t>。</w:t>
      </w:r>
    </w:p>
    <w:p w14:paraId="78B08403">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sz w:val="21"/>
          <w:szCs w:val="21"/>
          <w:highlight w:val="none"/>
        </w:rPr>
        <w:t>（5）因发包人违反合同约定造成暂停施工的违约责任：</w:t>
      </w:r>
      <w:r>
        <w:rPr>
          <w:rFonts w:hint="default" w:ascii="Times New Roman" w:hAnsi="Times New Roman" w:eastAsia="方正仿宋_GBK" w:cs="Times New Roman"/>
          <w:color w:val="auto"/>
          <w:kern w:val="0"/>
          <w:sz w:val="21"/>
          <w:szCs w:val="21"/>
          <w:highlight w:val="none"/>
          <w:u w:val="single"/>
        </w:rPr>
        <w:t xml:space="preserve"> /  </w:t>
      </w:r>
      <w:r>
        <w:rPr>
          <w:rFonts w:hint="default" w:ascii="Times New Roman" w:hAnsi="Times New Roman" w:eastAsia="方正仿宋_GBK" w:cs="Times New Roman"/>
          <w:color w:val="auto"/>
          <w:kern w:val="0"/>
          <w:sz w:val="21"/>
          <w:szCs w:val="21"/>
          <w:highlight w:val="none"/>
        </w:rPr>
        <w:t>。</w:t>
      </w:r>
    </w:p>
    <w:p w14:paraId="3AB38B33">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sz w:val="21"/>
          <w:szCs w:val="21"/>
          <w:highlight w:val="none"/>
        </w:rPr>
        <w:t>（6）发包人无正当理由没有在约定期限内发出复工指示，导致承包人无法复工的违约责任：</w:t>
      </w:r>
      <w:r>
        <w:rPr>
          <w:rFonts w:hint="default" w:ascii="Times New Roman" w:hAnsi="Times New Roman" w:eastAsia="方正仿宋_GBK" w:cs="Times New Roman"/>
          <w:color w:val="auto"/>
          <w:kern w:val="0"/>
          <w:sz w:val="21"/>
          <w:szCs w:val="21"/>
          <w:highlight w:val="none"/>
          <w:u w:val="single"/>
        </w:rPr>
        <w:t xml:space="preserve">   /   </w:t>
      </w:r>
      <w:r>
        <w:rPr>
          <w:rFonts w:hint="default" w:ascii="Times New Roman" w:hAnsi="Times New Roman" w:eastAsia="方正仿宋_GBK" w:cs="Times New Roman"/>
          <w:color w:val="auto"/>
          <w:kern w:val="0"/>
          <w:sz w:val="21"/>
          <w:szCs w:val="21"/>
          <w:highlight w:val="none"/>
        </w:rPr>
        <w:t>。</w:t>
      </w:r>
    </w:p>
    <w:p w14:paraId="787D4C19">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sz w:val="21"/>
          <w:szCs w:val="21"/>
          <w:highlight w:val="none"/>
        </w:rPr>
        <w:t>（7）其他：</w:t>
      </w:r>
      <w:r>
        <w:rPr>
          <w:rFonts w:hint="default" w:ascii="Times New Roman" w:hAnsi="Times New Roman" w:eastAsia="方正仿宋_GBK" w:cs="Times New Roman"/>
          <w:color w:val="auto"/>
          <w:kern w:val="0"/>
          <w:sz w:val="21"/>
          <w:szCs w:val="21"/>
          <w:highlight w:val="none"/>
          <w:u w:val="single"/>
        </w:rPr>
        <w:t xml:space="preserve">      /      </w:t>
      </w:r>
      <w:r>
        <w:rPr>
          <w:rFonts w:hint="default" w:ascii="Times New Roman" w:hAnsi="Times New Roman" w:eastAsia="方正仿宋_GBK" w:cs="Times New Roman"/>
          <w:color w:val="auto"/>
          <w:kern w:val="0"/>
          <w:sz w:val="21"/>
          <w:szCs w:val="21"/>
          <w:highlight w:val="none"/>
        </w:rPr>
        <w:t>。</w:t>
      </w:r>
    </w:p>
    <w:p w14:paraId="51BFEC46">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16.1.3 因发包人违约解除合同</w:t>
      </w:r>
    </w:p>
    <w:p w14:paraId="20DE41F9">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承包人按16.1.1项〔发包人违约的情形〕约定暂停施工满</w:t>
      </w:r>
      <w:r>
        <w:rPr>
          <w:rFonts w:hint="default" w:ascii="Times New Roman" w:hAnsi="Times New Roman" w:eastAsia="方正仿宋_GBK" w:cs="Times New Roman"/>
          <w:color w:val="auto"/>
          <w:sz w:val="21"/>
          <w:szCs w:val="21"/>
          <w:highlight w:val="none"/>
          <w:u w:val="single"/>
        </w:rPr>
        <w:t xml:space="preserve">  30  </w:t>
      </w:r>
      <w:r>
        <w:rPr>
          <w:rFonts w:hint="default" w:ascii="Times New Roman" w:hAnsi="Times New Roman" w:eastAsia="方正仿宋_GBK" w:cs="Times New Roman"/>
          <w:color w:val="auto"/>
          <w:sz w:val="21"/>
          <w:szCs w:val="21"/>
          <w:highlight w:val="none"/>
        </w:rPr>
        <w:t>天后发包人仍不纠正其违约行为并致使合同目的不能实现的，承包人有权解除合同。</w:t>
      </w:r>
    </w:p>
    <w:p w14:paraId="5DD43ED4">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16.2 </w:t>
      </w:r>
      <w:r>
        <w:rPr>
          <w:rFonts w:hint="default" w:ascii="Times New Roman" w:hAnsi="Times New Roman" w:eastAsia="方正仿宋_GBK" w:cs="Times New Roman"/>
          <w:color w:val="auto"/>
          <w:kern w:val="0"/>
          <w:sz w:val="21"/>
          <w:szCs w:val="21"/>
          <w:highlight w:val="none"/>
        </w:rPr>
        <w:t>承包人违约</w:t>
      </w:r>
    </w:p>
    <w:p w14:paraId="6AEB992E">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16.2.1 承包人违约的情形</w:t>
      </w:r>
    </w:p>
    <w:p w14:paraId="4164131F">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承包人违约的其他情形：</w:t>
      </w:r>
    </w:p>
    <w:p w14:paraId="350D59DB">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（1）承包人私自将合同的全部或部分权利转让给其他人，或私自将合同的全部或部分义务转移给其他人；</w:t>
      </w:r>
    </w:p>
    <w:p w14:paraId="7716E11B">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（2）承包人未经监理人批准，私自将已按合同约定进入施工场地的施工设备、临时设施或材料撤离施工场地；</w:t>
      </w:r>
    </w:p>
    <w:p w14:paraId="736BAB73">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（3）承包人使用了不合格材料或工程设备，工程质量达不到标准要求，又拒绝清除不合格工程；</w:t>
      </w:r>
    </w:p>
    <w:p w14:paraId="443BC622">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（4）承包人未能按合同进度计划及时完成合同约定的工作，已造成或预期造成工期延误；</w:t>
      </w:r>
    </w:p>
    <w:p w14:paraId="0FA9DD5D">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（5）承包人在缺陷责任期内，未能对工程接收证书所列的缺陷清单的内容或缺陷责任期内发生的缺陷进行修复，而又拒绝按监理人指示再进行修补；</w:t>
      </w:r>
    </w:p>
    <w:p w14:paraId="2EF206AB">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（6）承包人无法继续履行或明确表示不履行或实质上已停止履行合同；</w:t>
      </w:r>
    </w:p>
    <w:p w14:paraId="7774AA26">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（7）承包人不按合同约定履行义务的其他情况；</w:t>
      </w:r>
    </w:p>
    <w:p w14:paraId="1FA18631">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（8）因承包人主要原因，造成工程质量不符合国家相关评定、验收标准及相关图纸要求的； </w:t>
      </w:r>
    </w:p>
    <w:p w14:paraId="2390EA0B">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（9）项目管理机构不健全，施工现场管理人员不到岗或擅自离岗的；</w:t>
      </w:r>
    </w:p>
    <w:p w14:paraId="545A20B4">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（10）承包人不服从发包人或监理人指令、不配合工作的。</w:t>
      </w:r>
    </w:p>
    <w:p w14:paraId="0F4A37F3">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（11）施工期间，承包人未按时足额支付人工工资和材料款。 </w:t>
      </w:r>
    </w:p>
    <w:p w14:paraId="273DDE0B">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16.2.2承包人违约的责任</w:t>
      </w:r>
    </w:p>
    <w:p w14:paraId="665A3FAB">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承包人违约责任的承担方式和计算方法：</w:t>
      </w:r>
    </w:p>
    <w:p w14:paraId="635D40E8">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（1）承包人私自将合同的全部或部分权利转让给其他人的，施工现场管理人员不到岗或擅自离岗的的违约情况的，发包人可通知承包人立即单方面解除合同，并按有关法律处理，并拒绝给予任何费用。</w:t>
      </w:r>
    </w:p>
    <w:p w14:paraId="70C055FE">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（2）承包人使用了不合格材料时，监理人可向承包人发出整改通知，要求其在指定的期限内改正。承包人应承担其违约所引起的费用增加和（或）工期延误。</w:t>
      </w:r>
    </w:p>
    <w:p w14:paraId="74D36DE5">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（3）经检查证明承包人已采取了有效措施纠正违约行为，具备复工条件的，可由监理人签发复工通知复工。 </w:t>
      </w:r>
    </w:p>
    <w:p w14:paraId="1B49ECE7">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（4）承包人不服从发包人或监理人指令、不配合工作的，经通报后，处以承包人1000元/次的违约金。   </w:t>
      </w:r>
    </w:p>
    <w:p w14:paraId="125087C5">
      <w:pPr>
        <w:snapToGrid w:val="0"/>
        <w:spacing w:line="360" w:lineRule="auto"/>
        <w:ind w:firstLine="315" w:firstLineChars="15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 （5） </w:t>
      </w:r>
      <w:r>
        <w:rPr>
          <w:rFonts w:hint="default" w:ascii="Times New Roman" w:hAnsi="Times New Roman" w:eastAsia="方正仿宋_GBK" w:cs="Times New Roman"/>
          <w:color w:val="auto"/>
          <w:sz w:val="21"/>
          <w:szCs w:val="21"/>
          <w:highlight w:val="none"/>
          <w:u w:val="single"/>
        </w:rPr>
        <w:t>承包人在施工中没有领会发包人意图或不明确施工要求而又不向发包人求证明确</w:t>
      </w:r>
      <w:r>
        <w:rPr>
          <w:rFonts w:hint="eastAsia" w:ascii="Times New Roman" w:hAnsi="Times New Roman" w:eastAsia="方正仿宋_GBK" w:cs="Times New Roman"/>
          <w:color w:val="auto"/>
          <w:sz w:val="21"/>
          <w:szCs w:val="21"/>
          <w:highlight w:val="none"/>
          <w:u w:val="single"/>
          <w:lang w:eastAsia="zh-CN"/>
        </w:rPr>
        <w:t>，</w:t>
      </w:r>
      <w:r>
        <w:rPr>
          <w:rFonts w:hint="default" w:ascii="Times New Roman" w:hAnsi="Times New Roman" w:eastAsia="方正仿宋_GBK" w:cs="Times New Roman"/>
          <w:color w:val="auto"/>
          <w:sz w:val="21"/>
          <w:szCs w:val="21"/>
          <w:highlight w:val="none"/>
          <w:u w:val="single"/>
        </w:rPr>
        <w:t>致使施工不能达到发包人要求的</w:t>
      </w:r>
      <w:r>
        <w:rPr>
          <w:rFonts w:hint="eastAsia" w:ascii="Times New Roman" w:hAnsi="Times New Roman" w:eastAsia="方正仿宋_GBK" w:cs="Times New Roman"/>
          <w:color w:val="auto"/>
          <w:sz w:val="21"/>
          <w:szCs w:val="21"/>
          <w:highlight w:val="none"/>
          <w:u w:val="single"/>
          <w:lang w:eastAsia="zh-CN"/>
        </w:rPr>
        <w:t>，</w:t>
      </w:r>
      <w:r>
        <w:rPr>
          <w:rFonts w:hint="default" w:ascii="Times New Roman" w:hAnsi="Times New Roman" w:eastAsia="方正仿宋_GBK" w:cs="Times New Roman"/>
          <w:color w:val="auto"/>
          <w:sz w:val="21"/>
          <w:szCs w:val="21"/>
          <w:highlight w:val="none"/>
          <w:u w:val="single"/>
        </w:rPr>
        <w:t>发包人有权要求承包人返工并由承包人承担返工损失</w:t>
      </w:r>
      <w:r>
        <w:rPr>
          <w:rFonts w:hint="eastAsia" w:ascii="Times New Roman" w:hAnsi="Times New Roman" w:eastAsia="方正仿宋_GBK" w:cs="Times New Roman"/>
          <w:color w:val="auto"/>
          <w:sz w:val="21"/>
          <w:szCs w:val="21"/>
          <w:highlight w:val="none"/>
          <w:u w:val="single"/>
          <w:lang w:eastAsia="zh-CN"/>
        </w:rPr>
        <w:t>，</w:t>
      </w:r>
      <w:r>
        <w:rPr>
          <w:rFonts w:hint="default" w:ascii="Times New Roman" w:hAnsi="Times New Roman" w:eastAsia="方正仿宋_GBK" w:cs="Times New Roman"/>
          <w:color w:val="auto"/>
          <w:sz w:val="21"/>
          <w:szCs w:val="21"/>
          <w:highlight w:val="none"/>
          <w:u w:val="single"/>
        </w:rPr>
        <w:t>工期不得顺延。</w:t>
      </w:r>
    </w:p>
    <w:p w14:paraId="34B5D7D6">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16.2.3 因承包人违约解除合同</w:t>
      </w:r>
    </w:p>
    <w:p w14:paraId="0ABCF555">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sz w:val="21"/>
          <w:szCs w:val="21"/>
          <w:highlight w:val="none"/>
        </w:rPr>
        <w:t>关于承包人违约解除合同的特别约定：</w:t>
      </w:r>
      <w:r>
        <w:rPr>
          <w:rFonts w:hint="default" w:ascii="Times New Roman" w:hAnsi="Times New Roman" w:eastAsia="方正仿宋_GBK" w:cs="Times New Roman"/>
          <w:color w:val="auto"/>
          <w:sz w:val="21"/>
          <w:szCs w:val="21"/>
          <w:highlight w:val="none"/>
          <w:u w:val="single"/>
        </w:rPr>
        <w:t>监理人发出整改通知 28 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 但发包人的这一行动不免除承包人应承担的违约责任，也不影响发包人根据合同约定享有的索赔权利</w:t>
      </w:r>
      <w:r>
        <w:rPr>
          <w:rFonts w:hint="default" w:ascii="Times New Roman" w:hAnsi="Times New Roman" w:eastAsia="方正仿宋_GBK" w:cs="Times New Roman"/>
          <w:color w:val="auto"/>
          <w:sz w:val="21"/>
          <w:szCs w:val="21"/>
          <w:highlight w:val="none"/>
        </w:rPr>
        <w:t>。</w:t>
      </w:r>
    </w:p>
    <w:p w14:paraId="4A43078D">
      <w:pPr>
        <w:snapToGrid w:val="0"/>
        <w:spacing w:line="360" w:lineRule="auto"/>
        <w:ind w:firstLine="420" w:firstLineChars="20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sz w:val="21"/>
          <w:szCs w:val="21"/>
          <w:highlight w:val="none"/>
        </w:rPr>
        <w:t>发包人继续使用承包人在施工现场的材料、设备、临时工程、承包人文件和由承包人或以其名义编制的其他文件的费用承担方式：</w:t>
      </w:r>
      <w:r>
        <w:rPr>
          <w:rFonts w:hint="default" w:ascii="Times New Roman" w:hAnsi="Times New Roman" w:eastAsia="方正仿宋_GBK" w:cs="Times New Roman"/>
          <w:color w:val="auto"/>
          <w:sz w:val="21"/>
          <w:szCs w:val="21"/>
          <w:highlight w:val="none"/>
          <w:u w:val="single"/>
        </w:rPr>
        <w:t xml:space="preserve">    执行通用条款      </w:t>
      </w:r>
      <w:r>
        <w:rPr>
          <w:rFonts w:hint="default" w:ascii="Times New Roman" w:hAnsi="Times New Roman" w:eastAsia="方正仿宋_GBK" w:cs="Times New Roman"/>
          <w:color w:val="auto"/>
          <w:kern w:val="0"/>
          <w:sz w:val="21"/>
          <w:szCs w:val="21"/>
          <w:highlight w:val="none"/>
        </w:rPr>
        <w:t>。</w:t>
      </w:r>
    </w:p>
    <w:p w14:paraId="4360492E">
      <w:pPr>
        <w:snapToGrid w:val="0"/>
        <w:spacing w:line="360" w:lineRule="auto"/>
        <w:rPr>
          <w:rFonts w:hint="default" w:ascii="Times New Roman" w:hAnsi="Times New Roman" w:eastAsia="方正仿宋_GBK" w:cs="Times New Roman"/>
          <w:b/>
          <w:color w:val="auto"/>
          <w:kern w:val="0"/>
          <w:sz w:val="21"/>
          <w:szCs w:val="21"/>
          <w:highlight w:val="none"/>
        </w:rPr>
      </w:pPr>
      <w:bookmarkStart w:id="735" w:name="_Toc433623119"/>
      <w:bookmarkStart w:id="736" w:name="_Toc516756974"/>
      <w:bookmarkStart w:id="737" w:name="_Toc485992750"/>
      <w:bookmarkStart w:id="738" w:name="_Toc518391425"/>
      <w:r>
        <w:rPr>
          <w:rFonts w:hint="default" w:ascii="Times New Roman" w:hAnsi="Times New Roman" w:eastAsia="方正仿宋_GBK" w:cs="Times New Roman"/>
          <w:b/>
          <w:color w:val="auto"/>
          <w:kern w:val="0"/>
          <w:sz w:val="21"/>
          <w:szCs w:val="21"/>
          <w:highlight w:val="none"/>
        </w:rPr>
        <w:t>17. 不可抗力</w:t>
      </w:r>
      <w:bookmarkEnd w:id="735"/>
      <w:bookmarkEnd w:id="736"/>
      <w:bookmarkEnd w:id="737"/>
      <w:bookmarkEnd w:id="738"/>
    </w:p>
    <w:p w14:paraId="4C0E1282">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17.1 不可抗力的确认</w:t>
      </w:r>
    </w:p>
    <w:p w14:paraId="0B228ACB">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除通用合同条款约定的不可抗力事件之外，视为不可抗力的其他情形：</w:t>
      </w:r>
      <w:r>
        <w:rPr>
          <w:rFonts w:hint="default" w:ascii="Times New Roman" w:hAnsi="Times New Roman" w:eastAsia="方正仿宋_GBK" w:cs="Times New Roman"/>
          <w:color w:val="auto"/>
          <w:sz w:val="21"/>
          <w:szCs w:val="21"/>
          <w:highlight w:val="none"/>
          <w:u w:val="single"/>
        </w:rPr>
        <w:t xml:space="preserve">    按通用条款规定</w:t>
      </w:r>
      <w:r>
        <w:rPr>
          <w:rFonts w:hint="default" w:ascii="Times New Roman" w:hAnsi="Times New Roman" w:eastAsia="方正仿宋_GBK" w:cs="Times New Roman"/>
          <w:color w:val="auto"/>
          <w:sz w:val="21"/>
          <w:szCs w:val="21"/>
          <w:highlight w:val="none"/>
        </w:rPr>
        <w:t>。</w:t>
      </w:r>
    </w:p>
    <w:p w14:paraId="31718AFD">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17.4 因不可抗力解除合同</w:t>
      </w:r>
    </w:p>
    <w:p w14:paraId="37D8FCF2">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合同解除后，发包人应在商定或确定发包人应支付款项后</w:t>
      </w:r>
      <w:r>
        <w:rPr>
          <w:rFonts w:hint="default" w:ascii="Times New Roman" w:hAnsi="Times New Roman" w:eastAsia="方正仿宋_GBK" w:cs="Times New Roman"/>
          <w:color w:val="auto"/>
          <w:sz w:val="21"/>
          <w:szCs w:val="21"/>
          <w:highlight w:val="none"/>
          <w:u w:val="single"/>
        </w:rPr>
        <w:t xml:space="preserve">  /   </w:t>
      </w:r>
      <w:r>
        <w:rPr>
          <w:rFonts w:hint="default" w:ascii="Times New Roman" w:hAnsi="Times New Roman" w:eastAsia="方正仿宋_GBK" w:cs="Times New Roman"/>
          <w:color w:val="auto"/>
          <w:sz w:val="21"/>
          <w:szCs w:val="21"/>
          <w:highlight w:val="none"/>
        </w:rPr>
        <w:t>天内完成款项的支付。</w:t>
      </w:r>
    </w:p>
    <w:bookmarkEnd w:id="705"/>
    <w:bookmarkEnd w:id="706"/>
    <w:bookmarkEnd w:id="707"/>
    <w:bookmarkEnd w:id="708"/>
    <w:p w14:paraId="08D969B6">
      <w:pPr>
        <w:snapToGrid w:val="0"/>
        <w:spacing w:line="360" w:lineRule="auto"/>
        <w:rPr>
          <w:rFonts w:hint="default" w:ascii="Times New Roman" w:hAnsi="Times New Roman" w:eastAsia="方正仿宋_GBK" w:cs="Times New Roman"/>
          <w:b/>
          <w:color w:val="auto"/>
          <w:kern w:val="0"/>
          <w:sz w:val="21"/>
          <w:szCs w:val="21"/>
          <w:highlight w:val="none"/>
        </w:rPr>
      </w:pPr>
      <w:bookmarkStart w:id="739" w:name="_Toc351203650"/>
      <w:bookmarkStart w:id="740" w:name="_Toc518391426"/>
      <w:bookmarkStart w:id="741" w:name="_Toc485992751"/>
      <w:bookmarkStart w:id="742" w:name="_Toc516756975"/>
      <w:bookmarkStart w:id="743" w:name="_Toc433623120"/>
      <w:bookmarkStart w:id="744" w:name="_Toc280868718"/>
      <w:r>
        <w:rPr>
          <w:rFonts w:hint="default" w:ascii="Times New Roman" w:hAnsi="Times New Roman" w:eastAsia="方正仿宋_GBK" w:cs="Times New Roman"/>
          <w:b/>
          <w:color w:val="auto"/>
          <w:kern w:val="0"/>
          <w:sz w:val="21"/>
          <w:szCs w:val="21"/>
          <w:highlight w:val="none"/>
        </w:rPr>
        <w:t>18. 保险</w:t>
      </w:r>
      <w:bookmarkEnd w:id="739"/>
      <w:bookmarkEnd w:id="740"/>
      <w:bookmarkEnd w:id="741"/>
      <w:bookmarkEnd w:id="742"/>
      <w:bookmarkEnd w:id="743"/>
    </w:p>
    <w:bookmarkEnd w:id="744"/>
    <w:p w14:paraId="6819242C">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18.1 工程保险</w:t>
      </w:r>
    </w:p>
    <w:bookmarkEnd w:id="709"/>
    <w:bookmarkEnd w:id="710"/>
    <w:bookmarkEnd w:id="711"/>
    <w:bookmarkEnd w:id="712"/>
    <w:bookmarkEnd w:id="713"/>
    <w:bookmarkEnd w:id="714"/>
    <w:bookmarkEnd w:id="715"/>
    <w:bookmarkEnd w:id="716"/>
    <w:bookmarkEnd w:id="717"/>
    <w:bookmarkEnd w:id="718"/>
    <w:bookmarkEnd w:id="719"/>
    <w:bookmarkEnd w:id="720"/>
    <w:p w14:paraId="5F306677">
      <w:pPr>
        <w:snapToGrid w:val="0"/>
        <w:spacing w:line="360" w:lineRule="auto"/>
        <w:ind w:firstLine="480"/>
        <w:rPr>
          <w:rFonts w:hint="default" w:ascii="Times New Roman" w:hAnsi="Times New Roman" w:eastAsia="方正仿宋_GBK" w:cs="Times New Roman"/>
          <w:color w:val="auto"/>
          <w:sz w:val="21"/>
          <w:szCs w:val="21"/>
          <w:highlight w:val="none"/>
        </w:rPr>
      </w:pPr>
      <w:bookmarkStart w:id="745" w:name="_Toc351203651"/>
      <w:r>
        <w:rPr>
          <w:rFonts w:hint="default" w:ascii="Times New Roman" w:hAnsi="Times New Roman" w:eastAsia="方正仿宋_GBK" w:cs="Times New Roman"/>
          <w:color w:val="auto"/>
          <w:sz w:val="21"/>
          <w:szCs w:val="21"/>
          <w:highlight w:val="none"/>
        </w:rPr>
        <w:t>关于工程保险的特别约定：</w:t>
      </w:r>
      <w:r>
        <w:rPr>
          <w:rFonts w:hint="default" w:ascii="Times New Roman" w:hAnsi="Times New Roman" w:eastAsia="方正仿宋_GBK" w:cs="Times New Roman"/>
          <w:color w:val="auto"/>
          <w:sz w:val="21"/>
          <w:szCs w:val="21"/>
          <w:highlight w:val="none"/>
          <w:u w:val="single"/>
        </w:rPr>
        <w:t>建筑工程的工程一切险和第三方责任险。工程一切险是为永久工程、临时工程和设备及已运至施工工地用于永久工程的材料和设备所投的保险。第三方责任险是对因实施本合同工程而造成的财产（本工程除外）的损失或损害，或人员（发包人和承包人雇员除外）的死亡或伤残所负责任进行的保险</w:t>
      </w:r>
      <w:r>
        <w:rPr>
          <w:rFonts w:hint="default" w:ascii="Times New Roman" w:hAnsi="Times New Roman" w:eastAsia="方正仿宋_GBK" w:cs="Times New Roman"/>
          <w:color w:val="auto"/>
          <w:sz w:val="21"/>
          <w:szCs w:val="21"/>
          <w:highlight w:val="none"/>
        </w:rPr>
        <w:t xml:space="preserve">。 </w:t>
      </w:r>
    </w:p>
    <w:p w14:paraId="2302B2BF">
      <w:pPr>
        <w:snapToGrid w:val="0"/>
        <w:spacing w:line="360" w:lineRule="auto"/>
        <w:ind w:firstLine="480"/>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保险金额、保险费率和保险期限：</w:t>
      </w:r>
      <w:r>
        <w:rPr>
          <w:rFonts w:hint="default" w:ascii="Times New Roman" w:hAnsi="Times New Roman" w:eastAsia="方正仿宋_GBK" w:cs="Times New Roman"/>
          <w:color w:val="auto"/>
          <w:sz w:val="21"/>
          <w:szCs w:val="21"/>
          <w:highlight w:val="none"/>
          <w:u w:val="single"/>
        </w:rPr>
        <w:t>工程一切险的投保金额为竞标净标价，保险费率4‰，第三方责任险的保险费率为0.4‰。工程一切险及第三方责任险的保险范围应包括开工日直至本合同工程（或其单项工程）竣工颁发竣工接收证书为止</w:t>
      </w:r>
      <w:r>
        <w:rPr>
          <w:rFonts w:hint="default" w:ascii="Times New Roman" w:hAnsi="Times New Roman" w:eastAsia="方正仿宋_GBK" w:cs="Times New Roman"/>
          <w:color w:val="auto"/>
          <w:sz w:val="21"/>
          <w:szCs w:val="21"/>
          <w:highlight w:val="none"/>
        </w:rPr>
        <w:t>。</w:t>
      </w:r>
    </w:p>
    <w:p w14:paraId="2D1998BC">
      <w:pPr>
        <w:snapToGrid w:val="0"/>
        <w:spacing w:line="360" w:lineRule="auto"/>
        <w:ind w:firstLine="48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办理本项保险一切费用均由承包人承担，在报价中已考虑，发包人不单独支付。</w:t>
      </w:r>
    </w:p>
    <w:p w14:paraId="29A016C0">
      <w:pPr>
        <w:snapToGrid w:val="0"/>
        <w:spacing w:line="360" w:lineRule="auto"/>
        <w:ind w:firstLine="48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18.3 其他保险</w:t>
      </w:r>
    </w:p>
    <w:p w14:paraId="0BE41109">
      <w:pPr>
        <w:snapToGrid w:val="0"/>
        <w:spacing w:line="360" w:lineRule="auto"/>
        <w:ind w:firstLine="480"/>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sz w:val="21"/>
          <w:szCs w:val="21"/>
          <w:highlight w:val="none"/>
        </w:rPr>
        <w:t>关于其他保险的约定：</w:t>
      </w:r>
      <w:r>
        <w:rPr>
          <w:rFonts w:hint="default" w:ascii="Times New Roman" w:hAnsi="Times New Roman" w:eastAsia="方正仿宋_GBK" w:cs="Times New Roman"/>
          <w:color w:val="auto"/>
          <w:sz w:val="21"/>
          <w:szCs w:val="21"/>
          <w:highlight w:val="none"/>
          <w:u w:val="single"/>
        </w:rPr>
        <w:t>承包人应在整个施工期间（包括缺陷责任期）对其为本合同工程工作的雇员投保人身意外伤害险。承包人还应为已经运抵现场的承包人装备办理财产保险，其投保金额应足以现场重置。办理本项保险一切费用均由承包人承担，在报价中已考虑，发包人不单独支付</w:t>
      </w:r>
      <w:r>
        <w:rPr>
          <w:rFonts w:hint="default" w:ascii="Times New Roman" w:hAnsi="Times New Roman" w:eastAsia="方正仿宋_GBK" w:cs="Times New Roman"/>
          <w:color w:val="auto"/>
          <w:kern w:val="0"/>
          <w:sz w:val="21"/>
          <w:szCs w:val="21"/>
          <w:highlight w:val="none"/>
        </w:rPr>
        <w:t>。</w:t>
      </w:r>
    </w:p>
    <w:p w14:paraId="56F8D26D">
      <w:pPr>
        <w:snapToGrid w:val="0"/>
        <w:spacing w:line="360" w:lineRule="auto"/>
        <w:ind w:firstLine="420" w:firstLineChars="200"/>
        <w:jc w:val="left"/>
        <w:rPr>
          <w:rFonts w:hint="default" w:ascii="Times New Roman" w:hAnsi="Times New Roman" w:eastAsia="方正仿宋_GBK" w:cs="Times New Roman"/>
          <w:color w:val="auto"/>
          <w:kern w:val="0"/>
          <w:sz w:val="21"/>
          <w:szCs w:val="21"/>
          <w:highlight w:val="none"/>
          <w:u w:val="single"/>
        </w:rPr>
      </w:pPr>
      <w:r>
        <w:rPr>
          <w:rFonts w:hint="default" w:ascii="Times New Roman" w:hAnsi="Times New Roman" w:eastAsia="方正仿宋_GBK" w:cs="Times New Roman"/>
          <w:color w:val="auto"/>
          <w:sz w:val="21"/>
          <w:szCs w:val="21"/>
          <w:highlight w:val="none"/>
        </w:rPr>
        <w:t>承包人是否应为其施工设备等办理财产保险：</w:t>
      </w:r>
      <w:r>
        <w:rPr>
          <w:rFonts w:hint="default" w:ascii="Times New Roman" w:hAnsi="Times New Roman" w:eastAsia="方正仿宋_GBK" w:cs="Times New Roman"/>
          <w:color w:val="auto"/>
          <w:sz w:val="21"/>
          <w:szCs w:val="21"/>
          <w:highlight w:val="none"/>
          <w:u w:val="single"/>
        </w:rPr>
        <w:t>承包人还应为已经运抵现场的承包人装备办理财产保险，其投保金额应足以现场重置</w:t>
      </w:r>
      <w:r>
        <w:rPr>
          <w:rFonts w:hint="default" w:ascii="Times New Roman" w:hAnsi="Times New Roman" w:eastAsia="方正仿宋_GBK" w:cs="Times New Roman"/>
          <w:color w:val="auto"/>
          <w:sz w:val="21"/>
          <w:szCs w:val="21"/>
          <w:highlight w:val="none"/>
        </w:rPr>
        <w:t xml:space="preserve">。 </w:t>
      </w:r>
    </w:p>
    <w:p w14:paraId="5F25DE13">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18.7 通知义务</w:t>
      </w:r>
    </w:p>
    <w:p w14:paraId="73C73F3E">
      <w:pPr>
        <w:snapToGrid w:val="0"/>
        <w:spacing w:line="360" w:lineRule="auto"/>
        <w:ind w:firstLine="420" w:firstLineChars="200"/>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关于变更保险合同时的通知义务的约定：</w:t>
      </w:r>
      <w:r>
        <w:rPr>
          <w:rFonts w:hint="default" w:ascii="Times New Roman" w:hAnsi="Times New Roman" w:eastAsia="方正仿宋_GBK" w:cs="Times New Roman"/>
          <w:color w:val="auto"/>
          <w:sz w:val="21"/>
          <w:szCs w:val="21"/>
          <w:highlight w:val="none"/>
          <w:u w:val="single"/>
        </w:rPr>
        <w:t xml:space="preserve">    执行通用条款      </w:t>
      </w:r>
      <w:r>
        <w:rPr>
          <w:rFonts w:hint="default" w:ascii="Times New Roman" w:hAnsi="Times New Roman" w:eastAsia="方正仿宋_GBK" w:cs="Times New Roman"/>
          <w:color w:val="auto"/>
          <w:sz w:val="21"/>
          <w:szCs w:val="21"/>
          <w:highlight w:val="none"/>
        </w:rPr>
        <w:t>。</w:t>
      </w:r>
    </w:p>
    <w:p w14:paraId="5316B4E2">
      <w:pPr>
        <w:snapToGrid w:val="0"/>
        <w:spacing w:line="360" w:lineRule="auto"/>
        <w:rPr>
          <w:rFonts w:hint="default" w:ascii="Times New Roman" w:hAnsi="Times New Roman" w:eastAsia="方正仿宋_GBK" w:cs="Times New Roman"/>
          <w:b/>
          <w:color w:val="auto"/>
          <w:kern w:val="0"/>
          <w:sz w:val="21"/>
          <w:szCs w:val="21"/>
          <w:highlight w:val="none"/>
        </w:rPr>
      </w:pPr>
      <w:bookmarkStart w:id="746" w:name="_Toc518391427"/>
      <w:bookmarkStart w:id="747" w:name="_Toc516756976"/>
      <w:bookmarkStart w:id="748" w:name="_Toc485992752"/>
      <w:bookmarkStart w:id="749" w:name="_Toc433623121"/>
      <w:r>
        <w:rPr>
          <w:rFonts w:hint="default" w:ascii="Times New Roman" w:hAnsi="Times New Roman" w:eastAsia="方正仿宋_GBK" w:cs="Times New Roman"/>
          <w:b/>
          <w:color w:val="auto"/>
          <w:kern w:val="0"/>
          <w:sz w:val="21"/>
          <w:szCs w:val="21"/>
          <w:highlight w:val="none"/>
        </w:rPr>
        <w:t>20. 争议解决</w:t>
      </w:r>
      <w:bookmarkEnd w:id="745"/>
      <w:bookmarkEnd w:id="746"/>
      <w:bookmarkEnd w:id="747"/>
      <w:bookmarkEnd w:id="748"/>
      <w:bookmarkEnd w:id="749"/>
    </w:p>
    <w:bookmarkEnd w:id="721"/>
    <w:bookmarkEnd w:id="722"/>
    <w:bookmarkEnd w:id="723"/>
    <w:p w14:paraId="4FC956F1">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20.4仲裁或诉讼</w:t>
      </w:r>
      <w:bookmarkEnd w:id="724"/>
    </w:p>
    <w:bookmarkEnd w:id="725"/>
    <w:bookmarkEnd w:id="726"/>
    <w:bookmarkEnd w:id="727"/>
    <w:bookmarkEnd w:id="728"/>
    <w:bookmarkEnd w:id="729"/>
    <w:bookmarkEnd w:id="730"/>
    <w:p w14:paraId="48A12756">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因合同及合同有关事项发生的争议，按下列第</w:t>
      </w:r>
      <w:r>
        <w:rPr>
          <w:rFonts w:hint="default" w:ascii="Times New Roman" w:hAnsi="Times New Roman" w:eastAsia="方正仿宋_GBK" w:cs="Times New Roman"/>
          <w:color w:val="auto"/>
          <w:sz w:val="21"/>
          <w:szCs w:val="21"/>
          <w:highlight w:val="none"/>
          <w:u w:val="single"/>
        </w:rPr>
        <w:t xml:space="preserve">   (2)  </w:t>
      </w:r>
      <w:r>
        <w:rPr>
          <w:rFonts w:hint="default" w:ascii="Times New Roman" w:hAnsi="Times New Roman" w:eastAsia="方正仿宋_GBK" w:cs="Times New Roman"/>
          <w:color w:val="auto"/>
          <w:sz w:val="21"/>
          <w:szCs w:val="21"/>
          <w:highlight w:val="none"/>
        </w:rPr>
        <w:t>种方式解决：</w:t>
      </w:r>
    </w:p>
    <w:p w14:paraId="209F975C">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（1）向</w:t>
      </w:r>
      <w:r>
        <w:rPr>
          <w:rFonts w:hint="default" w:ascii="Times New Roman" w:hAnsi="Times New Roman" w:eastAsia="方正仿宋_GBK" w:cs="Times New Roman"/>
          <w:color w:val="auto"/>
          <w:sz w:val="21"/>
          <w:szCs w:val="21"/>
          <w:highlight w:val="none"/>
          <w:u w:val="single"/>
        </w:rPr>
        <w:t>重庆仲裁委会员建设工程仲裁院</w:t>
      </w:r>
      <w:r>
        <w:rPr>
          <w:rFonts w:hint="default" w:ascii="Times New Roman" w:hAnsi="Times New Roman" w:eastAsia="方正仿宋_GBK" w:cs="Times New Roman"/>
          <w:color w:val="auto"/>
          <w:sz w:val="21"/>
          <w:szCs w:val="21"/>
          <w:highlight w:val="none"/>
        </w:rPr>
        <w:t>申请仲裁；</w:t>
      </w:r>
    </w:p>
    <w:p w14:paraId="4D62473D">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（2）向</w:t>
      </w:r>
      <w:r>
        <w:rPr>
          <w:rFonts w:hint="default" w:ascii="Times New Roman" w:hAnsi="Times New Roman" w:eastAsia="方正仿宋_GBK" w:cs="Times New Roman"/>
          <w:color w:val="auto"/>
          <w:sz w:val="21"/>
          <w:szCs w:val="21"/>
          <w:highlight w:val="none"/>
          <w:u w:val="single"/>
        </w:rPr>
        <w:t xml:space="preserve">  重庆市</w:t>
      </w:r>
      <w:r>
        <w:rPr>
          <w:rFonts w:hint="default" w:ascii="Times New Roman" w:hAnsi="Times New Roman" w:eastAsia="方正仿宋_GBK" w:cs="Times New Roman"/>
          <w:color w:val="auto"/>
          <w:sz w:val="21"/>
          <w:szCs w:val="21"/>
          <w:highlight w:val="none"/>
          <w:u w:val="single"/>
          <w:lang w:eastAsia="zh-CN"/>
        </w:rPr>
        <w:t>秀山县</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人民法院起诉。</w:t>
      </w:r>
    </w:p>
    <w:p w14:paraId="56C2B3DB">
      <w:pPr>
        <w:snapToGrid w:val="0"/>
        <w:spacing w:line="360" w:lineRule="auto"/>
        <w:ind w:firstLine="422" w:firstLineChars="200"/>
        <w:jc w:val="left"/>
        <w:rPr>
          <w:rFonts w:hint="default" w:ascii="Times New Roman" w:hAnsi="Times New Roman" w:eastAsia="方正仿宋_GBK" w:cs="Times New Roman"/>
          <w:b/>
          <w:color w:val="auto"/>
          <w:sz w:val="21"/>
          <w:szCs w:val="21"/>
          <w:highlight w:val="none"/>
        </w:rPr>
      </w:pPr>
      <w:r>
        <w:rPr>
          <w:rFonts w:hint="default" w:ascii="Times New Roman" w:hAnsi="Times New Roman" w:eastAsia="方正仿宋_GBK" w:cs="Times New Roman"/>
          <w:b/>
          <w:color w:val="auto"/>
          <w:sz w:val="21"/>
          <w:szCs w:val="21"/>
          <w:highlight w:val="none"/>
        </w:rPr>
        <w:t>补充条款：</w:t>
      </w:r>
    </w:p>
    <w:p w14:paraId="372EA2B2">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1、除通用条款约定的情况外，发生下述情况时发包人同样有权解除合同，并没收承包人的履约保证金，另行选择施工单位完成工程；</w:t>
      </w:r>
    </w:p>
    <w:p w14:paraId="3A6DBEA2">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bookmarkStart w:id="750" w:name="_Toc361673527"/>
      <w:r>
        <w:rPr>
          <w:rFonts w:hint="default" w:ascii="Times New Roman" w:hAnsi="Times New Roman" w:eastAsia="方正仿宋_GBK" w:cs="Times New Roman"/>
          <w:color w:val="auto"/>
          <w:sz w:val="21"/>
          <w:szCs w:val="21"/>
          <w:highlight w:val="none"/>
        </w:rPr>
        <w:t>（1）承包人破产或宣告停业清理，且此清理不是出于重组、重建或合并之目的；</w:t>
      </w:r>
      <w:bookmarkEnd w:id="750"/>
    </w:p>
    <w:p w14:paraId="04C3811F">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（2）放弃或否认合同；</w:t>
      </w:r>
    </w:p>
    <w:p w14:paraId="484A101C">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（3）无正当理由而未能按约定开工；</w:t>
      </w:r>
    </w:p>
    <w:p w14:paraId="4A9EA67D">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（4）承包人的实际进度与经监理工程师确认的进度计划不符时，未按约定执行监理工程师发出的指示而采取必要措施加快进度；</w:t>
      </w:r>
    </w:p>
    <w:p w14:paraId="7341C4DB">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bookmarkStart w:id="751" w:name="_Toc361673528"/>
      <w:r>
        <w:rPr>
          <w:rFonts w:hint="default" w:ascii="Times New Roman" w:hAnsi="Times New Roman" w:eastAsia="方正仿宋_GBK" w:cs="Times New Roman"/>
          <w:color w:val="auto"/>
          <w:sz w:val="21"/>
          <w:szCs w:val="21"/>
          <w:highlight w:val="none"/>
        </w:rPr>
        <w:t>（5）未遵守竞标承诺书的承诺，未能自行完成本工程的施工，分包或转让本工程；</w:t>
      </w:r>
      <w:bookmarkEnd w:id="751"/>
    </w:p>
    <w:p w14:paraId="66FC531C">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（6）未按发包人要求变更项目经理或主要施工管理人员；</w:t>
      </w:r>
    </w:p>
    <w:p w14:paraId="7FE48014">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（7）未经发包人同意，擅自变更竞标所拟派的项目经理或主要施工管理人员；或项目经理或主要施工管理人员驻工地时间平均一个月少于25天。</w:t>
      </w:r>
    </w:p>
    <w:p w14:paraId="243FCDDB">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（8）解除合同后承包人应在1月内退场。</w:t>
      </w:r>
    </w:p>
    <w:p w14:paraId="0E0B14CA">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（9）发包人与承包人解除合同后，发包人依法确定的完成该工程的其他承包人可以随时进驻现场。</w:t>
      </w:r>
    </w:p>
    <w:p w14:paraId="3A39774B">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bookmarkStart w:id="752" w:name="_Toc361673529"/>
      <w:r>
        <w:rPr>
          <w:rFonts w:hint="default" w:ascii="Times New Roman" w:hAnsi="Times New Roman" w:eastAsia="方正仿宋_GBK" w:cs="Times New Roman"/>
          <w:color w:val="auto"/>
          <w:sz w:val="21"/>
          <w:szCs w:val="21"/>
          <w:highlight w:val="none"/>
        </w:rPr>
        <w:t>2、农民工工资</w:t>
      </w:r>
      <w:bookmarkEnd w:id="752"/>
    </w:p>
    <w:p w14:paraId="28984933">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（1）承包人必须严格按照《劳动法》、《农民工工资支付暂行规定》和《最低工资规定》等有关规定支付农民工工资，不得拖欠或克扣。</w:t>
      </w:r>
    </w:p>
    <w:p w14:paraId="03142C0A">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承包人应将工资按月直接发放给农民工本人，不得发放给“包工头”或其他不具备用工主体资格的组织和个人，否则将视为承包人拖欠或克扣农民工工资，发包人有权在承包人的工程进度款中扣除相当于农民工工资部分的金额，代承包人支付给农民工本人，承包人并因此承担工程结算总价的0.1%的违约责任。</w:t>
      </w:r>
    </w:p>
    <w:p w14:paraId="6C305C91">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3、承包人若在施工期间如发包人发现</w:t>
      </w:r>
      <w:r>
        <w:rPr>
          <w:rFonts w:hint="default" w:ascii="Times New Roman" w:hAnsi="Times New Roman" w:eastAsia="方正仿宋_GBK" w:cs="Times New Roman"/>
          <w:color w:val="auto"/>
          <w:sz w:val="21"/>
          <w:szCs w:val="21"/>
          <w:highlight w:val="none"/>
          <w:lang w:eastAsia="zh-CN"/>
        </w:rPr>
        <w:t>中标人</w:t>
      </w:r>
      <w:r>
        <w:rPr>
          <w:rFonts w:hint="default" w:ascii="Times New Roman" w:hAnsi="Times New Roman" w:eastAsia="方正仿宋_GBK" w:cs="Times New Roman"/>
          <w:color w:val="auto"/>
          <w:sz w:val="21"/>
          <w:szCs w:val="21"/>
          <w:highlight w:val="none"/>
        </w:rPr>
        <w:t>有挂靠、转包及违法分包工程行为，发包人有权对承包人中止合同，取消</w:t>
      </w:r>
      <w:r>
        <w:rPr>
          <w:rFonts w:hint="default" w:ascii="Times New Roman" w:hAnsi="Times New Roman" w:eastAsia="方正仿宋_GBK" w:cs="Times New Roman"/>
          <w:color w:val="auto"/>
          <w:sz w:val="21"/>
          <w:szCs w:val="21"/>
          <w:highlight w:val="none"/>
          <w:lang w:eastAsia="zh-CN"/>
        </w:rPr>
        <w:t>成交</w:t>
      </w:r>
      <w:r>
        <w:rPr>
          <w:rFonts w:hint="default" w:ascii="Times New Roman" w:hAnsi="Times New Roman" w:eastAsia="方正仿宋_GBK" w:cs="Times New Roman"/>
          <w:color w:val="auto"/>
          <w:sz w:val="21"/>
          <w:szCs w:val="21"/>
          <w:highlight w:val="none"/>
        </w:rPr>
        <w:t>资格。</w:t>
      </w:r>
    </w:p>
    <w:p w14:paraId="16AE79EC">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4、承包人在施工过程中涉及的清单漏项、设计变更、签证与计量、材料价格核定、工程款支付，竣工结算审核等工作，应严格按发包人相关管理制度执行。若参建单位未严格按发包人管理制度办理，视其情节轻重，发包人有权对相关单位及人员进行追责。</w:t>
      </w:r>
    </w:p>
    <w:p w14:paraId="003F43FF">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5、承包人的实际工程进度及质量与经监理工程师及发包人审批的工程进度及质量要求不符时，且在限期整改中又未按发包人和监理人要求完成的，处违约金</w:t>
      </w:r>
      <w:r>
        <w:rPr>
          <w:rFonts w:hint="default" w:ascii="Times New Roman" w:hAnsi="Times New Roman" w:eastAsia="方正仿宋_GBK" w:cs="Times New Roman"/>
          <w:b/>
          <w:color w:val="auto"/>
          <w:sz w:val="21"/>
          <w:szCs w:val="21"/>
          <w:highlight w:val="none"/>
        </w:rPr>
        <w:t>1000-3000</w:t>
      </w:r>
      <w:r>
        <w:rPr>
          <w:rFonts w:hint="default" w:ascii="Times New Roman" w:hAnsi="Times New Roman" w:eastAsia="方正仿宋_GBK" w:cs="Times New Roman"/>
          <w:color w:val="auto"/>
          <w:sz w:val="21"/>
          <w:szCs w:val="21"/>
          <w:highlight w:val="none"/>
        </w:rPr>
        <w:t>元/次或更多。</w:t>
      </w:r>
    </w:p>
    <w:p w14:paraId="2FB7A3E9">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bookmarkStart w:id="753" w:name="_Toc361673530"/>
      <w:r>
        <w:rPr>
          <w:rFonts w:hint="default" w:ascii="Times New Roman" w:hAnsi="Times New Roman" w:eastAsia="方正仿宋_GBK" w:cs="Times New Roman"/>
          <w:color w:val="auto"/>
          <w:sz w:val="21"/>
          <w:szCs w:val="21"/>
          <w:highlight w:val="none"/>
        </w:rPr>
        <w:t>6、承包人无条件接受发包人关于市政工程安全文明施工检查考核的相关制度（附考核制度）</w:t>
      </w:r>
      <w:bookmarkEnd w:id="753"/>
    </w:p>
    <w:p w14:paraId="63D95964">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若在项目实施过程中，确需对项目经理调整，必须由承包人提前一个月提出有法律效力的申请（法人代表签字并加盖公章），经发包人同意后方可变更。</w:t>
      </w:r>
    </w:p>
    <w:p w14:paraId="424A39CD">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7、工程量增减：</w:t>
      </w:r>
    </w:p>
    <w:p w14:paraId="0BC4C1AA">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因发包人要求及不可抗力因素等原因导致承包人在合同履行中所需要的工程量发生增减时，承包人无权因此提出索赔。</w:t>
      </w:r>
    </w:p>
    <w:p w14:paraId="16AFCE4F">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实物工程量的实施由监理工程师和发包人现场代表按合同条款规定，结合工程具体情况，报经发包人批准后全部或部分实施，或者根本不予实施，承包人无权因此提出索赔。</w:t>
      </w:r>
    </w:p>
    <w:p w14:paraId="249F483A">
      <w:pPr>
        <w:widowControl/>
        <w:snapToGrid w:val="0"/>
        <w:spacing w:line="360" w:lineRule="auto"/>
        <w:ind w:firstLine="411" w:firstLineChars="196"/>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sz w:val="21"/>
          <w:szCs w:val="21"/>
          <w:highlight w:val="none"/>
        </w:rPr>
        <w:t>8、若</w:t>
      </w:r>
      <w:r>
        <w:rPr>
          <w:rFonts w:hint="default" w:ascii="Times New Roman" w:hAnsi="Times New Roman" w:eastAsia="方正仿宋_GBK" w:cs="Times New Roman"/>
          <w:color w:val="auto"/>
          <w:kern w:val="0"/>
          <w:sz w:val="21"/>
          <w:szCs w:val="21"/>
          <w:highlight w:val="none"/>
        </w:rPr>
        <w:t>因暂停施工导致的施工单位二次进场费、现场清理费、现场维护费等所有费用已包含在竞标总价中，不得调整。</w:t>
      </w:r>
    </w:p>
    <w:p w14:paraId="6B0D8DE9">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9、由于承包人原因未按合同要求工期完成本工程，则承包人必须承担本工程延期完成的各项监理费用。</w:t>
      </w:r>
    </w:p>
    <w:p w14:paraId="7E58FBCF">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10、其他未尽事宜，经双方协商，以书面确认为准。</w:t>
      </w:r>
    </w:p>
    <w:p w14:paraId="46761FCB">
      <w:pPr>
        <w:spacing w:line="360" w:lineRule="auto"/>
        <w:rPr>
          <w:rFonts w:hint="default" w:ascii="Times New Roman" w:hAnsi="Times New Roman" w:eastAsia="方正仿宋_GBK" w:cs="Times New Roman"/>
          <w:b/>
          <w:bCs/>
          <w:color w:val="auto"/>
          <w:kern w:val="0"/>
          <w:sz w:val="21"/>
          <w:szCs w:val="21"/>
          <w:highlight w:val="none"/>
        </w:rPr>
        <w:sectPr>
          <w:footerReference r:id="rId9" w:type="first"/>
          <w:pgSz w:w="11906" w:h="16838"/>
          <w:pgMar w:top="1134" w:right="1091" w:bottom="851" w:left="1134" w:header="851" w:footer="992" w:gutter="227"/>
          <w:cols w:space="720" w:num="1"/>
          <w:titlePg/>
          <w:docGrid w:type="lines" w:linePitch="312" w:charSpace="0"/>
        </w:sectPr>
      </w:pPr>
    </w:p>
    <w:p w14:paraId="034F3536">
      <w:pPr>
        <w:spacing w:line="360" w:lineRule="auto"/>
        <w:rPr>
          <w:rFonts w:hint="default" w:ascii="Times New Roman" w:hAnsi="Times New Roman" w:eastAsia="方正仿宋_GBK" w:cs="Times New Roman"/>
          <w:b/>
          <w:color w:val="auto"/>
          <w:sz w:val="21"/>
          <w:szCs w:val="21"/>
          <w:highlight w:val="none"/>
        </w:rPr>
      </w:pPr>
      <w:r>
        <w:rPr>
          <w:rFonts w:hint="default" w:ascii="Times New Roman" w:hAnsi="Times New Roman" w:eastAsia="方正仿宋_GBK" w:cs="Times New Roman"/>
          <w:b/>
          <w:color w:val="auto"/>
          <w:sz w:val="21"/>
          <w:szCs w:val="21"/>
          <w:highlight w:val="none"/>
        </w:rPr>
        <w:t>附件目录</w:t>
      </w:r>
    </w:p>
    <w:p w14:paraId="4DB04026">
      <w:pPr>
        <w:spacing w:line="360" w:lineRule="auto"/>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附件1：工程质量保修书</w:t>
      </w:r>
    </w:p>
    <w:p w14:paraId="20B0B578">
      <w:pPr>
        <w:spacing w:line="360" w:lineRule="auto"/>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附件2：安全生产合同</w:t>
      </w:r>
    </w:p>
    <w:p w14:paraId="5223A013">
      <w:pPr>
        <w:spacing w:line="360" w:lineRule="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附件3：廉洁协议</w:t>
      </w:r>
    </w:p>
    <w:p w14:paraId="3CA4142B">
      <w:pPr>
        <w:spacing w:line="360" w:lineRule="auto"/>
        <w:jc w:val="left"/>
        <w:rPr>
          <w:rFonts w:hint="default" w:ascii="Times New Roman" w:hAnsi="Times New Roman" w:eastAsia="方正仿宋_GBK" w:cs="Times New Roman"/>
          <w:color w:val="auto"/>
          <w:sz w:val="21"/>
          <w:szCs w:val="21"/>
          <w:highlight w:val="none"/>
        </w:rPr>
      </w:pPr>
    </w:p>
    <w:p w14:paraId="2F9F1946">
      <w:pPr>
        <w:spacing w:line="360" w:lineRule="auto"/>
        <w:jc w:val="left"/>
        <w:rPr>
          <w:rFonts w:hint="default" w:ascii="Times New Roman" w:hAnsi="Times New Roman" w:eastAsia="方正仿宋_GBK" w:cs="Times New Roman"/>
          <w:color w:val="auto"/>
          <w:sz w:val="21"/>
          <w:szCs w:val="21"/>
          <w:highlight w:val="none"/>
        </w:rPr>
      </w:pPr>
    </w:p>
    <w:p w14:paraId="6235FA27">
      <w:pPr>
        <w:spacing w:line="360" w:lineRule="auto"/>
        <w:jc w:val="left"/>
        <w:rPr>
          <w:rFonts w:hint="default" w:ascii="Times New Roman" w:hAnsi="Times New Roman" w:eastAsia="方正仿宋_GBK" w:cs="Times New Roman"/>
          <w:color w:val="auto"/>
          <w:sz w:val="21"/>
          <w:szCs w:val="21"/>
          <w:highlight w:val="none"/>
        </w:rPr>
      </w:pPr>
    </w:p>
    <w:p w14:paraId="2B18A1D9">
      <w:pPr>
        <w:spacing w:line="360" w:lineRule="auto"/>
        <w:jc w:val="left"/>
        <w:rPr>
          <w:rFonts w:hint="default" w:ascii="Times New Roman" w:hAnsi="Times New Roman" w:eastAsia="方正仿宋_GBK" w:cs="Times New Roman"/>
          <w:color w:val="auto"/>
          <w:sz w:val="21"/>
          <w:szCs w:val="21"/>
          <w:highlight w:val="none"/>
        </w:rPr>
      </w:pPr>
    </w:p>
    <w:p w14:paraId="6176BF92">
      <w:pPr>
        <w:spacing w:line="360" w:lineRule="auto"/>
        <w:jc w:val="left"/>
        <w:rPr>
          <w:rFonts w:hint="default" w:ascii="Times New Roman" w:hAnsi="Times New Roman" w:eastAsia="方正仿宋_GBK" w:cs="Times New Roman"/>
          <w:color w:val="auto"/>
          <w:sz w:val="21"/>
          <w:szCs w:val="21"/>
          <w:highlight w:val="none"/>
        </w:rPr>
      </w:pPr>
    </w:p>
    <w:p w14:paraId="6CB32CA8">
      <w:pPr>
        <w:snapToGrid w:val="0"/>
        <w:spacing w:line="336" w:lineRule="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br w:type="page"/>
      </w:r>
      <w:r>
        <w:rPr>
          <w:rFonts w:hint="default" w:ascii="Times New Roman" w:hAnsi="Times New Roman" w:eastAsia="方正仿宋_GBK" w:cs="Times New Roman"/>
          <w:color w:val="auto"/>
          <w:sz w:val="21"/>
          <w:szCs w:val="21"/>
          <w:highlight w:val="none"/>
        </w:rPr>
        <w:t xml:space="preserve">附件1：    </w:t>
      </w:r>
    </w:p>
    <w:p w14:paraId="5F0498F7">
      <w:pPr>
        <w:snapToGrid w:val="0"/>
        <w:spacing w:line="336" w:lineRule="auto"/>
        <w:jc w:val="center"/>
        <w:rPr>
          <w:rFonts w:hint="default" w:ascii="Times New Roman" w:hAnsi="Times New Roman" w:eastAsia="方正仿宋_GBK" w:cs="Times New Roman"/>
          <w:b/>
          <w:bCs/>
          <w:color w:val="auto"/>
          <w:sz w:val="21"/>
          <w:szCs w:val="21"/>
          <w:highlight w:val="none"/>
        </w:rPr>
      </w:pPr>
      <w:r>
        <w:rPr>
          <w:rFonts w:hint="default" w:ascii="Times New Roman" w:hAnsi="Times New Roman" w:eastAsia="方正仿宋_GBK" w:cs="Times New Roman"/>
          <w:b/>
          <w:bCs/>
          <w:color w:val="auto"/>
          <w:sz w:val="21"/>
          <w:szCs w:val="21"/>
          <w:highlight w:val="none"/>
        </w:rPr>
        <w:t xml:space="preserve">   工程质量保修书</w:t>
      </w:r>
    </w:p>
    <w:p w14:paraId="7C2B176A">
      <w:pPr>
        <w:snapToGrid w:val="0"/>
        <w:spacing w:line="336"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发包人（全称）：</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 xml:space="preserve"> </w:t>
      </w:r>
    </w:p>
    <w:p w14:paraId="67AB131C">
      <w:pPr>
        <w:snapToGrid w:val="0"/>
        <w:spacing w:line="336" w:lineRule="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承包人（全称）：</w:t>
      </w:r>
      <w:r>
        <w:rPr>
          <w:rFonts w:hint="default" w:ascii="Times New Roman" w:hAnsi="Times New Roman" w:eastAsia="方正仿宋_GBK" w:cs="Times New Roman"/>
          <w:b/>
          <w:color w:val="auto"/>
          <w:sz w:val="21"/>
          <w:szCs w:val="21"/>
          <w:highlight w:val="none"/>
          <w:u w:val="single"/>
        </w:rPr>
        <w:t xml:space="preserve">                  </w:t>
      </w:r>
    </w:p>
    <w:p w14:paraId="3189B2C9">
      <w:pPr>
        <w:snapToGrid w:val="0"/>
        <w:spacing w:line="336" w:lineRule="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发包人和承包人根据《中华人民共和国建筑法》和《建设工程质量管理条例》，经协商一致就</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（工程全称）签订工程质量保修书。</w:t>
      </w:r>
    </w:p>
    <w:p w14:paraId="07732A57">
      <w:pPr>
        <w:snapToGrid w:val="0"/>
        <w:spacing w:line="336" w:lineRule="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一、工程质量保修范围和内容</w:t>
      </w:r>
    </w:p>
    <w:p w14:paraId="3F3525F4">
      <w:pPr>
        <w:snapToGrid w:val="0"/>
        <w:spacing w:line="336" w:lineRule="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承包人在质量保修期内，按照有关法律规定和合同约定，承担工程质量保修责任。</w:t>
      </w:r>
    </w:p>
    <w:p w14:paraId="2B0F9635">
      <w:pPr>
        <w:snapToGrid w:val="0"/>
        <w:spacing w:line="336" w:lineRule="auto"/>
        <w:rPr>
          <w:rFonts w:hint="default" w:ascii="Times New Roman" w:hAnsi="Times New Roman" w:eastAsia="方正仿宋_GBK" w:cs="Times New Roman"/>
          <w:color w:val="auto"/>
          <w:sz w:val="21"/>
          <w:szCs w:val="21"/>
          <w:highlight w:val="none"/>
          <w:u w:val="single"/>
        </w:rPr>
      </w:pPr>
      <w:r>
        <w:rPr>
          <w:rFonts w:hint="default" w:ascii="Times New Roman" w:hAnsi="Times New Roman" w:eastAsia="方正仿宋_GBK" w:cs="Times New Roman"/>
          <w:color w:val="auto"/>
          <w:sz w:val="21"/>
          <w:szCs w:val="21"/>
          <w:highlight w:val="none"/>
        </w:rPr>
        <w:t>　　质量保修范围包括</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，以及双方约定的其他项目。具体保修的内容，双方约定如下：</w:t>
      </w:r>
      <w:r>
        <w:rPr>
          <w:rFonts w:hint="default" w:ascii="Times New Roman" w:hAnsi="Times New Roman" w:eastAsia="方正仿宋_GBK" w:cs="Times New Roman"/>
          <w:color w:val="auto"/>
          <w:sz w:val="21"/>
          <w:szCs w:val="21"/>
          <w:highlight w:val="none"/>
          <w:u w:val="single"/>
          <w:lang w:eastAsia="zh-CN"/>
        </w:rPr>
        <w:t>竞采文件</w:t>
      </w:r>
      <w:r>
        <w:rPr>
          <w:rFonts w:hint="default" w:ascii="Times New Roman" w:hAnsi="Times New Roman" w:eastAsia="方正仿宋_GBK" w:cs="Times New Roman"/>
          <w:color w:val="auto"/>
          <w:sz w:val="21"/>
          <w:szCs w:val="21"/>
          <w:highlight w:val="none"/>
          <w:u w:val="single"/>
        </w:rPr>
        <w:t>及施工合同范围内的全部内容</w:t>
      </w:r>
      <w:r>
        <w:rPr>
          <w:rFonts w:hint="default" w:ascii="Times New Roman" w:hAnsi="Times New Roman" w:eastAsia="方正仿宋_GBK" w:cs="Times New Roman"/>
          <w:color w:val="auto"/>
          <w:sz w:val="21"/>
          <w:szCs w:val="21"/>
          <w:highlight w:val="none"/>
        </w:rPr>
        <w:t>。</w:t>
      </w:r>
    </w:p>
    <w:p w14:paraId="214717DE">
      <w:pPr>
        <w:snapToGrid w:val="0"/>
        <w:spacing w:line="336" w:lineRule="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二、质量保修期</w:t>
      </w:r>
    </w:p>
    <w:p w14:paraId="7B3046DB">
      <w:pPr>
        <w:snapToGrid w:val="0"/>
        <w:spacing w:line="336"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根据《建设工程质量管理条例》及有关规定，工程的质量保修期如下：</w:t>
      </w:r>
    </w:p>
    <w:p w14:paraId="097FDD5E">
      <w:pPr>
        <w:snapToGrid w:val="0"/>
        <w:spacing w:line="336"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1．项目保修期限约定：</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u w:val="single"/>
          <w:lang w:val="en-US" w:eastAsia="zh-CN"/>
        </w:rPr>
        <w:t>24个月</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w:t>
      </w:r>
    </w:p>
    <w:p w14:paraId="631BB0BC">
      <w:pPr>
        <w:snapToGrid w:val="0"/>
        <w:spacing w:line="336"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 质量保修期自工程竣工验收合格之日起计算。</w:t>
      </w:r>
    </w:p>
    <w:p w14:paraId="2EBE8993">
      <w:pPr>
        <w:snapToGrid w:val="0"/>
        <w:spacing w:line="336"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3.质量保修期满后，发包人应退还剩余的质量保证金。</w:t>
      </w:r>
    </w:p>
    <w:p w14:paraId="2D356C5D">
      <w:pPr>
        <w:snapToGrid w:val="0"/>
        <w:spacing w:line="336" w:lineRule="auto"/>
        <w:ind w:firstLine="405"/>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三、缺陷责任期</w:t>
      </w:r>
    </w:p>
    <w:p w14:paraId="27168C46">
      <w:pPr>
        <w:snapToGrid w:val="0"/>
        <w:spacing w:line="336" w:lineRule="auto"/>
        <w:ind w:left="140" w:leftChars="50" w:firstLine="430" w:firstLineChars="205"/>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缺陷责任期自工程通过竣工验收之日起计算。单位工程先于全部工程进行验收，单位工程缺陷责任期自单位工程验收合格之日起算。</w:t>
      </w:r>
    </w:p>
    <w:p w14:paraId="503FA52F">
      <w:pPr>
        <w:snapToGrid w:val="0"/>
        <w:spacing w:line="336" w:lineRule="auto"/>
        <w:ind w:left="140" w:leftChars="50" w:firstLine="430" w:firstLineChars="205"/>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缺陷责任期终止后，发包人应退还剩余的质量保证金。</w:t>
      </w:r>
    </w:p>
    <w:p w14:paraId="5C461AB7">
      <w:pPr>
        <w:snapToGrid w:val="0"/>
        <w:spacing w:line="336" w:lineRule="auto"/>
        <w:ind w:firstLine="405"/>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四、质量保修责任</w:t>
      </w:r>
    </w:p>
    <w:p w14:paraId="580A8CD9">
      <w:pPr>
        <w:snapToGrid w:val="0"/>
        <w:spacing w:line="336" w:lineRule="auto"/>
        <w:ind w:left="140" w:leftChars="50" w:firstLine="430" w:firstLineChars="205"/>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1．属于保修范围、内容的项目，承包人应当在接到保修通知之日起7天内派人保修。承包人不在约定期限内派人保修的，发包人可以委托他人修理。</w:t>
      </w:r>
    </w:p>
    <w:p w14:paraId="76DD2C51">
      <w:pPr>
        <w:snapToGrid w:val="0"/>
        <w:spacing w:line="336" w:lineRule="auto"/>
        <w:ind w:left="140" w:leftChars="50" w:firstLine="430" w:firstLineChars="205"/>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2．发生紧急事故需抢修的，承包人在接到事故通知后，应当立即到达事故现场抢修。</w:t>
      </w:r>
    </w:p>
    <w:p w14:paraId="6DB54B3C">
      <w:pPr>
        <w:snapToGrid w:val="0"/>
        <w:spacing w:line="336" w:lineRule="auto"/>
        <w:ind w:left="140" w:leftChars="50" w:firstLine="430" w:firstLineChars="205"/>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E330656">
      <w:pPr>
        <w:snapToGrid w:val="0"/>
        <w:spacing w:line="336" w:lineRule="auto"/>
        <w:ind w:left="560" w:leftChars="200" w:firstLine="105" w:firstLineChars="5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4．质量保修完成后，由发包人组织验收。</w:t>
      </w:r>
    </w:p>
    <w:p w14:paraId="4B1669D2">
      <w:pPr>
        <w:snapToGrid w:val="0"/>
        <w:spacing w:line="336" w:lineRule="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五、保修费用</w:t>
      </w:r>
    </w:p>
    <w:p w14:paraId="451B605E">
      <w:pPr>
        <w:snapToGrid w:val="0"/>
        <w:spacing w:line="336" w:lineRule="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保修费用由造成质量缺陷的责任方承担。</w:t>
      </w:r>
    </w:p>
    <w:p w14:paraId="7B424B10">
      <w:pPr>
        <w:snapToGrid w:val="0"/>
        <w:spacing w:line="336"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六、双方约定的其他工程质量保修事项：</w:t>
      </w:r>
      <w:r>
        <w:rPr>
          <w:rFonts w:hint="default" w:ascii="Times New Roman" w:hAnsi="Times New Roman" w:eastAsia="方正仿宋_GBK" w:cs="Times New Roman"/>
          <w:color w:val="auto"/>
          <w:sz w:val="21"/>
          <w:szCs w:val="21"/>
          <w:highlight w:val="none"/>
          <w:u w:val="single"/>
        </w:rPr>
        <w:t xml:space="preserve">        /         </w:t>
      </w:r>
    </w:p>
    <w:p w14:paraId="718BBFB9">
      <w:pPr>
        <w:snapToGrid w:val="0"/>
        <w:spacing w:line="336" w:lineRule="auto"/>
        <w:ind w:firstLine="399" w:firstLineChars="19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工程质量保修书由发包人、承包人在工程竣工验收前共同签署，作为施工合同附件，一式十四份，发包人捌份，监理壹份，承包人伍份。由双方法定代表人或其授权的代理人签署并加盖公章后生效，其有效期限至保修期满。</w:t>
      </w:r>
    </w:p>
    <w:p w14:paraId="4821E67F">
      <w:pPr>
        <w:snapToGrid w:val="0"/>
        <w:spacing w:line="336"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发包人(公章)：                                承包人(公章)：</w:t>
      </w:r>
    </w:p>
    <w:p w14:paraId="77B9DEF0">
      <w:pPr>
        <w:snapToGrid w:val="0"/>
        <w:spacing w:line="336"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法定代表人 (签字)：                            法定代表人(签字)：</w:t>
      </w:r>
    </w:p>
    <w:p w14:paraId="41DC7E10">
      <w:pPr>
        <w:snapToGrid w:val="0"/>
        <w:spacing w:line="336" w:lineRule="auto"/>
        <w:ind w:firstLine="840" w:firstLineChars="4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年    月    日                                年    月    日</w:t>
      </w:r>
    </w:p>
    <w:p w14:paraId="536E41ED">
      <w:pPr>
        <w:widowControl/>
        <w:snapToGrid w:val="0"/>
        <w:spacing w:line="360" w:lineRule="auto"/>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br w:type="page"/>
      </w:r>
      <w:r>
        <w:rPr>
          <w:rFonts w:hint="default" w:ascii="Times New Roman" w:hAnsi="Times New Roman" w:eastAsia="方正仿宋_GBK" w:cs="Times New Roman"/>
          <w:color w:val="auto"/>
          <w:sz w:val="21"/>
          <w:szCs w:val="21"/>
          <w:highlight w:val="none"/>
        </w:rPr>
        <w:t>附件2：</w:t>
      </w:r>
    </w:p>
    <w:p w14:paraId="05798484">
      <w:pPr>
        <w:snapToGrid w:val="0"/>
        <w:spacing w:line="360" w:lineRule="auto"/>
        <w:ind w:firstLine="420" w:firstLineChars="200"/>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安全生产合同</w:t>
      </w:r>
    </w:p>
    <w:p w14:paraId="2AFAB261">
      <w:pPr>
        <w:widowControl/>
        <w:snapToGrid w:val="0"/>
        <w:spacing w:line="360" w:lineRule="auto"/>
        <w:rPr>
          <w:rFonts w:hint="default" w:ascii="Times New Roman" w:hAnsi="Times New Roman" w:eastAsia="方正仿宋_GBK" w:cs="Times New Roman"/>
          <w:b/>
          <w:color w:val="auto"/>
          <w:kern w:val="0"/>
          <w:sz w:val="21"/>
          <w:szCs w:val="21"/>
          <w:highlight w:val="none"/>
          <w:u w:val="single"/>
        </w:rPr>
      </w:pPr>
      <w:r>
        <w:rPr>
          <w:rFonts w:hint="default" w:ascii="Times New Roman" w:hAnsi="Times New Roman" w:eastAsia="方正仿宋_GBK" w:cs="Times New Roman"/>
          <w:color w:val="auto"/>
          <w:sz w:val="21"/>
          <w:szCs w:val="21"/>
          <w:highlight w:val="none"/>
        </w:rPr>
        <w:t xml:space="preserve">    为在</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（项目名称）合同的实施过程中创造安全、高效的施工环境，切实搞好本项目的安全管理工作，本项目业主</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（以下简称“甲方”）与施工单位</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b/>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（以下简称“乙方”）特此签订安全生产合同：</w:t>
      </w:r>
    </w:p>
    <w:p w14:paraId="42B90A25">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一、甲方职责</w:t>
      </w:r>
    </w:p>
    <w:p w14:paraId="72DC1FFA">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1、严格遵守国家有关安全生产的法律法规，认真执行工程承包合同中的有关安全要求。</w:t>
      </w:r>
    </w:p>
    <w:p w14:paraId="4A1131D1">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2、重要的安全设施必须坚持与主体工程“三同时”的原则，即：同时设计、审批，同时施工，同时验收，投入使用。</w:t>
      </w:r>
    </w:p>
    <w:p w14:paraId="29807D81">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3、传达中央及地方有关安全生产的精神。</w:t>
      </w:r>
    </w:p>
    <w:p w14:paraId="0B20CADC">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4、不定期组织对乙方施工现场安全生产检查，监督乙方及时处理发现的各种安全隐患。</w:t>
      </w:r>
    </w:p>
    <w:p w14:paraId="071BBD35">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二、乙方职责</w:t>
      </w:r>
    </w:p>
    <w:p w14:paraId="0607A28E">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1、严格遵守国家有关安全生产的法律法规，认真执行工程承包合同中的有关安全要求。</w:t>
      </w:r>
    </w:p>
    <w:p w14:paraId="7ACB56F1">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坚持“安全第一、预防为主”和“管生产必须管安全”的原则，以《中华人民共和国安全生产法》和《国务院进一步加强安全生产的决定》为指南加强安全生产宣传教育，增强全员安全生产意识，健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233E5F9E">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乙方要建立健全安全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7C1BB021">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4、乙方在任何时候都应采取各种合理的预防措施，防止其员工发生任何违法、违禁、暴力或妨碍治安的行为。</w:t>
      </w:r>
    </w:p>
    <w:p w14:paraId="0F7E67CF">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w:t>
      </w:r>
    </w:p>
    <w:p w14:paraId="124DD09B">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6、乙方单位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7A77BEE3">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7、乙方应随时检查并监督施工单位操作人员上岗必须按规定穿戴防护用品。不按规定穿戴防护用品的人员不得上岗。</w:t>
      </w:r>
    </w:p>
    <w:p w14:paraId="5A67C022">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8、施工单位对所有施工机具设备和高空作业的设备均应定期检查，并有安全员的签字记录，保证其经常处于完好状态；不合格的机具、设备和劳动保护用品严禁使用。</w:t>
      </w:r>
    </w:p>
    <w:p w14:paraId="3A3166ED">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9、施工单位对施工中采用新技术、新工艺、新设备、新材料时，必须制定相应的安全技术措施，施工现场必须具有相关的安全标志牌。</w:t>
      </w:r>
    </w:p>
    <w:p w14:paraId="2E039046">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10、乙方必须按照本工种项目特点，施工单位组织制定本工种实施中的生产安全事故应急救援预案；如果发生安全事故，应按照《国务院关于特大安全事故行政责任追究的规定》以及其它有关规定，及时上报有关部门，并坚持“三不放过”的原则，严肃处理相关责任人。</w:t>
      </w:r>
    </w:p>
    <w:p w14:paraId="2579CF4A">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11、承包人严格执行《建设工程安全生产管理条例》。若施工单位在工程施工过程中发生安全事故，由施工单位负全责；施工单位在工程施工过程中发生安全事故，监理单位负连带责任。</w:t>
      </w:r>
    </w:p>
    <w:p w14:paraId="50805608">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三、违约责任</w:t>
      </w:r>
    </w:p>
    <w:p w14:paraId="21C11B4F">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如因甲方或乙方违约造成安全事故，将依法追究责任。</w:t>
      </w:r>
    </w:p>
    <w:p w14:paraId="344D6BF8">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本合同正本肆份，合同双方各执贰份，副本捌份，发包人执陆份，承包人执贰份。由双方法定代表人或其授权的代理人签署与加盖公章后生效，全部工程竣工验收后失效。</w:t>
      </w:r>
    </w:p>
    <w:p w14:paraId="710D4982">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p>
    <w:p w14:paraId="5155CB54">
      <w:pPr>
        <w:snapToGrid w:val="0"/>
        <w:spacing w:line="360" w:lineRule="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    甲    方：                   </w:t>
      </w:r>
      <w:r>
        <w:rPr>
          <w:rFonts w:hint="default" w:ascii="Times New Roman" w:hAnsi="Times New Roman" w:eastAsia="方正仿宋_GBK" w:cs="Times New Roman"/>
          <w:color w:val="auto"/>
          <w:sz w:val="21"/>
          <w:szCs w:val="21"/>
          <w:highlight w:val="none"/>
        </w:rPr>
        <w:tab/>
      </w:r>
      <w:r>
        <w:rPr>
          <w:rFonts w:hint="default" w:ascii="Times New Roman" w:hAnsi="Times New Roman" w:eastAsia="方正仿宋_GBK" w:cs="Times New Roman"/>
          <w:color w:val="auto"/>
          <w:sz w:val="21"/>
          <w:szCs w:val="21"/>
          <w:highlight w:val="none"/>
        </w:rPr>
        <w:t xml:space="preserve">           </w:t>
      </w:r>
      <w:r>
        <w:rPr>
          <w:rFonts w:hint="default" w:ascii="Times New Roman" w:hAnsi="Times New Roman" w:eastAsia="方正仿宋_GBK" w:cs="Times New Roman"/>
          <w:color w:val="auto"/>
          <w:sz w:val="21"/>
          <w:szCs w:val="21"/>
          <w:highlight w:val="none"/>
        </w:rPr>
        <w:tab/>
      </w:r>
      <w:r>
        <w:rPr>
          <w:rFonts w:hint="default" w:ascii="Times New Roman" w:hAnsi="Times New Roman" w:eastAsia="方正仿宋_GBK" w:cs="Times New Roman"/>
          <w:color w:val="auto"/>
          <w:sz w:val="21"/>
          <w:szCs w:val="21"/>
          <w:highlight w:val="none"/>
        </w:rPr>
        <w:tab/>
      </w:r>
      <w:r>
        <w:rPr>
          <w:rFonts w:hint="default" w:ascii="Times New Roman" w:hAnsi="Times New Roman" w:eastAsia="方正仿宋_GBK" w:cs="Times New Roman"/>
          <w:color w:val="auto"/>
          <w:sz w:val="21"/>
          <w:szCs w:val="21"/>
          <w:highlight w:val="none"/>
        </w:rPr>
        <w:t xml:space="preserve">       乙   方：</w:t>
      </w:r>
    </w:p>
    <w:p w14:paraId="0C0E5419">
      <w:pPr>
        <w:snapToGrid w:val="0"/>
        <w:spacing w:line="360" w:lineRule="auto"/>
        <w:rPr>
          <w:rFonts w:hint="default" w:ascii="Times New Roman" w:hAnsi="Times New Roman" w:eastAsia="方正仿宋_GBK" w:cs="Times New Roman"/>
          <w:color w:val="auto"/>
          <w:sz w:val="21"/>
          <w:szCs w:val="21"/>
          <w:highlight w:val="none"/>
        </w:rPr>
      </w:pPr>
    </w:p>
    <w:p w14:paraId="6094CA53">
      <w:pPr>
        <w:snapToGrid w:val="0"/>
        <w:spacing w:line="360" w:lineRule="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    法定代表人：　　　  　　　　　　</w:t>
      </w:r>
      <w:r>
        <w:rPr>
          <w:rFonts w:hint="default" w:ascii="Times New Roman" w:hAnsi="Times New Roman" w:eastAsia="方正仿宋_GBK" w:cs="Times New Roman"/>
          <w:color w:val="auto"/>
          <w:sz w:val="21"/>
          <w:szCs w:val="21"/>
          <w:highlight w:val="none"/>
        </w:rPr>
        <w:tab/>
      </w:r>
      <w:r>
        <w:rPr>
          <w:rFonts w:hint="default" w:ascii="Times New Roman" w:hAnsi="Times New Roman" w:eastAsia="方正仿宋_GBK" w:cs="Times New Roman"/>
          <w:color w:val="auto"/>
          <w:sz w:val="21"/>
          <w:szCs w:val="21"/>
          <w:highlight w:val="none"/>
        </w:rPr>
        <w:t xml:space="preserve">                   法定代表人：</w:t>
      </w:r>
    </w:p>
    <w:p w14:paraId="56142D98">
      <w:pPr>
        <w:snapToGrid w:val="0"/>
        <w:spacing w:line="360" w:lineRule="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    　　　　　　　　　　  　　　</w:t>
      </w:r>
    </w:p>
    <w:p w14:paraId="60F6E6EE">
      <w:pPr>
        <w:snapToGrid w:val="0"/>
        <w:spacing w:line="360" w:lineRule="auto"/>
        <w:ind w:firstLine="420" w:firstLineChars="20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年    月    日　　　　　　　　  </w:t>
      </w:r>
      <w:r>
        <w:rPr>
          <w:rFonts w:hint="default" w:ascii="Times New Roman" w:hAnsi="Times New Roman" w:eastAsia="方正仿宋_GBK" w:cs="Times New Roman"/>
          <w:color w:val="auto"/>
          <w:sz w:val="21"/>
          <w:szCs w:val="21"/>
          <w:highlight w:val="none"/>
        </w:rPr>
        <w:tab/>
      </w:r>
      <w:r>
        <w:rPr>
          <w:rFonts w:hint="default" w:ascii="Times New Roman" w:hAnsi="Times New Roman" w:eastAsia="方正仿宋_GBK" w:cs="Times New Roman"/>
          <w:color w:val="auto"/>
          <w:sz w:val="21"/>
          <w:szCs w:val="21"/>
          <w:highlight w:val="none"/>
        </w:rPr>
        <w:tab/>
      </w:r>
      <w:r>
        <w:rPr>
          <w:rFonts w:hint="default" w:ascii="Times New Roman" w:hAnsi="Times New Roman" w:eastAsia="方正仿宋_GBK" w:cs="Times New Roman"/>
          <w:color w:val="auto"/>
          <w:sz w:val="21"/>
          <w:szCs w:val="21"/>
          <w:highlight w:val="none"/>
        </w:rPr>
        <w:t xml:space="preserve">               年    月    日</w:t>
      </w:r>
    </w:p>
    <w:p w14:paraId="6483179B">
      <w:pPr>
        <w:spacing w:line="360" w:lineRule="auto"/>
        <w:ind w:firstLine="420" w:firstLineChars="200"/>
        <w:rPr>
          <w:rFonts w:hint="default" w:ascii="Times New Roman" w:hAnsi="Times New Roman" w:eastAsia="方正仿宋_GBK" w:cs="Times New Roman"/>
          <w:color w:val="auto"/>
          <w:sz w:val="21"/>
          <w:szCs w:val="21"/>
          <w:highlight w:val="none"/>
        </w:rPr>
      </w:pPr>
    </w:p>
    <w:p w14:paraId="2527BD7D">
      <w:pPr>
        <w:spacing w:line="360" w:lineRule="auto"/>
        <w:ind w:firstLine="420" w:firstLineChars="200"/>
        <w:rPr>
          <w:rFonts w:hint="default" w:ascii="Times New Roman" w:hAnsi="Times New Roman" w:eastAsia="方正仿宋_GBK" w:cs="Times New Roman"/>
          <w:color w:val="auto"/>
          <w:sz w:val="21"/>
          <w:szCs w:val="21"/>
          <w:highlight w:val="none"/>
        </w:rPr>
      </w:pPr>
    </w:p>
    <w:p w14:paraId="47ECD111">
      <w:pPr>
        <w:widowControl/>
        <w:snapToGrid w:val="0"/>
        <w:spacing w:line="324" w:lineRule="auto"/>
        <w:jc w:val="lef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br w:type="page"/>
      </w:r>
      <w:r>
        <w:rPr>
          <w:rFonts w:hint="default" w:ascii="Times New Roman" w:hAnsi="Times New Roman" w:eastAsia="方正仿宋_GBK" w:cs="Times New Roman"/>
          <w:color w:val="auto"/>
          <w:sz w:val="21"/>
          <w:szCs w:val="21"/>
          <w:highlight w:val="none"/>
        </w:rPr>
        <w:t xml:space="preserve">附件3： </w:t>
      </w:r>
    </w:p>
    <w:p w14:paraId="34363ED8">
      <w:pPr>
        <w:snapToGrid w:val="0"/>
        <w:spacing w:line="324" w:lineRule="auto"/>
        <w:jc w:val="center"/>
        <w:rPr>
          <w:rFonts w:hint="default" w:ascii="Times New Roman" w:hAnsi="Times New Roman" w:eastAsia="方正仿宋_GBK" w:cs="Times New Roman"/>
          <w:b/>
          <w:bCs/>
          <w:color w:val="auto"/>
          <w:sz w:val="21"/>
          <w:szCs w:val="21"/>
          <w:highlight w:val="none"/>
        </w:rPr>
      </w:pPr>
      <w:r>
        <w:rPr>
          <w:rFonts w:hint="default" w:ascii="Times New Roman" w:hAnsi="Times New Roman" w:eastAsia="方正仿宋_GBK" w:cs="Times New Roman"/>
          <w:b/>
          <w:bCs/>
          <w:color w:val="auto"/>
          <w:sz w:val="21"/>
          <w:szCs w:val="21"/>
          <w:highlight w:val="none"/>
        </w:rPr>
        <w:t>廉洁协议</w:t>
      </w:r>
    </w:p>
    <w:p w14:paraId="3CF44978">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发包人（甲方）：</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 xml:space="preserve"> </w:t>
      </w:r>
    </w:p>
    <w:p w14:paraId="3516BD78">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承包人（乙方）：</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 xml:space="preserve"> </w:t>
      </w:r>
    </w:p>
    <w:p w14:paraId="69A1993C">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为了在工程建设中防止各种不正当行为的发生，促进本单位的党风廉政建设，根据国家和</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有关工程承发包和廉政建设的各项规定以及</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关于《</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 xml:space="preserve">》，特订立如下协议： </w:t>
      </w:r>
    </w:p>
    <w:p w14:paraId="75D4C181">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一、甲乙双方应当共同自觉遵守国家和</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 xml:space="preserve">关于党风廉政建设的各项规定和关于建设工程承发包的各项规定。 </w:t>
      </w:r>
    </w:p>
    <w:p w14:paraId="501BFDB5">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二、甲方及其工作人员应做到 </w:t>
      </w:r>
    </w:p>
    <w:p w14:paraId="65CDD419">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（一）甲方工作人员（含家属、子女，下同）不得以任何形式向乙方索要赞助和收受回扣等好处费。 </w:t>
      </w:r>
    </w:p>
    <w:p w14:paraId="77FB0810">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二）甲方工作人员应当保持与乙方的正常业务交往，不得接受乙方的礼金、有价证券和贵重物品，不得向乙方索要（或接受）通讯工具、交通工具、家电及高档办公用品，不得在乙方报销任何应由单位或个人支付的费用。 </w:t>
      </w:r>
    </w:p>
    <w:p w14:paraId="25BD4F8F">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（三）甲方工作人员不得参加可能影响公正执行公务的宴请和高消费的娱乐活动。 </w:t>
      </w:r>
    </w:p>
    <w:p w14:paraId="17D969AA">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（四）甲方工作人员不得要求或者接受乙方为其住房装修、婚丧嫁娶、家属和子女的工作安排，以及出国出境提供方便。 </w:t>
      </w:r>
    </w:p>
    <w:p w14:paraId="23ED5539">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（五）甲方工作人员不得以考察、参观等名义参加乙方安排的国内外旅游活动。 </w:t>
      </w:r>
    </w:p>
    <w:p w14:paraId="62A0F304">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（六）甲方工作人员不得向乙方介绍家属或亲友从事与甲方工程有关的材料设备供应、工程分包等经济活动。 </w:t>
      </w:r>
    </w:p>
    <w:p w14:paraId="5CFB0851">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三、乙方及其工作人员应当做到 </w:t>
      </w:r>
    </w:p>
    <w:p w14:paraId="478460A4">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（一）乙方应当通过正常途径开展相对业务工作，不得为获取某些不正当利益而向甲方工作人员（含家属、子女，下同）赠送礼金、有价证券和贵重物品等。 </w:t>
      </w:r>
    </w:p>
    <w:p w14:paraId="7C133D75">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（二）乙方工作人员不得为谋取私利擅自与甲方工作人员就工程承包、工程费用、材料设备供应、工程量变动、工程验收、工程质量问题处理等进行私下商谈或者达成默契。 </w:t>
      </w:r>
    </w:p>
    <w:p w14:paraId="71032429">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（三）乙方不得以洽谈业务、签订经济协议等为借口，邀请甲方工作人员外出旅游或进入营业性高档娱乐场所。 </w:t>
      </w:r>
    </w:p>
    <w:p w14:paraId="0BDBDF04">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（四）乙方不得为甲方单位和个人购置或者提供通讯工具、交通工具、家电及高档办公用品等物品。 </w:t>
      </w:r>
    </w:p>
    <w:p w14:paraId="1CDEA89A">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四、乙方如发现甲方及其工作人员有违反上述协议者，应当向甲方领导或者甲方上级单位举报，甲方不得找任何借口对乙方进行报复或刁难、延误工作。 </w:t>
      </w:r>
    </w:p>
    <w:p w14:paraId="07BD15BC">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五、甲方发现乙方有违反本协议或者采用不正当的手段贿赂甲方工作人员，甲方应向乙方上级领导或有关部门举报，由此给甲方单位造成的损失均由乙方承担。 </w:t>
      </w:r>
    </w:p>
    <w:p w14:paraId="662D4B64">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六、本协议作为工程承发包协议的附件，经协议双方签署后立即生效。 </w:t>
      </w:r>
    </w:p>
    <w:p w14:paraId="4F826E9B">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七、本协议一式四份，甲乙双方各执一份，送交见证部门和纪检监察机关各一份。 </w:t>
      </w:r>
    </w:p>
    <w:p w14:paraId="051094F2">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甲方（盖章）：</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 xml:space="preserve">   乙方（盖章）：</w:t>
      </w:r>
      <w:r>
        <w:rPr>
          <w:rFonts w:hint="default" w:ascii="Times New Roman" w:hAnsi="Times New Roman" w:eastAsia="方正仿宋_GBK" w:cs="Times New Roman"/>
          <w:color w:val="auto"/>
          <w:sz w:val="21"/>
          <w:szCs w:val="21"/>
          <w:highlight w:val="none"/>
          <w:u w:val="single"/>
        </w:rPr>
        <w:t xml:space="preserve">               </w:t>
      </w:r>
    </w:p>
    <w:p w14:paraId="5EFD5830">
      <w:pPr>
        <w:snapToGrid w:val="0"/>
        <w:spacing w:line="324" w:lineRule="auto"/>
        <w:ind w:firstLine="560"/>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法定代表人（签字）：</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 xml:space="preserve">   法定代表人（签字）：</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 xml:space="preserve"> </w:t>
      </w:r>
    </w:p>
    <w:p w14:paraId="61FB07A4">
      <w:pPr>
        <w:tabs>
          <w:tab w:val="left" w:pos="9000"/>
        </w:tabs>
        <w:spacing w:line="276" w:lineRule="auto"/>
        <w:jc w:val="center"/>
        <w:rPr>
          <w:rFonts w:hint="default" w:ascii="Times New Roman" w:hAnsi="Times New Roman" w:eastAsia="方正仿宋_GBK" w:cs="Times New Roman"/>
          <w:color w:val="auto"/>
          <w:sz w:val="16"/>
          <w:szCs w:val="16"/>
          <w:highlight w:val="none"/>
        </w:rPr>
      </w:pP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年</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月</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 xml:space="preserve">日               </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年</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月</w:t>
      </w:r>
      <w:r>
        <w:rPr>
          <w:rFonts w:hint="default" w:ascii="Times New Roman" w:hAnsi="Times New Roman" w:eastAsia="方正仿宋_GBK" w:cs="Times New Roman"/>
          <w:color w:val="auto"/>
          <w:sz w:val="21"/>
          <w:szCs w:val="21"/>
          <w:highlight w:val="none"/>
          <w:u w:val="single"/>
        </w:rPr>
        <w:t xml:space="preserve">   </w:t>
      </w:r>
      <w:r>
        <w:rPr>
          <w:rFonts w:hint="default" w:ascii="Times New Roman" w:hAnsi="Times New Roman" w:eastAsia="方正仿宋_GBK" w:cs="Times New Roman"/>
          <w:color w:val="auto"/>
          <w:sz w:val="21"/>
          <w:szCs w:val="21"/>
          <w:highlight w:val="none"/>
        </w:rPr>
        <w:t>日</w:t>
      </w:r>
    </w:p>
    <w:p w14:paraId="1DFDC864">
      <w:pPr>
        <w:pStyle w:val="2"/>
        <w:spacing w:before="0" w:after="0" w:line="360" w:lineRule="auto"/>
        <w:jc w:val="center"/>
        <w:rPr>
          <w:rFonts w:hint="default" w:ascii="Times New Roman" w:hAnsi="Times New Roman" w:eastAsia="方正仿宋_GBK" w:cs="Times New Roman"/>
          <w:b w:val="0"/>
          <w:color w:val="auto"/>
          <w:sz w:val="24"/>
          <w:szCs w:val="24"/>
          <w:highlight w:val="none"/>
        </w:rPr>
      </w:pPr>
    </w:p>
    <w:p w14:paraId="4BF9C09D">
      <w:pPr>
        <w:pStyle w:val="2"/>
        <w:spacing w:before="0" w:after="0" w:line="360" w:lineRule="auto"/>
        <w:jc w:val="center"/>
        <w:rPr>
          <w:rFonts w:hint="default" w:ascii="Times New Roman" w:hAnsi="Times New Roman" w:eastAsia="方正仿宋_GBK" w:cs="Times New Roman"/>
          <w:b w:val="0"/>
          <w:color w:val="auto"/>
          <w:sz w:val="24"/>
          <w:szCs w:val="24"/>
          <w:highlight w:val="none"/>
        </w:rPr>
      </w:pPr>
    </w:p>
    <w:p w14:paraId="209015D8">
      <w:pPr>
        <w:pStyle w:val="2"/>
        <w:spacing w:before="0" w:after="0" w:line="360" w:lineRule="auto"/>
        <w:jc w:val="center"/>
        <w:rPr>
          <w:rFonts w:hint="default" w:ascii="Times New Roman" w:hAnsi="Times New Roman" w:eastAsia="方正仿宋_GBK" w:cs="Times New Roman"/>
          <w:b w:val="0"/>
          <w:color w:val="auto"/>
          <w:sz w:val="24"/>
          <w:szCs w:val="24"/>
          <w:highlight w:val="none"/>
        </w:rPr>
      </w:pPr>
    </w:p>
    <w:p w14:paraId="132C3D2F">
      <w:pPr>
        <w:pStyle w:val="2"/>
        <w:spacing w:before="0" w:after="0" w:line="360" w:lineRule="auto"/>
        <w:jc w:val="center"/>
        <w:rPr>
          <w:rFonts w:hint="default" w:ascii="Times New Roman" w:hAnsi="Times New Roman" w:eastAsia="方正仿宋_GBK" w:cs="Times New Roman"/>
          <w:b w:val="0"/>
          <w:color w:val="auto"/>
          <w:sz w:val="24"/>
          <w:szCs w:val="24"/>
          <w:highlight w:val="none"/>
        </w:rPr>
      </w:pPr>
    </w:p>
    <w:p w14:paraId="1BC000ED">
      <w:pPr>
        <w:pStyle w:val="2"/>
        <w:spacing w:before="0" w:after="0" w:line="360" w:lineRule="auto"/>
        <w:jc w:val="center"/>
        <w:rPr>
          <w:rFonts w:hint="default" w:ascii="Times New Roman" w:hAnsi="Times New Roman" w:eastAsia="方正仿宋_GBK" w:cs="Times New Roman"/>
          <w:b w:val="0"/>
          <w:color w:val="auto"/>
          <w:sz w:val="24"/>
          <w:szCs w:val="24"/>
          <w:highlight w:val="none"/>
        </w:rPr>
      </w:pPr>
    </w:p>
    <w:p w14:paraId="1B4921B9">
      <w:pPr>
        <w:pStyle w:val="2"/>
        <w:spacing w:before="0" w:after="0" w:line="360" w:lineRule="auto"/>
        <w:jc w:val="center"/>
        <w:rPr>
          <w:rFonts w:hint="default" w:ascii="Times New Roman" w:hAnsi="Times New Roman" w:eastAsia="方正仿宋_GBK" w:cs="Times New Roman"/>
          <w:b w:val="0"/>
          <w:color w:val="auto"/>
          <w:sz w:val="24"/>
          <w:szCs w:val="24"/>
          <w:highlight w:val="none"/>
        </w:rPr>
      </w:pPr>
    </w:p>
    <w:p w14:paraId="67D50605">
      <w:pPr>
        <w:pStyle w:val="2"/>
        <w:spacing w:before="0" w:after="0" w:line="360" w:lineRule="auto"/>
        <w:jc w:val="center"/>
        <w:rPr>
          <w:rFonts w:hint="default" w:ascii="Times New Roman" w:hAnsi="Times New Roman" w:eastAsia="方正仿宋_GBK" w:cs="Times New Roman"/>
          <w:b w:val="0"/>
          <w:color w:val="auto"/>
          <w:sz w:val="24"/>
          <w:szCs w:val="24"/>
          <w:highlight w:val="none"/>
        </w:rPr>
      </w:pPr>
    </w:p>
    <w:p w14:paraId="54E8175B">
      <w:pPr>
        <w:pStyle w:val="2"/>
        <w:spacing w:before="0" w:after="0" w:line="360" w:lineRule="auto"/>
        <w:jc w:val="center"/>
        <w:rPr>
          <w:rFonts w:hint="default" w:ascii="Times New Roman" w:hAnsi="Times New Roman" w:eastAsia="方正仿宋_GBK" w:cs="Times New Roman"/>
          <w:b w:val="0"/>
          <w:color w:val="auto"/>
          <w:sz w:val="24"/>
          <w:szCs w:val="24"/>
          <w:highlight w:val="none"/>
        </w:rPr>
      </w:pPr>
    </w:p>
    <w:p w14:paraId="769ADD13">
      <w:pPr>
        <w:pStyle w:val="2"/>
        <w:spacing w:before="0" w:after="0" w:line="360" w:lineRule="auto"/>
        <w:jc w:val="center"/>
        <w:rPr>
          <w:rFonts w:hint="default" w:ascii="Times New Roman" w:hAnsi="Times New Roman" w:eastAsia="方正仿宋_GBK" w:cs="Times New Roman"/>
          <w:b w:val="0"/>
          <w:color w:val="auto"/>
          <w:sz w:val="24"/>
          <w:szCs w:val="24"/>
          <w:highlight w:val="none"/>
        </w:rPr>
      </w:pPr>
    </w:p>
    <w:p w14:paraId="6DB467C3">
      <w:pPr>
        <w:rPr>
          <w:rFonts w:hint="default" w:ascii="Times New Roman" w:hAnsi="Times New Roman" w:eastAsia="方正仿宋_GBK" w:cs="Times New Roman"/>
          <w:b w:val="0"/>
          <w:color w:val="auto"/>
          <w:sz w:val="24"/>
          <w:szCs w:val="24"/>
          <w:highlight w:val="none"/>
        </w:rPr>
      </w:pPr>
    </w:p>
    <w:p w14:paraId="3BD9956E">
      <w:pPr>
        <w:pStyle w:val="6"/>
        <w:rPr>
          <w:rFonts w:hint="default" w:ascii="Times New Roman" w:hAnsi="Times New Roman" w:eastAsia="方正仿宋_GBK" w:cs="Times New Roman"/>
          <w:b w:val="0"/>
          <w:color w:val="auto"/>
          <w:sz w:val="24"/>
          <w:szCs w:val="24"/>
          <w:highlight w:val="none"/>
        </w:rPr>
      </w:pPr>
    </w:p>
    <w:p w14:paraId="4411220D">
      <w:pPr>
        <w:rPr>
          <w:rFonts w:hint="default" w:ascii="Times New Roman" w:hAnsi="Times New Roman" w:eastAsia="方正仿宋_GBK" w:cs="Times New Roman"/>
          <w:b w:val="0"/>
          <w:color w:val="auto"/>
          <w:sz w:val="24"/>
          <w:szCs w:val="24"/>
          <w:highlight w:val="none"/>
        </w:rPr>
      </w:pPr>
    </w:p>
    <w:p w14:paraId="69C87293">
      <w:pPr>
        <w:pStyle w:val="6"/>
        <w:rPr>
          <w:rFonts w:hint="default" w:ascii="Times New Roman" w:hAnsi="Times New Roman" w:eastAsia="方正仿宋_GBK" w:cs="Times New Roman"/>
          <w:b w:val="0"/>
          <w:color w:val="auto"/>
          <w:sz w:val="24"/>
          <w:szCs w:val="24"/>
          <w:highlight w:val="none"/>
        </w:rPr>
      </w:pPr>
    </w:p>
    <w:p w14:paraId="551DEBB9">
      <w:pPr>
        <w:rPr>
          <w:rFonts w:hint="default" w:ascii="Times New Roman" w:hAnsi="Times New Roman" w:eastAsia="方正仿宋_GBK" w:cs="Times New Roman"/>
          <w:b w:val="0"/>
          <w:color w:val="auto"/>
          <w:sz w:val="24"/>
          <w:szCs w:val="24"/>
          <w:highlight w:val="none"/>
        </w:rPr>
      </w:pPr>
    </w:p>
    <w:p w14:paraId="655DB8EA">
      <w:pPr>
        <w:pStyle w:val="6"/>
        <w:rPr>
          <w:rFonts w:hint="default" w:ascii="Times New Roman" w:hAnsi="Times New Roman" w:eastAsia="方正仿宋_GBK" w:cs="Times New Roman"/>
          <w:b w:val="0"/>
          <w:color w:val="auto"/>
          <w:sz w:val="24"/>
          <w:szCs w:val="24"/>
          <w:highlight w:val="none"/>
        </w:rPr>
      </w:pPr>
    </w:p>
    <w:p w14:paraId="7173D246">
      <w:pPr>
        <w:rPr>
          <w:rFonts w:hint="default" w:ascii="Times New Roman" w:hAnsi="Times New Roman" w:eastAsia="方正仿宋_GBK" w:cs="Times New Roman"/>
          <w:b w:val="0"/>
          <w:color w:val="auto"/>
          <w:sz w:val="24"/>
          <w:szCs w:val="24"/>
          <w:highlight w:val="none"/>
        </w:rPr>
      </w:pPr>
    </w:p>
    <w:p w14:paraId="2C38E95A">
      <w:pPr>
        <w:pStyle w:val="6"/>
        <w:rPr>
          <w:rFonts w:hint="default" w:ascii="Times New Roman" w:hAnsi="Times New Roman" w:eastAsia="方正仿宋_GBK" w:cs="Times New Roman"/>
          <w:b w:val="0"/>
          <w:color w:val="auto"/>
          <w:sz w:val="24"/>
          <w:szCs w:val="24"/>
          <w:highlight w:val="none"/>
        </w:rPr>
      </w:pPr>
    </w:p>
    <w:p w14:paraId="4BC67637">
      <w:pPr>
        <w:rPr>
          <w:rFonts w:hint="default" w:ascii="Times New Roman" w:hAnsi="Times New Roman" w:eastAsia="方正仿宋_GBK" w:cs="Times New Roman"/>
          <w:b w:val="0"/>
          <w:color w:val="auto"/>
          <w:sz w:val="24"/>
          <w:szCs w:val="24"/>
          <w:highlight w:val="none"/>
        </w:rPr>
      </w:pPr>
    </w:p>
    <w:p w14:paraId="0FF36F56">
      <w:pPr>
        <w:pStyle w:val="6"/>
        <w:rPr>
          <w:rFonts w:hint="default" w:ascii="Times New Roman" w:hAnsi="Times New Roman" w:eastAsia="方正仿宋_GBK" w:cs="Times New Roman"/>
          <w:b w:val="0"/>
          <w:color w:val="auto"/>
          <w:sz w:val="24"/>
          <w:szCs w:val="24"/>
          <w:highlight w:val="none"/>
        </w:rPr>
      </w:pPr>
    </w:p>
    <w:p w14:paraId="33497113">
      <w:pPr>
        <w:rPr>
          <w:rFonts w:hint="default" w:ascii="Times New Roman" w:hAnsi="Times New Roman" w:eastAsia="方正仿宋_GBK" w:cs="Times New Roman"/>
          <w:b w:val="0"/>
          <w:color w:val="auto"/>
          <w:sz w:val="24"/>
          <w:szCs w:val="24"/>
          <w:highlight w:val="none"/>
        </w:rPr>
      </w:pPr>
    </w:p>
    <w:p w14:paraId="6918A4BB">
      <w:pPr>
        <w:pStyle w:val="6"/>
        <w:rPr>
          <w:rFonts w:hint="default" w:ascii="Times New Roman" w:hAnsi="Times New Roman" w:eastAsia="方正仿宋_GBK" w:cs="Times New Roman"/>
          <w:b w:val="0"/>
          <w:color w:val="auto"/>
          <w:sz w:val="24"/>
          <w:szCs w:val="24"/>
          <w:highlight w:val="none"/>
        </w:rPr>
      </w:pPr>
    </w:p>
    <w:p w14:paraId="0F494DED">
      <w:pPr>
        <w:rPr>
          <w:rFonts w:hint="default" w:ascii="Times New Roman" w:hAnsi="Times New Roman" w:eastAsia="方正仿宋_GBK" w:cs="Times New Roman"/>
          <w:b w:val="0"/>
          <w:color w:val="auto"/>
          <w:sz w:val="24"/>
          <w:szCs w:val="24"/>
          <w:highlight w:val="none"/>
        </w:rPr>
      </w:pPr>
    </w:p>
    <w:p w14:paraId="0E66E2ED">
      <w:pPr>
        <w:pStyle w:val="6"/>
        <w:rPr>
          <w:rFonts w:hint="default" w:ascii="Times New Roman" w:hAnsi="Times New Roman" w:eastAsia="方正仿宋_GBK" w:cs="Times New Roman"/>
          <w:b w:val="0"/>
          <w:color w:val="auto"/>
          <w:sz w:val="24"/>
          <w:szCs w:val="24"/>
          <w:highlight w:val="none"/>
        </w:rPr>
      </w:pPr>
    </w:p>
    <w:p w14:paraId="42CADE35">
      <w:pPr>
        <w:rPr>
          <w:rFonts w:hint="default"/>
        </w:rPr>
      </w:pPr>
    </w:p>
    <w:p w14:paraId="05CE7296">
      <w:pPr>
        <w:pStyle w:val="2"/>
        <w:spacing w:before="0" w:after="0" w:line="360" w:lineRule="auto"/>
        <w:jc w:val="center"/>
        <w:rPr>
          <w:rFonts w:hint="default" w:ascii="Times New Roman" w:hAnsi="Times New Roman" w:eastAsia="方正仿宋_GBK" w:cs="Times New Roman"/>
          <w:b w:val="0"/>
          <w:color w:val="auto"/>
          <w:sz w:val="24"/>
          <w:szCs w:val="24"/>
          <w:highlight w:val="none"/>
        </w:rPr>
      </w:pPr>
    </w:p>
    <w:p w14:paraId="0E27FFF7">
      <w:pPr>
        <w:pStyle w:val="2"/>
        <w:spacing w:before="0" w:after="0" w:line="360" w:lineRule="auto"/>
        <w:jc w:val="center"/>
        <w:rPr>
          <w:rFonts w:hint="default" w:ascii="Times New Roman" w:hAnsi="Times New Roman" w:eastAsia="方正仿宋_GBK" w:cs="Times New Roman"/>
          <w:b w:val="0"/>
          <w:color w:val="auto"/>
          <w:sz w:val="24"/>
          <w:szCs w:val="24"/>
          <w:highlight w:val="none"/>
        </w:rPr>
      </w:pPr>
    </w:p>
    <w:p w14:paraId="3DB81484">
      <w:pPr>
        <w:pStyle w:val="2"/>
        <w:spacing w:before="0" w:after="0" w:line="360" w:lineRule="auto"/>
        <w:jc w:val="center"/>
        <w:rPr>
          <w:rFonts w:hint="default" w:ascii="Times New Roman" w:hAnsi="Times New Roman" w:eastAsia="方正仿宋_GBK" w:cs="Times New Roman"/>
          <w:b w:val="0"/>
          <w:color w:val="auto"/>
          <w:sz w:val="24"/>
          <w:szCs w:val="24"/>
          <w:highlight w:val="none"/>
        </w:rPr>
      </w:pPr>
    </w:p>
    <w:p w14:paraId="6759E42D">
      <w:pPr>
        <w:pStyle w:val="2"/>
        <w:spacing w:before="0" w:after="0" w:line="360" w:lineRule="auto"/>
        <w:jc w:val="center"/>
        <w:rPr>
          <w:rFonts w:hint="default" w:ascii="Times New Roman" w:hAnsi="Times New Roman" w:eastAsia="方正仿宋_GBK" w:cs="Times New Roman"/>
          <w:b w:val="0"/>
          <w:color w:val="auto"/>
          <w:sz w:val="24"/>
          <w:szCs w:val="24"/>
          <w:highlight w:val="none"/>
        </w:rPr>
      </w:pPr>
    </w:p>
    <w:p w14:paraId="65A2F742">
      <w:pPr>
        <w:rPr>
          <w:rFonts w:hint="default" w:ascii="Times New Roman" w:hAnsi="Times New Roman" w:eastAsia="方正仿宋_GBK" w:cs="Times New Roman"/>
          <w:b w:val="0"/>
          <w:color w:val="auto"/>
          <w:sz w:val="24"/>
          <w:szCs w:val="24"/>
          <w:highlight w:val="none"/>
        </w:rPr>
      </w:pPr>
    </w:p>
    <w:p w14:paraId="73DA766F">
      <w:pPr>
        <w:pStyle w:val="6"/>
        <w:rPr>
          <w:rFonts w:hint="default"/>
        </w:rPr>
      </w:pPr>
    </w:p>
    <w:p w14:paraId="061D8209">
      <w:pPr>
        <w:pStyle w:val="2"/>
        <w:spacing w:before="0" w:after="0" w:line="360" w:lineRule="auto"/>
        <w:jc w:val="center"/>
        <w:rPr>
          <w:rFonts w:hint="default" w:ascii="Times New Roman" w:hAnsi="Times New Roman" w:eastAsia="方正仿宋_GBK" w:cs="Times New Roman"/>
          <w:b w:val="0"/>
          <w:color w:val="auto"/>
          <w:sz w:val="24"/>
          <w:szCs w:val="24"/>
          <w:highlight w:val="none"/>
        </w:rPr>
      </w:pPr>
    </w:p>
    <w:p w14:paraId="42B87A1D">
      <w:pPr>
        <w:pStyle w:val="2"/>
        <w:spacing w:before="0" w:after="0" w:line="360" w:lineRule="auto"/>
        <w:jc w:val="center"/>
        <w:rPr>
          <w:rFonts w:hint="default" w:ascii="Times New Roman" w:hAnsi="Times New Roman" w:eastAsia="方正仿宋_GBK" w:cs="Times New Roman"/>
          <w:b w:val="0"/>
          <w:color w:val="auto"/>
          <w:sz w:val="24"/>
          <w:szCs w:val="24"/>
          <w:highlight w:val="none"/>
        </w:rPr>
      </w:pPr>
    </w:p>
    <w:p w14:paraId="01B1D5F0">
      <w:pPr>
        <w:rPr>
          <w:rFonts w:hint="default"/>
        </w:rPr>
      </w:pPr>
    </w:p>
    <w:p w14:paraId="6D187FAA">
      <w:pPr>
        <w:pStyle w:val="2"/>
        <w:spacing w:before="0" w:after="0" w:line="360" w:lineRule="auto"/>
        <w:jc w:val="center"/>
        <w:rPr>
          <w:rFonts w:hint="default" w:ascii="Times New Roman" w:hAnsi="Times New Roman" w:eastAsia="方正仿宋_GBK" w:cs="Times New Roman"/>
          <w:b/>
          <w:bCs/>
          <w:color w:val="auto"/>
          <w:sz w:val="36"/>
          <w:szCs w:val="30"/>
          <w:highlight w:val="none"/>
        </w:rPr>
      </w:pPr>
      <w:r>
        <w:rPr>
          <w:rFonts w:hint="default" w:ascii="Times New Roman" w:hAnsi="Times New Roman" w:eastAsia="方正仿宋_GBK" w:cs="Times New Roman"/>
          <w:b/>
          <w:bCs/>
          <w:color w:val="auto"/>
          <w:sz w:val="36"/>
          <w:szCs w:val="30"/>
          <w:highlight w:val="none"/>
        </w:rPr>
        <w:t xml:space="preserve">第七篇  </w:t>
      </w:r>
      <w:r>
        <w:rPr>
          <w:rFonts w:hint="default" w:ascii="Times New Roman" w:hAnsi="Times New Roman" w:eastAsia="方正仿宋_GBK" w:cs="Times New Roman"/>
          <w:b/>
          <w:bCs/>
          <w:color w:val="auto"/>
          <w:sz w:val="36"/>
          <w:szCs w:val="30"/>
          <w:highlight w:val="none"/>
          <w:lang w:val="en-US" w:eastAsia="zh-CN"/>
        </w:rPr>
        <w:t>电子</w:t>
      </w:r>
      <w:r>
        <w:rPr>
          <w:rFonts w:hint="default" w:ascii="Times New Roman" w:hAnsi="Times New Roman" w:eastAsia="方正仿宋_GBK" w:cs="Times New Roman"/>
          <w:b/>
          <w:bCs/>
          <w:color w:val="auto"/>
          <w:sz w:val="36"/>
          <w:szCs w:val="30"/>
          <w:highlight w:val="none"/>
        </w:rPr>
        <w:t>响应文件编制要求</w:t>
      </w:r>
      <w:bookmarkEnd w:id="132"/>
      <w:bookmarkEnd w:id="133"/>
    </w:p>
    <w:p w14:paraId="3C756F41">
      <w:pPr>
        <w:spacing w:line="440" w:lineRule="exact"/>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一、经济部分</w:t>
      </w:r>
    </w:p>
    <w:p w14:paraId="6D1933D6">
      <w:pPr>
        <w:spacing w:line="400" w:lineRule="exact"/>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（一）网上竞采报价函</w:t>
      </w:r>
    </w:p>
    <w:p w14:paraId="75188DD3">
      <w:pPr>
        <w:pStyle w:val="35"/>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（二）开标一览表</w:t>
      </w:r>
    </w:p>
    <w:p w14:paraId="4B24002A">
      <w:pPr>
        <w:pStyle w:val="35"/>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（三）已标价工程量清单</w:t>
      </w:r>
    </w:p>
    <w:p w14:paraId="4FC55EC5">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二</w:t>
      </w:r>
      <w:r>
        <w:rPr>
          <w:rFonts w:hint="default" w:ascii="Times New Roman" w:hAnsi="Times New Roman" w:eastAsia="方正仿宋_GBK" w:cs="Times New Roman"/>
          <w:color w:val="auto"/>
          <w:sz w:val="24"/>
          <w:szCs w:val="24"/>
          <w:highlight w:val="none"/>
        </w:rPr>
        <w:t>、技术部分</w:t>
      </w:r>
    </w:p>
    <w:p w14:paraId="09409A63">
      <w:pPr>
        <w:spacing w:line="440" w:lineRule="exact"/>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（一）技术响应偏离表</w:t>
      </w:r>
    </w:p>
    <w:p w14:paraId="03FEFA2F">
      <w:pPr>
        <w:pStyle w:val="6"/>
        <w:ind w:firstLine="480" w:firstLineChars="200"/>
        <w:rPr>
          <w:rFonts w:hint="default" w:ascii="Times New Roman" w:hAnsi="Times New Roman" w:eastAsia="方正仿宋_GBK" w:cs="Times New Roman"/>
          <w:highlight w:val="none"/>
          <w:lang w:val="en-US" w:eastAsia="zh-CN"/>
        </w:rPr>
      </w:pP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二）技术方案（格式自拟）</w:t>
      </w:r>
    </w:p>
    <w:p w14:paraId="240731A5">
      <w:pPr>
        <w:spacing w:line="400" w:lineRule="exact"/>
        <w:ind w:firstLine="480" w:firstLineChars="200"/>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三</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）技术部分其他资料</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如有）</w:t>
      </w:r>
    </w:p>
    <w:p w14:paraId="755638FB">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三</w:t>
      </w:r>
      <w:r>
        <w:rPr>
          <w:rFonts w:hint="default" w:ascii="Times New Roman" w:hAnsi="Times New Roman" w:eastAsia="方正仿宋_GBK" w:cs="Times New Roman"/>
          <w:color w:val="auto"/>
          <w:sz w:val="24"/>
          <w:szCs w:val="24"/>
          <w:highlight w:val="none"/>
        </w:rPr>
        <w:t>、商务部分</w:t>
      </w:r>
    </w:p>
    <w:p w14:paraId="2FA9434D">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（一）商务响应偏离表</w:t>
      </w:r>
    </w:p>
    <w:p w14:paraId="0673D9E6">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（二）其它优惠服务承诺（格式自拟）</w:t>
      </w:r>
    </w:p>
    <w:p w14:paraId="20D8C62A">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四</w:t>
      </w:r>
      <w:r>
        <w:rPr>
          <w:rFonts w:hint="default" w:ascii="Times New Roman" w:hAnsi="Times New Roman" w:eastAsia="方正仿宋_GBK" w:cs="Times New Roman"/>
          <w:color w:val="auto"/>
          <w:sz w:val="24"/>
          <w:szCs w:val="24"/>
          <w:highlight w:val="none"/>
        </w:rPr>
        <w:t>、资格条件及其他</w:t>
      </w:r>
    </w:p>
    <w:p w14:paraId="418296B9">
      <w:pPr>
        <w:snapToGrid w:val="0"/>
        <w:spacing w:line="400" w:lineRule="exact"/>
        <w:ind w:firstLine="480" w:firstLineChars="200"/>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（一）法人营业执照（副本）或事业单位法人证书（副本）或个体工商户营业执照或有效的自然人身份证明或社会团体法人登记证书</w:t>
      </w:r>
      <w:r>
        <w:rPr>
          <w:rFonts w:hint="default" w:ascii="Times New Roman" w:hAnsi="Times New Roman" w:eastAsia="方正仿宋_GBK" w:cs="Times New Roman"/>
          <w:color w:val="auto"/>
          <w:sz w:val="24"/>
          <w:szCs w:val="24"/>
          <w:highlight w:val="none"/>
          <w:lang w:eastAsia="zh-CN"/>
        </w:rPr>
        <w:t>扫描件</w:t>
      </w:r>
    </w:p>
    <w:p w14:paraId="146C19E1">
      <w:pPr>
        <w:snapToGrid w:val="0"/>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（二）法定代表人身份证明书（格式）</w:t>
      </w:r>
    </w:p>
    <w:p w14:paraId="54EE7A03">
      <w:pPr>
        <w:snapToGrid w:val="0"/>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（三）法定代表人授权委托书（格式）</w:t>
      </w:r>
    </w:p>
    <w:p w14:paraId="0B267FDB">
      <w:pPr>
        <w:snapToGrid w:val="0"/>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（四）基本资格条件承诺函（格式）</w:t>
      </w:r>
    </w:p>
    <w:p w14:paraId="0C820E19">
      <w:pPr>
        <w:snapToGrid w:val="0"/>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（五）特定资格条件证书或证明文件</w:t>
      </w:r>
    </w:p>
    <w:p w14:paraId="62B05354">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五</w:t>
      </w:r>
      <w:r>
        <w:rPr>
          <w:rFonts w:hint="default" w:ascii="Times New Roman" w:hAnsi="Times New Roman" w:eastAsia="方正仿宋_GBK" w:cs="Times New Roman"/>
          <w:color w:val="auto"/>
          <w:sz w:val="24"/>
          <w:szCs w:val="24"/>
          <w:highlight w:val="none"/>
        </w:rPr>
        <w:t>、其他资料</w:t>
      </w:r>
    </w:p>
    <w:p w14:paraId="02AFBB8F">
      <w:pPr>
        <w:snapToGrid w:val="0"/>
        <w:spacing w:line="400" w:lineRule="exact"/>
        <w:ind w:firstLine="480" w:firstLineChars="200"/>
        <w:rPr>
          <w:rFonts w:hint="default" w:ascii="Times New Roman" w:hAnsi="Times New Roman" w:eastAsia="方正仿宋_GBK" w:cs="Times New Roman"/>
          <w:color w:val="auto"/>
          <w:sz w:val="24"/>
          <w:szCs w:val="24"/>
          <w:highlight w:val="none"/>
        </w:rPr>
        <w:sectPr>
          <w:headerReference r:id="rId10" w:type="default"/>
          <w:footerReference r:id="rId11" w:type="default"/>
          <w:pgSz w:w="11907" w:h="16840"/>
          <w:pgMar w:top="1134" w:right="1191" w:bottom="1134" w:left="1304" w:header="851" w:footer="992" w:gutter="0"/>
          <w:pgNumType w:fmt="decimal"/>
          <w:cols w:space="720" w:num="1"/>
          <w:docGrid w:linePitch="380" w:charSpace="-5735"/>
        </w:sectPr>
      </w:pP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val="en-US" w:eastAsia="zh-CN"/>
        </w:rPr>
        <w:t>一</w:t>
      </w:r>
      <w:r>
        <w:rPr>
          <w:rFonts w:hint="default" w:ascii="Times New Roman" w:hAnsi="Times New Roman" w:eastAsia="方正仿宋_GBK" w:cs="Times New Roman"/>
          <w:color w:val="auto"/>
          <w:sz w:val="24"/>
          <w:szCs w:val="24"/>
          <w:highlight w:val="none"/>
        </w:rPr>
        <w:t>）其他与项目有关的资料</w:t>
      </w:r>
    </w:p>
    <w:p w14:paraId="2CDB986A">
      <w:pPr>
        <w:rPr>
          <w:rFonts w:hint="default" w:ascii="Times New Roman" w:hAnsi="Times New Roman" w:eastAsia="方正仿宋_GBK" w:cs="Times New Roman"/>
          <w:color w:val="auto"/>
          <w:sz w:val="24"/>
          <w:highlight w:val="none"/>
        </w:rPr>
      </w:pPr>
      <w:bookmarkStart w:id="754" w:name="_Toc5388"/>
      <w:bookmarkStart w:id="755" w:name="_Toc313008357"/>
      <w:bookmarkStart w:id="756" w:name="_Toc313888361"/>
      <w:bookmarkStart w:id="757" w:name="_Toc342913420"/>
      <w:bookmarkStart w:id="758" w:name="_Toc137472668"/>
      <w:bookmarkStart w:id="759" w:name="_Toc76462351"/>
    </w:p>
    <w:p w14:paraId="37EC4466">
      <w:pPr>
        <w:pStyle w:val="3"/>
        <w:spacing w:before="0" w:after="0" w:line="360" w:lineRule="auto"/>
        <w:rPr>
          <w:rFonts w:hint="default" w:ascii="Times New Roman" w:hAnsi="Times New Roman" w:eastAsia="方正仿宋_GBK" w:cs="Times New Roman"/>
          <w:color w:val="000000" w:themeColor="text1"/>
          <w:sz w:val="24"/>
          <w:szCs w:val="24"/>
          <w:highlight w:val="none"/>
          <w14:textFill>
            <w14:solidFill>
              <w14:schemeClr w14:val="tx1"/>
            </w14:solidFill>
          </w14:textFill>
        </w:rPr>
      </w:pPr>
      <w:bookmarkStart w:id="760" w:name="_Toc103679699"/>
      <w:bookmarkStart w:id="761" w:name="_Toc23161"/>
      <w:bookmarkStart w:id="762" w:name="_Toc21017"/>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一、经济部分</w:t>
      </w:r>
      <w:bookmarkEnd w:id="760"/>
      <w:bookmarkEnd w:id="761"/>
      <w:bookmarkEnd w:id="762"/>
    </w:p>
    <w:p w14:paraId="3F7C2511">
      <w:pPr>
        <w:tabs>
          <w:tab w:val="left" w:pos="6300"/>
        </w:tabs>
        <w:snapToGrid w:val="0"/>
        <w:spacing w:line="312" w:lineRule="auto"/>
        <w:jc w:val="left"/>
        <w:outlineLvl w:val="0"/>
        <w:rPr>
          <w:rFonts w:hint="default" w:ascii="Times New Roman" w:hAnsi="Times New Roman" w:eastAsia="方正仿宋_GBK" w:cs="Times New Roman"/>
          <w:bCs/>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bCs/>
          <w:color w:val="000000" w:themeColor="text1"/>
          <w:sz w:val="24"/>
          <w:szCs w:val="24"/>
          <w:highlight w:val="none"/>
          <w14:textFill>
            <w14:solidFill>
              <w14:schemeClr w14:val="tx1"/>
            </w14:solidFill>
          </w14:textFill>
        </w:rPr>
        <w:t>（一）网上竞采报价函</w:t>
      </w:r>
    </w:p>
    <w:p w14:paraId="341312C5">
      <w:pPr>
        <w:tabs>
          <w:tab w:val="left" w:pos="6300"/>
        </w:tabs>
        <w:snapToGrid w:val="0"/>
        <w:spacing w:line="312" w:lineRule="auto"/>
        <w:jc w:val="center"/>
        <w:outlineLvl w:val="0"/>
        <w:rPr>
          <w:rFonts w:hint="default" w:ascii="Times New Roman" w:hAnsi="Times New Roman" w:eastAsia="方正仿宋_GBK" w:cs="Times New Roman"/>
          <w:bCs/>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bCs/>
          <w:color w:val="000000" w:themeColor="text1"/>
          <w:sz w:val="24"/>
          <w:szCs w:val="24"/>
          <w:highlight w:val="none"/>
          <w14:textFill>
            <w14:solidFill>
              <w14:schemeClr w14:val="tx1"/>
            </w14:solidFill>
          </w14:textFill>
        </w:rPr>
        <w:t>网上竞采报价函</w:t>
      </w:r>
    </w:p>
    <w:p w14:paraId="67DE6DF4">
      <w:pPr>
        <w:tabs>
          <w:tab w:val="left" w:pos="6300"/>
        </w:tabs>
        <w:snapToGrid w:val="0"/>
        <w:spacing w:line="312" w:lineRule="auto"/>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u w:val="single"/>
          <w14:textFill>
            <w14:solidFill>
              <w14:schemeClr w14:val="tx1"/>
            </w14:solidFill>
          </w14:textFill>
        </w:rPr>
        <w:t>（采购人名称）</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w:t>
      </w:r>
    </w:p>
    <w:p w14:paraId="5B1F4D68">
      <w:pPr>
        <w:tabs>
          <w:tab w:val="left" w:pos="6300"/>
        </w:tabs>
        <w:snapToGrid w:val="0"/>
        <w:spacing w:line="312"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我方收到____________________________（项目名称）的网上竞采文件，经详细研究，决定参加该项目的网上竞采。</w:t>
      </w:r>
    </w:p>
    <w:p w14:paraId="67A6243E">
      <w:pPr>
        <w:tabs>
          <w:tab w:val="left" w:pos="6300"/>
        </w:tabs>
        <w:snapToGrid w:val="0"/>
        <w:spacing w:line="312" w:lineRule="auto"/>
        <w:ind w:firstLine="480" w:firstLineChars="20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1.愿意按照竞争性</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竞采文件</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中的一切要求，提供本项目的</w:t>
      </w:r>
      <w:r>
        <w:rPr>
          <w:rFonts w:hint="eastAsia" w:ascii="Times New Roman" w:hAnsi="Times New Roman" w:eastAsia="方正仿宋_GBK" w:cs="Times New Roman"/>
          <w:color w:val="000000" w:themeColor="text1"/>
          <w:sz w:val="24"/>
          <w:szCs w:val="24"/>
          <w:highlight w:val="none"/>
          <w:lang w:val="en-US" w:eastAsia="zh-CN"/>
          <w14:textFill>
            <w14:solidFill>
              <w14:schemeClr w14:val="tx1"/>
            </w14:solidFill>
          </w14:textFill>
        </w:rPr>
        <w:t>工程</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服务，</w:t>
      </w:r>
      <w:r>
        <w:rPr>
          <w:rFonts w:hint="default" w:ascii="Times New Roman" w:hAnsi="Times New Roman" w:eastAsia="方正仿宋_GBK" w:cs="Times New Roman"/>
          <w:sz w:val="24"/>
          <w:szCs w:val="24"/>
          <w:highlight w:val="none"/>
          <w:lang w:eastAsia="zh-CN"/>
        </w:rPr>
        <w:t>投标</w:t>
      </w:r>
      <w:r>
        <w:rPr>
          <w:rFonts w:hint="default" w:ascii="Times New Roman" w:hAnsi="Times New Roman" w:eastAsia="方正仿宋_GBK" w:cs="Times New Roman"/>
          <w:sz w:val="24"/>
          <w:szCs w:val="24"/>
          <w:highlight w:val="none"/>
        </w:rPr>
        <w:t>报价为人民币大写：</w:t>
      </w:r>
      <w:r>
        <w:rPr>
          <w:rFonts w:hint="default" w:ascii="Times New Roman" w:hAnsi="Times New Roman" w:eastAsia="方正仿宋_GBK" w:cs="Times New Roman"/>
          <w:sz w:val="24"/>
          <w:szCs w:val="24"/>
          <w:highlight w:val="none"/>
          <w:u w:val="single"/>
        </w:rPr>
        <w:t xml:space="preserve">         </w:t>
      </w:r>
      <w:r>
        <w:rPr>
          <w:rFonts w:hint="default" w:ascii="Times New Roman" w:hAnsi="Times New Roman" w:eastAsia="方正仿宋_GBK" w:cs="Times New Roman"/>
          <w:sz w:val="24"/>
          <w:szCs w:val="24"/>
          <w:highlight w:val="none"/>
        </w:rPr>
        <w:t xml:space="preserve"> ；人民币小写：</w:t>
      </w:r>
      <w:r>
        <w:rPr>
          <w:rFonts w:hint="default" w:ascii="Times New Roman" w:hAnsi="Times New Roman" w:eastAsia="方正仿宋_GBK" w:cs="Times New Roman"/>
          <w:sz w:val="24"/>
          <w:szCs w:val="24"/>
          <w:highlight w:val="none"/>
          <w:u w:val="single"/>
        </w:rPr>
        <w:t xml:space="preserve">    </w:t>
      </w:r>
      <w:r>
        <w:rPr>
          <w:rFonts w:hint="default" w:ascii="Times New Roman" w:hAnsi="Times New Roman" w:eastAsia="方正仿宋_GBK" w:cs="Times New Roman"/>
          <w:sz w:val="24"/>
          <w:szCs w:val="24"/>
          <w:highlight w:val="none"/>
        </w:rPr>
        <w:t>元。</w:t>
      </w:r>
    </w:p>
    <w:p w14:paraId="1736E521">
      <w:pPr>
        <w:tabs>
          <w:tab w:val="left" w:pos="6300"/>
        </w:tabs>
        <w:snapToGrid w:val="0"/>
        <w:spacing w:line="312"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2.我方现提交的响应文件为：响应文件正本</w:t>
      </w:r>
      <w:r>
        <w:rPr>
          <w:rFonts w:hint="default" w:ascii="Times New Roman" w:hAnsi="Times New Roman" w:eastAsia="方正仿宋_GBK"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24"/>
          <w:szCs w:val="24"/>
          <w:highlight w:val="none"/>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份，副本</w:t>
      </w:r>
      <w:r>
        <w:rPr>
          <w:rFonts w:hint="default" w:ascii="Times New Roman" w:hAnsi="Times New Roman" w:eastAsia="方正仿宋_GBK"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24"/>
          <w:szCs w:val="24"/>
          <w:highlight w:val="none"/>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份。</w:t>
      </w:r>
    </w:p>
    <w:p w14:paraId="4540FA94">
      <w:pPr>
        <w:tabs>
          <w:tab w:val="left" w:pos="6300"/>
        </w:tabs>
        <w:snapToGrid w:val="0"/>
        <w:spacing w:line="312"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3.我方承诺：本次网上竞采的有效期为90天。</w:t>
      </w:r>
    </w:p>
    <w:p w14:paraId="307F2DA4">
      <w:pPr>
        <w:tabs>
          <w:tab w:val="left" w:pos="6300"/>
        </w:tabs>
        <w:snapToGrid w:val="0"/>
        <w:spacing w:line="312"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4.我方完全理解和接受贵方网上竞采文件的一切规定和要求及评审办法。</w:t>
      </w:r>
    </w:p>
    <w:p w14:paraId="34481D29">
      <w:pPr>
        <w:tabs>
          <w:tab w:val="left" w:pos="6300"/>
        </w:tabs>
        <w:snapToGrid w:val="0"/>
        <w:spacing w:line="312"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5.在整个网上竞采过程中，我方若有违规行为，接受按照《中华人民共和国政府采购法》和《网上竞采文件》之规定给予惩罚。</w:t>
      </w:r>
    </w:p>
    <w:p w14:paraId="70704835">
      <w:pPr>
        <w:tabs>
          <w:tab w:val="left" w:pos="6300"/>
        </w:tabs>
        <w:snapToGrid w:val="0"/>
        <w:spacing w:line="312"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6.我方若成为成交</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供应商</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，将按照最终网上竞采结果签订合同，并且严格履行合同义务。本承诺函将成为合同不可分割的一部分，与合同具有同等的法律效力。</w:t>
      </w:r>
    </w:p>
    <w:p w14:paraId="790C8B62">
      <w:pPr>
        <w:tabs>
          <w:tab w:val="left" w:pos="6300"/>
        </w:tabs>
        <w:snapToGrid w:val="0"/>
        <w:spacing w:line="312"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7.我方同意按网上竞采文件规定。如果我方成为成交</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供应商</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，保证在接到成交通知书前，向采购代理机构缴纳网上竞采文件规定的采购代理服务费。</w:t>
      </w:r>
    </w:p>
    <w:p w14:paraId="64CC4592">
      <w:pPr>
        <w:tabs>
          <w:tab w:val="left" w:pos="6300"/>
        </w:tabs>
        <w:snapToGrid w:val="0"/>
        <w:spacing w:line="312" w:lineRule="auto"/>
        <w:ind w:firstLine="480" w:firstLineChars="20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8.我方未为采购项目提供整体设计、规范编制或者项目管理、监理、检测等服务。</w:t>
      </w:r>
    </w:p>
    <w:p w14:paraId="4AD982D6">
      <w:pPr>
        <w:tabs>
          <w:tab w:val="left" w:pos="6300"/>
        </w:tabs>
        <w:snapToGrid w:val="0"/>
        <w:spacing w:line="312" w:lineRule="auto"/>
        <w:ind w:firstLine="57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p>
    <w:p w14:paraId="78865A0E">
      <w:pPr>
        <w:tabs>
          <w:tab w:val="left" w:pos="6300"/>
        </w:tabs>
        <w:snapToGrid w:val="0"/>
        <w:spacing w:line="312" w:lineRule="auto"/>
        <w:ind w:firstLine="57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供应商</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（公章）：</w:t>
      </w:r>
    </w:p>
    <w:p w14:paraId="01DDD0CC">
      <w:pPr>
        <w:tabs>
          <w:tab w:val="left" w:pos="6300"/>
        </w:tabs>
        <w:snapToGrid w:val="0"/>
        <w:spacing w:line="312" w:lineRule="auto"/>
        <w:ind w:firstLine="57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地址：</w:t>
      </w:r>
    </w:p>
    <w:p w14:paraId="004DA186">
      <w:pPr>
        <w:tabs>
          <w:tab w:val="left" w:pos="6300"/>
        </w:tabs>
        <w:snapToGrid w:val="0"/>
        <w:spacing w:line="312" w:lineRule="auto"/>
        <w:ind w:firstLine="57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电话：               传真：</w:t>
      </w:r>
    </w:p>
    <w:p w14:paraId="0E8709D0">
      <w:pPr>
        <w:tabs>
          <w:tab w:val="left" w:pos="6300"/>
        </w:tabs>
        <w:snapToGrid w:val="0"/>
        <w:spacing w:line="312" w:lineRule="auto"/>
        <w:ind w:firstLine="57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网址：               邮编：</w:t>
      </w:r>
    </w:p>
    <w:p w14:paraId="064D9E1B">
      <w:pPr>
        <w:tabs>
          <w:tab w:val="left" w:pos="6300"/>
        </w:tabs>
        <w:snapToGrid w:val="0"/>
        <w:spacing w:line="312" w:lineRule="auto"/>
        <w:ind w:firstLine="57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联系人：</w:t>
      </w:r>
    </w:p>
    <w:p w14:paraId="1196EF87">
      <w:pPr>
        <w:snapToGrid w:val="0"/>
        <w:spacing w:line="312" w:lineRule="auto"/>
        <w:ind w:firstLine="480" w:firstLineChars="200"/>
        <w:jc w:val="right"/>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年</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 xml:space="preserve"> </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月</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 xml:space="preserve"> 日</w:t>
      </w:r>
    </w:p>
    <w:p w14:paraId="73B6EE7F">
      <w:pPr>
        <w:pStyle w:val="35"/>
        <w:rPr>
          <w:rFonts w:hint="default" w:ascii="Times New Roman" w:hAnsi="Times New Roman" w:eastAsia="方正仿宋_GBK" w:cs="Times New Roman"/>
          <w:highlight w:val="none"/>
        </w:rPr>
      </w:pPr>
    </w:p>
    <w:p w14:paraId="1DC672BF">
      <w:pPr>
        <w:pStyle w:val="35"/>
        <w:rPr>
          <w:rFonts w:hint="default" w:ascii="Times New Roman" w:hAnsi="Times New Roman" w:eastAsia="方正仿宋_GBK" w:cs="Times New Roman"/>
          <w:highlight w:val="none"/>
        </w:rPr>
      </w:pPr>
    </w:p>
    <w:p w14:paraId="70342239">
      <w:pPr>
        <w:pStyle w:val="35"/>
        <w:rPr>
          <w:rFonts w:hint="default" w:ascii="Times New Roman" w:hAnsi="Times New Roman" w:eastAsia="方正仿宋_GBK" w:cs="Times New Roman"/>
          <w:highlight w:val="none"/>
        </w:rPr>
      </w:pPr>
    </w:p>
    <w:p w14:paraId="0F0DCFDB">
      <w:pPr>
        <w:pStyle w:val="35"/>
        <w:rPr>
          <w:rFonts w:hint="default" w:ascii="Times New Roman" w:hAnsi="Times New Roman" w:eastAsia="方正仿宋_GBK" w:cs="Times New Roman"/>
          <w:highlight w:val="none"/>
        </w:rPr>
      </w:pPr>
    </w:p>
    <w:p w14:paraId="692F8D4B">
      <w:pPr>
        <w:pStyle w:val="35"/>
        <w:rPr>
          <w:rFonts w:hint="default" w:ascii="Times New Roman" w:hAnsi="Times New Roman" w:eastAsia="方正仿宋_GBK" w:cs="Times New Roman"/>
          <w:highlight w:val="none"/>
        </w:rPr>
      </w:pPr>
    </w:p>
    <w:p w14:paraId="198D250B">
      <w:pPr>
        <w:pStyle w:val="35"/>
        <w:rPr>
          <w:rFonts w:hint="default" w:ascii="Times New Roman" w:hAnsi="Times New Roman" w:eastAsia="方正仿宋_GBK" w:cs="Times New Roman"/>
          <w:highlight w:val="none"/>
        </w:rPr>
      </w:pPr>
    </w:p>
    <w:p w14:paraId="7F400D33">
      <w:pPr>
        <w:pStyle w:val="35"/>
        <w:rPr>
          <w:rFonts w:hint="default" w:ascii="Times New Roman" w:hAnsi="Times New Roman" w:eastAsia="方正仿宋_GBK" w:cs="Times New Roman"/>
          <w:highlight w:val="none"/>
        </w:rPr>
      </w:pPr>
    </w:p>
    <w:p w14:paraId="66E6B328">
      <w:pPr>
        <w:pStyle w:val="35"/>
        <w:rPr>
          <w:rFonts w:hint="default" w:ascii="Times New Roman" w:hAnsi="Times New Roman" w:eastAsia="方正仿宋_GBK" w:cs="Times New Roman"/>
          <w:highlight w:val="none"/>
        </w:rPr>
      </w:pPr>
    </w:p>
    <w:p w14:paraId="1240EB96">
      <w:pPr>
        <w:pStyle w:val="35"/>
        <w:rPr>
          <w:rFonts w:hint="default" w:ascii="Times New Roman" w:hAnsi="Times New Roman" w:eastAsia="方正仿宋_GBK" w:cs="Times New Roman"/>
          <w:highlight w:val="none"/>
        </w:rPr>
      </w:pPr>
    </w:p>
    <w:p w14:paraId="5082C69A">
      <w:pPr>
        <w:pStyle w:val="35"/>
        <w:rPr>
          <w:rFonts w:hint="default" w:ascii="Times New Roman" w:hAnsi="Times New Roman" w:eastAsia="方正仿宋_GBK" w:cs="Times New Roman"/>
          <w:highlight w:val="none"/>
        </w:rPr>
      </w:pPr>
    </w:p>
    <w:p w14:paraId="50A3F0BB">
      <w:pPr>
        <w:pStyle w:val="35"/>
        <w:ind w:left="0" w:leftChars="0" w:firstLine="0" w:firstLineChars="0"/>
        <w:rPr>
          <w:rFonts w:hint="default" w:ascii="Times New Roman" w:hAnsi="Times New Roman" w:eastAsia="方正仿宋_GBK" w:cs="Times New Roman"/>
          <w:highlight w:val="none"/>
        </w:rPr>
      </w:pPr>
    </w:p>
    <w:p w14:paraId="0489E79C">
      <w:pPr>
        <w:pStyle w:val="36"/>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sz w:val="24"/>
          <w:szCs w:val="28"/>
          <w:highlight w:val="none"/>
        </w:rPr>
        <w:t>（二）开标一览表</w:t>
      </w:r>
    </w:p>
    <w:p w14:paraId="738ADF43">
      <w:pPr>
        <w:pStyle w:val="35"/>
        <w:rPr>
          <w:rFonts w:hint="default" w:ascii="Times New Roman" w:hAnsi="Times New Roman" w:eastAsia="方正仿宋_GBK" w:cs="Times New Roman"/>
          <w:highlight w:val="none"/>
        </w:rPr>
      </w:pPr>
    </w:p>
    <w:tbl>
      <w:tblPr>
        <w:tblStyle w:val="19"/>
        <w:tblpPr w:leftFromText="180" w:rightFromText="180" w:vertAnchor="text" w:horzAnchor="page" w:tblpX="1302" w:tblpY="58"/>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9"/>
        <w:gridCol w:w="2865"/>
        <w:gridCol w:w="3654"/>
        <w:gridCol w:w="950"/>
      </w:tblGrid>
      <w:tr w14:paraId="1475F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21" w:type="pct"/>
            <w:tcBorders>
              <w:top w:val="single" w:color="auto" w:sz="4" w:space="0"/>
              <w:left w:val="single" w:color="auto" w:sz="4" w:space="0"/>
              <w:right w:val="single" w:color="auto" w:sz="4" w:space="0"/>
            </w:tcBorders>
            <w:noWrap w:val="0"/>
            <w:vAlign w:val="center"/>
          </w:tcPr>
          <w:p w14:paraId="01641895">
            <w:pPr>
              <w:widowControl/>
              <w:jc w:val="center"/>
              <w:rPr>
                <w:rFonts w:hint="default" w:ascii="Times New Roman" w:hAnsi="Times New Roman" w:eastAsia="方正仿宋_GBK" w:cs="Times New Roman"/>
                <w:b/>
                <w:bCs/>
                <w:kern w:val="0"/>
                <w:sz w:val="21"/>
                <w:szCs w:val="24"/>
                <w:highlight w:val="none"/>
              </w:rPr>
            </w:pPr>
            <w:r>
              <w:rPr>
                <w:rFonts w:hint="eastAsia" w:ascii="Times New Roman" w:hAnsi="Times New Roman" w:eastAsia="方正仿宋_GBK" w:cs="Times New Roman"/>
                <w:b/>
                <w:bCs/>
                <w:kern w:val="0"/>
                <w:sz w:val="21"/>
                <w:szCs w:val="24"/>
                <w:highlight w:val="none"/>
                <w:lang w:val="en-US" w:eastAsia="zh-CN"/>
              </w:rPr>
              <w:t>项目</w:t>
            </w:r>
            <w:r>
              <w:rPr>
                <w:rFonts w:hint="default" w:ascii="Times New Roman" w:hAnsi="Times New Roman" w:eastAsia="方正仿宋_GBK" w:cs="Times New Roman"/>
                <w:b/>
                <w:bCs/>
                <w:kern w:val="0"/>
                <w:sz w:val="21"/>
                <w:szCs w:val="24"/>
                <w:highlight w:val="none"/>
              </w:rPr>
              <w:t>名称</w:t>
            </w:r>
          </w:p>
        </w:tc>
        <w:tc>
          <w:tcPr>
            <w:tcW w:w="1487" w:type="pct"/>
            <w:tcBorders>
              <w:top w:val="single" w:color="auto" w:sz="4" w:space="0"/>
              <w:left w:val="single" w:color="auto" w:sz="4" w:space="0"/>
              <w:right w:val="single" w:color="auto" w:sz="4" w:space="0"/>
            </w:tcBorders>
            <w:noWrap w:val="0"/>
            <w:vAlign w:val="center"/>
          </w:tcPr>
          <w:p w14:paraId="63BCD1A4">
            <w:pPr>
              <w:widowControl/>
              <w:jc w:val="center"/>
              <w:rPr>
                <w:rFonts w:hint="default" w:ascii="Times New Roman" w:hAnsi="Times New Roman" w:eastAsia="方正仿宋_GBK" w:cs="Times New Roman"/>
                <w:b/>
                <w:bCs/>
                <w:kern w:val="0"/>
                <w:sz w:val="21"/>
                <w:szCs w:val="24"/>
                <w:highlight w:val="none"/>
              </w:rPr>
            </w:pPr>
            <w:r>
              <w:rPr>
                <w:rFonts w:hint="default" w:ascii="Times New Roman" w:hAnsi="Times New Roman" w:eastAsia="方正仿宋_GBK" w:cs="Times New Roman"/>
                <w:b/>
                <w:bCs/>
                <w:kern w:val="0"/>
                <w:sz w:val="21"/>
                <w:szCs w:val="24"/>
                <w:highlight w:val="none"/>
              </w:rPr>
              <w:t>最高限价（元）</w:t>
            </w:r>
          </w:p>
        </w:tc>
        <w:tc>
          <w:tcPr>
            <w:tcW w:w="1897" w:type="pct"/>
            <w:tcBorders>
              <w:top w:val="single" w:color="auto" w:sz="4" w:space="0"/>
              <w:left w:val="single" w:color="auto" w:sz="4" w:space="0"/>
              <w:right w:val="single" w:color="auto" w:sz="4" w:space="0"/>
            </w:tcBorders>
            <w:noWrap w:val="0"/>
            <w:vAlign w:val="center"/>
          </w:tcPr>
          <w:p w14:paraId="0623E229">
            <w:pPr>
              <w:jc w:val="center"/>
              <w:rPr>
                <w:rFonts w:hint="default" w:ascii="Times New Roman" w:hAnsi="Times New Roman" w:eastAsia="方正仿宋_GBK" w:cs="Times New Roman"/>
                <w:b/>
                <w:bCs/>
                <w:kern w:val="0"/>
                <w:sz w:val="21"/>
                <w:szCs w:val="24"/>
                <w:highlight w:val="none"/>
                <w:lang w:val="en-US" w:eastAsia="zh-CN"/>
              </w:rPr>
            </w:pPr>
            <w:r>
              <w:rPr>
                <w:rFonts w:hint="default" w:ascii="Times New Roman" w:hAnsi="Times New Roman" w:eastAsia="方正仿宋_GBK" w:cs="Times New Roman"/>
                <w:b/>
                <w:bCs/>
                <w:kern w:val="0"/>
                <w:sz w:val="21"/>
                <w:szCs w:val="24"/>
                <w:highlight w:val="none"/>
                <w:lang w:val="en-US" w:eastAsia="zh-CN"/>
              </w:rPr>
              <w:t>投标报价（元）</w:t>
            </w:r>
          </w:p>
        </w:tc>
        <w:tc>
          <w:tcPr>
            <w:tcW w:w="493" w:type="pct"/>
            <w:tcBorders>
              <w:top w:val="single" w:color="auto" w:sz="4" w:space="0"/>
              <w:left w:val="single" w:color="auto" w:sz="4" w:space="0"/>
              <w:right w:val="single" w:color="auto" w:sz="4" w:space="0"/>
            </w:tcBorders>
            <w:noWrap w:val="0"/>
            <w:vAlign w:val="center"/>
          </w:tcPr>
          <w:p w14:paraId="58EAB5AF">
            <w:pPr>
              <w:jc w:val="center"/>
              <w:rPr>
                <w:rFonts w:hint="default" w:ascii="Times New Roman" w:hAnsi="Times New Roman" w:eastAsia="方正仿宋_GBK" w:cs="Times New Roman"/>
                <w:b/>
                <w:bCs/>
                <w:kern w:val="0"/>
                <w:sz w:val="21"/>
                <w:szCs w:val="24"/>
                <w:highlight w:val="none"/>
                <w:lang w:val="en-US" w:eastAsia="zh-CN"/>
              </w:rPr>
            </w:pPr>
            <w:r>
              <w:rPr>
                <w:rFonts w:hint="default" w:ascii="Times New Roman" w:hAnsi="Times New Roman" w:eastAsia="方正仿宋_GBK" w:cs="Times New Roman"/>
                <w:b/>
                <w:bCs/>
                <w:kern w:val="0"/>
                <w:sz w:val="21"/>
                <w:szCs w:val="24"/>
                <w:highlight w:val="none"/>
                <w:lang w:val="en-US" w:eastAsia="zh-CN"/>
              </w:rPr>
              <w:t>备注</w:t>
            </w:r>
          </w:p>
        </w:tc>
      </w:tr>
      <w:tr w14:paraId="645C7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112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D247240">
            <w:pPr>
              <w:jc w:val="center"/>
              <w:rPr>
                <w:rFonts w:hint="default"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sz w:val="24"/>
                <w:szCs w:val="24"/>
                <w:highlight w:val="none"/>
                <w:lang w:val="en-US" w:eastAsia="zh-CN"/>
                <w14:textFill>
                  <w14:solidFill>
                    <w14:schemeClr w14:val="tx1"/>
                  </w14:solidFill>
                </w14:textFill>
              </w:rPr>
              <w:t>无偿献血微科普馆</w:t>
            </w:r>
          </w:p>
        </w:tc>
        <w:tc>
          <w:tcPr>
            <w:tcW w:w="148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F21DEFF">
            <w:pPr>
              <w:jc w:val="center"/>
              <w:rPr>
                <w:rFonts w:hint="default" w:ascii="Times New Roman" w:hAnsi="Times New Roman" w:eastAsia="方正仿宋_GBK" w:cs="Times New Roman"/>
                <w:color w:val="000000" w:themeColor="text1"/>
                <w:kern w:val="2"/>
                <w:sz w:val="24"/>
                <w:szCs w:val="24"/>
                <w:highlight w:val="none"/>
                <w:vertAlign w:val="baseline"/>
                <w:lang w:val="en-US" w:eastAsia="zh-CN" w:bidi="ar-SA"/>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vertAlign w:val="baseline"/>
                <w:lang w:val="en-US" w:eastAsia="zh-CN"/>
                <w14:textFill>
                  <w14:solidFill>
                    <w14:schemeClr w14:val="tx1"/>
                  </w14:solidFill>
                </w14:textFill>
              </w:rPr>
              <w:t>87094.8</w:t>
            </w:r>
          </w:p>
        </w:tc>
        <w:tc>
          <w:tcPr>
            <w:tcW w:w="189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DA2255E">
            <w:pPr>
              <w:widowControl/>
              <w:jc w:val="center"/>
              <w:rPr>
                <w:rFonts w:hint="default" w:ascii="Times New Roman" w:hAnsi="Times New Roman" w:eastAsia="方正仿宋_GBK" w:cs="Times New Roman"/>
                <w:color w:val="000000" w:themeColor="text1"/>
                <w:kern w:val="0"/>
                <w:sz w:val="24"/>
                <w:szCs w:val="24"/>
                <w:highlight w:val="none"/>
                <w:u w:val="singl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0"/>
                <w:sz w:val="24"/>
                <w:szCs w:val="24"/>
                <w:highlight w:val="none"/>
                <w:lang w:val="en-US" w:eastAsia="zh-CN" w:bidi="ar-SA"/>
                <w14:textFill>
                  <w14:solidFill>
                    <w14:schemeClr w14:val="tx1"/>
                  </w14:solidFill>
                </w14:textFill>
              </w:rPr>
              <w:t xml:space="preserve"> </w:t>
            </w:r>
            <w:r>
              <w:rPr>
                <w:rFonts w:hint="eastAsia" w:ascii="Times New Roman" w:hAnsi="Times New Roman" w:eastAsia="方正仿宋_GBK" w:cs="Times New Roman"/>
                <w:color w:val="000000" w:themeColor="text1"/>
                <w:kern w:val="0"/>
                <w:sz w:val="24"/>
                <w:szCs w:val="24"/>
                <w:highlight w:val="none"/>
                <w:u w:val="single"/>
                <w:lang w:val="en-US" w:eastAsia="zh-CN" w:bidi="ar-SA"/>
                <w14:textFill>
                  <w14:solidFill>
                    <w14:schemeClr w14:val="tx1"/>
                  </w14:solidFill>
                </w14:textFill>
              </w:rPr>
              <w:t xml:space="preserve">        </w:t>
            </w:r>
          </w:p>
        </w:tc>
        <w:tc>
          <w:tcPr>
            <w:tcW w:w="49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2BE86DC">
            <w:pPr>
              <w:widowControl/>
              <w:jc w:val="center"/>
              <w:rPr>
                <w:rFonts w:hint="default" w:ascii="Times New Roman" w:hAnsi="Times New Roman" w:eastAsia="方正仿宋_GBK" w:cs="Times New Roman"/>
                <w:color w:val="000000" w:themeColor="text1"/>
                <w:kern w:val="0"/>
                <w:sz w:val="24"/>
                <w:szCs w:val="24"/>
                <w:highlight w:val="none"/>
                <w:lang w:val="en-US" w:eastAsia="zh-CN" w:bidi="ar-SA"/>
                <w14:textFill>
                  <w14:solidFill>
                    <w14:schemeClr w14:val="tx1"/>
                  </w14:solidFill>
                </w14:textFill>
              </w:rPr>
            </w:pPr>
          </w:p>
        </w:tc>
      </w:tr>
    </w:tbl>
    <w:p w14:paraId="3D7240F3">
      <w:pPr>
        <w:pStyle w:val="35"/>
        <w:rPr>
          <w:rFonts w:hint="default" w:ascii="Times New Roman" w:hAnsi="Times New Roman" w:eastAsia="方正仿宋_GBK" w:cs="Times New Roman"/>
          <w:highlight w:val="none"/>
        </w:rPr>
      </w:pPr>
    </w:p>
    <w:p w14:paraId="2B61F305">
      <w:pPr>
        <w:pStyle w:val="35"/>
        <w:rPr>
          <w:rFonts w:hint="default" w:ascii="Times New Roman" w:hAnsi="Times New Roman" w:eastAsia="方正仿宋_GBK" w:cs="Times New Roman"/>
          <w:highlight w:val="none"/>
        </w:rPr>
      </w:pPr>
    </w:p>
    <w:p w14:paraId="7333B7E7">
      <w:pPr>
        <w:pStyle w:val="35"/>
        <w:rPr>
          <w:rFonts w:hint="default" w:ascii="Times New Roman" w:hAnsi="Times New Roman" w:eastAsia="方正仿宋_GBK" w:cs="Times New Roman"/>
          <w:highlight w:val="none"/>
        </w:rPr>
      </w:pPr>
    </w:p>
    <w:p w14:paraId="208E17E3">
      <w:pPr>
        <w:pStyle w:val="35"/>
        <w:rPr>
          <w:rFonts w:hint="default" w:ascii="Times New Roman" w:hAnsi="Times New Roman" w:eastAsia="方正仿宋_GBK" w:cs="Times New Roman"/>
          <w:highlight w:val="none"/>
        </w:rPr>
      </w:pPr>
    </w:p>
    <w:p w14:paraId="1CAF03C4">
      <w:pPr>
        <w:pStyle w:val="35"/>
        <w:rPr>
          <w:rFonts w:hint="default" w:ascii="Times New Roman" w:hAnsi="Times New Roman" w:eastAsia="方正仿宋_GBK" w:cs="Times New Roman"/>
          <w:highlight w:val="none"/>
        </w:rPr>
      </w:pPr>
    </w:p>
    <w:p w14:paraId="2E1987D9">
      <w:pPr>
        <w:pStyle w:val="35"/>
        <w:rPr>
          <w:rFonts w:hint="default" w:ascii="Times New Roman" w:hAnsi="Times New Roman" w:eastAsia="方正仿宋_GBK" w:cs="Times New Roman"/>
          <w:highlight w:val="none"/>
        </w:rPr>
      </w:pPr>
    </w:p>
    <w:p w14:paraId="565F772A">
      <w:pPr>
        <w:pStyle w:val="35"/>
        <w:rPr>
          <w:rFonts w:hint="default" w:ascii="Times New Roman" w:hAnsi="Times New Roman" w:eastAsia="方正仿宋_GBK" w:cs="Times New Roman"/>
          <w:highlight w:val="none"/>
        </w:rPr>
      </w:pPr>
    </w:p>
    <w:p w14:paraId="622CB572">
      <w:pPr>
        <w:pStyle w:val="35"/>
        <w:rPr>
          <w:rFonts w:hint="default" w:ascii="Times New Roman" w:hAnsi="Times New Roman" w:eastAsia="方正仿宋_GBK" w:cs="Times New Roman"/>
          <w:highlight w:val="none"/>
        </w:rPr>
      </w:pPr>
    </w:p>
    <w:p w14:paraId="3AA01383">
      <w:pPr>
        <w:pStyle w:val="35"/>
        <w:rPr>
          <w:rFonts w:hint="default" w:ascii="Times New Roman" w:hAnsi="Times New Roman" w:eastAsia="方正仿宋_GBK" w:cs="Times New Roman"/>
          <w:highlight w:val="none"/>
        </w:rPr>
      </w:pPr>
    </w:p>
    <w:p w14:paraId="71526342">
      <w:pPr>
        <w:pStyle w:val="35"/>
        <w:rPr>
          <w:rFonts w:hint="default" w:ascii="Times New Roman" w:hAnsi="Times New Roman" w:eastAsia="方正仿宋_GBK" w:cs="Times New Roman"/>
          <w:highlight w:val="none"/>
        </w:rPr>
      </w:pPr>
    </w:p>
    <w:p w14:paraId="77670B4D">
      <w:pPr>
        <w:pStyle w:val="35"/>
        <w:rPr>
          <w:rFonts w:hint="default" w:ascii="Times New Roman" w:hAnsi="Times New Roman" w:eastAsia="方正仿宋_GBK" w:cs="Times New Roman"/>
          <w:highlight w:val="none"/>
        </w:rPr>
      </w:pPr>
    </w:p>
    <w:p w14:paraId="5BC16CC2">
      <w:pPr>
        <w:pStyle w:val="35"/>
        <w:rPr>
          <w:rFonts w:hint="default" w:ascii="Times New Roman" w:hAnsi="Times New Roman" w:eastAsia="方正仿宋_GBK" w:cs="Times New Roman"/>
          <w:highlight w:val="none"/>
        </w:rPr>
      </w:pPr>
    </w:p>
    <w:p w14:paraId="6778F966">
      <w:pPr>
        <w:pStyle w:val="35"/>
        <w:rPr>
          <w:rFonts w:hint="default" w:ascii="Times New Roman" w:hAnsi="Times New Roman" w:eastAsia="方正仿宋_GBK" w:cs="Times New Roman"/>
          <w:highlight w:val="none"/>
        </w:rPr>
      </w:pPr>
    </w:p>
    <w:p w14:paraId="5AF0C3E1">
      <w:pPr>
        <w:pStyle w:val="35"/>
        <w:rPr>
          <w:rFonts w:hint="default" w:ascii="Times New Roman" w:hAnsi="Times New Roman" w:eastAsia="方正仿宋_GBK" w:cs="Times New Roman"/>
          <w:highlight w:val="none"/>
        </w:rPr>
      </w:pPr>
    </w:p>
    <w:p w14:paraId="07C3222F">
      <w:pPr>
        <w:pStyle w:val="35"/>
        <w:rPr>
          <w:rFonts w:hint="default" w:ascii="Times New Roman" w:hAnsi="Times New Roman" w:eastAsia="方正仿宋_GBK" w:cs="Times New Roman"/>
          <w:highlight w:val="none"/>
        </w:rPr>
      </w:pPr>
    </w:p>
    <w:p w14:paraId="6F091F07">
      <w:pPr>
        <w:pStyle w:val="35"/>
        <w:rPr>
          <w:rFonts w:hint="default" w:ascii="Times New Roman" w:hAnsi="Times New Roman" w:eastAsia="方正仿宋_GBK" w:cs="Times New Roman"/>
          <w:highlight w:val="none"/>
        </w:rPr>
      </w:pPr>
    </w:p>
    <w:p w14:paraId="50F50BCA">
      <w:pPr>
        <w:pStyle w:val="35"/>
        <w:rPr>
          <w:rFonts w:hint="default" w:ascii="Times New Roman" w:hAnsi="Times New Roman" w:eastAsia="方正仿宋_GBK" w:cs="Times New Roman"/>
          <w:highlight w:val="none"/>
        </w:rPr>
      </w:pPr>
    </w:p>
    <w:p w14:paraId="0851C0EF">
      <w:pPr>
        <w:pStyle w:val="35"/>
        <w:rPr>
          <w:rFonts w:hint="default" w:ascii="Times New Roman" w:hAnsi="Times New Roman" w:eastAsia="方正仿宋_GBK" w:cs="Times New Roman"/>
          <w:highlight w:val="none"/>
        </w:rPr>
      </w:pPr>
    </w:p>
    <w:p w14:paraId="3F8E4D3E">
      <w:pPr>
        <w:pStyle w:val="35"/>
        <w:rPr>
          <w:rFonts w:hint="default" w:ascii="Times New Roman" w:hAnsi="Times New Roman" w:eastAsia="方正仿宋_GBK" w:cs="Times New Roman"/>
          <w:highlight w:val="none"/>
        </w:rPr>
      </w:pPr>
    </w:p>
    <w:p w14:paraId="0F216BC7">
      <w:pPr>
        <w:pStyle w:val="35"/>
        <w:rPr>
          <w:rFonts w:hint="default" w:ascii="Times New Roman" w:hAnsi="Times New Roman" w:eastAsia="方正仿宋_GBK" w:cs="Times New Roman"/>
          <w:highlight w:val="none"/>
        </w:rPr>
      </w:pPr>
    </w:p>
    <w:p w14:paraId="05A25A03">
      <w:pPr>
        <w:spacing w:line="400" w:lineRule="exact"/>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w:t>
      </w:r>
      <w:r>
        <w:rPr>
          <w:rFonts w:hint="default" w:ascii="Times New Roman" w:hAnsi="Times New Roman" w:eastAsia="方正仿宋_GBK" w:cs="Times New Roman"/>
          <w:sz w:val="24"/>
          <w:szCs w:val="24"/>
          <w:highlight w:val="none"/>
          <w:lang w:val="en-US" w:eastAsia="zh-CN"/>
        </w:rPr>
        <w:t>三</w:t>
      </w:r>
      <w:r>
        <w:rPr>
          <w:rFonts w:hint="default" w:ascii="Times New Roman" w:hAnsi="Times New Roman" w:eastAsia="方正仿宋_GBK" w:cs="Times New Roman"/>
          <w:sz w:val="24"/>
          <w:szCs w:val="24"/>
          <w:highlight w:val="none"/>
        </w:rPr>
        <w:t>）</w:t>
      </w:r>
      <w:r>
        <w:rPr>
          <w:rFonts w:hint="default" w:ascii="Times New Roman" w:hAnsi="Times New Roman" w:eastAsia="方正仿宋_GBK" w:cs="Times New Roman"/>
          <w:color w:val="auto"/>
          <w:sz w:val="24"/>
          <w:szCs w:val="24"/>
          <w:highlight w:val="none"/>
          <w:lang w:eastAsia="zh-CN"/>
        </w:rPr>
        <w:t>已标价工程量清单</w:t>
      </w:r>
    </w:p>
    <w:p w14:paraId="29161A59">
      <w:pPr>
        <w:pStyle w:val="35"/>
        <w:rPr>
          <w:rFonts w:hint="default" w:ascii="Times New Roman" w:hAnsi="Times New Roman" w:eastAsia="方正仿宋_GBK" w:cs="Times New Roman"/>
          <w:highlight w:val="none"/>
        </w:rPr>
      </w:pPr>
    </w:p>
    <w:p w14:paraId="7BBFF02B">
      <w:pPr>
        <w:pStyle w:val="35"/>
        <w:rPr>
          <w:rFonts w:hint="default" w:ascii="Times New Roman" w:hAnsi="Times New Roman" w:eastAsia="方正仿宋_GBK" w:cs="Times New Roman"/>
          <w:highlight w:val="none"/>
        </w:rPr>
      </w:pPr>
    </w:p>
    <w:p w14:paraId="16522157">
      <w:pPr>
        <w:pStyle w:val="35"/>
        <w:rPr>
          <w:rFonts w:hint="default" w:ascii="Times New Roman" w:hAnsi="Times New Roman" w:eastAsia="方正仿宋_GBK" w:cs="Times New Roman"/>
          <w:highlight w:val="none"/>
        </w:rPr>
      </w:pPr>
    </w:p>
    <w:p w14:paraId="564FABC7">
      <w:pPr>
        <w:pStyle w:val="35"/>
        <w:rPr>
          <w:rFonts w:hint="default" w:ascii="Times New Roman" w:hAnsi="Times New Roman" w:eastAsia="方正仿宋_GBK" w:cs="Times New Roman"/>
          <w:highlight w:val="none"/>
        </w:rPr>
      </w:pPr>
    </w:p>
    <w:p w14:paraId="6896AC92">
      <w:pPr>
        <w:pStyle w:val="35"/>
        <w:rPr>
          <w:rFonts w:hint="default" w:ascii="Times New Roman" w:hAnsi="Times New Roman" w:eastAsia="方正仿宋_GBK" w:cs="Times New Roman"/>
          <w:highlight w:val="none"/>
        </w:rPr>
      </w:pPr>
    </w:p>
    <w:p w14:paraId="609CEA01">
      <w:pPr>
        <w:pStyle w:val="35"/>
        <w:rPr>
          <w:rFonts w:hint="default" w:ascii="Times New Roman" w:hAnsi="Times New Roman" w:eastAsia="方正仿宋_GBK" w:cs="Times New Roman"/>
          <w:highlight w:val="none"/>
        </w:rPr>
      </w:pPr>
    </w:p>
    <w:p w14:paraId="18DAA027">
      <w:pPr>
        <w:pStyle w:val="35"/>
        <w:rPr>
          <w:rFonts w:hint="default" w:ascii="Times New Roman" w:hAnsi="Times New Roman" w:eastAsia="方正仿宋_GBK" w:cs="Times New Roman"/>
          <w:highlight w:val="none"/>
        </w:rPr>
      </w:pPr>
    </w:p>
    <w:p w14:paraId="6E0DB220">
      <w:pPr>
        <w:pStyle w:val="35"/>
        <w:rPr>
          <w:rFonts w:hint="default" w:ascii="Times New Roman" w:hAnsi="Times New Roman" w:eastAsia="方正仿宋_GBK" w:cs="Times New Roman"/>
          <w:highlight w:val="none"/>
        </w:rPr>
      </w:pPr>
    </w:p>
    <w:p w14:paraId="13D7AC4B">
      <w:pPr>
        <w:spacing w:line="360" w:lineRule="auto"/>
        <w:ind w:right="480" w:firstLine="480" w:firstLineChars="200"/>
        <w:rPr>
          <w:rFonts w:hint="default"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注：请投标人根据</w:t>
      </w:r>
      <w:r>
        <w:rPr>
          <w:rFonts w:hint="default" w:ascii="Times New Roman" w:hAnsi="Times New Roman" w:eastAsia="方正仿宋_GBK" w:cs="Times New Roman"/>
          <w:sz w:val="24"/>
          <w:szCs w:val="24"/>
          <w:highlight w:val="none"/>
          <w:lang w:val="en-US" w:eastAsia="zh-CN"/>
        </w:rPr>
        <w:t>采购人</w:t>
      </w:r>
      <w:r>
        <w:rPr>
          <w:rFonts w:hint="default" w:ascii="Times New Roman" w:hAnsi="Times New Roman" w:eastAsia="方正仿宋_GBK" w:cs="Times New Roman"/>
          <w:sz w:val="24"/>
          <w:szCs w:val="24"/>
          <w:highlight w:val="none"/>
        </w:rPr>
        <w:t>发布的工程量清单填写，不得修改</w:t>
      </w:r>
      <w:r>
        <w:rPr>
          <w:rFonts w:hint="default" w:ascii="Times New Roman" w:hAnsi="Times New Roman" w:eastAsia="方正仿宋_GBK" w:cs="Times New Roman"/>
          <w:sz w:val="24"/>
          <w:szCs w:val="24"/>
          <w:highlight w:val="none"/>
          <w:lang w:val="en-US" w:eastAsia="zh-CN"/>
        </w:rPr>
        <w:t>招标</w:t>
      </w:r>
      <w:r>
        <w:rPr>
          <w:rFonts w:hint="default" w:ascii="Times New Roman" w:hAnsi="Times New Roman" w:eastAsia="方正仿宋_GBK" w:cs="Times New Roman"/>
          <w:sz w:val="24"/>
          <w:szCs w:val="24"/>
          <w:highlight w:val="none"/>
        </w:rPr>
        <w:t>人发布的工程量清单中的实质性内容</w:t>
      </w:r>
      <w:r>
        <w:rPr>
          <w:rFonts w:hint="default" w:ascii="Times New Roman" w:hAnsi="Times New Roman" w:eastAsia="方正仿宋_GBK" w:cs="Times New Roman"/>
          <w:sz w:val="24"/>
          <w:szCs w:val="24"/>
          <w:highlight w:val="none"/>
          <w:lang w:eastAsia="zh-CN"/>
        </w:rPr>
        <w:t>。</w:t>
      </w:r>
    </w:p>
    <w:p w14:paraId="23C76047">
      <w:pPr>
        <w:pStyle w:val="35"/>
        <w:rPr>
          <w:rFonts w:hint="default" w:ascii="Times New Roman" w:hAnsi="Times New Roman" w:eastAsia="方正仿宋_GBK" w:cs="Times New Roman"/>
          <w:highlight w:val="none"/>
        </w:rPr>
      </w:pPr>
    </w:p>
    <w:p w14:paraId="3C7EE076">
      <w:pPr>
        <w:pStyle w:val="35"/>
        <w:rPr>
          <w:rFonts w:hint="default" w:ascii="Times New Roman" w:hAnsi="Times New Roman" w:eastAsia="方正仿宋_GBK" w:cs="Times New Roman"/>
          <w:highlight w:val="none"/>
        </w:rPr>
      </w:pPr>
    </w:p>
    <w:p w14:paraId="36D0493E">
      <w:pPr>
        <w:pStyle w:val="2"/>
        <w:adjustRightInd w:val="0"/>
        <w:snapToGrid w:val="0"/>
        <w:spacing w:before="0" w:after="0" w:line="400" w:lineRule="exac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lang w:val="en-US" w:eastAsia="zh-CN"/>
        </w:rPr>
        <w:t>二</w:t>
      </w:r>
      <w:r>
        <w:rPr>
          <w:rFonts w:hint="default" w:ascii="Times New Roman" w:hAnsi="Times New Roman" w:eastAsia="方正仿宋_GBK" w:cs="Times New Roman"/>
          <w:color w:val="auto"/>
          <w:sz w:val="24"/>
          <w:highlight w:val="none"/>
        </w:rPr>
        <w:t>、</w:t>
      </w:r>
      <w:bookmarkEnd w:id="754"/>
      <w:bookmarkEnd w:id="755"/>
      <w:bookmarkEnd w:id="756"/>
      <w:bookmarkEnd w:id="757"/>
      <w:bookmarkEnd w:id="758"/>
      <w:bookmarkEnd w:id="759"/>
      <w:r>
        <w:rPr>
          <w:rFonts w:hint="default" w:ascii="Times New Roman" w:hAnsi="Times New Roman" w:eastAsia="方正仿宋_GBK" w:cs="Times New Roman"/>
          <w:color w:val="auto"/>
          <w:sz w:val="24"/>
          <w:highlight w:val="none"/>
        </w:rPr>
        <w:t>技术部分</w:t>
      </w:r>
    </w:p>
    <w:p w14:paraId="0DA526E9">
      <w:pPr>
        <w:snapToGrid w:val="0"/>
        <w:spacing w:line="300" w:lineRule="atLeast"/>
        <w:ind w:firstLine="480" w:firstLineChars="20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8"/>
          <w:highlight w:val="none"/>
        </w:rPr>
        <w:t>（一）</w:t>
      </w:r>
      <w:r>
        <w:rPr>
          <w:rFonts w:hint="default" w:ascii="Times New Roman" w:hAnsi="Times New Roman" w:eastAsia="方正仿宋_GBK" w:cs="Times New Roman"/>
          <w:sz w:val="24"/>
          <w:szCs w:val="24"/>
          <w:highlight w:val="none"/>
        </w:rPr>
        <w:t>技术响应偏离表</w:t>
      </w:r>
    </w:p>
    <w:p w14:paraId="48BA546E">
      <w:pPr>
        <w:spacing w:line="300" w:lineRule="atLeast"/>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sz w:val="24"/>
          <w:szCs w:val="24"/>
          <w:highlight w:val="none"/>
        </w:rPr>
        <w:t xml:space="preserve">    </w:t>
      </w:r>
      <w:r>
        <w:rPr>
          <w:rFonts w:hint="default" w:ascii="Times New Roman" w:hAnsi="Times New Roman" w:eastAsia="方正仿宋_GBK" w:cs="Times New Roman"/>
          <w:sz w:val="24"/>
          <w:szCs w:val="24"/>
          <w:highlight w:val="none"/>
          <w:lang w:eastAsia="zh-CN"/>
        </w:rPr>
        <w:t>项目号</w:t>
      </w:r>
      <w:r>
        <w:rPr>
          <w:rFonts w:hint="default" w:ascii="Times New Roman" w:hAnsi="Times New Roman" w:eastAsia="方正仿宋_GBK" w:cs="Times New Roman"/>
          <w:color w:val="000000"/>
          <w:sz w:val="24"/>
          <w:szCs w:val="24"/>
          <w:highlight w:val="none"/>
        </w:rPr>
        <w:t>：</w:t>
      </w:r>
    </w:p>
    <w:p w14:paraId="0003D217">
      <w:pPr>
        <w:spacing w:line="300" w:lineRule="atLeast"/>
        <w:ind w:firstLine="480" w:firstLineChars="200"/>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采购项目名称：</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940"/>
        <w:gridCol w:w="1886"/>
      </w:tblGrid>
      <w:tr w14:paraId="1A8E8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noWrap w:val="0"/>
            <w:vAlign w:val="center"/>
          </w:tcPr>
          <w:p w14:paraId="69002EEF">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z w:val="21"/>
                <w:szCs w:val="21"/>
                <w:highlight w:val="none"/>
              </w:rPr>
              <w:t>序号</w:t>
            </w:r>
          </w:p>
        </w:tc>
        <w:tc>
          <w:tcPr>
            <w:tcW w:w="2658" w:type="dxa"/>
            <w:noWrap w:val="0"/>
            <w:vAlign w:val="center"/>
          </w:tcPr>
          <w:p w14:paraId="7F1E8E2A">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z w:val="21"/>
                <w:szCs w:val="21"/>
                <w:highlight w:val="none"/>
              </w:rPr>
              <w:t>采购需求</w:t>
            </w:r>
          </w:p>
        </w:tc>
        <w:tc>
          <w:tcPr>
            <w:tcW w:w="2940" w:type="dxa"/>
            <w:noWrap w:val="0"/>
            <w:vAlign w:val="center"/>
          </w:tcPr>
          <w:p w14:paraId="13FA3697">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z w:val="21"/>
                <w:szCs w:val="21"/>
                <w:highlight w:val="none"/>
              </w:rPr>
              <w:t>响应情况</w:t>
            </w:r>
          </w:p>
        </w:tc>
        <w:tc>
          <w:tcPr>
            <w:tcW w:w="1886" w:type="dxa"/>
            <w:noWrap w:val="0"/>
            <w:vAlign w:val="center"/>
          </w:tcPr>
          <w:p w14:paraId="55C0A9AD">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z w:val="21"/>
                <w:szCs w:val="21"/>
                <w:highlight w:val="none"/>
              </w:rPr>
              <w:t>差异说明</w:t>
            </w:r>
          </w:p>
        </w:tc>
      </w:tr>
      <w:tr w14:paraId="23417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138" w:type="dxa"/>
            <w:noWrap w:val="0"/>
            <w:vAlign w:val="center"/>
          </w:tcPr>
          <w:p w14:paraId="5310E4F5">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2658" w:type="dxa"/>
            <w:noWrap w:val="0"/>
            <w:vAlign w:val="center"/>
          </w:tcPr>
          <w:p w14:paraId="138B441B">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2940" w:type="dxa"/>
            <w:noWrap w:val="0"/>
            <w:vAlign w:val="center"/>
          </w:tcPr>
          <w:p w14:paraId="1994BC33">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1886" w:type="dxa"/>
            <w:noWrap w:val="0"/>
            <w:vAlign w:val="center"/>
          </w:tcPr>
          <w:p w14:paraId="6F970ADA">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r>
      <w:tr w14:paraId="536E4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38" w:type="dxa"/>
            <w:noWrap w:val="0"/>
            <w:vAlign w:val="center"/>
          </w:tcPr>
          <w:p w14:paraId="2739E01B">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2658" w:type="dxa"/>
            <w:noWrap w:val="0"/>
            <w:vAlign w:val="center"/>
          </w:tcPr>
          <w:p w14:paraId="75CBD600">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2940" w:type="dxa"/>
            <w:noWrap w:val="0"/>
            <w:vAlign w:val="center"/>
          </w:tcPr>
          <w:p w14:paraId="33349DCE">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1886" w:type="dxa"/>
            <w:noWrap w:val="0"/>
            <w:vAlign w:val="center"/>
          </w:tcPr>
          <w:p w14:paraId="58D23CF8">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r>
      <w:tr w14:paraId="0FD0D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38" w:type="dxa"/>
            <w:noWrap w:val="0"/>
            <w:vAlign w:val="center"/>
          </w:tcPr>
          <w:p w14:paraId="5A08A003">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2658" w:type="dxa"/>
            <w:noWrap w:val="0"/>
            <w:vAlign w:val="center"/>
          </w:tcPr>
          <w:p w14:paraId="4D64DACE">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2940" w:type="dxa"/>
            <w:noWrap w:val="0"/>
            <w:vAlign w:val="center"/>
          </w:tcPr>
          <w:p w14:paraId="4D36D27B">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1886" w:type="dxa"/>
            <w:noWrap w:val="0"/>
            <w:vAlign w:val="center"/>
          </w:tcPr>
          <w:p w14:paraId="34692BD9">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r>
      <w:tr w14:paraId="2D836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8" w:type="dxa"/>
            <w:noWrap w:val="0"/>
            <w:vAlign w:val="center"/>
          </w:tcPr>
          <w:p w14:paraId="32BB8C43">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2658" w:type="dxa"/>
            <w:noWrap w:val="0"/>
            <w:vAlign w:val="center"/>
          </w:tcPr>
          <w:p w14:paraId="4C974B0A">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2940" w:type="dxa"/>
            <w:noWrap w:val="0"/>
            <w:vAlign w:val="center"/>
          </w:tcPr>
          <w:p w14:paraId="0A6B395B">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1886" w:type="dxa"/>
            <w:noWrap w:val="0"/>
            <w:vAlign w:val="center"/>
          </w:tcPr>
          <w:p w14:paraId="7FFDE7E1">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r>
      <w:tr w14:paraId="487FF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138" w:type="dxa"/>
            <w:noWrap w:val="0"/>
            <w:vAlign w:val="center"/>
          </w:tcPr>
          <w:p w14:paraId="31106B68">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2658" w:type="dxa"/>
            <w:noWrap w:val="0"/>
            <w:vAlign w:val="center"/>
          </w:tcPr>
          <w:p w14:paraId="79875DAA">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2940" w:type="dxa"/>
            <w:noWrap w:val="0"/>
            <w:vAlign w:val="center"/>
          </w:tcPr>
          <w:p w14:paraId="16264A67">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1886" w:type="dxa"/>
            <w:noWrap w:val="0"/>
            <w:vAlign w:val="center"/>
          </w:tcPr>
          <w:p w14:paraId="34186BB2">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r>
      <w:tr w14:paraId="123FF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8" w:type="dxa"/>
            <w:noWrap w:val="0"/>
            <w:vAlign w:val="center"/>
          </w:tcPr>
          <w:p w14:paraId="7AFB355C">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2658" w:type="dxa"/>
            <w:noWrap w:val="0"/>
            <w:vAlign w:val="center"/>
          </w:tcPr>
          <w:p w14:paraId="5ADEB1E0">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2940" w:type="dxa"/>
            <w:noWrap w:val="0"/>
            <w:vAlign w:val="center"/>
          </w:tcPr>
          <w:p w14:paraId="0724F128">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1886" w:type="dxa"/>
            <w:noWrap w:val="0"/>
            <w:vAlign w:val="center"/>
          </w:tcPr>
          <w:p w14:paraId="7EA7D89A">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r>
      <w:tr w14:paraId="1BF26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8" w:type="dxa"/>
            <w:noWrap w:val="0"/>
            <w:vAlign w:val="center"/>
          </w:tcPr>
          <w:p w14:paraId="47B14429">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2658" w:type="dxa"/>
            <w:noWrap w:val="0"/>
            <w:vAlign w:val="center"/>
          </w:tcPr>
          <w:p w14:paraId="4C2FEB15">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2940" w:type="dxa"/>
            <w:noWrap w:val="0"/>
            <w:vAlign w:val="center"/>
          </w:tcPr>
          <w:p w14:paraId="3FA30959">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1886" w:type="dxa"/>
            <w:noWrap w:val="0"/>
            <w:vAlign w:val="center"/>
          </w:tcPr>
          <w:p w14:paraId="6E0385C9">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r>
      <w:tr w14:paraId="17A84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38" w:type="dxa"/>
            <w:noWrap w:val="0"/>
            <w:vAlign w:val="center"/>
          </w:tcPr>
          <w:p w14:paraId="1669AC1D">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2658" w:type="dxa"/>
            <w:noWrap w:val="0"/>
            <w:vAlign w:val="center"/>
          </w:tcPr>
          <w:p w14:paraId="5650AA5C">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2940" w:type="dxa"/>
            <w:noWrap w:val="0"/>
            <w:vAlign w:val="center"/>
          </w:tcPr>
          <w:p w14:paraId="4E35E0D3">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1886" w:type="dxa"/>
            <w:noWrap w:val="0"/>
            <w:vAlign w:val="center"/>
          </w:tcPr>
          <w:p w14:paraId="221F63C3">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r>
      <w:tr w14:paraId="03F83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38" w:type="dxa"/>
            <w:noWrap w:val="0"/>
            <w:vAlign w:val="center"/>
          </w:tcPr>
          <w:p w14:paraId="14D9FDA2">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2658" w:type="dxa"/>
            <w:noWrap w:val="0"/>
            <w:vAlign w:val="center"/>
          </w:tcPr>
          <w:p w14:paraId="5B05A5CA">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2940" w:type="dxa"/>
            <w:noWrap w:val="0"/>
            <w:vAlign w:val="center"/>
          </w:tcPr>
          <w:p w14:paraId="23FC2150">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1886" w:type="dxa"/>
            <w:noWrap w:val="0"/>
            <w:vAlign w:val="center"/>
          </w:tcPr>
          <w:p w14:paraId="399325C3">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r>
      <w:tr w14:paraId="5F76F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138" w:type="dxa"/>
            <w:noWrap w:val="0"/>
            <w:vAlign w:val="center"/>
          </w:tcPr>
          <w:p w14:paraId="09843E36">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2658" w:type="dxa"/>
            <w:noWrap w:val="0"/>
            <w:vAlign w:val="center"/>
          </w:tcPr>
          <w:p w14:paraId="1388E860">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2940" w:type="dxa"/>
            <w:noWrap w:val="0"/>
            <w:vAlign w:val="center"/>
          </w:tcPr>
          <w:p w14:paraId="6E993099">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c>
          <w:tcPr>
            <w:tcW w:w="1886" w:type="dxa"/>
            <w:noWrap w:val="0"/>
            <w:vAlign w:val="center"/>
          </w:tcPr>
          <w:p w14:paraId="57D956F5">
            <w:pPr>
              <w:tabs>
                <w:tab w:val="left" w:pos="6300"/>
              </w:tabs>
              <w:snapToGrid w:val="0"/>
              <w:spacing w:line="300" w:lineRule="atLeast"/>
              <w:jc w:val="center"/>
              <w:outlineLvl w:val="0"/>
              <w:rPr>
                <w:rFonts w:hint="default" w:ascii="Times New Roman" w:hAnsi="Times New Roman" w:eastAsia="方正仿宋_GBK" w:cs="Times New Roman"/>
                <w:sz w:val="21"/>
                <w:szCs w:val="21"/>
                <w:highlight w:val="none"/>
              </w:rPr>
            </w:pPr>
          </w:p>
        </w:tc>
      </w:tr>
    </w:tbl>
    <w:p w14:paraId="6B44CEBD">
      <w:pPr>
        <w:spacing w:line="300" w:lineRule="atLeast"/>
        <w:ind w:firstLine="600" w:firstLineChars="250"/>
        <w:rPr>
          <w:rFonts w:hint="default" w:ascii="Times New Roman" w:hAnsi="Times New Roman" w:eastAsia="方正仿宋_GBK" w:cs="Times New Roman"/>
          <w:sz w:val="24"/>
          <w:szCs w:val="28"/>
          <w:highlight w:val="none"/>
        </w:rPr>
      </w:pPr>
    </w:p>
    <w:p w14:paraId="260C026C">
      <w:pPr>
        <w:spacing w:line="300" w:lineRule="atLeast"/>
        <w:ind w:firstLine="600" w:firstLineChars="250"/>
        <w:rPr>
          <w:rFonts w:hint="default" w:ascii="Times New Roman" w:hAnsi="Times New Roman" w:eastAsia="方正仿宋_GBK" w:cs="Times New Roman"/>
          <w:sz w:val="24"/>
          <w:szCs w:val="28"/>
          <w:highlight w:val="none"/>
        </w:rPr>
      </w:pPr>
    </w:p>
    <w:p w14:paraId="37F4606B">
      <w:pPr>
        <w:spacing w:line="400" w:lineRule="atLeast"/>
        <w:ind w:firstLine="600" w:firstLineChars="250"/>
        <w:rPr>
          <w:rFonts w:hint="default" w:ascii="Times New Roman" w:hAnsi="Times New Roman" w:eastAsia="方正仿宋_GBK" w:cs="Times New Roman"/>
          <w:sz w:val="24"/>
          <w:szCs w:val="28"/>
          <w:highlight w:val="none"/>
        </w:rPr>
      </w:pPr>
      <w:r>
        <w:rPr>
          <w:rFonts w:hint="default" w:ascii="Times New Roman" w:hAnsi="Times New Roman" w:eastAsia="方正仿宋_GBK" w:cs="Times New Roman"/>
          <w:sz w:val="24"/>
          <w:szCs w:val="28"/>
          <w:highlight w:val="none"/>
        </w:rPr>
        <w:t>供应商：                           法定代表人（或授权代表 ）或自然人：</w:t>
      </w:r>
    </w:p>
    <w:p w14:paraId="736409B0">
      <w:pPr>
        <w:spacing w:line="400" w:lineRule="atLeast"/>
        <w:ind w:firstLine="600" w:firstLineChars="250"/>
        <w:rPr>
          <w:rFonts w:hint="default" w:ascii="Times New Roman" w:hAnsi="Times New Roman" w:eastAsia="方正仿宋_GBK" w:cs="Times New Roman"/>
          <w:sz w:val="24"/>
          <w:szCs w:val="28"/>
          <w:highlight w:val="none"/>
        </w:rPr>
      </w:pPr>
    </w:p>
    <w:p w14:paraId="2B8A93EA">
      <w:pPr>
        <w:spacing w:line="400" w:lineRule="atLeast"/>
        <w:ind w:firstLine="600" w:firstLineChars="250"/>
        <w:rPr>
          <w:rFonts w:hint="default" w:ascii="Times New Roman" w:hAnsi="Times New Roman" w:eastAsia="方正仿宋_GBK" w:cs="Times New Roman"/>
          <w:sz w:val="24"/>
          <w:szCs w:val="28"/>
          <w:highlight w:val="none"/>
        </w:rPr>
      </w:pPr>
      <w:r>
        <w:rPr>
          <w:rFonts w:hint="default" w:ascii="Times New Roman" w:hAnsi="Times New Roman" w:eastAsia="方正仿宋_GBK" w:cs="Times New Roman"/>
          <w:sz w:val="24"/>
          <w:szCs w:val="28"/>
          <w:highlight w:val="none"/>
        </w:rPr>
        <w:t>（供应商公章）                               （签署或盖章）</w:t>
      </w:r>
    </w:p>
    <w:p w14:paraId="69515B16">
      <w:pPr>
        <w:spacing w:line="400" w:lineRule="atLeast"/>
        <w:ind w:firstLine="600" w:firstLineChars="250"/>
        <w:rPr>
          <w:rFonts w:hint="default" w:ascii="Times New Roman" w:hAnsi="Times New Roman" w:eastAsia="方正仿宋_GBK" w:cs="Times New Roman"/>
          <w:sz w:val="24"/>
          <w:szCs w:val="28"/>
          <w:highlight w:val="none"/>
        </w:rPr>
      </w:pPr>
      <w:r>
        <w:rPr>
          <w:rFonts w:hint="default" w:ascii="Times New Roman" w:hAnsi="Times New Roman" w:eastAsia="方正仿宋_GBK" w:cs="Times New Roman"/>
          <w:sz w:val="24"/>
          <w:szCs w:val="28"/>
          <w:highlight w:val="none"/>
        </w:rPr>
        <w:t xml:space="preserve">                                              年     月     日</w:t>
      </w:r>
    </w:p>
    <w:p w14:paraId="24A52BE2">
      <w:pPr>
        <w:spacing w:line="400" w:lineRule="atLeast"/>
        <w:ind w:firstLine="600" w:firstLineChars="250"/>
        <w:rPr>
          <w:rFonts w:hint="default" w:ascii="Times New Roman" w:hAnsi="Times New Roman" w:eastAsia="方正仿宋_GBK" w:cs="Times New Roman"/>
          <w:sz w:val="24"/>
          <w:szCs w:val="28"/>
          <w:highlight w:val="none"/>
        </w:rPr>
      </w:pPr>
      <w:r>
        <w:rPr>
          <w:rFonts w:hint="default" w:ascii="Times New Roman" w:hAnsi="Times New Roman" w:eastAsia="方正仿宋_GBK" w:cs="Times New Roman"/>
          <w:sz w:val="24"/>
          <w:szCs w:val="28"/>
          <w:highlight w:val="none"/>
        </w:rPr>
        <w:t>注：</w:t>
      </w:r>
    </w:p>
    <w:p w14:paraId="79C39B4E">
      <w:pPr>
        <w:spacing w:line="400" w:lineRule="atLeast"/>
        <w:ind w:firstLine="600" w:firstLineChars="250"/>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szCs w:val="24"/>
          <w:highlight w:val="none"/>
        </w:rPr>
        <w:t>1</w:t>
      </w:r>
      <w:r>
        <w:rPr>
          <w:rFonts w:hint="default" w:ascii="Times New Roman" w:hAnsi="Times New Roman" w:eastAsia="方正仿宋_GBK" w:cs="Times New Roman"/>
          <w:sz w:val="24"/>
          <w:highlight w:val="none"/>
        </w:rPr>
        <w:t>、本表即为对本项目“第二篇  项目技术需求”中所列技术要求</w:t>
      </w:r>
      <w:r>
        <w:rPr>
          <w:rFonts w:hint="default" w:ascii="Times New Roman" w:hAnsi="Times New Roman" w:eastAsia="方正仿宋_GBK" w:cs="Times New Roman"/>
          <w:sz w:val="24"/>
          <w:highlight w:val="none"/>
          <w:lang w:val="en-US" w:eastAsia="zh-CN"/>
        </w:rPr>
        <w:t>逐条</w:t>
      </w:r>
      <w:r>
        <w:rPr>
          <w:rFonts w:hint="default" w:ascii="Times New Roman" w:hAnsi="Times New Roman" w:eastAsia="方正仿宋_GBK" w:cs="Times New Roman"/>
          <w:sz w:val="24"/>
          <w:highlight w:val="none"/>
        </w:rPr>
        <w:t>进行比较和响应；</w:t>
      </w:r>
    </w:p>
    <w:p w14:paraId="044DFAED">
      <w:pPr>
        <w:tabs>
          <w:tab w:val="left" w:pos="6300"/>
        </w:tabs>
        <w:snapToGrid w:val="0"/>
        <w:spacing w:line="400" w:lineRule="atLeast"/>
        <w:ind w:firstLine="480" w:firstLineChars="200"/>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2、该表可扩展</w:t>
      </w:r>
      <w:r>
        <w:rPr>
          <w:rFonts w:hint="default" w:ascii="Times New Roman" w:hAnsi="Times New Roman" w:eastAsia="方正仿宋_GBK" w:cs="Times New Roman"/>
          <w:sz w:val="24"/>
          <w:szCs w:val="28"/>
          <w:highlight w:val="none"/>
        </w:rPr>
        <w:t>，并逐页签字或盖章</w:t>
      </w:r>
      <w:r>
        <w:rPr>
          <w:rFonts w:hint="default" w:ascii="Times New Roman" w:hAnsi="Times New Roman" w:eastAsia="方正仿宋_GBK" w:cs="Times New Roman"/>
          <w:sz w:val="24"/>
          <w:highlight w:val="none"/>
        </w:rPr>
        <w:t>；</w:t>
      </w:r>
    </w:p>
    <w:p w14:paraId="71EF0C70">
      <w:pPr>
        <w:snapToGrid w:val="0"/>
        <w:spacing w:line="400" w:lineRule="exact"/>
        <w:ind w:firstLine="480" w:firstLineChars="20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000000"/>
          <w:sz w:val="24"/>
          <w:szCs w:val="24"/>
          <w:highlight w:val="none"/>
        </w:rPr>
        <w:t>3、</w:t>
      </w:r>
      <w:r>
        <w:rPr>
          <w:rFonts w:hint="default" w:ascii="Times New Roman" w:hAnsi="Times New Roman" w:eastAsia="方正仿宋_GBK" w:cs="Times New Roman"/>
          <w:sz w:val="24"/>
          <w:szCs w:val="28"/>
          <w:highlight w:val="none"/>
        </w:rPr>
        <w:t>响应情况栏中应当注明技术参数或具体内容，且必须标注技术参数或具体内容在电子响应文件中的位置（页码）。</w:t>
      </w:r>
    </w:p>
    <w:p w14:paraId="369CA22D">
      <w:pPr>
        <w:tabs>
          <w:tab w:val="left" w:pos="6300"/>
        </w:tabs>
        <w:snapToGrid w:val="0"/>
        <w:spacing w:line="400" w:lineRule="exact"/>
        <w:ind w:firstLine="480" w:firstLineChars="200"/>
        <w:rPr>
          <w:rFonts w:hint="default" w:ascii="Times New Roman" w:hAnsi="Times New Roman" w:eastAsia="方正仿宋_GBK" w:cs="Times New Roman"/>
          <w:color w:val="auto"/>
          <w:szCs w:val="24"/>
          <w:highlight w:val="none"/>
          <w:lang w:val="en-US" w:eastAsia="zh-CN"/>
        </w:rPr>
      </w:pPr>
      <w:r>
        <w:rPr>
          <w:rFonts w:hint="default" w:ascii="Times New Roman" w:hAnsi="Times New Roman" w:eastAsia="方正仿宋_GBK" w:cs="Times New Roman"/>
          <w:color w:val="auto"/>
          <w:sz w:val="24"/>
          <w:szCs w:val="24"/>
          <w:highlight w:val="none"/>
        </w:rPr>
        <w:br w:type="page"/>
      </w:r>
      <w:r>
        <w:rPr>
          <w:rFonts w:hint="default" w:ascii="Times New Roman" w:hAnsi="Times New Roman" w:eastAsia="方正仿宋_GBK" w:cs="Times New Roman"/>
          <w:color w:val="000000"/>
          <w:sz w:val="24"/>
          <w:szCs w:val="24"/>
          <w:highlight w:val="none"/>
        </w:rPr>
        <w:t>（二）</w:t>
      </w:r>
      <w:r>
        <w:rPr>
          <w:rFonts w:hint="default" w:ascii="Times New Roman" w:hAnsi="Times New Roman" w:eastAsia="方正仿宋_GBK" w:cs="Times New Roman"/>
          <w:color w:val="000000"/>
          <w:sz w:val="24"/>
          <w:szCs w:val="24"/>
          <w:highlight w:val="none"/>
          <w:lang w:val="en-US" w:eastAsia="zh-CN"/>
        </w:rPr>
        <w:t>技术方案</w:t>
      </w:r>
    </w:p>
    <w:p w14:paraId="4CADE6A5">
      <w:pPr>
        <w:pStyle w:val="2"/>
        <w:adjustRightInd w:val="0"/>
        <w:snapToGrid w:val="0"/>
        <w:spacing w:before="0" w:after="0" w:line="400" w:lineRule="exact"/>
        <w:rPr>
          <w:rFonts w:hint="default" w:ascii="Times New Roman" w:hAnsi="Times New Roman" w:eastAsia="方正仿宋_GBK" w:cs="Times New Roman"/>
          <w:b w:val="0"/>
          <w:color w:val="auto"/>
          <w:highlight w:val="none"/>
          <w:lang w:val="en-US" w:eastAsia="zh-CN"/>
        </w:rPr>
      </w:pPr>
      <w:r>
        <w:rPr>
          <w:rFonts w:hint="default" w:ascii="Times New Roman" w:hAnsi="Times New Roman" w:eastAsia="方正仿宋_GBK" w:cs="Times New Roman"/>
          <w:b w:val="0"/>
          <w:color w:val="auto"/>
          <w:highlight w:val="none"/>
        </w:rPr>
        <w:br w:type="page"/>
      </w:r>
      <w:bookmarkStart w:id="763" w:name="_Toc76462352"/>
      <w:bookmarkStart w:id="764" w:name="_Toc342913421"/>
      <w:bookmarkStart w:id="765" w:name="_Toc313008358"/>
      <w:bookmarkStart w:id="766" w:name="_Toc313888362"/>
      <w:bookmarkStart w:id="767" w:name="_Toc16581"/>
      <w:r>
        <w:rPr>
          <w:rFonts w:hint="default" w:ascii="Times New Roman" w:hAnsi="Times New Roman" w:eastAsia="方正仿宋_GBK" w:cs="Times New Roman"/>
          <w:b w:val="0"/>
          <w:color w:val="000000"/>
          <w:kern w:val="2"/>
          <w:sz w:val="24"/>
          <w:szCs w:val="24"/>
          <w:highlight w:val="none"/>
          <w:lang w:val="en-US" w:eastAsia="zh-CN" w:bidi="ar-SA"/>
        </w:rPr>
        <w:t>（三）技术部分其他资料（如有）</w:t>
      </w:r>
    </w:p>
    <w:p w14:paraId="18CF95BC">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0BDE4252">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6E1975B4">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3B0DCFB4">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0299CB52">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0F30D869">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776866BF">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3468A824">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6471EBB0">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6AB4F24C">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229C73DA">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6706C6C5">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714C9310">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502CB82D">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68829CBE">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1C42C164">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298EF73A">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5CC3735E">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7F0BF2C1">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3E933A75">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02CA3428">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61DF5CDB">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7333F406">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251279F9">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6F3E2525">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03D81EC4">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001431F2">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4A014DA6">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4FA1F75A">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73450BFA">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688CC8B9">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4367D9A0">
      <w:pPr>
        <w:pStyle w:val="2"/>
        <w:adjustRightInd w:val="0"/>
        <w:snapToGrid w:val="0"/>
        <w:spacing w:before="0" w:after="0" w:line="400" w:lineRule="exact"/>
        <w:ind w:firstLine="640" w:firstLineChars="200"/>
        <w:rPr>
          <w:rFonts w:hint="default" w:ascii="Times New Roman" w:hAnsi="Times New Roman" w:eastAsia="方正仿宋_GBK" w:cs="Times New Roman"/>
          <w:b w:val="0"/>
          <w:color w:val="auto"/>
          <w:highlight w:val="none"/>
          <w:lang w:val="en-US" w:eastAsia="zh-CN"/>
        </w:rPr>
      </w:pPr>
    </w:p>
    <w:p w14:paraId="46020149">
      <w:pPr>
        <w:pStyle w:val="2"/>
        <w:adjustRightInd w:val="0"/>
        <w:snapToGrid w:val="0"/>
        <w:spacing w:before="0" w:after="0" w:line="400" w:lineRule="exact"/>
        <w:rPr>
          <w:rFonts w:hint="default" w:ascii="Times New Roman" w:hAnsi="Times New Roman" w:eastAsia="方正仿宋_GBK" w:cs="Times New Roman"/>
          <w:b w:val="0"/>
          <w:color w:val="auto"/>
          <w:highlight w:val="none"/>
          <w:lang w:val="en-US" w:eastAsia="zh-CN"/>
        </w:rPr>
      </w:pPr>
    </w:p>
    <w:p w14:paraId="624163D7">
      <w:pPr>
        <w:pStyle w:val="2"/>
        <w:adjustRightInd w:val="0"/>
        <w:snapToGrid w:val="0"/>
        <w:spacing w:before="0" w:after="0" w:line="400" w:lineRule="exact"/>
        <w:rPr>
          <w:rFonts w:hint="default" w:ascii="Times New Roman" w:hAnsi="Times New Roman" w:eastAsia="方正仿宋_GBK" w:cs="Times New Roman"/>
          <w:b w:val="0"/>
          <w:color w:val="auto"/>
          <w:highlight w:val="none"/>
          <w:lang w:val="en-US" w:eastAsia="zh-CN"/>
        </w:rPr>
      </w:pPr>
    </w:p>
    <w:p w14:paraId="23355DBC">
      <w:pPr>
        <w:rPr>
          <w:rFonts w:hint="default" w:ascii="Times New Roman" w:hAnsi="Times New Roman" w:eastAsia="方正仿宋_GBK" w:cs="Times New Roman"/>
          <w:lang w:val="en-US" w:eastAsia="zh-CN"/>
        </w:rPr>
      </w:pPr>
    </w:p>
    <w:p w14:paraId="395CB43B">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lang w:eastAsia="zh-CN"/>
        </w:rPr>
        <w:t>三</w:t>
      </w:r>
      <w:r>
        <w:rPr>
          <w:rFonts w:hint="default" w:ascii="Times New Roman" w:hAnsi="Times New Roman" w:eastAsia="方正仿宋_GBK" w:cs="Times New Roman"/>
          <w:color w:val="auto"/>
          <w:sz w:val="24"/>
          <w:highlight w:val="none"/>
        </w:rPr>
        <w:t>、商务部分</w:t>
      </w:r>
      <w:bookmarkEnd w:id="763"/>
      <w:bookmarkEnd w:id="764"/>
      <w:bookmarkEnd w:id="765"/>
      <w:bookmarkEnd w:id="766"/>
      <w:bookmarkEnd w:id="767"/>
    </w:p>
    <w:p w14:paraId="1C45FF34">
      <w:pPr>
        <w:spacing w:line="300" w:lineRule="atLeast"/>
        <w:rPr>
          <w:rFonts w:hint="default" w:ascii="Times New Roman" w:hAnsi="Times New Roman" w:eastAsia="方正仿宋_GBK" w:cs="Times New Roman"/>
          <w:sz w:val="24"/>
          <w:szCs w:val="24"/>
          <w:highlight w:val="none"/>
        </w:rPr>
      </w:pPr>
      <w:bookmarkStart w:id="768" w:name="_Toc283382459"/>
      <w:r>
        <w:rPr>
          <w:rFonts w:hint="default" w:ascii="Times New Roman" w:hAnsi="Times New Roman" w:eastAsia="方正仿宋_GBK" w:cs="Times New Roman"/>
          <w:sz w:val="24"/>
          <w:szCs w:val="24"/>
          <w:highlight w:val="none"/>
        </w:rPr>
        <w:t>（一）服务响应偏离表</w:t>
      </w:r>
    </w:p>
    <w:p w14:paraId="6FBF6E98">
      <w:pPr>
        <w:pStyle w:val="10"/>
        <w:tabs>
          <w:tab w:val="left" w:pos="6300"/>
        </w:tabs>
        <w:snapToGrid w:val="0"/>
        <w:spacing w:line="300" w:lineRule="atLeast"/>
        <w:outlineLvl w:val="0"/>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szCs w:val="24"/>
          <w:highlight w:val="none"/>
          <w:lang w:eastAsia="zh-CN"/>
        </w:rPr>
        <w:t>项目号</w:t>
      </w:r>
      <w:r>
        <w:rPr>
          <w:rFonts w:hint="default" w:ascii="Times New Roman" w:hAnsi="Times New Roman" w:eastAsia="方正仿宋_GBK" w:cs="Times New Roman"/>
          <w:color w:val="000000"/>
          <w:sz w:val="24"/>
          <w:szCs w:val="24"/>
          <w:highlight w:val="none"/>
        </w:rPr>
        <w:t>：</w:t>
      </w:r>
    </w:p>
    <w:p w14:paraId="36289B63">
      <w:pPr>
        <w:snapToGrid w:val="0"/>
        <w:spacing w:line="300" w:lineRule="atLeast"/>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highlight w:val="none"/>
        </w:rPr>
        <w:t>采购项目名称：</w:t>
      </w: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7B3F0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510" w:type="dxa"/>
            <w:noWrap w:val="0"/>
            <w:vAlign w:val="center"/>
          </w:tcPr>
          <w:p w14:paraId="4B87B7E0">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r>
              <w:rPr>
                <w:rFonts w:hint="default" w:ascii="Times New Roman" w:hAnsi="Times New Roman" w:eastAsia="方正仿宋_GBK" w:cs="Times New Roman"/>
                <w:sz w:val="21"/>
                <w:szCs w:val="24"/>
                <w:highlight w:val="none"/>
              </w:rPr>
              <w:t>序号</w:t>
            </w:r>
          </w:p>
        </w:tc>
        <w:tc>
          <w:tcPr>
            <w:tcW w:w="3179" w:type="dxa"/>
            <w:noWrap w:val="0"/>
            <w:vAlign w:val="center"/>
          </w:tcPr>
          <w:p w14:paraId="7CAE885B">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r>
              <w:rPr>
                <w:rFonts w:hint="default" w:ascii="Times New Roman" w:hAnsi="Times New Roman" w:eastAsia="方正仿宋_GBK" w:cs="Times New Roman"/>
                <w:sz w:val="21"/>
                <w:szCs w:val="24"/>
                <w:highlight w:val="none"/>
              </w:rPr>
              <w:t>项目商务需求</w:t>
            </w:r>
          </w:p>
        </w:tc>
        <w:tc>
          <w:tcPr>
            <w:tcW w:w="2434" w:type="dxa"/>
            <w:noWrap w:val="0"/>
            <w:vAlign w:val="center"/>
          </w:tcPr>
          <w:p w14:paraId="65A44A05">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r>
              <w:rPr>
                <w:rFonts w:hint="default" w:ascii="Times New Roman" w:hAnsi="Times New Roman" w:eastAsia="方正仿宋_GBK" w:cs="Times New Roman"/>
                <w:sz w:val="21"/>
                <w:szCs w:val="24"/>
                <w:highlight w:val="none"/>
              </w:rPr>
              <w:t>响应情况</w:t>
            </w:r>
          </w:p>
        </w:tc>
        <w:tc>
          <w:tcPr>
            <w:tcW w:w="2355" w:type="dxa"/>
            <w:noWrap w:val="0"/>
            <w:vAlign w:val="center"/>
          </w:tcPr>
          <w:p w14:paraId="3D5C5A67">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r>
              <w:rPr>
                <w:rFonts w:hint="default" w:ascii="Times New Roman" w:hAnsi="Times New Roman" w:eastAsia="方正仿宋_GBK" w:cs="Times New Roman"/>
                <w:sz w:val="21"/>
                <w:szCs w:val="24"/>
                <w:highlight w:val="none"/>
              </w:rPr>
              <w:t>偏离说明</w:t>
            </w:r>
          </w:p>
        </w:tc>
      </w:tr>
      <w:tr w14:paraId="34125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10" w:type="dxa"/>
            <w:noWrap w:val="0"/>
            <w:vAlign w:val="center"/>
          </w:tcPr>
          <w:p w14:paraId="1712BBDD">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c>
          <w:tcPr>
            <w:tcW w:w="3179" w:type="dxa"/>
            <w:noWrap w:val="0"/>
            <w:vAlign w:val="center"/>
          </w:tcPr>
          <w:p w14:paraId="39A8D91C">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c>
          <w:tcPr>
            <w:tcW w:w="2434" w:type="dxa"/>
            <w:noWrap w:val="0"/>
            <w:vAlign w:val="center"/>
          </w:tcPr>
          <w:p w14:paraId="169ABB60">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c>
          <w:tcPr>
            <w:tcW w:w="2355" w:type="dxa"/>
            <w:noWrap w:val="0"/>
            <w:vAlign w:val="center"/>
          </w:tcPr>
          <w:p w14:paraId="429255FB">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r>
      <w:tr w14:paraId="47C9F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510" w:type="dxa"/>
            <w:noWrap w:val="0"/>
            <w:vAlign w:val="center"/>
          </w:tcPr>
          <w:p w14:paraId="4810E6E6">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c>
          <w:tcPr>
            <w:tcW w:w="3179" w:type="dxa"/>
            <w:noWrap w:val="0"/>
            <w:vAlign w:val="center"/>
          </w:tcPr>
          <w:p w14:paraId="4B94D059">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c>
          <w:tcPr>
            <w:tcW w:w="2434" w:type="dxa"/>
            <w:noWrap w:val="0"/>
            <w:vAlign w:val="center"/>
          </w:tcPr>
          <w:p w14:paraId="3512BF3E">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c>
          <w:tcPr>
            <w:tcW w:w="2355" w:type="dxa"/>
            <w:noWrap w:val="0"/>
            <w:vAlign w:val="center"/>
          </w:tcPr>
          <w:p w14:paraId="6FB966AE">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r>
      <w:tr w14:paraId="3E96C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510" w:type="dxa"/>
            <w:noWrap w:val="0"/>
            <w:vAlign w:val="center"/>
          </w:tcPr>
          <w:p w14:paraId="31B1E3D5">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c>
          <w:tcPr>
            <w:tcW w:w="3179" w:type="dxa"/>
            <w:noWrap w:val="0"/>
            <w:vAlign w:val="center"/>
          </w:tcPr>
          <w:p w14:paraId="42CA5FF3">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c>
          <w:tcPr>
            <w:tcW w:w="2434" w:type="dxa"/>
            <w:noWrap w:val="0"/>
            <w:vAlign w:val="center"/>
          </w:tcPr>
          <w:p w14:paraId="5BD8F292">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c>
          <w:tcPr>
            <w:tcW w:w="2355" w:type="dxa"/>
            <w:noWrap w:val="0"/>
            <w:vAlign w:val="center"/>
          </w:tcPr>
          <w:p w14:paraId="1FC84CD6">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r>
      <w:tr w14:paraId="7F042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510" w:type="dxa"/>
            <w:noWrap w:val="0"/>
            <w:vAlign w:val="center"/>
          </w:tcPr>
          <w:p w14:paraId="1FCC31A5">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c>
          <w:tcPr>
            <w:tcW w:w="3179" w:type="dxa"/>
            <w:noWrap w:val="0"/>
            <w:vAlign w:val="center"/>
          </w:tcPr>
          <w:p w14:paraId="4D234B1C">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c>
          <w:tcPr>
            <w:tcW w:w="2434" w:type="dxa"/>
            <w:noWrap w:val="0"/>
            <w:vAlign w:val="center"/>
          </w:tcPr>
          <w:p w14:paraId="7D7FDDBD">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c>
          <w:tcPr>
            <w:tcW w:w="2355" w:type="dxa"/>
            <w:noWrap w:val="0"/>
            <w:vAlign w:val="center"/>
          </w:tcPr>
          <w:p w14:paraId="2C56B0B2">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r>
      <w:tr w14:paraId="5A2AA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510" w:type="dxa"/>
            <w:noWrap w:val="0"/>
            <w:vAlign w:val="center"/>
          </w:tcPr>
          <w:p w14:paraId="605FF153">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c>
          <w:tcPr>
            <w:tcW w:w="3179" w:type="dxa"/>
            <w:noWrap w:val="0"/>
            <w:vAlign w:val="center"/>
          </w:tcPr>
          <w:p w14:paraId="0D65D2E8">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c>
          <w:tcPr>
            <w:tcW w:w="2434" w:type="dxa"/>
            <w:noWrap w:val="0"/>
            <w:vAlign w:val="center"/>
          </w:tcPr>
          <w:p w14:paraId="657EBFC9">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c>
          <w:tcPr>
            <w:tcW w:w="2355" w:type="dxa"/>
            <w:noWrap w:val="0"/>
            <w:vAlign w:val="center"/>
          </w:tcPr>
          <w:p w14:paraId="7A027ED8">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r>
      <w:tr w14:paraId="1C125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510" w:type="dxa"/>
            <w:noWrap w:val="0"/>
            <w:vAlign w:val="center"/>
          </w:tcPr>
          <w:p w14:paraId="1B7315D4">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c>
          <w:tcPr>
            <w:tcW w:w="3179" w:type="dxa"/>
            <w:noWrap w:val="0"/>
            <w:vAlign w:val="center"/>
          </w:tcPr>
          <w:p w14:paraId="4103B55D">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c>
          <w:tcPr>
            <w:tcW w:w="2434" w:type="dxa"/>
            <w:noWrap w:val="0"/>
            <w:vAlign w:val="center"/>
          </w:tcPr>
          <w:p w14:paraId="25242955">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c>
          <w:tcPr>
            <w:tcW w:w="2355" w:type="dxa"/>
            <w:noWrap w:val="0"/>
            <w:vAlign w:val="center"/>
          </w:tcPr>
          <w:p w14:paraId="799BEA01">
            <w:pPr>
              <w:tabs>
                <w:tab w:val="left" w:pos="6300"/>
              </w:tabs>
              <w:snapToGrid w:val="0"/>
              <w:spacing w:line="300" w:lineRule="atLeast"/>
              <w:jc w:val="center"/>
              <w:outlineLvl w:val="0"/>
              <w:rPr>
                <w:rFonts w:hint="default" w:ascii="Times New Roman" w:hAnsi="Times New Roman" w:eastAsia="方正仿宋_GBK" w:cs="Times New Roman"/>
                <w:sz w:val="21"/>
                <w:szCs w:val="24"/>
                <w:highlight w:val="none"/>
              </w:rPr>
            </w:pPr>
          </w:p>
        </w:tc>
      </w:tr>
    </w:tbl>
    <w:p w14:paraId="5A330B40">
      <w:pPr>
        <w:spacing w:line="300" w:lineRule="atLeast"/>
        <w:ind w:firstLine="600" w:firstLineChars="250"/>
        <w:rPr>
          <w:rFonts w:hint="default" w:ascii="Times New Roman" w:hAnsi="Times New Roman" w:eastAsia="方正仿宋_GBK" w:cs="Times New Roman"/>
          <w:color w:val="000000"/>
          <w:sz w:val="24"/>
          <w:szCs w:val="28"/>
          <w:highlight w:val="none"/>
        </w:rPr>
      </w:pPr>
    </w:p>
    <w:p w14:paraId="57F85EF3">
      <w:pPr>
        <w:spacing w:line="400" w:lineRule="exact"/>
        <w:ind w:firstLine="600" w:firstLineChars="250"/>
        <w:rPr>
          <w:rFonts w:hint="default" w:ascii="Times New Roman" w:hAnsi="Times New Roman" w:eastAsia="方正仿宋_GBK" w:cs="Times New Roman"/>
          <w:color w:val="000000"/>
          <w:sz w:val="24"/>
          <w:szCs w:val="28"/>
          <w:highlight w:val="none"/>
        </w:rPr>
      </w:pPr>
      <w:r>
        <w:rPr>
          <w:rFonts w:hint="default" w:ascii="Times New Roman" w:hAnsi="Times New Roman" w:eastAsia="方正仿宋_GBK" w:cs="Times New Roman"/>
          <w:color w:val="000000"/>
          <w:sz w:val="24"/>
          <w:szCs w:val="28"/>
          <w:highlight w:val="none"/>
        </w:rPr>
        <w:t xml:space="preserve">供应商：                          </w:t>
      </w:r>
      <w:r>
        <w:rPr>
          <w:rFonts w:hint="default" w:ascii="Times New Roman" w:hAnsi="Times New Roman" w:eastAsia="方正仿宋_GBK" w:cs="Times New Roman"/>
          <w:sz w:val="24"/>
          <w:szCs w:val="28"/>
          <w:highlight w:val="none"/>
        </w:rPr>
        <w:t>法</w:t>
      </w:r>
      <w:r>
        <w:rPr>
          <w:rFonts w:hint="default" w:ascii="Times New Roman" w:hAnsi="Times New Roman" w:eastAsia="方正仿宋_GBK" w:cs="Times New Roman"/>
          <w:color w:val="000000"/>
          <w:sz w:val="24"/>
          <w:szCs w:val="24"/>
          <w:highlight w:val="none"/>
        </w:rPr>
        <w:t>定代表</w:t>
      </w:r>
      <w:r>
        <w:rPr>
          <w:rFonts w:hint="default" w:ascii="Times New Roman" w:hAnsi="Times New Roman" w:eastAsia="方正仿宋_GBK" w:cs="Times New Roman"/>
          <w:sz w:val="24"/>
          <w:szCs w:val="28"/>
          <w:highlight w:val="none"/>
        </w:rPr>
        <w:t>人</w:t>
      </w:r>
      <w:r>
        <w:rPr>
          <w:rFonts w:hint="default" w:ascii="Times New Roman" w:hAnsi="Times New Roman" w:eastAsia="方正仿宋_GBK" w:cs="Times New Roman"/>
          <w:color w:val="000000"/>
          <w:sz w:val="24"/>
          <w:szCs w:val="24"/>
          <w:highlight w:val="none"/>
        </w:rPr>
        <w:t>（或其</w:t>
      </w:r>
      <w:r>
        <w:rPr>
          <w:rFonts w:hint="default" w:ascii="Times New Roman" w:hAnsi="Times New Roman" w:eastAsia="方正仿宋_GBK" w:cs="Times New Roman"/>
          <w:sz w:val="24"/>
          <w:szCs w:val="28"/>
          <w:highlight w:val="none"/>
        </w:rPr>
        <w:t>授权代表</w:t>
      </w:r>
      <w:r>
        <w:rPr>
          <w:rFonts w:hint="default" w:ascii="Times New Roman" w:hAnsi="Times New Roman" w:eastAsia="方正仿宋_GBK" w:cs="Times New Roman"/>
          <w:color w:val="000000"/>
          <w:sz w:val="24"/>
          <w:szCs w:val="24"/>
          <w:highlight w:val="none"/>
        </w:rPr>
        <w:t>）或自然人：</w:t>
      </w:r>
    </w:p>
    <w:p w14:paraId="4DFFC5E7">
      <w:pPr>
        <w:spacing w:line="400" w:lineRule="exact"/>
        <w:rPr>
          <w:rFonts w:hint="default" w:ascii="Times New Roman" w:hAnsi="Times New Roman" w:eastAsia="方正仿宋_GBK" w:cs="Times New Roman"/>
          <w:color w:val="000000"/>
          <w:sz w:val="24"/>
          <w:szCs w:val="28"/>
          <w:highlight w:val="none"/>
        </w:rPr>
      </w:pPr>
    </w:p>
    <w:p w14:paraId="197DBC79">
      <w:pPr>
        <w:tabs>
          <w:tab w:val="left" w:pos="6300"/>
        </w:tabs>
        <w:snapToGrid w:val="0"/>
        <w:spacing w:line="400" w:lineRule="exact"/>
        <w:ind w:firstLine="480" w:firstLineChars="200"/>
        <w:rPr>
          <w:rFonts w:hint="default" w:ascii="Times New Roman" w:hAnsi="Times New Roman" w:eastAsia="方正仿宋_GBK" w:cs="Times New Roman"/>
          <w:color w:val="000000"/>
          <w:sz w:val="24"/>
          <w:szCs w:val="28"/>
          <w:highlight w:val="none"/>
        </w:rPr>
      </w:pPr>
      <w:r>
        <w:rPr>
          <w:rFonts w:hint="default" w:ascii="Times New Roman" w:hAnsi="Times New Roman" w:eastAsia="方正仿宋_GBK" w:cs="Times New Roman"/>
          <w:color w:val="000000"/>
          <w:sz w:val="24"/>
          <w:szCs w:val="28"/>
          <w:highlight w:val="none"/>
        </w:rPr>
        <w:t>（供应商公章）                                 （签署或盖章）</w:t>
      </w:r>
    </w:p>
    <w:p w14:paraId="2AF3306B">
      <w:pPr>
        <w:tabs>
          <w:tab w:val="left" w:pos="6300"/>
        </w:tabs>
        <w:snapToGrid w:val="0"/>
        <w:spacing w:line="400" w:lineRule="exact"/>
        <w:ind w:firstLine="480" w:firstLineChars="200"/>
        <w:rPr>
          <w:rFonts w:hint="default" w:ascii="Times New Roman" w:hAnsi="Times New Roman" w:eastAsia="方正仿宋_GBK" w:cs="Times New Roman"/>
          <w:color w:val="000000"/>
          <w:sz w:val="24"/>
          <w:szCs w:val="28"/>
          <w:highlight w:val="none"/>
        </w:rPr>
      </w:pPr>
      <w:r>
        <w:rPr>
          <w:rFonts w:hint="default" w:ascii="Times New Roman" w:hAnsi="Times New Roman" w:eastAsia="方正仿宋_GBK" w:cs="Times New Roman"/>
          <w:color w:val="000000"/>
          <w:sz w:val="24"/>
          <w:szCs w:val="28"/>
          <w:highlight w:val="none"/>
        </w:rPr>
        <w:t xml:space="preserve">                                            年     月     日</w:t>
      </w:r>
    </w:p>
    <w:p w14:paraId="7492F669">
      <w:pPr>
        <w:tabs>
          <w:tab w:val="left" w:pos="6300"/>
        </w:tabs>
        <w:snapToGrid w:val="0"/>
        <w:spacing w:line="400" w:lineRule="exact"/>
        <w:ind w:firstLine="480" w:firstLineChars="200"/>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注：</w:t>
      </w:r>
    </w:p>
    <w:p w14:paraId="418A1375">
      <w:pPr>
        <w:tabs>
          <w:tab w:val="left" w:pos="6300"/>
        </w:tabs>
        <w:snapToGrid w:val="0"/>
        <w:spacing w:line="400" w:lineRule="exact"/>
        <w:ind w:firstLine="480" w:firstLineChars="200"/>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szCs w:val="24"/>
          <w:highlight w:val="none"/>
        </w:rPr>
        <w:t>1</w:t>
      </w:r>
      <w:r>
        <w:rPr>
          <w:rFonts w:hint="default" w:ascii="Times New Roman" w:hAnsi="Times New Roman" w:eastAsia="方正仿宋_GBK" w:cs="Times New Roman"/>
          <w:sz w:val="24"/>
          <w:highlight w:val="none"/>
        </w:rPr>
        <w:t>、本表即为对本项目“第三篇 项目商务需求”中所列服务要求</w:t>
      </w:r>
      <w:r>
        <w:rPr>
          <w:rFonts w:hint="default" w:ascii="Times New Roman" w:hAnsi="Times New Roman" w:eastAsia="方正仿宋_GBK" w:cs="Times New Roman"/>
          <w:sz w:val="24"/>
          <w:highlight w:val="none"/>
          <w:lang w:val="en-US" w:eastAsia="zh-CN"/>
        </w:rPr>
        <w:t>逐条</w:t>
      </w:r>
      <w:r>
        <w:rPr>
          <w:rFonts w:hint="default" w:ascii="Times New Roman" w:hAnsi="Times New Roman" w:eastAsia="方正仿宋_GBK" w:cs="Times New Roman"/>
          <w:sz w:val="24"/>
          <w:highlight w:val="none"/>
        </w:rPr>
        <w:t>进行比较和响应；</w:t>
      </w:r>
    </w:p>
    <w:p w14:paraId="01147502">
      <w:pPr>
        <w:tabs>
          <w:tab w:val="left" w:pos="6300"/>
        </w:tabs>
        <w:snapToGrid w:val="0"/>
        <w:spacing w:line="400" w:lineRule="exact"/>
        <w:ind w:firstLine="480" w:firstLineChars="200"/>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2、该表可扩展</w:t>
      </w:r>
    </w:p>
    <w:p w14:paraId="30B6C0CC">
      <w:pPr>
        <w:snapToGrid w:val="0"/>
        <w:spacing w:line="400" w:lineRule="exact"/>
        <w:ind w:firstLine="480" w:firstLineChars="200"/>
        <w:rPr>
          <w:rFonts w:hint="default" w:ascii="Times New Roman" w:hAnsi="Times New Roman" w:eastAsia="方正仿宋_GBK" w:cs="Times New Roman"/>
          <w:color w:val="auto"/>
          <w:sz w:val="24"/>
          <w:highlight w:val="none"/>
          <w:lang w:eastAsia="zh-CN"/>
        </w:rPr>
        <w:sectPr>
          <w:headerReference r:id="rId12" w:type="default"/>
          <w:pgSz w:w="11907" w:h="16840"/>
          <w:pgMar w:top="1134" w:right="1191" w:bottom="1134" w:left="1304" w:header="851" w:footer="992" w:gutter="0"/>
          <w:pgNumType w:fmt="decimal"/>
          <w:cols w:space="720" w:num="1"/>
          <w:docGrid w:linePitch="380" w:charSpace="-5735"/>
        </w:sectPr>
      </w:pPr>
      <w:r>
        <w:rPr>
          <w:rFonts w:hint="default" w:ascii="Times New Roman" w:hAnsi="Times New Roman" w:eastAsia="方正仿宋_GBK" w:cs="Times New Roman"/>
          <w:sz w:val="24"/>
          <w:szCs w:val="24"/>
          <w:highlight w:val="none"/>
        </w:rPr>
        <w:t xml:space="preserve">    3、响应</w:t>
      </w:r>
      <w:r>
        <w:rPr>
          <w:rFonts w:hint="default" w:ascii="Times New Roman" w:hAnsi="Times New Roman" w:eastAsia="方正仿宋_GBK" w:cs="Times New Roman"/>
          <w:sz w:val="24"/>
          <w:szCs w:val="28"/>
          <w:highlight w:val="none"/>
        </w:rPr>
        <w:t>情况栏中应当注明具体内容，且必须标注具体内容在电子响应文件中的位置（页码）。</w:t>
      </w:r>
    </w:p>
    <w:p w14:paraId="1227BAEB">
      <w:pPr>
        <w:snapToGrid w:val="0"/>
        <w:spacing w:line="400" w:lineRule="exact"/>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（二）商务部分评分资料</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如有）</w:t>
      </w:r>
    </w:p>
    <w:p w14:paraId="79B09879">
      <w:pPr>
        <w:snapToGrid w:val="0"/>
        <w:spacing w:line="400" w:lineRule="exact"/>
        <w:ind w:firstLine="480" w:firstLineChars="200"/>
        <w:rPr>
          <w:rFonts w:hint="default" w:ascii="Times New Roman" w:hAnsi="Times New Roman" w:eastAsia="方正仿宋_GBK" w:cs="Times New Roman"/>
          <w:color w:val="auto"/>
          <w:sz w:val="24"/>
          <w:szCs w:val="24"/>
          <w:highlight w:val="none"/>
        </w:rPr>
      </w:pPr>
    </w:p>
    <w:p w14:paraId="1A50C400">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br w:type="page"/>
      </w:r>
      <w:bookmarkEnd w:id="768"/>
      <w:bookmarkStart w:id="769" w:name="_Toc25883"/>
      <w:bookmarkStart w:id="770" w:name="_Toc76462353"/>
      <w:bookmarkStart w:id="771" w:name="_Toc313008359"/>
      <w:bookmarkStart w:id="772" w:name="_Toc313888363"/>
      <w:bookmarkStart w:id="773" w:name="_Toc342913422"/>
    </w:p>
    <w:p w14:paraId="795B7DB2">
      <w:pPr>
        <w:pStyle w:val="2"/>
        <w:adjustRightInd w:val="0"/>
        <w:snapToGrid w:val="0"/>
        <w:spacing w:before="0" w:after="0" w:line="400" w:lineRule="exact"/>
        <w:rPr>
          <w:rFonts w:hint="default" w:ascii="Times New Roman" w:hAnsi="Times New Roman" w:eastAsia="方正仿宋_GBK" w:cs="Times New Roman"/>
          <w:b w:val="0"/>
          <w:color w:val="auto"/>
          <w:kern w:val="2"/>
          <w:sz w:val="24"/>
          <w:szCs w:val="24"/>
          <w:highlight w:val="none"/>
          <w:lang w:val="en-US" w:eastAsia="zh-CN" w:bidi="ar-SA"/>
        </w:rPr>
      </w:pPr>
      <w:r>
        <w:rPr>
          <w:rFonts w:hint="default" w:ascii="Times New Roman" w:hAnsi="Times New Roman" w:eastAsia="方正仿宋_GBK" w:cs="Times New Roman"/>
          <w:b w:val="0"/>
          <w:color w:val="auto"/>
          <w:kern w:val="2"/>
          <w:sz w:val="24"/>
          <w:szCs w:val="24"/>
          <w:highlight w:val="none"/>
          <w:lang w:val="en-US" w:eastAsia="zh-CN" w:bidi="ar-SA"/>
        </w:rPr>
        <w:t>（三）其它优惠服务承诺（格式自定）</w:t>
      </w:r>
    </w:p>
    <w:p w14:paraId="2FB557C2">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65009F55">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5A564372">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2113DC80">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7FD31841">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24FFECB1">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6B5EB1E7">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15847B09">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18B37985">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189ADEF7">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43EF2C85">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139DA700">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2E672440">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18B3CDA4">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369FC3D3">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0AD390CA">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6ED1E11A">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7B09302B">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29B1AE7A">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37CA3F66">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19519EC9">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2FAAE598">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3456DA49">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161311B3">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42933326">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4B9C0A49">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1549F8A4">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31DD3704">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26625CE1">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446F27F0">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77C4FF41">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61F5CB6F">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szCs w:val="24"/>
          <w:highlight w:val="none"/>
        </w:rPr>
      </w:pPr>
    </w:p>
    <w:p w14:paraId="1FFFB5B7">
      <w:pPr>
        <w:pStyle w:val="2"/>
        <w:adjustRightInd w:val="0"/>
        <w:snapToGrid w:val="0"/>
        <w:spacing w:before="0" w:after="0" w:line="400" w:lineRule="exact"/>
        <w:rPr>
          <w:rFonts w:hint="default" w:ascii="Times New Roman" w:hAnsi="Times New Roman" w:eastAsia="方正仿宋_GBK" w:cs="Times New Roman"/>
          <w:color w:val="auto"/>
          <w:sz w:val="24"/>
          <w:szCs w:val="24"/>
          <w:highlight w:val="none"/>
        </w:rPr>
      </w:pPr>
    </w:p>
    <w:p w14:paraId="4AAFFD3A">
      <w:pPr>
        <w:pStyle w:val="2"/>
        <w:adjustRightInd w:val="0"/>
        <w:snapToGrid w:val="0"/>
        <w:spacing w:before="0" w:after="0" w:line="400" w:lineRule="exact"/>
        <w:rPr>
          <w:rFonts w:hint="default" w:ascii="Times New Roman" w:hAnsi="Times New Roman" w:eastAsia="方正仿宋_GBK" w:cs="Times New Roman"/>
          <w:color w:val="auto"/>
          <w:sz w:val="24"/>
          <w:szCs w:val="24"/>
          <w:highlight w:val="none"/>
        </w:rPr>
      </w:pPr>
    </w:p>
    <w:p w14:paraId="1A1B88D8">
      <w:pPr>
        <w:rPr>
          <w:rFonts w:hint="default" w:ascii="Times New Roman" w:hAnsi="Times New Roman" w:eastAsia="方正仿宋_GBK" w:cs="Times New Roman"/>
        </w:rPr>
      </w:pPr>
    </w:p>
    <w:p w14:paraId="0A2C1BA4">
      <w:pPr>
        <w:pStyle w:val="2"/>
        <w:adjustRightInd w:val="0"/>
        <w:snapToGrid w:val="0"/>
        <w:spacing w:before="0" w:after="0" w:line="400" w:lineRule="exact"/>
        <w:ind w:firstLine="482"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lang w:eastAsia="zh-CN"/>
        </w:rPr>
        <w:t>四</w:t>
      </w:r>
      <w:r>
        <w:rPr>
          <w:rFonts w:hint="default" w:ascii="Times New Roman" w:hAnsi="Times New Roman" w:eastAsia="方正仿宋_GBK" w:cs="Times New Roman"/>
          <w:color w:val="auto"/>
          <w:sz w:val="24"/>
          <w:highlight w:val="none"/>
        </w:rPr>
        <w:t>、资格条件</w:t>
      </w:r>
      <w:bookmarkEnd w:id="769"/>
      <w:bookmarkEnd w:id="770"/>
      <w:bookmarkEnd w:id="771"/>
      <w:bookmarkEnd w:id="772"/>
      <w:bookmarkEnd w:id="773"/>
    </w:p>
    <w:p w14:paraId="6A0367FD">
      <w:pPr>
        <w:tabs>
          <w:tab w:val="left" w:pos="6300"/>
        </w:tabs>
        <w:snapToGrid w:val="0"/>
        <w:spacing w:line="400" w:lineRule="exact"/>
        <w:ind w:firstLine="570"/>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（一）法人营业执照（副本）或事业单位法人证书（副本）或个体工商户营业执照或有效的自然人身份证明或社会团体法人登记证书</w:t>
      </w:r>
      <w:r>
        <w:rPr>
          <w:rFonts w:hint="default" w:ascii="Times New Roman" w:hAnsi="Times New Roman" w:eastAsia="方正仿宋_GBK" w:cs="Times New Roman"/>
          <w:color w:val="auto"/>
          <w:sz w:val="24"/>
          <w:szCs w:val="24"/>
          <w:highlight w:val="none"/>
          <w:lang w:eastAsia="zh-CN"/>
        </w:rPr>
        <w:t>扫描件</w:t>
      </w:r>
    </w:p>
    <w:p w14:paraId="2A11E2EB">
      <w:pPr>
        <w:tabs>
          <w:tab w:val="left" w:pos="6300"/>
        </w:tabs>
        <w:snapToGrid w:val="0"/>
        <w:spacing w:line="400" w:lineRule="exact"/>
        <w:ind w:firstLine="570"/>
        <w:rPr>
          <w:rFonts w:hint="default" w:ascii="Times New Roman" w:hAnsi="Times New Roman" w:eastAsia="方正仿宋_GBK" w:cs="Times New Roman"/>
          <w:color w:val="auto"/>
          <w:highlight w:val="none"/>
        </w:rPr>
      </w:pPr>
    </w:p>
    <w:p w14:paraId="7BAD2114">
      <w:pPr>
        <w:tabs>
          <w:tab w:val="left" w:pos="6300"/>
        </w:tabs>
        <w:snapToGrid w:val="0"/>
        <w:spacing w:line="500" w:lineRule="exact"/>
        <w:ind w:firstLine="570"/>
        <w:rPr>
          <w:rFonts w:hint="default" w:ascii="Times New Roman" w:hAnsi="Times New Roman" w:eastAsia="方正仿宋_GBK" w:cs="Times New Roman"/>
          <w:color w:val="auto"/>
          <w:highlight w:val="none"/>
        </w:rPr>
      </w:pPr>
    </w:p>
    <w:p w14:paraId="522502CA">
      <w:pPr>
        <w:tabs>
          <w:tab w:val="left" w:pos="6300"/>
        </w:tabs>
        <w:snapToGrid w:val="0"/>
        <w:spacing w:line="500" w:lineRule="exact"/>
        <w:ind w:firstLine="570"/>
        <w:rPr>
          <w:rFonts w:hint="default" w:ascii="Times New Roman" w:hAnsi="Times New Roman" w:eastAsia="方正仿宋_GBK" w:cs="Times New Roman"/>
          <w:color w:val="auto"/>
          <w:highlight w:val="none"/>
        </w:rPr>
      </w:pPr>
    </w:p>
    <w:p w14:paraId="18D27AD1">
      <w:pPr>
        <w:tabs>
          <w:tab w:val="left" w:pos="6300"/>
        </w:tabs>
        <w:snapToGrid w:val="0"/>
        <w:spacing w:line="500" w:lineRule="exact"/>
        <w:ind w:firstLine="570"/>
        <w:rPr>
          <w:rFonts w:hint="default" w:ascii="Times New Roman" w:hAnsi="Times New Roman" w:eastAsia="方正仿宋_GBK" w:cs="Times New Roman"/>
          <w:color w:val="auto"/>
          <w:highlight w:val="none"/>
        </w:rPr>
      </w:pPr>
    </w:p>
    <w:p w14:paraId="68A71D6A">
      <w:pPr>
        <w:tabs>
          <w:tab w:val="left" w:pos="6300"/>
        </w:tabs>
        <w:snapToGrid w:val="0"/>
        <w:spacing w:line="500" w:lineRule="exact"/>
        <w:ind w:firstLine="570"/>
        <w:rPr>
          <w:rFonts w:hint="default" w:ascii="Times New Roman" w:hAnsi="Times New Roman" w:eastAsia="方正仿宋_GBK" w:cs="Times New Roman"/>
          <w:color w:val="auto"/>
          <w:highlight w:val="none"/>
        </w:rPr>
      </w:pPr>
    </w:p>
    <w:p w14:paraId="4FB2C7FA">
      <w:pPr>
        <w:snapToGrid w:val="0"/>
        <w:spacing w:line="400" w:lineRule="exact"/>
        <w:ind w:firstLine="56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highlight w:val="none"/>
        </w:rPr>
        <w:br w:type="page"/>
      </w:r>
      <w:r>
        <w:rPr>
          <w:rFonts w:hint="default" w:ascii="Times New Roman" w:hAnsi="Times New Roman" w:eastAsia="方正仿宋_GBK" w:cs="Times New Roman"/>
          <w:color w:val="auto"/>
          <w:sz w:val="24"/>
          <w:szCs w:val="24"/>
          <w:highlight w:val="none"/>
        </w:rPr>
        <w:t>（二）法定代表人身份证明书（格式）</w:t>
      </w:r>
    </w:p>
    <w:p w14:paraId="7F3D6265">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1C0239DF">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项目名称：</w:t>
      </w:r>
      <w:r>
        <w:rPr>
          <w:rFonts w:hint="default" w:ascii="Times New Roman" w:hAnsi="Times New Roman" w:eastAsia="方正仿宋_GBK" w:cs="Times New Roman"/>
          <w:color w:val="auto"/>
          <w:sz w:val="24"/>
          <w:highlight w:val="none"/>
          <w:u w:val="single"/>
        </w:rPr>
        <w:t xml:space="preserve">                                                </w:t>
      </w:r>
    </w:p>
    <w:p w14:paraId="271B459A">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2D54A73D">
      <w:pPr>
        <w:tabs>
          <w:tab w:val="left" w:pos="6300"/>
        </w:tabs>
        <w:snapToGrid w:val="0"/>
        <w:spacing w:line="500" w:lineRule="exac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致：</w:t>
      </w: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（采购代理机构名称）：</w:t>
      </w:r>
    </w:p>
    <w:p w14:paraId="0BAF140A">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（法定代表人姓名）在</w:t>
      </w: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w:t>
      </w:r>
      <w:r>
        <w:rPr>
          <w:rFonts w:hint="default" w:ascii="Times New Roman" w:hAnsi="Times New Roman" w:eastAsia="方正仿宋_GBK" w:cs="Times New Roman"/>
          <w:color w:val="auto"/>
          <w:sz w:val="24"/>
          <w:highlight w:val="none"/>
          <w:lang w:eastAsia="zh-CN"/>
        </w:rPr>
        <w:t>供应商</w:t>
      </w:r>
      <w:r>
        <w:rPr>
          <w:rFonts w:hint="default" w:ascii="Times New Roman" w:hAnsi="Times New Roman" w:eastAsia="方正仿宋_GBK" w:cs="Times New Roman"/>
          <w:color w:val="auto"/>
          <w:sz w:val="24"/>
          <w:highlight w:val="none"/>
        </w:rPr>
        <w:t>名称）任</w:t>
      </w: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（职务名称）职务，是（</w:t>
      </w:r>
      <w:r>
        <w:rPr>
          <w:rFonts w:hint="default" w:ascii="Times New Roman" w:hAnsi="Times New Roman" w:eastAsia="方正仿宋_GBK" w:cs="Times New Roman"/>
          <w:color w:val="auto"/>
          <w:sz w:val="24"/>
          <w:highlight w:val="none"/>
          <w:lang w:eastAsia="zh-CN"/>
        </w:rPr>
        <w:t>供应商</w:t>
      </w:r>
      <w:r>
        <w:rPr>
          <w:rFonts w:hint="default" w:ascii="Times New Roman" w:hAnsi="Times New Roman" w:eastAsia="方正仿宋_GBK" w:cs="Times New Roman"/>
          <w:color w:val="auto"/>
          <w:sz w:val="24"/>
          <w:highlight w:val="none"/>
        </w:rPr>
        <w:t>名称）</w:t>
      </w: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的法定代表人。</w:t>
      </w:r>
    </w:p>
    <w:p w14:paraId="48B7D0E2">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5B2F9700">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特此证明。</w:t>
      </w:r>
    </w:p>
    <w:p w14:paraId="58E58F18">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309780C7">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4781A5BD">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1B5DA3A6">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 xml:space="preserve">                                             （</w:t>
      </w:r>
      <w:r>
        <w:rPr>
          <w:rFonts w:hint="default" w:ascii="Times New Roman" w:hAnsi="Times New Roman" w:eastAsia="方正仿宋_GBK" w:cs="Times New Roman"/>
          <w:color w:val="auto"/>
          <w:sz w:val="24"/>
          <w:highlight w:val="none"/>
          <w:lang w:eastAsia="zh-CN"/>
        </w:rPr>
        <w:t>供应商</w:t>
      </w:r>
      <w:r>
        <w:rPr>
          <w:rFonts w:hint="default" w:ascii="Times New Roman" w:hAnsi="Times New Roman" w:eastAsia="方正仿宋_GBK" w:cs="Times New Roman"/>
          <w:color w:val="auto"/>
          <w:sz w:val="24"/>
          <w:highlight w:val="none"/>
        </w:rPr>
        <w:t>公章）</w:t>
      </w:r>
    </w:p>
    <w:p w14:paraId="3DC50C55">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5DD10213">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 xml:space="preserve">                                             年   月   日</w:t>
      </w:r>
    </w:p>
    <w:p w14:paraId="64A0C5CD">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法定代表人电话：XXXXXXX      电子邮箱：XXXXXX@XXXXX（若授权他人办理并签署响应文件的可不填写）</w:t>
      </w:r>
    </w:p>
    <w:p w14:paraId="39A0846C">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（附：法定代表人身份证正反面</w:t>
      </w:r>
      <w:r>
        <w:rPr>
          <w:rFonts w:hint="default" w:ascii="Times New Roman" w:hAnsi="Times New Roman" w:eastAsia="方正仿宋_GBK" w:cs="Times New Roman"/>
          <w:color w:val="auto"/>
          <w:sz w:val="24"/>
          <w:highlight w:val="none"/>
          <w:lang w:eastAsia="zh-CN"/>
        </w:rPr>
        <w:t>扫描件</w:t>
      </w:r>
      <w:r>
        <w:rPr>
          <w:rFonts w:hint="default" w:ascii="Times New Roman" w:hAnsi="Times New Roman" w:eastAsia="方正仿宋_GBK" w:cs="Times New Roman"/>
          <w:color w:val="auto"/>
          <w:sz w:val="24"/>
          <w:highlight w:val="none"/>
        </w:rPr>
        <w:t>）</w:t>
      </w:r>
    </w:p>
    <w:p w14:paraId="7675455E">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06010A01">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109A6E0A">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11B71793">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7D31034F">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7F49653D">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610AACC7">
      <w:pPr>
        <w:snapToGrid w:val="0"/>
        <w:spacing w:line="400" w:lineRule="exact"/>
        <w:ind w:firstLine="56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highlight w:val="none"/>
        </w:rPr>
        <w:br w:type="column"/>
      </w:r>
      <w:r>
        <w:rPr>
          <w:rFonts w:hint="default" w:ascii="Times New Roman" w:hAnsi="Times New Roman" w:eastAsia="方正仿宋_GBK" w:cs="Times New Roman"/>
          <w:color w:val="auto"/>
          <w:sz w:val="24"/>
          <w:szCs w:val="24"/>
          <w:highlight w:val="none"/>
        </w:rPr>
        <w:t>（三）法定代表人授权委托书（格式）</w:t>
      </w:r>
    </w:p>
    <w:p w14:paraId="6A2D2C61">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 xml:space="preserve">    </w:t>
      </w:r>
    </w:p>
    <w:p w14:paraId="73700353">
      <w:pPr>
        <w:tabs>
          <w:tab w:val="left" w:pos="6300"/>
        </w:tabs>
        <w:snapToGrid w:val="0"/>
        <w:spacing w:line="5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szCs w:val="28"/>
          <w:highlight w:val="none"/>
        </w:rPr>
        <w:t>项目名称</w:t>
      </w:r>
      <w:r>
        <w:rPr>
          <w:rFonts w:hint="default" w:ascii="Times New Roman" w:hAnsi="Times New Roman" w:eastAsia="方正仿宋_GBK" w:cs="Times New Roman"/>
          <w:color w:val="auto"/>
          <w:sz w:val="24"/>
          <w:highlight w:val="none"/>
        </w:rPr>
        <w:t>：</w:t>
      </w:r>
      <w:r>
        <w:rPr>
          <w:rFonts w:hint="default" w:ascii="Times New Roman" w:hAnsi="Times New Roman" w:eastAsia="方正仿宋_GBK" w:cs="Times New Roman"/>
          <w:color w:val="auto"/>
          <w:sz w:val="24"/>
          <w:highlight w:val="none"/>
          <w:u w:val="single"/>
        </w:rPr>
        <w:t xml:space="preserve">                                                </w:t>
      </w:r>
    </w:p>
    <w:p w14:paraId="3898DDB7">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0ACE5552">
      <w:pPr>
        <w:tabs>
          <w:tab w:val="left" w:pos="6300"/>
        </w:tabs>
        <w:snapToGrid w:val="0"/>
        <w:spacing w:line="500" w:lineRule="exac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致：</w:t>
      </w: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（采购代理机构名称）：</w:t>
      </w:r>
    </w:p>
    <w:p w14:paraId="4C378F9E">
      <w:pPr>
        <w:tabs>
          <w:tab w:val="left" w:pos="6300"/>
        </w:tabs>
        <w:snapToGrid w:val="0"/>
        <w:spacing w:line="5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w:t>
      </w:r>
      <w:r>
        <w:rPr>
          <w:rFonts w:hint="default" w:ascii="Times New Roman" w:hAnsi="Times New Roman" w:eastAsia="方正仿宋_GBK" w:cs="Times New Roman"/>
          <w:color w:val="auto"/>
          <w:sz w:val="24"/>
          <w:highlight w:val="none"/>
          <w:lang w:eastAsia="zh-CN"/>
        </w:rPr>
        <w:t>供应商</w:t>
      </w:r>
      <w:r>
        <w:rPr>
          <w:rFonts w:hint="default" w:ascii="Times New Roman" w:hAnsi="Times New Roman" w:eastAsia="方正仿宋_GBK" w:cs="Times New Roman"/>
          <w:color w:val="auto"/>
          <w:sz w:val="24"/>
          <w:highlight w:val="none"/>
        </w:rPr>
        <w:t>法定代表人名称）是</w:t>
      </w: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w:t>
      </w:r>
      <w:r>
        <w:rPr>
          <w:rFonts w:hint="default" w:ascii="Times New Roman" w:hAnsi="Times New Roman" w:eastAsia="方正仿宋_GBK" w:cs="Times New Roman"/>
          <w:color w:val="auto"/>
          <w:sz w:val="24"/>
          <w:highlight w:val="none"/>
          <w:lang w:eastAsia="zh-CN"/>
        </w:rPr>
        <w:t>供应商</w:t>
      </w:r>
      <w:r>
        <w:rPr>
          <w:rFonts w:hint="default" w:ascii="Times New Roman" w:hAnsi="Times New Roman" w:eastAsia="方正仿宋_GBK" w:cs="Times New Roman"/>
          <w:color w:val="auto"/>
          <w:sz w:val="24"/>
          <w:highlight w:val="none"/>
        </w:rPr>
        <w:t>名称）的法定代表人，特授权</w:t>
      </w: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（被授权人姓名及身份证代码）代表我单位全权办理上述项目的</w:t>
      </w:r>
      <w:r>
        <w:rPr>
          <w:rFonts w:hint="default" w:ascii="Times New Roman" w:hAnsi="Times New Roman" w:eastAsia="方正仿宋_GBK" w:cs="Times New Roman"/>
          <w:color w:val="auto"/>
          <w:sz w:val="24"/>
          <w:highlight w:val="none"/>
          <w:lang w:val="en-US" w:eastAsia="zh-CN"/>
        </w:rPr>
        <w:t>竞采</w:t>
      </w:r>
      <w:r>
        <w:rPr>
          <w:rFonts w:hint="default" w:ascii="Times New Roman" w:hAnsi="Times New Roman" w:eastAsia="方正仿宋_GBK" w:cs="Times New Roman"/>
          <w:color w:val="auto"/>
          <w:sz w:val="24"/>
          <w:highlight w:val="none"/>
        </w:rPr>
        <w:t>、签约等具体工作，并签署全部有关文件、协议及合同。</w:t>
      </w:r>
    </w:p>
    <w:p w14:paraId="379DE93B">
      <w:pPr>
        <w:tabs>
          <w:tab w:val="left" w:pos="6300"/>
        </w:tabs>
        <w:snapToGrid w:val="0"/>
        <w:spacing w:line="5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我单位对被授权人的</w:t>
      </w:r>
      <w:r>
        <w:rPr>
          <w:rFonts w:hint="default" w:ascii="Times New Roman" w:hAnsi="Times New Roman" w:eastAsia="方正仿宋_GBK" w:cs="Times New Roman"/>
          <w:color w:val="auto"/>
          <w:sz w:val="24"/>
          <w:szCs w:val="28"/>
          <w:highlight w:val="none"/>
        </w:rPr>
        <w:t>签署</w:t>
      </w:r>
      <w:r>
        <w:rPr>
          <w:rFonts w:hint="default" w:ascii="Times New Roman" w:hAnsi="Times New Roman" w:eastAsia="方正仿宋_GBK" w:cs="Times New Roman"/>
          <w:color w:val="auto"/>
          <w:sz w:val="24"/>
          <w:highlight w:val="none"/>
        </w:rPr>
        <w:t>负全部责任。</w:t>
      </w:r>
    </w:p>
    <w:p w14:paraId="5BFDD7BF">
      <w:pPr>
        <w:tabs>
          <w:tab w:val="left" w:pos="6300"/>
        </w:tabs>
        <w:snapToGrid w:val="0"/>
        <w:spacing w:line="5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在撤销授权的书面通知以前，本授权书一直有效。被授权人在授权书有效期内签署的所有文件不因授权的撤销而失效。</w:t>
      </w:r>
    </w:p>
    <w:p w14:paraId="250661C4">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4BC565AC">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03AB27E5">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 xml:space="preserve">被授权人：                                 </w:t>
      </w:r>
      <w:r>
        <w:rPr>
          <w:rFonts w:hint="default" w:ascii="Times New Roman" w:hAnsi="Times New Roman" w:eastAsia="方正仿宋_GBK" w:cs="Times New Roman"/>
          <w:color w:val="auto"/>
          <w:sz w:val="24"/>
          <w:highlight w:val="none"/>
          <w:lang w:eastAsia="zh-CN"/>
        </w:rPr>
        <w:t>供应商</w:t>
      </w:r>
      <w:r>
        <w:rPr>
          <w:rFonts w:hint="default" w:ascii="Times New Roman" w:hAnsi="Times New Roman" w:eastAsia="方正仿宋_GBK" w:cs="Times New Roman"/>
          <w:color w:val="auto"/>
          <w:sz w:val="24"/>
          <w:highlight w:val="none"/>
        </w:rPr>
        <w:t>法定代表人：</w:t>
      </w:r>
    </w:p>
    <w:p w14:paraId="12AF3F44">
      <w:pPr>
        <w:tabs>
          <w:tab w:val="left" w:pos="6300"/>
        </w:tabs>
        <w:snapToGrid w:val="0"/>
        <w:spacing w:line="500" w:lineRule="exact"/>
        <w:ind w:firstLine="570"/>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（签署或盖章）                                （签署或盖章）</w:t>
      </w:r>
    </w:p>
    <w:p w14:paraId="03C77E6D">
      <w:pPr>
        <w:tabs>
          <w:tab w:val="left" w:pos="6300"/>
        </w:tabs>
        <w:snapToGrid w:val="0"/>
        <w:spacing w:line="500" w:lineRule="exact"/>
        <w:ind w:firstLine="570"/>
        <w:rPr>
          <w:rFonts w:hint="default" w:ascii="Times New Roman" w:hAnsi="Times New Roman" w:eastAsia="方正仿宋_GBK" w:cs="Times New Roman"/>
          <w:color w:val="auto"/>
          <w:sz w:val="24"/>
          <w:szCs w:val="28"/>
          <w:highlight w:val="none"/>
        </w:rPr>
      </w:pPr>
    </w:p>
    <w:p w14:paraId="60A3B493">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29979F6D">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（附：被授权人身份证正反面</w:t>
      </w:r>
      <w:r>
        <w:rPr>
          <w:rFonts w:hint="default" w:ascii="Times New Roman" w:hAnsi="Times New Roman" w:eastAsia="方正仿宋_GBK" w:cs="Times New Roman"/>
          <w:color w:val="auto"/>
          <w:sz w:val="24"/>
          <w:highlight w:val="none"/>
          <w:lang w:eastAsia="zh-CN"/>
        </w:rPr>
        <w:t>扫描件</w:t>
      </w:r>
      <w:r>
        <w:rPr>
          <w:rFonts w:hint="default" w:ascii="Times New Roman" w:hAnsi="Times New Roman" w:eastAsia="方正仿宋_GBK" w:cs="Times New Roman"/>
          <w:color w:val="auto"/>
          <w:sz w:val="24"/>
          <w:highlight w:val="none"/>
        </w:rPr>
        <w:t>）</w:t>
      </w:r>
    </w:p>
    <w:p w14:paraId="0CF12DDB">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 xml:space="preserve">                                          </w:t>
      </w:r>
    </w:p>
    <w:p w14:paraId="1232294B">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340DB778">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6176201E">
      <w:pPr>
        <w:tabs>
          <w:tab w:val="left" w:pos="6300"/>
        </w:tabs>
        <w:snapToGrid w:val="0"/>
        <w:spacing w:line="500" w:lineRule="exact"/>
        <w:ind w:right="480" w:firstLine="570"/>
        <w:jc w:val="righ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w:t>
      </w:r>
      <w:r>
        <w:rPr>
          <w:rFonts w:hint="default" w:ascii="Times New Roman" w:hAnsi="Times New Roman" w:eastAsia="方正仿宋_GBK" w:cs="Times New Roman"/>
          <w:color w:val="auto"/>
          <w:sz w:val="24"/>
          <w:highlight w:val="none"/>
          <w:lang w:eastAsia="zh-CN"/>
        </w:rPr>
        <w:t>供应商</w:t>
      </w:r>
      <w:r>
        <w:rPr>
          <w:rFonts w:hint="default" w:ascii="Times New Roman" w:hAnsi="Times New Roman" w:eastAsia="方正仿宋_GBK" w:cs="Times New Roman"/>
          <w:color w:val="auto"/>
          <w:sz w:val="24"/>
          <w:highlight w:val="none"/>
        </w:rPr>
        <w:t>公章）</w:t>
      </w:r>
    </w:p>
    <w:p w14:paraId="748AED84">
      <w:pPr>
        <w:tabs>
          <w:tab w:val="left" w:pos="6300"/>
        </w:tabs>
        <w:snapToGrid w:val="0"/>
        <w:spacing w:line="500" w:lineRule="exact"/>
        <w:ind w:right="480" w:firstLine="570"/>
        <w:jc w:val="righ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年   月   日</w:t>
      </w:r>
    </w:p>
    <w:p w14:paraId="427AE081">
      <w:pPr>
        <w:tabs>
          <w:tab w:val="left" w:pos="6300"/>
        </w:tabs>
        <w:snapToGrid w:val="0"/>
        <w:spacing w:line="500" w:lineRule="exact"/>
        <w:ind w:right="480" w:firstLine="570"/>
        <w:jc w:val="lef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被授权人电话：XXXXXXX     电子邮箱：XXXXXX@XXXXX（若法定代表人办理并签署响应文件的可不填写）</w:t>
      </w:r>
    </w:p>
    <w:p w14:paraId="740FE0E3">
      <w:pPr>
        <w:tabs>
          <w:tab w:val="left" w:pos="6300"/>
        </w:tabs>
        <w:snapToGrid w:val="0"/>
        <w:spacing w:line="500" w:lineRule="exact"/>
        <w:ind w:right="480" w:firstLine="570"/>
        <w:jc w:val="lef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注：</w:t>
      </w:r>
    </w:p>
    <w:p w14:paraId="10D5002D">
      <w:pPr>
        <w:tabs>
          <w:tab w:val="left" w:pos="6300"/>
        </w:tabs>
        <w:snapToGrid w:val="0"/>
        <w:spacing w:line="500" w:lineRule="exact"/>
        <w:ind w:right="480" w:firstLine="570"/>
        <w:jc w:val="lef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1.若为法定代表人办理并签署响应文件的，不提供此文件。</w:t>
      </w:r>
    </w:p>
    <w:p w14:paraId="11A59198">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2.若为联合体参与的，法定代表人授权委托书由联合体主办方</w:t>
      </w:r>
      <w:r>
        <w:rPr>
          <w:rFonts w:hint="default" w:ascii="Times New Roman" w:hAnsi="Times New Roman" w:eastAsia="方正仿宋_GBK" w:cs="Times New Roman"/>
          <w:color w:val="auto"/>
          <w:kern w:val="0"/>
          <w:sz w:val="24"/>
          <w:szCs w:val="24"/>
          <w:highlight w:val="none"/>
        </w:rPr>
        <w:t>（主体）</w:t>
      </w:r>
      <w:r>
        <w:rPr>
          <w:rFonts w:hint="default" w:ascii="Times New Roman" w:hAnsi="Times New Roman" w:eastAsia="方正仿宋_GBK" w:cs="Times New Roman"/>
          <w:color w:val="auto"/>
          <w:sz w:val="24"/>
          <w:highlight w:val="none"/>
        </w:rPr>
        <w:t>出具。</w:t>
      </w:r>
    </w:p>
    <w:p w14:paraId="42435921">
      <w:pPr>
        <w:tabs>
          <w:tab w:val="left" w:pos="6300"/>
        </w:tabs>
        <w:snapToGrid w:val="0"/>
        <w:spacing w:line="500" w:lineRule="exact"/>
        <w:ind w:firstLine="57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highlight w:val="none"/>
        </w:rPr>
        <w:br w:type="column"/>
      </w:r>
      <w:r>
        <w:rPr>
          <w:rFonts w:hint="default" w:ascii="Times New Roman" w:hAnsi="Times New Roman" w:eastAsia="方正仿宋_GBK" w:cs="Times New Roman"/>
          <w:color w:val="auto"/>
          <w:sz w:val="24"/>
          <w:szCs w:val="24"/>
          <w:highlight w:val="none"/>
        </w:rPr>
        <w:t>（四）</w:t>
      </w:r>
      <w:r>
        <w:rPr>
          <w:rFonts w:hint="default" w:ascii="Times New Roman" w:hAnsi="Times New Roman" w:eastAsia="方正仿宋_GBK" w:cs="Times New Roman"/>
          <w:color w:val="auto"/>
          <w:sz w:val="24"/>
          <w:szCs w:val="28"/>
          <w:highlight w:val="none"/>
        </w:rPr>
        <w:t>基本资格条件承诺函</w:t>
      </w:r>
    </w:p>
    <w:p w14:paraId="116DFDA0">
      <w:pPr>
        <w:tabs>
          <w:tab w:val="left" w:pos="6300"/>
        </w:tabs>
        <w:snapToGrid w:val="0"/>
        <w:spacing w:line="500" w:lineRule="exact"/>
        <w:ind w:firstLine="643" w:firstLineChars="200"/>
        <w:jc w:val="center"/>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rPr>
        <w:t>基本资格条件承诺函</w:t>
      </w:r>
    </w:p>
    <w:p w14:paraId="6962968C">
      <w:pPr>
        <w:tabs>
          <w:tab w:val="left" w:pos="6300"/>
        </w:tabs>
        <w:snapToGrid w:val="0"/>
        <w:spacing w:line="530" w:lineRule="exact"/>
        <w:rPr>
          <w:rFonts w:hint="default" w:ascii="Times New Roman" w:hAnsi="Times New Roman" w:eastAsia="方正仿宋_GBK" w:cs="Times New Roman"/>
          <w:color w:val="auto"/>
          <w:sz w:val="24"/>
          <w:highlight w:val="none"/>
        </w:rPr>
      </w:pPr>
    </w:p>
    <w:p w14:paraId="1430EE91">
      <w:pPr>
        <w:tabs>
          <w:tab w:val="left" w:pos="6300"/>
        </w:tabs>
        <w:snapToGrid w:val="0"/>
        <w:spacing w:line="5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致</w:t>
      </w: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（采购代理机构名称）：</w:t>
      </w:r>
    </w:p>
    <w:p w14:paraId="0F6D5A91">
      <w:pPr>
        <w:tabs>
          <w:tab w:val="left" w:pos="6300"/>
        </w:tabs>
        <w:snapToGrid w:val="0"/>
        <w:spacing w:line="5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 xml:space="preserve">    </w:t>
      </w:r>
      <w:r>
        <w:rPr>
          <w:rFonts w:hint="default" w:ascii="Times New Roman" w:hAnsi="Times New Roman" w:eastAsia="方正仿宋_GBK" w:cs="Times New Roman"/>
          <w:color w:val="auto"/>
          <w:sz w:val="24"/>
          <w:highlight w:val="none"/>
          <w:u w:val="single"/>
        </w:rPr>
        <w:t xml:space="preserve">              </w:t>
      </w:r>
      <w:r>
        <w:rPr>
          <w:rFonts w:hint="default" w:ascii="Times New Roman" w:hAnsi="Times New Roman" w:eastAsia="方正仿宋_GBK" w:cs="Times New Roman"/>
          <w:color w:val="auto"/>
          <w:sz w:val="24"/>
          <w:highlight w:val="none"/>
        </w:rPr>
        <w:t>（</w:t>
      </w:r>
      <w:r>
        <w:rPr>
          <w:rFonts w:hint="default" w:ascii="Times New Roman" w:hAnsi="Times New Roman" w:eastAsia="方正仿宋_GBK" w:cs="Times New Roman"/>
          <w:color w:val="auto"/>
          <w:sz w:val="24"/>
          <w:highlight w:val="none"/>
          <w:lang w:eastAsia="zh-CN"/>
        </w:rPr>
        <w:t>供应商</w:t>
      </w:r>
      <w:r>
        <w:rPr>
          <w:rFonts w:hint="default" w:ascii="Times New Roman" w:hAnsi="Times New Roman" w:eastAsia="方正仿宋_GBK" w:cs="Times New Roman"/>
          <w:color w:val="auto"/>
          <w:sz w:val="24"/>
          <w:highlight w:val="none"/>
        </w:rPr>
        <w:t>名称）郑重承诺：</w:t>
      </w:r>
    </w:p>
    <w:p w14:paraId="74F819EB">
      <w:pPr>
        <w:tabs>
          <w:tab w:val="left" w:pos="6300"/>
        </w:tabs>
        <w:snapToGrid w:val="0"/>
        <w:spacing w:line="5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1.我方具有良好的商业信誉和健全的财务会计制度，具有履行合同所必需的设备和专业技术能力，具</w:t>
      </w:r>
      <w:r>
        <w:rPr>
          <w:rFonts w:hint="default" w:ascii="Times New Roman" w:hAnsi="Times New Roman" w:eastAsia="方正仿宋_GBK" w:cs="Times New Roman"/>
          <w:color w:val="auto"/>
          <w:sz w:val="24"/>
          <w:highlight w:val="none"/>
          <w:lang w:val="zh-CN"/>
        </w:rPr>
        <w:t>有依法缴纳税收和社会保障金的良好记录</w:t>
      </w:r>
      <w:r>
        <w:rPr>
          <w:rFonts w:hint="default" w:ascii="Times New Roman" w:hAnsi="Times New Roman" w:eastAsia="方正仿宋_GBK" w:cs="Times New Roman"/>
          <w:color w:val="auto"/>
          <w:sz w:val="24"/>
          <w:highlight w:val="none"/>
        </w:rPr>
        <w:t>，参加本项目采购活动前三年内无重大违法活动记录。</w:t>
      </w:r>
    </w:p>
    <w:p w14:paraId="4BAEEC88">
      <w:pPr>
        <w:tabs>
          <w:tab w:val="left" w:pos="6300"/>
        </w:tabs>
        <w:snapToGrid w:val="0"/>
        <w:spacing w:line="5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6CEB23CA">
      <w:pPr>
        <w:tabs>
          <w:tab w:val="left" w:pos="6300"/>
        </w:tabs>
        <w:snapToGrid w:val="0"/>
        <w:spacing w:line="5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3.我方在采购项目评审（评标）环节结束后，随时接受采购人、采购代理机构的检查验证，配合提供相关证明材料，证明符合《中华人民共和国政府采购法》规定的</w:t>
      </w:r>
      <w:r>
        <w:rPr>
          <w:rFonts w:hint="default" w:ascii="Times New Roman" w:hAnsi="Times New Roman" w:eastAsia="方正仿宋_GBK" w:cs="Times New Roman"/>
          <w:color w:val="auto"/>
          <w:sz w:val="24"/>
          <w:highlight w:val="none"/>
          <w:lang w:eastAsia="zh-CN"/>
        </w:rPr>
        <w:t>供应商</w:t>
      </w:r>
      <w:r>
        <w:rPr>
          <w:rFonts w:hint="default" w:ascii="Times New Roman" w:hAnsi="Times New Roman" w:eastAsia="方正仿宋_GBK" w:cs="Times New Roman"/>
          <w:color w:val="auto"/>
          <w:sz w:val="24"/>
          <w:highlight w:val="none"/>
        </w:rPr>
        <w:t>基本资格条件。</w:t>
      </w:r>
    </w:p>
    <w:p w14:paraId="03951265">
      <w:pPr>
        <w:tabs>
          <w:tab w:val="left" w:pos="6300"/>
        </w:tabs>
        <w:snapToGrid w:val="0"/>
        <w:spacing w:line="5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我方对以上承诺负全部法律责任。</w:t>
      </w:r>
    </w:p>
    <w:p w14:paraId="1532CCD2">
      <w:pPr>
        <w:tabs>
          <w:tab w:val="left" w:pos="6300"/>
        </w:tabs>
        <w:snapToGrid w:val="0"/>
        <w:spacing w:line="5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特此承诺。</w:t>
      </w:r>
    </w:p>
    <w:p w14:paraId="69DE0E1F">
      <w:pPr>
        <w:tabs>
          <w:tab w:val="left" w:pos="6300"/>
        </w:tabs>
        <w:snapToGrid w:val="0"/>
        <w:spacing w:line="500" w:lineRule="exact"/>
        <w:ind w:firstLine="480" w:firstLineChars="200"/>
        <w:rPr>
          <w:rFonts w:hint="default" w:ascii="Times New Roman" w:hAnsi="Times New Roman" w:eastAsia="方正仿宋_GBK" w:cs="Times New Roman"/>
          <w:color w:val="auto"/>
          <w:sz w:val="24"/>
          <w:highlight w:val="none"/>
        </w:rPr>
      </w:pPr>
    </w:p>
    <w:p w14:paraId="307FCD8C">
      <w:pPr>
        <w:tabs>
          <w:tab w:val="left" w:pos="6300"/>
        </w:tabs>
        <w:snapToGrid w:val="0"/>
        <w:spacing w:line="500" w:lineRule="exact"/>
        <w:ind w:firstLine="480" w:firstLineChars="200"/>
        <w:jc w:val="righ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w:t>
      </w:r>
      <w:r>
        <w:rPr>
          <w:rFonts w:hint="default" w:ascii="Times New Roman" w:hAnsi="Times New Roman" w:eastAsia="方正仿宋_GBK" w:cs="Times New Roman"/>
          <w:color w:val="auto"/>
          <w:sz w:val="24"/>
          <w:highlight w:val="none"/>
          <w:lang w:eastAsia="zh-CN"/>
        </w:rPr>
        <w:t>供应商</w:t>
      </w:r>
      <w:r>
        <w:rPr>
          <w:rFonts w:hint="default" w:ascii="Times New Roman" w:hAnsi="Times New Roman" w:eastAsia="方正仿宋_GBK" w:cs="Times New Roman"/>
          <w:color w:val="auto"/>
          <w:sz w:val="24"/>
          <w:highlight w:val="none"/>
        </w:rPr>
        <w:t>公章）</w:t>
      </w:r>
    </w:p>
    <w:p w14:paraId="193B4DA9">
      <w:pPr>
        <w:tabs>
          <w:tab w:val="left" w:pos="6300"/>
        </w:tabs>
        <w:snapToGrid w:val="0"/>
        <w:spacing w:line="500" w:lineRule="exact"/>
        <w:ind w:firstLine="7920" w:firstLineChars="33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highlight w:val="none"/>
        </w:rPr>
        <w:t>年   月   日</w:t>
      </w:r>
    </w:p>
    <w:p w14:paraId="0F504AA3">
      <w:pPr>
        <w:snapToGrid w:val="0"/>
        <w:spacing w:line="400" w:lineRule="exact"/>
        <w:ind w:firstLine="56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highlight w:val="none"/>
        </w:rPr>
        <w:br w:type="page"/>
      </w:r>
      <w:r>
        <w:rPr>
          <w:rFonts w:hint="default" w:ascii="Times New Roman" w:hAnsi="Times New Roman" w:eastAsia="方正仿宋_GBK" w:cs="Times New Roman"/>
          <w:color w:val="auto"/>
          <w:sz w:val="24"/>
          <w:szCs w:val="24"/>
          <w:highlight w:val="none"/>
        </w:rPr>
        <w:t>（五）特定资格条件证明文件</w:t>
      </w:r>
    </w:p>
    <w:p w14:paraId="0613F9CA">
      <w:pPr>
        <w:tabs>
          <w:tab w:val="left" w:pos="6300"/>
        </w:tabs>
        <w:snapToGrid w:val="0"/>
        <w:spacing w:line="400" w:lineRule="exact"/>
        <w:ind w:firstLine="480" w:firstLineChars="200"/>
        <w:rPr>
          <w:rFonts w:hint="default" w:ascii="Times New Roman" w:hAnsi="Times New Roman" w:eastAsia="方正仿宋_GBK" w:cs="Times New Roman"/>
          <w:color w:val="auto"/>
          <w:sz w:val="24"/>
          <w:szCs w:val="24"/>
          <w:highlight w:val="none"/>
        </w:rPr>
      </w:pPr>
    </w:p>
    <w:p w14:paraId="0A54E379">
      <w:pPr>
        <w:pStyle w:val="2"/>
        <w:adjustRightInd w:val="0"/>
        <w:snapToGrid w:val="0"/>
        <w:spacing w:before="0" w:after="0" w:line="400" w:lineRule="exact"/>
        <w:ind w:firstLine="560" w:firstLineChars="200"/>
        <w:rPr>
          <w:rFonts w:hint="default" w:ascii="Times New Roman" w:hAnsi="Times New Roman" w:eastAsia="方正仿宋_GBK" w:cs="Times New Roman"/>
          <w:color w:val="auto"/>
          <w:sz w:val="24"/>
          <w:highlight w:val="none"/>
        </w:rPr>
      </w:pPr>
      <w:bookmarkStart w:id="774" w:name="_Toc14422"/>
      <w:r>
        <w:rPr>
          <w:rFonts w:hint="default" w:ascii="Times New Roman" w:hAnsi="Times New Roman" w:eastAsia="方正仿宋_GBK" w:cs="Times New Roman"/>
          <w:b w:val="0"/>
          <w:color w:val="auto"/>
          <w:sz w:val="28"/>
          <w:highlight w:val="none"/>
        </w:rPr>
        <w:br w:type="page"/>
      </w:r>
      <w:bookmarkStart w:id="775" w:name="_Toc76462354"/>
      <w:bookmarkStart w:id="776" w:name="_Toc22532"/>
      <w:r>
        <w:rPr>
          <w:rFonts w:hint="default" w:ascii="Times New Roman" w:hAnsi="Times New Roman" w:eastAsia="方正仿宋_GBK" w:cs="Times New Roman"/>
          <w:color w:val="auto"/>
          <w:sz w:val="24"/>
          <w:highlight w:val="none"/>
        </w:rPr>
        <w:t>五、其他资料</w:t>
      </w:r>
      <w:bookmarkEnd w:id="774"/>
      <w:bookmarkEnd w:id="775"/>
      <w:bookmarkEnd w:id="776"/>
    </w:p>
    <w:p w14:paraId="5D0DF106">
      <w:pPr>
        <w:snapToGrid w:val="0"/>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val="en-US" w:eastAsia="zh-CN"/>
        </w:rPr>
        <w:t>一</w:t>
      </w:r>
      <w:r>
        <w:rPr>
          <w:rFonts w:hint="default" w:ascii="Times New Roman" w:hAnsi="Times New Roman" w:eastAsia="方正仿宋_GBK" w:cs="Times New Roman"/>
          <w:color w:val="auto"/>
          <w:sz w:val="24"/>
          <w:szCs w:val="24"/>
          <w:highlight w:val="none"/>
        </w:rPr>
        <w:t>）其他与项目有关的资料</w:t>
      </w:r>
    </w:p>
    <w:p w14:paraId="5A12B19B">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其他与项目有关的资料（自附）。</w:t>
      </w:r>
    </w:p>
    <w:p w14:paraId="15101E5C">
      <w:pPr>
        <w:spacing w:line="360" w:lineRule="auto"/>
        <w:ind w:firstLine="480" w:firstLineChars="200"/>
        <w:rPr>
          <w:rFonts w:hint="default" w:ascii="Times New Roman" w:hAnsi="Times New Roman" w:eastAsia="方正仿宋_GBK" w:cs="Times New Roman"/>
          <w:color w:val="auto"/>
          <w:sz w:val="24"/>
          <w:szCs w:val="24"/>
          <w:highlight w:val="none"/>
        </w:rPr>
      </w:pPr>
    </w:p>
    <w:p w14:paraId="579A56FE">
      <w:pPr>
        <w:spacing w:line="360" w:lineRule="auto"/>
        <w:ind w:firstLine="480" w:firstLineChars="200"/>
        <w:jc w:val="center"/>
        <w:rPr>
          <w:rFonts w:hint="default" w:ascii="Times New Roman" w:hAnsi="Times New Roman" w:eastAsia="方正仿宋_GBK" w:cs="Times New Roman"/>
          <w:color w:val="auto"/>
          <w:sz w:val="24"/>
          <w:szCs w:val="24"/>
          <w:highlight w:val="none"/>
        </w:rPr>
      </w:pPr>
    </w:p>
    <w:p w14:paraId="6EA0ACBE">
      <w:pPr>
        <w:spacing w:line="360" w:lineRule="auto"/>
        <w:ind w:firstLine="480" w:firstLineChars="200"/>
        <w:jc w:val="center"/>
        <w:rPr>
          <w:rFonts w:hint="default" w:ascii="Times New Roman" w:hAnsi="Times New Roman" w:eastAsia="方正仿宋_GBK" w:cs="Times New Roman"/>
          <w:color w:val="auto"/>
          <w:sz w:val="24"/>
          <w:szCs w:val="24"/>
          <w:highlight w:val="none"/>
        </w:rPr>
      </w:pPr>
    </w:p>
    <w:p w14:paraId="4DCCE210">
      <w:pPr>
        <w:spacing w:line="360" w:lineRule="auto"/>
        <w:ind w:firstLine="480" w:firstLineChars="200"/>
        <w:jc w:val="center"/>
        <w:rPr>
          <w:rFonts w:hint="default" w:ascii="Times New Roman" w:hAnsi="Times New Roman" w:eastAsia="方正仿宋_GBK" w:cs="Times New Roman"/>
          <w:color w:val="auto"/>
          <w:sz w:val="24"/>
          <w:szCs w:val="24"/>
          <w:highlight w:val="none"/>
        </w:rPr>
      </w:pPr>
    </w:p>
    <w:p w14:paraId="63C5C530">
      <w:pPr>
        <w:spacing w:line="360" w:lineRule="auto"/>
        <w:ind w:firstLine="480" w:firstLineChars="200"/>
        <w:jc w:val="center"/>
        <w:rPr>
          <w:rFonts w:hint="default" w:ascii="Times New Roman" w:hAnsi="Times New Roman" w:eastAsia="方正仿宋_GBK" w:cs="Times New Roman"/>
          <w:color w:val="auto"/>
          <w:sz w:val="24"/>
          <w:szCs w:val="24"/>
          <w:highlight w:val="none"/>
        </w:rPr>
      </w:pPr>
    </w:p>
    <w:p w14:paraId="43244BF1">
      <w:pPr>
        <w:spacing w:line="360" w:lineRule="auto"/>
        <w:ind w:firstLine="480" w:firstLineChars="200"/>
        <w:jc w:val="center"/>
        <w:rPr>
          <w:rFonts w:hint="default" w:ascii="Times New Roman" w:hAnsi="Times New Roman" w:eastAsia="方正仿宋_GBK" w:cs="Times New Roman"/>
          <w:color w:val="auto"/>
          <w:sz w:val="24"/>
          <w:szCs w:val="24"/>
          <w:highlight w:val="none"/>
        </w:rPr>
      </w:pPr>
    </w:p>
    <w:p w14:paraId="5991B4F1">
      <w:pPr>
        <w:spacing w:line="360" w:lineRule="auto"/>
        <w:ind w:firstLine="480" w:firstLineChars="200"/>
        <w:jc w:val="center"/>
        <w:rPr>
          <w:rFonts w:hint="default" w:ascii="Times New Roman" w:hAnsi="Times New Roman" w:eastAsia="方正仿宋_GBK" w:cs="Times New Roman"/>
          <w:color w:val="auto"/>
          <w:sz w:val="24"/>
          <w:szCs w:val="24"/>
          <w:highlight w:val="none"/>
        </w:rPr>
      </w:pPr>
    </w:p>
    <w:p w14:paraId="7D662678">
      <w:pPr>
        <w:spacing w:line="360" w:lineRule="auto"/>
        <w:ind w:firstLine="480" w:firstLineChars="200"/>
        <w:jc w:val="center"/>
        <w:rPr>
          <w:rFonts w:hint="default" w:ascii="Times New Roman" w:hAnsi="Times New Roman" w:eastAsia="方正仿宋_GBK" w:cs="Times New Roman"/>
          <w:color w:val="auto"/>
          <w:sz w:val="24"/>
          <w:szCs w:val="24"/>
          <w:highlight w:val="none"/>
        </w:rPr>
      </w:pPr>
    </w:p>
    <w:p w14:paraId="64A9194E">
      <w:pPr>
        <w:spacing w:line="360" w:lineRule="auto"/>
        <w:ind w:firstLine="480" w:firstLineChars="200"/>
        <w:jc w:val="center"/>
        <w:rPr>
          <w:rFonts w:hint="default" w:ascii="Times New Roman" w:hAnsi="Times New Roman" w:eastAsia="方正仿宋_GBK" w:cs="Times New Roman"/>
          <w:color w:val="auto"/>
          <w:sz w:val="24"/>
          <w:szCs w:val="24"/>
          <w:highlight w:val="none"/>
        </w:rPr>
      </w:pPr>
    </w:p>
    <w:p w14:paraId="5810C5A2">
      <w:pPr>
        <w:spacing w:line="360" w:lineRule="auto"/>
        <w:ind w:firstLine="480" w:firstLineChars="200"/>
        <w:jc w:val="center"/>
        <w:rPr>
          <w:rFonts w:hint="default" w:ascii="Times New Roman" w:hAnsi="Times New Roman" w:eastAsia="方正仿宋_GBK" w:cs="Times New Roman"/>
          <w:color w:val="auto"/>
          <w:sz w:val="24"/>
          <w:szCs w:val="24"/>
          <w:highlight w:val="none"/>
        </w:rPr>
      </w:pPr>
    </w:p>
    <w:p w14:paraId="628E5F4A">
      <w:pPr>
        <w:spacing w:line="360" w:lineRule="auto"/>
        <w:ind w:firstLine="480" w:firstLineChars="200"/>
        <w:jc w:val="center"/>
        <w:rPr>
          <w:rFonts w:hint="default" w:ascii="Times New Roman" w:hAnsi="Times New Roman" w:eastAsia="方正仿宋_GBK" w:cs="Times New Roman"/>
          <w:color w:val="auto"/>
          <w:sz w:val="24"/>
          <w:szCs w:val="24"/>
          <w:highlight w:val="none"/>
        </w:rPr>
      </w:pPr>
    </w:p>
    <w:p w14:paraId="543880A7">
      <w:pPr>
        <w:spacing w:line="360" w:lineRule="auto"/>
        <w:ind w:firstLine="480" w:firstLineChars="200"/>
        <w:jc w:val="center"/>
        <w:rPr>
          <w:rFonts w:hint="default" w:ascii="Times New Roman" w:hAnsi="Times New Roman" w:eastAsia="方正仿宋_GBK" w:cs="Times New Roman"/>
          <w:color w:val="auto"/>
          <w:sz w:val="24"/>
          <w:szCs w:val="24"/>
          <w:highlight w:val="none"/>
        </w:rPr>
      </w:pPr>
    </w:p>
    <w:p w14:paraId="3B7F1695">
      <w:pPr>
        <w:spacing w:line="360" w:lineRule="auto"/>
        <w:ind w:firstLine="480" w:firstLineChars="200"/>
        <w:jc w:val="center"/>
        <w:rPr>
          <w:rFonts w:hint="default" w:ascii="Times New Roman" w:hAnsi="Times New Roman" w:eastAsia="方正仿宋_GBK" w:cs="Times New Roman"/>
          <w:color w:val="auto"/>
          <w:sz w:val="24"/>
          <w:szCs w:val="24"/>
          <w:highlight w:val="none"/>
        </w:rPr>
      </w:pPr>
    </w:p>
    <w:p w14:paraId="687EA61B">
      <w:pPr>
        <w:spacing w:line="360" w:lineRule="auto"/>
        <w:ind w:firstLine="480" w:firstLineChars="200"/>
        <w:jc w:val="center"/>
        <w:rPr>
          <w:rFonts w:hint="default" w:ascii="Times New Roman" w:hAnsi="Times New Roman" w:eastAsia="方正仿宋_GBK" w:cs="Times New Roman"/>
          <w:color w:val="auto"/>
          <w:sz w:val="24"/>
          <w:szCs w:val="24"/>
          <w:highlight w:val="none"/>
        </w:rPr>
      </w:pPr>
    </w:p>
    <w:p w14:paraId="65B68331">
      <w:pPr>
        <w:spacing w:line="360" w:lineRule="auto"/>
        <w:ind w:firstLine="480" w:firstLineChars="200"/>
        <w:jc w:val="center"/>
        <w:rPr>
          <w:rFonts w:hint="default" w:ascii="Times New Roman" w:hAnsi="Times New Roman" w:eastAsia="方正仿宋_GBK" w:cs="Times New Roman"/>
          <w:color w:val="auto"/>
          <w:sz w:val="24"/>
          <w:szCs w:val="24"/>
          <w:highlight w:val="none"/>
        </w:rPr>
      </w:pPr>
    </w:p>
    <w:p w14:paraId="6A527C4D">
      <w:pPr>
        <w:spacing w:line="360" w:lineRule="auto"/>
        <w:ind w:firstLine="480" w:firstLineChars="200"/>
        <w:jc w:val="center"/>
        <w:rPr>
          <w:rFonts w:hint="default" w:ascii="Times New Roman" w:hAnsi="Times New Roman" w:eastAsia="方正仿宋_GBK" w:cs="Times New Roman"/>
          <w:color w:val="auto"/>
          <w:sz w:val="24"/>
          <w:szCs w:val="24"/>
          <w:highlight w:val="none"/>
        </w:rPr>
      </w:pPr>
    </w:p>
    <w:p w14:paraId="58E9E9D1">
      <w:pPr>
        <w:spacing w:line="360" w:lineRule="auto"/>
        <w:ind w:firstLine="480" w:firstLineChars="200"/>
        <w:jc w:val="center"/>
        <w:outlineLvl w:val="0"/>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 w:val="24"/>
          <w:szCs w:val="24"/>
          <w:highlight w:val="none"/>
        </w:rPr>
        <w:t>（结束）</w:t>
      </w:r>
    </w:p>
    <w:p w14:paraId="0F88EAA2">
      <w:pPr>
        <w:rPr>
          <w:rFonts w:hint="default" w:ascii="Times New Roman" w:hAnsi="Times New Roman" w:eastAsia="方正仿宋_GBK" w:cs="Times New Roman"/>
          <w:color w:val="auto"/>
          <w:highlight w:val="none"/>
        </w:rPr>
      </w:pPr>
    </w:p>
    <w:sectPr>
      <w:pgSz w:w="11907" w:h="16840"/>
      <w:pgMar w:top="1134" w:right="1191" w:bottom="1134" w:left="1304" w:header="851" w:footer="992" w:gutter="0"/>
      <w:pgNumType w:fmt="decimal"/>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0E58E">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2A54E1">
                          <w:pPr>
                            <w:pStyle w:val="1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E2A54E1">
                    <w:pPr>
                      <w:pStyle w:val="1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3D76F">
    <w:pPr>
      <w:pStyle w:val="12"/>
      <w:framePr w:wrap="around" w:vAnchor="text" w:hAnchor="margin" w:xAlign="center" w:y="1"/>
      <w:rPr>
        <w:rStyle w:val="22"/>
      </w:rPr>
    </w:pPr>
    <w:r>
      <w:fldChar w:fldCharType="begin"/>
    </w:r>
    <w:r>
      <w:rPr>
        <w:rStyle w:val="22"/>
      </w:rPr>
      <w:instrText xml:space="preserve">PAGE  </w:instrText>
    </w:r>
    <w:r>
      <w:fldChar w:fldCharType="separate"/>
    </w:r>
    <w:r>
      <w:fldChar w:fldCharType="end"/>
    </w:r>
  </w:p>
  <w:p w14:paraId="31D63799">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CA9CA">
    <w:pPr>
      <w:pStyle w:val="12"/>
      <w:rPr>
        <w:rStyle w:val="22"/>
      </w:rP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3D2013">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E3D2013">
                    <w:pPr>
                      <w:pStyle w:val="12"/>
                    </w:pPr>
                    <w:r>
                      <w:fldChar w:fldCharType="begin"/>
                    </w:r>
                    <w:r>
                      <w:instrText xml:space="preserve"> PAGE  \* MERGEFORMAT </w:instrText>
                    </w:r>
                    <w:r>
                      <w:fldChar w:fldCharType="separate"/>
                    </w:r>
                    <w:r>
                      <w:t>1</w:t>
                    </w:r>
                    <w:r>
                      <w:fldChar w:fldCharType="end"/>
                    </w:r>
                  </w:p>
                </w:txbxContent>
              </v:textbox>
            </v:shape>
          </w:pict>
        </mc:Fallback>
      </mc:AlternateContent>
    </w:r>
  </w:p>
  <w:p w14:paraId="1775486F">
    <w:pPr>
      <w:pStyle w:val="12"/>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EB976">
    <w:pPr>
      <w:pStyle w:val="12"/>
      <w:rPr>
        <w:rFonts w:hint="eastAsia"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68D427">
                          <w:pPr>
                            <w:pStyle w:val="12"/>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C68D427">
                    <w:pPr>
                      <w:pStyle w:val="12"/>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C83F2">
    <w:pPr>
      <w:pStyle w:val="12"/>
      <w:jc w:val="center"/>
    </w:pPr>
    <w:r>
      <w:fldChar w:fldCharType="begin"/>
    </w:r>
    <w:r>
      <w:instrText xml:space="preserve"> PAGE   \* MERGEFORMAT </w:instrText>
    </w:r>
    <w:r>
      <w:fldChar w:fldCharType="separate"/>
    </w:r>
    <w:r>
      <w:rPr>
        <w:lang w:val="zh-CN"/>
      </w:rPr>
      <w:t>56</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912DB">
    <w:pPr>
      <w:pStyle w:val="12"/>
      <w:rPr>
        <w:rFonts w:hint="eastAsia" w:ascii="宋体" w:hAnsi="宋体"/>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C85D7C">
                          <w:pPr>
                            <w:pStyle w:val="12"/>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2C85D7C">
                    <w:pPr>
                      <w:pStyle w:val="12"/>
                    </w:pPr>
                    <w:r>
                      <w:fldChar w:fldCharType="begin"/>
                    </w:r>
                    <w:r>
                      <w:instrText xml:space="preserve"> PAGE  \* MERGEFORMAT </w:instrText>
                    </w:r>
                    <w:r>
                      <w:fldChar w:fldCharType="separate"/>
                    </w:r>
                    <w:r>
                      <w:t>48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FBF85">
    <w:pPr>
      <w:pStyle w:val="13"/>
      <w:jc w:val="both"/>
      <w:rPr>
        <w:rFonts w:hint="eastAsia" w:ascii="方正仿宋_GBK" w:eastAsia="方正仿宋_GBK"/>
        <w:sz w:val="21"/>
        <w:szCs w:val="21"/>
        <w:lang w:eastAsia="zh-CN"/>
      </w:rPr>
    </w:pPr>
    <w:r>
      <w:rPr>
        <w:rFonts w:hint="eastAsia" w:ascii="方正仿宋_GBK" w:eastAsia="方正仿宋_GBK"/>
        <w:sz w:val="21"/>
        <w:szCs w:val="21"/>
      </w:rPr>
      <w:t xml:space="preserve">                                                                        </w:t>
    </w:r>
    <w:r>
      <w:rPr>
        <w:rFonts w:hint="eastAsia" w:ascii="方正仿宋_GBK" w:eastAsia="方正仿宋_GBK"/>
        <w:sz w:val="21"/>
        <w:szCs w:val="21"/>
        <w:lang w:eastAsia="zh-CN"/>
      </w:rPr>
      <w:t>竞采文件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CFD7C">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6791E">
    <w:pPr>
      <w:pStyle w:val="13"/>
      <w:jc w:val="both"/>
      <w:rPr>
        <w:rFonts w:hint="eastAsia" w:ascii="方正仿宋_GBK" w:eastAsia="方正仿宋_GBK"/>
        <w:sz w:val="21"/>
        <w:szCs w:val="21"/>
      </w:rPr>
    </w:pPr>
    <w:r>
      <w:rPr>
        <w:rFonts w:hint="eastAsia" w:ascii="方正仿宋_GBK" w:eastAsia="方正仿宋_GBK"/>
        <w:sz w:val="21"/>
        <w:szCs w:val="21"/>
      </w:rPr>
      <w:t xml:space="preserve">   </w:t>
    </w:r>
  </w:p>
  <w:p w14:paraId="45158C13">
    <w:pPr>
      <w:pStyle w:val="13"/>
      <w:jc w:val="right"/>
      <w:rPr>
        <w:rFonts w:hint="eastAsia" w:eastAsia="方正仿宋_GBK"/>
        <w:sz w:val="18"/>
        <w:szCs w:val="18"/>
        <w:lang w:eastAsia="zh-CN"/>
      </w:rPr>
    </w:pPr>
    <w:r>
      <w:rPr>
        <w:rFonts w:hint="eastAsia" w:ascii="方正仿宋_GBK" w:eastAsia="方正仿宋_GBK"/>
        <w:sz w:val="21"/>
        <w:szCs w:val="21"/>
      </w:rPr>
      <w:t xml:space="preserve"> </w:t>
    </w:r>
    <w:r>
      <w:rPr>
        <w:rFonts w:hint="eastAsia" w:ascii="方正仿宋_GBK" w:eastAsia="方正仿宋_GBK"/>
        <w:sz w:val="21"/>
        <w:szCs w:val="21"/>
        <w:lang w:eastAsia="zh-CN"/>
      </w:rPr>
      <w:t>竞采文件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D310E">
    <w:pPr>
      <w:pStyle w:val="13"/>
      <w:jc w:val="both"/>
      <w:rPr>
        <w:rFonts w:hint="eastAsia" w:ascii="方正仿宋_GBK" w:eastAsia="方正仿宋_GBK"/>
        <w:sz w:val="21"/>
        <w:szCs w:val="21"/>
        <w:lang w:eastAsia="zh-CN"/>
      </w:rPr>
    </w:pPr>
    <w:r>
      <w:rPr>
        <w:rFonts w:hint="eastAsia" w:ascii="方正仿宋_GBK" w:eastAsia="方正仿宋_GBK"/>
        <w:sz w:val="21"/>
        <w:szCs w:val="21"/>
      </w:rPr>
      <w:t xml:space="preserve">                                                                          </w:t>
    </w:r>
    <w:r>
      <w:rPr>
        <w:rFonts w:hint="eastAsia" w:ascii="方正仿宋_GBK" w:eastAsia="方正仿宋_GBK"/>
        <w:sz w:val="21"/>
        <w:szCs w:val="21"/>
        <w:lang w:eastAsia="zh-CN"/>
      </w:rPr>
      <w:t>竞采文件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A715AA"/>
    <w:multiLevelType w:val="singleLevel"/>
    <w:tmpl w:val="FAA715AA"/>
    <w:lvl w:ilvl="0" w:tentative="0">
      <w:start w:val="2"/>
      <w:numFmt w:val="decimal"/>
      <w:lvlText w:val="%1."/>
      <w:lvlJc w:val="left"/>
      <w:pPr>
        <w:tabs>
          <w:tab w:val="left" w:pos="312"/>
        </w:tabs>
      </w:pPr>
    </w:lvl>
  </w:abstractNum>
  <w:abstractNum w:abstractNumId="1">
    <w:nsid w:val="1CF599A3"/>
    <w:multiLevelType w:val="singleLevel"/>
    <w:tmpl w:val="1CF599A3"/>
    <w:lvl w:ilvl="0" w:tentative="0">
      <w:start w:val="1"/>
      <w:numFmt w:val="decimal"/>
      <w:suff w:val="nothing"/>
      <w:lvlText w:val="%1、"/>
      <w:lvlJc w:val="left"/>
      <w:pPr>
        <w:ind w:left="78"/>
      </w:pPr>
    </w:lvl>
  </w:abstractNum>
  <w:abstractNum w:abstractNumId="2">
    <w:nsid w:val="47A3A350"/>
    <w:multiLevelType w:val="singleLevel"/>
    <w:tmpl w:val="47A3A350"/>
    <w:lvl w:ilvl="0" w:tentative="0">
      <w:start w:val="2"/>
      <w:numFmt w:val="chineseCounting"/>
      <w:suff w:val="space"/>
      <w:lvlText w:val="第%1篇"/>
      <w:lvlJc w:val="left"/>
      <w:rPr>
        <w:rFonts w:hint="eastAsia"/>
      </w:rPr>
    </w:lvl>
  </w:abstractNum>
  <w:abstractNum w:abstractNumId="3">
    <w:nsid w:val="5A6F1E91"/>
    <w:multiLevelType w:val="singleLevel"/>
    <w:tmpl w:val="5A6F1E91"/>
    <w:lvl w:ilvl="0" w:tentative="0">
      <w:start w:val="1"/>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3858d220-4225-409e-8dc8-923706ee1065"/>
  </w:docVars>
  <w:rsids>
    <w:rsidRoot w:val="39875029"/>
    <w:rsid w:val="00656968"/>
    <w:rsid w:val="007007DA"/>
    <w:rsid w:val="00C93991"/>
    <w:rsid w:val="00F76805"/>
    <w:rsid w:val="011253ED"/>
    <w:rsid w:val="01255120"/>
    <w:rsid w:val="012956E2"/>
    <w:rsid w:val="01A56261"/>
    <w:rsid w:val="021F15B6"/>
    <w:rsid w:val="022C7D08"/>
    <w:rsid w:val="02323C36"/>
    <w:rsid w:val="023B22DD"/>
    <w:rsid w:val="02400E22"/>
    <w:rsid w:val="02EA20DE"/>
    <w:rsid w:val="034D490C"/>
    <w:rsid w:val="03DB35F1"/>
    <w:rsid w:val="03F90AE6"/>
    <w:rsid w:val="045473DD"/>
    <w:rsid w:val="045B70AB"/>
    <w:rsid w:val="04F05A45"/>
    <w:rsid w:val="04FE695E"/>
    <w:rsid w:val="053E424B"/>
    <w:rsid w:val="05B141BF"/>
    <w:rsid w:val="05ED6CAA"/>
    <w:rsid w:val="068E3768"/>
    <w:rsid w:val="0797489E"/>
    <w:rsid w:val="07997C1C"/>
    <w:rsid w:val="07BE53C7"/>
    <w:rsid w:val="07E9545C"/>
    <w:rsid w:val="081E3BA3"/>
    <w:rsid w:val="08316AA1"/>
    <w:rsid w:val="08BE49AC"/>
    <w:rsid w:val="090C5E54"/>
    <w:rsid w:val="099679D3"/>
    <w:rsid w:val="099A6934"/>
    <w:rsid w:val="09D0061C"/>
    <w:rsid w:val="0A0D47D1"/>
    <w:rsid w:val="0A30381F"/>
    <w:rsid w:val="0A6A0160"/>
    <w:rsid w:val="0A9D21CB"/>
    <w:rsid w:val="0AB20FB1"/>
    <w:rsid w:val="0AED0AB4"/>
    <w:rsid w:val="0B113A44"/>
    <w:rsid w:val="0BAA702F"/>
    <w:rsid w:val="0BC67500"/>
    <w:rsid w:val="0BDE2A9B"/>
    <w:rsid w:val="0BE502CE"/>
    <w:rsid w:val="0BEE6A9E"/>
    <w:rsid w:val="0C2A1E4E"/>
    <w:rsid w:val="0C4B5C57"/>
    <w:rsid w:val="0C871385"/>
    <w:rsid w:val="0C9A3137"/>
    <w:rsid w:val="0CA43CE5"/>
    <w:rsid w:val="0CAB7321"/>
    <w:rsid w:val="0CDB6831"/>
    <w:rsid w:val="0D774A90"/>
    <w:rsid w:val="0D9A0C44"/>
    <w:rsid w:val="0DDB17F4"/>
    <w:rsid w:val="0DDD4A7E"/>
    <w:rsid w:val="0E9953A0"/>
    <w:rsid w:val="0EAA60E0"/>
    <w:rsid w:val="0EE6687B"/>
    <w:rsid w:val="0EF42E35"/>
    <w:rsid w:val="0F1D7D7F"/>
    <w:rsid w:val="0F83112A"/>
    <w:rsid w:val="0FA1275E"/>
    <w:rsid w:val="0FD6760D"/>
    <w:rsid w:val="0FE9063C"/>
    <w:rsid w:val="0FEE34C9"/>
    <w:rsid w:val="0FFF3D49"/>
    <w:rsid w:val="10252EC6"/>
    <w:rsid w:val="102F32DE"/>
    <w:rsid w:val="104D064D"/>
    <w:rsid w:val="105C48D7"/>
    <w:rsid w:val="106E7B49"/>
    <w:rsid w:val="1119244E"/>
    <w:rsid w:val="114822AF"/>
    <w:rsid w:val="11A025A1"/>
    <w:rsid w:val="11EB4164"/>
    <w:rsid w:val="124421D7"/>
    <w:rsid w:val="12714AD8"/>
    <w:rsid w:val="12850F8A"/>
    <w:rsid w:val="12B14B3A"/>
    <w:rsid w:val="12E44E0E"/>
    <w:rsid w:val="12ED571D"/>
    <w:rsid w:val="13286583"/>
    <w:rsid w:val="133815F1"/>
    <w:rsid w:val="136A2E67"/>
    <w:rsid w:val="14A024D9"/>
    <w:rsid w:val="14C27361"/>
    <w:rsid w:val="14DB226E"/>
    <w:rsid w:val="15035F1E"/>
    <w:rsid w:val="151A4078"/>
    <w:rsid w:val="15595889"/>
    <w:rsid w:val="157B57FF"/>
    <w:rsid w:val="15B12FCF"/>
    <w:rsid w:val="15D9177A"/>
    <w:rsid w:val="16387944"/>
    <w:rsid w:val="166D48F4"/>
    <w:rsid w:val="16AD1388"/>
    <w:rsid w:val="16DE7DF3"/>
    <w:rsid w:val="176127D3"/>
    <w:rsid w:val="17732C32"/>
    <w:rsid w:val="17A53AA5"/>
    <w:rsid w:val="17C4348D"/>
    <w:rsid w:val="18441ED8"/>
    <w:rsid w:val="18475E6C"/>
    <w:rsid w:val="18585984"/>
    <w:rsid w:val="188015D5"/>
    <w:rsid w:val="19997682"/>
    <w:rsid w:val="19A60971"/>
    <w:rsid w:val="19CE78F0"/>
    <w:rsid w:val="19D21766"/>
    <w:rsid w:val="1A4A57A0"/>
    <w:rsid w:val="1A94221B"/>
    <w:rsid w:val="1ACE6D17"/>
    <w:rsid w:val="1B417B88"/>
    <w:rsid w:val="1BC168B2"/>
    <w:rsid w:val="1BFE2CE6"/>
    <w:rsid w:val="1C334144"/>
    <w:rsid w:val="1CDA364E"/>
    <w:rsid w:val="1D3A18FD"/>
    <w:rsid w:val="1D3C1D18"/>
    <w:rsid w:val="1D6B43AB"/>
    <w:rsid w:val="1DAC622F"/>
    <w:rsid w:val="1DB117F8"/>
    <w:rsid w:val="1DC47CEB"/>
    <w:rsid w:val="1EBA3559"/>
    <w:rsid w:val="1ED80850"/>
    <w:rsid w:val="1F15493D"/>
    <w:rsid w:val="20256A93"/>
    <w:rsid w:val="209B125A"/>
    <w:rsid w:val="20B3149C"/>
    <w:rsid w:val="20BB7071"/>
    <w:rsid w:val="210448FA"/>
    <w:rsid w:val="213718CA"/>
    <w:rsid w:val="21632F63"/>
    <w:rsid w:val="21907D9E"/>
    <w:rsid w:val="21A96E67"/>
    <w:rsid w:val="228127CE"/>
    <w:rsid w:val="22D2486E"/>
    <w:rsid w:val="23382BB9"/>
    <w:rsid w:val="239D2DE4"/>
    <w:rsid w:val="23B964D0"/>
    <w:rsid w:val="23F925FD"/>
    <w:rsid w:val="243B1A1F"/>
    <w:rsid w:val="24764C99"/>
    <w:rsid w:val="24FE0232"/>
    <w:rsid w:val="2522608D"/>
    <w:rsid w:val="25987046"/>
    <w:rsid w:val="259A3A7F"/>
    <w:rsid w:val="25EB4B24"/>
    <w:rsid w:val="26393359"/>
    <w:rsid w:val="2667250D"/>
    <w:rsid w:val="269A5C3D"/>
    <w:rsid w:val="26D20FF7"/>
    <w:rsid w:val="270B33A4"/>
    <w:rsid w:val="27351CB2"/>
    <w:rsid w:val="27427F2B"/>
    <w:rsid w:val="278D514F"/>
    <w:rsid w:val="281A2C55"/>
    <w:rsid w:val="28805439"/>
    <w:rsid w:val="28817B5B"/>
    <w:rsid w:val="28DF77FA"/>
    <w:rsid w:val="29604833"/>
    <w:rsid w:val="297D12CC"/>
    <w:rsid w:val="2A0A00BB"/>
    <w:rsid w:val="2A15445F"/>
    <w:rsid w:val="2A3F4C97"/>
    <w:rsid w:val="2B132E66"/>
    <w:rsid w:val="2B6E7F7D"/>
    <w:rsid w:val="2B90195F"/>
    <w:rsid w:val="2BCD5122"/>
    <w:rsid w:val="2C2859A4"/>
    <w:rsid w:val="2C2937EF"/>
    <w:rsid w:val="2C83526D"/>
    <w:rsid w:val="2CC015B4"/>
    <w:rsid w:val="2D9C5EBB"/>
    <w:rsid w:val="2DA36BEA"/>
    <w:rsid w:val="2DB337F3"/>
    <w:rsid w:val="2E4D0051"/>
    <w:rsid w:val="2F2A3AE4"/>
    <w:rsid w:val="301F116C"/>
    <w:rsid w:val="3082085A"/>
    <w:rsid w:val="313D29AE"/>
    <w:rsid w:val="31F97D80"/>
    <w:rsid w:val="32B341CC"/>
    <w:rsid w:val="332D47C4"/>
    <w:rsid w:val="333A0650"/>
    <w:rsid w:val="33454A66"/>
    <w:rsid w:val="33D54EA0"/>
    <w:rsid w:val="346040E6"/>
    <w:rsid w:val="348804BC"/>
    <w:rsid w:val="34C02A60"/>
    <w:rsid w:val="34D55071"/>
    <w:rsid w:val="352E3D4F"/>
    <w:rsid w:val="354A13D9"/>
    <w:rsid w:val="354E03E2"/>
    <w:rsid w:val="35843E04"/>
    <w:rsid w:val="35862EE6"/>
    <w:rsid w:val="35C802BA"/>
    <w:rsid w:val="35DD5ACC"/>
    <w:rsid w:val="35E93C67"/>
    <w:rsid w:val="36087190"/>
    <w:rsid w:val="362042B0"/>
    <w:rsid w:val="36421E64"/>
    <w:rsid w:val="37920A5A"/>
    <w:rsid w:val="37E9461B"/>
    <w:rsid w:val="38825DD4"/>
    <w:rsid w:val="38A0578F"/>
    <w:rsid w:val="38A8221A"/>
    <w:rsid w:val="38AD19AF"/>
    <w:rsid w:val="38AE5852"/>
    <w:rsid w:val="39875029"/>
    <w:rsid w:val="3A3A5C00"/>
    <w:rsid w:val="3A6E76C8"/>
    <w:rsid w:val="3B6D2BD1"/>
    <w:rsid w:val="3C1D0DBD"/>
    <w:rsid w:val="3C592935"/>
    <w:rsid w:val="3C8A2084"/>
    <w:rsid w:val="3CF60C7D"/>
    <w:rsid w:val="3D4C5207"/>
    <w:rsid w:val="3D9A797A"/>
    <w:rsid w:val="3DB4001D"/>
    <w:rsid w:val="3DE90CA8"/>
    <w:rsid w:val="3DEB4A20"/>
    <w:rsid w:val="3E3E7246"/>
    <w:rsid w:val="3E4F5F4D"/>
    <w:rsid w:val="3E611186"/>
    <w:rsid w:val="3ED11FD0"/>
    <w:rsid w:val="3F5B3E28"/>
    <w:rsid w:val="3FB460B2"/>
    <w:rsid w:val="3FC27987"/>
    <w:rsid w:val="3FC419CD"/>
    <w:rsid w:val="3FCC4D78"/>
    <w:rsid w:val="4021297B"/>
    <w:rsid w:val="40354C17"/>
    <w:rsid w:val="405D5EE7"/>
    <w:rsid w:val="407C4056"/>
    <w:rsid w:val="407D392A"/>
    <w:rsid w:val="40987DEF"/>
    <w:rsid w:val="40B97058"/>
    <w:rsid w:val="40C16715"/>
    <w:rsid w:val="40D15439"/>
    <w:rsid w:val="41456B3D"/>
    <w:rsid w:val="417143FA"/>
    <w:rsid w:val="41A7482A"/>
    <w:rsid w:val="41BE41FA"/>
    <w:rsid w:val="41F50CD7"/>
    <w:rsid w:val="423D5A66"/>
    <w:rsid w:val="4250579A"/>
    <w:rsid w:val="42880E28"/>
    <w:rsid w:val="4290419F"/>
    <w:rsid w:val="43395DA8"/>
    <w:rsid w:val="433E1A96"/>
    <w:rsid w:val="43B46D34"/>
    <w:rsid w:val="43DA1079"/>
    <w:rsid w:val="43E74ECE"/>
    <w:rsid w:val="446472DA"/>
    <w:rsid w:val="4484172B"/>
    <w:rsid w:val="44846754"/>
    <w:rsid w:val="44AC7451"/>
    <w:rsid w:val="44B21999"/>
    <w:rsid w:val="44C24B83"/>
    <w:rsid w:val="45244CBC"/>
    <w:rsid w:val="45C55FAA"/>
    <w:rsid w:val="460A6D50"/>
    <w:rsid w:val="462F0701"/>
    <w:rsid w:val="46592743"/>
    <w:rsid w:val="47046567"/>
    <w:rsid w:val="471057A1"/>
    <w:rsid w:val="474B6530"/>
    <w:rsid w:val="48650FAE"/>
    <w:rsid w:val="48A630C4"/>
    <w:rsid w:val="48C50DDB"/>
    <w:rsid w:val="48E37548"/>
    <w:rsid w:val="495E079C"/>
    <w:rsid w:val="499C29F7"/>
    <w:rsid w:val="49B74350"/>
    <w:rsid w:val="4A25750C"/>
    <w:rsid w:val="4A802276"/>
    <w:rsid w:val="4A8815CE"/>
    <w:rsid w:val="4A975B75"/>
    <w:rsid w:val="4AF869CF"/>
    <w:rsid w:val="4B0F1D94"/>
    <w:rsid w:val="4B2B0DC3"/>
    <w:rsid w:val="4B3C2ACB"/>
    <w:rsid w:val="4B4C4BB5"/>
    <w:rsid w:val="4BB74194"/>
    <w:rsid w:val="4BDD030F"/>
    <w:rsid w:val="4C004BDE"/>
    <w:rsid w:val="4CF61F0A"/>
    <w:rsid w:val="4D341113"/>
    <w:rsid w:val="4E4F6905"/>
    <w:rsid w:val="4EB1309C"/>
    <w:rsid w:val="4EEE25C2"/>
    <w:rsid w:val="4EF43951"/>
    <w:rsid w:val="4F451B8F"/>
    <w:rsid w:val="4F824AB9"/>
    <w:rsid w:val="4FC155E1"/>
    <w:rsid w:val="504B134F"/>
    <w:rsid w:val="50F44D6D"/>
    <w:rsid w:val="514006DD"/>
    <w:rsid w:val="51D27A0A"/>
    <w:rsid w:val="51D4744D"/>
    <w:rsid w:val="51E952C3"/>
    <w:rsid w:val="52007A19"/>
    <w:rsid w:val="52546633"/>
    <w:rsid w:val="527C6137"/>
    <w:rsid w:val="536301E1"/>
    <w:rsid w:val="539C07A0"/>
    <w:rsid w:val="544557B3"/>
    <w:rsid w:val="54492996"/>
    <w:rsid w:val="54975C22"/>
    <w:rsid w:val="54D61FF2"/>
    <w:rsid w:val="550A5C7C"/>
    <w:rsid w:val="55A734CB"/>
    <w:rsid w:val="55AE07DF"/>
    <w:rsid w:val="55B0425A"/>
    <w:rsid w:val="55FE460B"/>
    <w:rsid w:val="56101070"/>
    <w:rsid w:val="56384F6E"/>
    <w:rsid w:val="57674233"/>
    <w:rsid w:val="57BC1946"/>
    <w:rsid w:val="57F73D6A"/>
    <w:rsid w:val="58445001"/>
    <w:rsid w:val="585D2B85"/>
    <w:rsid w:val="58E32A6C"/>
    <w:rsid w:val="59136180"/>
    <w:rsid w:val="592E53AB"/>
    <w:rsid w:val="594F0101"/>
    <w:rsid w:val="5966544B"/>
    <w:rsid w:val="597B2CA5"/>
    <w:rsid w:val="59B63CDD"/>
    <w:rsid w:val="59B80C41"/>
    <w:rsid w:val="59BC3C97"/>
    <w:rsid w:val="59BE5DFE"/>
    <w:rsid w:val="59E73BD7"/>
    <w:rsid w:val="5A143836"/>
    <w:rsid w:val="5A4C4641"/>
    <w:rsid w:val="5A967C4C"/>
    <w:rsid w:val="5AA568D8"/>
    <w:rsid w:val="5B6D1E18"/>
    <w:rsid w:val="5B9B4318"/>
    <w:rsid w:val="5BFC3AC5"/>
    <w:rsid w:val="5C2D659B"/>
    <w:rsid w:val="5C3F445D"/>
    <w:rsid w:val="5C761BD3"/>
    <w:rsid w:val="5D3A1DA0"/>
    <w:rsid w:val="5D86691C"/>
    <w:rsid w:val="5D944335"/>
    <w:rsid w:val="5E082F75"/>
    <w:rsid w:val="5E1831B8"/>
    <w:rsid w:val="5E2808E1"/>
    <w:rsid w:val="5E4A2CDD"/>
    <w:rsid w:val="5E531852"/>
    <w:rsid w:val="5E8217E9"/>
    <w:rsid w:val="5E9071F2"/>
    <w:rsid w:val="5F0A26C7"/>
    <w:rsid w:val="5FA12D79"/>
    <w:rsid w:val="5FB67FA1"/>
    <w:rsid w:val="5FE21543"/>
    <w:rsid w:val="60003E8A"/>
    <w:rsid w:val="6036030D"/>
    <w:rsid w:val="6069463D"/>
    <w:rsid w:val="609225A9"/>
    <w:rsid w:val="60C339B0"/>
    <w:rsid w:val="60EC26DA"/>
    <w:rsid w:val="60FB503C"/>
    <w:rsid w:val="6110727B"/>
    <w:rsid w:val="61BD341C"/>
    <w:rsid w:val="61FD5CD9"/>
    <w:rsid w:val="62083543"/>
    <w:rsid w:val="620B3CCC"/>
    <w:rsid w:val="62617FE0"/>
    <w:rsid w:val="6286607D"/>
    <w:rsid w:val="6295653D"/>
    <w:rsid w:val="62BE7A08"/>
    <w:rsid w:val="62EE529E"/>
    <w:rsid w:val="62EF025F"/>
    <w:rsid w:val="637A221F"/>
    <w:rsid w:val="63F368C6"/>
    <w:rsid w:val="63FC0E86"/>
    <w:rsid w:val="64BD6867"/>
    <w:rsid w:val="64CA2D32"/>
    <w:rsid w:val="64D7457E"/>
    <w:rsid w:val="650E31F9"/>
    <w:rsid w:val="654640F6"/>
    <w:rsid w:val="65491EA9"/>
    <w:rsid w:val="658B0713"/>
    <w:rsid w:val="65916010"/>
    <w:rsid w:val="65AC680D"/>
    <w:rsid w:val="65EB5BF7"/>
    <w:rsid w:val="66212E26"/>
    <w:rsid w:val="66300481"/>
    <w:rsid w:val="6646463A"/>
    <w:rsid w:val="669010B4"/>
    <w:rsid w:val="671221FD"/>
    <w:rsid w:val="67134D8E"/>
    <w:rsid w:val="677D22DE"/>
    <w:rsid w:val="68134AF3"/>
    <w:rsid w:val="6819075E"/>
    <w:rsid w:val="68396E65"/>
    <w:rsid w:val="68AE0CB4"/>
    <w:rsid w:val="68D0468F"/>
    <w:rsid w:val="68F4037D"/>
    <w:rsid w:val="690156CC"/>
    <w:rsid w:val="696C5577"/>
    <w:rsid w:val="696D1EDE"/>
    <w:rsid w:val="69A44C17"/>
    <w:rsid w:val="6A2D62D3"/>
    <w:rsid w:val="6AA02D6B"/>
    <w:rsid w:val="6AD9782B"/>
    <w:rsid w:val="6AF92745"/>
    <w:rsid w:val="6B3A666B"/>
    <w:rsid w:val="6B4D2FA6"/>
    <w:rsid w:val="6B6A0DCB"/>
    <w:rsid w:val="6BAF67DE"/>
    <w:rsid w:val="6BD777F2"/>
    <w:rsid w:val="6C3C2767"/>
    <w:rsid w:val="6C54299B"/>
    <w:rsid w:val="6CB322FE"/>
    <w:rsid w:val="6CF0377D"/>
    <w:rsid w:val="6CFE5C6F"/>
    <w:rsid w:val="6E0C7F17"/>
    <w:rsid w:val="6E6735FA"/>
    <w:rsid w:val="6EB06CD9"/>
    <w:rsid w:val="6EDA2C13"/>
    <w:rsid w:val="6F5244FA"/>
    <w:rsid w:val="6FA33394"/>
    <w:rsid w:val="6FFD4727"/>
    <w:rsid w:val="700F1192"/>
    <w:rsid w:val="703F2826"/>
    <w:rsid w:val="704D10EC"/>
    <w:rsid w:val="7064352D"/>
    <w:rsid w:val="707A1AB0"/>
    <w:rsid w:val="70932B72"/>
    <w:rsid w:val="70BD5DEE"/>
    <w:rsid w:val="71BB412E"/>
    <w:rsid w:val="72615139"/>
    <w:rsid w:val="72E06587"/>
    <w:rsid w:val="732B4922"/>
    <w:rsid w:val="73301C15"/>
    <w:rsid w:val="73676D01"/>
    <w:rsid w:val="73A3131E"/>
    <w:rsid w:val="74786307"/>
    <w:rsid w:val="75772B22"/>
    <w:rsid w:val="75CF35E2"/>
    <w:rsid w:val="75DB040A"/>
    <w:rsid w:val="762A4B49"/>
    <w:rsid w:val="764C58E9"/>
    <w:rsid w:val="76C842B2"/>
    <w:rsid w:val="76E934EC"/>
    <w:rsid w:val="76EA0C59"/>
    <w:rsid w:val="77A40D34"/>
    <w:rsid w:val="77CA7C42"/>
    <w:rsid w:val="77F86B1A"/>
    <w:rsid w:val="78000AED"/>
    <w:rsid w:val="78E201F2"/>
    <w:rsid w:val="797C0332"/>
    <w:rsid w:val="797D277A"/>
    <w:rsid w:val="79BF1407"/>
    <w:rsid w:val="79DB12C6"/>
    <w:rsid w:val="7A3F3423"/>
    <w:rsid w:val="7A5E7D4D"/>
    <w:rsid w:val="7A9A6F99"/>
    <w:rsid w:val="7A9C574B"/>
    <w:rsid w:val="7AE75F94"/>
    <w:rsid w:val="7C2A25DC"/>
    <w:rsid w:val="7C5C02BC"/>
    <w:rsid w:val="7C7E5979"/>
    <w:rsid w:val="7C821F38"/>
    <w:rsid w:val="7CB974BC"/>
    <w:rsid w:val="7CC61BD9"/>
    <w:rsid w:val="7D175C7D"/>
    <w:rsid w:val="7D4460EE"/>
    <w:rsid w:val="7D451DC4"/>
    <w:rsid w:val="7D873A87"/>
    <w:rsid w:val="7E16039D"/>
    <w:rsid w:val="7E4975A1"/>
    <w:rsid w:val="7ED54355"/>
    <w:rsid w:val="7F3018C5"/>
    <w:rsid w:val="7F570E2A"/>
    <w:rsid w:val="7F732689"/>
    <w:rsid w:val="7FD91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link w:val="32"/>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adjustRightInd w:val="0"/>
      <w:snapToGrid w:val="0"/>
      <w:spacing w:line="360" w:lineRule="auto"/>
      <w:ind w:firstLine="420"/>
    </w:pPr>
    <w:rPr>
      <w:sz w:val="24"/>
    </w:rPr>
  </w:style>
  <w:style w:type="paragraph" w:styleId="5">
    <w:name w:val="annotation text"/>
    <w:basedOn w:val="1"/>
    <w:qFormat/>
    <w:uiPriority w:val="0"/>
    <w:pPr>
      <w:adjustRightInd w:val="0"/>
      <w:spacing w:line="360" w:lineRule="atLeast"/>
      <w:jc w:val="left"/>
      <w:textAlignment w:val="baseline"/>
    </w:pPr>
    <w:rPr>
      <w:kern w:val="0"/>
      <w:sz w:val="24"/>
    </w:rPr>
  </w:style>
  <w:style w:type="paragraph" w:styleId="6">
    <w:name w:val="Body Text"/>
    <w:basedOn w:val="1"/>
    <w:next w:val="1"/>
    <w:qFormat/>
    <w:uiPriority w:val="0"/>
    <w:rPr>
      <w:rFonts w:ascii="仿宋_GB2312" w:eastAsia="仿宋_GB2312"/>
      <w:sz w:val="32"/>
    </w:rPr>
  </w:style>
  <w:style w:type="paragraph" w:styleId="7">
    <w:name w:val="Body Text Indent"/>
    <w:basedOn w:val="1"/>
    <w:qFormat/>
    <w:uiPriority w:val="0"/>
    <w:pPr>
      <w:spacing w:line="700" w:lineRule="exact"/>
      <w:ind w:left="960"/>
    </w:pPr>
    <w:rPr>
      <w:sz w:val="44"/>
    </w:rPr>
  </w:style>
  <w:style w:type="paragraph" w:styleId="8">
    <w:name w:val="toc 3"/>
    <w:basedOn w:val="1"/>
    <w:next w:val="1"/>
    <w:qFormat/>
    <w:uiPriority w:val="0"/>
    <w:pPr>
      <w:ind w:left="840" w:leftChars="400"/>
    </w:pPr>
  </w:style>
  <w:style w:type="paragraph" w:styleId="9">
    <w:name w:val="Plain Text"/>
    <w:basedOn w:val="1"/>
    <w:qFormat/>
    <w:uiPriority w:val="0"/>
    <w:rPr>
      <w:rFonts w:ascii="宋体" w:hAnsi="Courier New"/>
      <w:sz w:val="21"/>
    </w:rPr>
  </w:style>
  <w:style w:type="paragraph" w:styleId="10">
    <w:name w:val="Date"/>
    <w:basedOn w:val="1"/>
    <w:next w:val="1"/>
    <w:qFormat/>
    <w:uiPriority w:val="0"/>
  </w:style>
  <w:style w:type="paragraph" w:styleId="11">
    <w:name w:val="Body Text Indent 2"/>
    <w:basedOn w:val="1"/>
    <w:qFormat/>
    <w:uiPriority w:val="0"/>
    <w:pPr>
      <w:snapToGrid w:val="0"/>
      <w:spacing w:line="560" w:lineRule="atLeast"/>
      <w:ind w:firstLine="540"/>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toc 1"/>
    <w:basedOn w:val="1"/>
    <w:next w:val="1"/>
    <w:qFormat/>
    <w:uiPriority w:val="0"/>
    <w:pPr>
      <w:spacing w:line="180" w:lineRule="auto"/>
      <w:jc w:val="center"/>
    </w:pPr>
    <w:rPr>
      <w:sz w:val="30"/>
    </w:rPr>
  </w:style>
  <w:style w:type="paragraph" w:styleId="15">
    <w:name w:val="toc 2"/>
    <w:basedOn w:val="1"/>
    <w:next w:val="1"/>
    <w:qFormat/>
    <w:uiPriority w:val="39"/>
    <w:pPr>
      <w:ind w:left="420" w:leftChars="200"/>
    </w:pPr>
  </w:style>
  <w:style w:type="paragraph" w:styleId="16">
    <w:name w:val="Normal (Web)"/>
    <w:basedOn w:val="1"/>
    <w:qFormat/>
    <w:uiPriority w:val="0"/>
    <w:pPr>
      <w:widowControl/>
      <w:spacing w:before="100" w:beforeAutospacing="1" w:after="100" w:afterAutospacing="1"/>
      <w:jc w:val="left"/>
    </w:pPr>
    <w:rPr>
      <w:rFonts w:ascii="宋体" w:hAnsi="宋体"/>
      <w:kern w:val="0"/>
      <w:sz w:val="24"/>
    </w:rPr>
  </w:style>
  <w:style w:type="paragraph" w:styleId="17">
    <w:name w:val="Title"/>
    <w:basedOn w:val="1"/>
    <w:next w:val="1"/>
    <w:qFormat/>
    <w:uiPriority w:val="0"/>
    <w:pPr>
      <w:widowControl/>
      <w:spacing w:after="240" w:afterAutospacing="0" w:line="360" w:lineRule="auto"/>
      <w:jc w:val="center"/>
    </w:pPr>
    <w:rPr>
      <w:rFonts w:ascii="Arial" w:hAnsi="Arial" w:eastAsia="宋体" w:cs="Times New Roman"/>
      <w:b/>
      <w:smallCaps/>
      <w:kern w:val="28"/>
      <w:sz w:val="36"/>
      <w:lang w:val="en-US" w:eastAsia="en-US"/>
    </w:rPr>
  </w:style>
  <w:style w:type="paragraph" w:styleId="18">
    <w:name w:val="Body Text First Indent 2"/>
    <w:basedOn w:val="7"/>
    <w:next w:val="1"/>
    <w:qFormat/>
    <w:uiPriority w:val="0"/>
    <w:pPr>
      <w:spacing w:after="120" w:afterLines="0" w:line="240" w:lineRule="auto"/>
      <w:ind w:left="420" w:leftChars="200"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qFormat/>
    <w:uiPriority w:val="99"/>
    <w:rPr>
      <w:color w:val="0000FF"/>
      <w:u w:val="single"/>
    </w:rPr>
  </w:style>
  <w:style w:type="paragraph" w:customStyle="1" w:styleId="24">
    <w:name w:val="AONormal"/>
    <w:qFormat/>
    <w:uiPriority w:val="0"/>
    <w:pPr>
      <w:spacing w:line="260" w:lineRule="atLeast"/>
    </w:pPr>
    <w:rPr>
      <w:rFonts w:ascii="Times New Roman" w:hAnsi="Times New Roman" w:eastAsia="宋体" w:cs="Times New Roman"/>
      <w:sz w:val="22"/>
      <w:szCs w:val="22"/>
      <w:lang w:val="en-GB" w:eastAsia="zh-CN" w:bidi="ar-SA"/>
    </w:rPr>
  </w:style>
  <w:style w:type="paragraph" w:customStyle="1" w:styleId="25">
    <w:name w:val="BodyText"/>
    <w:basedOn w:val="1"/>
    <w:next w:val="1"/>
    <w:qFormat/>
    <w:uiPriority w:val="0"/>
    <w:pPr>
      <w:spacing w:line="500" w:lineRule="exact"/>
      <w:textAlignment w:val="baseline"/>
    </w:pPr>
    <w:rPr>
      <w:rFonts w:ascii="宋体" w:hAnsi="宋体"/>
      <w:kern w:val="0"/>
    </w:rPr>
  </w:style>
  <w:style w:type="paragraph" w:customStyle="1" w:styleId="26">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27">
    <w:name w:val="1"/>
    <w:basedOn w:val="1"/>
    <w:next w:val="9"/>
    <w:qFormat/>
    <w:uiPriority w:val="0"/>
    <w:rPr>
      <w:rFonts w:ascii="宋体" w:hAnsi="Courier New"/>
      <w:sz w:val="21"/>
    </w:rPr>
  </w:style>
  <w:style w:type="paragraph" w:customStyle="1" w:styleId="28">
    <w:name w:val="BT3"/>
    <w:basedOn w:val="3"/>
    <w:qFormat/>
    <w:uiPriority w:val="0"/>
    <w:pPr>
      <w:keepNext/>
      <w:keepLines/>
      <w:autoSpaceDE/>
      <w:autoSpaceDN/>
      <w:snapToGrid w:val="0"/>
      <w:spacing w:before="260" w:after="260" w:line="440" w:lineRule="exact"/>
      <w:ind w:firstLine="470" w:firstLineChars="196"/>
      <w:jc w:val="both"/>
    </w:pPr>
    <w:rPr>
      <w:rFonts w:hAnsi="宋体"/>
      <w:b w:val="0"/>
      <w:kern w:val="2"/>
      <w:szCs w:val="28"/>
    </w:rPr>
  </w:style>
  <w:style w:type="paragraph" w:customStyle="1" w:styleId="29">
    <w:name w:val="Table Text"/>
    <w:basedOn w:val="1"/>
    <w:semiHidden/>
    <w:qFormat/>
    <w:uiPriority w:val="0"/>
    <w:rPr>
      <w:rFonts w:ascii="宋体" w:hAnsi="宋体" w:eastAsia="宋体" w:cs="宋体"/>
      <w:sz w:val="20"/>
      <w:szCs w:val="20"/>
      <w:lang w:val="en-US" w:eastAsia="en-US" w:bidi="ar-SA"/>
    </w:rPr>
  </w:style>
  <w:style w:type="paragraph" w:customStyle="1" w:styleId="30">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character" w:customStyle="1" w:styleId="31">
    <w:name w:val="标题 2 Char"/>
    <w:link w:val="2"/>
    <w:qFormat/>
    <w:uiPriority w:val="0"/>
    <w:rPr>
      <w:rFonts w:ascii="Arial" w:hAnsi="Arial" w:eastAsia="黑体"/>
      <w:b/>
      <w:sz w:val="32"/>
    </w:rPr>
  </w:style>
  <w:style w:type="character" w:customStyle="1" w:styleId="32">
    <w:name w:val="标题 2 字符"/>
    <w:link w:val="2"/>
    <w:qFormat/>
    <w:uiPriority w:val="0"/>
    <w:rPr>
      <w:rFonts w:ascii="Arial" w:hAnsi="Arial" w:eastAsia="黑体"/>
      <w:b/>
      <w:kern w:val="2"/>
      <w:sz w:val="32"/>
    </w:rPr>
  </w:style>
  <w:style w:type="paragraph" w:customStyle="1" w:styleId="33">
    <w:name w:val="Body Text Indent 2"/>
    <w:basedOn w:val="1"/>
    <w:qFormat/>
    <w:uiPriority w:val="0"/>
    <w:pPr>
      <w:snapToGrid w:val="0"/>
      <w:spacing w:line="560" w:lineRule="atLeast"/>
      <w:ind w:firstLine="540"/>
    </w:pPr>
    <w:rPr>
      <w:kern w:val="2"/>
      <w:sz w:val="28"/>
    </w:rPr>
  </w:style>
  <w:style w:type="paragraph" w:styleId="34">
    <w:name w:val="List Paragraph"/>
    <w:basedOn w:val="1"/>
    <w:qFormat/>
    <w:uiPriority w:val="34"/>
    <w:pPr>
      <w:ind w:firstLine="420"/>
    </w:pPr>
    <w:rPr>
      <w:kern w:val="0"/>
      <w:sz w:val="20"/>
      <w:szCs w:val="20"/>
    </w:rPr>
  </w:style>
  <w:style w:type="paragraph" w:customStyle="1" w:styleId="35">
    <w:name w:val="UserStyle_0"/>
    <w:basedOn w:val="1"/>
    <w:qFormat/>
    <w:uiPriority w:val="0"/>
    <w:pPr>
      <w:ind w:firstLine="200" w:firstLineChars="200"/>
    </w:pPr>
    <w:rPr>
      <w:rFonts w:ascii="Calibri" w:hAnsi="Calibri" w:eastAsia="宋体" w:cs="Times New Roman"/>
      <w:color w:val="000000"/>
      <w:szCs w:val="21"/>
    </w:rPr>
  </w:style>
  <w:style w:type="paragraph" w:customStyle="1" w:styleId="36">
    <w:name w:val="无间隔1"/>
    <w:qFormat/>
    <w:uiPriority w:val="1"/>
    <w:pPr>
      <w:jc w:val="both"/>
    </w:pPr>
    <w:rPr>
      <w:rFonts w:ascii="Calibri" w:hAnsi="Calibri" w:eastAsia="Times New Roman"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22587</Words>
  <Characters>23927</Characters>
  <Lines>0</Lines>
  <Paragraphs>0</Paragraphs>
  <TotalTime>2</TotalTime>
  <ScaleCrop>false</ScaleCrop>
  <LinksUpToDate>false</LinksUpToDate>
  <CharactersWithSpaces>26601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2023-12-28T01:50:00Z</dcterms:created>
  <dc:creator>叶琼</dc:creator>
  <cp:lastModifiedBy>忘忧草</cp:lastModifiedBy>
  <dcterms:modified xsi:type="dcterms:W3CDTF">2025-10-17T07:32:10Z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FA2CB3AE20D74E5997EA2459383ADBCE_13</vt:lpwstr>
  </property>
  <property fmtid="{D5CDD505-2E9C-101B-9397-08002B2CF9AE}" pid="4" name="KSOTemplateDocerSaveRecord">
    <vt:lpwstr>eyJoZGlkIjoiMWNjZmRiOTBiYzdjZmIyOWI3YTBkMTVmMTU3OWY0ZGIiLCJ1c2VySWQiOiI0NDkyNjQ0MTgifQ==</vt:lpwstr>
  </property>
</Properties>
</file>