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259C3">
      <w:pPr>
        <w:jc w:val="center"/>
        <w:rPr>
          <w:rFonts w:cs="微软雅黑" w:asciiTheme="majorEastAsia" w:hAnsiTheme="majorEastAsia" w:eastAsiaTheme="majorEastAsia"/>
          <w:szCs w:val="30"/>
        </w:rPr>
      </w:pPr>
      <w:r>
        <w:rPr>
          <w:rFonts w:hint="eastAsia" w:cs="微软雅黑" w:asciiTheme="majorEastAsia" w:hAnsiTheme="majorEastAsia" w:eastAsiaTheme="majorEastAsia"/>
          <w:b/>
          <w:bCs/>
          <w:sz w:val="36"/>
          <w:szCs w:val="30"/>
        </w:rPr>
        <w:t>采购公告</w:t>
      </w:r>
    </w:p>
    <w:p w14:paraId="2028C3D5">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重庆昕笛枫建设工程咨询有限公司（以下简称：采购代理机构）接受重庆市渝北区龙发物业管理股份有限公司第二分公司委托，对其“渝景大厦2单元2台电梯更新工程项目”进行询比采购。欢迎有资格的供应商前来参与询比。</w:t>
      </w:r>
    </w:p>
    <w:p w14:paraId="35238A57">
      <w:pPr>
        <w:pStyle w:val="2"/>
        <w:spacing w:line="400" w:lineRule="exact"/>
        <w:ind w:firstLine="482"/>
        <w:rPr>
          <w:rFonts w:cs="微软雅黑" w:asciiTheme="majorEastAsia" w:hAnsiTheme="majorEastAsia" w:eastAsiaTheme="majorEastAsia"/>
          <w:sz w:val="24"/>
          <w:szCs w:val="24"/>
        </w:rPr>
      </w:pPr>
      <w:bookmarkStart w:id="0" w:name="_Toc10001"/>
      <w:bookmarkStart w:id="1" w:name="_Toc28114"/>
      <w:bookmarkStart w:id="2" w:name="_Toc317775175"/>
      <w:bookmarkStart w:id="3" w:name="_Toc192180611"/>
      <w:bookmarkStart w:id="4" w:name="_Toc47094760"/>
      <w:bookmarkStart w:id="5" w:name="_Toc313893526"/>
      <w:bookmarkStart w:id="6" w:name="_Toc5786"/>
      <w:r>
        <w:rPr>
          <w:rFonts w:hint="eastAsia" w:cs="微软雅黑" w:asciiTheme="majorEastAsia" w:hAnsiTheme="majorEastAsia" w:eastAsiaTheme="majorEastAsia"/>
          <w:sz w:val="24"/>
          <w:szCs w:val="24"/>
        </w:rPr>
        <w:t>一、询比内容</w:t>
      </w:r>
      <w:bookmarkEnd w:id="0"/>
      <w:bookmarkEnd w:id="1"/>
      <w:bookmarkEnd w:id="2"/>
      <w:bookmarkEnd w:id="3"/>
      <w:bookmarkEnd w:id="4"/>
      <w:bookmarkEnd w:id="5"/>
      <w:bookmarkEnd w:id="6"/>
    </w:p>
    <w:tbl>
      <w:tblPr>
        <w:tblStyle w:val="5"/>
        <w:tblpPr w:leftFromText="180" w:rightFromText="180" w:vertAnchor="text" w:horzAnchor="page" w:tblpX="1404" w:tblpY="412"/>
        <w:tblOverlap w:val="never"/>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648"/>
        <w:gridCol w:w="1592"/>
        <w:gridCol w:w="1592"/>
        <w:gridCol w:w="1606"/>
      </w:tblGrid>
      <w:tr w14:paraId="78A7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681" w:type="dxa"/>
            <w:shd w:val="clear" w:color="auto" w:fill="auto"/>
            <w:vAlign w:val="center"/>
          </w:tcPr>
          <w:p w14:paraId="06BABFC9">
            <w:pPr>
              <w:widowControl/>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项目名称</w:t>
            </w:r>
          </w:p>
        </w:tc>
        <w:tc>
          <w:tcPr>
            <w:tcW w:w="1648" w:type="dxa"/>
            <w:shd w:val="clear" w:color="auto" w:fill="auto"/>
            <w:vAlign w:val="center"/>
          </w:tcPr>
          <w:p w14:paraId="43824137">
            <w:pPr>
              <w:widowControl/>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采购数量</w:t>
            </w:r>
          </w:p>
          <w:p w14:paraId="153D23BC">
            <w:pPr>
              <w:widowControl/>
              <w:jc w:val="center"/>
              <w:rPr>
                <w:rFonts w:asciiTheme="majorEastAsia" w:hAnsiTheme="majorEastAsia" w:eastAsiaTheme="majorEastAsia"/>
              </w:rPr>
            </w:pPr>
            <w:r>
              <w:rPr>
                <w:rFonts w:hint="eastAsia" w:cs="微软雅黑" w:asciiTheme="majorEastAsia" w:hAnsiTheme="majorEastAsia" w:eastAsiaTheme="majorEastAsia"/>
                <w:b/>
                <w:bCs/>
                <w:kern w:val="0"/>
                <w:sz w:val="21"/>
                <w:szCs w:val="24"/>
              </w:rPr>
              <w:t>（台）</w:t>
            </w:r>
          </w:p>
        </w:tc>
        <w:tc>
          <w:tcPr>
            <w:tcW w:w="1592" w:type="dxa"/>
            <w:shd w:val="clear" w:color="auto" w:fill="auto"/>
            <w:vAlign w:val="center"/>
          </w:tcPr>
          <w:p w14:paraId="1831B350">
            <w:pPr>
              <w:widowControl/>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最高限价</w:t>
            </w:r>
          </w:p>
          <w:p w14:paraId="06C1B5A3">
            <w:pPr>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（万元）</w:t>
            </w:r>
          </w:p>
        </w:tc>
        <w:tc>
          <w:tcPr>
            <w:tcW w:w="1592" w:type="dxa"/>
            <w:shd w:val="clear" w:color="auto" w:fill="auto"/>
            <w:vAlign w:val="center"/>
          </w:tcPr>
          <w:p w14:paraId="0CD0EE74">
            <w:pPr>
              <w:widowControl/>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询比保证金</w:t>
            </w:r>
          </w:p>
          <w:p w14:paraId="31D5561A">
            <w:pPr>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（元）</w:t>
            </w:r>
          </w:p>
        </w:tc>
        <w:tc>
          <w:tcPr>
            <w:tcW w:w="1606" w:type="dxa"/>
            <w:shd w:val="clear" w:color="auto" w:fill="auto"/>
            <w:vAlign w:val="center"/>
          </w:tcPr>
          <w:p w14:paraId="6EB5C886">
            <w:pPr>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成交供应商</w:t>
            </w:r>
          </w:p>
          <w:p w14:paraId="4CC5F418">
            <w:pPr>
              <w:jc w:val="center"/>
              <w:rPr>
                <w:rFonts w:cs="微软雅黑" w:asciiTheme="majorEastAsia" w:hAnsiTheme="majorEastAsia" w:eastAsiaTheme="majorEastAsia"/>
                <w:b/>
                <w:bCs/>
                <w:kern w:val="0"/>
                <w:sz w:val="21"/>
                <w:szCs w:val="24"/>
              </w:rPr>
            </w:pPr>
            <w:r>
              <w:rPr>
                <w:rFonts w:hint="eastAsia" w:cs="微软雅黑" w:asciiTheme="majorEastAsia" w:hAnsiTheme="majorEastAsia" w:eastAsiaTheme="majorEastAsia"/>
                <w:b/>
                <w:bCs/>
                <w:kern w:val="0"/>
                <w:sz w:val="21"/>
                <w:szCs w:val="24"/>
              </w:rPr>
              <w:t>数量（名）</w:t>
            </w:r>
          </w:p>
        </w:tc>
      </w:tr>
      <w:tr w14:paraId="2B23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681" w:type="dxa"/>
            <w:shd w:val="clear" w:color="auto" w:fill="auto"/>
            <w:vAlign w:val="center"/>
          </w:tcPr>
          <w:p w14:paraId="3ECD4832">
            <w:pPr>
              <w:spacing w:line="400" w:lineRule="exact"/>
              <w:jc w:val="center"/>
              <w:rPr>
                <w:rFonts w:cs="微软雅黑" w:asciiTheme="majorEastAsia" w:hAnsiTheme="majorEastAsia" w:eastAsiaTheme="majorEastAsia"/>
                <w:sz w:val="21"/>
                <w:szCs w:val="21"/>
              </w:rPr>
            </w:pPr>
            <w:bookmarkStart w:id="7" w:name="_Hlk344477914"/>
            <w:r>
              <w:rPr>
                <w:rFonts w:hint="eastAsia" w:cs="微软雅黑" w:asciiTheme="majorEastAsia" w:hAnsiTheme="majorEastAsia" w:eastAsiaTheme="majorEastAsia"/>
                <w:sz w:val="24"/>
                <w:szCs w:val="24"/>
              </w:rPr>
              <w:t>渝景大厦2单元2台电梯更新工程项目</w:t>
            </w:r>
          </w:p>
        </w:tc>
        <w:tc>
          <w:tcPr>
            <w:tcW w:w="1648" w:type="dxa"/>
            <w:shd w:val="clear" w:color="auto" w:fill="auto"/>
            <w:vAlign w:val="center"/>
          </w:tcPr>
          <w:p w14:paraId="5D1DDE05">
            <w:pPr>
              <w:jc w:val="center"/>
              <w:rPr>
                <w:rFonts w:cs="微软雅黑" w:asciiTheme="majorEastAsia" w:hAnsiTheme="majorEastAsia" w:eastAsiaTheme="majorEastAsia"/>
                <w:kern w:val="0"/>
                <w:sz w:val="21"/>
                <w:szCs w:val="21"/>
              </w:rPr>
            </w:pPr>
            <w:r>
              <w:rPr>
                <w:rFonts w:hint="eastAsia" w:cs="微软雅黑" w:asciiTheme="majorEastAsia" w:hAnsiTheme="majorEastAsia" w:eastAsiaTheme="majorEastAsia"/>
                <w:kern w:val="0"/>
                <w:sz w:val="21"/>
                <w:szCs w:val="21"/>
              </w:rPr>
              <w:t>2</w:t>
            </w:r>
          </w:p>
        </w:tc>
        <w:tc>
          <w:tcPr>
            <w:tcW w:w="1592" w:type="dxa"/>
            <w:shd w:val="clear" w:color="auto" w:fill="auto"/>
            <w:vAlign w:val="center"/>
          </w:tcPr>
          <w:p w14:paraId="2819C233">
            <w:pPr>
              <w:jc w:val="center"/>
              <w:rPr>
                <w:rFonts w:cs="微软雅黑" w:asciiTheme="majorEastAsia" w:hAnsiTheme="majorEastAsia" w:eastAsiaTheme="majorEastAsia"/>
                <w:kern w:val="0"/>
                <w:sz w:val="21"/>
                <w:szCs w:val="21"/>
              </w:rPr>
            </w:pPr>
            <w:r>
              <w:rPr>
                <w:rFonts w:hint="eastAsia" w:cs="微软雅黑" w:asciiTheme="majorEastAsia" w:hAnsiTheme="majorEastAsia" w:eastAsiaTheme="majorEastAsia"/>
                <w:kern w:val="0"/>
                <w:sz w:val="21"/>
                <w:szCs w:val="21"/>
              </w:rPr>
              <w:t>50</w:t>
            </w:r>
          </w:p>
        </w:tc>
        <w:tc>
          <w:tcPr>
            <w:tcW w:w="1592" w:type="dxa"/>
            <w:shd w:val="clear" w:color="auto" w:fill="auto"/>
            <w:vAlign w:val="center"/>
          </w:tcPr>
          <w:p w14:paraId="12AE4F2F">
            <w:pPr>
              <w:jc w:val="center"/>
              <w:rPr>
                <w:rFonts w:cs="微软雅黑" w:asciiTheme="majorEastAsia" w:hAnsiTheme="majorEastAsia" w:eastAsiaTheme="majorEastAsia"/>
                <w:sz w:val="21"/>
                <w:szCs w:val="21"/>
              </w:rPr>
            </w:pPr>
            <w:r>
              <w:rPr>
                <w:rFonts w:hint="eastAsia" w:cs="微软雅黑" w:asciiTheme="majorEastAsia" w:hAnsiTheme="majorEastAsia" w:eastAsiaTheme="majorEastAsia"/>
                <w:sz w:val="21"/>
                <w:szCs w:val="21"/>
              </w:rPr>
              <w:t>5000</w:t>
            </w:r>
          </w:p>
        </w:tc>
        <w:tc>
          <w:tcPr>
            <w:tcW w:w="1606" w:type="dxa"/>
            <w:shd w:val="clear" w:color="auto" w:fill="auto"/>
            <w:vAlign w:val="center"/>
          </w:tcPr>
          <w:p w14:paraId="10B6D7F6">
            <w:pPr>
              <w:jc w:val="center"/>
              <w:rPr>
                <w:rFonts w:cs="微软雅黑" w:asciiTheme="majorEastAsia" w:hAnsiTheme="majorEastAsia" w:eastAsiaTheme="majorEastAsia"/>
                <w:sz w:val="21"/>
                <w:szCs w:val="21"/>
              </w:rPr>
            </w:pPr>
            <w:r>
              <w:rPr>
                <w:rFonts w:hint="eastAsia" w:cs="微软雅黑" w:asciiTheme="majorEastAsia" w:hAnsiTheme="majorEastAsia" w:eastAsiaTheme="majorEastAsia"/>
                <w:sz w:val="21"/>
                <w:szCs w:val="21"/>
              </w:rPr>
              <w:t>1</w:t>
            </w:r>
          </w:p>
        </w:tc>
      </w:tr>
      <w:bookmarkEnd w:id="7"/>
    </w:tbl>
    <w:p w14:paraId="0E660C5F">
      <w:pPr>
        <w:pStyle w:val="2"/>
        <w:spacing w:line="400" w:lineRule="exact"/>
        <w:ind w:firstLine="482"/>
        <w:rPr>
          <w:rFonts w:cs="微软雅黑" w:asciiTheme="majorEastAsia" w:hAnsiTheme="majorEastAsia" w:eastAsiaTheme="majorEastAsia"/>
          <w:sz w:val="24"/>
          <w:szCs w:val="24"/>
        </w:rPr>
      </w:pPr>
      <w:bookmarkStart w:id="8" w:name="_Toc26489"/>
      <w:bookmarkStart w:id="9" w:name="_Toc2876"/>
      <w:bookmarkStart w:id="10" w:name="_Toc20640"/>
      <w:bookmarkStart w:id="11" w:name="_Toc969"/>
      <w:bookmarkStart w:id="12" w:name="_Toc47094761"/>
      <w:bookmarkStart w:id="13" w:name="_Toc192180612"/>
      <w:bookmarkStart w:id="14" w:name="_Toc47094762"/>
      <w:bookmarkStart w:id="15" w:name="_Toc22157"/>
      <w:bookmarkStart w:id="16" w:name="_Toc11135"/>
      <w:bookmarkStart w:id="17" w:name="_Toc25320"/>
      <w:bookmarkStart w:id="18" w:name="_Toc373860293"/>
      <w:bookmarkStart w:id="19" w:name="_Toc317775178"/>
    </w:p>
    <w:p w14:paraId="19ADB152">
      <w:pPr>
        <w:pStyle w:val="2"/>
        <w:spacing w:line="500" w:lineRule="exact"/>
        <w:ind w:firstLine="482"/>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二、资金来源</w:t>
      </w:r>
      <w:bookmarkEnd w:id="8"/>
      <w:bookmarkEnd w:id="9"/>
      <w:bookmarkEnd w:id="10"/>
      <w:bookmarkEnd w:id="11"/>
      <w:bookmarkEnd w:id="12"/>
      <w:bookmarkEnd w:id="13"/>
    </w:p>
    <w:p w14:paraId="050D3F95">
      <w:pPr>
        <w:spacing w:line="500" w:lineRule="exact"/>
        <w:ind w:firstLine="480" w:firstLineChars="200"/>
        <w:rPr>
          <w:rFonts w:cs="微软雅黑" w:asciiTheme="majorEastAsia" w:hAnsiTheme="majorEastAsia" w:eastAsiaTheme="majorEastAsia"/>
          <w:sz w:val="24"/>
          <w:szCs w:val="24"/>
          <w:highlight w:val="none"/>
        </w:rPr>
      </w:pPr>
      <w:r>
        <w:rPr>
          <w:rFonts w:hint="eastAsia" w:cs="微软雅黑" w:asciiTheme="majorEastAsia" w:hAnsiTheme="majorEastAsia" w:eastAsiaTheme="majorEastAsia"/>
          <w:sz w:val="24"/>
          <w:szCs w:val="24"/>
          <w:highlight w:val="none"/>
        </w:rPr>
        <w:t>物业专项维修资金+超长期特别国债</w:t>
      </w:r>
    </w:p>
    <w:p w14:paraId="2F2F5E01">
      <w:pPr>
        <w:pStyle w:val="2"/>
        <w:spacing w:line="500" w:lineRule="exact"/>
        <w:ind w:firstLine="482"/>
        <w:rPr>
          <w:rFonts w:cs="微软雅黑" w:asciiTheme="majorEastAsia" w:hAnsiTheme="majorEastAsia" w:eastAsiaTheme="majorEastAsia"/>
          <w:sz w:val="24"/>
          <w:szCs w:val="24"/>
        </w:rPr>
      </w:pPr>
      <w:bookmarkStart w:id="20" w:name="_Toc192180613"/>
      <w:r>
        <w:rPr>
          <w:rFonts w:hint="eastAsia" w:cs="微软雅黑" w:asciiTheme="majorEastAsia" w:hAnsiTheme="majorEastAsia" w:eastAsiaTheme="majorEastAsia"/>
          <w:sz w:val="24"/>
          <w:szCs w:val="24"/>
        </w:rPr>
        <w:t>三、供应商资格条件</w:t>
      </w:r>
      <w:bookmarkEnd w:id="14"/>
      <w:bookmarkEnd w:id="15"/>
      <w:bookmarkEnd w:id="16"/>
      <w:bookmarkEnd w:id="17"/>
      <w:bookmarkEnd w:id="20"/>
      <w:bookmarkStart w:id="89" w:name="_GoBack"/>
      <w:bookmarkEnd w:id="89"/>
    </w:p>
    <w:p w14:paraId="53514EDB">
      <w:pPr>
        <w:snapToGrid w:val="0"/>
        <w:spacing w:line="500" w:lineRule="exact"/>
        <w:ind w:firstLine="480" w:firstLineChars="200"/>
        <w:outlineLvl w:val="1"/>
        <w:rPr>
          <w:rFonts w:cs="微软雅黑" w:asciiTheme="majorEastAsia" w:hAnsiTheme="majorEastAsia" w:eastAsiaTheme="majorEastAsia"/>
          <w:sz w:val="24"/>
          <w:szCs w:val="24"/>
        </w:rPr>
      </w:pPr>
      <w:bookmarkStart w:id="21" w:name="_Toc20379"/>
      <w:bookmarkStart w:id="22" w:name="_Toc9086"/>
      <w:bookmarkStart w:id="23" w:name="_Toc16272"/>
      <w:bookmarkStart w:id="24" w:name="_Toc19434"/>
      <w:bookmarkStart w:id="25" w:name="_Toc192180614"/>
      <w:bookmarkStart w:id="26" w:name="_Toc9115"/>
      <w:bookmarkStart w:id="27" w:name="_Toc47094763"/>
      <w:r>
        <w:rPr>
          <w:rFonts w:hint="eastAsia" w:cs="微软雅黑" w:asciiTheme="majorEastAsia" w:hAnsiTheme="majorEastAsia" w:eastAsiaTheme="majorEastAsia"/>
          <w:sz w:val="24"/>
          <w:szCs w:val="24"/>
        </w:rPr>
        <w:t>（一）基本资格条件</w:t>
      </w:r>
      <w:bookmarkEnd w:id="21"/>
      <w:bookmarkEnd w:id="22"/>
      <w:bookmarkEnd w:id="23"/>
      <w:bookmarkEnd w:id="24"/>
      <w:bookmarkEnd w:id="25"/>
    </w:p>
    <w:p w14:paraId="673B0DC8">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1. 具有独立承担民事责任的能力；</w:t>
      </w:r>
    </w:p>
    <w:p w14:paraId="46D2380F">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2. 具有良好的商业信誉和健全的财务会计制度；</w:t>
      </w:r>
    </w:p>
    <w:p w14:paraId="6A798FB9">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3. 具有履行合同所必需的设备和专业技术能力；</w:t>
      </w:r>
    </w:p>
    <w:p w14:paraId="70DC8293">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4. 有依法缴纳税收和社会保障资金的良好记录；</w:t>
      </w:r>
    </w:p>
    <w:p w14:paraId="7BE00365">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5. 参加政府采购活动前三年内，在经营活动中没有重大违法记录；</w:t>
      </w:r>
    </w:p>
    <w:p w14:paraId="5280035D">
      <w:pPr>
        <w:snapToGrid w:val="0"/>
        <w:spacing w:line="500" w:lineRule="exact"/>
        <w:ind w:firstLine="480" w:firstLineChars="200"/>
        <w:rPr>
          <w:rFonts w:cs="微软雅黑" w:asciiTheme="majorEastAsia" w:hAnsiTheme="majorEastAsia" w:eastAsiaTheme="majorEastAsia"/>
          <w:sz w:val="24"/>
          <w:szCs w:val="24"/>
        </w:rPr>
      </w:pPr>
      <w:bookmarkStart w:id="28" w:name="OLE_LINK7"/>
      <w:r>
        <w:rPr>
          <w:rFonts w:hint="eastAsia" w:cs="微软雅黑" w:asciiTheme="majorEastAsia" w:hAnsiTheme="majorEastAsia" w:eastAsiaTheme="majorEastAsia"/>
          <w:sz w:val="24"/>
          <w:szCs w:val="24"/>
        </w:rPr>
        <w:t>6. 法律、行政法规规定的其他条件。</w:t>
      </w:r>
    </w:p>
    <w:bookmarkEnd w:id="28"/>
    <w:p w14:paraId="1AA0640F">
      <w:pPr>
        <w:snapToGrid w:val="0"/>
        <w:spacing w:line="500" w:lineRule="exact"/>
        <w:ind w:firstLine="480" w:firstLineChars="200"/>
        <w:outlineLvl w:val="1"/>
        <w:rPr>
          <w:rFonts w:cs="微软雅黑" w:asciiTheme="majorEastAsia" w:hAnsiTheme="majorEastAsia" w:eastAsiaTheme="majorEastAsia"/>
          <w:sz w:val="24"/>
          <w:szCs w:val="24"/>
        </w:rPr>
      </w:pPr>
      <w:bookmarkStart w:id="29" w:name="_Toc31900"/>
      <w:bookmarkStart w:id="30" w:name="_Toc192180615"/>
      <w:bookmarkStart w:id="31" w:name="_Toc22654"/>
      <w:bookmarkStart w:id="32" w:name="_Toc12446"/>
      <w:bookmarkStart w:id="33" w:name="_Toc10828"/>
      <w:r>
        <w:rPr>
          <w:rFonts w:hint="eastAsia" w:cs="微软雅黑" w:asciiTheme="majorEastAsia" w:hAnsiTheme="majorEastAsia" w:eastAsiaTheme="majorEastAsia"/>
          <w:sz w:val="24"/>
          <w:szCs w:val="24"/>
        </w:rPr>
        <w:t>（二）特定资格条件</w:t>
      </w:r>
      <w:bookmarkEnd w:id="29"/>
      <w:bookmarkEnd w:id="30"/>
      <w:bookmarkEnd w:id="31"/>
      <w:bookmarkEnd w:id="32"/>
      <w:bookmarkEnd w:id="33"/>
    </w:p>
    <w:p w14:paraId="3C92FCF4">
      <w:pPr>
        <w:snapToGrid w:val="0"/>
        <w:spacing w:line="500" w:lineRule="exact"/>
        <w:ind w:firstLine="480" w:firstLineChars="200"/>
        <w:rPr>
          <w:rFonts w:cs="微软雅黑" w:asciiTheme="majorEastAsia" w:hAnsiTheme="majorEastAsia" w:eastAsiaTheme="majorEastAsia"/>
          <w:sz w:val="24"/>
          <w:szCs w:val="24"/>
        </w:rPr>
      </w:pPr>
      <w:bookmarkStart w:id="34" w:name="_Toc51057643"/>
      <w:bookmarkStart w:id="35" w:name="_Toc51057733"/>
      <w:bookmarkStart w:id="36" w:name="_Toc51056416"/>
      <w:bookmarkStart w:id="37" w:name="_Toc16314"/>
      <w:bookmarkStart w:id="38" w:name="_Toc21744"/>
      <w:r>
        <w:rPr>
          <w:rFonts w:hint="eastAsia" w:cs="微软雅黑" w:asciiTheme="majorEastAsia" w:hAnsiTheme="majorEastAsia" w:eastAsiaTheme="majorEastAsia"/>
          <w:sz w:val="24"/>
          <w:szCs w:val="24"/>
        </w:rPr>
        <w:t>1、电梯生产制造商参加比选的必须具备以下资格：</w:t>
      </w:r>
      <w:bookmarkEnd w:id="34"/>
      <w:bookmarkEnd w:id="35"/>
      <w:bookmarkEnd w:id="36"/>
    </w:p>
    <w:p w14:paraId="7E0E9A22">
      <w:pPr>
        <w:snapToGrid w:val="0"/>
        <w:spacing w:line="500" w:lineRule="exact"/>
        <w:ind w:firstLine="480" w:firstLineChars="200"/>
        <w:rPr>
          <w:rFonts w:cs="微软雅黑" w:asciiTheme="majorEastAsia" w:hAnsiTheme="majorEastAsia" w:eastAsiaTheme="majorEastAsia"/>
          <w:sz w:val="24"/>
          <w:szCs w:val="24"/>
        </w:rPr>
      </w:pPr>
      <w:bookmarkStart w:id="39" w:name="_Toc51056417"/>
      <w:bookmarkStart w:id="40" w:name="_Toc51057734"/>
      <w:bookmarkStart w:id="41" w:name="_Toc51057644"/>
      <w:r>
        <w:rPr>
          <w:rFonts w:hint="eastAsia" w:cs="微软雅黑" w:asciiTheme="majorEastAsia" w:hAnsiTheme="majorEastAsia" w:eastAsiaTheme="majorEastAsia"/>
          <w:sz w:val="24"/>
          <w:szCs w:val="24"/>
        </w:rPr>
        <w:t>（1）须在中华人民共和国境内合法注册的电梯制造商（经营范围包含电梯生产或制造），具有工商行政主管部门颁发的有效营业执照的电梯生产企业；</w:t>
      </w:r>
      <w:bookmarkEnd w:id="39"/>
      <w:bookmarkEnd w:id="40"/>
      <w:bookmarkEnd w:id="41"/>
    </w:p>
    <w:p w14:paraId="07A597FF">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（须提供有效的法人营业执照副本复印件并加盖电梯生产制造商公章）</w:t>
      </w:r>
    </w:p>
    <w:p w14:paraId="5C391AD2">
      <w:pPr>
        <w:snapToGrid w:val="0"/>
        <w:spacing w:line="500" w:lineRule="exact"/>
        <w:ind w:firstLine="480" w:firstLineChars="200"/>
        <w:rPr>
          <w:rFonts w:cs="微软雅黑" w:asciiTheme="majorEastAsia" w:hAnsiTheme="majorEastAsia" w:eastAsiaTheme="majorEastAsia"/>
          <w:sz w:val="24"/>
          <w:szCs w:val="24"/>
        </w:rPr>
      </w:pPr>
      <w:bookmarkStart w:id="42" w:name="_Toc51056418"/>
      <w:bookmarkStart w:id="43" w:name="_Toc51057645"/>
      <w:bookmarkStart w:id="44" w:name="_Toc51057735"/>
      <w:r>
        <w:rPr>
          <w:rFonts w:hint="eastAsia" w:cs="微软雅黑" w:asciiTheme="majorEastAsia" w:hAnsiTheme="majorEastAsia" w:eastAsiaTheme="majorEastAsia"/>
          <w:sz w:val="24"/>
          <w:szCs w:val="24"/>
        </w:rPr>
        <w:t>(2)</w:t>
      </w:r>
      <w:bookmarkEnd w:id="42"/>
      <w:bookmarkEnd w:id="43"/>
      <w:bookmarkEnd w:id="44"/>
      <w:r>
        <w:rPr>
          <w:rFonts w:hint="eastAsia" w:cs="微软雅黑" w:asciiTheme="majorEastAsia" w:hAnsiTheme="majorEastAsia" w:eastAsiaTheme="majorEastAsia"/>
          <w:sz w:val="24"/>
          <w:szCs w:val="24"/>
        </w:rPr>
        <w:t xml:space="preserve"> 具有中华人民共和国国家质量监督检验检疫总局颁发的且在有效期的《中华人民共和国特种设备制造许可证》(电梯)（乘客电梯A级资质）或具有市场监督管理部门颁发且在有效期的《中华人民共和国特种设备生产许可证》｛许可项目：电梯制造〔含安装、修理、改造〕｝。</w:t>
      </w:r>
    </w:p>
    <w:p w14:paraId="1BBE5B7E">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(3) 具有有关质量监督检验部门颁发的且在有效期的《中华人民共和国特种设备安装改造修理（或维修）许可证》〔（电梯）安装、改造、修理（或维修）〕（乘客电梯A级及以上资质）或具有市场监督管理部门颁发且在有效期的《中华人民共和国特种设备生产许可证》｛许可项目：电梯制造〔含安装、修理、改造〕｝。</w:t>
      </w:r>
    </w:p>
    <w:p w14:paraId="3DE921E2">
      <w:pPr>
        <w:snapToGrid w:val="0"/>
        <w:spacing w:line="500" w:lineRule="exact"/>
        <w:ind w:firstLine="480" w:firstLineChars="200"/>
        <w:rPr>
          <w:rFonts w:asciiTheme="majorEastAsia" w:hAnsiTheme="majorEastAsia" w:eastAsiaTheme="majorEastAsia"/>
        </w:rPr>
      </w:pPr>
      <w:r>
        <w:rPr>
          <w:rFonts w:hint="eastAsia" w:cs="微软雅黑" w:asciiTheme="majorEastAsia" w:hAnsiTheme="majorEastAsia" w:eastAsiaTheme="majorEastAsia"/>
          <w:sz w:val="24"/>
          <w:szCs w:val="24"/>
        </w:rPr>
        <w:t>（须提供有效的证书复印件并加盖供应商公章）</w:t>
      </w:r>
    </w:p>
    <w:p w14:paraId="5A1C74D0">
      <w:pPr>
        <w:snapToGrid w:val="0"/>
        <w:spacing w:line="500" w:lineRule="exact"/>
        <w:ind w:firstLine="480" w:firstLineChars="200"/>
        <w:rPr>
          <w:rFonts w:cs="微软雅黑" w:asciiTheme="majorEastAsia" w:hAnsiTheme="majorEastAsia" w:eastAsiaTheme="majorEastAsia"/>
          <w:sz w:val="24"/>
          <w:szCs w:val="24"/>
        </w:rPr>
      </w:pPr>
      <w:bookmarkStart w:id="45" w:name="_Toc51057736"/>
      <w:bookmarkStart w:id="46" w:name="_Toc51056419"/>
      <w:bookmarkStart w:id="47" w:name="_Toc51057646"/>
      <w:r>
        <w:rPr>
          <w:rFonts w:hint="eastAsia" w:cs="微软雅黑" w:asciiTheme="majorEastAsia" w:hAnsiTheme="majorEastAsia" w:eastAsiaTheme="majorEastAsia"/>
          <w:sz w:val="24"/>
          <w:szCs w:val="24"/>
        </w:rPr>
        <w:t>2、代理供应商参加比选的必须具备以下资格：</w:t>
      </w:r>
      <w:bookmarkEnd w:id="45"/>
      <w:bookmarkEnd w:id="46"/>
      <w:bookmarkEnd w:id="47"/>
    </w:p>
    <w:p w14:paraId="30AA2434">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（1）须在中华人民共和国境内合法注册的电梯安装企业，具有工商行政主管部门颁发的有效营业执照的电梯安装企业；</w:t>
      </w:r>
    </w:p>
    <w:p w14:paraId="34F769D6">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（须提供有效的法人营业执照副本复印件并加盖供应商公章，原件备查。）</w:t>
      </w:r>
    </w:p>
    <w:p w14:paraId="7903E343">
      <w:pPr>
        <w:snapToGrid w:val="0"/>
        <w:spacing w:line="500" w:lineRule="exact"/>
        <w:ind w:firstLine="480" w:firstLineChars="200"/>
        <w:rPr>
          <w:rFonts w:cs="微软雅黑" w:asciiTheme="majorEastAsia" w:hAnsiTheme="majorEastAsia" w:eastAsiaTheme="majorEastAsia"/>
          <w:sz w:val="24"/>
          <w:szCs w:val="24"/>
        </w:rPr>
      </w:pPr>
      <w:bookmarkStart w:id="48" w:name="_Toc51057737"/>
      <w:bookmarkStart w:id="49" w:name="_Toc51057647"/>
      <w:bookmarkStart w:id="50" w:name="_Toc51056420"/>
      <w:r>
        <w:rPr>
          <w:rFonts w:hint="eastAsia" w:cs="微软雅黑" w:asciiTheme="majorEastAsia" w:hAnsiTheme="majorEastAsia" w:eastAsiaTheme="majorEastAsia"/>
          <w:sz w:val="24"/>
          <w:szCs w:val="24"/>
        </w:rPr>
        <w:t>（2）取得电梯生产制造商针对本项目所投产品的唯一授权，对其授权的生产制造商必须满足生产制造商独立投标的资格条件（即特定资格条件第１条）；</w:t>
      </w:r>
      <w:bookmarkEnd w:id="48"/>
      <w:bookmarkEnd w:id="49"/>
      <w:bookmarkEnd w:id="50"/>
    </w:p>
    <w:p w14:paraId="39814B28">
      <w:p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须提供生产制造商针对本项目授权资料的复印件，原件备查；须提供供应商品牌生产制造商独立比选所需的全部资格审查资料的复印件（即特定资格条件第１条）。上述复印件均需同时加盖生产制造商公章和代理供应商公章。〕</w:t>
      </w:r>
    </w:p>
    <w:p w14:paraId="52121716">
      <w:pPr>
        <w:numPr>
          <w:ilvl w:val="0"/>
          <w:numId w:val="1"/>
        </w:numPr>
        <w:snapToGrid w:val="0"/>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具有有关质量监督检验部门颁发的且在有效期的《中华人民共和国特种设备安装改造修理（或维修）许可证》〔（电梯）安装、改造、修理（或维修）〕（乘客电梯A级及以上资质）或具有市场监督管理部门颁发且在有效期的《中华人民共和国特种设备生产许可证》｛许可项目：电梯安装（含修理）｝。</w:t>
      </w:r>
    </w:p>
    <w:p w14:paraId="0CAA1E2A">
      <w:pPr>
        <w:numPr>
          <w:ilvl w:val="0"/>
          <w:numId w:val="2"/>
        </w:numPr>
        <w:snapToGrid w:val="0"/>
        <w:spacing w:line="500" w:lineRule="exact"/>
        <w:ind w:firstLine="482"/>
        <w:outlineLvl w:val="0"/>
        <w:rPr>
          <w:rFonts w:cs="微软雅黑" w:asciiTheme="majorEastAsia" w:hAnsiTheme="majorEastAsia" w:eastAsiaTheme="majorEastAsia"/>
          <w:b/>
          <w:bCs/>
          <w:sz w:val="24"/>
          <w:szCs w:val="24"/>
        </w:rPr>
      </w:pPr>
      <w:bookmarkStart w:id="51" w:name="_Toc192180616"/>
      <w:r>
        <w:rPr>
          <w:rFonts w:hint="eastAsia" w:cs="微软雅黑" w:asciiTheme="majorEastAsia" w:hAnsiTheme="majorEastAsia" w:eastAsiaTheme="majorEastAsia"/>
          <w:b/>
          <w:bCs/>
          <w:sz w:val="24"/>
          <w:szCs w:val="24"/>
        </w:rPr>
        <w:t>询比有关说明</w:t>
      </w:r>
      <w:bookmarkEnd w:id="18"/>
      <w:bookmarkEnd w:id="26"/>
      <w:bookmarkEnd w:id="27"/>
      <w:bookmarkEnd w:id="37"/>
      <w:bookmarkEnd w:id="38"/>
      <w:bookmarkEnd w:id="51"/>
      <w:bookmarkStart w:id="52" w:name="_Toc1411"/>
      <w:bookmarkStart w:id="53" w:name="_Toc31116"/>
      <w:bookmarkStart w:id="54" w:name="_Toc88830797"/>
      <w:bookmarkStart w:id="55" w:name="_Toc19890"/>
      <w:bookmarkStart w:id="56" w:name="_Toc373860294"/>
      <w:bookmarkStart w:id="57" w:name="_Toc47094764"/>
    </w:p>
    <w:p w14:paraId="15066879">
      <w:pPr>
        <w:numPr>
          <w:ilvl w:val="0"/>
          <w:numId w:val="3"/>
        </w:numPr>
        <w:snapToGrid w:val="0"/>
        <w:spacing w:line="500" w:lineRule="exact"/>
        <w:ind w:firstLine="240" w:firstLineChars="1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报名</w:t>
      </w:r>
      <w:bookmarkEnd w:id="52"/>
      <w:bookmarkEnd w:id="53"/>
      <w:bookmarkEnd w:id="54"/>
      <w:r>
        <w:rPr>
          <w:rFonts w:hint="eastAsia" w:cs="微软雅黑" w:asciiTheme="majorEastAsia" w:hAnsiTheme="majorEastAsia" w:eastAsiaTheme="majorEastAsia"/>
          <w:sz w:val="24"/>
          <w:szCs w:val="24"/>
        </w:rPr>
        <w:t>：请满足资格条件的供应商在询比公告发布之日（2025年3月1</w:t>
      </w:r>
      <w:r>
        <w:rPr>
          <w:rFonts w:hint="eastAsia" w:cs="微软雅黑" w:asciiTheme="majorEastAsia" w:hAnsiTheme="majorEastAsia" w:eastAsiaTheme="majorEastAsia"/>
          <w:sz w:val="24"/>
          <w:szCs w:val="24"/>
          <w:lang w:val="en-US" w:eastAsia="zh-CN"/>
        </w:rPr>
        <w:t>5</w:t>
      </w:r>
      <w:r>
        <w:rPr>
          <w:rFonts w:hint="eastAsia" w:cs="微软雅黑" w:asciiTheme="majorEastAsia" w:hAnsiTheme="majorEastAsia" w:eastAsiaTheme="majorEastAsia"/>
          <w:sz w:val="24"/>
          <w:szCs w:val="24"/>
        </w:rPr>
        <w:t>日）起</w:t>
      </w:r>
      <w:r>
        <w:rPr>
          <w:rFonts w:hint="eastAsia" w:cs="微软雅黑" w:asciiTheme="majorEastAsia" w:hAnsiTheme="majorEastAsia" w:eastAsiaTheme="majorEastAsia"/>
          <w:sz w:val="24"/>
          <w:szCs w:val="24"/>
          <w:lang w:val="en-US" w:eastAsia="zh-CN"/>
        </w:rPr>
        <w:t>3</w:t>
      </w:r>
      <w:r>
        <w:rPr>
          <w:rFonts w:hint="eastAsia" w:cs="微软雅黑" w:asciiTheme="majorEastAsia" w:hAnsiTheme="majorEastAsia" w:eastAsiaTheme="majorEastAsia"/>
          <w:sz w:val="24"/>
          <w:szCs w:val="24"/>
        </w:rPr>
        <w:t>个工作日内，每日上午09:00至12:00，下午14:00至17:00（北京时间），持单位营业执照（复印件加盖公章）、介绍信（或授权委托书原件）、身份证原件及复印件、文件发售登记表，在重庆昕笛枫建设工程咨询有限公司（联系电话：18983123796地址：渝北区龙溪街道松桥支路1号世纪财富星座1幢12楼）报名及获取询比资料(请先电话联系)。</w:t>
      </w:r>
    </w:p>
    <w:p w14:paraId="4A2F7E6A">
      <w:pPr>
        <w:snapToGrid w:val="0"/>
        <w:spacing w:line="500" w:lineRule="exact"/>
        <w:ind w:firstLine="482" w:firstLineChars="200"/>
        <w:rPr>
          <w:rFonts w:cs="微软雅黑" w:asciiTheme="majorEastAsia" w:hAnsiTheme="majorEastAsia" w:eastAsiaTheme="majorEastAsia"/>
          <w:b/>
          <w:bCs/>
          <w:sz w:val="24"/>
          <w:szCs w:val="24"/>
        </w:rPr>
      </w:pPr>
      <w:r>
        <w:rPr>
          <w:rFonts w:hint="eastAsia" w:cs="微软雅黑" w:asciiTheme="majorEastAsia" w:hAnsiTheme="majorEastAsia" w:eastAsiaTheme="majorEastAsia"/>
          <w:b/>
          <w:bCs/>
          <w:sz w:val="24"/>
          <w:szCs w:val="24"/>
        </w:rPr>
        <w:t>注:未按上述要求报名的供应商不能参与本项目询比。</w:t>
      </w:r>
    </w:p>
    <w:p w14:paraId="69F4A919">
      <w:pPr>
        <w:numPr>
          <w:ilvl w:val="0"/>
          <w:numId w:val="3"/>
        </w:numPr>
        <w:spacing w:line="500" w:lineRule="exact"/>
        <w:ind w:firstLine="240" w:firstLineChars="1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询比公告期限：自询比公告发布之日（2025年3月1</w:t>
      </w:r>
      <w:r>
        <w:rPr>
          <w:rFonts w:hint="eastAsia" w:cs="微软雅黑" w:asciiTheme="majorEastAsia" w:hAnsiTheme="majorEastAsia" w:eastAsiaTheme="majorEastAsia"/>
          <w:sz w:val="24"/>
          <w:szCs w:val="24"/>
          <w:lang w:val="en-US" w:eastAsia="zh-CN"/>
        </w:rPr>
        <w:t>5</w:t>
      </w:r>
      <w:r>
        <w:rPr>
          <w:rFonts w:hint="eastAsia" w:cs="微软雅黑" w:asciiTheme="majorEastAsia" w:hAnsiTheme="majorEastAsia" w:eastAsiaTheme="majorEastAsia"/>
          <w:sz w:val="24"/>
          <w:szCs w:val="24"/>
        </w:rPr>
        <w:t>日）起</w:t>
      </w:r>
      <w:r>
        <w:rPr>
          <w:rFonts w:hint="eastAsia" w:cs="微软雅黑" w:asciiTheme="majorEastAsia" w:hAnsiTheme="majorEastAsia" w:eastAsiaTheme="majorEastAsia"/>
          <w:sz w:val="24"/>
          <w:szCs w:val="24"/>
          <w:lang w:val="en-US" w:eastAsia="zh-CN"/>
        </w:rPr>
        <w:t>5</w:t>
      </w:r>
      <w:r>
        <w:rPr>
          <w:rFonts w:hint="eastAsia" w:cs="微软雅黑" w:asciiTheme="majorEastAsia" w:hAnsiTheme="majorEastAsia" w:eastAsiaTheme="majorEastAsia"/>
          <w:sz w:val="24"/>
          <w:szCs w:val="24"/>
        </w:rPr>
        <w:t>个自然日。（发布媒体：行采家https://www.gec123.com）</w:t>
      </w:r>
    </w:p>
    <w:p w14:paraId="17D2192E">
      <w:pPr>
        <w:spacing w:line="500" w:lineRule="exact"/>
        <w:ind w:firstLine="240" w:firstLineChars="1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（三）询比文件售价：人民币200元/份（报名及获取询比资料时缴纳现金，售后不退）。</w:t>
      </w:r>
    </w:p>
    <w:p w14:paraId="724B2F8F">
      <w:pPr>
        <w:spacing w:line="500" w:lineRule="exact"/>
        <w:ind w:firstLine="240" w:firstLineChars="100"/>
        <w:rPr>
          <w:rFonts w:cs="微软雅黑" w:asciiTheme="majorEastAsia" w:hAnsiTheme="majorEastAsia" w:eastAsiaTheme="majorEastAsia"/>
          <w:sz w:val="22"/>
          <w:szCs w:val="22"/>
        </w:rPr>
      </w:pPr>
      <w:bookmarkStart w:id="58" w:name="_Toc29760"/>
      <w:bookmarkStart w:id="59" w:name="_Toc88830798"/>
      <w:bookmarkStart w:id="60" w:name="_Toc9920"/>
      <w:r>
        <w:rPr>
          <w:rFonts w:hint="eastAsia" w:cs="微软雅黑" w:asciiTheme="majorEastAsia" w:hAnsiTheme="majorEastAsia" w:eastAsiaTheme="majorEastAsia"/>
          <w:sz w:val="24"/>
          <w:szCs w:val="24"/>
        </w:rPr>
        <w:t>（四）询比文件的递交</w:t>
      </w:r>
      <w:bookmarkEnd w:id="58"/>
      <w:bookmarkEnd w:id="59"/>
      <w:bookmarkEnd w:id="60"/>
      <w:r>
        <w:rPr>
          <w:rFonts w:hint="eastAsia" w:cs="微软雅黑" w:asciiTheme="majorEastAsia" w:hAnsiTheme="majorEastAsia" w:eastAsiaTheme="majorEastAsia"/>
          <w:sz w:val="24"/>
          <w:szCs w:val="24"/>
        </w:rPr>
        <w:t>：询比响应文件递交截止时间2025年3月20日14时30分，递交地点为：</w:t>
      </w:r>
      <w:r>
        <w:rPr>
          <w:rFonts w:hint="eastAsia" w:cs="微软雅黑" w:asciiTheme="majorEastAsia" w:hAnsiTheme="majorEastAsia" w:eastAsiaTheme="majorEastAsia"/>
          <w:sz w:val="24"/>
          <w:szCs w:val="24"/>
          <w:u w:val="single"/>
        </w:rPr>
        <w:t>渝北区龙山街道旗山路社区办公室</w:t>
      </w:r>
      <w:r>
        <w:rPr>
          <w:rFonts w:hint="eastAsia" w:cs="微软雅黑" w:asciiTheme="majorEastAsia" w:hAnsiTheme="majorEastAsia" w:eastAsiaTheme="majorEastAsia"/>
          <w:sz w:val="22"/>
          <w:szCs w:val="22"/>
        </w:rPr>
        <w:t>。</w:t>
      </w:r>
    </w:p>
    <w:p w14:paraId="6A09A0BD">
      <w:pPr>
        <w:spacing w:line="500" w:lineRule="exact"/>
        <w:ind w:firstLine="482" w:firstLineChars="200"/>
        <w:rPr>
          <w:rFonts w:cs="微软雅黑" w:asciiTheme="majorEastAsia" w:hAnsiTheme="majorEastAsia" w:eastAsiaTheme="majorEastAsia"/>
          <w:b/>
          <w:bCs/>
          <w:sz w:val="24"/>
          <w:szCs w:val="24"/>
        </w:rPr>
      </w:pPr>
      <w:r>
        <w:rPr>
          <w:rFonts w:hint="eastAsia" w:cs="微软雅黑" w:asciiTheme="majorEastAsia" w:hAnsiTheme="majorEastAsia" w:eastAsiaTheme="majorEastAsia"/>
          <w:b/>
          <w:bCs/>
          <w:sz w:val="24"/>
          <w:szCs w:val="24"/>
        </w:rPr>
        <w:t>注:逾期送达或者未送达指定地点的询比申请文件，不予受理。</w:t>
      </w:r>
    </w:p>
    <w:p w14:paraId="2BA3386D">
      <w:pPr>
        <w:spacing w:line="500" w:lineRule="exact"/>
        <w:ind w:firstLine="480" w:firstLineChars="200"/>
        <w:rPr>
          <w:rFonts w:cs="微软雅黑" w:asciiTheme="majorEastAsia" w:hAnsiTheme="majorEastAsia" w:eastAsiaTheme="majorEastAsia"/>
          <w:b/>
          <w:bCs/>
          <w:sz w:val="24"/>
          <w:szCs w:val="24"/>
        </w:rPr>
      </w:pPr>
      <w:r>
        <w:rPr>
          <w:rFonts w:hint="eastAsia" w:cs="微软雅黑" w:asciiTheme="majorEastAsia" w:hAnsiTheme="majorEastAsia" w:eastAsiaTheme="majorEastAsia"/>
          <w:sz w:val="24"/>
          <w:szCs w:val="24"/>
        </w:rPr>
        <w:t>（五）询比地点：</w:t>
      </w:r>
      <w:r>
        <w:rPr>
          <w:rFonts w:hint="eastAsia" w:cs="微软雅黑" w:asciiTheme="majorEastAsia" w:hAnsiTheme="majorEastAsia" w:eastAsiaTheme="majorEastAsia"/>
          <w:sz w:val="24"/>
          <w:szCs w:val="24"/>
          <w:u w:val="single"/>
        </w:rPr>
        <w:t>渝北区龙山街道旗山路社区办公室</w:t>
      </w:r>
      <w:r>
        <w:rPr>
          <w:rFonts w:hint="eastAsia" w:cs="微软雅黑" w:asciiTheme="majorEastAsia" w:hAnsiTheme="majorEastAsia" w:eastAsiaTheme="majorEastAsia"/>
          <w:sz w:val="24"/>
          <w:szCs w:val="24"/>
        </w:rPr>
        <w:t>，询比开始时间：2025年3月20日14时30分。</w:t>
      </w:r>
    </w:p>
    <w:p w14:paraId="3FF51B92">
      <w:pPr>
        <w:pStyle w:val="2"/>
        <w:spacing w:line="500" w:lineRule="exact"/>
        <w:ind w:firstLine="482"/>
        <w:rPr>
          <w:rFonts w:cs="微软雅黑" w:asciiTheme="majorEastAsia" w:hAnsiTheme="majorEastAsia" w:eastAsiaTheme="majorEastAsia"/>
          <w:sz w:val="24"/>
          <w:szCs w:val="24"/>
        </w:rPr>
      </w:pPr>
      <w:bookmarkStart w:id="61" w:name="_Toc192180617"/>
      <w:bookmarkStart w:id="62" w:name="_Toc13712"/>
      <w:bookmarkStart w:id="63" w:name="_Toc14398"/>
      <w:r>
        <w:rPr>
          <w:rFonts w:hint="eastAsia" w:cs="微软雅黑" w:asciiTheme="majorEastAsia" w:hAnsiTheme="majorEastAsia" w:eastAsiaTheme="majorEastAsia"/>
          <w:sz w:val="24"/>
          <w:szCs w:val="24"/>
        </w:rPr>
        <w:t>五、询比保证金</w:t>
      </w:r>
      <w:bookmarkEnd w:id="55"/>
      <w:bookmarkEnd w:id="56"/>
      <w:bookmarkEnd w:id="57"/>
      <w:bookmarkEnd w:id="61"/>
      <w:bookmarkEnd w:id="62"/>
      <w:bookmarkEnd w:id="63"/>
    </w:p>
    <w:p w14:paraId="17F6181D">
      <w:pPr>
        <w:spacing w:line="500" w:lineRule="exact"/>
        <w:ind w:firstLine="480" w:firstLineChars="200"/>
        <w:rPr>
          <w:rFonts w:cs="微软雅黑" w:asciiTheme="majorEastAsia" w:hAnsiTheme="majorEastAsia" w:eastAsiaTheme="majorEastAsia"/>
          <w:sz w:val="24"/>
          <w:szCs w:val="24"/>
          <w:highlight w:val="none"/>
        </w:rPr>
      </w:pPr>
      <w:bookmarkStart w:id="64" w:name="_Toc47094766"/>
      <w:bookmarkStart w:id="65" w:name="_Toc23972"/>
      <w:r>
        <w:rPr>
          <w:rFonts w:hint="eastAsia" w:cs="微软雅黑" w:asciiTheme="majorEastAsia" w:hAnsiTheme="majorEastAsia" w:eastAsiaTheme="majorEastAsia"/>
          <w:sz w:val="24"/>
          <w:szCs w:val="24"/>
        </w:rPr>
        <w:t>1、供应商应足额交纳询比保证金人民币：5000元（大写：伍千元整），缴纳方式：</w:t>
      </w:r>
      <w:r>
        <w:rPr>
          <w:rFonts w:hint="eastAsia" w:cs="微软雅黑" w:asciiTheme="majorEastAsia" w:hAnsiTheme="majorEastAsia" w:eastAsiaTheme="majorEastAsia"/>
          <w:sz w:val="24"/>
          <w:szCs w:val="24"/>
          <w:highlight w:val="none"/>
        </w:rPr>
        <w:t>现金。</w:t>
      </w:r>
    </w:p>
    <w:p w14:paraId="4E2B535A">
      <w:pPr>
        <w:spacing w:line="500" w:lineRule="exact"/>
        <w:ind w:firstLine="480" w:firstLineChars="20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缴纳截止时间：2025年3月19日</w:t>
      </w:r>
      <w:r>
        <w:rPr>
          <w:rFonts w:cs="微软雅黑" w:asciiTheme="majorEastAsia" w:hAnsiTheme="majorEastAsia" w:eastAsiaTheme="majorEastAsia"/>
          <w:color w:val="auto"/>
          <w:sz w:val="24"/>
          <w:szCs w:val="24"/>
          <w:highlight w:val="none"/>
        </w:rPr>
        <w:t xml:space="preserve"> </w:t>
      </w:r>
      <w:r>
        <w:rPr>
          <w:rFonts w:hint="eastAsia" w:cs="微软雅黑" w:asciiTheme="majorEastAsia" w:hAnsiTheme="majorEastAsia" w:eastAsiaTheme="majorEastAsia"/>
          <w:color w:val="auto"/>
          <w:sz w:val="24"/>
          <w:szCs w:val="24"/>
          <w:highlight w:val="none"/>
        </w:rPr>
        <w:t>17时00分。</w:t>
      </w:r>
    </w:p>
    <w:p w14:paraId="6A695059">
      <w:pPr>
        <w:spacing w:line="500" w:lineRule="exact"/>
        <w:ind w:firstLine="480" w:firstLineChars="20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2、供应商自行将询比保证金单据同</w:t>
      </w:r>
      <w:r>
        <w:rPr>
          <w:rFonts w:hint="eastAsia" w:cs="微软雅黑" w:asciiTheme="majorEastAsia" w:hAnsiTheme="majorEastAsia" w:eastAsiaTheme="majorEastAsia"/>
          <w:color w:val="auto"/>
          <w:sz w:val="24"/>
          <w:szCs w:val="24"/>
          <w:highlight w:val="none"/>
          <w:lang w:eastAsia="zh-CN"/>
        </w:rPr>
        <w:t>响应</w:t>
      </w:r>
      <w:r>
        <w:rPr>
          <w:rFonts w:hint="eastAsia" w:cs="微软雅黑" w:asciiTheme="majorEastAsia" w:hAnsiTheme="majorEastAsia" w:eastAsiaTheme="majorEastAsia"/>
          <w:color w:val="auto"/>
          <w:sz w:val="24"/>
          <w:szCs w:val="24"/>
          <w:highlight w:val="none"/>
        </w:rPr>
        <w:t>文件一并提交，供应商未按时足额提交招询比保证金，视为自动放弃询比。</w:t>
      </w:r>
    </w:p>
    <w:p w14:paraId="3B3E6773">
      <w:pPr>
        <w:spacing w:line="500" w:lineRule="exact"/>
        <w:ind w:firstLine="480" w:firstLineChars="200"/>
        <w:outlineLvl w:val="1"/>
        <w:rPr>
          <w:rFonts w:cs="微软雅黑" w:asciiTheme="majorEastAsia" w:hAnsiTheme="majorEastAsia" w:eastAsiaTheme="majorEastAsia"/>
          <w:color w:val="auto"/>
          <w:sz w:val="24"/>
          <w:szCs w:val="24"/>
          <w:highlight w:val="none"/>
        </w:rPr>
      </w:pPr>
      <w:bookmarkStart w:id="66" w:name="_Toc192180618"/>
      <w:bookmarkStart w:id="67" w:name="_Toc18482"/>
      <w:bookmarkStart w:id="68" w:name="_Toc1648"/>
      <w:bookmarkStart w:id="69" w:name="_Toc22777"/>
      <w:bookmarkStart w:id="70" w:name="_Toc7338"/>
      <w:r>
        <w:rPr>
          <w:rFonts w:hint="eastAsia" w:cs="微软雅黑" w:asciiTheme="majorEastAsia" w:hAnsiTheme="majorEastAsia" w:eastAsiaTheme="majorEastAsia"/>
          <w:color w:val="auto"/>
          <w:sz w:val="24"/>
          <w:szCs w:val="24"/>
          <w:highlight w:val="none"/>
        </w:rPr>
        <w:t>3、询比保证金退还（不计息）：</w:t>
      </w:r>
      <w:bookmarkEnd w:id="66"/>
      <w:bookmarkEnd w:id="67"/>
      <w:bookmarkEnd w:id="68"/>
      <w:bookmarkEnd w:id="69"/>
      <w:bookmarkEnd w:id="70"/>
    </w:p>
    <w:p w14:paraId="03C7732C">
      <w:pPr>
        <w:spacing w:line="500" w:lineRule="exact"/>
        <w:ind w:firstLine="480" w:firstLineChars="200"/>
        <w:rPr>
          <w:rFonts w:cs="微软雅黑" w:asciiTheme="majorEastAsia" w:hAnsiTheme="majorEastAsia" w:eastAsiaTheme="majorEastAsia"/>
          <w:color w:val="auto"/>
          <w:sz w:val="24"/>
          <w:szCs w:val="24"/>
          <w:highlight w:val="none"/>
        </w:rPr>
      </w:pPr>
      <w:r>
        <w:rPr>
          <w:rFonts w:hint="eastAsia" w:cs="微软雅黑" w:asciiTheme="majorEastAsia" w:hAnsiTheme="majorEastAsia" w:eastAsiaTheme="majorEastAsia"/>
          <w:color w:val="auto"/>
          <w:sz w:val="24"/>
          <w:szCs w:val="24"/>
          <w:highlight w:val="none"/>
        </w:rPr>
        <w:t>（1）未成交单位的询比保证金，持保证金单据现场直接办理退还手续。</w:t>
      </w:r>
    </w:p>
    <w:bookmarkEnd w:id="19"/>
    <w:bookmarkEnd w:id="64"/>
    <w:bookmarkEnd w:id="65"/>
    <w:p w14:paraId="37ED583D">
      <w:pPr>
        <w:spacing w:line="500" w:lineRule="exact"/>
        <w:ind w:firstLine="480" w:firstLineChars="200"/>
        <w:rPr>
          <w:rFonts w:cs="微软雅黑" w:asciiTheme="majorEastAsia" w:hAnsiTheme="majorEastAsia" w:eastAsiaTheme="majorEastAsia"/>
          <w:color w:val="auto"/>
          <w:sz w:val="24"/>
          <w:szCs w:val="24"/>
          <w:highlight w:val="none"/>
        </w:rPr>
      </w:pPr>
      <w:bookmarkStart w:id="71" w:name="_Toc19057"/>
      <w:bookmarkStart w:id="72" w:name="_Toc10769"/>
      <w:bookmarkStart w:id="73" w:name="_Toc11942"/>
      <w:bookmarkStart w:id="74" w:name="_Toc47094767"/>
      <w:bookmarkStart w:id="75" w:name="_Toc26922"/>
      <w:r>
        <w:rPr>
          <w:rFonts w:hint="eastAsia" w:cs="微软雅黑" w:asciiTheme="majorEastAsia" w:hAnsiTheme="majorEastAsia" w:eastAsiaTheme="majorEastAsia"/>
          <w:color w:val="auto"/>
          <w:sz w:val="24"/>
          <w:szCs w:val="24"/>
          <w:highlight w:val="none"/>
        </w:rPr>
        <w:t>（2）成交供应商的询比保证金，在成交供应商与采购人签订合同后5个工作日内，持保证金单据到代理机构办理退还手续。</w:t>
      </w:r>
    </w:p>
    <w:p w14:paraId="23D99918">
      <w:pPr>
        <w:pStyle w:val="2"/>
        <w:spacing w:line="500" w:lineRule="exact"/>
        <w:ind w:firstLine="482"/>
        <w:rPr>
          <w:rFonts w:cs="微软雅黑" w:asciiTheme="majorEastAsia" w:hAnsiTheme="majorEastAsia" w:eastAsiaTheme="majorEastAsia"/>
          <w:sz w:val="24"/>
          <w:szCs w:val="24"/>
        </w:rPr>
      </w:pPr>
      <w:bookmarkStart w:id="76" w:name="_Toc192180619"/>
      <w:r>
        <w:rPr>
          <w:rFonts w:hint="eastAsia" w:cs="微软雅黑" w:asciiTheme="majorEastAsia" w:hAnsiTheme="majorEastAsia" w:eastAsiaTheme="majorEastAsia"/>
          <w:sz w:val="24"/>
          <w:szCs w:val="24"/>
        </w:rPr>
        <w:t>六、</w:t>
      </w:r>
      <w:bookmarkEnd w:id="71"/>
      <w:bookmarkEnd w:id="72"/>
      <w:bookmarkEnd w:id="73"/>
      <w:r>
        <w:rPr>
          <w:rFonts w:hint="eastAsia" w:cs="微软雅黑" w:asciiTheme="majorEastAsia" w:hAnsiTheme="majorEastAsia" w:eastAsiaTheme="majorEastAsia"/>
          <w:sz w:val="24"/>
          <w:szCs w:val="24"/>
        </w:rPr>
        <w:t>采购代理服务费</w:t>
      </w:r>
      <w:bookmarkEnd w:id="76"/>
    </w:p>
    <w:p w14:paraId="0B7B1E52">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采购代理服务费：1600.00元(大写：壹仟陆佰元整)。</w:t>
      </w:r>
    </w:p>
    <w:p w14:paraId="097AFE10">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由成交供应商领取成交通知书时一次性支付给代理机构。</w:t>
      </w:r>
    </w:p>
    <w:p w14:paraId="6C03DAB9">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采购代理服务费缴纳账户：</w:t>
      </w:r>
    </w:p>
    <w:p w14:paraId="3DAFA658">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开户名：重庆昕笛枫建设工程咨询有限公司</w:t>
      </w:r>
    </w:p>
    <w:p w14:paraId="1BA93F73">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开户行：中国建设银行股份有限公司重庆市分行营业部</w:t>
      </w:r>
    </w:p>
    <w:p w14:paraId="2ED5DC19">
      <w:pPr>
        <w:spacing w:line="500" w:lineRule="exact"/>
        <w:ind w:firstLine="480" w:firstLineChars="2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账   号：50050133360000005164</w:t>
      </w:r>
    </w:p>
    <w:p w14:paraId="356CD0FB">
      <w:pPr>
        <w:pStyle w:val="2"/>
        <w:spacing w:line="500" w:lineRule="exact"/>
        <w:ind w:firstLine="482"/>
        <w:rPr>
          <w:rFonts w:cs="微软雅黑" w:asciiTheme="majorEastAsia" w:hAnsiTheme="majorEastAsia" w:eastAsiaTheme="majorEastAsia"/>
          <w:sz w:val="24"/>
          <w:szCs w:val="24"/>
        </w:rPr>
      </w:pPr>
      <w:bookmarkStart w:id="77" w:name="_Toc30964"/>
      <w:bookmarkStart w:id="78" w:name="_Toc192180620"/>
      <w:bookmarkStart w:id="79" w:name="_Toc9019"/>
      <w:r>
        <w:rPr>
          <w:rFonts w:hint="eastAsia" w:cs="微软雅黑" w:asciiTheme="majorEastAsia" w:hAnsiTheme="majorEastAsia" w:eastAsiaTheme="majorEastAsia"/>
          <w:sz w:val="24"/>
          <w:szCs w:val="24"/>
        </w:rPr>
        <w:t>七、联系方式</w:t>
      </w:r>
      <w:bookmarkEnd w:id="74"/>
      <w:bookmarkEnd w:id="75"/>
      <w:bookmarkEnd w:id="77"/>
      <w:bookmarkEnd w:id="78"/>
      <w:bookmarkEnd w:id="79"/>
    </w:p>
    <w:p w14:paraId="2A36CBCA">
      <w:pPr>
        <w:snapToGrid w:val="0"/>
        <w:spacing w:line="500" w:lineRule="exact"/>
        <w:ind w:firstLine="480" w:firstLineChars="200"/>
        <w:rPr>
          <w:rFonts w:cs="微软雅黑" w:asciiTheme="majorEastAsia" w:hAnsiTheme="majorEastAsia" w:eastAsiaTheme="majorEastAsia"/>
          <w:sz w:val="24"/>
          <w:szCs w:val="24"/>
        </w:rPr>
      </w:pPr>
      <w:bookmarkStart w:id="80" w:name="_Toc22296"/>
      <w:bookmarkStart w:id="81" w:name="_Toc6584"/>
      <w:bookmarkStart w:id="82" w:name="_Toc29063"/>
      <w:bookmarkStart w:id="83" w:name="_Toc4894"/>
      <w:r>
        <w:rPr>
          <w:rFonts w:hint="eastAsia" w:cs="微软雅黑" w:asciiTheme="majorEastAsia" w:hAnsiTheme="majorEastAsia" w:eastAsiaTheme="majorEastAsia"/>
          <w:sz w:val="24"/>
          <w:szCs w:val="24"/>
        </w:rPr>
        <w:t>（一）</w:t>
      </w:r>
      <w:bookmarkEnd w:id="80"/>
      <w:bookmarkEnd w:id="81"/>
      <w:bookmarkEnd w:id="82"/>
      <w:bookmarkEnd w:id="83"/>
      <w:r>
        <w:rPr>
          <w:rFonts w:hint="eastAsia" w:cs="微软雅黑" w:asciiTheme="majorEastAsia" w:hAnsiTheme="majorEastAsia" w:eastAsiaTheme="majorEastAsia"/>
          <w:sz w:val="24"/>
          <w:szCs w:val="24"/>
        </w:rPr>
        <w:t>采购人：重庆市渝北区龙发物业管理股份有限公司第二分公司</w:t>
      </w:r>
      <w:r>
        <w:rPr>
          <w:rFonts w:hint="eastAsia" w:cs="微软雅黑" w:asciiTheme="majorEastAsia" w:hAnsiTheme="majorEastAsia" w:eastAsiaTheme="majorEastAsia"/>
          <w:sz w:val="24"/>
          <w:szCs w:val="24"/>
        </w:rPr>
        <w:tab/>
      </w:r>
    </w:p>
    <w:p w14:paraId="0FDDC1B5">
      <w:pPr>
        <w:snapToGrid w:val="0"/>
        <w:spacing w:line="500" w:lineRule="exact"/>
        <w:ind w:firstLine="1200" w:firstLineChars="5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联系人：李老师</w:t>
      </w:r>
    </w:p>
    <w:p w14:paraId="123F97C3">
      <w:pPr>
        <w:snapToGrid w:val="0"/>
        <w:spacing w:line="500" w:lineRule="exact"/>
        <w:ind w:firstLine="1200" w:firstLineChars="5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 xml:space="preserve">电  话：67534597 </w:t>
      </w:r>
    </w:p>
    <w:p w14:paraId="3FC61E95">
      <w:pPr>
        <w:snapToGrid w:val="0"/>
        <w:spacing w:line="500" w:lineRule="exact"/>
        <w:ind w:firstLine="1200" w:firstLineChars="5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地  址：重庆市渝北区天竺路渝景大厦小区</w:t>
      </w:r>
    </w:p>
    <w:p w14:paraId="27271824">
      <w:pPr>
        <w:snapToGrid w:val="0"/>
        <w:spacing w:line="500" w:lineRule="exact"/>
        <w:ind w:firstLine="480" w:firstLineChars="200"/>
        <w:outlineLvl w:val="1"/>
        <w:rPr>
          <w:rFonts w:cs="微软雅黑" w:asciiTheme="majorEastAsia" w:hAnsiTheme="majorEastAsia" w:eastAsiaTheme="majorEastAsia"/>
          <w:sz w:val="24"/>
          <w:szCs w:val="24"/>
        </w:rPr>
      </w:pPr>
      <w:bookmarkStart w:id="84" w:name="_Toc28511"/>
      <w:bookmarkStart w:id="85" w:name="_Toc21457"/>
      <w:bookmarkStart w:id="86" w:name="_Toc12533"/>
      <w:bookmarkStart w:id="87" w:name="_Toc31665"/>
      <w:bookmarkStart w:id="88" w:name="_Toc192180621"/>
      <w:r>
        <w:rPr>
          <w:rFonts w:hint="eastAsia" w:cs="微软雅黑" w:asciiTheme="majorEastAsia" w:hAnsiTheme="majorEastAsia" w:eastAsiaTheme="majorEastAsia"/>
          <w:sz w:val="24"/>
          <w:szCs w:val="24"/>
        </w:rPr>
        <w:t>（二）采购代理机构：</w:t>
      </w:r>
      <w:bookmarkEnd w:id="84"/>
      <w:bookmarkEnd w:id="85"/>
      <w:bookmarkEnd w:id="86"/>
      <w:bookmarkEnd w:id="87"/>
      <w:bookmarkEnd w:id="88"/>
      <w:r>
        <w:rPr>
          <w:rFonts w:hint="eastAsia" w:cs="微软雅黑" w:asciiTheme="majorEastAsia" w:hAnsiTheme="majorEastAsia" w:eastAsiaTheme="majorEastAsia"/>
          <w:sz w:val="24"/>
          <w:szCs w:val="24"/>
        </w:rPr>
        <w:t>重庆昕笛枫建设工程咨询有限公司</w:t>
      </w:r>
    </w:p>
    <w:p w14:paraId="3FF83F7E">
      <w:pPr>
        <w:snapToGrid w:val="0"/>
        <w:spacing w:line="500" w:lineRule="exact"/>
        <w:ind w:firstLine="1200" w:firstLineChars="5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联系人：陈老师</w:t>
      </w:r>
    </w:p>
    <w:p w14:paraId="622B9D40">
      <w:pPr>
        <w:snapToGrid w:val="0"/>
        <w:spacing w:line="500" w:lineRule="exact"/>
        <w:ind w:firstLine="1200" w:firstLineChars="500"/>
        <w:rPr>
          <w:rFonts w:cs="微软雅黑" w:asciiTheme="majorEastAsia" w:hAnsiTheme="majorEastAsia" w:eastAsiaTheme="majorEastAsia"/>
          <w:sz w:val="24"/>
          <w:szCs w:val="24"/>
        </w:rPr>
      </w:pPr>
      <w:r>
        <w:rPr>
          <w:rFonts w:hint="eastAsia" w:cs="微软雅黑" w:asciiTheme="majorEastAsia" w:hAnsiTheme="majorEastAsia" w:eastAsiaTheme="majorEastAsia"/>
          <w:sz w:val="24"/>
          <w:szCs w:val="24"/>
        </w:rPr>
        <w:t>电  话：18983123796</w:t>
      </w:r>
    </w:p>
    <w:p w14:paraId="51FAC6CE">
      <w:pPr>
        <w:snapToGrid w:val="0"/>
        <w:spacing w:line="500" w:lineRule="exact"/>
        <w:ind w:firstLine="1200" w:firstLineChars="500"/>
        <w:rPr>
          <w:rFonts w:cs="微软雅黑" w:asciiTheme="majorEastAsia" w:hAnsiTheme="majorEastAsia" w:eastAsiaTheme="majorEastAsia"/>
          <w:sz w:val="24"/>
          <w:szCs w:val="24"/>
          <w:highlight w:val="yellow"/>
        </w:rPr>
        <w:sectPr>
          <w:headerReference r:id="rId5" w:type="first"/>
          <w:headerReference r:id="rId3" w:type="default"/>
          <w:footerReference r:id="rId6" w:type="default"/>
          <w:headerReference r:id="rId4" w:type="even"/>
          <w:pgSz w:w="11906" w:h="16838"/>
          <w:pgMar w:top="1440" w:right="1803" w:bottom="1440" w:left="1803" w:header="851" w:footer="992" w:gutter="0"/>
          <w:pgNumType w:fmt="numberInDash" w:start="1"/>
          <w:cols w:space="0" w:num="1"/>
          <w:docGrid w:type="lines" w:linePitch="319" w:charSpace="0"/>
        </w:sectPr>
      </w:pPr>
      <w:r>
        <w:rPr>
          <w:rFonts w:hint="eastAsia" w:cs="微软雅黑" w:asciiTheme="majorEastAsia" w:hAnsiTheme="majorEastAsia" w:eastAsiaTheme="majorEastAsia"/>
          <w:sz w:val="24"/>
          <w:szCs w:val="24"/>
        </w:rPr>
        <w:t>地  址：渝北区龙溪街道松桥支路1号世纪财富星座1幢12</w:t>
      </w:r>
    </w:p>
    <w:p w14:paraId="1F5157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CF87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a:effectLst/>
                    </wps:spPr>
                    <wps:txbx>
                      <w:txbxContent>
                        <w:p w14:paraId="7FFFB7E9">
                          <w:pPr>
                            <w:pStyle w:val="3"/>
                            <w:tabs>
                              <w:tab w:val="center" w:pos="3322"/>
                              <w:tab w:val="right" w:pos="6644"/>
                              <w:tab w:val="clear" w:pos="4153"/>
                              <w:tab w:val="clear" w:pos="8306"/>
                            </w:tabs>
                          </w:pPr>
                          <w:r>
                            <w:fldChar w:fldCharType="begin"/>
                          </w:r>
                          <w:r>
                            <w:instrText xml:space="preserve"> PAGE  \* MERGEFORMAT </w:instrText>
                          </w:r>
                          <w:r>
                            <w:fldChar w:fldCharType="separate"/>
                          </w:r>
                          <w:r>
                            <w:t>- 4 -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pFnrHQAAAAAwEAAA8AAAAAAAAAAQAgAAAAIgAAAGRycy9kb3ducmV2&#10;LnhtbFBLAQIUABQAAAAIAIdO4kAAqnywywEAAJkDAAAOAAAAAAAAAAEAIAAAAB8BAABkcnMvZTJv&#10;RG9jLnhtbFBLBQYAAAAABgAGAFkBAABcBQAAAAA=&#10;">
              <v:fill on="f" focussize="0,0"/>
              <v:stroke on="f"/>
              <v:imagedata o:title=""/>
              <o:lock v:ext="edit" aspectratio="f"/>
              <v:textbox inset="0mm,0mm,0mm,0mm" style="mso-fit-shape-to-text:t;">
                <w:txbxContent>
                  <w:p w14:paraId="7FFFB7E9">
                    <w:pPr>
                      <w:pStyle w:val="3"/>
                      <w:tabs>
                        <w:tab w:val="center" w:pos="3322"/>
                        <w:tab w:val="right" w:pos="6644"/>
                        <w:tab w:val="clear" w:pos="4153"/>
                        <w:tab w:val="clear" w:pos="8306"/>
                      </w:tabs>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7CB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D531D">
    <w:pPr>
      <w:pStyle w:val="4"/>
    </w:pPr>
    <w: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align>top</wp:align>
              </wp:positionV>
              <wp:extent cx="909320" cy="307340"/>
              <wp:effectExtent l="0" t="0" r="0" b="0"/>
              <wp:wrapNone/>
              <wp:docPr id="617959299" name="文本框 617959299" descr="KONE Internal"/>
              <wp:cNvGraphicFramePr/>
              <a:graphic xmlns:a="http://schemas.openxmlformats.org/drawingml/2006/main">
                <a:graphicData uri="http://schemas.microsoft.com/office/word/2010/wordprocessingShape">
                  <wps:wsp>
                    <wps:cNvSpPr txBox="1"/>
                    <wps:spPr>
                      <a:xfrm>
                        <a:off x="0" y="0"/>
                        <a:ext cx="909320" cy="307340"/>
                      </a:xfrm>
                      <a:prstGeom prst="rect">
                        <a:avLst/>
                      </a:prstGeom>
                      <a:noFill/>
                      <a:ln>
                        <a:noFill/>
                      </a:ln>
                      <a:effectLst/>
                    </wps:spPr>
                    <wps:txbx>
                      <w:txbxContent>
                        <w:p w14:paraId="4E261094">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24.2pt;width:71.6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uX1Rq1gAAAAQBAAAPAAAA&#10;AAAAAAEAIAAAACIAAABkcnMvZG93bnJldi54bWxQSwECFAAUAAAACACHTuJA3yv9flACAACIBAAA&#10;DgAAAAAAAAABACAAAAAlAQAAZHJzL2Uyb0RvYy54bWxQSwUGAAAAAAYABgBZAQAA5wUAAAAA&#10;">
              <v:fill on="f" focussize="0,0"/>
              <v:stroke on="f"/>
              <v:imagedata o:title=""/>
              <o:lock v:ext="edit" aspectratio="f"/>
              <v:textbox inset="0mm,15pt,20pt,0mm" style="mso-fit-shape-to-text:t;">
                <w:txbxContent>
                  <w:p w14:paraId="4E261094">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398A">
    <w:pPr>
      <w:pStyle w:val="4"/>
    </w:pPr>
    <w: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909320" cy="307340"/>
              <wp:effectExtent l="0" t="0" r="0" b="0"/>
              <wp:wrapNone/>
              <wp:docPr id="561852554" name="文本框 561852554" descr="KONE Internal"/>
              <wp:cNvGraphicFramePr/>
              <a:graphic xmlns:a="http://schemas.openxmlformats.org/drawingml/2006/main">
                <a:graphicData uri="http://schemas.microsoft.com/office/word/2010/wordprocessingShape">
                  <wps:wsp>
                    <wps:cNvSpPr txBox="1"/>
                    <wps:spPr>
                      <a:xfrm>
                        <a:off x="0" y="0"/>
                        <a:ext cx="909320" cy="307340"/>
                      </a:xfrm>
                      <a:prstGeom prst="rect">
                        <a:avLst/>
                      </a:prstGeom>
                      <a:noFill/>
                      <a:ln>
                        <a:noFill/>
                      </a:ln>
                      <a:effectLst/>
                    </wps:spPr>
                    <wps:txbx>
                      <w:txbxContent>
                        <w:p w14:paraId="1476EE54">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24.2pt;width:71.6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uX1Rq1gAAAAQBAAAPAAAA&#10;AAAAAAEAIAAAACIAAABkcnMvZG93bnJldi54bWxQSwECFAAUAAAACACHTuJAMWm3n1ACAACIBAAA&#10;DgAAAAAAAAABACAAAAAlAQAAZHJzL2Uyb0RvYy54bWxQSwUGAAAAAAYABgBZAQAA5wUAAAAA&#10;">
              <v:fill on="f" focussize="0,0"/>
              <v:stroke on="f"/>
              <v:imagedata o:title=""/>
              <o:lock v:ext="edit" aspectratio="f"/>
              <v:textbox inset="0mm,15pt,20pt,0mm" style="mso-fit-shape-to-text:t;">
                <w:txbxContent>
                  <w:p w14:paraId="1476EE54">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F93"/>
    <w:multiLevelType w:val="singleLevel"/>
    <w:tmpl w:val="9C473F93"/>
    <w:lvl w:ilvl="0" w:tentative="0">
      <w:start w:val="1"/>
      <w:numFmt w:val="chineseCounting"/>
      <w:suff w:val="nothing"/>
      <w:lvlText w:val="（%1）"/>
      <w:lvlJc w:val="left"/>
      <w:rPr>
        <w:rFonts w:hint="eastAsia"/>
      </w:rPr>
    </w:lvl>
  </w:abstractNum>
  <w:abstractNum w:abstractNumId="1">
    <w:nsid w:val="B81BDEFE"/>
    <w:multiLevelType w:val="singleLevel"/>
    <w:tmpl w:val="B81BDEFE"/>
    <w:lvl w:ilvl="0" w:tentative="0">
      <w:start w:val="4"/>
      <w:numFmt w:val="chineseCounting"/>
      <w:suff w:val="nothing"/>
      <w:lvlText w:val="%1、"/>
      <w:lvlJc w:val="left"/>
      <w:rPr>
        <w:rFonts w:hint="eastAsia"/>
      </w:rPr>
    </w:lvl>
  </w:abstractNum>
  <w:abstractNum w:abstractNumId="2">
    <w:nsid w:val="F7EA3A41"/>
    <w:multiLevelType w:val="singleLevel"/>
    <w:tmpl w:val="F7EA3A41"/>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7731F"/>
    <w:rsid w:val="68BE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2031</Words>
  <Characters>2167</Characters>
  <Lines>0</Lines>
  <Paragraphs>0</Paragraphs>
  <TotalTime>1</TotalTime>
  <ScaleCrop>false</ScaleCrop>
  <LinksUpToDate>false</LinksUpToDate>
  <CharactersWithSpaces>2189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2025-03-15T03:53:00Z</dcterms:created>
  <dc:creator>admin</dc:creator>
  <cp:lastModifiedBy>admin</cp:lastModifiedBy>
  <dcterms:modified xsi:type="dcterms:W3CDTF">2025-03-15T04:03:28Z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eyJoZGlkIjoiMTY2NmE4YmRlNzcxNjUwZjI1MmZlYzA3ZDYxM2ZiZWMifQ==</vt:lpwstr>
  </property>
  <property fmtid="{D5CDD505-2E9C-101B-9397-08002B2CF9AE}" pid="4" name="ICV">
    <vt:lpwstr>9FD4A598C96C4834A30E862626C16EC2_12</vt:lpwstr>
  </property>
</Properties>
</file>