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Times New Roman" w:hAnsi="Times New Roman" w:cs="Times New Roman"/>
          <w:color w:val="auto"/>
        </w:rPr>
      </w:pPr>
      <w:r>
        <w:rPr>
          <w:rFonts w:hint="default" w:ascii="Times New Roman" w:hAnsi="Times New Roman" w:eastAsia="方正小标宋_GBK" w:cs="Times New Roman"/>
          <w:color w:val="auto"/>
          <w:sz w:val="44"/>
          <w:szCs w:val="44"/>
        </w:rPr>
        <w:t>重庆市红十字会医院（江北区人民医院）</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eastAsia" w:eastAsia="方正小标宋_GBK" w:cs="Times New Roman"/>
          <w:color w:val="auto"/>
          <w:sz w:val="44"/>
          <w:szCs w:val="44"/>
          <w:highlight w:val="none"/>
          <w:lang w:val="en-US" w:eastAsia="zh-CN"/>
        </w:rPr>
        <w:t>竞争性磋商</w:t>
      </w:r>
      <w:r>
        <w:rPr>
          <w:rFonts w:hint="default" w:ascii="Times New Roman" w:hAnsi="Times New Roman" w:eastAsia="方正小标宋_GBK" w:cs="Times New Roman"/>
          <w:color w:val="auto"/>
          <w:sz w:val="44"/>
          <w:szCs w:val="44"/>
          <w:lang w:val="en-US" w:eastAsia="zh-CN"/>
        </w:rPr>
        <w:t>采</w:t>
      </w:r>
      <w:r>
        <w:rPr>
          <w:rFonts w:hint="default" w:ascii="Times New Roman" w:hAnsi="Times New Roman" w:eastAsia="方正小标宋_GBK" w:cs="Times New Roman"/>
          <w:color w:val="auto"/>
          <w:kern w:val="2"/>
          <w:sz w:val="44"/>
          <w:szCs w:val="44"/>
          <w:lang w:val="en-US" w:eastAsia="zh-CN" w:bidi="ar-SA"/>
        </w:rPr>
        <w:t>购文件</w:t>
      </w:r>
    </w:p>
    <w:p>
      <w:pPr>
        <w:spacing w:line="600" w:lineRule="exact"/>
        <w:outlineLvl w:val="0"/>
        <w:rPr>
          <w:rFonts w:hint="default" w:ascii="Times New Roman" w:hAnsi="Times New Roman" w:eastAsia="黑体" w:cs="Times New Roman"/>
          <w:color w:val="auto"/>
          <w:sz w:val="52"/>
        </w:rPr>
      </w:pPr>
    </w:p>
    <w:p>
      <w:pPr>
        <w:spacing w:line="600" w:lineRule="exact"/>
        <w:outlineLvl w:val="0"/>
        <w:rPr>
          <w:rFonts w:hint="default" w:ascii="Times New Roman" w:hAnsi="Times New Roman" w:eastAsia="黑体" w:cs="Times New Roman"/>
          <w:color w:val="auto"/>
          <w:sz w:val="52"/>
        </w:rPr>
      </w:pPr>
    </w:p>
    <w:p>
      <w:pPr>
        <w:spacing w:line="600" w:lineRule="exact"/>
        <w:outlineLvl w:val="0"/>
        <w:rPr>
          <w:rFonts w:hint="default" w:ascii="Times New Roman" w:hAnsi="Times New Roman" w:eastAsia="黑体" w:cs="Times New Roman"/>
          <w:color w:val="auto"/>
          <w:sz w:val="52"/>
        </w:rPr>
      </w:pPr>
    </w:p>
    <w:p>
      <w:pPr>
        <w:spacing w:line="600" w:lineRule="exact"/>
        <w:outlineLvl w:val="0"/>
        <w:rPr>
          <w:rFonts w:hint="default" w:ascii="Times New Roman" w:hAnsi="Times New Roman" w:eastAsia="黑体" w:cs="Times New Roman"/>
          <w:color w:val="auto"/>
          <w:sz w:val="52"/>
        </w:rPr>
      </w:pPr>
    </w:p>
    <w:p>
      <w:pPr>
        <w:spacing w:line="600" w:lineRule="exact"/>
        <w:outlineLvl w:val="0"/>
        <w:rPr>
          <w:rFonts w:hint="default" w:ascii="Times New Roman" w:hAnsi="Times New Roman" w:eastAsia="黑体" w:cs="Times New Roman"/>
          <w:color w:val="auto"/>
          <w:sz w:val="52"/>
        </w:rPr>
      </w:pPr>
    </w:p>
    <w:p>
      <w:pPr>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autoSpaceDN/>
        <w:bidi w:val="0"/>
        <w:adjustRightInd/>
        <w:spacing w:line="480" w:lineRule="exact"/>
        <w:ind w:firstLine="960" w:firstLineChars="300"/>
        <w:jc w:val="both"/>
        <w:textAlignment w:val="auto"/>
        <w:outlineLvl w:val="0"/>
        <w:rPr>
          <w:rFonts w:hint="eastAsia" w:ascii="Times New Roman" w:hAnsi="Times New Roman" w:eastAsia="方正小标宋_GBK" w:cs="Times New Roman"/>
          <w:b/>
          <w:color w:val="auto"/>
          <w:sz w:val="32"/>
          <w:highlight w:val="none"/>
          <w:lang w:eastAsia="zh-CN"/>
        </w:rPr>
      </w:pPr>
      <w:r>
        <w:rPr>
          <w:rFonts w:hint="default" w:ascii="Times New Roman" w:hAnsi="Times New Roman" w:eastAsia="方正小标宋_GBK" w:cs="Times New Roman"/>
          <w:color w:val="auto"/>
          <w:sz w:val="32"/>
          <w:szCs w:val="32"/>
          <w:highlight w:val="none"/>
        </w:rPr>
        <w:t>采购文件编号</w:t>
      </w:r>
      <w:r>
        <w:rPr>
          <w:rFonts w:hint="default" w:ascii="Times New Roman" w:hAnsi="Times New Roman" w:eastAsia="仿宋" w:cs="Times New Roman"/>
          <w:b/>
          <w:color w:val="auto"/>
          <w:sz w:val="32"/>
          <w:highlight w:val="none"/>
        </w:rPr>
        <w:t>：</w:t>
      </w:r>
      <w:r>
        <w:rPr>
          <w:rFonts w:hint="default" w:ascii="Times New Roman" w:hAnsi="Times New Roman" w:eastAsia="方正小标宋_GBK" w:cs="Times New Roman"/>
          <w:color w:val="auto"/>
          <w:sz w:val="32"/>
          <w:szCs w:val="32"/>
          <w:highlight w:val="none"/>
        </w:rPr>
        <w:t>HHYY-</w:t>
      </w:r>
      <w:r>
        <w:rPr>
          <w:rFonts w:hint="eastAsia" w:eastAsia="方正小标宋_GBK" w:cs="Times New Roman"/>
          <w:color w:val="auto"/>
          <w:sz w:val="32"/>
          <w:szCs w:val="32"/>
          <w:highlight w:val="none"/>
          <w:lang w:val="en-US" w:eastAsia="zh-CN"/>
        </w:rPr>
        <w:t>HQBZ</w:t>
      </w:r>
      <w:r>
        <w:rPr>
          <w:rFonts w:hint="default" w:ascii="Times New Roman" w:hAnsi="Times New Roman" w:eastAsia="方正小标宋_GBK" w:cs="Times New Roman"/>
          <w:color w:val="auto"/>
          <w:sz w:val="32"/>
          <w:szCs w:val="32"/>
          <w:highlight w:val="none"/>
        </w:rPr>
        <w:t>-</w:t>
      </w:r>
      <w:r>
        <w:rPr>
          <w:rFonts w:hint="eastAsia" w:eastAsia="方正小标宋_GBK" w:cs="Times New Roman"/>
          <w:color w:val="auto"/>
          <w:sz w:val="32"/>
          <w:szCs w:val="32"/>
          <w:highlight w:val="none"/>
          <w:lang w:val="en-US" w:eastAsia="zh-CN"/>
        </w:rPr>
        <w:t>FW</w:t>
      </w:r>
      <w:r>
        <w:rPr>
          <w:rFonts w:hint="default" w:ascii="Times New Roman" w:hAnsi="Times New Roman" w:eastAsia="方正小标宋_GBK" w:cs="Times New Roman"/>
          <w:color w:val="auto"/>
          <w:sz w:val="32"/>
          <w:szCs w:val="32"/>
          <w:highlight w:val="none"/>
        </w:rPr>
        <w:t>-202</w:t>
      </w:r>
      <w:r>
        <w:rPr>
          <w:rFonts w:hint="default" w:ascii="Times New Roman" w:hAnsi="Times New Roman" w:eastAsia="方正小标宋_GBK" w:cs="Times New Roman"/>
          <w:color w:val="auto"/>
          <w:sz w:val="32"/>
          <w:szCs w:val="32"/>
          <w:highlight w:val="none"/>
          <w:lang w:val="en-US" w:eastAsia="zh-CN"/>
        </w:rPr>
        <w:t>5</w:t>
      </w:r>
      <w:r>
        <w:rPr>
          <w:rFonts w:hint="default" w:ascii="Times New Roman" w:hAnsi="Times New Roman" w:eastAsia="方正小标宋_GBK" w:cs="Times New Roman"/>
          <w:color w:val="auto"/>
          <w:sz w:val="32"/>
          <w:szCs w:val="32"/>
          <w:highlight w:val="none"/>
        </w:rPr>
        <w:t>-0</w:t>
      </w:r>
      <w:r>
        <w:rPr>
          <w:rFonts w:hint="eastAsia" w:eastAsia="方正小标宋_GBK" w:cs="Times New Roman"/>
          <w:color w:val="auto"/>
          <w:sz w:val="32"/>
          <w:szCs w:val="32"/>
          <w:highlight w:val="none"/>
          <w:lang w:val="en-US" w:eastAsia="zh-CN"/>
        </w:rPr>
        <w:t>07</w:t>
      </w:r>
      <w:r>
        <w:rPr>
          <w:rFonts w:hint="default" w:ascii="Times New Roman" w:hAnsi="Times New Roman" w:eastAsia="方正小标宋_GBK" w:cs="Times New Roman"/>
          <w:color w:val="auto"/>
          <w:sz w:val="32"/>
          <w:szCs w:val="32"/>
          <w:highlight w:val="none"/>
        </w:rPr>
        <w:t>-0</w:t>
      </w:r>
      <w:r>
        <w:rPr>
          <w:rFonts w:hint="eastAsia" w:eastAsia="方正小标宋_GBK" w:cs="Times New Roman"/>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pacing w:line="480" w:lineRule="exact"/>
        <w:ind w:firstLine="960" w:firstLineChars="300"/>
        <w:jc w:val="both"/>
        <w:textAlignment w:val="auto"/>
        <w:outlineLvl w:val="0"/>
        <w:rPr>
          <w:rFonts w:hint="default" w:eastAsia="方正小标宋_GBK" w:cs="Times New Roman"/>
          <w:color w:val="auto"/>
          <w:sz w:val="32"/>
          <w:szCs w:val="32"/>
          <w:highlight w:val="none"/>
          <w:lang w:val="en-US" w:eastAsia="zh-CN"/>
        </w:rPr>
      </w:pPr>
      <w:r>
        <w:rPr>
          <w:rFonts w:hint="default" w:ascii="Times New Roman" w:hAnsi="Times New Roman" w:eastAsia="方正小标宋_GBK" w:cs="Times New Roman"/>
          <w:color w:val="auto"/>
          <w:sz w:val="32"/>
          <w:szCs w:val="32"/>
          <w:highlight w:val="none"/>
        </w:rPr>
        <w:t>项目名称：</w:t>
      </w:r>
      <w:bookmarkStart w:id="0" w:name="_Hlk204286999"/>
      <w:r>
        <w:rPr>
          <w:rFonts w:hint="eastAsia" w:eastAsia="方正小标宋_GBK" w:cs="Times New Roman"/>
          <w:color w:val="auto"/>
          <w:sz w:val="32"/>
          <w:szCs w:val="32"/>
          <w:highlight w:val="none"/>
          <w:lang w:val="en-US" w:eastAsia="zh-CN"/>
        </w:rPr>
        <w:t>观音桥院区供应室脉动真空灭菌器</w:t>
      </w:r>
      <w:bookmarkEnd w:id="0"/>
      <w:r>
        <w:rPr>
          <w:rFonts w:hint="eastAsia" w:eastAsia="方正小标宋_GBK" w:cs="Times New Roman"/>
          <w:color w:val="auto"/>
          <w:sz w:val="32"/>
          <w:szCs w:val="32"/>
          <w:highlight w:val="none"/>
          <w:lang w:val="en-US" w:eastAsia="zh-CN"/>
        </w:rPr>
        <w:t>维保</w:t>
      </w:r>
      <w:r>
        <w:rPr>
          <w:rFonts w:hint="default" w:eastAsia="方正小标宋_GBK" w:cs="Times New Roman"/>
          <w:color w:val="auto"/>
          <w:sz w:val="32"/>
          <w:szCs w:val="32"/>
          <w:highlight w:val="none"/>
          <w:lang w:val="en-US" w:eastAsia="zh-CN"/>
        </w:rPr>
        <w:t>服务</w:t>
      </w:r>
    </w:p>
    <w:p>
      <w:pPr>
        <w:ind w:firstLine="1920" w:firstLineChars="600"/>
        <w:rPr>
          <w:rFonts w:hint="default" w:ascii="Times New Roman" w:hAnsi="Times New Roman" w:eastAsia="仿宋" w:cs="Times New Roman"/>
          <w:color w:val="auto"/>
          <w:sz w:val="32"/>
          <w:szCs w:val="32"/>
          <w:highlight w:val="yellow"/>
        </w:rPr>
      </w:pPr>
    </w:p>
    <w:p>
      <w:pPr>
        <w:ind w:firstLine="1920" w:firstLineChars="600"/>
        <w:rPr>
          <w:rFonts w:hint="default" w:ascii="Times New Roman" w:hAnsi="Times New Roman" w:eastAsia="仿宋" w:cs="Times New Roman"/>
          <w:color w:val="auto"/>
          <w:sz w:val="32"/>
          <w:szCs w:val="32"/>
        </w:rPr>
      </w:pPr>
      <w:bookmarkStart w:id="56" w:name="_GoBack"/>
      <w:bookmarkEnd w:id="56"/>
    </w:p>
    <w:p>
      <w:pPr>
        <w:rPr>
          <w:rFonts w:hint="default" w:ascii="Times New Roman" w:hAnsi="Times New Roman" w:eastAsia="仿宋" w:cs="Times New Roman"/>
          <w:color w:val="auto"/>
          <w:sz w:val="32"/>
          <w:szCs w:val="32"/>
          <w:lang w:val="en-US"/>
        </w:rPr>
      </w:pPr>
    </w:p>
    <w:p>
      <w:pPr>
        <w:ind w:firstLine="1920" w:firstLineChars="600"/>
        <w:rPr>
          <w:rFonts w:hint="default" w:ascii="Times New Roman" w:hAnsi="Times New Roman" w:eastAsia="仿宋" w:cs="Times New Roman"/>
          <w:color w:val="auto"/>
          <w:sz w:val="32"/>
          <w:szCs w:val="32"/>
        </w:rPr>
      </w:pPr>
    </w:p>
    <w:p>
      <w:pPr>
        <w:ind w:firstLine="1920" w:firstLineChars="600"/>
        <w:rPr>
          <w:rFonts w:hint="default" w:ascii="Times New Roman" w:hAnsi="Times New Roman" w:eastAsia="仿宋" w:cs="Times New Roman"/>
          <w:color w:val="auto"/>
          <w:sz w:val="32"/>
          <w:szCs w:val="32"/>
        </w:rPr>
      </w:pPr>
    </w:p>
    <w:p>
      <w:pPr>
        <w:ind w:firstLine="1920" w:firstLineChars="600"/>
        <w:rPr>
          <w:rFonts w:hint="default" w:ascii="Times New Roman" w:hAnsi="Times New Roman" w:eastAsia="仿宋" w:cs="Times New Roman"/>
          <w:color w:val="auto"/>
          <w:sz w:val="32"/>
          <w:szCs w:val="32"/>
        </w:rPr>
      </w:pPr>
    </w:p>
    <w:p>
      <w:pPr>
        <w:ind w:firstLine="1920" w:firstLineChars="600"/>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ind w:firstLine="1920" w:firstLineChars="600"/>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outlineLvl w:val="0"/>
        <w:rPr>
          <w:rFonts w:hint="default" w:ascii="Times New Roman" w:hAnsi="Times New Roman" w:eastAsia="方正小标宋_GBK" w:cs="Times New Roman"/>
          <w:b w:val="0"/>
          <w:bCs/>
          <w:color w:val="auto"/>
          <w:sz w:val="32"/>
          <w:szCs w:val="32"/>
        </w:rPr>
      </w:pPr>
      <w:r>
        <w:rPr>
          <w:rFonts w:hint="default" w:ascii="Times New Roman" w:hAnsi="Times New Roman" w:eastAsia="方正小标宋_GBK" w:cs="Times New Roman"/>
          <w:b w:val="0"/>
          <w:bCs/>
          <w:color w:val="auto"/>
          <w:sz w:val="32"/>
          <w:szCs w:val="32"/>
        </w:rPr>
        <w:t>采购人：重庆市红十字会医院（江北区人民医院）</w:t>
      </w:r>
    </w:p>
    <w:p>
      <w:pPr>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outlineLvl w:val="0"/>
        <w:rPr>
          <w:rFonts w:hint="default" w:ascii="Times New Roman" w:hAnsi="Times New Roman" w:eastAsia="方正小标宋_GBK" w:cs="Times New Roman"/>
          <w:color w:val="auto"/>
          <w:sz w:val="32"/>
          <w:szCs w:val="32"/>
          <w:highlight w:val="none"/>
          <w:lang w:eastAsia="zh-CN"/>
        </w:rPr>
        <w:sectPr>
          <w:pgSz w:w="11906" w:h="16838"/>
          <w:pgMar w:top="1984" w:right="1446" w:bottom="1644" w:left="1446" w:header="851" w:footer="992" w:gutter="0"/>
          <w:cols w:space="0" w:num="1"/>
          <w:rtlGutter w:val="0"/>
          <w:docGrid w:type="lines" w:linePitch="312" w:charSpace="0"/>
        </w:sectPr>
      </w:pPr>
      <w:r>
        <w:rPr>
          <w:rFonts w:hint="default" w:ascii="Times New Roman" w:hAnsi="Times New Roman" w:eastAsia="方正小标宋_GBK" w:cs="Times New Roman"/>
          <w:color w:val="auto"/>
          <w:sz w:val="32"/>
          <w:szCs w:val="32"/>
          <w:highlight w:val="none"/>
        </w:rPr>
        <w:t>二〇二</w:t>
      </w:r>
      <w:r>
        <w:rPr>
          <w:rFonts w:hint="default" w:ascii="Times New Roman" w:hAnsi="Times New Roman" w:eastAsia="方正小标宋_GBK" w:cs="Times New Roman"/>
          <w:color w:val="auto"/>
          <w:sz w:val="32"/>
          <w:szCs w:val="32"/>
          <w:highlight w:val="none"/>
          <w:lang w:val="en-US" w:eastAsia="zh-CN"/>
        </w:rPr>
        <w:t>五</w:t>
      </w:r>
      <w:r>
        <w:rPr>
          <w:rFonts w:hint="default" w:ascii="Times New Roman" w:hAnsi="Times New Roman" w:eastAsia="方正小标宋_GBK" w:cs="Times New Roman"/>
          <w:color w:val="auto"/>
          <w:sz w:val="32"/>
          <w:szCs w:val="32"/>
          <w:highlight w:val="none"/>
        </w:rPr>
        <w:t>年</w:t>
      </w:r>
      <w:r>
        <w:rPr>
          <w:rFonts w:hint="eastAsia" w:eastAsia="方正小标宋_GBK" w:cs="Times New Roman"/>
          <w:color w:val="auto"/>
          <w:sz w:val="32"/>
          <w:szCs w:val="32"/>
          <w:highlight w:val="none"/>
          <w:lang w:val="en-US" w:eastAsia="zh-CN"/>
        </w:rPr>
        <w:t>八</w:t>
      </w:r>
      <w:r>
        <w:rPr>
          <w:rFonts w:hint="default" w:ascii="Times New Roman" w:hAnsi="Times New Roman" w:eastAsia="方正小标宋_GBK" w:cs="Times New Roman"/>
          <w:color w:val="auto"/>
          <w:sz w:val="32"/>
          <w:szCs w:val="32"/>
          <w:highlight w:val="none"/>
          <w:lang w:eastAsia="zh-CN"/>
        </w:rPr>
        <w:t>月</w:t>
      </w:r>
    </w:p>
    <w:p>
      <w:pPr>
        <w:pStyle w:val="16"/>
        <w:bidi w:val="0"/>
        <w:rPr>
          <w:rFonts w:hint="eastAsia"/>
          <w:color w:val="auto"/>
          <w:lang w:eastAsia="zh-CN"/>
        </w:rPr>
      </w:pPr>
      <w:r>
        <w:rPr>
          <w:rFonts w:hint="eastAsia"/>
          <w:color w:val="auto"/>
          <w:lang w:eastAsia="zh-CN"/>
        </w:rPr>
        <w:t>第一篇</w:t>
      </w:r>
      <w:r>
        <w:rPr>
          <w:rFonts w:hint="eastAsia"/>
          <w:color w:val="auto"/>
          <w:lang w:val="en-US" w:eastAsia="zh-CN"/>
        </w:rPr>
        <w:t xml:space="preserve"> </w:t>
      </w:r>
      <w:r>
        <w:rPr>
          <w:rFonts w:hint="eastAsia"/>
          <w:color w:val="auto"/>
          <w:lang w:eastAsia="zh-CN"/>
        </w:rPr>
        <w:t>采购邀请书</w:t>
      </w:r>
    </w:p>
    <w:p>
      <w:pPr>
        <w:pStyle w:val="14"/>
        <w:bidi w:val="0"/>
        <w:rPr>
          <w:rFonts w:hint="eastAsia"/>
          <w:color w:val="auto"/>
          <w:lang w:eastAsia="zh-CN"/>
        </w:rPr>
      </w:pPr>
      <w:r>
        <w:rPr>
          <w:rFonts w:hint="default"/>
          <w:color w:val="auto"/>
        </w:rPr>
        <w:t>重庆市红十字会医院（江北区人民医院）</w:t>
      </w:r>
      <w:r>
        <w:rPr>
          <w:rFonts w:hint="eastAsia"/>
          <w:color w:val="auto"/>
          <w:lang w:eastAsia="zh-CN"/>
        </w:rPr>
        <w:t>对</w:t>
      </w:r>
      <w:r>
        <w:rPr>
          <w:rFonts w:hint="eastAsia"/>
          <w:color w:val="auto"/>
          <w:u w:val="single"/>
          <w:lang w:val="en-US" w:eastAsia="zh-CN"/>
        </w:rPr>
        <w:t xml:space="preserve"> </w:t>
      </w:r>
      <w:r>
        <w:rPr>
          <w:rFonts w:hint="eastAsia"/>
          <w:color w:val="auto"/>
          <w:u w:val="single"/>
          <w:lang w:eastAsia="zh-CN"/>
        </w:rPr>
        <w:t>观音桥</w:t>
      </w:r>
      <w:r>
        <w:rPr>
          <w:rFonts w:hint="eastAsia"/>
          <w:color w:val="auto"/>
          <w:u w:val="single"/>
          <w:lang w:val="en-US" w:eastAsia="zh-CN"/>
        </w:rPr>
        <w:t>院区供应室脉动真空灭菌器维保</w:t>
      </w:r>
      <w:r>
        <w:rPr>
          <w:rFonts w:hint="default"/>
          <w:color w:val="auto"/>
          <w:u w:val="single"/>
          <w:lang w:val="en-US" w:eastAsia="zh-CN"/>
        </w:rPr>
        <w:t>服务</w:t>
      </w:r>
      <w:r>
        <w:rPr>
          <w:rFonts w:hint="eastAsia"/>
          <w:color w:val="auto"/>
          <w:u w:val="single"/>
          <w:lang w:val="en-US" w:eastAsia="zh-CN"/>
        </w:rPr>
        <w:t xml:space="preserve"> </w:t>
      </w:r>
      <w:r>
        <w:rPr>
          <w:rFonts w:hint="eastAsia"/>
          <w:color w:val="auto"/>
          <w:lang w:eastAsia="zh-CN"/>
        </w:rPr>
        <w:t>进行竞争性磋商采购，欢迎供应商参加响应。</w:t>
      </w:r>
    </w:p>
    <w:p>
      <w:pPr>
        <w:pStyle w:val="15"/>
        <w:pageBreakBefore w:val="0"/>
        <w:widowControl w:val="0"/>
        <w:kinsoku/>
        <w:wordWrap/>
        <w:overflowPunct/>
        <w:topLinePunct w:val="0"/>
        <w:autoSpaceDE/>
        <w:autoSpaceDN/>
        <w:bidi w:val="0"/>
        <w:snapToGrid w:val="0"/>
        <w:spacing w:line="480" w:lineRule="atLeast"/>
        <w:textAlignment w:val="auto"/>
        <w:rPr>
          <w:color w:val="auto"/>
        </w:rPr>
      </w:pPr>
      <w:bookmarkStart w:id="1" w:name="_Toc18246"/>
      <w:bookmarkStart w:id="2" w:name="_Toc313893526"/>
      <w:bookmarkStart w:id="3" w:name="_Toc7758"/>
      <w:bookmarkStart w:id="4" w:name="_Toc26091"/>
      <w:bookmarkStart w:id="5" w:name="_Toc317775175"/>
      <w:bookmarkStart w:id="6" w:name="_Toc65660330"/>
      <w:bookmarkStart w:id="7" w:name="_Toc106034770"/>
      <w:r>
        <w:rPr>
          <w:rFonts w:hint="eastAsia"/>
          <w:color w:val="auto"/>
        </w:rPr>
        <w:t>一、</w:t>
      </w:r>
      <w:r>
        <w:rPr>
          <w:rFonts w:hint="eastAsia"/>
          <w:color w:val="auto"/>
          <w:lang w:eastAsia="zh-CN"/>
        </w:rPr>
        <w:t>磋商</w:t>
      </w:r>
      <w:r>
        <w:rPr>
          <w:rFonts w:hint="eastAsia"/>
          <w:color w:val="auto"/>
        </w:rPr>
        <w:t>内容</w:t>
      </w:r>
      <w:bookmarkEnd w:id="1"/>
      <w:bookmarkEnd w:id="2"/>
      <w:bookmarkEnd w:id="3"/>
      <w:bookmarkEnd w:id="4"/>
      <w:bookmarkEnd w:id="5"/>
      <w:bookmarkEnd w:id="6"/>
      <w:bookmarkEnd w:id="7"/>
    </w:p>
    <w:tbl>
      <w:tblPr>
        <w:tblStyle w:val="9"/>
        <w:tblW w:w="51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2311"/>
        <w:gridCol w:w="1560"/>
        <w:gridCol w:w="1268"/>
        <w:gridCol w:w="583"/>
        <w:gridCol w:w="583"/>
        <w:gridCol w:w="140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00"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b/>
                <w:bCs/>
                <w:color w:val="auto"/>
                <w:kern w:val="0"/>
                <w:sz w:val="21"/>
                <w:szCs w:val="24"/>
                <w:lang w:eastAsia="zh-CN"/>
              </w:rPr>
            </w:pPr>
            <w:r>
              <w:rPr>
                <w:rFonts w:hint="eastAsia" w:ascii="方正仿宋_GBK" w:hAnsi="方正仿宋_GBK" w:eastAsia="方正仿宋_GBK" w:cs="方正仿宋_GBK"/>
                <w:b/>
                <w:bCs/>
                <w:color w:val="auto"/>
                <w:kern w:val="0"/>
                <w:sz w:val="21"/>
                <w:szCs w:val="24"/>
                <w:lang w:eastAsia="zh-CN"/>
              </w:rPr>
              <w:t>包号</w:t>
            </w:r>
          </w:p>
        </w:tc>
        <w:tc>
          <w:tcPr>
            <w:tcW w:w="1218"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auto"/>
                <w:kern w:val="0"/>
                <w:sz w:val="21"/>
                <w:szCs w:val="24"/>
              </w:rPr>
            </w:pPr>
            <w:r>
              <w:rPr>
                <w:rFonts w:hint="eastAsia" w:ascii="方正仿宋_GBK" w:hAnsi="方正仿宋_GBK" w:eastAsia="方正仿宋_GBK" w:cs="方正仿宋_GBK"/>
                <w:b/>
                <w:bCs/>
                <w:color w:val="auto"/>
                <w:kern w:val="0"/>
                <w:sz w:val="21"/>
                <w:szCs w:val="24"/>
              </w:rPr>
              <w:t>名称</w:t>
            </w:r>
          </w:p>
        </w:tc>
        <w:tc>
          <w:tcPr>
            <w:tcW w:w="822" w:type="pct"/>
            <w:tcBorders>
              <w:top w:val="single" w:color="auto" w:sz="4" w:space="0"/>
              <w:left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bidi="ar-SA"/>
              </w:rPr>
            </w:pPr>
            <w:r>
              <w:rPr>
                <w:rFonts w:hint="eastAsia" w:ascii="方正仿宋_GBK" w:hAnsi="方正仿宋_GBK" w:eastAsia="方正仿宋_GBK" w:cs="方正仿宋_GBK"/>
                <w:b/>
                <w:bCs/>
                <w:color w:val="auto"/>
                <w:kern w:val="0"/>
                <w:sz w:val="21"/>
                <w:szCs w:val="24"/>
                <w:lang w:val="en-US" w:eastAsia="zh-CN" w:bidi="ar-SA"/>
              </w:rPr>
              <w:t>型号</w:t>
            </w:r>
          </w:p>
        </w:tc>
        <w:tc>
          <w:tcPr>
            <w:tcW w:w="668" w:type="pct"/>
            <w:tcBorders>
              <w:top w:val="single" w:color="auto" w:sz="4" w:space="0"/>
              <w:left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bidi="ar-SA"/>
              </w:rPr>
            </w:pPr>
            <w:r>
              <w:rPr>
                <w:rFonts w:hint="eastAsia" w:ascii="方正仿宋_GBK" w:hAnsi="方正仿宋_GBK" w:eastAsia="方正仿宋_GBK" w:cs="方正仿宋_GBK"/>
                <w:b/>
                <w:bCs/>
                <w:color w:val="auto"/>
                <w:kern w:val="0"/>
                <w:sz w:val="21"/>
                <w:szCs w:val="24"/>
                <w:lang w:val="en-US" w:eastAsia="zh-CN" w:bidi="ar-SA"/>
              </w:rPr>
              <w:t>设备编号</w:t>
            </w:r>
          </w:p>
        </w:tc>
        <w:tc>
          <w:tcPr>
            <w:tcW w:w="307"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rPr>
            </w:pPr>
            <w:r>
              <w:rPr>
                <w:rFonts w:hint="eastAsia" w:ascii="方正仿宋_GBK" w:hAnsi="方正仿宋_GBK" w:eastAsia="方正仿宋_GBK" w:cs="方正仿宋_GBK"/>
                <w:b/>
                <w:bCs/>
                <w:color w:val="auto"/>
                <w:kern w:val="0"/>
                <w:sz w:val="21"/>
                <w:szCs w:val="24"/>
                <w:lang w:val="en-US" w:eastAsia="zh-CN"/>
              </w:rPr>
              <w:t>装机时间</w:t>
            </w:r>
          </w:p>
        </w:tc>
        <w:tc>
          <w:tcPr>
            <w:tcW w:w="307"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rPr>
            </w:pPr>
            <w:r>
              <w:rPr>
                <w:rFonts w:hint="eastAsia" w:ascii="方正仿宋_GBK" w:hAnsi="方正仿宋_GBK" w:eastAsia="方正仿宋_GBK" w:cs="方正仿宋_GBK"/>
                <w:b/>
                <w:bCs/>
                <w:color w:val="auto"/>
                <w:kern w:val="0"/>
                <w:sz w:val="21"/>
                <w:szCs w:val="24"/>
                <w:lang w:val="en-US" w:eastAsia="zh-CN"/>
              </w:rPr>
              <w:t>数量</w:t>
            </w:r>
          </w:p>
        </w:tc>
        <w:tc>
          <w:tcPr>
            <w:tcW w:w="741"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auto"/>
                <w:kern w:val="0"/>
                <w:sz w:val="21"/>
                <w:szCs w:val="24"/>
                <w:lang w:eastAsia="zh-CN"/>
              </w:rPr>
            </w:pPr>
            <w:r>
              <w:rPr>
                <w:rFonts w:hint="eastAsia" w:ascii="方正仿宋_GBK" w:hAnsi="方正仿宋_GBK" w:eastAsia="方正仿宋_GBK" w:cs="方正仿宋_GBK"/>
                <w:b/>
                <w:bCs/>
                <w:color w:val="auto"/>
                <w:kern w:val="0"/>
                <w:sz w:val="21"/>
                <w:szCs w:val="24"/>
              </w:rPr>
              <w:t>最高限价（元）</w:t>
            </w:r>
          </w:p>
        </w:tc>
        <w:tc>
          <w:tcPr>
            <w:tcW w:w="632"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auto"/>
                <w:kern w:val="0"/>
                <w:sz w:val="21"/>
                <w:szCs w:val="24"/>
              </w:rPr>
            </w:pPr>
            <w:r>
              <w:rPr>
                <w:rFonts w:hint="eastAsia" w:ascii="方正仿宋_GBK" w:hAnsi="方正仿宋_GBK" w:eastAsia="方正仿宋_GBK" w:cs="方正仿宋_GBK"/>
                <w:b/>
                <w:bCs/>
                <w:color w:val="auto"/>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0"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宋体"/>
                <w:color w:val="auto"/>
                <w:kern w:val="0"/>
                <w:sz w:val="21"/>
                <w:szCs w:val="21"/>
                <w:lang w:val="en-US" w:eastAsia="zh-CN"/>
              </w:rPr>
            </w:pPr>
            <w:bookmarkStart w:id="8" w:name="_Hlk344477914"/>
            <w:r>
              <w:rPr>
                <w:rFonts w:hint="eastAsia" w:ascii="方正仿宋_GBK" w:hAnsi="宋体" w:eastAsia="方正仿宋_GBK" w:cs="宋体"/>
                <w:color w:val="auto"/>
                <w:kern w:val="0"/>
                <w:sz w:val="21"/>
                <w:szCs w:val="21"/>
                <w:lang w:val="en-US" w:eastAsia="zh-CN"/>
              </w:rPr>
              <w:t>1</w:t>
            </w:r>
          </w:p>
        </w:tc>
        <w:tc>
          <w:tcPr>
            <w:tcW w:w="121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14"/>
              <w:bidi w:val="0"/>
              <w:ind w:left="0" w:leftChars="0" w:firstLine="0" w:firstLineChars="0"/>
              <w:rPr>
                <w:rFonts w:hint="eastAsia" w:ascii="方正仿宋_GBK" w:hAnsi="宋体" w:eastAsia="方正仿宋_GBK" w:cs="Times New Roman"/>
                <w:color w:val="auto"/>
                <w:kern w:val="2"/>
                <w:sz w:val="21"/>
                <w:szCs w:val="21"/>
                <w:lang w:val="en-US" w:eastAsia="zh-CN" w:bidi="ar-SA"/>
              </w:rPr>
            </w:pPr>
            <w:r>
              <w:rPr>
                <w:rFonts w:hint="eastAsia"/>
                <w:color w:val="auto"/>
                <w:lang w:val="en-US" w:eastAsia="zh-CN"/>
              </w:rPr>
              <w:t>脉动真空灭菌器维保</w:t>
            </w:r>
          </w:p>
        </w:tc>
        <w:tc>
          <w:tcPr>
            <w:tcW w:w="822"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pStyle w:val="14"/>
              <w:bidi w:val="0"/>
              <w:ind w:left="0" w:leftChars="0" w:firstLine="0" w:firstLineChars="0"/>
              <w:rPr>
                <w:rFonts w:hint="default"/>
                <w:color w:val="auto"/>
                <w:lang w:val="en-US" w:eastAsia="zh-CN"/>
              </w:rPr>
            </w:pPr>
            <w:r>
              <w:rPr>
                <w:rFonts w:hint="eastAsia"/>
                <w:color w:val="auto"/>
                <w:lang w:val="en-US" w:eastAsia="zh-CN"/>
              </w:rPr>
              <w:t>MZQ.JD-1.5</w:t>
            </w:r>
          </w:p>
        </w:tc>
        <w:tc>
          <w:tcPr>
            <w:tcW w:w="668"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pStyle w:val="14"/>
              <w:bidi w:val="0"/>
              <w:ind w:left="0" w:leftChars="0" w:firstLine="0" w:firstLineChars="0"/>
              <w:rPr>
                <w:rFonts w:hint="default"/>
                <w:color w:val="auto"/>
                <w:lang w:val="en-US" w:eastAsia="zh-CN"/>
              </w:rPr>
            </w:pPr>
            <w:r>
              <w:rPr>
                <w:rFonts w:hint="eastAsia"/>
                <w:color w:val="auto"/>
                <w:lang w:val="en-US" w:eastAsia="zh-CN"/>
              </w:rPr>
              <w:t>B2K12281</w:t>
            </w:r>
          </w:p>
        </w:tc>
        <w:tc>
          <w:tcPr>
            <w:tcW w:w="30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2012</w:t>
            </w:r>
          </w:p>
        </w:tc>
        <w:tc>
          <w:tcPr>
            <w:tcW w:w="30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74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15000</w:t>
            </w:r>
          </w:p>
        </w:tc>
        <w:tc>
          <w:tcPr>
            <w:tcW w:w="632"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0" w:type="pct"/>
            <w:vMerge w:val="continue"/>
            <w:tcBorders>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宋体"/>
                <w:color w:val="auto"/>
                <w:kern w:val="0"/>
                <w:sz w:val="21"/>
                <w:szCs w:val="21"/>
                <w:lang w:val="en-US" w:eastAsia="zh-CN"/>
              </w:rPr>
            </w:pPr>
          </w:p>
        </w:tc>
        <w:tc>
          <w:tcPr>
            <w:tcW w:w="121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14"/>
              <w:bidi w:val="0"/>
              <w:ind w:left="0" w:leftChars="0" w:firstLine="0" w:firstLineChars="0"/>
              <w:rPr>
                <w:rFonts w:hint="eastAsia" w:ascii="方正仿宋_GBK" w:hAnsi="宋体" w:eastAsia="方正仿宋_GBK" w:cs="Times New Roman"/>
                <w:color w:val="auto"/>
                <w:kern w:val="2"/>
                <w:sz w:val="21"/>
                <w:szCs w:val="21"/>
                <w:lang w:val="en-US" w:eastAsia="zh-CN" w:bidi="ar-SA"/>
              </w:rPr>
            </w:pPr>
            <w:r>
              <w:rPr>
                <w:rFonts w:hint="eastAsia"/>
                <w:color w:val="auto"/>
                <w:lang w:val="en-US" w:eastAsia="zh-CN"/>
              </w:rPr>
              <w:t>脉动真空灭菌器维保</w:t>
            </w:r>
          </w:p>
        </w:tc>
        <w:tc>
          <w:tcPr>
            <w:tcW w:w="822"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pStyle w:val="14"/>
              <w:bidi w:val="0"/>
              <w:ind w:left="0" w:leftChars="0" w:firstLine="0" w:firstLineChars="0"/>
              <w:rPr>
                <w:rFonts w:hint="default" w:ascii="方正仿宋_GBK" w:hAnsi="宋体" w:eastAsia="方正仿宋_GBK" w:cs="Times New Roman"/>
                <w:color w:val="auto"/>
                <w:kern w:val="2"/>
                <w:sz w:val="21"/>
                <w:szCs w:val="21"/>
                <w:lang w:val="en-US" w:eastAsia="zh-CN" w:bidi="ar-SA"/>
              </w:rPr>
            </w:pPr>
            <w:r>
              <w:rPr>
                <w:rFonts w:hint="eastAsia"/>
                <w:color w:val="auto"/>
                <w:lang w:val="en-US" w:eastAsia="zh-CN"/>
              </w:rPr>
              <w:t>MZQ.JD-1.5</w:t>
            </w:r>
          </w:p>
        </w:tc>
        <w:tc>
          <w:tcPr>
            <w:tcW w:w="668"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pStyle w:val="14"/>
              <w:bidi w:val="0"/>
              <w:ind w:left="0" w:leftChars="0" w:firstLine="0" w:firstLineChars="0"/>
              <w:rPr>
                <w:rFonts w:hint="default"/>
                <w:color w:val="auto"/>
                <w:lang w:val="en-US" w:eastAsia="zh-CN"/>
              </w:rPr>
            </w:pPr>
            <w:r>
              <w:rPr>
                <w:rFonts w:hint="eastAsia"/>
                <w:color w:val="auto"/>
                <w:lang w:val="en-US" w:eastAsia="zh-CN"/>
              </w:rPr>
              <w:t>B2K20287</w:t>
            </w:r>
          </w:p>
        </w:tc>
        <w:tc>
          <w:tcPr>
            <w:tcW w:w="30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2020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74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15000</w:t>
            </w:r>
          </w:p>
        </w:tc>
        <w:tc>
          <w:tcPr>
            <w:tcW w:w="632" w:type="pct"/>
            <w:vMerge w:val="continue"/>
            <w:tcBorders>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olor w:val="auto"/>
                <w:sz w:val="21"/>
                <w:szCs w:val="21"/>
                <w:lang w:val="en-US" w:eastAsia="zh-CN"/>
              </w:rPr>
            </w:pPr>
          </w:p>
        </w:tc>
      </w:tr>
      <w:bookmarkEnd w:id="8"/>
    </w:tbl>
    <w:p>
      <w:pPr>
        <w:pStyle w:val="14"/>
        <w:numPr>
          <w:ilvl w:val="0"/>
          <w:numId w:val="1"/>
        </w:numPr>
        <w:bidi w:val="0"/>
        <w:rPr>
          <w:rFonts w:hint="eastAsia" w:ascii="方正黑体_GBK" w:hAnsi="方正黑体_GBK" w:eastAsia="方正黑体_GBK" w:cs="方正黑体_GBK"/>
          <w:color w:val="auto"/>
          <w:kern w:val="2"/>
          <w:sz w:val="24"/>
          <w:szCs w:val="24"/>
          <w:lang w:val="en-US" w:eastAsia="zh-CN" w:bidi="ar-SA"/>
        </w:rPr>
      </w:pPr>
      <w:r>
        <w:rPr>
          <w:rFonts w:hint="eastAsia" w:ascii="方正黑体_GBK" w:hAnsi="方正黑体_GBK" w:eastAsia="方正黑体_GBK" w:cs="方正黑体_GBK"/>
          <w:color w:val="auto"/>
          <w:kern w:val="2"/>
          <w:sz w:val="24"/>
          <w:szCs w:val="24"/>
          <w:lang w:val="en-US" w:eastAsia="zh-CN" w:bidi="ar-SA"/>
        </w:rPr>
        <w:t>资金来源</w:t>
      </w:r>
    </w:p>
    <w:p>
      <w:pPr>
        <w:pStyle w:val="14"/>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highlight w:val="none"/>
          <w:lang w:val="en-US" w:eastAsia="zh-CN" w:bidi="ar-SA"/>
        </w:rPr>
        <w:t>维保期限1年，自筹资金</w:t>
      </w:r>
      <w:r>
        <w:rPr>
          <w:rFonts w:hint="eastAsia" w:ascii="Times New Roman" w:hAnsi="Times New Roman" w:eastAsia="方正仿宋_GBK" w:cs="Times New Roman"/>
          <w:color w:val="auto"/>
          <w:kern w:val="2"/>
          <w:sz w:val="24"/>
          <w:szCs w:val="24"/>
          <w:highlight w:val="none"/>
          <w:lang w:val="en-US" w:eastAsia="zh-CN" w:bidi="ar-SA"/>
        </w:rPr>
        <w:t>，</w:t>
      </w:r>
      <w:r>
        <w:rPr>
          <w:rFonts w:hint="eastAsia" w:ascii="Times New Roman" w:hAnsi="Times New Roman" w:eastAsia="方正仿宋_GBK" w:cs="Times New Roman"/>
          <w:color w:val="auto"/>
          <w:kern w:val="2"/>
          <w:sz w:val="24"/>
          <w:szCs w:val="24"/>
          <w:lang w:val="en-US" w:eastAsia="zh-CN" w:bidi="ar-SA"/>
        </w:rPr>
        <w:t>采</w:t>
      </w:r>
      <w:r>
        <w:rPr>
          <w:rFonts w:hint="default" w:ascii="Times New Roman" w:hAnsi="Times New Roman" w:eastAsia="方正仿宋_GBK" w:cs="Times New Roman"/>
          <w:color w:val="auto"/>
          <w:kern w:val="2"/>
          <w:sz w:val="24"/>
          <w:szCs w:val="24"/>
          <w:lang w:val="en-US" w:eastAsia="zh-CN" w:bidi="ar-SA"/>
        </w:rPr>
        <w:t>购预算</w:t>
      </w:r>
      <w:r>
        <w:rPr>
          <w:rFonts w:hint="eastAsia" w:ascii="Times New Roman" w:hAnsi="Times New Roman" w:cs="Times New Roman"/>
          <w:color w:val="auto"/>
          <w:sz w:val="21"/>
          <w:szCs w:val="21"/>
          <w:lang w:val="en-US" w:eastAsia="zh-CN"/>
        </w:rPr>
        <w:t>30000</w:t>
      </w:r>
      <w:r>
        <w:rPr>
          <w:rFonts w:hint="default" w:ascii="Times New Roman" w:hAnsi="Times New Roman" w:cs="Times New Roman"/>
          <w:color w:val="auto"/>
          <w:kern w:val="2"/>
          <w:sz w:val="24"/>
          <w:szCs w:val="24"/>
          <w:lang w:val="en-US" w:eastAsia="zh-CN" w:bidi="ar-SA"/>
        </w:rPr>
        <w:t>元</w:t>
      </w:r>
      <w:r>
        <w:rPr>
          <w:rFonts w:hint="eastAsia" w:ascii="Times New Roman" w:hAnsi="Times New Roman" w:cs="Times New Roman"/>
          <w:color w:val="auto"/>
          <w:kern w:val="2"/>
          <w:sz w:val="24"/>
          <w:szCs w:val="24"/>
          <w:lang w:val="en-US" w:eastAsia="zh-CN" w:bidi="ar-SA"/>
        </w:rPr>
        <w:t>。</w:t>
      </w:r>
    </w:p>
    <w:p>
      <w:pPr>
        <w:pStyle w:val="15"/>
        <w:numPr>
          <w:ilvl w:val="0"/>
          <w:numId w:val="1"/>
        </w:numPr>
        <w:bidi w:val="0"/>
        <w:ind w:left="0" w:leftChars="0" w:firstLine="480" w:firstLineChars="200"/>
        <w:rPr>
          <w:rFonts w:hint="default"/>
          <w:color w:val="auto"/>
          <w:lang w:val="en-US" w:eastAsia="zh-CN"/>
        </w:rPr>
      </w:pPr>
      <w:r>
        <w:rPr>
          <w:rFonts w:hint="default"/>
          <w:color w:val="auto"/>
          <w:lang w:val="en-US" w:eastAsia="zh-CN"/>
        </w:rPr>
        <w:t>供应商资格要求</w:t>
      </w:r>
    </w:p>
    <w:p>
      <w:pPr>
        <w:pStyle w:val="14"/>
        <w:bidi w:val="0"/>
        <w:rPr>
          <w:rFonts w:hint="eastAsia"/>
          <w:color w:val="auto"/>
          <w:lang w:val="en-US" w:eastAsia="zh-CN"/>
        </w:rPr>
      </w:pPr>
      <w:r>
        <w:rPr>
          <w:rFonts w:hint="eastAsia"/>
          <w:color w:val="auto"/>
          <w:lang w:val="en-US" w:eastAsia="zh-CN"/>
        </w:rPr>
        <w:t>合格供应商应首先符合政府采购法第二十二条规定的基本条件，同时符合根据该项目特点设置的特定资格条件。</w:t>
      </w:r>
    </w:p>
    <w:p>
      <w:pPr>
        <w:pStyle w:val="14"/>
        <w:bidi w:val="0"/>
        <w:rPr>
          <w:rFonts w:hint="eastAsia"/>
          <w:color w:val="auto"/>
          <w:lang w:val="en-US" w:eastAsia="zh-CN"/>
        </w:rPr>
      </w:pPr>
      <w:r>
        <w:rPr>
          <w:rFonts w:hint="eastAsia"/>
          <w:color w:val="auto"/>
          <w:lang w:val="en-US" w:eastAsia="zh-CN"/>
        </w:rPr>
        <w:t>（一）基本资格条件</w:t>
      </w:r>
    </w:p>
    <w:p>
      <w:pPr>
        <w:pStyle w:val="14"/>
        <w:bidi w:val="0"/>
        <w:rPr>
          <w:rFonts w:hint="eastAsia"/>
          <w:color w:val="auto"/>
          <w:lang w:val="en-US" w:eastAsia="zh-CN"/>
        </w:rPr>
      </w:pPr>
      <w:r>
        <w:rPr>
          <w:rFonts w:hint="eastAsia"/>
          <w:color w:val="auto"/>
          <w:lang w:val="en-US" w:eastAsia="zh-CN"/>
        </w:rPr>
        <w:t>1.具有独立承担民事责任的能力；</w:t>
      </w:r>
    </w:p>
    <w:p>
      <w:pPr>
        <w:pStyle w:val="14"/>
        <w:bidi w:val="0"/>
        <w:rPr>
          <w:rFonts w:hint="eastAsia"/>
          <w:color w:val="auto"/>
          <w:lang w:val="en-US" w:eastAsia="zh-CN"/>
        </w:rPr>
      </w:pPr>
      <w:r>
        <w:rPr>
          <w:rFonts w:hint="eastAsia"/>
          <w:color w:val="auto"/>
          <w:lang w:val="en-US" w:eastAsia="zh-CN"/>
        </w:rPr>
        <w:t>2.具有良好的商业信誉和健全的财务会计制度；</w:t>
      </w:r>
    </w:p>
    <w:p>
      <w:pPr>
        <w:pStyle w:val="14"/>
        <w:bidi w:val="0"/>
        <w:rPr>
          <w:rFonts w:hint="eastAsia"/>
          <w:color w:val="auto"/>
          <w:lang w:val="en-US" w:eastAsia="zh-CN"/>
        </w:rPr>
      </w:pPr>
      <w:r>
        <w:rPr>
          <w:rFonts w:hint="eastAsia"/>
          <w:color w:val="auto"/>
          <w:lang w:val="en-US" w:eastAsia="zh-CN"/>
        </w:rPr>
        <w:t>3.具有履行合同所必需的设备和专业技术能力；</w:t>
      </w:r>
    </w:p>
    <w:p>
      <w:pPr>
        <w:pStyle w:val="14"/>
        <w:bidi w:val="0"/>
        <w:rPr>
          <w:rFonts w:hint="eastAsia"/>
          <w:color w:val="auto"/>
          <w:lang w:val="en-US" w:eastAsia="zh-CN"/>
        </w:rPr>
      </w:pPr>
      <w:r>
        <w:rPr>
          <w:rFonts w:hint="eastAsia"/>
          <w:color w:val="auto"/>
          <w:lang w:val="en-US" w:eastAsia="zh-CN"/>
        </w:rPr>
        <w:t>4.有依法缴纳税收和社会保障资金的良好记录；</w:t>
      </w:r>
    </w:p>
    <w:p>
      <w:pPr>
        <w:pStyle w:val="14"/>
        <w:bidi w:val="0"/>
        <w:rPr>
          <w:rFonts w:hint="eastAsia"/>
          <w:color w:val="auto"/>
          <w:lang w:val="en-US" w:eastAsia="zh-CN"/>
        </w:rPr>
      </w:pPr>
      <w:r>
        <w:rPr>
          <w:rFonts w:hint="eastAsia"/>
          <w:color w:val="auto"/>
          <w:lang w:val="en-US" w:eastAsia="zh-CN"/>
        </w:rPr>
        <w:t>5.参加政府采购活动前三年内，在经营活动中没有重大违法记录；</w:t>
      </w:r>
    </w:p>
    <w:p>
      <w:pPr>
        <w:pStyle w:val="14"/>
        <w:bidi w:val="0"/>
        <w:rPr>
          <w:rFonts w:hint="eastAsia"/>
          <w:color w:val="auto"/>
          <w:lang w:val="en-US" w:eastAsia="zh-CN"/>
        </w:rPr>
      </w:pPr>
      <w:r>
        <w:rPr>
          <w:rFonts w:hint="eastAsia"/>
          <w:color w:val="auto"/>
          <w:lang w:val="en-US" w:eastAsia="zh-CN"/>
        </w:rPr>
        <w:t>6.法律、行政法规规定的其他条件。</w:t>
      </w:r>
    </w:p>
    <w:p>
      <w:pPr>
        <w:pStyle w:val="14"/>
        <w:bidi w:val="0"/>
        <w:rPr>
          <w:rFonts w:hint="default"/>
          <w:color w:val="auto"/>
          <w:lang w:val="en-US" w:eastAsia="zh-CN"/>
        </w:rPr>
      </w:pPr>
      <w:r>
        <w:rPr>
          <w:rFonts w:hint="default"/>
          <w:color w:val="auto"/>
          <w:lang w:val="en-US" w:eastAsia="zh-CN"/>
        </w:rPr>
        <w:t>（二）本项目的特定资格条件</w:t>
      </w:r>
    </w:p>
    <w:p>
      <w:pPr>
        <w:pStyle w:val="14"/>
        <w:bidi w:val="0"/>
        <w:rPr>
          <w:rFonts w:hint="default"/>
          <w:color w:val="auto"/>
          <w:lang w:val="en-US" w:eastAsia="zh-CN"/>
        </w:rPr>
      </w:pPr>
      <w:r>
        <w:rPr>
          <w:rFonts w:hint="default"/>
          <w:color w:val="auto"/>
          <w:lang w:val="en-US" w:eastAsia="zh-CN"/>
        </w:rPr>
        <w:t>供应商持有的《营业执照》中，须具备对应的医疗器械维修范围。</w:t>
      </w:r>
    </w:p>
    <w:p>
      <w:pPr>
        <w:pStyle w:val="15"/>
        <w:bidi w:val="0"/>
        <w:rPr>
          <w:rFonts w:hint="eastAsia"/>
          <w:color w:val="auto"/>
          <w:lang w:val="en-US" w:eastAsia="zh-CN"/>
        </w:rPr>
      </w:pPr>
      <w:r>
        <w:rPr>
          <w:rFonts w:hint="eastAsia"/>
          <w:color w:val="auto"/>
          <w:lang w:val="en-US" w:eastAsia="zh-CN"/>
        </w:rPr>
        <w:t>四、磋商有关说明</w:t>
      </w:r>
    </w:p>
    <w:p>
      <w:pPr>
        <w:pStyle w:val="14"/>
        <w:bidi w:val="0"/>
        <w:rPr>
          <w:rFonts w:hint="eastAsia"/>
          <w:color w:val="auto"/>
          <w:lang w:val="en-US" w:eastAsia="zh-CN"/>
        </w:rPr>
      </w:pPr>
      <w:r>
        <w:rPr>
          <w:rFonts w:hint="eastAsia"/>
          <w:color w:val="auto"/>
          <w:lang w:val="en-US" w:eastAsia="zh-CN"/>
        </w:rPr>
        <w:t>（一）采购文件</w:t>
      </w:r>
      <w:r>
        <w:rPr>
          <w:rFonts w:hint="eastAsia"/>
          <w:color w:val="auto"/>
          <w:highlight w:val="none"/>
          <w:lang w:val="en-US" w:eastAsia="zh-CN"/>
        </w:rPr>
        <w:t>的获取：凡有意参加磋商的供应商，请在行采家</w:t>
      </w:r>
      <w:bookmarkStart w:id="9" w:name="OLE_LINK2"/>
      <w:r>
        <w:rPr>
          <w:rFonts w:hint="default" w:ascii="Times New Roman" w:hAnsi="Times New Roman" w:cs="Times New Roman"/>
          <w:color w:val="auto"/>
          <w:highlight w:val="none"/>
          <w:u w:val="single"/>
          <w:lang w:val="en-US" w:eastAsia="zh-CN"/>
        </w:rPr>
        <w:fldChar w:fldCharType="begin"/>
      </w:r>
      <w:r>
        <w:rPr>
          <w:rFonts w:hint="default" w:ascii="Times New Roman" w:hAnsi="Times New Roman" w:cs="Times New Roman"/>
          <w:color w:val="auto"/>
          <w:highlight w:val="none"/>
          <w:u w:val="single"/>
          <w:lang w:val="en-US" w:eastAsia="zh-CN"/>
        </w:rPr>
        <w:instrText xml:space="preserve"> HYPERLINK "https://www.gec123.com/" </w:instrText>
      </w:r>
      <w:r>
        <w:rPr>
          <w:rFonts w:hint="default" w:ascii="Times New Roman" w:hAnsi="Times New Roman" w:cs="Times New Roman"/>
          <w:color w:val="auto"/>
          <w:highlight w:val="none"/>
          <w:u w:val="single"/>
          <w:lang w:val="en-US" w:eastAsia="zh-CN"/>
        </w:rPr>
        <w:fldChar w:fldCharType="separate"/>
      </w:r>
      <w:r>
        <w:rPr>
          <w:rStyle w:val="12"/>
          <w:rFonts w:hint="default" w:ascii="Times New Roman" w:hAnsi="Times New Roman" w:cs="Times New Roman"/>
          <w:color w:val="auto"/>
          <w:highlight w:val="none"/>
          <w:lang w:val="en-US" w:eastAsia="zh-CN"/>
        </w:rPr>
        <w:t>https://www.gec123.com/</w:t>
      </w:r>
      <w:r>
        <w:rPr>
          <w:rFonts w:hint="default" w:ascii="Times New Roman" w:hAnsi="Times New Roman" w:cs="Times New Roman"/>
          <w:color w:val="auto"/>
          <w:highlight w:val="none"/>
          <w:u w:val="single"/>
          <w:lang w:val="en-US" w:eastAsia="zh-CN"/>
        </w:rPr>
        <w:fldChar w:fldCharType="end"/>
      </w:r>
      <w:r>
        <w:rPr>
          <w:rFonts w:hint="eastAsia" w:ascii="Times New Roman" w:hAnsi="Times New Roman" w:cs="Times New Roman"/>
          <w:color w:val="auto"/>
          <w:highlight w:val="none"/>
          <w:u w:val="single"/>
          <w:lang w:val="en-US" w:eastAsia="zh-CN"/>
        </w:rPr>
        <w:t xml:space="preserve"> </w:t>
      </w:r>
      <w:bookmarkEnd w:id="9"/>
      <w:r>
        <w:rPr>
          <w:rFonts w:hint="eastAsia"/>
          <w:color w:val="auto"/>
          <w:highlight w:val="none"/>
          <w:lang w:val="en-US" w:eastAsia="zh-CN"/>
        </w:rPr>
        <w:t>下载采购文件、澄清等报价前公布的所有项目资料，无论供应商下载或领取与否，均视为已知晓</w:t>
      </w:r>
      <w:r>
        <w:rPr>
          <w:rFonts w:hint="eastAsia"/>
          <w:color w:val="auto"/>
          <w:lang w:val="en-US" w:eastAsia="zh-CN"/>
        </w:rPr>
        <w:t>所有实质性要求内容。</w:t>
      </w:r>
    </w:p>
    <w:p>
      <w:pPr>
        <w:pStyle w:val="14"/>
        <w:bidi w:val="0"/>
        <w:rPr>
          <w:rFonts w:hint="eastAsia"/>
          <w:color w:val="auto"/>
          <w:highlight w:val="none"/>
          <w:lang w:val="en-US" w:eastAsia="zh-CN"/>
        </w:rPr>
      </w:pPr>
      <w:r>
        <w:rPr>
          <w:rFonts w:hint="eastAsia"/>
          <w:color w:val="auto"/>
          <w:lang w:val="en-US" w:eastAsia="zh-CN"/>
        </w:rPr>
        <w:t>（二）采购文件公告期限：自采购公</w:t>
      </w:r>
      <w:r>
        <w:rPr>
          <w:rFonts w:hint="eastAsia"/>
          <w:color w:val="auto"/>
          <w:highlight w:val="none"/>
          <w:lang w:val="en-US" w:eastAsia="zh-CN"/>
        </w:rPr>
        <w:t>告发布之日起五个工作日。</w:t>
      </w:r>
    </w:p>
    <w:p>
      <w:pPr>
        <w:pStyle w:val="14"/>
        <w:bidi w:val="0"/>
        <w:rPr>
          <w:rFonts w:hint="eastAsia"/>
          <w:color w:val="auto"/>
          <w:highlight w:val="none"/>
          <w:lang w:val="en-US" w:eastAsia="zh-CN"/>
        </w:rPr>
      </w:pPr>
      <w:r>
        <w:rPr>
          <w:rFonts w:hint="eastAsia"/>
          <w:color w:val="auto"/>
          <w:highlight w:val="none"/>
          <w:lang w:val="en-US" w:eastAsia="zh-CN"/>
        </w:rPr>
        <w:t>（三）采购文件提供期限及售价：</w:t>
      </w:r>
    </w:p>
    <w:p>
      <w:pPr>
        <w:pStyle w:val="14"/>
        <w:bidi w:val="0"/>
        <w:rPr>
          <w:rFonts w:hint="eastAsia"/>
          <w:color w:val="auto"/>
          <w:highlight w:val="none"/>
          <w:lang w:val="en-US" w:eastAsia="zh-CN"/>
        </w:rPr>
      </w:pPr>
      <w:r>
        <w:rPr>
          <w:rFonts w:hint="eastAsia"/>
          <w:color w:val="auto"/>
          <w:highlight w:val="none"/>
          <w:lang w:val="en-US" w:eastAsia="zh-CN"/>
        </w:rPr>
        <w:t>1.采购文件提供期限：同采购文件公告期限。</w:t>
      </w:r>
    </w:p>
    <w:p>
      <w:pPr>
        <w:pStyle w:val="14"/>
        <w:bidi w:val="0"/>
        <w:rPr>
          <w:rFonts w:hint="eastAsia"/>
          <w:color w:val="auto"/>
          <w:highlight w:val="none"/>
          <w:lang w:val="en-US" w:eastAsia="zh-CN"/>
        </w:rPr>
      </w:pPr>
      <w:r>
        <w:rPr>
          <w:rFonts w:hint="eastAsia"/>
          <w:color w:val="auto"/>
          <w:highlight w:val="none"/>
          <w:lang w:val="en-US" w:eastAsia="zh-CN"/>
        </w:rPr>
        <w:t>2.采购文件售价：人民币</w:t>
      </w:r>
      <w:r>
        <w:rPr>
          <w:rFonts w:hint="eastAsia"/>
          <w:color w:val="auto"/>
          <w:highlight w:val="none"/>
          <w:u w:val="single"/>
          <w:lang w:val="en-US" w:eastAsia="zh-CN"/>
        </w:rPr>
        <w:t>0.00</w:t>
      </w:r>
      <w:r>
        <w:rPr>
          <w:rFonts w:hint="eastAsia"/>
          <w:color w:val="auto"/>
          <w:highlight w:val="none"/>
          <w:lang w:val="en-US" w:eastAsia="zh-CN"/>
        </w:rPr>
        <w:t>元/包。</w:t>
      </w:r>
    </w:p>
    <w:p>
      <w:pPr>
        <w:pStyle w:val="14"/>
        <w:bidi w:val="0"/>
        <w:rPr>
          <w:rFonts w:hint="eastAsia"/>
          <w:color w:val="auto"/>
          <w:highlight w:val="none"/>
          <w:u w:val="single"/>
          <w:lang w:val="en-US" w:eastAsia="zh-CN"/>
        </w:rPr>
      </w:pPr>
      <w:r>
        <w:rPr>
          <w:rFonts w:hint="eastAsia"/>
          <w:color w:val="auto"/>
          <w:highlight w:val="none"/>
          <w:lang w:val="en-US" w:eastAsia="zh-CN"/>
        </w:rPr>
        <w:t>（四）递交响应文件地点：</w:t>
      </w:r>
      <w:r>
        <w:rPr>
          <w:rFonts w:hint="eastAsia"/>
          <w:color w:val="auto"/>
          <w:highlight w:val="none"/>
          <w:u w:val="single"/>
          <w:lang w:val="en-US" w:eastAsia="zh-CN"/>
        </w:rPr>
        <w:t>重庆市红十字会医院（江北区人民医院）2号楼1层眼科会议室。</w:t>
      </w:r>
    </w:p>
    <w:p>
      <w:pPr>
        <w:pStyle w:val="14"/>
        <w:bidi w:val="0"/>
        <w:rPr>
          <w:rFonts w:hint="eastAsia"/>
          <w:color w:val="auto"/>
          <w:highlight w:val="none"/>
          <w:lang w:val="en-US" w:eastAsia="zh-CN"/>
        </w:rPr>
      </w:pPr>
      <w:r>
        <w:rPr>
          <w:rFonts w:hint="eastAsia"/>
          <w:color w:val="auto"/>
          <w:highlight w:val="none"/>
          <w:lang w:val="en-US" w:eastAsia="zh-CN"/>
        </w:rPr>
        <w:t>（五）递交响应文件开始及截止时间：</w:t>
      </w:r>
      <w:r>
        <w:rPr>
          <w:rFonts w:hint="eastAsia"/>
          <w:color w:val="auto"/>
          <w:highlight w:val="none"/>
          <w:u w:val="single"/>
          <w:lang w:val="en-US" w:eastAsia="zh-CN"/>
        </w:rPr>
        <w:t>2025年8月11日北京时间15:00-15:30</w:t>
      </w:r>
      <w:r>
        <w:rPr>
          <w:rFonts w:hint="eastAsia"/>
          <w:color w:val="auto"/>
          <w:highlight w:val="none"/>
          <w:lang w:val="en-US" w:eastAsia="zh-CN"/>
        </w:rPr>
        <w:t>（其他时间不接受任何形式的送达）。</w:t>
      </w:r>
    </w:p>
    <w:p>
      <w:pPr>
        <w:pStyle w:val="14"/>
        <w:bidi w:val="0"/>
        <w:rPr>
          <w:rFonts w:hint="eastAsia"/>
          <w:color w:val="auto"/>
          <w:highlight w:val="none"/>
          <w:lang w:val="en-US" w:eastAsia="zh-CN"/>
        </w:rPr>
      </w:pPr>
      <w:r>
        <w:rPr>
          <w:rFonts w:hint="eastAsia"/>
          <w:color w:val="auto"/>
          <w:highlight w:val="none"/>
          <w:lang w:val="en-US" w:eastAsia="zh-CN"/>
        </w:rPr>
        <w:t>（六）开标评审时间：</w:t>
      </w:r>
      <w:r>
        <w:rPr>
          <w:rFonts w:hint="eastAsia"/>
          <w:color w:val="auto"/>
          <w:highlight w:val="none"/>
          <w:u w:val="single"/>
          <w:lang w:val="en-US" w:eastAsia="zh-CN"/>
        </w:rPr>
        <w:t>2025年8月11日北京时间15:30</w:t>
      </w:r>
      <w:r>
        <w:rPr>
          <w:rFonts w:hint="eastAsia"/>
          <w:color w:val="auto"/>
          <w:highlight w:val="none"/>
          <w:lang w:val="en-US" w:eastAsia="zh-CN"/>
        </w:rPr>
        <w:t>，迟到者视为自动放弃投标。</w:t>
      </w:r>
    </w:p>
    <w:p>
      <w:pPr>
        <w:pStyle w:val="14"/>
        <w:bidi w:val="0"/>
        <w:rPr>
          <w:rFonts w:hint="eastAsia"/>
          <w:color w:val="auto"/>
          <w:highlight w:val="none"/>
          <w:lang w:val="en-US" w:eastAsia="zh-CN"/>
        </w:rPr>
      </w:pPr>
      <w:r>
        <w:rPr>
          <w:rFonts w:hint="eastAsia"/>
          <w:color w:val="auto"/>
          <w:highlight w:val="none"/>
          <w:lang w:val="en-US" w:eastAsia="zh-CN"/>
        </w:rPr>
        <w:t>（七）评审地点：</w:t>
      </w:r>
      <w:r>
        <w:rPr>
          <w:rFonts w:hint="eastAsia"/>
          <w:color w:val="auto"/>
          <w:highlight w:val="none"/>
          <w:u w:val="single"/>
          <w:lang w:val="en-US" w:eastAsia="zh-CN"/>
        </w:rPr>
        <w:t>同递交响应文件地点。</w:t>
      </w:r>
    </w:p>
    <w:p>
      <w:pPr>
        <w:pStyle w:val="15"/>
        <w:bidi w:val="0"/>
        <w:rPr>
          <w:rFonts w:hint="eastAsia"/>
          <w:color w:val="auto"/>
        </w:rPr>
      </w:pPr>
      <w:r>
        <w:rPr>
          <w:rFonts w:hint="eastAsia"/>
          <w:color w:val="auto"/>
          <w:lang w:val="en-US" w:eastAsia="zh-CN"/>
        </w:rPr>
        <w:t>五、</w:t>
      </w:r>
      <w:r>
        <w:rPr>
          <w:rFonts w:hint="eastAsia"/>
          <w:color w:val="auto"/>
        </w:rPr>
        <w:t>其它有关规定</w:t>
      </w:r>
    </w:p>
    <w:p>
      <w:pPr>
        <w:pStyle w:val="14"/>
        <w:bidi w:val="0"/>
        <w:rPr>
          <w:rFonts w:hint="default"/>
          <w:color w:val="auto"/>
          <w:lang w:val="en-US" w:eastAsia="zh-CN"/>
        </w:rPr>
      </w:pPr>
      <w:r>
        <w:rPr>
          <w:rFonts w:hint="default"/>
          <w:color w:val="auto"/>
          <w:lang w:val="en-US" w:eastAsia="zh-CN"/>
        </w:rPr>
        <w:t>（一）法定代表人为同一个人的两个及两个以上法人，母公司、全资子公司及其控股公司，都不得在同一采购中同时投标。</w:t>
      </w:r>
    </w:p>
    <w:p>
      <w:pPr>
        <w:pStyle w:val="14"/>
        <w:bidi w:val="0"/>
        <w:rPr>
          <w:rFonts w:hint="default"/>
          <w:color w:val="auto"/>
          <w:lang w:val="en-US" w:eastAsia="zh-CN"/>
        </w:rPr>
      </w:pPr>
      <w:r>
        <w:rPr>
          <w:rFonts w:hint="default"/>
          <w:color w:val="auto"/>
          <w:lang w:val="en-US" w:eastAsia="zh-CN"/>
        </w:rPr>
        <w:t>（二）超过提交截止时间、不按本采购文件规定密封的投标，恕不接受。</w:t>
      </w:r>
    </w:p>
    <w:p>
      <w:pPr>
        <w:pStyle w:val="14"/>
        <w:bidi w:val="0"/>
        <w:rPr>
          <w:rFonts w:hint="default"/>
          <w:color w:val="auto"/>
          <w:lang w:val="en-US" w:eastAsia="zh-CN"/>
        </w:rPr>
      </w:pPr>
      <w:r>
        <w:rPr>
          <w:rFonts w:hint="default"/>
          <w:color w:val="auto"/>
          <w:lang w:val="en-US" w:eastAsia="zh-CN"/>
        </w:rPr>
        <w:t>（三）</w:t>
      </w:r>
      <w:r>
        <w:rPr>
          <w:rFonts w:hint="eastAsia"/>
          <w:color w:val="auto"/>
          <w:lang w:val="en-US" w:eastAsia="zh-CN"/>
        </w:rPr>
        <w:t>磋商</w:t>
      </w:r>
      <w:r>
        <w:rPr>
          <w:rFonts w:hint="default"/>
          <w:color w:val="auto"/>
          <w:lang w:val="en-US" w:eastAsia="zh-CN"/>
        </w:rPr>
        <w:t>费用：无论</w:t>
      </w:r>
      <w:r>
        <w:rPr>
          <w:rFonts w:hint="eastAsia"/>
          <w:color w:val="auto"/>
          <w:lang w:val="en-US" w:eastAsia="zh-CN"/>
        </w:rPr>
        <w:t>磋商</w:t>
      </w:r>
      <w:r>
        <w:rPr>
          <w:rFonts w:hint="default"/>
          <w:color w:val="auto"/>
          <w:lang w:val="en-US" w:eastAsia="zh-CN"/>
        </w:rPr>
        <w:t>结果如何，供应商参与本项目</w:t>
      </w:r>
      <w:r>
        <w:rPr>
          <w:rFonts w:hint="eastAsia"/>
          <w:color w:val="auto"/>
          <w:lang w:val="en-US" w:eastAsia="zh-CN"/>
        </w:rPr>
        <w:t>磋商</w:t>
      </w:r>
      <w:r>
        <w:rPr>
          <w:rFonts w:hint="default"/>
          <w:color w:val="auto"/>
          <w:lang w:val="en-US" w:eastAsia="zh-CN"/>
        </w:rPr>
        <w:t>的所有费用均应由供应商自行承担。</w:t>
      </w:r>
    </w:p>
    <w:p>
      <w:pPr>
        <w:pStyle w:val="14"/>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color w:val="auto"/>
          <w:lang w:val="en-US" w:eastAsia="zh-CN"/>
        </w:rPr>
      </w:pPr>
      <w:r>
        <w:rPr>
          <w:rFonts w:hint="eastAsia"/>
          <w:color w:val="auto"/>
          <w:lang w:val="en-US" w:eastAsia="zh-CN"/>
        </w:rPr>
        <w:t>（四）</w:t>
      </w:r>
      <w:r>
        <w:rPr>
          <w:rFonts w:hint="default"/>
          <w:color w:val="auto"/>
          <w:lang w:val="en-US" w:eastAsia="zh-CN"/>
        </w:rPr>
        <w:t>本项目</w:t>
      </w:r>
      <w:r>
        <w:rPr>
          <w:rFonts w:hint="default"/>
          <w:color w:val="auto"/>
          <w:u w:val="single"/>
          <w:lang w:val="en-US" w:eastAsia="zh-CN"/>
        </w:rPr>
        <w:t>不接受</w:t>
      </w:r>
      <w:r>
        <w:rPr>
          <w:rFonts w:hint="default"/>
          <w:color w:val="auto"/>
          <w:lang w:val="en-US" w:eastAsia="zh-CN"/>
        </w:rPr>
        <w:t>联合体参与报价，否则按无效处理。</w:t>
      </w:r>
    </w:p>
    <w:p>
      <w:pPr>
        <w:pStyle w:val="14"/>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color w:val="auto"/>
          <w:lang w:val="en-US" w:eastAsia="zh-CN"/>
        </w:rPr>
      </w:pPr>
      <w:r>
        <w:rPr>
          <w:rFonts w:hint="default"/>
          <w:color w:val="auto"/>
          <w:lang w:val="en-US" w:eastAsia="zh-CN"/>
        </w:rPr>
        <w:t>（五）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15"/>
        <w:bidi w:val="0"/>
        <w:rPr>
          <w:rFonts w:hint="default"/>
          <w:color w:val="auto"/>
          <w:lang w:val="en-US" w:eastAsia="zh-CN"/>
        </w:rPr>
      </w:pPr>
      <w:r>
        <w:rPr>
          <w:rFonts w:hint="eastAsia"/>
          <w:color w:val="auto"/>
          <w:lang w:val="en-US" w:eastAsia="zh-CN"/>
        </w:rPr>
        <w:t>六</w:t>
      </w:r>
      <w:r>
        <w:rPr>
          <w:rFonts w:hint="default"/>
          <w:color w:val="auto"/>
          <w:lang w:val="en-US" w:eastAsia="zh-CN"/>
        </w:rPr>
        <w:t>、联系方式</w:t>
      </w:r>
    </w:p>
    <w:p>
      <w:pPr>
        <w:pStyle w:val="14"/>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color w:val="auto"/>
          <w:lang w:val="en-US" w:eastAsia="zh-CN"/>
        </w:rPr>
      </w:pPr>
      <w:r>
        <w:rPr>
          <w:rFonts w:hint="default"/>
          <w:color w:val="auto"/>
          <w:lang w:val="en-US" w:eastAsia="zh-CN"/>
        </w:rPr>
        <w:t>采购人：重庆市红十字会医院（江北区人民医院）</w:t>
      </w:r>
    </w:p>
    <w:p>
      <w:pPr>
        <w:pStyle w:val="14"/>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color w:val="auto"/>
          <w:lang w:val="en-US" w:eastAsia="zh-CN"/>
        </w:rPr>
      </w:pPr>
      <w:r>
        <w:rPr>
          <w:rFonts w:hint="default"/>
          <w:color w:val="auto"/>
          <w:lang w:val="en-US" w:eastAsia="zh-CN"/>
        </w:rPr>
        <w:t>联系人：</w:t>
      </w:r>
      <w:r>
        <w:rPr>
          <w:rFonts w:hint="eastAsia"/>
          <w:color w:val="auto"/>
          <w:lang w:val="en-US" w:eastAsia="zh-CN"/>
        </w:rPr>
        <w:t>赖</w:t>
      </w:r>
      <w:r>
        <w:rPr>
          <w:rFonts w:hint="default"/>
          <w:color w:val="auto"/>
          <w:lang w:val="en-US" w:eastAsia="zh-CN"/>
        </w:rPr>
        <w:t>老师        电  话：023-88519215</w:t>
      </w:r>
    </w:p>
    <w:p>
      <w:pPr>
        <w:pStyle w:val="14"/>
        <w:bidi w:val="0"/>
        <w:rPr>
          <w:rFonts w:hint="default"/>
          <w:color w:val="auto"/>
          <w:lang w:val="en-US" w:eastAsia="zh-CN"/>
        </w:rPr>
        <w:sectPr>
          <w:pgSz w:w="11906" w:h="16838"/>
          <w:pgMar w:top="1984" w:right="1446" w:bottom="1644" w:left="1446" w:header="851" w:footer="992" w:gutter="0"/>
          <w:cols w:space="0" w:num="1"/>
          <w:rtlGutter w:val="0"/>
          <w:docGrid w:type="lines" w:linePitch="312" w:charSpace="0"/>
        </w:sectPr>
      </w:pPr>
      <w:r>
        <w:rPr>
          <w:rFonts w:hint="default"/>
          <w:color w:val="auto"/>
          <w:lang w:val="en-US" w:eastAsia="zh-CN"/>
        </w:rPr>
        <w:t>地址：江北区嘉陵一村1号，重庆市红十字会医院（江北区人民医院）</w:t>
      </w:r>
    </w:p>
    <w:p>
      <w:pPr>
        <w:pStyle w:val="16"/>
        <w:bidi w:val="0"/>
        <w:rPr>
          <w:rFonts w:hint="default"/>
          <w:color w:val="auto"/>
          <w:lang w:val="en-US" w:eastAsia="zh-CN"/>
        </w:rPr>
      </w:pPr>
      <w:r>
        <w:rPr>
          <w:rFonts w:hint="eastAsia"/>
          <w:color w:val="auto"/>
          <w:lang w:val="en-US" w:eastAsia="zh-CN"/>
        </w:rPr>
        <w:t xml:space="preserve">第二篇 </w:t>
      </w:r>
      <w:r>
        <w:rPr>
          <w:rFonts w:hint="default"/>
          <w:color w:val="auto"/>
          <w:lang w:val="en-US" w:eastAsia="zh-CN"/>
        </w:rPr>
        <w:t>项目技术要求</w:t>
      </w:r>
    </w:p>
    <w:p>
      <w:pPr>
        <w:pStyle w:val="15"/>
        <w:bidi w:val="0"/>
        <w:rPr>
          <w:rFonts w:hint="default"/>
          <w:color w:val="auto"/>
        </w:rPr>
      </w:pPr>
      <w:r>
        <w:rPr>
          <w:color w:val="auto"/>
        </w:rPr>
        <w:t>一、</w:t>
      </w:r>
      <w:r>
        <w:rPr>
          <w:rFonts w:hint="eastAsia"/>
          <w:color w:val="auto"/>
          <w:lang w:val="en-US" w:eastAsia="zh-CN"/>
        </w:rPr>
        <w:t>技术</w:t>
      </w:r>
      <w:r>
        <w:rPr>
          <w:color w:val="auto"/>
        </w:rPr>
        <w:t>需求明细</w:t>
      </w:r>
    </w:p>
    <w:p>
      <w:pPr>
        <w:pStyle w:val="14"/>
        <w:bidi w:val="0"/>
        <w:rPr>
          <w:rFonts w:hint="default" w:eastAsia="方正仿宋_GBK"/>
          <w:color w:val="auto"/>
          <w:lang w:val="en-US" w:eastAsia="zh-CN"/>
        </w:rPr>
      </w:pPr>
      <w:r>
        <w:rPr>
          <w:color w:val="auto"/>
        </w:rPr>
        <w:t>（一）</w:t>
      </w:r>
      <w:r>
        <w:rPr>
          <w:rFonts w:hint="eastAsia"/>
          <w:color w:val="auto"/>
          <w:lang w:val="en-US" w:eastAsia="zh-CN"/>
        </w:rPr>
        <w:t>采购设备和限价</w:t>
      </w:r>
    </w:p>
    <w:tbl>
      <w:tblPr>
        <w:tblStyle w:val="9"/>
        <w:tblW w:w="51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2311"/>
        <w:gridCol w:w="1491"/>
        <w:gridCol w:w="1303"/>
        <w:gridCol w:w="617"/>
        <w:gridCol w:w="583"/>
        <w:gridCol w:w="140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00"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b/>
                <w:bCs/>
                <w:color w:val="auto"/>
                <w:kern w:val="0"/>
                <w:sz w:val="21"/>
                <w:szCs w:val="24"/>
                <w:lang w:eastAsia="zh-CN"/>
              </w:rPr>
            </w:pPr>
            <w:r>
              <w:rPr>
                <w:rFonts w:hint="eastAsia" w:ascii="方正仿宋_GBK" w:hAnsi="方正仿宋_GBK" w:eastAsia="方正仿宋_GBK" w:cs="方正仿宋_GBK"/>
                <w:b/>
                <w:bCs/>
                <w:color w:val="auto"/>
                <w:kern w:val="0"/>
                <w:sz w:val="21"/>
                <w:szCs w:val="24"/>
                <w:lang w:eastAsia="zh-CN"/>
              </w:rPr>
              <w:t>包号</w:t>
            </w:r>
          </w:p>
        </w:tc>
        <w:tc>
          <w:tcPr>
            <w:tcW w:w="1218"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auto"/>
                <w:kern w:val="0"/>
                <w:sz w:val="21"/>
                <w:szCs w:val="24"/>
              </w:rPr>
            </w:pPr>
            <w:r>
              <w:rPr>
                <w:rFonts w:hint="eastAsia" w:ascii="方正仿宋_GBK" w:hAnsi="方正仿宋_GBK" w:eastAsia="方正仿宋_GBK" w:cs="方正仿宋_GBK"/>
                <w:b/>
                <w:bCs/>
                <w:color w:val="auto"/>
                <w:kern w:val="0"/>
                <w:sz w:val="21"/>
                <w:szCs w:val="24"/>
              </w:rPr>
              <w:t>名称</w:t>
            </w:r>
          </w:p>
        </w:tc>
        <w:tc>
          <w:tcPr>
            <w:tcW w:w="786" w:type="pct"/>
            <w:tcBorders>
              <w:top w:val="single" w:color="auto" w:sz="4" w:space="0"/>
              <w:left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bidi="ar-SA"/>
              </w:rPr>
            </w:pPr>
            <w:r>
              <w:rPr>
                <w:rFonts w:hint="eastAsia" w:ascii="方正仿宋_GBK" w:hAnsi="方正仿宋_GBK" w:eastAsia="方正仿宋_GBK" w:cs="方正仿宋_GBK"/>
                <w:b/>
                <w:bCs/>
                <w:color w:val="auto"/>
                <w:kern w:val="0"/>
                <w:sz w:val="21"/>
                <w:szCs w:val="24"/>
                <w:lang w:val="en-US" w:eastAsia="zh-CN" w:bidi="ar-SA"/>
              </w:rPr>
              <w:t>型号</w:t>
            </w:r>
          </w:p>
        </w:tc>
        <w:tc>
          <w:tcPr>
            <w:tcW w:w="687" w:type="pct"/>
            <w:tcBorders>
              <w:top w:val="single" w:color="auto" w:sz="4" w:space="0"/>
              <w:left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bidi="ar-SA"/>
              </w:rPr>
            </w:pPr>
            <w:r>
              <w:rPr>
                <w:rFonts w:hint="eastAsia" w:ascii="方正仿宋_GBK" w:hAnsi="方正仿宋_GBK" w:eastAsia="方正仿宋_GBK" w:cs="方正仿宋_GBK"/>
                <w:b/>
                <w:bCs/>
                <w:color w:val="auto"/>
                <w:kern w:val="0"/>
                <w:sz w:val="21"/>
                <w:szCs w:val="24"/>
                <w:lang w:val="en-US" w:eastAsia="zh-CN" w:bidi="ar-SA"/>
              </w:rPr>
              <w:t>设备编号</w:t>
            </w:r>
          </w:p>
        </w:tc>
        <w:tc>
          <w:tcPr>
            <w:tcW w:w="325"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rPr>
            </w:pPr>
            <w:r>
              <w:rPr>
                <w:rFonts w:hint="eastAsia" w:ascii="方正仿宋_GBK" w:hAnsi="方正仿宋_GBK" w:eastAsia="方正仿宋_GBK" w:cs="方正仿宋_GBK"/>
                <w:b/>
                <w:bCs/>
                <w:color w:val="auto"/>
                <w:kern w:val="0"/>
                <w:sz w:val="21"/>
                <w:szCs w:val="24"/>
                <w:lang w:val="en-US" w:eastAsia="zh-CN"/>
              </w:rPr>
              <w:t>装机时间</w:t>
            </w:r>
          </w:p>
        </w:tc>
        <w:tc>
          <w:tcPr>
            <w:tcW w:w="307"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rPr>
            </w:pPr>
            <w:r>
              <w:rPr>
                <w:rFonts w:hint="eastAsia" w:ascii="方正仿宋_GBK" w:hAnsi="方正仿宋_GBK" w:eastAsia="方正仿宋_GBK" w:cs="方正仿宋_GBK"/>
                <w:b/>
                <w:bCs/>
                <w:color w:val="auto"/>
                <w:kern w:val="0"/>
                <w:sz w:val="21"/>
                <w:szCs w:val="24"/>
                <w:lang w:val="en-US" w:eastAsia="zh-CN"/>
              </w:rPr>
              <w:t>数量</w:t>
            </w:r>
          </w:p>
        </w:tc>
        <w:tc>
          <w:tcPr>
            <w:tcW w:w="741"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auto"/>
                <w:kern w:val="0"/>
                <w:sz w:val="21"/>
                <w:szCs w:val="24"/>
                <w:lang w:eastAsia="zh-CN"/>
              </w:rPr>
            </w:pPr>
            <w:r>
              <w:rPr>
                <w:rFonts w:hint="eastAsia" w:ascii="方正仿宋_GBK" w:hAnsi="方正仿宋_GBK" w:eastAsia="方正仿宋_GBK" w:cs="方正仿宋_GBK"/>
                <w:b/>
                <w:bCs/>
                <w:color w:val="auto"/>
                <w:kern w:val="0"/>
                <w:sz w:val="21"/>
                <w:szCs w:val="24"/>
              </w:rPr>
              <w:t>最高限价（元）</w:t>
            </w:r>
          </w:p>
        </w:tc>
        <w:tc>
          <w:tcPr>
            <w:tcW w:w="632"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auto"/>
                <w:kern w:val="0"/>
                <w:sz w:val="21"/>
                <w:szCs w:val="24"/>
              </w:rPr>
            </w:pPr>
            <w:r>
              <w:rPr>
                <w:rFonts w:hint="eastAsia" w:ascii="方正仿宋_GBK" w:hAnsi="方正仿宋_GBK" w:eastAsia="方正仿宋_GBK" w:cs="方正仿宋_GBK"/>
                <w:b/>
                <w:bCs/>
                <w:color w:val="auto"/>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0"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K" w:hAnsi="宋体" w:eastAsia="方正仿宋_GBK" w:cs="宋体"/>
                <w:color w:val="auto"/>
                <w:kern w:val="0"/>
                <w:sz w:val="21"/>
                <w:szCs w:val="21"/>
                <w:lang w:val="en-US" w:eastAsia="zh-CN"/>
              </w:rPr>
            </w:pPr>
            <w:r>
              <w:rPr>
                <w:rFonts w:hint="eastAsia" w:ascii="方正仿宋_GBK" w:hAnsi="宋体" w:eastAsia="方正仿宋_GBK" w:cs="宋体"/>
                <w:color w:val="auto"/>
                <w:kern w:val="0"/>
                <w:sz w:val="21"/>
                <w:szCs w:val="21"/>
                <w:lang w:val="en-US" w:eastAsia="zh-CN"/>
              </w:rPr>
              <w:t>1</w:t>
            </w:r>
          </w:p>
        </w:tc>
        <w:tc>
          <w:tcPr>
            <w:tcW w:w="121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14"/>
              <w:bidi w:val="0"/>
              <w:ind w:left="0" w:leftChars="0" w:firstLine="0" w:firstLineChars="0"/>
              <w:jc w:val="both"/>
              <w:rPr>
                <w:rFonts w:hint="eastAsia"/>
                <w:color w:val="auto"/>
                <w:lang w:val="en-US" w:eastAsia="zh-CN"/>
              </w:rPr>
            </w:pPr>
            <w:r>
              <w:rPr>
                <w:rFonts w:hint="eastAsia"/>
                <w:color w:val="auto"/>
                <w:lang w:val="en-US" w:eastAsia="zh-CN"/>
              </w:rPr>
              <w:t>脉动真空灭菌器维保</w:t>
            </w:r>
          </w:p>
        </w:tc>
        <w:tc>
          <w:tcPr>
            <w:tcW w:w="786"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pStyle w:val="14"/>
              <w:bidi w:val="0"/>
              <w:ind w:left="0" w:leftChars="0" w:firstLine="0" w:firstLineChars="0"/>
              <w:jc w:val="both"/>
              <w:rPr>
                <w:rFonts w:hint="default"/>
                <w:color w:val="auto"/>
                <w:lang w:val="en-US" w:eastAsia="zh-CN"/>
              </w:rPr>
            </w:pPr>
            <w:r>
              <w:rPr>
                <w:rFonts w:hint="eastAsia"/>
                <w:color w:val="auto"/>
                <w:lang w:val="en-US" w:eastAsia="zh-CN"/>
              </w:rPr>
              <w:t>MZQ.JD-1.5</w:t>
            </w:r>
          </w:p>
        </w:tc>
        <w:tc>
          <w:tcPr>
            <w:tcW w:w="68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pStyle w:val="14"/>
              <w:bidi w:val="0"/>
              <w:ind w:left="0" w:leftChars="0" w:firstLine="0" w:firstLineChars="0"/>
              <w:jc w:val="both"/>
              <w:rPr>
                <w:rFonts w:hint="default"/>
                <w:color w:val="auto"/>
                <w:lang w:val="en-US" w:eastAsia="zh-CN"/>
              </w:rPr>
            </w:pPr>
            <w:r>
              <w:rPr>
                <w:rFonts w:hint="eastAsia"/>
                <w:color w:val="auto"/>
                <w:lang w:val="en-US" w:eastAsia="zh-CN"/>
              </w:rPr>
              <w:t>B2K12281</w:t>
            </w:r>
          </w:p>
        </w:tc>
        <w:tc>
          <w:tcPr>
            <w:tcW w:w="325"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2012</w:t>
            </w:r>
          </w:p>
        </w:tc>
        <w:tc>
          <w:tcPr>
            <w:tcW w:w="30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74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15000</w:t>
            </w:r>
          </w:p>
        </w:tc>
        <w:tc>
          <w:tcPr>
            <w:tcW w:w="632"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0"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_GBK" w:hAnsi="宋体" w:eastAsia="方正仿宋_GBK" w:cs="宋体"/>
                <w:color w:val="auto"/>
                <w:kern w:val="0"/>
                <w:sz w:val="21"/>
                <w:szCs w:val="21"/>
                <w:lang w:val="en-US" w:eastAsia="zh-CN"/>
              </w:rPr>
            </w:pPr>
            <w:r>
              <w:rPr>
                <w:rFonts w:hint="eastAsia" w:ascii="方正仿宋_GBK" w:hAnsi="宋体" w:eastAsia="方正仿宋_GBK" w:cs="宋体"/>
                <w:color w:val="auto"/>
                <w:kern w:val="0"/>
                <w:sz w:val="21"/>
                <w:szCs w:val="21"/>
                <w:lang w:val="en-US" w:eastAsia="zh-CN"/>
              </w:rPr>
              <w:t>1</w:t>
            </w:r>
          </w:p>
        </w:tc>
        <w:tc>
          <w:tcPr>
            <w:tcW w:w="121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14"/>
              <w:bidi w:val="0"/>
              <w:ind w:left="0" w:leftChars="0" w:firstLine="0" w:firstLineChars="0"/>
              <w:jc w:val="both"/>
              <w:rPr>
                <w:rFonts w:hint="eastAsia"/>
                <w:color w:val="auto"/>
                <w:lang w:val="en-US" w:eastAsia="zh-CN"/>
              </w:rPr>
            </w:pPr>
            <w:r>
              <w:rPr>
                <w:rFonts w:hint="eastAsia"/>
                <w:color w:val="auto"/>
                <w:lang w:val="en-US" w:eastAsia="zh-CN"/>
              </w:rPr>
              <w:t>脉动真空灭菌器维保</w:t>
            </w:r>
          </w:p>
        </w:tc>
        <w:tc>
          <w:tcPr>
            <w:tcW w:w="786"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pStyle w:val="14"/>
              <w:bidi w:val="0"/>
              <w:ind w:left="0" w:leftChars="0" w:firstLine="0" w:firstLineChars="0"/>
              <w:jc w:val="both"/>
              <w:rPr>
                <w:rFonts w:hint="default"/>
                <w:color w:val="auto"/>
                <w:lang w:val="en-US" w:eastAsia="zh-CN"/>
              </w:rPr>
            </w:pPr>
            <w:r>
              <w:rPr>
                <w:rFonts w:hint="eastAsia"/>
                <w:color w:val="auto"/>
                <w:lang w:val="en-US" w:eastAsia="zh-CN"/>
              </w:rPr>
              <w:t>MZQ.JD-1.5</w:t>
            </w:r>
          </w:p>
        </w:tc>
        <w:tc>
          <w:tcPr>
            <w:tcW w:w="68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pStyle w:val="14"/>
              <w:bidi w:val="0"/>
              <w:ind w:left="0" w:leftChars="0" w:firstLine="0" w:firstLineChars="0"/>
              <w:jc w:val="both"/>
              <w:rPr>
                <w:rFonts w:hint="default"/>
                <w:color w:val="auto"/>
                <w:lang w:val="en-US" w:eastAsia="zh-CN"/>
              </w:rPr>
            </w:pPr>
            <w:r>
              <w:rPr>
                <w:rFonts w:hint="eastAsia"/>
                <w:color w:val="auto"/>
                <w:lang w:val="en-US" w:eastAsia="zh-CN"/>
              </w:rPr>
              <w:t>B2K20287</w:t>
            </w:r>
          </w:p>
        </w:tc>
        <w:tc>
          <w:tcPr>
            <w:tcW w:w="325"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2020</w:t>
            </w:r>
          </w:p>
        </w:tc>
        <w:tc>
          <w:tcPr>
            <w:tcW w:w="30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74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15000</w:t>
            </w:r>
          </w:p>
        </w:tc>
        <w:tc>
          <w:tcPr>
            <w:tcW w:w="632" w:type="pct"/>
            <w:vMerge w:val="continue"/>
            <w:tcBorders>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olor w:val="auto"/>
                <w:sz w:val="21"/>
                <w:szCs w:val="21"/>
                <w:lang w:val="en-US" w:eastAsia="zh-CN"/>
              </w:rPr>
            </w:pPr>
          </w:p>
        </w:tc>
      </w:tr>
    </w:tbl>
    <w:p>
      <w:pPr>
        <w:pStyle w:val="15"/>
        <w:bidi w:val="0"/>
        <w:rPr>
          <w:rFonts w:hint="default"/>
          <w:color w:val="auto"/>
          <w:lang w:val="en-US" w:eastAsia="zh-CN"/>
        </w:rPr>
      </w:pPr>
      <w:r>
        <w:rPr>
          <w:rFonts w:hint="eastAsia"/>
          <w:color w:val="auto"/>
          <w:lang w:val="en-US" w:eastAsia="zh-CN"/>
        </w:rPr>
        <w:t>（二）维保项目和内容</w:t>
      </w:r>
    </w:p>
    <w:tbl>
      <w:tblPr>
        <w:tblStyle w:val="9"/>
        <w:tblpPr w:leftFromText="180" w:rightFromText="180" w:vertAnchor="text" w:horzAnchor="page" w:tblpX="1126" w:tblpY="261"/>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9"/>
        <w:gridCol w:w="2367"/>
        <w:gridCol w:w="700"/>
        <w:gridCol w:w="2750"/>
        <w:gridCol w:w="203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9" w:type="dxa"/>
            <w:tcMar>
              <w:top w:w="15" w:type="dxa"/>
              <w:left w:w="15" w:type="dxa"/>
              <w:bottom w:w="0" w:type="dxa"/>
              <w:right w:w="15" w:type="dxa"/>
            </w:tcMar>
            <w:vAlign w:val="center"/>
          </w:tcPr>
          <w:p>
            <w:pPr>
              <w:pStyle w:val="14"/>
              <w:bidi w:val="0"/>
              <w:ind w:left="0" w:leftChars="0" w:firstLine="0" w:firstLineChars="0"/>
              <w:rPr>
                <w:rFonts w:hint="eastAsia"/>
                <w:b/>
                <w:bCs/>
                <w:color w:val="auto"/>
                <w:lang w:val="en-US" w:eastAsia="zh-CN"/>
              </w:rPr>
            </w:pPr>
            <w:r>
              <w:rPr>
                <w:rFonts w:hint="eastAsia"/>
                <w:b/>
                <w:bCs/>
                <w:color w:val="auto"/>
                <w:lang w:val="en-US" w:eastAsia="zh-CN"/>
              </w:rPr>
              <w:t>序号</w:t>
            </w:r>
          </w:p>
        </w:tc>
        <w:tc>
          <w:tcPr>
            <w:tcW w:w="2367" w:type="dxa"/>
            <w:tcMar>
              <w:top w:w="15" w:type="dxa"/>
              <w:left w:w="15" w:type="dxa"/>
              <w:bottom w:w="0" w:type="dxa"/>
              <w:right w:w="15" w:type="dxa"/>
            </w:tcMar>
            <w:vAlign w:val="center"/>
          </w:tcPr>
          <w:p>
            <w:pPr>
              <w:pStyle w:val="14"/>
              <w:bidi w:val="0"/>
              <w:ind w:left="0" w:leftChars="0" w:firstLine="0" w:firstLineChars="0"/>
              <w:rPr>
                <w:rFonts w:hint="eastAsia"/>
                <w:b/>
                <w:bCs/>
                <w:color w:val="auto"/>
                <w:lang w:val="en-US" w:eastAsia="zh-CN"/>
              </w:rPr>
            </w:pPr>
            <w:r>
              <w:rPr>
                <w:rFonts w:hint="eastAsia"/>
                <w:b/>
                <w:bCs/>
                <w:color w:val="auto"/>
                <w:lang w:val="en-US" w:eastAsia="zh-CN"/>
              </w:rPr>
              <w:t>配件名称</w:t>
            </w:r>
          </w:p>
        </w:tc>
        <w:tc>
          <w:tcPr>
            <w:tcW w:w="700" w:type="dxa"/>
            <w:tcMar>
              <w:top w:w="15" w:type="dxa"/>
              <w:left w:w="15" w:type="dxa"/>
              <w:bottom w:w="0" w:type="dxa"/>
              <w:right w:w="15" w:type="dxa"/>
            </w:tcMar>
            <w:vAlign w:val="center"/>
          </w:tcPr>
          <w:p>
            <w:pPr>
              <w:pStyle w:val="14"/>
              <w:bidi w:val="0"/>
              <w:ind w:left="0" w:leftChars="0" w:firstLine="0" w:firstLineChars="0"/>
              <w:jc w:val="center"/>
              <w:rPr>
                <w:rFonts w:hint="eastAsia"/>
                <w:b/>
                <w:bCs/>
                <w:color w:val="auto"/>
                <w:lang w:val="en-US" w:eastAsia="zh-CN"/>
              </w:rPr>
            </w:pPr>
            <w:r>
              <w:rPr>
                <w:rFonts w:hint="eastAsia"/>
                <w:b/>
                <w:bCs/>
                <w:color w:val="auto"/>
                <w:lang w:val="en-US" w:eastAsia="zh-CN"/>
              </w:rPr>
              <w:t>数量</w:t>
            </w:r>
          </w:p>
        </w:tc>
        <w:tc>
          <w:tcPr>
            <w:tcW w:w="2750" w:type="dxa"/>
            <w:tcMar>
              <w:top w:w="15" w:type="dxa"/>
              <w:left w:w="15" w:type="dxa"/>
              <w:bottom w:w="0" w:type="dxa"/>
              <w:right w:w="15" w:type="dxa"/>
            </w:tcMar>
            <w:vAlign w:val="center"/>
          </w:tcPr>
          <w:p>
            <w:pPr>
              <w:pStyle w:val="14"/>
              <w:bidi w:val="0"/>
              <w:ind w:left="0" w:leftChars="0" w:firstLine="241" w:firstLineChars="100"/>
              <w:rPr>
                <w:rFonts w:hint="eastAsia"/>
                <w:b/>
                <w:bCs/>
                <w:color w:val="auto"/>
                <w:lang w:val="en-US" w:eastAsia="zh-CN"/>
              </w:rPr>
            </w:pPr>
            <w:r>
              <w:rPr>
                <w:rFonts w:hint="eastAsia"/>
                <w:b/>
                <w:bCs/>
                <w:color w:val="auto"/>
                <w:lang w:val="en-US" w:eastAsia="zh-CN"/>
              </w:rPr>
              <w:t>检查内容</w:t>
            </w:r>
          </w:p>
        </w:tc>
        <w:tc>
          <w:tcPr>
            <w:tcW w:w="2034" w:type="dxa"/>
            <w:tcMar>
              <w:top w:w="15" w:type="dxa"/>
              <w:left w:w="15" w:type="dxa"/>
              <w:bottom w:w="0" w:type="dxa"/>
              <w:right w:w="15" w:type="dxa"/>
            </w:tcMar>
            <w:vAlign w:val="center"/>
          </w:tcPr>
          <w:p>
            <w:pPr>
              <w:pStyle w:val="14"/>
              <w:bidi w:val="0"/>
              <w:ind w:left="0" w:leftChars="0" w:firstLine="0" w:firstLineChars="0"/>
              <w:jc w:val="center"/>
              <w:rPr>
                <w:rFonts w:hint="eastAsia"/>
                <w:b/>
                <w:bCs/>
                <w:color w:val="auto"/>
                <w:lang w:val="en-US" w:eastAsia="zh-CN"/>
              </w:rPr>
            </w:pPr>
            <w:r>
              <w:rPr>
                <w:rFonts w:hint="eastAsia"/>
                <w:b/>
                <w:bCs/>
                <w:color w:val="auto"/>
                <w:lang w:val="en-US" w:eastAsia="zh-CN"/>
              </w:rPr>
              <w:t>检查时间</w:t>
            </w:r>
          </w:p>
        </w:tc>
        <w:tc>
          <w:tcPr>
            <w:tcW w:w="1545" w:type="dxa"/>
            <w:tcMar>
              <w:top w:w="15" w:type="dxa"/>
              <w:left w:w="15" w:type="dxa"/>
              <w:bottom w:w="0" w:type="dxa"/>
              <w:right w:w="15" w:type="dxa"/>
            </w:tcMar>
            <w:vAlign w:val="center"/>
          </w:tcPr>
          <w:p>
            <w:pPr>
              <w:pStyle w:val="14"/>
              <w:bidi w:val="0"/>
              <w:ind w:left="0" w:leftChars="0" w:firstLine="0" w:firstLineChars="0"/>
              <w:jc w:val="center"/>
              <w:rPr>
                <w:rFonts w:hint="eastAsia"/>
                <w:b/>
                <w:bCs/>
                <w:color w:val="auto"/>
                <w:lang w:val="en-US" w:eastAsia="zh-CN"/>
              </w:rPr>
            </w:pPr>
            <w:r>
              <w:rPr>
                <w:rFonts w:hint="eastAsia"/>
                <w:b/>
                <w:bCs/>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trPr>
        <w:tc>
          <w:tcPr>
            <w:tcW w:w="559" w:type="dxa"/>
            <w:tcMar>
              <w:top w:w="15" w:type="dxa"/>
              <w:left w:w="15" w:type="dxa"/>
              <w:bottom w:w="0" w:type="dxa"/>
              <w:right w:w="15" w:type="dxa"/>
            </w:tcMar>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w:t>
            </w:r>
          </w:p>
        </w:tc>
        <w:tc>
          <w:tcPr>
            <w:tcW w:w="2367" w:type="dxa"/>
            <w:tcMar>
              <w:top w:w="15" w:type="dxa"/>
              <w:left w:w="15" w:type="dxa"/>
              <w:bottom w:w="0" w:type="dxa"/>
              <w:right w:w="15" w:type="dxa"/>
            </w:tcMar>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安全泄压阀</w:t>
            </w:r>
          </w:p>
        </w:tc>
        <w:tc>
          <w:tcPr>
            <w:tcW w:w="700" w:type="dxa"/>
            <w:tcMar>
              <w:top w:w="15" w:type="dxa"/>
              <w:left w:w="15" w:type="dxa"/>
              <w:bottom w:w="0" w:type="dxa"/>
              <w:right w:w="15" w:type="dxa"/>
            </w:tcMar>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4套</w:t>
            </w:r>
          </w:p>
        </w:tc>
        <w:tc>
          <w:tcPr>
            <w:tcW w:w="2750" w:type="dxa"/>
            <w:tcMar>
              <w:top w:w="15" w:type="dxa"/>
              <w:left w:w="15" w:type="dxa"/>
              <w:bottom w:w="0" w:type="dxa"/>
              <w:right w:w="15" w:type="dxa"/>
            </w:tcMar>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开启灵敏度是否正常</w:t>
            </w:r>
          </w:p>
        </w:tc>
        <w:tc>
          <w:tcPr>
            <w:tcW w:w="2034" w:type="dxa"/>
            <w:tcMar>
              <w:top w:w="15" w:type="dxa"/>
              <w:left w:w="15" w:type="dxa"/>
              <w:bottom w:w="0" w:type="dxa"/>
              <w:right w:w="15" w:type="dxa"/>
            </w:tcMar>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tcMar>
              <w:top w:w="15" w:type="dxa"/>
              <w:left w:w="15" w:type="dxa"/>
              <w:bottom w:w="0" w:type="dxa"/>
              <w:right w:w="15" w:type="dxa"/>
            </w:tcMar>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tcMar>
              <w:top w:w="15" w:type="dxa"/>
              <w:left w:w="15" w:type="dxa"/>
              <w:bottom w:w="0" w:type="dxa"/>
              <w:right w:w="15" w:type="dxa"/>
            </w:tcMar>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w:t>
            </w:r>
          </w:p>
        </w:tc>
        <w:tc>
          <w:tcPr>
            <w:tcW w:w="2367" w:type="dxa"/>
            <w:tcMar>
              <w:top w:w="15" w:type="dxa"/>
              <w:left w:w="15" w:type="dxa"/>
              <w:bottom w:w="0" w:type="dxa"/>
              <w:right w:w="15" w:type="dxa"/>
            </w:tcMar>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压力表指示正常</w:t>
            </w:r>
          </w:p>
        </w:tc>
        <w:tc>
          <w:tcPr>
            <w:tcW w:w="700" w:type="dxa"/>
            <w:tcMar>
              <w:top w:w="15" w:type="dxa"/>
              <w:left w:w="15" w:type="dxa"/>
              <w:bottom w:w="0" w:type="dxa"/>
              <w:right w:w="15" w:type="dxa"/>
            </w:tcMar>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8套</w:t>
            </w:r>
          </w:p>
        </w:tc>
        <w:tc>
          <w:tcPr>
            <w:tcW w:w="2750" w:type="dxa"/>
            <w:tcMar>
              <w:top w:w="15" w:type="dxa"/>
              <w:left w:w="15" w:type="dxa"/>
              <w:bottom w:w="0" w:type="dxa"/>
              <w:right w:w="15" w:type="dxa"/>
            </w:tcMar>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压力表指示是否正常</w:t>
            </w:r>
          </w:p>
        </w:tc>
        <w:tc>
          <w:tcPr>
            <w:tcW w:w="2034" w:type="dxa"/>
            <w:tcMar>
              <w:top w:w="15" w:type="dxa"/>
              <w:left w:w="15" w:type="dxa"/>
              <w:bottom w:w="0" w:type="dxa"/>
              <w:right w:w="15" w:type="dxa"/>
            </w:tcMar>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tcMar>
              <w:top w:w="15" w:type="dxa"/>
              <w:left w:w="15" w:type="dxa"/>
              <w:bottom w:w="0" w:type="dxa"/>
              <w:right w:w="15" w:type="dxa"/>
            </w:tcMar>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3</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前后门安全联锁装置</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4套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运行否正常</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4</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压力控制系统</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压力参数控制否正常</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5</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高温门封胶条</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4套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是否老化、有无漏气</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6</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PLC控制电气</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输出、触电是否松动</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7</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显示控制电气</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输出、触电是否松动</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8</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数据打印应系统</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输出、触电是否松动</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9</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气动高温进汽阀</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8套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是否老化、有无漏气</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10</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气动高温排汽阀</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8套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是否老化、有无漏气</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11</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气动阀电磁阀</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8套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是否老化、有无漏气</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12</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高温疏水阀</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4套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是否有堵塞、排水通畅</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13</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高温冷却器</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是否温度超高</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14</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不锈钢快卡管路</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20套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是否老化、有无漏气</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15</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供水系统</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是否有堵塞、供水通畅</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16</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门动系统</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4套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是否松动、有无磨损</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17</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灭菌器内室、压力温度</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2台</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是否精确</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18</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夹层焊接状况</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2台</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是否老化、有无漏气</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19</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内室焊接状况</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2台</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是否老化、有无漏气</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20</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不锈钢内外推车</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4台</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连接否松动、有无磨损</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21</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设备各机械结构</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2台</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是否松动、有无磨损</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bl>
    <w:p>
      <w:pPr>
        <w:pStyle w:val="14"/>
        <w:bidi w:val="0"/>
        <w:ind w:left="0" w:leftChars="0" w:firstLine="480" w:firstLineChars="200"/>
        <w:rPr>
          <w:rFonts w:hint="eastAsia" w:eastAsia="方正仿宋_GBK"/>
          <w:color w:val="auto"/>
          <w:lang w:eastAsia="zh-CN"/>
        </w:rPr>
      </w:pPr>
      <w:r>
        <w:rPr>
          <w:rFonts w:hint="eastAsia"/>
          <w:color w:val="auto"/>
          <w:lang w:eastAsia="zh-CN"/>
        </w:rPr>
        <w:t>（</w:t>
      </w:r>
      <w:r>
        <w:rPr>
          <w:rFonts w:hint="eastAsia"/>
          <w:color w:val="auto"/>
          <w:lang w:val="en-US" w:eastAsia="zh-CN"/>
        </w:rPr>
        <w:t>三</w:t>
      </w:r>
      <w:r>
        <w:rPr>
          <w:rFonts w:hint="eastAsia"/>
          <w:color w:val="auto"/>
          <w:lang w:eastAsia="zh-CN"/>
        </w:rPr>
        <w:t>）</w:t>
      </w:r>
      <w:r>
        <w:rPr>
          <w:rFonts w:hint="eastAsia"/>
          <w:color w:val="auto"/>
          <w:lang w:val="en-US" w:eastAsia="zh-CN"/>
        </w:rPr>
        <w:t>技术需求内容</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医院观音桥院区供应室脉动真空灭菌器维保服务，需要各供应商提供如下需求和服务：</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1.每月至少一次巡查，对设备运行状态进行检查，出具《巡查记录表》；每年至少</w:t>
      </w:r>
      <w:r>
        <w:rPr>
          <w:rFonts w:hint="default" w:ascii="Times New Roman" w:hAnsi="Times New Roman" w:cs="Times New Roman"/>
          <w:color w:val="auto"/>
          <w:sz w:val="24"/>
          <w:szCs w:val="24"/>
          <w:lang w:val="en-US" w:eastAsia="zh-CN"/>
        </w:rPr>
        <w:t>4</w:t>
      </w:r>
      <w:r>
        <w:rPr>
          <w:rFonts w:hint="eastAsia" w:ascii="Times New Roman" w:hAnsi="Times New Roman" w:cs="Times New Roman"/>
          <w:color w:val="auto"/>
          <w:sz w:val="24"/>
          <w:szCs w:val="24"/>
          <w:lang w:val="en-US" w:eastAsia="zh-CN"/>
        </w:rPr>
        <w:t>次维保，出具《维保报告》。</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2.保证设备≥95%（365*8*95%）的正常开机率，故障停机时间不得超过5%；若故障停机时间超过5%（146小时），根据停机时间按每小时1:2顺延维保服务。</w:t>
      </w:r>
    </w:p>
    <w:p>
      <w:pPr>
        <w:pStyle w:val="14"/>
        <w:numPr>
          <w:ilvl w:val="0"/>
          <w:numId w:val="0"/>
        </w:numPr>
        <w:bidi w:val="0"/>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3.维保内容：1）免费提供设备日常维修、维护、保养服务；2）各供应商需列明所需</w:t>
      </w:r>
      <w:bookmarkStart w:id="10" w:name="OLE_LINK1"/>
      <w:r>
        <w:rPr>
          <w:rFonts w:hint="eastAsia" w:ascii="Times New Roman" w:hAnsi="Times New Roman" w:cs="Times New Roman"/>
          <w:color w:val="auto"/>
          <w:sz w:val="24"/>
          <w:szCs w:val="24"/>
          <w:lang w:val="en-US" w:eastAsia="zh-CN"/>
        </w:rPr>
        <w:t>备品备件及</w:t>
      </w:r>
      <w:bookmarkEnd w:id="10"/>
      <w:r>
        <w:rPr>
          <w:rFonts w:hint="eastAsia" w:ascii="Times New Roman" w:hAnsi="Times New Roman" w:cs="Times New Roman"/>
          <w:color w:val="auto"/>
          <w:sz w:val="24"/>
          <w:szCs w:val="24"/>
          <w:lang w:val="en-US" w:eastAsia="zh-CN"/>
        </w:rPr>
        <w:t>易损件的品类以及相应品类的市场价格；3）单价300元及300元以下的备品备件及易损件由成交的供应商免费承担；4）单价大于300元以上的备品备件及易损件由供应商进行报价，出具报价承诺函（加盖公章），根据报价梯度作为磋商技术加分项评分；5）成交的供应商更换和维修大于300元以上的备品备件及易损件不在额外收取更换和维修的人工服务费和安装调试费等。</w:t>
      </w:r>
    </w:p>
    <w:p>
      <w:pPr>
        <w:pStyle w:val="14"/>
        <w:numPr>
          <w:ilvl w:val="0"/>
          <w:numId w:val="0"/>
        </w:numPr>
        <w:bidi w:val="0"/>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4.质控要求：定期进行设备的安全检测和维保服务，出具《巡查记录》和《维保报告》，确保设备和灭菌效果符合质量标准与要求。</w:t>
      </w:r>
    </w:p>
    <w:p>
      <w:pPr>
        <w:pStyle w:val="16"/>
        <w:bidi w:val="0"/>
        <w:rPr>
          <w:rFonts w:hint="default"/>
          <w:color w:val="auto"/>
          <w:lang w:val="en-US" w:eastAsia="zh-CN"/>
        </w:rPr>
      </w:pPr>
    </w:p>
    <w:p>
      <w:pPr>
        <w:pStyle w:val="16"/>
        <w:bidi w:val="0"/>
        <w:rPr>
          <w:rFonts w:hint="default"/>
          <w:color w:val="auto"/>
          <w:lang w:val="en-US" w:eastAsia="zh-CN"/>
        </w:rPr>
      </w:pPr>
    </w:p>
    <w:p>
      <w:pPr>
        <w:pStyle w:val="16"/>
        <w:bidi w:val="0"/>
        <w:rPr>
          <w:rFonts w:hint="default"/>
          <w:color w:val="auto"/>
          <w:lang w:val="en-US" w:eastAsia="zh-CN"/>
        </w:rPr>
      </w:pPr>
    </w:p>
    <w:p>
      <w:pPr>
        <w:pStyle w:val="16"/>
        <w:bidi w:val="0"/>
        <w:rPr>
          <w:rFonts w:hint="default"/>
          <w:color w:val="auto"/>
          <w:lang w:val="en-US" w:eastAsia="zh-CN"/>
        </w:rPr>
      </w:pPr>
    </w:p>
    <w:p>
      <w:pPr>
        <w:pStyle w:val="16"/>
        <w:bidi w:val="0"/>
        <w:rPr>
          <w:rFonts w:hint="default"/>
          <w:color w:val="auto"/>
          <w:lang w:val="en-US" w:eastAsia="zh-CN"/>
        </w:rPr>
      </w:pPr>
    </w:p>
    <w:p>
      <w:pPr>
        <w:pStyle w:val="16"/>
        <w:bidi w:val="0"/>
        <w:rPr>
          <w:rFonts w:hint="default"/>
          <w:color w:val="auto"/>
          <w:lang w:val="en-US" w:eastAsia="zh-CN"/>
        </w:rPr>
      </w:pPr>
    </w:p>
    <w:p>
      <w:pPr>
        <w:pStyle w:val="16"/>
        <w:bidi w:val="0"/>
        <w:rPr>
          <w:rFonts w:hint="default"/>
          <w:color w:val="auto"/>
          <w:lang w:val="en-US" w:eastAsia="zh-CN"/>
        </w:rPr>
      </w:pPr>
      <w:r>
        <w:rPr>
          <w:rFonts w:hint="default"/>
          <w:color w:val="auto"/>
          <w:lang w:val="en-US" w:eastAsia="zh-CN"/>
        </w:rPr>
        <w:t>第三篇 项目商务要求</w:t>
      </w:r>
    </w:p>
    <w:p>
      <w:pPr>
        <w:pStyle w:val="15"/>
        <w:bidi w:val="0"/>
        <w:rPr>
          <w:rFonts w:hint="eastAsia"/>
          <w:color w:val="auto"/>
          <w:lang w:eastAsia="zh-CN"/>
        </w:rPr>
      </w:pPr>
      <w:r>
        <w:rPr>
          <w:rFonts w:hint="eastAsia"/>
          <w:color w:val="auto"/>
          <w:lang w:eastAsia="zh-CN"/>
        </w:rPr>
        <w:t>一、服务实施时间、地点及验收方式</w:t>
      </w:r>
    </w:p>
    <w:p>
      <w:pPr>
        <w:pStyle w:val="14"/>
        <w:bidi w:val="0"/>
        <w:rPr>
          <w:rFonts w:hint="eastAsia"/>
          <w:color w:val="auto"/>
          <w:lang w:eastAsia="zh-CN"/>
        </w:rPr>
      </w:pPr>
      <w:r>
        <w:rPr>
          <w:rFonts w:hint="eastAsia"/>
          <w:color w:val="auto"/>
          <w:lang w:eastAsia="zh-CN"/>
        </w:rPr>
        <w:t>（一）服务实施时间：</w:t>
      </w:r>
    </w:p>
    <w:p>
      <w:pPr>
        <w:pStyle w:val="14"/>
        <w:bidi w:val="0"/>
        <w:rPr>
          <w:rFonts w:hint="eastAsia"/>
          <w:color w:val="auto"/>
          <w:lang w:eastAsia="zh-CN"/>
        </w:rPr>
      </w:pPr>
      <w:r>
        <w:rPr>
          <w:rFonts w:hint="eastAsia"/>
          <w:color w:val="auto"/>
          <w:lang w:val="en-US" w:eastAsia="zh-CN"/>
        </w:rPr>
        <w:t>中标的</w:t>
      </w:r>
      <w:r>
        <w:rPr>
          <w:rFonts w:hint="eastAsia"/>
          <w:color w:val="auto"/>
          <w:lang w:eastAsia="zh-CN"/>
        </w:rPr>
        <w:t>供应商应在合同签订之日起，立即对采购人所需</w:t>
      </w:r>
      <w:r>
        <w:rPr>
          <w:rFonts w:hint="eastAsia"/>
          <w:color w:val="auto"/>
          <w:lang w:val="en-US" w:eastAsia="zh-CN"/>
        </w:rPr>
        <w:t>服务</w:t>
      </w:r>
      <w:r>
        <w:rPr>
          <w:rFonts w:hint="eastAsia"/>
          <w:color w:val="auto"/>
          <w:lang w:eastAsia="zh-CN"/>
        </w:rPr>
        <w:t>项目开展现场调查，</w:t>
      </w:r>
      <w:r>
        <w:rPr>
          <w:rFonts w:hint="eastAsia"/>
          <w:color w:val="auto"/>
          <w:lang w:val="en-US" w:eastAsia="zh-CN"/>
        </w:rPr>
        <w:t>五</w:t>
      </w:r>
      <w:r>
        <w:rPr>
          <w:rFonts w:hint="eastAsia"/>
          <w:color w:val="auto"/>
          <w:lang w:eastAsia="zh-CN"/>
        </w:rPr>
        <w:t>个工作日内完成</w:t>
      </w:r>
      <w:r>
        <w:rPr>
          <w:rFonts w:hint="eastAsia"/>
          <w:color w:val="auto"/>
          <w:lang w:val="en-US" w:eastAsia="zh-CN"/>
        </w:rPr>
        <w:t>合同期内的第一次维保技术服务，确保设备正常运行，</w:t>
      </w:r>
      <w:r>
        <w:rPr>
          <w:rFonts w:hint="eastAsia" w:ascii="Times New Roman" w:hAnsi="Times New Roman" w:cs="Times New Roman"/>
          <w:sz w:val="24"/>
          <w:szCs w:val="24"/>
        </w:rPr>
        <w:t>确保</w:t>
      </w:r>
      <w:r>
        <w:rPr>
          <w:rFonts w:hint="eastAsia" w:ascii="Times New Roman" w:hAnsi="Times New Roman" w:cs="Times New Roman"/>
          <w:sz w:val="24"/>
          <w:szCs w:val="24"/>
          <w:lang w:val="en-US" w:eastAsia="zh-CN"/>
        </w:rPr>
        <w:t>灭菌效果</w:t>
      </w:r>
      <w:r>
        <w:rPr>
          <w:rFonts w:hint="eastAsia" w:ascii="Times New Roman" w:hAnsi="Times New Roman" w:cs="Times New Roman"/>
          <w:sz w:val="24"/>
          <w:szCs w:val="24"/>
        </w:rPr>
        <w:t>符合质量要求</w:t>
      </w:r>
      <w:r>
        <w:rPr>
          <w:rFonts w:hint="eastAsia" w:ascii="Times New Roman" w:hAnsi="Times New Roman" w:cs="Times New Roman"/>
          <w:sz w:val="24"/>
          <w:szCs w:val="24"/>
          <w:lang w:eastAsia="zh-CN"/>
        </w:rPr>
        <w:t>，</w:t>
      </w:r>
      <w:r>
        <w:rPr>
          <w:rFonts w:hint="eastAsia"/>
          <w:color w:val="auto"/>
          <w:lang w:val="en-US" w:eastAsia="zh-CN"/>
        </w:rPr>
        <w:t>出具维保报告</w:t>
      </w:r>
      <w:r>
        <w:rPr>
          <w:rFonts w:hint="eastAsia"/>
          <w:color w:val="auto"/>
          <w:lang w:eastAsia="zh-CN"/>
        </w:rPr>
        <w:t>。</w:t>
      </w:r>
    </w:p>
    <w:p>
      <w:pPr>
        <w:pStyle w:val="14"/>
        <w:bidi w:val="0"/>
        <w:rPr>
          <w:rFonts w:hint="eastAsia"/>
          <w:color w:val="auto"/>
          <w:lang w:val="en-US" w:eastAsia="zh-CN"/>
        </w:rPr>
      </w:pPr>
      <w:r>
        <w:rPr>
          <w:rFonts w:hint="eastAsia"/>
          <w:color w:val="auto"/>
          <w:lang w:val="en-US" w:eastAsia="zh-CN"/>
        </w:rPr>
        <w:t>（二）服务实施地点：重庆市红十字会医院（江北区人民医院）观音桥院区供应室，具体地点由重庆市红十字会医院（江北区人民医院）指定。</w:t>
      </w:r>
    </w:p>
    <w:p>
      <w:pPr>
        <w:pStyle w:val="14"/>
        <w:bidi w:val="0"/>
        <w:rPr>
          <w:rFonts w:hint="eastAsia"/>
          <w:color w:val="auto"/>
          <w:lang w:eastAsia="zh-CN"/>
        </w:rPr>
      </w:pPr>
      <w:r>
        <w:rPr>
          <w:rFonts w:hint="eastAsia"/>
          <w:color w:val="auto"/>
          <w:lang w:eastAsia="zh-CN"/>
        </w:rPr>
        <w:t>（三）服务验收方式：</w:t>
      </w:r>
      <w:r>
        <w:rPr>
          <w:rFonts w:hint="eastAsia" w:ascii="Times New Roman" w:hAnsi="Times New Roman" w:cs="Times New Roman"/>
          <w:color w:val="auto"/>
          <w:sz w:val="24"/>
          <w:szCs w:val="24"/>
          <w:lang w:val="en-US" w:eastAsia="zh-CN"/>
        </w:rPr>
        <w:t>每月经科室负责人确认“合格”的《巡查记录表》</w:t>
      </w:r>
      <w:r>
        <w:rPr>
          <w:rFonts w:hint="eastAsia"/>
          <w:color w:val="auto"/>
          <w:lang w:eastAsia="zh-CN"/>
        </w:rPr>
        <w:t>。</w:t>
      </w:r>
    </w:p>
    <w:p>
      <w:pPr>
        <w:pStyle w:val="14"/>
        <w:bidi w:val="0"/>
        <w:rPr>
          <w:rFonts w:hint="default"/>
          <w:color w:val="auto"/>
          <w:lang w:val="en-US" w:eastAsia="zh-CN"/>
        </w:rPr>
      </w:pPr>
      <w:r>
        <w:rPr>
          <w:rFonts w:hint="eastAsia"/>
          <w:color w:val="auto"/>
          <w:lang w:val="en-US" w:eastAsia="zh-CN"/>
        </w:rPr>
        <w:t>（四）具体验收步骤：中标的供应商与后勤保障科（医学装备科）以及供应室共同按照设备维保的要求和相关的灭菌质量标准进行设备初次维护保养，确认和确保医疗设备以及灭菌效果符合质量标准，中标的供应商出具合格的《维保报告》，医院后勤保障科（医学装备科）以及使用的临床科室签字确认。</w:t>
      </w:r>
    </w:p>
    <w:p>
      <w:pPr>
        <w:pStyle w:val="15"/>
        <w:bidi w:val="0"/>
        <w:rPr>
          <w:rFonts w:hint="eastAsia"/>
          <w:color w:val="auto"/>
          <w:lang w:eastAsia="zh-CN"/>
        </w:rPr>
      </w:pPr>
      <w:r>
        <w:rPr>
          <w:rFonts w:hint="eastAsia"/>
          <w:color w:val="auto"/>
          <w:lang w:eastAsia="zh-CN"/>
        </w:rPr>
        <w:t>二、服务要求</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color w:val="auto"/>
          <w:lang w:eastAsia="zh-CN"/>
        </w:rPr>
        <w:t>（一）</w:t>
      </w:r>
      <w:r>
        <w:rPr>
          <w:rFonts w:hint="eastAsia" w:ascii="Times New Roman" w:hAnsi="Times New Roman" w:cs="Times New Roman"/>
          <w:color w:val="auto"/>
          <w:sz w:val="24"/>
          <w:szCs w:val="24"/>
          <w:lang w:val="en-US" w:eastAsia="zh-CN"/>
        </w:rPr>
        <w:t>每月至少一次巡查，对设备运行状态进行检查，出具《巡查记录表》；每年至少</w:t>
      </w:r>
      <w:r>
        <w:rPr>
          <w:rFonts w:hint="default" w:ascii="Times New Roman" w:hAnsi="Times New Roman" w:cs="Times New Roman"/>
          <w:color w:val="auto"/>
          <w:sz w:val="24"/>
          <w:szCs w:val="24"/>
          <w:lang w:val="en-US" w:eastAsia="zh-CN"/>
        </w:rPr>
        <w:t>4</w:t>
      </w:r>
      <w:r>
        <w:rPr>
          <w:rFonts w:hint="eastAsia" w:ascii="Times New Roman" w:hAnsi="Times New Roman" w:cs="Times New Roman"/>
          <w:color w:val="auto"/>
          <w:sz w:val="24"/>
          <w:szCs w:val="24"/>
          <w:lang w:val="en-US" w:eastAsia="zh-CN"/>
        </w:rPr>
        <w:t>次维保，出具《维保报告》。</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（二）工程师应具备本项目维保设备维修资质，响应供应商所提供的零备件必须是全新、合格、质量可靠的原厂零备件（以厂家库房的出库单为凭证），以满足设备运行要求，不会给设备带来安全隐患。</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（三）故障处置与备件更换不限次数。所有类型的故障处置完毕后必须留工作记录给采购人备案。</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（四）维保服务内容</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1.供应商在维保期内应当为采购人提供以下技术支持和服务：</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（1）电话咨询</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供应商应当为采购人提供24小时技术援助电话，解答采购人在使用中遇到的问题，及时为采购人提出解决问题的建议。</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（2）现场响应</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采购人遇到使用及技术问题，电话咨询不能解决的，供应商应在2小时内响应，4小时到达现场进行维修处理，确保产品正常工作，24小时内解决故障；无法在24小时内解决的，应在48小时内提供备用产品，使采购人能够正常使用。</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（3）维护保养</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每次巡查或维护保养时，供应商派出的人员要填写巡记录或出具维保报告，交采购人后勤保障科（医学装备科）和使用科室各1份，供应商自存1份以备查。除不可抗力和采购人责任外，维保期内因维修保养产生的费用全部由供应商承担。</w:t>
      </w:r>
    </w:p>
    <w:p>
      <w:pPr>
        <w:pStyle w:val="14"/>
        <w:bidi w:val="0"/>
        <w:rPr>
          <w:rFonts w:hint="eastAsia"/>
          <w:color w:val="auto"/>
          <w:highlight w:val="none"/>
          <w:lang w:eastAsia="zh-CN"/>
        </w:rPr>
      </w:pPr>
      <w:r>
        <w:rPr>
          <w:rFonts w:hint="eastAsia"/>
          <w:color w:val="auto"/>
          <w:highlight w:val="none"/>
          <w:lang w:eastAsia="zh-CN"/>
        </w:rPr>
        <w:t>（4）技术升级</w:t>
      </w:r>
    </w:p>
    <w:p>
      <w:pPr>
        <w:pStyle w:val="14"/>
        <w:bidi w:val="0"/>
        <w:rPr>
          <w:rFonts w:hint="eastAsia"/>
          <w:color w:val="auto"/>
          <w:highlight w:val="none"/>
          <w:lang w:eastAsia="zh-CN"/>
        </w:rPr>
      </w:pPr>
      <w:r>
        <w:rPr>
          <w:rFonts w:hint="eastAsia"/>
          <w:color w:val="auto"/>
          <w:highlight w:val="none"/>
          <w:lang w:eastAsia="zh-CN"/>
        </w:rPr>
        <w:t>在</w:t>
      </w:r>
      <w:r>
        <w:rPr>
          <w:rFonts w:hint="eastAsia"/>
          <w:color w:val="auto"/>
          <w:highlight w:val="none"/>
          <w:lang w:val="en-US" w:eastAsia="zh-CN"/>
        </w:rPr>
        <w:t>维保</w:t>
      </w:r>
      <w:r>
        <w:rPr>
          <w:rFonts w:hint="eastAsia"/>
          <w:color w:val="auto"/>
          <w:highlight w:val="none"/>
          <w:lang w:eastAsia="zh-CN"/>
        </w:rPr>
        <w:t>期内，如果产品技术升级，供应商应及时通知采购人，如采购人有相应要求，供应商应对采购人购买的产品进行免费升级服务。</w:t>
      </w:r>
    </w:p>
    <w:p>
      <w:pPr>
        <w:pStyle w:val="14"/>
        <w:bidi w:val="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其他</w:t>
      </w:r>
      <w:r>
        <w:rPr>
          <w:rFonts w:hint="eastAsia"/>
          <w:color w:val="auto"/>
          <w:highlight w:val="none"/>
          <w:lang w:val="en-US" w:eastAsia="zh-CN"/>
        </w:rPr>
        <w:t>维保</w:t>
      </w:r>
      <w:r>
        <w:rPr>
          <w:rFonts w:hint="eastAsia"/>
          <w:color w:val="auto"/>
          <w:highlight w:val="none"/>
          <w:lang w:eastAsia="zh-CN"/>
        </w:rPr>
        <w:t>服务要求：</w:t>
      </w:r>
    </w:p>
    <w:p>
      <w:pPr>
        <w:pStyle w:val="14"/>
        <w:numPr>
          <w:ilvl w:val="0"/>
          <w:numId w:val="0"/>
        </w:numPr>
        <w:bidi w:val="0"/>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维保期内，供应商保证设备的正常开机率≥95%（365*8*95%），以365天为一个计算周期，故障停机时间不得超过5%，即因设备维保问题导致的停机时间不得超过18个日历日（146小时）。若因维保导致的设备停机时间超过18个日历日（146小时），根据停机时间按每小时1:2顺延维保服务。</w:t>
      </w:r>
    </w:p>
    <w:p>
      <w:pPr>
        <w:pStyle w:val="14"/>
        <w:bidi w:val="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维保</w:t>
      </w:r>
      <w:r>
        <w:rPr>
          <w:rFonts w:hint="eastAsia"/>
          <w:color w:val="auto"/>
          <w:highlight w:val="none"/>
          <w:lang w:eastAsia="zh-CN"/>
        </w:rPr>
        <w:t>期内，更换的产品及零部件应该为原厂产品或零部件，符合产品和零部件的质保期限要求，未经采购人书面同意不得使用非原厂配件。</w:t>
      </w:r>
    </w:p>
    <w:p>
      <w:pPr>
        <w:pStyle w:val="14"/>
        <w:bidi w:val="0"/>
        <w:rPr>
          <w:rFonts w:hint="eastAsia"/>
          <w:color w:val="auto"/>
          <w:highlight w:val="none"/>
          <w:lang w:eastAsia="zh-CN"/>
        </w:rPr>
      </w:pPr>
      <w:r>
        <w:rPr>
          <w:rFonts w:hint="eastAsia"/>
          <w:color w:val="auto"/>
          <w:highlight w:val="none"/>
          <w:lang w:eastAsia="zh-CN"/>
        </w:rPr>
        <w:t>（3）因</w:t>
      </w:r>
      <w:r>
        <w:rPr>
          <w:rFonts w:hint="eastAsia"/>
          <w:color w:val="auto"/>
          <w:highlight w:val="none"/>
          <w:lang w:val="en-US" w:eastAsia="zh-CN"/>
        </w:rPr>
        <w:t>所使用耗材或零配件</w:t>
      </w:r>
      <w:r>
        <w:rPr>
          <w:rFonts w:hint="eastAsia"/>
          <w:color w:val="auto"/>
          <w:highlight w:val="none"/>
          <w:lang w:eastAsia="zh-CN"/>
        </w:rPr>
        <w:t>本身的质量问题发生故障，由供应商进行免费包修、包换、包退（指商品整体、非部件），并承担修理、更换或退货产生的全部费用。</w:t>
      </w:r>
    </w:p>
    <w:p>
      <w:pPr>
        <w:pStyle w:val="14"/>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）一般</w:t>
      </w:r>
      <w:r>
        <w:rPr>
          <w:rFonts w:hint="eastAsia"/>
          <w:color w:val="auto"/>
          <w:highlight w:val="none"/>
          <w:lang w:val="en-US" w:eastAsia="zh-CN"/>
        </w:rPr>
        <w:t>零配件</w:t>
      </w:r>
      <w:r>
        <w:rPr>
          <w:rFonts w:hint="eastAsia"/>
          <w:color w:val="auto"/>
          <w:highlight w:val="none"/>
          <w:lang w:eastAsia="zh-CN"/>
        </w:rPr>
        <w:t>质量问题，修理两次仍达不到质量要求的，供应商应为采购人更换本项目约定的</w:t>
      </w:r>
      <w:r>
        <w:rPr>
          <w:rFonts w:hint="eastAsia"/>
          <w:color w:val="auto"/>
          <w:highlight w:val="none"/>
          <w:lang w:val="en-US" w:eastAsia="zh-CN"/>
        </w:rPr>
        <w:t>原厂零配件，具体金额以合同约定的价格为准</w:t>
      </w:r>
      <w:r>
        <w:rPr>
          <w:rFonts w:hint="eastAsia"/>
          <w:color w:val="auto"/>
          <w:highlight w:val="none"/>
          <w:lang w:eastAsia="zh-CN"/>
        </w:rPr>
        <w:t>。</w:t>
      </w:r>
    </w:p>
    <w:p>
      <w:pPr>
        <w:pStyle w:val="14"/>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）因</w:t>
      </w:r>
      <w:r>
        <w:rPr>
          <w:rFonts w:hint="eastAsia"/>
          <w:color w:val="auto"/>
          <w:highlight w:val="none"/>
          <w:lang w:val="en-US" w:eastAsia="zh-CN"/>
        </w:rPr>
        <w:t>维保服务质量以及更换的耗材、零配件质量</w:t>
      </w:r>
      <w:r>
        <w:rPr>
          <w:rFonts w:hint="eastAsia"/>
          <w:color w:val="auto"/>
          <w:highlight w:val="none"/>
          <w:lang w:eastAsia="zh-CN"/>
        </w:rPr>
        <w:t>问题给采购人造成损失的，供应商应按有关法律、法规的规定、合同约定进行赔偿。</w:t>
      </w:r>
    </w:p>
    <w:p>
      <w:pPr>
        <w:pStyle w:val="14"/>
        <w:bidi w:val="0"/>
        <w:rPr>
          <w:rFonts w:hint="eastAsia"/>
          <w:color w:val="auto"/>
          <w:highlight w:val="none"/>
          <w:lang w:eastAsia="zh-CN"/>
        </w:rPr>
      </w:pPr>
      <w:r>
        <w:rPr>
          <w:rFonts w:hint="eastAsia"/>
          <w:color w:val="auto"/>
          <w:highlight w:val="none"/>
          <w:lang w:val="en-US" w:eastAsia="zh-CN"/>
        </w:rPr>
        <w:t>3.维保</w:t>
      </w:r>
      <w:r>
        <w:rPr>
          <w:rFonts w:hint="eastAsia"/>
          <w:color w:val="auto"/>
          <w:highlight w:val="none"/>
          <w:lang w:eastAsia="zh-CN"/>
        </w:rPr>
        <w:t>期外服务要求：</w:t>
      </w:r>
      <w:r>
        <w:rPr>
          <w:rFonts w:hint="eastAsia"/>
          <w:color w:val="auto"/>
          <w:highlight w:val="none"/>
          <w:lang w:val="en-US" w:eastAsia="zh-CN"/>
        </w:rPr>
        <w:t>维保</w:t>
      </w:r>
      <w:r>
        <w:rPr>
          <w:rFonts w:hint="eastAsia"/>
          <w:color w:val="auto"/>
          <w:highlight w:val="none"/>
          <w:lang w:eastAsia="zh-CN"/>
        </w:rPr>
        <w:t>期届满后，供应商保证：仍提供免费电话咨询服务，并承诺</w:t>
      </w:r>
      <w:r>
        <w:rPr>
          <w:rFonts w:hint="eastAsia"/>
          <w:color w:val="auto"/>
          <w:highlight w:val="none"/>
          <w:lang w:val="en-US" w:eastAsia="zh-CN"/>
        </w:rPr>
        <w:t>以优惠价格</w:t>
      </w:r>
      <w:r>
        <w:rPr>
          <w:rFonts w:hint="eastAsia"/>
          <w:color w:val="auto"/>
          <w:highlight w:val="none"/>
          <w:lang w:eastAsia="zh-CN"/>
        </w:rPr>
        <w:t>提供上门维护服务。</w:t>
      </w:r>
    </w:p>
    <w:p>
      <w:pPr>
        <w:pStyle w:val="14"/>
        <w:bidi w:val="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）随机备品、附件、工具数量及供应方法：</w:t>
      </w:r>
      <w:r>
        <w:rPr>
          <w:rFonts w:hint="eastAsia"/>
          <w:color w:val="auto"/>
          <w:highlight w:val="none"/>
          <w:lang w:val="en-US" w:eastAsia="zh-CN"/>
        </w:rPr>
        <w:t>无。</w:t>
      </w:r>
    </w:p>
    <w:p>
      <w:pPr>
        <w:pStyle w:val="15"/>
        <w:bidi w:val="0"/>
        <w:rPr>
          <w:rFonts w:hint="eastAsia"/>
          <w:color w:val="auto"/>
          <w:lang w:eastAsia="zh-CN"/>
        </w:rPr>
      </w:pPr>
      <w:r>
        <w:rPr>
          <w:rFonts w:hint="eastAsia"/>
          <w:color w:val="auto"/>
          <w:lang w:eastAsia="zh-CN"/>
        </w:rPr>
        <w:t>三、报价要求</w:t>
      </w:r>
    </w:p>
    <w:p>
      <w:pPr>
        <w:pStyle w:val="14"/>
        <w:bidi w:val="0"/>
        <w:rPr>
          <w:rFonts w:hint="eastAsia"/>
          <w:color w:val="auto"/>
          <w:lang w:eastAsia="zh-CN"/>
        </w:rPr>
      </w:pPr>
      <w:r>
        <w:rPr>
          <w:rFonts w:hint="eastAsia"/>
          <w:color w:val="auto"/>
          <w:lang w:eastAsia="zh-CN"/>
        </w:rPr>
        <w:t>（一）按单项目进行报价。</w:t>
      </w:r>
    </w:p>
    <w:p>
      <w:pPr>
        <w:pStyle w:val="14"/>
        <w:bidi w:val="0"/>
        <w:rPr>
          <w:rFonts w:hint="eastAsia"/>
          <w:color w:val="auto"/>
          <w:lang w:eastAsia="zh-CN"/>
        </w:rPr>
      </w:pPr>
      <w:r>
        <w:rPr>
          <w:rFonts w:hint="eastAsia"/>
          <w:color w:val="auto"/>
          <w:lang w:eastAsia="zh-CN"/>
        </w:rPr>
        <w:t>（二）在单价限价和预算总价内报价，超出单价限价和预算总价的报价无效。</w:t>
      </w:r>
    </w:p>
    <w:p>
      <w:pPr>
        <w:pStyle w:val="14"/>
        <w:bidi w:val="0"/>
        <w:rPr>
          <w:rFonts w:hint="eastAsia"/>
          <w:color w:val="auto"/>
          <w:lang w:eastAsia="zh-CN"/>
        </w:rPr>
      </w:pPr>
      <w:r>
        <w:rPr>
          <w:rFonts w:hint="eastAsia"/>
          <w:color w:val="auto"/>
          <w:lang w:eastAsia="zh-CN"/>
        </w:rPr>
        <w:t>（三）本项目报价为完成本项目的全部金额，报价须为人民币报价（本项目货币币制如未作特别说明均为人民币）。</w:t>
      </w:r>
    </w:p>
    <w:p>
      <w:pPr>
        <w:pStyle w:val="14"/>
        <w:bidi w:val="0"/>
        <w:rPr>
          <w:rFonts w:hint="eastAsia"/>
          <w:color w:val="auto"/>
          <w:lang w:eastAsia="zh-CN"/>
        </w:rPr>
      </w:pPr>
      <w:r>
        <w:rPr>
          <w:rFonts w:hint="eastAsia"/>
          <w:color w:val="auto"/>
          <w:lang w:eastAsia="zh-CN"/>
        </w:rPr>
        <w:t>（四）报价费用包括</w:t>
      </w:r>
      <w:r>
        <w:rPr>
          <w:rFonts w:hint="eastAsia"/>
          <w:color w:val="auto"/>
          <w:lang w:val="en-US" w:eastAsia="zh-CN"/>
        </w:rPr>
        <w:t>维保</w:t>
      </w:r>
      <w:r>
        <w:rPr>
          <w:rFonts w:hint="eastAsia"/>
          <w:color w:val="auto"/>
          <w:lang w:eastAsia="zh-CN"/>
        </w:rPr>
        <w:t>费（含人工、</w:t>
      </w:r>
      <w:r>
        <w:rPr>
          <w:rFonts w:hint="eastAsia"/>
          <w:color w:val="auto"/>
          <w:lang w:val="en-US" w:eastAsia="zh-CN"/>
        </w:rPr>
        <w:t>300元以内的备品备件和易损件、耗材</w:t>
      </w:r>
      <w:r>
        <w:rPr>
          <w:rFonts w:hint="eastAsia"/>
          <w:color w:val="auto"/>
          <w:lang w:eastAsia="zh-CN"/>
        </w:rPr>
        <w:t>等费用）、</w:t>
      </w:r>
      <w:r>
        <w:rPr>
          <w:rFonts w:hint="eastAsia"/>
          <w:color w:val="auto"/>
          <w:lang w:val="en-US" w:eastAsia="zh-CN"/>
        </w:rPr>
        <w:t>运输费、保险费、</w:t>
      </w:r>
      <w:r>
        <w:rPr>
          <w:rFonts w:hint="eastAsia"/>
          <w:color w:val="auto"/>
          <w:lang w:eastAsia="zh-CN"/>
        </w:rPr>
        <w:t>资料费、</w:t>
      </w:r>
      <w:r>
        <w:rPr>
          <w:rFonts w:hint="eastAsia"/>
          <w:color w:val="auto"/>
          <w:lang w:val="en-US" w:eastAsia="zh-CN"/>
        </w:rPr>
        <w:t>安装调试费、</w:t>
      </w:r>
      <w:r>
        <w:rPr>
          <w:rFonts w:hint="eastAsia"/>
          <w:color w:val="auto"/>
          <w:lang w:eastAsia="zh-CN"/>
        </w:rPr>
        <w:t>税费（含个人所得税）、利润、风险管理等所有完成此项服务</w:t>
      </w:r>
      <w:r>
        <w:rPr>
          <w:rFonts w:hint="eastAsia"/>
          <w:color w:val="auto"/>
          <w:lang w:val="en-US" w:eastAsia="zh-CN"/>
        </w:rPr>
        <w:t>的</w:t>
      </w:r>
      <w:r>
        <w:rPr>
          <w:rFonts w:hint="eastAsia"/>
          <w:color w:val="auto"/>
          <w:lang w:eastAsia="zh-CN"/>
        </w:rPr>
        <w:t>一切费用。</w:t>
      </w:r>
      <w:r>
        <w:rPr>
          <w:rFonts w:hint="eastAsia"/>
          <w:color w:val="auto"/>
          <w:lang w:val="en-US" w:eastAsia="zh-CN"/>
        </w:rPr>
        <w:t>除招标文件以及合同约定的</w:t>
      </w:r>
      <w:r>
        <w:rPr>
          <w:rFonts w:hint="eastAsia" w:ascii="Times New Roman" w:hAnsi="Times New Roman" w:cs="Times New Roman"/>
          <w:sz w:val="24"/>
          <w:szCs w:val="24"/>
          <w:lang w:val="en-US" w:eastAsia="zh-CN"/>
        </w:rPr>
        <w:t>备品备件和易损件外</w:t>
      </w:r>
      <w:r>
        <w:rPr>
          <w:rFonts w:hint="eastAsia" w:ascii="Times New Roman" w:hAnsi="Times New Roman" w:cs="Times New Roman"/>
          <w:color w:val="auto"/>
          <w:sz w:val="24"/>
          <w:szCs w:val="24"/>
          <w:lang w:val="en-US" w:eastAsia="zh-CN"/>
        </w:rPr>
        <w:t>，</w:t>
      </w:r>
      <w:r>
        <w:rPr>
          <w:rFonts w:hint="eastAsia"/>
          <w:color w:val="auto"/>
          <w:lang w:eastAsia="zh-CN"/>
        </w:rPr>
        <w:t>采购人无须另行向供应商支付之外的其他任何费用。因供应商自身原因造成漏报、少报皆由其自行承担责任，采购人不再补偿。</w:t>
      </w:r>
    </w:p>
    <w:p>
      <w:pPr>
        <w:pStyle w:val="14"/>
        <w:bidi w:val="0"/>
        <w:rPr>
          <w:rFonts w:hint="eastAsia"/>
          <w:color w:val="auto"/>
          <w:lang w:eastAsia="zh-CN"/>
        </w:rPr>
      </w:pPr>
      <w:r>
        <w:rPr>
          <w:rFonts w:hint="eastAsia"/>
          <w:color w:val="auto"/>
          <w:lang w:eastAsia="zh-CN"/>
        </w:rPr>
        <w:t>（五）经磋商确定最终报价结果的，供应商应当按照报价情况提交书面承诺及最后报价，未提交的供应商视为放弃，做废标处理。</w:t>
      </w:r>
    </w:p>
    <w:p>
      <w:pPr>
        <w:pStyle w:val="15"/>
        <w:bidi w:val="0"/>
        <w:rPr>
          <w:rFonts w:hint="eastAsia"/>
          <w:color w:val="auto"/>
          <w:lang w:eastAsia="zh-CN"/>
        </w:rPr>
      </w:pPr>
      <w:r>
        <w:rPr>
          <w:rFonts w:hint="eastAsia"/>
          <w:color w:val="auto"/>
          <w:lang w:eastAsia="zh-CN"/>
        </w:rPr>
        <w:t>四、付款方式</w:t>
      </w:r>
    </w:p>
    <w:p>
      <w:pPr>
        <w:pStyle w:val="14"/>
        <w:bidi w:val="0"/>
        <w:rPr>
          <w:rFonts w:hint="eastAsia"/>
          <w:color w:val="auto"/>
          <w:lang w:eastAsia="zh-CN"/>
        </w:rPr>
      </w:pPr>
      <w:r>
        <w:rPr>
          <w:rFonts w:hint="eastAsia"/>
          <w:color w:val="auto"/>
          <w:lang w:eastAsia="zh-CN"/>
        </w:rPr>
        <w:t>（一）</w:t>
      </w:r>
      <w:r>
        <w:rPr>
          <w:rFonts w:hint="eastAsia"/>
          <w:color w:val="auto"/>
          <w:lang w:val="en-US" w:eastAsia="zh-CN"/>
        </w:rPr>
        <w:t>服务期限一年，按月支付，根据供应商完成维保服务的情况，根据设备实际维保月份、数量和单价据实结算</w:t>
      </w:r>
      <w:r>
        <w:rPr>
          <w:rFonts w:hint="eastAsia"/>
          <w:color w:val="auto"/>
          <w:lang w:eastAsia="zh-CN"/>
        </w:rPr>
        <w:t>。</w:t>
      </w:r>
    </w:p>
    <w:p>
      <w:pPr>
        <w:pStyle w:val="14"/>
        <w:bidi w:val="0"/>
        <w:rPr>
          <w:rFonts w:hint="eastAsia"/>
          <w:color w:val="auto"/>
          <w:lang w:eastAsia="zh-CN"/>
        </w:rPr>
      </w:pPr>
      <w:r>
        <w:rPr>
          <w:rFonts w:hint="eastAsia"/>
          <w:color w:val="auto"/>
          <w:lang w:eastAsia="zh-CN"/>
        </w:rPr>
        <w:t>（</w:t>
      </w:r>
      <w:r>
        <w:rPr>
          <w:rFonts w:hint="eastAsia"/>
          <w:color w:val="auto"/>
          <w:lang w:val="en-US" w:eastAsia="zh-CN"/>
        </w:rPr>
        <w:t>二</w:t>
      </w:r>
      <w:r>
        <w:rPr>
          <w:rFonts w:hint="eastAsia"/>
          <w:color w:val="auto"/>
          <w:lang w:eastAsia="zh-CN"/>
        </w:rPr>
        <w:t>）</w:t>
      </w:r>
      <w:r>
        <w:rPr>
          <w:rFonts w:hint="eastAsia"/>
          <w:color w:val="auto"/>
          <w:lang w:val="en-US" w:eastAsia="zh-CN"/>
        </w:rPr>
        <w:t>付款条件</w:t>
      </w:r>
      <w:r>
        <w:rPr>
          <w:rFonts w:hint="eastAsia"/>
          <w:color w:val="auto"/>
          <w:lang w:eastAsia="zh-CN"/>
        </w:rPr>
        <w:t>：</w:t>
      </w:r>
      <w:r>
        <w:rPr>
          <w:rFonts w:hint="eastAsia"/>
          <w:color w:val="auto"/>
          <w:lang w:val="en-US" w:eastAsia="zh-CN"/>
        </w:rPr>
        <w:t>成交的供应商每月出具</w:t>
      </w:r>
      <w:r>
        <w:rPr>
          <w:rFonts w:hint="eastAsia" w:ascii="Times New Roman" w:hAnsi="Times New Roman" w:cs="Times New Roman"/>
          <w:color w:val="auto"/>
          <w:sz w:val="24"/>
          <w:szCs w:val="24"/>
          <w:lang w:val="en-US" w:eastAsia="zh-CN"/>
        </w:rPr>
        <w:t>经供应室负责人签字确认并“合格”的《巡查记录表》作为付款的条件</w:t>
      </w:r>
      <w:r>
        <w:rPr>
          <w:rFonts w:hint="eastAsia"/>
          <w:color w:val="auto"/>
          <w:lang w:eastAsia="zh-CN"/>
        </w:rPr>
        <w:t>。</w:t>
      </w:r>
    </w:p>
    <w:p>
      <w:pPr>
        <w:pStyle w:val="14"/>
        <w:bidi w:val="0"/>
        <w:rPr>
          <w:rFonts w:hint="eastAsia"/>
          <w:color w:val="auto"/>
          <w:lang w:eastAsia="zh-CN"/>
        </w:rPr>
      </w:pPr>
      <w:r>
        <w:rPr>
          <w:rFonts w:hint="eastAsia"/>
          <w:color w:val="auto"/>
          <w:lang w:eastAsia="zh-CN"/>
        </w:rPr>
        <w:t>（</w:t>
      </w:r>
      <w:r>
        <w:rPr>
          <w:rFonts w:hint="eastAsia"/>
          <w:color w:val="auto"/>
          <w:lang w:val="en-US" w:eastAsia="zh-CN"/>
        </w:rPr>
        <w:t>三</w:t>
      </w:r>
      <w:r>
        <w:rPr>
          <w:rFonts w:hint="eastAsia"/>
          <w:color w:val="auto"/>
          <w:lang w:eastAsia="zh-CN"/>
        </w:rPr>
        <w:t>）供应商向采购人开具与应付款等额的增值税发票是采购人支付合同价款的条件，若供应商未向采购人交付与应付款项等额的增值税发票，采购人有权拒绝向供应商支付合同价款，且采购人不因此承担拒绝付款的违约责任。</w:t>
      </w:r>
    </w:p>
    <w:p>
      <w:pPr>
        <w:pStyle w:val="14"/>
        <w:bidi w:val="0"/>
        <w:rPr>
          <w:rFonts w:hint="eastAsia"/>
          <w:color w:val="auto"/>
          <w:lang w:eastAsia="zh-CN"/>
        </w:rPr>
      </w:pPr>
      <w:r>
        <w:rPr>
          <w:rFonts w:hint="eastAsia"/>
          <w:color w:val="auto"/>
          <w:lang w:eastAsia="zh-CN"/>
        </w:rPr>
        <w:t>（四）采购人按照供应商提供的银行账户支付服务款，因供应商提供账户或者账号相关信息遗漏、错误等原因所产生服务款无法支付的后果由供应商自行承担。</w:t>
      </w:r>
    </w:p>
    <w:p>
      <w:pPr>
        <w:pStyle w:val="15"/>
        <w:bidi w:val="0"/>
        <w:rPr>
          <w:rFonts w:hint="eastAsia"/>
          <w:color w:val="auto"/>
          <w:lang w:eastAsia="zh-CN"/>
        </w:rPr>
      </w:pPr>
      <w:r>
        <w:rPr>
          <w:rFonts w:hint="eastAsia"/>
          <w:color w:val="auto"/>
          <w:lang w:val="en-US" w:eastAsia="zh-CN"/>
        </w:rPr>
        <w:t>五</w:t>
      </w:r>
      <w:r>
        <w:rPr>
          <w:rFonts w:hint="eastAsia"/>
          <w:color w:val="auto"/>
          <w:lang w:eastAsia="zh-CN"/>
        </w:rPr>
        <w:t>、违约责任</w:t>
      </w:r>
    </w:p>
    <w:p>
      <w:pPr>
        <w:pStyle w:val="14"/>
        <w:bidi w:val="0"/>
        <w:rPr>
          <w:rFonts w:hint="eastAsia"/>
          <w:color w:val="auto"/>
          <w:lang w:eastAsia="zh-CN"/>
        </w:rPr>
      </w:pPr>
      <w:r>
        <w:rPr>
          <w:rFonts w:hint="eastAsia"/>
          <w:color w:val="auto"/>
          <w:lang w:eastAsia="zh-CN"/>
        </w:rPr>
        <w:t>（一）供应商承诺和保证：参加本次招投标所涉及和提供的"资格条件和资格要求以及对应的支撑材料和声明函、承诺函等"资料真实可靠。若因提供的"资格条件和资格要求以及对应的支撑材料和声明函、承诺函等"资料瑕疵或不真实，造成采购人遭受损失的，供应商应当赔偿采购人的所有损失。供应商自行承担由此导致的经济损失或政府部门处罚等一切责任和法律后果，并且向采购人支付违约金。</w:t>
      </w:r>
    </w:p>
    <w:p>
      <w:pPr>
        <w:pStyle w:val="14"/>
        <w:bidi w:val="0"/>
        <w:rPr>
          <w:rFonts w:hint="eastAsia"/>
          <w:color w:val="auto"/>
          <w:lang w:eastAsia="zh-CN"/>
        </w:rPr>
      </w:pPr>
      <w:r>
        <w:rPr>
          <w:rFonts w:hint="eastAsia"/>
          <w:color w:val="auto"/>
          <w:lang w:eastAsia="zh-CN"/>
        </w:rPr>
        <w:t>（二）供应商无法交付达到招标文件要求的服务的，采购人有权解除合同，供应商应当退还采购人支付的服务款，同时供应商应向采购人支付违约金。</w:t>
      </w:r>
    </w:p>
    <w:p>
      <w:pPr>
        <w:pStyle w:val="14"/>
        <w:bidi w:val="0"/>
        <w:rPr>
          <w:rFonts w:hint="eastAsia"/>
          <w:color w:val="auto"/>
          <w:lang w:eastAsia="zh-CN"/>
        </w:rPr>
      </w:pPr>
      <w:r>
        <w:rPr>
          <w:rFonts w:hint="eastAsia"/>
          <w:color w:val="auto"/>
          <w:lang w:eastAsia="zh-CN"/>
        </w:rPr>
        <w:t>（三）供应商交付的服务未达到招标文件规定要求的，对采购人或采购人患者造成损失和责任的，由供应商承担全部责任，并全额承担给采购人或采购人患者造成的全部损失和赔偿（包含且不限于采购人的直接损失、采购人向患者支付的赔偿款、诉讼费、律师代理费、保全费、担保费、差旅费、执行费、鉴定费、评估拍卖费等一切直接或间接损失），并且向采购人支付违约金。</w:t>
      </w:r>
    </w:p>
    <w:p>
      <w:pPr>
        <w:pStyle w:val="14"/>
        <w:bidi w:val="0"/>
        <w:rPr>
          <w:rFonts w:hint="eastAsia"/>
          <w:color w:val="auto"/>
          <w:lang w:eastAsia="zh-CN"/>
        </w:rPr>
      </w:pPr>
      <w:r>
        <w:rPr>
          <w:rFonts w:hint="eastAsia"/>
          <w:color w:val="auto"/>
          <w:lang w:eastAsia="zh-CN"/>
        </w:rPr>
        <w:t>（四）供应商将提供服务的义务全部或部分转让给他人的，供应商应该承担采购人因此造成的全部损失，并且向采购人支付违约金。</w:t>
      </w:r>
    </w:p>
    <w:p>
      <w:pPr>
        <w:pStyle w:val="14"/>
        <w:bidi w:val="0"/>
        <w:rPr>
          <w:rFonts w:hint="eastAsia"/>
          <w:color w:val="auto"/>
          <w:lang w:eastAsia="zh-CN"/>
        </w:rPr>
      </w:pPr>
      <w:r>
        <w:rPr>
          <w:rFonts w:hint="eastAsia"/>
          <w:color w:val="auto"/>
          <w:lang w:eastAsia="zh-CN"/>
        </w:rPr>
        <w:t>（五）维保期内，供应商拒绝或逾期为采购人提供合同约定的</w:t>
      </w:r>
      <w:r>
        <w:rPr>
          <w:rFonts w:hint="eastAsia"/>
          <w:color w:val="auto"/>
          <w:lang w:val="en-US" w:eastAsia="zh-CN"/>
        </w:rPr>
        <w:t>维保</w:t>
      </w:r>
      <w:r>
        <w:rPr>
          <w:rFonts w:hint="eastAsia"/>
          <w:color w:val="auto"/>
          <w:lang w:eastAsia="zh-CN"/>
        </w:rPr>
        <w:t>服务，采购人有权从其他第三方购买</w:t>
      </w:r>
      <w:r>
        <w:rPr>
          <w:rFonts w:hint="eastAsia"/>
          <w:color w:val="auto"/>
          <w:lang w:val="en-US" w:eastAsia="zh-CN"/>
        </w:rPr>
        <w:t>维保</w:t>
      </w:r>
      <w:r>
        <w:rPr>
          <w:rFonts w:hint="eastAsia"/>
          <w:color w:val="auto"/>
          <w:lang w:eastAsia="zh-CN"/>
        </w:rPr>
        <w:t>服务，采购人支付的</w:t>
      </w:r>
      <w:r>
        <w:rPr>
          <w:rFonts w:hint="eastAsia"/>
          <w:color w:val="auto"/>
          <w:lang w:val="en-US" w:eastAsia="zh-CN"/>
        </w:rPr>
        <w:t>维保</w:t>
      </w:r>
      <w:r>
        <w:rPr>
          <w:rFonts w:hint="eastAsia"/>
          <w:color w:val="auto"/>
          <w:lang w:eastAsia="zh-CN"/>
        </w:rPr>
        <w:t>服务费用由供应商全额承担和赔偿，并且向采购人支付违约金。</w:t>
      </w:r>
    </w:p>
    <w:p>
      <w:pPr>
        <w:pStyle w:val="14"/>
        <w:bidi w:val="0"/>
        <w:rPr>
          <w:rFonts w:hint="eastAsia"/>
          <w:color w:val="auto"/>
          <w:lang w:eastAsia="zh-CN"/>
        </w:rPr>
      </w:pPr>
      <w:r>
        <w:rPr>
          <w:rFonts w:hint="eastAsia"/>
          <w:color w:val="auto"/>
          <w:lang w:eastAsia="zh-CN"/>
        </w:rPr>
        <w:t>（六）供应商违约的，供应商应向采购人承担包括但不限于消除影响、赔偿损失、支付违约金等违约责任。</w:t>
      </w:r>
    </w:p>
    <w:p>
      <w:pPr>
        <w:pStyle w:val="14"/>
        <w:bidi w:val="0"/>
        <w:rPr>
          <w:rFonts w:hint="default"/>
          <w:color w:val="auto"/>
          <w:lang w:val="en-US" w:eastAsia="zh-CN"/>
        </w:rPr>
      </w:pPr>
      <w:r>
        <w:rPr>
          <w:rFonts w:hint="eastAsia"/>
          <w:color w:val="auto"/>
          <w:lang w:eastAsia="zh-CN"/>
        </w:rPr>
        <w:t>（</w:t>
      </w:r>
      <w:r>
        <w:rPr>
          <w:rFonts w:hint="eastAsia"/>
          <w:color w:val="auto"/>
          <w:lang w:val="en-US" w:eastAsia="zh-CN"/>
        </w:rPr>
        <w:t>七</w:t>
      </w:r>
      <w:r>
        <w:rPr>
          <w:rFonts w:hint="eastAsia"/>
          <w:color w:val="auto"/>
          <w:lang w:eastAsia="zh-CN"/>
        </w:rPr>
        <w:t>）</w:t>
      </w:r>
      <w:r>
        <w:rPr>
          <w:rFonts w:hint="eastAsia"/>
          <w:color w:val="auto"/>
          <w:lang w:val="en-US" w:eastAsia="zh-CN"/>
        </w:rPr>
        <w:t>因医院新院区搬迁导致该批设备维保服务终止的，双方自动终止该维保服务，采购人按月支付已经产生的维保服务费，不再支付未发生的维保服务费，双方均不承担违约责任。</w:t>
      </w:r>
    </w:p>
    <w:p>
      <w:pPr>
        <w:pStyle w:val="15"/>
        <w:bidi w:val="0"/>
        <w:rPr>
          <w:rFonts w:hint="eastAsia"/>
          <w:color w:val="auto"/>
          <w:lang w:eastAsia="zh-CN"/>
        </w:rPr>
      </w:pPr>
      <w:r>
        <w:rPr>
          <w:rFonts w:hint="eastAsia"/>
          <w:color w:val="auto"/>
          <w:lang w:eastAsia="zh-CN"/>
        </w:rPr>
        <w:t>六、安全事故和责任</w:t>
      </w:r>
    </w:p>
    <w:p>
      <w:pPr>
        <w:pStyle w:val="14"/>
        <w:bidi w:val="0"/>
        <w:rPr>
          <w:rFonts w:hint="eastAsia"/>
          <w:color w:val="auto"/>
          <w:highlight w:val="none"/>
          <w:lang w:eastAsia="zh-CN"/>
        </w:rPr>
      </w:pPr>
      <w:r>
        <w:rPr>
          <w:rFonts w:hint="eastAsia"/>
          <w:color w:val="auto"/>
          <w:highlight w:val="none"/>
          <w:lang w:eastAsia="zh-CN"/>
        </w:rPr>
        <w:t>（一）供应商须遵守设备安装</w:t>
      </w:r>
      <w:r>
        <w:rPr>
          <w:rFonts w:hint="eastAsia"/>
          <w:color w:val="auto"/>
          <w:highlight w:val="none"/>
          <w:lang w:val="en-US" w:eastAsia="zh-CN"/>
        </w:rPr>
        <w:t>和维保</w:t>
      </w:r>
      <w:r>
        <w:rPr>
          <w:rFonts w:hint="eastAsia"/>
          <w:color w:val="auto"/>
          <w:highlight w:val="none"/>
          <w:lang w:eastAsia="zh-CN"/>
        </w:rPr>
        <w:t>作业操作规程、安全规章制度及相关法律法规。在供应商提供设备运输、安装、调试</w:t>
      </w:r>
      <w:r>
        <w:rPr>
          <w:rFonts w:hint="eastAsia"/>
          <w:color w:val="auto"/>
          <w:highlight w:val="none"/>
          <w:lang w:val="en-US" w:eastAsia="zh-CN"/>
        </w:rPr>
        <w:t>和维保</w:t>
      </w:r>
      <w:r>
        <w:rPr>
          <w:rFonts w:hint="eastAsia"/>
          <w:color w:val="auto"/>
          <w:highlight w:val="none"/>
          <w:lang w:eastAsia="zh-CN"/>
        </w:rPr>
        <w:t>服务过程中，如发生工伤等劳资纠纷或财产损失的，或因供应商行为造成他人人身财产损害及权益受损的，由供应商承担全部赔偿责任，采购人不承担责任；因供应商行为产生的各种行政处罚等一切责任和费用等，均由供应商自行承担，采购人不承担。</w:t>
      </w:r>
    </w:p>
    <w:p>
      <w:pPr>
        <w:pStyle w:val="14"/>
        <w:bidi w:val="0"/>
        <w:rPr>
          <w:rFonts w:hint="eastAsia"/>
          <w:color w:val="auto"/>
          <w:highlight w:val="none"/>
          <w:lang w:eastAsia="zh-CN"/>
        </w:rPr>
      </w:pPr>
      <w:r>
        <w:rPr>
          <w:rFonts w:hint="eastAsia"/>
          <w:color w:val="auto"/>
          <w:highlight w:val="none"/>
          <w:lang w:eastAsia="zh-CN"/>
        </w:rPr>
        <w:t>（二）在供应商履约过程中、因供应商履约行为导致的任何纠纷或投诉、任何争议责任的调查确定及责任承担，均由供应商自行应对和负责。</w:t>
      </w:r>
    </w:p>
    <w:p>
      <w:pPr>
        <w:pStyle w:val="15"/>
        <w:bidi w:val="0"/>
        <w:rPr>
          <w:rFonts w:hint="eastAsia"/>
          <w:color w:val="auto"/>
          <w:lang w:eastAsia="zh-CN"/>
        </w:rPr>
      </w:pPr>
      <w:r>
        <w:rPr>
          <w:rFonts w:hint="eastAsia"/>
          <w:color w:val="auto"/>
          <w:lang w:eastAsia="zh-CN"/>
        </w:rPr>
        <w:t>七、其他</w:t>
      </w:r>
    </w:p>
    <w:p>
      <w:pPr>
        <w:pStyle w:val="14"/>
        <w:bidi w:val="0"/>
        <w:rPr>
          <w:rFonts w:hint="eastAsia"/>
          <w:color w:val="auto"/>
          <w:lang w:eastAsia="zh-CN"/>
        </w:rPr>
      </w:pPr>
      <w:r>
        <w:rPr>
          <w:rFonts w:hint="eastAsia"/>
          <w:color w:val="auto"/>
          <w:lang w:eastAsia="zh-CN"/>
        </w:rPr>
        <w:t>（一）无论结果如何，供应商参与本项目的所有费用均由自行承担。</w:t>
      </w:r>
    </w:p>
    <w:p>
      <w:pPr>
        <w:pStyle w:val="14"/>
        <w:bidi w:val="0"/>
        <w:rPr>
          <w:rFonts w:hint="eastAsia"/>
          <w:color w:val="auto"/>
          <w:lang w:eastAsia="zh-CN"/>
        </w:rPr>
      </w:pPr>
      <w:r>
        <w:rPr>
          <w:rFonts w:hint="eastAsia"/>
          <w:color w:val="auto"/>
          <w:lang w:eastAsia="zh-CN"/>
        </w:rPr>
        <w:t>（二）本项目约定的服务，应由供应商交付，供应商不得转让合同的权利和义务，供应商不得将本项目约定的服务要求全部或部分转让给他人。</w:t>
      </w:r>
    </w:p>
    <w:p>
      <w:pPr>
        <w:pStyle w:val="14"/>
        <w:bidi w:val="0"/>
        <w:rPr>
          <w:rFonts w:hint="eastAsia"/>
          <w:color w:val="auto"/>
          <w:lang w:eastAsia="zh-CN"/>
        </w:rPr>
      </w:pPr>
      <w:r>
        <w:rPr>
          <w:rFonts w:hint="eastAsia"/>
          <w:color w:val="auto"/>
          <w:lang w:eastAsia="zh-CN"/>
        </w:rPr>
        <w:t>（三）在供应商履约过程中，因供应商履约行为导致的任何纠纷或投诉，任何安全事件和意外事件，任何争议责任的调查确定及责任承担，均由供应商自行应对和负责。</w:t>
      </w:r>
    </w:p>
    <w:p>
      <w:pPr>
        <w:pStyle w:val="14"/>
        <w:bidi w:val="0"/>
        <w:rPr>
          <w:rFonts w:hint="eastAsia"/>
          <w:color w:val="auto"/>
          <w:lang w:eastAsia="zh-CN"/>
        </w:rPr>
      </w:pPr>
      <w:r>
        <w:rPr>
          <w:rFonts w:hint="eastAsia"/>
          <w:color w:val="auto"/>
          <w:lang w:eastAsia="zh-CN"/>
        </w:rPr>
        <w:t>（四）双方履行合同过程中发生的一切争议，应先友好协商解决，如协商不能解决，则通过诉讼途径解决，由采购人所在地人民法院管辖。</w:t>
      </w:r>
    </w:p>
    <w:p>
      <w:pPr>
        <w:pStyle w:val="14"/>
        <w:bidi w:val="0"/>
        <w:rPr>
          <w:rFonts w:hint="eastAsia"/>
          <w:color w:val="auto"/>
          <w:lang w:eastAsia="zh-CN"/>
        </w:rPr>
        <w:sectPr>
          <w:pgSz w:w="11906" w:h="16838"/>
          <w:pgMar w:top="1984" w:right="1446" w:bottom="1644" w:left="1446" w:header="851" w:footer="992" w:gutter="0"/>
          <w:cols w:space="0" w:num="1"/>
          <w:rtlGutter w:val="0"/>
          <w:docGrid w:type="lines" w:linePitch="312" w:charSpace="0"/>
        </w:sectPr>
      </w:pPr>
      <w:r>
        <w:rPr>
          <w:rFonts w:hint="eastAsia"/>
          <w:color w:val="auto"/>
          <w:lang w:eastAsia="zh-CN"/>
        </w:rPr>
        <w:t>（五）其他未尽事宜由供需双方在采购合同中详细约定。</w:t>
      </w:r>
    </w:p>
    <w:p>
      <w:pPr>
        <w:pStyle w:val="14"/>
        <w:bidi w:val="0"/>
        <w:ind w:left="0" w:leftChars="0" w:firstLine="0" w:firstLineChars="0"/>
        <w:rPr>
          <w:rStyle w:val="18"/>
          <w:rFonts w:hint="default" w:ascii="Times New Roman" w:hAnsi="Times New Roman" w:cs="Times New Roman"/>
          <w:color w:val="auto"/>
          <w:lang w:val="en-US" w:eastAsia="zh-CN"/>
        </w:rPr>
      </w:pPr>
      <w:bookmarkStart w:id="11" w:name="_Toc340223151"/>
      <w:r>
        <w:rPr>
          <w:rStyle w:val="18"/>
          <w:rFonts w:hint="default" w:ascii="Times New Roman" w:hAnsi="Times New Roman" w:cs="Times New Roman"/>
          <w:color w:val="auto"/>
          <w:lang w:val="en-US" w:eastAsia="zh-CN"/>
        </w:rPr>
        <w:t xml:space="preserve">第四篇 </w:t>
      </w:r>
      <w:bookmarkEnd w:id="11"/>
      <w:r>
        <w:rPr>
          <w:rStyle w:val="18"/>
          <w:rFonts w:hint="default" w:ascii="Times New Roman" w:hAnsi="Times New Roman" w:cs="Times New Roman"/>
          <w:color w:val="auto"/>
          <w:lang w:val="en-US" w:eastAsia="zh-CN"/>
        </w:rPr>
        <w:t>采购程序、评定成交的标准、无效报价及采购终止</w:t>
      </w:r>
    </w:p>
    <w:p>
      <w:pPr>
        <w:pStyle w:val="15"/>
        <w:keepNext/>
        <w:pageBreakBefore w:val="0"/>
        <w:widowControl w:val="0"/>
        <w:kinsoku/>
        <w:wordWrap/>
        <w:overflowPunct/>
        <w:topLinePunct w:val="0"/>
        <w:autoSpaceDE/>
        <w:autoSpaceDN/>
        <w:bidi w:val="0"/>
        <w:snapToGrid w:val="0"/>
        <w:spacing w:line="48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一、采购程序</w:t>
      </w:r>
    </w:p>
    <w:p>
      <w:pPr>
        <w:pStyle w:val="14"/>
        <w:bidi w:val="0"/>
        <w:rPr>
          <w:rFonts w:hint="default" w:ascii="Times New Roman" w:hAnsi="Times New Roman" w:cs="Times New Roman"/>
          <w:color w:val="auto"/>
        </w:rPr>
      </w:pPr>
      <w:r>
        <w:rPr>
          <w:rFonts w:hint="default" w:ascii="Times New Roman" w:hAnsi="Times New Roman" w:cs="Times New Roman"/>
          <w:color w:val="auto"/>
        </w:rPr>
        <w:t>（一）</w:t>
      </w:r>
      <w:r>
        <w:rPr>
          <w:rFonts w:hint="eastAsia" w:ascii="Times New Roman" w:hAnsi="Times New Roman" w:cs="Times New Roman"/>
          <w:color w:val="auto"/>
          <w:lang w:eastAsia="zh-CN"/>
        </w:rPr>
        <w:t>磋商</w:t>
      </w:r>
      <w:r>
        <w:rPr>
          <w:rFonts w:hint="default" w:ascii="Times New Roman" w:hAnsi="Times New Roman" w:cs="Times New Roman"/>
          <w:color w:val="auto"/>
        </w:rPr>
        <w:t>按</w:t>
      </w:r>
      <w:r>
        <w:rPr>
          <w:rFonts w:hint="default" w:ascii="Times New Roman" w:hAnsi="Times New Roman" w:cs="Times New Roman"/>
          <w:color w:val="auto"/>
          <w:lang w:eastAsia="zh-CN"/>
        </w:rPr>
        <w:t>采购文件</w:t>
      </w:r>
      <w:r>
        <w:rPr>
          <w:rFonts w:hint="default" w:ascii="Times New Roman" w:hAnsi="Times New Roman" w:cs="Times New Roman"/>
          <w:color w:val="auto"/>
        </w:rPr>
        <w:t>规定的时间和地点进行。</w:t>
      </w:r>
    </w:p>
    <w:p>
      <w:pPr>
        <w:pStyle w:val="14"/>
        <w:bidi w:val="0"/>
        <w:rPr>
          <w:rFonts w:hint="default" w:ascii="Times New Roman" w:hAnsi="Times New Roman" w:cs="Times New Roman"/>
          <w:color w:val="auto"/>
        </w:rPr>
      </w:pPr>
      <w:r>
        <w:rPr>
          <w:rFonts w:hint="default" w:ascii="Times New Roman" w:hAnsi="Times New Roman" w:cs="Times New Roman"/>
          <w:color w:val="auto"/>
        </w:rPr>
        <w:t>（二）由本项目</w:t>
      </w:r>
      <w:r>
        <w:rPr>
          <w:rFonts w:hint="eastAsia" w:ascii="Times New Roman" w:hAnsi="Times New Roman" w:cs="Times New Roman"/>
          <w:color w:val="auto"/>
          <w:lang w:eastAsia="zh-CN"/>
        </w:rPr>
        <w:t>磋商</w:t>
      </w:r>
      <w:r>
        <w:rPr>
          <w:rFonts w:hint="default" w:ascii="Times New Roman" w:hAnsi="Times New Roman" w:cs="Times New Roman"/>
          <w:color w:val="auto"/>
        </w:rPr>
        <w:t>小组对各供应商的资格条件、实质性响应等进行审查。</w:t>
      </w:r>
    </w:p>
    <w:p>
      <w:pPr>
        <w:pStyle w:val="14"/>
        <w:bidi w:val="0"/>
        <w:rPr>
          <w:rFonts w:hint="default" w:ascii="Times New Roman" w:hAnsi="Times New Roman" w:cs="Times New Roman"/>
          <w:color w:val="auto"/>
        </w:rPr>
      </w:pPr>
      <w:r>
        <w:rPr>
          <w:rFonts w:hint="default" w:ascii="Times New Roman" w:hAnsi="Times New Roman" w:cs="Times New Roman"/>
          <w:color w:val="auto"/>
        </w:rPr>
        <w:t>1.资格性审查。依据法律法规和</w:t>
      </w:r>
      <w:r>
        <w:rPr>
          <w:rFonts w:hint="default" w:ascii="Times New Roman" w:hAnsi="Times New Roman" w:cs="Times New Roman"/>
          <w:color w:val="auto"/>
          <w:lang w:eastAsia="zh-CN"/>
        </w:rPr>
        <w:t>采购文件</w:t>
      </w:r>
      <w:r>
        <w:rPr>
          <w:rFonts w:hint="default" w:ascii="Times New Roman" w:hAnsi="Times New Roman" w:cs="Times New Roman"/>
          <w:color w:val="auto"/>
        </w:rPr>
        <w:t>的规定，对响应文件中的资格证明材料等进行审查。资格性审查内容如下：</w:t>
      </w:r>
    </w:p>
    <w:tbl>
      <w:tblPr>
        <w:tblStyle w:val="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335"/>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15"/>
              <w:bidi w:val="0"/>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3044" w:type="dxa"/>
            <w:gridSpan w:val="2"/>
            <w:tcBorders>
              <w:top w:val="single" w:color="auto" w:sz="4" w:space="0"/>
              <w:left w:val="single" w:color="auto" w:sz="4" w:space="0"/>
              <w:bottom w:val="single" w:color="auto" w:sz="4" w:space="0"/>
              <w:right w:val="single" w:color="auto" w:sz="4" w:space="0"/>
            </w:tcBorders>
            <w:vAlign w:val="center"/>
          </w:tcPr>
          <w:p>
            <w:pPr>
              <w:pStyle w:val="15"/>
              <w:bidi w:val="0"/>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检查因素</w:t>
            </w:r>
          </w:p>
        </w:tc>
        <w:tc>
          <w:tcPr>
            <w:tcW w:w="5767" w:type="dxa"/>
            <w:tcBorders>
              <w:top w:val="single" w:color="auto" w:sz="4" w:space="0"/>
              <w:left w:val="single" w:color="auto" w:sz="4" w:space="0"/>
              <w:bottom w:val="single" w:color="auto" w:sz="4" w:space="0"/>
              <w:right w:val="single" w:color="auto" w:sz="4" w:space="0"/>
            </w:tcBorders>
            <w:vAlign w:val="center"/>
          </w:tcPr>
          <w:p>
            <w:pPr>
              <w:pStyle w:val="15"/>
              <w:bidi w:val="0"/>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（一）</w:t>
            </w:r>
          </w:p>
        </w:tc>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《中华人民共和国政府采购法》第二十二条规定</w:t>
            </w:r>
          </w:p>
        </w:tc>
        <w:tc>
          <w:tcPr>
            <w:tcW w:w="233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1.具有独立承担民事责任的能力</w:t>
            </w:r>
          </w:p>
        </w:tc>
        <w:tc>
          <w:tcPr>
            <w:tcW w:w="576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1.供应商法人营业执照（副本）或事业单位法人证书（副本）或个体工商户营业执照或有效的自然人身份证明或社会团体法人登记证书（提供复印件）。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lang w:val="zh-CN"/>
              </w:rPr>
            </w:pPr>
          </w:p>
        </w:tc>
        <w:tc>
          <w:tcPr>
            <w:tcW w:w="233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zh-CN"/>
              </w:rPr>
              <w:t>2.</w:t>
            </w:r>
            <w:r>
              <w:rPr>
                <w:rFonts w:hint="default" w:ascii="Times New Roman" w:hAnsi="Times New Roman" w:eastAsia="方正仿宋_GBK" w:cs="Times New Roman"/>
                <w:color w:val="auto"/>
                <w:sz w:val="21"/>
                <w:szCs w:val="21"/>
              </w:rPr>
              <w:t>具有良好的商业信誉和健全的财务会计制度</w:t>
            </w:r>
          </w:p>
        </w:tc>
        <w:tc>
          <w:tcPr>
            <w:tcW w:w="576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color w:val="auto"/>
                <w:sz w:val="21"/>
                <w:szCs w:val="21"/>
              </w:rPr>
              <w:t>供应商提供“基本资格条件承诺函”</w:t>
            </w:r>
            <w:r>
              <w:rPr>
                <w:rFonts w:hint="default" w:ascii="Times New Roman" w:hAnsi="Times New Roman" w:eastAsia="方正仿宋_GBK" w:cs="Times New Roman"/>
                <w:color w:val="auto"/>
                <w:sz w:val="21"/>
                <w:szCs w:val="21"/>
                <w:highlight w:val="none"/>
              </w:rPr>
              <w:t>（格式详见第七篇）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lang w:val="zh-CN"/>
              </w:rPr>
            </w:pPr>
          </w:p>
        </w:tc>
        <w:tc>
          <w:tcPr>
            <w:tcW w:w="233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3.具有履行合同所必需的设备和专业技术能力</w:t>
            </w:r>
          </w:p>
        </w:tc>
        <w:tc>
          <w:tcPr>
            <w:tcW w:w="57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lang w:val="zh-CN"/>
              </w:rPr>
            </w:pPr>
          </w:p>
        </w:tc>
        <w:tc>
          <w:tcPr>
            <w:tcW w:w="233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4.有依法缴纳税收和社会保障金的良好记录</w:t>
            </w:r>
          </w:p>
        </w:tc>
        <w:tc>
          <w:tcPr>
            <w:tcW w:w="57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lang w:val="zh-CN"/>
              </w:rPr>
            </w:pPr>
          </w:p>
        </w:tc>
        <w:tc>
          <w:tcPr>
            <w:tcW w:w="233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rPr>
              <w:t>5.参加政府采购活动前三年内，在经营活动中没有重大违法记录</w:t>
            </w:r>
          </w:p>
        </w:tc>
        <w:tc>
          <w:tcPr>
            <w:tcW w:w="57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p>
        </w:tc>
        <w:tc>
          <w:tcPr>
            <w:tcW w:w="233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6.法律、行政法规规定的其他条件</w:t>
            </w:r>
          </w:p>
        </w:tc>
        <w:tc>
          <w:tcPr>
            <w:tcW w:w="576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p>
        </w:tc>
        <w:tc>
          <w:tcPr>
            <w:tcW w:w="233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7.本项目的特定资格要求</w:t>
            </w:r>
          </w:p>
        </w:tc>
        <w:tc>
          <w:tcPr>
            <w:tcW w:w="576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按“第一篇三、供应商资格要求（</w:t>
            </w:r>
            <w:r>
              <w:rPr>
                <w:rFonts w:hint="default" w:ascii="Times New Roman" w:hAnsi="Times New Roman" w:eastAsia="方正仿宋_GBK" w:cs="Times New Roman"/>
                <w:color w:val="auto"/>
                <w:sz w:val="21"/>
                <w:szCs w:val="21"/>
                <w:lang w:eastAsia="zh-CN"/>
              </w:rPr>
              <w:t>二</w:t>
            </w:r>
            <w:r>
              <w:rPr>
                <w:rFonts w:hint="default" w:ascii="Times New Roman" w:hAnsi="Times New Roman" w:eastAsia="方正仿宋_GBK" w:cs="Times New Roman"/>
                <w:color w:val="auto"/>
                <w:sz w:val="21"/>
                <w:szCs w:val="21"/>
              </w:rPr>
              <w:t>）</w:t>
            </w:r>
            <w:r>
              <w:rPr>
                <w:rFonts w:hint="eastAsia"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本项目的特定资格条件</w:t>
            </w:r>
            <w:r>
              <w:rPr>
                <w:rFonts w:hint="eastAsia"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的要求提交（提供特定资格证明文件备查，不能按时提供者视为无效投标）。</w:t>
            </w:r>
          </w:p>
        </w:tc>
      </w:tr>
    </w:tbl>
    <w:p>
      <w:pPr>
        <w:pStyle w:val="14"/>
        <w:bidi w:val="0"/>
        <w:rPr>
          <w:rFonts w:hint="default" w:ascii="Times New Roman" w:hAnsi="Times New Roman" w:cs="Times New Roman"/>
          <w:color w:val="auto"/>
        </w:rPr>
      </w:pPr>
      <w:r>
        <w:rPr>
          <w:rFonts w:hint="default" w:ascii="Times New Roman" w:hAnsi="Times New Roman" w:cs="Times New Roman"/>
          <w:color w:val="auto"/>
        </w:rPr>
        <w:t>注：</w:t>
      </w:r>
    </w:p>
    <w:p>
      <w:pPr>
        <w:pStyle w:val="14"/>
        <w:bidi w:val="0"/>
        <w:rPr>
          <w:rFonts w:hint="default" w:ascii="Times New Roman" w:hAnsi="Times New Roman" w:cs="Times New Roman"/>
          <w:color w:val="auto"/>
        </w:rPr>
      </w:pPr>
      <w:r>
        <w:rPr>
          <w:rFonts w:hint="default" w:ascii="Times New Roman" w:hAnsi="Times New Roman" w:cs="Times New Roman"/>
          <w:color w:val="auto"/>
          <w:lang w:eastAsia="zh-CN"/>
        </w:rPr>
        <w:t>①</w:t>
      </w:r>
      <w:r>
        <w:rPr>
          <w:rFonts w:hint="default" w:ascii="Times New Roman" w:hAnsi="Times New Roman" w:cs="Times New Roman"/>
          <w:color w:val="auto"/>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pPr>
        <w:pStyle w:val="14"/>
        <w:bidi w:val="0"/>
        <w:rPr>
          <w:rFonts w:hint="default" w:ascii="Times New Roman" w:hAnsi="Times New Roman" w:cs="Times New Roman"/>
          <w:color w:val="auto"/>
        </w:rPr>
      </w:pPr>
      <w:r>
        <w:rPr>
          <w:rFonts w:hint="default" w:ascii="Times New Roman" w:hAnsi="Times New Roman" w:cs="Times New Roman"/>
          <w:color w:val="auto"/>
        </w:rPr>
        <w:t>2.实质性响应审查。</w:t>
      </w:r>
      <w:r>
        <w:rPr>
          <w:rFonts w:hint="eastAsia" w:ascii="Times New Roman" w:hAnsi="Times New Roman" w:cs="Times New Roman"/>
          <w:color w:val="auto"/>
          <w:lang w:eastAsia="zh-CN"/>
        </w:rPr>
        <w:t>磋商</w:t>
      </w:r>
      <w:r>
        <w:rPr>
          <w:rFonts w:hint="default" w:ascii="Times New Roman" w:hAnsi="Times New Roman" w:cs="Times New Roman"/>
          <w:color w:val="auto"/>
        </w:rPr>
        <w:t>小组应当对响应文件进行评审，并根据</w:t>
      </w:r>
      <w:r>
        <w:rPr>
          <w:rFonts w:hint="default" w:ascii="Times New Roman" w:hAnsi="Times New Roman" w:cs="Times New Roman"/>
          <w:color w:val="auto"/>
          <w:lang w:eastAsia="zh-CN"/>
        </w:rPr>
        <w:t>采购文件</w:t>
      </w:r>
      <w:r>
        <w:rPr>
          <w:rFonts w:hint="default" w:ascii="Times New Roman" w:hAnsi="Times New Roman" w:cs="Times New Roman"/>
          <w:color w:val="auto"/>
        </w:rPr>
        <w:t>规定的采购程序、评定成交的标准等事项与实质性响应</w:t>
      </w:r>
      <w:r>
        <w:rPr>
          <w:rFonts w:hint="default" w:ascii="Times New Roman" w:hAnsi="Times New Roman" w:cs="Times New Roman"/>
          <w:color w:val="auto"/>
          <w:lang w:eastAsia="zh-CN"/>
        </w:rPr>
        <w:t>采购文件</w:t>
      </w:r>
      <w:r>
        <w:rPr>
          <w:rFonts w:hint="default" w:ascii="Times New Roman" w:hAnsi="Times New Roman" w:cs="Times New Roman"/>
          <w:color w:val="auto"/>
        </w:rPr>
        <w:t>要求的供应商进行评审。未实质性响应</w:t>
      </w:r>
      <w:r>
        <w:rPr>
          <w:rFonts w:hint="default" w:ascii="Times New Roman" w:hAnsi="Times New Roman" w:cs="Times New Roman"/>
          <w:color w:val="auto"/>
          <w:lang w:eastAsia="zh-CN"/>
        </w:rPr>
        <w:t>采购文件</w:t>
      </w:r>
      <w:r>
        <w:rPr>
          <w:rFonts w:hint="default" w:ascii="Times New Roman" w:hAnsi="Times New Roman" w:cs="Times New Roman"/>
          <w:color w:val="auto"/>
        </w:rPr>
        <w:t>的响应文件按无效处理，</w:t>
      </w:r>
      <w:r>
        <w:rPr>
          <w:rFonts w:hint="eastAsia" w:ascii="Times New Roman" w:hAnsi="Times New Roman" w:cs="Times New Roman"/>
          <w:color w:val="auto"/>
          <w:lang w:eastAsia="zh-CN"/>
        </w:rPr>
        <w:t>磋商</w:t>
      </w:r>
      <w:r>
        <w:rPr>
          <w:rFonts w:hint="default" w:ascii="Times New Roman" w:hAnsi="Times New Roman" w:cs="Times New Roman"/>
          <w:color w:val="auto"/>
        </w:rPr>
        <w:t>小组应当告知有关供应商。实质性响应审查内容如下：</w:t>
      </w:r>
    </w:p>
    <w:tbl>
      <w:tblPr>
        <w:tblStyle w:val="9"/>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40"/>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pStyle w:val="15"/>
              <w:bidi w:val="0"/>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140" w:type="dxa"/>
            <w:vAlign w:val="center"/>
          </w:tcPr>
          <w:p>
            <w:pPr>
              <w:pStyle w:val="15"/>
              <w:bidi w:val="0"/>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审查因素</w:t>
            </w:r>
          </w:p>
        </w:tc>
        <w:tc>
          <w:tcPr>
            <w:tcW w:w="6308" w:type="dxa"/>
            <w:vAlign w:val="center"/>
          </w:tcPr>
          <w:p>
            <w:pPr>
              <w:pStyle w:val="15"/>
              <w:bidi w:val="0"/>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pStyle w:val="14"/>
              <w:bidi w:val="0"/>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140"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响应文件签署或盖章</w:t>
            </w:r>
          </w:p>
        </w:tc>
        <w:tc>
          <w:tcPr>
            <w:tcW w:w="6308"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按“</w:t>
            </w:r>
            <w:r>
              <w:rPr>
                <w:rFonts w:hint="default" w:ascii="Times New Roman" w:hAnsi="Times New Roman" w:cs="Times New Roman"/>
                <w:color w:val="auto"/>
                <w:sz w:val="21"/>
                <w:szCs w:val="21"/>
                <w:highlight w:val="none"/>
              </w:rPr>
              <w:t>第七篇</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响应文件格式要求”要</w:t>
            </w:r>
            <w:r>
              <w:rPr>
                <w:rFonts w:hint="default" w:ascii="Times New Roman" w:hAnsi="Times New Roman" w:cs="Times New Roman"/>
                <w:color w:val="auto"/>
                <w:sz w:val="21"/>
                <w:szCs w:val="21"/>
              </w:rPr>
              <w:t>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pStyle w:val="14"/>
              <w:bidi w:val="0"/>
              <w:spacing w:line="240" w:lineRule="auto"/>
              <w:jc w:val="center"/>
              <w:rPr>
                <w:rFonts w:hint="default" w:ascii="Times New Roman" w:hAnsi="Times New Roman" w:cs="Times New Roman"/>
                <w:color w:val="auto"/>
                <w:sz w:val="21"/>
                <w:szCs w:val="21"/>
              </w:rPr>
            </w:pPr>
          </w:p>
        </w:tc>
        <w:tc>
          <w:tcPr>
            <w:tcW w:w="2140"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法定代表人身份证明及授权委托书</w:t>
            </w:r>
          </w:p>
        </w:tc>
        <w:tc>
          <w:tcPr>
            <w:tcW w:w="6308"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法定代表人身份证明及授权委托书有效，符合</w:t>
            </w:r>
            <w:r>
              <w:rPr>
                <w:rFonts w:hint="default" w:ascii="Times New Roman" w:hAnsi="Times New Roman" w:cs="Times New Roman"/>
                <w:color w:val="auto"/>
                <w:sz w:val="21"/>
                <w:szCs w:val="21"/>
                <w:lang w:eastAsia="zh-CN"/>
              </w:rPr>
              <w:t>采购文件</w:t>
            </w:r>
            <w:r>
              <w:rPr>
                <w:rFonts w:hint="default" w:ascii="Times New Roman" w:hAnsi="Times New Roman" w:cs="Times New Roman"/>
                <w:color w:val="auto"/>
                <w:sz w:val="21"/>
                <w:szCs w:val="21"/>
              </w:rPr>
              <w:t>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pStyle w:val="14"/>
              <w:bidi w:val="0"/>
              <w:spacing w:line="240" w:lineRule="auto"/>
              <w:jc w:val="center"/>
              <w:rPr>
                <w:rFonts w:hint="default" w:ascii="Times New Roman" w:hAnsi="Times New Roman" w:cs="Times New Roman"/>
                <w:color w:val="auto"/>
                <w:sz w:val="21"/>
                <w:szCs w:val="21"/>
              </w:rPr>
            </w:pPr>
          </w:p>
        </w:tc>
        <w:tc>
          <w:tcPr>
            <w:tcW w:w="2140"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响应</w:t>
            </w:r>
            <w:r>
              <w:rPr>
                <w:rFonts w:hint="default" w:ascii="Times New Roman" w:hAnsi="Times New Roman" w:cs="Times New Roman"/>
                <w:color w:val="auto"/>
                <w:sz w:val="21"/>
                <w:szCs w:val="21"/>
                <w:lang w:val="zh-CN"/>
              </w:rPr>
              <w:t>方案</w:t>
            </w:r>
          </w:p>
        </w:tc>
        <w:tc>
          <w:tcPr>
            <w:tcW w:w="6308"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zh-CN"/>
              </w:rPr>
              <w:t>只能有一个</w:t>
            </w:r>
            <w:r>
              <w:rPr>
                <w:rFonts w:hint="default" w:ascii="Times New Roman" w:hAnsi="Times New Roman" w:cs="Times New Roman"/>
                <w:color w:val="auto"/>
                <w:sz w:val="21"/>
                <w:szCs w:val="21"/>
              </w:rPr>
              <w:t>响应</w:t>
            </w:r>
            <w:r>
              <w:rPr>
                <w:rFonts w:hint="default" w:ascii="Times New Roman" w:hAnsi="Times New Roman" w:cs="Times New Roman"/>
                <w:color w:val="auto"/>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pStyle w:val="14"/>
              <w:bidi w:val="0"/>
              <w:spacing w:line="240" w:lineRule="auto"/>
              <w:jc w:val="center"/>
              <w:rPr>
                <w:rFonts w:hint="default" w:ascii="Times New Roman" w:hAnsi="Times New Roman" w:cs="Times New Roman"/>
                <w:color w:val="auto"/>
                <w:sz w:val="21"/>
                <w:szCs w:val="21"/>
              </w:rPr>
            </w:pPr>
          </w:p>
        </w:tc>
        <w:tc>
          <w:tcPr>
            <w:tcW w:w="2140"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报价唯一</w:t>
            </w:r>
          </w:p>
        </w:tc>
        <w:tc>
          <w:tcPr>
            <w:tcW w:w="6308"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pStyle w:val="14"/>
              <w:bidi w:val="0"/>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140"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响应文件</w:t>
            </w:r>
            <w:r>
              <w:rPr>
                <w:rFonts w:hint="default" w:ascii="Times New Roman" w:hAnsi="Times New Roman" w:cs="Times New Roman"/>
                <w:color w:val="auto"/>
                <w:sz w:val="21"/>
                <w:szCs w:val="21"/>
                <w:lang w:val="zh-CN"/>
              </w:rPr>
              <w:t>份数</w:t>
            </w:r>
          </w:p>
        </w:tc>
        <w:tc>
          <w:tcPr>
            <w:tcW w:w="6308"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响应文件</w:t>
            </w:r>
            <w:r>
              <w:rPr>
                <w:rFonts w:hint="default" w:ascii="Times New Roman" w:hAnsi="Times New Roman" w:cs="Times New Roman"/>
                <w:color w:val="auto"/>
                <w:sz w:val="21"/>
                <w:szCs w:val="21"/>
                <w:lang w:val="zh-CN"/>
              </w:rPr>
              <w:t>正、副本数量符合</w:t>
            </w:r>
            <w:r>
              <w:rPr>
                <w:rFonts w:hint="default" w:ascii="Times New Roman" w:hAnsi="Times New Roman" w:cs="Times New Roman"/>
                <w:color w:val="auto"/>
                <w:sz w:val="21"/>
                <w:szCs w:val="21"/>
                <w:lang w:eastAsia="zh-CN"/>
              </w:rPr>
              <w:t>采购文件</w:t>
            </w:r>
            <w:r>
              <w:rPr>
                <w:rFonts w:hint="default" w:ascii="Times New Roman" w:hAnsi="Times New Roman" w:cs="Times New Roman"/>
                <w:color w:val="auto"/>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pStyle w:val="14"/>
              <w:bidi w:val="0"/>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140"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响应文件内容</w:t>
            </w:r>
          </w:p>
        </w:tc>
        <w:tc>
          <w:tcPr>
            <w:tcW w:w="6308"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对</w:t>
            </w:r>
            <w:r>
              <w:rPr>
                <w:rFonts w:hint="default" w:ascii="Times New Roman" w:hAnsi="Times New Roman" w:cs="Times New Roman"/>
                <w:color w:val="auto"/>
                <w:sz w:val="21"/>
                <w:szCs w:val="21"/>
                <w:highlight w:val="none"/>
                <w:lang w:eastAsia="zh-CN"/>
              </w:rPr>
              <w:t>采购文件</w:t>
            </w:r>
            <w:r>
              <w:rPr>
                <w:rFonts w:hint="default" w:ascii="Times New Roman" w:hAnsi="Times New Roman" w:cs="Times New Roman"/>
                <w:color w:val="auto"/>
                <w:sz w:val="21"/>
                <w:szCs w:val="21"/>
                <w:highlight w:val="none"/>
              </w:rPr>
              <w:t>第二篇</w:t>
            </w:r>
            <w:r>
              <w:rPr>
                <w:rFonts w:hint="default" w:ascii="Times New Roman" w:hAnsi="Times New Roman" w:cs="Times New Roman"/>
                <w:color w:val="auto"/>
                <w:sz w:val="21"/>
                <w:szCs w:val="21"/>
                <w:highlight w:val="none"/>
                <w:lang w:eastAsia="zh-CN"/>
              </w:rPr>
              <w:t>及</w:t>
            </w:r>
            <w:r>
              <w:rPr>
                <w:rFonts w:hint="default" w:ascii="Times New Roman" w:hAnsi="Times New Roman" w:cs="Times New Roman"/>
                <w:color w:val="auto"/>
                <w:sz w:val="21"/>
                <w:szCs w:val="21"/>
                <w:highlight w:val="none"/>
              </w:rPr>
              <w:t>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pStyle w:val="14"/>
              <w:bidi w:val="0"/>
              <w:spacing w:line="240" w:lineRule="auto"/>
              <w:jc w:val="left"/>
              <w:rPr>
                <w:rFonts w:hint="default" w:ascii="Times New Roman" w:hAnsi="Times New Roman" w:cs="Times New Roman"/>
                <w:color w:val="auto"/>
                <w:sz w:val="21"/>
                <w:szCs w:val="21"/>
              </w:rPr>
            </w:pPr>
          </w:p>
        </w:tc>
        <w:tc>
          <w:tcPr>
            <w:tcW w:w="2140"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磋商</w:t>
            </w:r>
            <w:r>
              <w:rPr>
                <w:rFonts w:hint="default" w:ascii="Times New Roman" w:hAnsi="Times New Roman" w:cs="Times New Roman"/>
                <w:color w:val="auto"/>
                <w:sz w:val="21"/>
                <w:szCs w:val="21"/>
              </w:rPr>
              <w:t>有效期</w:t>
            </w:r>
          </w:p>
        </w:tc>
        <w:tc>
          <w:tcPr>
            <w:tcW w:w="6308" w:type="dxa"/>
            <w:vAlign w:val="center"/>
          </w:tcPr>
          <w:p>
            <w:pPr>
              <w:pStyle w:val="14"/>
              <w:bidi w:val="0"/>
              <w:spacing w:line="240" w:lineRule="auto"/>
              <w:ind w:left="0" w:leftChars="0"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响应文件及有关承诺文件有效期为提交响应文件截止时间起90天。</w:t>
            </w:r>
          </w:p>
        </w:tc>
      </w:tr>
    </w:tbl>
    <w:p>
      <w:pPr>
        <w:pStyle w:val="14"/>
        <w:bidi w:val="0"/>
        <w:rPr>
          <w:rFonts w:hint="default" w:ascii="Times New Roman" w:hAnsi="Times New Roman" w:cs="Times New Roman"/>
          <w:color w:val="auto"/>
        </w:rPr>
      </w:pPr>
      <w:r>
        <w:rPr>
          <w:rFonts w:hint="default" w:ascii="Times New Roman" w:hAnsi="Times New Roman" w:cs="Times New Roman"/>
          <w:color w:val="auto"/>
        </w:rPr>
        <w:t>（三）</w:t>
      </w:r>
      <w:r>
        <w:rPr>
          <w:rFonts w:hint="eastAsia" w:ascii="Times New Roman" w:hAnsi="Times New Roman" w:cs="Times New Roman"/>
          <w:color w:val="auto"/>
          <w:lang w:eastAsia="zh-CN"/>
        </w:rPr>
        <w:t>磋商</w:t>
      </w:r>
      <w:r>
        <w:rPr>
          <w:rFonts w:hint="default" w:ascii="Times New Roman" w:hAnsi="Times New Roman" w:cs="Times New Roman"/>
          <w:color w:val="auto"/>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bidi w:val="0"/>
        <w:rPr>
          <w:rFonts w:hint="default" w:ascii="Times New Roman" w:hAnsi="Times New Roman" w:cs="Times New Roman"/>
          <w:color w:val="auto"/>
        </w:rPr>
      </w:pPr>
      <w:r>
        <w:rPr>
          <w:rFonts w:hint="eastAsia" w:ascii="Times New Roman" w:hAnsi="Times New Roman" w:cs="Times New Roman"/>
          <w:color w:val="auto"/>
          <w:lang w:eastAsia="zh-CN"/>
        </w:rPr>
        <w:t>磋商</w:t>
      </w:r>
      <w:r>
        <w:rPr>
          <w:rFonts w:hint="default" w:ascii="Times New Roman" w:hAnsi="Times New Roman" w:cs="Times New Roman"/>
          <w:color w:val="auto"/>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Style w:val="14"/>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Style w:val="14"/>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（五）在磋商过程中磋商的任何一方不得向他人透露与磋商有关的服务资料、价格或其他信息。</w:t>
      </w:r>
    </w:p>
    <w:p>
      <w:pPr>
        <w:pStyle w:val="14"/>
        <w:bidi w:val="0"/>
        <w:rPr>
          <w:rFonts w:hint="default" w:ascii="Times New Roman" w:hAnsi="Times New Roman" w:cs="Times New Roman"/>
          <w:color w:val="auto"/>
        </w:rPr>
      </w:pPr>
      <w:r>
        <w:rPr>
          <w:rFonts w:hint="default" w:ascii="Times New Roman" w:hAnsi="Times New Roman" w:cs="Times New Roman"/>
          <w:color w:val="auto"/>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pStyle w:val="14"/>
        <w:bidi w:val="0"/>
        <w:rPr>
          <w:rFonts w:hint="default" w:ascii="Times New Roman" w:hAnsi="Times New Roman" w:cs="Times New Roman"/>
          <w:color w:val="auto"/>
        </w:rPr>
      </w:pPr>
      <w:r>
        <w:rPr>
          <w:rFonts w:hint="default" w:ascii="Times New Roman" w:hAnsi="Times New Roman" w:cs="Times New Roman"/>
          <w:color w:val="auto"/>
        </w:rPr>
        <w:t>（七）供应商在磋商时作出的所有书面承诺须由法定代表人（或其授权代表）或自然人（供应商为自然人）签署。</w:t>
      </w:r>
    </w:p>
    <w:p>
      <w:pPr>
        <w:pStyle w:val="14"/>
        <w:bidi w:val="0"/>
        <w:rPr>
          <w:rFonts w:hint="default" w:ascii="Times New Roman" w:hAnsi="Times New Roman" w:cs="Times New Roman"/>
          <w:color w:val="auto"/>
        </w:rPr>
      </w:pPr>
      <w:r>
        <w:rPr>
          <w:rFonts w:hint="default" w:ascii="Times New Roman" w:hAnsi="Times New Roman" w:cs="Times New Roman"/>
          <w:color w:val="auto"/>
        </w:rPr>
        <w:t>（八）经磋商确定最终采购需求且磋商结束后，供应商应当按照竞争性磋商文件的变动情况和磋商小组的要求重新提交响应文件或重新做出相关的书面承诺，最后书面提交最后报价及有关承诺。</w:t>
      </w:r>
      <w:r>
        <w:rPr>
          <w:rFonts w:hint="default" w:ascii="Times New Roman" w:hAnsi="Times New Roman" w:cs="Times New Roman"/>
          <w:color w:val="auto"/>
          <w:highlight w:val="none"/>
        </w:rPr>
        <w:t>如供应商无故不作出二次报价，采购人将视供应商首次报价作为二次报价（最终报价）。</w:t>
      </w:r>
    </w:p>
    <w:p>
      <w:pPr>
        <w:pStyle w:val="14"/>
        <w:bidi w:val="0"/>
        <w:rPr>
          <w:rFonts w:hint="default" w:ascii="Times New Roman" w:hAnsi="Times New Roman" w:cs="Times New Roman"/>
          <w:color w:val="auto"/>
        </w:rPr>
      </w:pPr>
      <w:r>
        <w:rPr>
          <w:rFonts w:hint="default" w:ascii="Times New Roman" w:hAnsi="Times New Roman" w:cs="Times New Roman"/>
          <w:color w:val="auto"/>
        </w:rPr>
        <w:t>（九）</w:t>
      </w:r>
      <w:r>
        <w:rPr>
          <w:rFonts w:hint="default" w:ascii="Times New Roman" w:hAnsi="Times New Roman" w:cs="Times New Roman"/>
          <w:color w:val="auto"/>
          <w:highlight w:val="none"/>
        </w:rPr>
        <w:t>磋商小组采用综合评分法</w:t>
      </w:r>
      <w:r>
        <w:rPr>
          <w:rFonts w:hint="default" w:ascii="Times New Roman" w:hAnsi="Times New Roman" w:cs="Times New Roman"/>
          <w:color w:val="auto"/>
        </w:rPr>
        <w:t>对提交最后报价的供应商的响应文件和最后报价（含有效书面承诺）进行综合评分。</w:t>
      </w:r>
    </w:p>
    <w:p>
      <w:pPr>
        <w:pStyle w:val="14"/>
        <w:bidi w:val="0"/>
        <w:rPr>
          <w:rFonts w:hint="default" w:ascii="Times New Roman" w:hAnsi="Times New Roman" w:cs="Times New Roman"/>
          <w:color w:val="auto"/>
        </w:rPr>
      </w:pPr>
      <w:r>
        <w:rPr>
          <w:rFonts w:hint="default" w:ascii="Times New Roman" w:hAnsi="Times New Roman" w:cs="Times New Roman"/>
          <w:color w:val="auto"/>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w:t>
      </w:r>
      <w:r>
        <w:rPr>
          <w:rFonts w:hint="eastAsia" w:ascii="Times New Roman" w:hAnsi="Times New Roman" w:cs="Times New Roman"/>
          <w:color w:val="auto"/>
          <w:lang w:val="en-US" w:eastAsia="zh-CN"/>
        </w:rPr>
        <w:t>评标结果记录表</w:t>
      </w:r>
      <w:r>
        <w:rPr>
          <w:rFonts w:hint="default" w:ascii="Times New Roman" w:hAnsi="Times New Roman" w:cs="Times New Roman"/>
          <w:color w:val="auto"/>
        </w:rPr>
        <w:t>。若供应商的评审得分相同的，按照最后报价由低到高的顺序排列推荐。评审得分且最后报价相同的，按照服务指标优劣顺序排列推荐。以上都相同的，按商务条款的优劣顺序排列推荐。</w:t>
      </w:r>
    </w:p>
    <w:p>
      <w:pPr>
        <w:pStyle w:val="15"/>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二、</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lang w:val="en-US" w:eastAsia="zh-CN"/>
        </w:rPr>
        <w:t>标准</w:t>
      </w:r>
    </w:p>
    <w:tbl>
      <w:tblPr>
        <w:tblStyle w:val="10"/>
        <w:tblW w:w="9317"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433"/>
        <w:gridCol w:w="750"/>
        <w:gridCol w:w="4283"/>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Mar>
              <w:top w:w="0" w:type="dxa"/>
              <w:left w:w="57" w:type="dxa"/>
              <w:bottom w:w="0" w:type="dxa"/>
              <w:right w:w="57" w:type="dxa"/>
            </w:tcMar>
            <w:vAlign w:val="top"/>
          </w:tcPr>
          <w:p>
            <w:pPr>
              <w:pStyle w:val="14"/>
              <w:spacing w:line="240" w:lineRule="auto"/>
              <w:ind w:left="0" w:leftChars="0" w:firstLine="0" w:firstLineChars="0"/>
              <w:jc w:val="center"/>
              <w:rPr>
                <w:rFonts w:hint="default" w:ascii="方正仿宋_GBK" w:hAnsi="方正仿宋_GBK" w:eastAsia="方正仿宋_GBK" w:cs="方正仿宋_GBK"/>
                <w:b/>
                <w:bCs/>
                <w:color w:val="auto"/>
                <w:sz w:val="21"/>
                <w:szCs w:val="21"/>
                <w:highlight w:val="none"/>
                <w:lang w:val="en-US" w:eastAsia="zh-CN"/>
              </w:rPr>
            </w:pPr>
            <w:r>
              <w:rPr>
                <w:rFonts w:hint="eastAsia" w:ascii="方正仿宋_GBK" w:hAnsi="方正仿宋_GBK" w:eastAsia="方正仿宋_GBK" w:cs="方正仿宋_GBK"/>
                <w:b/>
                <w:bCs/>
                <w:color w:val="auto"/>
                <w:sz w:val="21"/>
                <w:szCs w:val="21"/>
                <w:highlight w:val="none"/>
                <w:lang w:val="en-US" w:eastAsia="zh-CN"/>
              </w:rPr>
              <w:t>序号</w:t>
            </w:r>
          </w:p>
        </w:tc>
        <w:tc>
          <w:tcPr>
            <w:tcW w:w="1433" w:type="dxa"/>
            <w:tcMar>
              <w:top w:w="0" w:type="dxa"/>
              <w:left w:w="57" w:type="dxa"/>
              <w:bottom w:w="0" w:type="dxa"/>
              <w:right w:w="57" w:type="dxa"/>
            </w:tcMar>
            <w:vAlign w:val="top"/>
          </w:tcPr>
          <w:p>
            <w:pPr>
              <w:pStyle w:val="14"/>
              <w:spacing w:line="240" w:lineRule="auto"/>
              <w:ind w:left="0" w:leftChars="0" w:firstLine="0" w:firstLineChars="0"/>
              <w:jc w:val="center"/>
              <w:rPr>
                <w:rFonts w:hint="default" w:ascii="方正仿宋_GBK" w:hAnsi="方正仿宋_GBK" w:eastAsia="方正仿宋_GBK" w:cs="方正仿宋_GBK"/>
                <w:b/>
                <w:bCs/>
                <w:color w:val="auto"/>
                <w:sz w:val="21"/>
                <w:szCs w:val="21"/>
                <w:highlight w:val="none"/>
                <w:lang w:val="en-US" w:eastAsia="zh-CN"/>
              </w:rPr>
            </w:pPr>
            <w:r>
              <w:rPr>
                <w:rFonts w:hint="eastAsia" w:ascii="方正仿宋_GBK" w:hAnsi="方正仿宋_GBK" w:eastAsia="方正仿宋_GBK" w:cs="方正仿宋_GBK"/>
                <w:b/>
                <w:bCs/>
                <w:color w:val="auto"/>
                <w:sz w:val="21"/>
                <w:szCs w:val="21"/>
                <w:highlight w:val="none"/>
                <w:lang w:val="en-US" w:eastAsia="zh-CN"/>
              </w:rPr>
              <w:t>评分因素</w:t>
            </w:r>
          </w:p>
        </w:tc>
        <w:tc>
          <w:tcPr>
            <w:tcW w:w="750" w:type="dxa"/>
            <w:tcMar>
              <w:top w:w="0" w:type="dxa"/>
              <w:left w:w="57" w:type="dxa"/>
              <w:bottom w:w="0" w:type="dxa"/>
              <w:right w:w="57" w:type="dxa"/>
            </w:tcMar>
            <w:vAlign w:val="top"/>
          </w:tcPr>
          <w:p>
            <w:pPr>
              <w:pStyle w:val="14"/>
              <w:spacing w:line="240" w:lineRule="auto"/>
              <w:ind w:left="0" w:leftChars="0" w:firstLine="0" w:firstLineChars="0"/>
              <w:jc w:val="center"/>
              <w:rPr>
                <w:rFonts w:hint="default" w:ascii="方正仿宋_GBK" w:hAnsi="方正仿宋_GBK" w:eastAsia="方正仿宋_GBK" w:cs="方正仿宋_GBK"/>
                <w:b/>
                <w:bCs/>
                <w:color w:val="auto"/>
                <w:sz w:val="21"/>
                <w:szCs w:val="21"/>
                <w:highlight w:val="none"/>
                <w:lang w:val="en-US" w:eastAsia="zh-CN"/>
              </w:rPr>
            </w:pPr>
            <w:r>
              <w:rPr>
                <w:rFonts w:hint="eastAsia" w:cs="方正仿宋_GBK"/>
                <w:b/>
                <w:bCs/>
                <w:color w:val="auto"/>
                <w:sz w:val="21"/>
                <w:szCs w:val="21"/>
                <w:highlight w:val="none"/>
                <w:lang w:val="en-US" w:eastAsia="zh-CN"/>
              </w:rPr>
              <w:t>分</w:t>
            </w:r>
            <w:r>
              <w:rPr>
                <w:rFonts w:hint="eastAsia" w:ascii="方正仿宋_GBK" w:hAnsi="方正仿宋_GBK" w:eastAsia="方正仿宋_GBK" w:cs="方正仿宋_GBK"/>
                <w:b/>
                <w:bCs/>
                <w:color w:val="auto"/>
                <w:sz w:val="21"/>
                <w:szCs w:val="21"/>
                <w:highlight w:val="none"/>
                <w:lang w:val="en-US" w:eastAsia="zh-CN"/>
              </w:rPr>
              <w:t>值</w:t>
            </w:r>
          </w:p>
        </w:tc>
        <w:tc>
          <w:tcPr>
            <w:tcW w:w="4283" w:type="dxa"/>
            <w:tcMar>
              <w:top w:w="0" w:type="dxa"/>
              <w:left w:w="57" w:type="dxa"/>
              <w:bottom w:w="0" w:type="dxa"/>
              <w:right w:w="57" w:type="dxa"/>
            </w:tcMar>
            <w:vAlign w:val="top"/>
          </w:tcPr>
          <w:p>
            <w:pPr>
              <w:pStyle w:val="14"/>
              <w:spacing w:line="240" w:lineRule="auto"/>
              <w:ind w:left="0" w:leftChars="0" w:firstLine="0" w:firstLineChars="0"/>
              <w:jc w:val="center"/>
              <w:rPr>
                <w:rFonts w:hint="default" w:ascii="方正仿宋_GBK" w:hAnsi="方正仿宋_GBK" w:eastAsia="方正仿宋_GBK" w:cs="方正仿宋_GBK"/>
                <w:b/>
                <w:bCs/>
                <w:color w:val="auto"/>
                <w:sz w:val="21"/>
                <w:szCs w:val="21"/>
                <w:highlight w:val="none"/>
                <w:lang w:val="en-US" w:eastAsia="zh-CN"/>
              </w:rPr>
            </w:pPr>
            <w:r>
              <w:rPr>
                <w:rFonts w:hint="eastAsia" w:ascii="方正仿宋_GBK" w:hAnsi="方正仿宋_GBK" w:eastAsia="方正仿宋_GBK" w:cs="方正仿宋_GBK"/>
                <w:b/>
                <w:bCs/>
                <w:color w:val="auto"/>
                <w:sz w:val="21"/>
                <w:szCs w:val="21"/>
                <w:highlight w:val="none"/>
                <w:lang w:val="en-US" w:eastAsia="zh-CN"/>
              </w:rPr>
              <w:t>评分标准</w:t>
            </w:r>
          </w:p>
        </w:tc>
        <w:tc>
          <w:tcPr>
            <w:tcW w:w="2250" w:type="dxa"/>
            <w:tcMar>
              <w:top w:w="0" w:type="dxa"/>
              <w:left w:w="57" w:type="dxa"/>
              <w:bottom w:w="0" w:type="dxa"/>
              <w:right w:w="57" w:type="dxa"/>
            </w:tcMar>
            <w:vAlign w:val="top"/>
          </w:tcPr>
          <w:p>
            <w:pPr>
              <w:pStyle w:val="14"/>
              <w:spacing w:line="240" w:lineRule="auto"/>
              <w:ind w:left="0" w:leftChars="0" w:firstLine="0" w:firstLineChars="0"/>
              <w:jc w:val="center"/>
              <w:rPr>
                <w:rFonts w:hint="default" w:ascii="方正仿宋_GBK" w:hAnsi="方正仿宋_GBK" w:eastAsia="方正仿宋_GBK" w:cs="方正仿宋_GBK"/>
                <w:b/>
                <w:bCs/>
                <w:color w:val="auto"/>
                <w:sz w:val="21"/>
                <w:szCs w:val="21"/>
                <w:highlight w:val="none"/>
                <w:lang w:val="en-US" w:eastAsia="zh-CN"/>
              </w:rPr>
            </w:pPr>
            <w:r>
              <w:rPr>
                <w:rFonts w:hint="eastAsia" w:ascii="方正仿宋_GBK" w:hAnsi="方正仿宋_GBK" w:eastAsia="方正仿宋_GBK" w:cs="方正仿宋_GBK"/>
                <w:b/>
                <w:bCs/>
                <w:color w:val="auto"/>
                <w:sz w:val="21"/>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Mar>
              <w:top w:w="0" w:type="dxa"/>
              <w:left w:w="57" w:type="dxa"/>
              <w:bottom w:w="0" w:type="dxa"/>
              <w:right w:w="57" w:type="dxa"/>
            </w:tcMar>
            <w:vAlign w:val="center"/>
          </w:tcPr>
          <w:p>
            <w:pPr>
              <w:pStyle w:val="14"/>
              <w:spacing w:line="240" w:lineRule="auto"/>
              <w:ind w:left="0" w:leftChars="0"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w:t>
            </w:r>
          </w:p>
        </w:tc>
        <w:tc>
          <w:tcPr>
            <w:tcW w:w="1433" w:type="dxa"/>
            <w:tcMar>
              <w:top w:w="0" w:type="dxa"/>
              <w:left w:w="57" w:type="dxa"/>
              <w:bottom w:w="0" w:type="dxa"/>
              <w:right w:w="57" w:type="dxa"/>
            </w:tcMar>
            <w:vAlign w:val="center"/>
          </w:tcPr>
          <w:p>
            <w:pPr>
              <w:pStyle w:val="14"/>
              <w:spacing w:line="240" w:lineRule="auto"/>
              <w:ind w:left="0" w:leftChars="0" w:firstLine="0" w:firstLineChars="0"/>
              <w:jc w:val="left"/>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投标报价</w:t>
            </w:r>
          </w:p>
        </w:tc>
        <w:tc>
          <w:tcPr>
            <w:tcW w:w="750" w:type="dxa"/>
            <w:tcMar>
              <w:top w:w="0" w:type="dxa"/>
              <w:left w:w="57" w:type="dxa"/>
              <w:bottom w:w="0" w:type="dxa"/>
              <w:right w:w="57" w:type="dxa"/>
            </w:tcMar>
            <w:vAlign w:val="center"/>
          </w:tcPr>
          <w:p>
            <w:pPr>
              <w:pStyle w:val="14"/>
              <w:spacing w:line="240" w:lineRule="auto"/>
              <w:ind w:left="0" w:leftChars="0"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60</w:t>
            </w:r>
          </w:p>
        </w:tc>
        <w:tc>
          <w:tcPr>
            <w:tcW w:w="4283" w:type="dxa"/>
            <w:tcMar>
              <w:top w:w="0" w:type="dxa"/>
              <w:left w:w="57" w:type="dxa"/>
              <w:bottom w:w="0" w:type="dxa"/>
              <w:right w:w="57" w:type="dxa"/>
            </w:tcMar>
            <w:vAlign w:val="top"/>
          </w:tcPr>
          <w:p>
            <w:pPr>
              <w:pStyle w:val="14"/>
              <w:spacing w:line="240" w:lineRule="auto"/>
              <w:ind w:left="0" w:leftChars="0" w:firstLine="0" w:firstLineChars="0"/>
              <w:rPr>
                <w:rFonts w:hint="eastAsia" w:ascii="方正仿宋_GBK" w:hAnsi="方正仿宋_GBK" w:eastAsia="方正仿宋_GBK" w:cs="方正仿宋_GBK"/>
                <w:color w:val="auto"/>
                <w:sz w:val="21"/>
                <w:szCs w:val="21"/>
                <w:highlight w:val="none"/>
                <w:lang w:val="en-US" w:eastAsia="zh-CN"/>
              </w:rPr>
            </w:pPr>
            <w:r>
              <w:rPr>
                <w:rFonts w:hint="default" w:ascii="方正仿宋_GBK" w:hAnsi="方正仿宋_GBK" w:eastAsia="方正仿宋_GBK" w:cs="方正仿宋_GBK"/>
                <w:color w:val="auto"/>
                <w:sz w:val="21"/>
                <w:szCs w:val="21"/>
                <w:highlight w:val="none"/>
                <w:lang w:val="en-US" w:eastAsia="zh-CN"/>
              </w:rPr>
              <w:t>统一采用低价优先法计算，即满足磋商文件要求且最后报价最低的供应商的价格为磋商</w:t>
            </w:r>
            <w:r>
              <w:rPr>
                <w:rFonts w:hint="default" w:ascii="方正仿宋_GBK" w:hAnsi="方正仿宋_GBK" w:eastAsia="方正仿宋_GBK" w:cs="方正仿宋_GBK"/>
                <w:color w:val="auto"/>
                <w:sz w:val="21"/>
                <w:szCs w:val="21"/>
                <w:highlight w:val="none"/>
                <w:lang w:val="en-US" w:eastAsia="zh-CN"/>
              </w:rPr>
              <w:fldChar w:fldCharType="begin"/>
            </w:r>
            <w:r>
              <w:rPr>
                <w:rFonts w:hint="default" w:ascii="方正仿宋_GBK" w:hAnsi="方正仿宋_GBK" w:eastAsia="方正仿宋_GBK" w:cs="方正仿宋_GBK"/>
                <w:color w:val="auto"/>
                <w:sz w:val="21"/>
                <w:szCs w:val="21"/>
                <w:highlight w:val="none"/>
                <w:lang w:val="en-US" w:eastAsia="zh-CN"/>
              </w:rPr>
              <w:instrText xml:space="preserve"> HYPERLINK "https://baike.baidu.com/item/%E5%9F%BA%E5%87%86%E4%BB%B7/9836207?fromModule=lemma_inlink" \t "https://baike.baidu.com/item/%E7%AB%9E%E4%BA%89%E6%80%A7%E7%A3%8B%E5%95%86/_blank" </w:instrText>
            </w:r>
            <w:r>
              <w:rPr>
                <w:rFonts w:hint="default" w:ascii="方正仿宋_GBK" w:hAnsi="方正仿宋_GBK" w:eastAsia="方正仿宋_GBK" w:cs="方正仿宋_GBK"/>
                <w:color w:val="auto"/>
                <w:sz w:val="21"/>
                <w:szCs w:val="21"/>
                <w:highlight w:val="none"/>
                <w:lang w:val="en-US" w:eastAsia="zh-CN"/>
              </w:rPr>
              <w:fldChar w:fldCharType="separate"/>
            </w:r>
            <w:r>
              <w:rPr>
                <w:rFonts w:hint="default" w:ascii="方正仿宋_GBK" w:hAnsi="方正仿宋_GBK" w:eastAsia="方正仿宋_GBK" w:cs="方正仿宋_GBK"/>
                <w:color w:val="auto"/>
                <w:sz w:val="21"/>
                <w:szCs w:val="21"/>
                <w:highlight w:val="none"/>
                <w:lang w:val="en-US" w:eastAsia="zh-CN"/>
              </w:rPr>
              <w:t>基准价</w:t>
            </w:r>
            <w:r>
              <w:rPr>
                <w:rFonts w:hint="default" w:ascii="方正仿宋_GBK" w:hAnsi="方正仿宋_GBK" w:eastAsia="方正仿宋_GBK" w:cs="方正仿宋_GBK"/>
                <w:color w:val="auto"/>
                <w:sz w:val="21"/>
                <w:szCs w:val="21"/>
                <w:highlight w:val="none"/>
                <w:lang w:val="en-US" w:eastAsia="zh-CN"/>
              </w:rPr>
              <w:fldChar w:fldCharType="end"/>
            </w:r>
            <w:r>
              <w:rPr>
                <w:rFonts w:hint="default" w:ascii="方正仿宋_GBK" w:hAnsi="方正仿宋_GBK" w:eastAsia="方正仿宋_GBK" w:cs="方正仿宋_GBK"/>
                <w:color w:val="auto"/>
                <w:sz w:val="21"/>
                <w:szCs w:val="21"/>
                <w:highlight w:val="none"/>
                <w:lang w:val="en-US" w:eastAsia="zh-CN"/>
              </w:rPr>
              <w:t>，其价格分为满分。其他供应商的价格分统一按照下列公式计算：</w:t>
            </w:r>
          </w:p>
          <w:p>
            <w:pPr>
              <w:pStyle w:val="14"/>
              <w:spacing w:line="240" w:lineRule="auto"/>
              <w:ind w:left="0" w:leftChars="0" w:firstLine="0" w:firstLineChars="0"/>
              <w:rPr>
                <w:rFonts w:hint="eastAsia" w:ascii="方正仿宋_GBK" w:hAnsi="方正仿宋_GBK" w:eastAsia="方正仿宋_GBK" w:cs="方正仿宋_GBK"/>
                <w:color w:val="auto"/>
                <w:sz w:val="21"/>
                <w:szCs w:val="21"/>
                <w:highlight w:val="none"/>
                <w:lang w:val="en-US" w:eastAsia="zh-CN"/>
              </w:rPr>
            </w:pPr>
            <w:r>
              <w:rPr>
                <w:rFonts w:hint="default" w:ascii="方正仿宋_GBK" w:hAnsi="方正仿宋_GBK" w:eastAsia="方正仿宋_GBK" w:cs="方正仿宋_GBK"/>
                <w:color w:val="auto"/>
                <w:sz w:val="21"/>
                <w:szCs w:val="21"/>
                <w:highlight w:val="none"/>
                <w:lang w:val="en-US" w:eastAsia="zh-CN"/>
              </w:rPr>
              <w:t>磋商报价得分=（磋商基准价/最后磋商报价）×</w:t>
            </w:r>
            <w:r>
              <w:rPr>
                <w:rFonts w:hint="eastAsia" w:cs="方正仿宋_GBK"/>
                <w:color w:val="auto"/>
                <w:sz w:val="21"/>
                <w:szCs w:val="21"/>
                <w:highlight w:val="none"/>
                <w:lang w:val="en-US" w:eastAsia="zh-CN"/>
              </w:rPr>
              <w:t>60</w:t>
            </w:r>
          </w:p>
        </w:tc>
        <w:tc>
          <w:tcPr>
            <w:tcW w:w="2250" w:type="dxa"/>
            <w:tcMar>
              <w:top w:w="0" w:type="dxa"/>
              <w:left w:w="57" w:type="dxa"/>
              <w:bottom w:w="0" w:type="dxa"/>
              <w:right w:w="57" w:type="dxa"/>
            </w:tcMar>
            <w:vAlign w:val="center"/>
          </w:tcPr>
          <w:p>
            <w:pPr>
              <w:pStyle w:val="14"/>
              <w:spacing w:line="240" w:lineRule="auto"/>
              <w:ind w:left="0" w:leftChars="0" w:firstLine="0" w:firstLineChars="0"/>
              <w:jc w:val="both"/>
              <w:rPr>
                <w:rFonts w:hint="eastAsia" w:ascii="方正仿宋_GBK" w:hAnsi="方正仿宋_GBK" w:eastAsia="方正仿宋_GBK" w:cs="方正仿宋_GBK"/>
                <w:color w:val="auto"/>
                <w:sz w:val="21"/>
                <w:szCs w:val="21"/>
                <w:highlight w:val="none"/>
                <w:lang w:val="en-US" w:eastAsia="zh-CN"/>
              </w:rPr>
            </w:pPr>
            <w:r>
              <w:rPr>
                <w:rFonts w:hint="default" w:ascii="方正仿宋_GBK" w:hAnsi="方正仿宋_GBK" w:eastAsia="方正仿宋_GBK" w:cs="方正仿宋_GBK"/>
                <w:color w:val="auto"/>
                <w:sz w:val="21"/>
                <w:szCs w:val="21"/>
                <w:highlight w:val="none"/>
                <w:lang w:val="en-US" w:eastAsia="zh-CN"/>
              </w:rPr>
              <w:t>以提供</w:t>
            </w:r>
            <w:r>
              <w:rPr>
                <w:rFonts w:hint="eastAsia" w:ascii="方正仿宋_GBK" w:hAnsi="方正仿宋_GBK" w:eastAsia="方正仿宋_GBK" w:cs="方正仿宋_GBK"/>
                <w:color w:val="auto"/>
                <w:sz w:val="21"/>
                <w:szCs w:val="21"/>
                <w:highlight w:val="none"/>
                <w:lang w:val="en-US" w:eastAsia="zh-CN"/>
              </w:rPr>
              <w:t>书面</w:t>
            </w:r>
            <w:r>
              <w:rPr>
                <w:rFonts w:hint="default" w:ascii="方正仿宋_GBK" w:hAnsi="方正仿宋_GBK" w:eastAsia="方正仿宋_GBK" w:cs="方正仿宋_GBK"/>
                <w:color w:val="auto"/>
                <w:sz w:val="21"/>
                <w:szCs w:val="21"/>
                <w:highlight w:val="none"/>
                <w:lang w:val="en-US" w:eastAsia="zh-CN"/>
              </w:rPr>
              <w:t>内容为准，口头承诺不作为参考依据</w:t>
            </w:r>
            <w:r>
              <w:rPr>
                <w:rFonts w:hint="eastAsia" w:cs="方正仿宋_GBK"/>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01" w:type="dxa"/>
            <w:vMerge w:val="restart"/>
            <w:tcMar>
              <w:top w:w="0" w:type="dxa"/>
              <w:left w:w="57" w:type="dxa"/>
              <w:bottom w:w="0" w:type="dxa"/>
              <w:right w:w="57" w:type="dxa"/>
            </w:tcMar>
            <w:vAlign w:val="center"/>
          </w:tcPr>
          <w:p>
            <w:pPr>
              <w:pStyle w:val="14"/>
              <w:spacing w:line="240" w:lineRule="auto"/>
              <w:ind w:left="0" w:leftChars="0"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w:t>
            </w:r>
          </w:p>
        </w:tc>
        <w:tc>
          <w:tcPr>
            <w:tcW w:w="1433" w:type="dxa"/>
            <w:vMerge w:val="restart"/>
            <w:tcMar>
              <w:top w:w="0" w:type="dxa"/>
              <w:left w:w="57" w:type="dxa"/>
              <w:bottom w:w="0" w:type="dxa"/>
              <w:right w:w="57" w:type="dxa"/>
            </w:tcMar>
            <w:vAlign w:val="center"/>
          </w:tcPr>
          <w:p>
            <w:pPr>
              <w:pStyle w:val="14"/>
              <w:spacing w:line="240" w:lineRule="auto"/>
              <w:ind w:left="0" w:leftChars="0" w:firstLine="0" w:firstLineChars="0"/>
              <w:jc w:val="left"/>
              <w:rPr>
                <w:rFonts w:hint="default" w:ascii="方正仿宋_GBK" w:hAnsi="方正仿宋_GBK" w:eastAsia="方正仿宋_GBK" w:cs="方正仿宋_GBK"/>
                <w:color w:val="auto"/>
                <w:sz w:val="21"/>
                <w:szCs w:val="21"/>
                <w:highlight w:val="none"/>
                <w:lang w:val="en-US" w:eastAsia="zh-CN"/>
              </w:rPr>
            </w:pPr>
            <w:r>
              <w:rPr>
                <w:rFonts w:hint="eastAsia" w:cs="方正仿宋_GBK"/>
                <w:color w:val="auto"/>
                <w:sz w:val="21"/>
                <w:szCs w:val="21"/>
                <w:highlight w:val="none"/>
                <w:lang w:val="en-US" w:eastAsia="zh-CN"/>
              </w:rPr>
              <w:t>耗材清单和价格</w:t>
            </w:r>
          </w:p>
        </w:tc>
        <w:tc>
          <w:tcPr>
            <w:tcW w:w="750" w:type="dxa"/>
            <w:tcMar>
              <w:top w:w="0" w:type="dxa"/>
              <w:left w:w="57" w:type="dxa"/>
              <w:bottom w:w="0" w:type="dxa"/>
              <w:right w:w="57" w:type="dxa"/>
            </w:tcMar>
            <w:vAlign w:val="center"/>
          </w:tcPr>
          <w:p>
            <w:pPr>
              <w:pStyle w:val="14"/>
              <w:spacing w:line="240" w:lineRule="auto"/>
              <w:ind w:left="0" w:leftChars="0"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10</w:t>
            </w:r>
          </w:p>
        </w:tc>
        <w:tc>
          <w:tcPr>
            <w:tcW w:w="4283" w:type="dxa"/>
            <w:tcMar>
              <w:top w:w="0" w:type="dxa"/>
              <w:left w:w="57" w:type="dxa"/>
              <w:bottom w:w="0" w:type="dxa"/>
              <w:right w:w="57" w:type="dxa"/>
            </w:tcMar>
            <w:vAlign w:val="top"/>
          </w:tcPr>
          <w:p>
            <w:pPr>
              <w:pStyle w:val="14"/>
              <w:spacing w:line="240" w:lineRule="auto"/>
              <w:ind w:left="0" w:leftChars="0" w:firstLine="0" w:firstLineChars="0"/>
              <w:rPr>
                <w:rFonts w:hint="default" w:ascii="方正仿宋_GBK" w:hAnsi="方正仿宋_GBK" w:eastAsia="方正仿宋_GBK" w:cs="方正仿宋_GBK"/>
                <w:color w:val="auto"/>
                <w:sz w:val="21"/>
                <w:szCs w:val="21"/>
                <w:highlight w:val="none"/>
                <w:lang w:val="en-US" w:eastAsia="zh-CN"/>
              </w:rPr>
            </w:pPr>
            <w:r>
              <w:rPr>
                <w:rFonts w:hint="eastAsia" w:cs="方正仿宋_GBK"/>
                <w:color w:val="auto"/>
                <w:sz w:val="21"/>
                <w:szCs w:val="21"/>
                <w:highlight w:val="none"/>
                <w:lang w:val="en-US" w:eastAsia="zh-CN"/>
              </w:rPr>
              <w:t>供应室脉动真空灭菌器维保所需的</w:t>
            </w:r>
            <w:r>
              <w:rPr>
                <w:rFonts w:hint="default" w:ascii="方正仿宋_GBK" w:hAnsi="方正仿宋_GBK" w:eastAsia="方正仿宋_GBK" w:cs="方正仿宋_GBK"/>
                <w:color w:val="auto"/>
                <w:sz w:val="21"/>
                <w:szCs w:val="21"/>
                <w:highlight w:val="none"/>
                <w:lang w:val="en-US" w:eastAsia="zh-CN"/>
              </w:rPr>
              <w:t>单价</w:t>
            </w:r>
            <w:r>
              <w:rPr>
                <w:rFonts w:hint="eastAsia" w:cs="方正仿宋_GBK"/>
                <w:color w:val="auto"/>
                <w:sz w:val="21"/>
                <w:szCs w:val="21"/>
                <w:highlight w:val="none"/>
                <w:lang w:val="en-US" w:eastAsia="zh-CN"/>
              </w:rPr>
              <w:t>3</w:t>
            </w:r>
            <w:r>
              <w:rPr>
                <w:rFonts w:hint="default" w:ascii="方正仿宋_GBK" w:hAnsi="方正仿宋_GBK" w:eastAsia="方正仿宋_GBK" w:cs="方正仿宋_GBK"/>
                <w:color w:val="auto"/>
                <w:sz w:val="21"/>
                <w:szCs w:val="21"/>
                <w:highlight w:val="none"/>
                <w:lang w:val="en-US" w:eastAsia="zh-CN"/>
              </w:rPr>
              <w:t>00元及</w:t>
            </w:r>
            <w:r>
              <w:rPr>
                <w:rFonts w:hint="eastAsia" w:cs="方正仿宋_GBK"/>
                <w:color w:val="auto"/>
                <w:sz w:val="21"/>
                <w:szCs w:val="21"/>
                <w:highlight w:val="none"/>
                <w:lang w:val="en-US" w:eastAsia="zh-CN"/>
              </w:rPr>
              <w:t>3</w:t>
            </w:r>
            <w:r>
              <w:rPr>
                <w:rFonts w:hint="default" w:ascii="方正仿宋_GBK" w:hAnsi="方正仿宋_GBK" w:eastAsia="方正仿宋_GBK" w:cs="方正仿宋_GBK"/>
                <w:color w:val="auto"/>
                <w:sz w:val="21"/>
                <w:szCs w:val="21"/>
                <w:highlight w:val="none"/>
                <w:lang w:val="en-US" w:eastAsia="zh-CN"/>
              </w:rPr>
              <w:t>00元以下</w:t>
            </w:r>
            <w:r>
              <w:rPr>
                <w:rFonts w:hint="default" w:cs="方正仿宋_GBK"/>
                <w:color w:val="auto"/>
                <w:sz w:val="21"/>
                <w:szCs w:val="21"/>
                <w:highlight w:val="none"/>
                <w:lang w:val="en-US" w:eastAsia="zh-CN"/>
              </w:rPr>
              <w:t>的</w:t>
            </w:r>
            <w:r>
              <w:rPr>
                <w:rFonts w:hint="eastAsia" w:cs="方正仿宋_GBK"/>
                <w:color w:val="auto"/>
                <w:sz w:val="21"/>
                <w:szCs w:val="21"/>
                <w:highlight w:val="none"/>
                <w:lang w:val="en-US" w:eastAsia="zh-CN"/>
              </w:rPr>
              <w:t>备品备件和易损件，供应商每列举5个得1分，最多不得超过10分；</w:t>
            </w:r>
          </w:p>
        </w:tc>
        <w:tc>
          <w:tcPr>
            <w:tcW w:w="2250" w:type="dxa"/>
            <w:vMerge w:val="restart"/>
            <w:tcMar>
              <w:top w:w="0" w:type="dxa"/>
              <w:left w:w="57" w:type="dxa"/>
              <w:bottom w:w="0" w:type="dxa"/>
              <w:right w:w="57" w:type="dxa"/>
            </w:tcMar>
            <w:vAlign w:val="center"/>
          </w:tcPr>
          <w:p>
            <w:pPr>
              <w:pStyle w:val="14"/>
              <w:spacing w:line="240" w:lineRule="auto"/>
              <w:ind w:left="0" w:leftChars="0" w:firstLine="0" w:firstLineChars="0"/>
              <w:jc w:val="both"/>
              <w:rPr>
                <w:rFonts w:hint="eastAsia" w:ascii="方正仿宋_GBK" w:hAnsi="方正仿宋_GBK" w:eastAsia="方正仿宋_GBK" w:cs="方正仿宋_GBK"/>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01" w:type="dxa"/>
            <w:vMerge w:val="continue"/>
            <w:tcMar>
              <w:top w:w="0" w:type="dxa"/>
              <w:left w:w="57" w:type="dxa"/>
              <w:bottom w:w="0" w:type="dxa"/>
              <w:right w:w="57" w:type="dxa"/>
            </w:tcMar>
            <w:vAlign w:val="center"/>
          </w:tcPr>
          <w:p>
            <w:pPr>
              <w:pStyle w:val="14"/>
              <w:spacing w:line="240" w:lineRule="auto"/>
              <w:ind w:left="0" w:leftChars="0" w:firstLine="0" w:firstLineChars="0"/>
              <w:rPr>
                <w:color w:val="auto"/>
              </w:rPr>
            </w:pPr>
          </w:p>
        </w:tc>
        <w:tc>
          <w:tcPr>
            <w:tcW w:w="1433" w:type="dxa"/>
            <w:vMerge w:val="continue"/>
            <w:tcMar>
              <w:top w:w="0" w:type="dxa"/>
              <w:left w:w="57" w:type="dxa"/>
              <w:bottom w:w="0" w:type="dxa"/>
              <w:right w:w="57" w:type="dxa"/>
            </w:tcMar>
            <w:vAlign w:val="center"/>
          </w:tcPr>
          <w:p>
            <w:pPr>
              <w:pStyle w:val="14"/>
              <w:spacing w:line="240" w:lineRule="auto"/>
              <w:ind w:left="0" w:leftChars="0" w:firstLine="0" w:firstLineChars="0"/>
              <w:jc w:val="left"/>
              <w:rPr>
                <w:color w:val="auto"/>
              </w:rPr>
            </w:pPr>
          </w:p>
        </w:tc>
        <w:tc>
          <w:tcPr>
            <w:tcW w:w="750" w:type="dxa"/>
            <w:tcMar>
              <w:top w:w="0" w:type="dxa"/>
              <w:left w:w="57" w:type="dxa"/>
              <w:bottom w:w="0" w:type="dxa"/>
              <w:right w:w="57" w:type="dxa"/>
            </w:tcMar>
            <w:vAlign w:val="center"/>
          </w:tcPr>
          <w:p>
            <w:pPr>
              <w:pStyle w:val="14"/>
              <w:spacing w:line="240" w:lineRule="auto"/>
              <w:ind w:left="0" w:leftChars="0"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10</w:t>
            </w:r>
          </w:p>
        </w:tc>
        <w:tc>
          <w:tcPr>
            <w:tcW w:w="4283" w:type="dxa"/>
            <w:shd w:val="clear" w:color="auto" w:fill="auto"/>
            <w:tcMar>
              <w:top w:w="0" w:type="dxa"/>
              <w:left w:w="57" w:type="dxa"/>
              <w:bottom w:w="0" w:type="dxa"/>
              <w:right w:w="57" w:type="dxa"/>
            </w:tcMar>
            <w:vAlign w:val="top"/>
          </w:tcPr>
          <w:p>
            <w:pPr>
              <w:pStyle w:val="14"/>
              <w:spacing w:line="240" w:lineRule="auto"/>
              <w:ind w:left="0" w:leftChars="0" w:firstLine="0" w:firstLineChars="0"/>
              <w:rPr>
                <w:rFonts w:hint="default" w:cs="方正仿宋_GBK"/>
                <w:color w:val="auto"/>
                <w:sz w:val="21"/>
                <w:szCs w:val="21"/>
                <w:highlight w:val="none"/>
                <w:lang w:val="en-US" w:eastAsia="zh-CN"/>
              </w:rPr>
            </w:pPr>
            <w:r>
              <w:rPr>
                <w:rFonts w:hint="eastAsia" w:cs="方正仿宋_GBK"/>
                <w:color w:val="auto"/>
                <w:sz w:val="21"/>
                <w:szCs w:val="21"/>
                <w:highlight w:val="none"/>
                <w:lang w:val="en-US" w:eastAsia="zh-CN"/>
              </w:rPr>
              <w:t>供应室脉动真空灭菌器维保所需的</w:t>
            </w:r>
            <w:r>
              <w:rPr>
                <w:rFonts w:hint="eastAsia" w:ascii="方正仿宋_GBK" w:hAnsi="方正仿宋_GBK" w:eastAsia="方正仿宋_GBK" w:cs="方正仿宋_GBK"/>
                <w:color w:val="auto"/>
                <w:sz w:val="21"/>
                <w:szCs w:val="21"/>
                <w:highlight w:val="none"/>
                <w:lang w:val="en-US" w:eastAsia="zh-CN"/>
              </w:rPr>
              <w:t>单价大于</w:t>
            </w:r>
            <w:r>
              <w:rPr>
                <w:rFonts w:hint="eastAsia" w:cs="方正仿宋_GBK"/>
                <w:color w:val="auto"/>
                <w:sz w:val="21"/>
                <w:szCs w:val="21"/>
                <w:highlight w:val="none"/>
                <w:lang w:val="en-US" w:eastAsia="zh-CN"/>
              </w:rPr>
              <w:t>3</w:t>
            </w:r>
            <w:r>
              <w:rPr>
                <w:rFonts w:hint="eastAsia" w:ascii="方正仿宋_GBK" w:hAnsi="方正仿宋_GBK" w:eastAsia="方正仿宋_GBK" w:cs="方正仿宋_GBK"/>
                <w:color w:val="auto"/>
                <w:sz w:val="21"/>
                <w:szCs w:val="21"/>
                <w:highlight w:val="none"/>
                <w:lang w:val="en-US" w:eastAsia="zh-CN"/>
              </w:rPr>
              <w:t>00元以上的</w:t>
            </w:r>
            <w:r>
              <w:rPr>
                <w:rFonts w:hint="eastAsia" w:cs="方正仿宋_GBK"/>
                <w:color w:val="auto"/>
                <w:sz w:val="21"/>
                <w:szCs w:val="21"/>
                <w:highlight w:val="none"/>
                <w:lang w:val="en-US" w:eastAsia="zh-CN"/>
              </w:rPr>
              <w:t>备品备件和易损件，</w:t>
            </w:r>
            <w:r>
              <w:rPr>
                <w:rFonts w:hint="eastAsia" w:ascii="方正仿宋_GBK" w:hAnsi="方正仿宋_GBK" w:eastAsia="方正仿宋_GBK" w:cs="方正仿宋_GBK"/>
                <w:color w:val="auto"/>
                <w:sz w:val="21"/>
                <w:szCs w:val="21"/>
                <w:highlight w:val="none"/>
                <w:lang w:val="en-US" w:eastAsia="zh-CN"/>
              </w:rPr>
              <w:t>由供应商</w:t>
            </w:r>
            <w:r>
              <w:rPr>
                <w:rFonts w:hint="eastAsia" w:cs="方正仿宋_GBK"/>
                <w:color w:val="auto"/>
                <w:sz w:val="21"/>
                <w:szCs w:val="21"/>
                <w:highlight w:val="none"/>
                <w:lang w:val="en-US" w:eastAsia="zh-CN"/>
              </w:rPr>
              <w:t>进行市场价报价。获取各供应商报价单价均大于300元以上的同类备品备件和易损件，综合各报价供应商的同类备品备件和易损件的价格总价，总价最低的得10分，其余总价每下降5%减两分，总分10分，扣完为止。</w:t>
            </w:r>
          </w:p>
          <w:p>
            <w:pPr>
              <w:pStyle w:val="14"/>
              <w:spacing w:line="240" w:lineRule="auto"/>
              <w:ind w:left="0" w:leftChars="0" w:firstLine="0" w:firstLineChars="0"/>
              <w:rPr>
                <w:rFonts w:hint="eastAsia" w:cs="方正仿宋_GBK"/>
                <w:color w:val="auto"/>
                <w:sz w:val="21"/>
                <w:szCs w:val="21"/>
                <w:highlight w:val="none"/>
                <w:lang w:val="en-US" w:eastAsia="zh-CN"/>
              </w:rPr>
            </w:pPr>
            <w:r>
              <w:rPr>
                <w:rFonts w:hint="eastAsia" w:cs="方正仿宋_GBK"/>
                <w:color w:val="auto"/>
                <w:sz w:val="21"/>
                <w:szCs w:val="21"/>
                <w:highlight w:val="none"/>
                <w:lang w:val="en-US" w:eastAsia="zh-CN"/>
              </w:rPr>
              <w:t>若所有供应商中，对于该类备品备件和易损件报价一旦有低于300元的报价的，该类备品备件和易损件报价均纳入低于300元报价的项目核算，由成交供应商全额承担。</w:t>
            </w:r>
          </w:p>
          <w:p>
            <w:pPr>
              <w:pStyle w:val="14"/>
              <w:spacing w:line="240" w:lineRule="auto"/>
              <w:ind w:left="0" w:leftChars="0" w:firstLine="0" w:firstLineChars="0"/>
              <w:rPr>
                <w:rFonts w:hint="eastAsia" w:ascii="方正仿宋_GBK" w:hAnsi="方正仿宋_GBK" w:eastAsia="方正仿宋_GBK" w:cs="方正仿宋_GBK"/>
                <w:color w:val="auto"/>
                <w:kern w:val="2"/>
                <w:sz w:val="21"/>
                <w:szCs w:val="21"/>
                <w:highlight w:val="none"/>
                <w:lang w:val="en-US" w:eastAsia="zh-CN" w:bidi="ar-SA"/>
              </w:rPr>
            </w:pPr>
            <w:r>
              <w:rPr>
                <w:rFonts w:hint="eastAsia" w:cs="方正仿宋_GBK"/>
                <w:color w:val="auto"/>
                <w:sz w:val="21"/>
                <w:szCs w:val="21"/>
                <w:highlight w:val="none"/>
                <w:lang w:val="en-US" w:eastAsia="zh-CN"/>
              </w:rPr>
              <w:t>针对只有部分供应商报价的超过300元以上的备品备件和易损件品类，不做打分排名处理，签订合同和实际使用时，按照该品类备品备件和易损件中所有供应商报价最低的价格签订合同和使用。</w:t>
            </w:r>
          </w:p>
        </w:tc>
        <w:tc>
          <w:tcPr>
            <w:tcW w:w="2250" w:type="dxa"/>
            <w:vMerge w:val="continue"/>
            <w:tcMar>
              <w:top w:w="0" w:type="dxa"/>
              <w:left w:w="57" w:type="dxa"/>
              <w:bottom w:w="0" w:type="dxa"/>
              <w:right w:w="57" w:type="dxa"/>
            </w:tcMar>
            <w:vAlign w:val="center"/>
          </w:tcPr>
          <w:p>
            <w:pPr>
              <w:pStyle w:val="14"/>
              <w:spacing w:line="240" w:lineRule="auto"/>
              <w:ind w:left="0" w:leftChars="0" w:firstLine="0" w:firstLineChars="0"/>
              <w:rPr>
                <w:rFonts w:hint="eastAsia" w:cs="方正仿宋_GBK"/>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601" w:type="dxa"/>
            <w:tcMar>
              <w:top w:w="0" w:type="dxa"/>
              <w:left w:w="57" w:type="dxa"/>
              <w:bottom w:w="0" w:type="dxa"/>
              <w:right w:w="57" w:type="dxa"/>
            </w:tcMar>
            <w:vAlign w:val="center"/>
          </w:tcPr>
          <w:p>
            <w:pPr>
              <w:pStyle w:val="14"/>
              <w:spacing w:line="240" w:lineRule="auto"/>
              <w:ind w:left="0" w:leftChars="0" w:firstLine="0" w:firstLineChars="0"/>
              <w:jc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w:t>
            </w:r>
          </w:p>
        </w:tc>
        <w:tc>
          <w:tcPr>
            <w:tcW w:w="1433" w:type="dxa"/>
            <w:tcMar>
              <w:top w:w="0" w:type="dxa"/>
              <w:left w:w="57" w:type="dxa"/>
              <w:bottom w:w="0" w:type="dxa"/>
              <w:right w:w="57" w:type="dxa"/>
            </w:tcMar>
            <w:vAlign w:val="center"/>
          </w:tcPr>
          <w:p>
            <w:pPr>
              <w:pStyle w:val="14"/>
              <w:spacing w:line="240" w:lineRule="auto"/>
              <w:ind w:left="0" w:leftChars="0" w:firstLine="0" w:firstLineChars="0"/>
              <w:jc w:val="left"/>
              <w:rPr>
                <w:rFonts w:hint="default" w:ascii="方正仿宋_GBK" w:hAnsi="方正仿宋_GBK" w:eastAsia="方正仿宋_GBK" w:cs="方正仿宋_GBK"/>
                <w:color w:val="auto"/>
                <w:sz w:val="21"/>
                <w:szCs w:val="21"/>
                <w:lang w:val="en-US" w:eastAsia="zh-CN"/>
              </w:rPr>
            </w:pPr>
            <w:r>
              <w:rPr>
                <w:rFonts w:hint="eastAsia" w:cs="方正仿宋_GBK"/>
                <w:color w:val="auto"/>
                <w:sz w:val="21"/>
                <w:szCs w:val="21"/>
                <w:lang w:val="en-US" w:eastAsia="zh-CN"/>
              </w:rPr>
              <w:t>服务方案响应</w:t>
            </w:r>
          </w:p>
        </w:tc>
        <w:tc>
          <w:tcPr>
            <w:tcW w:w="750" w:type="dxa"/>
            <w:tcMar>
              <w:top w:w="0" w:type="dxa"/>
              <w:left w:w="57" w:type="dxa"/>
              <w:bottom w:w="0" w:type="dxa"/>
              <w:right w:w="57" w:type="dxa"/>
            </w:tcMar>
            <w:vAlign w:val="center"/>
          </w:tcPr>
          <w:p>
            <w:pPr>
              <w:pStyle w:val="14"/>
              <w:spacing w:line="240" w:lineRule="auto"/>
              <w:ind w:left="0" w:leftChars="0"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8</w:t>
            </w:r>
          </w:p>
        </w:tc>
        <w:tc>
          <w:tcPr>
            <w:tcW w:w="4283" w:type="dxa"/>
            <w:tcMar>
              <w:top w:w="0" w:type="dxa"/>
              <w:left w:w="57" w:type="dxa"/>
              <w:bottom w:w="0" w:type="dxa"/>
              <w:right w:w="57" w:type="dxa"/>
            </w:tcMar>
            <w:vAlign w:val="top"/>
          </w:tcPr>
          <w:p>
            <w:pPr>
              <w:pStyle w:val="14"/>
              <w:spacing w:line="240" w:lineRule="auto"/>
              <w:ind w:left="0" w:leftChars="0" w:firstLine="0" w:firstLineChars="0"/>
              <w:rPr>
                <w:rFonts w:hint="eastAsia" w:cs="方正仿宋_GBK"/>
                <w:color w:val="auto"/>
                <w:sz w:val="21"/>
                <w:szCs w:val="21"/>
                <w:lang w:val="en-US" w:eastAsia="zh-CN"/>
              </w:rPr>
            </w:pPr>
            <w:r>
              <w:rPr>
                <w:rFonts w:hint="eastAsia" w:cs="方正仿宋_GBK"/>
                <w:color w:val="auto"/>
                <w:sz w:val="21"/>
                <w:szCs w:val="21"/>
                <w:lang w:val="en-US" w:eastAsia="zh-CN"/>
              </w:rPr>
              <w:t>提供有详细、可操作性强的维保服务方案，方案涵盖：1）维保服务响应时间和承诺，1分；2）维保服务技术方案和技术服务标准，每项1分，共2分；3）维保服务的质控标准和应急处理预案，每项1分，共2分；4）巡查记录、维保档案、维保资料模板，每项1分，共3分。</w:t>
            </w:r>
          </w:p>
          <w:p>
            <w:pPr>
              <w:pStyle w:val="14"/>
              <w:spacing w:line="240" w:lineRule="auto"/>
              <w:ind w:left="0" w:leftChars="0" w:firstLine="0" w:firstLineChars="0"/>
              <w:rPr>
                <w:rFonts w:hint="default" w:cs="方正仿宋_GBK"/>
                <w:color w:val="auto"/>
                <w:sz w:val="21"/>
                <w:szCs w:val="21"/>
                <w:highlight w:val="none"/>
                <w:lang w:val="en-US" w:eastAsia="zh-CN"/>
              </w:rPr>
            </w:pPr>
            <w:r>
              <w:rPr>
                <w:rFonts w:hint="eastAsia" w:cs="方正仿宋_GBK"/>
                <w:color w:val="auto"/>
                <w:sz w:val="21"/>
                <w:szCs w:val="21"/>
                <w:highlight w:val="none"/>
                <w:lang w:val="en-US" w:eastAsia="zh-CN"/>
              </w:rPr>
              <w:t>以上服务方案内容缺失一项扣1分；内容操作性不强或存在明显瑕疵的，发现1处扣1分，扣完为止。</w:t>
            </w:r>
          </w:p>
        </w:tc>
        <w:tc>
          <w:tcPr>
            <w:tcW w:w="2250" w:type="dxa"/>
            <w:tcMar>
              <w:top w:w="0" w:type="dxa"/>
              <w:left w:w="57" w:type="dxa"/>
              <w:bottom w:w="0" w:type="dxa"/>
              <w:right w:w="57" w:type="dxa"/>
            </w:tcMar>
            <w:vAlign w:val="center"/>
          </w:tcPr>
          <w:p>
            <w:pPr>
              <w:pStyle w:val="14"/>
              <w:spacing w:line="240" w:lineRule="auto"/>
              <w:ind w:left="0" w:leftChars="0" w:firstLine="0" w:firstLineChars="0"/>
              <w:jc w:val="both"/>
              <w:rPr>
                <w:rFonts w:hint="default" w:ascii="方正仿宋_GBK" w:hAnsi="方正仿宋_GBK" w:eastAsia="方正仿宋_GBK" w:cs="方正仿宋_GBK"/>
                <w:color w:val="auto"/>
                <w:sz w:val="21"/>
                <w:szCs w:val="21"/>
                <w:highlight w:val="none"/>
                <w:lang w:val="en-US" w:eastAsia="zh-CN"/>
              </w:rPr>
            </w:pPr>
            <w:r>
              <w:rPr>
                <w:rFonts w:hint="default" w:ascii="方正仿宋_GBK" w:hAnsi="方正仿宋_GBK" w:eastAsia="方正仿宋_GBK" w:cs="方正仿宋_GBK"/>
                <w:color w:val="auto"/>
                <w:sz w:val="21"/>
                <w:szCs w:val="21"/>
                <w:highlight w:val="none"/>
                <w:lang w:val="en-US" w:eastAsia="zh-CN"/>
              </w:rPr>
              <w:t>以提供</w:t>
            </w:r>
            <w:r>
              <w:rPr>
                <w:rFonts w:hint="eastAsia" w:ascii="方正仿宋_GBK" w:hAnsi="方正仿宋_GBK" w:eastAsia="方正仿宋_GBK" w:cs="方正仿宋_GBK"/>
                <w:color w:val="auto"/>
                <w:sz w:val="21"/>
                <w:szCs w:val="21"/>
                <w:highlight w:val="none"/>
                <w:lang w:val="en-US" w:eastAsia="zh-CN"/>
              </w:rPr>
              <w:t>书面</w:t>
            </w:r>
            <w:r>
              <w:rPr>
                <w:rFonts w:hint="default" w:ascii="方正仿宋_GBK" w:hAnsi="方正仿宋_GBK" w:eastAsia="方正仿宋_GBK" w:cs="方正仿宋_GBK"/>
                <w:color w:val="auto"/>
                <w:sz w:val="21"/>
                <w:szCs w:val="21"/>
                <w:highlight w:val="none"/>
                <w:lang w:val="en-US" w:eastAsia="zh-CN"/>
              </w:rPr>
              <w:t>内容为准</w:t>
            </w:r>
          </w:p>
          <w:p>
            <w:pPr>
              <w:pStyle w:val="14"/>
              <w:spacing w:line="240" w:lineRule="auto"/>
              <w:ind w:left="0" w:leftChars="0" w:firstLine="0" w:firstLineChars="0"/>
              <w:jc w:val="both"/>
              <w:rPr>
                <w:rFonts w:hint="eastAsia" w:eastAsia="方正仿宋_GBK" w:cs="方正仿宋_GBK"/>
                <w:color w:val="auto"/>
                <w:sz w:val="21"/>
                <w:szCs w:val="21"/>
                <w:highlight w:val="yellow"/>
                <w:vertAlign w:val="baseline"/>
                <w:lang w:val="en-US" w:eastAsia="zh-CN"/>
              </w:rPr>
            </w:pPr>
            <w:r>
              <w:rPr>
                <w:rFonts w:hint="eastAsia" w:ascii="方正仿宋_GBK" w:hAnsi="方正仿宋_GBK" w:eastAsia="方正仿宋_GBK" w:cs="方正仿宋_GBK"/>
                <w:color w:val="auto"/>
                <w:sz w:val="21"/>
                <w:szCs w:val="21"/>
                <w:highlight w:val="none"/>
                <w:lang w:val="en-US" w:eastAsia="zh-CN"/>
              </w:rPr>
              <w:t>注：本项内容中所称的“瑕疵”指：（1）方案内容缺项、内容表述不完整；（2）方案内容表述前后矛盾；（3）内容存在逻辑漏洞、常识错误以上任意一种情形为1处瑕疵。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Mar>
              <w:top w:w="0" w:type="dxa"/>
              <w:left w:w="57" w:type="dxa"/>
              <w:bottom w:w="0" w:type="dxa"/>
              <w:right w:w="57" w:type="dxa"/>
            </w:tcMar>
            <w:vAlign w:val="center"/>
          </w:tcPr>
          <w:p>
            <w:pPr>
              <w:pStyle w:val="14"/>
              <w:spacing w:line="240" w:lineRule="auto"/>
              <w:ind w:left="0" w:leftChars="0" w:firstLine="0" w:firstLineChars="0"/>
              <w:jc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w:t>
            </w:r>
          </w:p>
        </w:tc>
        <w:tc>
          <w:tcPr>
            <w:tcW w:w="1433" w:type="dxa"/>
            <w:tcMar>
              <w:top w:w="0" w:type="dxa"/>
              <w:left w:w="57" w:type="dxa"/>
              <w:bottom w:w="0" w:type="dxa"/>
              <w:right w:w="57" w:type="dxa"/>
            </w:tcMar>
            <w:vAlign w:val="center"/>
          </w:tcPr>
          <w:p>
            <w:pPr>
              <w:pStyle w:val="14"/>
              <w:spacing w:line="240" w:lineRule="auto"/>
              <w:ind w:left="0" w:leftChars="0" w:firstLine="0" w:firstLineChars="0"/>
              <w:jc w:val="left"/>
              <w:rPr>
                <w:rFonts w:hint="default" w:ascii="方正仿宋_GBK" w:hAnsi="方正仿宋_GBK" w:eastAsia="方正仿宋_GBK" w:cs="方正仿宋_GBK"/>
                <w:color w:val="auto"/>
                <w:sz w:val="21"/>
                <w:szCs w:val="21"/>
                <w:lang w:val="en-US" w:eastAsia="zh-CN"/>
              </w:rPr>
            </w:pPr>
            <w:r>
              <w:rPr>
                <w:rFonts w:hint="eastAsia" w:cs="方正仿宋_GBK"/>
                <w:color w:val="auto"/>
                <w:sz w:val="21"/>
                <w:szCs w:val="21"/>
                <w:lang w:val="en-US" w:eastAsia="zh-CN"/>
              </w:rPr>
              <w:t>业绩证明</w:t>
            </w:r>
          </w:p>
        </w:tc>
        <w:tc>
          <w:tcPr>
            <w:tcW w:w="750" w:type="dxa"/>
            <w:tcMar>
              <w:top w:w="0" w:type="dxa"/>
              <w:left w:w="57" w:type="dxa"/>
              <w:bottom w:w="0" w:type="dxa"/>
              <w:right w:w="57" w:type="dxa"/>
            </w:tcMar>
            <w:vAlign w:val="center"/>
          </w:tcPr>
          <w:p>
            <w:pPr>
              <w:pStyle w:val="14"/>
              <w:spacing w:line="240" w:lineRule="auto"/>
              <w:ind w:left="0" w:leftChars="0"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12</w:t>
            </w:r>
          </w:p>
        </w:tc>
        <w:tc>
          <w:tcPr>
            <w:tcW w:w="4283" w:type="dxa"/>
            <w:tcMar>
              <w:top w:w="0" w:type="dxa"/>
              <w:left w:w="57" w:type="dxa"/>
              <w:bottom w:w="0" w:type="dxa"/>
              <w:right w:w="57" w:type="dxa"/>
            </w:tcMar>
            <w:vAlign w:val="top"/>
          </w:tcPr>
          <w:p>
            <w:pPr>
              <w:pStyle w:val="14"/>
              <w:spacing w:line="240" w:lineRule="auto"/>
              <w:ind w:left="0" w:leftChars="0" w:firstLine="0" w:firstLineChars="0"/>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开展过类似</w:t>
            </w:r>
            <w:r>
              <w:rPr>
                <w:rFonts w:hint="eastAsia" w:cs="方正仿宋_GBK"/>
                <w:color w:val="auto"/>
                <w:sz w:val="21"/>
                <w:szCs w:val="21"/>
                <w:lang w:val="en-US" w:eastAsia="zh-CN"/>
              </w:rPr>
              <w:t>设备维保服务，提供三年以内的一份合同得4</w:t>
            </w:r>
            <w:r>
              <w:rPr>
                <w:rFonts w:hint="eastAsia" w:ascii="方正仿宋_GBK" w:hAnsi="方正仿宋_GBK" w:eastAsia="方正仿宋_GBK" w:cs="方正仿宋_GBK"/>
                <w:color w:val="auto"/>
                <w:sz w:val="21"/>
                <w:szCs w:val="21"/>
                <w:lang w:val="en-US" w:eastAsia="zh-CN"/>
              </w:rPr>
              <w:t>分；本项目得分最多不超过1</w:t>
            </w:r>
            <w:r>
              <w:rPr>
                <w:rFonts w:hint="eastAsia" w:cs="方正仿宋_GBK"/>
                <w:color w:val="auto"/>
                <w:sz w:val="21"/>
                <w:szCs w:val="21"/>
                <w:lang w:val="en-US" w:eastAsia="zh-CN"/>
              </w:rPr>
              <w:t>2</w:t>
            </w:r>
            <w:r>
              <w:rPr>
                <w:rFonts w:hint="eastAsia" w:ascii="方正仿宋_GBK" w:hAnsi="方正仿宋_GBK" w:eastAsia="方正仿宋_GBK" w:cs="方正仿宋_GBK"/>
                <w:color w:val="auto"/>
                <w:sz w:val="21"/>
                <w:szCs w:val="21"/>
                <w:lang w:val="en-US" w:eastAsia="zh-CN"/>
              </w:rPr>
              <w:t>分。</w:t>
            </w:r>
          </w:p>
        </w:tc>
        <w:tc>
          <w:tcPr>
            <w:tcW w:w="2250" w:type="dxa"/>
            <w:tcMar>
              <w:top w:w="0" w:type="dxa"/>
              <w:left w:w="57" w:type="dxa"/>
              <w:bottom w:w="0" w:type="dxa"/>
              <w:right w:w="57" w:type="dxa"/>
            </w:tcMar>
            <w:vAlign w:val="center"/>
          </w:tcPr>
          <w:p>
            <w:pPr>
              <w:pStyle w:val="14"/>
              <w:spacing w:line="240" w:lineRule="auto"/>
              <w:ind w:left="0" w:leftChars="0" w:firstLine="0" w:firstLineChars="0"/>
              <w:jc w:val="both"/>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提供合同复印件并加盖公章，原件</w:t>
            </w:r>
            <w:r>
              <w:rPr>
                <w:rFonts w:hint="eastAsia" w:cs="方正仿宋_GBK"/>
                <w:color w:val="auto"/>
                <w:sz w:val="21"/>
                <w:szCs w:val="21"/>
                <w:lang w:val="en-US" w:eastAsia="zh-CN"/>
              </w:rPr>
              <w:t>备查。</w:t>
            </w:r>
          </w:p>
        </w:tc>
      </w:tr>
    </w:tbl>
    <w:p>
      <w:pPr>
        <w:pStyle w:val="1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三、无效报价</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供应商发生以下条款情况之一者，视为无效报价：</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（一）供应商不符合规定的资格条件的；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（二）供应商未通过实质性响应审查的；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（三）供应商所提交的响应</w:t>
      </w:r>
      <w:r>
        <w:rPr>
          <w:rFonts w:hint="default" w:ascii="Times New Roman" w:hAnsi="Times New Roman" w:cs="Times New Roman"/>
          <w:color w:val="auto"/>
          <w:highlight w:val="none"/>
          <w:lang w:val="en-US" w:eastAsia="zh-CN"/>
        </w:rPr>
        <w:t>文件未按“第七篇响应文件格式要求”</w:t>
      </w:r>
      <w:r>
        <w:rPr>
          <w:rFonts w:hint="default" w:ascii="Times New Roman" w:hAnsi="Times New Roman" w:cs="Times New Roman"/>
          <w:color w:val="auto"/>
          <w:lang w:val="en-US" w:eastAsia="zh-CN"/>
        </w:rPr>
        <w:t>要求签署或盖章的；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（四）供应商的报价超过采购预算或最高限价的；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（五）供应商不接受</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小组修正后的价格的；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（六）单位负责人为同一人或者存在直接控股、管理关系的不同供应商，参加同一合同项（包）报价的；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（七）为采购项目提供整体设计、规范编制或者项目管理、监理、检测等服务的供应商再参加该采购项目的其他采购活动的；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（八）同一合同项（包）下的货物，制造商参与报价，再委托代理商参与报价的；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（九）供应商响应文件内容有与国家现行法律法规相违背的内容，或附有采购人无法接受条件的；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（十）法律、法规和</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通知书规定的其他无效情形。</w:t>
      </w:r>
    </w:p>
    <w:p>
      <w:pPr>
        <w:pStyle w:val="1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四、采购终止</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出现下列情形之一的，采购人应当终止</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采购活动，发布项目终止公告并说明原因，重新开展采购活动：</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（一）因情况变化，不再符合规定的</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采购方式适用情形的；</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（二）出现影响采购公正的违法、违规行为的；</w:t>
      </w:r>
    </w:p>
    <w:p>
      <w:pPr>
        <w:pStyle w:val="14"/>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ascii="Times New Roman" w:hAnsi="Times New Roman" w:cs="Times New Roman"/>
          <w:color w:val="auto"/>
          <w:lang w:val="en-US" w:eastAsia="zh-CN"/>
        </w:rPr>
        <w:sectPr>
          <w:pgSz w:w="11906" w:h="16838"/>
          <w:pgMar w:top="1984" w:right="1446" w:bottom="1644" w:left="1446" w:header="851" w:footer="992" w:gutter="0"/>
          <w:cols w:space="0" w:num="1"/>
          <w:rtlGutter w:val="0"/>
          <w:docGrid w:type="lines" w:linePitch="312" w:charSpace="0"/>
        </w:sectPr>
      </w:pPr>
      <w:r>
        <w:rPr>
          <w:rFonts w:hint="default" w:ascii="Times New Roman" w:hAnsi="Times New Roman" w:cs="Times New Roman"/>
          <w:color w:val="auto"/>
          <w:lang w:val="en-US" w:eastAsia="zh-CN"/>
        </w:rPr>
        <w:t>（三）在采购过程中符合竞争要求的供应商或者报价未超过采购预算的供应商不足3家的。</w:t>
      </w:r>
    </w:p>
    <w:p>
      <w:pPr>
        <w:pStyle w:val="16"/>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第五篇 供应商须知</w:t>
      </w:r>
    </w:p>
    <w:p>
      <w:pPr>
        <w:pStyle w:val="15"/>
        <w:bidi w:val="0"/>
        <w:rPr>
          <w:rFonts w:hint="default"/>
          <w:color w:val="auto"/>
          <w:highlight w:val="none"/>
          <w:lang w:val="en-US" w:eastAsia="zh-CN"/>
        </w:rPr>
      </w:pPr>
      <w:r>
        <w:rPr>
          <w:rFonts w:hint="eastAsia"/>
          <w:color w:val="auto"/>
          <w:highlight w:val="none"/>
          <w:lang w:val="en-US" w:eastAsia="zh-CN"/>
        </w:rPr>
        <w:t>一、供应商</w:t>
      </w:r>
    </w:p>
    <w:p>
      <w:pPr>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（一）</w:t>
      </w:r>
      <w:r>
        <w:rPr>
          <w:rFonts w:hint="default" w:ascii="Times New Roman" w:hAnsi="Times New Roman" w:eastAsia="方正仿宋_GBK" w:cs="Times New Roman"/>
          <w:color w:val="auto"/>
          <w:sz w:val="24"/>
          <w:szCs w:val="24"/>
          <w:highlight w:val="none"/>
          <w:lang w:eastAsia="zh-CN"/>
        </w:rPr>
        <w:t>供应商</w:t>
      </w:r>
    </w:p>
    <w:p>
      <w:pPr>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供应商</w:t>
      </w:r>
      <w:r>
        <w:rPr>
          <w:rFonts w:hint="default" w:ascii="Times New Roman" w:hAnsi="Times New Roman" w:eastAsia="方正仿宋_GBK" w:cs="Times New Roman"/>
          <w:color w:val="auto"/>
          <w:sz w:val="24"/>
          <w:szCs w:val="24"/>
          <w:highlight w:val="none"/>
        </w:rPr>
        <w:t>是指响应</w:t>
      </w:r>
      <w:r>
        <w:rPr>
          <w:rFonts w:hint="default" w:ascii="Times New Roman" w:hAnsi="Times New Roman" w:eastAsia="方正仿宋_GBK" w:cs="Times New Roman"/>
          <w:color w:val="auto"/>
          <w:sz w:val="24"/>
          <w:szCs w:val="24"/>
          <w:highlight w:val="none"/>
          <w:lang w:eastAsia="zh-CN"/>
        </w:rPr>
        <w:t>采购</w:t>
      </w:r>
      <w:r>
        <w:rPr>
          <w:rFonts w:hint="default" w:ascii="Times New Roman" w:hAnsi="Times New Roman" w:eastAsia="方正仿宋_GBK" w:cs="Times New Roman"/>
          <w:color w:val="auto"/>
          <w:sz w:val="24"/>
          <w:szCs w:val="24"/>
          <w:highlight w:val="none"/>
        </w:rPr>
        <w:t>、参加投标竞争的法人、其他组织或者自然人。</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（二）合格</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条件</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合格</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应完全符合</w:t>
      </w:r>
      <w:r>
        <w:rPr>
          <w:rFonts w:hint="default" w:ascii="Times New Roman" w:hAnsi="Times New Roman" w:eastAsia="方正仿宋_GBK" w:cs="Times New Roman"/>
          <w:color w:val="auto"/>
          <w:sz w:val="24"/>
          <w:szCs w:val="24"/>
          <w:lang w:eastAsia="zh-CN"/>
        </w:rPr>
        <w:t>采购文件</w:t>
      </w:r>
      <w:r>
        <w:rPr>
          <w:rFonts w:hint="default" w:ascii="Times New Roman" w:hAnsi="Times New Roman" w:eastAsia="方正仿宋_GBK" w:cs="Times New Roman"/>
          <w:color w:val="auto"/>
          <w:sz w:val="24"/>
          <w:szCs w:val="24"/>
        </w:rPr>
        <w:t>第一篇中规定的</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资格条件，并对</w:t>
      </w:r>
      <w:r>
        <w:rPr>
          <w:rFonts w:hint="default" w:ascii="Times New Roman" w:hAnsi="Times New Roman" w:eastAsia="方正仿宋_GBK" w:cs="Times New Roman"/>
          <w:color w:val="auto"/>
          <w:sz w:val="24"/>
          <w:szCs w:val="24"/>
          <w:lang w:eastAsia="zh-CN"/>
        </w:rPr>
        <w:t>采购</w:t>
      </w:r>
      <w:r>
        <w:rPr>
          <w:rFonts w:hint="default" w:ascii="Times New Roman" w:hAnsi="Times New Roman" w:eastAsia="方正仿宋_GBK" w:cs="Times New Roman"/>
          <w:color w:val="auto"/>
          <w:sz w:val="24"/>
          <w:szCs w:val="24"/>
        </w:rPr>
        <w:t>文件作出实质性响应。</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（三）</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的风险</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没有按照</w:t>
      </w:r>
      <w:r>
        <w:rPr>
          <w:rFonts w:hint="default" w:ascii="Times New Roman" w:hAnsi="Times New Roman" w:eastAsia="方正仿宋_GBK" w:cs="Times New Roman"/>
          <w:color w:val="auto"/>
          <w:sz w:val="24"/>
          <w:szCs w:val="24"/>
          <w:lang w:eastAsia="zh-CN"/>
        </w:rPr>
        <w:t>采购</w:t>
      </w:r>
      <w:r>
        <w:rPr>
          <w:rFonts w:hint="default" w:ascii="Times New Roman" w:hAnsi="Times New Roman" w:eastAsia="方正仿宋_GBK" w:cs="Times New Roman"/>
          <w:color w:val="auto"/>
          <w:sz w:val="24"/>
          <w:szCs w:val="24"/>
        </w:rPr>
        <w:t>文件要求提供全部资料或者</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没有对</w:t>
      </w:r>
      <w:r>
        <w:rPr>
          <w:rFonts w:hint="default" w:ascii="Times New Roman" w:hAnsi="Times New Roman" w:eastAsia="方正仿宋_GBK" w:cs="Times New Roman"/>
          <w:color w:val="auto"/>
          <w:sz w:val="24"/>
          <w:szCs w:val="24"/>
          <w:lang w:eastAsia="zh-CN"/>
        </w:rPr>
        <w:t>采购</w:t>
      </w:r>
      <w:r>
        <w:rPr>
          <w:rFonts w:hint="default" w:ascii="Times New Roman" w:hAnsi="Times New Roman" w:eastAsia="方正仿宋_GBK" w:cs="Times New Roman"/>
          <w:color w:val="auto"/>
          <w:sz w:val="24"/>
          <w:szCs w:val="24"/>
        </w:rPr>
        <w:t>文件在各方面作出实质性响应，可能导致</w:t>
      </w:r>
      <w:r>
        <w:rPr>
          <w:rFonts w:hint="default" w:ascii="Times New Roman" w:hAnsi="Times New Roman" w:eastAsia="方正仿宋_GBK" w:cs="Times New Roman"/>
          <w:color w:val="auto"/>
          <w:sz w:val="24"/>
          <w:szCs w:val="24"/>
          <w:lang w:eastAsia="zh-CN"/>
        </w:rPr>
        <w:t>响应</w:t>
      </w:r>
      <w:r>
        <w:rPr>
          <w:rFonts w:hint="default" w:ascii="Times New Roman" w:hAnsi="Times New Roman" w:eastAsia="方正仿宋_GBK" w:cs="Times New Roman"/>
          <w:color w:val="auto"/>
          <w:sz w:val="24"/>
          <w:szCs w:val="24"/>
        </w:rPr>
        <w:t>被拒绝或评定为无效</w:t>
      </w:r>
      <w:r>
        <w:rPr>
          <w:rFonts w:hint="default" w:ascii="Times New Roman" w:hAnsi="Times New Roman" w:eastAsia="方正仿宋_GBK" w:cs="Times New Roman"/>
          <w:color w:val="auto"/>
          <w:sz w:val="24"/>
          <w:szCs w:val="24"/>
          <w:lang w:eastAsia="zh-CN"/>
        </w:rPr>
        <w:t>响应</w:t>
      </w:r>
      <w:r>
        <w:rPr>
          <w:rFonts w:hint="default" w:ascii="Times New Roman" w:hAnsi="Times New Roman" w:eastAsia="方正仿宋_GBK" w:cs="Times New Roman"/>
          <w:color w:val="auto"/>
          <w:sz w:val="24"/>
          <w:szCs w:val="24"/>
        </w:rPr>
        <w:t>。</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（四）法律责任</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违反《中华人民共和国政府采购法》《中华人民共和国政府采购实施条例》等相关规定，将按规定追究</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法律责任。</w:t>
      </w:r>
    </w:p>
    <w:p>
      <w:pPr>
        <w:pStyle w:val="1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二、采购文件</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采购文件是供应商编制响应文件的依据，是</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小组评判依据和标准。采购文件也是采购人与中标人签订合同的基础。</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（一）采购文件由采购邀请书、项目技术要求、项目商务要求、采购程序、评定成交的标准、无效报价及采购终止、供应商须知、合同主要条款和格式合同（样本）、响应文件格式要求七部分组成。</w:t>
      </w:r>
    </w:p>
    <w:p>
      <w:pPr>
        <w:pStyle w:val="14"/>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lang w:val="en-US" w:eastAsia="zh-CN"/>
        </w:rPr>
        <w:t>（二）本项目的采购文件、补遗文件（如果有）一律</w:t>
      </w:r>
      <w:r>
        <w:rPr>
          <w:rFonts w:hint="default" w:ascii="Times New Roman" w:hAnsi="Times New Roman" w:cs="Times New Roman"/>
          <w:color w:val="auto"/>
          <w:highlight w:val="none"/>
          <w:lang w:val="en-US" w:eastAsia="zh-CN"/>
        </w:rPr>
        <w:t>在</w:t>
      </w:r>
      <w:r>
        <w:rPr>
          <w:rFonts w:hint="eastAsia"/>
          <w:color w:val="auto"/>
          <w:lang w:val="en-US" w:eastAsia="zh-CN"/>
        </w:rPr>
        <w:t>行</w:t>
      </w:r>
      <w:r>
        <w:rPr>
          <w:rFonts w:hint="eastAsia"/>
          <w:color w:val="auto"/>
          <w:highlight w:val="none"/>
          <w:lang w:val="en-US" w:eastAsia="zh-CN"/>
        </w:rPr>
        <w:t>采家</w:t>
      </w:r>
      <w:r>
        <w:rPr>
          <w:rFonts w:hint="default" w:ascii="Times New Roman" w:hAnsi="Times New Roman" w:cs="Times New Roman"/>
          <w:color w:val="auto"/>
          <w:highlight w:val="none"/>
          <w:u w:val="single"/>
          <w:lang w:val="en-US" w:eastAsia="zh-CN"/>
        </w:rPr>
        <w:fldChar w:fldCharType="begin"/>
      </w:r>
      <w:r>
        <w:rPr>
          <w:rFonts w:hint="default" w:ascii="Times New Roman" w:hAnsi="Times New Roman" w:cs="Times New Roman"/>
          <w:color w:val="auto"/>
          <w:highlight w:val="none"/>
          <w:u w:val="single"/>
          <w:lang w:val="en-US" w:eastAsia="zh-CN"/>
        </w:rPr>
        <w:instrText xml:space="preserve"> HYPERLINK "https://www.gec123.com/" </w:instrText>
      </w:r>
      <w:r>
        <w:rPr>
          <w:rFonts w:hint="default" w:ascii="Times New Roman" w:hAnsi="Times New Roman" w:cs="Times New Roman"/>
          <w:color w:val="auto"/>
          <w:highlight w:val="none"/>
          <w:u w:val="single"/>
          <w:lang w:val="en-US" w:eastAsia="zh-CN"/>
        </w:rPr>
        <w:fldChar w:fldCharType="separate"/>
      </w:r>
      <w:r>
        <w:rPr>
          <w:rStyle w:val="12"/>
          <w:rFonts w:hint="default" w:ascii="Times New Roman" w:hAnsi="Times New Roman" w:cs="Times New Roman"/>
          <w:color w:val="auto"/>
          <w:highlight w:val="none"/>
          <w:lang w:val="en-US" w:eastAsia="zh-CN"/>
        </w:rPr>
        <w:t>https://www.gec123.com/</w:t>
      </w:r>
      <w:r>
        <w:rPr>
          <w:rFonts w:hint="default" w:ascii="Times New Roman" w:hAnsi="Times New Roman" w:cs="Times New Roman"/>
          <w:color w:val="auto"/>
          <w:highlight w:val="none"/>
          <w:u w:val="single"/>
          <w:lang w:val="en-US" w:eastAsia="zh-CN"/>
        </w:rPr>
        <w:fldChar w:fldCharType="end"/>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lang w:val="en-US" w:eastAsia="zh-CN"/>
        </w:rPr>
        <w:t>发布，请各供应商注意下载；无论供应商下载与否，均视同供应商已知晓本项目采购文件、补遗文件的内容。</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（三）对已发出的采购文件需要进行澄清或修改的，以公告形式发布。该澄清或者修改的内容为采购文件的组成部分。</w:t>
      </w:r>
    </w:p>
    <w:p>
      <w:pPr>
        <w:pStyle w:val="1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三、响应文件</w:t>
      </w:r>
    </w:p>
    <w:p>
      <w:pPr>
        <w:pStyle w:val="14"/>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供应商应当按照采购文件的要求编制响应文件，并对采购文件提出的要求和条件作出实质性响应，响应文件原则上采用软面订本。</w:t>
      </w:r>
    </w:p>
    <w:p>
      <w:pPr>
        <w:pStyle w:val="14"/>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（一）响应文件组成</w:t>
      </w:r>
    </w:p>
    <w:p>
      <w:pPr>
        <w:pStyle w:val="14"/>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响应文件由第七篇“响应文件格式要求”规定的部分和供应商所作的一切有效补充、修改和承诺等文件组成，供应商应按照第七篇“响应文件格式要求”规定的目录顺序组织编写和装订，否则有可能影响评委对响应文件的评审。</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有效期</w:t>
      </w:r>
    </w:p>
    <w:p>
      <w:pPr>
        <w:pStyle w:val="14"/>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有效期为提交响应文件截止日期后九十天内。</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（三）响应文件的份数和签署</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1.响应文件一式两份，其中正本一份，副本一份。每套纸质响应文件须在封面清楚地标明“正本”、“副本”，副本应为正本的完整复印件，副本与正本不一致时以正本为准。</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2.在响应文件正本中，采购文件第七篇响应文件格式要求中规定签字、盖章的地方必须按其规定签字、盖章。</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3.若供应商对响应文件的错处作必要修改，则应在修改处加盖供应商公章或由法定代表人或法定代表人授权代表签字确认。</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4.电报、电话、传真形式的响应文件概不接受。</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（四）响应报价</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1.供应商应严格按照“响应文件格式要求”中“报价一览表”的格式填写报价。</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2.供应商的报价在响应有效期内固定不变。</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w:t>
      </w:r>
      <w:r>
        <w:rPr>
          <w:rFonts w:hint="default" w:ascii="Times New Roman" w:hAnsi="Times New Roman" w:cs="Times New Roman"/>
          <w:color w:val="auto"/>
          <w:highlight w:val="none"/>
          <w:lang w:val="en-US" w:eastAsia="zh-CN"/>
        </w:rPr>
        <w:t>本项目每个分包只接</w:t>
      </w:r>
      <w:r>
        <w:rPr>
          <w:rFonts w:hint="default" w:ascii="Times New Roman" w:hAnsi="Times New Roman" w:cs="Times New Roman"/>
          <w:color w:val="auto"/>
          <w:lang w:val="en-US" w:eastAsia="zh-CN"/>
        </w:rPr>
        <w:t>受一个报价，有选择的或有条件的报价将不予接受。</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（五）修正错误</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若响应文件出现计算或表达上的错误，修正错误的原则如下：</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1.响应文件中报价一览表（报价表）内容与响应文件中相应内容不一致的，以报价一览表（报价表）为准；</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2.大写金额和小写金额不一致的，以大写金额为准；</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3.单价金额小数点或者百分比有明显错位的，以报价一览表的总价为准，并修改单价；</w:t>
      </w:r>
    </w:p>
    <w:p>
      <w:pPr>
        <w:pStyle w:val="14"/>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小组按上述修正错误的原则及方法调整或修正供应商报价，若同时出现两种以上不一致的，按照前款规定的顺序修正，供应商同意并签字确认后，调整后的响应报价对供应商具有约束作用。如果供应商不接受修正后的报价，则其响应将作为无效响应处理。</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（六）响应文件的递交</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响应文件的密封与标记</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响应文件的正本、副本均应密封送达</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地点，应在封套上注明项目名称、项目编号、分包号、供应商名称。若正本、副本分别进行密封的，还应在封套上注明“正本”、“副本”字样。</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如果未按上述规定进行密封和标记，采购人对响应文件误投、丢失或提前拆封不负责任。</w:t>
      </w:r>
    </w:p>
    <w:p>
      <w:pPr>
        <w:pStyle w:val="1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四、</w:t>
      </w:r>
      <w:r>
        <w:rPr>
          <w:rFonts w:hint="eastAsia" w:ascii="Times New Roman" w:hAnsi="Times New Roman" w:cs="Times New Roman"/>
          <w:color w:val="auto"/>
          <w:lang w:val="en-US" w:eastAsia="zh-CN"/>
        </w:rPr>
        <w:t>磋商</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在采购文件中“采购邀请书”确定的时间和地点公开进行。</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由采购人主持，有关监督部门代表参加，有关监督部门可视情况派员现场监督。</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时，由供应商或者其推选的代表检查响应文件的密封情况；经确认无误后，按程序进行</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。供应商不足三家的，不得进行</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采购。</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（四）</w:t>
      </w:r>
      <w:r>
        <w:rPr>
          <w:rFonts w:hint="eastAsia" w:ascii="Times New Roman" w:hAnsi="Times New Roman" w:cs="Times New Roman"/>
          <w:color w:val="auto"/>
          <w:lang w:val="en-US" w:eastAsia="zh-CN"/>
        </w:rPr>
        <w:t>磋商</w:t>
      </w:r>
      <w:r>
        <w:rPr>
          <w:rFonts w:hint="default" w:ascii="Times New Roman" w:hAnsi="Times New Roman" w:cs="Times New Roman"/>
          <w:color w:val="auto"/>
          <w:lang w:val="en-US" w:eastAsia="zh-CN"/>
        </w:rPr>
        <w:t>过程应由采购人负责记录，并存档备查。</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（五）供应商未参加开标的，视同认可开标结果。</w:t>
      </w:r>
    </w:p>
    <w:p>
      <w:pPr>
        <w:pStyle w:val="1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五、成交供应商的确定和变更</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（一）采购人应当从</w:t>
      </w:r>
      <w:r>
        <w:rPr>
          <w:rFonts w:hint="eastAsia" w:ascii="Times New Roman" w:hAnsi="Times New Roman" w:cs="Times New Roman"/>
          <w:color w:val="auto"/>
          <w:lang w:val="en-US" w:eastAsia="zh-CN"/>
        </w:rPr>
        <w:t>评标结果记录表</w:t>
      </w:r>
      <w:r>
        <w:rPr>
          <w:rFonts w:hint="default" w:ascii="Times New Roman" w:hAnsi="Times New Roman" w:cs="Times New Roman"/>
          <w:color w:val="auto"/>
          <w:lang w:val="en-US" w:eastAsia="zh-CN"/>
        </w:rPr>
        <w:t>提出的成交候选人中，根据质量、服务、技术、商务均能满足采购文件实质性响应要求且报价最低的原则确定成交供应商。</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（二）成交供应商的变更</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1.成交供应商拒绝签订采购合同的，采购人可以按照</w:t>
      </w:r>
      <w:r>
        <w:rPr>
          <w:rFonts w:hint="eastAsia" w:ascii="Times New Roman" w:hAnsi="Times New Roman" w:cs="Times New Roman"/>
          <w:color w:val="auto"/>
          <w:lang w:val="en-US" w:eastAsia="zh-CN"/>
        </w:rPr>
        <w:t>评标结果记录表</w:t>
      </w:r>
      <w:r>
        <w:rPr>
          <w:rFonts w:hint="default" w:ascii="Times New Roman" w:hAnsi="Times New Roman" w:cs="Times New Roman"/>
          <w:color w:val="auto"/>
          <w:lang w:val="en-US" w:eastAsia="zh-CN"/>
        </w:rPr>
        <w:t>推荐的成交候选人顺序，确定排名下一位的候选人为成交供应商，也可以重新开展采购活动。拒绝签订采购合同的成交供应商不得参加对该项目重新开展的采购活动。</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2.成交供应商无充分理由放弃成交的，采购人将向医院及上级监督部门报告并列入供应商黑名单，监督部门将根据相关法律法规的规定进行处理。</w:t>
      </w:r>
    </w:p>
    <w:p>
      <w:pPr>
        <w:pStyle w:val="5"/>
        <w:spacing w:line="480" w:lineRule="exact"/>
        <w:ind w:firstLine="480" w:firstLineChars="200"/>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sz w:val="24"/>
          <w:szCs w:val="24"/>
          <w:lang w:eastAsia="zh-CN"/>
        </w:rPr>
        <w:t>六</w:t>
      </w:r>
      <w:r>
        <w:rPr>
          <w:rFonts w:hint="default" w:ascii="Times New Roman" w:hAnsi="Times New Roman" w:eastAsia="方正黑体_GBK" w:cs="Times New Roman"/>
          <w:bCs/>
          <w:color w:val="auto"/>
          <w:sz w:val="24"/>
          <w:szCs w:val="24"/>
        </w:rPr>
        <w:t>、质疑和投诉</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（一）质疑</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认为采购文件、采购过程和中标结果使自己的权益受到损害的，可向采购人以书面形式提出质疑。</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提出质疑的应当是参与所质疑项目采购活动的</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1.质疑时限、内容</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1.1</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对</w:t>
      </w:r>
      <w:r>
        <w:rPr>
          <w:rFonts w:hint="default" w:ascii="Times New Roman" w:hAnsi="Times New Roman" w:eastAsia="方正仿宋_GBK" w:cs="Times New Roman"/>
          <w:color w:val="auto"/>
          <w:sz w:val="24"/>
          <w:szCs w:val="24"/>
          <w:lang w:eastAsia="zh-CN"/>
        </w:rPr>
        <w:t>采购文件</w:t>
      </w:r>
      <w:r>
        <w:rPr>
          <w:rFonts w:hint="default" w:ascii="Times New Roman" w:hAnsi="Times New Roman" w:eastAsia="方正仿宋_GBK" w:cs="Times New Roman"/>
          <w:color w:val="auto"/>
          <w:sz w:val="24"/>
          <w:szCs w:val="24"/>
        </w:rPr>
        <w:t>提出质疑的，应在依法获取</w:t>
      </w:r>
      <w:r>
        <w:rPr>
          <w:rFonts w:hint="default" w:ascii="Times New Roman" w:hAnsi="Times New Roman" w:eastAsia="方正仿宋_GBK" w:cs="Times New Roman"/>
          <w:color w:val="auto"/>
          <w:sz w:val="24"/>
          <w:szCs w:val="24"/>
          <w:lang w:eastAsia="zh-CN"/>
        </w:rPr>
        <w:t>采购文件</w:t>
      </w:r>
      <w:r>
        <w:rPr>
          <w:rFonts w:hint="default" w:ascii="Times New Roman" w:hAnsi="Times New Roman" w:eastAsia="方正仿宋_GBK" w:cs="Times New Roman"/>
          <w:color w:val="auto"/>
          <w:sz w:val="24"/>
          <w:szCs w:val="24"/>
        </w:rPr>
        <w:t>之日或者</w:t>
      </w:r>
      <w:r>
        <w:rPr>
          <w:rFonts w:hint="default" w:ascii="Times New Roman" w:hAnsi="Times New Roman" w:eastAsia="方正仿宋_GBK" w:cs="Times New Roman"/>
          <w:color w:val="auto"/>
          <w:sz w:val="24"/>
          <w:szCs w:val="24"/>
          <w:lang w:eastAsia="zh-CN"/>
        </w:rPr>
        <w:t>采购文件</w:t>
      </w:r>
      <w:r>
        <w:rPr>
          <w:rFonts w:hint="default" w:ascii="Times New Roman" w:hAnsi="Times New Roman" w:eastAsia="方正仿宋_GBK" w:cs="Times New Roman"/>
          <w:color w:val="auto"/>
          <w:sz w:val="24"/>
          <w:szCs w:val="24"/>
        </w:rPr>
        <w:t>公告期限届满之日起七个工作日内提出。</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1.2</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对采购过程提出质疑的，应在各采购程序环节结束之日起七个工作日内提出。</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1.3</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对中标结果提出质疑的，应当在中标结果公告期限届满之日起七个工作日内提出。</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提出质疑应当提交质疑函和必要的证明材料，质疑函应当包括下列内容：</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1.4.1供应商的姓名或者名称、地址、邮编、联系人及联系电话；</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1.4.2质疑项目的名称、项目号以及</w:t>
      </w:r>
      <w:r>
        <w:rPr>
          <w:rFonts w:hint="default" w:ascii="Times New Roman" w:hAnsi="Times New Roman" w:eastAsia="方正仿宋_GBK" w:cs="Times New Roman"/>
          <w:color w:val="auto"/>
          <w:sz w:val="24"/>
          <w:szCs w:val="24"/>
          <w:lang w:eastAsia="zh-CN"/>
        </w:rPr>
        <w:t>采购</w:t>
      </w:r>
      <w:r>
        <w:rPr>
          <w:rFonts w:hint="default" w:ascii="Times New Roman" w:hAnsi="Times New Roman" w:eastAsia="方正仿宋_GBK" w:cs="Times New Roman"/>
          <w:color w:val="auto"/>
          <w:sz w:val="24"/>
          <w:szCs w:val="24"/>
        </w:rPr>
        <w:t>项目编号；</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1.4.3具体、明确的质疑事项和与质疑事项相关的请求；</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1.4.4事实依据；</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1.4.5必要的法律依据；</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1.4.6提出质疑的日期；</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1.4.7营业执照（或事业单位法人证书，或个体工商户营业执照或有效的自然人身份证明、组织机构代码证）复印件；</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1.4.8法定代表人授权委托书原件、法定代表人身份证复印件和其授权代表的身份证复印件（供应商为自然人的提供自然人身份证复印件）；</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1.5供应商为自然人的，质疑函应当由本人签字；供应商为法人或者其他组织的，质疑函应当由法定代表人、主要负责人，或者其授权代表签字或者盖章，并加盖公章。</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2.质疑答复</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采购人、采购代理机构应当在收到</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的书面质疑后七个工作日内作出答复，并以书面形式通知质疑</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和其他有关</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3.其他</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3.1</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应按照《政府采购质疑和投诉办法》（财政部令第94号）及相关法律法规要求，在法定质疑期内一次性提出针对同一采购程序环节的质疑。</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3.2质疑函范本可在财政部门户网站和中国政府采购网下载。</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（二）投诉</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对采购人、采购代理机构的答复不满意，或者采购人、采购代理机构未在规定时间内作出答复的，可以在答复期满后15个工作日内按照相关法律法规向财政部门提起投诉。</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r>
        <w:rPr>
          <w:rFonts w:hint="default" w:ascii="Times New Roman" w:hAnsi="Times New Roman" w:eastAsia="方正仿宋_GBK" w:cs="Times New Roman"/>
          <w:color w:val="auto"/>
          <w:sz w:val="24"/>
          <w:szCs w:val="24"/>
          <w:lang w:eastAsia="zh-CN"/>
        </w:rPr>
        <w:t>供应商</w:t>
      </w:r>
      <w:r>
        <w:rPr>
          <w:rFonts w:hint="default" w:ascii="Times New Roman" w:hAnsi="Times New Roman" w:eastAsia="方正仿宋_GBK" w:cs="Times New Roman"/>
          <w:color w:val="auto"/>
          <w:sz w:val="24"/>
          <w:szCs w:val="24"/>
        </w:rPr>
        <w:t>应按照《政府采购质疑和投诉办法》（财政部令第94号）及相关法律法规要求递交投诉书和必要的证明材料。投诉书范本可在财政部门户网站和中国政府采购网下载。</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Style w:val="14"/>
        <w:bidi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4.在确定受理投诉后，财政部门自受理投诉之日起30个工作日内（需要检验、检测、鉴定、专家评审以及需要投诉人补正材料的，所需时间不计算在投诉处理期限内）对投诉事项做出处理决定。</w:t>
      </w:r>
    </w:p>
    <w:p>
      <w:pPr>
        <w:spacing w:line="480" w:lineRule="exact"/>
        <w:ind w:firstLine="480" w:firstLineChars="200"/>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sz w:val="24"/>
          <w:szCs w:val="24"/>
          <w:lang w:eastAsia="zh-CN"/>
        </w:rPr>
        <w:t>七</w:t>
      </w:r>
      <w:r>
        <w:rPr>
          <w:rFonts w:hint="default" w:ascii="Times New Roman" w:hAnsi="Times New Roman" w:eastAsia="方正黑体_GBK" w:cs="Times New Roman"/>
          <w:bCs/>
          <w:color w:val="auto"/>
          <w:sz w:val="24"/>
          <w:szCs w:val="24"/>
        </w:rPr>
        <w:t>、签订合同</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（一）采购人应当自收到</w:t>
      </w:r>
      <w:r>
        <w:rPr>
          <w:rFonts w:hint="eastAsia" w:eastAsia="方正仿宋_GBK" w:cs="Times New Roman"/>
          <w:color w:val="auto"/>
          <w:sz w:val="24"/>
          <w:szCs w:val="24"/>
          <w:lang w:eastAsia="zh-CN"/>
        </w:rPr>
        <w:t>成交</w:t>
      </w:r>
      <w:r>
        <w:rPr>
          <w:rFonts w:hint="default" w:ascii="Times New Roman" w:hAnsi="Times New Roman" w:eastAsia="方正仿宋_GBK" w:cs="Times New Roman"/>
          <w:color w:val="auto"/>
          <w:sz w:val="24"/>
          <w:szCs w:val="24"/>
        </w:rPr>
        <w:t>通知书发出之日起20日内，按照</w:t>
      </w:r>
      <w:r>
        <w:rPr>
          <w:rFonts w:hint="default" w:ascii="Times New Roman" w:hAnsi="Times New Roman" w:eastAsia="方正仿宋_GBK" w:cs="Times New Roman"/>
          <w:color w:val="auto"/>
          <w:sz w:val="24"/>
          <w:szCs w:val="24"/>
          <w:lang w:eastAsia="zh-CN"/>
        </w:rPr>
        <w:t>采购</w:t>
      </w:r>
      <w:r>
        <w:rPr>
          <w:rFonts w:hint="default" w:ascii="Times New Roman" w:hAnsi="Times New Roman" w:eastAsia="方正仿宋_GBK" w:cs="Times New Roman"/>
          <w:color w:val="auto"/>
          <w:sz w:val="24"/>
          <w:szCs w:val="24"/>
        </w:rPr>
        <w:t>文件和中标人</w:t>
      </w:r>
      <w:r>
        <w:rPr>
          <w:rFonts w:hint="default" w:ascii="Times New Roman" w:hAnsi="Times New Roman" w:eastAsia="方正仿宋_GBK" w:cs="Times New Roman"/>
          <w:color w:val="auto"/>
          <w:sz w:val="24"/>
          <w:szCs w:val="24"/>
          <w:lang w:eastAsia="zh-CN"/>
        </w:rPr>
        <w:t>响应</w:t>
      </w:r>
      <w:r>
        <w:rPr>
          <w:rFonts w:hint="default" w:ascii="Times New Roman" w:hAnsi="Times New Roman" w:eastAsia="方正仿宋_GBK" w:cs="Times New Roman"/>
          <w:color w:val="auto"/>
          <w:sz w:val="24"/>
          <w:szCs w:val="24"/>
        </w:rPr>
        <w:t>文件的约定，与中标人签订书面合同。所签订的合同不得对</w:t>
      </w:r>
      <w:r>
        <w:rPr>
          <w:rFonts w:hint="default" w:ascii="Times New Roman" w:hAnsi="Times New Roman" w:eastAsia="方正仿宋_GBK" w:cs="Times New Roman"/>
          <w:color w:val="auto"/>
          <w:sz w:val="24"/>
          <w:szCs w:val="24"/>
          <w:lang w:eastAsia="zh-CN"/>
        </w:rPr>
        <w:t>采购</w:t>
      </w:r>
      <w:r>
        <w:rPr>
          <w:rFonts w:hint="default" w:ascii="Times New Roman" w:hAnsi="Times New Roman" w:eastAsia="方正仿宋_GBK" w:cs="Times New Roman"/>
          <w:color w:val="auto"/>
          <w:sz w:val="24"/>
          <w:szCs w:val="24"/>
        </w:rPr>
        <w:t>文件和中标人</w:t>
      </w:r>
      <w:r>
        <w:rPr>
          <w:rFonts w:hint="default" w:ascii="Times New Roman" w:hAnsi="Times New Roman" w:eastAsia="方正仿宋_GBK" w:cs="Times New Roman"/>
          <w:color w:val="auto"/>
          <w:sz w:val="24"/>
          <w:szCs w:val="24"/>
          <w:lang w:eastAsia="zh-CN"/>
        </w:rPr>
        <w:t>响应</w:t>
      </w:r>
      <w:r>
        <w:rPr>
          <w:rFonts w:hint="default" w:ascii="Times New Roman" w:hAnsi="Times New Roman" w:eastAsia="方正仿宋_GBK" w:cs="Times New Roman"/>
          <w:color w:val="auto"/>
          <w:sz w:val="24"/>
          <w:szCs w:val="24"/>
        </w:rPr>
        <w:t>文件作实质性修改。</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（二）</w:t>
      </w:r>
      <w:r>
        <w:rPr>
          <w:rFonts w:hint="default" w:ascii="Times New Roman" w:hAnsi="Times New Roman" w:eastAsia="方正仿宋_GBK" w:cs="Times New Roman"/>
          <w:color w:val="auto"/>
          <w:sz w:val="24"/>
          <w:szCs w:val="24"/>
          <w:lang w:eastAsia="zh-CN"/>
        </w:rPr>
        <w:t>采购</w:t>
      </w:r>
      <w:r>
        <w:rPr>
          <w:rFonts w:hint="default" w:ascii="Times New Roman" w:hAnsi="Times New Roman" w:eastAsia="方正仿宋_GBK" w:cs="Times New Roman"/>
          <w:color w:val="auto"/>
          <w:sz w:val="24"/>
          <w:szCs w:val="24"/>
        </w:rPr>
        <w:t>文件、中标人的</w:t>
      </w:r>
      <w:r>
        <w:rPr>
          <w:rFonts w:hint="default" w:ascii="Times New Roman" w:hAnsi="Times New Roman" w:eastAsia="方正仿宋_GBK" w:cs="Times New Roman"/>
          <w:color w:val="auto"/>
          <w:sz w:val="24"/>
          <w:szCs w:val="24"/>
          <w:lang w:eastAsia="zh-CN"/>
        </w:rPr>
        <w:t>响应</w:t>
      </w:r>
      <w:r>
        <w:rPr>
          <w:rFonts w:hint="default" w:ascii="Times New Roman" w:hAnsi="Times New Roman" w:eastAsia="方正仿宋_GBK" w:cs="Times New Roman"/>
          <w:color w:val="auto"/>
          <w:sz w:val="24"/>
          <w:szCs w:val="24"/>
        </w:rPr>
        <w:t>文件及澄清文件等，均为签订采购合同的依据。</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（三）采购人与成交供应商签署合同时，应当同时签署廉洁购销合同，列明企业指定销售代表姓名，以及不得实施商业贿赂行为、实施商业贿赂行为后将被列入商业贿赂不良记录等条款。</w:t>
      </w:r>
    </w:p>
    <w:p>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（四）合同生效条款由供需双方约定，法律、行政法规规定应当办理批准、登记等手续后生效的合同，依照其规定。</w:t>
      </w:r>
    </w:p>
    <w:p>
      <w:pPr>
        <w:spacing w:line="480" w:lineRule="exact"/>
        <w:ind w:firstLine="480" w:firstLineChars="200"/>
        <w:rPr>
          <w:rFonts w:hint="default" w:ascii="Times New Roman" w:hAnsi="Times New Roman" w:eastAsia="方正仿宋_GBK" w:cs="Times New Roman"/>
          <w:color w:val="auto"/>
          <w:sz w:val="24"/>
          <w:szCs w:val="24"/>
        </w:rPr>
        <w:sectPr>
          <w:pgSz w:w="11906" w:h="16838"/>
          <w:pgMar w:top="1984" w:right="1446" w:bottom="1644" w:left="1446" w:header="851" w:footer="992" w:gutter="0"/>
          <w:cols w:space="0" w:num="1"/>
          <w:rtlGutter w:val="0"/>
          <w:docGrid w:type="lines" w:linePitch="312" w:charSpace="0"/>
        </w:sectPr>
      </w:pPr>
    </w:p>
    <w:p>
      <w:pPr>
        <w:pStyle w:val="13"/>
        <w:bidi w:val="0"/>
        <w:rPr>
          <w:rFonts w:hint="default"/>
          <w:color w:val="auto"/>
          <w:lang w:val="en-US" w:eastAsia="zh-CN"/>
        </w:rPr>
      </w:pPr>
      <w:r>
        <w:rPr>
          <w:rFonts w:hint="default"/>
          <w:color w:val="auto"/>
          <w:lang w:val="en-US" w:eastAsia="zh-CN"/>
        </w:rPr>
        <w:t>第六篇 合同主要条款和格式合同（样本）</w:t>
      </w:r>
    </w:p>
    <w:p>
      <w:pPr>
        <w:pStyle w:val="14"/>
        <w:bidi w:val="0"/>
        <w:rPr>
          <w:rFonts w:hint="eastAsia"/>
          <w:color w:val="auto"/>
        </w:rPr>
      </w:pPr>
    </w:p>
    <w:p>
      <w:pPr>
        <w:pStyle w:val="14"/>
        <w:bidi w:val="0"/>
        <w:rPr>
          <w:rFonts w:hint="eastAsia"/>
          <w:color w:val="auto"/>
        </w:rPr>
      </w:pPr>
      <w:r>
        <w:rPr>
          <w:rFonts w:hint="eastAsia"/>
          <w:color w:val="auto"/>
        </w:rPr>
        <w:t>委托方（甲方）：</w:t>
      </w:r>
      <w:r>
        <w:rPr>
          <w:rFonts w:hint="eastAsia"/>
          <w:color w:val="auto"/>
          <w:lang w:val="en-US" w:eastAsia="zh-CN"/>
        </w:rPr>
        <w:t>重庆市红十字会医院（江北区人民医院）</w:t>
      </w:r>
    </w:p>
    <w:p>
      <w:pPr>
        <w:pStyle w:val="14"/>
        <w:bidi w:val="0"/>
        <w:rPr>
          <w:color w:val="auto"/>
        </w:rPr>
      </w:pPr>
      <w:r>
        <w:rPr>
          <w:rFonts w:hint="eastAsia"/>
          <w:color w:val="auto"/>
        </w:rPr>
        <w:t>实施方（乙方）：</w:t>
      </w:r>
    </w:p>
    <w:p>
      <w:pPr>
        <w:pStyle w:val="14"/>
        <w:bidi w:val="0"/>
        <w:rPr>
          <w:rFonts w:hint="eastAsia"/>
          <w:color w:val="auto"/>
          <w:lang w:val="en-US" w:eastAsia="zh-CN"/>
        </w:rPr>
      </w:pPr>
      <w:r>
        <w:rPr>
          <w:rFonts w:hint="eastAsia"/>
          <w:color w:val="auto"/>
          <w:lang w:val="en-US" w:eastAsia="zh-CN"/>
        </w:rPr>
        <w:t>项目名称</w:t>
      </w:r>
      <w:r>
        <w:rPr>
          <w:rFonts w:hint="eastAsia"/>
          <w:color w:val="auto"/>
        </w:rPr>
        <w:t>：</w:t>
      </w:r>
      <w:r>
        <w:rPr>
          <w:rFonts w:hint="eastAsia"/>
          <w:color w:val="auto"/>
          <w:lang w:val="en-US" w:eastAsia="zh-CN"/>
        </w:rPr>
        <w:t>观音桥院区供应室脉动真空灭菌器维保</w:t>
      </w:r>
      <w:r>
        <w:rPr>
          <w:rFonts w:hint="default"/>
          <w:color w:val="auto"/>
          <w:lang w:val="en-US" w:eastAsia="zh-CN"/>
        </w:rPr>
        <w:t>服务</w:t>
      </w:r>
    </w:p>
    <w:p>
      <w:pPr>
        <w:pStyle w:val="14"/>
        <w:bidi w:val="0"/>
        <w:rPr>
          <w:rFonts w:hint="eastAsia"/>
          <w:color w:val="auto"/>
        </w:rPr>
      </w:pPr>
      <w:r>
        <w:rPr>
          <w:rFonts w:hint="eastAsia"/>
          <w:color w:val="auto"/>
        </w:rPr>
        <w:t>依据《中华人民共和国民法典》</w:t>
      </w:r>
      <w:r>
        <w:rPr>
          <w:rFonts w:hint="eastAsia"/>
          <w:color w:val="auto"/>
          <w:lang w:val="en-US" w:eastAsia="zh-CN"/>
        </w:rPr>
        <w:t>和相关法律法规</w:t>
      </w:r>
      <w:r>
        <w:rPr>
          <w:rFonts w:hint="eastAsia"/>
          <w:color w:val="auto"/>
        </w:rPr>
        <w:t>规定，</w:t>
      </w:r>
      <w:r>
        <w:rPr>
          <w:rFonts w:hint="eastAsia"/>
          <w:color w:val="auto"/>
          <w:lang w:val="en-US" w:eastAsia="zh-CN"/>
        </w:rPr>
        <w:t>根据招投标结果，甲乙双方就甲方观音桥院区供应室脉动真空灭菌器维保</w:t>
      </w:r>
      <w:r>
        <w:rPr>
          <w:rFonts w:hint="default"/>
          <w:color w:val="auto"/>
          <w:lang w:val="en-US" w:eastAsia="zh-CN"/>
        </w:rPr>
        <w:t>服务</w:t>
      </w:r>
      <w:r>
        <w:rPr>
          <w:rFonts w:hint="eastAsia"/>
          <w:color w:val="auto"/>
          <w:lang w:val="en-US" w:eastAsia="zh-CN"/>
        </w:rPr>
        <w:t>事项</w:t>
      </w:r>
      <w:r>
        <w:rPr>
          <w:rFonts w:hint="eastAsia"/>
          <w:color w:val="auto"/>
        </w:rPr>
        <w:t>协商一致，签订本合同。</w:t>
      </w:r>
    </w:p>
    <w:p>
      <w:pPr>
        <w:pStyle w:val="14"/>
        <w:bidi w:val="0"/>
        <w:rPr>
          <w:rFonts w:hint="default" w:eastAsia="方正仿宋_GBK"/>
          <w:color w:val="auto"/>
          <w:lang w:val="en-US" w:eastAsia="zh-CN"/>
        </w:rPr>
      </w:pPr>
      <w:r>
        <w:rPr>
          <w:rFonts w:hint="eastAsia"/>
          <w:color w:val="auto"/>
          <w:lang w:val="en-US" w:eastAsia="zh-CN"/>
        </w:rPr>
        <w:t>一、</w:t>
      </w:r>
      <w:r>
        <w:rPr>
          <w:rFonts w:hint="eastAsia"/>
          <w:color w:val="auto"/>
        </w:rPr>
        <w:t>服务</w:t>
      </w:r>
      <w:r>
        <w:rPr>
          <w:rFonts w:hint="eastAsia"/>
          <w:color w:val="auto"/>
          <w:lang w:val="en-US" w:eastAsia="zh-CN"/>
        </w:rPr>
        <w:t>设备和限价情况</w:t>
      </w:r>
    </w:p>
    <w:tbl>
      <w:tblPr>
        <w:tblStyle w:val="9"/>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1491"/>
        <w:gridCol w:w="1303"/>
        <w:gridCol w:w="1061"/>
        <w:gridCol w:w="858"/>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02"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auto"/>
                <w:kern w:val="0"/>
                <w:sz w:val="21"/>
                <w:szCs w:val="24"/>
              </w:rPr>
            </w:pPr>
            <w:r>
              <w:rPr>
                <w:rFonts w:hint="eastAsia" w:ascii="方正仿宋_GBK" w:hAnsi="方正仿宋_GBK" w:eastAsia="方正仿宋_GBK" w:cs="方正仿宋_GBK"/>
                <w:b/>
                <w:bCs/>
                <w:color w:val="auto"/>
                <w:kern w:val="0"/>
                <w:sz w:val="21"/>
                <w:szCs w:val="24"/>
              </w:rPr>
              <w:t>名称</w:t>
            </w:r>
          </w:p>
        </w:tc>
        <w:tc>
          <w:tcPr>
            <w:tcW w:w="905" w:type="pct"/>
            <w:tcBorders>
              <w:top w:val="single" w:color="auto" w:sz="4" w:space="0"/>
              <w:left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bidi="ar-SA"/>
              </w:rPr>
            </w:pPr>
            <w:r>
              <w:rPr>
                <w:rFonts w:hint="eastAsia" w:ascii="方正仿宋_GBK" w:hAnsi="方正仿宋_GBK" w:eastAsia="方正仿宋_GBK" w:cs="方正仿宋_GBK"/>
                <w:b/>
                <w:bCs/>
                <w:color w:val="auto"/>
                <w:kern w:val="0"/>
                <w:sz w:val="21"/>
                <w:szCs w:val="24"/>
                <w:lang w:val="en-US" w:eastAsia="zh-CN" w:bidi="ar-SA"/>
              </w:rPr>
              <w:t>型号</w:t>
            </w:r>
          </w:p>
        </w:tc>
        <w:tc>
          <w:tcPr>
            <w:tcW w:w="791" w:type="pct"/>
            <w:tcBorders>
              <w:top w:val="single" w:color="auto" w:sz="4" w:space="0"/>
              <w:left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bidi="ar-SA"/>
              </w:rPr>
            </w:pPr>
            <w:r>
              <w:rPr>
                <w:rFonts w:hint="eastAsia" w:ascii="方正仿宋_GBK" w:hAnsi="方正仿宋_GBK" w:eastAsia="方正仿宋_GBK" w:cs="方正仿宋_GBK"/>
                <w:b/>
                <w:bCs/>
                <w:color w:val="auto"/>
                <w:kern w:val="0"/>
                <w:sz w:val="21"/>
                <w:szCs w:val="24"/>
                <w:lang w:val="en-US" w:eastAsia="zh-CN" w:bidi="ar-SA"/>
              </w:rPr>
              <w:t>设备编号</w:t>
            </w:r>
          </w:p>
        </w:tc>
        <w:tc>
          <w:tcPr>
            <w:tcW w:w="644"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rPr>
            </w:pPr>
            <w:r>
              <w:rPr>
                <w:rFonts w:hint="eastAsia" w:ascii="方正仿宋_GBK" w:hAnsi="方正仿宋_GBK" w:eastAsia="方正仿宋_GBK" w:cs="方正仿宋_GBK"/>
                <w:b/>
                <w:bCs/>
                <w:color w:val="auto"/>
                <w:kern w:val="0"/>
                <w:sz w:val="21"/>
                <w:szCs w:val="24"/>
                <w:lang w:val="en-US" w:eastAsia="zh-CN"/>
              </w:rPr>
              <w:t>装机时间</w:t>
            </w:r>
          </w:p>
        </w:tc>
        <w:tc>
          <w:tcPr>
            <w:tcW w:w="520"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rPr>
            </w:pPr>
            <w:r>
              <w:rPr>
                <w:rFonts w:hint="eastAsia" w:ascii="方正仿宋_GBK" w:hAnsi="方正仿宋_GBK" w:eastAsia="方正仿宋_GBK" w:cs="方正仿宋_GBK"/>
                <w:b/>
                <w:bCs/>
                <w:color w:val="auto"/>
                <w:kern w:val="0"/>
                <w:sz w:val="21"/>
                <w:szCs w:val="24"/>
                <w:lang w:val="en-US" w:eastAsia="zh-CN"/>
              </w:rPr>
              <w:t>数量</w:t>
            </w:r>
          </w:p>
        </w:tc>
        <w:tc>
          <w:tcPr>
            <w:tcW w:w="735" w:type="pc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b/>
                <w:bCs/>
                <w:color w:val="auto"/>
                <w:kern w:val="0"/>
                <w:sz w:val="21"/>
                <w:szCs w:val="24"/>
                <w:lang w:val="en-US" w:eastAsia="zh-CN"/>
              </w:rPr>
            </w:pPr>
            <w:r>
              <w:rPr>
                <w:rFonts w:hint="eastAsia" w:ascii="方正仿宋_GBK" w:hAnsi="方正仿宋_GBK" w:eastAsia="方正仿宋_GBK" w:cs="方正仿宋_GBK"/>
                <w:b/>
                <w:bCs/>
                <w:color w:val="auto"/>
                <w:kern w:val="0"/>
                <w:sz w:val="21"/>
                <w:szCs w:val="24"/>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2"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14"/>
              <w:bidi w:val="0"/>
              <w:ind w:left="0" w:leftChars="0" w:firstLine="0" w:firstLineChars="0"/>
              <w:jc w:val="both"/>
              <w:rPr>
                <w:rFonts w:hint="eastAsia"/>
                <w:color w:val="auto"/>
                <w:lang w:val="en-US" w:eastAsia="zh-CN"/>
              </w:rPr>
            </w:pPr>
            <w:r>
              <w:rPr>
                <w:rFonts w:hint="eastAsia"/>
                <w:color w:val="auto"/>
                <w:lang w:val="en-US" w:eastAsia="zh-CN"/>
              </w:rPr>
              <w:t>脉动真空灭菌器维保</w:t>
            </w:r>
          </w:p>
        </w:tc>
        <w:tc>
          <w:tcPr>
            <w:tcW w:w="905"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pStyle w:val="14"/>
              <w:bidi w:val="0"/>
              <w:ind w:left="0" w:leftChars="0" w:firstLine="0" w:firstLineChars="0"/>
              <w:jc w:val="both"/>
              <w:rPr>
                <w:rFonts w:hint="default"/>
                <w:color w:val="auto"/>
                <w:lang w:val="en-US" w:eastAsia="zh-CN"/>
              </w:rPr>
            </w:pPr>
            <w:r>
              <w:rPr>
                <w:rFonts w:hint="eastAsia"/>
                <w:color w:val="auto"/>
                <w:lang w:val="en-US" w:eastAsia="zh-CN"/>
              </w:rPr>
              <w:t>MZQ.JD-1.5</w:t>
            </w:r>
          </w:p>
        </w:tc>
        <w:tc>
          <w:tcPr>
            <w:tcW w:w="79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pStyle w:val="14"/>
              <w:bidi w:val="0"/>
              <w:ind w:left="0" w:leftChars="0" w:firstLine="0" w:firstLineChars="0"/>
              <w:jc w:val="both"/>
              <w:rPr>
                <w:rFonts w:hint="default"/>
                <w:color w:val="auto"/>
                <w:lang w:val="en-US" w:eastAsia="zh-CN"/>
              </w:rPr>
            </w:pPr>
            <w:r>
              <w:rPr>
                <w:rFonts w:hint="eastAsia"/>
                <w:color w:val="auto"/>
                <w:lang w:val="en-US" w:eastAsia="zh-CN"/>
              </w:rPr>
              <w:t>B2K12281</w:t>
            </w:r>
          </w:p>
        </w:tc>
        <w:tc>
          <w:tcPr>
            <w:tcW w:w="644"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2012</w:t>
            </w:r>
          </w:p>
        </w:tc>
        <w:tc>
          <w:tcPr>
            <w:tcW w:w="520"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735"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2"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14"/>
              <w:bidi w:val="0"/>
              <w:ind w:left="0" w:leftChars="0" w:firstLine="0" w:firstLineChars="0"/>
              <w:jc w:val="both"/>
              <w:rPr>
                <w:rFonts w:hint="eastAsia"/>
                <w:color w:val="auto"/>
                <w:lang w:val="en-US" w:eastAsia="zh-CN"/>
              </w:rPr>
            </w:pPr>
            <w:r>
              <w:rPr>
                <w:rFonts w:hint="eastAsia"/>
                <w:color w:val="auto"/>
                <w:lang w:val="en-US" w:eastAsia="zh-CN"/>
              </w:rPr>
              <w:t>脉动真空灭菌器维保</w:t>
            </w:r>
          </w:p>
        </w:tc>
        <w:tc>
          <w:tcPr>
            <w:tcW w:w="905"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pStyle w:val="14"/>
              <w:bidi w:val="0"/>
              <w:ind w:left="0" w:leftChars="0" w:firstLine="0" w:firstLineChars="0"/>
              <w:jc w:val="both"/>
              <w:rPr>
                <w:rFonts w:hint="default"/>
                <w:color w:val="auto"/>
                <w:lang w:val="en-US" w:eastAsia="zh-CN"/>
              </w:rPr>
            </w:pPr>
            <w:r>
              <w:rPr>
                <w:rFonts w:hint="eastAsia"/>
                <w:color w:val="auto"/>
                <w:lang w:val="en-US" w:eastAsia="zh-CN"/>
              </w:rPr>
              <w:t>MZQ.JD-1.5</w:t>
            </w:r>
          </w:p>
        </w:tc>
        <w:tc>
          <w:tcPr>
            <w:tcW w:w="791"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pStyle w:val="14"/>
              <w:bidi w:val="0"/>
              <w:ind w:left="0" w:leftChars="0" w:firstLine="0" w:firstLineChars="0"/>
              <w:jc w:val="both"/>
              <w:rPr>
                <w:rFonts w:hint="default"/>
                <w:color w:val="auto"/>
                <w:lang w:val="en-US" w:eastAsia="zh-CN"/>
              </w:rPr>
            </w:pPr>
            <w:r>
              <w:rPr>
                <w:rFonts w:hint="eastAsia"/>
                <w:color w:val="auto"/>
                <w:lang w:val="en-US" w:eastAsia="zh-CN"/>
              </w:rPr>
              <w:t>B2K20287</w:t>
            </w:r>
          </w:p>
        </w:tc>
        <w:tc>
          <w:tcPr>
            <w:tcW w:w="644"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2020</w:t>
            </w:r>
          </w:p>
        </w:tc>
        <w:tc>
          <w:tcPr>
            <w:tcW w:w="520"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宋体" w:eastAsia="方正仿宋_GBK" w:cs="Times New Roman"/>
                <w:color w:val="auto"/>
                <w:kern w:val="2"/>
                <w:sz w:val="21"/>
                <w:szCs w:val="21"/>
                <w:lang w:val="en-US" w:eastAsia="zh-CN" w:bidi="ar-SA"/>
              </w:rPr>
            </w:pPr>
            <w:r>
              <w:rPr>
                <w:rFonts w:hint="eastAsia" w:ascii="方正仿宋_GBK" w:hAnsi="宋体" w:eastAsia="方正仿宋_GBK" w:cs="Times New Roman"/>
                <w:color w:val="auto"/>
                <w:kern w:val="2"/>
                <w:sz w:val="21"/>
                <w:szCs w:val="21"/>
                <w:lang w:val="en-US" w:eastAsia="zh-CN" w:bidi="ar-SA"/>
              </w:rPr>
              <w:t>1</w:t>
            </w:r>
          </w:p>
        </w:tc>
        <w:tc>
          <w:tcPr>
            <w:tcW w:w="735"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K" w:hAnsi="宋体" w:eastAsia="方正仿宋_GBK" w:cs="Times New Roman"/>
                <w:color w:val="auto"/>
                <w:kern w:val="2"/>
                <w:sz w:val="21"/>
                <w:szCs w:val="21"/>
                <w:lang w:val="en-US" w:eastAsia="zh-CN" w:bidi="ar-SA"/>
              </w:rPr>
            </w:pPr>
          </w:p>
        </w:tc>
      </w:tr>
    </w:tbl>
    <w:p>
      <w:pPr>
        <w:pStyle w:val="14"/>
        <w:bidi w:val="0"/>
        <w:rPr>
          <w:rFonts w:hint="eastAsia"/>
          <w:color w:val="auto"/>
        </w:rPr>
      </w:pPr>
      <w:r>
        <w:rPr>
          <w:rFonts w:hint="eastAsia"/>
          <w:color w:val="auto"/>
          <w:lang w:val="en-US" w:eastAsia="zh-CN"/>
        </w:rPr>
        <w:t>二、维保项目和内容</w:t>
      </w:r>
    </w:p>
    <w:tbl>
      <w:tblPr>
        <w:tblStyle w:val="9"/>
        <w:tblpPr w:leftFromText="180" w:rightFromText="180" w:vertAnchor="text" w:horzAnchor="page" w:tblpX="1126" w:tblpY="261"/>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9"/>
        <w:gridCol w:w="2367"/>
        <w:gridCol w:w="700"/>
        <w:gridCol w:w="2750"/>
        <w:gridCol w:w="203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9" w:type="dxa"/>
            <w:tcMar>
              <w:top w:w="15" w:type="dxa"/>
              <w:left w:w="15" w:type="dxa"/>
              <w:bottom w:w="0" w:type="dxa"/>
              <w:right w:w="15" w:type="dxa"/>
            </w:tcMar>
            <w:vAlign w:val="center"/>
          </w:tcPr>
          <w:p>
            <w:pPr>
              <w:pStyle w:val="14"/>
              <w:bidi w:val="0"/>
              <w:ind w:left="0" w:leftChars="0" w:firstLine="0" w:firstLineChars="0"/>
              <w:rPr>
                <w:rFonts w:hint="eastAsia"/>
                <w:b/>
                <w:bCs/>
                <w:color w:val="auto"/>
                <w:lang w:val="en-US" w:eastAsia="zh-CN"/>
              </w:rPr>
            </w:pPr>
            <w:r>
              <w:rPr>
                <w:rFonts w:hint="eastAsia"/>
                <w:b/>
                <w:bCs/>
                <w:color w:val="auto"/>
                <w:lang w:val="en-US" w:eastAsia="zh-CN"/>
              </w:rPr>
              <w:t>序号</w:t>
            </w:r>
          </w:p>
        </w:tc>
        <w:tc>
          <w:tcPr>
            <w:tcW w:w="2367" w:type="dxa"/>
            <w:tcMar>
              <w:top w:w="15" w:type="dxa"/>
              <w:left w:w="15" w:type="dxa"/>
              <w:bottom w:w="0" w:type="dxa"/>
              <w:right w:w="15" w:type="dxa"/>
            </w:tcMar>
            <w:vAlign w:val="center"/>
          </w:tcPr>
          <w:p>
            <w:pPr>
              <w:pStyle w:val="14"/>
              <w:bidi w:val="0"/>
              <w:ind w:left="0" w:leftChars="0" w:firstLine="0" w:firstLineChars="0"/>
              <w:rPr>
                <w:rFonts w:hint="eastAsia"/>
                <w:b/>
                <w:bCs/>
                <w:color w:val="auto"/>
                <w:lang w:val="en-US" w:eastAsia="zh-CN"/>
              </w:rPr>
            </w:pPr>
            <w:r>
              <w:rPr>
                <w:rFonts w:hint="eastAsia"/>
                <w:b/>
                <w:bCs/>
                <w:color w:val="auto"/>
                <w:lang w:val="en-US" w:eastAsia="zh-CN"/>
              </w:rPr>
              <w:t>配件名称</w:t>
            </w:r>
          </w:p>
        </w:tc>
        <w:tc>
          <w:tcPr>
            <w:tcW w:w="700" w:type="dxa"/>
            <w:tcMar>
              <w:top w:w="15" w:type="dxa"/>
              <w:left w:w="15" w:type="dxa"/>
              <w:bottom w:w="0" w:type="dxa"/>
              <w:right w:w="15" w:type="dxa"/>
            </w:tcMar>
            <w:vAlign w:val="center"/>
          </w:tcPr>
          <w:p>
            <w:pPr>
              <w:pStyle w:val="14"/>
              <w:bidi w:val="0"/>
              <w:ind w:left="0" w:leftChars="0" w:firstLine="0" w:firstLineChars="0"/>
              <w:jc w:val="center"/>
              <w:rPr>
                <w:rFonts w:hint="eastAsia"/>
                <w:b/>
                <w:bCs/>
                <w:color w:val="auto"/>
                <w:lang w:val="en-US" w:eastAsia="zh-CN"/>
              </w:rPr>
            </w:pPr>
            <w:r>
              <w:rPr>
                <w:rFonts w:hint="eastAsia"/>
                <w:b/>
                <w:bCs/>
                <w:color w:val="auto"/>
                <w:lang w:val="en-US" w:eastAsia="zh-CN"/>
              </w:rPr>
              <w:t>数量</w:t>
            </w:r>
          </w:p>
        </w:tc>
        <w:tc>
          <w:tcPr>
            <w:tcW w:w="2750" w:type="dxa"/>
            <w:tcMar>
              <w:top w:w="15" w:type="dxa"/>
              <w:left w:w="15" w:type="dxa"/>
              <w:bottom w:w="0" w:type="dxa"/>
              <w:right w:w="15" w:type="dxa"/>
            </w:tcMar>
            <w:vAlign w:val="center"/>
          </w:tcPr>
          <w:p>
            <w:pPr>
              <w:pStyle w:val="14"/>
              <w:bidi w:val="0"/>
              <w:ind w:left="0" w:leftChars="0" w:firstLine="241" w:firstLineChars="100"/>
              <w:rPr>
                <w:rFonts w:hint="eastAsia"/>
                <w:b/>
                <w:bCs/>
                <w:color w:val="auto"/>
                <w:lang w:val="en-US" w:eastAsia="zh-CN"/>
              </w:rPr>
            </w:pPr>
            <w:r>
              <w:rPr>
                <w:rFonts w:hint="eastAsia"/>
                <w:b/>
                <w:bCs/>
                <w:color w:val="auto"/>
                <w:lang w:val="en-US" w:eastAsia="zh-CN"/>
              </w:rPr>
              <w:t>检查内容</w:t>
            </w:r>
          </w:p>
        </w:tc>
        <w:tc>
          <w:tcPr>
            <w:tcW w:w="2034" w:type="dxa"/>
            <w:tcMar>
              <w:top w:w="15" w:type="dxa"/>
              <w:left w:w="15" w:type="dxa"/>
              <w:bottom w:w="0" w:type="dxa"/>
              <w:right w:w="15" w:type="dxa"/>
            </w:tcMar>
            <w:vAlign w:val="center"/>
          </w:tcPr>
          <w:p>
            <w:pPr>
              <w:pStyle w:val="14"/>
              <w:bidi w:val="0"/>
              <w:ind w:left="0" w:leftChars="0" w:firstLine="0" w:firstLineChars="0"/>
              <w:jc w:val="center"/>
              <w:rPr>
                <w:rFonts w:hint="eastAsia"/>
                <w:b/>
                <w:bCs/>
                <w:color w:val="auto"/>
                <w:lang w:val="en-US" w:eastAsia="zh-CN"/>
              </w:rPr>
            </w:pPr>
            <w:r>
              <w:rPr>
                <w:rFonts w:hint="eastAsia"/>
                <w:b/>
                <w:bCs/>
                <w:color w:val="auto"/>
                <w:lang w:val="en-US" w:eastAsia="zh-CN"/>
              </w:rPr>
              <w:t>检查时间</w:t>
            </w:r>
          </w:p>
        </w:tc>
        <w:tc>
          <w:tcPr>
            <w:tcW w:w="1545" w:type="dxa"/>
            <w:tcMar>
              <w:top w:w="15" w:type="dxa"/>
              <w:left w:w="15" w:type="dxa"/>
              <w:bottom w:w="0" w:type="dxa"/>
              <w:right w:w="15" w:type="dxa"/>
            </w:tcMar>
            <w:vAlign w:val="center"/>
          </w:tcPr>
          <w:p>
            <w:pPr>
              <w:pStyle w:val="14"/>
              <w:bidi w:val="0"/>
              <w:ind w:left="0" w:leftChars="0" w:firstLine="0" w:firstLineChars="0"/>
              <w:jc w:val="center"/>
              <w:rPr>
                <w:rFonts w:hint="eastAsia"/>
                <w:b/>
                <w:bCs/>
                <w:color w:val="auto"/>
                <w:lang w:val="en-US" w:eastAsia="zh-CN"/>
              </w:rPr>
            </w:pPr>
            <w:r>
              <w:rPr>
                <w:rFonts w:hint="eastAsia"/>
                <w:b/>
                <w:bCs/>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trPr>
        <w:tc>
          <w:tcPr>
            <w:tcW w:w="559" w:type="dxa"/>
            <w:tcMar>
              <w:top w:w="15" w:type="dxa"/>
              <w:left w:w="15" w:type="dxa"/>
              <w:bottom w:w="0" w:type="dxa"/>
              <w:right w:w="15" w:type="dxa"/>
            </w:tcMar>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w:t>
            </w:r>
          </w:p>
        </w:tc>
        <w:tc>
          <w:tcPr>
            <w:tcW w:w="2367" w:type="dxa"/>
            <w:tcMar>
              <w:top w:w="15" w:type="dxa"/>
              <w:left w:w="15" w:type="dxa"/>
              <w:bottom w:w="0" w:type="dxa"/>
              <w:right w:w="15" w:type="dxa"/>
            </w:tcMar>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安全泄压阀</w:t>
            </w:r>
          </w:p>
        </w:tc>
        <w:tc>
          <w:tcPr>
            <w:tcW w:w="700" w:type="dxa"/>
            <w:tcMar>
              <w:top w:w="15" w:type="dxa"/>
              <w:left w:w="15" w:type="dxa"/>
              <w:bottom w:w="0" w:type="dxa"/>
              <w:right w:w="15" w:type="dxa"/>
            </w:tcMar>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4套</w:t>
            </w:r>
          </w:p>
        </w:tc>
        <w:tc>
          <w:tcPr>
            <w:tcW w:w="2750" w:type="dxa"/>
            <w:tcMar>
              <w:top w:w="15" w:type="dxa"/>
              <w:left w:w="15" w:type="dxa"/>
              <w:bottom w:w="0" w:type="dxa"/>
              <w:right w:w="15" w:type="dxa"/>
            </w:tcMar>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开启灵敏度是否正常</w:t>
            </w:r>
          </w:p>
        </w:tc>
        <w:tc>
          <w:tcPr>
            <w:tcW w:w="2034" w:type="dxa"/>
            <w:tcMar>
              <w:top w:w="15" w:type="dxa"/>
              <w:left w:w="15" w:type="dxa"/>
              <w:bottom w:w="0" w:type="dxa"/>
              <w:right w:w="15" w:type="dxa"/>
            </w:tcMar>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tcMar>
              <w:top w:w="15" w:type="dxa"/>
              <w:left w:w="15" w:type="dxa"/>
              <w:bottom w:w="0" w:type="dxa"/>
              <w:right w:w="15" w:type="dxa"/>
            </w:tcMar>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tcMar>
              <w:top w:w="15" w:type="dxa"/>
              <w:left w:w="15" w:type="dxa"/>
              <w:bottom w:w="0" w:type="dxa"/>
              <w:right w:w="15" w:type="dxa"/>
            </w:tcMar>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w:t>
            </w:r>
          </w:p>
        </w:tc>
        <w:tc>
          <w:tcPr>
            <w:tcW w:w="2367" w:type="dxa"/>
            <w:tcMar>
              <w:top w:w="15" w:type="dxa"/>
              <w:left w:w="15" w:type="dxa"/>
              <w:bottom w:w="0" w:type="dxa"/>
              <w:right w:w="15" w:type="dxa"/>
            </w:tcMar>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压力表指示正常</w:t>
            </w:r>
          </w:p>
        </w:tc>
        <w:tc>
          <w:tcPr>
            <w:tcW w:w="700" w:type="dxa"/>
            <w:tcMar>
              <w:top w:w="15" w:type="dxa"/>
              <w:left w:w="15" w:type="dxa"/>
              <w:bottom w:w="0" w:type="dxa"/>
              <w:right w:w="15" w:type="dxa"/>
            </w:tcMar>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8套</w:t>
            </w:r>
          </w:p>
        </w:tc>
        <w:tc>
          <w:tcPr>
            <w:tcW w:w="2750" w:type="dxa"/>
            <w:tcMar>
              <w:top w:w="15" w:type="dxa"/>
              <w:left w:w="15" w:type="dxa"/>
              <w:bottom w:w="0" w:type="dxa"/>
              <w:right w:w="15" w:type="dxa"/>
            </w:tcMar>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压力表指示是否正常</w:t>
            </w:r>
          </w:p>
        </w:tc>
        <w:tc>
          <w:tcPr>
            <w:tcW w:w="2034" w:type="dxa"/>
            <w:tcMar>
              <w:top w:w="15" w:type="dxa"/>
              <w:left w:w="15" w:type="dxa"/>
              <w:bottom w:w="0" w:type="dxa"/>
              <w:right w:w="15" w:type="dxa"/>
            </w:tcMar>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tcMar>
              <w:top w:w="15" w:type="dxa"/>
              <w:left w:w="15" w:type="dxa"/>
              <w:bottom w:w="0" w:type="dxa"/>
              <w:right w:w="15" w:type="dxa"/>
            </w:tcMar>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3</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前后门安全联锁装置</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4套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运行否正常</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4</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压力控制系统</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压力参数控制否正常</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5</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高温门封胶条</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4套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是否老化、有无漏气</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6</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PLC控制电气</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输出、触电是否松动</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7</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显示控制电气</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输出、触电是否松动</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8</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数据打印应系统</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输出、触电是否松动</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9</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气动高温进汽阀</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8套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是否老化、有无漏气</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10</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气动高温排汽阀</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8套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是否老化、有无漏气</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11</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气动阀电磁阀</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8套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是否老化、有无漏气</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12</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高温疏水阀</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4套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是否有堵塞、排水通畅</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13</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高温冷却器</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是否温度超高</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14</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不锈钢快卡管路</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20套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是否老化、有无漏气</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15</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供水系统</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是否有堵塞、供水通畅</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16</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门动系统</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4套</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是否松动、有无磨损</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17</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灭菌器内室、压力温度</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2台</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是否精确</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18</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夹层焊接状况</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2台</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是否老化、有无漏气</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19</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内室焊接状况</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2台</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是否老化、有无漏气</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20</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不锈钢内外推车</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4台</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连接否松动、有无磨损</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559"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21</w:t>
            </w:r>
          </w:p>
        </w:tc>
        <w:tc>
          <w:tcPr>
            <w:tcW w:w="2367" w:type="dxa"/>
            <w:vAlign w:val="center"/>
          </w:tcPr>
          <w:p>
            <w:pPr>
              <w:pStyle w:val="14"/>
              <w:bidi w:val="0"/>
              <w:ind w:left="0" w:leftChars="0" w:firstLine="0" w:firstLineChars="0"/>
              <w:jc w:val="left"/>
              <w:rPr>
                <w:rFonts w:hint="eastAsia"/>
                <w:color w:val="auto"/>
                <w:lang w:val="en-US" w:eastAsia="zh-CN"/>
              </w:rPr>
            </w:pPr>
            <w:r>
              <w:rPr>
                <w:rFonts w:hint="eastAsia"/>
                <w:color w:val="auto"/>
                <w:lang w:val="en-US" w:eastAsia="zh-CN"/>
              </w:rPr>
              <w:t>设备各机械结构</w:t>
            </w:r>
          </w:p>
        </w:tc>
        <w:tc>
          <w:tcPr>
            <w:tcW w:w="700"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2台</w:t>
            </w:r>
          </w:p>
        </w:tc>
        <w:tc>
          <w:tcPr>
            <w:tcW w:w="2750" w:type="dxa"/>
            <w:vAlign w:val="center"/>
          </w:tcPr>
          <w:p>
            <w:pPr>
              <w:pStyle w:val="14"/>
              <w:bidi w:val="0"/>
              <w:ind w:left="0" w:leftChars="0" w:firstLine="240" w:firstLineChars="100"/>
              <w:rPr>
                <w:rFonts w:hint="eastAsia"/>
                <w:color w:val="auto"/>
                <w:lang w:val="en-US" w:eastAsia="zh-CN"/>
              </w:rPr>
            </w:pPr>
            <w:r>
              <w:rPr>
                <w:rFonts w:hint="eastAsia"/>
                <w:color w:val="auto"/>
                <w:lang w:val="en-US" w:eastAsia="zh-CN"/>
              </w:rPr>
              <w:t>是否松动、有无磨损</w:t>
            </w:r>
          </w:p>
        </w:tc>
        <w:tc>
          <w:tcPr>
            <w:tcW w:w="2034"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每月定期常规检查</w:t>
            </w:r>
          </w:p>
        </w:tc>
        <w:tc>
          <w:tcPr>
            <w:tcW w:w="1545" w:type="dxa"/>
            <w:vAlign w:val="center"/>
          </w:tcPr>
          <w:p>
            <w:pPr>
              <w:pStyle w:val="14"/>
              <w:bidi w:val="0"/>
              <w:ind w:left="0" w:leftChars="0" w:firstLine="0" w:firstLineChars="0"/>
              <w:jc w:val="center"/>
              <w:rPr>
                <w:rFonts w:hint="eastAsia"/>
                <w:color w:val="auto"/>
                <w:lang w:val="en-US" w:eastAsia="zh-CN"/>
              </w:rPr>
            </w:pPr>
            <w:r>
              <w:rPr>
                <w:rFonts w:hint="eastAsia"/>
                <w:color w:val="auto"/>
                <w:lang w:val="en-US" w:eastAsia="zh-CN"/>
              </w:rPr>
              <w:t>每3个月大检</w:t>
            </w:r>
          </w:p>
        </w:tc>
      </w:tr>
    </w:tbl>
    <w:p>
      <w:pPr>
        <w:pStyle w:val="14"/>
        <w:bidi w:val="0"/>
        <w:rPr>
          <w:rFonts w:hint="default"/>
          <w:color w:val="auto"/>
        </w:rPr>
      </w:pPr>
      <w:r>
        <w:rPr>
          <w:rFonts w:hint="eastAsia"/>
          <w:color w:val="auto"/>
          <w:lang w:val="en-US" w:eastAsia="zh-CN"/>
        </w:rPr>
        <w:t>三</w:t>
      </w:r>
      <w:r>
        <w:rPr>
          <w:rFonts w:hint="eastAsia"/>
          <w:color w:val="auto"/>
        </w:rPr>
        <w:t>、服务内容和要求</w:t>
      </w:r>
    </w:p>
    <w:p>
      <w:pPr>
        <w:pStyle w:val="14"/>
        <w:bidi w:val="0"/>
        <w:rPr>
          <w:rFonts w:hint="eastAsia" w:ascii="Times New Roman" w:hAnsi="Times New Roman" w:cs="Times New Roman"/>
          <w:color w:val="auto"/>
          <w:sz w:val="24"/>
          <w:szCs w:val="24"/>
          <w:lang w:val="en-US" w:eastAsia="zh-CN"/>
        </w:rPr>
      </w:pPr>
      <w:bookmarkStart w:id="12" w:name="OLE_LINK3"/>
      <w:r>
        <w:rPr>
          <w:rFonts w:hint="eastAsia"/>
          <w:color w:val="auto"/>
          <w:lang w:val="en-US" w:eastAsia="zh-CN"/>
        </w:rPr>
        <w:t>1.</w:t>
      </w:r>
      <w:r>
        <w:rPr>
          <w:rFonts w:hint="eastAsia" w:ascii="Times New Roman" w:hAnsi="Times New Roman" w:cs="Times New Roman"/>
          <w:color w:val="auto"/>
          <w:sz w:val="24"/>
          <w:szCs w:val="24"/>
          <w:lang w:val="en-US" w:eastAsia="zh-CN"/>
        </w:rPr>
        <w:t>每月至少一次巡查，对设备运行状态进行检查，出具《巡查记录表》；每年至少</w:t>
      </w:r>
      <w:r>
        <w:rPr>
          <w:rFonts w:hint="default" w:ascii="Times New Roman" w:hAnsi="Times New Roman" w:cs="Times New Roman"/>
          <w:color w:val="auto"/>
          <w:sz w:val="24"/>
          <w:szCs w:val="24"/>
          <w:lang w:val="en-US" w:eastAsia="zh-CN"/>
        </w:rPr>
        <w:t>4</w:t>
      </w:r>
      <w:r>
        <w:rPr>
          <w:rFonts w:hint="eastAsia" w:ascii="Times New Roman" w:hAnsi="Times New Roman" w:cs="Times New Roman"/>
          <w:color w:val="auto"/>
          <w:sz w:val="24"/>
          <w:szCs w:val="24"/>
          <w:lang w:val="en-US" w:eastAsia="zh-CN"/>
        </w:rPr>
        <w:t>次维保，出具《维保报告》。</w:t>
      </w:r>
    </w:p>
    <w:p>
      <w:pPr>
        <w:pStyle w:val="14"/>
        <w:bidi w:val="0"/>
        <w:rPr>
          <w:rFonts w:hint="eastAsia"/>
          <w:color w:val="auto"/>
          <w:lang w:val="en-US" w:eastAsia="zh-CN"/>
        </w:rPr>
      </w:pPr>
      <w:r>
        <w:rPr>
          <w:rFonts w:hint="eastAsia"/>
          <w:color w:val="auto"/>
          <w:lang w:val="en-US" w:eastAsia="zh-CN"/>
        </w:rPr>
        <w:t>2.乙方保证设备≥95%（365*8*95%）的正常开机率，故障停机时间不得超过5%；若故障停机时间超过5%（146小时），根据停机时间按每小时1:2顺延维保服务。</w:t>
      </w:r>
    </w:p>
    <w:p>
      <w:pPr>
        <w:pStyle w:val="14"/>
        <w:bidi w:val="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维保内容：1）免费提供设备的日常维修、维护、保养服务；2）乙方需列明所需备品备件及易损件的品类以及相应品类的市场价格；3）单价300元及300元以下的备品备件及易损件由乙方免费承担；4）单价大于300元以上的备品备件及易损件价格由乙方进行报价，出具报价承诺函（加盖公章），根据报价梯度作为磋商技术加分项；5）乙方更换和维修大于300元以上的备品备件及易损件不在额外收取更换和维修的人工服务费和安装调试费等。</w:t>
      </w:r>
    </w:p>
    <w:p>
      <w:pPr>
        <w:pStyle w:val="14"/>
        <w:bidi w:val="0"/>
        <w:rPr>
          <w:rFonts w:hint="eastAsia"/>
          <w:color w:val="auto"/>
          <w:lang w:val="en-US" w:eastAsia="zh-CN"/>
        </w:rPr>
      </w:pPr>
      <w:r>
        <w:rPr>
          <w:rFonts w:hint="eastAsia"/>
          <w:color w:val="auto"/>
          <w:lang w:val="en-US" w:eastAsia="zh-CN"/>
        </w:rPr>
        <w:t>4.质控要求：乙方定期进行设备的安全检测和维保服务，出具《巡查记录》和《维保报告》，</w:t>
      </w:r>
      <w:r>
        <w:rPr>
          <w:rFonts w:hint="eastAsia" w:ascii="Times New Roman" w:hAnsi="Times New Roman" w:cs="Times New Roman"/>
          <w:color w:val="auto"/>
          <w:sz w:val="24"/>
          <w:szCs w:val="24"/>
          <w:lang w:val="en-US" w:eastAsia="zh-CN"/>
        </w:rPr>
        <w:t>确保设备和灭菌效果符合质量标准与要求。</w:t>
      </w:r>
    </w:p>
    <w:p>
      <w:pPr>
        <w:pStyle w:val="14"/>
        <w:numPr>
          <w:ilvl w:val="0"/>
          <w:numId w:val="0"/>
        </w:numPr>
        <w:bidi w:val="0"/>
        <w:ind w:firstLine="480" w:firstLineChars="200"/>
        <w:rPr>
          <w:rFonts w:hint="eastAsia"/>
          <w:color w:val="auto"/>
          <w:lang w:val="en-US" w:eastAsia="zh-CN"/>
        </w:rPr>
      </w:pPr>
      <w:r>
        <w:rPr>
          <w:rFonts w:hint="eastAsia"/>
          <w:color w:val="auto"/>
          <w:lang w:val="en-US" w:eastAsia="zh-CN"/>
        </w:rPr>
        <w:t>5.乙方选派的</w:t>
      </w:r>
      <w:r>
        <w:rPr>
          <w:rFonts w:hint="eastAsia" w:ascii="Times New Roman" w:hAnsi="Times New Roman" w:cs="Times New Roman"/>
          <w:color w:val="auto"/>
          <w:sz w:val="24"/>
          <w:szCs w:val="24"/>
          <w:lang w:val="en-US" w:eastAsia="zh-CN"/>
        </w:rPr>
        <w:t>工程师应具备本项目维保设备维修资质，乙方所提供的零备件必须是全新、合格、质量可靠的原厂零备件（以厂家库房的出库单为凭证），以满足设备运行要求，不会给设备带来安全隐患。</w:t>
      </w:r>
    </w:p>
    <w:p>
      <w:pPr>
        <w:pStyle w:val="14"/>
        <w:bidi w:val="0"/>
        <w:rPr>
          <w:rFonts w:hint="default"/>
          <w:color w:val="auto"/>
          <w:lang w:val="en-US" w:eastAsia="zh-CN"/>
        </w:rPr>
      </w:pPr>
      <w:r>
        <w:rPr>
          <w:rFonts w:hint="eastAsia"/>
          <w:color w:val="auto"/>
          <w:lang w:val="en-US" w:eastAsia="zh-CN"/>
        </w:rPr>
        <w:t>6.乙方故障处置与备件更换不限次数。所有类型的故障处置完毕后必须留工作记录给甲方备案。</w:t>
      </w:r>
    </w:p>
    <w:p>
      <w:pPr>
        <w:pStyle w:val="14"/>
        <w:bidi w:val="0"/>
        <w:rPr>
          <w:rFonts w:hint="eastAsia"/>
          <w:color w:val="auto"/>
          <w:lang w:val="en-US" w:eastAsia="zh-CN"/>
        </w:rPr>
      </w:pPr>
      <w:r>
        <w:rPr>
          <w:rFonts w:hint="eastAsia"/>
          <w:color w:val="auto"/>
          <w:lang w:val="en-US" w:eastAsia="zh-CN"/>
        </w:rPr>
        <w:t>四、合同价款、及支付</w:t>
      </w:r>
    </w:p>
    <w:bookmarkEnd w:id="12"/>
    <w:p>
      <w:pPr>
        <w:pStyle w:val="14"/>
        <w:bidi w:val="0"/>
        <w:rPr>
          <w:rFonts w:hint="eastAsia"/>
          <w:color w:val="auto"/>
        </w:rPr>
      </w:pPr>
      <w:r>
        <w:rPr>
          <w:rFonts w:hint="eastAsia"/>
          <w:color w:val="auto"/>
          <w:lang w:val="en-US" w:eastAsia="zh-CN"/>
        </w:rPr>
        <w:t>1、</w:t>
      </w:r>
      <w:r>
        <w:rPr>
          <w:rFonts w:hint="eastAsia"/>
          <w:color w:val="auto"/>
        </w:rPr>
        <w:t>本</w:t>
      </w:r>
      <w:r>
        <w:rPr>
          <w:rFonts w:hint="eastAsia"/>
          <w:color w:val="auto"/>
          <w:lang w:val="en-US" w:eastAsia="zh-CN"/>
        </w:rPr>
        <w:t>次</w:t>
      </w:r>
      <w:r>
        <w:rPr>
          <w:rFonts w:hint="eastAsia"/>
          <w:color w:val="auto"/>
        </w:rPr>
        <w:t>报价为完成本</w:t>
      </w:r>
      <w:r>
        <w:rPr>
          <w:rFonts w:hint="eastAsia"/>
          <w:color w:val="auto"/>
          <w:lang w:val="en-US" w:eastAsia="zh-CN"/>
        </w:rPr>
        <w:t>合同</w:t>
      </w:r>
      <w:r>
        <w:rPr>
          <w:rFonts w:hint="eastAsia"/>
          <w:color w:val="auto"/>
        </w:rPr>
        <w:t>的全部金额，报价须为人民币报价（本项目货币币制如未作特别说明均为人民币）。</w:t>
      </w:r>
    </w:p>
    <w:p>
      <w:pPr>
        <w:pStyle w:val="14"/>
        <w:bidi w:val="0"/>
        <w:rPr>
          <w:rFonts w:hint="eastAsia"/>
          <w:color w:val="auto"/>
          <w:lang w:eastAsia="zh-CN"/>
        </w:rPr>
      </w:pPr>
      <w:r>
        <w:rPr>
          <w:rFonts w:hint="eastAsia"/>
          <w:color w:val="auto"/>
          <w:lang w:val="en-US" w:eastAsia="zh-CN"/>
        </w:rPr>
        <w:t>2、</w:t>
      </w:r>
      <w:r>
        <w:rPr>
          <w:rFonts w:hint="eastAsia"/>
          <w:color w:val="auto"/>
          <w:lang w:eastAsia="zh-CN"/>
        </w:rPr>
        <w:t>报价费用包括</w:t>
      </w:r>
      <w:r>
        <w:rPr>
          <w:rFonts w:hint="eastAsia"/>
          <w:color w:val="auto"/>
          <w:lang w:val="en-US" w:eastAsia="zh-CN"/>
        </w:rPr>
        <w:t>维保</w:t>
      </w:r>
      <w:r>
        <w:rPr>
          <w:rFonts w:hint="eastAsia"/>
          <w:color w:val="auto"/>
          <w:lang w:eastAsia="zh-CN"/>
        </w:rPr>
        <w:t>费（含人工、</w:t>
      </w:r>
      <w:r>
        <w:rPr>
          <w:rFonts w:hint="eastAsia"/>
          <w:color w:val="auto"/>
          <w:lang w:val="en-US" w:eastAsia="zh-CN"/>
        </w:rPr>
        <w:t>300元以内的备品备件和易损件、耗材</w:t>
      </w:r>
      <w:r>
        <w:rPr>
          <w:rFonts w:hint="eastAsia"/>
          <w:color w:val="auto"/>
          <w:lang w:eastAsia="zh-CN"/>
        </w:rPr>
        <w:t>等费用）、</w:t>
      </w:r>
      <w:r>
        <w:rPr>
          <w:rFonts w:hint="eastAsia"/>
          <w:color w:val="auto"/>
          <w:lang w:val="en-US" w:eastAsia="zh-CN"/>
        </w:rPr>
        <w:t>运输费、保险费、</w:t>
      </w:r>
      <w:r>
        <w:rPr>
          <w:rFonts w:hint="eastAsia"/>
          <w:color w:val="auto"/>
          <w:lang w:eastAsia="zh-CN"/>
        </w:rPr>
        <w:t>资料费、</w:t>
      </w:r>
      <w:r>
        <w:rPr>
          <w:rFonts w:hint="eastAsia"/>
          <w:color w:val="auto"/>
          <w:lang w:val="en-US" w:eastAsia="zh-CN"/>
        </w:rPr>
        <w:t>安装调试费、</w:t>
      </w:r>
      <w:r>
        <w:rPr>
          <w:rFonts w:hint="eastAsia"/>
          <w:color w:val="auto"/>
          <w:lang w:eastAsia="zh-CN"/>
        </w:rPr>
        <w:t>税费（含个人所得税）、利润、风险管理等所有完成此项服务</w:t>
      </w:r>
      <w:r>
        <w:rPr>
          <w:rFonts w:hint="eastAsia"/>
          <w:color w:val="auto"/>
          <w:lang w:val="en-US" w:eastAsia="zh-CN"/>
        </w:rPr>
        <w:t>的</w:t>
      </w:r>
      <w:r>
        <w:rPr>
          <w:rFonts w:hint="eastAsia"/>
          <w:color w:val="auto"/>
          <w:lang w:eastAsia="zh-CN"/>
        </w:rPr>
        <w:t>一切费用。</w:t>
      </w:r>
      <w:r>
        <w:rPr>
          <w:rFonts w:hint="eastAsia"/>
          <w:color w:val="auto"/>
          <w:lang w:val="en-US" w:eastAsia="zh-CN"/>
        </w:rPr>
        <w:t>除招标文件以及合同约定的</w:t>
      </w:r>
      <w:r>
        <w:rPr>
          <w:rFonts w:hint="eastAsia" w:ascii="Times New Roman" w:hAnsi="Times New Roman" w:cs="Times New Roman"/>
          <w:sz w:val="24"/>
          <w:szCs w:val="24"/>
          <w:lang w:val="en-US" w:eastAsia="zh-CN"/>
        </w:rPr>
        <w:t>备品备件和易损件</w:t>
      </w:r>
      <w:r>
        <w:rPr>
          <w:rFonts w:hint="eastAsia" w:ascii="Times New Roman" w:hAnsi="Times New Roman" w:cs="Times New Roman"/>
          <w:color w:val="auto"/>
          <w:sz w:val="24"/>
          <w:szCs w:val="24"/>
          <w:lang w:val="en-US" w:eastAsia="zh-CN"/>
        </w:rPr>
        <w:t>，</w:t>
      </w:r>
      <w:r>
        <w:rPr>
          <w:rFonts w:hint="eastAsia"/>
          <w:color w:val="auto"/>
          <w:lang w:val="en-US" w:eastAsia="zh-CN"/>
        </w:rPr>
        <w:t>甲方</w:t>
      </w:r>
      <w:r>
        <w:rPr>
          <w:rFonts w:hint="eastAsia"/>
          <w:color w:val="auto"/>
          <w:lang w:eastAsia="zh-CN"/>
        </w:rPr>
        <w:t>无须另行向</w:t>
      </w:r>
      <w:r>
        <w:rPr>
          <w:rFonts w:hint="eastAsia"/>
          <w:color w:val="auto"/>
          <w:lang w:val="en-US" w:eastAsia="zh-CN"/>
        </w:rPr>
        <w:t>乙方</w:t>
      </w:r>
      <w:r>
        <w:rPr>
          <w:rFonts w:hint="eastAsia"/>
          <w:color w:val="auto"/>
          <w:lang w:eastAsia="zh-CN"/>
        </w:rPr>
        <w:t>支付之外的其他任何费用。因</w:t>
      </w:r>
      <w:r>
        <w:rPr>
          <w:rFonts w:hint="eastAsia"/>
          <w:color w:val="auto"/>
          <w:lang w:val="en-US" w:eastAsia="zh-CN"/>
        </w:rPr>
        <w:t>乙方</w:t>
      </w:r>
      <w:r>
        <w:rPr>
          <w:rFonts w:hint="eastAsia"/>
          <w:color w:val="auto"/>
          <w:lang w:eastAsia="zh-CN"/>
        </w:rPr>
        <w:t>自身原因造成漏报、少报皆由其自行承担责任，</w:t>
      </w:r>
      <w:r>
        <w:rPr>
          <w:rFonts w:hint="eastAsia"/>
          <w:color w:val="auto"/>
          <w:lang w:val="en-US" w:eastAsia="zh-CN"/>
        </w:rPr>
        <w:t>甲方</w:t>
      </w:r>
      <w:r>
        <w:rPr>
          <w:rFonts w:hint="eastAsia"/>
          <w:color w:val="auto"/>
          <w:lang w:eastAsia="zh-CN"/>
        </w:rPr>
        <w:t>不再补偿。</w:t>
      </w:r>
    </w:p>
    <w:p>
      <w:pPr>
        <w:pStyle w:val="14"/>
        <w:bidi w:val="0"/>
        <w:rPr>
          <w:rFonts w:hint="default"/>
          <w:color w:val="auto"/>
        </w:rPr>
      </w:pPr>
      <w:r>
        <w:rPr>
          <w:rFonts w:hint="eastAsia"/>
          <w:color w:val="auto"/>
          <w:lang w:val="en-US" w:eastAsia="zh-CN"/>
        </w:rPr>
        <w:t>五</w:t>
      </w:r>
      <w:r>
        <w:rPr>
          <w:rFonts w:hint="eastAsia"/>
          <w:color w:val="auto"/>
        </w:rPr>
        <w:t>、服务</w:t>
      </w:r>
      <w:r>
        <w:rPr>
          <w:rFonts w:hint="default"/>
          <w:color w:val="auto"/>
        </w:rPr>
        <w:t>实施时间及验收方式</w:t>
      </w:r>
    </w:p>
    <w:p>
      <w:pPr>
        <w:pStyle w:val="14"/>
        <w:bidi w:val="0"/>
        <w:rPr>
          <w:rFonts w:hint="eastAsia"/>
          <w:color w:val="auto"/>
          <w:lang w:val="en-US" w:eastAsia="zh-CN"/>
        </w:rPr>
      </w:pPr>
      <w:r>
        <w:rPr>
          <w:rFonts w:hint="eastAsia"/>
          <w:color w:val="auto"/>
          <w:lang w:val="en-US" w:eastAsia="zh-CN"/>
        </w:rPr>
        <w:t>1、服务</w:t>
      </w:r>
      <w:r>
        <w:rPr>
          <w:rFonts w:hint="default"/>
          <w:color w:val="auto"/>
          <w:lang w:val="en-US" w:eastAsia="zh-CN"/>
        </w:rPr>
        <w:t>实施时间</w:t>
      </w:r>
      <w:r>
        <w:rPr>
          <w:rFonts w:hint="eastAsia"/>
          <w:color w:val="auto"/>
          <w:lang w:val="en-US" w:eastAsia="zh-CN"/>
        </w:rPr>
        <w:t>：乙方应在合同签订之日起，立即对甲方所需服务项目开展现场调查，五个工作日内完成合同期内的第一次维保技术服务，确保设备正常运行，确保设备和灭菌效果符合国家质量标准和相关要求，出具维保报告。</w:t>
      </w:r>
    </w:p>
    <w:p>
      <w:pPr>
        <w:pStyle w:val="14"/>
        <w:bidi w:val="0"/>
        <w:rPr>
          <w:rFonts w:hint="eastAsia"/>
          <w:color w:val="auto"/>
          <w:lang w:val="en-US" w:eastAsia="zh-CN"/>
        </w:rPr>
      </w:pPr>
      <w:r>
        <w:rPr>
          <w:rFonts w:hint="eastAsia"/>
          <w:color w:val="auto"/>
          <w:lang w:val="en-US" w:eastAsia="zh-CN"/>
        </w:rPr>
        <w:t>2、服务</w:t>
      </w:r>
      <w:r>
        <w:rPr>
          <w:rFonts w:hint="default"/>
          <w:color w:val="auto"/>
          <w:lang w:val="en-US" w:eastAsia="zh-CN"/>
        </w:rPr>
        <w:t>验收方式</w:t>
      </w:r>
      <w:r>
        <w:rPr>
          <w:rFonts w:hint="eastAsia"/>
          <w:color w:val="auto"/>
          <w:lang w:val="en-US" w:eastAsia="zh-CN"/>
        </w:rPr>
        <w:t>：每月经科室负责人确认“合格”的《巡查记录表》。</w:t>
      </w:r>
    </w:p>
    <w:p>
      <w:pPr>
        <w:pStyle w:val="14"/>
        <w:bidi w:val="0"/>
        <w:rPr>
          <w:rFonts w:hint="default"/>
          <w:color w:val="auto"/>
          <w:lang w:val="en-US" w:eastAsia="zh-CN"/>
        </w:rPr>
      </w:pPr>
      <w:r>
        <w:rPr>
          <w:rFonts w:hint="eastAsia"/>
          <w:color w:val="auto"/>
          <w:lang w:val="en-US" w:eastAsia="zh-CN"/>
        </w:rPr>
        <w:t>3、具体验收步骤：乙方与甲方后勤保障科（医学装备科）以及供应室共同按照设备维保的要求和相关的灭菌质量标准进行设备的初次维护保养，确认和确保医疗设备以及灭菌质量符合质量标准，乙方出具合格的《维保报告》，医院后勤保障科（医学装备科）以及使用的临床科室签字确认。</w:t>
      </w:r>
    </w:p>
    <w:p>
      <w:pPr>
        <w:pStyle w:val="14"/>
        <w:bidi w:val="0"/>
        <w:rPr>
          <w:rFonts w:hint="default"/>
          <w:color w:val="auto"/>
        </w:rPr>
      </w:pPr>
      <w:r>
        <w:rPr>
          <w:rFonts w:hint="eastAsia"/>
          <w:color w:val="auto"/>
          <w:lang w:val="en-US" w:eastAsia="zh-CN"/>
        </w:rPr>
        <w:t>六</w:t>
      </w:r>
      <w:r>
        <w:rPr>
          <w:rFonts w:hint="eastAsia"/>
          <w:color w:val="auto"/>
        </w:rPr>
        <w:t>、</w:t>
      </w:r>
      <w:r>
        <w:rPr>
          <w:rFonts w:hint="default"/>
          <w:color w:val="auto"/>
        </w:rPr>
        <w:t>付款方式</w:t>
      </w:r>
    </w:p>
    <w:p>
      <w:pPr>
        <w:pStyle w:val="14"/>
        <w:bidi w:val="0"/>
        <w:rPr>
          <w:rFonts w:hint="eastAsia"/>
          <w:color w:val="auto"/>
          <w:lang w:eastAsia="zh-CN"/>
        </w:rPr>
      </w:pPr>
      <w:r>
        <w:rPr>
          <w:rFonts w:hint="eastAsia"/>
          <w:color w:val="auto"/>
          <w:lang w:val="en-US" w:eastAsia="zh-CN"/>
        </w:rPr>
        <w:t>1、服务期限一年，按月支付，根据乙方完成维保服务的情况，根据设备实际维保月份、数量和单价据实结算</w:t>
      </w:r>
      <w:r>
        <w:rPr>
          <w:rFonts w:hint="eastAsia"/>
          <w:color w:val="auto"/>
          <w:lang w:eastAsia="zh-CN"/>
        </w:rPr>
        <w:t>。</w:t>
      </w:r>
    </w:p>
    <w:p>
      <w:pPr>
        <w:pStyle w:val="14"/>
        <w:bidi w:val="0"/>
        <w:rPr>
          <w:rFonts w:hint="eastAsia"/>
          <w:color w:val="auto"/>
          <w:lang w:val="en-US" w:eastAsia="zh-CN"/>
        </w:rPr>
      </w:pPr>
      <w:r>
        <w:rPr>
          <w:rFonts w:hint="eastAsia"/>
          <w:color w:val="auto"/>
          <w:lang w:val="en-US" w:eastAsia="zh-CN"/>
        </w:rPr>
        <w:t>2、付款条件</w:t>
      </w:r>
      <w:r>
        <w:rPr>
          <w:rFonts w:hint="eastAsia"/>
          <w:color w:val="auto"/>
          <w:lang w:eastAsia="zh-CN"/>
        </w:rPr>
        <w:t>：</w:t>
      </w:r>
      <w:r>
        <w:rPr>
          <w:rFonts w:hint="eastAsia"/>
          <w:color w:val="auto"/>
          <w:lang w:val="en-US" w:eastAsia="zh-CN"/>
        </w:rPr>
        <w:t>乙方每月出具</w:t>
      </w:r>
      <w:r>
        <w:rPr>
          <w:rFonts w:hint="eastAsia" w:ascii="Times New Roman" w:hAnsi="Times New Roman" w:cs="Times New Roman"/>
          <w:color w:val="auto"/>
          <w:sz w:val="24"/>
          <w:szCs w:val="24"/>
          <w:lang w:val="en-US" w:eastAsia="zh-CN"/>
        </w:rPr>
        <w:t>经临床、医技科室负责人签字确认并“合格”的《巡查记录表》作为付款的条件</w:t>
      </w:r>
      <w:r>
        <w:rPr>
          <w:rFonts w:hint="eastAsia"/>
          <w:color w:val="auto"/>
          <w:lang w:eastAsia="zh-CN"/>
        </w:rPr>
        <w:t>。</w:t>
      </w:r>
    </w:p>
    <w:p>
      <w:pPr>
        <w:pStyle w:val="14"/>
        <w:bidi w:val="0"/>
        <w:rPr>
          <w:rFonts w:hint="eastAsia"/>
          <w:color w:val="auto"/>
        </w:rPr>
      </w:pPr>
      <w:r>
        <w:rPr>
          <w:rFonts w:hint="eastAsia"/>
          <w:color w:val="auto"/>
          <w:lang w:val="en-US" w:eastAsia="zh-CN"/>
        </w:rPr>
        <w:t>3、乙方</w:t>
      </w:r>
      <w:r>
        <w:rPr>
          <w:rFonts w:hint="eastAsia"/>
          <w:color w:val="auto"/>
        </w:rPr>
        <w:t>向</w:t>
      </w:r>
      <w:r>
        <w:rPr>
          <w:rFonts w:hint="eastAsia"/>
          <w:color w:val="auto"/>
          <w:lang w:val="en-US" w:eastAsia="zh-CN"/>
        </w:rPr>
        <w:t>甲方</w:t>
      </w:r>
      <w:r>
        <w:rPr>
          <w:rFonts w:hint="eastAsia"/>
          <w:color w:val="auto"/>
        </w:rPr>
        <w:t>开具与应付款等额的增值税发票是</w:t>
      </w:r>
      <w:r>
        <w:rPr>
          <w:rFonts w:hint="eastAsia"/>
          <w:color w:val="auto"/>
          <w:lang w:val="en-US" w:eastAsia="zh-CN"/>
        </w:rPr>
        <w:t>甲方</w:t>
      </w:r>
      <w:r>
        <w:rPr>
          <w:rFonts w:hint="eastAsia"/>
          <w:color w:val="auto"/>
        </w:rPr>
        <w:t>支付合同价款的条件，若</w:t>
      </w:r>
      <w:r>
        <w:rPr>
          <w:rFonts w:hint="eastAsia"/>
          <w:color w:val="auto"/>
          <w:lang w:val="en-US" w:eastAsia="zh-CN"/>
        </w:rPr>
        <w:t>乙方</w:t>
      </w:r>
      <w:r>
        <w:rPr>
          <w:rFonts w:hint="eastAsia"/>
          <w:color w:val="auto"/>
        </w:rPr>
        <w:t>未向</w:t>
      </w:r>
      <w:r>
        <w:rPr>
          <w:rFonts w:hint="eastAsia"/>
          <w:color w:val="auto"/>
          <w:lang w:val="en-US" w:eastAsia="zh-CN"/>
        </w:rPr>
        <w:t>甲方</w:t>
      </w:r>
      <w:r>
        <w:rPr>
          <w:rFonts w:hint="eastAsia"/>
          <w:color w:val="auto"/>
        </w:rPr>
        <w:t>交付与应付款项等额的增值税发票，</w:t>
      </w:r>
      <w:r>
        <w:rPr>
          <w:rFonts w:hint="eastAsia"/>
          <w:color w:val="auto"/>
          <w:lang w:val="en-US" w:eastAsia="zh-CN"/>
        </w:rPr>
        <w:t>甲方</w:t>
      </w:r>
      <w:r>
        <w:rPr>
          <w:rFonts w:hint="eastAsia"/>
          <w:color w:val="auto"/>
        </w:rPr>
        <w:t>有权拒绝向</w:t>
      </w:r>
      <w:r>
        <w:rPr>
          <w:rFonts w:hint="eastAsia"/>
          <w:color w:val="auto"/>
          <w:lang w:val="en-US" w:eastAsia="zh-CN"/>
        </w:rPr>
        <w:t>乙方</w:t>
      </w:r>
      <w:r>
        <w:rPr>
          <w:rFonts w:hint="eastAsia"/>
          <w:color w:val="auto"/>
        </w:rPr>
        <w:t>支付合同价款，且</w:t>
      </w:r>
      <w:r>
        <w:rPr>
          <w:rFonts w:hint="eastAsia"/>
          <w:color w:val="auto"/>
          <w:lang w:val="en-US" w:eastAsia="zh-CN"/>
        </w:rPr>
        <w:t>甲方</w:t>
      </w:r>
      <w:r>
        <w:rPr>
          <w:rFonts w:hint="eastAsia"/>
          <w:color w:val="auto"/>
        </w:rPr>
        <w:t>不因此承担拒绝付款的违约责任。</w:t>
      </w:r>
    </w:p>
    <w:p>
      <w:pPr>
        <w:pStyle w:val="14"/>
        <w:bidi w:val="0"/>
        <w:rPr>
          <w:rFonts w:hint="eastAsia"/>
          <w:color w:val="auto"/>
        </w:rPr>
      </w:pPr>
      <w:r>
        <w:rPr>
          <w:rFonts w:hint="eastAsia"/>
          <w:color w:val="auto"/>
          <w:lang w:val="en-US" w:eastAsia="zh-CN"/>
        </w:rPr>
        <w:t>4、甲方按照乙方</w:t>
      </w:r>
      <w:r>
        <w:rPr>
          <w:rFonts w:hint="eastAsia"/>
          <w:color w:val="auto"/>
        </w:rPr>
        <w:t>提供的银行账户支付服务款，因</w:t>
      </w:r>
      <w:r>
        <w:rPr>
          <w:rFonts w:hint="eastAsia"/>
          <w:color w:val="auto"/>
          <w:lang w:val="en-US" w:eastAsia="zh-CN"/>
        </w:rPr>
        <w:t>乙方</w:t>
      </w:r>
      <w:r>
        <w:rPr>
          <w:rFonts w:hint="eastAsia"/>
          <w:color w:val="auto"/>
        </w:rPr>
        <w:t>提供账户或者账号相关信息遗漏、错误等原因所产生服务款无法支付的后果由</w:t>
      </w:r>
      <w:r>
        <w:rPr>
          <w:rFonts w:hint="eastAsia"/>
          <w:color w:val="auto"/>
          <w:lang w:val="en-US" w:eastAsia="zh-CN"/>
        </w:rPr>
        <w:t>乙方</w:t>
      </w:r>
      <w:r>
        <w:rPr>
          <w:rFonts w:hint="eastAsia"/>
          <w:color w:val="auto"/>
        </w:rPr>
        <w:t>自行承担。</w:t>
      </w:r>
    </w:p>
    <w:p>
      <w:pPr>
        <w:pStyle w:val="14"/>
        <w:bidi w:val="0"/>
        <w:rPr>
          <w:rFonts w:hint="eastAsia" w:eastAsia="方正仿宋_GBK"/>
          <w:color w:val="auto"/>
          <w:lang w:val="en-US" w:eastAsia="zh-CN"/>
        </w:rPr>
      </w:pPr>
      <w:r>
        <w:rPr>
          <w:rFonts w:hint="eastAsia"/>
          <w:color w:val="auto"/>
          <w:lang w:val="en-US" w:eastAsia="zh-CN"/>
        </w:rPr>
        <w:t>七</w:t>
      </w:r>
      <w:r>
        <w:rPr>
          <w:rFonts w:hint="eastAsia"/>
          <w:color w:val="auto"/>
        </w:rPr>
        <w:t>、</w:t>
      </w:r>
      <w:r>
        <w:rPr>
          <w:rFonts w:hint="eastAsia"/>
          <w:color w:val="auto"/>
          <w:lang w:eastAsia="zh-CN"/>
        </w:rPr>
        <w:t>维保</w:t>
      </w:r>
      <w:r>
        <w:rPr>
          <w:rFonts w:hint="eastAsia"/>
          <w:color w:val="auto"/>
        </w:rPr>
        <w:t>服务</w:t>
      </w:r>
      <w:r>
        <w:rPr>
          <w:rFonts w:hint="eastAsia"/>
          <w:color w:val="auto"/>
          <w:lang w:val="en-US" w:eastAsia="zh-CN"/>
        </w:rPr>
        <w:t>内容</w:t>
      </w:r>
    </w:p>
    <w:p>
      <w:pPr>
        <w:pStyle w:val="14"/>
        <w:bidi w:val="0"/>
        <w:rPr>
          <w:rFonts w:hint="eastAsia"/>
          <w:color w:val="auto"/>
          <w:lang w:val="en-US" w:eastAsia="zh-CN"/>
        </w:rPr>
      </w:pPr>
      <w:r>
        <w:rPr>
          <w:rFonts w:hint="eastAsia"/>
          <w:color w:val="auto"/>
          <w:lang w:val="en-US" w:eastAsia="zh-CN"/>
        </w:rPr>
        <w:t>1.乙方在维保期内应当为甲方提供以下技术支持和服务：</w:t>
      </w:r>
    </w:p>
    <w:p>
      <w:pPr>
        <w:pStyle w:val="14"/>
        <w:bidi w:val="0"/>
        <w:rPr>
          <w:rFonts w:hint="eastAsia"/>
          <w:color w:val="auto"/>
          <w:lang w:val="en-US" w:eastAsia="zh-CN"/>
        </w:rPr>
      </w:pPr>
      <w:r>
        <w:rPr>
          <w:rFonts w:hint="eastAsia"/>
          <w:color w:val="auto"/>
          <w:lang w:val="en-US" w:eastAsia="zh-CN"/>
        </w:rPr>
        <w:t>（1）电话咨询</w:t>
      </w:r>
    </w:p>
    <w:p>
      <w:pPr>
        <w:pStyle w:val="14"/>
        <w:bidi w:val="0"/>
        <w:rPr>
          <w:rFonts w:hint="eastAsia"/>
          <w:color w:val="auto"/>
          <w:lang w:val="en-US" w:eastAsia="zh-CN"/>
        </w:rPr>
      </w:pPr>
      <w:r>
        <w:rPr>
          <w:rFonts w:hint="eastAsia"/>
          <w:color w:val="auto"/>
          <w:lang w:val="en-US" w:eastAsia="zh-CN"/>
        </w:rPr>
        <w:t>乙方应当为甲方提供24小时技术援助电话，解答甲方在使用中遇到的问题，及时为甲方提出解决问题的建议。</w:t>
      </w:r>
    </w:p>
    <w:p>
      <w:pPr>
        <w:pStyle w:val="14"/>
        <w:bidi w:val="0"/>
        <w:rPr>
          <w:rFonts w:hint="eastAsia"/>
          <w:color w:val="auto"/>
          <w:lang w:val="en-US" w:eastAsia="zh-CN"/>
        </w:rPr>
      </w:pPr>
      <w:r>
        <w:rPr>
          <w:rFonts w:hint="eastAsia"/>
          <w:color w:val="auto"/>
          <w:lang w:val="en-US" w:eastAsia="zh-CN"/>
        </w:rPr>
        <w:t>（2）现场响应</w:t>
      </w:r>
    </w:p>
    <w:p>
      <w:pPr>
        <w:pStyle w:val="14"/>
        <w:bidi w:val="0"/>
        <w:rPr>
          <w:rFonts w:hint="eastAsia"/>
          <w:color w:val="auto"/>
          <w:lang w:val="en-US" w:eastAsia="zh-CN"/>
        </w:rPr>
      </w:pPr>
      <w:r>
        <w:rPr>
          <w:rFonts w:hint="eastAsia"/>
          <w:color w:val="auto"/>
          <w:lang w:val="en-US" w:eastAsia="zh-CN"/>
        </w:rPr>
        <w:t>甲方遇到使用及技术问题，电话咨询不能解决的，乙方应在2小时内响应，4小时到达现场进行维修处理，确保产品正常工作，24小时内解决故障；无法在24小时内解决的，应在48小时内提供备用产品，使甲方能够正常使用。</w:t>
      </w:r>
    </w:p>
    <w:p>
      <w:pPr>
        <w:pStyle w:val="14"/>
        <w:bidi w:val="0"/>
        <w:rPr>
          <w:rFonts w:hint="eastAsia"/>
          <w:color w:val="auto"/>
          <w:lang w:val="en-US" w:eastAsia="zh-CN"/>
        </w:rPr>
      </w:pPr>
      <w:r>
        <w:rPr>
          <w:rFonts w:hint="eastAsia"/>
          <w:color w:val="auto"/>
          <w:lang w:val="en-US" w:eastAsia="zh-CN"/>
        </w:rPr>
        <w:t>（3）维护保养</w:t>
      </w:r>
    </w:p>
    <w:p>
      <w:pPr>
        <w:pStyle w:val="14"/>
        <w:bidi w:val="0"/>
        <w:rPr>
          <w:rFonts w:hint="eastAsia"/>
          <w:color w:val="auto"/>
          <w:lang w:val="en-US" w:eastAsia="zh-CN"/>
        </w:rPr>
      </w:pPr>
      <w:r>
        <w:rPr>
          <w:rFonts w:hint="eastAsia"/>
          <w:color w:val="auto"/>
          <w:lang w:val="en-US" w:eastAsia="zh-CN"/>
        </w:rPr>
        <w:t>每次巡查或维护保养时，乙方派出的人员要填写巡记录或出具维保报告，交甲方后勤保障科（医学装备科）和使用科室各1份，乙方自存1份以备查。除不可抗力和甲方责任外，维保期内因维修保养产生的费用全部由乙方承担。</w:t>
      </w:r>
    </w:p>
    <w:p>
      <w:pPr>
        <w:pStyle w:val="14"/>
        <w:bidi w:val="0"/>
        <w:rPr>
          <w:rFonts w:hint="eastAsia"/>
          <w:color w:val="auto"/>
          <w:lang w:val="en-US" w:eastAsia="zh-CN"/>
        </w:rPr>
      </w:pPr>
      <w:r>
        <w:rPr>
          <w:rFonts w:hint="eastAsia"/>
          <w:color w:val="auto"/>
          <w:lang w:val="en-US" w:eastAsia="zh-CN"/>
        </w:rPr>
        <w:t>（4）技术升级</w:t>
      </w:r>
    </w:p>
    <w:p>
      <w:pPr>
        <w:pStyle w:val="14"/>
        <w:bidi w:val="0"/>
        <w:rPr>
          <w:rFonts w:hint="eastAsia"/>
          <w:color w:val="auto"/>
          <w:lang w:val="en-US" w:eastAsia="zh-CN"/>
        </w:rPr>
      </w:pPr>
      <w:r>
        <w:rPr>
          <w:rFonts w:hint="eastAsia"/>
          <w:color w:val="auto"/>
          <w:lang w:val="en-US" w:eastAsia="zh-CN"/>
        </w:rPr>
        <w:t>在维保期内，如果产品技术升级，乙方应及时通知甲方，如甲方有相应要求，乙方应对甲方购买的产品进行免费升级服务。</w:t>
      </w:r>
    </w:p>
    <w:p>
      <w:pPr>
        <w:pStyle w:val="14"/>
        <w:bidi w:val="0"/>
        <w:rPr>
          <w:rFonts w:hint="eastAsia"/>
          <w:color w:val="auto"/>
          <w:lang w:val="en-US" w:eastAsia="zh-CN"/>
        </w:rPr>
      </w:pPr>
      <w:r>
        <w:rPr>
          <w:rFonts w:hint="eastAsia"/>
          <w:color w:val="auto"/>
          <w:lang w:val="en-US" w:eastAsia="zh-CN"/>
        </w:rPr>
        <w:t>2.其他维保服务要求：</w:t>
      </w:r>
    </w:p>
    <w:p>
      <w:pPr>
        <w:pStyle w:val="14"/>
        <w:bidi w:val="0"/>
        <w:rPr>
          <w:rFonts w:hint="eastAsia"/>
          <w:color w:val="auto"/>
          <w:lang w:val="en-US" w:eastAsia="zh-CN"/>
        </w:rPr>
      </w:pPr>
      <w:r>
        <w:rPr>
          <w:rFonts w:hint="eastAsia"/>
          <w:color w:val="auto"/>
          <w:lang w:val="en-US" w:eastAsia="zh-CN"/>
        </w:rPr>
        <w:t>（1）维保期内，乙方保证设备的正常开机率≥95%（365*8*95%），以365天为一个计算周期，故障停机时间不得超过5%，即因设备维保问题导致的停机时间不得超过18个日历日（146小时）。若因维保导致的设备停机时间超过18个日历日（146小时），根据停机时间按每小时1:2顺延维保服务。</w:t>
      </w:r>
    </w:p>
    <w:p>
      <w:pPr>
        <w:pStyle w:val="14"/>
        <w:bidi w:val="0"/>
        <w:rPr>
          <w:rFonts w:hint="eastAsia"/>
          <w:color w:val="auto"/>
          <w:lang w:val="en-US" w:eastAsia="zh-CN"/>
        </w:rPr>
      </w:pPr>
      <w:r>
        <w:rPr>
          <w:rFonts w:hint="eastAsia"/>
          <w:color w:val="auto"/>
          <w:lang w:val="en-US" w:eastAsia="zh-CN"/>
        </w:rPr>
        <w:t>（2）维保期内，更换的产品及零部件应该为原厂产品或零部件，符合产品和零部件的质保期限要求，未经甲方书面同意不得使用非原厂配件。</w:t>
      </w:r>
    </w:p>
    <w:p>
      <w:pPr>
        <w:pStyle w:val="14"/>
        <w:bidi w:val="0"/>
        <w:rPr>
          <w:rFonts w:hint="eastAsia"/>
          <w:color w:val="auto"/>
          <w:lang w:val="en-US" w:eastAsia="zh-CN"/>
        </w:rPr>
      </w:pPr>
      <w:r>
        <w:rPr>
          <w:rFonts w:hint="eastAsia"/>
          <w:color w:val="auto"/>
          <w:lang w:val="en-US" w:eastAsia="zh-CN"/>
        </w:rPr>
        <w:t>（3）因所使用耗材或零配件本身的质量问题发生故障，由乙方进行免费包修、包换、包退（指商品整体、非部件），并承担修理、更换或退货产生的全部费用。</w:t>
      </w:r>
    </w:p>
    <w:p>
      <w:pPr>
        <w:pStyle w:val="14"/>
        <w:bidi w:val="0"/>
        <w:rPr>
          <w:rFonts w:hint="eastAsia"/>
          <w:color w:val="auto"/>
          <w:lang w:val="en-US" w:eastAsia="zh-CN"/>
        </w:rPr>
      </w:pPr>
      <w:r>
        <w:rPr>
          <w:rFonts w:hint="eastAsia"/>
          <w:color w:val="auto"/>
          <w:lang w:val="en-US" w:eastAsia="zh-CN"/>
        </w:rPr>
        <w:t>（4）一般零配件质量问题，修理两次仍达不到质量要求的，乙方应为甲方更换本项目约定的零配件，具体金额以合同约定的价格为准。</w:t>
      </w:r>
    </w:p>
    <w:p>
      <w:pPr>
        <w:pStyle w:val="14"/>
        <w:bidi w:val="0"/>
        <w:rPr>
          <w:rFonts w:hint="eastAsia"/>
          <w:color w:val="auto"/>
          <w:lang w:val="en-US" w:eastAsia="zh-CN"/>
        </w:rPr>
      </w:pPr>
      <w:r>
        <w:rPr>
          <w:rFonts w:hint="eastAsia"/>
          <w:color w:val="auto"/>
          <w:lang w:val="en-US" w:eastAsia="zh-CN"/>
        </w:rPr>
        <w:t>（5）因维保服务质量以及更换的耗材、零配件质量问题给甲方造成损失的，供应商应按有关法律、法规的规定、合同约定进行赔偿。</w:t>
      </w:r>
    </w:p>
    <w:p>
      <w:pPr>
        <w:pStyle w:val="14"/>
        <w:bidi w:val="0"/>
        <w:rPr>
          <w:rFonts w:hint="eastAsia"/>
          <w:color w:val="auto"/>
          <w:lang w:val="en-US" w:eastAsia="zh-CN"/>
        </w:rPr>
      </w:pPr>
      <w:r>
        <w:rPr>
          <w:rFonts w:hint="eastAsia"/>
          <w:color w:val="auto"/>
          <w:lang w:val="en-US" w:eastAsia="zh-CN"/>
        </w:rPr>
        <w:t>3.维保期外服务要求：维保期届满后，甲方保证：仍提供免费电话咨询服务，并承诺以优惠价格提供上门维护服务。</w:t>
      </w:r>
    </w:p>
    <w:p>
      <w:pPr>
        <w:pStyle w:val="14"/>
        <w:bidi w:val="0"/>
        <w:rPr>
          <w:rFonts w:hint="default"/>
          <w:color w:val="auto"/>
        </w:rPr>
      </w:pPr>
      <w:r>
        <w:rPr>
          <w:rFonts w:hint="eastAsia"/>
          <w:color w:val="auto"/>
          <w:lang w:val="en-US" w:eastAsia="zh-CN"/>
        </w:rPr>
        <w:t>八</w:t>
      </w:r>
      <w:r>
        <w:rPr>
          <w:rFonts w:hint="eastAsia"/>
          <w:color w:val="auto"/>
        </w:rPr>
        <w:t>、</w:t>
      </w:r>
      <w:r>
        <w:rPr>
          <w:rFonts w:hint="default"/>
          <w:color w:val="auto"/>
        </w:rPr>
        <w:t>违约责任</w:t>
      </w:r>
    </w:p>
    <w:p>
      <w:pPr>
        <w:pStyle w:val="14"/>
        <w:bidi w:val="0"/>
        <w:rPr>
          <w:rFonts w:hint="eastAsia"/>
          <w:color w:val="auto"/>
        </w:rPr>
      </w:pPr>
      <w:r>
        <w:rPr>
          <w:rFonts w:hint="eastAsia"/>
          <w:color w:val="auto"/>
          <w:lang w:val="en-US" w:eastAsia="zh-CN"/>
        </w:rPr>
        <w:t>1、乙方</w:t>
      </w:r>
      <w:r>
        <w:rPr>
          <w:rFonts w:hint="eastAsia"/>
          <w:color w:val="auto"/>
        </w:rPr>
        <w:t>承诺和保证：参加本次招投标所涉及和提供的"资格条件和资格要求以及对应的支撑材料和声明函、承诺函等"资料真实可靠。若因提供的"资格条件和资格要求以及对应的支撑材料和声明函、承诺函等"资料瑕疵或不真实，造成</w:t>
      </w:r>
      <w:r>
        <w:rPr>
          <w:rFonts w:hint="eastAsia"/>
          <w:color w:val="auto"/>
          <w:lang w:val="en-US" w:eastAsia="zh-CN"/>
        </w:rPr>
        <w:t>甲方</w:t>
      </w:r>
      <w:r>
        <w:rPr>
          <w:rFonts w:hint="eastAsia"/>
          <w:color w:val="auto"/>
        </w:rPr>
        <w:t>遭受损失的，</w:t>
      </w:r>
      <w:r>
        <w:rPr>
          <w:rFonts w:hint="eastAsia"/>
          <w:color w:val="auto"/>
          <w:lang w:val="en-US" w:eastAsia="zh-CN"/>
        </w:rPr>
        <w:t>乙方</w:t>
      </w:r>
      <w:r>
        <w:rPr>
          <w:rFonts w:hint="eastAsia"/>
          <w:color w:val="auto"/>
        </w:rPr>
        <w:t>应当赔偿</w:t>
      </w:r>
      <w:r>
        <w:rPr>
          <w:rFonts w:hint="eastAsia"/>
          <w:color w:val="auto"/>
          <w:lang w:val="en-US" w:eastAsia="zh-CN"/>
        </w:rPr>
        <w:t>甲方</w:t>
      </w:r>
      <w:r>
        <w:rPr>
          <w:rFonts w:hint="eastAsia"/>
          <w:color w:val="auto"/>
        </w:rPr>
        <w:t>的所有损失。</w:t>
      </w:r>
      <w:r>
        <w:rPr>
          <w:rFonts w:hint="eastAsia"/>
          <w:color w:val="auto"/>
          <w:lang w:val="en-US" w:eastAsia="zh-CN"/>
        </w:rPr>
        <w:t>乙方</w:t>
      </w:r>
      <w:r>
        <w:rPr>
          <w:rFonts w:hint="eastAsia"/>
          <w:color w:val="auto"/>
        </w:rPr>
        <w:t>自行承担由此导致的经济损失或政府部门处罚等一切责任和法律后果，并且向</w:t>
      </w:r>
      <w:r>
        <w:rPr>
          <w:rFonts w:hint="eastAsia"/>
          <w:color w:val="auto"/>
          <w:lang w:val="en-US" w:eastAsia="zh-CN"/>
        </w:rPr>
        <w:t>甲方</w:t>
      </w:r>
      <w:r>
        <w:rPr>
          <w:rFonts w:hint="eastAsia"/>
          <w:color w:val="auto"/>
        </w:rPr>
        <w:t>支付违约金。</w:t>
      </w:r>
    </w:p>
    <w:p>
      <w:pPr>
        <w:pStyle w:val="14"/>
        <w:bidi w:val="0"/>
        <w:rPr>
          <w:rFonts w:hint="eastAsia"/>
          <w:color w:val="auto"/>
        </w:rPr>
      </w:pPr>
      <w:r>
        <w:rPr>
          <w:rFonts w:hint="eastAsia"/>
          <w:color w:val="auto"/>
          <w:lang w:val="en-US" w:eastAsia="zh-CN"/>
        </w:rPr>
        <w:t>2、乙方</w:t>
      </w:r>
      <w:r>
        <w:rPr>
          <w:rFonts w:hint="eastAsia"/>
          <w:color w:val="auto"/>
        </w:rPr>
        <w:t>无法交付达到招标文件要求的服务的，</w:t>
      </w:r>
      <w:r>
        <w:rPr>
          <w:rFonts w:hint="eastAsia"/>
          <w:color w:val="auto"/>
          <w:lang w:eastAsia="zh-CN"/>
        </w:rPr>
        <w:t>甲方</w:t>
      </w:r>
      <w:r>
        <w:rPr>
          <w:rFonts w:hint="eastAsia"/>
          <w:color w:val="auto"/>
        </w:rPr>
        <w:t>有权解除合同，</w:t>
      </w:r>
      <w:r>
        <w:rPr>
          <w:rFonts w:hint="eastAsia"/>
          <w:color w:val="auto"/>
          <w:lang w:eastAsia="zh-CN"/>
        </w:rPr>
        <w:t>乙方</w:t>
      </w:r>
      <w:r>
        <w:rPr>
          <w:rFonts w:hint="eastAsia"/>
          <w:color w:val="auto"/>
        </w:rPr>
        <w:t>应当退还</w:t>
      </w:r>
      <w:r>
        <w:rPr>
          <w:rFonts w:hint="eastAsia"/>
          <w:color w:val="auto"/>
          <w:lang w:eastAsia="zh-CN"/>
        </w:rPr>
        <w:t>甲方</w:t>
      </w:r>
      <w:r>
        <w:rPr>
          <w:rFonts w:hint="eastAsia"/>
          <w:color w:val="auto"/>
        </w:rPr>
        <w:t>支付的服务款，同时</w:t>
      </w:r>
      <w:r>
        <w:rPr>
          <w:rFonts w:hint="eastAsia"/>
          <w:color w:val="auto"/>
          <w:lang w:eastAsia="zh-CN"/>
        </w:rPr>
        <w:t>乙方</w:t>
      </w:r>
      <w:r>
        <w:rPr>
          <w:rFonts w:hint="eastAsia"/>
          <w:color w:val="auto"/>
        </w:rPr>
        <w:t>应向</w:t>
      </w:r>
      <w:r>
        <w:rPr>
          <w:rFonts w:hint="eastAsia"/>
          <w:color w:val="auto"/>
          <w:lang w:eastAsia="zh-CN"/>
        </w:rPr>
        <w:t>甲方</w:t>
      </w:r>
      <w:r>
        <w:rPr>
          <w:rFonts w:hint="eastAsia"/>
          <w:color w:val="auto"/>
        </w:rPr>
        <w:t>支付违约金。</w:t>
      </w:r>
    </w:p>
    <w:p>
      <w:pPr>
        <w:pStyle w:val="14"/>
        <w:bidi w:val="0"/>
        <w:rPr>
          <w:rFonts w:hint="eastAsia"/>
          <w:color w:val="auto"/>
        </w:rPr>
      </w:pPr>
      <w:r>
        <w:rPr>
          <w:rFonts w:hint="eastAsia"/>
          <w:color w:val="auto"/>
          <w:lang w:val="en-US" w:eastAsia="zh-CN"/>
        </w:rPr>
        <w:t>3、</w:t>
      </w:r>
      <w:r>
        <w:rPr>
          <w:rFonts w:hint="eastAsia"/>
          <w:color w:val="auto"/>
          <w:lang w:eastAsia="zh-CN"/>
        </w:rPr>
        <w:t>乙方</w:t>
      </w:r>
      <w:r>
        <w:rPr>
          <w:rFonts w:hint="eastAsia"/>
          <w:color w:val="auto"/>
        </w:rPr>
        <w:t>交付的服务未达到招标文件规定要求的，对</w:t>
      </w:r>
      <w:r>
        <w:rPr>
          <w:rFonts w:hint="eastAsia"/>
          <w:color w:val="auto"/>
          <w:lang w:eastAsia="zh-CN"/>
        </w:rPr>
        <w:t>甲方</w:t>
      </w:r>
      <w:r>
        <w:rPr>
          <w:rFonts w:hint="eastAsia"/>
          <w:color w:val="auto"/>
        </w:rPr>
        <w:t>或</w:t>
      </w:r>
      <w:r>
        <w:rPr>
          <w:rFonts w:hint="eastAsia"/>
          <w:color w:val="auto"/>
          <w:lang w:eastAsia="zh-CN"/>
        </w:rPr>
        <w:t>甲方</w:t>
      </w:r>
      <w:r>
        <w:rPr>
          <w:rFonts w:hint="eastAsia"/>
          <w:color w:val="auto"/>
        </w:rPr>
        <w:t>患者造成损失和责任的，由</w:t>
      </w:r>
      <w:r>
        <w:rPr>
          <w:rFonts w:hint="eastAsia"/>
          <w:color w:val="auto"/>
          <w:lang w:eastAsia="zh-CN"/>
        </w:rPr>
        <w:t>乙方</w:t>
      </w:r>
      <w:r>
        <w:rPr>
          <w:rFonts w:hint="eastAsia"/>
          <w:color w:val="auto"/>
        </w:rPr>
        <w:t>承担全部责任，并全额承担给</w:t>
      </w:r>
      <w:r>
        <w:rPr>
          <w:rFonts w:hint="eastAsia"/>
          <w:color w:val="auto"/>
          <w:lang w:eastAsia="zh-CN"/>
        </w:rPr>
        <w:t>甲方</w:t>
      </w:r>
      <w:r>
        <w:rPr>
          <w:rFonts w:hint="eastAsia"/>
          <w:color w:val="auto"/>
        </w:rPr>
        <w:t>或</w:t>
      </w:r>
      <w:r>
        <w:rPr>
          <w:rFonts w:hint="eastAsia"/>
          <w:color w:val="auto"/>
          <w:lang w:eastAsia="zh-CN"/>
        </w:rPr>
        <w:t>甲方</w:t>
      </w:r>
      <w:r>
        <w:rPr>
          <w:rFonts w:hint="eastAsia"/>
          <w:color w:val="auto"/>
        </w:rPr>
        <w:t>患者造成的全部损失和赔偿（包含且不限于</w:t>
      </w:r>
      <w:r>
        <w:rPr>
          <w:rFonts w:hint="eastAsia"/>
          <w:color w:val="auto"/>
          <w:lang w:eastAsia="zh-CN"/>
        </w:rPr>
        <w:t>甲方</w:t>
      </w:r>
      <w:r>
        <w:rPr>
          <w:rFonts w:hint="eastAsia"/>
          <w:color w:val="auto"/>
        </w:rPr>
        <w:t>的直接损失、</w:t>
      </w:r>
      <w:r>
        <w:rPr>
          <w:rFonts w:hint="eastAsia"/>
          <w:color w:val="auto"/>
          <w:lang w:eastAsia="zh-CN"/>
        </w:rPr>
        <w:t>甲方</w:t>
      </w:r>
      <w:r>
        <w:rPr>
          <w:rFonts w:hint="eastAsia"/>
          <w:color w:val="auto"/>
        </w:rPr>
        <w:t>向患者支付的赔偿款、诉讼费、律师代理费、保全费、担保费、差旅费、执行费、鉴定费、评估拍卖费等一切直接或间接损失），并且向</w:t>
      </w:r>
      <w:r>
        <w:rPr>
          <w:rFonts w:hint="eastAsia"/>
          <w:color w:val="auto"/>
          <w:lang w:eastAsia="zh-CN"/>
        </w:rPr>
        <w:t>甲方</w:t>
      </w:r>
      <w:r>
        <w:rPr>
          <w:rFonts w:hint="eastAsia"/>
          <w:color w:val="auto"/>
        </w:rPr>
        <w:t>支付违约金。</w:t>
      </w:r>
    </w:p>
    <w:p>
      <w:pPr>
        <w:pStyle w:val="14"/>
        <w:bidi w:val="0"/>
        <w:rPr>
          <w:rFonts w:hint="eastAsia"/>
          <w:color w:val="auto"/>
        </w:rPr>
      </w:pPr>
      <w:r>
        <w:rPr>
          <w:rFonts w:hint="eastAsia"/>
          <w:color w:val="auto"/>
          <w:lang w:val="en-US" w:eastAsia="zh-CN"/>
        </w:rPr>
        <w:t>4、</w:t>
      </w:r>
      <w:r>
        <w:rPr>
          <w:rFonts w:hint="eastAsia"/>
          <w:color w:val="auto"/>
          <w:lang w:eastAsia="zh-CN"/>
        </w:rPr>
        <w:t>乙方</w:t>
      </w:r>
      <w:r>
        <w:rPr>
          <w:rFonts w:hint="eastAsia"/>
          <w:color w:val="auto"/>
        </w:rPr>
        <w:t>将提供服务的义务全部或部分转让给他人的，</w:t>
      </w:r>
      <w:r>
        <w:rPr>
          <w:rFonts w:hint="eastAsia"/>
          <w:color w:val="auto"/>
          <w:lang w:eastAsia="zh-CN"/>
        </w:rPr>
        <w:t>乙方</w:t>
      </w:r>
      <w:r>
        <w:rPr>
          <w:rFonts w:hint="eastAsia"/>
          <w:color w:val="auto"/>
        </w:rPr>
        <w:t>应该承担</w:t>
      </w:r>
      <w:r>
        <w:rPr>
          <w:rFonts w:hint="eastAsia"/>
          <w:color w:val="auto"/>
          <w:lang w:eastAsia="zh-CN"/>
        </w:rPr>
        <w:t>甲方</w:t>
      </w:r>
      <w:r>
        <w:rPr>
          <w:rFonts w:hint="eastAsia"/>
          <w:color w:val="auto"/>
        </w:rPr>
        <w:t>因此造成的全部损失，并且向</w:t>
      </w:r>
      <w:r>
        <w:rPr>
          <w:rFonts w:hint="eastAsia"/>
          <w:color w:val="auto"/>
          <w:lang w:eastAsia="zh-CN"/>
        </w:rPr>
        <w:t>甲方</w:t>
      </w:r>
      <w:r>
        <w:rPr>
          <w:rFonts w:hint="eastAsia"/>
          <w:color w:val="auto"/>
        </w:rPr>
        <w:t>支付违约金。</w:t>
      </w:r>
    </w:p>
    <w:p>
      <w:pPr>
        <w:pStyle w:val="14"/>
        <w:bidi w:val="0"/>
        <w:rPr>
          <w:rFonts w:hint="eastAsia"/>
          <w:color w:val="auto"/>
        </w:rPr>
      </w:pPr>
      <w:r>
        <w:rPr>
          <w:rFonts w:hint="eastAsia"/>
          <w:color w:val="auto"/>
          <w:lang w:val="en-US" w:eastAsia="zh-CN"/>
        </w:rPr>
        <w:t>5、</w:t>
      </w:r>
      <w:r>
        <w:rPr>
          <w:rFonts w:hint="eastAsia"/>
          <w:color w:val="auto"/>
        </w:rPr>
        <w:t>质保期内，</w:t>
      </w:r>
      <w:r>
        <w:rPr>
          <w:rFonts w:hint="eastAsia"/>
          <w:color w:val="auto"/>
          <w:lang w:eastAsia="zh-CN"/>
        </w:rPr>
        <w:t>乙方</w:t>
      </w:r>
      <w:r>
        <w:rPr>
          <w:rFonts w:hint="eastAsia"/>
          <w:color w:val="auto"/>
        </w:rPr>
        <w:t>拒绝或逾期为</w:t>
      </w:r>
      <w:r>
        <w:rPr>
          <w:rFonts w:hint="eastAsia"/>
          <w:color w:val="auto"/>
          <w:lang w:eastAsia="zh-CN"/>
        </w:rPr>
        <w:t>甲方</w:t>
      </w:r>
      <w:r>
        <w:rPr>
          <w:rFonts w:hint="eastAsia"/>
          <w:color w:val="auto"/>
        </w:rPr>
        <w:t>提供合同约定的售后服务，</w:t>
      </w:r>
      <w:r>
        <w:rPr>
          <w:rFonts w:hint="eastAsia"/>
          <w:color w:val="auto"/>
          <w:lang w:eastAsia="zh-CN"/>
        </w:rPr>
        <w:t>甲方</w:t>
      </w:r>
      <w:r>
        <w:rPr>
          <w:rFonts w:hint="eastAsia"/>
          <w:color w:val="auto"/>
        </w:rPr>
        <w:t>有权从其他第三方购买售后服务，</w:t>
      </w:r>
      <w:r>
        <w:rPr>
          <w:rFonts w:hint="eastAsia"/>
          <w:color w:val="auto"/>
          <w:lang w:eastAsia="zh-CN"/>
        </w:rPr>
        <w:t>甲方</w:t>
      </w:r>
      <w:r>
        <w:rPr>
          <w:rFonts w:hint="eastAsia"/>
          <w:color w:val="auto"/>
        </w:rPr>
        <w:t>支付的售后服务费用由</w:t>
      </w:r>
      <w:r>
        <w:rPr>
          <w:rFonts w:hint="eastAsia"/>
          <w:color w:val="auto"/>
          <w:lang w:eastAsia="zh-CN"/>
        </w:rPr>
        <w:t>乙方</w:t>
      </w:r>
      <w:r>
        <w:rPr>
          <w:rFonts w:hint="eastAsia"/>
          <w:color w:val="auto"/>
        </w:rPr>
        <w:t>全额承担和赔偿，并且向</w:t>
      </w:r>
      <w:r>
        <w:rPr>
          <w:rFonts w:hint="eastAsia"/>
          <w:color w:val="auto"/>
          <w:lang w:eastAsia="zh-CN"/>
        </w:rPr>
        <w:t>甲方</w:t>
      </w:r>
      <w:r>
        <w:rPr>
          <w:rFonts w:hint="eastAsia"/>
          <w:color w:val="auto"/>
        </w:rPr>
        <w:t>支付违约金。</w:t>
      </w:r>
    </w:p>
    <w:p>
      <w:pPr>
        <w:pStyle w:val="14"/>
        <w:bidi w:val="0"/>
        <w:rPr>
          <w:rFonts w:hint="eastAsia"/>
          <w:color w:val="auto"/>
        </w:rPr>
      </w:pPr>
      <w:r>
        <w:rPr>
          <w:rFonts w:hint="eastAsia"/>
          <w:color w:val="auto"/>
          <w:lang w:val="en-US" w:eastAsia="zh-CN"/>
        </w:rPr>
        <w:t>6、</w:t>
      </w:r>
      <w:r>
        <w:rPr>
          <w:rFonts w:hint="eastAsia"/>
          <w:color w:val="auto"/>
          <w:lang w:eastAsia="zh-CN"/>
        </w:rPr>
        <w:t>乙方</w:t>
      </w:r>
      <w:r>
        <w:rPr>
          <w:rFonts w:hint="eastAsia"/>
          <w:color w:val="auto"/>
        </w:rPr>
        <w:t>违约的，</w:t>
      </w:r>
      <w:r>
        <w:rPr>
          <w:rFonts w:hint="eastAsia"/>
          <w:color w:val="auto"/>
          <w:lang w:eastAsia="zh-CN"/>
        </w:rPr>
        <w:t>乙方</w:t>
      </w:r>
      <w:r>
        <w:rPr>
          <w:rFonts w:hint="eastAsia"/>
          <w:color w:val="auto"/>
        </w:rPr>
        <w:t>应向</w:t>
      </w:r>
      <w:r>
        <w:rPr>
          <w:rFonts w:hint="eastAsia"/>
          <w:color w:val="auto"/>
          <w:lang w:eastAsia="zh-CN"/>
        </w:rPr>
        <w:t>甲方</w:t>
      </w:r>
      <w:r>
        <w:rPr>
          <w:rFonts w:hint="eastAsia"/>
          <w:color w:val="auto"/>
        </w:rPr>
        <w:t>承担包括但不限于消除影响、赔偿损失、支付违约金等违约责任。</w:t>
      </w:r>
    </w:p>
    <w:p>
      <w:pPr>
        <w:pStyle w:val="14"/>
        <w:bidi w:val="0"/>
        <w:rPr>
          <w:rFonts w:hint="default"/>
          <w:color w:val="auto"/>
          <w:lang w:val="en-US" w:eastAsia="zh-CN"/>
        </w:rPr>
      </w:pPr>
      <w:r>
        <w:rPr>
          <w:rFonts w:hint="eastAsia"/>
          <w:color w:val="auto"/>
          <w:lang w:val="en-US" w:eastAsia="zh-CN"/>
        </w:rPr>
        <w:t>7、因甲方医院搬迁导致该批设备维保服务终止的，双方自动终止该维保服务，甲方按月支付已经产生的维保服务费，不再支付未发生的维保服务费，双方均不承担违约责任。</w:t>
      </w:r>
    </w:p>
    <w:p>
      <w:pPr>
        <w:pStyle w:val="15"/>
        <w:bidi w:val="0"/>
        <w:rPr>
          <w:rFonts w:hint="eastAsia"/>
          <w:color w:val="auto"/>
          <w:lang w:eastAsia="zh-CN"/>
        </w:rPr>
      </w:pPr>
      <w:r>
        <w:rPr>
          <w:rFonts w:hint="eastAsia"/>
          <w:color w:val="auto"/>
          <w:lang w:val="en-US" w:eastAsia="zh-CN"/>
        </w:rPr>
        <w:t>九、</w:t>
      </w:r>
      <w:r>
        <w:rPr>
          <w:rFonts w:hint="eastAsia"/>
          <w:color w:val="auto"/>
          <w:lang w:eastAsia="zh-CN"/>
        </w:rPr>
        <w:t>安全事故和责任</w:t>
      </w:r>
    </w:p>
    <w:p>
      <w:pPr>
        <w:pStyle w:val="14"/>
        <w:bidi w:val="0"/>
        <w:rPr>
          <w:rFonts w:hint="eastAsia"/>
          <w:color w:val="auto"/>
          <w:highlight w:val="none"/>
          <w:lang w:eastAsia="zh-CN"/>
        </w:rPr>
      </w:pPr>
      <w:r>
        <w:rPr>
          <w:rFonts w:hint="eastAsia"/>
          <w:color w:val="auto"/>
          <w:highlight w:val="none"/>
          <w:lang w:val="en-US" w:eastAsia="zh-CN"/>
        </w:rPr>
        <w:t>1、乙方</w:t>
      </w:r>
      <w:r>
        <w:rPr>
          <w:rFonts w:hint="eastAsia"/>
          <w:color w:val="auto"/>
          <w:highlight w:val="none"/>
          <w:lang w:eastAsia="zh-CN"/>
        </w:rPr>
        <w:t>须遵守设备安装</w:t>
      </w:r>
      <w:r>
        <w:rPr>
          <w:rFonts w:hint="eastAsia"/>
          <w:color w:val="auto"/>
          <w:highlight w:val="none"/>
          <w:lang w:val="en-US" w:eastAsia="zh-CN"/>
        </w:rPr>
        <w:t>和维保</w:t>
      </w:r>
      <w:r>
        <w:rPr>
          <w:rFonts w:hint="eastAsia"/>
          <w:color w:val="auto"/>
          <w:highlight w:val="none"/>
          <w:lang w:eastAsia="zh-CN"/>
        </w:rPr>
        <w:t>作业操作规程、安全规章制度及相关法律法规。在</w:t>
      </w:r>
      <w:r>
        <w:rPr>
          <w:rFonts w:hint="eastAsia"/>
          <w:color w:val="auto"/>
          <w:highlight w:val="none"/>
          <w:lang w:val="en-US" w:eastAsia="zh-CN"/>
        </w:rPr>
        <w:t>乙方</w:t>
      </w:r>
      <w:r>
        <w:rPr>
          <w:rFonts w:hint="eastAsia"/>
          <w:color w:val="auto"/>
          <w:highlight w:val="none"/>
          <w:lang w:eastAsia="zh-CN"/>
        </w:rPr>
        <w:t>提供设备运输、安装、调试</w:t>
      </w:r>
      <w:r>
        <w:rPr>
          <w:rFonts w:hint="eastAsia"/>
          <w:color w:val="auto"/>
          <w:highlight w:val="none"/>
          <w:lang w:val="en-US" w:eastAsia="zh-CN"/>
        </w:rPr>
        <w:t>和维保</w:t>
      </w:r>
      <w:r>
        <w:rPr>
          <w:rFonts w:hint="eastAsia"/>
          <w:color w:val="auto"/>
          <w:highlight w:val="none"/>
          <w:lang w:eastAsia="zh-CN"/>
        </w:rPr>
        <w:t>服务过程中，如发生工伤等劳资纠纷或财产损失的，或因</w:t>
      </w:r>
      <w:r>
        <w:rPr>
          <w:rFonts w:hint="eastAsia"/>
          <w:color w:val="auto"/>
          <w:highlight w:val="none"/>
          <w:lang w:val="en-US" w:eastAsia="zh-CN"/>
        </w:rPr>
        <w:t>乙方</w:t>
      </w:r>
      <w:r>
        <w:rPr>
          <w:rFonts w:hint="eastAsia"/>
          <w:color w:val="auto"/>
          <w:highlight w:val="none"/>
          <w:lang w:eastAsia="zh-CN"/>
        </w:rPr>
        <w:t>行为造成他人人身财产损害及权益受损的，由</w:t>
      </w:r>
      <w:r>
        <w:rPr>
          <w:rFonts w:hint="eastAsia"/>
          <w:color w:val="auto"/>
          <w:highlight w:val="none"/>
          <w:lang w:val="en-US" w:eastAsia="zh-CN"/>
        </w:rPr>
        <w:t>乙方</w:t>
      </w:r>
      <w:r>
        <w:rPr>
          <w:rFonts w:hint="eastAsia"/>
          <w:color w:val="auto"/>
          <w:highlight w:val="none"/>
          <w:lang w:eastAsia="zh-CN"/>
        </w:rPr>
        <w:t>承担全部赔偿责任，</w:t>
      </w:r>
      <w:r>
        <w:rPr>
          <w:rFonts w:hint="eastAsia"/>
          <w:color w:val="auto"/>
          <w:highlight w:val="none"/>
          <w:lang w:val="en-US" w:eastAsia="zh-CN"/>
        </w:rPr>
        <w:t>甲方</w:t>
      </w:r>
      <w:r>
        <w:rPr>
          <w:rFonts w:hint="eastAsia"/>
          <w:color w:val="auto"/>
          <w:highlight w:val="none"/>
          <w:lang w:eastAsia="zh-CN"/>
        </w:rPr>
        <w:t>不承担责任；因</w:t>
      </w:r>
      <w:r>
        <w:rPr>
          <w:rFonts w:hint="eastAsia"/>
          <w:color w:val="auto"/>
          <w:highlight w:val="none"/>
          <w:lang w:val="en-US" w:eastAsia="zh-CN"/>
        </w:rPr>
        <w:t>乙方</w:t>
      </w:r>
      <w:r>
        <w:rPr>
          <w:rFonts w:hint="eastAsia"/>
          <w:color w:val="auto"/>
          <w:highlight w:val="none"/>
          <w:lang w:eastAsia="zh-CN"/>
        </w:rPr>
        <w:t>行为产生的各种行政处罚等一切责任和费用等，均由</w:t>
      </w:r>
      <w:r>
        <w:rPr>
          <w:rFonts w:hint="eastAsia"/>
          <w:color w:val="auto"/>
          <w:highlight w:val="none"/>
          <w:lang w:val="en-US" w:eastAsia="zh-CN"/>
        </w:rPr>
        <w:t>乙方</w:t>
      </w:r>
      <w:r>
        <w:rPr>
          <w:rFonts w:hint="eastAsia"/>
          <w:color w:val="auto"/>
          <w:highlight w:val="none"/>
          <w:lang w:eastAsia="zh-CN"/>
        </w:rPr>
        <w:t>自行承担，</w:t>
      </w:r>
      <w:r>
        <w:rPr>
          <w:rFonts w:hint="eastAsia"/>
          <w:color w:val="auto"/>
          <w:highlight w:val="none"/>
          <w:lang w:val="en-US" w:eastAsia="zh-CN"/>
        </w:rPr>
        <w:t>甲方</w:t>
      </w:r>
      <w:r>
        <w:rPr>
          <w:rFonts w:hint="eastAsia"/>
          <w:color w:val="auto"/>
          <w:highlight w:val="none"/>
          <w:lang w:eastAsia="zh-CN"/>
        </w:rPr>
        <w:t>不承担。</w:t>
      </w:r>
    </w:p>
    <w:p>
      <w:pPr>
        <w:pStyle w:val="14"/>
        <w:bidi w:val="0"/>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在</w:t>
      </w:r>
      <w:r>
        <w:rPr>
          <w:rFonts w:hint="eastAsia"/>
          <w:color w:val="auto"/>
          <w:highlight w:val="none"/>
          <w:lang w:val="en-US" w:eastAsia="zh-CN"/>
        </w:rPr>
        <w:t>乙方</w:t>
      </w:r>
      <w:r>
        <w:rPr>
          <w:rFonts w:hint="eastAsia"/>
          <w:color w:val="auto"/>
          <w:highlight w:val="none"/>
          <w:lang w:eastAsia="zh-CN"/>
        </w:rPr>
        <w:t>履约过程中、因</w:t>
      </w:r>
      <w:r>
        <w:rPr>
          <w:rFonts w:hint="eastAsia"/>
          <w:color w:val="auto"/>
          <w:highlight w:val="none"/>
          <w:lang w:val="en-US" w:eastAsia="zh-CN"/>
        </w:rPr>
        <w:t>乙方</w:t>
      </w:r>
      <w:r>
        <w:rPr>
          <w:rFonts w:hint="eastAsia"/>
          <w:color w:val="auto"/>
          <w:highlight w:val="none"/>
          <w:lang w:eastAsia="zh-CN"/>
        </w:rPr>
        <w:t>履约行为导致的任何纠纷或投诉、任何争议责任的调查确定及责任承担，均由</w:t>
      </w:r>
      <w:r>
        <w:rPr>
          <w:rFonts w:hint="eastAsia"/>
          <w:color w:val="auto"/>
          <w:highlight w:val="none"/>
          <w:lang w:val="en-US" w:eastAsia="zh-CN"/>
        </w:rPr>
        <w:t>乙方</w:t>
      </w:r>
      <w:r>
        <w:rPr>
          <w:rFonts w:hint="eastAsia"/>
          <w:color w:val="auto"/>
          <w:highlight w:val="none"/>
          <w:lang w:eastAsia="zh-CN"/>
        </w:rPr>
        <w:t>自行应对和负责。</w:t>
      </w:r>
    </w:p>
    <w:p>
      <w:pPr>
        <w:pStyle w:val="14"/>
        <w:bidi w:val="0"/>
        <w:rPr>
          <w:rFonts w:hint="default"/>
          <w:color w:val="auto"/>
        </w:rPr>
      </w:pPr>
      <w:r>
        <w:rPr>
          <w:rFonts w:hint="eastAsia"/>
          <w:color w:val="auto"/>
          <w:lang w:val="en-US" w:eastAsia="zh-CN"/>
        </w:rPr>
        <w:t>十</w:t>
      </w:r>
      <w:r>
        <w:rPr>
          <w:color w:val="auto"/>
        </w:rPr>
        <w:t>、其他</w:t>
      </w:r>
    </w:p>
    <w:p>
      <w:pPr>
        <w:pStyle w:val="14"/>
        <w:bidi w:val="0"/>
        <w:rPr>
          <w:color w:val="auto"/>
        </w:rPr>
      </w:pPr>
      <w:r>
        <w:rPr>
          <w:rFonts w:hint="eastAsia"/>
          <w:color w:val="auto"/>
          <w:lang w:val="en-US" w:eastAsia="zh-CN"/>
        </w:rPr>
        <w:t>1、</w:t>
      </w:r>
      <w:r>
        <w:rPr>
          <w:rFonts w:hint="eastAsia"/>
          <w:color w:val="auto"/>
        </w:rPr>
        <w:t>无论结果如何，</w:t>
      </w:r>
      <w:r>
        <w:rPr>
          <w:rFonts w:hint="eastAsia"/>
          <w:color w:val="auto"/>
          <w:lang w:eastAsia="zh-CN"/>
        </w:rPr>
        <w:t>乙方</w:t>
      </w:r>
      <w:r>
        <w:rPr>
          <w:rFonts w:hint="eastAsia"/>
          <w:color w:val="auto"/>
        </w:rPr>
        <w:t>参与本项目的所有费用均由</w:t>
      </w:r>
      <w:r>
        <w:rPr>
          <w:rFonts w:hint="eastAsia"/>
          <w:color w:val="auto"/>
          <w:lang w:val="en-US" w:eastAsia="zh-CN"/>
        </w:rPr>
        <w:t>乙方</w:t>
      </w:r>
      <w:r>
        <w:rPr>
          <w:rFonts w:hint="eastAsia"/>
          <w:color w:val="auto"/>
        </w:rPr>
        <w:t>自行承担。</w:t>
      </w:r>
    </w:p>
    <w:p>
      <w:pPr>
        <w:pStyle w:val="14"/>
        <w:bidi w:val="0"/>
        <w:rPr>
          <w:color w:val="auto"/>
        </w:rPr>
      </w:pPr>
      <w:r>
        <w:rPr>
          <w:rFonts w:hint="eastAsia"/>
          <w:color w:val="auto"/>
          <w:lang w:val="en-US" w:eastAsia="zh-CN"/>
        </w:rPr>
        <w:t>2、</w:t>
      </w:r>
      <w:r>
        <w:rPr>
          <w:rFonts w:hint="eastAsia"/>
          <w:color w:val="auto"/>
        </w:rPr>
        <w:t>本项目约定的</w:t>
      </w:r>
      <w:r>
        <w:rPr>
          <w:color w:val="auto"/>
        </w:rPr>
        <w:t>服务</w:t>
      </w:r>
      <w:r>
        <w:rPr>
          <w:rFonts w:hint="eastAsia"/>
          <w:color w:val="auto"/>
        </w:rPr>
        <w:t>，应由</w:t>
      </w:r>
      <w:r>
        <w:rPr>
          <w:rFonts w:hint="eastAsia"/>
          <w:color w:val="auto"/>
          <w:lang w:eastAsia="zh-CN"/>
        </w:rPr>
        <w:t>乙方</w:t>
      </w:r>
      <w:r>
        <w:rPr>
          <w:rFonts w:hint="eastAsia"/>
          <w:color w:val="auto"/>
        </w:rPr>
        <w:t>交付，</w:t>
      </w:r>
      <w:r>
        <w:rPr>
          <w:rFonts w:hint="eastAsia"/>
          <w:color w:val="auto"/>
          <w:lang w:eastAsia="zh-CN"/>
        </w:rPr>
        <w:t>乙方</w:t>
      </w:r>
      <w:r>
        <w:rPr>
          <w:rFonts w:hint="eastAsia"/>
          <w:color w:val="auto"/>
        </w:rPr>
        <w:t>不得转让合同的权利和义务，</w:t>
      </w:r>
      <w:r>
        <w:rPr>
          <w:rFonts w:hint="eastAsia"/>
          <w:color w:val="auto"/>
          <w:lang w:eastAsia="zh-CN"/>
        </w:rPr>
        <w:t>乙方</w:t>
      </w:r>
      <w:r>
        <w:rPr>
          <w:rFonts w:hint="eastAsia"/>
          <w:color w:val="auto"/>
        </w:rPr>
        <w:t>不得将本项目约定的</w:t>
      </w:r>
      <w:r>
        <w:rPr>
          <w:color w:val="auto"/>
        </w:rPr>
        <w:t>服务要求</w:t>
      </w:r>
      <w:r>
        <w:rPr>
          <w:rFonts w:hint="eastAsia"/>
          <w:color w:val="auto"/>
        </w:rPr>
        <w:t>全部或部分转让给他人。</w:t>
      </w:r>
    </w:p>
    <w:p>
      <w:pPr>
        <w:pStyle w:val="14"/>
        <w:bidi w:val="0"/>
        <w:rPr>
          <w:color w:val="auto"/>
        </w:rPr>
      </w:pPr>
      <w:r>
        <w:rPr>
          <w:rFonts w:hint="eastAsia"/>
          <w:color w:val="auto"/>
          <w:lang w:val="en-US" w:eastAsia="zh-CN"/>
        </w:rPr>
        <w:t>3、</w:t>
      </w:r>
      <w:r>
        <w:rPr>
          <w:rFonts w:hint="eastAsia"/>
          <w:color w:val="auto"/>
        </w:rPr>
        <w:t>在</w:t>
      </w:r>
      <w:r>
        <w:rPr>
          <w:rFonts w:hint="eastAsia"/>
          <w:color w:val="auto"/>
          <w:lang w:eastAsia="zh-CN"/>
        </w:rPr>
        <w:t>乙方</w:t>
      </w:r>
      <w:r>
        <w:rPr>
          <w:rFonts w:hint="eastAsia"/>
          <w:color w:val="auto"/>
        </w:rPr>
        <w:t>履约过程中，因</w:t>
      </w:r>
      <w:r>
        <w:rPr>
          <w:rFonts w:hint="eastAsia"/>
          <w:color w:val="auto"/>
          <w:lang w:eastAsia="zh-CN"/>
        </w:rPr>
        <w:t>乙方</w:t>
      </w:r>
      <w:r>
        <w:rPr>
          <w:rFonts w:hint="eastAsia"/>
          <w:color w:val="auto"/>
        </w:rPr>
        <w:t>履约行为导致的任何纠纷或投诉，任何安全事件和意外事件，任何争议责任的调查确定及责任承担，均由</w:t>
      </w:r>
      <w:r>
        <w:rPr>
          <w:rFonts w:hint="eastAsia"/>
          <w:color w:val="auto"/>
          <w:lang w:eastAsia="zh-CN"/>
        </w:rPr>
        <w:t>乙方</w:t>
      </w:r>
      <w:r>
        <w:rPr>
          <w:rFonts w:hint="eastAsia"/>
          <w:color w:val="auto"/>
        </w:rPr>
        <w:t>自行应对和负责。</w:t>
      </w:r>
    </w:p>
    <w:p>
      <w:pPr>
        <w:pStyle w:val="14"/>
        <w:bidi w:val="0"/>
        <w:rPr>
          <w:color w:val="auto"/>
        </w:rPr>
      </w:pPr>
      <w:r>
        <w:rPr>
          <w:rFonts w:hint="eastAsia"/>
          <w:color w:val="auto"/>
          <w:lang w:val="en-US" w:eastAsia="zh-CN"/>
        </w:rPr>
        <w:t>4、</w:t>
      </w:r>
      <w:r>
        <w:rPr>
          <w:color w:val="auto"/>
        </w:rPr>
        <w:t>双方履行合同过程中发生的一切争议，应先友好协商解决，如协商不能解决，则通过诉讼途径解决，由</w:t>
      </w:r>
      <w:r>
        <w:rPr>
          <w:rFonts w:hint="eastAsia"/>
          <w:color w:val="auto"/>
          <w:lang w:eastAsia="zh-CN"/>
        </w:rPr>
        <w:t>甲方</w:t>
      </w:r>
      <w:r>
        <w:rPr>
          <w:color w:val="auto"/>
        </w:rPr>
        <w:t>所在地人民法院管辖。</w:t>
      </w:r>
    </w:p>
    <w:p>
      <w:pPr>
        <w:pStyle w:val="14"/>
        <w:bidi w:val="0"/>
        <w:rPr>
          <w:rFonts w:hint="eastAsia"/>
          <w:color w:val="auto"/>
          <w:lang w:val="en-US" w:eastAsia="zh-CN"/>
        </w:rPr>
      </w:pPr>
      <w:r>
        <w:rPr>
          <w:rFonts w:hint="eastAsia"/>
          <w:color w:val="auto"/>
          <w:lang w:val="en-US" w:eastAsia="zh-CN"/>
        </w:rPr>
        <w:t>5、本合同自签订之日起生效，合同一式六份，甲方持肆份，乙方持两份，具有同等法律效力。</w:t>
      </w:r>
    </w:p>
    <w:p>
      <w:pPr>
        <w:pStyle w:val="14"/>
        <w:bidi w:val="0"/>
        <w:rPr>
          <w:rFonts w:hint="eastAsia"/>
          <w:color w:val="auto"/>
          <w:lang w:val="en-US" w:eastAsia="zh-CN"/>
        </w:rPr>
      </w:pPr>
      <w:r>
        <w:rPr>
          <w:rFonts w:hint="eastAsia"/>
          <w:color w:val="auto"/>
          <w:lang w:val="en-US" w:eastAsia="zh-CN"/>
        </w:rPr>
        <w:t>6、其他未尽事宜由供需双方在采购合同中详细约定。</w:t>
      </w:r>
    </w:p>
    <w:p>
      <w:pPr>
        <w:pStyle w:val="14"/>
        <w:bidi w:val="0"/>
        <w:rPr>
          <w:rFonts w:hint="eastAsia"/>
          <w:color w:val="auto"/>
          <w:lang w:val="en-US" w:eastAsia="zh-CN"/>
        </w:rPr>
      </w:pPr>
      <w:r>
        <w:rPr>
          <w:rFonts w:hint="eastAsia"/>
          <w:color w:val="auto"/>
          <w:lang w:val="en-US" w:eastAsia="zh-CN"/>
        </w:rPr>
        <w:t>附件1：300及300元以下电器元件和零部件清单和价格表</w:t>
      </w:r>
    </w:p>
    <w:p>
      <w:pPr>
        <w:pStyle w:val="14"/>
        <w:bidi w:val="0"/>
        <w:rPr>
          <w:rFonts w:hint="default"/>
          <w:color w:val="auto"/>
          <w:lang w:val="en-US" w:eastAsia="zh-CN"/>
        </w:rPr>
      </w:pPr>
      <w:r>
        <w:rPr>
          <w:rFonts w:hint="eastAsia"/>
          <w:color w:val="auto"/>
          <w:lang w:val="en-US" w:eastAsia="zh-CN"/>
        </w:rPr>
        <w:t>附件2：超过300元以上的电器元件和零部件清单和价格表</w:t>
      </w:r>
    </w:p>
    <w:tbl>
      <w:tblPr>
        <w:tblStyle w:val="9"/>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3"/>
        <w:gridCol w:w="3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3"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甲 方：</w:t>
            </w:r>
            <w:r>
              <w:rPr>
                <w:rFonts w:hint="eastAsia"/>
                <w:color w:val="auto"/>
                <w:sz w:val="21"/>
                <w:szCs w:val="21"/>
                <w:highlight w:val="none"/>
                <w:lang w:val="en-US" w:eastAsia="zh-CN"/>
              </w:rPr>
              <w:t>重庆市红十字会医院（江北区人民医院）</w:t>
            </w:r>
          </w:p>
        </w:tc>
        <w:tc>
          <w:tcPr>
            <w:tcW w:w="3987"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乙 方：</w:t>
            </w:r>
            <w:r>
              <w:rPr>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3"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开户行：</w:t>
            </w:r>
          </w:p>
        </w:tc>
        <w:tc>
          <w:tcPr>
            <w:tcW w:w="3987"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 xml:space="preserve">开户行：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3"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统一社会信用代码：</w:t>
            </w:r>
          </w:p>
        </w:tc>
        <w:tc>
          <w:tcPr>
            <w:tcW w:w="3987"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3" w:type="dxa"/>
            <w:vAlign w:val="center"/>
          </w:tcPr>
          <w:p>
            <w:pPr>
              <w:pStyle w:val="14"/>
              <w:spacing w:line="24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经办人：</w:t>
            </w:r>
          </w:p>
        </w:tc>
        <w:tc>
          <w:tcPr>
            <w:tcW w:w="3987"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 xml:space="preserve">经办人：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3"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法定授权代表人：</w:t>
            </w:r>
          </w:p>
        </w:tc>
        <w:tc>
          <w:tcPr>
            <w:tcW w:w="3987"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法定代表人：</w:t>
            </w:r>
            <w:r>
              <w:rPr>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3"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电  话：</w:t>
            </w:r>
          </w:p>
        </w:tc>
        <w:tc>
          <w:tcPr>
            <w:tcW w:w="3987"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3"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传  真：</w:t>
            </w:r>
          </w:p>
        </w:tc>
        <w:tc>
          <w:tcPr>
            <w:tcW w:w="3987"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3"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签约时间：  年  月  日</w:t>
            </w:r>
          </w:p>
        </w:tc>
        <w:tc>
          <w:tcPr>
            <w:tcW w:w="3987" w:type="dxa"/>
            <w:vAlign w:val="center"/>
          </w:tcPr>
          <w:p>
            <w:pPr>
              <w:pStyle w:val="14"/>
              <w:spacing w:line="240" w:lineRule="auto"/>
              <w:ind w:left="0" w:leftChars="0" w:firstLine="0" w:firstLineChars="0"/>
              <w:rPr>
                <w:color w:val="auto"/>
                <w:sz w:val="21"/>
                <w:szCs w:val="21"/>
                <w:highlight w:val="none"/>
              </w:rPr>
            </w:pPr>
            <w:r>
              <w:rPr>
                <w:rFonts w:hint="eastAsia"/>
                <w:color w:val="auto"/>
                <w:sz w:val="21"/>
                <w:szCs w:val="21"/>
                <w:highlight w:val="none"/>
              </w:rPr>
              <w:t>签约时间：   年  月  日</w:t>
            </w:r>
          </w:p>
        </w:tc>
      </w:tr>
    </w:tbl>
    <w:p>
      <w:pPr>
        <w:pStyle w:val="14"/>
        <w:spacing w:line="380" w:lineRule="exact"/>
        <w:ind w:firstLine="560"/>
        <w:rPr>
          <w:rFonts w:hint="eastAsia"/>
          <w:color w:val="auto"/>
          <w:sz w:val="28"/>
          <w:szCs w:val="28"/>
          <w:highlight w:val="none"/>
        </w:rPr>
      </w:pPr>
    </w:p>
    <w:p>
      <w:pPr>
        <w:pStyle w:val="14"/>
        <w:bidi w:val="0"/>
        <w:rPr>
          <w:rFonts w:hint="eastAsia"/>
          <w:color w:val="auto"/>
          <w:lang w:val="en-US" w:eastAsia="zh-CN"/>
        </w:rPr>
        <w:sectPr>
          <w:pgSz w:w="11906" w:h="16838"/>
          <w:pgMar w:top="1984" w:right="1446" w:bottom="1644" w:left="1446" w:header="851" w:footer="992" w:gutter="0"/>
          <w:cols w:space="0" w:num="1"/>
          <w:rtlGutter w:val="0"/>
          <w:docGrid w:type="lines" w:linePitch="312" w:charSpace="0"/>
        </w:sectPr>
      </w:pPr>
      <w:r>
        <w:rPr>
          <w:rFonts w:hint="eastAsia"/>
          <w:color w:val="auto"/>
        </w:rPr>
        <w:t>签约时间：20  年  月  日            签约地点：重庆</w:t>
      </w:r>
    </w:p>
    <w:p>
      <w:pPr>
        <w:pStyle w:val="16"/>
        <w:bidi w:val="0"/>
        <w:rPr>
          <w:rFonts w:hint="default" w:ascii="Times New Roman" w:hAnsi="Times New Roman" w:eastAsia="方正仿宋_GBK" w:cs="Times New Roman"/>
          <w:b/>
          <w:color w:val="auto"/>
          <w:szCs w:val="36"/>
          <w:lang w:eastAsia="zh-CN"/>
        </w:rPr>
      </w:pPr>
      <w:bookmarkStart w:id="13" w:name="_Toc12863"/>
      <w:bookmarkStart w:id="14" w:name="_Toc11892"/>
      <w:bookmarkStart w:id="15" w:name="_Toc7750"/>
      <w:bookmarkStart w:id="16" w:name="_Toc76373907"/>
      <w:bookmarkStart w:id="17" w:name="_Toc28583"/>
      <w:bookmarkStart w:id="18" w:name="_Toc16112"/>
      <w:r>
        <w:rPr>
          <w:rFonts w:hint="default" w:ascii="Times New Roman" w:hAnsi="Times New Roman" w:cs="Times New Roman"/>
          <w:color w:val="auto"/>
        </w:rPr>
        <w:t>第</w:t>
      </w:r>
      <w:r>
        <w:rPr>
          <w:rFonts w:hint="default" w:ascii="Times New Roman" w:hAnsi="Times New Roman" w:cs="Times New Roman"/>
          <w:color w:val="auto"/>
          <w:lang w:eastAsia="zh-CN"/>
        </w:rPr>
        <w:t>七</w:t>
      </w:r>
      <w:r>
        <w:rPr>
          <w:rFonts w:hint="default" w:ascii="Times New Roman" w:hAnsi="Times New Roman" w:cs="Times New Roman"/>
          <w:color w:val="auto"/>
        </w:rPr>
        <w:t>篇</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响应文件</w:t>
      </w:r>
      <w:r>
        <w:rPr>
          <w:rFonts w:hint="default" w:ascii="Times New Roman" w:hAnsi="Times New Roman" w:cs="Times New Roman"/>
          <w:color w:val="auto"/>
        </w:rPr>
        <w:t>格式</w:t>
      </w:r>
      <w:bookmarkEnd w:id="13"/>
      <w:bookmarkEnd w:id="14"/>
      <w:bookmarkEnd w:id="15"/>
      <w:bookmarkEnd w:id="16"/>
      <w:bookmarkEnd w:id="17"/>
      <w:bookmarkEnd w:id="18"/>
      <w:r>
        <w:rPr>
          <w:rFonts w:hint="default" w:ascii="Times New Roman" w:hAnsi="Times New Roman" w:cs="Times New Roman"/>
          <w:color w:val="auto"/>
          <w:lang w:eastAsia="zh-CN"/>
        </w:rPr>
        <w:t>要求</w:t>
      </w:r>
    </w:p>
    <w:p>
      <w:pPr>
        <w:pStyle w:val="15"/>
        <w:numPr>
          <w:ilvl w:val="0"/>
          <w:numId w:val="2"/>
        </w:numPr>
        <w:bidi w:val="0"/>
        <w:ind w:left="0" w:leftChars="0" w:firstLine="480" w:firstLineChars="200"/>
        <w:rPr>
          <w:rFonts w:hint="default" w:ascii="Times New Roman" w:hAnsi="Times New Roman" w:cs="Times New Roman"/>
          <w:color w:val="auto"/>
          <w:lang w:val="en-US" w:eastAsia="zh-CN"/>
        </w:rPr>
      </w:pPr>
      <w:bookmarkStart w:id="19" w:name="_Toc6437"/>
      <w:r>
        <w:rPr>
          <w:rFonts w:hint="default" w:ascii="Times New Roman" w:hAnsi="Times New Roman" w:cs="Times New Roman"/>
          <w:color w:val="auto"/>
          <w:lang w:val="en-US" w:eastAsia="zh-CN"/>
        </w:rPr>
        <w:t>经济文件</w:t>
      </w:r>
      <w:bookmarkEnd w:id="19"/>
    </w:p>
    <w:p>
      <w:pPr>
        <w:pStyle w:val="14"/>
        <w:bidi w:val="0"/>
        <w:rPr>
          <w:rFonts w:hint="default" w:ascii="Times New Roman" w:hAnsi="Times New Roman" w:cs="Times New Roman"/>
          <w:color w:val="auto"/>
          <w:lang w:eastAsia="zh-CN"/>
        </w:rPr>
      </w:pPr>
      <w:r>
        <w:rPr>
          <w:rFonts w:hint="default" w:ascii="Times New Roman" w:hAnsi="Times New Roman" w:cs="Times New Roman"/>
          <w:color w:val="auto"/>
        </w:rPr>
        <w:t>（一）</w:t>
      </w:r>
      <w:r>
        <w:rPr>
          <w:rFonts w:hint="default" w:ascii="Times New Roman" w:hAnsi="Times New Roman" w:cs="Times New Roman"/>
          <w:color w:val="auto"/>
          <w:lang w:eastAsia="zh-CN"/>
        </w:rPr>
        <w:t>报价一览表</w:t>
      </w:r>
    </w:p>
    <w:p>
      <w:pPr>
        <w:pStyle w:val="14"/>
        <w:bidi w:val="0"/>
        <w:rPr>
          <w:rFonts w:hint="default" w:ascii="Times New Roman" w:hAnsi="Times New Roman" w:eastAsia="方正仿宋_GBK" w:cs="Times New Roman"/>
          <w:color w:val="auto"/>
          <w:lang w:val="en-US" w:eastAsia="zh-CN"/>
        </w:rPr>
      </w:pPr>
      <w:r>
        <w:rPr>
          <w:rFonts w:hint="default" w:ascii="Times New Roman" w:hAnsi="Times New Roman" w:cs="Times New Roman"/>
          <w:color w:val="auto"/>
        </w:rPr>
        <w:t>（二）分项报价明细表</w:t>
      </w:r>
      <w:r>
        <w:rPr>
          <w:rFonts w:hint="default" w:ascii="Times New Roman" w:hAnsi="Times New Roman" w:cs="Times New Roman"/>
          <w:color w:val="auto"/>
          <w:lang w:eastAsia="zh-CN"/>
        </w:rPr>
        <w:t>（如果有）</w:t>
      </w:r>
    </w:p>
    <w:p>
      <w:pPr>
        <w:pStyle w:val="15"/>
        <w:numPr>
          <w:ilvl w:val="0"/>
          <w:numId w:val="2"/>
        </w:numPr>
        <w:bidi w:val="0"/>
        <w:ind w:left="0" w:leftChars="0" w:firstLine="480" w:firstLineChars="200"/>
        <w:rPr>
          <w:rFonts w:hint="default" w:ascii="Times New Roman" w:hAnsi="Times New Roman" w:cs="Times New Roman"/>
          <w:color w:val="auto"/>
          <w:lang w:val="en-US" w:eastAsia="zh-CN"/>
        </w:rPr>
      </w:pPr>
      <w:bookmarkStart w:id="20" w:name="_Toc17664"/>
      <w:r>
        <w:rPr>
          <w:rFonts w:hint="default" w:ascii="Times New Roman" w:hAnsi="Times New Roman" w:cs="Times New Roman"/>
          <w:color w:val="auto"/>
          <w:lang w:val="en-US" w:eastAsia="zh-CN"/>
        </w:rPr>
        <w:t>技术（质量）文件</w:t>
      </w:r>
      <w:bookmarkEnd w:id="20"/>
    </w:p>
    <w:p>
      <w:pPr>
        <w:pStyle w:val="14"/>
        <w:bidi w:val="0"/>
        <w:rPr>
          <w:rFonts w:hint="default" w:ascii="Times New Roman" w:hAnsi="Times New Roman" w:cs="Times New Roman"/>
          <w:color w:val="auto"/>
        </w:rPr>
      </w:pPr>
      <w:r>
        <w:rPr>
          <w:rFonts w:hint="default" w:ascii="Times New Roman" w:hAnsi="Times New Roman" w:cs="Times New Roman"/>
          <w:color w:val="auto"/>
          <w:lang w:eastAsia="zh-CN"/>
        </w:rPr>
        <w:t>（一）</w:t>
      </w:r>
      <w:r>
        <w:rPr>
          <w:rFonts w:hint="default" w:ascii="Times New Roman" w:hAnsi="Times New Roman" w:cs="Times New Roman"/>
          <w:color w:val="auto"/>
        </w:rPr>
        <w:t>技术（质量）条款差异表</w:t>
      </w:r>
    </w:p>
    <w:p>
      <w:pPr>
        <w:pStyle w:val="14"/>
        <w:bidi w:val="0"/>
        <w:rPr>
          <w:rFonts w:hint="default" w:ascii="Times New Roman" w:hAnsi="Times New Roman" w:cs="Times New Roman"/>
          <w:color w:val="auto"/>
        </w:rPr>
      </w:pPr>
      <w:r>
        <w:rPr>
          <w:rFonts w:hint="default" w:ascii="Times New Roman" w:hAnsi="Times New Roman" w:cs="Times New Roman"/>
          <w:color w:val="auto"/>
          <w:lang w:eastAsia="zh-CN"/>
        </w:rPr>
        <w:t>（二）</w:t>
      </w:r>
      <w:r>
        <w:rPr>
          <w:rFonts w:hint="default" w:ascii="Times New Roman" w:hAnsi="Times New Roman" w:cs="Times New Roman"/>
          <w:color w:val="auto"/>
        </w:rPr>
        <w:t>其他资料（格式自定）</w:t>
      </w:r>
    </w:p>
    <w:p>
      <w:pPr>
        <w:pStyle w:val="14"/>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eastAsia="zh-CN"/>
        </w:rPr>
        <w:t>（三）</w:t>
      </w:r>
      <w:r>
        <w:rPr>
          <w:rFonts w:hint="default" w:ascii="Times New Roman" w:hAnsi="Times New Roman" w:cs="Times New Roman"/>
          <w:color w:val="auto"/>
          <w:highlight w:val="none"/>
          <w:lang w:val="en-US" w:eastAsia="zh-CN"/>
        </w:rPr>
        <w:t>供应商应答</w:t>
      </w:r>
      <w:r>
        <w:rPr>
          <w:rFonts w:hint="default" w:ascii="Times New Roman" w:hAnsi="Times New Roman" w:cs="Times New Roman"/>
          <w:color w:val="auto"/>
          <w:highlight w:val="none"/>
          <w:lang w:eastAsia="zh-CN"/>
        </w:rPr>
        <w:t>产品</w:t>
      </w:r>
      <w:r>
        <w:rPr>
          <w:rFonts w:hint="default" w:ascii="Times New Roman" w:hAnsi="Times New Roman" w:cs="Times New Roman"/>
          <w:color w:val="auto"/>
          <w:highlight w:val="none"/>
          <w:lang w:val="en-US" w:eastAsia="zh-CN"/>
        </w:rPr>
        <w:t>响应技术参数证明材料：</w:t>
      </w:r>
    </w:p>
    <w:p>
      <w:pPr>
        <w:pStyle w:val="14"/>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1.应答</w:t>
      </w:r>
      <w:r>
        <w:rPr>
          <w:rFonts w:hint="default" w:ascii="Times New Roman" w:hAnsi="Times New Roman" w:cs="Times New Roman"/>
          <w:color w:val="auto"/>
          <w:highlight w:val="none"/>
          <w:lang w:eastAsia="zh-CN"/>
        </w:rPr>
        <w:t>产品</w:t>
      </w:r>
      <w:r>
        <w:rPr>
          <w:rFonts w:hint="default" w:ascii="Times New Roman" w:hAnsi="Times New Roman" w:cs="Times New Roman"/>
          <w:color w:val="auto"/>
          <w:highlight w:val="none"/>
          <w:lang w:val="en-US" w:eastAsia="zh-CN"/>
        </w:rPr>
        <w:t>对应</w:t>
      </w:r>
      <w:r>
        <w:rPr>
          <w:rFonts w:hint="default" w:ascii="Times New Roman" w:hAnsi="Times New Roman" w:cs="Times New Roman"/>
          <w:color w:val="auto"/>
          <w:highlight w:val="none"/>
          <w:lang w:eastAsia="zh-CN"/>
        </w:rPr>
        <w:t>宣传彩页；</w:t>
      </w:r>
    </w:p>
    <w:p>
      <w:pPr>
        <w:pStyle w:val="14"/>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技术白皮书；</w:t>
      </w:r>
    </w:p>
    <w:p>
      <w:pPr>
        <w:pStyle w:val="14"/>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3.应答</w:t>
      </w:r>
      <w:r>
        <w:rPr>
          <w:rFonts w:hint="default" w:ascii="Times New Roman" w:hAnsi="Times New Roman" w:cs="Times New Roman"/>
          <w:color w:val="auto"/>
          <w:highlight w:val="none"/>
          <w:lang w:eastAsia="zh-CN"/>
        </w:rPr>
        <w:t>产品</w:t>
      </w:r>
      <w:r>
        <w:rPr>
          <w:rFonts w:hint="default" w:ascii="Times New Roman" w:hAnsi="Times New Roman" w:cs="Times New Roman"/>
          <w:color w:val="auto"/>
          <w:highlight w:val="none"/>
          <w:lang w:val="en-US" w:eastAsia="zh-CN"/>
        </w:rPr>
        <w:t>使用</w:t>
      </w:r>
      <w:r>
        <w:rPr>
          <w:rFonts w:hint="default" w:ascii="Times New Roman" w:hAnsi="Times New Roman" w:cs="Times New Roman"/>
          <w:color w:val="auto"/>
          <w:highlight w:val="none"/>
          <w:lang w:eastAsia="zh-CN"/>
        </w:rPr>
        <w:t>说明书；</w:t>
      </w:r>
    </w:p>
    <w:p>
      <w:pPr>
        <w:pStyle w:val="14"/>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eastAsia="zh-CN"/>
        </w:rPr>
        <w:t>以上资料</w:t>
      </w:r>
      <w:r>
        <w:rPr>
          <w:rFonts w:hint="default" w:ascii="Times New Roman" w:hAnsi="Times New Roman" w:cs="Times New Roman"/>
          <w:color w:val="auto"/>
          <w:highlight w:val="none"/>
          <w:lang w:val="en-US" w:eastAsia="zh-CN"/>
        </w:rPr>
        <w:t>若单一项</w:t>
      </w:r>
      <w:r>
        <w:rPr>
          <w:rFonts w:hint="default" w:ascii="Times New Roman" w:hAnsi="Times New Roman" w:cs="Times New Roman"/>
          <w:color w:val="auto"/>
          <w:highlight w:val="none"/>
          <w:lang w:eastAsia="zh-CN"/>
        </w:rPr>
        <w:t>能证明</w:t>
      </w:r>
      <w:r>
        <w:rPr>
          <w:rFonts w:hint="default" w:ascii="Times New Roman" w:hAnsi="Times New Roman" w:cs="Times New Roman"/>
          <w:color w:val="auto"/>
          <w:highlight w:val="none"/>
          <w:lang w:val="en-US" w:eastAsia="zh-CN"/>
        </w:rPr>
        <w:t>满足采购文件</w:t>
      </w:r>
      <w:r>
        <w:rPr>
          <w:rFonts w:hint="default" w:ascii="Times New Roman" w:hAnsi="Times New Roman" w:cs="Times New Roman"/>
          <w:color w:val="auto"/>
          <w:highlight w:val="none"/>
          <w:lang w:eastAsia="zh-CN"/>
        </w:rPr>
        <w:t>技术参数要求，</w:t>
      </w:r>
      <w:r>
        <w:rPr>
          <w:rFonts w:hint="default" w:ascii="Times New Roman" w:hAnsi="Times New Roman" w:cs="Times New Roman"/>
          <w:color w:val="auto"/>
          <w:highlight w:val="none"/>
          <w:lang w:val="en-US" w:eastAsia="zh-CN"/>
        </w:rPr>
        <w:t>则只提供该项资料即可，若需要多项资料共同证明产品满足采购文件</w:t>
      </w:r>
      <w:r>
        <w:rPr>
          <w:rFonts w:hint="default" w:ascii="Times New Roman" w:hAnsi="Times New Roman" w:cs="Times New Roman"/>
          <w:color w:val="auto"/>
          <w:highlight w:val="none"/>
          <w:lang w:eastAsia="zh-CN"/>
        </w:rPr>
        <w:t>技术参数要求，</w:t>
      </w:r>
      <w:r>
        <w:rPr>
          <w:rFonts w:hint="default" w:ascii="Times New Roman" w:hAnsi="Times New Roman" w:cs="Times New Roman"/>
          <w:color w:val="auto"/>
          <w:highlight w:val="none"/>
          <w:lang w:val="en-US" w:eastAsia="zh-CN"/>
        </w:rPr>
        <w:t>则</w:t>
      </w:r>
      <w:r>
        <w:rPr>
          <w:rFonts w:hint="default" w:ascii="Times New Roman" w:hAnsi="Times New Roman" w:cs="Times New Roman"/>
          <w:color w:val="auto"/>
          <w:highlight w:val="none"/>
          <w:lang w:eastAsia="zh-CN"/>
        </w:rPr>
        <w:t>需要提供</w:t>
      </w:r>
      <w:r>
        <w:rPr>
          <w:rFonts w:hint="default" w:ascii="Times New Roman" w:hAnsi="Times New Roman" w:cs="Times New Roman"/>
          <w:color w:val="auto"/>
          <w:highlight w:val="none"/>
          <w:lang w:val="en-US" w:eastAsia="zh-CN"/>
        </w:rPr>
        <w:t>对应项资料并做好标注</w:t>
      </w:r>
      <w:r>
        <w:rPr>
          <w:rFonts w:hint="default" w:ascii="Times New Roman" w:hAnsi="Times New Roman" w:cs="Times New Roman"/>
          <w:color w:val="auto"/>
          <w:highlight w:val="none"/>
          <w:lang w:eastAsia="zh-CN"/>
        </w:rPr>
        <w:t>。</w:t>
      </w:r>
    </w:p>
    <w:p>
      <w:pPr>
        <w:pStyle w:val="15"/>
        <w:numPr>
          <w:ilvl w:val="0"/>
          <w:numId w:val="2"/>
        </w:numPr>
        <w:bidi w:val="0"/>
        <w:ind w:left="0" w:leftChars="0" w:firstLine="559" w:firstLineChars="233"/>
        <w:rPr>
          <w:rFonts w:hint="default" w:ascii="Times New Roman" w:hAnsi="Times New Roman" w:cs="Times New Roman"/>
          <w:color w:val="auto"/>
          <w:lang w:val="en-US" w:eastAsia="zh-CN"/>
        </w:rPr>
      </w:pPr>
      <w:bookmarkStart w:id="21" w:name="_Toc24824"/>
      <w:r>
        <w:rPr>
          <w:rFonts w:hint="default" w:ascii="Times New Roman" w:hAnsi="Times New Roman" w:cs="Times New Roman"/>
          <w:color w:val="auto"/>
          <w:lang w:val="en-US" w:eastAsia="zh-CN"/>
        </w:rPr>
        <w:t>商务文件</w:t>
      </w:r>
      <w:bookmarkEnd w:id="21"/>
    </w:p>
    <w:p>
      <w:pPr>
        <w:pStyle w:val="14"/>
        <w:bidi w:val="0"/>
        <w:rPr>
          <w:rFonts w:hint="default" w:ascii="Times New Roman" w:hAnsi="Times New Roman" w:cs="Times New Roman"/>
          <w:color w:val="auto"/>
        </w:rPr>
      </w:pPr>
      <w:r>
        <w:rPr>
          <w:rFonts w:hint="default" w:ascii="Times New Roman" w:hAnsi="Times New Roman" w:cs="Times New Roman"/>
          <w:color w:val="auto"/>
        </w:rPr>
        <w:t>（一）投标函（格式）</w:t>
      </w:r>
    </w:p>
    <w:p>
      <w:pPr>
        <w:pStyle w:val="14"/>
        <w:bidi w:val="0"/>
        <w:rPr>
          <w:rFonts w:hint="default" w:ascii="Times New Roman" w:hAnsi="Times New Roman" w:cs="Times New Roman"/>
          <w:color w:val="auto"/>
        </w:rPr>
      </w:pPr>
      <w:r>
        <w:rPr>
          <w:rFonts w:hint="default" w:ascii="Times New Roman" w:hAnsi="Times New Roman" w:cs="Times New Roman"/>
          <w:color w:val="auto"/>
        </w:rPr>
        <w:t>（二）商务条款差异表</w:t>
      </w:r>
    </w:p>
    <w:p>
      <w:pPr>
        <w:pStyle w:val="14"/>
        <w:bidi w:val="0"/>
        <w:rPr>
          <w:rFonts w:hint="default" w:ascii="Times New Roman" w:hAnsi="Times New Roman" w:cs="Times New Roman"/>
          <w:color w:val="auto"/>
        </w:rPr>
      </w:pPr>
      <w:r>
        <w:rPr>
          <w:rFonts w:hint="default" w:ascii="Times New Roman" w:hAnsi="Times New Roman" w:cs="Times New Roman"/>
          <w:color w:val="auto"/>
        </w:rPr>
        <w:t>（三）其他商务资料</w:t>
      </w:r>
    </w:p>
    <w:p>
      <w:pPr>
        <w:pStyle w:val="15"/>
        <w:numPr>
          <w:ilvl w:val="0"/>
          <w:numId w:val="2"/>
        </w:numPr>
        <w:bidi w:val="0"/>
        <w:ind w:left="0" w:leftChars="0" w:firstLine="559" w:firstLineChars="233"/>
        <w:rPr>
          <w:rFonts w:hint="default" w:ascii="Times New Roman" w:hAnsi="Times New Roman" w:cs="Times New Roman"/>
          <w:color w:val="auto"/>
        </w:rPr>
      </w:pPr>
      <w:bookmarkStart w:id="22" w:name="_Toc4012"/>
      <w:r>
        <w:rPr>
          <w:rFonts w:hint="default" w:ascii="Times New Roman" w:hAnsi="Times New Roman" w:cs="Times New Roman"/>
          <w:color w:val="auto"/>
          <w:lang w:val="en-US" w:eastAsia="zh-CN"/>
        </w:rPr>
        <w:t>其他</w:t>
      </w:r>
      <w:bookmarkEnd w:id="22"/>
    </w:p>
    <w:p>
      <w:pPr>
        <w:pStyle w:val="14"/>
        <w:bidi w:val="0"/>
        <w:rPr>
          <w:rFonts w:hint="default" w:ascii="Times New Roman" w:hAnsi="Times New Roman" w:cs="Times New Roman"/>
          <w:color w:val="auto"/>
        </w:rPr>
      </w:pPr>
      <w:r>
        <w:rPr>
          <w:rFonts w:hint="default" w:ascii="Times New Roman" w:hAnsi="Times New Roman" w:cs="Times New Roman"/>
          <w:color w:val="auto"/>
        </w:rPr>
        <w:t>其他与项目有关的资料（自附）</w:t>
      </w:r>
    </w:p>
    <w:p>
      <w:pPr>
        <w:pStyle w:val="15"/>
        <w:numPr>
          <w:ilvl w:val="0"/>
          <w:numId w:val="2"/>
        </w:numPr>
        <w:bidi w:val="0"/>
        <w:ind w:left="0" w:leftChars="0" w:firstLine="559" w:firstLineChars="233"/>
        <w:rPr>
          <w:rFonts w:hint="default" w:ascii="Times New Roman" w:hAnsi="Times New Roman" w:cs="Times New Roman"/>
          <w:color w:val="auto"/>
          <w:lang w:val="en-US" w:eastAsia="zh-CN"/>
        </w:rPr>
      </w:pPr>
      <w:bookmarkStart w:id="23" w:name="_Toc6185"/>
      <w:r>
        <w:rPr>
          <w:rFonts w:hint="default" w:ascii="Times New Roman" w:hAnsi="Times New Roman" w:cs="Times New Roman"/>
          <w:color w:val="auto"/>
          <w:lang w:val="en-US" w:eastAsia="zh-CN"/>
        </w:rPr>
        <w:t>资格文件</w:t>
      </w:r>
      <w:bookmarkEnd w:id="23"/>
    </w:p>
    <w:p>
      <w:pPr>
        <w:pStyle w:val="14"/>
        <w:bidi w:val="0"/>
        <w:rPr>
          <w:rFonts w:hint="default" w:ascii="Times New Roman" w:hAnsi="Times New Roman" w:cs="Times New Roman"/>
          <w:color w:val="auto"/>
        </w:rPr>
      </w:pPr>
      <w:r>
        <w:rPr>
          <w:rFonts w:hint="default" w:ascii="Times New Roman" w:hAnsi="Times New Roman" w:cs="Times New Roman"/>
          <w:color w:val="auto"/>
          <w:lang w:eastAsia="zh-CN"/>
        </w:rPr>
        <w:t>（一）</w:t>
      </w:r>
      <w:r>
        <w:rPr>
          <w:rFonts w:hint="default" w:ascii="Times New Roman" w:hAnsi="Times New Roman" w:cs="Times New Roman"/>
          <w:color w:val="auto"/>
        </w:rPr>
        <w:t>法人营业执照（副本）或事业单位法人证书（副本）或个体工商户营业执照或有效的自然人身份证明或社会团体法人登记证书复印件</w:t>
      </w:r>
    </w:p>
    <w:p>
      <w:pPr>
        <w:pStyle w:val="14"/>
        <w:bidi w:val="0"/>
        <w:rPr>
          <w:rFonts w:hint="default" w:ascii="Times New Roman" w:hAnsi="Times New Roman" w:cs="Times New Roman"/>
          <w:color w:val="auto"/>
        </w:rPr>
      </w:pPr>
      <w:r>
        <w:rPr>
          <w:rFonts w:hint="default" w:ascii="Times New Roman" w:hAnsi="Times New Roman" w:cs="Times New Roman"/>
          <w:color w:val="auto"/>
          <w:lang w:eastAsia="zh-CN"/>
        </w:rPr>
        <w:t>（二）</w:t>
      </w:r>
      <w:r>
        <w:rPr>
          <w:rFonts w:hint="default" w:ascii="Times New Roman" w:hAnsi="Times New Roman" w:cs="Times New Roman"/>
          <w:color w:val="auto"/>
        </w:rPr>
        <w:t>组织机构代码证复印件</w:t>
      </w:r>
    </w:p>
    <w:p>
      <w:pPr>
        <w:pStyle w:val="14"/>
        <w:bidi w:val="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eastAsia="zh-CN"/>
        </w:rPr>
        <w:t>三</w:t>
      </w:r>
      <w:r>
        <w:rPr>
          <w:rFonts w:hint="default" w:ascii="Times New Roman" w:hAnsi="Times New Roman" w:cs="Times New Roman"/>
          <w:color w:val="auto"/>
        </w:rPr>
        <w:t>）法定代表人身份证明书（格式）</w:t>
      </w:r>
    </w:p>
    <w:p>
      <w:pPr>
        <w:pStyle w:val="14"/>
        <w:bidi w:val="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eastAsia="zh-CN"/>
        </w:rPr>
        <w:t>四</w:t>
      </w:r>
      <w:r>
        <w:rPr>
          <w:rFonts w:hint="default" w:ascii="Times New Roman" w:hAnsi="Times New Roman" w:cs="Times New Roman"/>
          <w:color w:val="auto"/>
        </w:rPr>
        <w:t>）法定代表人授权委托书（格式）</w:t>
      </w:r>
    </w:p>
    <w:p>
      <w:pPr>
        <w:pStyle w:val="14"/>
        <w:bidi w:val="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eastAsia="zh-CN"/>
        </w:rPr>
        <w:t>五</w:t>
      </w:r>
      <w:r>
        <w:rPr>
          <w:rFonts w:hint="default" w:ascii="Times New Roman" w:hAnsi="Times New Roman" w:cs="Times New Roman"/>
          <w:color w:val="auto"/>
        </w:rPr>
        <w:t>）基本资格条件承诺函（格式）</w:t>
      </w:r>
    </w:p>
    <w:p>
      <w:pPr>
        <w:pStyle w:val="14"/>
        <w:bidi w:val="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eastAsia="zh-CN"/>
        </w:rPr>
        <w:t>六</w:t>
      </w:r>
      <w:r>
        <w:rPr>
          <w:rFonts w:hint="default" w:ascii="Times New Roman" w:hAnsi="Times New Roman" w:cs="Times New Roman"/>
          <w:color w:val="auto"/>
        </w:rPr>
        <w:t>）特定资格条件证书或证明文件</w:t>
      </w:r>
    </w:p>
    <w:p>
      <w:pP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br w:type="page"/>
      </w:r>
    </w:p>
    <w:p>
      <w:pPr>
        <w:pStyle w:val="15"/>
        <w:numPr>
          <w:ilvl w:val="0"/>
          <w:numId w:val="3"/>
        </w:numPr>
        <w:bidi w:val="0"/>
        <w:ind w:left="0" w:leftChars="0" w:firstLine="480" w:firstLineChars="200"/>
        <w:rPr>
          <w:rFonts w:hint="default" w:ascii="Times New Roman" w:hAnsi="Times New Roman" w:cs="Times New Roman"/>
          <w:color w:val="auto"/>
          <w:lang w:val="en-US" w:eastAsia="zh-CN"/>
        </w:rPr>
      </w:pPr>
      <w:bookmarkStart w:id="24" w:name="_Toc29835"/>
      <w:bookmarkStart w:id="25" w:name="_Toc4248"/>
      <w:bookmarkStart w:id="26" w:name="_Toc1215"/>
      <w:bookmarkStart w:id="27" w:name="_Toc24423"/>
      <w:bookmarkStart w:id="28" w:name="_Toc11154"/>
      <w:bookmarkStart w:id="29" w:name="_Toc76373908"/>
      <w:bookmarkStart w:id="30" w:name="_Toc429584884"/>
      <w:r>
        <w:rPr>
          <w:rFonts w:hint="default" w:ascii="Times New Roman" w:hAnsi="Times New Roman" w:cs="Times New Roman"/>
          <w:color w:val="auto"/>
          <w:lang w:val="en-US" w:eastAsia="zh-CN"/>
        </w:rPr>
        <w:t>经济文件</w:t>
      </w:r>
      <w:bookmarkEnd w:id="24"/>
      <w:bookmarkEnd w:id="25"/>
      <w:bookmarkEnd w:id="26"/>
      <w:bookmarkEnd w:id="27"/>
      <w:bookmarkEnd w:id="28"/>
      <w:bookmarkEnd w:id="29"/>
      <w:bookmarkEnd w:id="30"/>
    </w:p>
    <w:p>
      <w:pPr>
        <w:pStyle w:val="14"/>
        <w:keepNext w:val="0"/>
        <w:keepLines w:val="0"/>
        <w:pageBreakBefore w:val="0"/>
        <w:widowControl w:val="0"/>
        <w:kinsoku/>
        <w:wordWrap/>
        <w:overflowPunct/>
        <w:topLinePunct w:val="0"/>
        <w:autoSpaceDE/>
        <w:autoSpaceDN/>
        <w:bidi w:val="0"/>
        <w:adjustRightInd/>
        <w:snapToGrid w:val="0"/>
        <w:ind w:left="0" w:leftChars="0" w:firstLine="480" w:firstLineChars="200"/>
        <w:jc w:val="both"/>
        <w:textAlignment w:val="auto"/>
        <w:rPr>
          <w:rFonts w:hint="default" w:ascii="Times New Roman" w:hAnsi="Times New Roman" w:cs="Times New Roman"/>
          <w:color w:val="auto"/>
          <w:lang w:eastAsia="zh-CN"/>
        </w:rPr>
      </w:pPr>
      <w:r>
        <w:rPr>
          <w:rFonts w:hint="default" w:ascii="Times New Roman" w:hAnsi="Times New Roman" w:cs="Times New Roman"/>
          <w:color w:val="auto"/>
        </w:rPr>
        <w:t>（一）</w:t>
      </w:r>
      <w:r>
        <w:rPr>
          <w:rFonts w:hint="default" w:ascii="Times New Roman" w:hAnsi="Times New Roman" w:cs="Times New Roman"/>
          <w:color w:val="auto"/>
          <w:lang w:eastAsia="zh-CN"/>
        </w:rPr>
        <w:t>报价一览表</w:t>
      </w:r>
    </w:p>
    <w:p>
      <w:pPr>
        <w:pStyle w:val="14"/>
        <w:bidi w:val="0"/>
        <w:rPr>
          <w:rFonts w:hint="default" w:ascii="Times New Roman" w:hAnsi="Times New Roman" w:cs="Times New Roman"/>
          <w:color w:val="auto"/>
        </w:rPr>
      </w:pPr>
      <w:r>
        <w:rPr>
          <w:rFonts w:hint="default" w:ascii="Times New Roman" w:hAnsi="Times New Roman" w:cs="Times New Roman"/>
          <w:color w:val="auto"/>
        </w:rPr>
        <w:t>项目名称：</w:t>
      </w:r>
    </w:p>
    <w:p>
      <w:pPr>
        <w:pStyle w:val="14"/>
        <w:bidi w:val="0"/>
        <w:rPr>
          <w:rFonts w:hint="default" w:ascii="Times New Roman" w:hAnsi="Times New Roman" w:cs="Times New Roman"/>
          <w:color w:val="auto"/>
        </w:rPr>
      </w:pPr>
      <w:r>
        <w:rPr>
          <w:rFonts w:hint="default" w:ascii="Times New Roman" w:hAnsi="Times New Roman" w:cs="Times New Roman"/>
          <w:color w:val="auto"/>
        </w:rPr>
        <w:t>分包号及名称</w:t>
      </w:r>
      <w:r>
        <w:rPr>
          <w:rFonts w:hint="default" w:ascii="Times New Roman" w:hAnsi="Times New Roman" w:cs="Times New Roman"/>
          <w:color w:val="auto"/>
          <w:lang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3390"/>
        <w:gridCol w:w="825"/>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20" w:type="dxa"/>
            <w:vAlign w:val="center"/>
          </w:tcPr>
          <w:p>
            <w:pPr>
              <w:pStyle w:val="14"/>
              <w:bidi w:val="0"/>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供应商</w:t>
            </w:r>
            <w:r>
              <w:rPr>
                <w:rFonts w:hint="default" w:ascii="Times New Roman" w:hAnsi="Times New Roman" w:cs="Times New Roman"/>
                <w:color w:val="auto"/>
                <w:sz w:val="21"/>
                <w:szCs w:val="21"/>
              </w:rPr>
              <w:t>名称</w:t>
            </w:r>
          </w:p>
        </w:tc>
        <w:tc>
          <w:tcPr>
            <w:tcW w:w="7308" w:type="dxa"/>
            <w:gridSpan w:val="3"/>
            <w:vAlign w:val="center"/>
          </w:tcPr>
          <w:p>
            <w:pPr>
              <w:pStyle w:val="14"/>
              <w:bidi w:val="0"/>
              <w:spacing w:line="240" w:lineRule="auto"/>
              <w:ind w:left="0" w:leftChars="0" w:firstLine="0" w:firstLineChars="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20" w:type="dxa"/>
            <w:vAlign w:val="center"/>
          </w:tcPr>
          <w:p>
            <w:pPr>
              <w:pStyle w:val="14"/>
              <w:bidi w:val="0"/>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单价</w:t>
            </w:r>
            <w:r>
              <w:rPr>
                <w:rFonts w:hint="default" w:ascii="Times New Roman" w:hAnsi="Times New Roman" w:cs="Times New Roman"/>
                <w:color w:val="auto"/>
                <w:sz w:val="21"/>
                <w:szCs w:val="21"/>
              </w:rPr>
              <w:t>报价</w:t>
            </w:r>
            <w:r>
              <w:rPr>
                <w:rFonts w:hint="default" w:ascii="Times New Roman" w:hAnsi="Times New Roman" w:cs="Times New Roman"/>
                <w:color w:val="auto"/>
                <w:sz w:val="21"/>
                <w:szCs w:val="21"/>
                <w:lang w:eastAsia="zh-CN"/>
              </w:rPr>
              <w:t>（元）</w:t>
            </w:r>
            <w:r>
              <w:rPr>
                <w:rFonts w:hint="default" w:ascii="Times New Roman" w:hAnsi="Times New Roman" w:cs="Times New Roman"/>
                <w:color w:val="auto"/>
                <w:sz w:val="21"/>
                <w:szCs w:val="21"/>
              </w:rPr>
              <w:t>（小写）</w:t>
            </w:r>
          </w:p>
        </w:tc>
        <w:tc>
          <w:tcPr>
            <w:tcW w:w="3390" w:type="dxa"/>
            <w:vAlign w:val="center"/>
          </w:tcPr>
          <w:p>
            <w:pPr>
              <w:pStyle w:val="14"/>
              <w:bidi w:val="0"/>
              <w:spacing w:line="240" w:lineRule="auto"/>
              <w:ind w:left="0" w:leftChars="0" w:firstLine="0" w:firstLineChars="0"/>
              <w:jc w:val="center"/>
              <w:rPr>
                <w:rFonts w:hint="default" w:ascii="Times New Roman" w:hAnsi="Times New Roman" w:cs="Times New Roman"/>
                <w:color w:val="auto"/>
                <w:sz w:val="21"/>
                <w:szCs w:val="21"/>
              </w:rPr>
            </w:pPr>
          </w:p>
        </w:tc>
        <w:tc>
          <w:tcPr>
            <w:tcW w:w="825" w:type="dxa"/>
            <w:vAlign w:val="center"/>
          </w:tcPr>
          <w:p>
            <w:pPr>
              <w:pStyle w:val="14"/>
              <w:bidi w:val="0"/>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数量</w:t>
            </w:r>
          </w:p>
        </w:tc>
        <w:tc>
          <w:tcPr>
            <w:tcW w:w="3093" w:type="dxa"/>
            <w:vAlign w:val="center"/>
          </w:tcPr>
          <w:p>
            <w:pPr>
              <w:pStyle w:val="14"/>
              <w:bidi w:val="0"/>
              <w:spacing w:line="240" w:lineRule="auto"/>
              <w:ind w:left="0" w:leftChars="0" w:firstLine="0" w:firstLineChars="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20" w:type="dxa"/>
            <w:tcBorders>
              <w:bottom w:val="single" w:color="auto" w:sz="4" w:space="0"/>
            </w:tcBorders>
            <w:vAlign w:val="center"/>
          </w:tcPr>
          <w:p>
            <w:pPr>
              <w:pStyle w:val="14"/>
              <w:bidi w:val="0"/>
              <w:spacing w:line="240" w:lineRule="auto"/>
              <w:ind w:left="0" w:leftChars="0" w:firstLine="0" w:firstLineChars="0"/>
              <w:rPr>
                <w:rFonts w:hint="default" w:ascii="Times New Roman" w:hAnsi="Times New Roman" w:eastAsia="方正仿宋_GBK" w:cs="Times New Roman"/>
                <w:color w:val="auto"/>
                <w:sz w:val="21"/>
                <w:szCs w:val="21"/>
                <w:lang w:eastAsia="zh-CN"/>
              </w:rPr>
            </w:pPr>
            <w:r>
              <w:rPr>
                <w:rFonts w:hint="default" w:ascii="Times New Roman" w:hAnsi="Times New Roman" w:cs="Times New Roman"/>
                <w:color w:val="auto"/>
                <w:sz w:val="21"/>
                <w:szCs w:val="21"/>
                <w:lang w:eastAsia="zh-CN"/>
              </w:rPr>
              <w:t>合计报价（元）</w:t>
            </w:r>
            <w:r>
              <w:rPr>
                <w:rFonts w:hint="default" w:ascii="Times New Roman" w:hAnsi="Times New Roman" w:cs="Times New Roman"/>
                <w:color w:val="auto"/>
                <w:sz w:val="21"/>
                <w:szCs w:val="21"/>
              </w:rPr>
              <w:t>（小写）</w:t>
            </w:r>
          </w:p>
        </w:tc>
        <w:tc>
          <w:tcPr>
            <w:tcW w:w="7308" w:type="dxa"/>
            <w:gridSpan w:val="3"/>
            <w:tcBorders>
              <w:bottom w:val="single" w:color="auto" w:sz="4" w:space="0"/>
            </w:tcBorders>
          </w:tcPr>
          <w:p>
            <w:pPr>
              <w:pStyle w:val="14"/>
              <w:bidi w:val="0"/>
              <w:spacing w:line="240" w:lineRule="auto"/>
              <w:ind w:left="0" w:leftChars="0" w:firstLine="0" w:firstLineChars="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pPr>
              <w:pStyle w:val="14"/>
              <w:bidi w:val="0"/>
              <w:spacing w:line="240" w:lineRule="auto"/>
              <w:ind w:left="0" w:leftChars="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合计</w:t>
            </w:r>
            <w:r>
              <w:rPr>
                <w:rFonts w:hint="default" w:ascii="Times New Roman" w:hAnsi="Times New Roman" w:cs="Times New Roman"/>
                <w:color w:val="auto"/>
                <w:sz w:val="21"/>
                <w:szCs w:val="21"/>
              </w:rPr>
              <w:t>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pPr>
              <w:pStyle w:val="14"/>
              <w:bidi w:val="0"/>
              <w:spacing w:line="240" w:lineRule="auto"/>
              <w:ind w:left="0" w:leftChars="0"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备注：</w:t>
            </w:r>
          </w:p>
        </w:tc>
      </w:tr>
    </w:tbl>
    <w:p>
      <w:pPr>
        <w:spacing w:line="500" w:lineRule="exact"/>
        <w:ind w:firstLine="480"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lang w:eastAsia="zh-CN"/>
        </w:rPr>
        <w:t>供应商</w:t>
      </w:r>
      <w:r>
        <w:rPr>
          <w:rFonts w:hint="default" w:ascii="Times New Roman" w:hAnsi="Times New Roman" w:eastAsia="方正仿宋_GBK" w:cs="Times New Roman"/>
          <w:color w:val="auto"/>
          <w:sz w:val="24"/>
          <w:szCs w:val="28"/>
        </w:rPr>
        <w:t>：                      法定代表人（或法定代表人授权代表）或自然人：</w:t>
      </w:r>
    </w:p>
    <w:p>
      <w:pPr>
        <w:spacing w:line="500" w:lineRule="exact"/>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rPr>
        <w:t xml:space="preserve">  （</w:t>
      </w:r>
      <w:r>
        <w:rPr>
          <w:rFonts w:hint="default" w:ascii="Times New Roman" w:hAnsi="Times New Roman" w:eastAsia="方正仿宋_GBK" w:cs="Times New Roman"/>
          <w:color w:val="auto"/>
          <w:sz w:val="24"/>
          <w:szCs w:val="28"/>
          <w:lang w:eastAsia="zh-CN"/>
        </w:rPr>
        <w:t>供应商</w:t>
      </w:r>
      <w:r>
        <w:rPr>
          <w:rFonts w:hint="default" w:ascii="Times New Roman" w:hAnsi="Times New Roman" w:eastAsia="方正仿宋_GBK" w:cs="Times New Roman"/>
          <w:color w:val="auto"/>
          <w:sz w:val="24"/>
          <w:szCs w:val="28"/>
        </w:rPr>
        <w:t>公章）                               （签署或盖章）</w:t>
      </w:r>
    </w:p>
    <w:p>
      <w:pPr>
        <w:spacing w:line="500" w:lineRule="exact"/>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rPr>
        <w:t xml:space="preserve">                                            年     月     日</w:t>
      </w:r>
    </w:p>
    <w:p>
      <w:pPr>
        <w:snapToGrid w:val="0"/>
        <w:spacing w:line="500" w:lineRule="exact"/>
        <w:rPr>
          <w:rFonts w:hint="default" w:ascii="Times New Roman" w:hAnsi="Times New Roman" w:eastAsia="方正仿宋_GBK" w:cs="Times New Roman"/>
          <w:color w:val="auto"/>
          <w:sz w:val="24"/>
          <w:szCs w:val="28"/>
        </w:rPr>
      </w:pPr>
    </w:p>
    <w:p>
      <w:pPr>
        <w:pStyle w:val="14"/>
        <w:bidi w:val="0"/>
        <w:rPr>
          <w:rFonts w:hint="default" w:ascii="Times New Roman" w:hAnsi="Times New Roman" w:cs="Times New Roman"/>
          <w:color w:val="auto"/>
        </w:rPr>
      </w:pPr>
      <w:r>
        <w:rPr>
          <w:rFonts w:hint="default" w:ascii="Times New Roman" w:hAnsi="Times New Roman" w:eastAsia="方正仿宋_GBK" w:cs="Times New Roman"/>
          <w:color w:val="auto"/>
          <w:szCs w:val="28"/>
        </w:rPr>
        <w:br w:type="page"/>
      </w:r>
      <w:r>
        <w:rPr>
          <w:rFonts w:hint="default" w:ascii="Times New Roman" w:hAnsi="Times New Roman" w:cs="Times New Roman"/>
          <w:color w:val="auto"/>
        </w:rPr>
        <w:t>（二）分项报价明细表</w:t>
      </w:r>
      <w:r>
        <w:rPr>
          <w:rFonts w:hint="default" w:ascii="Times New Roman" w:hAnsi="Times New Roman" w:cs="Times New Roman"/>
          <w:color w:val="auto"/>
          <w:lang w:eastAsia="zh-CN"/>
        </w:rPr>
        <w:t>（如果有）</w:t>
      </w:r>
    </w:p>
    <w:p>
      <w:pPr>
        <w:pStyle w:val="14"/>
        <w:bidi w:val="0"/>
        <w:rPr>
          <w:rFonts w:hint="default" w:ascii="Times New Roman" w:hAnsi="Times New Roman" w:cs="Times New Roman"/>
          <w:color w:val="auto"/>
        </w:rPr>
      </w:pPr>
      <w:r>
        <w:rPr>
          <w:rFonts w:hint="default" w:ascii="Times New Roman" w:hAnsi="Times New Roman" w:cs="Times New Roman"/>
          <w:color w:val="auto"/>
        </w:rPr>
        <w:t>项目名称：</w:t>
      </w:r>
    </w:p>
    <w:p>
      <w:pPr>
        <w:pStyle w:val="14"/>
        <w:bidi w:val="0"/>
        <w:rPr>
          <w:rFonts w:hint="default" w:ascii="Times New Roman" w:hAnsi="Times New Roman" w:cs="Times New Roman"/>
          <w:color w:val="auto"/>
        </w:rPr>
      </w:pPr>
      <w:r>
        <w:rPr>
          <w:rFonts w:hint="default" w:ascii="Times New Roman" w:hAnsi="Times New Roman" w:cs="Times New Roman"/>
          <w:color w:val="auto"/>
        </w:rPr>
        <w:t>分包号及名称</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单位：元</w:t>
      </w:r>
    </w:p>
    <w:tbl>
      <w:tblPr>
        <w:tblStyle w:val="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11"/>
        <w:gridCol w:w="1904"/>
        <w:gridCol w:w="945"/>
        <w:gridCol w:w="1095"/>
        <w:gridCol w:w="1125"/>
        <w:gridCol w:w="1757"/>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757" w:type="dxa"/>
            <w:vAlign w:val="center"/>
          </w:tcPr>
          <w:p>
            <w:pPr>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序号</w:t>
            </w:r>
          </w:p>
        </w:tc>
        <w:tc>
          <w:tcPr>
            <w:tcW w:w="1111" w:type="dxa"/>
            <w:vAlign w:val="center"/>
          </w:tcPr>
          <w:p>
            <w:pPr>
              <w:jc w:val="center"/>
              <w:rPr>
                <w:rFonts w:hint="eastAsia" w:ascii="Times New Roman" w:hAnsi="Times New Roman" w:eastAsia="方正仿宋_GBK" w:cs="Times New Roman"/>
                <w:b/>
                <w:color w:val="auto"/>
                <w:sz w:val="21"/>
                <w:szCs w:val="21"/>
                <w:lang w:eastAsia="zh-CN"/>
              </w:rPr>
            </w:pPr>
            <w:r>
              <w:rPr>
                <w:rFonts w:hint="eastAsia" w:eastAsia="方正仿宋_GBK" w:cs="Times New Roman"/>
                <w:b/>
                <w:color w:val="auto"/>
                <w:sz w:val="21"/>
                <w:szCs w:val="21"/>
                <w:lang w:eastAsia="zh-CN"/>
              </w:rPr>
              <w:t>工作场所</w:t>
            </w:r>
          </w:p>
        </w:tc>
        <w:tc>
          <w:tcPr>
            <w:tcW w:w="1904" w:type="dxa"/>
            <w:vAlign w:val="center"/>
          </w:tcPr>
          <w:p>
            <w:pPr>
              <w:jc w:val="center"/>
              <w:rPr>
                <w:rFonts w:hint="eastAsia" w:ascii="Times New Roman" w:hAnsi="Times New Roman" w:eastAsia="方正仿宋_GBK" w:cs="Times New Roman"/>
                <w:b/>
                <w:color w:val="auto"/>
                <w:sz w:val="21"/>
                <w:szCs w:val="21"/>
                <w:lang w:eastAsia="zh-CN"/>
              </w:rPr>
            </w:pPr>
            <w:r>
              <w:rPr>
                <w:rFonts w:hint="eastAsia" w:eastAsia="方正仿宋_GBK" w:cs="Times New Roman"/>
                <w:b/>
                <w:color w:val="auto"/>
                <w:sz w:val="21"/>
                <w:szCs w:val="21"/>
                <w:lang w:eastAsia="zh-CN"/>
              </w:rPr>
              <w:t>设备类型</w:t>
            </w:r>
          </w:p>
        </w:tc>
        <w:tc>
          <w:tcPr>
            <w:tcW w:w="945" w:type="dxa"/>
            <w:vAlign w:val="center"/>
          </w:tcPr>
          <w:p>
            <w:pPr>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数量</w:t>
            </w:r>
          </w:p>
        </w:tc>
        <w:tc>
          <w:tcPr>
            <w:tcW w:w="1095" w:type="dxa"/>
            <w:vAlign w:val="center"/>
          </w:tcPr>
          <w:p>
            <w:pPr>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单价</w:t>
            </w:r>
          </w:p>
        </w:tc>
        <w:tc>
          <w:tcPr>
            <w:tcW w:w="1125" w:type="dxa"/>
            <w:vAlign w:val="center"/>
          </w:tcPr>
          <w:p>
            <w:pPr>
              <w:jc w:val="center"/>
              <w:rPr>
                <w:rFonts w:hint="eastAsia" w:ascii="Times New Roman" w:hAnsi="Times New Roman" w:eastAsia="方正仿宋_GBK" w:cs="Times New Roman"/>
                <w:b/>
                <w:color w:val="auto"/>
                <w:sz w:val="21"/>
                <w:szCs w:val="21"/>
                <w:lang w:eastAsia="zh-CN"/>
              </w:rPr>
            </w:pPr>
            <w:r>
              <w:rPr>
                <w:rFonts w:hint="eastAsia" w:eastAsia="方正仿宋_GBK" w:cs="Times New Roman"/>
                <w:b/>
                <w:color w:val="auto"/>
                <w:sz w:val="21"/>
                <w:szCs w:val="21"/>
                <w:lang w:eastAsia="zh-CN"/>
              </w:rPr>
              <w:t>总价</w:t>
            </w:r>
          </w:p>
        </w:tc>
        <w:tc>
          <w:tcPr>
            <w:tcW w:w="1757" w:type="dxa"/>
            <w:vAlign w:val="center"/>
          </w:tcPr>
          <w:p>
            <w:pPr>
              <w:spacing w:line="240" w:lineRule="auto"/>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需求服务内容</w:t>
            </w:r>
          </w:p>
        </w:tc>
        <w:tc>
          <w:tcPr>
            <w:tcW w:w="934" w:type="dxa"/>
            <w:vAlign w:val="center"/>
          </w:tcPr>
          <w:p>
            <w:pPr>
              <w:jc w:val="center"/>
              <w:rPr>
                <w:rFonts w:hint="eastAsia" w:ascii="Times New Roman" w:hAnsi="Times New Roman" w:eastAsia="方正仿宋_GBK" w:cs="Times New Roman"/>
                <w:b/>
                <w:color w:val="auto"/>
                <w:sz w:val="21"/>
                <w:szCs w:val="21"/>
                <w:lang w:eastAsia="zh-CN"/>
              </w:rPr>
            </w:pPr>
            <w:r>
              <w:rPr>
                <w:rFonts w:hint="eastAsia" w:eastAsia="方正仿宋_GBK" w:cs="Times New Roman"/>
                <w:b/>
                <w:color w:val="auto"/>
                <w:sz w:val="21"/>
                <w:szCs w:val="21"/>
                <w:lang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7" w:type="dxa"/>
            <w:vAlign w:val="center"/>
          </w:tcPr>
          <w:p>
            <w:pPr>
              <w:spacing w:line="240" w:lineRule="auto"/>
              <w:ind w:left="0"/>
              <w:jc w:val="center"/>
              <w:outlineLvl w:val="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1111" w:type="dxa"/>
            <w:vAlign w:val="center"/>
          </w:tcPr>
          <w:p>
            <w:pPr>
              <w:jc w:val="center"/>
              <w:rPr>
                <w:rFonts w:hint="default" w:ascii="Times New Roman" w:hAnsi="Times New Roman" w:eastAsia="方正仿宋_GBK" w:cs="Times New Roman"/>
                <w:color w:val="auto"/>
                <w:sz w:val="21"/>
                <w:szCs w:val="21"/>
              </w:rPr>
            </w:pPr>
          </w:p>
        </w:tc>
        <w:tc>
          <w:tcPr>
            <w:tcW w:w="1904" w:type="dxa"/>
          </w:tcPr>
          <w:p>
            <w:pPr>
              <w:jc w:val="center"/>
              <w:rPr>
                <w:rFonts w:hint="default" w:ascii="Times New Roman" w:hAnsi="Times New Roman" w:eastAsia="方正仿宋_GBK" w:cs="Times New Roman"/>
                <w:color w:val="auto"/>
                <w:sz w:val="21"/>
                <w:szCs w:val="21"/>
              </w:rPr>
            </w:pPr>
          </w:p>
        </w:tc>
        <w:tc>
          <w:tcPr>
            <w:tcW w:w="945" w:type="dxa"/>
          </w:tcPr>
          <w:p>
            <w:pPr>
              <w:jc w:val="center"/>
              <w:rPr>
                <w:rFonts w:hint="default" w:ascii="Times New Roman" w:hAnsi="Times New Roman" w:eastAsia="方正仿宋_GBK" w:cs="Times New Roman"/>
                <w:color w:val="auto"/>
                <w:sz w:val="21"/>
                <w:szCs w:val="21"/>
              </w:rPr>
            </w:pPr>
          </w:p>
        </w:tc>
        <w:tc>
          <w:tcPr>
            <w:tcW w:w="1095" w:type="dxa"/>
          </w:tcPr>
          <w:p>
            <w:pPr>
              <w:jc w:val="center"/>
              <w:rPr>
                <w:rFonts w:hint="default" w:ascii="Times New Roman" w:hAnsi="Times New Roman" w:eastAsia="方正仿宋_GBK" w:cs="Times New Roman"/>
                <w:color w:val="auto"/>
                <w:sz w:val="21"/>
                <w:szCs w:val="21"/>
              </w:rPr>
            </w:pPr>
          </w:p>
        </w:tc>
        <w:tc>
          <w:tcPr>
            <w:tcW w:w="1125" w:type="dxa"/>
            <w:vAlign w:val="center"/>
          </w:tcPr>
          <w:p>
            <w:pPr>
              <w:jc w:val="center"/>
              <w:rPr>
                <w:rFonts w:hint="default" w:ascii="Times New Roman" w:hAnsi="Times New Roman" w:eastAsia="方正仿宋_GBK" w:cs="Times New Roman"/>
                <w:color w:val="auto"/>
                <w:sz w:val="21"/>
                <w:szCs w:val="21"/>
              </w:rPr>
            </w:pPr>
          </w:p>
        </w:tc>
        <w:tc>
          <w:tcPr>
            <w:tcW w:w="1757" w:type="dxa"/>
          </w:tcPr>
          <w:p>
            <w:pPr>
              <w:jc w:val="center"/>
              <w:rPr>
                <w:rFonts w:hint="default" w:ascii="Times New Roman" w:hAnsi="Times New Roman" w:eastAsia="方正仿宋_GBK" w:cs="Times New Roman"/>
                <w:color w:val="auto"/>
                <w:sz w:val="21"/>
                <w:szCs w:val="21"/>
              </w:rPr>
            </w:pPr>
          </w:p>
        </w:tc>
        <w:tc>
          <w:tcPr>
            <w:tcW w:w="934" w:type="dxa"/>
          </w:tcPr>
          <w:p>
            <w:pPr>
              <w:jc w:val="cente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7" w:type="dxa"/>
            <w:vAlign w:val="center"/>
          </w:tcPr>
          <w:p>
            <w:pPr>
              <w:spacing w:line="240" w:lineRule="auto"/>
              <w:ind w:left="0"/>
              <w:jc w:val="center"/>
              <w:outlineLvl w:val="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p>
        </w:tc>
        <w:tc>
          <w:tcPr>
            <w:tcW w:w="1111" w:type="dxa"/>
            <w:vAlign w:val="center"/>
          </w:tcPr>
          <w:p>
            <w:pPr>
              <w:jc w:val="center"/>
              <w:rPr>
                <w:rFonts w:hint="default" w:ascii="Times New Roman" w:hAnsi="Times New Roman" w:eastAsia="方正仿宋_GBK" w:cs="Times New Roman"/>
                <w:color w:val="auto"/>
                <w:sz w:val="21"/>
                <w:szCs w:val="21"/>
              </w:rPr>
            </w:pPr>
          </w:p>
        </w:tc>
        <w:tc>
          <w:tcPr>
            <w:tcW w:w="1904" w:type="dxa"/>
          </w:tcPr>
          <w:p>
            <w:pPr>
              <w:jc w:val="center"/>
              <w:rPr>
                <w:rFonts w:hint="default" w:ascii="Times New Roman" w:hAnsi="Times New Roman" w:eastAsia="方正仿宋_GBK" w:cs="Times New Roman"/>
                <w:color w:val="auto"/>
                <w:sz w:val="21"/>
                <w:szCs w:val="21"/>
              </w:rPr>
            </w:pPr>
          </w:p>
        </w:tc>
        <w:tc>
          <w:tcPr>
            <w:tcW w:w="945" w:type="dxa"/>
          </w:tcPr>
          <w:p>
            <w:pPr>
              <w:jc w:val="center"/>
              <w:rPr>
                <w:rFonts w:hint="default" w:ascii="Times New Roman" w:hAnsi="Times New Roman" w:eastAsia="方正仿宋_GBK" w:cs="Times New Roman"/>
                <w:color w:val="auto"/>
                <w:sz w:val="21"/>
                <w:szCs w:val="21"/>
              </w:rPr>
            </w:pPr>
          </w:p>
        </w:tc>
        <w:tc>
          <w:tcPr>
            <w:tcW w:w="1095" w:type="dxa"/>
          </w:tcPr>
          <w:p>
            <w:pPr>
              <w:jc w:val="center"/>
              <w:rPr>
                <w:rFonts w:hint="default" w:ascii="Times New Roman" w:hAnsi="Times New Roman" w:eastAsia="方正仿宋_GBK" w:cs="Times New Roman"/>
                <w:color w:val="auto"/>
                <w:sz w:val="21"/>
                <w:szCs w:val="21"/>
              </w:rPr>
            </w:pPr>
          </w:p>
        </w:tc>
        <w:tc>
          <w:tcPr>
            <w:tcW w:w="1125" w:type="dxa"/>
            <w:vAlign w:val="center"/>
          </w:tcPr>
          <w:p>
            <w:pPr>
              <w:jc w:val="center"/>
              <w:rPr>
                <w:rFonts w:hint="default" w:ascii="Times New Roman" w:hAnsi="Times New Roman" w:eastAsia="方正仿宋_GBK" w:cs="Times New Roman"/>
                <w:color w:val="auto"/>
                <w:sz w:val="21"/>
                <w:szCs w:val="21"/>
              </w:rPr>
            </w:pPr>
          </w:p>
        </w:tc>
        <w:tc>
          <w:tcPr>
            <w:tcW w:w="1757" w:type="dxa"/>
          </w:tcPr>
          <w:p>
            <w:pPr>
              <w:jc w:val="center"/>
              <w:rPr>
                <w:rFonts w:hint="default" w:ascii="Times New Roman" w:hAnsi="Times New Roman" w:eastAsia="方正仿宋_GBK" w:cs="Times New Roman"/>
                <w:color w:val="auto"/>
                <w:sz w:val="21"/>
                <w:szCs w:val="21"/>
              </w:rPr>
            </w:pPr>
          </w:p>
        </w:tc>
        <w:tc>
          <w:tcPr>
            <w:tcW w:w="934" w:type="dxa"/>
          </w:tcPr>
          <w:p>
            <w:pPr>
              <w:jc w:val="cente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7" w:type="dxa"/>
            <w:vAlign w:val="center"/>
          </w:tcPr>
          <w:p>
            <w:pPr>
              <w:spacing w:line="240" w:lineRule="auto"/>
              <w:ind w:left="0"/>
              <w:jc w:val="center"/>
              <w:outlineLvl w:val="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p>
        </w:tc>
        <w:tc>
          <w:tcPr>
            <w:tcW w:w="1111" w:type="dxa"/>
            <w:vAlign w:val="center"/>
          </w:tcPr>
          <w:p>
            <w:pPr>
              <w:jc w:val="center"/>
              <w:rPr>
                <w:rFonts w:hint="default" w:ascii="Times New Roman" w:hAnsi="Times New Roman" w:eastAsia="方正仿宋_GBK" w:cs="Times New Roman"/>
                <w:color w:val="auto"/>
                <w:sz w:val="21"/>
                <w:szCs w:val="21"/>
              </w:rPr>
            </w:pPr>
          </w:p>
        </w:tc>
        <w:tc>
          <w:tcPr>
            <w:tcW w:w="1904" w:type="dxa"/>
          </w:tcPr>
          <w:p>
            <w:pPr>
              <w:jc w:val="center"/>
              <w:rPr>
                <w:rFonts w:hint="default" w:ascii="Times New Roman" w:hAnsi="Times New Roman" w:eastAsia="方正仿宋_GBK" w:cs="Times New Roman"/>
                <w:color w:val="auto"/>
                <w:sz w:val="21"/>
                <w:szCs w:val="21"/>
              </w:rPr>
            </w:pPr>
          </w:p>
        </w:tc>
        <w:tc>
          <w:tcPr>
            <w:tcW w:w="945" w:type="dxa"/>
          </w:tcPr>
          <w:p>
            <w:pPr>
              <w:jc w:val="center"/>
              <w:rPr>
                <w:rFonts w:hint="default" w:ascii="Times New Roman" w:hAnsi="Times New Roman" w:eastAsia="方正仿宋_GBK" w:cs="Times New Roman"/>
                <w:color w:val="auto"/>
                <w:sz w:val="21"/>
                <w:szCs w:val="21"/>
              </w:rPr>
            </w:pPr>
          </w:p>
        </w:tc>
        <w:tc>
          <w:tcPr>
            <w:tcW w:w="1095" w:type="dxa"/>
          </w:tcPr>
          <w:p>
            <w:pPr>
              <w:jc w:val="center"/>
              <w:rPr>
                <w:rFonts w:hint="default" w:ascii="Times New Roman" w:hAnsi="Times New Roman" w:eastAsia="方正仿宋_GBK" w:cs="Times New Roman"/>
                <w:color w:val="auto"/>
                <w:sz w:val="21"/>
                <w:szCs w:val="21"/>
              </w:rPr>
            </w:pPr>
          </w:p>
        </w:tc>
        <w:tc>
          <w:tcPr>
            <w:tcW w:w="1125" w:type="dxa"/>
            <w:vAlign w:val="center"/>
          </w:tcPr>
          <w:p>
            <w:pPr>
              <w:jc w:val="center"/>
              <w:rPr>
                <w:rFonts w:hint="default" w:ascii="Times New Roman" w:hAnsi="Times New Roman" w:eastAsia="方正仿宋_GBK" w:cs="Times New Roman"/>
                <w:color w:val="auto"/>
                <w:sz w:val="21"/>
                <w:szCs w:val="21"/>
              </w:rPr>
            </w:pPr>
          </w:p>
        </w:tc>
        <w:tc>
          <w:tcPr>
            <w:tcW w:w="1757" w:type="dxa"/>
          </w:tcPr>
          <w:p>
            <w:pPr>
              <w:jc w:val="center"/>
              <w:rPr>
                <w:rFonts w:hint="default" w:ascii="Times New Roman" w:hAnsi="Times New Roman" w:eastAsia="方正仿宋_GBK" w:cs="Times New Roman"/>
                <w:color w:val="auto"/>
                <w:sz w:val="21"/>
                <w:szCs w:val="21"/>
              </w:rPr>
            </w:pPr>
          </w:p>
        </w:tc>
        <w:tc>
          <w:tcPr>
            <w:tcW w:w="934" w:type="dxa"/>
          </w:tcPr>
          <w:p>
            <w:pPr>
              <w:jc w:val="center"/>
              <w:rPr>
                <w:rFonts w:hint="default" w:ascii="Times New Roman" w:hAnsi="Times New Roman" w:eastAsia="方正仿宋_GBK" w:cs="Times New Roman"/>
                <w:color w:val="auto"/>
                <w:sz w:val="21"/>
                <w:szCs w:val="21"/>
              </w:rPr>
            </w:pPr>
          </w:p>
        </w:tc>
      </w:tr>
    </w:tbl>
    <w:p>
      <w:pPr>
        <w:spacing w:line="500" w:lineRule="exact"/>
        <w:ind w:firstLine="600" w:firstLineChars="25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lang w:eastAsia="zh-CN"/>
        </w:rPr>
        <w:t>供应商</w:t>
      </w:r>
      <w:r>
        <w:rPr>
          <w:rFonts w:hint="default" w:ascii="Times New Roman" w:hAnsi="Times New Roman" w:eastAsia="方正仿宋_GBK" w:cs="Times New Roman"/>
          <w:color w:val="auto"/>
          <w:sz w:val="24"/>
          <w:szCs w:val="28"/>
        </w:rPr>
        <w:t>：                       法定代表人（或法定代表人授权代表）或自然人：</w:t>
      </w:r>
    </w:p>
    <w:p>
      <w:pPr>
        <w:spacing w:line="500" w:lineRule="exact"/>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rPr>
        <w:t xml:space="preserve">  （</w:t>
      </w:r>
      <w:r>
        <w:rPr>
          <w:rFonts w:hint="default" w:ascii="Times New Roman" w:hAnsi="Times New Roman" w:eastAsia="方正仿宋_GBK" w:cs="Times New Roman"/>
          <w:color w:val="auto"/>
          <w:sz w:val="24"/>
          <w:szCs w:val="28"/>
          <w:lang w:eastAsia="zh-CN"/>
        </w:rPr>
        <w:t>供应商</w:t>
      </w:r>
      <w:r>
        <w:rPr>
          <w:rFonts w:hint="default" w:ascii="Times New Roman" w:hAnsi="Times New Roman" w:eastAsia="方正仿宋_GBK" w:cs="Times New Roman"/>
          <w:color w:val="auto"/>
          <w:sz w:val="24"/>
          <w:szCs w:val="28"/>
        </w:rPr>
        <w:t>公章）                               （签署或盖章）</w:t>
      </w:r>
    </w:p>
    <w:p>
      <w:pPr>
        <w:snapToGrid w:val="0"/>
        <w:spacing w:line="500" w:lineRule="exact"/>
        <w:ind w:firstLine="480"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rPr>
        <w:t xml:space="preserve">                                          年     月     日</w:t>
      </w:r>
    </w:p>
    <w:p>
      <w:pPr>
        <w:snapToGrid w:val="0"/>
        <w:spacing w:line="500" w:lineRule="exact"/>
        <w:ind w:firstLine="480" w:firstLineChars="200"/>
        <w:rPr>
          <w:rFonts w:hint="default" w:ascii="Times New Roman" w:hAnsi="Times New Roman" w:eastAsia="方正仿宋_GBK" w:cs="Times New Roman"/>
          <w:color w:val="auto"/>
          <w:sz w:val="24"/>
          <w:szCs w:val="28"/>
        </w:rPr>
      </w:pPr>
    </w:p>
    <w:p>
      <w:pPr>
        <w:snapToGrid w:val="0"/>
        <w:spacing w:line="500" w:lineRule="exact"/>
        <w:ind w:firstLine="480"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rPr>
        <w:t>注：</w:t>
      </w:r>
    </w:p>
    <w:p>
      <w:pPr>
        <w:snapToGrid w:val="0"/>
        <w:spacing w:line="500" w:lineRule="exact"/>
        <w:ind w:firstLine="480"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rPr>
        <w:t>1.请</w:t>
      </w:r>
      <w:r>
        <w:rPr>
          <w:rFonts w:hint="default" w:ascii="Times New Roman" w:hAnsi="Times New Roman" w:eastAsia="方正仿宋_GBK" w:cs="Times New Roman"/>
          <w:color w:val="auto"/>
          <w:sz w:val="24"/>
          <w:szCs w:val="28"/>
          <w:lang w:eastAsia="zh-CN"/>
        </w:rPr>
        <w:t>供应商</w:t>
      </w:r>
      <w:r>
        <w:rPr>
          <w:rFonts w:hint="default" w:ascii="Times New Roman" w:hAnsi="Times New Roman" w:eastAsia="方正仿宋_GBK" w:cs="Times New Roman"/>
          <w:color w:val="auto"/>
          <w:sz w:val="24"/>
          <w:szCs w:val="28"/>
        </w:rPr>
        <w:t>完整填写本表；</w:t>
      </w:r>
    </w:p>
    <w:p>
      <w:pPr>
        <w:snapToGrid w:val="0"/>
        <w:spacing w:line="500" w:lineRule="exact"/>
        <w:ind w:firstLine="480"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rPr>
        <w:t>2.该表可扩展。</w:t>
      </w:r>
    </w:p>
    <w:p>
      <w:pPr>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rPr>
        <w:br w:type="page"/>
      </w:r>
    </w:p>
    <w:p>
      <w:pPr>
        <w:pStyle w:val="15"/>
        <w:numPr>
          <w:ilvl w:val="0"/>
          <w:numId w:val="3"/>
        </w:numPr>
        <w:bidi w:val="0"/>
        <w:ind w:left="0" w:leftChars="0" w:firstLine="559" w:firstLineChars="233"/>
        <w:rPr>
          <w:rFonts w:hint="default" w:ascii="Times New Roman" w:hAnsi="Times New Roman" w:cs="Times New Roman"/>
          <w:color w:val="auto"/>
          <w:lang w:val="en-US" w:eastAsia="zh-CN"/>
        </w:rPr>
      </w:pPr>
      <w:bookmarkStart w:id="31" w:name="_Toc11595"/>
      <w:r>
        <w:rPr>
          <w:rFonts w:hint="default" w:ascii="Times New Roman" w:hAnsi="Times New Roman" w:cs="Times New Roman"/>
          <w:color w:val="auto"/>
          <w:lang w:val="en-US" w:eastAsia="zh-CN"/>
        </w:rPr>
        <w:t>技术（质量）文件</w:t>
      </w:r>
      <w:bookmarkEnd w:id="31"/>
    </w:p>
    <w:p>
      <w:pPr>
        <w:pStyle w:val="14"/>
        <w:bidi w:val="0"/>
        <w:rPr>
          <w:rFonts w:hint="default" w:ascii="Times New Roman" w:hAnsi="Times New Roman" w:cs="Times New Roman"/>
          <w:color w:val="auto"/>
        </w:rPr>
      </w:pPr>
      <w:r>
        <w:rPr>
          <w:rFonts w:hint="default" w:ascii="Times New Roman" w:hAnsi="Times New Roman" w:cs="Times New Roman"/>
          <w:color w:val="auto"/>
        </w:rPr>
        <w:t>（一）技术（质量）条款差异表</w:t>
      </w:r>
    </w:p>
    <w:p>
      <w:pPr>
        <w:pStyle w:val="14"/>
        <w:bidi w:val="0"/>
        <w:rPr>
          <w:rFonts w:hint="default" w:ascii="Times New Roman" w:hAnsi="Times New Roman" w:cs="Times New Roman"/>
          <w:color w:val="auto"/>
        </w:rPr>
      </w:pPr>
      <w:r>
        <w:rPr>
          <w:rFonts w:hint="default" w:ascii="Times New Roman" w:hAnsi="Times New Roman" w:cs="Times New Roman"/>
          <w:color w:val="auto"/>
        </w:rPr>
        <w:t>项目名称：</w:t>
      </w:r>
    </w:p>
    <w:p>
      <w:pPr>
        <w:pStyle w:val="14"/>
        <w:bidi w:val="0"/>
        <w:rPr>
          <w:rFonts w:hint="default" w:ascii="Times New Roman" w:hAnsi="Times New Roman" w:cs="Times New Roman"/>
          <w:color w:val="auto"/>
          <w:lang w:eastAsia="zh-CN"/>
        </w:rPr>
      </w:pPr>
      <w:r>
        <w:rPr>
          <w:rFonts w:hint="default" w:ascii="Times New Roman" w:hAnsi="Times New Roman" w:cs="Times New Roman"/>
          <w:color w:val="auto"/>
        </w:rPr>
        <w:t>分包号及名称</w:t>
      </w:r>
      <w:r>
        <w:rPr>
          <w:rFonts w:hint="default" w:ascii="Times New Roman" w:hAnsi="Times New Roman" w:cs="Times New Roman"/>
          <w:color w:val="auto"/>
          <w:lang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序号</w:t>
            </w:r>
          </w:p>
        </w:tc>
        <w:tc>
          <w:tcPr>
            <w:tcW w:w="2969" w:type="dxa"/>
            <w:vAlign w:val="center"/>
          </w:tcPr>
          <w:p>
            <w:pPr>
              <w:tabs>
                <w:tab w:val="left" w:pos="6300"/>
              </w:tabs>
              <w:snapToGrid w:val="0"/>
              <w:spacing w:line="240" w:lineRule="auto"/>
              <w:jc w:val="center"/>
              <w:outlineLvl w:val="0"/>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技术要求</w:t>
            </w:r>
          </w:p>
        </w:tc>
        <w:tc>
          <w:tcPr>
            <w:tcW w:w="3081" w:type="dxa"/>
            <w:vAlign w:val="center"/>
          </w:tcPr>
          <w:p>
            <w:pPr>
              <w:tabs>
                <w:tab w:val="left" w:pos="6300"/>
              </w:tabs>
              <w:snapToGrid w:val="0"/>
              <w:spacing w:line="240" w:lineRule="auto"/>
              <w:jc w:val="center"/>
              <w:outlineLvl w:val="0"/>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应答</w:t>
            </w:r>
          </w:p>
        </w:tc>
        <w:tc>
          <w:tcPr>
            <w:tcW w:w="2307" w:type="dxa"/>
            <w:vAlign w:val="center"/>
          </w:tcPr>
          <w:p>
            <w:pPr>
              <w:tabs>
                <w:tab w:val="left" w:pos="6300"/>
              </w:tabs>
              <w:snapToGrid w:val="0"/>
              <w:spacing w:line="240" w:lineRule="auto"/>
              <w:jc w:val="center"/>
              <w:outlineLvl w:val="0"/>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bl>
    <w:p>
      <w:pPr>
        <w:pStyle w:val="14"/>
        <w:bidi w:val="0"/>
        <w:rPr>
          <w:rFonts w:hint="default" w:ascii="Times New Roman" w:hAnsi="Times New Roman" w:cs="Times New Roman"/>
          <w:color w:val="auto"/>
        </w:rPr>
      </w:pPr>
      <w:r>
        <w:rPr>
          <w:rFonts w:hint="default" w:ascii="Times New Roman" w:hAnsi="Times New Roman" w:cs="Times New Roman"/>
          <w:color w:val="auto"/>
        </w:rPr>
        <w:t>注：</w:t>
      </w:r>
    </w:p>
    <w:p>
      <w:pPr>
        <w:pStyle w:val="14"/>
        <w:bidi w:val="0"/>
        <w:rPr>
          <w:rFonts w:hint="default" w:ascii="Times New Roman" w:hAnsi="Times New Roman" w:cs="Times New Roman"/>
          <w:color w:val="auto"/>
        </w:rPr>
      </w:pPr>
      <w:r>
        <w:rPr>
          <w:rFonts w:hint="default" w:ascii="Times New Roman" w:hAnsi="Times New Roman" w:cs="Times New Roman"/>
          <w:color w:val="auto"/>
        </w:rPr>
        <w:t>1.本表即为对本项目“第二篇</w:t>
      </w:r>
      <w:r>
        <w:rPr>
          <w:rFonts w:hint="default" w:ascii="Times New Roman" w:hAnsi="Times New Roman" w:cs="Times New Roman"/>
          <w:color w:val="auto"/>
          <w:lang w:val="en-US" w:eastAsia="zh-CN"/>
        </w:rPr>
        <w:t xml:space="preserve"> 项目技术要求</w:t>
      </w:r>
      <w:r>
        <w:rPr>
          <w:rFonts w:hint="default" w:ascii="Times New Roman" w:hAnsi="Times New Roman" w:cs="Times New Roman"/>
          <w:color w:val="auto"/>
        </w:rPr>
        <w:t>”中所列条款进行比较和响应；</w:t>
      </w:r>
    </w:p>
    <w:p>
      <w:pPr>
        <w:pStyle w:val="14"/>
        <w:bidi w:val="0"/>
        <w:rPr>
          <w:rFonts w:hint="default" w:ascii="Times New Roman" w:hAnsi="Times New Roman" w:cs="Times New Roman"/>
          <w:color w:val="auto"/>
        </w:rPr>
      </w:pPr>
      <w:r>
        <w:rPr>
          <w:rFonts w:hint="default" w:ascii="Times New Roman" w:hAnsi="Times New Roman" w:cs="Times New Roman"/>
          <w:color w:val="auto"/>
        </w:rPr>
        <w:t>2.本表可扩展；</w:t>
      </w:r>
    </w:p>
    <w:p>
      <w:pPr>
        <w:pStyle w:val="14"/>
        <w:bidi w:val="0"/>
        <w:rPr>
          <w:rFonts w:hint="default" w:ascii="Times New Roman" w:hAnsi="Times New Roman" w:cs="Times New Roman"/>
          <w:color w:val="auto"/>
        </w:rPr>
      </w:pPr>
      <w:r>
        <w:rPr>
          <w:rFonts w:hint="default" w:ascii="Times New Roman" w:hAnsi="Times New Roman" w:cs="Times New Roman"/>
          <w:color w:val="auto"/>
        </w:rPr>
        <w:t>3.可附相关技术支撑材料。（格式自定）</w:t>
      </w:r>
    </w:p>
    <w:p>
      <w:pPr>
        <w:pStyle w:val="14"/>
        <w:bidi w:val="0"/>
        <w:rPr>
          <w:rFonts w:hint="default" w:ascii="Times New Roman" w:hAnsi="Times New Roman" w:cs="Times New Roman"/>
          <w:color w:val="auto"/>
        </w:rPr>
      </w:pPr>
      <w:r>
        <w:rPr>
          <w:rFonts w:hint="default" w:ascii="Times New Roman" w:hAnsi="Times New Roman" w:cs="Times New Roman"/>
          <w:color w:val="auto"/>
        </w:rPr>
        <w:t>4.应答栏中应当注明技术参数或具体内容，且必须标注技术参数或具体内容在</w:t>
      </w:r>
      <w:r>
        <w:rPr>
          <w:rFonts w:hint="default" w:ascii="Times New Roman" w:hAnsi="Times New Roman" w:cs="Times New Roman"/>
          <w:color w:val="auto"/>
          <w:lang w:eastAsia="zh-CN"/>
        </w:rPr>
        <w:t>响应文件</w:t>
      </w:r>
      <w:r>
        <w:rPr>
          <w:rFonts w:hint="default" w:ascii="Times New Roman" w:hAnsi="Times New Roman" w:cs="Times New Roman"/>
          <w:color w:val="auto"/>
        </w:rPr>
        <w:t>中的位置（页码）。</w:t>
      </w:r>
    </w:p>
    <w:p>
      <w:pPr>
        <w:pStyle w:val="14"/>
        <w:bidi w:val="0"/>
        <w:rPr>
          <w:rFonts w:hint="default" w:ascii="Times New Roman" w:hAnsi="Times New Roman" w:cs="Times New Roman"/>
          <w:color w:val="auto"/>
        </w:rPr>
      </w:pPr>
      <w:r>
        <w:rPr>
          <w:rFonts w:hint="default" w:ascii="Times New Roman" w:hAnsi="Times New Roman" w:eastAsia="方正仿宋_GBK" w:cs="Times New Roman"/>
          <w:color w:val="auto"/>
          <w:szCs w:val="28"/>
        </w:rPr>
        <w:br w:type="page"/>
      </w:r>
      <w:r>
        <w:rPr>
          <w:rFonts w:hint="default" w:ascii="Times New Roman" w:hAnsi="Times New Roman" w:cs="Times New Roman"/>
          <w:color w:val="auto"/>
        </w:rPr>
        <w:t>（二）其他资料（格式自定）</w:t>
      </w:r>
    </w:p>
    <w:p>
      <w:pPr>
        <w:pStyle w:val="14"/>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（三）供应商应答产品响应技术参数证明材料（格式自定）</w:t>
      </w:r>
    </w:p>
    <w:p>
      <w:pPr>
        <w:rPr>
          <w:rFonts w:hint="default" w:ascii="Times New Roman" w:hAnsi="Times New Roman" w:eastAsia="方正仿宋_GBK" w:cs="Times New Roman"/>
          <w:color w:val="auto"/>
          <w:szCs w:val="24"/>
        </w:rPr>
      </w:pPr>
      <w:r>
        <w:rPr>
          <w:rFonts w:hint="default" w:ascii="Times New Roman" w:hAnsi="Times New Roman" w:eastAsia="方正仿宋_GBK" w:cs="Times New Roman"/>
          <w:color w:val="auto"/>
          <w:szCs w:val="24"/>
        </w:rPr>
        <w:br w:type="page"/>
      </w:r>
    </w:p>
    <w:p>
      <w:pPr>
        <w:pStyle w:val="15"/>
        <w:numPr>
          <w:ilvl w:val="0"/>
          <w:numId w:val="3"/>
        </w:numPr>
        <w:bidi w:val="0"/>
        <w:ind w:left="0" w:leftChars="0" w:firstLine="480" w:firstLineChars="200"/>
        <w:rPr>
          <w:rFonts w:hint="default" w:ascii="Times New Roman" w:hAnsi="Times New Roman" w:cs="Times New Roman"/>
          <w:color w:val="auto"/>
          <w:lang w:val="en-US" w:eastAsia="zh-CN"/>
        </w:rPr>
      </w:pPr>
      <w:bookmarkStart w:id="32" w:name="_Toc12647"/>
      <w:bookmarkStart w:id="33" w:name="_Toc411"/>
      <w:bookmarkStart w:id="34" w:name="_Toc16487"/>
      <w:bookmarkStart w:id="35" w:name="_Toc76373910"/>
      <w:bookmarkStart w:id="36" w:name="_Toc20875"/>
      <w:bookmarkStart w:id="37" w:name="_Toc493178791"/>
      <w:bookmarkStart w:id="38" w:name="_Toc15734"/>
      <w:bookmarkStart w:id="39" w:name="_Toc492721039"/>
      <w:r>
        <w:rPr>
          <w:rFonts w:hint="default" w:ascii="Times New Roman" w:hAnsi="Times New Roman" w:cs="Times New Roman"/>
          <w:color w:val="auto"/>
          <w:lang w:val="en-US" w:eastAsia="zh-CN"/>
        </w:rPr>
        <w:t>商务文件</w:t>
      </w:r>
      <w:bookmarkEnd w:id="32"/>
      <w:bookmarkEnd w:id="33"/>
      <w:bookmarkEnd w:id="34"/>
      <w:bookmarkEnd w:id="35"/>
      <w:bookmarkEnd w:id="36"/>
      <w:bookmarkEnd w:id="37"/>
      <w:bookmarkEnd w:id="38"/>
      <w:bookmarkEnd w:id="39"/>
    </w:p>
    <w:p>
      <w:pPr>
        <w:pStyle w:val="14"/>
        <w:bidi w:val="0"/>
        <w:rPr>
          <w:rFonts w:hint="default" w:ascii="Times New Roman" w:hAnsi="Times New Roman" w:cs="Times New Roman"/>
          <w:color w:val="auto"/>
        </w:rPr>
      </w:pPr>
      <w:r>
        <w:rPr>
          <w:rFonts w:hint="default" w:ascii="Times New Roman" w:hAnsi="Times New Roman" w:cs="Times New Roman"/>
          <w:color w:val="auto"/>
        </w:rPr>
        <w:t>（一）投标函（格式）</w:t>
      </w:r>
    </w:p>
    <w:p>
      <w:pPr>
        <w:pStyle w:val="14"/>
        <w:bidi w:val="0"/>
        <w:rPr>
          <w:rFonts w:hint="default" w:ascii="Times New Roman" w:hAnsi="Times New Roman" w:cs="Times New Roman"/>
          <w:color w:val="auto"/>
        </w:rPr>
      </w:pPr>
      <w:r>
        <w:rPr>
          <w:rFonts w:hint="default" w:ascii="Times New Roman" w:hAnsi="Times New Roman" w:cs="Times New Roman"/>
          <w:color w:val="auto"/>
        </w:rPr>
        <w:t>项目名称：</w:t>
      </w:r>
    </w:p>
    <w:p>
      <w:pPr>
        <w:pStyle w:val="14"/>
        <w:bidi w:val="0"/>
        <w:rPr>
          <w:rFonts w:hint="default" w:ascii="Times New Roman" w:hAnsi="Times New Roman" w:cs="Times New Roman"/>
          <w:color w:val="auto"/>
          <w:lang w:eastAsia="zh-CN"/>
        </w:rPr>
      </w:pPr>
      <w:r>
        <w:rPr>
          <w:rFonts w:hint="default" w:ascii="Times New Roman" w:hAnsi="Times New Roman" w:cs="Times New Roman"/>
          <w:color w:val="auto"/>
        </w:rPr>
        <w:t>包号及名称</w:t>
      </w:r>
      <w:r>
        <w:rPr>
          <w:rFonts w:hint="default" w:ascii="Times New Roman" w:hAnsi="Times New Roman" w:cs="Times New Roman"/>
          <w:color w:val="auto"/>
          <w:lang w:eastAsia="zh-CN"/>
        </w:rPr>
        <w:t>：</w:t>
      </w:r>
    </w:p>
    <w:p>
      <w:pPr>
        <w:pStyle w:val="14"/>
        <w:bidi w:val="0"/>
        <w:rPr>
          <w:rFonts w:hint="default" w:ascii="Times New Roman" w:hAnsi="Times New Roman" w:cs="Times New Roman"/>
          <w:color w:val="auto"/>
        </w:rPr>
      </w:pPr>
      <w:r>
        <w:rPr>
          <w:rFonts w:hint="default" w:ascii="Times New Roman" w:hAnsi="Times New Roman" w:cs="Times New Roman"/>
          <w:color w:val="auto"/>
        </w:rPr>
        <w:t>致：                    （</w:t>
      </w:r>
      <w:r>
        <w:rPr>
          <w:rFonts w:hint="default" w:ascii="Times New Roman" w:hAnsi="Times New Roman" w:eastAsia="方正仿宋_GBK" w:cs="Times New Roman"/>
          <w:color w:val="auto"/>
          <w:sz w:val="24"/>
          <w:szCs w:val="24"/>
        </w:rPr>
        <w:t>采购人</w:t>
      </w:r>
      <w:r>
        <w:rPr>
          <w:rFonts w:hint="default" w:ascii="Times New Roman" w:hAnsi="Times New Roman" w:cs="Times New Roman"/>
          <w:color w:val="auto"/>
        </w:rPr>
        <w:t>）：</w:t>
      </w:r>
    </w:p>
    <w:p>
      <w:pPr>
        <w:pStyle w:val="14"/>
        <w:bidi w:val="0"/>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lang w:eastAsia="zh-CN"/>
        </w:rPr>
        <w:t>供应商</w:t>
      </w:r>
      <w:r>
        <w:rPr>
          <w:rFonts w:hint="default" w:ascii="Times New Roman" w:hAnsi="Times New Roman" w:cs="Times New Roman"/>
          <w:color w:val="auto"/>
        </w:rPr>
        <w:t>名称）系中华人民共和国合法企业，注册地址：                               。我方就参加本次投标有关事项郑重声明如下：</w:t>
      </w:r>
    </w:p>
    <w:p>
      <w:pPr>
        <w:pStyle w:val="14"/>
        <w:bidi w:val="0"/>
        <w:rPr>
          <w:rFonts w:hint="default" w:ascii="Times New Roman" w:hAnsi="Times New Roman" w:cs="Times New Roman"/>
          <w:color w:val="auto"/>
        </w:rPr>
      </w:pPr>
      <w:r>
        <w:rPr>
          <w:rFonts w:hint="default" w:ascii="Times New Roman" w:hAnsi="Times New Roman" w:cs="Times New Roman"/>
          <w:color w:val="auto"/>
        </w:rPr>
        <w:t>一、我方完全理解并接受该项目</w:t>
      </w:r>
      <w:r>
        <w:rPr>
          <w:rFonts w:hint="default" w:ascii="Times New Roman" w:hAnsi="Times New Roman" w:cs="Times New Roman"/>
          <w:color w:val="auto"/>
          <w:lang w:eastAsia="zh-CN"/>
        </w:rPr>
        <w:t>采购文件</w:t>
      </w:r>
      <w:r>
        <w:rPr>
          <w:rFonts w:hint="default" w:ascii="Times New Roman" w:hAnsi="Times New Roman" w:cs="Times New Roman"/>
          <w:color w:val="auto"/>
        </w:rPr>
        <w:t>所有要求。</w:t>
      </w:r>
    </w:p>
    <w:p>
      <w:pPr>
        <w:pStyle w:val="14"/>
        <w:bidi w:val="0"/>
        <w:rPr>
          <w:rFonts w:hint="default" w:ascii="Times New Roman" w:hAnsi="Times New Roman" w:cs="Times New Roman"/>
          <w:color w:val="auto"/>
        </w:rPr>
      </w:pPr>
      <w:r>
        <w:rPr>
          <w:rFonts w:hint="default" w:ascii="Times New Roman" w:hAnsi="Times New Roman" w:cs="Times New Roman"/>
          <w:color w:val="auto"/>
        </w:rPr>
        <w:t>二、我方提交的所有</w:t>
      </w:r>
      <w:r>
        <w:rPr>
          <w:rFonts w:hint="default" w:ascii="Times New Roman" w:hAnsi="Times New Roman" w:cs="Times New Roman"/>
          <w:color w:val="auto"/>
          <w:lang w:eastAsia="zh-CN"/>
        </w:rPr>
        <w:t>响应文件</w:t>
      </w:r>
      <w:r>
        <w:rPr>
          <w:rFonts w:hint="default" w:ascii="Times New Roman" w:hAnsi="Times New Roman" w:cs="Times New Roman"/>
          <w:color w:val="auto"/>
        </w:rPr>
        <w:t>、资料都是准确和真实的，如有虚假或隐瞒，我方愿意承担一切法律责任。</w:t>
      </w:r>
    </w:p>
    <w:p>
      <w:pPr>
        <w:pStyle w:val="14"/>
        <w:bidi w:val="0"/>
        <w:rPr>
          <w:rFonts w:hint="default" w:ascii="Times New Roman" w:hAnsi="Times New Roman" w:cs="Times New Roman"/>
          <w:color w:val="auto"/>
        </w:rPr>
      </w:pPr>
      <w:r>
        <w:rPr>
          <w:rFonts w:hint="default" w:ascii="Times New Roman" w:hAnsi="Times New Roman" w:cs="Times New Roman"/>
          <w:color w:val="auto"/>
        </w:rPr>
        <w:t>三、我方承诺按照</w:t>
      </w:r>
      <w:r>
        <w:rPr>
          <w:rFonts w:hint="default" w:ascii="Times New Roman" w:hAnsi="Times New Roman" w:cs="Times New Roman"/>
          <w:color w:val="auto"/>
          <w:lang w:eastAsia="zh-CN"/>
        </w:rPr>
        <w:t>采购文件</w:t>
      </w:r>
      <w:r>
        <w:rPr>
          <w:rFonts w:hint="default" w:ascii="Times New Roman" w:hAnsi="Times New Roman" w:cs="Times New Roman"/>
          <w:color w:val="auto"/>
        </w:rPr>
        <w:t>要求，提供</w:t>
      </w:r>
      <w:r>
        <w:rPr>
          <w:rFonts w:hint="default" w:ascii="Times New Roman" w:hAnsi="Times New Roman" w:cs="Times New Roman"/>
          <w:color w:val="auto"/>
          <w:lang w:eastAsia="zh-CN"/>
        </w:rPr>
        <w:t>采购</w:t>
      </w:r>
      <w:r>
        <w:rPr>
          <w:rFonts w:hint="default" w:ascii="Times New Roman" w:hAnsi="Times New Roman" w:cs="Times New Roman"/>
          <w:color w:val="auto"/>
        </w:rPr>
        <w:t>项目的技术（质量）服务。</w:t>
      </w:r>
    </w:p>
    <w:p>
      <w:pPr>
        <w:pStyle w:val="14"/>
        <w:bidi w:val="0"/>
        <w:rPr>
          <w:rFonts w:hint="default" w:ascii="Times New Roman" w:hAnsi="Times New Roman" w:cs="Times New Roman"/>
          <w:color w:val="auto"/>
        </w:rPr>
      </w:pPr>
      <w:r>
        <w:rPr>
          <w:rFonts w:hint="default" w:ascii="Times New Roman" w:hAnsi="Times New Roman" w:cs="Times New Roman"/>
          <w:color w:val="auto"/>
        </w:rPr>
        <w:t>四、我方按</w:t>
      </w:r>
      <w:r>
        <w:rPr>
          <w:rFonts w:hint="default" w:ascii="Times New Roman" w:hAnsi="Times New Roman" w:cs="Times New Roman"/>
          <w:color w:val="auto"/>
          <w:lang w:eastAsia="zh-CN"/>
        </w:rPr>
        <w:t>采购文件</w:t>
      </w:r>
      <w:r>
        <w:rPr>
          <w:rFonts w:hint="default" w:ascii="Times New Roman" w:hAnsi="Times New Roman" w:cs="Times New Roman"/>
          <w:color w:val="auto"/>
        </w:rPr>
        <w:t>要求提交的</w:t>
      </w:r>
      <w:r>
        <w:rPr>
          <w:rFonts w:hint="default" w:ascii="Times New Roman" w:hAnsi="Times New Roman" w:cs="Times New Roman"/>
          <w:color w:val="auto"/>
          <w:lang w:eastAsia="zh-CN"/>
        </w:rPr>
        <w:t>响应文件</w:t>
      </w:r>
      <w:r>
        <w:rPr>
          <w:rFonts w:hint="default" w:ascii="Times New Roman" w:hAnsi="Times New Roman" w:cs="Times New Roman"/>
          <w:color w:val="auto"/>
        </w:rPr>
        <w:t>为：</w:t>
      </w:r>
      <w:r>
        <w:rPr>
          <w:rFonts w:hint="default" w:ascii="Times New Roman" w:hAnsi="Times New Roman" w:cs="Times New Roman"/>
          <w:color w:val="auto"/>
          <w:lang w:eastAsia="zh-CN"/>
        </w:rPr>
        <w:t>响应文件</w:t>
      </w:r>
      <w:r>
        <w:rPr>
          <w:rFonts w:hint="default" w:ascii="Times New Roman" w:hAnsi="Times New Roman" w:cs="Times New Roman"/>
          <w:color w:val="auto"/>
        </w:rPr>
        <w:t>正本</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份，副本</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份。</w:t>
      </w:r>
    </w:p>
    <w:p>
      <w:pPr>
        <w:pStyle w:val="14"/>
        <w:bidi w:val="0"/>
        <w:rPr>
          <w:rFonts w:hint="default" w:ascii="Times New Roman" w:hAnsi="Times New Roman" w:cs="Times New Roman"/>
          <w:color w:val="auto"/>
        </w:rPr>
      </w:pPr>
      <w:r>
        <w:rPr>
          <w:rFonts w:hint="default" w:ascii="Times New Roman" w:hAnsi="Times New Roman" w:cs="Times New Roman"/>
          <w:color w:val="auto"/>
        </w:rPr>
        <w:t>五、我方承诺：本次投标的投标有效期为投标截止时间起90天。</w:t>
      </w:r>
    </w:p>
    <w:p>
      <w:pPr>
        <w:pStyle w:val="14"/>
        <w:bidi w:val="0"/>
        <w:rPr>
          <w:rFonts w:hint="default" w:ascii="Times New Roman" w:hAnsi="Times New Roman" w:cs="Times New Roman"/>
          <w:color w:val="auto"/>
        </w:rPr>
      </w:pPr>
      <w:r>
        <w:rPr>
          <w:rFonts w:hint="default" w:ascii="Times New Roman" w:hAnsi="Times New Roman" w:cs="Times New Roman"/>
          <w:color w:val="auto"/>
        </w:rPr>
        <w:t>六、我方投标报价为闭口价。即在投标有效期和合同有效期内，该报价固定不变。</w:t>
      </w:r>
    </w:p>
    <w:p>
      <w:pPr>
        <w:pStyle w:val="14"/>
        <w:bidi w:val="0"/>
        <w:rPr>
          <w:rFonts w:hint="default" w:ascii="Times New Roman" w:hAnsi="Times New Roman" w:cs="Times New Roman"/>
          <w:color w:val="auto"/>
        </w:rPr>
      </w:pPr>
      <w:r>
        <w:rPr>
          <w:rFonts w:hint="default" w:ascii="Times New Roman" w:hAnsi="Times New Roman" w:cs="Times New Roman"/>
          <w:color w:val="auto"/>
        </w:rPr>
        <w:t>七、如果我方中标，我方将履行</w:t>
      </w:r>
      <w:r>
        <w:rPr>
          <w:rFonts w:hint="default" w:ascii="Times New Roman" w:hAnsi="Times New Roman" w:cs="Times New Roman"/>
          <w:color w:val="auto"/>
          <w:lang w:eastAsia="zh-CN"/>
        </w:rPr>
        <w:t>采购</w:t>
      </w:r>
      <w:r>
        <w:rPr>
          <w:rFonts w:hint="default" w:ascii="Times New Roman" w:hAnsi="Times New Roman" w:cs="Times New Roman"/>
          <w:color w:val="auto"/>
        </w:rPr>
        <w:t>文件中规定的各项要求以及我方</w:t>
      </w:r>
      <w:r>
        <w:rPr>
          <w:rFonts w:hint="default" w:ascii="Times New Roman" w:hAnsi="Times New Roman" w:cs="Times New Roman"/>
          <w:color w:val="auto"/>
          <w:lang w:eastAsia="zh-CN"/>
        </w:rPr>
        <w:t>响应文件</w:t>
      </w:r>
      <w:r>
        <w:rPr>
          <w:rFonts w:hint="default" w:ascii="Times New Roman" w:hAnsi="Times New Roman" w:cs="Times New Roman"/>
          <w:color w:val="auto"/>
        </w:rPr>
        <w:t>的各项承诺，按《中华人民共和国政府采购法》、《中华人民共和国民法典》及合同约定条款承担我方责任。</w:t>
      </w:r>
    </w:p>
    <w:p>
      <w:pPr>
        <w:pStyle w:val="14"/>
        <w:bidi w:val="0"/>
        <w:rPr>
          <w:rFonts w:hint="default" w:ascii="Times New Roman" w:hAnsi="Times New Roman" w:cs="Times New Roman"/>
          <w:color w:val="auto"/>
        </w:rPr>
      </w:pPr>
      <w:r>
        <w:rPr>
          <w:rFonts w:hint="default" w:ascii="Times New Roman" w:hAnsi="Times New Roman" w:cs="Times New Roman"/>
          <w:color w:val="auto"/>
        </w:rPr>
        <w:t>八、我方未为采购项目提供整体设计、规范编制或者项目管理、监理、检测等服务。</w:t>
      </w:r>
    </w:p>
    <w:p>
      <w:pPr>
        <w:pStyle w:val="14"/>
        <w:bidi w:val="0"/>
        <w:rPr>
          <w:rFonts w:hint="default" w:ascii="Times New Roman" w:hAnsi="Times New Roman" w:cs="Times New Roman"/>
          <w:color w:val="auto"/>
        </w:rPr>
      </w:pPr>
      <w:r>
        <w:rPr>
          <w:rFonts w:hint="default" w:ascii="Times New Roman" w:hAnsi="Times New Roman" w:cs="Times New Roman"/>
          <w:color w:val="auto"/>
        </w:rPr>
        <w:t>九、我方理解，最低报价不是中标的唯一条件。</w:t>
      </w:r>
    </w:p>
    <w:p>
      <w:pPr>
        <w:pStyle w:val="14"/>
        <w:bidi w:val="0"/>
        <w:ind w:firstLine="4800" w:firstLineChars="2000"/>
        <w:rPr>
          <w:rFonts w:hint="default" w:ascii="Times New Roman" w:hAnsi="Times New Roman" w:cs="Times New Roman"/>
          <w:color w:val="auto"/>
        </w:rPr>
      </w:pPr>
    </w:p>
    <w:p>
      <w:pPr>
        <w:pStyle w:val="14"/>
        <w:bidi w:val="0"/>
        <w:ind w:firstLine="4800" w:firstLineChars="2000"/>
        <w:rPr>
          <w:rFonts w:hint="default" w:ascii="Times New Roman" w:hAnsi="Times New Roman" w:cs="Times New Roman"/>
          <w:color w:val="auto"/>
        </w:rPr>
      </w:pPr>
    </w:p>
    <w:p>
      <w:pPr>
        <w:pStyle w:val="14"/>
        <w:bidi w:val="0"/>
        <w:ind w:firstLine="4800" w:firstLineChars="200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eastAsia="zh-CN"/>
        </w:rPr>
        <w:t>供应商</w:t>
      </w:r>
      <w:r>
        <w:rPr>
          <w:rFonts w:hint="default" w:ascii="Times New Roman" w:hAnsi="Times New Roman" w:cs="Times New Roman"/>
          <w:color w:val="auto"/>
        </w:rPr>
        <w:t>公章或自然人签署）</w:t>
      </w:r>
    </w:p>
    <w:p>
      <w:pPr>
        <w:pStyle w:val="14"/>
        <w:bidi w:val="0"/>
        <w:ind w:firstLine="5760" w:firstLineChars="2400"/>
        <w:rPr>
          <w:rFonts w:hint="default" w:ascii="Times New Roman" w:hAnsi="Times New Roman" w:cs="Times New Roman"/>
          <w:color w:val="auto"/>
        </w:rPr>
      </w:pPr>
      <w:r>
        <w:rPr>
          <w:rFonts w:hint="default" w:ascii="Times New Roman" w:hAnsi="Times New Roman" w:cs="Times New Roman"/>
          <w:color w:val="auto"/>
        </w:rPr>
        <w:t>年    月   日</w:t>
      </w:r>
    </w:p>
    <w:p>
      <w:pPr>
        <w:pStyle w:val="14"/>
        <w:bidi w:val="0"/>
        <w:rPr>
          <w:rFonts w:hint="default" w:ascii="Times New Roman" w:hAnsi="Times New Roman" w:cs="Times New Roman"/>
          <w:color w:val="auto"/>
        </w:rPr>
      </w:pPr>
      <w:r>
        <w:rPr>
          <w:rFonts w:hint="default" w:ascii="Times New Roman" w:hAnsi="Times New Roman" w:eastAsia="方正仿宋_GBK" w:cs="Times New Roman"/>
          <w:color w:val="auto"/>
          <w:szCs w:val="44"/>
        </w:rPr>
        <w:br w:type="page"/>
      </w:r>
      <w:r>
        <w:rPr>
          <w:rFonts w:hint="default" w:ascii="Times New Roman" w:hAnsi="Times New Roman" w:cs="Times New Roman"/>
          <w:color w:val="auto"/>
        </w:rPr>
        <w:t>（二）商务条款差异表</w:t>
      </w:r>
    </w:p>
    <w:p>
      <w:pPr>
        <w:pStyle w:val="14"/>
        <w:bidi w:val="0"/>
        <w:rPr>
          <w:rFonts w:hint="default" w:ascii="Times New Roman" w:hAnsi="Times New Roman" w:cs="Times New Roman"/>
          <w:color w:val="auto"/>
        </w:rPr>
      </w:pPr>
      <w:r>
        <w:rPr>
          <w:rFonts w:hint="default" w:ascii="Times New Roman" w:hAnsi="Times New Roman" w:cs="Times New Roman"/>
          <w:color w:val="auto"/>
        </w:rPr>
        <w:t>项目名称：</w:t>
      </w:r>
    </w:p>
    <w:p>
      <w:pPr>
        <w:pStyle w:val="14"/>
        <w:bidi w:val="0"/>
        <w:rPr>
          <w:rFonts w:hint="default" w:ascii="Times New Roman" w:hAnsi="Times New Roman" w:cs="Times New Roman"/>
          <w:color w:val="auto"/>
          <w:lang w:eastAsia="zh-CN"/>
        </w:rPr>
      </w:pPr>
      <w:r>
        <w:rPr>
          <w:rFonts w:hint="default" w:ascii="Times New Roman" w:hAnsi="Times New Roman" w:cs="Times New Roman"/>
          <w:color w:val="auto"/>
        </w:rPr>
        <w:t>包号及名称</w:t>
      </w:r>
      <w:r>
        <w:rPr>
          <w:rFonts w:hint="default" w:ascii="Times New Roman" w:hAnsi="Times New Roman" w:cs="Times New Roman"/>
          <w:color w:val="auto"/>
          <w:lang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序号</w:t>
            </w:r>
          </w:p>
        </w:tc>
        <w:tc>
          <w:tcPr>
            <w:tcW w:w="2969" w:type="dxa"/>
            <w:vAlign w:val="center"/>
          </w:tcPr>
          <w:p>
            <w:pPr>
              <w:tabs>
                <w:tab w:val="left" w:pos="6300"/>
              </w:tabs>
              <w:snapToGrid w:val="0"/>
              <w:spacing w:line="240" w:lineRule="auto"/>
              <w:jc w:val="center"/>
              <w:outlineLvl w:val="0"/>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商务要求</w:t>
            </w:r>
          </w:p>
        </w:tc>
        <w:tc>
          <w:tcPr>
            <w:tcW w:w="3081" w:type="dxa"/>
            <w:vAlign w:val="center"/>
          </w:tcPr>
          <w:p>
            <w:pPr>
              <w:tabs>
                <w:tab w:val="left" w:pos="6300"/>
              </w:tabs>
              <w:snapToGrid w:val="0"/>
              <w:spacing w:line="240" w:lineRule="auto"/>
              <w:jc w:val="center"/>
              <w:outlineLvl w:val="0"/>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投标商务应答</w:t>
            </w:r>
          </w:p>
        </w:tc>
        <w:tc>
          <w:tcPr>
            <w:tcW w:w="2307" w:type="dxa"/>
            <w:vAlign w:val="center"/>
          </w:tcPr>
          <w:p>
            <w:pPr>
              <w:tabs>
                <w:tab w:val="left" w:pos="6300"/>
              </w:tabs>
              <w:snapToGrid w:val="0"/>
              <w:spacing w:line="240" w:lineRule="auto"/>
              <w:jc w:val="center"/>
              <w:outlineLvl w:val="0"/>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969"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3081"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c>
          <w:tcPr>
            <w:tcW w:w="2307" w:type="dxa"/>
            <w:vAlign w:val="center"/>
          </w:tcPr>
          <w:p>
            <w:pPr>
              <w:tabs>
                <w:tab w:val="left" w:pos="6300"/>
              </w:tabs>
              <w:snapToGrid w:val="0"/>
              <w:spacing w:line="240" w:lineRule="auto"/>
              <w:jc w:val="center"/>
              <w:outlineLvl w:val="0"/>
              <w:rPr>
                <w:rFonts w:hint="default" w:ascii="Times New Roman" w:hAnsi="Times New Roman" w:eastAsia="方正仿宋_GBK" w:cs="Times New Roman"/>
                <w:color w:val="auto"/>
                <w:sz w:val="21"/>
                <w:szCs w:val="21"/>
              </w:rPr>
            </w:pPr>
          </w:p>
        </w:tc>
      </w:tr>
    </w:tbl>
    <w:p>
      <w:pPr>
        <w:pStyle w:val="14"/>
        <w:bidi w:val="0"/>
        <w:rPr>
          <w:rFonts w:hint="default" w:ascii="Times New Roman" w:hAnsi="Times New Roman" w:cs="Times New Roman"/>
          <w:color w:val="auto"/>
        </w:rPr>
      </w:pPr>
      <w:r>
        <w:rPr>
          <w:rFonts w:hint="default" w:ascii="Times New Roman" w:hAnsi="Times New Roman" w:cs="Times New Roman"/>
          <w:color w:val="auto"/>
        </w:rPr>
        <w:t>注：</w:t>
      </w:r>
    </w:p>
    <w:p>
      <w:pPr>
        <w:pStyle w:val="14"/>
        <w:bidi w:val="0"/>
        <w:rPr>
          <w:rFonts w:hint="default" w:ascii="Times New Roman" w:hAnsi="Times New Roman" w:cs="Times New Roman"/>
          <w:color w:val="auto"/>
        </w:rPr>
      </w:pPr>
      <w:r>
        <w:rPr>
          <w:rFonts w:hint="default" w:ascii="Times New Roman" w:hAnsi="Times New Roman" w:cs="Times New Roman"/>
          <w:color w:val="auto"/>
        </w:rPr>
        <w:t>1.本表即为对本项目“第三篇 项目商务要求”中所列条款进行比较和响应；</w:t>
      </w:r>
    </w:p>
    <w:p>
      <w:pPr>
        <w:pStyle w:val="14"/>
        <w:bidi w:val="0"/>
        <w:rPr>
          <w:rFonts w:hint="default" w:ascii="Times New Roman" w:hAnsi="Times New Roman" w:cs="Times New Roman"/>
          <w:color w:val="auto"/>
        </w:rPr>
      </w:pPr>
      <w:r>
        <w:rPr>
          <w:rFonts w:hint="default" w:ascii="Times New Roman" w:hAnsi="Times New Roman" w:cs="Times New Roman"/>
          <w:color w:val="auto"/>
        </w:rPr>
        <w:t>2.本表可扩展。</w:t>
      </w:r>
    </w:p>
    <w:p>
      <w:pPr>
        <w:pStyle w:val="14"/>
        <w:bidi w:val="0"/>
        <w:rPr>
          <w:rFonts w:hint="default" w:ascii="Times New Roman" w:hAnsi="Times New Roman" w:eastAsia="方正仿宋_GBK" w:cs="Times New Roman"/>
          <w:color w:val="auto"/>
          <w:szCs w:val="24"/>
        </w:rPr>
      </w:pPr>
      <w:r>
        <w:rPr>
          <w:rFonts w:hint="default" w:ascii="Times New Roman" w:hAnsi="Times New Roman" w:cs="Times New Roman"/>
          <w:color w:val="auto"/>
        </w:rPr>
        <w:t>3.投标应答栏中应当注明具体内容，且必须标注具体内容在</w:t>
      </w:r>
      <w:r>
        <w:rPr>
          <w:rFonts w:hint="default" w:ascii="Times New Roman" w:hAnsi="Times New Roman" w:cs="Times New Roman"/>
          <w:color w:val="auto"/>
          <w:lang w:eastAsia="zh-CN"/>
        </w:rPr>
        <w:t>响应文件</w:t>
      </w:r>
      <w:r>
        <w:rPr>
          <w:rFonts w:hint="default" w:ascii="Times New Roman" w:hAnsi="Times New Roman" w:cs="Times New Roman"/>
          <w:color w:val="auto"/>
        </w:rPr>
        <w:t>中的位置（页码）。</w:t>
      </w:r>
    </w:p>
    <w:p>
      <w:pPr>
        <w:snapToGrid w:val="0"/>
        <w:spacing w:line="400" w:lineRule="exact"/>
        <w:ind w:firstLine="560"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Cs w:val="28"/>
        </w:rPr>
        <w:br w:type="page"/>
      </w:r>
      <w:r>
        <w:rPr>
          <w:rFonts w:hint="default" w:ascii="Times New Roman" w:hAnsi="Times New Roman" w:eastAsia="方正仿宋_GBK" w:cs="Times New Roman"/>
          <w:color w:val="auto"/>
          <w:sz w:val="24"/>
          <w:szCs w:val="28"/>
        </w:rPr>
        <w:t>（三）其他商务资料</w:t>
      </w:r>
    </w:p>
    <w:p>
      <w:pPr>
        <w:tabs>
          <w:tab w:val="left" w:pos="6300"/>
        </w:tabs>
        <w:snapToGrid w:val="0"/>
        <w:spacing w:line="500" w:lineRule="exact"/>
        <w:ind w:firstLine="560"/>
        <w:rPr>
          <w:rFonts w:hint="default" w:ascii="Times New Roman" w:hAnsi="Times New Roman" w:eastAsia="方正仿宋_GBK" w:cs="Times New Roman"/>
          <w:color w:val="auto"/>
          <w:szCs w:val="28"/>
        </w:rPr>
      </w:pPr>
    </w:p>
    <w:p>
      <w:pPr>
        <w:rPr>
          <w:rFonts w:hint="default" w:ascii="Times New Roman" w:hAnsi="Times New Roman" w:eastAsia="方正仿宋_GBK" w:cs="Times New Roman"/>
          <w:color w:val="auto"/>
          <w:szCs w:val="28"/>
        </w:rPr>
      </w:pPr>
      <w:r>
        <w:rPr>
          <w:rFonts w:hint="default" w:ascii="Times New Roman" w:hAnsi="Times New Roman" w:eastAsia="方正仿宋_GBK" w:cs="Times New Roman"/>
          <w:color w:val="auto"/>
          <w:szCs w:val="28"/>
        </w:rPr>
        <w:br w:type="page"/>
      </w:r>
    </w:p>
    <w:p>
      <w:pPr>
        <w:pStyle w:val="15"/>
        <w:numPr>
          <w:ilvl w:val="0"/>
          <w:numId w:val="3"/>
        </w:numPr>
        <w:bidi w:val="0"/>
        <w:ind w:left="0" w:leftChars="0" w:firstLine="559" w:firstLineChars="233"/>
        <w:rPr>
          <w:rFonts w:hint="default" w:ascii="Times New Roman" w:hAnsi="Times New Roman" w:cs="Times New Roman"/>
          <w:color w:val="auto"/>
          <w:lang w:val="en-US" w:eastAsia="zh-CN"/>
        </w:rPr>
      </w:pPr>
      <w:bookmarkStart w:id="40" w:name="_Toc76373911"/>
      <w:bookmarkStart w:id="41" w:name="_Toc16269"/>
      <w:bookmarkStart w:id="42" w:name="_Toc493178792"/>
      <w:bookmarkStart w:id="43" w:name="_Toc27556"/>
      <w:bookmarkStart w:id="44" w:name="_Toc9237"/>
      <w:bookmarkStart w:id="45" w:name="_Toc20677"/>
      <w:bookmarkStart w:id="46" w:name="_Toc492721041"/>
      <w:bookmarkStart w:id="47" w:name="_Toc29740"/>
      <w:r>
        <w:rPr>
          <w:rFonts w:hint="default" w:ascii="Times New Roman" w:hAnsi="Times New Roman" w:cs="Times New Roman"/>
          <w:color w:val="auto"/>
          <w:lang w:val="en-US" w:eastAsia="zh-CN"/>
        </w:rPr>
        <w:t>其他</w:t>
      </w:r>
      <w:bookmarkEnd w:id="40"/>
      <w:bookmarkEnd w:id="41"/>
      <w:bookmarkEnd w:id="42"/>
      <w:bookmarkEnd w:id="43"/>
      <w:bookmarkEnd w:id="44"/>
      <w:bookmarkEnd w:id="45"/>
      <w:bookmarkEnd w:id="46"/>
      <w:bookmarkEnd w:id="47"/>
    </w:p>
    <w:p>
      <w:pPr>
        <w:pStyle w:val="14"/>
        <w:bidi w:val="0"/>
        <w:rPr>
          <w:rFonts w:hint="default" w:ascii="Times New Roman" w:hAnsi="Times New Roman" w:cs="Times New Roman"/>
          <w:color w:val="auto"/>
        </w:rPr>
      </w:pPr>
      <w:r>
        <w:rPr>
          <w:rFonts w:hint="default" w:ascii="Times New Roman" w:hAnsi="Times New Roman" w:cs="Times New Roman"/>
          <w:color w:val="auto"/>
        </w:rPr>
        <w:t>其他与项目有关的资料（自附）</w:t>
      </w:r>
    </w:p>
    <w:p>
      <w:pP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br w:type="page"/>
      </w:r>
    </w:p>
    <w:p>
      <w:pPr>
        <w:pStyle w:val="15"/>
        <w:numPr>
          <w:ilvl w:val="0"/>
          <w:numId w:val="3"/>
        </w:numPr>
        <w:bidi w:val="0"/>
        <w:ind w:left="0" w:leftChars="0" w:firstLine="559" w:firstLineChars="233"/>
        <w:rPr>
          <w:rFonts w:hint="default" w:ascii="Times New Roman" w:hAnsi="Times New Roman" w:cs="Times New Roman"/>
          <w:color w:val="auto"/>
          <w:lang w:val="en-US" w:eastAsia="zh-CN"/>
        </w:rPr>
      </w:pPr>
      <w:bookmarkStart w:id="48" w:name="_Toc20605"/>
      <w:bookmarkStart w:id="49" w:name="_Toc8925"/>
      <w:bookmarkStart w:id="50" w:name="_Toc493178793"/>
      <w:bookmarkStart w:id="51" w:name="_Toc6217"/>
      <w:bookmarkStart w:id="52" w:name="_Toc76373912"/>
      <w:bookmarkStart w:id="53" w:name="_Toc492721038"/>
      <w:bookmarkStart w:id="54" w:name="_Toc23356"/>
      <w:bookmarkStart w:id="55" w:name="_Toc16151"/>
      <w:r>
        <w:rPr>
          <w:rFonts w:hint="default" w:ascii="Times New Roman" w:hAnsi="Times New Roman" w:cs="Times New Roman"/>
          <w:color w:val="auto"/>
          <w:lang w:val="en-US" w:eastAsia="zh-CN"/>
        </w:rPr>
        <w:t>资格文件</w:t>
      </w:r>
      <w:bookmarkEnd w:id="48"/>
      <w:bookmarkEnd w:id="49"/>
      <w:bookmarkEnd w:id="50"/>
      <w:bookmarkEnd w:id="51"/>
      <w:bookmarkEnd w:id="52"/>
      <w:bookmarkEnd w:id="53"/>
      <w:bookmarkEnd w:id="54"/>
      <w:bookmarkEnd w:id="55"/>
    </w:p>
    <w:p>
      <w:pPr>
        <w:spacing w:line="400" w:lineRule="exact"/>
        <w:ind w:firstLine="480"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szCs w:val="28"/>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default" w:ascii="Times New Roman" w:hAnsi="Times New Roman" w:eastAsia="方正仿宋_GBK" w:cs="Times New Roman"/>
          <w:color w:val="auto"/>
        </w:rPr>
      </w:pPr>
    </w:p>
    <w:p>
      <w:pPr>
        <w:tabs>
          <w:tab w:val="left" w:pos="6300"/>
        </w:tabs>
        <w:snapToGrid w:val="0"/>
        <w:spacing w:line="500" w:lineRule="exact"/>
        <w:ind w:firstLine="570"/>
        <w:rPr>
          <w:rFonts w:hint="default" w:ascii="Times New Roman" w:hAnsi="Times New Roman" w:eastAsia="方正仿宋_GBK" w:cs="Times New Roman"/>
          <w:color w:val="auto"/>
        </w:rPr>
      </w:pPr>
    </w:p>
    <w:p>
      <w:pPr>
        <w:tabs>
          <w:tab w:val="left" w:pos="6300"/>
        </w:tabs>
        <w:snapToGrid w:val="0"/>
        <w:spacing w:line="500" w:lineRule="exact"/>
        <w:ind w:firstLine="570"/>
        <w:rPr>
          <w:rFonts w:hint="default" w:ascii="Times New Roman" w:hAnsi="Times New Roman" w:eastAsia="方正仿宋_GBK" w:cs="Times New Roman"/>
          <w:color w:val="auto"/>
        </w:rPr>
      </w:pPr>
    </w:p>
    <w:p>
      <w:pPr>
        <w:pStyle w:val="14"/>
        <w:bidi w:val="0"/>
        <w:rPr>
          <w:rFonts w:hint="default" w:ascii="Times New Roman" w:hAnsi="Times New Roman" w:cs="Times New Roman"/>
          <w:color w:val="auto"/>
        </w:rPr>
      </w:pPr>
      <w:r>
        <w:rPr>
          <w:rFonts w:hint="default" w:ascii="Times New Roman" w:hAnsi="Times New Roman" w:cs="Times New Roman"/>
          <w:color w:val="auto"/>
          <w:lang w:eastAsia="zh-CN"/>
        </w:rPr>
        <w:t>（二）</w:t>
      </w:r>
      <w:r>
        <w:rPr>
          <w:rFonts w:hint="default" w:ascii="Times New Roman" w:hAnsi="Times New Roman" w:cs="Times New Roman"/>
          <w:color w:val="auto"/>
        </w:rPr>
        <w:t>组织机构代码证复印件</w:t>
      </w:r>
    </w:p>
    <w:p>
      <w:pPr>
        <w:tabs>
          <w:tab w:val="left" w:pos="6300"/>
        </w:tabs>
        <w:snapToGrid w:val="0"/>
        <w:spacing w:line="500" w:lineRule="exact"/>
        <w:ind w:firstLine="570"/>
        <w:rPr>
          <w:rFonts w:hint="default" w:ascii="Times New Roman" w:hAnsi="Times New Roman" w:eastAsia="方正仿宋_GBK" w:cs="Times New Roman"/>
          <w:color w:val="auto"/>
        </w:rPr>
      </w:pPr>
    </w:p>
    <w:p>
      <w:pPr>
        <w:tabs>
          <w:tab w:val="left" w:pos="6300"/>
        </w:tabs>
        <w:snapToGrid w:val="0"/>
        <w:spacing w:line="500" w:lineRule="exact"/>
        <w:ind w:firstLine="570"/>
        <w:rPr>
          <w:rFonts w:hint="default" w:ascii="Times New Roman" w:hAnsi="Times New Roman" w:eastAsia="方正仿宋_GBK" w:cs="Times New Roman"/>
          <w:color w:val="auto"/>
        </w:rPr>
      </w:pPr>
    </w:p>
    <w:p>
      <w:pPr>
        <w:spacing w:line="400" w:lineRule="exact"/>
        <w:ind w:firstLine="560"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rPr>
        <w:br w:type="page"/>
      </w:r>
      <w:r>
        <w:rPr>
          <w:rFonts w:hint="default" w:ascii="Times New Roman" w:hAnsi="Times New Roman" w:eastAsia="方正仿宋_GBK" w:cs="Times New Roman"/>
          <w:color w:val="auto"/>
          <w:sz w:val="24"/>
          <w:szCs w:val="28"/>
        </w:rPr>
        <w:t>（</w:t>
      </w:r>
      <w:r>
        <w:rPr>
          <w:rFonts w:hint="default" w:ascii="Times New Roman" w:hAnsi="Times New Roman" w:eastAsia="方正仿宋_GBK" w:cs="Times New Roman"/>
          <w:color w:val="auto"/>
          <w:sz w:val="24"/>
          <w:szCs w:val="28"/>
          <w:lang w:eastAsia="zh-CN"/>
        </w:rPr>
        <w:t>三</w:t>
      </w:r>
      <w:r>
        <w:rPr>
          <w:rFonts w:hint="default" w:ascii="Times New Roman" w:hAnsi="Times New Roman" w:eastAsia="方正仿宋_GBK" w:cs="Times New Roman"/>
          <w:color w:val="auto"/>
          <w:sz w:val="24"/>
          <w:szCs w:val="28"/>
        </w:rPr>
        <w:t>）法定代表人身份证明书（格式）</w:t>
      </w:r>
    </w:p>
    <w:p>
      <w:pPr>
        <w:tabs>
          <w:tab w:val="left" w:pos="6300"/>
        </w:tabs>
        <w:snapToGrid w:val="0"/>
        <w:spacing w:line="500" w:lineRule="exact"/>
        <w:ind w:firstLine="57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采购</w:t>
      </w:r>
      <w:r>
        <w:rPr>
          <w:rFonts w:hint="default" w:ascii="Times New Roman" w:hAnsi="Times New Roman" w:eastAsia="方正仿宋_GBK" w:cs="Times New Roman"/>
          <w:color w:val="auto"/>
          <w:sz w:val="24"/>
        </w:rPr>
        <w:t>项目名称：</w:t>
      </w:r>
      <w:r>
        <w:rPr>
          <w:rFonts w:hint="default" w:ascii="Times New Roman" w:hAnsi="Times New Roman" w:eastAsia="方正仿宋_GBK" w:cs="Times New Roman"/>
          <w:color w:val="auto"/>
          <w:sz w:val="24"/>
          <w:u w:val="single"/>
        </w:rPr>
        <w:t xml:space="preserve">                                                </w:t>
      </w:r>
    </w:p>
    <w:p>
      <w:pPr>
        <w:tabs>
          <w:tab w:val="left" w:pos="6300"/>
        </w:tabs>
        <w:snapToGrid w:val="0"/>
        <w:spacing w:line="500" w:lineRule="exac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致：</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（采购</w:t>
      </w:r>
      <w:r>
        <w:rPr>
          <w:rFonts w:hint="default" w:ascii="Times New Roman" w:hAnsi="Times New Roman" w:eastAsia="方正仿宋_GBK" w:cs="Times New Roman"/>
          <w:color w:val="auto"/>
          <w:sz w:val="24"/>
          <w:lang w:eastAsia="zh-CN"/>
        </w:rPr>
        <w:t>人</w:t>
      </w:r>
      <w:r>
        <w:rPr>
          <w:rFonts w:hint="default" w:ascii="Times New Roman" w:hAnsi="Times New Roman" w:eastAsia="方正仿宋_GBK" w:cs="Times New Roman"/>
          <w:color w:val="auto"/>
          <w:sz w:val="24"/>
        </w:rPr>
        <w:t>）：</w:t>
      </w:r>
    </w:p>
    <w:p>
      <w:pPr>
        <w:tabs>
          <w:tab w:val="left" w:pos="6300"/>
        </w:tabs>
        <w:snapToGrid w:val="0"/>
        <w:spacing w:line="500" w:lineRule="exact"/>
        <w:ind w:firstLine="57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（法定代表人姓名）在</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w:t>
      </w:r>
      <w:r>
        <w:rPr>
          <w:rFonts w:hint="default" w:ascii="Times New Roman" w:hAnsi="Times New Roman" w:eastAsia="方正仿宋_GBK" w:cs="Times New Roman"/>
          <w:color w:val="auto"/>
          <w:sz w:val="24"/>
          <w:lang w:eastAsia="zh-CN"/>
        </w:rPr>
        <w:t>供应商</w:t>
      </w:r>
      <w:r>
        <w:rPr>
          <w:rFonts w:hint="default" w:ascii="Times New Roman" w:hAnsi="Times New Roman" w:eastAsia="方正仿宋_GBK" w:cs="Times New Roman"/>
          <w:color w:val="auto"/>
          <w:sz w:val="24"/>
        </w:rPr>
        <w:t>名称）任</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（职务名称）职务，是（</w:t>
      </w:r>
      <w:r>
        <w:rPr>
          <w:rFonts w:hint="default" w:ascii="Times New Roman" w:hAnsi="Times New Roman" w:eastAsia="方正仿宋_GBK" w:cs="Times New Roman"/>
          <w:color w:val="auto"/>
          <w:sz w:val="24"/>
          <w:lang w:eastAsia="zh-CN"/>
        </w:rPr>
        <w:t>供应商</w:t>
      </w:r>
      <w:r>
        <w:rPr>
          <w:rFonts w:hint="default" w:ascii="Times New Roman" w:hAnsi="Times New Roman" w:eastAsia="方正仿宋_GBK" w:cs="Times New Roman"/>
          <w:color w:val="auto"/>
          <w:sz w:val="24"/>
        </w:rPr>
        <w:t>名称）</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的法定代表人。</w:t>
      </w:r>
    </w:p>
    <w:p>
      <w:pPr>
        <w:tabs>
          <w:tab w:val="left" w:pos="6300"/>
        </w:tabs>
        <w:snapToGrid w:val="0"/>
        <w:spacing w:line="500" w:lineRule="exact"/>
        <w:ind w:firstLine="570"/>
        <w:rPr>
          <w:rFonts w:hint="default" w:ascii="Times New Roman" w:hAnsi="Times New Roman" w:eastAsia="方正仿宋_GBK" w:cs="Times New Roman"/>
          <w:color w:val="auto"/>
          <w:sz w:val="24"/>
        </w:rPr>
      </w:pPr>
    </w:p>
    <w:p>
      <w:pPr>
        <w:tabs>
          <w:tab w:val="left" w:pos="6300"/>
        </w:tabs>
        <w:snapToGrid w:val="0"/>
        <w:spacing w:line="500" w:lineRule="exact"/>
        <w:ind w:firstLine="57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特此证明。</w:t>
      </w:r>
    </w:p>
    <w:p>
      <w:pPr>
        <w:tabs>
          <w:tab w:val="left" w:pos="6300"/>
        </w:tabs>
        <w:snapToGrid w:val="0"/>
        <w:spacing w:line="500" w:lineRule="exact"/>
        <w:ind w:firstLine="570"/>
        <w:rPr>
          <w:rFonts w:hint="default" w:ascii="Times New Roman" w:hAnsi="Times New Roman" w:eastAsia="方正仿宋_GBK" w:cs="Times New Roman"/>
          <w:color w:val="auto"/>
          <w:sz w:val="24"/>
        </w:rPr>
      </w:pPr>
    </w:p>
    <w:p>
      <w:pPr>
        <w:tabs>
          <w:tab w:val="left" w:pos="6300"/>
        </w:tabs>
        <w:snapToGrid w:val="0"/>
        <w:spacing w:line="500" w:lineRule="exact"/>
        <w:ind w:firstLine="570"/>
        <w:rPr>
          <w:rFonts w:hint="default" w:ascii="Times New Roman" w:hAnsi="Times New Roman" w:eastAsia="方正仿宋_GBK" w:cs="Times New Roman"/>
          <w:color w:val="auto"/>
          <w:sz w:val="24"/>
        </w:rPr>
      </w:pPr>
    </w:p>
    <w:p>
      <w:pPr>
        <w:tabs>
          <w:tab w:val="left" w:pos="6300"/>
        </w:tabs>
        <w:snapToGrid w:val="0"/>
        <w:spacing w:line="500" w:lineRule="exact"/>
        <w:ind w:firstLine="57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w:t>
      </w:r>
      <w:r>
        <w:rPr>
          <w:rFonts w:hint="default" w:ascii="Times New Roman" w:hAnsi="Times New Roman" w:eastAsia="方正仿宋_GBK" w:cs="Times New Roman"/>
          <w:color w:val="auto"/>
          <w:sz w:val="24"/>
          <w:lang w:eastAsia="zh-CN"/>
        </w:rPr>
        <w:t>供应商</w:t>
      </w:r>
      <w:r>
        <w:rPr>
          <w:rFonts w:hint="default" w:ascii="Times New Roman" w:hAnsi="Times New Roman" w:eastAsia="方正仿宋_GBK" w:cs="Times New Roman"/>
          <w:color w:val="auto"/>
          <w:sz w:val="24"/>
        </w:rPr>
        <w:t>：</w:t>
      </w:r>
    </w:p>
    <w:p>
      <w:pPr>
        <w:tabs>
          <w:tab w:val="left" w:pos="6300"/>
        </w:tabs>
        <w:snapToGrid w:val="0"/>
        <w:spacing w:line="500" w:lineRule="exact"/>
        <w:ind w:firstLine="5848" w:firstLineChars="2437"/>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r>
        <w:rPr>
          <w:rFonts w:hint="default" w:ascii="Times New Roman" w:hAnsi="Times New Roman" w:eastAsia="方正仿宋_GBK" w:cs="Times New Roman"/>
          <w:color w:val="auto"/>
          <w:sz w:val="24"/>
          <w:lang w:eastAsia="zh-CN"/>
        </w:rPr>
        <w:t>供应商</w:t>
      </w:r>
      <w:r>
        <w:rPr>
          <w:rFonts w:hint="default" w:ascii="Times New Roman" w:hAnsi="Times New Roman" w:eastAsia="方正仿宋_GBK" w:cs="Times New Roman"/>
          <w:color w:val="auto"/>
          <w:sz w:val="24"/>
        </w:rPr>
        <w:t>公章）</w:t>
      </w:r>
    </w:p>
    <w:p>
      <w:pPr>
        <w:tabs>
          <w:tab w:val="left" w:pos="6300"/>
        </w:tabs>
        <w:snapToGrid w:val="0"/>
        <w:spacing w:line="500" w:lineRule="exact"/>
        <w:ind w:firstLine="570"/>
        <w:rPr>
          <w:rFonts w:hint="default" w:ascii="Times New Roman" w:hAnsi="Times New Roman" w:eastAsia="方正仿宋_GBK" w:cs="Times New Roman"/>
          <w:color w:val="auto"/>
          <w:sz w:val="24"/>
        </w:rPr>
      </w:pPr>
    </w:p>
    <w:p>
      <w:pPr>
        <w:tabs>
          <w:tab w:val="left" w:pos="6300"/>
        </w:tabs>
        <w:snapToGrid w:val="0"/>
        <w:spacing w:line="500" w:lineRule="exact"/>
        <w:ind w:firstLine="57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年   月   日</w:t>
      </w:r>
    </w:p>
    <w:p>
      <w:pPr>
        <w:tabs>
          <w:tab w:val="left" w:pos="6300"/>
        </w:tabs>
        <w:snapToGrid w:val="0"/>
        <w:spacing w:line="500" w:lineRule="exact"/>
        <w:ind w:firstLine="57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（附：法定代表人身份证正反面复印件）</w:t>
      </w:r>
    </w:p>
    <w:p>
      <w:pPr>
        <w:tabs>
          <w:tab w:val="left" w:pos="6300"/>
        </w:tabs>
        <w:snapToGrid w:val="0"/>
        <w:spacing w:line="500" w:lineRule="exact"/>
        <w:ind w:firstLine="570"/>
        <w:rPr>
          <w:rFonts w:hint="default" w:ascii="Times New Roman" w:hAnsi="Times New Roman" w:eastAsia="方正仿宋_GBK" w:cs="Times New Roman"/>
          <w:color w:val="auto"/>
          <w:sz w:val="24"/>
        </w:rPr>
      </w:pPr>
    </w:p>
    <w:p>
      <w:pPr>
        <w:tabs>
          <w:tab w:val="left" w:pos="6300"/>
        </w:tabs>
        <w:snapToGrid w:val="0"/>
        <w:spacing w:line="500" w:lineRule="exact"/>
        <w:ind w:firstLine="570"/>
        <w:rPr>
          <w:rFonts w:hint="default" w:ascii="Times New Roman" w:hAnsi="Times New Roman" w:eastAsia="方正仿宋_GBK" w:cs="Times New Roman"/>
          <w:color w:val="auto"/>
          <w:sz w:val="24"/>
        </w:rPr>
      </w:pPr>
    </w:p>
    <w:p>
      <w:pPr>
        <w:tabs>
          <w:tab w:val="left" w:pos="6300"/>
        </w:tabs>
        <w:snapToGrid w:val="0"/>
        <w:spacing w:line="500" w:lineRule="exact"/>
        <w:ind w:firstLine="570"/>
        <w:rPr>
          <w:rFonts w:hint="default" w:ascii="Times New Roman" w:hAnsi="Times New Roman" w:eastAsia="方正仿宋_GBK" w:cs="Times New Roman"/>
          <w:color w:val="auto"/>
          <w:sz w:val="24"/>
        </w:rPr>
      </w:pPr>
    </w:p>
    <w:p>
      <w:pPr>
        <w:tabs>
          <w:tab w:val="left" w:pos="6300"/>
        </w:tabs>
        <w:snapToGrid w:val="0"/>
        <w:spacing w:line="500" w:lineRule="exact"/>
        <w:ind w:firstLine="570"/>
        <w:rPr>
          <w:rFonts w:hint="default" w:ascii="Times New Roman" w:hAnsi="Times New Roman" w:eastAsia="方正仿宋_GBK" w:cs="Times New Roman"/>
          <w:color w:val="auto"/>
          <w:sz w:val="24"/>
        </w:rPr>
      </w:pPr>
    </w:p>
    <w:p>
      <w:pPr>
        <w:tabs>
          <w:tab w:val="left" w:pos="6300"/>
        </w:tabs>
        <w:snapToGrid w:val="0"/>
        <w:spacing w:line="500" w:lineRule="exact"/>
        <w:ind w:firstLine="570"/>
        <w:rPr>
          <w:rFonts w:hint="default" w:ascii="Times New Roman" w:hAnsi="Times New Roman" w:eastAsia="方正仿宋_GBK" w:cs="Times New Roman"/>
          <w:color w:val="auto"/>
          <w:sz w:val="24"/>
        </w:rPr>
      </w:pPr>
    </w:p>
    <w:p>
      <w:pPr>
        <w:pStyle w:val="14"/>
        <w:bidi w:val="0"/>
        <w:rPr>
          <w:rFonts w:hint="default" w:ascii="Times New Roman" w:hAnsi="Times New Roman" w:cs="Times New Roman"/>
          <w:color w:val="auto"/>
        </w:rPr>
      </w:pPr>
      <w:r>
        <w:rPr>
          <w:rFonts w:hint="default" w:ascii="Times New Roman" w:hAnsi="Times New Roman" w:eastAsia="方正仿宋_GBK" w:cs="Times New Roman"/>
          <w:color w:val="auto"/>
        </w:rPr>
        <w:br w:type="column"/>
      </w:r>
      <w:r>
        <w:rPr>
          <w:rFonts w:hint="default" w:ascii="Times New Roman" w:hAnsi="Times New Roman" w:cs="Times New Roman"/>
          <w:color w:val="auto"/>
        </w:rPr>
        <w:t>（</w:t>
      </w:r>
      <w:r>
        <w:rPr>
          <w:rFonts w:hint="default" w:ascii="Times New Roman" w:hAnsi="Times New Roman" w:cs="Times New Roman"/>
          <w:color w:val="auto"/>
          <w:lang w:eastAsia="zh-CN"/>
        </w:rPr>
        <w:t>四</w:t>
      </w:r>
      <w:r>
        <w:rPr>
          <w:rFonts w:hint="default" w:ascii="Times New Roman" w:hAnsi="Times New Roman" w:cs="Times New Roman"/>
          <w:color w:val="auto"/>
        </w:rPr>
        <w:t>）法定代表人授权委托书（格式）</w:t>
      </w:r>
    </w:p>
    <w:p>
      <w:pPr>
        <w:pStyle w:val="14"/>
        <w:bidi w:val="0"/>
        <w:rPr>
          <w:rFonts w:hint="default" w:ascii="Times New Roman" w:hAnsi="Times New Roman" w:cs="Times New Roman"/>
          <w:color w:val="auto"/>
        </w:rPr>
      </w:pPr>
      <w:r>
        <w:rPr>
          <w:rFonts w:hint="default" w:ascii="Times New Roman" w:hAnsi="Times New Roman" w:cs="Times New Roman"/>
          <w:color w:val="auto"/>
          <w:lang w:eastAsia="zh-CN"/>
        </w:rPr>
        <w:t>采购</w:t>
      </w:r>
      <w:r>
        <w:rPr>
          <w:rFonts w:hint="default" w:ascii="Times New Roman" w:hAnsi="Times New Roman" w:cs="Times New Roman"/>
          <w:color w:val="auto"/>
        </w:rPr>
        <w:t xml:space="preserve">项目名称：                                                </w:t>
      </w:r>
    </w:p>
    <w:p>
      <w:pPr>
        <w:pStyle w:val="14"/>
        <w:bidi w:val="0"/>
        <w:rPr>
          <w:rFonts w:hint="default" w:ascii="Times New Roman" w:hAnsi="Times New Roman" w:cs="Times New Roman"/>
          <w:color w:val="auto"/>
        </w:rPr>
      </w:pPr>
      <w:r>
        <w:rPr>
          <w:rFonts w:hint="default" w:ascii="Times New Roman" w:hAnsi="Times New Roman" w:cs="Times New Roman"/>
          <w:color w:val="auto"/>
        </w:rPr>
        <w:t>致：                     （采购</w:t>
      </w:r>
      <w:r>
        <w:rPr>
          <w:rFonts w:hint="default" w:ascii="Times New Roman" w:hAnsi="Times New Roman" w:cs="Times New Roman"/>
          <w:color w:val="auto"/>
          <w:lang w:eastAsia="zh-CN"/>
        </w:rPr>
        <w:t>人</w:t>
      </w:r>
      <w:r>
        <w:rPr>
          <w:rFonts w:hint="default" w:ascii="Times New Roman" w:hAnsi="Times New Roman" w:cs="Times New Roman"/>
          <w:color w:val="auto"/>
        </w:rPr>
        <w:t>）：</w:t>
      </w:r>
    </w:p>
    <w:p>
      <w:pPr>
        <w:pStyle w:val="14"/>
        <w:bidi w:val="0"/>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lang w:eastAsia="zh-CN"/>
        </w:rPr>
        <w:t>供应商</w:t>
      </w:r>
      <w:r>
        <w:rPr>
          <w:rFonts w:hint="default" w:ascii="Times New Roman" w:hAnsi="Times New Roman" w:cs="Times New Roman"/>
          <w:color w:val="auto"/>
        </w:rPr>
        <w:t>法定代表人名称）是                    （</w:t>
      </w:r>
      <w:r>
        <w:rPr>
          <w:rFonts w:hint="default" w:ascii="Times New Roman" w:hAnsi="Times New Roman" w:cs="Times New Roman"/>
          <w:color w:val="auto"/>
          <w:lang w:eastAsia="zh-CN"/>
        </w:rPr>
        <w:t>供应商</w:t>
      </w:r>
      <w:r>
        <w:rPr>
          <w:rFonts w:hint="default" w:ascii="Times New Roman" w:hAnsi="Times New Roman" w:cs="Times New Roman"/>
          <w:color w:val="auto"/>
        </w:rPr>
        <w:t>名称）的法定代表人，特授权          （被授权人姓名及身份证代码）代表我单位全权办理上述项目的投标、谈判、签约等具体工作，并签署全部有关文件、协议及合同。</w:t>
      </w:r>
    </w:p>
    <w:p>
      <w:pPr>
        <w:pStyle w:val="14"/>
        <w:bidi w:val="0"/>
        <w:rPr>
          <w:rFonts w:hint="default" w:ascii="Times New Roman" w:hAnsi="Times New Roman" w:cs="Times New Roman"/>
          <w:color w:val="auto"/>
        </w:rPr>
      </w:pPr>
      <w:r>
        <w:rPr>
          <w:rFonts w:hint="default" w:ascii="Times New Roman" w:hAnsi="Times New Roman" w:cs="Times New Roman"/>
          <w:color w:val="auto"/>
        </w:rPr>
        <w:t>我单位对被授权人的签署负全部责任。</w:t>
      </w:r>
    </w:p>
    <w:p>
      <w:pPr>
        <w:pStyle w:val="14"/>
        <w:bidi w:val="0"/>
        <w:rPr>
          <w:rFonts w:hint="default" w:ascii="Times New Roman" w:hAnsi="Times New Roman" w:cs="Times New Roman"/>
          <w:color w:val="auto"/>
        </w:rPr>
      </w:pPr>
      <w:r>
        <w:rPr>
          <w:rFonts w:hint="default" w:ascii="Times New Roman" w:hAnsi="Times New Roman" w:cs="Times New Roman"/>
          <w:color w:val="auto"/>
        </w:rPr>
        <w:t>在撤销授权的书面通知以前，本授权书一直有效。被授权人在授权书有效期内签署的所有文件不因授权的撤销而失效。</w:t>
      </w:r>
    </w:p>
    <w:p>
      <w:pPr>
        <w:pStyle w:val="14"/>
        <w:bidi w:val="0"/>
        <w:rPr>
          <w:rFonts w:hint="default" w:ascii="Times New Roman" w:hAnsi="Times New Roman" w:cs="Times New Roman"/>
          <w:color w:val="auto"/>
        </w:rPr>
      </w:pPr>
      <w:r>
        <w:rPr>
          <w:rFonts w:hint="default" w:ascii="Times New Roman" w:hAnsi="Times New Roman" w:cs="Times New Roman"/>
          <w:color w:val="auto"/>
        </w:rPr>
        <w:t xml:space="preserve">被授权人：                                 </w:t>
      </w:r>
      <w:r>
        <w:rPr>
          <w:rFonts w:hint="default" w:ascii="Times New Roman" w:hAnsi="Times New Roman" w:cs="Times New Roman"/>
          <w:color w:val="auto"/>
          <w:lang w:eastAsia="zh-CN"/>
        </w:rPr>
        <w:t>供应商</w:t>
      </w:r>
      <w:r>
        <w:rPr>
          <w:rFonts w:hint="default" w:ascii="Times New Roman" w:hAnsi="Times New Roman" w:cs="Times New Roman"/>
          <w:color w:val="auto"/>
        </w:rPr>
        <w:t>法定代表人：</w:t>
      </w:r>
    </w:p>
    <w:p>
      <w:pPr>
        <w:pStyle w:val="14"/>
        <w:bidi w:val="0"/>
        <w:rPr>
          <w:rFonts w:hint="default" w:ascii="Times New Roman" w:hAnsi="Times New Roman" w:cs="Times New Roman"/>
          <w:color w:val="auto"/>
        </w:rPr>
      </w:pPr>
      <w:r>
        <w:rPr>
          <w:rFonts w:hint="default" w:ascii="Times New Roman" w:hAnsi="Times New Roman" w:cs="Times New Roman"/>
          <w:color w:val="auto"/>
        </w:rPr>
        <w:t>（签署或盖章）                                （签署或盖章）</w:t>
      </w:r>
    </w:p>
    <w:p>
      <w:pPr>
        <w:pStyle w:val="14"/>
        <w:bidi w:val="0"/>
        <w:rPr>
          <w:rFonts w:hint="default" w:ascii="Times New Roman" w:hAnsi="Times New Roman" w:cs="Times New Roman"/>
          <w:color w:val="auto"/>
        </w:rPr>
      </w:pPr>
      <w:r>
        <w:rPr>
          <w:rFonts w:hint="default" w:ascii="Times New Roman" w:hAnsi="Times New Roman" w:cs="Times New Roman"/>
          <w:color w:val="auto"/>
        </w:rPr>
        <w:t>（附：被授权人身份证正反面复印件）</w:t>
      </w:r>
    </w:p>
    <w:p>
      <w:pPr>
        <w:pStyle w:val="1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pStyle w:val="14"/>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w:t>
      </w:r>
      <w:r>
        <w:rPr>
          <w:rFonts w:hint="default" w:ascii="Times New Roman" w:hAnsi="Times New Roman" w:cs="Times New Roman"/>
          <w:color w:val="auto"/>
          <w:lang w:eastAsia="zh-CN"/>
        </w:rPr>
        <w:t>供应商</w:t>
      </w:r>
      <w:r>
        <w:rPr>
          <w:rFonts w:hint="default" w:ascii="Times New Roman" w:hAnsi="Times New Roman" w:cs="Times New Roman"/>
          <w:color w:val="auto"/>
        </w:rPr>
        <w:t>公章）</w:t>
      </w:r>
    </w:p>
    <w:p>
      <w:pPr>
        <w:pStyle w:val="14"/>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年   月   日</w:t>
      </w:r>
    </w:p>
    <w:p>
      <w:pPr>
        <w:pStyle w:val="14"/>
        <w:bidi w:val="0"/>
        <w:rPr>
          <w:rFonts w:hint="default" w:ascii="Times New Roman" w:hAnsi="Times New Roman" w:cs="Times New Roman"/>
          <w:color w:val="auto"/>
        </w:rPr>
      </w:pPr>
      <w:r>
        <w:rPr>
          <w:rFonts w:hint="default" w:ascii="Times New Roman" w:hAnsi="Times New Roman" w:cs="Times New Roman"/>
          <w:color w:val="auto"/>
        </w:rPr>
        <w:t>注：</w:t>
      </w:r>
    </w:p>
    <w:p>
      <w:pPr>
        <w:pStyle w:val="14"/>
        <w:bidi w:val="0"/>
        <w:rPr>
          <w:rFonts w:hint="default" w:ascii="Times New Roman" w:hAnsi="Times New Roman" w:cs="Times New Roman"/>
          <w:color w:val="auto"/>
        </w:rPr>
      </w:pPr>
      <w:r>
        <w:rPr>
          <w:rFonts w:hint="default" w:ascii="Times New Roman" w:hAnsi="Times New Roman" w:cs="Times New Roman"/>
          <w:color w:val="auto"/>
        </w:rPr>
        <w:t>1.若为法定代表人办理并签署</w:t>
      </w:r>
      <w:r>
        <w:rPr>
          <w:rFonts w:hint="default" w:ascii="Times New Roman" w:hAnsi="Times New Roman" w:cs="Times New Roman"/>
          <w:color w:val="auto"/>
          <w:lang w:eastAsia="zh-CN"/>
        </w:rPr>
        <w:t>响应文件</w:t>
      </w:r>
      <w:r>
        <w:rPr>
          <w:rFonts w:hint="default" w:ascii="Times New Roman" w:hAnsi="Times New Roman" w:cs="Times New Roman"/>
          <w:color w:val="auto"/>
        </w:rPr>
        <w:t>的，不提供此文件。</w:t>
      </w:r>
    </w:p>
    <w:p>
      <w:pPr>
        <w:pStyle w:val="14"/>
        <w:bidi w:val="0"/>
        <w:rPr>
          <w:rFonts w:hint="default" w:ascii="Times New Roman" w:hAnsi="Times New Roman" w:cs="Times New Roman"/>
          <w:color w:val="auto"/>
        </w:rPr>
      </w:pPr>
      <w:r>
        <w:rPr>
          <w:rFonts w:hint="default" w:ascii="Times New Roman" w:hAnsi="Times New Roman" w:eastAsia="方正仿宋_GBK" w:cs="Times New Roman"/>
          <w:color w:val="auto"/>
        </w:rPr>
        <w:br w:type="column"/>
      </w:r>
      <w:r>
        <w:rPr>
          <w:rFonts w:hint="default" w:ascii="Times New Roman" w:hAnsi="Times New Roman" w:cs="Times New Roman"/>
          <w:color w:val="auto"/>
        </w:rPr>
        <w:t>（</w:t>
      </w:r>
      <w:r>
        <w:rPr>
          <w:rFonts w:hint="default" w:ascii="Times New Roman" w:hAnsi="Times New Roman" w:cs="Times New Roman"/>
          <w:color w:val="auto"/>
          <w:lang w:eastAsia="zh-CN"/>
        </w:rPr>
        <w:t>五</w:t>
      </w:r>
      <w:r>
        <w:rPr>
          <w:rFonts w:hint="default" w:ascii="Times New Roman" w:hAnsi="Times New Roman" w:cs="Times New Roman"/>
          <w:color w:val="auto"/>
        </w:rPr>
        <w:t>）基本资格条件承诺函（格式）</w:t>
      </w:r>
    </w:p>
    <w:p>
      <w:pPr>
        <w:pStyle w:val="14"/>
        <w:bidi w:val="0"/>
        <w:rPr>
          <w:rFonts w:hint="default" w:ascii="Times New Roman" w:hAnsi="Times New Roman" w:cs="Times New Roman"/>
          <w:color w:val="auto"/>
        </w:rPr>
      </w:pPr>
      <w:r>
        <w:rPr>
          <w:rFonts w:hint="default" w:ascii="Times New Roman" w:hAnsi="Times New Roman" w:cs="Times New Roman"/>
          <w:color w:val="auto"/>
        </w:rPr>
        <w:t>基本资格条件承诺函</w:t>
      </w:r>
    </w:p>
    <w:p>
      <w:pPr>
        <w:pStyle w:val="14"/>
        <w:bidi w:val="0"/>
        <w:rPr>
          <w:rFonts w:hint="default" w:ascii="Times New Roman" w:hAnsi="Times New Roman" w:cs="Times New Roman"/>
          <w:color w:val="auto"/>
        </w:rPr>
      </w:pPr>
      <w:r>
        <w:rPr>
          <w:rFonts w:hint="default" w:ascii="Times New Roman" w:hAnsi="Times New Roman" w:cs="Times New Roman"/>
          <w:color w:val="auto"/>
        </w:rPr>
        <w:t>致                   （采购</w:t>
      </w:r>
      <w:r>
        <w:rPr>
          <w:rFonts w:hint="default" w:ascii="Times New Roman" w:hAnsi="Times New Roman" w:cs="Times New Roman"/>
          <w:color w:val="auto"/>
          <w:lang w:eastAsia="zh-CN"/>
        </w:rPr>
        <w:t>人</w:t>
      </w:r>
      <w:r>
        <w:rPr>
          <w:rFonts w:hint="default" w:ascii="Times New Roman" w:hAnsi="Times New Roman" w:cs="Times New Roman"/>
          <w:color w:val="auto"/>
        </w:rPr>
        <w:t>）：</w:t>
      </w:r>
    </w:p>
    <w:p>
      <w:pPr>
        <w:pStyle w:val="14"/>
        <w:bidi w:val="0"/>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lang w:eastAsia="zh-CN"/>
        </w:rPr>
        <w:t>供应商</w:t>
      </w:r>
      <w:r>
        <w:rPr>
          <w:rFonts w:hint="default" w:ascii="Times New Roman" w:hAnsi="Times New Roman" w:cs="Times New Roman"/>
          <w:color w:val="auto"/>
        </w:rPr>
        <w:t>名称）郑重承诺：</w:t>
      </w:r>
    </w:p>
    <w:p>
      <w:pPr>
        <w:pStyle w:val="14"/>
        <w:bidi w:val="0"/>
        <w:rPr>
          <w:rFonts w:hint="default" w:ascii="Times New Roman" w:hAnsi="Times New Roman" w:cs="Times New Roman"/>
          <w:color w:val="auto"/>
        </w:rPr>
      </w:pPr>
      <w:r>
        <w:rPr>
          <w:rFonts w:hint="default" w:ascii="Times New Roman" w:hAnsi="Times New Roman" w:cs="Times New Roman"/>
          <w:color w:val="auto"/>
        </w:rPr>
        <w:t>1.我方具有良好的商业信誉和健全的财务会计制度，具有履行合同所必需的设备和专业技术能力，具</w:t>
      </w:r>
      <w:r>
        <w:rPr>
          <w:rFonts w:hint="default" w:ascii="Times New Roman" w:hAnsi="Times New Roman" w:cs="Times New Roman"/>
          <w:color w:val="auto"/>
          <w:lang w:val="zh-CN"/>
        </w:rPr>
        <w:t>有依法缴纳税收和社会保障金的良好记录</w:t>
      </w:r>
      <w:r>
        <w:rPr>
          <w:rFonts w:hint="default" w:ascii="Times New Roman" w:hAnsi="Times New Roman" w:cs="Times New Roman"/>
          <w:color w:val="auto"/>
        </w:rPr>
        <w:t>，参加本项目采购活动前三年内无重大违法活动记录。</w:t>
      </w:r>
    </w:p>
    <w:p>
      <w:pPr>
        <w:pStyle w:val="14"/>
        <w:bidi w:val="0"/>
        <w:rPr>
          <w:rFonts w:hint="default" w:ascii="Times New Roman" w:hAnsi="Times New Roman" w:cs="Times New Roman"/>
          <w:color w:val="auto"/>
        </w:rPr>
      </w:pPr>
      <w:r>
        <w:rPr>
          <w:rFonts w:hint="default" w:ascii="Times New Roman" w:hAnsi="Times New Roman" w:cs="Times New Roman"/>
          <w:color w:val="auto"/>
        </w:rPr>
        <w:t>2.我方未列入在信用中国网站（www.creditchina.gov.cn）“失信被执行人”、“重大税收违法案件当事人名单”中，也未列入中国政府采购网（www.ccgp.gov.cn）“政府采购严重违法失信行为记录名单”中。</w:t>
      </w:r>
    </w:p>
    <w:p>
      <w:pPr>
        <w:pStyle w:val="14"/>
        <w:bidi w:val="0"/>
        <w:rPr>
          <w:rFonts w:hint="default" w:ascii="Times New Roman" w:hAnsi="Times New Roman" w:cs="Times New Roman"/>
          <w:color w:val="auto"/>
        </w:rPr>
      </w:pPr>
      <w:r>
        <w:rPr>
          <w:rFonts w:hint="default" w:ascii="Times New Roman" w:hAnsi="Times New Roman" w:cs="Times New Roman"/>
          <w:color w:val="auto"/>
        </w:rPr>
        <w:t>3.我方在采购项目评审（评标）环节结束后，随时接受采购人、采购代理机构的检查验证，配合提供相关证明材料，证明符合《中华人民共和国政府采购法》规定的</w:t>
      </w:r>
      <w:r>
        <w:rPr>
          <w:rFonts w:hint="default" w:ascii="Times New Roman" w:hAnsi="Times New Roman" w:cs="Times New Roman"/>
          <w:color w:val="auto"/>
          <w:lang w:eastAsia="zh-CN"/>
        </w:rPr>
        <w:t>供应商</w:t>
      </w:r>
      <w:r>
        <w:rPr>
          <w:rFonts w:hint="default" w:ascii="Times New Roman" w:hAnsi="Times New Roman" w:cs="Times New Roman"/>
          <w:color w:val="auto"/>
        </w:rPr>
        <w:t>基本资格条件。</w:t>
      </w:r>
    </w:p>
    <w:p>
      <w:pPr>
        <w:pStyle w:val="14"/>
        <w:bidi w:val="0"/>
        <w:rPr>
          <w:rFonts w:hint="default" w:ascii="Times New Roman" w:hAnsi="Times New Roman" w:cs="Times New Roman"/>
          <w:color w:val="auto"/>
        </w:rPr>
      </w:pPr>
      <w:r>
        <w:rPr>
          <w:rFonts w:hint="default" w:ascii="Times New Roman" w:hAnsi="Times New Roman" w:cs="Times New Roman"/>
          <w:color w:val="auto"/>
        </w:rPr>
        <w:t>我方对以上承诺负全部法律责任。</w:t>
      </w:r>
    </w:p>
    <w:p>
      <w:pPr>
        <w:pStyle w:val="14"/>
        <w:bidi w:val="0"/>
        <w:rPr>
          <w:rFonts w:hint="default" w:ascii="Times New Roman" w:hAnsi="Times New Roman" w:cs="Times New Roman"/>
          <w:color w:val="auto"/>
        </w:rPr>
      </w:pPr>
      <w:r>
        <w:rPr>
          <w:rFonts w:hint="default" w:ascii="Times New Roman" w:hAnsi="Times New Roman" w:cs="Times New Roman"/>
          <w:color w:val="auto"/>
        </w:rPr>
        <w:t>特此承诺。</w:t>
      </w:r>
    </w:p>
    <w:p>
      <w:pPr>
        <w:pStyle w:val="14"/>
        <w:bidi w:val="0"/>
        <w:rPr>
          <w:rFonts w:hint="default" w:ascii="Times New Roman" w:hAnsi="Times New Roman" w:cs="Times New Roman"/>
          <w:color w:val="auto"/>
        </w:rPr>
      </w:pPr>
    </w:p>
    <w:p>
      <w:pPr>
        <w:pStyle w:val="14"/>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w:t>
      </w:r>
      <w:r>
        <w:rPr>
          <w:rFonts w:hint="default" w:ascii="Times New Roman" w:hAnsi="Times New Roman" w:cs="Times New Roman"/>
          <w:color w:val="auto"/>
          <w:lang w:eastAsia="zh-CN"/>
        </w:rPr>
        <w:t>供应商</w:t>
      </w:r>
      <w:r>
        <w:rPr>
          <w:rFonts w:hint="default" w:ascii="Times New Roman" w:hAnsi="Times New Roman" w:cs="Times New Roman"/>
          <w:color w:val="auto"/>
        </w:rPr>
        <w:t>公章）</w:t>
      </w:r>
    </w:p>
    <w:p>
      <w:pPr>
        <w:pStyle w:val="14"/>
        <w:bidi w:val="0"/>
        <w:ind w:firstLine="5760" w:firstLineChars="2400"/>
        <w:rPr>
          <w:rFonts w:hint="default" w:ascii="Times New Roman" w:hAnsi="Times New Roman" w:cs="Times New Roman"/>
          <w:color w:val="auto"/>
        </w:rPr>
      </w:pPr>
      <w:r>
        <w:rPr>
          <w:rFonts w:hint="default" w:ascii="Times New Roman" w:hAnsi="Times New Roman" w:cs="Times New Roman"/>
          <w:color w:val="auto"/>
        </w:rPr>
        <w:t>年   月   日</w:t>
      </w:r>
    </w:p>
    <w:p>
      <w:pPr>
        <w:tabs>
          <w:tab w:val="left" w:pos="6300"/>
        </w:tabs>
        <w:snapToGrid w:val="0"/>
        <w:spacing w:line="500" w:lineRule="exact"/>
        <w:ind w:firstLine="560" w:firstLineChars="200"/>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rPr>
        <w:br w:type="page"/>
      </w:r>
      <w:r>
        <w:rPr>
          <w:rFonts w:hint="default" w:ascii="Times New Roman" w:hAnsi="Times New Roman" w:eastAsia="方正仿宋_GBK" w:cs="Times New Roman"/>
          <w:color w:val="auto"/>
          <w:sz w:val="24"/>
          <w:szCs w:val="28"/>
        </w:rPr>
        <w:t>（</w:t>
      </w:r>
      <w:r>
        <w:rPr>
          <w:rFonts w:hint="default" w:ascii="Times New Roman" w:hAnsi="Times New Roman" w:eastAsia="方正仿宋_GBK" w:cs="Times New Roman"/>
          <w:color w:val="auto"/>
          <w:sz w:val="24"/>
          <w:szCs w:val="28"/>
          <w:lang w:eastAsia="zh-CN"/>
        </w:rPr>
        <w:t>六</w:t>
      </w:r>
      <w:r>
        <w:rPr>
          <w:rFonts w:hint="default" w:ascii="Times New Roman" w:hAnsi="Times New Roman" w:eastAsia="方正仿宋_GBK" w:cs="Times New Roman"/>
          <w:color w:val="auto"/>
          <w:sz w:val="24"/>
          <w:szCs w:val="28"/>
        </w:rPr>
        <w:t>）特定资格条件证书或证明文件</w:t>
      </w:r>
    </w:p>
    <w:p>
      <w:pPr>
        <w:rPr>
          <w:rFonts w:hint="default" w:ascii="Times New Roman" w:hAnsi="Times New Roman" w:eastAsia="方正仿宋_GBK" w:cs="Times New Roman"/>
          <w:color w:val="auto"/>
          <w:sz w:val="21"/>
          <w:szCs w:val="21"/>
          <w:lang w:val="en-US" w:eastAsia="zh-CN"/>
        </w:rPr>
      </w:pPr>
    </w:p>
    <w:p>
      <w:pPr>
        <w:pStyle w:val="14"/>
        <w:bidi w:val="0"/>
        <w:ind w:left="0" w:leftChars="0" w:firstLine="0" w:firstLineChars="0"/>
        <w:rPr>
          <w:rFonts w:hint="default"/>
          <w:lang w:val="en-US" w:eastAsia="zh-CN"/>
        </w:rPr>
      </w:pPr>
    </w:p>
    <w:sectPr>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2CEC7"/>
    <w:multiLevelType w:val="singleLevel"/>
    <w:tmpl w:val="8352CEC7"/>
    <w:lvl w:ilvl="0" w:tentative="0">
      <w:start w:val="2"/>
      <w:numFmt w:val="chineseCounting"/>
      <w:suff w:val="nothing"/>
      <w:lvlText w:val="%1、"/>
      <w:lvlJc w:val="left"/>
      <w:rPr>
        <w:rFonts w:hint="eastAsia"/>
      </w:rPr>
    </w:lvl>
  </w:abstractNum>
  <w:abstractNum w:abstractNumId="1">
    <w:nsid w:val="00000004"/>
    <w:multiLevelType w:val="multilevel"/>
    <w:tmpl w:val="00000004"/>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
    <w:nsid w:val="00000008"/>
    <w:multiLevelType w:val="multilevel"/>
    <w:tmpl w:val="00000008"/>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F1FC5"/>
    <w:rsid w:val="0018274C"/>
    <w:rsid w:val="00405979"/>
    <w:rsid w:val="00746CEE"/>
    <w:rsid w:val="019E3125"/>
    <w:rsid w:val="02900CBF"/>
    <w:rsid w:val="02FB7D1A"/>
    <w:rsid w:val="02FC6355"/>
    <w:rsid w:val="04C506CF"/>
    <w:rsid w:val="050647B6"/>
    <w:rsid w:val="053973EC"/>
    <w:rsid w:val="05E5358F"/>
    <w:rsid w:val="06F76D94"/>
    <w:rsid w:val="07832135"/>
    <w:rsid w:val="07F471B4"/>
    <w:rsid w:val="080E54CF"/>
    <w:rsid w:val="096940FF"/>
    <w:rsid w:val="09C86F91"/>
    <w:rsid w:val="0AF93A4D"/>
    <w:rsid w:val="0B596A1A"/>
    <w:rsid w:val="0C3C5A14"/>
    <w:rsid w:val="0C8F1FE8"/>
    <w:rsid w:val="0DD329AA"/>
    <w:rsid w:val="0F1D7D7F"/>
    <w:rsid w:val="10233173"/>
    <w:rsid w:val="128123D2"/>
    <w:rsid w:val="13641967"/>
    <w:rsid w:val="14777F31"/>
    <w:rsid w:val="14C03686"/>
    <w:rsid w:val="14C65BC0"/>
    <w:rsid w:val="152B4878"/>
    <w:rsid w:val="15875F52"/>
    <w:rsid w:val="16F40375"/>
    <w:rsid w:val="173D1C7B"/>
    <w:rsid w:val="17A96653"/>
    <w:rsid w:val="17E4720C"/>
    <w:rsid w:val="18550589"/>
    <w:rsid w:val="18610CDC"/>
    <w:rsid w:val="187D0A06"/>
    <w:rsid w:val="18C94AD3"/>
    <w:rsid w:val="19A11B85"/>
    <w:rsid w:val="1B8371BB"/>
    <w:rsid w:val="1BCC2910"/>
    <w:rsid w:val="1BE1312A"/>
    <w:rsid w:val="1C383DE0"/>
    <w:rsid w:val="1CFA102F"/>
    <w:rsid w:val="1D7E536E"/>
    <w:rsid w:val="1DA63635"/>
    <w:rsid w:val="1E4946EC"/>
    <w:rsid w:val="1E7948A6"/>
    <w:rsid w:val="1ECE2E43"/>
    <w:rsid w:val="1F0F015E"/>
    <w:rsid w:val="1F117043"/>
    <w:rsid w:val="225D0766"/>
    <w:rsid w:val="230E7CB2"/>
    <w:rsid w:val="233D5EA2"/>
    <w:rsid w:val="2383391F"/>
    <w:rsid w:val="239F2BE0"/>
    <w:rsid w:val="244D4668"/>
    <w:rsid w:val="259D70CC"/>
    <w:rsid w:val="259F5502"/>
    <w:rsid w:val="25E92311"/>
    <w:rsid w:val="2629095F"/>
    <w:rsid w:val="27633668"/>
    <w:rsid w:val="284B1061"/>
    <w:rsid w:val="29207C1E"/>
    <w:rsid w:val="2A4D723B"/>
    <w:rsid w:val="2C7B043E"/>
    <w:rsid w:val="2C83526D"/>
    <w:rsid w:val="2CDF446E"/>
    <w:rsid w:val="2E20089A"/>
    <w:rsid w:val="2E9D013C"/>
    <w:rsid w:val="2EF067A8"/>
    <w:rsid w:val="30D140CD"/>
    <w:rsid w:val="31E74ECA"/>
    <w:rsid w:val="320F29AA"/>
    <w:rsid w:val="32D81743"/>
    <w:rsid w:val="32F756F3"/>
    <w:rsid w:val="33C44E55"/>
    <w:rsid w:val="340245AB"/>
    <w:rsid w:val="34401C96"/>
    <w:rsid w:val="34806536"/>
    <w:rsid w:val="34873421"/>
    <w:rsid w:val="34A0062A"/>
    <w:rsid w:val="3801173C"/>
    <w:rsid w:val="38237904"/>
    <w:rsid w:val="38897ABE"/>
    <w:rsid w:val="39006B4A"/>
    <w:rsid w:val="39754190"/>
    <w:rsid w:val="39A86313"/>
    <w:rsid w:val="39C66799"/>
    <w:rsid w:val="3A046503"/>
    <w:rsid w:val="3ABF58EF"/>
    <w:rsid w:val="3AE07C06"/>
    <w:rsid w:val="3BE253C4"/>
    <w:rsid w:val="3D57037E"/>
    <w:rsid w:val="3DA90A34"/>
    <w:rsid w:val="3FDA2F9E"/>
    <w:rsid w:val="40EF1FC5"/>
    <w:rsid w:val="41AC61D6"/>
    <w:rsid w:val="424A412C"/>
    <w:rsid w:val="426923B8"/>
    <w:rsid w:val="427009D4"/>
    <w:rsid w:val="42864D18"/>
    <w:rsid w:val="42E02E70"/>
    <w:rsid w:val="437B18E6"/>
    <w:rsid w:val="439711A6"/>
    <w:rsid w:val="445F4D0F"/>
    <w:rsid w:val="446E1F07"/>
    <w:rsid w:val="44F92119"/>
    <w:rsid w:val="48BB1493"/>
    <w:rsid w:val="4CE44A55"/>
    <w:rsid w:val="4D42495C"/>
    <w:rsid w:val="4D9053D6"/>
    <w:rsid w:val="4FD73056"/>
    <w:rsid w:val="4FEE214E"/>
    <w:rsid w:val="501A2F43"/>
    <w:rsid w:val="504F35C5"/>
    <w:rsid w:val="50560C4B"/>
    <w:rsid w:val="524C6736"/>
    <w:rsid w:val="56D14697"/>
    <w:rsid w:val="57855BEF"/>
    <w:rsid w:val="587A6AEA"/>
    <w:rsid w:val="5A7547E2"/>
    <w:rsid w:val="5B15318D"/>
    <w:rsid w:val="5B9C4DD3"/>
    <w:rsid w:val="5DB93D9B"/>
    <w:rsid w:val="5E267A57"/>
    <w:rsid w:val="5E6A4F6D"/>
    <w:rsid w:val="5EFD23AE"/>
    <w:rsid w:val="5F920822"/>
    <w:rsid w:val="5F922AF6"/>
    <w:rsid w:val="5F9525E6"/>
    <w:rsid w:val="60234096"/>
    <w:rsid w:val="60C26958"/>
    <w:rsid w:val="615269E1"/>
    <w:rsid w:val="618B52DB"/>
    <w:rsid w:val="61BA322A"/>
    <w:rsid w:val="623205C0"/>
    <w:rsid w:val="62856942"/>
    <w:rsid w:val="62F51D1A"/>
    <w:rsid w:val="635124F2"/>
    <w:rsid w:val="63C412DB"/>
    <w:rsid w:val="64676529"/>
    <w:rsid w:val="65552308"/>
    <w:rsid w:val="66FB71D3"/>
    <w:rsid w:val="672A6F03"/>
    <w:rsid w:val="676342AD"/>
    <w:rsid w:val="678E6299"/>
    <w:rsid w:val="68DE6DAC"/>
    <w:rsid w:val="68F47009"/>
    <w:rsid w:val="693B5FAC"/>
    <w:rsid w:val="694A0EF8"/>
    <w:rsid w:val="69724608"/>
    <w:rsid w:val="6A94006A"/>
    <w:rsid w:val="6BFA6658"/>
    <w:rsid w:val="6ED54BE7"/>
    <w:rsid w:val="6F437969"/>
    <w:rsid w:val="7087071B"/>
    <w:rsid w:val="71241F46"/>
    <w:rsid w:val="713E5559"/>
    <w:rsid w:val="71E2790D"/>
    <w:rsid w:val="746A1E3C"/>
    <w:rsid w:val="747B1953"/>
    <w:rsid w:val="74B0028C"/>
    <w:rsid w:val="75865C19"/>
    <w:rsid w:val="75DF1F4C"/>
    <w:rsid w:val="75E12BAC"/>
    <w:rsid w:val="761B163F"/>
    <w:rsid w:val="76AE6010"/>
    <w:rsid w:val="798C63B0"/>
    <w:rsid w:val="7AA95FB1"/>
    <w:rsid w:val="7B494559"/>
    <w:rsid w:val="7BA003FB"/>
    <w:rsid w:val="7D0D6529"/>
    <w:rsid w:val="7D230DDA"/>
    <w:rsid w:val="7DFB1F7F"/>
    <w:rsid w:val="7E152E18"/>
    <w:rsid w:val="7E2E2619"/>
    <w:rsid w:val="7E6C0BC7"/>
    <w:rsid w:val="7EBF5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qFormat/>
    <w:uiPriority w:val="0"/>
    <w:pPr>
      <w:keepNext/>
      <w:keepLines/>
      <w:spacing w:before="260" w:after="260" w:line="413" w:lineRule="auto"/>
      <w:jc w:val="center"/>
      <w:outlineLvl w:val="2"/>
    </w:pPr>
    <w:rPr>
      <w:b/>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4">
    <w:name w:val="Body Text Indent"/>
    <w:basedOn w:val="1"/>
    <w:qFormat/>
    <w:uiPriority w:val="0"/>
    <w:pPr>
      <w:spacing w:line="700" w:lineRule="exact"/>
      <w:ind w:left="960"/>
    </w:pPr>
    <w:rPr>
      <w:sz w:val="44"/>
    </w:rPr>
  </w:style>
  <w:style w:type="paragraph" w:styleId="5">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6">
    <w:name w:val="toc 1"/>
    <w:basedOn w:val="1"/>
    <w:next w:val="1"/>
    <w:qFormat/>
    <w:uiPriority w:val="39"/>
    <w:pPr>
      <w:spacing w:line="320" w:lineRule="exact"/>
      <w:ind w:firstLine="280" w:firstLineChars="100"/>
    </w:p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Body Text First Indent"/>
    <w:basedOn w:val="2"/>
    <w:qFormat/>
    <w:uiPriority w:val="99"/>
    <w:pPr>
      <w:spacing w:line="360" w:lineRule="auto"/>
      <w:ind w:firstLine="420"/>
    </w:pPr>
    <w:rPr>
      <w:rFonts w:ascii="宋体" w:hAnsi="宋体"/>
      <w:sz w:val="24"/>
      <w:szCs w:val="20"/>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篇幅"/>
    <w:basedOn w:val="1"/>
    <w:qFormat/>
    <w:uiPriority w:val="0"/>
    <w:pPr>
      <w:tabs>
        <w:tab w:val="right" w:leader="dot" w:pos="9402"/>
      </w:tabs>
      <w:spacing w:line="480" w:lineRule="exact"/>
      <w:jc w:val="center"/>
    </w:pPr>
    <w:rPr>
      <w:rFonts w:hint="eastAsia" w:ascii="方正小标宋_GBK" w:hAnsi="方正小标宋_GBK" w:eastAsia="方正小标宋_GBK" w:cs="方正小标宋_GBK"/>
      <w:sz w:val="36"/>
      <w:szCs w:val="36"/>
    </w:rPr>
  </w:style>
  <w:style w:type="paragraph" w:customStyle="1" w:styleId="14">
    <w:name w:val="采购文件正文"/>
    <w:basedOn w:val="1"/>
    <w:qFormat/>
    <w:uiPriority w:val="0"/>
    <w:pPr>
      <w:snapToGrid w:val="0"/>
      <w:spacing w:line="480" w:lineRule="exact"/>
      <w:ind w:firstLine="480" w:firstLineChars="200"/>
    </w:pPr>
    <w:rPr>
      <w:rFonts w:hint="eastAsia" w:ascii="方正仿宋_GBK" w:hAnsi="方正仿宋_GBK" w:eastAsia="方正仿宋_GBK" w:cs="方正仿宋_GBK"/>
      <w:sz w:val="24"/>
      <w:szCs w:val="24"/>
    </w:rPr>
  </w:style>
  <w:style w:type="paragraph" w:customStyle="1" w:styleId="15">
    <w:name w:val="采购文件标题"/>
    <w:basedOn w:val="1"/>
    <w:next w:val="1"/>
    <w:qFormat/>
    <w:uiPriority w:val="0"/>
    <w:pPr>
      <w:keepNext/>
      <w:keepLines/>
      <w:adjustRightInd w:val="0"/>
      <w:snapToGrid w:val="0"/>
      <w:spacing w:line="480" w:lineRule="exact"/>
      <w:ind w:firstLine="482" w:firstLineChars="200"/>
      <w:outlineLvl w:val="2"/>
    </w:pPr>
    <w:rPr>
      <w:rFonts w:hint="eastAsia" w:ascii="方正黑体_GBK" w:hAnsi="方正黑体_GBK" w:eastAsia="方正黑体_GBK" w:cs="方正黑体_GBK"/>
      <w:sz w:val="24"/>
      <w:szCs w:val="24"/>
    </w:rPr>
  </w:style>
  <w:style w:type="paragraph" w:customStyle="1" w:styleId="16">
    <w:name w:val="采购文件篇幅"/>
    <w:basedOn w:val="1"/>
    <w:link w:val="18"/>
    <w:qFormat/>
    <w:uiPriority w:val="0"/>
    <w:pPr>
      <w:tabs>
        <w:tab w:val="right" w:leader="dot" w:pos="9402"/>
      </w:tabs>
      <w:spacing w:line="480" w:lineRule="exact"/>
      <w:jc w:val="center"/>
    </w:pPr>
    <w:rPr>
      <w:rFonts w:hint="eastAsia" w:ascii="方正小标宋_GBK" w:hAnsi="方正小标宋_GBK" w:eastAsia="方正小标宋_GBK" w:cs="方正小标宋_GBK"/>
      <w:sz w:val="36"/>
      <w:szCs w:val="36"/>
    </w:rPr>
  </w:style>
  <w:style w:type="paragraph" w:customStyle="1" w:styleId="17">
    <w:name w:val="正文标题（方正小标宋）2号"/>
    <w:basedOn w:val="7"/>
    <w:qFormat/>
    <w:uiPriority w:val="0"/>
    <w:rPr>
      <w:rFonts w:eastAsia="方正小标宋_GBK" w:asciiTheme="minorAscii" w:hAnsiTheme="minorAscii"/>
      <w:sz w:val="44"/>
    </w:rPr>
  </w:style>
  <w:style w:type="character" w:customStyle="1" w:styleId="18">
    <w:name w:val="采购文件篇幅 Char"/>
    <w:link w:val="16"/>
    <w:qFormat/>
    <w:uiPriority w:val="0"/>
    <w:rPr>
      <w:rFonts w:hint="eastAsia" w:ascii="方正小标宋_GBK" w:hAnsi="方正小标宋_GBK" w:eastAsia="方正小标宋_GBK" w:cs="方正小标宋_GBK"/>
      <w:sz w:val="36"/>
      <w:szCs w:val="36"/>
    </w:rPr>
  </w:style>
  <w:style w:type="paragraph" w:customStyle="1" w:styleId="19">
    <w:name w:val="图例"/>
    <w:basedOn w:val="1"/>
    <w:qFormat/>
    <w:uiPriority w:val="0"/>
    <w:pPr>
      <w:spacing w:before="120" w:beforeLines="0" w:beforeAutospacing="0" w:after="120" w:afterLines="0" w:afterAutospacing="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209</Words>
  <Characters>255</Characters>
  <Lines>0</Lines>
  <Paragraphs>0</Paragraphs>
  <TotalTime>31</TotalTime>
  <ScaleCrop>false</ScaleCrop>
  <LinksUpToDate>false</LinksUpToDate>
  <CharactersWithSpaces>258</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2025-02-12T00:10:00Z</dcterms:created>
  <dc:creator>Administrator</dc:creator>
  <cp:lastModifiedBy>湘上渔樵</cp:lastModifiedBy>
  <cp:lastPrinted>2025-03-06T03:23:00Z</cp:lastPrinted>
  <dcterms:modified xsi:type="dcterms:W3CDTF">2025-07-30T04:22:33Z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A1D2E9803EF44F44B25EE913D08D612B_13</vt:lpwstr>
  </property>
  <property fmtid="{D5CDD505-2E9C-101B-9397-08002B2CF9AE}" pid="4" name="KSOTemplateDocerSaveRecord">
    <vt:lpwstr>eyJoZGlkIjoiMGE0ODliOWMzN2RhMDk3ZjZhMGY5OTAyNmUzMDg3ZDIiLCJ1c2VySWQiOiIzMTA3OTIwOTMifQ==</vt:lpwstr>
  </property>
</Properties>
</file>