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C1BA3">
      <w:pPr>
        <w:jc w:val="center"/>
        <w:rPr>
          <w:rFonts w:hint="eastAsia" w:ascii="宋体" w:hAnsi="宋体" w:eastAsia="宋体" w:cs="宋体"/>
          <w:color w:val="auto"/>
          <w:highlight w:val="none"/>
        </w:rPr>
      </w:pPr>
    </w:p>
    <w:p w14:paraId="22192E02">
      <w:pPr>
        <w:spacing w:line="1600" w:lineRule="exact"/>
        <w:jc w:val="center"/>
        <w:outlineLvl w:val="9"/>
        <w:rPr>
          <w:rFonts w:hint="eastAsia" w:ascii="宋体" w:hAnsi="宋体" w:eastAsia="宋体" w:cs="宋体"/>
          <w:color w:val="auto"/>
          <w:sz w:val="100"/>
          <w:szCs w:val="100"/>
          <w:highlight w:val="none"/>
        </w:rPr>
      </w:pPr>
    </w:p>
    <w:p w14:paraId="36C853A9">
      <w:pPr>
        <w:spacing w:line="1600" w:lineRule="exact"/>
        <w:jc w:val="center"/>
        <w:outlineLvl w:val="9"/>
        <w:rPr>
          <w:rFonts w:hint="eastAsia" w:ascii="宋体" w:hAnsi="宋体" w:eastAsia="宋体" w:cs="宋体"/>
          <w:color w:val="auto"/>
          <w:sz w:val="100"/>
          <w:szCs w:val="100"/>
          <w:highlight w:val="none"/>
        </w:rPr>
      </w:pPr>
    </w:p>
    <w:p w14:paraId="73FA527A">
      <w:pPr>
        <w:spacing w:line="1600" w:lineRule="exact"/>
        <w:jc w:val="center"/>
        <w:outlineLvl w:val="0"/>
        <w:rPr>
          <w:rFonts w:hint="eastAsia" w:ascii="宋体" w:hAnsi="宋体" w:eastAsia="宋体" w:cs="宋体"/>
          <w:color w:val="auto"/>
          <w:sz w:val="100"/>
          <w:szCs w:val="100"/>
          <w:highlight w:val="none"/>
        </w:rPr>
      </w:pPr>
      <w:bookmarkStart w:id="0" w:name="_Toc12423"/>
      <w:bookmarkStart w:id="1" w:name="_Toc27865"/>
      <w:bookmarkStart w:id="2" w:name="_Toc16358"/>
      <w:r>
        <w:rPr>
          <w:rFonts w:hint="eastAsia" w:ascii="宋体" w:hAnsi="宋体" w:eastAsia="宋体" w:cs="宋体"/>
          <w:color w:val="auto"/>
          <w:sz w:val="100"/>
          <w:szCs w:val="100"/>
          <w:highlight w:val="none"/>
        </w:rPr>
        <w:t>竞争性磋商文件</w:t>
      </w:r>
      <w:bookmarkEnd w:id="0"/>
      <w:bookmarkEnd w:id="1"/>
      <w:bookmarkEnd w:id="2"/>
    </w:p>
    <w:p w14:paraId="6D19536C">
      <w:pPr>
        <w:spacing w:line="700" w:lineRule="exact"/>
        <w:jc w:val="center"/>
        <w:rPr>
          <w:rFonts w:hint="eastAsia" w:ascii="宋体" w:hAnsi="宋体" w:eastAsia="宋体" w:cs="宋体"/>
          <w:color w:val="auto"/>
          <w:sz w:val="72"/>
          <w:szCs w:val="72"/>
          <w:highlight w:val="none"/>
        </w:rPr>
      </w:pPr>
    </w:p>
    <w:p w14:paraId="0DDCDB82">
      <w:pPr>
        <w:spacing w:line="700" w:lineRule="exact"/>
        <w:jc w:val="center"/>
        <w:rPr>
          <w:rFonts w:hint="eastAsia" w:ascii="宋体" w:hAnsi="宋体" w:eastAsia="宋体" w:cs="宋体"/>
          <w:color w:val="auto"/>
          <w:sz w:val="32"/>
          <w:szCs w:val="32"/>
          <w:highlight w:val="none"/>
        </w:rPr>
      </w:pPr>
    </w:p>
    <w:p w14:paraId="70731F7D">
      <w:pPr>
        <w:spacing w:line="700" w:lineRule="exact"/>
        <w:jc w:val="center"/>
        <w:rPr>
          <w:rFonts w:hint="eastAsia" w:ascii="宋体" w:hAnsi="宋体" w:eastAsia="宋体" w:cs="宋体"/>
          <w:color w:val="auto"/>
          <w:sz w:val="32"/>
          <w:szCs w:val="32"/>
          <w:highlight w:val="none"/>
        </w:rPr>
      </w:pPr>
    </w:p>
    <w:p w14:paraId="0FB2702F">
      <w:pPr>
        <w:keepNext w:val="0"/>
        <w:keepLines w:val="0"/>
        <w:pageBreakBefore w:val="0"/>
        <w:widowControl w:val="0"/>
        <w:kinsoku/>
        <w:wordWrap/>
        <w:overflowPunct/>
        <w:topLinePunct w:val="0"/>
        <w:autoSpaceDE/>
        <w:autoSpaceDN/>
        <w:bidi w:val="0"/>
        <w:adjustRightInd/>
        <w:snapToGrid/>
        <w:spacing w:line="700" w:lineRule="exact"/>
        <w:ind w:firstLine="1200" w:firstLineChars="400"/>
        <w:jc w:val="left"/>
        <w:textAlignment w:val="auto"/>
        <w:outlineLvl w:val="0"/>
        <w:rPr>
          <w:rFonts w:hint="eastAsia" w:ascii="宋体" w:hAnsi="宋体" w:eastAsia="宋体" w:cs="宋体"/>
          <w:color w:val="auto"/>
          <w:sz w:val="30"/>
          <w:szCs w:val="30"/>
          <w:highlight w:val="none"/>
          <w:lang w:val="en-US" w:eastAsia="zh-CN"/>
        </w:rPr>
      </w:pPr>
      <w:bookmarkStart w:id="3" w:name="_Toc6928"/>
      <w:r>
        <w:rPr>
          <w:rFonts w:hint="eastAsia" w:ascii="宋体" w:hAnsi="宋体" w:cs="宋体"/>
          <w:color w:val="auto"/>
          <w:sz w:val="30"/>
          <w:szCs w:val="30"/>
          <w:highlight w:val="none"/>
          <w:lang w:val="en-US" w:eastAsia="zh-CN"/>
        </w:rPr>
        <w:t>项 目 编 号：</w:t>
      </w:r>
      <w:bookmarkEnd w:id="3"/>
      <w:r>
        <w:rPr>
          <w:rFonts w:hint="eastAsia" w:ascii="宋体" w:hAnsi="宋体" w:cs="宋体"/>
          <w:color w:val="auto"/>
          <w:sz w:val="32"/>
          <w:szCs w:val="32"/>
          <w:highlight w:val="none"/>
        </w:rPr>
        <w:t>PG-</w:t>
      </w:r>
      <w:r>
        <w:rPr>
          <w:rFonts w:hint="eastAsia" w:ascii="宋体" w:hAnsi="宋体" w:cs="宋体"/>
          <w:color w:val="auto"/>
          <w:sz w:val="32"/>
          <w:szCs w:val="32"/>
          <w:highlight w:val="none"/>
          <w:lang w:val="en-US" w:eastAsia="zh-CN"/>
        </w:rPr>
        <w:t>D3</w:t>
      </w:r>
      <w:r>
        <w:rPr>
          <w:rFonts w:hint="eastAsia" w:ascii="宋体" w:hAnsi="宋体" w:cs="宋体"/>
          <w:color w:val="auto"/>
          <w:sz w:val="32"/>
          <w:szCs w:val="32"/>
          <w:highlight w:val="none"/>
        </w:rPr>
        <w:t>FLY202</w:t>
      </w:r>
      <w:r>
        <w:rPr>
          <w:rFonts w:hint="eastAsia" w:ascii="宋体" w:hAnsi="宋体" w:cs="宋体"/>
          <w:color w:val="auto"/>
          <w:sz w:val="32"/>
          <w:szCs w:val="32"/>
          <w:highlight w:val="none"/>
          <w:lang w:val="en-US" w:eastAsia="zh-CN"/>
        </w:rPr>
        <w:t>5</w:t>
      </w:r>
      <w:r>
        <w:rPr>
          <w:rFonts w:hint="eastAsia" w:ascii="宋体" w:hAnsi="宋体" w:cs="宋体"/>
          <w:color w:val="auto"/>
          <w:sz w:val="32"/>
          <w:szCs w:val="32"/>
          <w:highlight w:val="none"/>
        </w:rPr>
        <w:t>-0</w:t>
      </w:r>
      <w:r>
        <w:rPr>
          <w:rFonts w:hint="eastAsia" w:ascii="宋体" w:hAnsi="宋体" w:cs="宋体"/>
          <w:color w:val="auto"/>
          <w:sz w:val="32"/>
          <w:szCs w:val="32"/>
          <w:highlight w:val="none"/>
          <w:lang w:val="en-US" w:eastAsia="zh-CN"/>
        </w:rPr>
        <w:t>02</w:t>
      </w:r>
      <w:r>
        <w:rPr>
          <w:rFonts w:hint="eastAsia" w:ascii="宋体" w:hAnsi="宋体" w:eastAsia="宋体" w:cs="宋体"/>
          <w:color w:val="auto"/>
          <w:sz w:val="30"/>
          <w:szCs w:val="30"/>
          <w:highlight w:val="none"/>
        </w:rPr>
        <w:t xml:space="preserve"> </w:t>
      </w:r>
    </w:p>
    <w:p w14:paraId="5BB445FC">
      <w:pPr>
        <w:keepNext w:val="0"/>
        <w:keepLines w:val="0"/>
        <w:pageBreakBefore w:val="0"/>
        <w:widowControl w:val="0"/>
        <w:kinsoku/>
        <w:wordWrap/>
        <w:overflowPunct/>
        <w:topLinePunct w:val="0"/>
        <w:autoSpaceDE/>
        <w:autoSpaceDN/>
        <w:bidi w:val="0"/>
        <w:adjustRightInd/>
        <w:snapToGrid/>
        <w:spacing w:line="700" w:lineRule="exact"/>
        <w:ind w:firstLine="1200" w:firstLineChars="400"/>
        <w:jc w:val="left"/>
        <w:textAlignment w:val="auto"/>
        <w:outlineLvl w:val="0"/>
        <w:rPr>
          <w:rFonts w:hint="eastAsia" w:ascii="宋体" w:hAnsi="宋体" w:eastAsia="宋体" w:cs="宋体"/>
          <w:color w:val="auto"/>
          <w:sz w:val="36"/>
          <w:szCs w:val="36"/>
          <w:highlight w:val="none"/>
          <w:lang w:val="en-US" w:eastAsia="zh-CN"/>
        </w:rPr>
      </w:pPr>
      <w:bookmarkStart w:id="4" w:name="_Toc21447"/>
      <w:bookmarkStart w:id="5" w:name="_Toc27872"/>
      <w:bookmarkStart w:id="6" w:name="_Toc29004"/>
      <w:r>
        <w:rPr>
          <w:rFonts w:hint="eastAsia" w:ascii="宋体" w:hAnsi="宋体" w:eastAsia="宋体" w:cs="宋体"/>
          <w:color w:val="auto"/>
          <w:sz w:val="30"/>
          <w:szCs w:val="30"/>
          <w:highlight w:val="none"/>
        </w:rPr>
        <w:t>磋商项目名称：</w:t>
      </w:r>
      <w:bookmarkEnd w:id="4"/>
      <w:bookmarkEnd w:id="5"/>
      <w:r>
        <w:rPr>
          <w:rFonts w:hint="eastAsia" w:ascii="宋体" w:hAnsi="宋体" w:cs="宋体"/>
          <w:color w:val="auto"/>
          <w:sz w:val="30"/>
          <w:szCs w:val="30"/>
          <w:highlight w:val="none"/>
          <w:lang w:val="en-US" w:eastAsia="zh-CN"/>
        </w:rPr>
        <w:t>福寿楼项目工程质量检测</w:t>
      </w:r>
      <w:bookmarkEnd w:id="6"/>
    </w:p>
    <w:p w14:paraId="1B55765A">
      <w:pPr>
        <w:spacing w:line="700" w:lineRule="exact"/>
        <w:ind w:firstLine="1749" w:firstLineChars="486"/>
        <w:rPr>
          <w:rFonts w:hint="eastAsia" w:ascii="宋体" w:hAnsi="宋体" w:eastAsia="宋体" w:cs="宋体"/>
          <w:color w:val="auto"/>
          <w:sz w:val="36"/>
          <w:szCs w:val="36"/>
          <w:highlight w:val="none"/>
        </w:rPr>
      </w:pPr>
    </w:p>
    <w:p w14:paraId="3D12D684">
      <w:pPr>
        <w:spacing w:line="700" w:lineRule="exact"/>
        <w:ind w:firstLine="1749" w:firstLineChars="486"/>
        <w:rPr>
          <w:rFonts w:hint="eastAsia" w:ascii="宋体" w:hAnsi="宋体" w:eastAsia="宋体" w:cs="宋体"/>
          <w:color w:val="auto"/>
          <w:sz w:val="36"/>
          <w:szCs w:val="36"/>
          <w:highlight w:val="none"/>
        </w:rPr>
      </w:pPr>
    </w:p>
    <w:p w14:paraId="63C09C95">
      <w:pPr>
        <w:spacing w:line="700" w:lineRule="exact"/>
        <w:ind w:firstLine="1749" w:firstLineChars="486"/>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rPr>
        <w:t xml:space="preserve"> </w:t>
      </w:r>
      <w:r>
        <w:rPr>
          <w:rFonts w:hint="eastAsia" w:ascii="宋体" w:hAnsi="宋体" w:eastAsia="宋体" w:cs="宋体"/>
          <w:color w:val="auto"/>
          <w:sz w:val="36"/>
          <w:szCs w:val="36"/>
          <w:highlight w:val="none"/>
          <w:lang w:val="en-US" w:eastAsia="zh-CN"/>
        </w:rPr>
        <w:t xml:space="preserve"> </w:t>
      </w:r>
    </w:p>
    <w:p w14:paraId="07667281">
      <w:pPr>
        <w:keepNext w:val="0"/>
        <w:keepLines w:val="0"/>
        <w:pageBreakBefore w:val="0"/>
        <w:widowControl w:val="0"/>
        <w:kinsoku/>
        <w:wordWrap/>
        <w:overflowPunct/>
        <w:topLinePunct w:val="0"/>
        <w:autoSpaceDE/>
        <w:autoSpaceDN/>
        <w:bidi w:val="0"/>
        <w:adjustRightInd/>
        <w:snapToGrid/>
        <w:spacing w:line="700" w:lineRule="exact"/>
        <w:ind w:firstLine="1200" w:firstLineChars="400"/>
        <w:jc w:val="left"/>
        <w:textAlignment w:val="auto"/>
        <w:outlineLvl w:val="0"/>
        <w:rPr>
          <w:rFonts w:hint="eastAsia" w:ascii="宋体" w:hAnsi="宋体" w:eastAsia="宋体" w:cs="宋体"/>
          <w:color w:val="auto"/>
          <w:sz w:val="30"/>
          <w:szCs w:val="30"/>
          <w:highlight w:val="none"/>
          <w:lang w:val="en-US" w:eastAsia="zh-CN"/>
        </w:rPr>
      </w:pPr>
      <w:bookmarkStart w:id="7" w:name="_Toc7362"/>
      <w:bookmarkStart w:id="8" w:name="_Toc18079"/>
      <w:bookmarkStart w:id="9" w:name="_Toc5413"/>
      <w:r>
        <w:rPr>
          <w:rFonts w:hint="eastAsia" w:ascii="宋体" w:hAnsi="宋体" w:eastAsia="宋体" w:cs="宋体"/>
          <w:color w:val="auto"/>
          <w:sz w:val="30"/>
          <w:szCs w:val="30"/>
          <w:highlight w:val="none"/>
        </w:rPr>
        <w:t>采</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购</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人：</w:t>
      </w:r>
      <w:bookmarkEnd w:id="7"/>
      <w:bookmarkEnd w:id="8"/>
      <w:r>
        <w:rPr>
          <w:rFonts w:hint="eastAsia" w:ascii="宋体" w:hAnsi="宋体" w:cs="宋体"/>
          <w:color w:val="auto"/>
          <w:sz w:val="30"/>
          <w:szCs w:val="30"/>
          <w:highlight w:val="none"/>
          <w:lang w:val="en-US" w:eastAsia="zh-CN"/>
        </w:rPr>
        <w:t>重庆市第三社会福利院</w:t>
      </w:r>
      <w:bookmarkEnd w:id="9"/>
    </w:p>
    <w:p w14:paraId="5B1BCC3E">
      <w:pPr>
        <w:keepNext w:val="0"/>
        <w:keepLines w:val="0"/>
        <w:pageBreakBefore w:val="0"/>
        <w:widowControl w:val="0"/>
        <w:kinsoku/>
        <w:wordWrap/>
        <w:overflowPunct/>
        <w:topLinePunct w:val="0"/>
        <w:autoSpaceDE/>
        <w:autoSpaceDN/>
        <w:bidi w:val="0"/>
        <w:adjustRightInd/>
        <w:snapToGrid/>
        <w:spacing w:line="700" w:lineRule="exact"/>
        <w:ind w:firstLine="1200" w:firstLineChars="400"/>
        <w:jc w:val="left"/>
        <w:textAlignment w:val="auto"/>
        <w:outlineLvl w:val="0"/>
        <w:rPr>
          <w:rFonts w:hint="eastAsia" w:ascii="宋体" w:hAnsi="宋体" w:eastAsia="宋体" w:cs="宋体"/>
          <w:color w:val="auto"/>
          <w:sz w:val="30"/>
          <w:szCs w:val="30"/>
          <w:highlight w:val="none"/>
          <w:lang w:val="en-US" w:eastAsia="zh-CN"/>
        </w:rPr>
      </w:pPr>
      <w:bookmarkStart w:id="10" w:name="_Toc6749"/>
      <w:bookmarkStart w:id="11" w:name="_Toc5168"/>
      <w:bookmarkStart w:id="12" w:name="_Toc8311"/>
      <w:r>
        <w:rPr>
          <w:rFonts w:hint="eastAsia" w:ascii="宋体" w:hAnsi="宋体" w:eastAsia="宋体" w:cs="宋体"/>
          <w:color w:val="auto"/>
          <w:sz w:val="30"/>
          <w:szCs w:val="30"/>
          <w:highlight w:val="none"/>
        </w:rPr>
        <w:t>采购代理机构：</w:t>
      </w:r>
      <w:r>
        <w:rPr>
          <w:rFonts w:hint="eastAsia" w:ascii="宋体" w:hAnsi="宋体" w:eastAsia="宋体" w:cs="宋体"/>
          <w:color w:val="auto"/>
          <w:sz w:val="30"/>
          <w:szCs w:val="30"/>
          <w:highlight w:val="none"/>
          <w:lang w:val="en-US" w:eastAsia="zh-CN"/>
        </w:rPr>
        <w:t>攀钢集团工科工程咨询有限公司</w:t>
      </w:r>
      <w:bookmarkEnd w:id="10"/>
      <w:bookmarkEnd w:id="11"/>
      <w:bookmarkEnd w:id="12"/>
    </w:p>
    <w:p w14:paraId="641E1318">
      <w:pPr>
        <w:keepNext w:val="0"/>
        <w:keepLines w:val="0"/>
        <w:pageBreakBefore w:val="0"/>
        <w:widowControl w:val="0"/>
        <w:kinsoku/>
        <w:wordWrap/>
        <w:overflowPunct/>
        <w:topLinePunct w:val="0"/>
        <w:autoSpaceDE/>
        <w:autoSpaceDN/>
        <w:bidi w:val="0"/>
        <w:adjustRightInd/>
        <w:snapToGrid/>
        <w:spacing w:line="600" w:lineRule="exact"/>
        <w:ind w:firstLine="1200" w:firstLineChars="400"/>
        <w:jc w:val="left"/>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46F4AE63">
      <w:pPr>
        <w:keepNext w:val="0"/>
        <w:keepLines w:val="0"/>
        <w:pageBreakBefore w:val="0"/>
        <w:widowControl w:val="0"/>
        <w:kinsoku/>
        <w:wordWrap/>
        <w:overflowPunct/>
        <w:topLinePunct w:val="0"/>
        <w:autoSpaceDE/>
        <w:autoSpaceDN/>
        <w:bidi w:val="0"/>
        <w:adjustRightInd/>
        <w:snapToGrid/>
        <w:spacing w:line="600" w:lineRule="exact"/>
        <w:ind w:firstLine="1200" w:firstLineChars="400"/>
        <w:jc w:val="left"/>
        <w:textAlignment w:val="auto"/>
        <w:outlineLvl w:val="9"/>
        <w:rPr>
          <w:rFonts w:hint="eastAsia" w:ascii="宋体" w:hAnsi="宋体" w:eastAsia="宋体" w:cs="宋体"/>
          <w:color w:val="auto"/>
          <w:sz w:val="30"/>
          <w:szCs w:val="30"/>
          <w:highlight w:val="none"/>
        </w:rPr>
      </w:pPr>
    </w:p>
    <w:p w14:paraId="1F9339F1">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宋体" w:hAnsi="宋体" w:eastAsia="宋体" w:cs="宋体"/>
          <w:color w:val="auto"/>
          <w:sz w:val="30"/>
          <w:szCs w:val="30"/>
          <w:highlight w:val="none"/>
        </w:rPr>
      </w:pPr>
      <w:bookmarkStart w:id="13" w:name="_Toc19223"/>
      <w:bookmarkStart w:id="14" w:name="_Toc5025"/>
      <w:bookmarkStart w:id="15" w:name="_Toc4663"/>
      <w:r>
        <w:rPr>
          <w:rFonts w:hint="eastAsia" w:ascii="宋体" w:hAnsi="宋体" w:eastAsia="宋体" w:cs="宋体"/>
          <w:color w:val="auto"/>
          <w:sz w:val="30"/>
          <w:szCs w:val="30"/>
          <w:highlight w:val="none"/>
        </w:rPr>
        <w:t>二〇二</w:t>
      </w:r>
      <w:r>
        <w:rPr>
          <w:rFonts w:hint="eastAsia" w:ascii="宋体" w:hAnsi="宋体" w:cs="宋体"/>
          <w:color w:val="auto"/>
          <w:sz w:val="30"/>
          <w:szCs w:val="30"/>
          <w:highlight w:val="none"/>
          <w:lang w:val="en-US" w:eastAsia="zh-CN"/>
        </w:rPr>
        <w:t>五</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eastAsia="zh-CN"/>
        </w:rPr>
        <w:t>五</w:t>
      </w:r>
      <w:r>
        <w:rPr>
          <w:rFonts w:hint="eastAsia" w:ascii="宋体" w:hAnsi="宋体" w:eastAsia="宋体" w:cs="宋体"/>
          <w:color w:val="auto"/>
          <w:sz w:val="30"/>
          <w:szCs w:val="30"/>
          <w:highlight w:val="none"/>
        </w:rPr>
        <w:t>月</w:t>
      </w:r>
      <w:bookmarkEnd w:id="13"/>
      <w:bookmarkEnd w:id="14"/>
      <w:bookmarkEnd w:id="15"/>
    </w:p>
    <w:p w14:paraId="6B3CD421">
      <w:pPr>
        <w:keepNext w:val="0"/>
        <w:keepLines w:val="0"/>
        <w:pageBreakBefore w:val="0"/>
        <w:widowControl w:val="0"/>
        <w:kinsoku/>
        <w:wordWrap/>
        <w:overflowPunct/>
        <w:topLinePunct w:val="0"/>
        <w:autoSpaceDE/>
        <w:autoSpaceDN/>
        <w:bidi w:val="0"/>
        <w:adjustRightInd/>
        <w:snapToGrid/>
        <w:spacing w:line="600" w:lineRule="exact"/>
        <w:ind w:firstLine="1200" w:firstLineChars="400"/>
        <w:jc w:val="left"/>
        <w:textAlignment w:val="auto"/>
        <w:outlineLvl w:val="9"/>
        <w:rPr>
          <w:rFonts w:hint="eastAsia" w:ascii="宋体" w:hAnsi="宋体" w:eastAsia="宋体" w:cs="宋体"/>
          <w:color w:val="auto"/>
          <w:sz w:val="30"/>
          <w:szCs w:val="30"/>
          <w:highlight w:val="none"/>
        </w:rPr>
        <w:sectPr>
          <w:footerReference r:id="rId4" w:type="first"/>
          <w:footerReference r:id="rId3" w:type="default"/>
          <w:pgSz w:w="11907" w:h="16840"/>
          <w:pgMar w:top="1134" w:right="1191" w:bottom="1134" w:left="1304" w:header="851" w:footer="992" w:gutter="0"/>
          <w:pgNumType w:fmt="numberInDash"/>
          <w:cols w:space="720" w:num="1"/>
          <w:titlePg/>
          <w:docGrid w:type="lines" w:linePitch="381" w:charSpace="0"/>
        </w:sectPr>
      </w:pPr>
    </w:p>
    <w:sdt>
      <w:sdtPr>
        <w:rPr>
          <w:rFonts w:hint="eastAsia" w:ascii="宋体" w:hAnsi="宋体" w:eastAsia="宋体" w:cs="宋体"/>
          <w:color w:val="auto"/>
          <w:kern w:val="2"/>
          <w:sz w:val="32"/>
          <w:szCs w:val="32"/>
          <w:highlight w:val="none"/>
          <w:lang w:val="en-US" w:eastAsia="zh-CN" w:bidi="ar-SA"/>
        </w:rPr>
        <w:id w:val="147465937"/>
        <w15:color w:val="DBDBDB"/>
        <w:docPartObj>
          <w:docPartGallery w:val="Table of Contents"/>
          <w:docPartUnique/>
        </w:docPartObj>
      </w:sdtPr>
      <w:sdtEndPr>
        <w:rPr>
          <w:rFonts w:hint="eastAsia" w:ascii="宋体" w:hAnsi="宋体" w:eastAsia="宋体" w:cs="宋体"/>
          <w:color w:val="auto"/>
          <w:kern w:val="2"/>
          <w:sz w:val="28"/>
          <w:szCs w:val="44"/>
          <w:highlight w:val="none"/>
          <w:lang w:val="en-US" w:eastAsia="zh-CN" w:bidi="ar-SA"/>
        </w:rPr>
      </w:sdtEndPr>
      <w:sdtContent>
        <w:p w14:paraId="23B3B638">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1E6E2D44">
          <w:pPr>
            <w:pStyle w:val="12"/>
            <w:tabs>
              <w:tab w:val="right" w:leader="dot" w:pos="9412"/>
            </w:tabs>
            <w:rPr>
              <w:highlight w:val="none"/>
            </w:rPr>
          </w:pPr>
          <w:r>
            <w:rPr>
              <w:rFonts w:hint="eastAsia" w:ascii="宋体" w:hAnsi="宋体" w:eastAsia="宋体" w:cs="宋体"/>
              <w:color w:val="auto"/>
              <w:sz w:val="44"/>
              <w:szCs w:val="44"/>
              <w:highlight w:val="none"/>
            </w:rPr>
            <w:fldChar w:fldCharType="begin"/>
          </w:r>
          <w:r>
            <w:rPr>
              <w:rFonts w:hint="eastAsia" w:ascii="宋体" w:hAnsi="宋体" w:eastAsia="宋体" w:cs="宋体"/>
              <w:color w:val="auto"/>
              <w:sz w:val="44"/>
              <w:szCs w:val="44"/>
              <w:highlight w:val="none"/>
            </w:rPr>
            <w:instrText xml:space="preserve">TOC \o "1-1" \h \u </w:instrText>
          </w:r>
          <w:r>
            <w:rPr>
              <w:rFonts w:hint="eastAsia" w:ascii="宋体" w:hAnsi="宋体" w:eastAsia="宋体" w:cs="宋体"/>
              <w:color w:val="auto"/>
              <w:sz w:val="44"/>
              <w:szCs w:val="44"/>
              <w:highlight w:val="none"/>
            </w:rPr>
            <w:fldChar w:fldCharType="separate"/>
          </w:r>
        </w:p>
        <w:p w14:paraId="2CF50FDD">
          <w:pPr>
            <w:pStyle w:val="12"/>
            <w:tabs>
              <w:tab w:val="right" w:leader="dot" w:pos="9412"/>
            </w:tabs>
            <w:rPr>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szCs w:val="44"/>
              <w:highlight w:val="none"/>
            </w:rPr>
            <w:instrText xml:space="preserve"> HYPERLINK \l _Toc32694 </w:instrText>
          </w:r>
          <w:r>
            <w:rPr>
              <w:rFonts w:hint="eastAsia" w:ascii="宋体" w:hAnsi="宋体" w:eastAsia="宋体" w:cs="宋体"/>
              <w:szCs w:val="44"/>
              <w:highlight w:val="none"/>
            </w:rPr>
            <w:fldChar w:fldCharType="separate"/>
          </w:r>
          <w:r>
            <w:rPr>
              <w:rFonts w:hint="eastAsia" w:ascii="宋体" w:hAnsi="宋体" w:eastAsia="宋体" w:cs="宋体"/>
              <w:bCs/>
              <w:szCs w:val="36"/>
              <w:highlight w:val="none"/>
            </w:rPr>
            <w:t>第一篇  采购邀请书</w:t>
          </w:r>
          <w:r>
            <w:rPr>
              <w:highlight w:val="none"/>
            </w:rPr>
            <w:tab/>
          </w:r>
          <w:r>
            <w:rPr>
              <w:highlight w:val="none"/>
            </w:rPr>
            <w:fldChar w:fldCharType="begin"/>
          </w:r>
          <w:r>
            <w:rPr>
              <w:highlight w:val="none"/>
            </w:rPr>
            <w:instrText xml:space="preserve"> PAGEREF _Toc32694 \h </w:instrText>
          </w:r>
          <w:r>
            <w:rPr>
              <w:highlight w:val="none"/>
            </w:rPr>
            <w:fldChar w:fldCharType="separate"/>
          </w:r>
          <w:r>
            <w:rPr>
              <w:highlight w:val="none"/>
            </w:rPr>
            <w:t>- 3 -</w:t>
          </w:r>
          <w:r>
            <w:rPr>
              <w:highlight w:val="none"/>
            </w:rPr>
            <w:fldChar w:fldCharType="end"/>
          </w:r>
          <w:r>
            <w:rPr>
              <w:rFonts w:hint="eastAsia" w:ascii="宋体" w:hAnsi="宋体" w:eastAsia="宋体" w:cs="宋体"/>
              <w:color w:val="auto"/>
              <w:szCs w:val="44"/>
              <w:highlight w:val="none"/>
            </w:rPr>
            <w:fldChar w:fldCharType="end"/>
          </w:r>
        </w:p>
        <w:p w14:paraId="1FA8C0E5">
          <w:pPr>
            <w:pStyle w:val="12"/>
            <w:tabs>
              <w:tab w:val="right" w:leader="dot" w:pos="9412"/>
            </w:tabs>
            <w:rPr>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szCs w:val="44"/>
              <w:highlight w:val="none"/>
            </w:rPr>
            <w:instrText xml:space="preserve"> HYPERLINK \l _Toc13732 </w:instrText>
          </w:r>
          <w:r>
            <w:rPr>
              <w:rFonts w:hint="eastAsia" w:ascii="宋体" w:hAnsi="宋体" w:eastAsia="宋体" w:cs="宋体"/>
              <w:szCs w:val="44"/>
              <w:highlight w:val="none"/>
            </w:rPr>
            <w:fldChar w:fldCharType="separate"/>
          </w:r>
          <w:r>
            <w:rPr>
              <w:rFonts w:hint="eastAsia" w:ascii="宋体" w:hAnsi="宋体" w:eastAsia="宋体" w:cs="宋体"/>
              <w:bCs/>
              <w:szCs w:val="36"/>
              <w:highlight w:val="none"/>
            </w:rPr>
            <w:t>第二篇 项目服务需求</w:t>
          </w:r>
          <w:r>
            <w:rPr>
              <w:highlight w:val="none"/>
            </w:rPr>
            <w:tab/>
          </w:r>
          <w:r>
            <w:rPr>
              <w:highlight w:val="none"/>
            </w:rPr>
            <w:fldChar w:fldCharType="begin"/>
          </w:r>
          <w:r>
            <w:rPr>
              <w:highlight w:val="none"/>
            </w:rPr>
            <w:instrText xml:space="preserve"> PAGEREF _Toc13732 \h </w:instrText>
          </w:r>
          <w:r>
            <w:rPr>
              <w:highlight w:val="none"/>
            </w:rPr>
            <w:fldChar w:fldCharType="separate"/>
          </w:r>
          <w:r>
            <w:rPr>
              <w:highlight w:val="none"/>
            </w:rPr>
            <w:t>- 6 -</w:t>
          </w:r>
          <w:r>
            <w:rPr>
              <w:highlight w:val="none"/>
            </w:rPr>
            <w:fldChar w:fldCharType="end"/>
          </w:r>
          <w:r>
            <w:rPr>
              <w:rFonts w:hint="eastAsia" w:ascii="宋体" w:hAnsi="宋体" w:eastAsia="宋体" w:cs="宋体"/>
              <w:color w:val="auto"/>
              <w:szCs w:val="44"/>
              <w:highlight w:val="none"/>
            </w:rPr>
            <w:fldChar w:fldCharType="end"/>
          </w:r>
        </w:p>
        <w:p w14:paraId="4B6347ED">
          <w:pPr>
            <w:pStyle w:val="12"/>
            <w:tabs>
              <w:tab w:val="right" w:leader="dot" w:pos="9412"/>
            </w:tabs>
            <w:rPr>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szCs w:val="44"/>
              <w:highlight w:val="none"/>
            </w:rPr>
            <w:instrText xml:space="preserve"> HYPERLINK \l _Toc24552 </w:instrText>
          </w:r>
          <w:r>
            <w:rPr>
              <w:rFonts w:hint="eastAsia" w:ascii="宋体" w:hAnsi="宋体" w:eastAsia="宋体" w:cs="宋体"/>
              <w:szCs w:val="44"/>
              <w:highlight w:val="none"/>
            </w:rPr>
            <w:fldChar w:fldCharType="separate"/>
          </w:r>
          <w:r>
            <w:rPr>
              <w:rFonts w:hint="eastAsia" w:ascii="宋体" w:hAnsi="宋体" w:eastAsia="宋体" w:cs="宋体"/>
              <w:bCs/>
              <w:szCs w:val="36"/>
              <w:highlight w:val="none"/>
            </w:rPr>
            <w:t>第三篇  项目商务需求</w:t>
          </w:r>
          <w:r>
            <w:rPr>
              <w:highlight w:val="none"/>
            </w:rPr>
            <w:tab/>
          </w:r>
          <w:r>
            <w:rPr>
              <w:highlight w:val="none"/>
            </w:rPr>
            <w:fldChar w:fldCharType="begin"/>
          </w:r>
          <w:r>
            <w:rPr>
              <w:highlight w:val="none"/>
            </w:rPr>
            <w:instrText xml:space="preserve"> PAGEREF _Toc24552 \h </w:instrText>
          </w:r>
          <w:r>
            <w:rPr>
              <w:highlight w:val="none"/>
            </w:rPr>
            <w:fldChar w:fldCharType="separate"/>
          </w:r>
          <w:r>
            <w:rPr>
              <w:highlight w:val="none"/>
            </w:rPr>
            <w:t>- 11 -</w:t>
          </w:r>
          <w:r>
            <w:rPr>
              <w:highlight w:val="none"/>
            </w:rPr>
            <w:fldChar w:fldCharType="end"/>
          </w:r>
          <w:r>
            <w:rPr>
              <w:rFonts w:hint="eastAsia" w:ascii="宋体" w:hAnsi="宋体" w:eastAsia="宋体" w:cs="宋体"/>
              <w:color w:val="auto"/>
              <w:szCs w:val="44"/>
              <w:highlight w:val="none"/>
            </w:rPr>
            <w:fldChar w:fldCharType="end"/>
          </w:r>
        </w:p>
        <w:p w14:paraId="0B0367DA">
          <w:pPr>
            <w:pStyle w:val="12"/>
            <w:tabs>
              <w:tab w:val="right" w:leader="dot" w:pos="9412"/>
            </w:tabs>
            <w:rPr>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szCs w:val="44"/>
              <w:highlight w:val="none"/>
            </w:rPr>
            <w:instrText xml:space="preserve"> HYPERLINK \l _Toc26274 </w:instrText>
          </w:r>
          <w:r>
            <w:rPr>
              <w:rFonts w:hint="eastAsia" w:ascii="宋体" w:hAnsi="宋体" w:eastAsia="宋体" w:cs="宋体"/>
              <w:szCs w:val="44"/>
              <w:highlight w:val="none"/>
            </w:rPr>
            <w:fldChar w:fldCharType="separate"/>
          </w:r>
          <w:r>
            <w:rPr>
              <w:rFonts w:hint="eastAsia" w:ascii="宋体" w:hAnsi="宋体" w:eastAsia="宋体" w:cs="宋体"/>
              <w:bCs/>
              <w:szCs w:val="36"/>
              <w:highlight w:val="none"/>
            </w:rPr>
            <w:t>第四篇  磋商程序及方法、评审标准、无效响应和采购终止</w:t>
          </w:r>
          <w:r>
            <w:rPr>
              <w:highlight w:val="none"/>
            </w:rPr>
            <w:tab/>
          </w:r>
          <w:r>
            <w:rPr>
              <w:highlight w:val="none"/>
            </w:rPr>
            <w:fldChar w:fldCharType="begin"/>
          </w:r>
          <w:r>
            <w:rPr>
              <w:highlight w:val="none"/>
            </w:rPr>
            <w:instrText xml:space="preserve"> PAGEREF _Toc26274 \h </w:instrText>
          </w:r>
          <w:r>
            <w:rPr>
              <w:highlight w:val="none"/>
            </w:rPr>
            <w:fldChar w:fldCharType="separate"/>
          </w:r>
          <w:r>
            <w:rPr>
              <w:highlight w:val="none"/>
            </w:rPr>
            <w:t>- 13 -</w:t>
          </w:r>
          <w:r>
            <w:rPr>
              <w:highlight w:val="none"/>
            </w:rPr>
            <w:fldChar w:fldCharType="end"/>
          </w:r>
          <w:r>
            <w:rPr>
              <w:rFonts w:hint="eastAsia" w:ascii="宋体" w:hAnsi="宋体" w:eastAsia="宋体" w:cs="宋体"/>
              <w:color w:val="auto"/>
              <w:szCs w:val="44"/>
              <w:highlight w:val="none"/>
            </w:rPr>
            <w:fldChar w:fldCharType="end"/>
          </w:r>
        </w:p>
        <w:p w14:paraId="14B08225">
          <w:pPr>
            <w:pStyle w:val="12"/>
            <w:tabs>
              <w:tab w:val="right" w:leader="dot" w:pos="9412"/>
            </w:tabs>
            <w:rPr>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szCs w:val="44"/>
              <w:highlight w:val="none"/>
            </w:rPr>
            <w:instrText xml:space="preserve"> HYPERLINK \l _Toc17623 </w:instrText>
          </w:r>
          <w:r>
            <w:rPr>
              <w:rFonts w:hint="eastAsia" w:ascii="宋体" w:hAnsi="宋体" w:eastAsia="宋体" w:cs="宋体"/>
              <w:szCs w:val="44"/>
              <w:highlight w:val="none"/>
            </w:rPr>
            <w:fldChar w:fldCharType="separate"/>
          </w:r>
          <w:r>
            <w:rPr>
              <w:rFonts w:hint="eastAsia" w:ascii="宋体" w:hAnsi="宋体" w:eastAsia="宋体" w:cs="宋体"/>
              <w:bCs/>
              <w:szCs w:val="36"/>
              <w:highlight w:val="none"/>
            </w:rPr>
            <w:t>第五篇  供应商须知</w:t>
          </w:r>
          <w:r>
            <w:rPr>
              <w:highlight w:val="none"/>
            </w:rPr>
            <w:tab/>
          </w:r>
          <w:r>
            <w:rPr>
              <w:highlight w:val="none"/>
            </w:rPr>
            <w:fldChar w:fldCharType="begin"/>
          </w:r>
          <w:r>
            <w:rPr>
              <w:highlight w:val="none"/>
            </w:rPr>
            <w:instrText xml:space="preserve"> PAGEREF _Toc17623 \h </w:instrText>
          </w:r>
          <w:r>
            <w:rPr>
              <w:highlight w:val="none"/>
            </w:rPr>
            <w:fldChar w:fldCharType="separate"/>
          </w:r>
          <w:r>
            <w:rPr>
              <w:highlight w:val="none"/>
            </w:rPr>
            <w:t>- 19 -</w:t>
          </w:r>
          <w:r>
            <w:rPr>
              <w:highlight w:val="none"/>
            </w:rPr>
            <w:fldChar w:fldCharType="end"/>
          </w:r>
          <w:r>
            <w:rPr>
              <w:rFonts w:hint="eastAsia" w:ascii="宋体" w:hAnsi="宋体" w:eastAsia="宋体" w:cs="宋体"/>
              <w:color w:val="auto"/>
              <w:szCs w:val="44"/>
              <w:highlight w:val="none"/>
            </w:rPr>
            <w:fldChar w:fldCharType="end"/>
          </w:r>
        </w:p>
        <w:p w14:paraId="4D977FCD">
          <w:pPr>
            <w:pStyle w:val="12"/>
            <w:tabs>
              <w:tab w:val="right" w:leader="dot" w:pos="9412"/>
            </w:tabs>
            <w:rPr>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szCs w:val="44"/>
              <w:highlight w:val="none"/>
            </w:rPr>
            <w:instrText xml:space="preserve"> HYPERLINK \l _Toc2620 </w:instrText>
          </w:r>
          <w:r>
            <w:rPr>
              <w:rFonts w:hint="eastAsia" w:ascii="宋体" w:hAnsi="宋体" w:eastAsia="宋体" w:cs="宋体"/>
              <w:szCs w:val="44"/>
              <w:highlight w:val="none"/>
            </w:rPr>
            <w:fldChar w:fldCharType="separate"/>
          </w:r>
          <w:r>
            <w:rPr>
              <w:rFonts w:hint="eastAsia" w:ascii="宋体" w:hAnsi="宋体" w:eastAsia="宋体" w:cs="宋体"/>
              <w:bCs/>
              <w:szCs w:val="36"/>
              <w:highlight w:val="none"/>
            </w:rPr>
            <w:t>第六篇  合同</w:t>
          </w:r>
          <w:r>
            <w:rPr>
              <w:rFonts w:hint="eastAsia" w:ascii="宋体" w:hAnsi="宋体" w:eastAsia="宋体" w:cs="宋体"/>
              <w:bCs/>
              <w:szCs w:val="36"/>
              <w:highlight w:val="none"/>
              <w:lang w:val="en-US" w:eastAsia="zh-CN"/>
            </w:rPr>
            <w:t>草案条款</w:t>
          </w:r>
          <w:r>
            <w:rPr>
              <w:highlight w:val="none"/>
            </w:rPr>
            <w:tab/>
          </w:r>
          <w:r>
            <w:rPr>
              <w:highlight w:val="none"/>
            </w:rPr>
            <w:fldChar w:fldCharType="begin"/>
          </w:r>
          <w:r>
            <w:rPr>
              <w:highlight w:val="none"/>
            </w:rPr>
            <w:instrText xml:space="preserve"> PAGEREF _Toc2620 \h </w:instrText>
          </w:r>
          <w:r>
            <w:rPr>
              <w:highlight w:val="none"/>
            </w:rPr>
            <w:fldChar w:fldCharType="separate"/>
          </w:r>
          <w:r>
            <w:rPr>
              <w:highlight w:val="none"/>
            </w:rPr>
            <w:t>- 25 -</w:t>
          </w:r>
          <w:r>
            <w:rPr>
              <w:highlight w:val="none"/>
            </w:rPr>
            <w:fldChar w:fldCharType="end"/>
          </w:r>
          <w:r>
            <w:rPr>
              <w:rFonts w:hint="eastAsia" w:ascii="宋体" w:hAnsi="宋体" w:eastAsia="宋体" w:cs="宋体"/>
              <w:color w:val="auto"/>
              <w:szCs w:val="44"/>
              <w:highlight w:val="none"/>
            </w:rPr>
            <w:fldChar w:fldCharType="end"/>
          </w:r>
        </w:p>
        <w:p w14:paraId="45C05B82">
          <w:pPr>
            <w:pStyle w:val="12"/>
            <w:tabs>
              <w:tab w:val="right" w:leader="dot" w:pos="9412"/>
            </w:tabs>
            <w:rPr>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szCs w:val="44"/>
              <w:highlight w:val="none"/>
            </w:rPr>
            <w:instrText xml:space="preserve"> HYPERLINK \l _Toc12695 </w:instrText>
          </w:r>
          <w:r>
            <w:rPr>
              <w:rFonts w:hint="eastAsia" w:ascii="宋体" w:hAnsi="宋体" w:eastAsia="宋体" w:cs="宋体"/>
              <w:szCs w:val="44"/>
              <w:highlight w:val="none"/>
            </w:rPr>
            <w:fldChar w:fldCharType="separate"/>
          </w:r>
          <w:r>
            <w:rPr>
              <w:rFonts w:hint="eastAsia" w:ascii="宋体" w:hAnsi="宋体" w:eastAsia="宋体" w:cs="宋体"/>
              <w:bCs/>
              <w:szCs w:val="36"/>
              <w:highlight w:val="none"/>
            </w:rPr>
            <w:t>第七篇  响应文件编制要求</w:t>
          </w:r>
          <w:r>
            <w:rPr>
              <w:highlight w:val="none"/>
            </w:rPr>
            <w:tab/>
          </w:r>
          <w:r>
            <w:rPr>
              <w:highlight w:val="none"/>
            </w:rPr>
            <w:fldChar w:fldCharType="begin"/>
          </w:r>
          <w:r>
            <w:rPr>
              <w:highlight w:val="none"/>
            </w:rPr>
            <w:instrText xml:space="preserve"> PAGEREF _Toc12695 \h </w:instrText>
          </w:r>
          <w:r>
            <w:rPr>
              <w:highlight w:val="none"/>
            </w:rPr>
            <w:fldChar w:fldCharType="separate"/>
          </w:r>
          <w:r>
            <w:rPr>
              <w:highlight w:val="none"/>
            </w:rPr>
            <w:t>- 28 -</w:t>
          </w:r>
          <w:r>
            <w:rPr>
              <w:highlight w:val="none"/>
            </w:rPr>
            <w:fldChar w:fldCharType="end"/>
          </w:r>
          <w:r>
            <w:rPr>
              <w:rFonts w:hint="eastAsia" w:ascii="宋体" w:hAnsi="宋体" w:eastAsia="宋体" w:cs="宋体"/>
              <w:color w:val="auto"/>
              <w:szCs w:val="44"/>
              <w:highlight w:val="none"/>
            </w:rPr>
            <w:fldChar w:fldCharType="end"/>
          </w:r>
        </w:p>
        <w:p w14:paraId="40C36CF2">
          <w:pPr>
            <w:pStyle w:val="12"/>
            <w:tabs>
              <w:tab w:val="right" w:leader="dot" w:pos="9412"/>
            </w:tabs>
            <w:rPr>
              <w:highlight w:val="none"/>
            </w:rPr>
          </w:pPr>
        </w:p>
        <w:p w14:paraId="79A5075E">
          <w:pPr>
            <w:spacing w:line="480" w:lineRule="exact"/>
            <w:jc w:val="center"/>
            <w:outlineLvl w:val="9"/>
            <w:rPr>
              <w:rFonts w:hint="eastAsia" w:ascii="宋体" w:hAnsi="宋体" w:eastAsia="宋体" w:cs="宋体"/>
              <w:color w:val="auto"/>
              <w:sz w:val="44"/>
              <w:szCs w:val="44"/>
              <w:highlight w:val="none"/>
            </w:rPr>
            <w:sectPr>
              <w:pgSz w:w="11907" w:h="16840"/>
              <w:pgMar w:top="1134" w:right="1191" w:bottom="1134" w:left="1304" w:header="851" w:footer="992" w:gutter="0"/>
              <w:pgNumType w:fmt="numberInDash"/>
              <w:cols w:space="720" w:num="1"/>
              <w:docGrid w:type="lines" w:linePitch="381" w:charSpace="0"/>
            </w:sectPr>
          </w:pPr>
          <w:r>
            <w:rPr>
              <w:rFonts w:hint="eastAsia" w:ascii="宋体" w:hAnsi="宋体" w:eastAsia="宋体" w:cs="宋体"/>
              <w:color w:val="auto"/>
              <w:szCs w:val="44"/>
              <w:highlight w:val="none"/>
            </w:rPr>
            <w:fldChar w:fldCharType="end"/>
          </w:r>
        </w:p>
      </w:sdtContent>
    </w:sdt>
    <w:p w14:paraId="63B71B85">
      <w:pPr>
        <w:pStyle w:val="3"/>
        <w:spacing w:line="360" w:lineRule="auto"/>
        <w:jc w:val="center"/>
        <w:outlineLvl w:val="0"/>
        <w:rPr>
          <w:rFonts w:hint="eastAsia" w:ascii="宋体" w:hAnsi="宋体" w:eastAsia="宋体" w:cs="宋体"/>
          <w:b w:val="0"/>
          <w:bCs/>
          <w:color w:val="auto"/>
          <w:highlight w:val="none"/>
        </w:rPr>
      </w:pPr>
      <w:bookmarkStart w:id="16" w:name="_Toc12789052"/>
      <w:bookmarkEnd w:id="16"/>
      <w:bookmarkStart w:id="17" w:name="_Toc76462316"/>
      <w:bookmarkEnd w:id="17"/>
      <w:bookmarkStart w:id="18" w:name="_Toc11641050"/>
      <w:bookmarkEnd w:id="18"/>
      <w:bookmarkStart w:id="19" w:name="_Toc32694"/>
      <w:bookmarkStart w:id="20" w:name="_Toc106030870"/>
      <w:r>
        <w:rPr>
          <w:rFonts w:hint="eastAsia" w:ascii="宋体" w:hAnsi="宋体" w:eastAsia="宋体" w:cs="宋体"/>
          <w:b w:val="0"/>
          <w:bCs/>
          <w:color w:val="auto"/>
          <w:sz w:val="36"/>
          <w:szCs w:val="36"/>
          <w:highlight w:val="none"/>
        </w:rPr>
        <w:t>第一篇  采购邀请书</w:t>
      </w:r>
      <w:bookmarkEnd w:id="19"/>
      <w:bookmarkEnd w:id="20"/>
    </w:p>
    <w:p w14:paraId="53FA1778">
      <w:pPr>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攀钢集团工科工程咨询有限公司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val="en-US" w:eastAsia="zh-CN"/>
        </w:rPr>
        <w:t>重庆市第三社会福利院</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u w:val="single"/>
          <w:lang w:val="en-US" w:eastAsia="zh-CN"/>
        </w:rPr>
        <w:t>福寿楼项目工程质量检测</w:t>
      </w:r>
      <w:r>
        <w:rPr>
          <w:rFonts w:hint="eastAsia" w:ascii="宋体" w:hAnsi="宋体" w:eastAsia="宋体" w:cs="宋体"/>
          <w:color w:val="auto"/>
          <w:sz w:val="24"/>
          <w:szCs w:val="24"/>
          <w:highlight w:val="none"/>
        </w:rPr>
        <w:t>进行竞争性磋商采购。欢迎有资格的供应商前来参与磋商。</w:t>
      </w:r>
    </w:p>
    <w:p w14:paraId="51D52720">
      <w:pPr>
        <w:pStyle w:val="3"/>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21" w:name="_Toc106030871"/>
      <w:bookmarkEnd w:id="21"/>
      <w:bookmarkStart w:id="22" w:name="_Toc317775175"/>
      <w:bookmarkEnd w:id="22"/>
      <w:bookmarkStart w:id="23" w:name="_Toc313893526"/>
      <w:bookmarkEnd w:id="23"/>
      <w:bookmarkStart w:id="24" w:name="_Toc76462317"/>
      <w:r>
        <w:rPr>
          <w:rFonts w:hint="eastAsia" w:ascii="宋体" w:hAnsi="宋体" w:eastAsia="宋体" w:cs="宋体"/>
          <w:color w:val="auto"/>
          <w:sz w:val="24"/>
          <w:szCs w:val="24"/>
          <w:highlight w:val="none"/>
        </w:rPr>
        <w:t>一、竞争性磋商内容</w:t>
      </w:r>
      <w:bookmarkEnd w:id="24"/>
    </w:p>
    <w:tbl>
      <w:tblPr>
        <w:tblStyle w:val="14"/>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6"/>
        <w:gridCol w:w="1393"/>
        <w:gridCol w:w="1419"/>
        <w:gridCol w:w="2305"/>
      </w:tblGrid>
      <w:tr w14:paraId="7E5D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246" w:type="dxa"/>
            <w:tcBorders>
              <w:top w:val="single" w:color="auto" w:sz="4" w:space="0"/>
              <w:left w:val="single" w:color="auto" w:sz="4" w:space="0"/>
              <w:bottom w:val="single" w:color="auto" w:sz="4" w:space="0"/>
              <w:right w:val="single" w:color="auto" w:sz="4" w:space="0"/>
            </w:tcBorders>
            <w:vAlign w:val="center"/>
          </w:tcPr>
          <w:p w14:paraId="3B687DDC">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项目</w:t>
            </w:r>
            <w:r>
              <w:rPr>
                <w:rFonts w:hint="eastAsia" w:ascii="宋体" w:hAnsi="宋体" w:eastAsia="宋体" w:cs="宋体"/>
                <w:b/>
                <w:bCs/>
                <w:color w:val="auto"/>
                <w:kern w:val="0"/>
                <w:sz w:val="21"/>
                <w:szCs w:val="21"/>
                <w:highlight w:val="none"/>
              </w:rPr>
              <w:t>名称</w:t>
            </w:r>
          </w:p>
        </w:tc>
        <w:tc>
          <w:tcPr>
            <w:tcW w:w="1393" w:type="dxa"/>
            <w:tcBorders>
              <w:top w:val="single" w:color="auto" w:sz="4" w:space="0"/>
              <w:left w:val="nil"/>
              <w:bottom w:val="single" w:color="auto" w:sz="4" w:space="0"/>
              <w:right w:val="single" w:color="auto" w:sz="4" w:space="0"/>
            </w:tcBorders>
            <w:vAlign w:val="center"/>
          </w:tcPr>
          <w:p w14:paraId="3EF26728">
            <w:pPr>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最高限价</w:t>
            </w:r>
          </w:p>
          <w:p w14:paraId="2AAA3E1D">
            <w:pPr>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（万元）</w:t>
            </w:r>
          </w:p>
        </w:tc>
        <w:tc>
          <w:tcPr>
            <w:tcW w:w="1419" w:type="dxa"/>
            <w:tcBorders>
              <w:top w:val="single" w:color="auto" w:sz="4" w:space="0"/>
              <w:left w:val="nil"/>
              <w:bottom w:val="single" w:color="auto" w:sz="4" w:space="0"/>
              <w:right w:val="single" w:color="auto" w:sz="4" w:space="0"/>
            </w:tcBorders>
            <w:vAlign w:val="center"/>
          </w:tcPr>
          <w:p w14:paraId="688EAFBB">
            <w:pPr>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磋商保证金</w:t>
            </w:r>
          </w:p>
          <w:p w14:paraId="7097DD1D">
            <w:pPr>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（万元）</w:t>
            </w:r>
          </w:p>
        </w:tc>
        <w:tc>
          <w:tcPr>
            <w:tcW w:w="2305" w:type="dxa"/>
            <w:tcBorders>
              <w:top w:val="single" w:color="auto" w:sz="4" w:space="0"/>
              <w:left w:val="nil"/>
              <w:bottom w:val="single" w:color="auto" w:sz="4" w:space="0"/>
              <w:right w:val="single" w:color="auto" w:sz="4" w:space="0"/>
            </w:tcBorders>
            <w:vAlign w:val="center"/>
          </w:tcPr>
          <w:p w14:paraId="29BB3AA2">
            <w:pPr>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成交供应商数量（名）</w:t>
            </w:r>
          </w:p>
        </w:tc>
      </w:tr>
      <w:tr w14:paraId="4B78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246" w:type="dxa"/>
            <w:tcBorders>
              <w:top w:val="single" w:color="auto" w:sz="4" w:space="0"/>
              <w:left w:val="single" w:color="auto" w:sz="4" w:space="0"/>
              <w:bottom w:val="single" w:color="auto" w:sz="4" w:space="0"/>
              <w:right w:val="single" w:color="auto" w:sz="4" w:space="0"/>
            </w:tcBorders>
            <w:vAlign w:val="center"/>
          </w:tcPr>
          <w:p w14:paraId="3C23B9F0">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color w:val="auto"/>
                <w:kern w:val="0"/>
                <w:sz w:val="21"/>
                <w:szCs w:val="21"/>
                <w:highlight w:val="none"/>
              </w:rPr>
            </w:pPr>
            <w:bookmarkStart w:id="25" w:name="_Hlk344477914"/>
            <w:bookmarkEnd w:id="25"/>
            <w:r>
              <w:rPr>
                <w:rFonts w:hint="eastAsia" w:ascii="宋体" w:hAnsi="宋体" w:cs="宋体"/>
                <w:color w:val="auto"/>
                <w:sz w:val="24"/>
                <w:szCs w:val="24"/>
                <w:highlight w:val="none"/>
                <w:u w:val="none"/>
                <w:lang w:val="en-US" w:eastAsia="zh-CN"/>
              </w:rPr>
              <w:t>福寿楼项目工程质量检测</w:t>
            </w:r>
          </w:p>
        </w:tc>
        <w:tc>
          <w:tcPr>
            <w:tcW w:w="1393" w:type="dxa"/>
            <w:tcBorders>
              <w:top w:val="single" w:color="auto" w:sz="4" w:space="0"/>
              <w:left w:val="nil"/>
              <w:bottom w:val="single" w:color="auto" w:sz="4" w:space="0"/>
              <w:right w:val="single" w:color="auto" w:sz="4" w:space="0"/>
            </w:tcBorders>
            <w:vAlign w:val="center"/>
          </w:tcPr>
          <w:p w14:paraId="58BD881A">
            <w:pPr>
              <w:pageBreakBefore w:val="0"/>
              <w:widowControl/>
              <w:kinsoku/>
              <w:wordWrap/>
              <w:overflowPunct/>
              <w:topLinePunct w:val="0"/>
              <w:autoSpaceDE/>
              <w:autoSpaceDN/>
              <w:bidi w:val="0"/>
              <w:spacing w:line="5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12.7</w:t>
            </w:r>
          </w:p>
        </w:tc>
        <w:tc>
          <w:tcPr>
            <w:tcW w:w="1419" w:type="dxa"/>
            <w:tcBorders>
              <w:top w:val="single" w:color="auto" w:sz="4" w:space="0"/>
              <w:left w:val="nil"/>
              <w:bottom w:val="single" w:color="auto" w:sz="4" w:space="0"/>
              <w:right w:val="single" w:color="auto" w:sz="4" w:space="0"/>
            </w:tcBorders>
            <w:vAlign w:val="center"/>
          </w:tcPr>
          <w:p w14:paraId="575C91D7">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不提交</w:t>
            </w:r>
          </w:p>
        </w:tc>
        <w:tc>
          <w:tcPr>
            <w:tcW w:w="2305" w:type="dxa"/>
            <w:tcBorders>
              <w:top w:val="single" w:color="auto" w:sz="4" w:space="0"/>
              <w:left w:val="nil"/>
              <w:bottom w:val="single" w:color="auto" w:sz="4" w:space="0"/>
              <w:right w:val="single" w:color="auto" w:sz="4" w:space="0"/>
            </w:tcBorders>
            <w:vAlign w:val="center"/>
          </w:tcPr>
          <w:p w14:paraId="5AAA7B57">
            <w:pPr>
              <w:pageBreakBefore w:val="0"/>
              <w:kinsoku/>
              <w:wordWrap/>
              <w:overflowPunct/>
              <w:topLinePunct w:val="0"/>
              <w:autoSpaceDE/>
              <w:autoSpaceDN/>
              <w:bidi w:val="0"/>
              <w:spacing w:line="500" w:lineRule="exact"/>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w:t>
            </w:r>
          </w:p>
        </w:tc>
      </w:tr>
    </w:tbl>
    <w:p w14:paraId="7D972C4A">
      <w:pPr>
        <w:pStyle w:val="3"/>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26" w:name="_Toc106030872"/>
      <w:bookmarkEnd w:id="26"/>
      <w:bookmarkStart w:id="27" w:name="_Toc373860293"/>
      <w:bookmarkEnd w:id="27"/>
      <w:bookmarkStart w:id="28" w:name="_Toc76462318"/>
      <w:bookmarkEnd w:id="28"/>
      <w:bookmarkStart w:id="29" w:name="_Toc317775178"/>
      <w:r>
        <w:rPr>
          <w:rFonts w:hint="eastAsia" w:ascii="宋体" w:hAnsi="宋体" w:eastAsia="宋体" w:cs="宋体"/>
          <w:color w:val="auto"/>
          <w:sz w:val="24"/>
          <w:szCs w:val="24"/>
          <w:highlight w:val="none"/>
        </w:rPr>
        <w:t>二、资金来源</w:t>
      </w:r>
      <w:bookmarkEnd w:id="29"/>
    </w:p>
    <w:p w14:paraId="5B373EF1">
      <w:pPr>
        <w:pageBreakBefore w:val="0"/>
        <w:kinsoku/>
        <w:wordWrap/>
        <w:overflowPunct/>
        <w:topLinePunct w:val="0"/>
        <w:autoSpaceDE/>
        <w:autoSpaceDN/>
        <w:bidi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bookmarkStart w:id="30" w:name="_Toc106030873"/>
      <w:bookmarkEnd w:id="30"/>
      <w:bookmarkStart w:id="31" w:name="_Toc76462319"/>
      <w:r>
        <w:rPr>
          <w:rFonts w:hint="eastAsia" w:ascii="宋体" w:hAnsi="宋体" w:eastAsia="宋体" w:cs="宋体"/>
          <w:color w:val="auto"/>
          <w:sz w:val="24"/>
          <w:szCs w:val="24"/>
          <w:highlight w:val="none"/>
          <w:lang w:val="en-US" w:eastAsia="zh-CN"/>
        </w:rPr>
        <w:t>财政性资金。</w:t>
      </w:r>
    </w:p>
    <w:p w14:paraId="524ABF85">
      <w:pPr>
        <w:pStyle w:val="3"/>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三、供应商资格条件</w:t>
      </w:r>
      <w:bookmarkEnd w:id="31"/>
    </w:p>
    <w:p w14:paraId="0A141ACA">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6F92E26A">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）本项目的特定资格要求：具备建设行政主管部门颁发的建设工程检测机构资质证书，检测资质类别须包含：①见证取样检测；②主体结构工程现场检测；</w:t>
      </w:r>
      <w:r>
        <w:rPr>
          <w:rFonts w:hint="default" w:ascii="宋体" w:hAnsi="宋体" w:eastAsia="宋体" w:cs="宋体"/>
          <w:color w:val="auto"/>
          <w:sz w:val="24"/>
          <w:szCs w:val="24"/>
          <w:highlight w:val="none"/>
        </w:rPr>
        <w:t>③</w:t>
      </w:r>
      <w:r>
        <w:rPr>
          <w:rFonts w:hint="eastAsia" w:ascii="宋体" w:hAnsi="宋体" w:cs="宋体"/>
          <w:color w:val="auto"/>
          <w:sz w:val="24"/>
          <w:szCs w:val="24"/>
          <w:highlight w:val="none"/>
          <w:lang w:val="en-US" w:eastAsia="zh-CN"/>
        </w:rPr>
        <w:t>地基基础工程检测</w:t>
      </w:r>
      <w:r>
        <w:rPr>
          <w:rFonts w:hint="eastAsia" w:ascii="宋体" w:hAnsi="宋体" w:eastAsia="宋体" w:cs="宋体"/>
          <w:color w:val="auto"/>
          <w:sz w:val="24"/>
          <w:szCs w:val="24"/>
          <w:highlight w:val="none"/>
          <w:lang w:val="en-US" w:eastAsia="zh-CN"/>
        </w:rPr>
        <w:t>；④</w:t>
      </w:r>
      <w:r>
        <w:rPr>
          <w:rFonts w:hint="eastAsia" w:ascii="宋体" w:hAnsi="宋体" w:cs="宋体"/>
          <w:color w:val="auto"/>
          <w:sz w:val="24"/>
          <w:szCs w:val="24"/>
          <w:highlight w:val="none"/>
          <w:lang w:val="en-US" w:eastAsia="zh-CN"/>
        </w:rPr>
        <w:t>钢结构检测等</w:t>
      </w:r>
      <w:r>
        <w:rPr>
          <w:rFonts w:hint="eastAsia" w:ascii="宋体" w:hAnsi="宋体" w:eastAsia="宋体" w:cs="宋体"/>
          <w:color w:val="auto"/>
          <w:sz w:val="24"/>
          <w:szCs w:val="24"/>
          <w:highlight w:val="none"/>
        </w:rPr>
        <w:t>（提供资质证书扫描件并加盖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p>
    <w:p w14:paraId="52D720E4">
      <w:pPr>
        <w:pStyle w:val="3"/>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32" w:name="_Toc76462320"/>
      <w:bookmarkEnd w:id="32"/>
      <w:bookmarkStart w:id="33" w:name="_Toc106030874"/>
      <w:r>
        <w:rPr>
          <w:rFonts w:hint="eastAsia" w:ascii="宋体" w:hAnsi="宋体" w:eastAsia="宋体" w:cs="宋体"/>
          <w:color w:val="auto"/>
          <w:sz w:val="24"/>
          <w:szCs w:val="24"/>
          <w:highlight w:val="none"/>
        </w:rPr>
        <w:t>四、磋商有关说明</w:t>
      </w:r>
      <w:bookmarkEnd w:id="33"/>
    </w:p>
    <w:p w14:paraId="4C78B569">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）凡有意参加磋商的供应商，请到采购代理机构领取或在“行采家”（https://www.gec123.com/）网上下载本项目磋商文件以及图纸、补遗文件等</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前公布的所有项目资料，无论供应商领取或下载与否，均视为已知晓所有磋商内容。</w:t>
      </w:r>
    </w:p>
    <w:p w14:paraId="1A1EFB9A">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）竞争性磋商公告期限：自采购公告发布之日起三个工作日。</w:t>
      </w:r>
    </w:p>
    <w:p w14:paraId="5B055235">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 xml:space="preserve">）竞争性磋商文件发售期限： </w:t>
      </w:r>
    </w:p>
    <w:p w14:paraId="583114B4">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1.竞争性磋商文件发售期：</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8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5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14 </w:t>
      </w:r>
      <w:r>
        <w:rPr>
          <w:rFonts w:hint="eastAsia" w:ascii="宋体" w:hAnsi="宋体" w:eastAsia="宋体" w:cs="宋体"/>
          <w:color w:val="auto"/>
          <w:sz w:val="24"/>
          <w:szCs w:val="24"/>
          <w:highlight w:val="none"/>
        </w:rPr>
        <w:t>日。</w:t>
      </w:r>
    </w:p>
    <w:p w14:paraId="7699A4E3">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2.报名方式</w:t>
      </w:r>
      <w:r>
        <w:rPr>
          <w:rFonts w:hint="eastAsia" w:ascii="宋体" w:hAnsi="宋体" w:eastAsia="宋体" w:cs="宋体"/>
          <w:color w:val="auto"/>
          <w:sz w:val="24"/>
          <w:szCs w:val="24"/>
          <w:highlight w:val="none"/>
          <w:lang w:val="en-US" w:eastAsia="zh-CN"/>
        </w:rPr>
        <w:t>供应商在</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17:00时前</w:t>
      </w:r>
      <w:r>
        <w:rPr>
          <w:rFonts w:hint="eastAsia" w:ascii="宋体" w:hAnsi="宋体" w:eastAsia="宋体" w:cs="宋体"/>
          <w:color w:val="auto"/>
          <w:sz w:val="24"/>
          <w:szCs w:val="24"/>
          <w:highlight w:val="none"/>
        </w:rPr>
        <w:t>将《</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文件发售登记表》（加盖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公章）扫描后发送至电子邮箱</w:t>
      </w:r>
      <w:r>
        <w:rPr>
          <w:rFonts w:hint="eastAsia" w:ascii="宋体" w:hAnsi="宋体" w:cs="宋体"/>
          <w:color w:val="auto"/>
          <w:sz w:val="24"/>
          <w:szCs w:val="24"/>
          <w:highlight w:val="none"/>
          <w:lang w:val="en-US" w:eastAsia="zh-CN"/>
        </w:rPr>
        <w:t>273243138</w:t>
      </w:r>
      <w:r>
        <w:rPr>
          <w:rFonts w:hint="eastAsia" w:ascii="宋体" w:hAnsi="宋体" w:eastAsia="宋体" w:cs="宋体"/>
          <w:color w:val="auto"/>
          <w:sz w:val="24"/>
          <w:szCs w:val="24"/>
          <w:highlight w:val="none"/>
        </w:rPr>
        <w:t>@qq.com ，视为具备报名资格，否则视为无效。</w:t>
      </w:r>
    </w:p>
    <w:p w14:paraId="51031FF7">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3.竞争性磋商文件售价：人民币</w:t>
      </w:r>
      <w:r>
        <w:rPr>
          <w:rFonts w:hint="eastAsia" w:ascii="宋体" w:hAnsi="宋体" w:eastAsia="宋体" w:cs="宋体"/>
          <w:color w:val="auto"/>
          <w:sz w:val="24"/>
          <w:szCs w:val="24"/>
          <w:highlight w:val="none"/>
          <w:lang w:val="en-US" w:eastAsia="zh-CN"/>
        </w:rPr>
        <w:t>300</w:t>
      </w:r>
      <w:r>
        <w:rPr>
          <w:rFonts w:hint="eastAsia" w:ascii="宋体" w:hAnsi="宋体" w:eastAsia="宋体" w:cs="宋体"/>
          <w:color w:val="auto"/>
          <w:sz w:val="24"/>
          <w:szCs w:val="24"/>
          <w:highlight w:val="none"/>
        </w:rPr>
        <w:t>元/包。</w:t>
      </w:r>
    </w:p>
    <w:p w14:paraId="1E6AA7A7">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4.磋商文件费缴纳方式：报名时缴纳</w:t>
      </w:r>
    </w:p>
    <w:p w14:paraId="25C81E2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供应商须满足以下</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种要件，其响应文件才被接受：</w:t>
      </w:r>
    </w:p>
    <w:p w14:paraId="39C2C66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1.按时递交了响应文件；</w:t>
      </w:r>
    </w:p>
    <w:p w14:paraId="5C2E6BA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2.按时报名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签到</w:t>
      </w:r>
      <w:r>
        <w:rPr>
          <w:rFonts w:hint="eastAsia" w:ascii="宋体" w:hAnsi="宋体" w:eastAsia="宋体" w:cs="宋体"/>
          <w:color w:val="auto"/>
          <w:sz w:val="24"/>
          <w:szCs w:val="24"/>
          <w:highlight w:val="none"/>
          <w:lang w:eastAsia="zh-CN"/>
        </w:rPr>
        <w:t>；</w:t>
      </w:r>
    </w:p>
    <w:p w14:paraId="042A0586">
      <w:pPr>
        <w:pageBreakBefore w:val="0"/>
        <w:widowControl w:val="0"/>
        <w:kinsoku/>
        <w:wordWrap/>
        <w:overflowPunct/>
        <w:topLinePunct w:val="0"/>
        <w:autoSpaceDE/>
        <w:autoSpaceDN/>
        <w:bidi w:val="0"/>
        <w:spacing w:line="50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按时</w:t>
      </w:r>
      <w:r>
        <w:rPr>
          <w:rFonts w:hint="eastAsia" w:ascii="宋体" w:hAnsi="宋体" w:eastAsia="宋体" w:cs="宋体"/>
          <w:color w:val="auto"/>
          <w:sz w:val="24"/>
          <w:szCs w:val="24"/>
          <w:highlight w:val="none"/>
        </w:rPr>
        <w:t>缴纳了</w:t>
      </w:r>
      <w:r>
        <w:rPr>
          <w:rFonts w:hint="eastAsia" w:ascii="宋体" w:hAnsi="宋体" w:eastAsia="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购买费用</w:t>
      </w:r>
      <w:r>
        <w:rPr>
          <w:rFonts w:hint="eastAsia" w:ascii="宋体" w:hAnsi="宋体" w:eastAsia="宋体" w:cs="宋体"/>
          <w:color w:val="auto"/>
          <w:sz w:val="24"/>
          <w:szCs w:val="24"/>
          <w:highlight w:val="none"/>
          <w:lang w:eastAsia="zh-CN"/>
        </w:rPr>
        <w:t>。</w:t>
      </w:r>
    </w:p>
    <w:p w14:paraId="3897D4AE">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（五）递交响应文件地点：</w:t>
      </w:r>
      <w:r>
        <w:rPr>
          <w:rFonts w:hint="eastAsia" w:ascii="宋体" w:hAnsi="宋体" w:eastAsia="宋体" w:cs="宋体"/>
          <w:color w:val="auto"/>
          <w:sz w:val="24"/>
          <w:szCs w:val="24"/>
          <w:highlight w:val="none"/>
          <w:lang w:val="en-US" w:eastAsia="zh-CN"/>
        </w:rPr>
        <w:t>攀钢集团工科工程咨询有限公司</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重庆市渝北区青枫北路双子座B栋13-1</w:t>
      </w:r>
      <w:r>
        <w:rPr>
          <w:rFonts w:hint="eastAsia" w:ascii="宋体" w:hAnsi="宋体" w:cs="宋体"/>
          <w:color w:val="auto"/>
          <w:sz w:val="24"/>
          <w:szCs w:val="24"/>
          <w:highlight w:val="none"/>
          <w:lang w:val="en-US" w:eastAsia="zh-CN"/>
        </w:rPr>
        <w:t>）</w:t>
      </w:r>
    </w:p>
    <w:p w14:paraId="0B177348">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（六）响应文件递交截止时间：202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5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19 </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45ECB6C5">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（七）磋商开始时间：202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5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19 </w:t>
      </w:r>
      <w:r>
        <w:rPr>
          <w:rFonts w:hint="eastAsia" w:ascii="宋体" w:hAnsi="宋体" w:eastAsia="宋体" w:cs="宋体"/>
          <w:color w:val="auto"/>
          <w:sz w:val="24"/>
          <w:szCs w:val="24"/>
          <w:highlight w:val="none"/>
        </w:rPr>
        <w:t>日北京时间1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0FDC041B">
      <w:pPr>
        <w:pStyle w:val="3"/>
        <w:pageBreakBefore w:val="0"/>
        <w:widowControl w:val="0"/>
        <w:kinsoku/>
        <w:wordWrap/>
        <w:overflowPunct/>
        <w:topLinePunct w:val="0"/>
        <w:autoSpaceDE/>
        <w:autoSpaceDN/>
        <w:bidi w:val="0"/>
        <w:spacing w:line="500" w:lineRule="exact"/>
        <w:ind w:firstLine="482" w:firstLineChars="200"/>
        <w:textAlignment w:val="auto"/>
        <w:rPr>
          <w:rFonts w:hint="eastAsia" w:ascii="宋体" w:hAnsi="宋体" w:eastAsia="宋体" w:cs="宋体"/>
          <w:b/>
          <w:color w:val="auto"/>
          <w:sz w:val="24"/>
          <w:highlight w:val="none"/>
        </w:rPr>
      </w:pPr>
      <w:bookmarkStart w:id="34" w:name="_Toc76462321"/>
      <w:bookmarkEnd w:id="34"/>
      <w:bookmarkStart w:id="35" w:name="_Toc106030876"/>
      <w:bookmarkEnd w:id="35"/>
      <w:bookmarkStart w:id="36" w:name="_Toc480466699"/>
      <w:bookmarkEnd w:id="36"/>
      <w:bookmarkStart w:id="37" w:name="_Toc373860294"/>
      <w:bookmarkEnd w:id="37"/>
      <w:bookmarkStart w:id="38" w:name="_Toc3007"/>
      <w:bookmarkStart w:id="39" w:name="_Toc76462322"/>
      <w:r>
        <w:rPr>
          <w:rFonts w:hint="eastAsia" w:ascii="宋体" w:hAnsi="宋体" w:eastAsia="宋体" w:cs="宋体"/>
          <w:b/>
          <w:color w:val="auto"/>
          <w:sz w:val="24"/>
          <w:highlight w:val="none"/>
        </w:rPr>
        <w:t>五、磋商保证金</w:t>
      </w:r>
      <w:bookmarkEnd w:id="38"/>
    </w:p>
    <w:p w14:paraId="60FCFFCC">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不提交</w:t>
      </w:r>
      <w:r>
        <w:rPr>
          <w:rFonts w:hint="eastAsia" w:ascii="宋体" w:hAnsi="宋体" w:eastAsia="宋体" w:cs="宋体"/>
          <w:color w:val="auto"/>
          <w:sz w:val="24"/>
          <w:szCs w:val="24"/>
          <w:highlight w:val="none"/>
        </w:rPr>
        <w:t>。</w:t>
      </w:r>
    </w:p>
    <w:p w14:paraId="5B64D1A4">
      <w:pPr>
        <w:pStyle w:val="3"/>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、其它有关规定</w:t>
      </w:r>
      <w:bookmarkEnd w:id="39"/>
    </w:p>
    <w:p w14:paraId="4611C30D">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（一）单位负责人为同一人或者存在直接控股、管理关系的不同供应商，不得参加同一合同项（包）下的政府采购活动，否则均为无效响应。</w:t>
      </w:r>
    </w:p>
    <w:p w14:paraId="63A1B693">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55D621E8">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行采家”（https://www.gec123.com/）上发布，请各供应商注意下载或到采购代理机构处领取；无论供应商下载或领取与否，均视同供应商已知晓本项目澄清文件（如果有）的内容。</w:t>
      </w:r>
    </w:p>
    <w:p w14:paraId="6CC7588E">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765DB9C0">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（五）磋商费用：无论磋商结果如何，供应商参与本项目磋商的所有费用均应由供应商自行承担。</w:t>
      </w:r>
    </w:p>
    <w:p w14:paraId="5BA7A2B8">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（六）本项目不接受联合体参与磋商，否则按无效处理。</w:t>
      </w:r>
    </w:p>
    <w:p w14:paraId="03E93C56">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（七）本项目不接受合同分包，否则按无效处理。</w:t>
      </w:r>
    </w:p>
    <w:p w14:paraId="33DF8E8D">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bookmarkStart w:id="40" w:name="_Toc480466700"/>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End w:id="40"/>
    </w:p>
    <w:p w14:paraId="382E9E03">
      <w:pPr>
        <w:pStyle w:val="3"/>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41" w:name="_Toc106030877"/>
      <w:bookmarkEnd w:id="41"/>
      <w:bookmarkStart w:id="42" w:name="_Toc76462323"/>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、联系方式</w:t>
      </w:r>
      <w:bookmarkEnd w:id="42"/>
    </w:p>
    <w:p w14:paraId="51206C64">
      <w:pPr>
        <w:pageBreakBefore w:val="0"/>
        <w:kinsoku/>
        <w:wordWrap/>
        <w:overflowPunct/>
        <w:topLinePunct w:val="0"/>
        <w:autoSpaceDE/>
        <w:autoSpaceDN/>
        <w:bidi w:val="0"/>
        <w:snapToGrid w:val="0"/>
        <w:spacing w:line="500" w:lineRule="exact"/>
        <w:ind w:firstLine="480" w:firstLineChars="200"/>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（一）采购人：</w:t>
      </w:r>
      <w:r>
        <w:rPr>
          <w:rFonts w:hint="eastAsia" w:ascii="宋体" w:hAnsi="宋体" w:cs="宋体"/>
          <w:color w:val="auto"/>
          <w:sz w:val="24"/>
          <w:szCs w:val="24"/>
          <w:highlight w:val="none"/>
          <w:lang w:val="en-US" w:eastAsia="zh-CN"/>
        </w:rPr>
        <w:t>重庆市第三社会福利院</w:t>
      </w:r>
    </w:p>
    <w:p w14:paraId="29CE8A8D">
      <w:pPr>
        <w:snapToGrid w:val="0"/>
        <w:spacing w:line="500" w:lineRule="exact"/>
        <w:ind w:firstLine="1200" w:firstLineChars="500"/>
        <w:rPr>
          <w:rFonts w:ascii="宋体"/>
          <w:color w:val="auto"/>
          <w:sz w:val="24"/>
          <w:szCs w:val="24"/>
          <w:highlight w:val="none"/>
        </w:rPr>
      </w:pPr>
      <w:r>
        <w:rPr>
          <w:rFonts w:hint="eastAsia" w:ascii="宋体"/>
          <w:color w:val="auto"/>
          <w:sz w:val="24"/>
          <w:szCs w:val="24"/>
          <w:highlight w:val="none"/>
        </w:rPr>
        <w:t>联系人：</w:t>
      </w:r>
      <w:r>
        <w:rPr>
          <w:rFonts w:hint="eastAsia" w:ascii="宋体"/>
          <w:color w:val="auto"/>
          <w:sz w:val="24"/>
          <w:szCs w:val="24"/>
          <w:highlight w:val="none"/>
          <w:lang w:val="en-US" w:eastAsia="zh-CN"/>
        </w:rPr>
        <w:t>周</w:t>
      </w:r>
      <w:r>
        <w:rPr>
          <w:rFonts w:hint="eastAsia" w:ascii="宋体"/>
          <w:color w:val="auto"/>
          <w:sz w:val="24"/>
          <w:szCs w:val="24"/>
          <w:highlight w:val="none"/>
        </w:rPr>
        <w:t>老师</w:t>
      </w:r>
    </w:p>
    <w:p w14:paraId="1ABA67E8">
      <w:pPr>
        <w:snapToGrid w:val="0"/>
        <w:spacing w:line="500" w:lineRule="exact"/>
        <w:ind w:firstLine="1200" w:firstLineChars="500"/>
        <w:rPr>
          <w:rFonts w:ascii="宋体"/>
          <w:color w:val="auto"/>
          <w:sz w:val="24"/>
          <w:szCs w:val="24"/>
          <w:highlight w:val="none"/>
        </w:rPr>
      </w:pPr>
      <w:r>
        <w:rPr>
          <w:rFonts w:hint="eastAsia" w:ascii="宋体"/>
          <w:color w:val="auto"/>
          <w:sz w:val="24"/>
          <w:szCs w:val="24"/>
          <w:highlight w:val="none"/>
        </w:rPr>
        <w:t>电  话：</w:t>
      </w:r>
      <w:r>
        <w:rPr>
          <w:rFonts w:hint="eastAsia" w:ascii="宋体" w:hAnsi="宋体" w:eastAsia="宋体" w:cs="宋体"/>
          <w:color w:val="auto"/>
          <w:sz w:val="24"/>
          <w:highlight w:val="none"/>
        </w:rPr>
        <w:t>023-65523239</w:t>
      </w:r>
    </w:p>
    <w:p w14:paraId="6E43D311">
      <w:pPr>
        <w:pageBreakBefore w:val="0"/>
        <w:kinsoku/>
        <w:wordWrap/>
        <w:overflowPunct/>
        <w:topLinePunct w:val="0"/>
        <w:autoSpaceDE/>
        <w:autoSpaceDN/>
        <w:bidi w:val="0"/>
        <w:snapToGrid w:val="0"/>
        <w:spacing w:line="50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eastAsia="zh-CN"/>
        </w:rPr>
        <w:t>重庆市沙坪坝区歌乐山向家湾</w:t>
      </w:r>
      <w:r>
        <w:rPr>
          <w:rFonts w:hint="eastAsia" w:ascii="宋体" w:hAnsi="宋体" w:cs="宋体"/>
          <w:color w:val="auto"/>
          <w:sz w:val="24"/>
          <w:szCs w:val="24"/>
          <w:highlight w:val="none"/>
          <w:lang w:val="en-US" w:eastAsia="zh-CN"/>
        </w:rPr>
        <w:t>35号</w:t>
      </w:r>
    </w:p>
    <w:p w14:paraId="469E878F">
      <w:pPr>
        <w:pageBreakBefore w:val="0"/>
        <w:kinsoku/>
        <w:wordWrap/>
        <w:overflowPunct/>
        <w:topLinePunct w:val="0"/>
        <w:autoSpaceDE/>
        <w:autoSpaceDN/>
        <w:bidi w:val="0"/>
        <w:snapToGrid w:val="0"/>
        <w:spacing w:line="500" w:lineRule="exact"/>
        <w:ind w:firstLine="480" w:firstLineChars="200"/>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（二）采购代理机构：</w:t>
      </w:r>
      <w:r>
        <w:rPr>
          <w:rFonts w:hint="eastAsia" w:ascii="宋体" w:hAnsi="宋体" w:eastAsia="宋体" w:cs="宋体"/>
          <w:color w:val="auto"/>
          <w:sz w:val="24"/>
          <w:szCs w:val="24"/>
          <w:highlight w:val="none"/>
          <w:lang w:val="en-US" w:eastAsia="zh-CN"/>
        </w:rPr>
        <w:t>攀钢集团工科工程咨询有限公司</w:t>
      </w:r>
    </w:p>
    <w:p w14:paraId="3FDAB436">
      <w:pPr>
        <w:pageBreakBefore w:val="0"/>
        <w:kinsoku/>
        <w:wordWrap/>
        <w:overflowPunct/>
        <w:topLinePunct w:val="0"/>
        <w:autoSpaceDE/>
        <w:autoSpaceDN/>
        <w:bidi w:val="0"/>
        <w:snapToGrid w:val="0"/>
        <w:spacing w:line="500" w:lineRule="exact"/>
        <w:ind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李</w:t>
      </w:r>
      <w:r>
        <w:rPr>
          <w:rFonts w:hint="eastAsia" w:ascii="宋体" w:hAnsi="宋体" w:eastAsia="宋体" w:cs="宋体"/>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p>
    <w:p w14:paraId="083B66D9">
      <w:pPr>
        <w:pageBreakBefore w:val="0"/>
        <w:kinsoku/>
        <w:wordWrap/>
        <w:overflowPunct/>
        <w:topLinePunct w:val="0"/>
        <w:autoSpaceDE/>
        <w:autoSpaceDN/>
        <w:bidi w:val="0"/>
        <w:snapToGrid w:val="0"/>
        <w:spacing w:line="500" w:lineRule="exact"/>
        <w:ind w:firstLine="1200" w:firstLineChars="5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18502307440</w:t>
      </w:r>
    </w:p>
    <w:p w14:paraId="419FC0CA">
      <w:pPr>
        <w:pageBreakBefore w:val="0"/>
        <w:kinsoku/>
        <w:wordWrap/>
        <w:overflowPunct/>
        <w:topLinePunct w:val="0"/>
        <w:autoSpaceDE/>
        <w:autoSpaceDN/>
        <w:bidi w:val="0"/>
        <w:snapToGrid w:val="0"/>
        <w:spacing w:line="500" w:lineRule="exact"/>
        <w:ind w:firstLine="1200" w:firstLineChars="5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重庆市渝北区青枫北路双子座B栋13-1</w:t>
      </w:r>
    </w:p>
    <w:p w14:paraId="50D037B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1FE8234">
      <w:pPr>
        <w:widowControl/>
        <w:jc w:val="left"/>
        <w:rPr>
          <w:rFonts w:hint="eastAsia" w:ascii="宋体" w:hAnsi="宋体" w:eastAsia="宋体" w:cs="宋体"/>
          <w:b/>
          <w:color w:val="auto"/>
          <w:sz w:val="24"/>
          <w:szCs w:val="24"/>
          <w:highlight w:val="none"/>
        </w:rPr>
        <w:sectPr>
          <w:pgSz w:w="11907" w:h="16840"/>
          <w:pgMar w:top="1134" w:right="1418" w:bottom="1134" w:left="1418" w:header="964" w:footer="992" w:gutter="0"/>
          <w:pgNumType w:fmt="numberInDash"/>
          <w:cols w:space="720" w:num="1"/>
          <w:docGrid w:type="lines" w:linePitch="312" w:charSpace="0"/>
        </w:sectPr>
      </w:pPr>
    </w:p>
    <w:p w14:paraId="3407AFF6">
      <w:pPr>
        <w:pStyle w:val="3"/>
        <w:numPr>
          <w:ilvl w:val="0"/>
          <w:numId w:val="1"/>
        </w:numPr>
        <w:spacing w:line="360" w:lineRule="auto"/>
        <w:jc w:val="center"/>
        <w:outlineLvl w:val="0"/>
        <w:rPr>
          <w:rFonts w:hint="eastAsia" w:ascii="宋体" w:hAnsi="宋体" w:eastAsia="宋体" w:cs="宋体"/>
          <w:b w:val="0"/>
          <w:bCs/>
          <w:color w:val="auto"/>
          <w:sz w:val="36"/>
          <w:szCs w:val="36"/>
          <w:highlight w:val="none"/>
        </w:rPr>
      </w:pPr>
      <w:bookmarkStart w:id="43" w:name="_Toc106030878"/>
      <w:bookmarkEnd w:id="43"/>
      <w:bookmarkStart w:id="44" w:name="_Toc76462324"/>
      <w:r>
        <w:rPr>
          <w:rFonts w:hint="eastAsia" w:ascii="宋体" w:hAnsi="宋体" w:eastAsia="宋体" w:cs="宋体"/>
          <w:b w:val="0"/>
          <w:bCs/>
          <w:color w:val="auto"/>
          <w:sz w:val="36"/>
          <w:szCs w:val="36"/>
          <w:highlight w:val="none"/>
        </w:rPr>
        <w:t xml:space="preserve"> </w:t>
      </w:r>
      <w:bookmarkStart w:id="45" w:name="_Toc13732"/>
      <w:r>
        <w:rPr>
          <w:rFonts w:hint="eastAsia" w:ascii="宋体" w:hAnsi="宋体" w:eastAsia="宋体" w:cs="宋体"/>
          <w:b w:val="0"/>
          <w:bCs/>
          <w:color w:val="auto"/>
          <w:sz w:val="36"/>
          <w:szCs w:val="36"/>
          <w:highlight w:val="none"/>
        </w:rPr>
        <w:t>项目服务需求</w:t>
      </w:r>
      <w:bookmarkEnd w:id="44"/>
      <w:bookmarkEnd w:id="45"/>
    </w:p>
    <w:p w14:paraId="391DD49E">
      <w:pPr>
        <w:pStyle w:val="3"/>
        <w:pageBreakBefore w:val="0"/>
        <w:widowControl w:val="0"/>
        <w:numPr>
          <w:ilvl w:val="0"/>
          <w:numId w:val="2"/>
        </w:numPr>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lang w:val="en-US" w:eastAsia="zh-CN"/>
        </w:rPr>
      </w:pPr>
      <w:bookmarkStart w:id="46" w:name="_Toc76462325"/>
      <w:bookmarkEnd w:id="46"/>
      <w:bookmarkStart w:id="47" w:name="_Toc106030879"/>
      <w:bookmarkEnd w:id="47"/>
      <w:r>
        <w:rPr>
          <w:rFonts w:hint="eastAsia" w:ascii="宋体" w:hAnsi="宋体" w:eastAsia="宋体" w:cs="宋体"/>
          <w:color w:val="auto"/>
          <w:sz w:val="24"/>
          <w:szCs w:val="24"/>
          <w:highlight w:val="none"/>
          <w:lang w:val="en-US" w:eastAsia="zh-CN"/>
        </w:rPr>
        <w:t>项目一览表</w:t>
      </w:r>
    </w:p>
    <w:tbl>
      <w:tblPr>
        <w:tblStyle w:val="14"/>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643"/>
        <w:gridCol w:w="3728"/>
        <w:gridCol w:w="968"/>
      </w:tblGrid>
      <w:tr w14:paraId="4480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46" w:type="dxa"/>
            <w:vAlign w:val="center"/>
          </w:tcPr>
          <w:p w14:paraId="33BB8789">
            <w:pPr>
              <w:widowControl/>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序号</w:t>
            </w:r>
          </w:p>
        </w:tc>
        <w:tc>
          <w:tcPr>
            <w:tcW w:w="3643" w:type="dxa"/>
            <w:vAlign w:val="center"/>
          </w:tcPr>
          <w:p w14:paraId="3C4B566E">
            <w:pPr>
              <w:widowControl/>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项目</w:t>
            </w:r>
            <w:r>
              <w:rPr>
                <w:rFonts w:hint="eastAsia" w:ascii="宋体" w:hAnsi="宋体" w:eastAsia="宋体" w:cs="宋体"/>
                <w:b/>
                <w:bCs/>
                <w:sz w:val="24"/>
                <w:szCs w:val="24"/>
                <w:highlight w:val="none"/>
              </w:rPr>
              <w:t>名称</w:t>
            </w:r>
          </w:p>
        </w:tc>
        <w:tc>
          <w:tcPr>
            <w:tcW w:w="3728" w:type="dxa"/>
            <w:vAlign w:val="center"/>
          </w:tcPr>
          <w:p w14:paraId="0A21B8D7">
            <w:pPr>
              <w:widowControl/>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单位数量</w:t>
            </w:r>
          </w:p>
        </w:tc>
        <w:tc>
          <w:tcPr>
            <w:tcW w:w="968" w:type="dxa"/>
            <w:vAlign w:val="center"/>
          </w:tcPr>
          <w:p w14:paraId="4ABCB532">
            <w:pPr>
              <w:widowControl/>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备注</w:t>
            </w:r>
          </w:p>
        </w:tc>
      </w:tr>
      <w:tr w14:paraId="231A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46" w:type="dxa"/>
            <w:vAlign w:val="center"/>
          </w:tcPr>
          <w:p w14:paraId="00CAB2DC">
            <w:pPr>
              <w:widowControl/>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3643" w:type="dxa"/>
            <w:vAlign w:val="center"/>
          </w:tcPr>
          <w:p w14:paraId="7B3C4E93">
            <w:pPr>
              <w:widowControl/>
              <w:jc w:val="center"/>
              <w:rPr>
                <w:rFonts w:hint="eastAsia" w:ascii="宋体" w:hAnsi="宋体" w:eastAsia="宋体" w:cs="宋体"/>
                <w:sz w:val="24"/>
                <w:szCs w:val="24"/>
                <w:highlight w:val="none"/>
              </w:rPr>
            </w:pPr>
            <w:r>
              <w:rPr>
                <w:rFonts w:hint="eastAsia" w:ascii="宋体" w:hAnsi="宋体" w:cs="宋体"/>
                <w:color w:val="auto"/>
                <w:sz w:val="24"/>
                <w:szCs w:val="24"/>
                <w:highlight w:val="none"/>
                <w:u w:val="none"/>
                <w:lang w:val="en-US" w:eastAsia="zh-CN"/>
              </w:rPr>
              <w:t>福寿楼项目工程质量检测</w:t>
            </w:r>
          </w:p>
        </w:tc>
        <w:tc>
          <w:tcPr>
            <w:tcW w:w="3728" w:type="dxa"/>
            <w:vAlign w:val="center"/>
          </w:tcPr>
          <w:p w14:paraId="5C279F72">
            <w:pPr>
              <w:widowControl/>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1项</w:t>
            </w:r>
          </w:p>
        </w:tc>
        <w:tc>
          <w:tcPr>
            <w:tcW w:w="968" w:type="dxa"/>
            <w:vAlign w:val="center"/>
          </w:tcPr>
          <w:p w14:paraId="771CB360">
            <w:pPr>
              <w:widowControl/>
              <w:jc w:val="center"/>
              <w:rPr>
                <w:rFonts w:hint="eastAsia" w:ascii="宋体" w:hAnsi="宋体" w:eastAsia="宋体" w:cs="宋体"/>
                <w:kern w:val="0"/>
                <w:sz w:val="24"/>
                <w:szCs w:val="24"/>
                <w:highlight w:val="none"/>
              </w:rPr>
            </w:pPr>
          </w:p>
        </w:tc>
      </w:tr>
    </w:tbl>
    <w:p w14:paraId="1D2A5E6B">
      <w:pPr>
        <w:pageBreakBefore w:val="0"/>
        <w:widowControl w:val="0"/>
        <w:numPr>
          <w:ilvl w:val="0"/>
          <w:numId w:val="0"/>
        </w:numPr>
        <w:kinsoku/>
        <w:wordWrap/>
        <w:overflowPunct/>
        <w:topLinePunct w:val="0"/>
        <w:autoSpaceDE/>
        <w:autoSpaceDN/>
        <w:bidi w:val="0"/>
        <w:snapToGrid w:val="0"/>
        <w:spacing w:line="500" w:lineRule="exact"/>
        <w:ind w:firstLine="482" w:firstLineChars="200"/>
        <w:textAlignment w:val="auto"/>
        <w:rPr>
          <w:rFonts w:hint="default" w:ascii="宋体" w:hAnsi="宋体" w:eastAsia="宋体" w:cs="宋体"/>
          <w:color w:val="auto"/>
          <w:sz w:val="24"/>
          <w:szCs w:val="24"/>
          <w:highlight w:val="none"/>
          <w:lang w:val="en-US" w:eastAsia="zh-CN"/>
        </w:rPr>
      </w:pPr>
      <w:bookmarkStart w:id="48" w:name="_Toc76462326"/>
      <w:bookmarkEnd w:id="48"/>
      <w:bookmarkStart w:id="49" w:name="_Toc106030880"/>
      <w:bookmarkEnd w:id="49"/>
      <w:bookmarkStart w:id="50" w:name="_Toc313536013"/>
      <w:bookmarkEnd w:id="50"/>
      <w:bookmarkStart w:id="51" w:name="_Toc106030881"/>
      <w:bookmarkEnd w:id="51"/>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服务内容</w:t>
      </w:r>
    </w:p>
    <w:p w14:paraId="7952D941">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福寿楼工程项目：新建建筑面积11564.03平方米。地上建筑面积8270.64平方米，其中，福寿楼A区建筑面积3686.85平方米；福寿楼B、C区建筑面积4583.79平方米。</w:t>
      </w:r>
    </w:p>
    <w:p w14:paraId="5B1C8322">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括施工阶段及竣工验收阶段的具体检测内容包括但不限于:施工阶段及竣工验收阶段的见证取样检测、地基基础工程检测、主体结构工程检测、室内环境质量检测、建筑门窗检测、建筑制品检测、钢结构工程检测、防雷检测、室外排水工程管道检测、电线电缆检测等满足竣工验收要求的所有检测内容。</w:t>
      </w:r>
    </w:p>
    <w:p w14:paraId="3270A98B">
      <w:pPr>
        <w:pageBreakBefore w:val="0"/>
        <w:widowControl w:val="0"/>
        <w:numPr>
          <w:ilvl w:val="0"/>
          <w:numId w:val="0"/>
        </w:numPr>
        <w:kinsoku/>
        <w:wordWrap/>
        <w:overflowPunct/>
        <w:topLinePunct w:val="0"/>
        <w:autoSpaceDE/>
        <w:autoSpaceDN/>
        <w:bidi w:val="0"/>
        <w:snapToGrid w:val="0"/>
        <w:spacing w:line="500" w:lineRule="exact"/>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三、质量检测的相关要求</w:t>
      </w:r>
    </w:p>
    <w:p w14:paraId="41C5F91C">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1、符合现行国家、行业、重庆市相关的技术标准、规范、规程</w:t>
      </w:r>
      <w:r>
        <w:rPr>
          <w:rFonts w:hint="default" w:ascii="宋体" w:hAnsi="宋体" w:eastAsia="宋体" w:cs="宋体"/>
          <w:color w:val="auto"/>
          <w:sz w:val="24"/>
          <w:szCs w:val="24"/>
          <w:highlight w:val="none"/>
          <w:lang w:val="en-US" w:eastAsia="zh-CN"/>
        </w:rPr>
        <w:t>以及设计要求,规定不一致的以较严格的规定为准。</w:t>
      </w:r>
    </w:p>
    <w:p w14:paraId="5EB12D9D">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在合同签订后10个工作日内编制本工程检测相关的检测方案、计划，报甲方审批备案</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针对本项目的检测内容单独建立检测台帐</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供</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委托的监理人查阅。</w:t>
      </w:r>
    </w:p>
    <w:p w14:paraId="19F98BCD">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3、按照现行国家、行业、重庆市相关的技术标准、规范、规程以及设计要求开展检测工作，并对报告的真实性、准确性及质量负责。</w:t>
      </w:r>
    </w:p>
    <w:p w14:paraId="4E35AF6E">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4、配备必须的检测人员、设备，确保检测工作正常开展，及时向</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提供检测报告（检测报告一式三份)，</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收到报告后向</w:t>
      </w:r>
      <w:r>
        <w:rPr>
          <w:rFonts w:hint="eastAsia" w:ascii="宋体" w:hAnsi="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出具签收依据。</w:t>
      </w:r>
    </w:p>
    <w:p w14:paraId="2F14D12B">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5、当检测结果出现异常时(包括不合格或明显高于设计要求)</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必须第一时间通知</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由</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通知监理人。</w:t>
      </w:r>
    </w:p>
    <w:p w14:paraId="5649AC5A">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6、一般检测项目在收到检测试件24小时内完成检测（满足检测条件下)，并应于检测工作完成后一周内提交检测报告。</w:t>
      </w:r>
    </w:p>
    <w:p w14:paraId="3656CCCC">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7、到场检测项目在接到通知后48小时内到场完成检测，并应于检测工作完成后一周内提交一般试验检测项目的检测报告，专项试验检测项目的检测报告两周内提交,对于试验周期较长的专项检测项可延长至三周。</w:t>
      </w:r>
    </w:p>
    <w:p w14:paraId="5ACC0401">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应对检测原始资料及成果资料归档妥善保存，保证提供的检测数据及检测报告内容真实有效，结论明确，并承担因成果质量不可靠的责任和由此给甲方造成的损失。</w:t>
      </w:r>
    </w:p>
    <w:p w14:paraId="7BEB983C">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应严格执行《中华人民共和国安全生产法》、中华人民共国国务院第302号文《国务院关于特大安全事故责任追究的规定》。检测过程中发生的一切安全责任事故、风险及费用由</w:t>
      </w:r>
      <w:r>
        <w:rPr>
          <w:rFonts w:hint="eastAsia" w:ascii="宋体" w:hAnsi="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自行承担</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概与</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无关。</w:t>
      </w:r>
    </w:p>
    <w:p w14:paraId="5FD3A219">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10、未按检测方案实施检测，</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有权解除合同，</w:t>
      </w:r>
      <w:r>
        <w:rPr>
          <w:rFonts w:hint="eastAsia" w:ascii="宋体" w:hAnsi="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应当对合同各方造成的损失承担相应的赔偿责任;导致严重后果，由</w:t>
      </w:r>
      <w:r>
        <w:rPr>
          <w:rFonts w:hint="eastAsia" w:ascii="宋体" w:hAnsi="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负责处理,并承担一切法律和经济责任。</w:t>
      </w:r>
    </w:p>
    <w:p w14:paraId="61D03EB4">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出具试验结果有误或者不符合合同约定的，每出现一次，</w:t>
      </w:r>
      <w:r>
        <w:rPr>
          <w:rFonts w:hint="eastAsia" w:ascii="宋体" w:hAnsi="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应向</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支付合同总金额1%的违约金，如出现3次，</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有权解除本合同。如果前述违约金不足以弥补由此给</w:t>
      </w:r>
      <w:r>
        <w:rPr>
          <w:rFonts w:hint="eastAsia" w:ascii="宋体" w:hAnsi="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造成的损失</w:t>
      </w:r>
      <w:r>
        <w:rPr>
          <w:rFonts w:hint="eastAsia" w:ascii="宋体" w:hAnsi="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还应当赔偿经济损失。</w:t>
      </w:r>
    </w:p>
    <w:p w14:paraId="04838E29">
      <w:pPr>
        <w:pageBreakBefore w:val="0"/>
        <w:widowControl w:val="0"/>
        <w:numPr>
          <w:ilvl w:val="0"/>
          <w:numId w:val="0"/>
        </w:numPr>
        <w:kinsoku/>
        <w:wordWrap/>
        <w:overflowPunct/>
        <w:topLinePunct w:val="0"/>
        <w:autoSpaceDE/>
        <w:autoSpaceDN/>
        <w:bidi w:val="0"/>
        <w:snapToGrid w:val="0"/>
        <w:spacing w:line="500" w:lineRule="exact"/>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default" w:ascii="宋体" w:hAnsi="宋体" w:eastAsia="宋体" w:cs="宋体"/>
          <w:b/>
          <w:bCs/>
          <w:color w:val="auto"/>
          <w:sz w:val="24"/>
          <w:szCs w:val="24"/>
          <w:highlight w:val="none"/>
          <w:lang w:val="en-US" w:eastAsia="zh-CN"/>
        </w:rPr>
        <w:t>质量标准</w:t>
      </w:r>
    </w:p>
    <w:p w14:paraId="52638B0C">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工程质量检测项目应符合现行国家或行业有关规定、标准、规范的要求。</w:t>
      </w:r>
    </w:p>
    <w:p w14:paraId="64CD37CA">
      <w:pPr>
        <w:pageBreakBefore w:val="0"/>
        <w:widowControl w:val="0"/>
        <w:numPr>
          <w:ilvl w:val="0"/>
          <w:numId w:val="0"/>
        </w:numPr>
        <w:kinsoku/>
        <w:wordWrap/>
        <w:overflowPunct/>
        <w:topLinePunct w:val="0"/>
        <w:autoSpaceDE/>
        <w:autoSpaceDN/>
        <w:bidi w:val="0"/>
        <w:snapToGrid w:val="0"/>
        <w:spacing w:line="500" w:lineRule="exact"/>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五、质量检测主要</w:t>
      </w:r>
      <w:r>
        <w:rPr>
          <w:rFonts w:hint="eastAsia" w:ascii="宋体" w:hAnsi="宋体" w:cs="宋体"/>
          <w:b/>
          <w:bCs/>
          <w:color w:val="auto"/>
          <w:sz w:val="24"/>
          <w:szCs w:val="24"/>
          <w:highlight w:val="none"/>
          <w:lang w:val="en-US" w:eastAsia="zh-CN"/>
        </w:rPr>
        <w:t>内容</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2558"/>
        <w:gridCol w:w="5471"/>
      </w:tblGrid>
      <w:tr w14:paraId="285B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550" w:type="dxa"/>
            <w:vAlign w:val="center"/>
          </w:tcPr>
          <w:p w14:paraId="14EF2FF7">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分部分项</w:t>
            </w:r>
          </w:p>
        </w:tc>
        <w:tc>
          <w:tcPr>
            <w:tcW w:w="2558" w:type="dxa"/>
            <w:vAlign w:val="center"/>
          </w:tcPr>
          <w:p w14:paraId="42157D3F">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材料名称</w:t>
            </w:r>
          </w:p>
        </w:tc>
        <w:tc>
          <w:tcPr>
            <w:tcW w:w="5471" w:type="dxa"/>
            <w:vAlign w:val="center"/>
          </w:tcPr>
          <w:p w14:paraId="57EF5529">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送检项目</w:t>
            </w:r>
          </w:p>
        </w:tc>
      </w:tr>
      <w:tr w14:paraId="5C70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550" w:type="dxa"/>
            <w:vMerge w:val="restart"/>
            <w:vAlign w:val="center"/>
          </w:tcPr>
          <w:p w14:paraId="32E3C831">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地基地基础</w:t>
            </w:r>
          </w:p>
        </w:tc>
        <w:tc>
          <w:tcPr>
            <w:tcW w:w="2558" w:type="dxa"/>
            <w:vAlign w:val="center"/>
          </w:tcPr>
          <w:p w14:paraId="54245B88">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回填土</w:t>
            </w:r>
          </w:p>
        </w:tc>
        <w:tc>
          <w:tcPr>
            <w:tcW w:w="5471" w:type="dxa"/>
            <w:vAlign w:val="center"/>
          </w:tcPr>
          <w:p w14:paraId="268DA7F6">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击实试验、现场压实度检测</w:t>
            </w:r>
          </w:p>
        </w:tc>
      </w:tr>
      <w:tr w14:paraId="4025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550" w:type="dxa"/>
            <w:vMerge w:val="continue"/>
            <w:vAlign w:val="center"/>
          </w:tcPr>
          <w:p w14:paraId="71D0997A">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50F495A3">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桩基、独立基础</w:t>
            </w:r>
          </w:p>
        </w:tc>
        <w:tc>
          <w:tcPr>
            <w:tcW w:w="5471" w:type="dxa"/>
            <w:vAlign w:val="center"/>
          </w:tcPr>
          <w:p w14:paraId="27894BDA">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桩底岩芯取样、桩基声测、承载力、混凝土</w:t>
            </w:r>
          </w:p>
        </w:tc>
      </w:tr>
      <w:tr w14:paraId="6E28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550" w:type="dxa"/>
            <w:vMerge w:val="continue"/>
            <w:vAlign w:val="center"/>
          </w:tcPr>
          <w:p w14:paraId="5E75CBA6">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2EBC3EC8">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原材料（河沙、水泥、石子）</w:t>
            </w:r>
          </w:p>
        </w:tc>
        <w:tc>
          <w:tcPr>
            <w:tcW w:w="5471" w:type="dxa"/>
            <w:vAlign w:val="center"/>
          </w:tcPr>
          <w:p w14:paraId="688E1B70">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原材料检测、及配合比检测</w:t>
            </w:r>
          </w:p>
        </w:tc>
      </w:tr>
      <w:tr w14:paraId="607A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550" w:type="dxa"/>
            <w:vMerge w:val="restart"/>
            <w:vAlign w:val="center"/>
          </w:tcPr>
          <w:p w14:paraId="535A9A31">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结构主体</w:t>
            </w:r>
          </w:p>
        </w:tc>
        <w:tc>
          <w:tcPr>
            <w:tcW w:w="2558" w:type="dxa"/>
            <w:vAlign w:val="center"/>
          </w:tcPr>
          <w:p w14:paraId="0FA3489D">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混凝土</w:t>
            </w:r>
          </w:p>
        </w:tc>
        <w:tc>
          <w:tcPr>
            <w:tcW w:w="5471" w:type="dxa"/>
            <w:vAlign w:val="center"/>
          </w:tcPr>
          <w:p w14:paraId="5810E980">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抗压强度、抗渗性能、高性能混凝土送检</w:t>
            </w:r>
          </w:p>
        </w:tc>
      </w:tr>
      <w:tr w14:paraId="20D2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550" w:type="dxa"/>
            <w:vMerge w:val="continue"/>
            <w:vAlign w:val="center"/>
          </w:tcPr>
          <w:p w14:paraId="506800B8">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4E830570">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钢筋</w:t>
            </w:r>
          </w:p>
        </w:tc>
        <w:tc>
          <w:tcPr>
            <w:tcW w:w="5471" w:type="dxa"/>
            <w:vAlign w:val="center"/>
          </w:tcPr>
          <w:p w14:paraId="77791A50">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原材料检测</w:t>
            </w:r>
          </w:p>
        </w:tc>
      </w:tr>
      <w:tr w14:paraId="1828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550" w:type="dxa"/>
            <w:vMerge w:val="continue"/>
            <w:vAlign w:val="center"/>
          </w:tcPr>
          <w:p w14:paraId="570FA66D">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7041BFAC">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机械连接、焊接</w:t>
            </w:r>
          </w:p>
        </w:tc>
        <w:tc>
          <w:tcPr>
            <w:tcW w:w="5471" w:type="dxa"/>
            <w:vAlign w:val="center"/>
          </w:tcPr>
          <w:p w14:paraId="46ADC813">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机械连接、焊接工艺检测、常规送检</w:t>
            </w:r>
          </w:p>
        </w:tc>
      </w:tr>
      <w:tr w14:paraId="338C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6D530F57">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625FA1D2">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结构实体检测</w:t>
            </w:r>
          </w:p>
        </w:tc>
        <w:tc>
          <w:tcPr>
            <w:tcW w:w="5471" w:type="dxa"/>
            <w:vAlign w:val="center"/>
          </w:tcPr>
          <w:p w14:paraId="0557534B">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保护层厚度、回弹测强、楼板厚度、钢筋扫描</w:t>
            </w:r>
          </w:p>
        </w:tc>
      </w:tr>
      <w:tr w14:paraId="73EC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restart"/>
            <w:vAlign w:val="center"/>
          </w:tcPr>
          <w:p w14:paraId="74E15505">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二次结构</w:t>
            </w:r>
          </w:p>
        </w:tc>
        <w:tc>
          <w:tcPr>
            <w:tcW w:w="2558" w:type="dxa"/>
            <w:vAlign w:val="center"/>
          </w:tcPr>
          <w:p w14:paraId="3E407271">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蒸压加气混凝土砌块</w:t>
            </w:r>
          </w:p>
        </w:tc>
        <w:tc>
          <w:tcPr>
            <w:tcW w:w="5471" w:type="dxa"/>
            <w:vAlign w:val="center"/>
          </w:tcPr>
          <w:p w14:paraId="6FF877FB">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抗压强度、干密度、导热系数</w:t>
            </w:r>
          </w:p>
        </w:tc>
      </w:tr>
      <w:tr w14:paraId="1A84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3E45B25C">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6CC167B1">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绿色建筑墙板</w:t>
            </w:r>
          </w:p>
        </w:tc>
        <w:tc>
          <w:tcPr>
            <w:tcW w:w="5471" w:type="dxa"/>
            <w:vAlign w:val="center"/>
          </w:tcPr>
          <w:p w14:paraId="37EA3750">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抗压强度、密度、导热系数</w:t>
            </w:r>
          </w:p>
        </w:tc>
      </w:tr>
      <w:tr w14:paraId="11E0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69891BD1">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7C2AD664">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实心砖</w:t>
            </w:r>
          </w:p>
        </w:tc>
        <w:tc>
          <w:tcPr>
            <w:tcW w:w="5471" w:type="dxa"/>
            <w:vAlign w:val="center"/>
          </w:tcPr>
          <w:p w14:paraId="07F8BE26">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抗压强度、密度、导热系数</w:t>
            </w:r>
          </w:p>
        </w:tc>
      </w:tr>
      <w:tr w14:paraId="46F2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73040735">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21A565F1">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页岩多孔砖</w:t>
            </w:r>
          </w:p>
        </w:tc>
        <w:tc>
          <w:tcPr>
            <w:tcW w:w="5471" w:type="dxa"/>
            <w:vAlign w:val="center"/>
          </w:tcPr>
          <w:p w14:paraId="397D928B">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抗压强度、密度、导热系数</w:t>
            </w:r>
          </w:p>
        </w:tc>
      </w:tr>
      <w:tr w14:paraId="5B01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784A2C26">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6DF296E1">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砌筑砂浆</w:t>
            </w:r>
          </w:p>
        </w:tc>
        <w:tc>
          <w:tcPr>
            <w:tcW w:w="5471" w:type="dxa"/>
            <w:vAlign w:val="center"/>
          </w:tcPr>
          <w:p w14:paraId="65087FF2">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原材料送检、试块抗压强度、保水率送检</w:t>
            </w:r>
          </w:p>
        </w:tc>
      </w:tr>
      <w:tr w14:paraId="3AD7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070C43B2">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1522F255">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抹灰砂浆</w:t>
            </w:r>
          </w:p>
        </w:tc>
        <w:tc>
          <w:tcPr>
            <w:tcW w:w="5471" w:type="dxa"/>
            <w:vAlign w:val="center"/>
          </w:tcPr>
          <w:p w14:paraId="3746EF43">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原材料送检、试块抗压强度送检、拉伸粘结强度</w:t>
            </w:r>
          </w:p>
        </w:tc>
      </w:tr>
      <w:tr w14:paraId="4043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1F4469E8">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5DD76C74">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热镀锌钢丝网</w:t>
            </w:r>
          </w:p>
        </w:tc>
        <w:tc>
          <w:tcPr>
            <w:tcW w:w="5471" w:type="dxa"/>
            <w:vAlign w:val="center"/>
          </w:tcPr>
          <w:p w14:paraId="38B0D709">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丝径、网孔尺寸、焊点抗拉力、网面镀锌层质量</w:t>
            </w:r>
          </w:p>
        </w:tc>
      </w:tr>
      <w:tr w14:paraId="7653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26BE5079">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22525725">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耐火砖</w:t>
            </w:r>
          </w:p>
        </w:tc>
        <w:tc>
          <w:tcPr>
            <w:tcW w:w="5471" w:type="dxa"/>
            <w:vAlign w:val="center"/>
          </w:tcPr>
          <w:p w14:paraId="53B5E4DA">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抗压强度、密度</w:t>
            </w:r>
          </w:p>
        </w:tc>
      </w:tr>
      <w:tr w14:paraId="5861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387D67E5">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769387B3">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二次结构植筋</w:t>
            </w:r>
          </w:p>
        </w:tc>
        <w:tc>
          <w:tcPr>
            <w:tcW w:w="5471" w:type="dxa"/>
            <w:vAlign w:val="center"/>
          </w:tcPr>
          <w:p w14:paraId="2478C21A">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植筋拉拔试验</w:t>
            </w:r>
          </w:p>
        </w:tc>
      </w:tr>
      <w:tr w14:paraId="6319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restart"/>
            <w:vAlign w:val="center"/>
          </w:tcPr>
          <w:p w14:paraId="5497A360">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防水材料</w:t>
            </w:r>
          </w:p>
        </w:tc>
        <w:tc>
          <w:tcPr>
            <w:tcW w:w="2558" w:type="dxa"/>
            <w:vAlign w:val="center"/>
          </w:tcPr>
          <w:p w14:paraId="2F1E7B36">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JS-II防水涂膜</w:t>
            </w:r>
          </w:p>
        </w:tc>
        <w:tc>
          <w:tcPr>
            <w:tcW w:w="5471" w:type="dxa"/>
            <w:vAlign w:val="center"/>
          </w:tcPr>
          <w:p w14:paraId="79DF60A5">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拉伸强度、断裂伸长率、低温柔性、不透水性、固体含量、粘接强度</w:t>
            </w:r>
          </w:p>
        </w:tc>
      </w:tr>
      <w:tr w14:paraId="0DBE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13F42A58">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0EF268EF">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水泥基渗透结晶型防水涂料</w:t>
            </w:r>
          </w:p>
        </w:tc>
        <w:tc>
          <w:tcPr>
            <w:tcW w:w="5471" w:type="dxa"/>
            <w:vAlign w:val="center"/>
          </w:tcPr>
          <w:p w14:paraId="6D3923A5">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拉伸强度、断裂伸长率、低温柔性、不透水性、固体含量、粘接强度</w:t>
            </w:r>
          </w:p>
        </w:tc>
      </w:tr>
      <w:tr w14:paraId="63BF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55FB5396">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17AE5E5C">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自粘耐根穿刺卷材防水</w:t>
            </w:r>
          </w:p>
        </w:tc>
        <w:tc>
          <w:tcPr>
            <w:tcW w:w="5471" w:type="dxa"/>
            <w:vAlign w:val="center"/>
          </w:tcPr>
          <w:p w14:paraId="01FC3AB9">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厚度、不透水性、耐热性、低温柔性、拉力、延伸率、热老化</w:t>
            </w:r>
          </w:p>
        </w:tc>
      </w:tr>
      <w:tr w14:paraId="0594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45D400C7">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71FCB4B5">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SBS 改性沥青防水卷材</w:t>
            </w:r>
          </w:p>
        </w:tc>
        <w:tc>
          <w:tcPr>
            <w:tcW w:w="5471" w:type="dxa"/>
            <w:vAlign w:val="center"/>
          </w:tcPr>
          <w:p w14:paraId="6B411B5E">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厚度、不透水性、耐热性、低温柔性、拉力、延伸率、热老化</w:t>
            </w:r>
          </w:p>
        </w:tc>
      </w:tr>
      <w:tr w14:paraId="20C0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7009444F">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5F0A9B86">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自粘聚合物改性</w:t>
            </w:r>
            <w:r>
              <w:rPr>
                <w:rFonts w:hint="eastAsia" w:ascii="宋体" w:hAnsi="宋体" w:cs="宋体"/>
                <w:color w:val="auto"/>
                <w:sz w:val="24"/>
                <w:szCs w:val="24"/>
                <w:highlight w:val="none"/>
                <w:vertAlign w:val="baseline"/>
                <w:lang w:val="en-US" w:eastAsia="zh-CN"/>
              </w:rPr>
              <w:t>沥青聚胎</w:t>
            </w:r>
            <w:r>
              <w:rPr>
                <w:rFonts w:hint="default" w:ascii="宋体" w:hAnsi="宋体" w:eastAsia="宋体" w:cs="宋体"/>
                <w:color w:val="auto"/>
                <w:sz w:val="24"/>
                <w:szCs w:val="24"/>
                <w:highlight w:val="none"/>
                <w:vertAlign w:val="baseline"/>
                <w:lang w:val="en-US" w:eastAsia="zh-CN"/>
              </w:rPr>
              <w:t>脂防水卷材</w:t>
            </w:r>
          </w:p>
        </w:tc>
        <w:tc>
          <w:tcPr>
            <w:tcW w:w="5471" w:type="dxa"/>
            <w:vAlign w:val="center"/>
          </w:tcPr>
          <w:p w14:paraId="1E902FF3">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厚度、拉力、延伸率、低温柔性、不透水性、耐热性、热老化</w:t>
            </w:r>
          </w:p>
        </w:tc>
      </w:tr>
      <w:tr w14:paraId="42FF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06D51467">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66822052">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聚合物水泥基防水涂料</w:t>
            </w:r>
          </w:p>
        </w:tc>
        <w:tc>
          <w:tcPr>
            <w:tcW w:w="5471" w:type="dxa"/>
            <w:vAlign w:val="center"/>
          </w:tcPr>
          <w:p w14:paraId="0C34398F">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拉伸强度、断裂伸长率、低温柔性、不透水性、固体含量、粘接强度</w:t>
            </w:r>
          </w:p>
        </w:tc>
      </w:tr>
      <w:tr w14:paraId="1D20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restart"/>
            <w:vAlign w:val="center"/>
          </w:tcPr>
          <w:p w14:paraId="0E618D99">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保温材料</w:t>
            </w:r>
          </w:p>
        </w:tc>
        <w:tc>
          <w:tcPr>
            <w:tcW w:w="2558" w:type="dxa"/>
            <w:vAlign w:val="center"/>
          </w:tcPr>
          <w:p w14:paraId="5C46C08D">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石膏板</w:t>
            </w:r>
          </w:p>
        </w:tc>
        <w:tc>
          <w:tcPr>
            <w:tcW w:w="5471" w:type="dxa"/>
            <w:vAlign w:val="center"/>
          </w:tcPr>
          <w:p w14:paraId="335D97A7">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常规、燃烧性能</w:t>
            </w:r>
          </w:p>
        </w:tc>
      </w:tr>
      <w:tr w14:paraId="452D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23732E88">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7AB24D7D">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热镀锌轻钢龙骨</w:t>
            </w:r>
          </w:p>
        </w:tc>
        <w:tc>
          <w:tcPr>
            <w:tcW w:w="5471" w:type="dxa"/>
            <w:vAlign w:val="center"/>
          </w:tcPr>
          <w:p w14:paraId="558DD64A">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尺寸偏差、力学性能</w:t>
            </w:r>
          </w:p>
        </w:tc>
      </w:tr>
      <w:tr w14:paraId="4B3B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089FDD24">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22472C2C">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膨胀螺栓</w:t>
            </w:r>
          </w:p>
        </w:tc>
        <w:tc>
          <w:tcPr>
            <w:tcW w:w="5471" w:type="dxa"/>
            <w:vAlign w:val="center"/>
          </w:tcPr>
          <w:p w14:paraId="7EBCC57F">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现场拉拔检验</w:t>
            </w:r>
          </w:p>
        </w:tc>
      </w:tr>
      <w:tr w14:paraId="26C5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42B30412">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777138F5">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改性发泡水泥保温板</w:t>
            </w:r>
          </w:p>
        </w:tc>
        <w:tc>
          <w:tcPr>
            <w:tcW w:w="5471" w:type="dxa"/>
            <w:vAlign w:val="center"/>
          </w:tcPr>
          <w:p w14:paraId="122A2AF7">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密度、导热系数、抗拉强度、憎水率、吸水量、压缩强度</w:t>
            </w:r>
          </w:p>
        </w:tc>
      </w:tr>
      <w:tr w14:paraId="0551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3DEFC0EA">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62946771">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岩棉板</w:t>
            </w:r>
          </w:p>
        </w:tc>
        <w:tc>
          <w:tcPr>
            <w:tcW w:w="5471" w:type="dxa"/>
            <w:vAlign w:val="center"/>
          </w:tcPr>
          <w:p w14:paraId="14359AEC">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密度、导热系数、垂直于板面方向的抗拉强度、憎水率、吸水量、压缩强度、酸度系数</w:t>
            </w:r>
          </w:p>
        </w:tc>
      </w:tr>
      <w:tr w14:paraId="3744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3DEC2537">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5676D933">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胶粘剂</w:t>
            </w:r>
          </w:p>
        </w:tc>
        <w:tc>
          <w:tcPr>
            <w:tcW w:w="5471" w:type="dxa"/>
            <w:vAlign w:val="center"/>
          </w:tcPr>
          <w:p w14:paraId="72E53587">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与水泥砂浆的拉伸粘结强度、与垂直纤维岩棉板拉伸粘结强度</w:t>
            </w:r>
          </w:p>
        </w:tc>
      </w:tr>
      <w:tr w14:paraId="5876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699D8544">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1BB04B2F">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保温钉</w:t>
            </w:r>
          </w:p>
        </w:tc>
        <w:tc>
          <w:tcPr>
            <w:tcW w:w="5471" w:type="dxa"/>
            <w:vAlign w:val="center"/>
          </w:tcPr>
          <w:p w14:paraId="4FA03CA5">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单个锚栓抗拉承载力标准值</w:t>
            </w:r>
          </w:p>
        </w:tc>
      </w:tr>
      <w:tr w14:paraId="2F9C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531E9100">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13F3BC07">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抗裂砂浆</w:t>
            </w:r>
          </w:p>
        </w:tc>
        <w:tc>
          <w:tcPr>
            <w:tcW w:w="5471" w:type="dxa"/>
            <w:vAlign w:val="center"/>
          </w:tcPr>
          <w:p w14:paraId="1B0AD207">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拉伸粘结强度（标准状态、浸水状态)、压折比</w:t>
            </w:r>
          </w:p>
        </w:tc>
      </w:tr>
      <w:tr w14:paraId="1108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354DBC8F">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228E0B75">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塑料锚栓</w:t>
            </w:r>
          </w:p>
        </w:tc>
        <w:tc>
          <w:tcPr>
            <w:tcW w:w="5471" w:type="dxa"/>
            <w:vAlign w:val="center"/>
          </w:tcPr>
          <w:p w14:paraId="6117677E">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抗拔</w:t>
            </w:r>
          </w:p>
        </w:tc>
      </w:tr>
      <w:tr w14:paraId="3883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315EA4A4">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31F7E71F">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锚栓拉拔试验</w:t>
            </w:r>
          </w:p>
        </w:tc>
        <w:tc>
          <w:tcPr>
            <w:tcW w:w="5471" w:type="dxa"/>
            <w:vAlign w:val="center"/>
          </w:tcPr>
          <w:p w14:paraId="286E2C1B">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抗拔</w:t>
            </w:r>
          </w:p>
        </w:tc>
      </w:tr>
      <w:tr w14:paraId="18B5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55855877">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3B048A55">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化学</w:t>
            </w:r>
            <w:r>
              <w:rPr>
                <w:rFonts w:hint="default" w:ascii="宋体" w:hAnsi="宋体" w:eastAsia="宋体" w:cs="宋体"/>
                <w:color w:val="auto"/>
                <w:sz w:val="24"/>
                <w:szCs w:val="24"/>
                <w:highlight w:val="none"/>
                <w:vertAlign w:val="baseline"/>
                <w:lang w:val="en-US" w:eastAsia="zh-CN"/>
              </w:rPr>
              <w:t>锚栓</w:t>
            </w:r>
          </w:p>
        </w:tc>
        <w:tc>
          <w:tcPr>
            <w:tcW w:w="5471" w:type="dxa"/>
            <w:vAlign w:val="center"/>
          </w:tcPr>
          <w:p w14:paraId="3C84CAF8">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抗拔</w:t>
            </w:r>
          </w:p>
        </w:tc>
      </w:tr>
      <w:tr w14:paraId="1EE7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528BE9C3">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68BE08FA">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耐碱玻璃纤维网格布</w:t>
            </w:r>
          </w:p>
        </w:tc>
        <w:tc>
          <w:tcPr>
            <w:tcW w:w="5471" w:type="dxa"/>
            <w:vAlign w:val="center"/>
          </w:tcPr>
          <w:p w14:paraId="2A0CBCBA">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单位面积质量、耐碱断裂强度、耐碱断裂强力保留率、断裂伸长率</w:t>
            </w:r>
          </w:p>
        </w:tc>
      </w:tr>
      <w:tr w14:paraId="1CC3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5FA52258">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30F6A952">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挤塑聚苯板</w:t>
            </w:r>
          </w:p>
        </w:tc>
        <w:tc>
          <w:tcPr>
            <w:tcW w:w="5471" w:type="dxa"/>
            <w:vAlign w:val="center"/>
          </w:tcPr>
          <w:p w14:paraId="5CD0DCD8">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常规性能、燃烧性能</w:t>
            </w:r>
          </w:p>
        </w:tc>
      </w:tr>
      <w:tr w14:paraId="5127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2A188C51">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0558CFF0">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轻集料混凝土</w:t>
            </w:r>
          </w:p>
        </w:tc>
        <w:tc>
          <w:tcPr>
            <w:tcW w:w="5471" w:type="dxa"/>
            <w:vAlign w:val="center"/>
          </w:tcPr>
          <w:p w14:paraId="7478D98F">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抗压强度、密度、导热系数</w:t>
            </w:r>
          </w:p>
        </w:tc>
      </w:tr>
      <w:tr w14:paraId="5E36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1B89ADBC">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08D034DD">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节能型轻质砂浆</w:t>
            </w:r>
          </w:p>
        </w:tc>
        <w:tc>
          <w:tcPr>
            <w:tcW w:w="5471" w:type="dxa"/>
            <w:vAlign w:val="center"/>
          </w:tcPr>
          <w:p w14:paraId="60AED5A7">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抗压强充、导热系数</w:t>
            </w:r>
          </w:p>
        </w:tc>
      </w:tr>
      <w:tr w14:paraId="2A5E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63872148">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7B48D7F2">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节能钻芯</w:t>
            </w:r>
          </w:p>
        </w:tc>
        <w:tc>
          <w:tcPr>
            <w:tcW w:w="5471" w:type="dxa"/>
            <w:vAlign w:val="center"/>
          </w:tcPr>
          <w:p w14:paraId="4BA23DF5">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外墙、地面钻芯</w:t>
            </w:r>
          </w:p>
        </w:tc>
      </w:tr>
      <w:tr w14:paraId="099E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restart"/>
            <w:vAlign w:val="center"/>
          </w:tcPr>
          <w:p w14:paraId="22452AD6">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装饰装修</w:t>
            </w:r>
          </w:p>
        </w:tc>
        <w:tc>
          <w:tcPr>
            <w:tcW w:w="2558" w:type="dxa"/>
            <w:vAlign w:val="center"/>
          </w:tcPr>
          <w:p w14:paraId="2F481613">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无机涂料</w:t>
            </w:r>
          </w:p>
        </w:tc>
        <w:tc>
          <w:tcPr>
            <w:tcW w:w="5471" w:type="dxa"/>
            <w:vAlign w:val="center"/>
          </w:tcPr>
          <w:p w14:paraId="46035CDE">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容器中状态、低温稳定性、涂膜外观、拉伸、耐水耐碱性、初期干燥抗裂性、干燥时间、施工中、耐冲击性、耐酸性、耐沾污性、断裂伸长率等</w:t>
            </w:r>
          </w:p>
        </w:tc>
      </w:tr>
      <w:tr w14:paraId="1466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34A6F5EF">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4E16CD61">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腻子</w:t>
            </w:r>
          </w:p>
        </w:tc>
        <w:tc>
          <w:tcPr>
            <w:tcW w:w="5471" w:type="dxa"/>
            <w:vAlign w:val="center"/>
          </w:tcPr>
          <w:p w14:paraId="3EEF90EC">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拉伸、耐水耐碱性</w:t>
            </w:r>
          </w:p>
        </w:tc>
      </w:tr>
      <w:tr w14:paraId="6AAE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1FC28D80">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1593405E">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栏杆</w:t>
            </w:r>
          </w:p>
        </w:tc>
        <w:tc>
          <w:tcPr>
            <w:tcW w:w="5471" w:type="dxa"/>
            <w:vAlign w:val="center"/>
          </w:tcPr>
          <w:p w14:paraId="4C8A9E05">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原材检测、锚栓抗拔、推力试验</w:t>
            </w:r>
          </w:p>
        </w:tc>
      </w:tr>
      <w:tr w14:paraId="725D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7D33FFD7">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7566672A">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门窗</w:t>
            </w:r>
          </w:p>
        </w:tc>
        <w:tc>
          <w:tcPr>
            <w:tcW w:w="5471" w:type="dxa"/>
            <w:vAlign w:val="center"/>
          </w:tcPr>
          <w:p w14:paraId="27B42DCB">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原材检测、四性检测、抗撞击试验</w:t>
            </w:r>
          </w:p>
        </w:tc>
      </w:tr>
      <w:tr w14:paraId="3825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Align w:val="center"/>
          </w:tcPr>
          <w:p w14:paraId="640AE44F">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给排水</w:t>
            </w:r>
          </w:p>
        </w:tc>
        <w:tc>
          <w:tcPr>
            <w:tcW w:w="2558" w:type="dxa"/>
            <w:vAlign w:val="center"/>
          </w:tcPr>
          <w:p w14:paraId="273DABBA">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管材</w:t>
            </w:r>
          </w:p>
        </w:tc>
        <w:tc>
          <w:tcPr>
            <w:tcW w:w="5471" w:type="dxa"/>
            <w:vAlign w:val="center"/>
          </w:tcPr>
          <w:p w14:paraId="7D97069A">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原材检测、灌水、通球试验</w:t>
            </w:r>
          </w:p>
        </w:tc>
      </w:tr>
      <w:tr w14:paraId="4410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Align w:val="center"/>
          </w:tcPr>
          <w:p w14:paraId="470DFFBA">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电器</w:t>
            </w:r>
          </w:p>
        </w:tc>
        <w:tc>
          <w:tcPr>
            <w:tcW w:w="2558" w:type="dxa"/>
            <w:vAlign w:val="center"/>
          </w:tcPr>
          <w:p w14:paraId="3149F792">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电线电缆</w:t>
            </w:r>
          </w:p>
        </w:tc>
        <w:tc>
          <w:tcPr>
            <w:tcW w:w="5471" w:type="dxa"/>
            <w:vAlign w:val="center"/>
          </w:tcPr>
          <w:p w14:paraId="44C96BF7">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原材料检测、照度功率检测</w:t>
            </w:r>
          </w:p>
        </w:tc>
      </w:tr>
      <w:tr w14:paraId="0621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restart"/>
            <w:vAlign w:val="center"/>
          </w:tcPr>
          <w:p w14:paraId="52D47C7C">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综合性检测</w:t>
            </w:r>
          </w:p>
        </w:tc>
        <w:tc>
          <w:tcPr>
            <w:tcW w:w="2558" w:type="dxa"/>
            <w:vAlign w:val="center"/>
          </w:tcPr>
          <w:p w14:paraId="17E15C30">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5471" w:type="dxa"/>
            <w:vAlign w:val="center"/>
          </w:tcPr>
          <w:p w14:paraId="53854780">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空气检测、隔声性能检测</w:t>
            </w:r>
          </w:p>
        </w:tc>
      </w:tr>
      <w:tr w14:paraId="2003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Merge w:val="continue"/>
            <w:vAlign w:val="center"/>
          </w:tcPr>
          <w:p w14:paraId="0711688B">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p>
        </w:tc>
        <w:tc>
          <w:tcPr>
            <w:tcW w:w="2558" w:type="dxa"/>
            <w:vAlign w:val="center"/>
          </w:tcPr>
          <w:p w14:paraId="2015E341">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室外管网</w:t>
            </w:r>
          </w:p>
        </w:tc>
        <w:tc>
          <w:tcPr>
            <w:tcW w:w="5471" w:type="dxa"/>
            <w:vAlign w:val="center"/>
          </w:tcPr>
          <w:p w14:paraId="0C347DD5">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内窥镜检测</w:t>
            </w:r>
          </w:p>
        </w:tc>
      </w:tr>
      <w:tr w14:paraId="4FF0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0" w:type="dxa"/>
            <w:vAlign w:val="center"/>
          </w:tcPr>
          <w:p w14:paraId="191CA07C">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水质</w:t>
            </w:r>
          </w:p>
        </w:tc>
        <w:tc>
          <w:tcPr>
            <w:tcW w:w="2558" w:type="dxa"/>
            <w:vAlign w:val="center"/>
          </w:tcPr>
          <w:p w14:paraId="12C71DAE">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水</w:t>
            </w:r>
          </w:p>
        </w:tc>
        <w:tc>
          <w:tcPr>
            <w:tcW w:w="5471" w:type="dxa"/>
            <w:vAlign w:val="center"/>
          </w:tcPr>
          <w:p w14:paraId="25235800">
            <w:pPr>
              <w:pageBreakBefore w:val="0"/>
              <w:widowControl w:val="0"/>
              <w:numPr>
                <w:ilvl w:val="0"/>
                <w:numId w:val="0"/>
              </w:numPr>
              <w:kinsoku/>
              <w:wordWrap/>
              <w:overflowPunct/>
              <w:topLinePunct w:val="0"/>
              <w:autoSpaceDE/>
              <w:autoSpaceDN/>
              <w:bidi w:val="0"/>
              <w:snapToGrid w:val="0"/>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水质检测</w:t>
            </w:r>
          </w:p>
        </w:tc>
      </w:tr>
    </w:tbl>
    <w:p w14:paraId="4016815D">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p>
    <w:p w14:paraId="3245937D">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p>
    <w:p w14:paraId="35654FB0">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p>
    <w:p w14:paraId="2B68D2EB">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p>
    <w:p w14:paraId="6AC4C991">
      <w:pPr>
        <w:pStyle w:val="3"/>
        <w:pageBreakBefore w:val="0"/>
        <w:kinsoku/>
        <w:wordWrap/>
        <w:overflowPunct/>
        <w:topLinePunct w:val="0"/>
        <w:autoSpaceDE/>
        <w:autoSpaceDN/>
        <w:bidi w:val="0"/>
        <w:spacing w:line="500" w:lineRule="exact"/>
        <w:jc w:val="center"/>
        <w:textAlignment w:val="auto"/>
        <w:outlineLvl w:val="0"/>
        <w:rPr>
          <w:rFonts w:hint="eastAsia" w:ascii="宋体" w:hAnsi="宋体" w:eastAsia="宋体" w:cs="宋体"/>
          <w:color w:val="auto"/>
          <w:sz w:val="24"/>
          <w:szCs w:val="24"/>
          <w:highlight w:val="none"/>
        </w:rPr>
        <w:sectPr>
          <w:pgSz w:w="11907" w:h="16840"/>
          <w:pgMar w:top="1134" w:right="1191" w:bottom="1134" w:left="1304" w:header="964" w:footer="992" w:gutter="0"/>
          <w:pgNumType w:fmt="numberInDash"/>
          <w:cols w:space="720" w:num="1"/>
          <w:docGrid w:type="lines" w:linePitch="312" w:charSpace="0"/>
        </w:sectPr>
      </w:pPr>
      <w:r>
        <w:rPr>
          <w:rFonts w:hint="eastAsia" w:ascii="宋体" w:hAnsi="宋体" w:eastAsia="宋体" w:cs="宋体"/>
          <w:color w:val="auto"/>
          <w:sz w:val="24"/>
          <w:szCs w:val="24"/>
          <w:highlight w:val="none"/>
        </w:rPr>
        <w:t xml:space="preserve"> </w:t>
      </w:r>
      <w:bookmarkStart w:id="52" w:name="_Toc106030882"/>
      <w:bookmarkEnd w:id="52"/>
      <w:bookmarkStart w:id="53" w:name="_Toc76462327"/>
    </w:p>
    <w:p w14:paraId="3C31BF4E">
      <w:pPr>
        <w:pStyle w:val="3"/>
        <w:pageBreakBefore w:val="0"/>
        <w:kinsoku/>
        <w:wordWrap/>
        <w:overflowPunct/>
        <w:topLinePunct w:val="0"/>
        <w:autoSpaceDE/>
        <w:autoSpaceDN/>
        <w:bidi w:val="0"/>
        <w:spacing w:line="500" w:lineRule="exact"/>
        <w:jc w:val="center"/>
        <w:textAlignment w:val="auto"/>
        <w:outlineLvl w:val="0"/>
        <w:rPr>
          <w:rFonts w:hint="eastAsia" w:ascii="宋体" w:hAnsi="宋体" w:eastAsia="宋体" w:cs="宋体"/>
          <w:b w:val="0"/>
          <w:bCs/>
          <w:color w:val="auto"/>
          <w:sz w:val="36"/>
          <w:szCs w:val="36"/>
          <w:highlight w:val="none"/>
        </w:rPr>
      </w:pPr>
      <w:bookmarkStart w:id="54" w:name="_Toc24552"/>
      <w:r>
        <w:rPr>
          <w:rFonts w:hint="eastAsia" w:ascii="宋体" w:hAnsi="宋体" w:eastAsia="宋体" w:cs="宋体"/>
          <w:b w:val="0"/>
          <w:bCs/>
          <w:color w:val="auto"/>
          <w:sz w:val="36"/>
          <w:szCs w:val="36"/>
          <w:highlight w:val="none"/>
        </w:rPr>
        <w:t xml:space="preserve">第三篇  </w:t>
      </w:r>
      <w:bookmarkEnd w:id="53"/>
      <w:r>
        <w:rPr>
          <w:rFonts w:hint="eastAsia" w:ascii="宋体" w:hAnsi="宋体" w:eastAsia="宋体" w:cs="宋体"/>
          <w:b w:val="0"/>
          <w:bCs/>
          <w:color w:val="auto"/>
          <w:sz w:val="36"/>
          <w:szCs w:val="36"/>
          <w:highlight w:val="none"/>
        </w:rPr>
        <w:t>项目商务需求</w:t>
      </w:r>
      <w:bookmarkEnd w:id="54"/>
    </w:p>
    <w:p w14:paraId="59AAB9B7">
      <w:pPr>
        <w:pStyle w:val="3"/>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55" w:name="_Toc76462328"/>
      <w:bookmarkEnd w:id="55"/>
      <w:bookmarkStart w:id="56" w:name="_Toc106030883"/>
      <w:bookmarkEnd w:id="56"/>
      <w:r>
        <w:rPr>
          <w:rFonts w:hint="eastAsia" w:ascii="宋体" w:hAnsi="宋体" w:eastAsia="宋体" w:cs="宋体"/>
          <w:color w:val="auto"/>
          <w:sz w:val="24"/>
          <w:szCs w:val="24"/>
          <w:highlight w:val="none"/>
        </w:rPr>
        <w:t>一、服务期、地点及验收方式</w:t>
      </w:r>
    </w:p>
    <w:p w14:paraId="6D86C25C">
      <w:pPr>
        <w:pStyle w:val="9"/>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（一）服务期：</w:t>
      </w:r>
      <w:r>
        <w:rPr>
          <w:rFonts w:hint="eastAsia" w:ascii="宋体" w:hAnsi="宋体" w:eastAsia="宋体" w:cs="宋体"/>
          <w:color w:val="auto"/>
          <w:kern w:val="2"/>
          <w:sz w:val="24"/>
          <w:szCs w:val="24"/>
          <w:highlight w:val="none"/>
          <w:lang w:val="en-US" w:eastAsia="zh-CN" w:bidi="ar-SA"/>
        </w:rPr>
        <w:t>合同签订之日起至工程竣工验收合格。</w:t>
      </w:r>
    </w:p>
    <w:p w14:paraId="2CCA831F">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（二）服务地点：</w:t>
      </w:r>
      <w:r>
        <w:rPr>
          <w:rFonts w:hint="eastAsia" w:ascii="宋体" w:hAnsi="宋体" w:eastAsia="宋体" w:cs="宋体"/>
          <w:color w:val="auto"/>
          <w:sz w:val="24"/>
          <w:szCs w:val="24"/>
          <w:highlight w:val="none"/>
          <w:lang w:val="en-US" w:eastAsia="zh-CN"/>
        </w:rPr>
        <w:t>采购人指定的地点</w:t>
      </w:r>
      <w:r>
        <w:rPr>
          <w:rFonts w:hint="eastAsia" w:ascii="宋体" w:hAnsi="宋体" w:cs="宋体"/>
          <w:color w:val="auto"/>
          <w:sz w:val="24"/>
          <w:szCs w:val="24"/>
          <w:highlight w:val="none"/>
          <w:lang w:val="en-US" w:eastAsia="zh-CN"/>
        </w:rPr>
        <w:t>。</w:t>
      </w:r>
    </w:p>
    <w:p w14:paraId="544FADBD">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（三）验收</w:t>
      </w:r>
      <w:r>
        <w:rPr>
          <w:rFonts w:hint="eastAsia" w:ascii="宋体" w:hAnsi="宋体" w:eastAsia="宋体" w:cs="宋体"/>
          <w:color w:val="auto"/>
          <w:sz w:val="24"/>
          <w:szCs w:val="24"/>
          <w:highlight w:val="none"/>
          <w:lang w:val="en-US" w:eastAsia="zh-CN"/>
        </w:rPr>
        <w:t>方式：</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按要求提交符合国家现行有关技术标准的检测报告，确保福寿楼工程项目工程质量检测服务内各单项工程检测参数不全、检测频率不够、检测报告质量不符合要求等检测报告原因导致竣工验收不合格。供应商对检测报告的真实性、准确性负责。</w:t>
      </w:r>
    </w:p>
    <w:p w14:paraId="3909A606">
      <w:pPr>
        <w:pStyle w:val="3"/>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57" w:name="_Toc344475121"/>
      <w:bookmarkEnd w:id="57"/>
      <w:bookmarkStart w:id="58" w:name="_Toc106030884"/>
      <w:bookmarkEnd w:id="58"/>
      <w:bookmarkStart w:id="59" w:name="_Toc76462329"/>
      <w:r>
        <w:rPr>
          <w:rFonts w:hint="eastAsia" w:ascii="宋体" w:hAnsi="宋体" w:eastAsia="宋体" w:cs="宋体"/>
          <w:color w:val="auto"/>
          <w:sz w:val="24"/>
          <w:szCs w:val="24"/>
          <w:highlight w:val="none"/>
        </w:rPr>
        <w:t>二、</w:t>
      </w:r>
      <w:bookmarkEnd w:id="59"/>
      <w:r>
        <w:rPr>
          <w:rFonts w:hint="eastAsia" w:ascii="宋体" w:hAnsi="宋体" w:eastAsia="宋体" w:cs="宋体"/>
          <w:color w:val="auto"/>
          <w:sz w:val="24"/>
          <w:szCs w:val="24"/>
          <w:highlight w:val="none"/>
        </w:rPr>
        <w:t>报价要求</w:t>
      </w:r>
    </w:p>
    <w:p w14:paraId="16B67FC5">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次报价为人民币报价，采用总价报价。报价包含但不限于人工费、材料设备费、差旅费、专家费、检测鉴定费、二次委托费、报告编制费、文件资料费、税金、风险费等。供应商根据项目情况、自身实力、市场行情进行填报。因成交供应商自身原因造成漏报、少报皆由其自行承担责任，采购人不再补偿任何费用</w:t>
      </w:r>
      <w:r>
        <w:rPr>
          <w:rFonts w:hint="eastAsia" w:ascii="宋体" w:hAnsi="宋体" w:eastAsia="宋体" w:cs="宋体"/>
          <w:color w:val="auto"/>
          <w:kern w:val="2"/>
          <w:sz w:val="24"/>
          <w:szCs w:val="24"/>
          <w:highlight w:val="none"/>
          <w:lang w:val="en-US" w:eastAsia="zh-CN" w:bidi="ar-SA"/>
        </w:rPr>
        <w:t>。</w:t>
      </w:r>
    </w:p>
    <w:p w14:paraId="30CE696E">
      <w:pPr>
        <w:pStyle w:val="3"/>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color w:val="auto"/>
          <w:sz w:val="24"/>
          <w:szCs w:val="24"/>
          <w:highlight w:val="none"/>
        </w:rPr>
      </w:pPr>
      <w:bookmarkStart w:id="60" w:name="_Toc76462330"/>
      <w:bookmarkEnd w:id="60"/>
      <w:bookmarkStart w:id="61" w:name="_Toc344475122"/>
      <w:bookmarkEnd w:id="61"/>
      <w:bookmarkStart w:id="62" w:name="_Toc106030885"/>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、付款方式</w:t>
      </w:r>
      <w:bookmarkEnd w:id="62"/>
    </w:p>
    <w:p w14:paraId="74F061D9">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检测费进度款按季度支付，支付方式根据</w:t>
      </w:r>
      <w:r>
        <w:rPr>
          <w:rFonts w:hint="eastAsia" w:ascii="宋体" w:hAnsi="宋体" w:cs="宋体"/>
          <w:color w:val="auto"/>
          <w:sz w:val="24"/>
          <w:szCs w:val="24"/>
          <w:highlight w:val="none"/>
          <w:lang w:val="en-US" w:eastAsia="zh-CN"/>
        </w:rPr>
        <w:t>施工单位</w:t>
      </w:r>
      <w:r>
        <w:rPr>
          <w:rFonts w:hint="eastAsia" w:ascii="宋体" w:hAnsi="宋体" w:eastAsia="宋体" w:cs="宋体"/>
          <w:color w:val="auto"/>
          <w:sz w:val="24"/>
          <w:szCs w:val="24"/>
          <w:highlight w:val="none"/>
          <w:lang w:val="en-US" w:eastAsia="zh-CN"/>
        </w:rPr>
        <w:t>工程形象进度产值划分工程检测费比例支付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于次季度的第一个月 28 日之前完成付款。</w:t>
      </w:r>
    </w:p>
    <w:p w14:paraId="4FFFD8C6">
      <w:pPr>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olor w:val="auto"/>
          <w:sz w:val="24"/>
          <w:szCs w:val="24"/>
          <w:highlight w:val="none"/>
        </w:rPr>
      </w:pPr>
      <w:r>
        <w:rPr>
          <w:rFonts w:hint="eastAsia" w:ascii="宋体" w:hAnsi="宋体" w:eastAsia="宋体" w:cs="宋体"/>
          <w:color w:val="auto"/>
          <w:sz w:val="24"/>
          <w:szCs w:val="24"/>
          <w:highlight w:val="none"/>
          <w:lang w:val="en-US" w:eastAsia="zh-CN"/>
        </w:rPr>
        <w:t>每次支付前，成交供应商出具国家税务征收机关开具的增值税专用发票，由采购人采用银行转帐或电汇至成交供应商银行帐户。否则采购人有权拒绝支付并不承担任何违约责任。</w:t>
      </w:r>
    </w:p>
    <w:p w14:paraId="44757B8D">
      <w:pPr>
        <w:pStyle w:val="4"/>
        <w:spacing w:before="0" w:after="0" w:line="400" w:lineRule="exact"/>
        <w:ind w:firstLine="482" w:firstLineChars="200"/>
        <w:jc w:val="both"/>
        <w:rPr>
          <w:rFonts w:hint="default" w:ascii="仿宋" w:hAnsi="仿宋" w:eastAsia="仿宋" w:cs="仿宋"/>
          <w:color w:val="auto"/>
          <w:sz w:val="24"/>
          <w:szCs w:val="24"/>
          <w:highlight w:val="none"/>
          <w:lang w:val="en-US"/>
        </w:rPr>
      </w:pPr>
      <w:bookmarkStart w:id="63" w:name="_Toc117861016"/>
      <w:r>
        <w:rPr>
          <w:rFonts w:hint="eastAsia" w:ascii="宋体" w:hAnsi="宋体" w:eastAsia="宋体" w:cs="宋体"/>
          <w:b/>
          <w:color w:val="auto"/>
          <w:kern w:val="2"/>
          <w:sz w:val="24"/>
          <w:szCs w:val="24"/>
          <w:highlight w:val="none"/>
          <w:lang w:val="en-US" w:eastAsia="zh-CN" w:bidi="ar-SA"/>
        </w:rPr>
        <w:t>四、</w:t>
      </w:r>
      <w:bookmarkEnd w:id="63"/>
      <w:bookmarkStart w:id="64" w:name="_Toc344475125"/>
      <w:r>
        <w:rPr>
          <w:rFonts w:hint="eastAsia" w:ascii="宋体" w:hAnsi="宋体" w:cs="宋体"/>
          <w:b/>
          <w:color w:val="auto"/>
          <w:kern w:val="2"/>
          <w:sz w:val="24"/>
          <w:szCs w:val="24"/>
          <w:highlight w:val="none"/>
          <w:lang w:val="en-US" w:eastAsia="zh-CN" w:bidi="ar-SA"/>
        </w:rPr>
        <w:t>履约担保</w:t>
      </w:r>
    </w:p>
    <w:bookmarkEnd w:id="64"/>
    <w:p w14:paraId="076815F7">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不提交。</w:t>
      </w:r>
    </w:p>
    <w:p w14:paraId="246B21AA">
      <w:pPr>
        <w:pStyle w:val="3"/>
        <w:pageBreakBefore w:val="0"/>
        <w:kinsoku/>
        <w:wordWrap/>
        <w:overflowPunct/>
        <w:topLinePunct w:val="0"/>
        <w:autoSpaceDE/>
        <w:autoSpaceDN/>
        <w:bidi w:val="0"/>
        <w:adjustRightInd w:val="0"/>
        <w:snapToGrid w:val="0"/>
        <w:spacing w:line="500" w:lineRule="exact"/>
        <w:ind w:firstLine="482" w:firstLineChars="200"/>
        <w:textAlignment w:val="auto"/>
        <w:rPr>
          <w:rFonts w:hint="default" w:ascii="宋体" w:hAnsi="宋体" w:eastAsia="宋体" w:cs="宋体"/>
          <w:color w:val="auto"/>
          <w:sz w:val="24"/>
          <w:szCs w:val="24"/>
          <w:highlight w:val="none"/>
          <w:lang w:val="en-US" w:eastAsia="zh-CN"/>
        </w:rPr>
      </w:pPr>
      <w:bookmarkStart w:id="65" w:name="_Toc76462331"/>
      <w:bookmarkEnd w:id="65"/>
      <w:bookmarkStart w:id="66" w:name="_Toc344475124"/>
      <w:bookmarkEnd w:id="66"/>
      <w:bookmarkStart w:id="67" w:name="_Toc51683179"/>
      <w:bookmarkStart w:id="68" w:name="_Toc121994844"/>
      <w:bookmarkStart w:id="69" w:name="_Toc121233363"/>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w:t>
      </w:r>
      <w:bookmarkEnd w:id="67"/>
      <w:bookmarkEnd w:id="68"/>
      <w:bookmarkEnd w:id="69"/>
      <w:r>
        <w:rPr>
          <w:rFonts w:hint="eastAsia" w:ascii="宋体" w:hAnsi="宋体" w:eastAsia="宋体" w:cs="宋体"/>
          <w:color w:val="auto"/>
          <w:sz w:val="24"/>
          <w:szCs w:val="24"/>
          <w:highlight w:val="none"/>
          <w:lang w:val="en-US" w:eastAsia="zh-CN"/>
        </w:rPr>
        <w:t>安全责任</w:t>
      </w:r>
    </w:p>
    <w:p w14:paraId="0611AF5B">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供应商在履行合同过程中应遵守安全操作规则、保证自己人身安全；非因采购人原因，供应商受到人身、财产损害或供应商对第三人造成人身、财产损害的，供应商应自行承担全部赔偿责任。</w:t>
      </w:r>
    </w:p>
    <w:p w14:paraId="3CBA8B27">
      <w:pPr>
        <w:pStyle w:val="4"/>
        <w:pageBreakBefore w:val="0"/>
        <w:widowControl w:val="0"/>
        <w:kinsoku/>
        <w:wordWrap/>
        <w:overflowPunct/>
        <w:topLinePunct w:val="0"/>
        <w:autoSpaceDE/>
        <w:autoSpaceDN/>
        <w:bidi w:val="0"/>
        <w:adjustRightInd/>
        <w:spacing w:before="0" w:after="0" w:line="360" w:lineRule="auto"/>
        <w:ind w:firstLine="482" w:firstLineChars="20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、其他</w:t>
      </w:r>
    </w:p>
    <w:p w14:paraId="023FA7D4">
      <w:pPr>
        <w:spacing w:line="400" w:lineRule="exact"/>
        <w:ind w:firstLine="480" w:firstLineChars="200"/>
        <w:rPr>
          <w:rFonts w:hint="eastAsia" w:ascii="仿宋" w:hAnsi="仿宋" w:eastAsia="仿宋"/>
          <w:color w:val="auto"/>
          <w:sz w:val="24"/>
          <w:szCs w:val="24"/>
          <w:highlight w:val="none"/>
        </w:rPr>
      </w:pPr>
      <w:r>
        <w:rPr>
          <w:rFonts w:hint="eastAsia" w:ascii="宋体" w:hAnsi="宋体" w:eastAsia="宋体" w:cs="宋体"/>
          <w:b w:val="0"/>
          <w:color w:val="auto"/>
          <w:kern w:val="0"/>
          <w:sz w:val="24"/>
          <w:szCs w:val="24"/>
          <w:highlight w:val="none"/>
          <w:lang w:val="en-US" w:eastAsia="zh-CN" w:bidi="ar-SA"/>
        </w:rPr>
        <w:t>其他未尽事宜由供需双方在采购合同中详细约定。</w:t>
      </w:r>
    </w:p>
    <w:p w14:paraId="6F8FF7D8">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eastAsia="zh-CN"/>
        </w:rPr>
      </w:pPr>
    </w:p>
    <w:p w14:paraId="164EAD70">
      <w:pPr>
        <w:pStyle w:val="3"/>
        <w:pageBreakBefore/>
        <w:kinsoku/>
        <w:wordWrap/>
        <w:overflowPunct/>
        <w:topLinePunct w:val="0"/>
        <w:autoSpaceDE/>
        <w:autoSpaceDN/>
        <w:bidi w:val="0"/>
        <w:spacing w:line="500" w:lineRule="exact"/>
        <w:jc w:val="center"/>
        <w:textAlignment w:val="auto"/>
        <w:outlineLvl w:val="0"/>
        <w:rPr>
          <w:rFonts w:hint="eastAsia" w:ascii="宋体" w:hAnsi="宋体" w:eastAsia="宋体" w:cs="宋体"/>
          <w:b w:val="0"/>
          <w:bCs/>
          <w:color w:val="auto"/>
          <w:sz w:val="36"/>
          <w:szCs w:val="36"/>
          <w:highlight w:val="none"/>
        </w:rPr>
      </w:pPr>
      <w:bookmarkStart w:id="70" w:name="_Toc106030887"/>
      <w:bookmarkEnd w:id="70"/>
      <w:bookmarkStart w:id="71" w:name="_Toc76462332"/>
      <w:bookmarkStart w:id="72" w:name="_Toc26274"/>
      <w:r>
        <w:rPr>
          <w:rFonts w:hint="eastAsia" w:ascii="宋体" w:hAnsi="宋体" w:eastAsia="宋体" w:cs="宋体"/>
          <w:b w:val="0"/>
          <w:bCs/>
          <w:color w:val="auto"/>
          <w:sz w:val="36"/>
          <w:szCs w:val="36"/>
          <w:highlight w:val="none"/>
        </w:rPr>
        <w:t>第四篇  磋商程序及方法、评审标准、无效响应和</w:t>
      </w:r>
      <w:bookmarkEnd w:id="71"/>
      <w:r>
        <w:rPr>
          <w:rFonts w:hint="eastAsia" w:ascii="宋体" w:hAnsi="宋体" w:eastAsia="宋体" w:cs="宋体"/>
          <w:b w:val="0"/>
          <w:bCs/>
          <w:color w:val="auto"/>
          <w:sz w:val="36"/>
          <w:szCs w:val="36"/>
          <w:highlight w:val="none"/>
        </w:rPr>
        <w:t>采购终止</w:t>
      </w:r>
      <w:bookmarkEnd w:id="72"/>
    </w:p>
    <w:p w14:paraId="734431B6">
      <w:pPr>
        <w:pStyle w:val="3"/>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73" w:name="_Toc106030888"/>
      <w:bookmarkEnd w:id="73"/>
      <w:bookmarkStart w:id="74" w:name="_Toc76462333"/>
      <w:r>
        <w:rPr>
          <w:rFonts w:hint="eastAsia" w:ascii="宋体" w:hAnsi="宋体" w:eastAsia="宋体" w:cs="宋体"/>
          <w:color w:val="auto"/>
          <w:sz w:val="24"/>
          <w:szCs w:val="24"/>
          <w:highlight w:val="none"/>
        </w:rPr>
        <w:t>一、磋商程序及方法</w:t>
      </w:r>
      <w:bookmarkEnd w:id="74"/>
    </w:p>
    <w:p w14:paraId="3A4B7AC8">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6021A50F">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19E96786">
      <w:pPr>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C44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06DDC48">
            <w:pPr>
              <w:kinsoku/>
              <w:wordWrap/>
              <w:overflowPunct/>
              <w:topLinePunct w:val="0"/>
              <w:autoSpaceDE/>
              <w:autoSpaceDN/>
              <w:bidi w:val="0"/>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827" w:type="dxa"/>
            <w:gridSpan w:val="2"/>
            <w:tcBorders>
              <w:top w:val="single" w:color="auto" w:sz="4" w:space="0"/>
              <w:left w:val="nil"/>
              <w:bottom w:val="single" w:color="auto" w:sz="4" w:space="0"/>
              <w:right w:val="single" w:color="auto" w:sz="4" w:space="0"/>
            </w:tcBorders>
            <w:vAlign w:val="center"/>
          </w:tcPr>
          <w:p w14:paraId="1DA4E1A8">
            <w:pPr>
              <w:kinsoku/>
              <w:wordWrap/>
              <w:overflowPunct/>
              <w:topLinePunct w:val="0"/>
              <w:autoSpaceDE/>
              <w:autoSpaceDN/>
              <w:bidi w:val="0"/>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4984" w:type="dxa"/>
            <w:tcBorders>
              <w:top w:val="single" w:color="auto" w:sz="4" w:space="0"/>
              <w:left w:val="nil"/>
              <w:bottom w:val="single" w:color="auto" w:sz="4" w:space="0"/>
              <w:right w:val="single" w:color="auto" w:sz="4" w:space="0"/>
            </w:tcBorders>
            <w:vAlign w:val="center"/>
          </w:tcPr>
          <w:p w14:paraId="27F38D53">
            <w:pPr>
              <w:kinsoku/>
              <w:wordWrap/>
              <w:overflowPunct/>
              <w:topLinePunct w:val="0"/>
              <w:autoSpaceDE/>
              <w:autoSpaceDN/>
              <w:bidi w:val="0"/>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13DC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vAlign w:val="center"/>
          </w:tcPr>
          <w:p w14:paraId="0D899CB7">
            <w:pPr>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09" w:type="dxa"/>
            <w:vMerge w:val="restart"/>
            <w:tcBorders>
              <w:top w:val="nil"/>
              <w:left w:val="single" w:color="auto" w:sz="4" w:space="0"/>
              <w:bottom w:val="single" w:color="auto" w:sz="4" w:space="0"/>
              <w:right w:val="single" w:color="auto" w:sz="4" w:space="0"/>
            </w:tcBorders>
            <w:vAlign w:val="center"/>
          </w:tcPr>
          <w:p w14:paraId="782B5F66">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《中华人民共和国政府采购法》第二十二条规定</w:t>
            </w:r>
          </w:p>
        </w:tc>
        <w:tc>
          <w:tcPr>
            <w:tcW w:w="3118" w:type="dxa"/>
            <w:tcBorders>
              <w:top w:val="single" w:color="auto" w:sz="4" w:space="0"/>
              <w:left w:val="single" w:color="auto" w:sz="4" w:space="0"/>
              <w:bottom w:val="single" w:color="auto" w:sz="4" w:space="0"/>
              <w:right w:val="single" w:color="auto" w:sz="4" w:space="0"/>
            </w:tcBorders>
            <w:vAlign w:val="center"/>
          </w:tcPr>
          <w:p w14:paraId="3F1158E2">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4984" w:type="dxa"/>
            <w:tcBorders>
              <w:top w:val="single" w:color="auto" w:sz="4" w:space="0"/>
              <w:left w:val="single" w:color="auto" w:sz="4" w:space="0"/>
              <w:bottom w:val="single" w:color="auto" w:sz="4" w:space="0"/>
              <w:right w:val="single" w:color="auto" w:sz="4" w:space="0"/>
            </w:tcBorders>
            <w:vAlign w:val="center"/>
          </w:tcPr>
          <w:p w14:paraId="141785E4">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418F1511">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14:paraId="5E80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3A7700FB">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451979DA">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1B918189">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tc>
        <w:tc>
          <w:tcPr>
            <w:tcW w:w="4984" w:type="dxa"/>
            <w:vMerge w:val="restart"/>
            <w:tcBorders>
              <w:top w:val="nil"/>
              <w:left w:val="single" w:color="auto" w:sz="4" w:space="0"/>
              <w:bottom w:val="single" w:color="auto" w:sz="4" w:space="0"/>
              <w:right w:val="single" w:color="auto" w:sz="4" w:space="0"/>
            </w:tcBorders>
            <w:vAlign w:val="center"/>
          </w:tcPr>
          <w:p w14:paraId="4B067A9C">
            <w:pPr>
              <w:kinsoku/>
              <w:wordWrap/>
              <w:overflowPunct/>
              <w:topLinePunct w:val="0"/>
              <w:autoSpaceDE/>
              <w:autoSpaceDN/>
              <w:bidi w:val="0"/>
              <w:spacing w:line="5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14:paraId="5037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488467F9">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51B96CC3">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400E8EAE">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tc>
        <w:tc>
          <w:tcPr>
            <w:tcW w:w="4984" w:type="dxa"/>
            <w:vMerge w:val="continue"/>
            <w:tcBorders>
              <w:top w:val="nil"/>
              <w:left w:val="single" w:color="auto" w:sz="4" w:space="0"/>
              <w:bottom w:val="single" w:color="auto" w:sz="4" w:space="0"/>
              <w:right w:val="single" w:color="auto" w:sz="4" w:space="0"/>
            </w:tcBorders>
            <w:vAlign w:val="center"/>
          </w:tcPr>
          <w:p w14:paraId="6F3C324F">
            <w:pPr>
              <w:widowControl/>
              <w:kinsoku/>
              <w:wordWrap/>
              <w:overflowPunct/>
              <w:topLinePunct w:val="0"/>
              <w:autoSpaceDE/>
              <w:autoSpaceDN/>
              <w:bidi w:val="0"/>
              <w:spacing w:line="500" w:lineRule="exact"/>
              <w:jc w:val="left"/>
              <w:textAlignment w:val="auto"/>
              <w:rPr>
                <w:rFonts w:hint="eastAsia" w:ascii="宋体" w:hAnsi="宋体" w:eastAsia="宋体" w:cs="宋体"/>
                <w:b/>
                <w:color w:val="auto"/>
                <w:sz w:val="21"/>
                <w:szCs w:val="21"/>
                <w:highlight w:val="none"/>
              </w:rPr>
            </w:pPr>
          </w:p>
        </w:tc>
      </w:tr>
      <w:tr w14:paraId="5749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300632A7">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6F066D57">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4414218F">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4.有依法缴纳税收和社会保障金的良好记录</w:t>
            </w:r>
          </w:p>
        </w:tc>
        <w:tc>
          <w:tcPr>
            <w:tcW w:w="4984" w:type="dxa"/>
            <w:vMerge w:val="continue"/>
            <w:tcBorders>
              <w:top w:val="nil"/>
              <w:left w:val="single" w:color="auto" w:sz="4" w:space="0"/>
              <w:bottom w:val="single" w:color="auto" w:sz="4" w:space="0"/>
              <w:right w:val="single" w:color="auto" w:sz="4" w:space="0"/>
            </w:tcBorders>
            <w:vAlign w:val="center"/>
          </w:tcPr>
          <w:p w14:paraId="26A57DB6">
            <w:pPr>
              <w:widowControl/>
              <w:kinsoku/>
              <w:wordWrap/>
              <w:overflowPunct/>
              <w:topLinePunct w:val="0"/>
              <w:autoSpaceDE/>
              <w:autoSpaceDN/>
              <w:bidi w:val="0"/>
              <w:spacing w:line="500" w:lineRule="exact"/>
              <w:jc w:val="left"/>
              <w:textAlignment w:val="auto"/>
              <w:rPr>
                <w:rFonts w:hint="eastAsia" w:ascii="宋体" w:hAnsi="宋体" w:eastAsia="宋体" w:cs="宋体"/>
                <w:b/>
                <w:color w:val="auto"/>
                <w:sz w:val="21"/>
                <w:szCs w:val="21"/>
                <w:highlight w:val="none"/>
              </w:rPr>
            </w:pPr>
          </w:p>
        </w:tc>
      </w:tr>
      <w:tr w14:paraId="12CD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7E9EAC39">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7042B713">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23DE9208">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tc>
        <w:tc>
          <w:tcPr>
            <w:tcW w:w="4984" w:type="dxa"/>
            <w:vMerge w:val="continue"/>
            <w:tcBorders>
              <w:top w:val="nil"/>
              <w:left w:val="single" w:color="auto" w:sz="4" w:space="0"/>
              <w:bottom w:val="single" w:color="auto" w:sz="4" w:space="0"/>
              <w:right w:val="single" w:color="auto" w:sz="4" w:space="0"/>
            </w:tcBorders>
            <w:vAlign w:val="center"/>
          </w:tcPr>
          <w:p w14:paraId="27D7BADB">
            <w:pPr>
              <w:widowControl/>
              <w:kinsoku/>
              <w:wordWrap/>
              <w:overflowPunct/>
              <w:topLinePunct w:val="0"/>
              <w:autoSpaceDE/>
              <w:autoSpaceDN/>
              <w:bidi w:val="0"/>
              <w:spacing w:line="500" w:lineRule="exact"/>
              <w:jc w:val="left"/>
              <w:textAlignment w:val="auto"/>
              <w:rPr>
                <w:rFonts w:hint="eastAsia" w:ascii="宋体" w:hAnsi="宋体" w:eastAsia="宋体" w:cs="宋体"/>
                <w:b/>
                <w:color w:val="auto"/>
                <w:sz w:val="21"/>
                <w:szCs w:val="21"/>
                <w:highlight w:val="none"/>
              </w:rPr>
            </w:pPr>
          </w:p>
        </w:tc>
      </w:tr>
      <w:tr w14:paraId="7BAB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vAlign w:val="center"/>
          </w:tcPr>
          <w:p w14:paraId="62720F52">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5123DB30">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119F184D">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4984" w:type="dxa"/>
            <w:tcBorders>
              <w:top w:val="single" w:color="auto" w:sz="4" w:space="0"/>
              <w:left w:val="single" w:color="auto" w:sz="4" w:space="0"/>
              <w:bottom w:val="single" w:color="auto" w:sz="4" w:space="0"/>
              <w:right w:val="single" w:color="auto" w:sz="4" w:space="0"/>
            </w:tcBorders>
            <w:vAlign w:val="center"/>
          </w:tcPr>
          <w:p w14:paraId="7A7D53C9">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p>
        </w:tc>
      </w:tr>
      <w:tr w14:paraId="3A30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vAlign w:val="center"/>
          </w:tcPr>
          <w:p w14:paraId="4858E108">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7853630B">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3B9DC847">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4984" w:type="dxa"/>
            <w:tcBorders>
              <w:top w:val="single" w:color="auto" w:sz="4" w:space="0"/>
              <w:left w:val="single" w:color="auto" w:sz="4" w:space="0"/>
              <w:bottom w:val="single" w:color="auto" w:sz="4" w:space="0"/>
              <w:right w:val="single" w:color="auto" w:sz="4" w:space="0"/>
            </w:tcBorders>
            <w:vAlign w:val="center"/>
          </w:tcPr>
          <w:p w14:paraId="1174147A">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按“第一篇三、供应商资格要求（三）本项目的特定资格要求”的要求提交（如果有）。</w:t>
            </w:r>
          </w:p>
        </w:tc>
      </w:tr>
      <w:tr w14:paraId="2E2A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FBC0FEB">
            <w:pPr>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5EC00CF2">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4984" w:type="dxa"/>
            <w:tcBorders>
              <w:top w:val="single" w:color="auto" w:sz="4" w:space="0"/>
              <w:left w:val="single" w:color="auto" w:sz="4" w:space="0"/>
              <w:bottom w:val="single" w:color="auto" w:sz="4" w:space="0"/>
              <w:right w:val="single" w:color="auto" w:sz="4" w:space="0"/>
            </w:tcBorders>
            <w:vAlign w:val="center"/>
          </w:tcPr>
          <w:p w14:paraId="3CF68487">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按“第一篇三、供应商资格要求（二）落实政府采购政策需满足的资格要求”的要求提交（如果有）。</w:t>
            </w:r>
          </w:p>
        </w:tc>
      </w:tr>
      <w:tr w14:paraId="4FDE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A2FACF1">
            <w:pPr>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lang w:eastAsia="zh-CN"/>
              </w:rPr>
              <w:t>）</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3E99F88E">
            <w:pPr>
              <w:kinsoku/>
              <w:wordWrap/>
              <w:overflowPunct/>
              <w:topLinePunct w:val="0"/>
              <w:autoSpaceDE/>
              <w:autoSpaceDN/>
              <w:bidi w:val="0"/>
              <w:spacing w:line="5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磋商保证金</w:t>
            </w:r>
          </w:p>
        </w:tc>
        <w:tc>
          <w:tcPr>
            <w:tcW w:w="4984" w:type="dxa"/>
            <w:tcBorders>
              <w:top w:val="single" w:color="auto" w:sz="4" w:space="0"/>
              <w:left w:val="single" w:color="auto" w:sz="4" w:space="0"/>
              <w:bottom w:val="single" w:color="auto" w:sz="4" w:space="0"/>
              <w:right w:val="single" w:color="auto" w:sz="4" w:space="0"/>
            </w:tcBorders>
            <w:vAlign w:val="center"/>
          </w:tcPr>
          <w:p w14:paraId="5614699D">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按照</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rPr>
              <w:t>文件要求足额交纳所投包的</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rPr>
              <w:t>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如果有</w:t>
            </w:r>
            <w:r>
              <w:rPr>
                <w:rFonts w:hint="eastAsia" w:ascii="宋体" w:hAnsi="宋体" w:cs="宋体"/>
                <w:color w:val="auto"/>
                <w:sz w:val="21"/>
                <w:szCs w:val="21"/>
                <w:highlight w:val="none"/>
                <w:lang w:eastAsia="zh-CN"/>
              </w:rPr>
              <w:t>）。</w:t>
            </w:r>
            <w:bookmarkStart w:id="195" w:name="_GoBack"/>
            <w:bookmarkEnd w:id="195"/>
          </w:p>
        </w:tc>
      </w:tr>
    </w:tbl>
    <w:p w14:paraId="4C2A62A1">
      <w:pPr>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17D0E888">
      <w:pPr>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E5D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vAlign w:val="center"/>
          </w:tcPr>
          <w:p w14:paraId="70B56B60">
            <w:pPr>
              <w:kinsoku/>
              <w:wordWrap/>
              <w:overflowPunct/>
              <w:topLinePunct w:val="0"/>
              <w:autoSpaceDE/>
              <w:autoSpaceDN/>
              <w:bidi w:val="0"/>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27569F3F">
            <w:pPr>
              <w:kinsoku/>
              <w:wordWrap/>
              <w:overflowPunct/>
              <w:topLinePunct w:val="0"/>
              <w:autoSpaceDE/>
              <w:autoSpaceDN/>
              <w:bidi w:val="0"/>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409" w:type="dxa"/>
            <w:tcBorders>
              <w:top w:val="single" w:color="auto" w:sz="4" w:space="0"/>
              <w:left w:val="single" w:color="auto" w:sz="4" w:space="0"/>
              <w:bottom w:val="single" w:color="auto" w:sz="4" w:space="0"/>
              <w:right w:val="single" w:color="auto" w:sz="4" w:space="0"/>
            </w:tcBorders>
            <w:vAlign w:val="center"/>
          </w:tcPr>
          <w:p w14:paraId="44F4496B">
            <w:pPr>
              <w:kinsoku/>
              <w:wordWrap/>
              <w:overflowPunct/>
              <w:topLinePunct w:val="0"/>
              <w:autoSpaceDE/>
              <w:autoSpaceDN/>
              <w:bidi w:val="0"/>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31DC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nil"/>
              <w:left w:val="single" w:color="auto" w:sz="4" w:space="0"/>
              <w:bottom w:val="single" w:color="auto" w:sz="4" w:space="0"/>
              <w:right w:val="single" w:color="auto" w:sz="4" w:space="0"/>
            </w:tcBorders>
            <w:vAlign w:val="center"/>
          </w:tcPr>
          <w:p w14:paraId="683F1A98">
            <w:pPr>
              <w:kinsoku/>
              <w:wordWrap/>
              <w:overflowPunct/>
              <w:topLinePunct w:val="0"/>
              <w:autoSpaceDE/>
              <w:autoSpaceDN/>
              <w:bidi w:val="0"/>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60" w:type="dxa"/>
            <w:vMerge w:val="restart"/>
            <w:tcBorders>
              <w:top w:val="nil"/>
              <w:left w:val="single" w:color="auto" w:sz="4" w:space="0"/>
              <w:bottom w:val="single" w:color="auto" w:sz="4" w:space="0"/>
              <w:right w:val="single" w:color="auto" w:sz="4" w:space="0"/>
            </w:tcBorders>
            <w:vAlign w:val="center"/>
          </w:tcPr>
          <w:p w14:paraId="57A8D8E7">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984" w:type="dxa"/>
            <w:tcBorders>
              <w:top w:val="single" w:color="auto" w:sz="4" w:space="0"/>
              <w:left w:val="single" w:color="auto" w:sz="4" w:space="0"/>
              <w:bottom w:val="single" w:color="auto" w:sz="4" w:space="0"/>
              <w:right w:val="single" w:color="auto" w:sz="4" w:space="0"/>
            </w:tcBorders>
            <w:vAlign w:val="center"/>
          </w:tcPr>
          <w:p w14:paraId="57EB08C1">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响应文件签署或盖章</w:t>
            </w:r>
          </w:p>
        </w:tc>
        <w:tc>
          <w:tcPr>
            <w:tcW w:w="5409" w:type="dxa"/>
            <w:tcBorders>
              <w:top w:val="single" w:color="auto" w:sz="4" w:space="0"/>
              <w:left w:val="single" w:color="auto" w:sz="4" w:space="0"/>
              <w:bottom w:val="single" w:color="auto" w:sz="4" w:space="0"/>
              <w:right w:val="single" w:color="auto" w:sz="4" w:space="0"/>
            </w:tcBorders>
            <w:vAlign w:val="center"/>
          </w:tcPr>
          <w:p w14:paraId="7BB6137F">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按竞争性磋商文件“第七篇响应文件编制要求”要求签署或盖章。</w:t>
            </w:r>
          </w:p>
        </w:tc>
      </w:tr>
      <w:tr w14:paraId="0E59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nil"/>
              <w:left w:val="single" w:color="auto" w:sz="4" w:space="0"/>
              <w:bottom w:val="single" w:color="auto" w:sz="4" w:space="0"/>
              <w:right w:val="single" w:color="auto" w:sz="4" w:space="0"/>
            </w:tcBorders>
            <w:vAlign w:val="center"/>
          </w:tcPr>
          <w:p w14:paraId="6F160711">
            <w:pPr>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5106FF8F">
            <w:pPr>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6559005">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5409" w:type="dxa"/>
            <w:tcBorders>
              <w:top w:val="single" w:color="auto" w:sz="4" w:space="0"/>
              <w:left w:val="single" w:color="auto" w:sz="4" w:space="0"/>
              <w:bottom w:val="single" w:color="auto" w:sz="4" w:space="0"/>
              <w:right w:val="single" w:color="auto" w:sz="4" w:space="0"/>
            </w:tcBorders>
            <w:vAlign w:val="center"/>
          </w:tcPr>
          <w:p w14:paraId="443824B5">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法定代表人身份证明及授权委托书有效，符合竞争性磋商文件规定的格式，签署或盖章齐全。</w:t>
            </w:r>
          </w:p>
        </w:tc>
      </w:tr>
      <w:tr w14:paraId="532B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nil"/>
              <w:left w:val="single" w:color="auto" w:sz="4" w:space="0"/>
              <w:bottom w:val="single" w:color="auto" w:sz="4" w:space="0"/>
              <w:right w:val="single" w:color="auto" w:sz="4" w:space="0"/>
            </w:tcBorders>
            <w:vAlign w:val="center"/>
          </w:tcPr>
          <w:p w14:paraId="2F974168">
            <w:pPr>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3DF356E8">
            <w:pPr>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5E4D4DA">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响应方案</w:t>
            </w:r>
          </w:p>
        </w:tc>
        <w:tc>
          <w:tcPr>
            <w:tcW w:w="5409" w:type="dxa"/>
            <w:tcBorders>
              <w:top w:val="single" w:color="auto" w:sz="4" w:space="0"/>
              <w:left w:val="single" w:color="auto" w:sz="4" w:space="0"/>
              <w:bottom w:val="single" w:color="auto" w:sz="4" w:space="0"/>
              <w:right w:val="single" w:color="auto" w:sz="4" w:space="0"/>
            </w:tcBorders>
            <w:vAlign w:val="center"/>
          </w:tcPr>
          <w:p w14:paraId="6542000C">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每个包只能有一个响应方案。</w:t>
            </w:r>
          </w:p>
        </w:tc>
      </w:tr>
      <w:tr w14:paraId="4B3E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tcBorders>
              <w:top w:val="nil"/>
              <w:left w:val="single" w:color="auto" w:sz="4" w:space="0"/>
              <w:bottom w:val="single" w:color="auto" w:sz="4" w:space="0"/>
              <w:right w:val="single" w:color="auto" w:sz="4" w:space="0"/>
            </w:tcBorders>
            <w:vAlign w:val="center"/>
          </w:tcPr>
          <w:p w14:paraId="2B6E2CB4">
            <w:pPr>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2F51C9F8">
            <w:pPr>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3EF7956">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5409" w:type="dxa"/>
            <w:tcBorders>
              <w:top w:val="single" w:color="auto" w:sz="4" w:space="0"/>
              <w:left w:val="single" w:color="auto" w:sz="4" w:space="0"/>
              <w:bottom w:val="single" w:color="auto" w:sz="4" w:space="0"/>
              <w:right w:val="single" w:color="auto" w:sz="4" w:space="0"/>
            </w:tcBorders>
            <w:vAlign w:val="center"/>
          </w:tcPr>
          <w:p w14:paraId="3388C725">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4676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tcBorders>
              <w:top w:val="single" w:color="auto" w:sz="4" w:space="0"/>
              <w:left w:val="single" w:color="auto" w:sz="4" w:space="0"/>
              <w:bottom w:val="single" w:color="auto" w:sz="4" w:space="0"/>
              <w:right w:val="single" w:color="auto" w:sz="4" w:space="0"/>
            </w:tcBorders>
            <w:vAlign w:val="center"/>
          </w:tcPr>
          <w:p w14:paraId="68ACB17D">
            <w:pPr>
              <w:kinsoku/>
              <w:wordWrap/>
              <w:overflowPunct/>
              <w:topLinePunct w:val="0"/>
              <w:autoSpaceDE/>
              <w:autoSpaceDN/>
              <w:bidi w:val="0"/>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60" w:type="dxa"/>
            <w:tcBorders>
              <w:top w:val="single" w:color="auto" w:sz="4" w:space="0"/>
              <w:left w:val="single" w:color="auto" w:sz="4" w:space="0"/>
              <w:bottom w:val="single" w:color="auto" w:sz="4" w:space="0"/>
              <w:right w:val="single" w:color="auto" w:sz="4" w:space="0"/>
            </w:tcBorders>
            <w:vAlign w:val="center"/>
          </w:tcPr>
          <w:p w14:paraId="0C3EF8B1">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984" w:type="dxa"/>
            <w:tcBorders>
              <w:top w:val="single" w:color="auto" w:sz="4" w:space="0"/>
              <w:left w:val="single" w:color="auto" w:sz="4" w:space="0"/>
              <w:bottom w:val="single" w:color="auto" w:sz="4" w:space="0"/>
              <w:right w:val="single" w:color="auto" w:sz="4" w:space="0"/>
            </w:tcBorders>
            <w:vAlign w:val="center"/>
          </w:tcPr>
          <w:p w14:paraId="597D2123">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响应文件份数</w:t>
            </w:r>
          </w:p>
        </w:tc>
        <w:tc>
          <w:tcPr>
            <w:tcW w:w="5409" w:type="dxa"/>
            <w:tcBorders>
              <w:top w:val="single" w:color="auto" w:sz="4" w:space="0"/>
              <w:left w:val="single" w:color="auto" w:sz="4" w:space="0"/>
              <w:bottom w:val="single" w:color="auto" w:sz="4" w:space="0"/>
              <w:right w:val="single" w:color="auto" w:sz="4" w:space="0"/>
            </w:tcBorders>
            <w:vAlign w:val="center"/>
          </w:tcPr>
          <w:p w14:paraId="3DA96391">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响应文件正、副本数量（含电子文档）符合竞争性磋商文件要求。</w:t>
            </w:r>
          </w:p>
        </w:tc>
      </w:tr>
      <w:tr w14:paraId="2878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nil"/>
              <w:left w:val="single" w:color="auto" w:sz="4" w:space="0"/>
              <w:bottom w:val="single" w:color="auto" w:sz="4" w:space="0"/>
              <w:right w:val="single" w:color="auto" w:sz="4" w:space="0"/>
            </w:tcBorders>
            <w:vAlign w:val="center"/>
          </w:tcPr>
          <w:p w14:paraId="34C0F358">
            <w:pPr>
              <w:kinsoku/>
              <w:wordWrap/>
              <w:overflowPunct/>
              <w:topLinePunct w:val="0"/>
              <w:autoSpaceDE/>
              <w:autoSpaceDN/>
              <w:bidi w:val="0"/>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60" w:type="dxa"/>
            <w:vMerge w:val="restart"/>
            <w:tcBorders>
              <w:top w:val="nil"/>
              <w:left w:val="single" w:color="auto" w:sz="4" w:space="0"/>
              <w:bottom w:val="single" w:color="auto" w:sz="4" w:space="0"/>
              <w:right w:val="single" w:color="auto" w:sz="4" w:space="0"/>
            </w:tcBorders>
            <w:vAlign w:val="center"/>
          </w:tcPr>
          <w:p w14:paraId="5AC8BC2C">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响应程度审查</w:t>
            </w:r>
          </w:p>
        </w:tc>
        <w:tc>
          <w:tcPr>
            <w:tcW w:w="1984" w:type="dxa"/>
            <w:tcBorders>
              <w:top w:val="single" w:color="auto" w:sz="4" w:space="0"/>
              <w:left w:val="single" w:color="auto" w:sz="4" w:space="0"/>
              <w:bottom w:val="single" w:color="auto" w:sz="4" w:space="0"/>
              <w:right w:val="single" w:color="auto" w:sz="4" w:space="0"/>
            </w:tcBorders>
            <w:vAlign w:val="center"/>
          </w:tcPr>
          <w:p w14:paraId="0BA238B5">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w:t>
            </w:r>
          </w:p>
        </w:tc>
        <w:tc>
          <w:tcPr>
            <w:tcW w:w="5409" w:type="dxa"/>
            <w:tcBorders>
              <w:top w:val="single" w:color="auto" w:sz="4" w:space="0"/>
              <w:left w:val="single" w:color="auto" w:sz="4" w:space="0"/>
              <w:bottom w:val="single" w:color="auto" w:sz="4" w:space="0"/>
              <w:right w:val="single" w:color="auto" w:sz="4" w:space="0"/>
            </w:tcBorders>
            <w:vAlign w:val="center"/>
          </w:tcPr>
          <w:p w14:paraId="3D265FD9">
            <w:pPr>
              <w:pStyle w:val="8"/>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竞争性磋商文件第二篇、第三篇。</w:t>
            </w:r>
          </w:p>
        </w:tc>
      </w:tr>
      <w:tr w14:paraId="7E61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tcBorders>
              <w:top w:val="nil"/>
              <w:left w:val="single" w:color="auto" w:sz="4" w:space="0"/>
              <w:bottom w:val="single" w:color="auto" w:sz="4" w:space="0"/>
              <w:right w:val="single" w:color="auto" w:sz="4" w:space="0"/>
            </w:tcBorders>
            <w:vAlign w:val="center"/>
          </w:tcPr>
          <w:p w14:paraId="74C2F542">
            <w:pPr>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0A8C6A41">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BD1AA4A">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磋商有效期</w:t>
            </w:r>
          </w:p>
        </w:tc>
        <w:tc>
          <w:tcPr>
            <w:tcW w:w="5409" w:type="dxa"/>
            <w:tcBorders>
              <w:top w:val="single" w:color="auto" w:sz="4" w:space="0"/>
              <w:left w:val="single" w:color="auto" w:sz="4" w:space="0"/>
              <w:bottom w:val="single" w:color="auto" w:sz="4" w:space="0"/>
              <w:right w:val="single" w:color="auto" w:sz="4" w:space="0"/>
            </w:tcBorders>
            <w:vAlign w:val="center"/>
          </w:tcPr>
          <w:p w14:paraId="25D90644">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响应文件及有关承诺文件有效期为提交响应文件截止时间起90天。</w:t>
            </w:r>
          </w:p>
        </w:tc>
      </w:tr>
    </w:tbl>
    <w:p w14:paraId="5808AE65">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43270B5F">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4B45C7">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AC1B727">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（五）在磋商过程中磋商的任何一方不得向他人透露与磋商有关的服务资料、价格或其他信息。</w:t>
      </w:r>
    </w:p>
    <w:p w14:paraId="6D0810B9">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847C2B7">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（七）供应商在磋商时作出的所有书面承诺须由法定代表人（或其授权代表）或自然人（供应商为自然人）签署。</w:t>
      </w:r>
    </w:p>
    <w:p w14:paraId="73B8DDF9">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6CDFC20C">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eastAsia="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color w:val="auto"/>
          <w:sz w:val="24"/>
          <w:szCs w:val="24"/>
          <w:highlight w:val="none"/>
        </w:rPr>
        <w:t>。</w:t>
      </w:r>
    </w:p>
    <w:p w14:paraId="45F24E65">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（十）磋商小组各成员独立对每个有效响应（通过资格性审查、</w:t>
      </w:r>
      <w:r>
        <w:rPr>
          <w:rFonts w:hint="eastAsia" w:ascii="宋体" w:hAnsi="宋体" w:eastAsia="宋体" w:cs="宋体"/>
          <w:color w:val="auto"/>
          <w:kern w:val="0"/>
          <w:sz w:val="24"/>
          <w:szCs w:val="24"/>
          <w:highlight w:val="none"/>
        </w:rPr>
        <w:t>符合性审查的供应商</w:t>
      </w:r>
      <w:r>
        <w:rPr>
          <w:rFonts w:hint="eastAsia" w:ascii="宋体" w:hAnsi="宋体" w:eastAsia="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服务部分得分为0分的供应商将失去成为中标候选人的资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7F022363">
      <w:pPr>
        <w:pStyle w:val="3"/>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75" w:name="_Toc106030889"/>
      <w:bookmarkEnd w:id="75"/>
      <w:bookmarkStart w:id="76" w:name="_Toc76462334"/>
      <w:r>
        <w:rPr>
          <w:rFonts w:hint="eastAsia" w:ascii="宋体" w:hAnsi="宋体" w:eastAsia="宋体" w:cs="宋体"/>
          <w:color w:val="auto"/>
          <w:sz w:val="24"/>
          <w:szCs w:val="24"/>
          <w:highlight w:val="none"/>
        </w:rPr>
        <w:t>二、</w:t>
      </w:r>
      <w:bookmarkEnd w:id="76"/>
      <w:bookmarkStart w:id="77" w:name="_Toc102227320"/>
      <w:bookmarkEnd w:id="77"/>
      <w:bookmarkStart w:id="78" w:name="_Toc342913394"/>
      <w:r>
        <w:rPr>
          <w:rFonts w:hint="eastAsia" w:ascii="宋体" w:hAnsi="宋体" w:eastAsia="宋体" w:cs="宋体"/>
          <w:color w:val="auto"/>
          <w:sz w:val="24"/>
          <w:szCs w:val="24"/>
          <w:highlight w:val="none"/>
        </w:rPr>
        <w:t>评审标准</w:t>
      </w:r>
      <w:bookmarkEnd w:id="78"/>
    </w:p>
    <w:tbl>
      <w:tblPr>
        <w:tblStyle w:val="14"/>
        <w:tblpPr w:leftFromText="180" w:rightFromText="180" w:vertAnchor="text" w:horzAnchor="page" w:tblpX="1128" w:tblpY="345"/>
        <w:tblOverlap w:val="never"/>
        <w:tblW w:w="10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141"/>
        <w:gridCol w:w="1088"/>
        <w:gridCol w:w="5112"/>
        <w:gridCol w:w="2192"/>
      </w:tblGrid>
      <w:tr w14:paraId="3D9F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3" w:type="dxa"/>
            <w:noWrap/>
            <w:vAlign w:val="center"/>
          </w:tcPr>
          <w:p w14:paraId="747562E3">
            <w:pPr>
              <w:ind w:firstLine="28"/>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序号</w:t>
            </w:r>
          </w:p>
        </w:tc>
        <w:tc>
          <w:tcPr>
            <w:tcW w:w="1141" w:type="dxa"/>
            <w:noWrap/>
            <w:vAlign w:val="center"/>
          </w:tcPr>
          <w:p w14:paraId="33223CF1">
            <w:pPr>
              <w:ind w:firstLine="28"/>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评分因素及权值</w:t>
            </w:r>
          </w:p>
        </w:tc>
        <w:tc>
          <w:tcPr>
            <w:tcW w:w="1088" w:type="dxa"/>
            <w:noWrap/>
            <w:vAlign w:val="center"/>
          </w:tcPr>
          <w:p w14:paraId="4DBB8A39">
            <w:pPr>
              <w:ind w:firstLine="28"/>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分值</w:t>
            </w:r>
          </w:p>
        </w:tc>
        <w:tc>
          <w:tcPr>
            <w:tcW w:w="5112" w:type="dxa"/>
            <w:noWrap/>
            <w:vAlign w:val="center"/>
          </w:tcPr>
          <w:p w14:paraId="687EB7A5">
            <w:pPr>
              <w:ind w:firstLine="28"/>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评分标准</w:t>
            </w:r>
          </w:p>
        </w:tc>
        <w:tc>
          <w:tcPr>
            <w:tcW w:w="2192" w:type="dxa"/>
            <w:noWrap/>
            <w:vAlign w:val="center"/>
          </w:tcPr>
          <w:p w14:paraId="4037F663">
            <w:pPr>
              <w:pStyle w:val="29"/>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6F42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73" w:type="dxa"/>
            <w:noWrap/>
            <w:vAlign w:val="center"/>
          </w:tcPr>
          <w:p w14:paraId="295D06DB">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41" w:type="dxa"/>
            <w:noWrap/>
            <w:vAlign w:val="center"/>
          </w:tcPr>
          <w:p w14:paraId="164258B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磋商报价</w:t>
            </w:r>
          </w:p>
          <w:p w14:paraId="6CF7BB1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（20%）</w:t>
            </w:r>
          </w:p>
        </w:tc>
        <w:tc>
          <w:tcPr>
            <w:tcW w:w="1088" w:type="dxa"/>
            <w:noWrap/>
            <w:vAlign w:val="center"/>
          </w:tcPr>
          <w:p w14:paraId="35AA6F1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20分</w:t>
            </w:r>
          </w:p>
        </w:tc>
        <w:tc>
          <w:tcPr>
            <w:tcW w:w="5112" w:type="dxa"/>
            <w:noWrap/>
            <w:vAlign w:val="center"/>
          </w:tcPr>
          <w:p w14:paraId="00D9AF4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满足资格性、符合性要求且最后报价最低的供应商的价格为磋商基准价，其价格分为满分。其他供应商的价格分统一按照下列公式计算：</w:t>
            </w:r>
          </w:p>
          <w:p w14:paraId="5EA2C40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磋商报价得分=（磋商基准价/最后磋商报价）×价格权值×100</w:t>
            </w:r>
          </w:p>
        </w:tc>
        <w:tc>
          <w:tcPr>
            <w:tcW w:w="2192" w:type="dxa"/>
            <w:noWrap/>
            <w:vAlign w:val="center"/>
          </w:tcPr>
          <w:p w14:paraId="449A4FD3">
            <w:pPr>
              <w:rPr>
                <w:rFonts w:hint="eastAsia" w:ascii="宋体" w:hAnsi="宋体" w:eastAsia="宋体" w:cs="宋体"/>
                <w:color w:val="auto"/>
                <w:sz w:val="21"/>
                <w:szCs w:val="21"/>
                <w:highlight w:val="none"/>
              </w:rPr>
            </w:pPr>
          </w:p>
        </w:tc>
      </w:tr>
      <w:tr w14:paraId="0F44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73" w:type="dxa"/>
            <w:vMerge w:val="restart"/>
            <w:noWrap/>
            <w:vAlign w:val="center"/>
          </w:tcPr>
          <w:p w14:paraId="6D16AF4C">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41" w:type="dxa"/>
            <w:vMerge w:val="restart"/>
            <w:noWrap/>
            <w:vAlign w:val="center"/>
          </w:tcPr>
          <w:p w14:paraId="4A208FF2">
            <w:pPr>
              <w:pStyle w:val="30"/>
              <w:ind w:firstLine="28"/>
              <w:jc w:val="center"/>
              <w:rPr>
                <w:rStyle w:val="17"/>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lang w:val="zh-TW"/>
              </w:rPr>
              <w:t>服务</w:t>
            </w:r>
            <w:r>
              <w:rPr>
                <w:rStyle w:val="17"/>
                <w:rFonts w:hint="eastAsia" w:ascii="宋体" w:hAnsi="宋体" w:eastAsia="宋体" w:cs="宋体"/>
                <w:color w:val="auto"/>
                <w:sz w:val="21"/>
                <w:szCs w:val="21"/>
                <w:highlight w:val="none"/>
                <w:lang w:val="zh-TW" w:eastAsia="zh-TW"/>
              </w:rPr>
              <w:t>部分</w:t>
            </w:r>
          </w:p>
          <w:p w14:paraId="6563C09E">
            <w:pPr>
              <w:pStyle w:val="30"/>
              <w:ind w:firstLine="28"/>
              <w:jc w:val="center"/>
              <w:rPr>
                <w:rFonts w:hint="eastAsia" w:ascii="宋体" w:hAnsi="宋体" w:eastAsia="宋体" w:cs="宋体"/>
                <w:color w:val="auto"/>
                <w:sz w:val="21"/>
                <w:szCs w:val="21"/>
                <w:highlight w:val="none"/>
              </w:rPr>
            </w:pPr>
            <w:r>
              <w:rPr>
                <w:rStyle w:val="17"/>
                <w:rFonts w:hint="eastAsia" w:ascii="宋体" w:hAnsi="宋体" w:eastAsia="宋体" w:cs="宋体"/>
                <w:color w:val="auto"/>
                <w:sz w:val="21"/>
                <w:szCs w:val="21"/>
                <w:highlight w:val="none"/>
                <w:lang w:val="zh-TW" w:eastAsia="zh-TW"/>
              </w:rPr>
              <w:t>（</w:t>
            </w:r>
            <w:r>
              <w:rPr>
                <w:rStyle w:val="17"/>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w:t>
            </w:r>
            <w:r>
              <w:rPr>
                <w:rStyle w:val="31"/>
                <w:rFonts w:hint="eastAsia" w:ascii="宋体" w:hAnsi="宋体" w:eastAsia="宋体" w:cs="宋体"/>
                <w:color w:val="auto"/>
                <w:sz w:val="21"/>
                <w:szCs w:val="21"/>
                <w:highlight w:val="none"/>
              </w:rPr>
              <w:t>%</w:t>
            </w:r>
            <w:r>
              <w:rPr>
                <w:rStyle w:val="17"/>
                <w:rFonts w:hint="eastAsia" w:ascii="宋体" w:hAnsi="宋体" w:eastAsia="宋体" w:cs="宋体"/>
                <w:color w:val="auto"/>
                <w:sz w:val="21"/>
                <w:szCs w:val="21"/>
                <w:highlight w:val="none"/>
                <w:lang w:val="zh-TW" w:eastAsia="zh-TW"/>
              </w:rPr>
              <w:t>）</w:t>
            </w:r>
          </w:p>
        </w:tc>
        <w:tc>
          <w:tcPr>
            <w:tcW w:w="1088" w:type="dxa"/>
            <w:tcBorders>
              <w:bottom w:val="single" w:color="auto" w:sz="4" w:space="0"/>
            </w:tcBorders>
            <w:noWrap/>
            <w:vAlign w:val="center"/>
          </w:tcPr>
          <w:p w14:paraId="358A3DB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服务团队配备与管理</w:t>
            </w:r>
          </w:p>
          <w:p w14:paraId="47311FB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（15分）</w:t>
            </w:r>
          </w:p>
        </w:tc>
        <w:tc>
          <w:tcPr>
            <w:tcW w:w="5112" w:type="dxa"/>
            <w:tcBorders>
              <w:bottom w:val="single" w:color="auto" w:sz="4" w:space="0"/>
            </w:tcBorders>
            <w:noWrap/>
            <w:vAlign w:val="center"/>
          </w:tcPr>
          <w:p w14:paraId="43E1C38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本项包括但不限于：人员总体部署分工、岗位职责、人员管理制度等内容，评审委员会根据方案的完整性、规范性、科学性进行评审。</w:t>
            </w:r>
          </w:p>
          <w:p w14:paraId="7F7C205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（1）内容不存在瑕疵得15分；</w:t>
            </w:r>
          </w:p>
          <w:p w14:paraId="139FB0B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（2）内容存在1处瑕疵得10分；</w:t>
            </w:r>
          </w:p>
          <w:p w14:paraId="39DBF44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（3）内容存在2处瑕疵得5分；</w:t>
            </w:r>
          </w:p>
          <w:p w14:paraId="518C498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（4）内容存在3处瑕疵得1分；</w:t>
            </w:r>
          </w:p>
          <w:p w14:paraId="0F9B217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（5）内容存在4处及以上瑕疵或无方案不得分。</w:t>
            </w:r>
          </w:p>
        </w:tc>
        <w:tc>
          <w:tcPr>
            <w:tcW w:w="2192" w:type="dxa"/>
            <w:vMerge w:val="restart"/>
            <w:noWrap/>
            <w:vAlign w:val="center"/>
          </w:tcPr>
          <w:p w14:paraId="01FEDD83">
            <w:pPr>
              <w:snapToGrid w:val="0"/>
              <w:jc w:val="left"/>
              <w:rPr>
                <w:rFonts w:hint="eastAsia" w:ascii="宋体" w:hAnsi="宋体" w:eastAsia="宋体" w:cs="宋体"/>
                <w:color w:val="auto"/>
                <w:sz w:val="21"/>
                <w:szCs w:val="21"/>
                <w:highlight w:val="none"/>
              </w:rPr>
            </w:pPr>
          </w:p>
          <w:p w14:paraId="5760976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提供相关方案，格式自拟。</w:t>
            </w:r>
          </w:p>
          <w:p w14:paraId="2F9C762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注：方案中所称的“瑕疵”指：</w:t>
            </w:r>
          </w:p>
          <w:p w14:paraId="206C763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1.方案出现内容缺项、表述不完整或缺少关键分析点；</w:t>
            </w:r>
          </w:p>
          <w:p w14:paraId="7BFF74C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2.缺乏科学合理性，存在逻辑漏洞、常识错误；</w:t>
            </w:r>
          </w:p>
          <w:p w14:paraId="123069A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3.表述前后矛盾、无连贯性；</w:t>
            </w:r>
          </w:p>
          <w:p w14:paraId="6652510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4.方案安排并不适用本项目特性或不利于本项目的目的实现；</w:t>
            </w:r>
          </w:p>
          <w:p w14:paraId="7EFB9B8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5.方案内容中包含其他项目名称或出现与本项目不相关的其他内容。</w:t>
            </w:r>
          </w:p>
          <w:p w14:paraId="158ACBB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6.内容空泛，无具体实施方法或内容。</w:t>
            </w:r>
          </w:p>
          <w:p w14:paraId="4B9A8E6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7.现有条件下不可能实现的情形</w:t>
            </w:r>
          </w:p>
        </w:tc>
      </w:tr>
      <w:tr w14:paraId="21D0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73" w:type="dxa"/>
            <w:vMerge w:val="continue"/>
            <w:noWrap/>
            <w:vAlign w:val="center"/>
          </w:tcPr>
          <w:p w14:paraId="6B39DC6A">
            <w:pPr>
              <w:snapToGrid w:val="0"/>
              <w:jc w:val="center"/>
              <w:rPr>
                <w:rFonts w:hint="eastAsia" w:ascii="宋体" w:hAnsi="宋体" w:eastAsia="宋体" w:cs="宋体"/>
                <w:color w:val="auto"/>
                <w:sz w:val="21"/>
                <w:szCs w:val="21"/>
                <w:highlight w:val="none"/>
              </w:rPr>
            </w:pPr>
          </w:p>
        </w:tc>
        <w:tc>
          <w:tcPr>
            <w:tcW w:w="1141" w:type="dxa"/>
            <w:vMerge w:val="continue"/>
            <w:noWrap/>
            <w:vAlign w:val="center"/>
          </w:tcPr>
          <w:p w14:paraId="49666001">
            <w:pPr>
              <w:pStyle w:val="30"/>
              <w:ind w:firstLine="28"/>
              <w:jc w:val="center"/>
              <w:rPr>
                <w:rStyle w:val="17"/>
                <w:rFonts w:hint="eastAsia" w:ascii="宋体" w:hAnsi="宋体" w:eastAsia="宋体" w:cs="宋体"/>
                <w:color w:val="auto"/>
                <w:sz w:val="21"/>
                <w:szCs w:val="21"/>
                <w:highlight w:val="none"/>
                <w:lang w:val="zh-TW"/>
              </w:rPr>
            </w:pPr>
          </w:p>
        </w:tc>
        <w:tc>
          <w:tcPr>
            <w:tcW w:w="1088" w:type="dxa"/>
            <w:tcBorders>
              <w:bottom w:val="single" w:color="auto" w:sz="4" w:space="0"/>
            </w:tcBorders>
            <w:noWrap/>
            <w:vAlign w:val="center"/>
          </w:tcPr>
          <w:p w14:paraId="625521E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服务计划（15分）</w:t>
            </w:r>
          </w:p>
        </w:tc>
        <w:tc>
          <w:tcPr>
            <w:tcW w:w="5112" w:type="dxa"/>
            <w:tcBorders>
              <w:bottom w:val="single" w:color="auto" w:sz="4" w:space="0"/>
            </w:tcBorders>
            <w:noWrap/>
            <w:vAlign w:val="center"/>
          </w:tcPr>
          <w:p w14:paraId="076F2B8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本项包括但不限于：工作程序及方法、工作开展具体内容、工作时间安排等内容，评审委员会根据方案的完整性、合理性、科学性、有效性进行评审。</w:t>
            </w:r>
          </w:p>
          <w:p w14:paraId="7406F1E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（1）内容不存在瑕疵得15分；</w:t>
            </w:r>
          </w:p>
          <w:p w14:paraId="0FC3F6D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（2）内容存在1处瑕疵得10分；</w:t>
            </w:r>
          </w:p>
          <w:p w14:paraId="7472CF7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（3）内容存在2处瑕疵得5分；</w:t>
            </w:r>
          </w:p>
          <w:p w14:paraId="600549F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（4）内容存在3处瑕疵得1分；</w:t>
            </w:r>
          </w:p>
          <w:p w14:paraId="179D3DC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（5）内容存在4处及以上瑕疵或无方案不得分。</w:t>
            </w:r>
          </w:p>
        </w:tc>
        <w:tc>
          <w:tcPr>
            <w:tcW w:w="2192" w:type="dxa"/>
            <w:vMerge w:val="continue"/>
            <w:noWrap/>
            <w:vAlign w:val="center"/>
          </w:tcPr>
          <w:p w14:paraId="7F636E7D">
            <w:pPr>
              <w:snapToGrid w:val="0"/>
              <w:jc w:val="left"/>
              <w:rPr>
                <w:rFonts w:hint="eastAsia" w:ascii="宋体" w:hAnsi="宋体" w:eastAsia="宋体" w:cs="宋体"/>
                <w:color w:val="auto"/>
                <w:sz w:val="21"/>
                <w:szCs w:val="21"/>
                <w:highlight w:val="none"/>
              </w:rPr>
            </w:pPr>
          </w:p>
        </w:tc>
      </w:tr>
      <w:tr w14:paraId="3197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73" w:type="dxa"/>
            <w:vMerge w:val="continue"/>
            <w:noWrap/>
            <w:vAlign w:val="center"/>
          </w:tcPr>
          <w:p w14:paraId="3F33DE29">
            <w:pPr>
              <w:snapToGrid w:val="0"/>
              <w:jc w:val="center"/>
              <w:rPr>
                <w:rFonts w:hint="eastAsia" w:ascii="宋体" w:hAnsi="宋体" w:eastAsia="宋体" w:cs="宋体"/>
                <w:color w:val="auto"/>
                <w:sz w:val="21"/>
                <w:szCs w:val="21"/>
                <w:highlight w:val="none"/>
              </w:rPr>
            </w:pPr>
          </w:p>
        </w:tc>
        <w:tc>
          <w:tcPr>
            <w:tcW w:w="1141" w:type="dxa"/>
            <w:vMerge w:val="continue"/>
            <w:noWrap/>
            <w:vAlign w:val="center"/>
          </w:tcPr>
          <w:p w14:paraId="67A8AF43">
            <w:pPr>
              <w:pStyle w:val="30"/>
              <w:ind w:firstLine="28"/>
              <w:jc w:val="center"/>
              <w:rPr>
                <w:rStyle w:val="17"/>
                <w:rFonts w:hint="eastAsia" w:ascii="宋体" w:hAnsi="宋体" w:eastAsia="宋体" w:cs="宋体"/>
                <w:color w:val="auto"/>
                <w:sz w:val="21"/>
                <w:szCs w:val="21"/>
                <w:highlight w:val="none"/>
                <w:lang w:val="zh-TW"/>
              </w:rPr>
            </w:pPr>
          </w:p>
        </w:tc>
        <w:tc>
          <w:tcPr>
            <w:tcW w:w="1088" w:type="dxa"/>
            <w:tcBorders>
              <w:bottom w:val="single" w:color="auto" w:sz="4" w:space="0"/>
            </w:tcBorders>
            <w:noWrap/>
            <w:vAlign w:val="center"/>
          </w:tcPr>
          <w:p w14:paraId="6475CAF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服务中的重难点分析及合理化建议</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（20分）</w:t>
            </w:r>
          </w:p>
        </w:tc>
        <w:tc>
          <w:tcPr>
            <w:tcW w:w="5112" w:type="dxa"/>
            <w:tcBorders>
              <w:bottom w:val="single" w:color="auto" w:sz="4" w:space="0"/>
            </w:tcBorders>
            <w:noWrap/>
            <w:vAlign w:val="center"/>
          </w:tcPr>
          <w:p w14:paraId="4D4D8CE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本项包括但不限于：项目实施重点、难点分析与合理化建议、费用控制要点、沟通和协调管理要点等内容，评审委员会根据方案的科学性、合理性、规范性进行评审。</w:t>
            </w:r>
          </w:p>
          <w:p w14:paraId="4DCF6BA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（1）内容不存在瑕疵得20分；</w:t>
            </w:r>
          </w:p>
          <w:p w14:paraId="57B75DD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（2）内容存在1处瑕疵得15分；</w:t>
            </w:r>
          </w:p>
          <w:p w14:paraId="6846A74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（3）内容存在2处瑕疵得10分；</w:t>
            </w:r>
          </w:p>
          <w:p w14:paraId="5CEBE6E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（4）内容存在3处瑕疵得5分；</w:t>
            </w:r>
          </w:p>
          <w:p w14:paraId="7E15EB7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（5）内容存在4处及以上瑕疵或无方案不得分。</w:t>
            </w:r>
          </w:p>
        </w:tc>
        <w:tc>
          <w:tcPr>
            <w:tcW w:w="2192" w:type="dxa"/>
            <w:vMerge w:val="continue"/>
            <w:noWrap/>
            <w:vAlign w:val="center"/>
          </w:tcPr>
          <w:p w14:paraId="1E061E66">
            <w:pPr>
              <w:snapToGrid w:val="0"/>
              <w:jc w:val="left"/>
              <w:rPr>
                <w:rFonts w:hint="eastAsia" w:ascii="宋体" w:hAnsi="宋体" w:eastAsia="宋体" w:cs="宋体"/>
                <w:color w:val="auto"/>
                <w:sz w:val="21"/>
                <w:szCs w:val="21"/>
                <w:highlight w:val="none"/>
              </w:rPr>
            </w:pPr>
          </w:p>
        </w:tc>
      </w:tr>
      <w:tr w14:paraId="0326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3" w:type="dxa"/>
            <w:vMerge w:val="continue"/>
            <w:noWrap/>
            <w:vAlign w:val="center"/>
          </w:tcPr>
          <w:p w14:paraId="150C5FED">
            <w:pPr>
              <w:snapToGrid w:val="0"/>
              <w:rPr>
                <w:rFonts w:hint="eastAsia" w:ascii="宋体" w:hAnsi="宋体" w:eastAsia="宋体" w:cs="宋体"/>
                <w:color w:val="auto"/>
                <w:sz w:val="21"/>
                <w:szCs w:val="21"/>
                <w:highlight w:val="none"/>
              </w:rPr>
            </w:pPr>
          </w:p>
        </w:tc>
        <w:tc>
          <w:tcPr>
            <w:tcW w:w="1141" w:type="dxa"/>
            <w:vMerge w:val="continue"/>
            <w:noWrap/>
            <w:vAlign w:val="center"/>
          </w:tcPr>
          <w:p w14:paraId="26923F65">
            <w:pPr>
              <w:rPr>
                <w:rFonts w:hint="eastAsia" w:ascii="宋体" w:hAnsi="宋体" w:eastAsia="宋体" w:cs="宋体"/>
                <w:color w:val="auto"/>
                <w:sz w:val="21"/>
                <w:szCs w:val="21"/>
                <w:highlight w:val="none"/>
              </w:rPr>
            </w:pPr>
          </w:p>
        </w:tc>
        <w:tc>
          <w:tcPr>
            <w:tcW w:w="1088" w:type="dxa"/>
            <w:noWrap/>
            <w:vAlign w:val="center"/>
          </w:tcPr>
          <w:p w14:paraId="03D619E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质量、进度控制措施</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（20分）</w:t>
            </w:r>
          </w:p>
        </w:tc>
        <w:tc>
          <w:tcPr>
            <w:tcW w:w="5112" w:type="dxa"/>
            <w:noWrap/>
            <w:vAlign w:val="center"/>
          </w:tcPr>
          <w:p w14:paraId="0857424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本项包括但不限于：质量、进度时间点控制措施，现场组织协调管理方法、风险点描述以及解决预案等内容，评审委员会根据方案的整体性、全面性，合理性、有效性进行评审。</w:t>
            </w:r>
          </w:p>
          <w:p w14:paraId="64EB7AC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（1）内容不存在瑕疵得20分；</w:t>
            </w:r>
          </w:p>
          <w:p w14:paraId="3FF2151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（2）内容存在1处瑕疵得15分；</w:t>
            </w:r>
          </w:p>
          <w:p w14:paraId="2B91BD9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（3）内容存在2处瑕疵得10分；</w:t>
            </w:r>
          </w:p>
          <w:p w14:paraId="1FA7308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（4）内容存在3处瑕疵得5分；</w:t>
            </w:r>
          </w:p>
          <w:p w14:paraId="5DAE832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（5）内容存在4处及以上瑕疵或无方案不得分。</w:t>
            </w:r>
          </w:p>
        </w:tc>
        <w:tc>
          <w:tcPr>
            <w:tcW w:w="2192" w:type="dxa"/>
            <w:vMerge w:val="continue"/>
            <w:noWrap/>
            <w:vAlign w:val="center"/>
          </w:tcPr>
          <w:p w14:paraId="19ACA68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sz w:val="21"/>
                <w:szCs w:val="21"/>
                <w:highlight w:val="none"/>
                <w:lang w:val="en-US" w:eastAsia="zh-CN"/>
              </w:rPr>
            </w:pPr>
          </w:p>
        </w:tc>
      </w:tr>
      <w:tr w14:paraId="528F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3" w:type="dxa"/>
            <w:vMerge w:val="restart"/>
            <w:noWrap/>
            <w:vAlign w:val="center"/>
          </w:tcPr>
          <w:p w14:paraId="68552D98">
            <w:pPr>
              <w:snapToGrid w:val="0"/>
              <w:jc w:val="center"/>
              <w:rPr>
                <w:rFonts w:hint="eastAsia" w:ascii="宋体" w:hAnsi="宋体" w:eastAsia="宋体" w:cs="宋体"/>
                <w:color w:val="auto"/>
                <w:sz w:val="21"/>
                <w:szCs w:val="21"/>
                <w:highlight w:val="none"/>
              </w:rPr>
            </w:pPr>
          </w:p>
          <w:p w14:paraId="59BA5756">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41" w:type="dxa"/>
            <w:vMerge w:val="restart"/>
            <w:noWrap/>
            <w:vAlign w:val="center"/>
          </w:tcPr>
          <w:p w14:paraId="35028BFD">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c>
          <w:tcPr>
            <w:tcW w:w="1088" w:type="dxa"/>
            <w:noWrap/>
            <w:vAlign w:val="center"/>
          </w:tcPr>
          <w:p w14:paraId="587BBFC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企业业绩（</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分）</w:t>
            </w:r>
          </w:p>
        </w:tc>
        <w:tc>
          <w:tcPr>
            <w:tcW w:w="5112" w:type="dxa"/>
            <w:noWrap/>
            <w:vAlign w:val="center"/>
          </w:tcPr>
          <w:p w14:paraId="16DABB3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供应商自2023年1月1日起至今（以合同签订时间为准）具有</w:t>
            </w:r>
            <w:r>
              <w:rPr>
                <w:rFonts w:hint="eastAsia" w:ascii="宋体" w:hAnsi="宋体" w:cs="宋体"/>
                <w:sz w:val="21"/>
                <w:szCs w:val="21"/>
                <w:highlight w:val="none"/>
                <w:lang w:val="en-US" w:eastAsia="zh-CN"/>
              </w:rPr>
              <w:t>类似</w:t>
            </w:r>
            <w:r>
              <w:rPr>
                <w:rFonts w:hint="eastAsia" w:ascii="宋体" w:hAnsi="宋体" w:eastAsia="宋体" w:cs="宋体"/>
                <w:sz w:val="21"/>
                <w:szCs w:val="21"/>
                <w:highlight w:val="none"/>
              </w:rPr>
              <w:t>工程质量检测业绩的，每提供1个业绩得2分，本项最多得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tc>
        <w:tc>
          <w:tcPr>
            <w:tcW w:w="2192" w:type="dxa"/>
            <w:noWrap/>
            <w:vAlign w:val="center"/>
          </w:tcPr>
          <w:p w14:paraId="24F2A46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提供合同复印件，加盖供应商公章。未按要求提供的不得分。</w:t>
            </w:r>
          </w:p>
        </w:tc>
      </w:tr>
      <w:tr w14:paraId="4060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3" w:type="dxa"/>
            <w:vMerge w:val="continue"/>
            <w:noWrap/>
            <w:vAlign w:val="center"/>
          </w:tcPr>
          <w:p w14:paraId="705C760B">
            <w:pPr>
              <w:snapToGrid w:val="0"/>
              <w:jc w:val="center"/>
              <w:rPr>
                <w:rFonts w:hint="eastAsia" w:ascii="宋体" w:hAnsi="宋体" w:eastAsia="宋体" w:cs="宋体"/>
                <w:color w:val="auto"/>
                <w:sz w:val="21"/>
                <w:szCs w:val="21"/>
                <w:highlight w:val="none"/>
              </w:rPr>
            </w:pPr>
          </w:p>
        </w:tc>
        <w:tc>
          <w:tcPr>
            <w:tcW w:w="1141" w:type="dxa"/>
            <w:vMerge w:val="continue"/>
            <w:noWrap/>
            <w:vAlign w:val="center"/>
          </w:tcPr>
          <w:p w14:paraId="1FDBE0E6">
            <w:pPr>
              <w:pStyle w:val="5"/>
              <w:rPr>
                <w:rFonts w:hint="eastAsia" w:ascii="宋体" w:hAnsi="宋体" w:eastAsia="宋体" w:cs="宋体"/>
                <w:b/>
                <w:color w:val="auto"/>
                <w:sz w:val="21"/>
                <w:szCs w:val="21"/>
                <w:highlight w:val="none"/>
              </w:rPr>
            </w:pPr>
          </w:p>
        </w:tc>
        <w:tc>
          <w:tcPr>
            <w:tcW w:w="1088" w:type="dxa"/>
            <w:noWrap/>
            <w:vAlign w:val="center"/>
          </w:tcPr>
          <w:p w14:paraId="725A62E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人员配备（</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w:t>
            </w:r>
          </w:p>
        </w:tc>
        <w:tc>
          <w:tcPr>
            <w:tcW w:w="5112" w:type="dxa"/>
            <w:noWrap/>
            <w:vAlign w:val="center"/>
          </w:tcPr>
          <w:p w14:paraId="67DC79B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拟派驻的项目负责人具备高级及以上技术职称，得2分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最高得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tc>
        <w:tc>
          <w:tcPr>
            <w:tcW w:w="2192" w:type="dxa"/>
            <w:noWrap/>
            <w:vAlign w:val="center"/>
          </w:tcPr>
          <w:p w14:paraId="2684E49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提供证书复印件</w:t>
            </w:r>
            <w:r>
              <w:rPr>
                <w:rFonts w:hint="eastAsia" w:ascii="宋体" w:hAnsi="宋体" w:cs="宋体"/>
                <w:sz w:val="21"/>
                <w:szCs w:val="21"/>
                <w:highlight w:val="none"/>
                <w:lang w:val="en-US" w:eastAsia="zh-CN"/>
              </w:rPr>
              <w:t>和</w:t>
            </w:r>
            <w:r>
              <w:rPr>
                <w:rFonts w:hint="eastAsia" w:ascii="宋体" w:hAnsi="宋体" w:cs="宋体"/>
                <w:spacing w:val="-2"/>
                <w:kern w:val="0"/>
                <w:sz w:val="21"/>
                <w:szCs w:val="21"/>
                <w:highlight w:val="none"/>
                <w:lang w:val="en-US" w:eastAsia="zh-CN"/>
              </w:rPr>
              <w:t>供应商</w:t>
            </w:r>
            <w:r>
              <w:rPr>
                <w:rFonts w:hint="eastAsia" w:ascii="宋体" w:hAnsi="宋体" w:cs="宋体"/>
                <w:spacing w:val="-2"/>
                <w:kern w:val="0"/>
                <w:sz w:val="21"/>
                <w:szCs w:val="21"/>
                <w:highlight w:val="none"/>
              </w:rPr>
              <w:t>在</w:t>
            </w:r>
            <w:r>
              <w:rPr>
                <w:rFonts w:hint="eastAsia" w:ascii="宋体" w:hAnsi="宋体" w:cs="宋体"/>
                <w:spacing w:val="-1"/>
                <w:kern w:val="0"/>
                <w:sz w:val="21"/>
                <w:szCs w:val="21"/>
                <w:highlight w:val="none"/>
                <w:lang w:val="en-US" w:eastAsia="zh-CN"/>
              </w:rPr>
              <w:t>近三个</w:t>
            </w:r>
            <w:r>
              <w:rPr>
                <w:rFonts w:hint="eastAsia" w:ascii="宋体" w:hAnsi="宋体" w:cs="宋体"/>
                <w:spacing w:val="-1"/>
                <w:kern w:val="0"/>
                <w:sz w:val="21"/>
                <w:szCs w:val="21"/>
                <w:highlight w:val="none"/>
              </w:rPr>
              <w:t>月间任意一个月为该</w:t>
            </w:r>
            <w:r>
              <w:rPr>
                <w:rFonts w:hint="eastAsia" w:ascii="宋体" w:hAnsi="宋体" w:cs="宋体"/>
                <w:spacing w:val="-1"/>
                <w:kern w:val="0"/>
                <w:sz w:val="21"/>
                <w:szCs w:val="21"/>
                <w:highlight w:val="none"/>
                <w:lang w:val="en-US" w:eastAsia="zh-CN"/>
              </w:rPr>
              <w:t>负责</w:t>
            </w:r>
            <w:r>
              <w:rPr>
                <w:rFonts w:hint="eastAsia" w:ascii="宋体" w:hAnsi="宋体" w:cs="宋体"/>
                <w:spacing w:val="-1"/>
                <w:kern w:val="0"/>
                <w:sz w:val="21"/>
                <w:szCs w:val="21"/>
                <w:highlight w:val="none"/>
              </w:rPr>
              <w:t>员缴纳的</w:t>
            </w:r>
            <w:r>
              <w:rPr>
                <w:rFonts w:hint="eastAsia" w:ascii="宋体" w:hAnsi="宋体" w:cs="宋体"/>
                <w:spacing w:val="-1"/>
                <w:kern w:val="0"/>
                <w:sz w:val="21"/>
                <w:szCs w:val="21"/>
                <w:highlight w:val="none"/>
                <w:lang w:val="en-US" w:eastAsia="zh-CN"/>
              </w:rPr>
              <w:t>供应商</w:t>
            </w:r>
            <w:r>
              <w:rPr>
                <w:rFonts w:hint="eastAsia" w:ascii="宋体" w:hAnsi="宋体" w:cs="宋体"/>
                <w:spacing w:val="-1"/>
                <w:kern w:val="0"/>
                <w:sz w:val="21"/>
                <w:szCs w:val="21"/>
                <w:highlight w:val="none"/>
              </w:rPr>
              <w:t>单位的社保证明材料复印件</w:t>
            </w:r>
            <w:r>
              <w:rPr>
                <w:rFonts w:hint="eastAsia" w:ascii="宋体" w:hAnsi="宋体" w:cs="宋体"/>
                <w:spacing w:val="-1"/>
                <w:kern w:val="0"/>
                <w:sz w:val="21"/>
                <w:szCs w:val="21"/>
                <w:highlight w:val="none"/>
                <w:lang w:eastAsia="zh-CN"/>
              </w:rPr>
              <w:t>，</w:t>
            </w:r>
            <w:r>
              <w:rPr>
                <w:rFonts w:hint="eastAsia" w:ascii="宋体" w:hAnsi="宋体" w:eastAsia="宋体" w:cs="宋体"/>
                <w:sz w:val="21"/>
                <w:szCs w:val="21"/>
                <w:highlight w:val="none"/>
                <w:lang w:val="en-US" w:eastAsia="zh-CN"/>
              </w:rPr>
              <w:t>加盖供应商公章，未按要求提供的不得分。</w:t>
            </w:r>
          </w:p>
        </w:tc>
      </w:tr>
      <w:tr w14:paraId="4C87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3" w:type="dxa"/>
            <w:vMerge w:val="continue"/>
            <w:noWrap/>
            <w:vAlign w:val="center"/>
          </w:tcPr>
          <w:p w14:paraId="51117563">
            <w:pPr>
              <w:snapToGrid w:val="0"/>
              <w:jc w:val="center"/>
              <w:rPr>
                <w:rFonts w:hint="eastAsia" w:ascii="宋体" w:hAnsi="宋体" w:eastAsia="宋体" w:cs="宋体"/>
                <w:color w:val="auto"/>
                <w:sz w:val="21"/>
                <w:szCs w:val="21"/>
                <w:highlight w:val="none"/>
              </w:rPr>
            </w:pPr>
          </w:p>
        </w:tc>
        <w:tc>
          <w:tcPr>
            <w:tcW w:w="1141" w:type="dxa"/>
            <w:vMerge w:val="continue"/>
            <w:noWrap/>
            <w:vAlign w:val="center"/>
          </w:tcPr>
          <w:p w14:paraId="7B222EA1">
            <w:pPr>
              <w:pStyle w:val="5"/>
              <w:rPr>
                <w:rFonts w:hint="eastAsia" w:ascii="宋体" w:hAnsi="宋体" w:eastAsia="宋体" w:cs="宋体"/>
                <w:b/>
                <w:color w:val="auto"/>
                <w:sz w:val="21"/>
                <w:szCs w:val="21"/>
                <w:highlight w:val="none"/>
              </w:rPr>
            </w:pPr>
          </w:p>
        </w:tc>
        <w:tc>
          <w:tcPr>
            <w:tcW w:w="1088" w:type="dxa"/>
            <w:noWrap/>
            <w:vAlign w:val="center"/>
          </w:tcPr>
          <w:p w14:paraId="56B5FB9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企业荣誉（2分）</w:t>
            </w:r>
          </w:p>
        </w:tc>
        <w:tc>
          <w:tcPr>
            <w:tcW w:w="5112" w:type="dxa"/>
            <w:noWrap/>
            <w:vAlign w:val="center"/>
          </w:tcPr>
          <w:p w14:paraId="407CED0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具有有效的质量管理体系认证证书、环境管理体系认证证书，每提供1项得1分，最多得2分。</w:t>
            </w:r>
          </w:p>
        </w:tc>
        <w:tc>
          <w:tcPr>
            <w:tcW w:w="2192" w:type="dxa"/>
            <w:noWrap/>
            <w:vAlign w:val="center"/>
          </w:tcPr>
          <w:p w14:paraId="55FDA98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提供证书复印件加盖供应商公章，未按要求提供的不得分。</w:t>
            </w:r>
          </w:p>
        </w:tc>
      </w:tr>
    </w:tbl>
    <w:p w14:paraId="3205C869">
      <w:pPr>
        <w:kinsoku/>
        <w:wordWrap/>
        <w:overflowPunct/>
        <w:topLinePunct w:val="0"/>
        <w:autoSpaceDE/>
        <w:autoSpaceDN/>
        <w:bidi w:val="0"/>
        <w:spacing w:line="500" w:lineRule="exact"/>
        <w:ind w:firstLine="480" w:firstLineChars="200"/>
        <w:textAlignment w:val="auto"/>
        <w:rPr>
          <w:rFonts w:hint="eastAsia"/>
          <w:color w:val="auto"/>
          <w:highlight w:val="none"/>
        </w:rPr>
      </w:pPr>
      <w:r>
        <w:rPr>
          <w:rFonts w:hint="eastAsia" w:ascii="宋体" w:hAnsi="宋体" w:eastAsia="宋体" w:cs="宋体"/>
          <w:color w:val="auto"/>
          <w:sz w:val="24"/>
          <w:szCs w:val="24"/>
          <w:highlight w:val="none"/>
          <w:lang w:val="zh-TW" w:eastAsia="zh-TW"/>
        </w:rPr>
        <w:t>说明：</w:t>
      </w:r>
      <w:r>
        <w:rPr>
          <w:rFonts w:hint="eastAsia" w:ascii="宋体" w:hAnsi="宋体" w:eastAsia="宋体" w:cs="宋体"/>
          <w:color w:val="auto"/>
          <w:sz w:val="24"/>
          <w:szCs w:val="24"/>
          <w:highlight w:val="none"/>
          <w:lang w:val="zh-TW"/>
        </w:rPr>
        <w:t>磋商小组</w:t>
      </w:r>
      <w:r>
        <w:rPr>
          <w:rFonts w:hint="eastAsia" w:ascii="宋体" w:hAnsi="宋体" w:eastAsia="宋体" w:cs="宋体"/>
          <w:color w:val="auto"/>
          <w:sz w:val="24"/>
          <w:szCs w:val="24"/>
          <w:highlight w:val="none"/>
          <w:lang w:val="zh-TW" w:eastAsia="zh-TW"/>
        </w:rPr>
        <w:t>认为，排名在前面的</w:t>
      </w:r>
      <w:r>
        <w:rPr>
          <w:rFonts w:hint="eastAsia" w:ascii="宋体" w:hAnsi="宋体" w:eastAsia="宋体" w:cs="宋体"/>
          <w:color w:val="auto"/>
          <w:sz w:val="24"/>
          <w:szCs w:val="24"/>
          <w:highlight w:val="none"/>
          <w:lang w:val="zh-TW"/>
        </w:rPr>
        <w:t>成交</w:t>
      </w:r>
      <w:r>
        <w:rPr>
          <w:rFonts w:hint="eastAsia" w:ascii="宋体" w:hAnsi="宋体" w:eastAsia="宋体" w:cs="宋体"/>
          <w:color w:val="auto"/>
          <w:sz w:val="24"/>
          <w:szCs w:val="24"/>
          <w:highlight w:val="none"/>
          <w:lang w:val="zh-TW" w:eastAsia="zh-TW"/>
        </w:rPr>
        <w:t>候选人的</w:t>
      </w:r>
      <w:r>
        <w:rPr>
          <w:rFonts w:hint="eastAsia" w:ascii="宋体" w:hAnsi="宋体" w:eastAsia="宋体" w:cs="宋体"/>
          <w:color w:val="auto"/>
          <w:sz w:val="24"/>
          <w:szCs w:val="24"/>
          <w:highlight w:val="none"/>
          <w:lang w:val="zh-TW"/>
        </w:rPr>
        <w:t>最后</w:t>
      </w:r>
      <w:r>
        <w:rPr>
          <w:rFonts w:hint="eastAsia" w:ascii="宋体" w:hAnsi="宋体" w:eastAsia="宋体" w:cs="宋体"/>
          <w:color w:val="auto"/>
          <w:sz w:val="24"/>
          <w:szCs w:val="24"/>
          <w:highlight w:val="none"/>
          <w:lang w:val="zh-TW" w:eastAsia="zh-TW"/>
        </w:rPr>
        <w:t>报价或者某些分项报价明显不合理或者低于成本，有可能影响服务质量和不能诚信履约的，将要求其在规定的期限内提供书面文件予以解释说明，并提交相关证明材料；否则，</w:t>
      </w:r>
      <w:r>
        <w:rPr>
          <w:rFonts w:hint="eastAsia" w:ascii="宋体" w:hAnsi="宋体" w:eastAsia="宋体" w:cs="宋体"/>
          <w:color w:val="auto"/>
          <w:sz w:val="24"/>
          <w:szCs w:val="24"/>
          <w:highlight w:val="none"/>
          <w:lang w:val="zh-TW"/>
        </w:rPr>
        <w:t>磋商小组</w:t>
      </w:r>
      <w:r>
        <w:rPr>
          <w:rFonts w:hint="eastAsia" w:ascii="宋体" w:hAnsi="宋体" w:eastAsia="宋体" w:cs="宋体"/>
          <w:color w:val="auto"/>
          <w:sz w:val="24"/>
          <w:szCs w:val="24"/>
          <w:highlight w:val="none"/>
          <w:lang w:val="zh-TW" w:eastAsia="zh-TW"/>
        </w:rPr>
        <w:t>可以取消该</w:t>
      </w:r>
      <w:r>
        <w:rPr>
          <w:rFonts w:hint="eastAsia" w:ascii="宋体" w:hAnsi="宋体" w:eastAsia="宋体" w:cs="宋体"/>
          <w:color w:val="auto"/>
          <w:sz w:val="24"/>
          <w:szCs w:val="24"/>
          <w:highlight w:val="none"/>
          <w:lang w:val="zh-TW"/>
        </w:rPr>
        <w:t>成交</w:t>
      </w:r>
      <w:r>
        <w:rPr>
          <w:rFonts w:hint="eastAsia" w:ascii="宋体" w:hAnsi="宋体" w:eastAsia="宋体" w:cs="宋体"/>
          <w:color w:val="auto"/>
          <w:sz w:val="24"/>
          <w:szCs w:val="24"/>
          <w:highlight w:val="none"/>
          <w:lang w:val="zh-TW" w:eastAsia="zh-TW"/>
        </w:rPr>
        <w:t>候选人资格，按顺序由排在后一位的</w:t>
      </w:r>
      <w:r>
        <w:rPr>
          <w:rFonts w:hint="eastAsia" w:ascii="宋体" w:hAnsi="宋体" w:eastAsia="宋体" w:cs="宋体"/>
          <w:color w:val="auto"/>
          <w:sz w:val="24"/>
          <w:szCs w:val="24"/>
          <w:highlight w:val="none"/>
          <w:lang w:val="zh-TW"/>
        </w:rPr>
        <w:t>成交</w:t>
      </w:r>
      <w:r>
        <w:rPr>
          <w:rFonts w:hint="eastAsia" w:ascii="宋体" w:hAnsi="宋体" w:eastAsia="宋体" w:cs="宋体"/>
          <w:color w:val="auto"/>
          <w:sz w:val="24"/>
          <w:szCs w:val="24"/>
          <w:highlight w:val="none"/>
          <w:lang w:val="zh-TW" w:eastAsia="zh-TW"/>
        </w:rPr>
        <w:t>候选人递补，以此类推。</w:t>
      </w:r>
    </w:p>
    <w:p w14:paraId="3CF5DC0D">
      <w:pPr>
        <w:pStyle w:val="3"/>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79" w:name="_Toc106030890"/>
      <w:bookmarkEnd w:id="79"/>
      <w:bookmarkStart w:id="80" w:name="_Toc76462335"/>
      <w:r>
        <w:rPr>
          <w:rFonts w:hint="eastAsia" w:ascii="宋体" w:hAnsi="宋体" w:eastAsia="宋体" w:cs="宋体"/>
          <w:color w:val="auto"/>
          <w:sz w:val="24"/>
          <w:szCs w:val="24"/>
          <w:highlight w:val="none"/>
        </w:rPr>
        <w:t>三、无效响应</w:t>
      </w:r>
      <w:bookmarkEnd w:id="80"/>
    </w:p>
    <w:p w14:paraId="2C274657">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供应商发生以下条款情况之一者，视为无效响应，其响应文件将被拒绝：</w:t>
      </w:r>
    </w:p>
    <w:p w14:paraId="7F9F915B">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61C46212">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（二）供应商的法定代表人（或其授权代表）或自然人未参加磋商；</w:t>
      </w:r>
    </w:p>
    <w:p w14:paraId="4DC52B42">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（三）供应商所提交的响应文件不按“第七篇响应文件编制要求”要求签署或盖章；</w:t>
      </w:r>
    </w:p>
    <w:p w14:paraId="6E514A07">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（四）供应商的最后报价超过采购预算或最高限价的；</w:t>
      </w:r>
    </w:p>
    <w:p w14:paraId="3E5ED9AE">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（五）法定代表人为同一个人的两个及两个以上法人，母公司、全资子公司及其控股公司，在同一包采购中同时参与磋商；</w:t>
      </w:r>
    </w:p>
    <w:p w14:paraId="6B6B1C77">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（六）单位负责人为同一人或者存在直接控股、管理关系的不同供应商，参加同一合同项下的政府采购活动的；</w:t>
      </w:r>
    </w:p>
    <w:p w14:paraId="160633C5">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（七）为采购项目提供整体设计、规范编制或者项目管理、监理、检测等服务的供应商，再参加该采购项目的其他采购活动；</w:t>
      </w:r>
    </w:p>
    <w:p w14:paraId="7632385F">
      <w:pPr>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（八）供应商磋商有效期不满足竞争性磋商文件要求的；</w:t>
      </w:r>
    </w:p>
    <w:p w14:paraId="6630A694">
      <w:pPr>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（九）供应商响应文件内容有与国家现行法律法规相违背的内容，或附有采购人无法接受的条件；</w:t>
      </w:r>
    </w:p>
    <w:p w14:paraId="6B9BD9D6">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（十）法律、法规和竞争性磋商文件规定的其他无效情形。</w:t>
      </w:r>
    </w:p>
    <w:p w14:paraId="35B500D4">
      <w:pPr>
        <w:pStyle w:val="3"/>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81" w:name="_Toc76462336"/>
      <w:bookmarkEnd w:id="81"/>
      <w:bookmarkStart w:id="82" w:name="_Toc106030891"/>
      <w:r>
        <w:rPr>
          <w:rFonts w:hint="eastAsia" w:ascii="宋体" w:hAnsi="宋体" w:eastAsia="宋体" w:cs="宋体"/>
          <w:color w:val="auto"/>
          <w:sz w:val="24"/>
          <w:szCs w:val="24"/>
          <w:highlight w:val="none"/>
        </w:rPr>
        <w:t>四、</w:t>
      </w:r>
      <w:bookmarkEnd w:id="82"/>
      <w:r>
        <w:rPr>
          <w:rFonts w:hint="eastAsia" w:ascii="宋体" w:hAnsi="宋体" w:eastAsia="宋体" w:cs="宋体"/>
          <w:color w:val="auto"/>
          <w:sz w:val="24"/>
          <w:szCs w:val="24"/>
          <w:highlight w:val="none"/>
        </w:rPr>
        <w:t>采购终止</w:t>
      </w:r>
    </w:p>
    <w:p w14:paraId="3B8F8B56">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出现下列情形之一的，采购人或者采购代理机构应当终止竞争性磋商采购活动，发布项目终止公告并说明原因，重新开展采购活动：</w:t>
      </w:r>
    </w:p>
    <w:p w14:paraId="69DB861F">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（一）因情况变化，不再符合规定的竞争性磋商采购方式适用情形的；</w:t>
      </w:r>
    </w:p>
    <w:p w14:paraId="5CF07946">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30C47B77">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4E3AF00A">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4"/>
          <w:szCs w:val="24"/>
          <w:highlight w:val="none"/>
        </w:rPr>
        <w:sectPr>
          <w:pgSz w:w="11907" w:h="16840"/>
          <w:pgMar w:top="1134" w:right="1191" w:bottom="1134" w:left="1304" w:header="964" w:footer="992" w:gutter="0"/>
          <w:pgNumType w:fmt="numberInDash"/>
          <w:cols w:space="720" w:num="1"/>
          <w:docGrid w:type="lines" w:linePitch="312" w:charSpace="0"/>
        </w:sectPr>
      </w:pPr>
    </w:p>
    <w:p w14:paraId="56D7E441">
      <w:pPr>
        <w:pStyle w:val="3"/>
        <w:pageBreakBefore/>
        <w:spacing w:line="360" w:lineRule="auto"/>
        <w:jc w:val="center"/>
        <w:outlineLvl w:val="0"/>
        <w:rPr>
          <w:rFonts w:hint="eastAsia" w:ascii="宋体" w:hAnsi="宋体" w:eastAsia="宋体" w:cs="宋体"/>
          <w:b w:val="0"/>
          <w:bCs/>
          <w:color w:val="auto"/>
          <w:sz w:val="36"/>
          <w:szCs w:val="36"/>
          <w:highlight w:val="none"/>
        </w:rPr>
      </w:pPr>
      <w:bookmarkStart w:id="83" w:name="_Toc106030892"/>
      <w:bookmarkEnd w:id="83"/>
      <w:bookmarkStart w:id="84" w:name="_Toc76462337"/>
      <w:bookmarkEnd w:id="84"/>
      <w:bookmarkStart w:id="85" w:name="_Toc102227313"/>
      <w:bookmarkStart w:id="86" w:name="_Toc17623"/>
      <w:r>
        <w:rPr>
          <w:rFonts w:hint="eastAsia" w:ascii="宋体" w:hAnsi="宋体" w:eastAsia="宋体" w:cs="宋体"/>
          <w:b w:val="0"/>
          <w:bCs/>
          <w:color w:val="auto"/>
          <w:sz w:val="36"/>
          <w:szCs w:val="36"/>
          <w:highlight w:val="none"/>
        </w:rPr>
        <w:t>第五篇  供应商须知</w:t>
      </w:r>
      <w:bookmarkEnd w:id="85"/>
      <w:bookmarkEnd w:id="86"/>
    </w:p>
    <w:p w14:paraId="34ADBDC4">
      <w:pPr>
        <w:pStyle w:val="3"/>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87" w:name="_Toc106030893"/>
      <w:bookmarkEnd w:id="87"/>
      <w:bookmarkStart w:id="88" w:name="_Toc342913389"/>
      <w:bookmarkEnd w:id="88"/>
      <w:bookmarkStart w:id="89" w:name="_Toc76462338"/>
      <w:r>
        <w:rPr>
          <w:rFonts w:hint="eastAsia" w:ascii="宋体" w:hAnsi="宋体" w:eastAsia="宋体" w:cs="宋体"/>
          <w:color w:val="auto"/>
          <w:sz w:val="24"/>
          <w:szCs w:val="24"/>
          <w:highlight w:val="none"/>
        </w:rPr>
        <w:t>一、磋商费用</w:t>
      </w:r>
      <w:bookmarkEnd w:id="89"/>
    </w:p>
    <w:p w14:paraId="7B2247AF">
      <w:pPr>
        <w:pStyle w:val="32"/>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573ED5FF">
      <w:pPr>
        <w:pStyle w:val="3"/>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90" w:name="_Toc342913391"/>
      <w:bookmarkEnd w:id="90"/>
      <w:bookmarkStart w:id="91" w:name="_Toc76462339"/>
      <w:bookmarkEnd w:id="91"/>
      <w:bookmarkStart w:id="92" w:name="_Toc106030894"/>
      <w:r>
        <w:rPr>
          <w:rFonts w:hint="eastAsia" w:ascii="宋体" w:hAnsi="宋体" w:eastAsia="宋体" w:cs="宋体"/>
          <w:color w:val="auto"/>
          <w:sz w:val="24"/>
          <w:szCs w:val="24"/>
          <w:highlight w:val="none"/>
        </w:rPr>
        <w:t>二、竞争性磋商文件</w:t>
      </w:r>
      <w:bookmarkEnd w:id="92"/>
    </w:p>
    <w:p w14:paraId="2E93D731">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（一）竞争性磋商文件由采购邀请书、项目服务需求、供应商须知、项目商务需求、磋商程序及方法、评审标准、无效响应和采购终止、供应商须知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政府采购合同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60FC7388">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（二）采购人（或采购代理机构）所作的一切有效的书面通知、修改及补充，都是竞争性磋商文件不可分割的部分。</w:t>
      </w:r>
    </w:p>
    <w:p w14:paraId="0F1E0E3B">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（三）竞争性磋商文件的解释</w:t>
      </w:r>
    </w:p>
    <w:p w14:paraId="6D67A2B3">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93" w:name="_Toc318159160"/>
      <w:bookmarkEnd w:id="93"/>
      <w:bookmarkStart w:id="94" w:name="_Toc318159349"/>
      <w:bookmarkEnd w:id="94"/>
      <w:bookmarkStart w:id="95" w:name="_Toc318166429"/>
      <w:bookmarkEnd w:id="95"/>
      <w:bookmarkStart w:id="96" w:name="_Toc318159780"/>
      <w:bookmarkEnd w:id="96"/>
    </w:p>
    <w:p w14:paraId="6A15B27D">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（四）本竞争性磋商文件中，磋商小组根据与供应商进行磋商可能实质性变动的内容为竞争性磋商文件第二、三、六篇全部内容。</w:t>
      </w:r>
    </w:p>
    <w:p w14:paraId="1D66B5E6">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p w14:paraId="38768E9B">
      <w:pPr>
        <w:pStyle w:val="3"/>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97" w:name="_Toc76462340"/>
      <w:bookmarkEnd w:id="97"/>
      <w:bookmarkStart w:id="98" w:name="_Toc179714297"/>
      <w:bookmarkEnd w:id="98"/>
      <w:bookmarkStart w:id="99" w:name="_Toc342913392"/>
      <w:bookmarkEnd w:id="99"/>
      <w:bookmarkStart w:id="100" w:name="_Toc102227318"/>
      <w:bookmarkEnd w:id="100"/>
      <w:bookmarkStart w:id="101" w:name="_Toc106030895"/>
      <w:r>
        <w:rPr>
          <w:rFonts w:hint="eastAsia" w:ascii="宋体" w:hAnsi="宋体" w:eastAsia="宋体" w:cs="宋体"/>
          <w:color w:val="auto"/>
          <w:sz w:val="24"/>
          <w:szCs w:val="24"/>
          <w:highlight w:val="none"/>
        </w:rPr>
        <w:t>三、磋商要求</w:t>
      </w:r>
      <w:bookmarkEnd w:id="101"/>
    </w:p>
    <w:p w14:paraId="20BA8548">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5280A0DA">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3A5C88BE">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0AA990E5">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FAB8325">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6D43044C">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1.两个以上供应商可以组成一个联合体，以一个供应商的身份共同参与磋商。</w:t>
      </w:r>
    </w:p>
    <w:p w14:paraId="35788975">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2.以联合体形式参加磋商的，联合体各方均应满足供应商资格条件（详见“第一篇”）联合体中有同类资质的供应商按照联合体分工承担相同工作的，应当按照资质等级较低的供应商确定资质等级。</w:t>
      </w:r>
    </w:p>
    <w:p w14:paraId="729309B2">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1617AFE4">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4.以联合体形式参加政府采购活动的，联合体各方不得再单独参加或者与其他供应商另外组成联合体参加同一合同项下的政府采购活动。</w:t>
      </w:r>
    </w:p>
    <w:p w14:paraId="27281F9B">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5.联合体业绩计算，按照共同联合协议分工认定。</w:t>
      </w:r>
    </w:p>
    <w:p w14:paraId="5B961220">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两个以上的自然人、法人或者其他组织组成一个联合体，以一个供应商的身份共同参加政府采购活动的，将对所有联合体成员进行信用记录查询，联合体成员存在不良信用记录的，视同联合体存在不良信用记录，将拒绝该联合体参与政府采购活动。</w:t>
      </w:r>
    </w:p>
    <w:p w14:paraId="1E7B475B">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（三）磋商有效期：响应文件及有关承诺文件有效期为提交响应文件截止时间起90天。</w:t>
      </w:r>
    </w:p>
    <w:p w14:paraId="02A6E9E2">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458A4D57">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1.若供应商所递交的响应文件或最后报价中的价格出现大写金额和小写金额不一致的错误，以大写金额修正为准。</w:t>
      </w:r>
    </w:p>
    <w:p w14:paraId="7768F87C">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344A6F82">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（五）提交响应文件的份数和签署</w:t>
      </w:r>
    </w:p>
    <w:p w14:paraId="0A52127E">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23C8F0A8">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2.响应文件按竞争性磋商文件“第七篇响应文件编制要求”要求签署或盖章。</w:t>
      </w:r>
    </w:p>
    <w:p w14:paraId="2862E83D">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（六）响应文件的递交</w:t>
      </w:r>
    </w:p>
    <w:p w14:paraId="26E82B8C">
      <w:pPr>
        <w:pStyle w:val="7"/>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15D29EE0">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（七）供应商参与人员</w:t>
      </w:r>
    </w:p>
    <w:p w14:paraId="67531076">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各个供应商应当派1-2名代表参与磋商，至少1人应为法定代表人（或其授权代表）或自然人（供应商为自然人）。</w:t>
      </w:r>
    </w:p>
    <w:p w14:paraId="4FAC137F">
      <w:pPr>
        <w:pStyle w:val="3"/>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102" w:name="_Toc342913395"/>
      <w:bookmarkEnd w:id="102"/>
      <w:bookmarkStart w:id="103" w:name="_Toc106030896"/>
      <w:bookmarkEnd w:id="103"/>
      <w:bookmarkStart w:id="104" w:name="_Toc76462342"/>
      <w:bookmarkEnd w:id="104"/>
      <w:bookmarkStart w:id="105" w:name="_Toc106030897"/>
      <w:bookmarkEnd w:id="105"/>
      <w:bookmarkStart w:id="106" w:name="_Toc102227321"/>
      <w:r>
        <w:rPr>
          <w:rFonts w:hint="eastAsia" w:ascii="宋体" w:hAnsi="宋体" w:eastAsia="宋体" w:cs="宋体"/>
          <w:color w:val="auto"/>
          <w:sz w:val="24"/>
          <w:szCs w:val="24"/>
          <w:highlight w:val="none"/>
        </w:rPr>
        <w:t>五、成交通知</w:t>
      </w:r>
      <w:bookmarkEnd w:id="106"/>
    </w:p>
    <w:p w14:paraId="1A23B4FA">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（一）成交供应商确定后，采购代理机构将在</w:t>
      </w:r>
      <w:r>
        <w:rPr>
          <w:rFonts w:hint="eastAsia" w:ascii="宋体" w:hAnsi="宋体" w:eastAsia="宋体" w:cs="宋体"/>
          <w:color w:val="auto"/>
          <w:kern w:val="0"/>
          <w:sz w:val="24"/>
          <w:szCs w:val="24"/>
          <w:highlight w:val="none"/>
        </w:rPr>
        <w:t>“重庆市行采家”（https://www.gec123.com/）</w:t>
      </w:r>
      <w:r>
        <w:rPr>
          <w:rFonts w:hint="eastAsia" w:ascii="宋体" w:hAnsi="宋体" w:eastAsia="宋体" w:cs="宋体"/>
          <w:color w:val="auto"/>
          <w:sz w:val="24"/>
          <w:szCs w:val="24"/>
          <w:highlight w:val="none"/>
        </w:rPr>
        <w:t>上发布成交结果公告。</w:t>
      </w:r>
    </w:p>
    <w:p w14:paraId="4013AA17">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108AC04C">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3DE11F3C">
      <w:pPr>
        <w:pStyle w:val="3"/>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107" w:name="_Toc76462343"/>
      <w:bookmarkEnd w:id="107"/>
      <w:bookmarkStart w:id="108" w:name="_Toc76462341"/>
      <w:bookmarkStart w:id="109" w:name="_Toc106030898"/>
      <w:r>
        <w:rPr>
          <w:rFonts w:hint="eastAsia" w:ascii="宋体" w:hAnsi="宋体" w:eastAsia="宋体" w:cs="宋体"/>
          <w:color w:val="auto"/>
          <w:sz w:val="24"/>
          <w:szCs w:val="24"/>
          <w:highlight w:val="none"/>
        </w:rPr>
        <w:t>四、成交供应商的确认和变更</w:t>
      </w:r>
      <w:bookmarkEnd w:id="108"/>
    </w:p>
    <w:p w14:paraId="524EFC7A">
      <w:pPr>
        <w:pageBreakBefore w:val="0"/>
        <w:widowControl w:val="0"/>
        <w:kinsoku/>
        <w:wordWrap/>
        <w:overflowPunct/>
        <w:topLinePunct w:val="0"/>
        <w:autoSpaceDE/>
        <w:autoSpaceDN/>
        <w:bidi w:val="0"/>
        <w:snapToGrid w:val="0"/>
        <w:spacing w:line="50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77757B8A">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3F7BF27">
      <w:pPr>
        <w:pageBreakBefore w:val="0"/>
        <w:widowControl w:val="0"/>
        <w:kinsoku/>
        <w:wordWrap/>
        <w:overflowPunct/>
        <w:topLinePunct w:val="0"/>
        <w:autoSpaceDE/>
        <w:autoSpaceDN/>
        <w:bidi w:val="0"/>
        <w:snapToGrid w:val="0"/>
        <w:spacing w:line="50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22E595CA">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7721F1EC">
      <w:pPr>
        <w:pStyle w:val="3"/>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六、关于质疑和投诉</w:t>
      </w:r>
      <w:bookmarkEnd w:id="109"/>
    </w:p>
    <w:p w14:paraId="2FC6F348">
      <w:pPr>
        <w:pageBreakBefore w:val="0"/>
        <w:widowControl w:val="0"/>
        <w:kinsoku/>
        <w:wordWrap/>
        <w:overflowPunct/>
        <w:topLinePunct w:val="0"/>
        <w:autoSpaceDE/>
        <w:autoSpaceDN/>
        <w:bidi w:val="0"/>
        <w:spacing w:line="50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14:paraId="2709BA0C">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供应商认为采购文件、采购过程和成交结果使自己的权益收到伤害的，可向采购人或采购代理机构以书面形式提出质疑。</w:t>
      </w:r>
    </w:p>
    <w:p w14:paraId="256817F2">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提出质疑的应当是参与所质疑项目采购活动的供应商。 </w:t>
      </w:r>
    </w:p>
    <w:p w14:paraId="56BF2A88">
      <w:pPr>
        <w:pageBreakBefore w:val="0"/>
        <w:widowControl w:val="0"/>
        <w:kinsoku/>
        <w:wordWrap/>
        <w:overflowPunct/>
        <w:topLinePunct w:val="0"/>
        <w:autoSpaceDE/>
        <w:autoSpaceDN/>
        <w:bidi w:val="0"/>
        <w:spacing w:line="500" w:lineRule="exact"/>
        <w:ind w:right="12" w:firstLine="48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14:paraId="72F42FCB">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供应商认为采购文件、采购过程、成交结果使自己的权益受到损害的，可以在知道或者应知其权益受到损害之日起7个工作日内，以书面形式向采购人、采购代理机构提出质疑。</w:t>
      </w:r>
    </w:p>
    <w:p w14:paraId="4530DF0D">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1.2供应商提出质疑应当提交质疑函和必要的证明材料，质疑函应当包括下列内容：</w:t>
      </w:r>
    </w:p>
    <w:p w14:paraId="45BDDD1B">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1.2.1供应商的姓名或者名称、地址、邮编、联系人及联系电话；</w:t>
      </w:r>
    </w:p>
    <w:p w14:paraId="5DA511BB">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1.2.2质疑项目的名称、项目号以及采购执行编号；</w:t>
      </w:r>
    </w:p>
    <w:p w14:paraId="03AECB0D">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1.2.3具体、明确的质疑事项和与质疑事项相关的请求；</w:t>
      </w:r>
    </w:p>
    <w:p w14:paraId="25E31481">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1.2.4事实依据；</w:t>
      </w:r>
    </w:p>
    <w:p w14:paraId="0C2C0183">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1.2.5必要的法律依据；</w:t>
      </w:r>
    </w:p>
    <w:p w14:paraId="3C1D9910">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1.2.6提出质疑的日期；</w:t>
      </w:r>
    </w:p>
    <w:p w14:paraId="1E285368">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1.2.7营业执照（或事业单位法人证书，或个体工商户营业执照或有效的自然人身份证明）复印件；</w:t>
      </w:r>
    </w:p>
    <w:p w14:paraId="5376A4A4">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1.2.8法定代表人授权委托书原件、法定代表人身份证复印件和其授权代表的身份证复印件（供应商为自然人的提供自然人身份证复印件）；</w:t>
      </w:r>
    </w:p>
    <w:p w14:paraId="226317DD">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098F304C">
      <w:pPr>
        <w:pageBreakBefore w:val="0"/>
        <w:widowControl w:val="0"/>
        <w:kinsoku/>
        <w:wordWrap/>
        <w:overflowPunct/>
        <w:topLinePunct w:val="0"/>
        <w:autoSpaceDE/>
        <w:autoSpaceDN/>
        <w:bidi w:val="0"/>
        <w:spacing w:line="500" w:lineRule="exact"/>
        <w:ind w:right="12" w:firstLine="48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2BA20B6C">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采购人、采购代理机构应当在收到供应商的书面质疑后七个工作日内作出答复，并以书面形式通知质疑供应商和其他有关供应商。</w:t>
      </w:r>
    </w:p>
    <w:p w14:paraId="466674AB">
      <w:pPr>
        <w:pageBreakBefore w:val="0"/>
        <w:widowControl w:val="0"/>
        <w:kinsoku/>
        <w:wordWrap/>
        <w:overflowPunct/>
        <w:topLinePunct w:val="0"/>
        <w:autoSpaceDE/>
        <w:autoSpaceDN/>
        <w:bidi w:val="0"/>
        <w:spacing w:line="500" w:lineRule="exact"/>
        <w:ind w:right="12" w:firstLine="48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10AB8567">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3.1供应商应按照《政府采购质疑和投诉办法》（财政部令第94号）及相关法律法规要求，在法定质疑期内一次性提出针对同一采购程序环节的质疑。</w:t>
      </w:r>
    </w:p>
    <w:p w14:paraId="44EDB72A">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3.2质疑函范本可在财政部门户网站和中国政府采购网下载。</w:t>
      </w:r>
    </w:p>
    <w:p w14:paraId="3DF162B3">
      <w:pPr>
        <w:pageBreakBefore w:val="0"/>
        <w:widowControl w:val="0"/>
        <w:kinsoku/>
        <w:wordWrap/>
        <w:overflowPunct/>
        <w:topLinePunct w:val="0"/>
        <w:autoSpaceDE/>
        <w:autoSpaceDN/>
        <w:bidi w:val="0"/>
        <w:spacing w:line="500" w:lineRule="exact"/>
        <w:ind w:right="12" w:firstLine="48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w:t>
      </w:r>
    </w:p>
    <w:p w14:paraId="1D591199">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3C040D94">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337CDCDE">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00310E2">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4F24BEE">
      <w:pPr>
        <w:pStyle w:val="3"/>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110" w:name="_Toc106030899"/>
      <w:bookmarkEnd w:id="110"/>
      <w:bookmarkStart w:id="111" w:name="_Toc76462344"/>
      <w:r>
        <w:rPr>
          <w:rFonts w:hint="eastAsia" w:ascii="宋体" w:hAnsi="宋体" w:eastAsia="宋体" w:cs="宋体"/>
          <w:color w:val="auto"/>
          <w:sz w:val="24"/>
          <w:szCs w:val="24"/>
          <w:highlight w:val="none"/>
        </w:rPr>
        <w:t>七、采购代理服务费</w:t>
      </w:r>
      <w:bookmarkEnd w:id="111"/>
    </w:p>
    <w:p w14:paraId="24141F61">
      <w:pPr>
        <w:spacing w:line="500" w:lineRule="exact"/>
        <w:ind w:firstLine="480" w:firstLineChars="200"/>
        <w:rPr>
          <w:rFonts w:hint="eastAsia" w:ascii="宋体" w:hAnsi="宋体" w:cs="宋体"/>
          <w:color w:val="auto"/>
          <w:kern w:val="0"/>
          <w:sz w:val="24"/>
          <w:szCs w:val="24"/>
          <w:highlight w:val="none"/>
        </w:rPr>
      </w:pPr>
      <w:bookmarkStart w:id="112" w:name="OLE_LINK8"/>
      <w:bookmarkEnd w:id="112"/>
      <w:bookmarkStart w:id="113" w:name="_Toc106030900"/>
      <w:bookmarkEnd w:id="113"/>
      <w:bookmarkStart w:id="114" w:name="_Toc10611"/>
      <w:bookmarkStart w:id="115" w:name="_Toc76462345"/>
      <w:r>
        <w:rPr>
          <w:rFonts w:hint="eastAsia" w:ascii="宋体" w:hAnsi="宋体" w:cs="宋体"/>
          <w:color w:val="auto"/>
          <w:kern w:val="0"/>
          <w:sz w:val="24"/>
          <w:szCs w:val="24"/>
          <w:highlight w:val="none"/>
        </w:rPr>
        <w:t>（一）供应商成交后向采购代理机构缴采购代理服务费，</w:t>
      </w:r>
      <w:r>
        <w:rPr>
          <w:rFonts w:hint="eastAsia" w:ascii="宋体" w:hAnsi="宋体" w:eastAsia="宋体" w:cs="宋体"/>
          <w:color w:val="auto"/>
          <w:kern w:val="0"/>
          <w:sz w:val="24"/>
          <w:szCs w:val="24"/>
          <w:highlight w:val="none"/>
          <w:lang w:val="en-US" w:eastAsia="zh-CN"/>
        </w:rPr>
        <w:t>本项目</w:t>
      </w:r>
      <w:r>
        <w:rPr>
          <w:rFonts w:hint="eastAsia" w:ascii="宋体" w:hAnsi="宋体" w:eastAsia="宋体" w:cs="宋体"/>
          <w:color w:val="auto"/>
          <w:kern w:val="0"/>
          <w:sz w:val="24"/>
          <w:szCs w:val="24"/>
          <w:highlight w:val="none"/>
        </w:rPr>
        <w:t>采购代理服务费</w:t>
      </w:r>
      <w:r>
        <w:rPr>
          <w:rFonts w:hint="eastAsia" w:ascii="宋体" w:hAnsi="宋体" w:cs="宋体"/>
          <w:color w:val="auto"/>
          <w:kern w:val="0"/>
          <w:sz w:val="24"/>
          <w:szCs w:val="24"/>
          <w:highlight w:val="none"/>
          <w:lang w:val="en-US" w:eastAsia="zh-CN"/>
        </w:rPr>
        <w:t>为3000元</w:t>
      </w:r>
      <w:r>
        <w:rPr>
          <w:rFonts w:hint="eastAsia" w:ascii="宋体" w:hAnsi="宋体" w:eastAsia="宋体" w:cs="宋体"/>
          <w:color w:val="auto"/>
          <w:kern w:val="0"/>
          <w:sz w:val="24"/>
          <w:szCs w:val="24"/>
          <w:highlight w:val="none"/>
          <w:lang w:val="en-US" w:eastAsia="zh-CN"/>
        </w:rPr>
        <w:t>。</w:t>
      </w:r>
    </w:p>
    <w:bookmarkEnd w:id="114"/>
    <w:p w14:paraId="55AB3D1E">
      <w:pPr>
        <w:spacing w:line="500" w:lineRule="exact"/>
        <w:ind w:firstLine="480" w:firstLineChars="200"/>
        <w:rPr>
          <w:rFonts w:hint="eastAsia" w:ascii="宋体" w:hAnsi="宋体" w:cs="宋体"/>
          <w:color w:val="auto"/>
          <w:sz w:val="24"/>
          <w:highlight w:val="none"/>
        </w:rPr>
      </w:pPr>
      <w:bookmarkStart w:id="116" w:name="_Toc5914"/>
      <w:r>
        <w:rPr>
          <w:rFonts w:hint="eastAsia" w:ascii="宋体" w:hAnsi="宋体" w:cs="宋体"/>
          <w:color w:val="auto"/>
          <w:sz w:val="24"/>
          <w:highlight w:val="none"/>
        </w:rPr>
        <w:t>（二）采购代理服务费以现金、电汇等形式支付。</w:t>
      </w:r>
      <w:bookmarkEnd w:id="116"/>
    </w:p>
    <w:p w14:paraId="3E3CC44D">
      <w:pPr>
        <w:pStyle w:val="3"/>
        <w:pageBreakBefore w:val="0"/>
        <w:widowControl w:val="0"/>
        <w:kinsoku/>
        <w:wordWrap/>
        <w:overflowPunct/>
        <w:topLinePunct w:val="0"/>
        <w:autoSpaceDE/>
        <w:autoSpaceDN/>
        <w:bidi w:val="0"/>
        <w:adjustRightInd w:val="0"/>
        <w:snapToGrid w:val="0"/>
        <w:spacing w:line="500" w:lineRule="exact"/>
        <w:ind w:left="476" w:leftChars="170" w:firstLine="0" w:firstLineChars="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（三）采购中标后如未按上述规定缴纳采购代理服务费，暂停签发成交通知书</w:t>
      </w:r>
      <w:r>
        <w:rPr>
          <w:rFonts w:hint="eastAsia" w:ascii="宋体" w:hAnsi="宋体" w:eastAsia="宋体" w:cs="宋体"/>
          <w:b w:val="0"/>
          <w:color w:val="auto"/>
          <w:kern w:val="2"/>
          <w:sz w:val="24"/>
          <w:szCs w:val="24"/>
          <w:highlight w:val="none"/>
          <w:lang w:val="en-US" w:eastAsia="zh-CN" w:bidi="ar-SA"/>
        </w:rPr>
        <w:t>。</w:t>
      </w:r>
    </w:p>
    <w:p w14:paraId="1FD3387B">
      <w:pPr>
        <w:pStyle w:val="3"/>
        <w:pageBreakBefore w:val="0"/>
        <w:widowControl w:val="0"/>
        <w:kinsoku/>
        <w:wordWrap/>
        <w:overflowPunct/>
        <w:topLinePunct w:val="0"/>
        <w:autoSpaceDE/>
        <w:autoSpaceDN/>
        <w:bidi w:val="0"/>
        <w:adjustRightInd w:val="0"/>
        <w:snapToGrid w:val="0"/>
        <w:spacing w:line="500" w:lineRule="exact"/>
        <w:ind w:left="476" w:leftChars="17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八、交易服务费</w:t>
      </w:r>
      <w:bookmarkEnd w:id="115"/>
    </w:p>
    <w:p w14:paraId="361A5526">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无</w:t>
      </w:r>
    </w:p>
    <w:p w14:paraId="12A37AEF">
      <w:pPr>
        <w:pStyle w:val="3"/>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117" w:name="_Toc106030901"/>
      <w:bookmarkEnd w:id="117"/>
      <w:bookmarkStart w:id="118" w:name="_Toc11641055"/>
      <w:bookmarkEnd w:id="118"/>
      <w:bookmarkStart w:id="119" w:name="_Toc102227322"/>
      <w:bookmarkEnd w:id="119"/>
      <w:bookmarkStart w:id="120" w:name="_Toc342913396"/>
      <w:bookmarkEnd w:id="120"/>
      <w:bookmarkStart w:id="121" w:name="_Toc76462346"/>
      <w:bookmarkEnd w:id="121"/>
      <w:bookmarkStart w:id="122" w:name="_Toc12789059"/>
      <w:r>
        <w:rPr>
          <w:rFonts w:hint="eastAsia" w:ascii="宋体" w:hAnsi="宋体" w:eastAsia="宋体" w:cs="宋体"/>
          <w:color w:val="auto"/>
          <w:sz w:val="24"/>
          <w:szCs w:val="24"/>
          <w:highlight w:val="none"/>
        </w:rPr>
        <w:t>九、签订</w:t>
      </w:r>
      <w:bookmarkEnd w:id="122"/>
      <w:r>
        <w:rPr>
          <w:rFonts w:hint="eastAsia" w:ascii="宋体" w:hAnsi="宋体" w:eastAsia="宋体" w:cs="宋体"/>
          <w:color w:val="auto"/>
          <w:sz w:val="24"/>
          <w:szCs w:val="24"/>
          <w:highlight w:val="none"/>
        </w:rPr>
        <w:t>合同</w:t>
      </w:r>
    </w:p>
    <w:p w14:paraId="423003BA">
      <w:pPr>
        <w:pageBreakBefore w:val="0"/>
        <w:widowControl w:val="0"/>
        <w:kinsoku/>
        <w:wordWrap/>
        <w:overflowPunct/>
        <w:topLinePunct w:val="0"/>
        <w:autoSpaceDE/>
        <w:autoSpaceDN/>
        <w:bidi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5F9A7ECF">
      <w:pPr>
        <w:pageBreakBefore w:val="0"/>
        <w:widowControl w:val="0"/>
        <w:kinsoku/>
        <w:wordWrap/>
        <w:overflowPunct/>
        <w:topLinePunct w:val="0"/>
        <w:autoSpaceDE/>
        <w:autoSpaceDN/>
        <w:bidi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）竞争性磋商文件、供应商的响应文件及澄清文件等，均为签订政府采购合同的依据。</w:t>
      </w:r>
    </w:p>
    <w:p w14:paraId="47233A33">
      <w:pPr>
        <w:pageBreakBefore w:val="0"/>
        <w:widowControl w:val="0"/>
        <w:kinsoku/>
        <w:wordWrap/>
        <w:overflowPunct/>
        <w:topLinePunct w:val="0"/>
        <w:autoSpaceDE/>
        <w:autoSpaceDN/>
        <w:bidi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）合同生效条款由供需双方约定，法律、行政法规规定应当办理批准、登记等手续后生效的合同，依照其规定。</w:t>
      </w:r>
    </w:p>
    <w:p w14:paraId="2E85F085">
      <w:pPr>
        <w:pageBreakBefore w:val="0"/>
        <w:widowControl w:val="0"/>
        <w:kinsoku/>
        <w:wordWrap/>
        <w:overflowPunct/>
        <w:topLinePunct w:val="0"/>
        <w:autoSpaceDE/>
        <w:autoSpaceDN/>
        <w:bidi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）合同原则上应按照《重庆市政府采购合同》签订，相关单位要求适用合同通用格式版本的，应按其要求另行签订其他合同。</w:t>
      </w:r>
    </w:p>
    <w:p w14:paraId="44D49F63">
      <w:pPr>
        <w:pageBreakBefore w:val="0"/>
        <w:widowControl w:val="0"/>
        <w:kinsoku/>
        <w:wordWrap/>
        <w:overflowPunct/>
        <w:topLinePunct w:val="0"/>
        <w:autoSpaceDE/>
        <w:autoSpaceDN/>
        <w:bidi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）采购人要求成交供应商提供履约保证金的，应当在竞争性磋商文件中予以约定。成交供应商履约完毕后，采购人根据采购文件规定无息退还其履约保证金。</w:t>
      </w:r>
    </w:p>
    <w:p w14:paraId="73E7FA35">
      <w:pPr>
        <w:pStyle w:val="3"/>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123" w:name="_Toc106030902"/>
      <w:bookmarkEnd w:id="123"/>
      <w:r>
        <w:rPr>
          <w:rFonts w:hint="eastAsia" w:ascii="宋体" w:hAnsi="宋体" w:eastAsia="宋体" w:cs="宋体"/>
          <w:color w:val="auto"/>
          <w:sz w:val="24"/>
          <w:szCs w:val="24"/>
          <w:highlight w:val="none"/>
        </w:rPr>
        <w:t>十、项目验收</w:t>
      </w:r>
    </w:p>
    <w:p w14:paraId="174BCB57">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合同执行完毕，采购人或采购代理机构原则上应在7个工作日内组织履约情况验收，不得无故拖延或附加额外条件。</w:t>
      </w:r>
    </w:p>
    <w:p w14:paraId="67D06C43">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bookmarkStart w:id="124" w:name="_Toc14780"/>
      <w:bookmarkEnd w:id="124"/>
      <w:bookmarkStart w:id="125" w:name="_Toc76462347"/>
      <w:bookmarkEnd w:id="125"/>
    </w:p>
    <w:p w14:paraId="16C8D5A6">
      <w:pPr>
        <w:pStyle w:val="3"/>
        <w:spacing w:line="360" w:lineRule="auto"/>
        <w:jc w:val="center"/>
        <w:outlineLvl w:val="0"/>
        <w:rPr>
          <w:rFonts w:hint="default" w:ascii="宋体" w:hAnsi="宋体" w:eastAsia="宋体" w:cs="宋体"/>
          <w:b w:val="0"/>
          <w:bCs/>
          <w:color w:val="auto"/>
          <w:sz w:val="36"/>
          <w:szCs w:val="36"/>
          <w:highlight w:val="none"/>
          <w:lang w:val="en-US" w:eastAsia="zh-CN"/>
        </w:rPr>
      </w:pPr>
      <w:r>
        <w:rPr>
          <w:rFonts w:hint="eastAsia" w:ascii="宋体" w:hAnsi="宋体" w:eastAsia="宋体" w:cs="宋体"/>
          <w:color w:val="auto"/>
          <w:sz w:val="36"/>
          <w:szCs w:val="36"/>
          <w:highlight w:val="none"/>
        </w:rPr>
        <w:br w:type="page"/>
      </w:r>
      <w:bookmarkStart w:id="126" w:name="_Toc76462348"/>
      <w:bookmarkEnd w:id="126"/>
      <w:bookmarkStart w:id="127" w:name="_Toc106030904"/>
      <w:bookmarkStart w:id="128" w:name="_Toc2620"/>
      <w:r>
        <w:rPr>
          <w:rFonts w:hint="eastAsia" w:ascii="宋体" w:hAnsi="宋体" w:eastAsia="宋体" w:cs="宋体"/>
          <w:b w:val="0"/>
          <w:bCs/>
          <w:color w:val="auto"/>
          <w:sz w:val="36"/>
          <w:szCs w:val="36"/>
          <w:highlight w:val="none"/>
        </w:rPr>
        <w:t xml:space="preserve">第六篇  </w:t>
      </w:r>
      <w:bookmarkEnd w:id="127"/>
      <w:r>
        <w:rPr>
          <w:rFonts w:hint="eastAsia" w:ascii="宋体" w:hAnsi="宋体" w:eastAsia="宋体" w:cs="宋体"/>
          <w:b w:val="0"/>
          <w:bCs/>
          <w:color w:val="auto"/>
          <w:sz w:val="36"/>
          <w:szCs w:val="36"/>
          <w:highlight w:val="none"/>
        </w:rPr>
        <w:t>合同</w:t>
      </w:r>
      <w:r>
        <w:rPr>
          <w:rFonts w:hint="eastAsia" w:ascii="宋体" w:hAnsi="宋体" w:eastAsia="宋体" w:cs="宋体"/>
          <w:b w:val="0"/>
          <w:bCs/>
          <w:color w:val="auto"/>
          <w:sz w:val="36"/>
          <w:szCs w:val="36"/>
          <w:highlight w:val="none"/>
          <w:lang w:val="en-US" w:eastAsia="zh-CN"/>
        </w:rPr>
        <w:t>草案条款</w:t>
      </w:r>
      <w:bookmarkEnd w:id="128"/>
    </w:p>
    <w:p w14:paraId="31840742">
      <w:pPr>
        <w:pStyle w:val="3"/>
        <w:spacing w:line="360" w:lineRule="auto"/>
        <w:jc w:val="center"/>
        <w:outlineLvl w:val="0"/>
        <w:rPr>
          <w:rFonts w:hint="eastAsia" w:ascii="宋体" w:hAnsi="宋体" w:eastAsia="宋体" w:cs="宋体"/>
          <w:b w:val="0"/>
          <w:bCs/>
          <w:color w:val="auto"/>
          <w:sz w:val="36"/>
          <w:szCs w:val="36"/>
          <w:highlight w:val="none"/>
          <w:lang w:val="en-US" w:eastAsia="zh-CN"/>
        </w:rPr>
      </w:pPr>
      <w:bookmarkStart w:id="129" w:name="_Toc8629"/>
      <w:bookmarkStart w:id="130" w:name="_Toc15310"/>
      <w:bookmarkStart w:id="131" w:name="_Toc23356"/>
      <w:bookmarkStart w:id="132" w:name="_Toc508007737"/>
      <w:bookmarkStart w:id="133" w:name="_Toc16324"/>
      <w:bookmarkStart w:id="134" w:name="_Toc12198"/>
      <w:bookmarkStart w:id="135" w:name="_Toc285722712"/>
      <w:bookmarkStart w:id="136" w:name="_Toc7575"/>
      <w:bookmarkStart w:id="137" w:name="_Toc277084870"/>
      <w:bookmarkStart w:id="138" w:name="_Toc78194465"/>
      <w:bookmarkStart w:id="139" w:name="_Toc11314"/>
      <w:r>
        <w:rPr>
          <w:rFonts w:hint="eastAsia" w:ascii="宋体" w:hAnsi="宋体" w:eastAsia="宋体" w:cs="宋体"/>
          <w:b w:val="0"/>
          <w:bCs/>
          <w:color w:val="auto"/>
          <w:sz w:val="36"/>
          <w:szCs w:val="36"/>
          <w:highlight w:val="none"/>
          <w:lang w:val="en-US" w:eastAsia="zh-CN"/>
        </w:rPr>
        <w:t>福寿楼项目工程质量检测合同</w:t>
      </w:r>
    </w:p>
    <w:p w14:paraId="404F09A6">
      <w:pPr>
        <w:snapToGrid w:val="0"/>
        <w:spacing w:line="360" w:lineRule="auto"/>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委托单位（全称):</w:t>
      </w:r>
    </w:p>
    <w:p w14:paraId="62A0A710">
      <w:pPr>
        <w:snapToGrid w:val="0"/>
        <w:spacing w:line="360" w:lineRule="auto"/>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检测单位（全称):</w:t>
      </w:r>
    </w:p>
    <w:p w14:paraId="6D97145A">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根据《中华人民共和国民法典》及其他有关法律、法规以及</w:t>
      </w:r>
      <w:r>
        <w:rPr>
          <w:rFonts w:hint="eastAsia" w:ascii="宋体" w:hAnsi="宋体" w:cs="宋体"/>
          <w:bCs/>
          <w:color w:val="auto"/>
          <w:sz w:val="24"/>
          <w:highlight w:val="none"/>
          <w:lang w:val="en-US" w:eastAsia="zh-CN"/>
        </w:rPr>
        <w:t>重庆市第三社会福利院</w:t>
      </w:r>
      <w:r>
        <w:rPr>
          <w:rFonts w:hint="default" w:ascii="宋体" w:hAnsi="宋体" w:cs="宋体"/>
          <w:bCs/>
          <w:color w:val="auto"/>
          <w:sz w:val="24"/>
          <w:highlight w:val="none"/>
          <w:lang w:val="en-US" w:eastAsia="zh-CN"/>
        </w:rPr>
        <w:t>遴选</w:t>
      </w:r>
      <w:r>
        <w:rPr>
          <w:rFonts w:hint="eastAsia" w:ascii="宋体" w:hAnsi="宋体" w:cs="宋体"/>
          <w:bCs/>
          <w:color w:val="auto"/>
          <w:sz w:val="24"/>
          <w:highlight w:val="none"/>
          <w:lang w:val="en-US" w:eastAsia="zh-CN"/>
        </w:rPr>
        <w:t>福寿楼项目工程质量检测磋商</w:t>
      </w:r>
      <w:r>
        <w:rPr>
          <w:rFonts w:hint="default" w:ascii="宋体" w:hAnsi="宋体" w:cs="宋体"/>
          <w:bCs/>
          <w:color w:val="auto"/>
          <w:sz w:val="24"/>
          <w:highlight w:val="none"/>
          <w:lang w:val="en-US" w:eastAsia="zh-CN"/>
        </w:rPr>
        <w:t>结果，遵循平等、自愿、公平和诚实信用的原则，双方就建设工程质量检测事项协商一致,订立本合同。</w:t>
      </w:r>
    </w:p>
    <w:p w14:paraId="7F9B84B7">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一、工程概况</w:t>
      </w:r>
    </w:p>
    <w:p w14:paraId="1F63F470">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1.工程名称:</w:t>
      </w:r>
      <w:r>
        <w:rPr>
          <w:rFonts w:hint="eastAsia" w:ascii="宋体" w:hAnsi="宋体" w:cs="宋体"/>
          <w:bCs/>
          <w:color w:val="auto"/>
          <w:sz w:val="24"/>
          <w:highlight w:val="none"/>
          <w:lang w:val="en-US" w:eastAsia="zh-CN"/>
        </w:rPr>
        <w:t>福寿楼项目工程质量检测</w:t>
      </w:r>
    </w:p>
    <w:p w14:paraId="2BF378AE">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2.工程地点:</w:t>
      </w:r>
      <w:r>
        <w:rPr>
          <w:rFonts w:hint="eastAsia" w:ascii="宋体" w:hAnsi="宋体" w:cs="宋体"/>
          <w:bCs/>
          <w:color w:val="auto"/>
          <w:sz w:val="24"/>
          <w:highlight w:val="none"/>
          <w:lang w:val="en-US" w:eastAsia="zh-CN"/>
        </w:rPr>
        <w:t>重庆市第三社会福利院</w:t>
      </w:r>
    </w:p>
    <w:p w14:paraId="388DC891">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3.工程规模:建筑面积</w:t>
      </w:r>
      <w:r>
        <w:rPr>
          <w:rFonts w:hint="eastAsia" w:ascii="宋体" w:hAnsi="宋体" w:cs="宋体"/>
          <w:bCs/>
          <w:color w:val="auto"/>
          <w:sz w:val="24"/>
          <w:highlight w:val="none"/>
          <w:lang w:val="en-US" w:eastAsia="zh-CN"/>
        </w:rPr>
        <w:t>11564.03</w:t>
      </w:r>
      <w:r>
        <w:rPr>
          <w:rFonts w:hint="default" w:ascii="宋体" w:hAnsi="宋体" w:cs="宋体"/>
          <w:bCs/>
          <w:color w:val="auto"/>
          <w:sz w:val="24"/>
          <w:highlight w:val="none"/>
          <w:lang w:val="en-US" w:eastAsia="zh-CN"/>
        </w:rPr>
        <w:t xml:space="preserve"> m2</w:t>
      </w:r>
    </w:p>
    <w:p w14:paraId="3E00921C">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二、服务范围及工作内容</w:t>
      </w:r>
    </w:p>
    <w:p w14:paraId="4C4C4545">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双方约定的服务范围及工作内容:包括施工阶段及竣工验收阶段的具体检测内容包括但不限于:施工阶段及竣工验收阶段的见证取样检测、地基基础工程检测、主体结构工程检测、室内环境质量检测、建筑门窗检测、建筑制品检测、钢结构工程检测、防雷检测、室外排水工程管道检测、电线电缆检测等满足竣工验收要求的所有检测内容。</w:t>
      </w:r>
    </w:p>
    <w:p w14:paraId="17A759AA">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三、质量检测的相关要求</w:t>
      </w:r>
    </w:p>
    <w:p w14:paraId="10BFB049">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1、符合现行国家、行业、重庆市相关的技术标准、规范、规程以及设计要求,规定不一致的以较严格的规定为准。</w:t>
      </w:r>
    </w:p>
    <w:p w14:paraId="4EA236E3">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2、乙方在本合同签订后10个工作日内编制本工程检测相关的检测方案、计划，报甲方审批备案;针对本项目的检测内容单独建立检测台帐,供甲方或甲方委托的监理人查阅。</w:t>
      </w:r>
    </w:p>
    <w:p w14:paraId="37028140">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3、按照现行国家、行业、重庆市相关的技术标准、规范、规程以及设计要求开展检测工作，并对报告的真实性、准确性及质量负责。</w:t>
      </w:r>
    </w:p>
    <w:p w14:paraId="133DB8CB">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4、配备必须的检测人员、设备，确保检测工作正常开展，及时向甲方提供检测报告（检测报告一式三份)，甲方收到报告后向乙方出具签收依据。</w:t>
      </w:r>
    </w:p>
    <w:p w14:paraId="685EA61B">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5、当检测结果出现异常时(包括不合格或明显高于设计要求),必须第一时间通知甲方,由甲方通知监理人。</w:t>
      </w:r>
    </w:p>
    <w:p w14:paraId="6DB78CDF">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6、一般检测项目在收到检测试件24小时内完成检测（满足检测条件下)，并应于检测工作完成后一周内提交检测报告。</w:t>
      </w:r>
    </w:p>
    <w:p w14:paraId="057303EF">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7、到场检测项目在接到通知后48小时内到场完成检测，并应于检测工作完成后一周内提交一般试验检测项目的检测报告，专项试验检测项目的检测报告两周内提交,对于试验周期较长的专项检测项可延长至三周。</w:t>
      </w:r>
    </w:p>
    <w:p w14:paraId="038AD822">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8、乙方应对检测原始资料及成果资料归档妥善保存，保证提供的检测数据及检测报告内容真实有效，结论明确，并承担因成果质量不可靠的责任和由此给甲方造成的损失。</w:t>
      </w:r>
    </w:p>
    <w:p w14:paraId="731931A7">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9、乙方应严格执行《中华人民共和国安全生产法》、中华人民共国国务院第302号文《国务院关于特大安全事故责任追究的规定》</w:t>
      </w:r>
      <w:r>
        <w:rPr>
          <w:rFonts w:hint="eastAsia" w:ascii="宋体" w:hAnsi="宋体" w:cs="宋体"/>
          <w:bCs/>
          <w:color w:val="auto"/>
          <w:sz w:val="24"/>
          <w:highlight w:val="none"/>
          <w:lang w:val="en-US" w:eastAsia="zh-CN"/>
        </w:rPr>
        <w:t>。</w:t>
      </w:r>
      <w:r>
        <w:rPr>
          <w:rFonts w:hint="default" w:ascii="宋体" w:hAnsi="宋体" w:cs="宋体"/>
          <w:bCs/>
          <w:color w:val="auto"/>
          <w:sz w:val="24"/>
          <w:highlight w:val="none"/>
          <w:lang w:val="en-US" w:eastAsia="zh-CN"/>
        </w:rPr>
        <w:t>检测过程中发生的一切安全责任事故、风险及费用由乙方自行承担，概与甲方无关。</w:t>
      </w:r>
    </w:p>
    <w:p w14:paraId="7E19CFAD">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10、未按检测方案实施检测，甲方有权解除本合同，乙方应当对合同各方造成的损失承担相应的赔偿责任;导致严重后果，由乙方负责处理,并承担一切法律和经济责任。</w:t>
      </w:r>
    </w:p>
    <w:p w14:paraId="18ABBB7A">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11、乙方出具试验结果有误或者不符合本合同约定的，每出现一次，乙方应向甲方支付合同总金额1%的违约金，如出现3次，甲方有权解除本合同。如果前述违约金不足以弥补由此给甲方造成的损失,乙方还应当赔偿经济损失。</w:t>
      </w:r>
    </w:p>
    <w:p w14:paraId="2703DA85">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四、服务期限</w:t>
      </w:r>
    </w:p>
    <w:p w14:paraId="1FBD91EC">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本合同的工程质量检测业务工作时间为</w:t>
      </w:r>
      <w:r>
        <w:rPr>
          <w:rFonts w:hint="eastAsia" w:ascii="宋体" w:hAnsi="宋体" w:eastAsia="宋体" w:cs="宋体"/>
          <w:color w:val="auto"/>
          <w:kern w:val="2"/>
          <w:sz w:val="24"/>
          <w:szCs w:val="24"/>
          <w:highlight w:val="none"/>
          <w:lang w:val="en-US" w:eastAsia="zh-CN" w:bidi="ar-SA"/>
        </w:rPr>
        <w:t>合同签订之日起至工程竣工验收合格</w:t>
      </w:r>
      <w:r>
        <w:rPr>
          <w:rFonts w:hint="default" w:ascii="宋体" w:hAnsi="宋体" w:cs="宋体"/>
          <w:bCs/>
          <w:color w:val="auto"/>
          <w:sz w:val="24"/>
          <w:highlight w:val="none"/>
          <w:lang w:val="en-US" w:eastAsia="zh-CN"/>
        </w:rPr>
        <w:t>。服务期限完成后本合同失效。</w:t>
      </w:r>
    </w:p>
    <w:p w14:paraId="12911639">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五、质量标准</w:t>
      </w:r>
    </w:p>
    <w:p w14:paraId="1CB72B96">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工程质量检测项目应符合现行国家或行业有关规定、标准、规范的要求。</w:t>
      </w:r>
    </w:p>
    <w:p w14:paraId="798E9AF6">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六、付款方式</w:t>
      </w:r>
    </w:p>
    <w:p w14:paraId="612D3DE5">
      <w:pPr>
        <w:snapToGrid w:val="0"/>
        <w:spacing w:line="360" w:lineRule="auto"/>
        <w:ind w:firstLine="480" w:firstLineChars="200"/>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检测费进度款按季度支付，支付方式根据施工单位工程形象进度产值划分工程检测费比例支付，于次季度的第一个月 28 日之前完成付款。</w:t>
      </w:r>
    </w:p>
    <w:p w14:paraId="2C47FBF4">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eastAsia="宋体" w:cs="宋体"/>
          <w:bCs/>
          <w:color w:val="auto"/>
          <w:sz w:val="24"/>
          <w:highlight w:val="none"/>
          <w:lang w:val="en-US" w:eastAsia="zh-CN"/>
        </w:rPr>
        <w:t>每次支付前，成交供应商出具国家税务征收机关开具的增值税专用发票，由采购人采用银行转帐或电汇至成交供应商银行帐户。否则采购人有权拒绝支付并不承担任何违约责任。</w:t>
      </w:r>
    </w:p>
    <w:p w14:paraId="4E8CBE00">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七、合同文件的构成</w:t>
      </w:r>
    </w:p>
    <w:p w14:paraId="501244F6">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本协议书与下列文件一起构成合同文件:</w:t>
      </w:r>
    </w:p>
    <w:p w14:paraId="211A9355">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1.成交通知书;</w:t>
      </w:r>
    </w:p>
    <w:p w14:paraId="5C803952">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2.磋商文件;</w:t>
      </w:r>
    </w:p>
    <w:p w14:paraId="4394F735">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3.响应文件。</w:t>
      </w:r>
    </w:p>
    <w:p w14:paraId="3873E01A">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上述各项合同文件包括合同当事人就该项合同文件所做出的补充和修改，属于同一类内容的文件，应以最新签署的为准。在合同订立及履行过程中形成的与合同有关的文件(包括补充协议)均构成合同文件的组成部分。</w:t>
      </w:r>
    </w:p>
    <w:p w14:paraId="4C5335EF">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八、合同订立</w:t>
      </w:r>
    </w:p>
    <w:p w14:paraId="562FF5FC">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1.订立时间:2025_年</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lang w:val="en-US" w:eastAsia="zh-CN"/>
        </w:rPr>
        <w:t>月</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lang w:val="en-US" w:eastAsia="zh-CN"/>
        </w:rPr>
        <w:t>日</w:t>
      </w:r>
    </w:p>
    <w:p w14:paraId="72615068">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2.订立地点:重庆市沙坪坝区</w:t>
      </w:r>
    </w:p>
    <w:p w14:paraId="5172ACA0">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九、合同生效:本合同自双方签字盖章后生效。</w:t>
      </w:r>
    </w:p>
    <w:p w14:paraId="2239C10B">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十、合同份数</w:t>
      </w:r>
    </w:p>
    <w:p w14:paraId="2953D961">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本合同一式</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lang w:val="en-US" w:eastAsia="zh-CN"/>
        </w:rPr>
        <w:t>份,具有同等法律效力，其中委托人执</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lang w:val="en-US" w:eastAsia="zh-CN"/>
        </w:rPr>
        <w:t>份,</w:t>
      </w:r>
    </w:p>
    <w:p w14:paraId="33A8075E">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检测单位人执</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lang w:val="en-US" w:eastAsia="zh-CN"/>
        </w:rPr>
        <w:t>份。</w:t>
      </w:r>
    </w:p>
    <w:p w14:paraId="5262285F">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十一、解决纠纷的方式</w:t>
      </w:r>
    </w:p>
    <w:p w14:paraId="0969189B">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本合同在履行过程中发生的争议，由双方当事人协商解决;协商不成的,则依法向合同签订的当地人民法院起诉。</w:t>
      </w:r>
    </w:p>
    <w:p w14:paraId="696E0592">
      <w:pPr>
        <w:snapToGrid w:val="0"/>
        <w:spacing w:line="360" w:lineRule="auto"/>
        <w:ind w:firstLine="480" w:firstLineChars="200"/>
        <w:outlineLvl w:val="0"/>
        <w:rPr>
          <w:rFonts w:hint="eastAsia" w:ascii="宋体" w:hAnsi="宋体" w:cs="宋体"/>
          <w:bCs/>
          <w:color w:val="auto"/>
          <w:sz w:val="24"/>
          <w:highlight w:val="none"/>
          <w:lang w:val="en-US" w:eastAsia="zh-CN"/>
        </w:rPr>
      </w:pPr>
    </w:p>
    <w:p w14:paraId="02AE2962">
      <w:pPr>
        <w:snapToGrid w:val="0"/>
        <w:spacing w:line="360" w:lineRule="auto"/>
        <w:ind w:firstLine="480" w:firstLineChars="200"/>
        <w:outlineLvl w:val="0"/>
        <w:rPr>
          <w:rFonts w:hint="eastAsia" w:ascii="宋体" w:hAnsi="宋体" w:cs="宋体"/>
          <w:bCs/>
          <w:color w:val="auto"/>
          <w:sz w:val="24"/>
          <w:highlight w:val="none"/>
          <w:lang w:val="en-US" w:eastAsia="zh-CN"/>
        </w:rPr>
      </w:pPr>
    </w:p>
    <w:p w14:paraId="670B284B">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委托人（公章）：                        检测人（公章）：</w:t>
      </w:r>
    </w:p>
    <w:p w14:paraId="2CCC7A23">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法定代表人（签章）：                    法定代表人（签章）：</w:t>
      </w:r>
    </w:p>
    <w:p w14:paraId="62ADD105">
      <w:pPr>
        <w:snapToGrid w:val="0"/>
        <w:spacing w:line="360" w:lineRule="auto"/>
        <w:ind w:firstLine="480" w:firstLineChars="200"/>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或授权委托人（签字）：                  或授权委托人（签字）：</w:t>
      </w:r>
    </w:p>
    <w:p w14:paraId="4AA5266C">
      <w:pPr>
        <w:snapToGrid w:val="0"/>
        <w:spacing w:line="360" w:lineRule="auto"/>
        <w:ind w:firstLine="480" w:firstLineChars="200"/>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2025年   月    日                       2025年   月   日</w:t>
      </w:r>
    </w:p>
    <w:p w14:paraId="1FE470B0">
      <w:pPr>
        <w:snapToGrid w:val="0"/>
        <w:spacing w:line="360" w:lineRule="auto"/>
        <w:outlineLvl w:val="0"/>
        <w:rPr>
          <w:rFonts w:hint="default" w:ascii="宋体" w:hAnsi="宋体" w:cs="宋体"/>
          <w:bCs/>
          <w:color w:val="auto"/>
          <w:sz w:val="24"/>
          <w:highlight w:val="none"/>
          <w:lang w:val="en-US" w:eastAsia="zh-CN"/>
        </w:rPr>
      </w:pPr>
    </w:p>
    <w:p w14:paraId="700B800A">
      <w:pPr>
        <w:snapToGrid w:val="0"/>
        <w:spacing w:line="360" w:lineRule="auto"/>
        <w:ind w:firstLine="480" w:firstLineChars="200"/>
        <w:outlineLvl w:val="0"/>
        <w:rPr>
          <w:rFonts w:hint="eastAsia" w:ascii="宋体" w:hAnsi="宋体" w:cs="宋体"/>
          <w:bCs/>
          <w:color w:val="auto"/>
          <w:sz w:val="24"/>
          <w:highlight w:val="none"/>
          <w:lang w:val="en-US" w:eastAsia="zh-CN"/>
        </w:rPr>
      </w:pPr>
    </w:p>
    <w:p w14:paraId="730DE22E">
      <w:pPr>
        <w:snapToGrid w:val="0"/>
        <w:spacing w:line="360" w:lineRule="auto"/>
        <w:ind w:firstLine="480" w:firstLineChars="200"/>
        <w:outlineLvl w:val="0"/>
        <w:rPr>
          <w:rFonts w:hint="default" w:ascii="宋体" w:hAnsi="宋体" w:cs="宋体"/>
          <w:bCs/>
          <w:color w:val="auto"/>
          <w:sz w:val="24"/>
          <w:highlight w:val="none"/>
          <w:lang w:val="en-US" w:eastAsia="zh-CN"/>
        </w:rPr>
      </w:pPr>
    </w:p>
    <w:p w14:paraId="434FF251">
      <w:pPr>
        <w:snapToGrid w:val="0"/>
        <w:spacing w:line="360" w:lineRule="auto"/>
        <w:ind w:firstLine="480" w:firstLineChars="200"/>
        <w:outlineLvl w:val="0"/>
        <w:rPr>
          <w:rFonts w:hint="default" w:ascii="宋体" w:hAnsi="宋体" w:cs="宋体"/>
          <w:bCs/>
          <w:color w:val="auto"/>
          <w:sz w:val="24"/>
          <w:highlight w:val="none"/>
          <w:lang w:val="en-US" w:eastAsia="zh-CN"/>
        </w:rPr>
      </w:pPr>
    </w:p>
    <w:p w14:paraId="601920C9">
      <w:pPr>
        <w:snapToGrid w:val="0"/>
        <w:spacing w:line="360" w:lineRule="auto"/>
        <w:ind w:firstLine="480" w:firstLineChars="200"/>
        <w:outlineLvl w:val="0"/>
        <w:rPr>
          <w:rFonts w:hint="default" w:ascii="宋体" w:hAnsi="宋体" w:cs="宋体"/>
          <w:bCs/>
          <w:color w:val="auto"/>
          <w:sz w:val="24"/>
          <w:highlight w:val="none"/>
          <w:lang w:val="en-US" w:eastAsia="zh-CN"/>
        </w:rPr>
      </w:pPr>
    </w:p>
    <w:p w14:paraId="046A7CEC">
      <w:pPr>
        <w:snapToGrid w:val="0"/>
        <w:spacing w:line="360" w:lineRule="auto"/>
        <w:ind w:firstLine="480" w:firstLineChars="200"/>
        <w:outlineLvl w:val="0"/>
        <w:rPr>
          <w:rFonts w:hint="default" w:ascii="宋体" w:hAnsi="宋体" w:cs="宋体"/>
          <w:bCs/>
          <w:color w:val="auto"/>
          <w:sz w:val="24"/>
          <w:highlight w:val="none"/>
          <w:lang w:val="en-US" w:eastAsia="zh-CN"/>
        </w:rPr>
      </w:pPr>
    </w:p>
    <w:p w14:paraId="72C25FFF">
      <w:pPr>
        <w:snapToGrid w:val="0"/>
        <w:spacing w:line="360" w:lineRule="auto"/>
        <w:ind w:firstLine="480" w:firstLineChars="200"/>
        <w:outlineLvl w:val="0"/>
        <w:rPr>
          <w:rFonts w:hint="default" w:ascii="宋体" w:hAnsi="宋体" w:cs="宋体"/>
          <w:bCs/>
          <w:color w:val="auto"/>
          <w:sz w:val="24"/>
          <w:highlight w:val="none"/>
          <w:lang w:val="en-US" w:eastAsia="zh-CN"/>
        </w:rPr>
      </w:pPr>
    </w:p>
    <w:p w14:paraId="4A9D5E10">
      <w:pPr>
        <w:rPr>
          <w:rFonts w:hint="default"/>
          <w:highlight w:val="none"/>
          <w:lang w:val="en-US" w:eastAsia="zh-CN"/>
        </w:rPr>
      </w:pPr>
    </w:p>
    <w:bookmarkEnd w:id="129"/>
    <w:bookmarkEnd w:id="130"/>
    <w:bookmarkEnd w:id="131"/>
    <w:bookmarkEnd w:id="132"/>
    <w:bookmarkEnd w:id="133"/>
    <w:bookmarkEnd w:id="134"/>
    <w:bookmarkEnd w:id="135"/>
    <w:bookmarkEnd w:id="136"/>
    <w:bookmarkEnd w:id="137"/>
    <w:bookmarkEnd w:id="138"/>
    <w:bookmarkEnd w:id="139"/>
    <w:p w14:paraId="6A1A593F">
      <w:pPr>
        <w:pStyle w:val="3"/>
        <w:spacing w:line="360" w:lineRule="auto"/>
        <w:jc w:val="center"/>
        <w:outlineLvl w:val="0"/>
        <w:rPr>
          <w:rFonts w:hint="eastAsia" w:ascii="宋体" w:hAnsi="宋体" w:eastAsia="宋体" w:cs="宋体"/>
          <w:b w:val="0"/>
          <w:bCs/>
          <w:color w:val="auto"/>
          <w:sz w:val="36"/>
          <w:szCs w:val="36"/>
          <w:highlight w:val="none"/>
        </w:rPr>
        <w:sectPr>
          <w:footerReference r:id="rId5" w:type="default"/>
          <w:pgSz w:w="11907" w:h="16840"/>
          <w:pgMar w:top="1134" w:right="1191" w:bottom="1134" w:left="1304" w:header="851" w:footer="992" w:gutter="0"/>
          <w:pgNumType w:fmt="numberInDash"/>
          <w:cols w:space="720" w:num="1"/>
          <w:docGrid w:type="lines" w:linePitch="380" w:charSpace="0"/>
        </w:sectPr>
      </w:pPr>
      <w:bookmarkStart w:id="140" w:name="_Toc106030905"/>
      <w:bookmarkEnd w:id="140"/>
      <w:bookmarkStart w:id="141" w:name="_Hlt41879464"/>
      <w:bookmarkEnd w:id="141"/>
      <w:bookmarkStart w:id="142" w:name="_Toc76462349"/>
      <w:bookmarkStart w:id="143" w:name="_Toc12695"/>
    </w:p>
    <w:p w14:paraId="7AAE83B5">
      <w:pPr>
        <w:pStyle w:val="3"/>
        <w:spacing w:line="360" w:lineRule="auto"/>
        <w:jc w:val="center"/>
        <w:outlineLvl w:val="0"/>
        <w:rPr>
          <w:rFonts w:hint="eastAsia"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rPr>
        <w:t>第七篇  响应文件编制要求</w:t>
      </w:r>
      <w:bookmarkEnd w:id="142"/>
      <w:bookmarkEnd w:id="143"/>
    </w:p>
    <w:p w14:paraId="3DF39FC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70A75EA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27E88461">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最后报价表</w:t>
      </w:r>
    </w:p>
    <w:p w14:paraId="4078BA2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二、服务部分</w:t>
      </w:r>
    </w:p>
    <w:p w14:paraId="36AAA2B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14:paraId="734BE957">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服务方案</w:t>
      </w:r>
    </w:p>
    <w:p w14:paraId="49679AC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）其他资料（格式自定）</w:t>
      </w:r>
    </w:p>
    <w:p w14:paraId="39FAC76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5D0F6B8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121715C2">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第四篇评审因素商务评分所需证明材料</w:t>
      </w:r>
    </w:p>
    <w:p w14:paraId="5FB9E35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）其它</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sz w:val="24"/>
          <w:szCs w:val="24"/>
          <w:highlight w:val="none"/>
        </w:rPr>
        <w:t>（格式自定）</w:t>
      </w:r>
    </w:p>
    <w:p w14:paraId="2F9B76A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0736B2B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65BA26B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5706E2B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15978FF7">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43C1BC1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（五）特定资格条件证明材料</w:t>
      </w:r>
    </w:p>
    <w:p w14:paraId="1102526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五、其他资料</w:t>
      </w:r>
    </w:p>
    <w:p w14:paraId="1AA0249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）其他与项目有关的资料</w:t>
      </w:r>
    </w:p>
    <w:p w14:paraId="2D0E8836">
      <w:pPr>
        <w:widowControl/>
        <w:jc w:val="left"/>
        <w:rPr>
          <w:rFonts w:hint="eastAsia" w:ascii="宋体" w:hAnsi="宋体" w:eastAsia="宋体" w:cs="宋体"/>
          <w:color w:val="auto"/>
          <w:sz w:val="24"/>
          <w:szCs w:val="24"/>
          <w:highlight w:val="none"/>
        </w:rPr>
        <w:sectPr>
          <w:pgSz w:w="11907" w:h="16840"/>
          <w:pgMar w:top="1134" w:right="1191" w:bottom="1134" w:left="1304" w:header="851" w:footer="992" w:gutter="0"/>
          <w:pgNumType w:fmt="numberInDash"/>
          <w:cols w:space="720" w:num="1"/>
          <w:docGrid w:type="lines" w:linePitch="380" w:charSpace="0"/>
        </w:sectPr>
      </w:pPr>
    </w:p>
    <w:p w14:paraId="1B6B7480">
      <w:pPr>
        <w:pStyle w:val="3"/>
        <w:adjustRightInd w:val="0"/>
        <w:snapToGrid w:val="0"/>
        <w:spacing w:line="400" w:lineRule="exact"/>
        <w:ind w:firstLine="482" w:firstLineChars="200"/>
        <w:rPr>
          <w:rFonts w:hint="eastAsia" w:ascii="宋体" w:hAnsi="宋体" w:eastAsia="宋体" w:cs="宋体"/>
          <w:color w:val="auto"/>
          <w:sz w:val="24"/>
          <w:szCs w:val="24"/>
          <w:highlight w:val="none"/>
        </w:rPr>
      </w:pPr>
      <w:bookmarkStart w:id="144" w:name="_Toc12789073"/>
      <w:bookmarkEnd w:id="144"/>
      <w:bookmarkStart w:id="145" w:name="_Toc76462350"/>
      <w:bookmarkEnd w:id="145"/>
      <w:bookmarkStart w:id="146" w:name="_Toc313008356"/>
      <w:bookmarkEnd w:id="146"/>
      <w:bookmarkStart w:id="147" w:name="_Toc342913419"/>
      <w:bookmarkEnd w:id="147"/>
      <w:bookmarkStart w:id="148" w:name="_Toc313888360"/>
      <w:bookmarkEnd w:id="148"/>
      <w:bookmarkStart w:id="149" w:name="_Toc106030906"/>
      <w:bookmarkEnd w:id="149"/>
      <w:bookmarkStart w:id="150" w:name="_Toc283382454"/>
      <w:r>
        <w:rPr>
          <w:rFonts w:hint="eastAsia" w:ascii="宋体" w:hAnsi="宋体" w:eastAsia="宋体" w:cs="宋体"/>
          <w:color w:val="auto"/>
          <w:sz w:val="24"/>
          <w:szCs w:val="24"/>
          <w:highlight w:val="none"/>
        </w:rPr>
        <w:t>一、经济部分</w:t>
      </w:r>
      <w:bookmarkEnd w:id="150"/>
    </w:p>
    <w:p w14:paraId="7A0F3206">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55FDC0E8">
      <w:pPr>
        <w:jc w:val="center"/>
        <w:rPr>
          <w:rFonts w:hint="eastAsia" w:ascii="宋体" w:hAnsi="宋体" w:eastAsia="宋体" w:cs="宋体"/>
          <w:b/>
          <w:color w:val="auto"/>
          <w:highlight w:val="none"/>
        </w:rPr>
      </w:pPr>
      <w:r>
        <w:rPr>
          <w:rFonts w:hint="eastAsia" w:ascii="宋体" w:hAnsi="宋体" w:eastAsia="宋体" w:cs="宋体"/>
          <w:b/>
          <w:color w:val="auto"/>
          <w:highlight w:val="none"/>
        </w:rPr>
        <w:t>竞争性磋商报价函</w:t>
      </w:r>
    </w:p>
    <w:p w14:paraId="2394B488">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0A148DD0">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我方收到____________________________（磋商项目名称）的竞争性磋商文件，经详细研究，决定参加该项目的磋商。</w:t>
      </w:r>
    </w:p>
    <w:p w14:paraId="3FA6E485">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1.愿意按照竞争性磋商文件中的一切要求，提供本项目的服务，初始报价为人民币大写：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元；人民币小写：</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元。以我公司最后报价为准。</w:t>
      </w:r>
    </w:p>
    <w:p w14:paraId="18DAB2E8">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7F1C2AA2">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3.我方承诺：本次磋商的有效期为提交响应文件截止时间起90天。</w:t>
      </w:r>
    </w:p>
    <w:p w14:paraId="0F13EEEB">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4.我方完全理解和接受贵方竞争性磋商文件的一切规定和要求及评审办法。</w:t>
      </w:r>
    </w:p>
    <w:p w14:paraId="3C25931E">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5.在整个竞争性磋商过程中，我方若有违规行为，接受按照《中华人民共和国政府采购法》和《竞争性磋商文件》之规定给予惩罚。</w:t>
      </w:r>
    </w:p>
    <w:p w14:paraId="0B25473E">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3D0D3AD9">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7.如果我方成为成交供应商，保证在接到成交通知书后，向采购代理机构缴纳竞争性磋商文件规定的采购代理服务费。</w:t>
      </w:r>
    </w:p>
    <w:p w14:paraId="015A75FA">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8.我方未为采购项目提供整体设计、规范编制或者项目管理、监理、检测等服务。</w:t>
      </w:r>
    </w:p>
    <w:p w14:paraId="2BF148DC">
      <w:pPr>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14:paraId="078C2C9D">
      <w:pPr>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223E7B41">
      <w:pPr>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0B718D98">
      <w:pPr>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7CECC617">
      <w:pPr>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3FA530AA">
      <w:pPr>
        <w:snapToGrid w:val="0"/>
        <w:spacing w:line="312"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年   月   日</w:t>
      </w:r>
    </w:p>
    <w:p w14:paraId="563ECD3F">
      <w:pPr>
        <w:widowControl/>
        <w:spacing w:line="312" w:lineRule="auto"/>
        <w:jc w:val="left"/>
        <w:rPr>
          <w:rFonts w:hint="eastAsia" w:ascii="宋体" w:hAnsi="宋体" w:eastAsia="宋体" w:cs="宋体"/>
          <w:color w:val="auto"/>
          <w:sz w:val="24"/>
          <w:szCs w:val="24"/>
          <w:highlight w:val="none"/>
        </w:rPr>
      </w:pPr>
    </w:p>
    <w:p w14:paraId="7FF19836">
      <w:pPr>
        <w:widowControl/>
        <w:spacing w:line="312" w:lineRule="auto"/>
        <w:jc w:val="left"/>
        <w:rPr>
          <w:rFonts w:hint="eastAsia" w:ascii="宋体" w:hAnsi="宋体" w:eastAsia="宋体" w:cs="宋体"/>
          <w:color w:val="auto"/>
          <w:sz w:val="24"/>
          <w:szCs w:val="24"/>
          <w:highlight w:val="none"/>
        </w:rPr>
        <w:sectPr>
          <w:pgSz w:w="11907" w:h="16840"/>
          <w:pgMar w:top="1134" w:right="1191" w:bottom="1134" w:left="1304" w:header="851" w:footer="992" w:gutter="0"/>
          <w:pgNumType w:fmt="numberInDash"/>
          <w:cols w:space="720" w:num="1"/>
          <w:docGrid w:type="lines" w:linePitch="380" w:charSpace="0"/>
        </w:sectPr>
      </w:pPr>
    </w:p>
    <w:p w14:paraId="34E3AA6A">
      <w:pPr>
        <w:pStyle w:val="4"/>
        <w:jc w:val="both"/>
        <w:rPr>
          <w:rFonts w:hint="eastAsia" w:ascii="宋体" w:hAnsi="宋体" w:eastAsia="宋体" w:cs="宋体"/>
          <w:b w:val="0"/>
          <w:bCs/>
          <w:color w:val="auto"/>
          <w:sz w:val="24"/>
          <w:szCs w:val="24"/>
          <w:highlight w:val="none"/>
          <w:shd w:val="clear" w:color="auto" w:fill="auto"/>
        </w:rPr>
      </w:pPr>
      <w:bookmarkStart w:id="151" w:name="_Toc25317"/>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eastAsia="宋体" w:cs="宋体"/>
          <w:b w:val="0"/>
          <w:bCs/>
          <w:color w:val="auto"/>
          <w:sz w:val="24"/>
          <w:szCs w:val="24"/>
          <w:highlight w:val="none"/>
          <w:shd w:val="clear" w:color="auto" w:fill="auto"/>
          <w:lang w:val="en-US" w:eastAsia="zh-CN"/>
        </w:rPr>
        <w:t>二</w:t>
      </w:r>
      <w:r>
        <w:rPr>
          <w:rFonts w:hint="eastAsia" w:ascii="宋体" w:hAnsi="宋体" w:eastAsia="宋体" w:cs="宋体"/>
          <w:b w:val="0"/>
          <w:bCs/>
          <w:color w:val="auto"/>
          <w:sz w:val="24"/>
          <w:szCs w:val="24"/>
          <w:highlight w:val="none"/>
          <w:shd w:val="clear" w:color="auto" w:fill="auto"/>
          <w:lang w:eastAsia="zh-CN"/>
        </w:rPr>
        <w:t>）</w:t>
      </w:r>
      <w:bookmarkEnd w:id="151"/>
      <w:r>
        <w:rPr>
          <w:rFonts w:hint="eastAsia" w:ascii="宋体" w:hAnsi="宋体" w:cs="宋体"/>
          <w:b w:val="0"/>
          <w:bCs/>
          <w:color w:val="auto"/>
          <w:sz w:val="24"/>
          <w:szCs w:val="24"/>
          <w:highlight w:val="none"/>
          <w:shd w:val="clear" w:color="auto" w:fill="auto"/>
          <w:lang w:val="en-US" w:eastAsia="zh-CN"/>
        </w:rPr>
        <w:t>最后报价表</w:t>
      </w:r>
    </w:p>
    <w:p w14:paraId="1C088C89">
      <w:pPr>
        <w:pStyle w:val="33"/>
        <w:rPr>
          <w:rFonts w:hint="eastAsia" w:ascii="宋体" w:hAnsi="宋体" w:eastAsia="宋体" w:cs="宋体"/>
          <w:color w:val="auto"/>
          <w:highlight w:val="none"/>
          <w:shd w:val="clear" w:color="auto" w:fill="auto"/>
        </w:rPr>
      </w:pPr>
    </w:p>
    <w:p w14:paraId="5F8F06D5">
      <w:pPr>
        <w:snapToGrid w:val="0"/>
        <w:spacing w:line="500" w:lineRule="exact"/>
        <w:jc w:val="center"/>
        <w:rPr>
          <w:rFonts w:hint="eastAsia" w:ascii="宋体" w:hAnsi="宋体" w:eastAsia="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val="en-US" w:eastAsia="zh-CN"/>
        </w:rPr>
        <w:t>最后报价表</w:t>
      </w:r>
    </w:p>
    <w:p w14:paraId="493FB1F4">
      <w:pPr>
        <w:pStyle w:val="34"/>
        <w:rPr>
          <w:rFonts w:hint="eastAsia" w:ascii="宋体" w:hAnsi="宋体" w:eastAsia="宋体" w:cs="宋体"/>
          <w:color w:val="auto"/>
          <w:highlight w:val="none"/>
          <w:shd w:val="clear" w:color="auto" w:fill="auto"/>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7638"/>
      </w:tblGrid>
      <w:tr w14:paraId="63BE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2" w:hRule="atLeast"/>
        </w:trPr>
        <w:tc>
          <w:tcPr>
            <w:tcW w:w="1741" w:type="dxa"/>
            <w:noWrap w:val="0"/>
            <w:vAlign w:val="center"/>
          </w:tcPr>
          <w:p w14:paraId="5F702829">
            <w:pPr>
              <w:spacing w:line="50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供应商</w:t>
            </w:r>
            <w:r>
              <w:rPr>
                <w:rFonts w:hint="eastAsia" w:ascii="宋体" w:hAnsi="宋体" w:eastAsia="宋体" w:cs="宋体"/>
                <w:color w:val="auto"/>
                <w:sz w:val="24"/>
                <w:szCs w:val="24"/>
                <w:highlight w:val="none"/>
                <w:shd w:val="clear" w:color="auto" w:fill="auto"/>
              </w:rPr>
              <w:t>全称</w:t>
            </w:r>
          </w:p>
        </w:tc>
        <w:tc>
          <w:tcPr>
            <w:tcW w:w="7638" w:type="dxa"/>
            <w:noWrap w:val="0"/>
            <w:vAlign w:val="center"/>
          </w:tcPr>
          <w:p w14:paraId="326497EE">
            <w:pPr>
              <w:spacing w:line="500" w:lineRule="exact"/>
              <w:jc w:val="center"/>
              <w:rPr>
                <w:rFonts w:hint="eastAsia" w:ascii="宋体" w:hAnsi="宋体" w:eastAsia="宋体" w:cs="宋体"/>
                <w:color w:val="auto"/>
                <w:sz w:val="24"/>
                <w:szCs w:val="24"/>
                <w:highlight w:val="none"/>
                <w:shd w:val="clear" w:color="auto" w:fill="auto"/>
              </w:rPr>
            </w:pPr>
          </w:p>
        </w:tc>
      </w:tr>
      <w:tr w14:paraId="51B2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9379" w:type="dxa"/>
            <w:gridSpan w:val="2"/>
            <w:noWrap w:val="0"/>
            <w:vAlign w:val="center"/>
          </w:tcPr>
          <w:p w14:paraId="2A3C26CB">
            <w:pPr>
              <w:spacing w:line="50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项目名称：</w:t>
            </w:r>
          </w:p>
        </w:tc>
      </w:tr>
      <w:tr w14:paraId="6593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9379" w:type="dxa"/>
            <w:gridSpan w:val="2"/>
            <w:tcBorders>
              <w:bottom w:val="single" w:color="auto" w:sz="4" w:space="0"/>
            </w:tcBorders>
            <w:noWrap w:val="0"/>
            <w:vAlign w:val="center"/>
          </w:tcPr>
          <w:p w14:paraId="7D6366CA">
            <w:pPr>
              <w:spacing w:line="56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最后报价</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val="en-US" w:eastAsia="zh-CN"/>
              </w:rPr>
              <w:t>元</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val="en-US" w:eastAsia="zh-CN"/>
              </w:rPr>
              <w:t xml:space="preserve">大写：             </w:t>
            </w:r>
            <w:r>
              <w:rPr>
                <w:rFonts w:hint="eastAsia" w:ascii="宋体" w:hAnsi="宋体" w:cs="宋体"/>
                <w:color w:val="auto"/>
                <w:sz w:val="24"/>
                <w:szCs w:val="24"/>
                <w:highlight w:val="none"/>
                <w:shd w:val="clear" w:color="auto" w:fill="auto"/>
                <w:lang w:val="en-US" w:eastAsia="zh-CN"/>
              </w:rPr>
              <w:t>元</w:t>
            </w:r>
            <w:r>
              <w:rPr>
                <w:rFonts w:hint="eastAsia" w:ascii="宋体" w:hAnsi="宋体" w:eastAsia="宋体" w:cs="宋体"/>
                <w:color w:val="auto"/>
                <w:sz w:val="24"/>
                <w:szCs w:val="24"/>
                <w:highlight w:val="none"/>
                <w:shd w:val="clear" w:color="auto" w:fill="auto"/>
              </w:rPr>
              <w:t xml:space="preserve">         </w:t>
            </w:r>
          </w:p>
        </w:tc>
      </w:tr>
      <w:tr w14:paraId="121E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rPr>
        <w:tc>
          <w:tcPr>
            <w:tcW w:w="9379" w:type="dxa"/>
            <w:gridSpan w:val="2"/>
            <w:noWrap w:val="0"/>
            <w:vAlign w:val="center"/>
          </w:tcPr>
          <w:p w14:paraId="7BC63DB3">
            <w:pPr>
              <w:pStyle w:val="8"/>
              <w:spacing w:line="500" w:lineRule="exac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备注：</w:t>
            </w:r>
          </w:p>
        </w:tc>
      </w:tr>
    </w:tbl>
    <w:p w14:paraId="79E3D32D">
      <w:pPr>
        <w:pStyle w:val="35"/>
        <w:rPr>
          <w:rFonts w:hint="eastAsia" w:ascii="宋体" w:hAnsi="宋体" w:eastAsia="宋体" w:cs="宋体"/>
          <w:color w:val="auto"/>
          <w:sz w:val="24"/>
          <w:szCs w:val="24"/>
          <w:highlight w:val="none"/>
          <w:shd w:val="clear" w:color="auto" w:fill="auto"/>
        </w:rPr>
      </w:pPr>
    </w:p>
    <w:p w14:paraId="4B2C8E60">
      <w:pPr>
        <w:pStyle w:val="35"/>
        <w:rPr>
          <w:rFonts w:hint="eastAsia" w:ascii="宋体" w:hAnsi="宋体" w:eastAsia="宋体" w:cs="宋体"/>
          <w:color w:val="auto"/>
          <w:sz w:val="24"/>
          <w:szCs w:val="24"/>
          <w:highlight w:val="none"/>
          <w:shd w:val="clear" w:color="auto" w:fill="auto"/>
        </w:rPr>
      </w:pPr>
    </w:p>
    <w:p w14:paraId="44E4B443">
      <w:pPr>
        <w:snapToGrid w:val="0"/>
        <w:spacing w:line="500" w:lineRule="exact"/>
        <w:ind w:firstLine="570"/>
        <w:jc w:val="center"/>
        <w:rPr>
          <w:rFonts w:hint="eastAsia" w:ascii="宋体" w:hAnsi="宋体" w:eastAsia="宋体" w:cs="宋体"/>
          <w:b/>
          <w:bCs/>
          <w:color w:val="auto"/>
          <w:sz w:val="24"/>
          <w:highlight w:val="none"/>
          <w:shd w:val="clear" w:color="auto" w:fill="auto"/>
        </w:rPr>
      </w:pPr>
    </w:p>
    <w:p w14:paraId="74952128">
      <w:pPr>
        <w:spacing w:line="500" w:lineRule="exact"/>
        <w:ind w:firstLine="241" w:firstLineChars="1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lang w:val="en-US" w:eastAsia="zh-CN"/>
        </w:rPr>
        <w:t>供应商</w:t>
      </w:r>
      <w:r>
        <w:rPr>
          <w:rFonts w:hint="eastAsia" w:ascii="宋体" w:hAnsi="宋体" w:eastAsia="宋体" w:cs="宋体"/>
          <w:b/>
          <w:bCs/>
          <w:color w:val="auto"/>
          <w:sz w:val="24"/>
          <w:highlight w:val="none"/>
          <w:shd w:val="clear" w:color="auto" w:fill="auto"/>
        </w:rPr>
        <w:t>：                            法人授权代表</w:t>
      </w:r>
      <w:r>
        <w:rPr>
          <w:rFonts w:hint="eastAsia" w:ascii="宋体" w:hAnsi="宋体" w:eastAsia="宋体" w:cs="宋体"/>
          <w:b/>
          <w:bCs/>
          <w:color w:val="auto"/>
          <w:sz w:val="24"/>
          <w:highlight w:val="none"/>
          <w:shd w:val="clear" w:color="auto" w:fill="auto"/>
          <w:lang w:eastAsia="zh-CN"/>
        </w:rPr>
        <w:t>（</w:t>
      </w:r>
      <w:r>
        <w:rPr>
          <w:rFonts w:hint="eastAsia" w:ascii="宋体" w:hAnsi="宋体" w:eastAsia="宋体" w:cs="宋体"/>
          <w:b/>
          <w:bCs/>
          <w:color w:val="auto"/>
          <w:sz w:val="24"/>
          <w:highlight w:val="none"/>
          <w:shd w:val="clear" w:color="auto" w:fill="auto"/>
          <w:lang w:val="en-US" w:eastAsia="zh-CN"/>
        </w:rPr>
        <w:t>或法人</w:t>
      </w:r>
      <w:r>
        <w:rPr>
          <w:rFonts w:hint="eastAsia" w:ascii="宋体" w:hAnsi="宋体" w:eastAsia="宋体" w:cs="宋体"/>
          <w:b/>
          <w:bCs/>
          <w:color w:val="auto"/>
          <w:sz w:val="24"/>
          <w:highlight w:val="none"/>
          <w:shd w:val="clear" w:color="auto" w:fill="auto"/>
          <w:lang w:eastAsia="zh-CN"/>
        </w:rPr>
        <w:t>）</w:t>
      </w:r>
      <w:r>
        <w:rPr>
          <w:rFonts w:hint="eastAsia" w:ascii="宋体" w:hAnsi="宋体" w:eastAsia="宋体" w:cs="宋体"/>
          <w:b/>
          <w:bCs/>
          <w:color w:val="auto"/>
          <w:sz w:val="24"/>
          <w:highlight w:val="none"/>
          <w:shd w:val="clear" w:color="auto" w:fill="auto"/>
          <w:lang w:val="en-US" w:eastAsia="zh-CN"/>
        </w:rPr>
        <w:t>签字</w:t>
      </w:r>
      <w:r>
        <w:rPr>
          <w:rFonts w:hint="eastAsia" w:ascii="宋体" w:hAnsi="宋体" w:eastAsia="宋体" w:cs="宋体"/>
          <w:b/>
          <w:bCs/>
          <w:color w:val="auto"/>
          <w:sz w:val="24"/>
          <w:highlight w:val="none"/>
          <w:shd w:val="clear" w:color="auto" w:fill="auto"/>
        </w:rPr>
        <w:t>：</w:t>
      </w:r>
    </w:p>
    <w:p w14:paraId="475B1CCE">
      <w:pPr>
        <w:spacing w:line="500" w:lineRule="exact"/>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rPr>
        <w:t xml:space="preserve">                               </w:t>
      </w:r>
    </w:p>
    <w:p w14:paraId="4B7B4F27">
      <w:pPr>
        <w:spacing w:line="50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rPr>
        <w:t>年     月     日</w:t>
      </w:r>
    </w:p>
    <w:p w14:paraId="7E5BF335">
      <w:pPr>
        <w:spacing w:line="360" w:lineRule="auto"/>
        <w:ind w:right="480"/>
        <w:rPr>
          <w:rFonts w:hint="eastAsia" w:ascii="宋体" w:hAnsi="宋体" w:eastAsia="宋体" w:cs="宋体"/>
          <w:color w:val="auto"/>
          <w:sz w:val="24"/>
          <w:szCs w:val="24"/>
          <w:highlight w:val="none"/>
          <w:shd w:val="clear" w:color="auto" w:fill="auto"/>
          <w:lang w:val="en-US" w:eastAsia="zh-CN"/>
        </w:rPr>
      </w:pPr>
    </w:p>
    <w:p w14:paraId="6B70C7D2">
      <w:pPr>
        <w:spacing w:line="360" w:lineRule="auto"/>
        <w:ind w:right="480"/>
        <w:rPr>
          <w:rFonts w:hint="eastAsia" w:ascii="宋体" w:hAnsi="宋体" w:eastAsia="宋体" w:cs="宋体"/>
          <w:color w:val="auto"/>
          <w:sz w:val="24"/>
          <w:szCs w:val="24"/>
          <w:highlight w:val="none"/>
          <w:shd w:val="clear" w:color="auto" w:fill="auto"/>
          <w:lang w:val="en-US" w:eastAsia="zh-CN"/>
        </w:rPr>
      </w:pPr>
    </w:p>
    <w:p w14:paraId="7E30BC54">
      <w:pPr>
        <w:spacing w:line="360" w:lineRule="auto"/>
        <w:ind w:right="480"/>
        <w:rPr>
          <w:rFonts w:hint="eastAsia" w:ascii="宋体" w:hAnsi="宋体" w:eastAsia="宋体" w:cs="宋体"/>
          <w:color w:val="auto"/>
          <w:sz w:val="24"/>
          <w:szCs w:val="24"/>
          <w:highlight w:val="none"/>
          <w:shd w:val="clear" w:color="auto" w:fill="auto"/>
          <w:lang w:val="en-US" w:eastAsia="zh-CN"/>
        </w:rPr>
      </w:pPr>
    </w:p>
    <w:p w14:paraId="4E2260F1">
      <w:pPr>
        <w:widowControl/>
        <w:spacing w:line="312" w:lineRule="auto"/>
        <w:ind w:firstLine="482" w:firstLineChars="200"/>
        <w:jc w:val="left"/>
        <w:rPr>
          <w:rFonts w:hint="eastAsia" w:ascii="宋体" w:hAnsi="宋体" w:eastAsia="宋体" w:cs="宋体"/>
          <w:color w:val="auto"/>
          <w:sz w:val="24"/>
          <w:szCs w:val="24"/>
          <w:highlight w:val="none"/>
        </w:rPr>
        <w:sectPr>
          <w:pgSz w:w="11907" w:h="16840"/>
          <w:pgMar w:top="1134" w:right="1191" w:bottom="1134" w:left="1304" w:header="851" w:footer="992" w:gutter="0"/>
          <w:pgNumType w:fmt="numberInDash"/>
          <w:cols w:space="720" w:num="1"/>
          <w:docGrid w:type="lines" w:linePitch="380" w:charSpace="0"/>
        </w:sectPr>
      </w:pPr>
      <w:r>
        <w:rPr>
          <w:rFonts w:hint="eastAsia" w:ascii="宋体" w:hAnsi="宋体" w:eastAsia="宋体" w:cs="宋体"/>
          <w:b/>
          <w:bCs/>
          <w:color w:val="auto"/>
          <w:sz w:val="24"/>
          <w:szCs w:val="24"/>
          <w:highlight w:val="none"/>
          <w:shd w:val="clear" w:color="auto" w:fill="auto"/>
          <w:lang w:val="en-US" w:eastAsia="zh-CN"/>
        </w:rPr>
        <w:t>注：</w:t>
      </w:r>
      <w:r>
        <w:rPr>
          <w:rFonts w:hint="eastAsia" w:ascii="宋体" w:hAnsi="宋体" w:eastAsia="宋体" w:cs="宋体"/>
          <w:b/>
          <w:bCs/>
          <w:color w:val="auto"/>
          <w:sz w:val="24"/>
          <w:szCs w:val="24"/>
          <w:highlight w:val="none"/>
          <w:shd w:val="clear" w:color="auto" w:fill="auto"/>
        </w:rPr>
        <w:t>请各</w:t>
      </w:r>
      <w:r>
        <w:rPr>
          <w:rFonts w:hint="eastAsia" w:ascii="宋体" w:hAnsi="宋体" w:eastAsia="宋体" w:cs="宋体"/>
          <w:b/>
          <w:bCs/>
          <w:color w:val="auto"/>
          <w:sz w:val="24"/>
          <w:szCs w:val="24"/>
          <w:highlight w:val="none"/>
          <w:shd w:val="clear" w:color="auto" w:fill="auto"/>
          <w:lang w:val="en-US" w:eastAsia="zh-CN"/>
        </w:rPr>
        <w:t>供应商</w:t>
      </w:r>
      <w:r>
        <w:rPr>
          <w:rFonts w:hint="eastAsia" w:ascii="宋体" w:hAnsi="宋体" w:eastAsia="宋体" w:cs="宋体"/>
          <w:b/>
          <w:bCs/>
          <w:color w:val="auto"/>
          <w:sz w:val="24"/>
          <w:szCs w:val="24"/>
          <w:highlight w:val="none"/>
          <w:shd w:val="clear" w:color="auto" w:fill="auto"/>
        </w:rPr>
        <w:t>将</w:t>
      </w:r>
      <w:r>
        <w:rPr>
          <w:rFonts w:hint="eastAsia" w:ascii="宋体" w:hAnsi="宋体" w:cs="宋体"/>
          <w:b/>
          <w:bCs/>
          <w:color w:val="auto"/>
          <w:sz w:val="24"/>
          <w:szCs w:val="24"/>
          <w:highlight w:val="none"/>
          <w:shd w:val="clear" w:color="auto" w:fill="auto"/>
          <w:lang w:eastAsia="zh-CN"/>
        </w:rPr>
        <w:t>最后报价表</w:t>
      </w:r>
      <w:r>
        <w:rPr>
          <w:rFonts w:hint="eastAsia" w:ascii="宋体" w:hAnsi="宋体" w:eastAsia="宋体" w:cs="宋体"/>
          <w:b/>
          <w:bCs/>
          <w:color w:val="auto"/>
          <w:sz w:val="24"/>
          <w:szCs w:val="24"/>
          <w:highlight w:val="none"/>
          <w:shd w:val="clear" w:color="auto" w:fill="auto"/>
        </w:rPr>
        <w:t>单独打印（</w:t>
      </w:r>
      <w:r>
        <w:rPr>
          <w:rFonts w:hint="eastAsia" w:ascii="宋体" w:hAnsi="宋体" w:eastAsia="宋体" w:cs="宋体"/>
          <w:b/>
          <w:bCs/>
          <w:color w:val="auto"/>
          <w:sz w:val="24"/>
          <w:szCs w:val="24"/>
          <w:highlight w:val="none"/>
          <w:shd w:val="clear" w:color="auto" w:fill="auto"/>
          <w:lang w:val="en-US" w:eastAsia="zh-CN"/>
        </w:rPr>
        <w:t>响应</w:t>
      </w:r>
      <w:r>
        <w:rPr>
          <w:rFonts w:hint="eastAsia" w:ascii="宋体" w:hAnsi="宋体" w:eastAsia="宋体" w:cs="宋体"/>
          <w:b/>
          <w:bCs/>
          <w:color w:val="auto"/>
          <w:sz w:val="24"/>
          <w:szCs w:val="24"/>
          <w:highlight w:val="none"/>
          <w:shd w:val="clear" w:color="auto" w:fill="auto"/>
        </w:rPr>
        <w:t>文件中不提供本表），并随身携带到</w:t>
      </w:r>
      <w:r>
        <w:rPr>
          <w:rFonts w:hint="eastAsia" w:ascii="宋体" w:hAnsi="宋体" w:eastAsia="宋体" w:cs="宋体"/>
          <w:b/>
          <w:bCs/>
          <w:color w:val="auto"/>
          <w:sz w:val="24"/>
          <w:szCs w:val="24"/>
          <w:highlight w:val="none"/>
          <w:shd w:val="clear" w:color="auto" w:fill="auto"/>
          <w:lang w:val="en-US" w:eastAsia="zh-CN"/>
        </w:rPr>
        <w:t>磋商</w:t>
      </w:r>
      <w:r>
        <w:rPr>
          <w:rFonts w:hint="eastAsia" w:ascii="宋体" w:hAnsi="宋体" w:eastAsia="宋体" w:cs="宋体"/>
          <w:b/>
          <w:bCs/>
          <w:color w:val="auto"/>
          <w:sz w:val="24"/>
          <w:szCs w:val="24"/>
          <w:highlight w:val="none"/>
          <w:shd w:val="clear" w:color="auto" w:fill="auto"/>
        </w:rPr>
        <w:t>现场，在</w:t>
      </w:r>
      <w:r>
        <w:rPr>
          <w:rFonts w:hint="eastAsia" w:ascii="宋体" w:hAnsi="宋体" w:eastAsia="宋体" w:cs="宋体"/>
          <w:b/>
          <w:bCs/>
          <w:color w:val="auto"/>
          <w:sz w:val="24"/>
          <w:szCs w:val="24"/>
          <w:highlight w:val="none"/>
          <w:shd w:val="clear" w:color="auto" w:fill="auto"/>
          <w:lang w:val="en-US" w:eastAsia="zh-CN"/>
        </w:rPr>
        <w:t>磋商</w:t>
      </w:r>
      <w:r>
        <w:rPr>
          <w:rFonts w:hint="eastAsia" w:ascii="宋体" w:hAnsi="宋体" w:eastAsia="宋体" w:cs="宋体"/>
          <w:b/>
          <w:bCs/>
          <w:color w:val="auto"/>
          <w:sz w:val="24"/>
          <w:szCs w:val="24"/>
          <w:highlight w:val="none"/>
          <w:shd w:val="clear" w:color="auto" w:fill="auto"/>
        </w:rPr>
        <w:t>现场填写</w:t>
      </w:r>
      <w:r>
        <w:rPr>
          <w:rFonts w:hint="eastAsia" w:ascii="宋体" w:hAnsi="宋体" w:cs="宋体"/>
          <w:b/>
          <w:bCs/>
          <w:color w:val="auto"/>
          <w:sz w:val="24"/>
          <w:szCs w:val="24"/>
          <w:highlight w:val="none"/>
          <w:shd w:val="clear" w:color="auto" w:fill="auto"/>
          <w:lang w:eastAsia="zh-CN"/>
        </w:rPr>
        <w:t>最后报价表</w:t>
      </w:r>
      <w:r>
        <w:rPr>
          <w:rFonts w:hint="eastAsia" w:ascii="宋体" w:hAnsi="宋体" w:eastAsia="宋体" w:cs="宋体"/>
          <w:b/>
          <w:bCs/>
          <w:color w:val="auto"/>
          <w:sz w:val="24"/>
          <w:szCs w:val="24"/>
          <w:highlight w:val="none"/>
          <w:shd w:val="clear" w:color="auto" w:fill="auto"/>
        </w:rPr>
        <w:t>，务必填写清楚，准确无误，</w:t>
      </w:r>
      <w:r>
        <w:rPr>
          <w:rFonts w:hint="eastAsia" w:ascii="宋体" w:hAnsi="宋体" w:cs="宋体"/>
          <w:b/>
          <w:bCs/>
          <w:color w:val="auto"/>
          <w:sz w:val="24"/>
          <w:szCs w:val="24"/>
          <w:highlight w:val="none"/>
          <w:shd w:val="clear" w:color="auto" w:fill="auto"/>
          <w:lang w:eastAsia="zh-CN"/>
        </w:rPr>
        <w:t>最后报价表</w:t>
      </w:r>
      <w:r>
        <w:rPr>
          <w:rFonts w:hint="eastAsia" w:ascii="宋体" w:hAnsi="宋体" w:eastAsia="宋体" w:cs="宋体"/>
          <w:b/>
          <w:bCs/>
          <w:color w:val="auto"/>
          <w:sz w:val="24"/>
          <w:szCs w:val="24"/>
          <w:highlight w:val="none"/>
          <w:shd w:val="clear" w:color="auto" w:fill="auto"/>
        </w:rPr>
        <w:t>的价格作为</w:t>
      </w:r>
      <w:r>
        <w:rPr>
          <w:rFonts w:hint="eastAsia" w:ascii="宋体" w:hAnsi="宋体" w:eastAsia="宋体" w:cs="宋体"/>
          <w:b/>
          <w:bCs/>
          <w:color w:val="auto"/>
          <w:sz w:val="24"/>
          <w:szCs w:val="24"/>
          <w:highlight w:val="none"/>
          <w:shd w:val="clear" w:color="auto" w:fill="auto"/>
          <w:lang w:val="en-US" w:eastAsia="zh-CN"/>
        </w:rPr>
        <w:t>供应商</w:t>
      </w:r>
      <w:r>
        <w:rPr>
          <w:rFonts w:hint="eastAsia" w:ascii="宋体" w:hAnsi="宋体" w:eastAsia="宋体" w:cs="宋体"/>
          <w:b/>
          <w:bCs/>
          <w:color w:val="auto"/>
          <w:sz w:val="24"/>
          <w:szCs w:val="24"/>
          <w:highlight w:val="none"/>
          <w:shd w:val="clear" w:color="auto" w:fill="auto"/>
        </w:rPr>
        <w:t>的最</w:t>
      </w:r>
      <w:r>
        <w:rPr>
          <w:rFonts w:hint="eastAsia" w:ascii="宋体" w:hAnsi="宋体" w:eastAsia="宋体" w:cs="宋体"/>
          <w:b/>
          <w:bCs/>
          <w:color w:val="auto"/>
          <w:sz w:val="24"/>
          <w:szCs w:val="24"/>
          <w:highlight w:val="none"/>
          <w:shd w:val="clear" w:color="auto" w:fill="auto"/>
          <w:lang w:val="en-US" w:eastAsia="zh-CN"/>
        </w:rPr>
        <w:t>终</w:t>
      </w:r>
      <w:r>
        <w:rPr>
          <w:rFonts w:hint="eastAsia" w:ascii="宋体" w:hAnsi="宋体" w:eastAsia="宋体" w:cs="宋体"/>
          <w:b/>
          <w:bCs/>
          <w:color w:val="auto"/>
          <w:sz w:val="24"/>
          <w:szCs w:val="24"/>
          <w:highlight w:val="none"/>
          <w:shd w:val="clear" w:color="auto" w:fill="auto"/>
        </w:rPr>
        <w:t>报价。如在规定时间内不填写上交</w:t>
      </w:r>
      <w:r>
        <w:rPr>
          <w:rFonts w:hint="eastAsia" w:ascii="宋体" w:hAnsi="宋体" w:cs="宋体"/>
          <w:b/>
          <w:bCs/>
          <w:color w:val="auto"/>
          <w:sz w:val="24"/>
          <w:szCs w:val="24"/>
          <w:highlight w:val="none"/>
          <w:shd w:val="clear" w:color="auto" w:fill="auto"/>
          <w:lang w:eastAsia="zh-CN"/>
        </w:rPr>
        <w:t>最后报价表</w:t>
      </w:r>
      <w:r>
        <w:rPr>
          <w:rFonts w:hint="eastAsia" w:ascii="宋体" w:hAnsi="宋体" w:eastAsia="宋体" w:cs="宋体"/>
          <w:b/>
          <w:bCs/>
          <w:color w:val="auto"/>
          <w:sz w:val="24"/>
          <w:szCs w:val="24"/>
          <w:highlight w:val="none"/>
          <w:shd w:val="clear" w:color="auto" w:fill="auto"/>
        </w:rPr>
        <w:t>，以报价函的报价为准。最</w:t>
      </w:r>
      <w:r>
        <w:rPr>
          <w:rFonts w:hint="eastAsia" w:ascii="宋体" w:hAnsi="宋体" w:eastAsia="宋体" w:cs="宋体"/>
          <w:b/>
          <w:bCs/>
          <w:color w:val="auto"/>
          <w:sz w:val="24"/>
          <w:szCs w:val="24"/>
          <w:highlight w:val="none"/>
          <w:shd w:val="clear" w:color="auto" w:fill="auto"/>
          <w:lang w:val="en-US" w:eastAsia="zh-CN"/>
        </w:rPr>
        <w:t>终</w:t>
      </w:r>
      <w:r>
        <w:rPr>
          <w:rFonts w:hint="eastAsia" w:ascii="宋体" w:hAnsi="宋体" w:eastAsia="宋体" w:cs="宋体"/>
          <w:b/>
          <w:bCs/>
          <w:color w:val="auto"/>
          <w:sz w:val="24"/>
          <w:szCs w:val="24"/>
          <w:highlight w:val="none"/>
          <w:shd w:val="clear" w:color="auto" w:fill="auto"/>
        </w:rPr>
        <w:t>报价不得高于报价函的报价，否则按</w:t>
      </w:r>
      <w:r>
        <w:rPr>
          <w:rFonts w:hint="eastAsia" w:ascii="宋体" w:hAnsi="宋体" w:cs="宋体"/>
          <w:b/>
          <w:bCs/>
          <w:color w:val="auto"/>
          <w:sz w:val="24"/>
          <w:szCs w:val="24"/>
          <w:highlight w:val="none"/>
          <w:shd w:val="clear" w:color="auto" w:fill="auto"/>
          <w:lang w:val="en-US" w:eastAsia="zh-CN"/>
        </w:rPr>
        <w:t>报价函的报价为准</w:t>
      </w:r>
      <w:r>
        <w:rPr>
          <w:rFonts w:hint="eastAsia" w:ascii="宋体" w:hAnsi="宋体" w:eastAsia="宋体" w:cs="宋体"/>
          <w:color w:val="auto"/>
          <w:sz w:val="24"/>
          <w:szCs w:val="24"/>
          <w:highlight w:val="none"/>
          <w:shd w:val="clear" w:color="auto" w:fill="auto"/>
        </w:rPr>
        <w:t>。</w:t>
      </w:r>
    </w:p>
    <w:p w14:paraId="30A43016">
      <w:pPr>
        <w:pStyle w:val="3"/>
        <w:adjustRightInd w:val="0"/>
        <w:snapToGrid w:val="0"/>
        <w:spacing w:line="400" w:lineRule="exact"/>
        <w:ind w:firstLine="482" w:firstLineChars="200"/>
        <w:rPr>
          <w:rFonts w:hint="eastAsia" w:ascii="宋体" w:hAnsi="宋体" w:eastAsia="宋体" w:cs="宋体"/>
          <w:color w:val="auto"/>
          <w:sz w:val="24"/>
          <w:szCs w:val="24"/>
          <w:highlight w:val="none"/>
        </w:rPr>
      </w:pPr>
      <w:bookmarkStart w:id="152" w:name="_Toc106030907"/>
      <w:bookmarkEnd w:id="152"/>
      <w:bookmarkStart w:id="153" w:name="_Toc313008357"/>
      <w:bookmarkEnd w:id="153"/>
      <w:bookmarkStart w:id="154" w:name="_Toc342913420"/>
      <w:bookmarkEnd w:id="154"/>
      <w:bookmarkStart w:id="155" w:name="_Toc313888361"/>
      <w:bookmarkEnd w:id="155"/>
      <w:bookmarkStart w:id="156" w:name="_Toc76462351"/>
      <w:r>
        <w:rPr>
          <w:rFonts w:hint="eastAsia" w:ascii="宋体" w:hAnsi="宋体" w:eastAsia="宋体" w:cs="宋体"/>
          <w:color w:val="auto"/>
          <w:sz w:val="24"/>
          <w:szCs w:val="24"/>
          <w:highlight w:val="none"/>
        </w:rPr>
        <w:t>二、服务部分</w:t>
      </w:r>
      <w:bookmarkEnd w:id="156"/>
    </w:p>
    <w:p w14:paraId="2203C652">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（一）服务响应偏离表</w:t>
      </w:r>
    </w:p>
    <w:p w14:paraId="308C3D1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20F2486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61FB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1D15F50A">
            <w:pPr>
              <w:snapToGrid w:val="0"/>
              <w:spacing w:line="500" w:lineRule="exact"/>
              <w:jc w:val="center"/>
              <w:outlineLvl w:val="0"/>
              <w:rPr>
                <w:rFonts w:hint="eastAsia" w:ascii="宋体" w:hAnsi="宋体" w:eastAsia="宋体" w:cs="宋体"/>
                <w:color w:val="auto"/>
                <w:sz w:val="21"/>
                <w:szCs w:val="21"/>
                <w:highlight w:val="none"/>
              </w:rPr>
            </w:pPr>
            <w:bookmarkStart w:id="157" w:name="_Toc6213"/>
            <w:bookmarkStart w:id="158" w:name="_Toc18141"/>
            <w:bookmarkStart w:id="159" w:name="_Toc26650"/>
            <w:r>
              <w:rPr>
                <w:rFonts w:hint="eastAsia" w:ascii="宋体" w:hAnsi="宋体" w:eastAsia="宋体" w:cs="宋体"/>
                <w:color w:val="auto"/>
                <w:sz w:val="21"/>
                <w:szCs w:val="21"/>
                <w:highlight w:val="none"/>
              </w:rPr>
              <w:t>序号</w:t>
            </w:r>
            <w:bookmarkEnd w:id="157"/>
            <w:bookmarkEnd w:id="158"/>
            <w:bookmarkEnd w:id="159"/>
          </w:p>
        </w:tc>
        <w:tc>
          <w:tcPr>
            <w:tcW w:w="2967" w:type="dxa"/>
            <w:tcBorders>
              <w:top w:val="single" w:color="auto" w:sz="4" w:space="0"/>
              <w:left w:val="single" w:color="auto" w:sz="4" w:space="0"/>
              <w:bottom w:val="single" w:color="auto" w:sz="4" w:space="0"/>
              <w:right w:val="single" w:color="auto" w:sz="4" w:space="0"/>
            </w:tcBorders>
            <w:vAlign w:val="center"/>
          </w:tcPr>
          <w:p w14:paraId="1A7D72E7">
            <w:pPr>
              <w:snapToGrid w:val="0"/>
              <w:spacing w:line="500" w:lineRule="exact"/>
              <w:jc w:val="center"/>
              <w:outlineLvl w:val="0"/>
              <w:rPr>
                <w:rFonts w:hint="eastAsia" w:ascii="宋体" w:hAnsi="宋体" w:eastAsia="宋体" w:cs="宋体"/>
                <w:color w:val="auto"/>
                <w:sz w:val="21"/>
                <w:szCs w:val="21"/>
                <w:highlight w:val="none"/>
              </w:rPr>
            </w:pPr>
            <w:bookmarkStart w:id="160" w:name="_Toc411"/>
            <w:bookmarkStart w:id="161" w:name="_Toc3772"/>
            <w:bookmarkStart w:id="162" w:name="_Toc29077"/>
            <w:r>
              <w:rPr>
                <w:rFonts w:hint="eastAsia" w:ascii="宋体" w:hAnsi="宋体" w:eastAsia="宋体" w:cs="宋体"/>
                <w:color w:val="auto"/>
                <w:sz w:val="21"/>
                <w:szCs w:val="21"/>
                <w:highlight w:val="none"/>
              </w:rPr>
              <w:t>采购需求</w:t>
            </w:r>
            <w:bookmarkEnd w:id="160"/>
            <w:bookmarkEnd w:id="161"/>
            <w:bookmarkEnd w:id="162"/>
          </w:p>
        </w:tc>
        <w:tc>
          <w:tcPr>
            <w:tcW w:w="3081" w:type="dxa"/>
            <w:tcBorders>
              <w:top w:val="single" w:color="auto" w:sz="4" w:space="0"/>
              <w:left w:val="single" w:color="auto" w:sz="4" w:space="0"/>
              <w:bottom w:val="single" w:color="auto" w:sz="4" w:space="0"/>
              <w:right w:val="single" w:color="auto" w:sz="4" w:space="0"/>
            </w:tcBorders>
            <w:vAlign w:val="center"/>
          </w:tcPr>
          <w:p w14:paraId="2F4EBE0F">
            <w:pPr>
              <w:snapToGrid w:val="0"/>
              <w:spacing w:line="500" w:lineRule="exact"/>
              <w:jc w:val="center"/>
              <w:outlineLvl w:val="0"/>
              <w:rPr>
                <w:rFonts w:hint="eastAsia" w:ascii="宋体" w:hAnsi="宋体" w:eastAsia="宋体" w:cs="宋体"/>
                <w:color w:val="auto"/>
                <w:sz w:val="21"/>
                <w:szCs w:val="21"/>
                <w:highlight w:val="none"/>
              </w:rPr>
            </w:pPr>
            <w:bookmarkStart w:id="163" w:name="_Toc16354"/>
            <w:bookmarkStart w:id="164" w:name="_Toc7623"/>
            <w:bookmarkStart w:id="165" w:name="_Toc1042"/>
            <w:r>
              <w:rPr>
                <w:rFonts w:hint="eastAsia" w:ascii="宋体" w:hAnsi="宋体" w:eastAsia="宋体" w:cs="宋体"/>
                <w:color w:val="auto"/>
                <w:sz w:val="21"/>
                <w:szCs w:val="21"/>
                <w:highlight w:val="none"/>
              </w:rPr>
              <w:t>响应情况</w:t>
            </w:r>
            <w:bookmarkEnd w:id="163"/>
            <w:bookmarkEnd w:id="164"/>
            <w:bookmarkEnd w:id="165"/>
          </w:p>
        </w:tc>
        <w:tc>
          <w:tcPr>
            <w:tcW w:w="2309" w:type="dxa"/>
            <w:tcBorders>
              <w:top w:val="single" w:color="auto" w:sz="4" w:space="0"/>
              <w:left w:val="single" w:color="auto" w:sz="4" w:space="0"/>
              <w:bottom w:val="single" w:color="auto" w:sz="4" w:space="0"/>
              <w:right w:val="single" w:color="auto" w:sz="4" w:space="0"/>
            </w:tcBorders>
            <w:vAlign w:val="center"/>
          </w:tcPr>
          <w:p w14:paraId="1E625A93">
            <w:pPr>
              <w:snapToGrid w:val="0"/>
              <w:spacing w:line="500" w:lineRule="exact"/>
              <w:jc w:val="center"/>
              <w:outlineLvl w:val="0"/>
              <w:rPr>
                <w:rFonts w:hint="eastAsia" w:ascii="宋体" w:hAnsi="宋体" w:eastAsia="宋体" w:cs="宋体"/>
                <w:color w:val="auto"/>
                <w:sz w:val="21"/>
                <w:szCs w:val="21"/>
                <w:highlight w:val="none"/>
              </w:rPr>
            </w:pPr>
            <w:bookmarkStart w:id="166" w:name="_Toc14605"/>
            <w:bookmarkStart w:id="167" w:name="_Toc4160"/>
            <w:bookmarkStart w:id="168" w:name="_Toc698"/>
            <w:r>
              <w:rPr>
                <w:rFonts w:hint="eastAsia" w:ascii="宋体" w:hAnsi="宋体" w:eastAsia="宋体" w:cs="宋体"/>
                <w:color w:val="auto"/>
                <w:sz w:val="21"/>
                <w:szCs w:val="21"/>
                <w:highlight w:val="none"/>
              </w:rPr>
              <w:t>差异说明</w:t>
            </w:r>
            <w:bookmarkEnd w:id="166"/>
            <w:bookmarkEnd w:id="167"/>
            <w:bookmarkEnd w:id="168"/>
          </w:p>
        </w:tc>
      </w:tr>
      <w:tr w14:paraId="3214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6C76A874">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0AF2A593">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7229C2CC">
            <w:pPr>
              <w:snapToGrid w:val="0"/>
              <w:spacing w:line="500" w:lineRule="exact"/>
              <w:outlineLvl w:val="0"/>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47A96145">
            <w:pPr>
              <w:snapToGrid w:val="0"/>
              <w:spacing w:line="500" w:lineRule="exact"/>
              <w:jc w:val="center"/>
              <w:outlineLvl w:val="9"/>
              <w:rPr>
                <w:rFonts w:hint="eastAsia" w:ascii="宋体" w:hAnsi="宋体" w:eastAsia="宋体" w:cs="宋体"/>
                <w:color w:val="auto"/>
                <w:sz w:val="21"/>
                <w:szCs w:val="21"/>
                <w:highlight w:val="none"/>
              </w:rPr>
            </w:pPr>
          </w:p>
        </w:tc>
      </w:tr>
      <w:tr w14:paraId="6AF3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68F57B18">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2E8FA3C7">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1555529F">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14191FC0">
            <w:pPr>
              <w:snapToGrid w:val="0"/>
              <w:spacing w:line="500" w:lineRule="exact"/>
              <w:jc w:val="center"/>
              <w:outlineLvl w:val="9"/>
              <w:rPr>
                <w:rFonts w:hint="eastAsia" w:ascii="宋体" w:hAnsi="宋体" w:eastAsia="宋体" w:cs="宋体"/>
                <w:color w:val="auto"/>
                <w:sz w:val="21"/>
                <w:szCs w:val="21"/>
                <w:highlight w:val="none"/>
              </w:rPr>
            </w:pPr>
          </w:p>
        </w:tc>
      </w:tr>
      <w:tr w14:paraId="079F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59E95649">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61030034">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6CAEA3EC">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105C06C5">
            <w:pPr>
              <w:snapToGrid w:val="0"/>
              <w:spacing w:line="500" w:lineRule="exact"/>
              <w:jc w:val="center"/>
              <w:outlineLvl w:val="9"/>
              <w:rPr>
                <w:rFonts w:hint="eastAsia" w:ascii="宋体" w:hAnsi="宋体" w:eastAsia="宋体" w:cs="宋体"/>
                <w:color w:val="auto"/>
                <w:sz w:val="21"/>
                <w:szCs w:val="21"/>
                <w:highlight w:val="none"/>
              </w:rPr>
            </w:pPr>
          </w:p>
        </w:tc>
      </w:tr>
      <w:tr w14:paraId="742E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7871E819">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01276B40">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4015B2DE">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67CA10DD">
            <w:pPr>
              <w:snapToGrid w:val="0"/>
              <w:spacing w:line="500" w:lineRule="exact"/>
              <w:jc w:val="center"/>
              <w:outlineLvl w:val="9"/>
              <w:rPr>
                <w:rFonts w:hint="eastAsia" w:ascii="宋体" w:hAnsi="宋体" w:eastAsia="宋体" w:cs="宋体"/>
                <w:color w:val="auto"/>
                <w:sz w:val="21"/>
                <w:szCs w:val="21"/>
                <w:highlight w:val="none"/>
              </w:rPr>
            </w:pPr>
          </w:p>
        </w:tc>
      </w:tr>
      <w:tr w14:paraId="1EA8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55129C16">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27E80608">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32BBA8EE">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55DEF9B0">
            <w:pPr>
              <w:snapToGrid w:val="0"/>
              <w:spacing w:line="500" w:lineRule="exact"/>
              <w:jc w:val="center"/>
              <w:outlineLvl w:val="9"/>
              <w:rPr>
                <w:rFonts w:hint="eastAsia" w:ascii="宋体" w:hAnsi="宋体" w:eastAsia="宋体" w:cs="宋体"/>
                <w:color w:val="auto"/>
                <w:sz w:val="21"/>
                <w:szCs w:val="21"/>
                <w:highlight w:val="none"/>
              </w:rPr>
            </w:pPr>
          </w:p>
        </w:tc>
      </w:tr>
      <w:tr w14:paraId="402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2E2D9A08">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5A0EC5CF">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2960A526">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0BF5DDA7">
            <w:pPr>
              <w:snapToGrid w:val="0"/>
              <w:spacing w:line="500" w:lineRule="exact"/>
              <w:jc w:val="center"/>
              <w:outlineLvl w:val="9"/>
              <w:rPr>
                <w:rFonts w:hint="eastAsia" w:ascii="宋体" w:hAnsi="宋体" w:eastAsia="宋体" w:cs="宋体"/>
                <w:color w:val="auto"/>
                <w:sz w:val="21"/>
                <w:szCs w:val="21"/>
                <w:highlight w:val="none"/>
              </w:rPr>
            </w:pPr>
          </w:p>
        </w:tc>
      </w:tr>
      <w:tr w14:paraId="1EA9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162B3B0F">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596571F6">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69EB26D0">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18B65864">
            <w:pPr>
              <w:snapToGrid w:val="0"/>
              <w:spacing w:line="500" w:lineRule="exact"/>
              <w:jc w:val="center"/>
              <w:outlineLvl w:val="9"/>
              <w:rPr>
                <w:rFonts w:hint="eastAsia" w:ascii="宋体" w:hAnsi="宋体" w:eastAsia="宋体" w:cs="宋体"/>
                <w:color w:val="auto"/>
                <w:sz w:val="21"/>
                <w:szCs w:val="21"/>
                <w:highlight w:val="none"/>
              </w:rPr>
            </w:pPr>
          </w:p>
        </w:tc>
      </w:tr>
      <w:tr w14:paraId="017A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2C4A0A1E">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16E36A1D">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2BA53296">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0A52B059">
            <w:pPr>
              <w:snapToGrid w:val="0"/>
              <w:spacing w:line="500" w:lineRule="exact"/>
              <w:jc w:val="center"/>
              <w:outlineLvl w:val="9"/>
              <w:rPr>
                <w:rFonts w:hint="eastAsia" w:ascii="宋体" w:hAnsi="宋体" w:eastAsia="宋体" w:cs="宋体"/>
                <w:color w:val="auto"/>
                <w:sz w:val="21"/>
                <w:szCs w:val="21"/>
                <w:highlight w:val="none"/>
              </w:rPr>
            </w:pPr>
          </w:p>
        </w:tc>
      </w:tr>
      <w:tr w14:paraId="0C94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6F218118">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6FAFFFB0">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73F9DF5F">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65E9CF34">
            <w:pPr>
              <w:snapToGrid w:val="0"/>
              <w:spacing w:line="500" w:lineRule="exact"/>
              <w:jc w:val="center"/>
              <w:outlineLvl w:val="9"/>
              <w:rPr>
                <w:rFonts w:hint="eastAsia" w:ascii="宋体" w:hAnsi="宋体" w:eastAsia="宋体" w:cs="宋体"/>
                <w:color w:val="auto"/>
                <w:sz w:val="21"/>
                <w:szCs w:val="21"/>
                <w:highlight w:val="none"/>
              </w:rPr>
            </w:pPr>
          </w:p>
        </w:tc>
      </w:tr>
      <w:tr w14:paraId="0624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29FC6E5D">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75FD4440">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2F0D9FF2">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46F4A432">
            <w:pPr>
              <w:snapToGrid w:val="0"/>
              <w:spacing w:line="500" w:lineRule="exact"/>
              <w:jc w:val="center"/>
              <w:outlineLvl w:val="9"/>
              <w:rPr>
                <w:rFonts w:hint="eastAsia" w:ascii="宋体" w:hAnsi="宋体" w:eastAsia="宋体" w:cs="宋体"/>
                <w:color w:val="auto"/>
                <w:sz w:val="21"/>
                <w:szCs w:val="21"/>
                <w:highlight w:val="none"/>
              </w:rPr>
            </w:pPr>
          </w:p>
        </w:tc>
      </w:tr>
    </w:tbl>
    <w:p w14:paraId="0B208510">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法定代表人（或其授权代表）或自然人：</w:t>
      </w:r>
    </w:p>
    <w:p w14:paraId="3C9A01BF">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F0161BC">
      <w:pPr>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（签署或盖章）</w:t>
      </w:r>
    </w:p>
    <w:p w14:paraId="22BCC25A">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51670D0">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48F63F7">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项目服务需求”中所列条款进行比较和响应；</w:t>
      </w:r>
    </w:p>
    <w:p w14:paraId="6FA79C58">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5B93EE26">
      <w:pPr>
        <w:snapToGrid w:val="0"/>
        <w:spacing w:line="400" w:lineRule="exact"/>
        <w:ind w:firstLine="560" w:firstLineChars="200"/>
        <w:rPr>
          <w:rFonts w:hint="eastAsia" w:ascii="宋体" w:hAnsi="宋体" w:eastAsia="宋体" w:cs="宋体"/>
          <w:color w:val="auto"/>
          <w:highlight w:val="none"/>
        </w:rPr>
        <w:sectPr>
          <w:pgSz w:w="11907" w:h="16840"/>
          <w:pgMar w:top="1134" w:right="1191" w:bottom="1134" w:left="1304" w:header="851" w:footer="992" w:gutter="0"/>
          <w:pgNumType w:fmt="numberInDash"/>
          <w:cols w:space="720" w:num="1"/>
          <w:docGrid w:type="lines" w:linePitch="380" w:charSpace="0"/>
        </w:sectPr>
      </w:pPr>
      <w:r>
        <w:rPr>
          <w:rFonts w:hint="eastAsia" w:ascii="宋体" w:hAnsi="宋体" w:eastAsia="宋体" w:cs="宋体"/>
          <w:color w:val="auto"/>
          <w:highlight w:val="none"/>
        </w:rPr>
        <w:br w:type="page"/>
      </w:r>
    </w:p>
    <w:p w14:paraId="22DC1B07">
      <w:pPr>
        <w:snapToGrid w:val="0"/>
        <w:spacing w:line="400" w:lineRule="exact"/>
        <w:ind w:firstLine="480" w:firstLineChars="200"/>
        <w:rPr>
          <w:rFonts w:hint="default" w:ascii="宋体" w:hAnsi="宋体" w:eastAsia="宋体" w:cs="宋体"/>
          <w:color w:val="auto"/>
          <w:sz w:val="24"/>
          <w:szCs w:val="24"/>
          <w:highlight w:val="none"/>
          <w:lang w:val="en-US" w:eastAsia="zh-CN"/>
        </w:rPr>
        <w:sectPr>
          <w:pgSz w:w="11907" w:h="16840"/>
          <w:pgMar w:top="1134" w:right="1191" w:bottom="1134" w:left="1304" w:header="851" w:footer="992" w:gutter="0"/>
          <w:pgNumType w:fmt="numberInDash"/>
          <w:cols w:space="720" w:num="1"/>
          <w:docGrid w:type="lines" w:linePitch="380" w:charSpace="0"/>
        </w:sect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服务方案</w:t>
      </w:r>
    </w:p>
    <w:p w14:paraId="32CC7E75">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）其他资料（格式自定）</w:t>
      </w:r>
    </w:p>
    <w:p w14:paraId="65A766BB">
      <w:pPr>
        <w:pStyle w:val="3"/>
        <w:adjustRightInd w:val="0"/>
        <w:snapToGrid w:val="0"/>
        <w:spacing w:line="400" w:lineRule="exact"/>
        <w:ind w:firstLine="640" w:firstLineChars="200"/>
        <w:rPr>
          <w:rFonts w:hint="eastAsia" w:ascii="宋体" w:hAnsi="宋体" w:eastAsia="宋体" w:cs="宋体"/>
          <w:color w:val="auto"/>
          <w:sz w:val="24"/>
          <w:szCs w:val="24"/>
          <w:highlight w:val="none"/>
        </w:rPr>
      </w:pPr>
      <w:r>
        <w:rPr>
          <w:rFonts w:hint="eastAsia" w:ascii="宋体" w:hAnsi="宋体" w:eastAsia="宋体" w:cs="宋体"/>
          <w:b w:val="0"/>
          <w:bCs/>
          <w:color w:val="auto"/>
          <w:highlight w:val="none"/>
        </w:rPr>
        <w:br w:type="page"/>
      </w:r>
      <w:bookmarkStart w:id="169" w:name="_Toc76462352"/>
      <w:bookmarkEnd w:id="169"/>
      <w:bookmarkStart w:id="170" w:name="_Toc106030908"/>
      <w:bookmarkEnd w:id="170"/>
      <w:bookmarkStart w:id="171" w:name="_Toc342913421"/>
      <w:bookmarkEnd w:id="171"/>
      <w:bookmarkStart w:id="172" w:name="_Toc313888362"/>
      <w:bookmarkEnd w:id="172"/>
      <w:bookmarkStart w:id="173" w:name="_Toc313008358"/>
      <w:r>
        <w:rPr>
          <w:rFonts w:hint="eastAsia" w:ascii="宋体" w:hAnsi="宋体" w:eastAsia="宋体" w:cs="宋体"/>
          <w:color w:val="auto"/>
          <w:sz w:val="24"/>
          <w:szCs w:val="24"/>
          <w:highlight w:val="none"/>
        </w:rPr>
        <w:t>三、商务部分</w:t>
      </w:r>
      <w:bookmarkEnd w:id="173"/>
    </w:p>
    <w:p w14:paraId="7E02B3D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5A5D067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4B1C351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磋商项目名称：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FBA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tcBorders>
              <w:top w:val="single" w:color="auto" w:sz="4" w:space="0"/>
              <w:left w:val="single" w:color="auto" w:sz="4" w:space="0"/>
              <w:bottom w:val="single" w:color="auto" w:sz="4" w:space="0"/>
              <w:right w:val="single" w:color="auto" w:sz="4" w:space="0"/>
            </w:tcBorders>
            <w:vAlign w:val="center"/>
          </w:tcPr>
          <w:p w14:paraId="176ECB1B">
            <w:pPr>
              <w:snapToGrid w:val="0"/>
              <w:spacing w:line="360" w:lineRule="auto"/>
              <w:ind w:firstLine="4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179" w:type="dxa"/>
            <w:tcBorders>
              <w:top w:val="single" w:color="auto" w:sz="4" w:space="0"/>
              <w:left w:val="single" w:color="auto" w:sz="4" w:space="0"/>
              <w:bottom w:val="single" w:color="auto" w:sz="4" w:space="0"/>
              <w:right w:val="single" w:color="auto" w:sz="4" w:space="0"/>
            </w:tcBorders>
            <w:vAlign w:val="center"/>
          </w:tcPr>
          <w:p w14:paraId="26FEF470">
            <w:pPr>
              <w:snapToGrid w:val="0"/>
              <w:spacing w:line="360" w:lineRule="auto"/>
              <w:jc w:val="center"/>
              <w:outlineLvl w:val="0"/>
              <w:rPr>
                <w:rFonts w:hint="eastAsia" w:ascii="宋体" w:hAnsi="宋体" w:eastAsia="宋体" w:cs="宋体"/>
                <w:color w:val="auto"/>
                <w:sz w:val="21"/>
                <w:szCs w:val="21"/>
                <w:highlight w:val="none"/>
              </w:rPr>
            </w:pPr>
            <w:bookmarkStart w:id="174" w:name="_Toc13662"/>
            <w:bookmarkStart w:id="175" w:name="_Toc9623"/>
            <w:bookmarkStart w:id="176" w:name="_Toc546"/>
            <w:r>
              <w:rPr>
                <w:rFonts w:hint="eastAsia" w:ascii="宋体" w:hAnsi="宋体" w:eastAsia="宋体" w:cs="宋体"/>
                <w:color w:val="auto"/>
                <w:sz w:val="21"/>
                <w:szCs w:val="21"/>
                <w:highlight w:val="none"/>
              </w:rPr>
              <w:t>磋商项目商务需求</w:t>
            </w:r>
            <w:bookmarkEnd w:id="174"/>
            <w:bookmarkEnd w:id="175"/>
            <w:bookmarkEnd w:id="176"/>
          </w:p>
        </w:tc>
        <w:tc>
          <w:tcPr>
            <w:tcW w:w="2434" w:type="dxa"/>
            <w:tcBorders>
              <w:top w:val="single" w:color="auto" w:sz="4" w:space="0"/>
              <w:left w:val="single" w:color="auto" w:sz="4" w:space="0"/>
              <w:bottom w:val="single" w:color="auto" w:sz="4" w:space="0"/>
              <w:right w:val="single" w:color="auto" w:sz="4" w:space="0"/>
            </w:tcBorders>
            <w:vAlign w:val="center"/>
          </w:tcPr>
          <w:p w14:paraId="65532591">
            <w:pPr>
              <w:snapToGrid w:val="0"/>
              <w:spacing w:line="360" w:lineRule="auto"/>
              <w:jc w:val="center"/>
              <w:outlineLvl w:val="0"/>
              <w:rPr>
                <w:rFonts w:hint="eastAsia" w:ascii="宋体" w:hAnsi="宋体" w:eastAsia="宋体" w:cs="宋体"/>
                <w:color w:val="auto"/>
                <w:sz w:val="21"/>
                <w:szCs w:val="21"/>
                <w:highlight w:val="none"/>
              </w:rPr>
            </w:pPr>
            <w:bookmarkStart w:id="177" w:name="_Toc3457"/>
            <w:bookmarkStart w:id="178" w:name="_Toc14572"/>
            <w:bookmarkStart w:id="179" w:name="_Toc27477"/>
            <w:r>
              <w:rPr>
                <w:rFonts w:hint="eastAsia" w:ascii="宋体" w:hAnsi="宋体" w:eastAsia="宋体" w:cs="宋体"/>
                <w:color w:val="auto"/>
                <w:sz w:val="21"/>
                <w:szCs w:val="21"/>
                <w:highlight w:val="none"/>
              </w:rPr>
              <w:t>响应情况</w:t>
            </w:r>
            <w:bookmarkEnd w:id="177"/>
            <w:bookmarkEnd w:id="178"/>
            <w:bookmarkEnd w:id="179"/>
          </w:p>
        </w:tc>
        <w:tc>
          <w:tcPr>
            <w:tcW w:w="2355" w:type="dxa"/>
            <w:tcBorders>
              <w:top w:val="single" w:color="auto" w:sz="4" w:space="0"/>
              <w:left w:val="single" w:color="auto" w:sz="4" w:space="0"/>
              <w:bottom w:val="single" w:color="auto" w:sz="4" w:space="0"/>
              <w:right w:val="single" w:color="auto" w:sz="4" w:space="0"/>
            </w:tcBorders>
            <w:vAlign w:val="center"/>
          </w:tcPr>
          <w:p w14:paraId="3BB4362B">
            <w:pPr>
              <w:snapToGrid w:val="0"/>
              <w:spacing w:line="360" w:lineRule="auto"/>
              <w:jc w:val="center"/>
              <w:outlineLvl w:val="0"/>
              <w:rPr>
                <w:rFonts w:hint="eastAsia" w:ascii="宋体" w:hAnsi="宋体" w:eastAsia="宋体" w:cs="宋体"/>
                <w:color w:val="auto"/>
                <w:sz w:val="21"/>
                <w:szCs w:val="21"/>
                <w:highlight w:val="none"/>
              </w:rPr>
            </w:pPr>
            <w:bookmarkStart w:id="180" w:name="_Toc18601"/>
            <w:bookmarkStart w:id="181" w:name="_Toc27697"/>
            <w:bookmarkStart w:id="182" w:name="_Toc22179"/>
            <w:r>
              <w:rPr>
                <w:rFonts w:hint="eastAsia" w:ascii="宋体" w:hAnsi="宋体" w:eastAsia="宋体" w:cs="宋体"/>
                <w:color w:val="auto"/>
                <w:sz w:val="21"/>
                <w:szCs w:val="21"/>
                <w:highlight w:val="none"/>
              </w:rPr>
              <w:t>偏离说明</w:t>
            </w:r>
            <w:bookmarkEnd w:id="180"/>
            <w:bookmarkEnd w:id="181"/>
            <w:bookmarkEnd w:id="182"/>
          </w:p>
        </w:tc>
      </w:tr>
      <w:tr w14:paraId="4A0F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36CE6F73">
            <w:pPr>
              <w:snapToGrid w:val="0"/>
              <w:spacing w:line="360" w:lineRule="auto"/>
              <w:jc w:val="center"/>
              <w:outlineLvl w:val="9"/>
              <w:rPr>
                <w:rFonts w:hint="eastAsia" w:ascii="宋体" w:hAnsi="宋体" w:eastAsia="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42A22726">
            <w:pPr>
              <w:snapToGrid w:val="0"/>
              <w:spacing w:line="360" w:lineRule="auto"/>
              <w:jc w:val="center"/>
              <w:outlineLvl w:val="9"/>
              <w:rPr>
                <w:rFonts w:hint="eastAsia" w:ascii="宋体" w:hAnsi="宋体" w:eastAsia="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55D72B2D">
            <w:pPr>
              <w:snapToGrid w:val="0"/>
              <w:spacing w:line="360" w:lineRule="auto"/>
              <w:outlineLvl w:val="0"/>
              <w:rPr>
                <w:rFonts w:hint="eastAsia" w:ascii="宋体" w:hAnsi="宋体" w:eastAsia="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5564974B">
            <w:pPr>
              <w:snapToGrid w:val="0"/>
              <w:spacing w:line="360" w:lineRule="auto"/>
              <w:jc w:val="center"/>
              <w:outlineLvl w:val="9"/>
              <w:rPr>
                <w:rFonts w:hint="eastAsia" w:ascii="宋体" w:hAnsi="宋体" w:eastAsia="宋体" w:cs="宋体"/>
                <w:color w:val="auto"/>
                <w:sz w:val="21"/>
                <w:szCs w:val="21"/>
                <w:highlight w:val="none"/>
              </w:rPr>
            </w:pPr>
          </w:p>
        </w:tc>
      </w:tr>
      <w:tr w14:paraId="0C3D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65BEA8E1">
            <w:pPr>
              <w:snapToGrid w:val="0"/>
              <w:spacing w:line="360" w:lineRule="auto"/>
              <w:jc w:val="center"/>
              <w:outlineLvl w:val="9"/>
              <w:rPr>
                <w:rFonts w:hint="eastAsia" w:ascii="宋体" w:hAnsi="宋体" w:eastAsia="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314EFCF7">
            <w:pPr>
              <w:snapToGrid w:val="0"/>
              <w:spacing w:line="360" w:lineRule="auto"/>
              <w:jc w:val="center"/>
              <w:outlineLvl w:val="9"/>
              <w:rPr>
                <w:rFonts w:hint="eastAsia" w:ascii="宋体" w:hAnsi="宋体" w:eastAsia="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245E406B">
            <w:pPr>
              <w:snapToGrid w:val="0"/>
              <w:spacing w:line="360" w:lineRule="auto"/>
              <w:jc w:val="center"/>
              <w:outlineLvl w:val="9"/>
              <w:rPr>
                <w:rFonts w:hint="eastAsia" w:ascii="宋体" w:hAnsi="宋体" w:eastAsia="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3B273D0B">
            <w:pPr>
              <w:snapToGrid w:val="0"/>
              <w:spacing w:line="360" w:lineRule="auto"/>
              <w:jc w:val="center"/>
              <w:outlineLvl w:val="9"/>
              <w:rPr>
                <w:rFonts w:hint="eastAsia" w:ascii="宋体" w:hAnsi="宋体" w:eastAsia="宋体" w:cs="宋体"/>
                <w:color w:val="auto"/>
                <w:sz w:val="21"/>
                <w:szCs w:val="21"/>
                <w:highlight w:val="none"/>
              </w:rPr>
            </w:pPr>
          </w:p>
        </w:tc>
      </w:tr>
      <w:tr w14:paraId="36AC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22F20569">
            <w:pPr>
              <w:snapToGrid w:val="0"/>
              <w:spacing w:line="360" w:lineRule="auto"/>
              <w:jc w:val="center"/>
              <w:outlineLvl w:val="9"/>
              <w:rPr>
                <w:rFonts w:hint="eastAsia" w:ascii="宋体" w:hAnsi="宋体" w:eastAsia="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72F7E8EB">
            <w:pPr>
              <w:snapToGrid w:val="0"/>
              <w:spacing w:line="360" w:lineRule="auto"/>
              <w:jc w:val="center"/>
              <w:outlineLvl w:val="9"/>
              <w:rPr>
                <w:rFonts w:hint="eastAsia" w:ascii="宋体" w:hAnsi="宋体" w:eastAsia="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5DACC0C2">
            <w:pPr>
              <w:snapToGrid w:val="0"/>
              <w:spacing w:line="360" w:lineRule="auto"/>
              <w:jc w:val="center"/>
              <w:outlineLvl w:val="9"/>
              <w:rPr>
                <w:rFonts w:hint="eastAsia" w:ascii="宋体" w:hAnsi="宋体" w:eastAsia="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0AA0B8A5">
            <w:pPr>
              <w:snapToGrid w:val="0"/>
              <w:spacing w:line="360" w:lineRule="auto"/>
              <w:jc w:val="center"/>
              <w:outlineLvl w:val="9"/>
              <w:rPr>
                <w:rFonts w:hint="eastAsia" w:ascii="宋体" w:hAnsi="宋体" w:eastAsia="宋体" w:cs="宋体"/>
                <w:color w:val="auto"/>
                <w:sz w:val="21"/>
                <w:szCs w:val="21"/>
                <w:highlight w:val="none"/>
              </w:rPr>
            </w:pPr>
          </w:p>
        </w:tc>
      </w:tr>
      <w:tr w14:paraId="06A3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39A2653B">
            <w:pPr>
              <w:snapToGrid w:val="0"/>
              <w:spacing w:line="360" w:lineRule="auto"/>
              <w:jc w:val="center"/>
              <w:outlineLvl w:val="9"/>
              <w:rPr>
                <w:rFonts w:hint="eastAsia" w:ascii="宋体" w:hAnsi="宋体" w:eastAsia="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71D7E109">
            <w:pPr>
              <w:snapToGrid w:val="0"/>
              <w:spacing w:line="360" w:lineRule="auto"/>
              <w:jc w:val="center"/>
              <w:outlineLvl w:val="9"/>
              <w:rPr>
                <w:rFonts w:hint="eastAsia" w:ascii="宋体" w:hAnsi="宋体" w:eastAsia="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62D33304">
            <w:pPr>
              <w:snapToGrid w:val="0"/>
              <w:spacing w:line="360" w:lineRule="auto"/>
              <w:jc w:val="center"/>
              <w:outlineLvl w:val="9"/>
              <w:rPr>
                <w:rFonts w:hint="eastAsia" w:ascii="宋体" w:hAnsi="宋体" w:eastAsia="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52886B5F">
            <w:pPr>
              <w:snapToGrid w:val="0"/>
              <w:spacing w:line="360" w:lineRule="auto"/>
              <w:jc w:val="center"/>
              <w:outlineLvl w:val="9"/>
              <w:rPr>
                <w:rFonts w:hint="eastAsia" w:ascii="宋体" w:hAnsi="宋体" w:eastAsia="宋体" w:cs="宋体"/>
                <w:color w:val="auto"/>
                <w:sz w:val="21"/>
                <w:szCs w:val="21"/>
                <w:highlight w:val="none"/>
              </w:rPr>
            </w:pPr>
          </w:p>
        </w:tc>
      </w:tr>
      <w:tr w14:paraId="6344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40CD0F4E">
            <w:pPr>
              <w:snapToGrid w:val="0"/>
              <w:spacing w:line="360" w:lineRule="auto"/>
              <w:jc w:val="center"/>
              <w:outlineLvl w:val="9"/>
              <w:rPr>
                <w:rFonts w:hint="eastAsia" w:ascii="宋体" w:hAnsi="宋体" w:eastAsia="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09B61D7F">
            <w:pPr>
              <w:snapToGrid w:val="0"/>
              <w:spacing w:line="360" w:lineRule="auto"/>
              <w:jc w:val="center"/>
              <w:outlineLvl w:val="9"/>
              <w:rPr>
                <w:rFonts w:hint="eastAsia" w:ascii="宋体" w:hAnsi="宋体" w:eastAsia="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1FEB9D6D">
            <w:pPr>
              <w:snapToGrid w:val="0"/>
              <w:spacing w:line="360" w:lineRule="auto"/>
              <w:jc w:val="center"/>
              <w:outlineLvl w:val="9"/>
              <w:rPr>
                <w:rFonts w:hint="eastAsia" w:ascii="宋体" w:hAnsi="宋体" w:eastAsia="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14EACBAF">
            <w:pPr>
              <w:snapToGrid w:val="0"/>
              <w:spacing w:line="360" w:lineRule="auto"/>
              <w:jc w:val="center"/>
              <w:outlineLvl w:val="9"/>
              <w:rPr>
                <w:rFonts w:hint="eastAsia" w:ascii="宋体" w:hAnsi="宋体" w:eastAsia="宋体" w:cs="宋体"/>
                <w:color w:val="auto"/>
                <w:sz w:val="21"/>
                <w:szCs w:val="21"/>
                <w:highlight w:val="none"/>
              </w:rPr>
            </w:pPr>
          </w:p>
        </w:tc>
      </w:tr>
      <w:tr w14:paraId="6A6A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55C7ACE8">
            <w:pPr>
              <w:snapToGrid w:val="0"/>
              <w:spacing w:line="360" w:lineRule="auto"/>
              <w:jc w:val="center"/>
              <w:outlineLvl w:val="9"/>
              <w:rPr>
                <w:rFonts w:hint="eastAsia" w:ascii="宋体" w:hAnsi="宋体" w:eastAsia="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70A5D6B3">
            <w:pPr>
              <w:snapToGrid w:val="0"/>
              <w:spacing w:line="360" w:lineRule="auto"/>
              <w:jc w:val="center"/>
              <w:outlineLvl w:val="9"/>
              <w:rPr>
                <w:rFonts w:hint="eastAsia" w:ascii="宋体" w:hAnsi="宋体" w:eastAsia="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0F3CCBD6">
            <w:pPr>
              <w:snapToGrid w:val="0"/>
              <w:spacing w:line="360" w:lineRule="auto"/>
              <w:jc w:val="center"/>
              <w:outlineLvl w:val="9"/>
              <w:rPr>
                <w:rFonts w:hint="eastAsia" w:ascii="宋体" w:hAnsi="宋体" w:eastAsia="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2DCACB8B">
            <w:pPr>
              <w:snapToGrid w:val="0"/>
              <w:spacing w:line="360" w:lineRule="auto"/>
              <w:jc w:val="center"/>
              <w:outlineLvl w:val="9"/>
              <w:rPr>
                <w:rFonts w:hint="eastAsia" w:ascii="宋体" w:hAnsi="宋体" w:eastAsia="宋体" w:cs="宋体"/>
                <w:color w:val="auto"/>
                <w:sz w:val="21"/>
                <w:szCs w:val="21"/>
                <w:highlight w:val="none"/>
              </w:rPr>
            </w:pPr>
          </w:p>
        </w:tc>
      </w:tr>
    </w:tbl>
    <w:p w14:paraId="004BC61D">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7D750A6">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法定代表人（或其授权代表）或自然人：</w:t>
      </w:r>
    </w:p>
    <w:p w14:paraId="548F6C29">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2E17283">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（签署或盖章）</w:t>
      </w:r>
    </w:p>
    <w:p w14:paraId="23A06FDA">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A0B457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8F1E70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  项目商务需求”中所列条款进行比较和响应；</w:t>
      </w:r>
    </w:p>
    <w:p w14:paraId="3A4D6E43">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2.本表可扩展。</w:t>
      </w:r>
    </w:p>
    <w:p w14:paraId="77032EB0">
      <w:pPr>
        <w:widowControl/>
        <w:jc w:val="left"/>
        <w:rPr>
          <w:rFonts w:hint="eastAsia" w:ascii="宋体" w:hAnsi="宋体" w:eastAsia="宋体" w:cs="宋体"/>
          <w:b/>
          <w:color w:val="auto"/>
          <w:highlight w:val="none"/>
        </w:rPr>
        <w:sectPr>
          <w:pgSz w:w="11907" w:h="16840"/>
          <w:pgMar w:top="1134" w:right="1191" w:bottom="1134" w:left="1304" w:header="851" w:footer="992" w:gutter="0"/>
          <w:pgNumType w:fmt="numberInDash"/>
          <w:cols w:space="720" w:num="1"/>
          <w:docGrid w:type="lines" w:linePitch="380" w:charSpace="0"/>
        </w:sectPr>
      </w:pPr>
    </w:p>
    <w:p w14:paraId="6DC1BBF8">
      <w:pPr>
        <w:snapToGrid w:val="0"/>
        <w:spacing w:line="400" w:lineRule="exact"/>
        <w:ind w:firstLine="480" w:firstLineChars="200"/>
        <w:rPr>
          <w:rFonts w:hint="eastAsia" w:ascii="宋体" w:hAnsi="宋体" w:eastAsia="宋体" w:cs="宋体"/>
          <w:color w:val="auto"/>
          <w:sz w:val="24"/>
          <w:szCs w:val="24"/>
          <w:highlight w:val="none"/>
          <w:lang w:eastAsia="zh-CN"/>
        </w:rPr>
        <w:sectPr>
          <w:pgSz w:w="11906" w:h="16838"/>
          <w:pgMar w:top="1440" w:right="1800" w:bottom="1440" w:left="1800" w:header="851" w:footer="992" w:gutter="0"/>
          <w:pgNumType w:fmt="numberInDash"/>
          <w:cols w:space="425" w:num="1"/>
          <w:docGrid w:type="lines" w:linePitch="312" w:charSpace="0"/>
        </w:sectPr>
      </w:pPr>
      <w:bookmarkStart w:id="183" w:name="_Toc283382459"/>
      <w:bookmarkEnd w:id="183"/>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第四篇评审因素商务评分所需证明材料</w:t>
      </w:r>
    </w:p>
    <w:p w14:paraId="4D34A44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）其它</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sz w:val="24"/>
          <w:szCs w:val="24"/>
          <w:highlight w:val="none"/>
        </w:rPr>
        <w:t>（格式自定）</w:t>
      </w:r>
    </w:p>
    <w:p w14:paraId="38D50F7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3222561">
      <w:pPr>
        <w:pStyle w:val="3"/>
        <w:adjustRightInd w:val="0"/>
        <w:snapToGrid w:val="0"/>
        <w:spacing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84" w:name="_Toc106030909"/>
      <w:bookmarkEnd w:id="184"/>
      <w:bookmarkStart w:id="185" w:name="_Toc313888363"/>
      <w:bookmarkEnd w:id="185"/>
      <w:bookmarkStart w:id="186" w:name="_Toc313008359"/>
      <w:bookmarkEnd w:id="186"/>
      <w:bookmarkStart w:id="187" w:name="_Toc76462353"/>
      <w:bookmarkEnd w:id="187"/>
      <w:bookmarkStart w:id="188" w:name="_Toc342913422"/>
      <w:r>
        <w:rPr>
          <w:rFonts w:hint="eastAsia" w:ascii="宋体" w:hAnsi="宋体" w:eastAsia="宋体" w:cs="宋体"/>
          <w:color w:val="auto"/>
          <w:sz w:val="24"/>
          <w:szCs w:val="24"/>
          <w:highlight w:val="none"/>
        </w:rPr>
        <w:t>四、资格条件</w:t>
      </w:r>
      <w:bookmarkEnd w:id="188"/>
    </w:p>
    <w:p w14:paraId="327ABAF2">
      <w:pPr>
        <w:snapToGrid w:val="0"/>
        <w:spacing w:line="4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25192D7E">
      <w:pPr>
        <w:snapToGrid w:val="0"/>
        <w:spacing w:line="4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2B8BAB4">
      <w:pPr>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01DED1D">
      <w:pPr>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2648547">
      <w:pPr>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3162EED">
      <w:pPr>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3C87C60">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6985175C">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18EF5B7">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r>
        <w:rPr>
          <w:rFonts w:hint="eastAsia" w:ascii="宋体" w:hAnsi="宋体" w:eastAsia="宋体" w:cs="宋体"/>
          <w:color w:val="auto"/>
          <w:sz w:val="24"/>
          <w:szCs w:val="24"/>
          <w:highlight w:val="none"/>
          <w:u w:val="single"/>
        </w:rPr>
        <w:t xml:space="preserve">                                                </w:t>
      </w:r>
    </w:p>
    <w:p w14:paraId="530FA02C">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6C9B36B">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56E71BB9">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38148BCF">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C528359">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2D269673">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527CABE">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576329C">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EB8A90D">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（供应商公章）</w:t>
      </w:r>
    </w:p>
    <w:p w14:paraId="23764E03">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832828D">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92FC98D">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法定代表人电话：XXXXXXX      电子邮箱：XXXXXX@XXXXX（若授权他人办理并签署响应文件的可不填写）</w:t>
      </w:r>
    </w:p>
    <w:p w14:paraId="016FDFDD">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21C684C1">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828CF5C">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CAB6F71">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E4288F1">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26A6189">
      <w:pPr>
        <w:snapToGrid w:val="0"/>
        <w:spacing w:line="500" w:lineRule="exact"/>
        <w:ind w:firstLine="570"/>
        <w:rPr>
          <w:rFonts w:hint="eastAsia" w:ascii="宋体" w:hAnsi="宋体" w:eastAsia="宋体" w:cs="宋体"/>
          <w:color w:val="auto"/>
          <w:sz w:val="24"/>
          <w:szCs w:val="24"/>
          <w:highlight w:val="none"/>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color w:val="auto"/>
          <w:sz w:val="24"/>
          <w:szCs w:val="24"/>
          <w:highlight w:val="none"/>
        </w:rPr>
        <w:t xml:space="preserve"> </w:t>
      </w:r>
    </w:p>
    <w:p w14:paraId="22E420F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78ED5B7A">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ED5E987">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r>
        <w:rPr>
          <w:rFonts w:hint="eastAsia" w:ascii="宋体" w:hAnsi="宋体" w:eastAsia="宋体" w:cs="宋体"/>
          <w:color w:val="auto"/>
          <w:sz w:val="24"/>
          <w:szCs w:val="24"/>
          <w:highlight w:val="none"/>
          <w:u w:val="single"/>
        </w:rPr>
        <w:t xml:space="preserve">                                                </w:t>
      </w:r>
    </w:p>
    <w:p w14:paraId="1F7A14A3">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5E40362">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75340A8B">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（被授权人姓名及身份证代码）代表我单位全权办理上述项目的磋商、签约等具体工作，并签署全部有关文件、协议及合同。</w:t>
      </w:r>
    </w:p>
    <w:p w14:paraId="7BA897D0">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我单位对被授权人的签署负全部责任。</w:t>
      </w:r>
    </w:p>
    <w:p w14:paraId="149B0F81">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14:paraId="4E6F9DE3">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BB4FD32">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76DD124">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                                 供应商法定代表人：</w:t>
      </w:r>
    </w:p>
    <w:p w14:paraId="0D76A3F8">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（签署或盖章）                                （签署或盖章）</w:t>
      </w:r>
    </w:p>
    <w:p w14:paraId="57D0985D">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FE27052">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14:paraId="62767A20">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30448A8">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509251C">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FC18B99">
      <w:pPr>
        <w:snapToGrid w:val="0"/>
        <w:spacing w:line="500" w:lineRule="exac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05A4DEAC">
      <w:pPr>
        <w:snapToGrid w:val="0"/>
        <w:spacing w:line="500" w:lineRule="exac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5BE71BD">
      <w:pPr>
        <w:snapToGrid w:val="0"/>
        <w:spacing w:line="500" w:lineRule="exact"/>
        <w:ind w:right="480"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被授权人电话：XXXXXXX     电子邮箱：XXXXXX@XXXXX（若法定代表人办理并签署响应文件的可不填写）</w:t>
      </w:r>
    </w:p>
    <w:p w14:paraId="475CE7C2">
      <w:pPr>
        <w:snapToGrid w:val="0"/>
        <w:spacing w:line="500" w:lineRule="exact"/>
        <w:ind w:right="480"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注：1.若为法定代表人办理并签署响应文件的，不提供此文件。</w:t>
      </w:r>
    </w:p>
    <w:p w14:paraId="4A30B761">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szCs w:val="24"/>
          <w:highlight w:val="none"/>
        </w:rPr>
        <w:t>出具。</w:t>
      </w:r>
    </w:p>
    <w:p w14:paraId="61A53264">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32FA8CEF">
      <w:pPr>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545FCD7D">
      <w:pPr>
        <w:snapToGrid w:val="0"/>
        <w:spacing w:line="5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7CA9F03">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0BCF3655">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（供应商名称）郑重承诺：</w:t>
      </w:r>
    </w:p>
    <w:p w14:paraId="18726A4B">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06F96FD">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4FBB66A7">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7CEB4031">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3EED50B3">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6CBE7F0F">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DBB6378">
      <w:pPr>
        <w:snapToGrid w:val="0"/>
        <w:spacing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07F7E5EC">
      <w:pPr>
        <w:snapToGrid w:val="0"/>
        <w:spacing w:line="500" w:lineRule="exact"/>
        <w:jc w:val="right"/>
        <w:rPr>
          <w:rFonts w:hint="eastAsia" w:ascii="宋体" w:hAnsi="宋体" w:eastAsia="宋体" w:cs="宋体"/>
          <w:color w:val="auto"/>
          <w:sz w:val="24"/>
          <w:szCs w:val="24"/>
          <w:highlight w:val="none"/>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color w:val="auto"/>
          <w:sz w:val="24"/>
          <w:szCs w:val="24"/>
          <w:highlight w:val="none"/>
        </w:rPr>
        <w:t>年   月   日</w:t>
      </w:r>
    </w:p>
    <w:p w14:paraId="48222439">
      <w:pPr>
        <w:pStyle w:val="5"/>
        <w:rPr>
          <w:rFonts w:hint="default" w:eastAsia="宋体"/>
          <w:color w:val="auto"/>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特定资格条件证明材料</w:t>
      </w:r>
    </w:p>
    <w:p w14:paraId="670C21A9">
      <w:pPr>
        <w:snapToGrid w:val="0"/>
        <w:spacing w:line="400" w:lineRule="exact"/>
        <w:rPr>
          <w:rFonts w:hint="eastAsia" w:ascii="宋体" w:hAnsi="宋体" w:eastAsia="宋体" w:cs="宋体"/>
          <w:color w:val="auto"/>
          <w:sz w:val="24"/>
          <w:szCs w:val="24"/>
          <w:highlight w:val="none"/>
        </w:rPr>
      </w:pPr>
      <w:bookmarkStart w:id="189" w:name="_Toc14422"/>
      <w:bookmarkEnd w:id="189"/>
      <w:r>
        <w:rPr>
          <w:rFonts w:hint="eastAsia" w:ascii="宋体" w:hAnsi="宋体" w:eastAsia="宋体" w:cs="宋体"/>
          <w:b w:val="0"/>
          <w:bCs/>
          <w:color w:val="auto"/>
          <w:sz w:val="28"/>
          <w:szCs w:val="28"/>
          <w:highlight w:val="none"/>
        </w:rPr>
        <w:br w:type="page"/>
      </w:r>
      <w:bookmarkStart w:id="190" w:name="_Toc106030910"/>
      <w:bookmarkEnd w:id="190"/>
      <w:bookmarkStart w:id="191" w:name="_Toc76462354"/>
      <w:r>
        <w:rPr>
          <w:rFonts w:hint="eastAsia" w:ascii="宋体" w:hAnsi="宋体" w:eastAsia="宋体" w:cs="宋体"/>
          <w:color w:val="auto"/>
          <w:sz w:val="24"/>
          <w:szCs w:val="24"/>
          <w:highlight w:val="none"/>
        </w:rPr>
        <w:t>五、其他资料</w:t>
      </w:r>
      <w:bookmarkEnd w:id="191"/>
    </w:p>
    <w:p w14:paraId="2AF67A43">
      <w:pPr>
        <w:snapToGrid w:val="0"/>
        <w:spacing w:line="400" w:lineRule="exact"/>
        <w:ind w:firstLine="480" w:firstLineChars="200"/>
        <w:rPr>
          <w:rFonts w:hint="eastAsia" w:ascii="宋体" w:hAnsi="宋体" w:eastAsia="宋体" w:cs="宋体"/>
          <w:color w:val="auto"/>
          <w:sz w:val="24"/>
          <w:szCs w:val="24"/>
          <w:highlight w:val="none"/>
        </w:rPr>
      </w:pPr>
    </w:p>
    <w:p w14:paraId="072F506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）其他与项目有关的资料</w:t>
      </w:r>
    </w:p>
    <w:p w14:paraId="44EA562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其他与项目有关的资料（自附）：供应商总体情况介绍、其他与本项目有关的资料等。</w:t>
      </w:r>
    </w:p>
    <w:p w14:paraId="342B6C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DC39A81">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BA0DD7B">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0CC69A9">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788A4E7">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76737C5">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9D1F548">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51A9C83">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13998E0">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F4E2E44">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CC407C8">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0E66166">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02D1980">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94AE664">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A5DE6C6">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4072F91">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2C50D02">
      <w:pPr>
        <w:spacing w:line="360" w:lineRule="auto"/>
        <w:ind w:firstLine="480" w:firstLineChars="200"/>
        <w:jc w:val="center"/>
        <w:outlineLvl w:val="0"/>
        <w:rPr>
          <w:rFonts w:hint="eastAsia" w:ascii="宋体" w:hAnsi="宋体" w:eastAsia="宋体" w:cs="宋体"/>
          <w:color w:val="auto"/>
          <w:highlight w:val="none"/>
        </w:rPr>
      </w:pPr>
      <w:bookmarkStart w:id="192" w:name="_Toc9585"/>
      <w:bookmarkStart w:id="193" w:name="_Toc24751"/>
      <w:bookmarkStart w:id="194" w:name="_Toc13578"/>
      <w:r>
        <w:rPr>
          <w:rFonts w:hint="eastAsia" w:ascii="宋体" w:hAnsi="宋体" w:eastAsia="宋体" w:cs="宋体"/>
          <w:color w:val="auto"/>
          <w:sz w:val="24"/>
          <w:szCs w:val="24"/>
          <w:highlight w:val="none"/>
        </w:rPr>
        <w:t>（结束）</w:t>
      </w:r>
      <w:bookmarkEnd w:id="192"/>
      <w:bookmarkEnd w:id="193"/>
      <w:bookmarkEnd w:id="194"/>
    </w:p>
    <w:p w14:paraId="499DF858">
      <w:pPr>
        <w:rPr>
          <w:rFonts w:hint="eastAsia" w:ascii="宋体" w:hAnsi="宋体" w:eastAsia="宋体" w:cs="宋体"/>
          <w:color w:val="auto"/>
          <w:highlight w:val="none"/>
        </w:rPr>
      </w:pPr>
    </w:p>
    <w:p w14:paraId="622E1D37">
      <w:pPr>
        <w:rPr>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16A5F">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E9CB1">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EE9CB1">
                    <w:pPr>
                      <w:pStyle w:val="1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DAF2D">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3C31B">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93C31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D5D90">
    <w:pPr>
      <w:pStyle w:val="10"/>
      <w:tabs>
        <w:tab w:val="center" w:pos="4153"/>
        <w:tab w:val="right" w:pos="8306"/>
      </w:tabs>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FA4003">
                          <w:pPr>
                            <w:pStyle w:val="10"/>
                            <w:tabs>
                              <w:tab w:val="center" w:pos="4153"/>
                              <w:tab w:val="right" w:pos="8306"/>
                            </w:tabs>
                          </w:pPr>
                          <w:r>
                            <w:fldChar w:fldCharType="begin"/>
                          </w:r>
                          <w:r>
                            <w:instrText xml:space="preserve"> PAGE  \* MERGEFORMAT </w:instrText>
                          </w:r>
                          <w:r>
                            <w:fldChar w:fldCharType="separate"/>
                          </w:r>
                          <w:r>
                            <w:t>- 27 -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EFA4003">
                    <w:pPr>
                      <w:pStyle w:val="10"/>
                      <w:tabs>
                        <w:tab w:val="center" w:pos="4153"/>
                        <w:tab w:val="right" w:pos="8306"/>
                      </w:tabs>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7AD4D"/>
    <w:multiLevelType w:val="singleLevel"/>
    <w:tmpl w:val="B217AD4D"/>
    <w:lvl w:ilvl="0" w:tentative="0">
      <w:start w:val="2"/>
      <w:numFmt w:val="chineseCounting"/>
      <w:suff w:val="space"/>
      <w:lvlText w:val="第%1篇"/>
      <w:lvlJc w:val="left"/>
      <w:rPr>
        <w:rFonts w:hint="eastAsia"/>
      </w:rPr>
    </w:lvl>
  </w:abstractNum>
  <w:abstractNum w:abstractNumId="1">
    <w:nsid w:val="2FFEC3E2"/>
    <w:multiLevelType w:val="singleLevel"/>
    <w:tmpl w:val="2FFEC3E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4BD2"/>
    <w:rsid w:val="0D012A44"/>
    <w:rsid w:val="0E7B0A75"/>
    <w:rsid w:val="112C6E0A"/>
    <w:rsid w:val="15E46C8F"/>
    <w:rsid w:val="1EB3577E"/>
    <w:rsid w:val="259F0909"/>
    <w:rsid w:val="29757EB9"/>
    <w:rsid w:val="29FF66A6"/>
    <w:rsid w:val="3192385D"/>
    <w:rsid w:val="31CB5F74"/>
    <w:rsid w:val="32176FC2"/>
    <w:rsid w:val="3245659C"/>
    <w:rsid w:val="34B17299"/>
    <w:rsid w:val="395E6DB3"/>
    <w:rsid w:val="3A226651"/>
    <w:rsid w:val="3A40540A"/>
    <w:rsid w:val="3DF62948"/>
    <w:rsid w:val="3EB943B9"/>
    <w:rsid w:val="43DD374E"/>
    <w:rsid w:val="4F2B0E28"/>
    <w:rsid w:val="531168BC"/>
    <w:rsid w:val="58F72073"/>
    <w:rsid w:val="5AD6477C"/>
    <w:rsid w:val="5FAF18FA"/>
    <w:rsid w:val="6002752D"/>
    <w:rsid w:val="6198112C"/>
    <w:rsid w:val="65BF2EAD"/>
    <w:rsid w:val="676C194E"/>
    <w:rsid w:val="6DEC73CC"/>
    <w:rsid w:val="7404488B"/>
    <w:rsid w:val="7A6D2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2"/>
    <w:basedOn w:val="1"/>
    <w:next w:val="1"/>
    <w:qFormat/>
    <w:uiPriority w:val="99"/>
    <w:pPr>
      <w:keepNext/>
      <w:keepLines/>
      <w:spacing w:line="412" w:lineRule="auto"/>
      <w:outlineLvl w:val="1"/>
    </w:pPr>
    <w:rPr>
      <w:rFonts w:ascii="Arial" w:hAnsi="Arial" w:eastAsia="黑体" w:cs="Arial"/>
      <w:b/>
      <w:sz w:val="32"/>
      <w:szCs w:val="32"/>
    </w:rPr>
  </w:style>
  <w:style w:type="paragraph" w:styleId="4">
    <w:name w:val="heading 3"/>
    <w:basedOn w:val="1"/>
    <w:next w:val="1"/>
    <w:qFormat/>
    <w:uiPriority w:val="0"/>
    <w:pPr>
      <w:keepNext/>
      <w:keepLines/>
      <w:spacing w:before="260" w:beforeLines="0" w:beforeAutospacing="0" w:after="260" w:afterLines="0" w:afterAutospacing="0" w:line="413" w:lineRule="auto"/>
      <w:jc w:val="center"/>
      <w:outlineLvl w:val="2"/>
    </w:pPr>
    <w:rPr>
      <w:b/>
      <w:sz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rPr>
  </w:style>
  <w:style w:type="paragraph" w:styleId="5">
    <w:name w:val="Body Text"/>
    <w:basedOn w:val="1"/>
    <w:next w:val="1"/>
    <w:qFormat/>
    <w:uiPriority w:val="0"/>
    <w:rPr>
      <w:rFonts w:ascii="仿宋_GB2312" w:eastAsia="仿宋_GB2312"/>
      <w:kern w:val="2"/>
      <w:sz w:val="32"/>
    </w:rPr>
  </w:style>
  <w:style w:type="paragraph" w:styleId="6">
    <w:name w:val="Body Text Indent"/>
    <w:basedOn w:val="1"/>
    <w:unhideWhenUsed/>
    <w:qFormat/>
    <w:uiPriority w:val="99"/>
    <w:pPr>
      <w:spacing w:before="100" w:beforeAutospacing="1" w:after="100" w:afterAutospacing="1" w:line="700" w:lineRule="exact"/>
      <w:ind w:left="960"/>
    </w:pPr>
    <w:rPr>
      <w:sz w:val="44"/>
      <w:szCs w:val="44"/>
    </w:rPr>
  </w:style>
  <w:style w:type="paragraph" w:styleId="7">
    <w:name w:val="Plain Text"/>
    <w:basedOn w:val="1"/>
    <w:unhideWhenUsed/>
    <w:qFormat/>
    <w:uiPriority w:val="99"/>
    <w:rPr>
      <w:rFonts w:ascii="宋体" w:hAnsi="Courier New" w:cs="宋体"/>
      <w:sz w:val="21"/>
      <w:szCs w:val="21"/>
    </w:rPr>
  </w:style>
  <w:style w:type="paragraph" w:styleId="8">
    <w:name w:val="Date"/>
    <w:basedOn w:val="1"/>
    <w:next w:val="1"/>
    <w:unhideWhenUsed/>
    <w:qFormat/>
    <w:uiPriority w:val="99"/>
  </w:style>
  <w:style w:type="paragraph" w:styleId="9">
    <w:name w:val="Body Text Indent 2"/>
    <w:basedOn w:val="1"/>
    <w:unhideWhenUsed/>
    <w:qFormat/>
    <w:uiPriority w:val="99"/>
    <w:pPr>
      <w:snapToGrid w:val="0"/>
      <w:spacing w:line="560" w:lineRule="atLeast"/>
      <w:ind w:firstLine="540"/>
    </w:pPr>
  </w:style>
  <w:style w:type="paragraph" w:styleId="10">
    <w:name w:val="footer"/>
    <w:basedOn w:val="1"/>
    <w:unhideWhenUsed/>
    <w:qFormat/>
    <w:uiPriority w:val="99"/>
    <w:pPr>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99"/>
    <w:pPr>
      <w:jc w:val="center"/>
    </w:pPr>
    <w:rPr>
      <w:sz w:val="30"/>
      <w:szCs w:val="3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basedOn w:val="16"/>
    <w:qFormat/>
    <w:uiPriority w:val="0"/>
    <w:rPr>
      <w:color w:val="800080"/>
      <w:u w:val="none"/>
    </w:rPr>
  </w:style>
  <w:style w:type="character" w:styleId="19">
    <w:name w:val="Emphasis"/>
    <w:basedOn w:val="16"/>
    <w:qFormat/>
    <w:uiPriority w:val="0"/>
  </w:style>
  <w:style w:type="character" w:styleId="20">
    <w:name w:val="HTML Definition"/>
    <w:basedOn w:val="16"/>
    <w:qFormat/>
    <w:uiPriority w:val="0"/>
  </w:style>
  <w:style w:type="character" w:styleId="21">
    <w:name w:val="HTML Typewriter"/>
    <w:basedOn w:val="16"/>
    <w:qFormat/>
    <w:uiPriority w:val="0"/>
    <w:rPr>
      <w:rFonts w:hint="default" w:ascii="monospace" w:hAnsi="monospace" w:eastAsia="monospace" w:cs="monospace"/>
      <w:sz w:val="20"/>
    </w:rPr>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qFormat/>
    <w:uiPriority w:val="0"/>
    <w:rPr>
      <w:color w:val="0000FF"/>
      <w:u w:val="none"/>
    </w:rPr>
  </w:style>
  <w:style w:type="character" w:styleId="25">
    <w:name w:val="HTML Code"/>
    <w:basedOn w:val="16"/>
    <w:qFormat/>
    <w:uiPriority w:val="0"/>
    <w:rPr>
      <w:rFonts w:hint="default" w:ascii="monospace" w:hAnsi="monospace" w:eastAsia="monospace" w:cs="monospace"/>
      <w:sz w:val="20"/>
    </w:rPr>
  </w:style>
  <w:style w:type="character" w:styleId="26">
    <w:name w:val="HTML Cite"/>
    <w:basedOn w:val="16"/>
    <w:qFormat/>
    <w:uiPriority w:val="0"/>
  </w:style>
  <w:style w:type="character" w:styleId="27">
    <w:name w:val="HTML Keyboard"/>
    <w:basedOn w:val="16"/>
    <w:qFormat/>
    <w:uiPriority w:val="0"/>
    <w:rPr>
      <w:rFonts w:ascii="monospace" w:hAnsi="monospace" w:eastAsia="monospace" w:cs="monospace"/>
      <w:sz w:val="20"/>
    </w:rPr>
  </w:style>
  <w:style w:type="character" w:styleId="28">
    <w:name w:val="HTML Sample"/>
    <w:basedOn w:val="16"/>
    <w:qFormat/>
    <w:uiPriority w:val="0"/>
    <w:rPr>
      <w:rFonts w:hint="default" w:ascii="monospace" w:hAnsi="monospace" w:eastAsia="monospace" w:cs="monospace"/>
    </w:rPr>
  </w:style>
  <w:style w:type="paragraph" w:customStyle="1" w:styleId="29">
    <w:name w:val="图例"/>
    <w:basedOn w:val="1"/>
    <w:qFormat/>
    <w:uiPriority w:val="0"/>
    <w:pPr>
      <w:spacing w:line="360" w:lineRule="auto"/>
      <w:jc w:val="center"/>
    </w:pPr>
    <w:rPr>
      <w:rFonts w:eastAsia="仿宋_GB2312"/>
      <w:b/>
      <w:sz w:val="24"/>
      <w:szCs w:val="24"/>
    </w:rPr>
  </w:style>
  <w:style w:type="paragraph" w:customStyle="1" w:styleId="30">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Times New Roman" w:cs="Times New Roman"/>
      <w:color w:val="000000"/>
      <w:kern w:val="2"/>
      <w:sz w:val="28"/>
      <w:szCs w:val="28"/>
      <w:u w:color="000000"/>
      <w:shd w:val="clear"/>
      <w:lang w:val="en-US" w:eastAsia="zh-CN" w:bidi="ar-SA"/>
    </w:rPr>
  </w:style>
  <w:style w:type="character" w:customStyle="1" w:styleId="31">
    <w:name w:val="Hyperlink.0"/>
    <w:qFormat/>
    <w:uiPriority w:val="0"/>
    <w:rPr>
      <w:lang w:val="en-US"/>
    </w:rPr>
  </w:style>
  <w:style w:type="paragraph" w:customStyle="1" w:styleId="32">
    <w:name w:val="1"/>
    <w:basedOn w:val="1"/>
    <w:next w:val="7"/>
    <w:qFormat/>
    <w:uiPriority w:val="0"/>
    <w:rPr>
      <w:rFonts w:ascii="宋体" w:hAnsi="Courier New" w:cs="宋体"/>
      <w:sz w:val="21"/>
      <w:szCs w:val="21"/>
    </w:rPr>
  </w:style>
  <w:style w:type="paragraph" w:customStyle="1" w:styleId="33">
    <w:name w:val="无间隔1"/>
    <w:basedOn w:val="1"/>
    <w:qFormat/>
    <w:uiPriority w:val="1"/>
    <w:pPr>
      <w:spacing w:line="400" w:lineRule="exact"/>
    </w:pPr>
    <w:rPr>
      <w:sz w:val="24"/>
    </w:rPr>
  </w:style>
  <w:style w:type="paragraph" w:customStyle="1" w:styleId="3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5">
    <w:name w:val="无间隔2"/>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2637</Words>
  <Characters>2825</Characters>
  <Lines>0</Lines>
  <Paragraphs>0</Paragraphs>
  <TotalTime>0</TotalTime>
  <ScaleCrop>false</ScaleCrop>
  <LinksUpToDate>false</LinksUpToDate>
  <CharactersWithSpaces>2927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2025-04-22T02:09:00Z</dcterms:created>
  <dc:creator>Administrator</dc:creator>
  <cp:lastModifiedBy>22222</cp:lastModifiedBy>
  <cp:lastPrinted>2025-05-06T08:41:00Z</cp:lastPrinted>
  <dcterms:modified xsi:type="dcterms:W3CDTF">2025-05-07T09:32:28Z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eyJoZGlkIjoiMDJmNzQxMmMwMDliNTM3M2M4ODVlYWE5YmRhMGZlZmMiLCJ1c2VySWQiOiIzMDQzODA4ODcifQ==</vt:lpwstr>
  </property>
  <property fmtid="{D5CDD505-2E9C-101B-9397-08002B2CF9AE}" pid="4" name="ICV">
    <vt:lpwstr>AECF834441534089B3223C0DF73D650C_13</vt:lpwstr>
  </property>
</Properties>
</file>