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9"/>
        <w:rPr>
          <w:rFonts w:ascii="仿宋" w:hAnsi="仿宋" w:eastAsia="仿宋" w:cs="仿宋"/>
          <w:color w:val="000000" w:themeColor="text1"/>
          <w:sz w:val="52"/>
          <w14:textFill>
            <w14:solidFill>
              <w14:schemeClr w14:val="tx1"/>
            </w14:solidFill>
          </w14:textFill>
        </w:rPr>
      </w:pPr>
    </w:p>
    <w:p>
      <w:pPr>
        <w:spacing w:line="1600" w:lineRule="exact"/>
        <w:outlineLvl w:val="9"/>
        <w:rPr>
          <w:rFonts w:ascii="仿宋" w:hAnsi="仿宋" w:eastAsia="仿宋" w:cs="仿宋"/>
          <w:color w:val="000000" w:themeColor="text1"/>
          <w:sz w:val="130"/>
          <w:szCs w:val="130"/>
          <w14:textFill>
            <w14:solidFill>
              <w14:schemeClr w14:val="tx1"/>
            </w14:solidFill>
          </w14:textFill>
        </w:rPr>
      </w:pPr>
    </w:p>
    <w:p>
      <w:pPr>
        <w:spacing w:line="1600" w:lineRule="exact"/>
        <w:jc w:val="center"/>
        <w:outlineLvl w:val="0"/>
        <w:rPr>
          <w:rFonts w:ascii="仿宋" w:hAnsi="仿宋" w:eastAsia="仿宋" w:cs="仿宋"/>
          <w:color w:val="000000" w:themeColor="text1"/>
          <w:sz w:val="96"/>
          <w:szCs w:val="96"/>
          <w14:textFill>
            <w14:solidFill>
              <w14:schemeClr w14:val="tx1"/>
            </w14:solidFill>
          </w14:textFill>
        </w:rPr>
      </w:pPr>
      <w:bookmarkStart w:id="0" w:name="_Toc11537"/>
      <w:bookmarkStart w:id="1" w:name="_Toc2273"/>
      <w:r>
        <w:rPr>
          <w:rFonts w:hint="eastAsia" w:ascii="仿宋" w:hAnsi="仿宋" w:eastAsia="仿宋" w:cs="仿宋"/>
          <w:color w:val="000000" w:themeColor="text1"/>
          <w:sz w:val="96"/>
          <w:szCs w:val="96"/>
          <w14:textFill>
            <w14:solidFill>
              <w14:schemeClr w14:val="tx1"/>
            </w14:solidFill>
          </w14:textFill>
        </w:rPr>
        <w:t>竞争性比选文件</w:t>
      </w:r>
      <w:bookmarkEnd w:id="0"/>
      <w:bookmarkEnd w:id="1"/>
    </w:p>
    <w:p>
      <w:pPr>
        <w:pStyle w:val="24"/>
        <w:spacing w:line="500" w:lineRule="exact"/>
        <w:ind w:left="0"/>
        <w:jc w:val="center"/>
        <w:rPr>
          <w:rFonts w:ascii="仿宋" w:hAnsi="仿宋" w:eastAsia="仿宋" w:cs="仿宋"/>
          <w:color w:val="000000" w:themeColor="text1"/>
          <w:sz w:val="32"/>
          <w14:textFill>
            <w14:solidFill>
              <w14:schemeClr w14:val="tx1"/>
            </w14:solidFill>
          </w14:textFill>
        </w:rPr>
      </w:pPr>
    </w:p>
    <w:p>
      <w:pPr>
        <w:pStyle w:val="24"/>
        <w:spacing w:line="500" w:lineRule="exact"/>
        <w:ind w:left="0"/>
        <w:jc w:val="center"/>
        <w:rPr>
          <w:rFonts w:ascii="仿宋" w:hAnsi="仿宋" w:eastAsia="仿宋" w:cs="仿宋"/>
          <w:color w:val="000000" w:themeColor="text1"/>
          <w:sz w:val="32"/>
          <w14:textFill>
            <w14:solidFill>
              <w14:schemeClr w14:val="tx1"/>
            </w14:solidFill>
          </w14:textFill>
        </w:rPr>
      </w:pPr>
    </w:p>
    <w:p>
      <w:pPr>
        <w:pStyle w:val="24"/>
        <w:spacing w:line="500" w:lineRule="exact"/>
        <w:ind w:left="0"/>
        <w:jc w:val="center"/>
        <w:rPr>
          <w:rFonts w:ascii="仿宋" w:hAnsi="仿宋" w:eastAsia="仿宋" w:cs="仿宋"/>
          <w:color w:val="000000" w:themeColor="text1"/>
          <w:sz w:val="32"/>
          <w14:textFill>
            <w14:solidFill>
              <w14:schemeClr w14:val="tx1"/>
            </w14:solidFill>
          </w14:textFill>
        </w:rPr>
      </w:pPr>
    </w:p>
    <w:p>
      <w:pPr>
        <w:pStyle w:val="24"/>
        <w:spacing w:line="500" w:lineRule="exact"/>
        <w:ind w:left="0"/>
        <w:jc w:val="center"/>
        <w:rPr>
          <w:rFonts w:ascii="仿宋" w:hAnsi="仿宋" w:eastAsia="仿宋" w:cs="仿宋"/>
          <w:color w:val="000000" w:themeColor="text1"/>
          <w:sz w:val="32"/>
          <w14:textFill>
            <w14:solidFill>
              <w14:schemeClr w14:val="tx1"/>
            </w14:solidFill>
          </w14:textFill>
        </w:rPr>
      </w:pPr>
    </w:p>
    <w:p>
      <w:pPr>
        <w:pStyle w:val="24"/>
        <w:spacing w:line="500" w:lineRule="exact"/>
        <w:ind w:left="0"/>
        <w:jc w:val="center"/>
        <w:rPr>
          <w:rFonts w:ascii="仿宋" w:hAnsi="仿宋" w:eastAsia="仿宋" w:cs="仿宋"/>
          <w:color w:val="000000" w:themeColor="text1"/>
          <w:sz w:val="32"/>
          <w14:textFill>
            <w14:solidFill>
              <w14:schemeClr w14:val="tx1"/>
            </w14:solidFill>
          </w14:textFill>
        </w:rPr>
      </w:pPr>
    </w:p>
    <w:p>
      <w:pPr>
        <w:pStyle w:val="24"/>
        <w:spacing w:line="500" w:lineRule="exact"/>
        <w:ind w:left="0"/>
        <w:jc w:val="center"/>
        <w:rPr>
          <w:rFonts w:ascii="仿宋" w:hAnsi="仿宋" w:eastAsia="仿宋" w:cs="仿宋"/>
          <w:color w:val="000000" w:themeColor="text1"/>
          <w:sz w:val="32"/>
          <w14:textFill>
            <w14:solidFill>
              <w14:schemeClr w14:val="tx1"/>
            </w14:solidFill>
          </w14:textFill>
        </w:rPr>
      </w:pPr>
    </w:p>
    <w:p>
      <w:pPr>
        <w:pStyle w:val="24"/>
        <w:spacing w:line="500" w:lineRule="exact"/>
        <w:outlineLvl w:val="0"/>
        <w:rPr>
          <w:rFonts w:hint="eastAsia" w:ascii="仿宋" w:hAnsi="仿宋" w:eastAsia="仿宋" w:cs="仿宋"/>
          <w:color w:val="000000" w:themeColor="text1"/>
          <w:sz w:val="32"/>
          <w:lang w:val="en-US" w:eastAsia="zh-CN"/>
          <w14:textFill>
            <w14:solidFill>
              <w14:schemeClr w14:val="tx1"/>
            </w14:solidFill>
          </w14:textFill>
        </w:rPr>
      </w:pPr>
      <w:bookmarkStart w:id="2" w:name="_Toc15668"/>
      <w:bookmarkStart w:id="3" w:name="_Toc16188"/>
      <w:r>
        <w:rPr>
          <w:rFonts w:hint="eastAsia" w:ascii="仿宋" w:hAnsi="仿宋" w:eastAsia="仿宋" w:cs="仿宋"/>
          <w:color w:val="000000" w:themeColor="text1"/>
          <w:sz w:val="32"/>
          <w14:textFill>
            <w14:solidFill>
              <w14:schemeClr w14:val="tx1"/>
            </w14:solidFill>
          </w14:textFill>
        </w:rPr>
        <w:t>项目编号：GY-2024012</w:t>
      </w:r>
      <w:bookmarkEnd w:id="2"/>
      <w:bookmarkEnd w:id="3"/>
      <w:r>
        <w:rPr>
          <w:rFonts w:hint="eastAsia" w:ascii="仿宋" w:hAnsi="仿宋" w:eastAsia="仿宋" w:cs="仿宋"/>
          <w:color w:val="000000" w:themeColor="text1"/>
          <w:sz w:val="32"/>
          <w:lang w:val="en-US" w:eastAsia="zh-CN"/>
          <w14:textFill>
            <w14:solidFill>
              <w14:schemeClr w14:val="tx1"/>
            </w14:solidFill>
          </w14:textFill>
        </w:rPr>
        <w:t>9</w:t>
      </w:r>
    </w:p>
    <w:p>
      <w:pPr>
        <w:pStyle w:val="24"/>
        <w:spacing w:line="500" w:lineRule="exact"/>
        <w:outlineLvl w:val="0"/>
        <w:rPr>
          <w:rFonts w:ascii="仿宋" w:hAnsi="仿宋" w:eastAsia="仿宋" w:cs="仿宋"/>
          <w:color w:val="000000" w:themeColor="text1"/>
          <w:kern w:val="0"/>
          <w:sz w:val="28"/>
          <w:szCs w:val="28"/>
          <w:u w:val="single"/>
          <w14:textFill>
            <w14:solidFill>
              <w14:schemeClr w14:val="tx1"/>
            </w14:solidFill>
          </w14:textFill>
        </w:rPr>
      </w:pPr>
      <w:bookmarkStart w:id="4" w:name="_Toc9256"/>
      <w:bookmarkStart w:id="5" w:name="_Toc14091"/>
      <w:r>
        <w:rPr>
          <w:rFonts w:hint="eastAsia" w:ascii="仿宋" w:hAnsi="仿宋" w:eastAsia="仿宋" w:cs="仿宋"/>
          <w:color w:val="000000" w:themeColor="text1"/>
          <w:sz w:val="32"/>
          <w14:textFill>
            <w14:solidFill>
              <w14:schemeClr w14:val="tx1"/>
            </w14:solidFill>
          </w14:textFill>
        </w:rPr>
        <w:t>项目名称：重庆市沙坪坝区大学城实验幼儿园物业管理服务（保洁、后勤等服务外包）</w:t>
      </w:r>
      <w:bookmarkEnd w:id="4"/>
      <w:bookmarkEnd w:id="5"/>
    </w:p>
    <w:p>
      <w:pPr>
        <w:pStyle w:val="24"/>
        <w:spacing w:line="500" w:lineRule="exact"/>
        <w:ind w:left="0"/>
        <w:jc w:val="center"/>
        <w:rPr>
          <w:rFonts w:ascii="仿宋" w:hAnsi="仿宋" w:eastAsia="仿宋" w:cs="仿宋"/>
          <w:color w:val="000000" w:themeColor="text1"/>
          <w:sz w:val="32"/>
          <w14:textFill>
            <w14:solidFill>
              <w14:schemeClr w14:val="tx1"/>
            </w14:solidFill>
          </w14:textFill>
        </w:rPr>
      </w:pPr>
    </w:p>
    <w:p>
      <w:pPr>
        <w:pStyle w:val="24"/>
        <w:spacing w:line="500" w:lineRule="exact"/>
        <w:ind w:left="0"/>
        <w:jc w:val="center"/>
        <w:rPr>
          <w:rFonts w:ascii="仿宋" w:hAnsi="仿宋" w:eastAsia="仿宋" w:cs="仿宋"/>
          <w:color w:val="000000" w:themeColor="text1"/>
          <w:sz w:val="32"/>
          <w14:textFill>
            <w14:solidFill>
              <w14:schemeClr w14:val="tx1"/>
            </w14:solidFill>
          </w14:textFill>
        </w:rPr>
      </w:pPr>
    </w:p>
    <w:p>
      <w:pPr>
        <w:spacing w:line="500" w:lineRule="exact"/>
        <w:rPr>
          <w:rFonts w:ascii="仿宋" w:hAnsi="仿宋" w:eastAsia="仿宋" w:cs="仿宋"/>
          <w:color w:val="000000" w:themeColor="text1"/>
          <w:sz w:val="32"/>
          <w14:textFill>
            <w14:solidFill>
              <w14:schemeClr w14:val="tx1"/>
            </w14:solidFill>
          </w14:textFill>
        </w:rPr>
      </w:pPr>
    </w:p>
    <w:p>
      <w:pPr>
        <w:spacing w:line="500" w:lineRule="exact"/>
        <w:outlineLvl w:val="9"/>
        <w:rPr>
          <w:rFonts w:ascii="仿宋" w:hAnsi="仿宋" w:eastAsia="仿宋" w:cs="仿宋"/>
          <w:color w:val="000000" w:themeColor="text1"/>
          <w:sz w:val="32"/>
          <w:szCs w:val="32"/>
          <w14:textFill>
            <w14:solidFill>
              <w14:schemeClr w14:val="tx1"/>
            </w14:solidFill>
          </w14:textFill>
        </w:rPr>
      </w:pPr>
    </w:p>
    <w:p>
      <w:pPr>
        <w:spacing w:line="500" w:lineRule="exact"/>
        <w:ind w:firstLine="960" w:firstLineChars="300"/>
        <w:outlineLvl w:val="0"/>
        <w:rPr>
          <w:rFonts w:ascii="仿宋" w:hAnsi="仿宋" w:eastAsia="仿宋" w:cs="仿宋"/>
          <w:color w:val="000000" w:themeColor="text1"/>
          <w:sz w:val="32"/>
          <w:szCs w:val="32"/>
          <w14:textFill>
            <w14:solidFill>
              <w14:schemeClr w14:val="tx1"/>
            </w14:solidFill>
          </w14:textFill>
        </w:rPr>
      </w:pPr>
      <w:bookmarkStart w:id="6" w:name="_Toc435"/>
      <w:bookmarkStart w:id="7" w:name="_Toc17879"/>
      <w:r>
        <w:rPr>
          <w:rFonts w:hint="eastAsia" w:ascii="仿宋" w:hAnsi="仿宋" w:eastAsia="仿宋" w:cs="仿宋"/>
          <w:color w:val="000000" w:themeColor="text1"/>
          <w:sz w:val="32"/>
          <w:szCs w:val="32"/>
          <w14:textFill>
            <w14:solidFill>
              <w14:schemeClr w14:val="tx1"/>
            </w14:solidFill>
          </w14:textFill>
        </w:rPr>
        <w:t>比选人：重庆市沙坪坝区大学城实验幼儿园</w:t>
      </w:r>
      <w:bookmarkEnd w:id="6"/>
      <w:bookmarkEnd w:id="7"/>
    </w:p>
    <w:p>
      <w:pPr>
        <w:spacing w:line="500" w:lineRule="exact"/>
        <w:ind w:firstLine="960" w:firstLineChars="300"/>
        <w:outlineLvl w:val="0"/>
        <w:rPr>
          <w:rFonts w:ascii="仿宋" w:hAnsi="仿宋" w:eastAsia="仿宋" w:cs="仿宋"/>
          <w:color w:val="000000" w:themeColor="text1"/>
          <w:sz w:val="32"/>
          <w:szCs w:val="32"/>
          <w14:textFill>
            <w14:solidFill>
              <w14:schemeClr w14:val="tx1"/>
            </w14:solidFill>
          </w14:textFill>
        </w:rPr>
      </w:pPr>
      <w:bookmarkStart w:id="8" w:name="_Toc30245"/>
      <w:bookmarkStart w:id="9" w:name="_Toc5221"/>
      <w:r>
        <w:rPr>
          <w:rFonts w:hint="eastAsia" w:ascii="仿宋" w:hAnsi="仿宋" w:eastAsia="仿宋" w:cs="仿宋"/>
          <w:color w:val="000000" w:themeColor="text1"/>
          <w:sz w:val="32"/>
          <w:szCs w:val="32"/>
          <w14:textFill>
            <w14:solidFill>
              <w14:schemeClr w14:val="tx1"/>
            </w14:solidFill>
          </w14:textFill>
        </w:rPr>
        <w:t>比选代理机构：重庆共佑工程咨询（重庆）有限公司</w:t>
      </w:r>
      <w:bookmarkEnd w:id="8"/>
      <w:bookmarkEnd w:id="9"/>
      <w:r>
        <w:rPr>
          <w:rFonts w:hint="eastAsia" w:ascii="仿宋" w:hAnsi="仿宋" w:eastAsia="仿宋" w:cs="仿宋"/>
          <w:color w:val="000000" w:themeColor="text1"/>
          <w:sz w:val="32"/>
          <w:szCs w:val="32"/>
          <w14:textFill>
            <w14:solidFill>
              <w14:schemeClr w14:val="tx1"/>
            </w14:solidFill>
          </w14:textFill>
        </w:rPr>
        <w:t xml:space="preserve"> </w:t>
      </w:r>
    </w:p>
    <w:p>
      <w:pPr>
        <w:snapToGrid w:val="0"/>
        <w:spacing w:line="500" w:lineRule="exact"/>
        <w:jc w:val="center"/>
        <w:rPr>
          <w:rFonts w:ascii="仿宋" w:hAnsi="仿宋" w:eastAsia="仿宋" w:cs="仿宋"/>
          <w:color w:val="000000" w:themeColor="text1"/>
          <w:sz w:val="32"/>
          <w:szCs w:val="32"/>
          <w14:textFill>
            <w14:solidFill>
              <w14:schemeClr w14:val="tx1"/>
            </w14:solidFill>
          </w14:textFill>
        </w:rPr>
      </w:pPr>
    </w:p>
    <w:p>
      <w:pPr>
        <w:snapToGrid w:val="0"/>
        <w:spacing w:line="500" w:lineRule="exact"/>
        <w:jc w:val="center"/>
        <w:rPr>
          <w:rFonts w:hint="default" w:ascii="仿宋" w:hAnsi="仿宋" w:eastAsia="仿宋" w:cs="仿宋"/>
          <w:color w:val="000000" w:themeColor="text1"/>
          <w:sz w:val="44"/>
          <w:lang w:val="en-US" w:eastAsia="zh-CN"/>
          <w14:textFill>
            <w14:solidFill>
              <w14:schemeClr w14:val="tx1"/>
            </w14:solidFill>
          </w14:textFill>
        </w:rPr>
        <w:sectPr>
          <w:headerReference r:id="rId4" w:type="first"/>
          <w:headerReference r:id="rId3" w:type="default"/>
          <w:footerReference r:id="rId5" w:type="even"/>
          <w:pgSz w:w="11907" w:h="16840"/>
          <w:pgMar w:top="1134" w:right="1191" w:bottom="1134" w:left="1304" w:header="964" w:footer="992" w:gutter="0"/>
          <w:pgNumType w:start="1"/>
          <w:cols w:space="720" w:num="1"/>
          <w:titlePg/>
          <w:docGrid w:linePitch="312" w:charSpace="0"/>
        </w:sectPr>
      </w:pPr>
      <w:r>
        <w:rPr>
          <w:rFonts w:hint="eastAsia" w:ascii="仿宋" w:hAnsi="仿宋" w:eastAsia="仿宋" w:cs="仿宋"/>
          <w:color w:val="000000" w:themeColor="text1"/>
          <w:sz w:val="32"/>
          <w:szCs w:val="32"/>
          <w14:textFill>
            <w14:solidFill>
              <w14:schemeClr w14:val="tx1"/>
            </w14:solidFill>
          </w14:textFill>
        </w:rPr>
        <w:t>二○二四年</w:t>
      </w:r>
      <w:r>
        <w:rPr>
          <w:rFonts w:hint="eastAsia" w:ascii="仿宋" w:hAnsi="仿宋" w:eastAsia="仿宋" w:cs="仿宋"/>
          <w:color w:val="000000" w:themeColor="text1"/>
          <w:sz w:val="32"/>
          <w:szCs w:val="32"/>
          <w:lang w:val="en-US" w:eastAsia="zh-CN"/>
          <w14:textFill>
            <w14:solidFill>
              <w14:schemeClr w14:val="tx1"/>
            </w14:solidFill>
          </w14:textFill>
        </w:rPr>
        <w:t>一月</w:t>
      </w:r>
    </w:p>
    <w:p>
      <w:pPr>
        <w:snapToGrid w:val="0"/>
        <w:spacing w:line="500" w:lineRule="exact"/>
        <w:jc w:val="both"/>
        <w:rPr>
          <w:rFonts w:hint="eastAsia" w:ascii="仿宋" w:hAnsi="仿宋" w:eastAsia="仿宋" w:cs="仿宋"/>
          <w:color w:val="000000" w:themeColor="text1"/>
          <w:sz w:val="44"/>
          <w14:textFill>
            <w14:solidFill>
              <w14:schemeClr w14:val="tx1"/>
            </w14:solidFill>
          </w14:textFill>
        </w:rPr>
      </w:pPr>
    </w:p>
    <w:sdt>
      <w:sdtPr>
        <w:rPr>
          <w:rFonts w:ascii="宋体" w:hAnsi="宋体" w:eastAsia="宋体" w:cs="Times New Roman"/>
          <w:kern w:val="2"/>
          <w:sz w:val="21"/>
          <w:lang w:val="en-US" w:eastAsia="zh-CN" w:bidi="ar-SA"/>
        </w:rPr>
        <w:id w:val="147472371"/>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4"/>
              <w:szCs w:val="24"/>
            </w:rPr>
          </w:pPr>
          <w:bookmarkStart w:id="10" w:name="_Toc20764"/>
          <w:bookmarkStart w:id="11" w:name="_Toc17535"/>
          <w:bookmarkStart w:id="12" w:name="_Toc30857"/>
          <w:bookmarkStart w:id="13" w:name="_Toc3387"/>
          <w:bookmarkStart w:id="14" w:name="_Toc12504"/>
          <w:r>
            <w:rPr>
              <w:rFonts w:hint="eastAsia" w:ascii="仿宋" w:hAnsi="仿宋" w:eastAsia="仿宋" w:cs="仿宋"/>
              <w:sz w:val="28"/>
              <w:szCs w:val="28"/>
            </w:rPr>
            <w:t>目录</w:t>
          </w:r>
        </w:p>
        <w:p>
          <w:pPr>
            <w:pStyle w:val="232"/>
            <w:tabs>
              <w:tab w:val="right" w:leader="dot" w:pos="9412"/>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p>
        <w:p>
          <w:pPr>
            <w:pStyle w:val="232"/>
            <w:tabs>
              <w:tab w:val="right" w:leader="dot" w:pos="9412"/>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_Toc29379 </w:instrText>
          </w:r>
          <w:r>
            <w:rPr>
              <w:rFonts w:hint="eastAsia" w:ascii="仿宋" w:hAnsi="仿宋" w:eastAsia="仿宋" w:cs="仿宋"/>
              <w:sz w:val="24"/>
              <w:szCs w:val="24"/>
            </w:rPr>
            <w:fldChar w:fldCharType="separate"/>
          </w:r>
          <w:r>
            <w:rPr>
              <w:rFonts w:hint="eastAsia" w:ascii="仿宋" w:hAnsi="仿宋" w:eastAsia="仿宋" w:cs="仿宋"/>
              <w:sz w:val="24"/>
              <w:szCs w:val="24"/>
            </w:rPr>
            <w:t>第一篇 投标邀请书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_Toc29379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_Toc2296 </w:instrText>
          </w:r>
          <w:r>
            <w:rPr>
              <w:rFonts w:hint="eastAsia" w:ascii="仿宋" w:hAnsi="仿宋" w:eastAsia="仿宋" w:cs="仿宋"/>
              <w:sz w:val="24"/>
              <w:szCs w:val="24"/>
            </w:rPr>
            <w:fldChar w:fldCharType="separate"/>
          </w:r>
          <w:r>
            <w:rPr>
              <w:rFonts w:hint="eastAsia" w:ascii="仿宋" w:hAnsi="仿宋" w:eastAsia="仿宋" w:cs="仿宋"/>
              <w:sz w:val="24"/>
              <w:szCs w:val="24"/>
            </w:rPr>
            <w:t>一、招标项目内容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_Toc2296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_Toc10952 </w:instrText>
          </w:r>
          <w:r>
            <w:rPr>
              <w:rFonts w:hint="eastAsia" w:ascii="仿宋" w:hAnsi="仿宋" w:eastAsia="仿宋" w:cs="仿宋"/>
              <w:sz w:val="24"/>
              <w:szCs w:val="24"/>
            </w:rPr>
            <w:fldChar w:fldCharType="separate"/>
          </w:r>
          <w:r>
            <w:rPr>
              <w:rFonts w:hint="eastAsia" w:ascii="仿宋" w:hAnsi="仿宋" w:eastAsia="仿宋" w:cs="仿宋"/>
              <w:sz w:val="24"/>
              <w:szCs w:val="24"/>
            </w:rPr>
            <w:t>二、资金来源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_Toc10952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_Toc14608 </w:instrText>
          </w:r>
          <w:r>
            <w:rPr>
              <w:rFonts w:hint="eastAsia" w:ascii="仿宋" w:hAnsi="仿宋" w:eastAsia="仿宋" w:cs="仿宋"/>
              <w:sz w:val="24"/>
              <w:szCs w:val="24"/>
            </w:rPr>
            <w:fldChar w:fldCharType="separate"/>
          </w:r>
          <w:r>
            <w:rPr>
              <w:rFonts w:hint="eastAsia" w:ascii="仿宋" w:hAnsi="仿宋" w:eastAsia="仿宋" w:cs="仿宋"/>
              <w:sz w:val="24"/>
              <w:szCs w:val="24"/>
            </w:rPr>
            <w:t>三、投标人资格要求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_Toc14608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_Toc8378 </w:instrText>
          </w:r>
          <w:r>
            <w:rPr>
              <w:rFonts w:hint="eastAsia" w:ascii="仿宋" w:hAnsi="仿宋" w:eastAsia="仿宋" w:cs="仿宋"/>
              <w:sz w:val="24"/>
              <w:szCs w:val="24"/>
            </w:rPr>
            <w:fldChar w:fldCharType="separate"/>
          </w:r>
          <w:r>
            <w:rPr>
              <w:rFonts w:hint="eastAsia" w:ascii="仿宋" w:hAnsi="仿宋" w:eastAsia="仿宋" w:cs="仿宋"/>
              <w:sz w:val="24"/>
              <w:szCs w:val="24"/>
            </w:rPr>
            <w:t>四、投标、开标有关说明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_Toc8378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_Toc12193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五、投标保证金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_Toc12193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_Toc4843 </w:instrText>
          </w:r>
          <w:r>
            <w:rPr>
              <w:rFonts w:hint="eastAsia" w:ascii="仿宋" w:hAnsi="仿宋" w:eastAsia="仿宋" w:cs="仿宋"/>
              <w:sz w:val="24"/>
              <w:szCs w:val="24"/>
            </w:rPr>
            <w:fldChar w:fldCharType="separate"/>
          </w:r>
          <w:r>
            <w:rPr>
              <w:rFonts w:hint="eastAsia" w:ascii="仿宋" w:hAnsi="仿宋" w:eastAsia="仿宋" w:cs="仿宋"/>
              <w:sz w:val="24"/>
              <w:szCs w:val="24"/>
            </w:rPr>
            <w:t>六、投标有关规定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_Toc4843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_Toc24076 </w:instrText>
          </w:r>
          <w:r>
            <w:rPr>
              <w:rFonts w:hint="eastAsia" w:ascii="仿宋" w:hAnsi="仿宋" w:eastAsia="仿宋" w:cs="仿宋"/>
              <w:sz w:val="24"/>
              <w:szCs w:val="24"/>
            </w:rPr>
            <w:fldChar w:fldCharType="separate"/>
          </w:r>
          <w:r>
            <w:rPr>
              <w:rFonts w:hint="eastAsia" w:ascii="仿宋" w:hAnsi="仿宋" w:eastAsia="仿宋" w:cs="仿宋"/>
              <w:sz w:val="24"/>
              <w:szCs w:val="24"/>
            </w:rPr>
            <w:t>七、联系方式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_Toc24076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2"/>
            <w:tabs>
              <w:tab w:val="right" w:leader="dot" w:pos="9412"/>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_Toc10363 </w:instrText>
          </w:r>
          <w:r>
            <w:rPr>
              <w:rFonts w:hint="eastAsia" w:ascii="仿宋" w:hAnsi="仿宋" w:eastAsia="仿宋" w:cs="仿宋"/>
              <w:sz w:val="24"/>
              <w:szCs w:val="24"/>
            </w:rPr>
            <w:fldChar w:fldCharType="separate"/>
          </w:r>
          <w:r>
            <w:rPr>
              <w:rFonts w:hint="eastAsia" w:ascii="仿宋" w:hAnsi="仿宋" w:eastAsia="仿宋" w:cs="仿宋"/>
              <w:sz w:val="24"/>
              <w:szCs w:val="24"/>
            </w:rPr>
            <w:t>第二篇 项目服务要求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_Toc10363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_Toc13332 </w:instrText>
          </w:r>
          <w:r>
            <w:rPr>
              <w:rFonts w:hint="eastAsia" w:ascii="仿宋" w:hAnsi="仿宋" w:eastAsia="仿宋" w:cs="仿宋"/>
              <w:sz w:val="24"/>
              <w:szCs w:val="24"/>
            </w:rPr>
            <w:fldChar w:fldCharType="separate"/>
          </w:r>
          <w:r>
            <w:rPr>
              <w:rFonts w:hint="eastAsia" w:ascii="仿宋" w:hAnsi="仿宋" w:eastAsia="仿宋" w:cs="仿宋"/>
              <w:sz w:val="24"/>
              <w:szCs w:val="24"/>
            </w:rPr>
            <w:t>一、招标项目一览表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_Toc13332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_Toc24321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二、招标项目服务需求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_Toc24321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_Toc18670 </w:instrText>
          </w:r>
          <w:r>
            <w:rPr>
              <w:rFonts w:hint="eastAsia" w:ascii="仿宋" w:hAnsi="仿宋" w:eastAsia="仿宋" w:cs="仿宋"/>
              <w:sz w:val="24"/>
              <w:szCs w:val="24"/>
            </w:rPr>
            <w:fldChar w:fldCharType="separate"/>
          </w:r>
          <w:r>
            <w:rPr>
              <w:rFonts w:hint="eastAsia" w:ascii="仿宋" w:hAnsi="仿宋" w:eastAsia="仿宋" w:cs="仿宋"/>
              <w:sz w:val="24"/>
              <w:szCs w:val="24"/>
            </w:rPr>
            <w:t>三、</w:t>
          </w:r>
          <w:r>
            <w:rPr>
              <w:rFonts w:hint="eastAsia" w:ascii="仿宋" w:hAnsi="仿宋" w:eastAsia="仿宋" w:cs="仿宋"/>
              <w:sz w:val="24"/>
              <w:szCs w:val="24"/>
              <w:lang w:val="en-US" w:eastAsia="zh-CN"/>
            </w:rPr>
            <w:t>工资要求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_Toc18670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_Toc6477 </w:instrText>
          </w:r>
          <w:r>
            <w:rPr>
              <w:rFonts w:hint="eastAsia" w:ascii="仿宋" w:hAnsi="仿宋" w:eastAsia="仿宋" w:cs="仿宋"/>
              <w:sz w:val="24"/>
              <w:szCs w:val="24"/>
            </w:rPr>
            <w:fldChar w:fldCharType="separate"/>
          </w:r>
          <w:r>
            <w:rPr>
              <w:rFonts w:hint="eastAsia" w:ascii="仿宋" w:hAnsi="仿宋" w:eastAsia="仿宋" w:cs="仿宋"/>
              <w:sz w:val="24"/>
              <w:szCs w:val="24"/>
            </w:rPr>
            <w:t>四、</w:t>
          </w:r>
          <w:r>
            <w:rPr>
              <w:rFonts w:hint="eastAsia" w:ascii="仿宋" w:hAnsi="仿宋" w:eastAsia="仿宋" w:cs="仿宋"/>
              <w:sz w:val="24"/>
              <w:szCs w:val="24"/>
              <w:lang w:val="en-US" w:eastAsia="zh-CN"/>
            </w:rPr>
            <w:t>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_Toc6477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2"/>
            <w:tabs>
              <w:tab w:val="right" w:leader="dot" w:pos="9412"/>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_Toc10748 </w:instrText>
          </w:r>
          <w:r>
            <w:rPr>
              <w:rFonts w:hint="eastAsia" w:ascii="仿宋" w:hAnsi="仿宋" w:eastAsia="仿宋" w:cs="仿宋"/>
              <w:sz w:val="24"/>
              <w:szCs w:val="24"/>
            </w:rPr>
            <w:fldChar w:fldCharType="separate"/>
          </w:r>
          <w:r>
            <w:rPr>
              <w:rFonts w:hint="eastAsia" w:ascii="仿宋" w:hAnsi="仿宋" w:eastAsia="仿宋" w:cs="仿宋"/>
              <w:sz w:val="24"/>
              <w:szCs w:val="24"/>
            </w:rPr>
            <w:t>第三篇  项目商务要求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_Toc10748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_Toc4155 </w:instrText>
          </w:r>
          <w:r>
            <w:rPr>
              <w:rFonts w:hint="eastAsia" w:ascii="仿宋" w:hAnsi="仿宋" w:eastAsia="仿宋" w:cs="仿宋"/>
              <w:sz w:val="24"/>
              <w:szCs w:val="24"/>
            </w:rPr>
            <w:fldChar w:fldCharType="separate"/>
          </w:r>
          <w:r>
            <w:rPr>
              <w:rFonts w:hint="eastAsia" w:ascii="仿宋" w:hAnsi="仿宋" w:eastAsia="仿宋" w:cs="仿宋"/>
              <w:sz w:val="24"/>
              <w:szCs w:val="24"/>
            </w:rPr>
            <w:t>一、服务期、服务地点及验收方式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_Toc4155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_Toc12947 </w:instrText>
          </w:r>
          <w:r>
            <w:rPr>
              <w:rFonts w:hint="eastAsia" w:ascii="仿宋" w:hAnsi="仿宋" w:eastAsia="仿宋" w:cs="仿宋"/>
              <w:sz w:val="24"/>
              <w:szCs w:val="24"/>
            </w:rPr>
            <w:fldChar w:fldCharType="separate"/>
          </w:r>
          <w:r>
            <w:rPr>
              <w:rFonts w:hint="eastAsia" w:ascii="仿宋" w:hAnsi="仿宋" w:eastAsia="仿宋" w:cs="仿宋"/>
              <w:sz w:val="24"/>
              <w:szCs w:val="24"/>
            </w:rPr>
            <w:t>二、报价要求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_Toc12947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_Toc23679 </w:instrText>
          </w:r>
          <w:r>
            <w:rPr>
              <w:rFonts w:hint="eastAsia" w:ascii="仿宋" w:hAnsi="仿宋" w:eastAsia="仿宋" w:cs="仿宋"/>
              <w:sz w:val="24"/>
              <w:szCs w:val="24"/>
            </w:rPr>
            <w:fldChar w:fldCharType="separate"/>
          </w:r>
          <w:r>
            <w:rPr>
              <w:rFonts w:hint="eastAsia" w:ascii="仿宋" w:hAnsi="仿宋" w:eastAsia="仿宋" w:cs="仿宋"/>
              <w:sz w:val="24"/>
              <w:szCs w:val="24"/>
            </w:rPr>
            <w:t>三、付款方式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_Toc23679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_Toc3861 </w:instrText>
          </w:r>
          <w:r>
            <w:rPr>
              <w:rFonts w:hint="eastAsia" w:ascii="仿宋" w:hAnsi="仿宋" w:eastAsia="仿宋" w:cs="仿宋"/>
              <w:sz w:val="24"/>
              <w:szCs w:val="24"/>
            </w:rPr>
            <w:fldChar w:fldCharType="separate"/>
          </w:r>
          <w:r>
            <w:rPr>
              <w:rFonts w:hint="eastAsia" w:ascii="仿宋" w:hAnsi="仿宋" w:eastAsia="仿宋" w:cs="仿宋"/>
              <w:sz w:val="24"/>
              <w:szCs w:val="24"/>
            </w:rPr>
            <w:t>四、知识产权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_Toc3861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_Toc1973 </w:instrText>
          </w:r>
          <w:r>
            <w:rPr>
              <w:rFonts w:hint="eastAsia" w:ascii="仿宋" w:hAnsi="仿宋" w:eastAsia="仿宋" w:cs="仿宋"/>
              <w:sz w:val="24"/>
              <w:szCs w:val="24"/>
            </w:rPr>
            <w:fldChar w:fldCharType="separate"/>
          </w:r>
          <w:r>
            <w:rPr>
              <w:rFonts w:hint="eastAsia" w:ascii="仿宋" w:hAnsi="仿宋" w:eastAsia="仿宋" w:cs="仿宋"/>
              <w:sz w:val="24"/>
              <w:szCs w:val="24"/>
            </w:rPr>
            <w:t>五、其他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_Toc1973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2"/>
            <w:tabs>
              <w:tab w:val="right" w:leader="dot" w:pos="9412"/>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_Toc13250 </w:instrText>
          </w:r>
          <w:r>
            <w:rPr>
              <w:rFonts w:hint="eastAsia" w:ascii="仿宋" w:hAnsi="仿宋" w:eastAsia="仿宋" w:cs="仿宋"/>
              <w:sz w:val="24"/>
              <w:szCs w:val="24"/>
            </w:rPr>
            <w:fldChar w:fldCharType="separate"/>
          </w:r>
          <w:r>
            <w:rPr>
              <w:rFonts w:hint="eastAsia" w:ascii="仿宋" w:hAnsi="仿宋" w:eastAsia="仿宋" w:cs="仿宋"/>
              <w:sz w:val="24"/>
              <w:szCs w:val="24"/>
            </w:rPr>
            <w:t>第四篇  评标方法、评标标准及无效投标条款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_Toc13250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_Toc8876 </w:instrText>
          </w:r>
          <w:r>
            <w:rPr>
              <w:rFonts w:hint="eastAsia" w:ascii="仿宋" w:hAnsi="仿宋" w:eastAsia="仿宋" w:cs="仿宋"/>
              <w:sz w:val="24"/>
              <w:szCs w:val="24"/>
            </w:rPr>
            <w:fldChar w:fldCharType="separate"/>
          </w:r>
          <w:r>
            <w:rPr>
              <w:rFonts w:hint="eastAsia" w:ascii="仿宋" w:hAnsi="仿宋" w:eastAsia="仿宋" w:cs="仿宋"/>
              <w:sz w:val="24"/>
              <w:szCs w:val="24"/>
            </w:rPr>
            <w:t>一、评标方法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_Toc8876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_Toc19660 </w:instrText>
          </w:r>
          <w:r>
            <w:rPr>
              <w:rFonts w:hint="eastAsia" w:ascii="仿宋" w:hAnsi="仿宋" w:eastAsia="仿宋" w:cs="仿宋"/>
              <w:sz w:val="24"/>
              <w:szCs w:val="24"/>
            </w:rPr>
            <w:fldChar w:fldCharType="separate"/>
          </w:r>
          <w:r>
            <w:rPr>
              <w:rFonts w:hint="eastAsia" w:ascii="仿宋" w:hAnsi="仿宋" w:eastAsia="仿宋" w:cs="仿宋"/>
              <w:sz w:val="24"/>
              <w:szCs w:val="24"/>
            </w:rPr>
            <w:t>二、评标标准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_Toc19660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_Toc31771 </w:instrText>
          </w:r>
          <w:r>
            <w:rPr>
              <w:rFonts w:hint="eastAsia" w:ascii="仿宋" w:hAnsi="仿宋" w:eastAsia="仿宋" w:cs="仿宋"/>
              <w:sz w:val="24"/>
              <w:szCs w:val="24"/>
            </w:rPr>
            <w:fldChar w:fldCharType="separate"/>
          </w:r>
          <w:r>
            <w:rPr>
              <w:rFonts w:hint="eastAsia" w:ascii="仿宋" w:hAnsi="仿宋" w:eastAsia="仿宋" w:cs="仿宋"/>
              <w:sz w:val="24"/>
              <w:szCs w:val="24"/>
            </w:rPr>
            <w:t>三、无效投标条款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_Toc31771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_Toc21456 </w:instrText>
          </w:r>
          <w:r>
            <w:rPr>
              <w:rFonts w:hint="eastAsia" w:ascii="仿宋" w:hAnsi="仿宋" w:eastAsia="仿宋" w:cs="仿宋"/>
              <w:sz w:val="24"/>
              <w:szCs w:val="24"/>
            </w:rPr>
            <w:fldChar w:fldCharType="separate"/>
          </w:r>
          <w:r>
            <w:rPr>
              <w:rFonts w:hint="eastAsia" w:ascii="仿宋" w:hAnsi="仿宋" w:eastAsia="仿宋" w:cs="仿宋"/>
              <w:sz w:val="24"/>
              <w:szCs w:val="24"/>
            </w:rPr>
            <w:t>四、废标条款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_Toc21456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2"/>
            <w:tabs>
              <w:tab w:val="right" w:leader="dot" w:pos="9412"/>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_Toc30409 </w:instrText>
          </w:r>
          <w:r>
            <w:rPr>
              <w:rFonts w:hint="eastAsia" w:ascii="仿宋" w:hAnsi="仿宋" w:eastAsia="仿宋" w:cs="仿宋"/>
              <w:sz w:val="24"/>
              <w:szCs w:val="24"/>
            </w:rPr>
            <w:fldChar w:fldCharType="separate"/>
          </w:r>
          <w:r>
            <w:rPr>
              <w:rFonts w:hint="eastAsia" w:ascii="仿宋" w:hAnsi="仿宋" w:eastAsia="仿宋" w:cs="仿宋"/>
              <w:sz w:val="24"/>
              <w:szCs w:val="24"/>
            </w:rPr>
            <w:t>第五篇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_Toc30409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_Toc15342 </w:instrText>
          </w:r>
          <w:r>
            <w:rPr>
              <w:rFonts w:hint="eastAsia" w:ascii="仿宋" w:hAnsi="仿宋" w:eastAsia="仿宋" w:cs="仿宋"/>
              <w:sz w:val="24"/>
              <w:szCs w:val="24"/>
            </w:rPr>
            <w:fldChar w:fldCharType="separate"/>
          </w:r>
          <w:r>
            <w:rPr>
              <w:rFonts w:hint="eastAsia" w:ascii="仿宋" w:hAnsi="仿宋" w:eastAsia="仿宋" w:cs="仿宋"/>
              <w:sz w:val="24"/>
              <w:szCs w:val="24"/>
            </w:rPr>
            <w:t>一、投标人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_Toc15342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_Toc20475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lang w:eastAsia="zh-CN"/>
            </w:rPr>
            <w:t>比选文件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_Toc20475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_Toc31343 </w:instrText>
          </w:r>
          <w:r>
            <w:rPr>
              <w:rFonts w:hint="eastAsia" w:ascii="仿宋" w:hAnsi="仿宋" w:eastAsia="仿宋" w:cs="仿宋"/>
              <w:sz w:val="24"/>
              <w:szCs w:val="24"/>
            </w:rPr>
            <w:fldChar w:fldCharType="separate"/>
          </w:r>
          <w:r>
            <w:rPr>
              <w:rFonts w:hint="eastAsia" w:ascii="仿宋" w:hAnsi="仿宋" w:eastAsia="仿宋" w:cs="仿宋"/>
              <w:sz w:val="24"/>
              <w:szCs w:val="24"/>
            </w:rPr>
            <w:t>三、投标文件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_Toc31343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_Toc2606 </w:instrText>
          </w:r>
          <w:r>
            <w:rPr>
              <w:rFonts w:hint="eastAsia" w:ascii="仿宋" w:hAnsi="仿宋" w:eastAsia="仿宋" w:cs="仿宋"/>
              <w:sz w:val="24"/>
              <w:szCs w:val="24"/>
            </w:rPr>
            <w:fldChar w:fldCharType="separate"/>
          </w:r>
          <w:r>
            <w:rPr>
              <w:rFonts w:hint="eastAsia" w:ascii="仿宋" w:hAnsi="仿宋" w:eastAsia="仿宋" w:cs="仿宋"/>
              <w:sz w:val="24"/>
              <w:szCs w:val="24"/>
            </w:rPr>
            <w:t>四、开标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_Toc2606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_Toc2232 </w:instrText>
          </w:r>
          <w:r>
            <w:rPr>
              <w:rFonts w:hint="eastAsia" w:ascii="仿宋" w:hAnsi="仿宋" w:eastAsia="仿宋" w:cs="仿宋"/>
              <w:sz w:val="24"/>
              <w:szCs w:val="24"/>
            </w:rPr>
            <w:fldChar w:fldCharType="separate"/>
          </w:r>
          <w:r>
            <w:rPr>
              <w:rFonts w:hint="eastAsia" w:ascii="仿宋" w:hAnsi="仿宋" w:eastAsia="仿宋" w:cs="仿宋"/>
              <w:sz w:val="24"/>
              <w:szCs w:val="24"/>
            </w:rPr>
            <w:t>五、评标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_Toc2232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_Toc16345 </w:instrText>
          </w:r>
          <w:r>
            <w:rPr>
              <w:rFonts w:hint="eastAsia" w:ascii="仿宋" w:hAnsi="仿宋" w:eastAsia="仿宋" w:cs="仿宋"/>
              <w:sz w:val="24"/>
              <w:szCs w:val="24"/>
            </w:rPr>
            <w:fldChar w:fldCharType="separate"/>
          </w:r>
          <w:r>
            <w:rPr>
              <w:rFonts w:hint="eastAsia" w:ascii="仿宋" w:hAnsi="仿宋" w:eastAsia="仿宋" w:cs="仿宋"/>
              <w:sz w:val="24"/>
              <w:szCs w:val="24"/>
            </w:rPr>
            <w:t>六、定标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_Toc16345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_Toc22258 </w:instrText>
          </w:r>
          <w:r>
            <w:rPr>
              <w:rFonts w:hint="eastAsia" w:ascii="仿宋" w:hAnsi="仿宋" w:eastAsia="仿宋" w:cs="仿宋"/>
              <w:sz w:val="24"/>
              <w:szCs w:val="24"/>
            </w:rPr>
            <w:fldChar w:fldCharType="separate"/>
          </w:r>
          <w:r>
            <w:rPr>
              <w:rFonts w:hint="eastAsia" w:ascii="仿宋" w:hAnsi="仿宋" w:eastAsia="仿宋" w:cs="仿宋"/>
              <w:sz w:val="24"/>
              <w:szCs w:val="24"/>
            </w:rPr>
            <w:t>七、中标通知书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_Toc22258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_Toc2676 </w:instrText>
          </w:r>
          <w:r>
            <w:rPr>
              <w:rFonts w:hint="eastAsia" w:ascii="仿宋" w:hAnsi="仿宋" w:eastAsia="仿宋" w:cs="仿宋"/>
              <w:sz w:val="24"/>
              <w:szCs w:val="24"/>
            </w:rPr>
            <w:fldChar w:fldCharType="separate"/>
          </w:r>
          <w:r>
            <w:rPr>
              <w:rFonts w:hint="eastAsia" w:ascii="仿宋" w:hAnsi="仿宋" w:eastAsia="仿宋" w:cs="仿宋"/>
              <w:sz w:val="24"/>
              <w:szCs w:val="24"/>
            </w:rPr>
            <w:t>八、比选代理服务费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_Toc2676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_Toc10335 </w:instrText>
          </w:r>
          <w:r>
            <w:rPr>
              <w:rFonts w:hint="eastAsia" w:ascii="仿宋" w:hAnsi="仿宋" w:eastAsia="仿宋" w:cs="仿宋"/>
              <w:sz w:val="24"/>
              <w:szCs w:val="24"/>
            </w:rPr>
            <w:fldChar w:fldCharType="separate"/>
          </w:r>
          <w:r>
            <w:rPr>
              <w:rFonts w:hint="eastAsia" w:ascii="仿宋" w:hAnsi="仿宋" w:eastAsia="仿宋" w:cs="仿宋"/>
              <w:sz w:val="24"/>
              <w:szCs w:val="24"/>
            </w:rPr>
            <w:t>九、签订合同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_Toc10335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2"/>
            <w:tabs>
              <w:tab w:val="right" w:leader="dot" w:pos="9412"/>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_Toc30004 </w:instrText>
          </w:r>
          <w:r>
            <w:rPr>
              <w:rFonts w:hint="eastAsia" w:ascii="仿宋" w:hAnsi="仿宋" w:eastAsia="仿宋" w:cs="仿宋"/>
              <w:sz w:val="24"/>
              <w:szCs w:val="24"/>
            </w:rPr>
            <w:fldChar w:fldCharType="separate"/>
          </w:r>
          <w:r>
            <w:rPr>
              <w:rFonts w:hint="eastAsia" w:ascii="仿宋" w:hAnsi="仿宋" w:eastAsia="仿宋" w:cs="仿宋"/>
              <w:sz w:val="24"/>
              <w:szCs w:val="24"/>
            </w:rPr>
            <w:t>第六篇  合同草案条款（参考）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_Toc30004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2"/>
            <w:tabs>
              <w:tab w:val="right" w:leader="dot" w:pos="9412"/>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_Toc16603 </w:instrText>
          </w:r>
          <w:r>
            <w:rPr>
              <w:rFonts w:hint="eastAsia" w:ascii="仿宋" w:hAnsi="仿宋" w:eastAsia="仿宋" w:cs="仿宋"/>
              <w:sz w:val="24"/>
              <w:szCs w:val="24"/>
            </w:rPr>
            <w:fldChar w:fldCharType="separate"/>
          </w:r>
          <w:r>
            <w:rPr>
              <w:rFonts w:hint="eastAsia" w:ascii="仿宋" w:hAnsi="仿宋" w:eastAsia="仿宋" w:cs="仿宋"/>
              <w:sz w:val="24"/>
              <w:szCs w:val="24"/>
            </w:rPr>
            <w:t>第七篇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_Toc16603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_Toc6471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一</w:t>
          </w:r>
          <w:r>
            <w:rPr>
              <w:rFonts w:hint="eastAsia" w:ascii="仿宋" w:hAnsi="仿宋" w:eastAsia="仿宋" w:cs="仿宋"/>
              <w:sz w:val="24"/>
              <w:szCs w:val="24"/>
            </w:rPr>
            <w:t>、经济文件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_Toc6471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_Toc2766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w:t>
          </w:r>
          <w:r>
            <w:rPr>
              <w:rFonts w:hint="eastAsia" w:ascii="仿宋" w:hAnsi="仿宋" w:eastAsia="仿宋" w:cs="仿宋"/>
              <w:sz w:val="24"/>
              <w:szCs w:val="24"/>
            </w:rPr>
            <w:t>、技术文件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_Toc2766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_Toc19192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三</w:t>
          </w:r>
          <w:r>
            <w:rPr>
              <w:rFonts w:hint="eastAsia" w:ascii="仿宋" w:hAnsi="仿宋" w:eastAsia="仿宋" w:cs="仿宋"/>
              <w:sz w:val="24"/>
              <w:szCs w:val="24"/>
            </w:rPr>
            <w:t>、商务文件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_Toc19192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_Toc25731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四</w:t>
          </w:r>
          <w:r>
            <w:rPr>
              <w:rFonts w:hint="eastAsia" w:ascii="仿宋" w:hAnsi="仿宋" w:eastAsia="仿宋" w:cs="仿宋"/>
              <w:sz w:val="24"/>
              <w:szCs w:val="24"/>
            </w:rPr>
            <w:t>、其他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_Toc25731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ind w:left="0" w:leftChars="0" w:firstLine="0" w:firstLine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_Toc13790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五</w:t>
          </w:r>
          <w:r>
            <w:rPr>
              <w:rFonts w:hint="eastAsia" w:ascii="仿宋" w:hAnsi="仿宋" w:eastAsia="仿宋" w:cs="仿宋"/>
              <w:sz w:val="24"/>
              <w:szCs w:val="24"/>
            </w:rPr>
            <w:t>、资格文件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_Toc13790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3"/>
            <w:tabs>
              <w:tab w:val="right" w:leader="dot" w:pos="9412"/>
            </w:tabs>
            <w:rPr>
              <w:rFonts w:hint="eastAsia" w:ascii="仿宋" w:hAnsi="仿宋" w:eastAsia="仿宋" w:cs="仿宋"/>
              <w:sz w:val="24"/>
              <w:szCs w:val="24"/>
            </w:rPr>
            <w:sectPr>
              <w:headerReference r:id="rId6" w:type="default"/>
              <w:footerReference r:id="rId7" w:type="default"/>
              <w:type w:val="nextColumn"/>
              <w:pgSz w:w="11907" w:h="16840"/>
              <w:pgMar w:top="1134" w:right="1191" w:bottom="1134" w:left="1304" w:header="964" w:footer="992" w:gutter="0"/>
              <w:pgNumType w:fmt="decimal" w:start="1"/>
              <w:cols w:space="720" w:num="1"/>
              <w:docGrid w:linePitch="380" w:charSpace="-5735"/>
            </w:sectPr>
          </w:pPr>
        </w:p>
        <w:p>
          <w:pPr>
            <w:pStyle w:val="233"/>
            <w:tabs>
              <w:tab w:val="right" w:leader="dot" w:pos="9412"/>
            </w:tabs>
            <w:rPr>
              <w:rFonts w:hint="eastAsia" w:ascii="仿宋" w:hAnsi="仿宋" w:eastAsia="仿宋" w:cs="仿宋"/>
              <w:sz w:val="24"/>
              <w:szCs w:val="24"/>
            </w:rPr>
          </w:pPr>
        </w:p>
        <w:p>
          <w:r>
            <w:rPr>
              <w:rFonts w:hint="eastAsia" w:ascii="仿宋" w:hAnsi="仿宋" w:eastAsia="仿宋" w:cs="仿宋"/>
              <w:sz w:val="24"/>
              <w:szCs w:val="24"/>
            </w:rPr>
            <w:fldChar w:fldCharType="end"/>
          </w:r>
        </w:p>
      </w:sdtContent>
    </w:sdt>
    <w:p>
      <w:pPr>
        <w:pStyle w:val="2"/>
        <w:numPr>
          <w:ilvl w:val="0"/>
          <w:numId w:val="16"/>
        </w:numPr>
        <w:spacing w:before="240" w:after="120" w:line="480" w:lineRule="exact"/>
        <w:ind w:left="1531" w:hanging="1531"/>
        <w:jc w:val="center"/>
        <w:rPr>
          <w:rFonts w:ascii="仿宋" w:hAnsi="仿宋" w:eastAsia="仿宋" w:cs="仿宋"/>
          <w:color w:val="000000" w:themeColor="text1"/>
          <w14:textFill>
            <w14:solidFill>
              <w14:schemeClr w14:val="tx1"/>
            </w14:solidFill>
          </w14:textFill>
        </w:rPr>
      </w:pPr>
      <w:bookmarkStart w:id="15" w:name="_Toc29379"/>
      <w:r>
        <w:rPr>
          <w:rFonts w:hint="eastAsia" w:ascii="仿宋" w:hAnsi="仿宋" w:eastAsia="仿宋" w:cs="仿宋"/>
          <w:color w:val="000000" w:themeColor="text1"/>
          <w14:textFill>
            <w14:solidFill>
              <w14:schemeClr w14:val="tx1"/>
            </w14:solidFill>
          </w14:textFill>
        </w:rPr>
        <w:t>投标邀请书</w:t>
      </w:r>
      <w:bookmarkEnd w:id="10"/>
      <w:bookmarkEnd w:id="11"/>
      <w:bookmarkEnd w:id="12"/>
      <w:bookmarkEnd w:id="13"/>
      <w:bookmarkEnd w:id="14"/>
      <w:bookmarkEnd w:id="15"/>
    </w:p>
    <w:p>
      <w:pPr>
        <w:spacing w:line="480" w:lineRule="exact"/>
        <w:ind w:firstLine="480" w:firstLineChars="200"/>
        <w:jc w:val="left"/>
        <w:rPr>
          <w:rFonts w:ascii="仿宋" w:hAnsi="仿宋" w:eastAsia="仿宋" w:cs="仿宋"/>
          <w:b/>
          <w:color w:val="000000" w:themeColor="text1"/>
          <w:sz w:val="24"/>
          <w14:textFill>
            <w14:solidFill>
              <w14:schemeClr w14:val="tx1"/>
            </w14:solidFill>
          </w14:textFill>
        </w:rPr>
      </w:pPr>
      <w:bookmarkStart w:id="16" w:name="_Toc24123"/>
      <w:bookmarkStart w:id="17" w:name="_Toc14395"/>
      <w:bookmarkStart w:id="18" w:name="_Toc14547"/>
      <w:bookmarkStart w:id="19" w:name="_Toc8678"/>
      <w:r>
        <w:rPr>
          <w:rFonts w:hint="eastAsia" w:ascii="仿宋" w:hAnsi="仿宋" w:eastAsia="仿宋" w:cs="仿宋"/>
          <w:color w:val="000000" w:themeColor="text1"/>
          <w:sz w:val="24"/>
          <w:szCs w:val="24"/>
          <w14:textFill>
            <w14:solidFill>
              <w14:schemeClr w14:val="tx1"/>
            </w14:solidFill>
          </w14:textFill>
        </w:rPr>
        <w:t>共佑工程咨询（重庆）有限公司（以下简称：比选代理机构）接受采购人重庆市沙坪坝区大学城实验幼儿园（以下简称：比选人）的委托，对重庆市沙坪坝区大学城实验幼儿园物业管理服务（保洁、后勤等服务外包）进行竞争性比选采购。欢迎有资格的供应商前来参与。</w:t>
      </w:r>
    </w:p>
    <w:p>
      <w:pPr>
        <w:pStyle w:val="3"/>
        <w:spacing w:line="5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20" w:name="_Toc14531"/>
      <w:bookmarkStart w:id="21" w:name="_Toc2296"/>
      <w:r>
        <w:rPr>
          <w:rFonts w:hint="eastAsia" w:ascii="仿宋" w:hAnsi="仿宋" w:eastAsia="仿宋" w:cs="仿宋"/>
          <w:b/>
          <w:color w:val="000000" w:themeColor="text1"/>
          <w:sz w:val="24"/>
          <w14:textFill>
            <w14:solidFill>
              <w14:schemeClr w14:val="tx1"/>
            </w14:solidFill>
          </w14:textFill>
        </w:rPr>
        <w:t>一、招标项目内容</w:t>
      </w:r>
      <w:bookmarkEnd w:id="16"/>
      <w:bookmarkEnd w:id="17"/>
      <w:bookmarkEnd w:id="18"/>
      <w:bookmarkEnd w:id="19"/>
      <w:bookmarkEnd w:id="20"/>
      <w:bookmarkEnd w:id="21"/>
    </w:p>
    <w:tbl>
      <w:tblPr>
        <w:tblStyle w:val="60"/>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69"/>
        <w:gridCol w:w="2126"/>
        <w:gridCol w:w="1309"/>
        <w:gridCol w:w="1118"/>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 w:type="dxa"/>
            <w:vAlign w:val="center"/>
          </w:tcPr>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22" w:name="_Toc5210"/>
            <w:bookmarkStart w:id="23" w:name="_Toc9114"/>
            <w:bookmarkStart w:id="24" w:name="_Toc5984"/>
            <w:bookmarkStart w:id="25" w:name="_Toc2259"/>
            <w:r>
              <w:rPr>
                <w:rFonts w:hint="eastAsia" w:ascii="仿宋" w:hAnsi="仿宋" w:eastAsia="仿宋" w:cs="仿宋"/>
                <w:b/>
                <w:color w:val="000000" w:themeColor="text1"/>
                <w:sz w:val="21"/>
                <w:szCs w:val="21"/>
                <w14:textFill>
                  <w14:solidFill>
                    <w14:schemeClr w14:val="tx1"/>
                  </w14:solidFill>
                </w14:textFill>
              </w:rPr>
              <w:t>序号</w:t>
            </w:r>
            <w:bookmarkEnd w:id="22"/>
            <w:bookmarkEnd w:id="23"/>
          </w:p>
        </w:tc>
        <w:tc>
          <w:tcPr>
            <w:tcW w:w="2869" w:type="dxa"/>
            <w:vAlign w:val="center"/>
          </w:tcPr>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26" w:name="_Toc8803"/>
            <w:bookmarkStart w:id="27" w:name="_Toc7009"/>
            <w:r>
              <w:rPr>
                <w:rFonts w:hint="eastAsia" w:ascii="仿宋" w:hAnsi="仿宋" w:eastAsia="仿宋" w:cs="仿宋"/>
                <w:b/>
                <w:color w:val="000000" w:themeColor="text1"/>
                <w:sz w:val="21"/>
                <w:szCs w:val="21"/>
                <w14:textFill>
                  <w14:solidFill>
                    <w14:schemeClr w14:val="tx1"/>
                  </w14:solidFill>
                </w14:textFill>
              </w:rPr>
              <w:t>招标项目名称</w:t>
            </w:r>
            <w:bookmarkEnd w:id="26"/>
            <w:bookmarkEnd w:id="27"/>
          </w:p>
        </w:tc>
        <w:tc>
          <w:tcPr>
            <w:tcW w:w="2126" w:type="dxa"/>
            <w:vAlign w:val="center"/>
          </w:tcPr>
          <w:p>
            <w:pPr>
              <w:pStyle w:val="24"/>
              <w:spacing w:line="240" w:lineRule="atLeast"/>
              <w:ind w:left="0"/>
              <w:jc w:val="center"/>
              <w:outlineLvl w:val="0"/>
              <w:rPr>
                <w:rFonts w:hint="eastAsia" w:ascii="仿宋" w:hAnsi="仿宋" w:eastAsia="仿宋" w:cs="仿宋"/>
                <w:b/>
                <w:color w:val="000000" w:themeColor="text1"/>
                <w:sz w:val="21"/>
                <w:szCs w:val="21"/>
                <w:lang w:val="en-US" w:eastAsia="zh-CN"/>
                <w14:textFill>
                  <w14:solidFill>
                    <w14:schemeClr w14:val="tx1"/>
                  </w14:solidFill>
                </w14:textFill>
              </w:rPr>
            </w:pPr>
            <w:bookmarkStart w:id="28" w:name="_Toc32196"/>
            <w:bookmarkStart w:id="29" w:name="_Toc16142"/>
            <w:r>
              <w:rPr>
                <w:rFonts w:hint="eastAsia" w:ascii="仿宋" w:hAnsi="仿宋" w:eastAsia="仿宋" w:cs="仿宋"/>
                <w:b/>
                <w:color w:val="000000" w:themeColor="text1"/>
                <w:sz w:val="21"/>
                <w:szCs w:val="21"/>
                <w:lang w:val="en-US" w:eastAsia="zh-CN"/>
                <w14:textFill>
                  <w14:solidFill>
                    <w14:schemeClr w14:val="tx1"/>
                  </w14:solidFill>
                </w14:textFill>
              </w:rPr>
              <w:t>采购预算</w:t>
            </w:r>
          </w:p>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（万元）</w:t>
            </w:r>
            <w:bookmarkEnd w:id="28"/>
            <w:bookmarkEnd w:id="29"/>
          </w:p>
        </w:tc>
        <w:tc>
          <w:tcPr>
            <w:tcW w:w="1309" w:type="dxa"/>
            <w:vAlign w:val="center"/>
          </w:tcPr>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30" w:name="_Toc854"/>
            <w:bookmarkStart w:id="31" w:name="_Toc12807"/>
            <w:r>
              <w:rPr>
                <w:rFonts w:hint="eastAsia" w:ascii="仿宋" w:hAnsi="仿宋" w:eastAsia="仿宋" w:cs="仿宋"/>
                <w:b/>
                <w:color w:val="000000" w:themeColor="text1"/>
                <w:sz w:val="21"/>
                <w:szCs w:val="21"/>
                <w14:textFill>
                  <w14:solidFill>
                    <w14:schemeClr w14:val="tx1"/>
                  </w14:solidFill>
                </w14:textFill>
              </w:rPr>
              <w:t>投标保证金</w:t>
            </w:r>
            <w:bookmarkEnd w:id="30"/>
            <w:bookmarkEnd w:id="31"/>
          </w:p>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32" w:name="_Toc30828"/>
            <w:bookmarkStart w:id="33" w:name="_Toc6553"/>
            <w:r>
              <w:rPr>
                <w:rFonts w:hint="eastAsia" w:ascii="仿宋" w:hAnsi="仿宋" w:eastAsia="仿宋" w:cs="仿宋"/>
                <w:b/>
                <w:color w:val="000000" w:themeColor="text1"/>
                <w:sz w:val="21"/>
                <w:szCs w:val="21"/>
                <w14:textFill>
                  <w14:solidFill>
                    <w14:schemeClr w14:val="tx1"/>
                  </w14:solidFill>
                </w14:textFill>
              </w:rPr>
              <w:t>（万元）</w:t>
            </w:r>
            <w:bookmarkEnd w:id="32"/>
            <w:bookmarkEnd w:id="33"/>
          </w:p>
        </w:tc>
        <w:tc>
          <w:tcPr>
            <w:tcW w:w="1118" w:type="dxa"/>
            <w:vAlign w:val="center"/>
          </w:tcPr>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34" w:name="_Toc24608"/>
            <w:bookmarkStart w:id="35" w:name="_Toc16237"/>
            <w:r>
              <w:rPr>
                <w:rFonts w:hint="eastAsia" w:ascii="仿宋" w:hAnsi="仿宋" w:eastAsia="仿宋" w:cs="仿宋"/>
                <w:b/>
                <w:color w:val="000000" w:themeColor="text1"/>
                <w:sz w:val="21"/>
                <w:szCs w:val="21"/>
                <w14:textFill>
                  <w14:solidFill>
                    <w14:schemeClr w14:val="tx1"/>
                  </w14:solidFill>
                </w14:textFill>
              </w:rPr>
              <w:t>中标人</w:t>
            </w:r>
            <w:bookmarkEnd w:id="34"/>
            <w:bookmarkEnd w:id="35"/>
          </w:p>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36" w:name="_Toc7755"/>
            <w:bookmarkStart w:id="37" w:name="_Toc2822"/>
            <w:r>
              <w:rPr>
                <w:rFonts w:hint="eastAsia" w:ascii="仿宋" w:hAnsi="仿宋" w:eastAsia="仿宋" w:cs="仿宋"/>
                <w:b/>
                <w:color w:val="000000" w:themeColor="text1"/>
                <w:sz w:val="21"/>
                <w:szCs w:val="21"/>
                <w14:textFill>
                  <w14:solidFill>
                    <w14:schemeClr w14:val="tx1"/>
                  </w14:solidFill>
                </w14:textFill>
              </w:rPr>
              <w:t>数量</w:t>
            </w:r>
            <w:bookmarkEnd w:id="36"/>
            <w:bookmarkEnd w:id="37"/>
          </w:p>
        </w:tc>
        <w:tc>
          <w:tcPr>
            <w:tcW w:w="723" w:type="dxa"/>
            <w:vAlign w:val="center"/>
          </w:tcPr>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38" w:name="_Toc12819"/>
            <w:bookmarkStart w:id="39" w:name="_Toc27712"/>
            <w:r>
              <w:rPr>
                <w:rFonts w:hint="eastAsia" w:ascii="仿宋" w:hAnsi="仿宋" w:eastAsia="仿宋" w:cs="仿宋"/>
                <w:b/>
                <w:color w:val="000000" w:themeColor="text1"/>
                <w:sz w:val="21"/>
                <w:szCs w:val="21"/>
                <w14:textFill>
                  <w14:solidFill>
                    <w14:schemeClr w14:val="tx1"/>
                  </w14:solidFill>
                </w14:textFill>
              </w:rPr>
              <w:t>备注</w:t>
            </w:r>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20" w:type="dxa"/>
            <w:vAlign w:val="center"/>
          </w:tcPr>
          <w:p>
            <w:pPr>
              <w:pStyle w:val="15"/>
              <w:spacing w:line="240" w:lineRule="atLeast"/>
              <w:ind w:firstLine="0"/>
              <w:jc w:val="center"/>
              <w:outlineLvl w:val="0"/>
              <w:rPr>
                <w:rFonts w:ascii="仿宋" w:hAnsi="仿宋" w:eastAsia="仿宋" w:cs="仿宋"/>
                <w:bCs/>
                <w:color w:val="000000" w:themeColor="text1"/>
                <w:sz w:val="21"/>
                <w:szCs w:val="21"/>
                <w14:textFill>
                  <w14:solidFill>
                    <w14:schemeClr w14:val="tx1"/>
                  </w14:solidFill>
                </w14:textFill>
              </w:rPr>
            </w:pPr>
            <w:bookmarkStart w:id="40" w:name="_Toc16706"/>
            <w:bookmarkStart w:id="41" w:name="_Toc19197"/>
            <w:r>
              <w:rPr>
                <w:rFonts w:hint="eastAsia" w:ascii="仿宋" w:hAnsi="仿宋" w:eastAsia="仿宋" w:cs="仿宋"/>
                <w:bCs/>
                <w:color w:val="000000" w:themeColor="text1"/>
                <w:sz w:val="21"/>
                <w:szCs w:val="21"/>
                <w14:textFill>
                  <w14:solidFill>
                    <w14:schemeClr w14:val="tx1"/>
                  </w14:solidFill>
                </w14:textFill>
              </w:rPr>
              <w:t>1</w:t>
            </w:r>
            <w:bookmarkEnd w:id="40"/>
            <w:bookmarkEnd w:id="41"/>
          </w:p>
        </w:tc>
        <w:tc>
          <w:tcPr>
            <w:tcW w:w="2869" w:type="dxa"/>
            <w:vAlign w:val="center"/>
          </w:tcPr>
          <w:p>
            <w:pPr>
              <w:pStyle w:val="24"/>
              <w:spacing w:line="240" w:lineRule="atLeast"/>
              <w:ind w:left="0"/>
              <w:outlineLvl w:val="0"/>
              <w:rPr>
                <w:rFonts w:ascii="仿宋" w:hAnsi="仿宋" w:eastAsia="仿宋" w:cs="仿宋"/>
                <w:bCs/>
                <w:color w:val="000000" w:themeColor="text1"/>
                <w:sz w:val="21"/>
                <w:szCs w:val="21"/>
                <w14:textFill>
                  <w14:solidFill>
                    <w14:schemeClr w14:val="tx1"/>
                  </w14:solidFill>
                </w14:textFill>
              </w:rPr>
            </w:pPr>
            <w:bookmarkStart w:id="42" w:name="_Toc28405"/>
            <w:bookmarkStart w:id="43" w:name="_Toc24848"/>
            <w:r>
              <w:rPr>
                <w:rFonts w:hint="eastAsia" w:ascii="仿宋" w:hAnsi="仿宋" w:eastAsia="仿宋" w:cs="仿宋"/>
                <w:bCs/>
                <w:color w:val="000000" w:themeColor="text1"/>
                <w:sz w:val="21"/>
                <w:szCs w:val="21"/>
                <w14:textFill>
                  <w14:solidFill>
                    <w14:schemeClr w14:val="tx1"/>
                  </w14:solidFill>
                </w14:textFill>
              </w:rPr>
              <w:t>重庆市沙坪坝区大学城实验幼儿园物业管理服务（保洁、后勤等服务外包）</w:t>
            </w:r>
            <w:bookmarkEnd w:id="42"/>
            <w:bookmarkEnd w:id="43"/>
          </w:p>
        </w:tc>
        <w:tc>
          <w:tcPr>
            <w:tcW w:w="2126" w:type="dxa"/>
            <w:vAlign w:val="center"/>
          </w:tcPr>
          <w:p>
            <w:pPr>
              <w:pStyle w:val="24"/>
              <w:spacing w:line="240" w:lineRule="atLeast"/>
              <w:ind w:left="0"/>
              <w:jc w:val="center"/>
              <w:outlineLvl w:val="0"/>
              <w:rPr>
                <w:rFonts w:hint="eastAsia" w:ascii="仿宋" w:hAnsi="仿宋" w:eastAsia="仿宋" w:cs="仿宋"/>
                <w:bCs/>
                <w:color w:val="000000" w:themeColor="text1"/>
                <w:sz w:val="21"/>
                <w:szCs w:val="21"/>
                <w:lang w:eastAsia="zh-CN"/>
                <w14:textFill>
                  <w14:solidFill>
                    <w14:schemeClr w14:val="tx1"/>
                  </w14:solidFill>
                </w14:textFill>
              </w:rPr>
            </w:pPr>
            <w:bookmarkStart w:id="44" w:name="_Toc11314"/>
            <w:bookmarkStart w:id="45" w:name="_Toc21186"/>
            <w:r>
              <w:rPr>
                <w:rFonts w:hint="eastAsia" w:ascii="仿宋" w:hAnsi="仿宋" w:eastAsia="仿宋" w:cs="仿宋"/>
                <w:bCs/>
                <w:color w:val="000000" w:themeColor="text1"/>
                <w:sz w:val="21"/>
                <w:szCs w:val="21"/>
                <w14:textFill>
                  <w14:solidFill>
                    <w14:schemeClr w14:val="tx1"/>
                  </w14:solidFill>
                </w14:textFill>
              </w:rPr>
              <w:t>19.8</w:t>
            </w:r>
            <w:bookmarkEnd w:id="44"/>
            <w:bookmarkEnd w:id="45"/>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报价在19.2-19.8范围内的报价为有效报价</w:t>
            </w:r>
            <w:r>
              <w:rPr>
                <w:rFonts w:hint="eastAsia" w:ascii="仿宋" w:hAnsi="仿宋" w:eastAsia="仿宋" w:cs="仿宋"/>
                <w:bCs/>
                <w:color w:val="000000" w:themeColor="text1"/>
                <w:sz w:val="21"/>
                <w:szCs w:val="21"/>
                <w:lang w:eastAsia="zh-CN"/>
                <w14:textFill>
                  <w14:solidFill>
                    <w14:schemeClr w14:val="tx1"/>
                  </w14:solidFill>
                </w14:textFill>
              </w:rPr>
              <w:t>）</w:t>
            </w:r>
          </w:p>
        </w:tc>
        <w:tc>
          <w:tcPr>
            <w:tcW w:w="1309" w:type="dxa"/>
            <w:vAlign w:val="center"/>
          </w:tcPr>
          <w:p>
            <w:pPr>
              <w:pStyle w:val="24"/>
              <w:spacing w:line="240" w:lineRule="atLeast"/>
              <w:ind w:left="0"/>
              <w:jc w:val="center"/>
              <w:outlineLvl w:val="0"/>
              <w:rPr>
                <w:rFonts w:ascii="仿宋" w:hAnsi="仿宋" w:eastAsia="仿宋" w:cs="仿宋"/>
                <w:bCs/>
                <w:color w:val="000000" w:themeColor="text1"/>
                <w:sz w:val="21"/>
                <w:szCs w:val="21"/>
                <w14:textFill>
                  <w14:solidFill>
                    <w14:schemeClr w14:val="tx1"/>
                  </w14:solidFill>
                </w14:textFill>
              </w:rPr>
            </w:pPr>
            <w:bookmarkStart w:id="46" w:name="_Toc7885"/>
            <w:bookmarkStart w:id="47" w:name="_Toc31743"/>
            <w:r>
              <w:rPr>
                <w:rFonts w:hint="eastAsia" w:ascii="仿宋" w:hAnsi="仿宋" w:eastAsia="仿宋" w:cs="仿宋"/>
                <w:bCs/>
                <w:color w:val="000000" w:themeColor="text1"/>
                <w:sz w:val="21"/>
                <w:szCs w:val="21"/>
                <w14:textFill>
                  <w14:solidFill>
                    <w14:schemeClr w14:val="tx1"/>
                  </w14:solidFill>
                </w14:textFill>
              </w:rPr>
              <w:t>0.2</w:t>
            </w:r>
            <w:bookmarkEnd w:id="46"/>
            <w:bookmarkEnd w:id="47"/>
          </w:p>
        </w:tc>
        <w:tc>
          <w:tcPr>
            <w:tcW w:w="1118" w:type="dxa"/>
            <w:vAlign w:val="center"/>
          </w:tcPr>
          <w:p>
            <w:pPr>
              <w:pStyle w:val="15"/>
              <w:spacing w:line="400" w:lineRule="exact"/>
              <w:ind w:firstLine="0"/>
              <w:jc w:val="center"/>
              <w:outlineLvl w:val="0"/>
              <w:rPr>
                <w:rFonts w:ascii="仿宋" w:hAnsi="仿宋" w:eastAsia="仿宋" w:cs="仿宋"/>
                <w:bCs/>
                <w:color w:val="000000" w:themeColor="text1"/>
                <w:sz w:val="21"/>
                <w:szCs w:val="21"/>
                <w14:textFill>
                  <w14:solidFill>
                    <w14:schemeClr w14:val="tx1"/>
                  </w14:solidFill>
                </w14:textFill>
              </w:rPr>
            </w:pPr>
            <w:bookmarkStart w:id="48" w:name="_Toc23034"/>
            <w:bookmarkStart w:id="49" w:name="_Toc21000"/>
            <w:r>
              <w:rPr>
                <w:rFonts w:hint="eastAsia" w:ascii="仿宋" w:hAnsi="仿宋" w:eastAsia="仿宋" w:cs="仿宋"/>
                <w:bCs/>
                <w:color w:val="000000" w:themeColor="text1"/>
                <w:sz w:val="21"/>
                <w:szCs w:val="21"/>
                <w14:textFill>
                  <w14:solidFill>
                    <w14:schemeClr w14:val="tx1"/>
                  </w14:solidFill>
                </w14:textFill>
              </w:rPr>
              <w:t>1</w:t>
            </w:r>
            <w:bookmarkEnd w:id="48"/>
            <w:bookmarkEnd w:id="49"/>
          </w:p>
        </w:tc>
        <w:tc>
          <w:tcPr>
            <w:tcW w:w="723" w:type="dxa"/>
            <w:vAlign w:val="center"/>
          </w:tcPr>
          <w:p>
            <w:pPr>
              <w:pStyle w:val="15"/>
              <w:spacing w:line="400" w:lineRule="exact"/>
              <w:ind w:firstLine="0"/>
              <w:outlineLvl w:val="9"/>
              <w:rPr>
                <w:rFonts w:ascii="仿宋" w:hAnsi="仿宋" w:eastAsia="仿宋" w:cs="仿宋"/>
                <w:bCs/>
                <w:color w:val="000000" w:themeColor="text1"/>
                <w:sz w:val="21"/>
                <w:szCs w:val="21"/>
                <w14:textFill>
                  <w14:solidFill>
                    <w14:schemeClr w14:val="tx1"/>
                  </w14:solidFill>
                </w14:textFill>
              </w:rPr>
            </w:pPr>
          </w:p>
        </w:tc>
      </w:tr>
    </w:tbl>
    <w:p>
      <w:pPr>
        <w:pStyle w:val="3"/>
        <w:spacing w:line="5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50" w:name="_Toc32636"/>
      <w:bookmarkStart w:id="51" w:name="_Toc10952"/>
      <w:bookmarkStart w:id="52" w:name="_Toc23217"/>
      <w:bookmarkStart w:id="53" w:name="_Toc634"/>
      <w:r>
        <w:rPr>
          <w:rFonts w:hint="eastAsia" w:ascii="仿宋" w:hAnsi="仿宋" w:eastAsia="仿宋" w:cs="仿宋"/>
          <w:b/>
          <w:color w:val="000000" w:themeColor="text1"/>
          <w:sz w:val="24"/>
          <w14:textFill>
            <w14:solidFill>
              <w14:schemeClr w14:val="tx1"/>
            </w14:solidFill>
          </w14:textFill>
        </w:rPr>
        <w:t>二、资金来源</w:t>
      </w:r>
      <w:bookmarkEnd w:id="24"/>
      <w:bookmarkEnd w:id="25"/>
      <w:bookmarkEnd w:id="50"/>
      <w:bookmarkEnd w:id="51"/>
      <w:bookmarkEnd w:id="52"/>
      <w:bookmarkEnd w:id="53"/>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自筹资金</w:t>
      </w:r>
    </w:p>
    <w:p>
      <w:pPr>
        <w:pStyle w:val="3"/>
        <w:spacing w:line="5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54" w:name="_Toc17271"/>
      <w:bookmarkStart w:id="55" w:name="_Toc17897"/>
      <w:bookmarkStart w:id="56" w:name="_Toc1874"/>
      <w:bookmarkStart w:id="57" w:name="_Toc3928"/>
      <w:bookmarkStart w:id="58" w:name="_Toc14608"/>
      <w:bookmarkStart w:id="59" w:name="_Toc4881"/>
      <w:r>
        <w:rPr>
          <w:rFonts w:hint="eastAsia" w:ascii="仿宋" w:hAnsi="仿宋" w:eastAsia="仿宋" w:cs="仿宋"/>
          <w:b/>
          <w:color w:val="000000" w:themeColor="text1"/>
          <w:sz w:val="24"/>
          <w14:textFill>
            <w14:solidFill>
              <w14:schemeClr w14:val="tx1"/>
            </w14:solidFill>
          </w14:textFill>
        </w:rPr>
        <w:t>三、投标人资格要求</w:t>
      </w:r>
      <w:bookmarkEnd w:id="54"/>
      <w:bookmarkEnd w:id="55"/>
      <w:bookmarkEnd w:id="56"/>
      <w:bookmarkEnd w:id="57"/>
      <w:bookmarkEnd w:id="58"/>
      <w:bookmarkEnd w:id="59"/>
    </w:p>
    <w:p>
      <w:pPr>
        <w:spacing w:line="480" w:lineRule="exact"/>
        <w:ind w:left="-3" w:leftChars="-1"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是指向采购人提供货物、工程或者服务的法人、其他组织或者自然人，以下简称供应商。合格的供应商应首先符合政府采购法第二十二条规定的基本条件及落实政府采购政策需满足的资格要求，同时符合根据该项目特殊要求设置的资格条件。</w:t>
      </w:r>
    </w:p>
    <w:p>
      <w:pPr>
        <w:spacing w:line="480" w:lineRule="exact"/>
        <w:ind w:left="-3" w:leftChars="-1" w:firstLine="480" w:firstLineChars="200"/>
        <w:outlineLvl w:val="1"/>
        <w:rPr>
          <w:rFonts w:ascii="仿宋" w:hAnsi="仿宋" w:eastAsia="仿宋" w:cs="仿宋"/>
          <w:color w:val="000000" w:themeColor="text1"/>
          <w:sz w:val="24"/>
          <w:szCs w:val="24"/>
          <w14:textFill>
            <w14:solidFill>
              <w14:schemeClr w14:val="tx1"/>
            </w14:solidFill>
          </w14:textFill>
        </w:rPr>
      </w:pPr>
      <w:bookmarkStart w:id="60" w:name="_Toc14967"/>
      <w:bookmarkStart w:id="61" w:name="_Toc15057"/>
      <w:r>
        <w:rPr>
          <w:rFonts w:hint="eastAsia" w:ascii="仿宋" w:hAnsi="仿宋" w:eastAsia="仿宋" w:cs="仿宋"/>
          <w:color w:val="000000" w:themeColor="text1"/>
          <w:sz w:val="24"/>
          <w:szCs w:val="24"/>
          <w14:textFill>
            <w14:solidFill>
              <w14:schemeClr w14:val="tx1"/>
            </w14:solidFill>
          </w14:textFill>
        </w:rPr>
        <w:t>（一）基本资格条件</w:t>
      </w:r>
      <w:bookmarkEnd w:id="60"/>
      <w:bookmarkEnd w:id="61"/>
    </w:p>
    <w:p>
      <w:pPr>
        <w:spacing w:line="480" w:lineRule="exact"/>
        <w:ind w:left="-3" w:leftChars="-1"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w:t>
      </w:r>
    </w:p>
    <w:p>
      <w:pPr>
        <w:spacing w:line="480" w:lineRule="exact"/>
        <w:ind w:left="-3" w:leftChars="-1"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2、具有良好的商业信誉和健全的财务会计制度；</w:t>
      </w:r>
    </w:p>
    <w:p>
      <w:pPr>
        <w:spacing w:line="480" w:lineRule="exact"/>
        <w:ind w:left="-3" w:leftChars="-1"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3、具有履行合同所必需的设备和专业技术能力；</w:t>
      </w:r>
    </w:p>
    <w:p>
      <w:pPr>
        <w:spacing w:line="480" w:lineRule="exact"/>
        <w:ind w:left="-3" w:leftChars="-1"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4、有依法缴纳税收和社会保障资金的良好记录；</w:t>
      </w:r>
    </w:p>
    <w:p>
      <w:pPr>
        <w:spacing w:line="480" w:lineRule="exact"/>
        <w:ind w:left="-3" w:leftChars="-1"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5、参加此次招标采购活动前三年内，在经营活动中没有重大违法记录。</w:t>
      </w:r>
    </w:p>
    <w:p>
      <w:pPr>
        <w:spacing w:line="480" w:lineRule="exact"/>
        <w:ind w:left="-3" w:leftChars="-1" w:firstLine="480" w:firstLineChars="200"/>
        <w:outlineLvl w:val="2"/>
        <w:rPr>
          <w:rFonts w:ascii="仿宋" w:hAnsi="仿宋" w:eastAsia="仿宋" w:cs="仿宋"/>
          <w:color w:val="000000" w:themeColor="text1"/>
          <w:sz w:val="24"/>
          <w:szCs w:val="24"/>
          <w14:textFill>
            <w14:solidFill>
              <w14:schemeClr w14:val="tx1"/>
            </w14:solidFill>
          </w14:textFill>
        </w:rPr>
      </w:pPr>
      <w:bookmarkStart w:id="62" w:name="_Toc3379"/>
      <w:bookmarkStart w:id="63" w:name="_Toc4726"/>
      <w:r>
        <w:rPr>
          <w:rFonts w:hint="eastAsia" w:ascii="仿宋" w:hAnsi="仿宋" w:eastAsia="仿宋" w:cs="仿宋"/>
          <w:color w:val="000000" w:themeColor="text1"/>
          <w:sz w:val="24"/>
          <w:szCs w:val="24"/>
          <w14:textFill>
            <w14:solidFill>
              <w14:schemeClr w14:val="tx1"/>
            </w14:solidFill>
          </w14:textFill>
        </w:rPr>
        <w:t>6、法律、行政法规规定的其他条件。</w:t>
      </w:r>
      <w:bookmarkEnd w:id="62"/>
      <w:bookmarkEnd w:id="63"/>
    </w:p>
    <w:p>
      <w:pPr>
        <w:spacing w:line="480" w:lineRule="exact"/>
        <w:ind w:left="-3" w:leftChars="-1" w:firstLine="480" w:firstLineChars="200"/>
        <w:outlineLvl w:val="1"/>
        <w:rPr>
          <w:rFonts w:hint="eastAsia" w:ascii="仿宋" w:hAnsi="仿宋" w:eastAsia="仿宋" w:cs="仿宋"/>
          <w:color w:val="000000" w:themeColor="text1"/>
          <w:sz w:val="24"/>
          <w:szCs w:val="24"/>
          <w:lang w:val="en-US" w:eastAsia="zh-CN"/>
          <w14:textFill>
            <w14:solidFill>
              <w14:schemeClr w14:val="tx1"/>
            </w14:solidFill>
          </w14:textFill>
        </w:rPr>
      </w:pPr>
      <w:bookmarkStart w:id="64" w:name="_Toc21207"/>
      <w:bookmarkStart w:id="65" w:name="_Toc14027"/>
      <w:r>
        <w:rPr>
          <w:rFonts w:hint="eastAsia" w:ascii="仿宋" w:hAnsi="仿宋" w:eastAsia="仿宋" w:cs="仿宋"/>
          <w:color w:val="000000" w:themeColor="text1"/>
          <w:sz w:val="24"/>
          <w:szCs w:val="24"/>
          <w14:textFill>
            <w14:solidFill>
              <w14:schemeClr w14:val="tx1"/>
            </w14:solidFill>
          </w14:textFill>
        </w:rPr>
        <w:t>（二）特定资格</w:t>
      </w:r>
      <w:bookmarkEnd w:id="64"/>
      <w:bookmarkEnd w:id="65"/>
      <w:r>
        <w:rPr>
          <w:rFonts w:hint="eastAsia" w:ascii="仿宋" w:hAnsi="仿宋" w:eastAsia="仿宋" w:cs="仿宋"/>
          <w:color w:val="000000" w:themeColor="text1"/>
          <w:sz w:val="24"/>
          <w:szCs w:val="24"/>
          <w:lang w:val="en-US" w:eastAsia="zh-CN"/>
          <w14:textFill>
            <w14:solidFill>
              <w14:schemeClr w14:val="tx1"/>
            </w14:solidFill>
          </w14:textFill>
        </w:rPr>
        <w:t>条件</w:t>
      </w:r>
    </w:p>
    <w:p>
      <w:pPr>
        <w:spacing w:line="480" w:lineRule="exact"/>
        <w:ind w:left="-3" w:leftChars="-1" w:firstLine="480" w:firstLineChars="200"/>
        <w:rPr>
          <w:rFonts w:ascii="仿宋" w:hAnsi="仿宋" w:eastAsia="仿宋" w:cs="仿宋"/>
          <w:color w:val="000000" w:themeColor="text1"/>
          <w:sz w:val="24"/>
          <w:szCs w:val="24"/>
          <w:highlight w:val="none"/>
          <w14:textFill>
            <w14:solidFill>
              <w14:schemeClr w14:val="tx1"/>
            </w14:solidFill>
          </w14:textFill>
        </w:rPr>
      </w:pPr>
      <w:bookmarkStart w:id="66" w:name="_Toc16598"/>
      <w:bookmarkStart w:id="67" w:name="_Toc27318"/>
      <w:bookmarkStart w:id="68" w:name="_Toc6665"/>
      <w:bookmarkStart w:id="69" w:name="_Toc6968"/>
      <w:r>
        <w:rPr>
          <w:rFonts w:hint="eastAsia" w:ascii="仿宋" w:hAnsi="仿宋" w:eastAsia="仿宋" w:cs="仿宋"/>
          <w:color w:val="000000" w:themeColor="text1"/>
          <w:sz w:val="24"/>
          <w:szCs w:val="24"/>
          <w:highlight w:val="none"/>
          <w14:textFill>
            <w14:solidFill>
              <w14:schemeClr w14:val="tx1"/>
            </w14:solidFill>
          </w14:textFill>
        </w:rPr>
        <w:t>1、投标人营业执照经营范围需包含劳务外包或劳务派遣相关经营内容。</w:t>
      </w:r>
    </w:p>
    <w:p>
      <w:pPr>
        <w:pStyle w:val="3"/>
        <w:spacing w:line="5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70" w:name="_Toc8378"/>
      <w:bookmarkStart w:id="71" w:name="_Toc24516"/>
      <w:r>
        <w:rPr>
          <w:rFonts w:hint="eastAsia" w:ascii="仿宋" w:hAnsi="仿宋" w:eastAsia="仿宋" w:cs="仿宋"/>
          <w:b/>
          <w:color w:val="000000" w:themeColor="text1"/>
          <w:sz w:val="24"/>
          <w14:textFill>
            <w14:solidFill>
              <w14:schemeClr w14:val="tx1"/>
            </w14:solidFill>
          </w14:textFill>
        </w:rPr>
        <w:t>四、投标、开标有关说明</w:t>
      </w:r>
      <w:bookmarkEnd w:id="66"/>
      <w:bookmarkEnd w:id="67"/>
      <w:bookmarkEnd w:id="68"/>
      <w:bookmarkEnd w:id="69"/>
      <w:bookmarkEnd w:id="70"/>
      <w:bookmarkEnd w:id="71"/>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72" w:name="_Toc7397"/>
      <w:bookmarkStart w:id="73" w:name="_Toc17061"/>
      <w:bookmarkStart w:id="74" w:name="_Toc18403"/>
      <w:bookmarkStart w:id="75" w:name="_Toc28206"/>
      <w:bookmarkStart w:id="76" w:name="_Toc6697"/>
      <w:bookmarkStart w:id="77" w:name="_Toc19742"/>
      <w:bookmarkStart w:id="78" w:name="_Toc16973"/>
      <w:bookmarkStart w:id="79" w:name="_Toc32559"/>
      <w:r>
        <w:rPr>
          <w:rFonts w:hint="eastAsia" w:ascii="仿宋" w:hAnsi="仿宋" w:eastAsia="仿宋" w:cs="仿宋"/>
          <w:color w:val="000000" w:themeColor="text1"/>
          <w:sz w:val="24"/>
          <w:szCs w:val="24"/>
          <w14:textFill>
            <w14:solidFill>
              <w14:schemeClr w14:val="tx1"/>
            </w14:solidFill>
          </w14:textFill>
        </w:rPr>
        <w:t>（一）供应商应通过“行采家”平台（https://www.gec123.com）进行注册，成为行采家平台供应商。</w:t>
      </w:r>
      <w:bookmarkEnd w:id="72"/>
      <w:bookmarkEnd w:id="73"/>
      <w:bookmarkEnd w:id="74"/>
      <w:bookmarkEnd w:id="75"/>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80" w:name="_Toc14416"/>
      <w:bookmarkStart w:id="81" w:name="_Toc32143"/>
      <w:bookmarkStart w:id="82" w:name="_Toc1850"/>
      <w:bookmarkStart w:id="83" w:name="_Toc13212"/>
      <w:r>
        <w:rPr>
          <w:rFonts w:hint="eastAsia" w:ascii="仿宋" w:hAnsi="仿宋" w:eastAsia="仿宋" w:cs="仿宋"/>
          <w:color w:val="000000" w:themeColor="text1"/>
          <w:sz w:val="24"/>
          <w:szCs w:val="24"/>
          <w14:textFill>
            <w14:solidFill>
              <w14:schemeClr w14:val="tx1"/>
            </w14:solidFill>
          </w14:textFill>
        </w:rPr>
        <w:t>（二）</w:t>
      </w:r>
      <w:bookmarkEnd w:id="80"/>
      <w:bookmarkEnd w:id="81"/>
      <w:r>
        <w:rPr>
          <w:rFonts w:hint="eastAsia" w:ascii="仿宋" w:hAnsi="仿宋" w:eastAsia="仿宋" w:cs="仿宋"/>
          <w:color w:val="000000" w:themeColor="text1"/>
          <w:sz w:val="24"/>
          <w:szCs w:val="24"/>
          <w14:textFill>
            <w14:solidFill>
              <w14:schemeClr w14:val="tx1"/>
            </w14:solidFill>
          </w14:textFill>
        </w:rPr>
        <w:t>凡有意参加比选的供应商，请在行采家（https://www.gec123.com/）上下载本项目比选文件、澄清等比选前公布的所有项目资料，无论供应商下载或领取与否，均视为已知晓所有比选实质性要求内容。</w:t>
      </w:r>
      <w:bookmarkEnd w:id="82"/>
      <w:bookmarkEnd w:id="83"/>
    </w:p>
    <w:p>
      <w:pPr>
        <w:spacing w:line="400" w:lineRule="exact"/>
        <w:ind w:firstLine="480" w:firstLineChars="200"/>
        <w:outlineLvl w:val="1"/>
        <w:rPr>
          <w:rFonts w:ascii="仿宋" w:hAnsi="仿宋" w:eastAsia="仿宋" w:cs="仿宋"/>
          <w:color w:val="000000" w:themeColor="text1"/>
          <w:sz w:val="24"/>
          <w:szCs w:val="24"/>
          <w14:textFill>
            <w14:solidFill>
              <w14:schemeClr w14:val="tx1"/>
            </w14:solidFill>
          </w14:textFill>
        </w:rPr>
      </w:pPr>
      <w:bookmarkStart w:id="84" w:name="_Toc21288"/>
      <w:bookmarkStart w:id="85" w:name="_Toc18414"/>
      <w:bookmarkStart w:id="86" w:name="_Toc2640"/>
      <w:bookmarkStart w:id="87" w:name="_Toc21706"/>
      <w:bookmarkStart w:id="88" w:name="_Toc5111"/>
      <w:bookmarkStart w:id="89" w:name="_Toc6463"/>
      <w:r>
        <w:rPr>
          <w:rFonts w:hint="eastAsia" w:ascii="仿宋" w:hAnsi="仿宋" w:eastAsia="仿宋" w:cs="仿宋"/>
          <w:color w:val="000000" w:themeColor="text1"/>
          <w:sz w:val="24"/>
          <w:szCs w:val="24"/>
          <w14:textFill>
            <w14:solidFill>
              <w14:schemeClr w14:val="tx1"/>
            </w14:solidFill>
          </w14:textFill>
        </w:rPr>
        <w:t>（三）</w:t>
      </w:r>
      <w:bookmarkEnd w:id="84"/>
      <w:bookmarkEnd w:id="85"/>
      <w:r>
        <w:rPr>
          <w:rFonts w:hint="eastAsia" w:ascii="仿宋" w:hAnsi="仿宋" w:eastAsia="仿宋" w:cs="仿宋"/>
          <w:color w:val="000000" w:themeColor="text1"/>
          <w:sz w:val="24"/>
          <w:szCs w:val="24"/>
          <w14:textFill>
            <w14:solidFill>
              <w14:schemeClr w14:val="tx1"/>
            </w14:solidFill>
          </w14:textFill>
        </w:rPr>
        <w:t>报名及比选文件发售</w:t>
      </w:r>
      <w:bookmarkEnd w:id="86"/>
      <w:bookmarkEnd w:id="87"/>
      <w:bookmarkEnd w:id="88"/>
      <w:bookmarkEnd w:id="89"/>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90" w:name="_Toc15285"/>
      <w:r>
        <w:rPr>
          <w:rFonts w:hint="eastAsia" w:ascii="仿宋" w:hAnsi="仿宋" w:eastAsia="仿宋" w:cs="仿宋"/>
          <w:color w:val="000000" w:themeColor="text1"/>
          <w:sz w:val="24"/>
          <w:szCs w:val="24"/>
          <w14:textFill>
            <w14:solidFill>
              <w14:schemeClr w14:val="tx1"/>
            </w14:solidFill>
          </w14:textFill>
        </w:rPr>
        <w:t>1.报名及比选文件发售期：2024年1月</w:t>
      </w: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14:textFill>
            <w14:solidFill>
              <w14:schemeClr w14:val="tx1"/>
            </w14:solidFill>
          </w14:textFill>
        </w:rPr>
        <w:t>日-2024年1月</w:t>
      </w:r>
      <w:r>
        <w:rPr>
          <w:rFonts w:hint="eastAsia" w:ascii="仿宋" w:hAnsi="仿宋" w:eastAsia="仿宋" w:cs="仿宋"/>
          <w:color w:val="000000" w:themeColor="text1"/>
          <w:sz w:val="24"/>
          <w:szCs w:val="24"/>
          <w:highlight w:val="none"/>
          <w:lang w:val="en-US" w:eastAsia="zh-CN"/>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日（工作时间）。</w:t>
      </w:r>
      <w:bookmarkEnd w:id="90"/>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91" w:name="_Toc12093"/>
      <w:r>
        <w:rPr>
          <w:rFonts w:hint="eastAsia" w:ascii="仿宋" w:hAnsi="仿宋" w:eastAsia="仿宋" w:cs="仿宋"/>
          <w:color w:val="000000" w:themeColor="text1"/>
          <w:sz w:val="24"/>
          <w:szCs w:val="24"/>
          <w14:textFill>
            <w14:solidFill>
              <w14:schemeClr w14:val="tx1"/>
            </w14:solidFill>
          </w14:textFill>
        </w:rPr>
        <w:t>2.比选文件售价：人民币300元/份（售后不退）。</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92" w:name="_Toc2291"/>
      <w:r>
        <w:rPr>
          <w:rFonts w:hint="eastAsia" w:ascii="仿宋" w:hAnsi="仿宋" w:eastAsia="仿宋" w:cs="仿宋"/>
          <w:color w:val="000000" w:themeColor="text1"/>
          <w:sz w:val="24"/>
          <w:szCs w:val="24"/>
          <w14:textFill>
            <w14:solidFill>
              <w14:schemeClr w14:val="tx1"/>
            </w14:solidFill>
          </w14:textFill>
        </w:rPr>
        <w:t>3.</w:t>
      </w:r>
      <w:bookmarkEnd w:id="91"/>
      <w:r>
        <w:rPr>
          <w:rFonts w:hint="eastAsia" w:ascii="仿宋" w:hAnsi="仿宋" w:eastAsia="仿宋" w:cs="仿宋"/>
          <w:color w:val="000000" w:themeColor="text1"/>
          <w:sz w:val="24"/>
          <w:szCs w:val="24"/>
          <w14:textFill>
            <w14:solidFill>
              <w14:schemeClr w14:val="tx1"/>
            </w14:solidFill>
          </w14:textFill>
        </w:rPr>
        <w:t>报名及购买比选文件：</w:t>
      </w:r>
      <w:bookmarkEnd w:id="92"/>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在报名和比选文件发售期内，供应商通过扫描下方二维码转账缴纳比选文件购买费用，并将比选文件费转账截图（转账时备注：GY-2024012</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文件费）、《采购文件发售登记表》（加盖供应商公章）扫描后发送至171239179@qq.com。</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二维码：</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drawing>
          <wp:anchor distT="0" distB="0" distL="114300" distR="114300" simplePos="0" relativeHeight="251661312" behindDoc="0" locked="0" layoutInCell="1" allowOverlap="1">
            <wp:simplePos x="0" y="0"/>
            <wp:positionH relativeFrom="column">
              <wp:posOffset>255270</wp:posOffset>
            </wp:positionH>
            <wp:positionV relativeFrom="paragraph">
              <wp:posOffset>62230</wp:posOffset>
            </wp:positionV>
            <wp:extent cx="1105535" cy="1090930"/>
            <wp:effectExtent l="0" t="0" r="18415"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105535" cy="1090930"/>
                    </a:xfrm>
                    <a:prstGeom prst="rect">
                      <a:avLst/>
                    </a:prstGeom>
                    <a:noFill/>
                    <a:ln>
                      <a:noFill/>
                    </a:ln>
                  </pic:spPr>
                </pic:pic>
              </a:graphicData>
            </a:graphic>
          </wp:anchor>
        </w:drawing>
      </w:r>
    </w:p>
    <w:p>
      <w:pPr>
        <w:spacing w:line="400" w:lineRule="exact"/>
        <w:rPr>
          <w:rFonts w:ascii="仿宋" w:hAnsi="仿宋" w:eastAsia="仿宋" w:cs="仿宋"/>
          <w:color w:val="000000" w:themeColor="text1"/>
          <w:sz w:val="24"/>
          <w:szCs w:val="24"/>
          <w14:textFill>
            <w14:solidFill>
              <w14:schemeClr w14:val="tx1"/>
            </w14:solidFill>
          </w14:textFill>
        </w:rPr>
      </w:pPr>
    </w:p>
    <w:p>
      <w:pPr>
        <w:pStyle w:val="3"/>
        <w:spacing w:line="500" w:lineRule="exact"/>
        <w:ind w:firstLine="482" w:firstLineChars="200"/>
        <w:outlineLvl w:val="9"/>
        <w:rPr>
          <w:rFonts w:ascii="仿宋" w:hAnsi="仿宋" w:eastAsia="仿宋" w:cs="仿宋"/>
          <w:b/>
          <w:color w:val="000000" w:themeColor="text1"/>
          <w:sz w:val="24"/>
          <w14:textFill>
            <w14:solidFill>
              <w14:schemeClr w14:val="tx1"/>
            </w14:solidFill>
          </w14:textFill>
        </w:rPr>
      </w:pPr>
    </w:p>
    <w:p>
      <w:pPr>
        <w:pStyle w:val="3"/>
        <w:spacing w:line="500" w:lineRule="exact"/>
        <w:outlineLvl w:val="9"/>
        <w:rPr>
          <w:rFonts w:ascii="仿宋" w:hAnsi="仿宋" w:eastAsia="仿宋" w:cs="仿宋"/>
          <w:b/>
          <w:color w:val="000000" w:themeColor="text1"/>
          <w:sz w:val="24"/>
          <w14:textFill>
            <w14:solidFill>
              <w14:schemeClr w14:val="tx1"/>
            </w14:solidFill>
          </w14:textFill>
        </w:rPr>
      </w:pPr>
    </w:p>
    <w:p>
      <w:pPr>
        <w:spacing w:line="400" w:lineRule="exact"/>
        <w:ind w:firstLine="480" w:firstLineChars="200"/>
        <w:outlineLvl w:val="1"/>
        <w:rPr>
          <w:rFonts w:ascii="仿宋" w:hAnsi="仿宋" w:eastAsia="仿宋" w:cs="仿宋"/>
          <w:color w:val="000000" w:themeColor="text1"/>
          <w:sz w:val="24"/>
          <w:szCs w:val="24"/>
          <w14:textFill>
            <w14:solidFill>
              <w14:schemeClr w14:val="tx1"/>
            </w14:solidFill>
          </w14:textFill>
        </w:rPr>
      </w:pPr>
      <w:bookmarkStart w:id="93" w:name="_Toc16113"/>
      <w:bookmarkStart w:id="94" w:name="_Toc11452"/>
      <w:bookmarkStart w:id="95" w:name="_Toc14227"/>
      <w:r>
        <w:rPr>
          <w:rFonts w:hint="eastAsia" w:ascii="仿宋" w:hAnsi="仿宋" w:eastAsia="仿宋" w:cs="仿宋"/>
          <w:color w:val="000000" w:themeColor="text1"/>
          <w:sz w:val="24"/>
          <w:szCs w:val="24"/>
          <w14:textFill>
            <w14:solidFill>
              <w14:schemeClr w14:val="tx1"/>
            </w14:solidFill>
          </w14:textFill>
        </w:rPr>
        <w:t>（四）供应商须满足以下三种要件，其响应文件才被接受：</w:t>
      </w:r>
      <w:bookmarkEnd w:id="93"/>
      <w:bookmarkEnd w:id="94"/>
      <w:bookmarkEnd w:id="95"/>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1.按时递交了响应文件；</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2.按时报名签到；</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3.按时缴纳了文件购买费并递交《</w:t>
      </w:r>
      <w:r>
        <w:rPr>
          <w:rFonts w:hint="eastAsia" w:ascii="仿宋" w:hAnsi="仿宋" w:eastAsia="仿宋" w:cs="仿宋"/>
          <w:color w:val="000000" w:themeColor="text1"/>
          <w:sz w:val="24"/>
          <w:szCs w:val="24"/>
          <w:lang w:val="en-US" w:eastAsia="zh-CN"/>
          <w14:textFill>
            <w14:solidFill>
              <w14:schemeClr w14:val="tx1"/>
            </w14:solidFill>
          </w14:textFill>
        </w:rPr>
        <w:t>比选</w:t>
      </w:r>
      <w:r>
        <w:rPr>
          <w:rFonts w:hint="eastAsia" w:ascii="仿宋" w:hAnsi="仿宋" w:eastAsia="仿宋" w:cs="仿宋"/>
          <w:color w:val="000000" w:themeColor="text1"/>
          <w:sz w:val="24"/>
          <w:szCs w:val="24"/>
          <w14:textFill>
            <w14:solidFill>
              <w14:schemeClr w14:val="tx1"/>
            </w14:solidFill>
          </w14:textFill>
        </w:rPr>
        <w:t>文件发售登记表》加盖供应商公章（《</w:t>
      </w:r>
      <w:r>
        <w:rPr>
          <w:rFonts w:hint="eastAsia" w:ascii="仿宋" w:hAnsi="仿宋" w:eastAsia="仿宋" w:cs="仿宋"/>
          <w:color w:val="000000" w:themeColor="text1"/>
          <w:sz w:val="24"/>
          <w:szCs w:val="24"/>
          <w:lang w:val="en-US" w:eastAsia="zh-CN"/>
          <w14:textFill>
            <w14:solidFill>
              <w14:schemeClr w14:val="tx1"/>
            </w14:solidFill>
          </w14:textFill>
        </w:rPr>
        <w:t>比选</w:t>
      </w:r>
      <w:r>
        <w:rPr>
          <w:rFonts w:hint="eastAsia" w:ascii="仿宋" w:hAnsi="仿宋" w:eastAsia="仿宋" w:cs="仿宋"/>
          <w:color w:val="000000" w:themeColor="text1"/>
          <w:sz w:val="24"/>
          <w:szCs w:val="24"/>
          <w14:textFill>
            <w14:solidFill>
              <w14:schemeClr w14:val="tx1"/>
            </w14:solidFill>
          </w14:textFill>
        </w:rPr>
        <w:t>文件发售登记表》见文件最后页附件）。</w:t>
      </w:r>
    </w:p>
    <w:p>
      <w:pPr>
        <w:spacing w:line="400" w:lineRule="exact"/>
        <w:ind w:firstLine="480" w:firstLineChars="200"/>
        <w:outlineLvl w:val="1"/>
        <w:rPr>
          <w:rFonts w:ascii="仿宋" w:hAnsi="仿宋" w:eastAsia="仿宋" w:cs="仿宋"/>
          <w:color w:val="000000" w:themeColor="text1"/>
          <w:sz w:val="24"/>
          <w:szCs w:val="24"/>
          <w14:textFill>
            <w14:solidFill>
              <w14:schemeClr w14:val="tx1"/>
            </w14:solidFill>
          </w14:textFill>
        </w:rPr>
      </w:pPr>
      <w:bookmarkStart w:id="96" w:name="_Toc20585"/>
      <w:bookmarkStart w:id="97" w:name="_Toc25461"/>
      <w:bookmarkStart w:id="98" w:name="_Toc509"/>
      <w:bookmarkStart w:id="99" w:name="_Toc15688"/>
      <w:bookmarkStart w:id="100" w:name="_Toc16315"/>
      <w:r>
        <w:rPr>
          <w:rFonts w:hint="eastAsia" w:ascii="仿宋" w:hAnsi="仿宋" w:eastAsia="仿宋" w:cs="仿宋"/>
          <w:color w:val="000000" w:themeColor="text1"/>
          <w:sz w:val="24"/>
          <w:szCs w:val="24"/>
          <w14:textFill>
            <w14:solidFill>
              <w14:schemeClr w14:val="tx1"/>
            </w14:solidFill>
          </w14:textFill>
        </w:rPr>
        <w:t>（五）递交文件地点：重庆市渝北区东湖南路333号2栋9-3。</w:t>
      </w:r>
      <w:bookmarkEnd w:id="96"/>
      <w:bookmarkEnd w:id="97"/>
      <w:bookmarkEnd w:id="98"/>
      <w:bookmarkEnd w:id="99"/>
      <w:bookmarkEnd w:id="100"/>
    </w:p>
    <w:p>
      <w:pPr>
        <w:spacing w:line="40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（六）响应文件递</w:t>
      </w:r>
      <w:r>
        <w:rPr>
          <w:rFonts w:hint="eastAsia" w:ascii="仿宋" w:hAnsi="仿宋" w:eastAsia="仿宋" w:cs="仿宋"/>
          <w:color w:val="000000" w:themeColor="text1"/>
          <w:sz w:val="24"/>
          <w:szCs w:val="24"/>
          <w:highlight w:val="none"/>
          <w14:textFill>
            <w14:solidFill>
              <w14:schemeClr w14:val="tx1"/>
            </w14:solidFill>
          </w14:textFill>
        </w:rPr>
        <w:t>交开始时间：2024年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日北京时间09:30。</w:t>
      </w:r>
    </w:p>
    <w:p>
      <w:pPr>
        <w:spacing w:line="40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（七）响应文件递交截止时间：2024年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日北京时间10:00。</w:t>
      </w:r>
    </w:p>
    <w:p>
      <w:pPr>
        <w:spacing w:line="40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（八）开标时间：</w:t>
      </w:r>
      <w:bookmarkStart w:id="101" w:name="_Toc521053053"/>
      <w:bookmarkStart w:id="102" w:name="_Toc525047161"/>
      <w:bookmarkStart w:id="103" w:name="_Toc373860294"/>
      <w:r>
        <w:rPr>
          <w:rFonts w:hint="eastAsia" w:ascii="仿宋" w:hAnsi="仿宋" w:eastAsia="仿宋" w:cs="仿宋"/>
          <w:color w:val="000000" w:themeColor="text1"/>
          <w:sz w:val="24"/>
          <w:szCs w:val="24"/>
          <w:highlight w:val="none"/>
          <w14:textFill>
            <w14:solidFill>
              <w14:schemeClr w14:val="tx1"/>
            </w14:solidFill>
          </w14:textFill>
        </w:rPr>
        <w:t>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日北京时间10:00。</w:t>
      </w:r>
    </w:p>
    <w:p>
      <w:pPr>
        <w:spacing w:line="400" w:lineRule="exact"/>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（九）开标地点：重庆市渝北区东湖南路333号2栋9-3。</w:t>
      </w:r>
      <w:bookmarkEnd w:id="101"/>
      <w:bookmarkEnd w:id="102"/>
      <w:bookmarkEnd w:id="103"/>
    </w:p>
    <w:p>
      <w:pPr>
        <w:pStyle w:val="3"/>
        <w:spacing w:line="50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104" w:name="_Toc12581"/>
      <w:bookmarkStart w:id="105" w:name="_Toc12193"/>
      <w:r>
        <w:rPr>
          <w:rFonts w:hint="eastAsia" w:ascii="仿宋" w:hAnsi="仿宋" w:eastAsia="仿宋" w:cs="仿宋"/>
          <w:b/>
          <w:color w:val="000000" w:themeColor="text1"/>
          <w:sz w:val="24"/>
          <w:highlight w:val="none"/>
          <w14:textFill>
            <w14:solidFill>
              <w14:schemeClr w14:val="tx1"/>
            </w14:solidFill>
          </w14:textFill>
        </w:rPr>
        <w:t>五、投标保证金</w:t>
      </w:r>
      <w:bookmarkEnd w:id="76"/>
      <w:bookmarkEnd w:id="77"/>
      <w:bookmarkEnd w:id="78"/>
      <w:bookmarkEnd w:id="79"/>
      <w:bookmarkEnd w:id="104"/>
      <w:bookmarkEnd w:id="105"/>
    </w:p>
    <w:p>
      <w:pPr>
        <w:spacing w:line="400" w:lineRule="exact"/>
        <w:ind w:firstLine="480" w:firstLineChars="200"/>
        <w:outlineLvl w:val="1"/>
        <w:rPr>
          <w:rFonts w:ascii="仿宋" w:hAnsi="仿宋" w:eastAsia="仿宋" w:cs="仿宋"/>
          <w:color w:val="000000" w:themeColor="text1"/>
          <w:sz w:val="24"/>
          <w:szCs w:val="24"/>
          <w:highlight w:val="none"/>
          <w14:textFill>
            <w14:solidFill>
              <w14:schemeClr w14:val="tx1"/>
            </w14:solidFill>
          </w14:textFill>
        </w:rPr>
      </w:pPr>
      <w:bookmarkStart w:id="106" w:name="_Toc14612"/>
      <w:bookmarkStart w:id="107" w:name="_Toc24531"/>
      <w:r>
        <w:rPr>
          <w:rFonts w:hint="eastAsia" w:ascii="仿宋" w:hAnsi="仿宋" w:eastAsia="仿宋" w:cs="仿宋"/>
          <w:color w:val="000000" w:themeColor="text1"/>
          <w:sz w:val="24"/>
          <w:szCs w:val="24"/>
          <w:highlight w:val="none"/>
          <w14:textFill>
            <w14:solidFill>
              <w14:schemeClr w14:val="tx1"/>
            </w14:solidFill>
          </w14:textFill>
        </w:rPr>
        <w:t>（一）缴纳投标保证金方式</w:t>
      </w:r>
      <w:bookmarkEnd w:id="106"/>
      <w:bookmarkEnd w:id="107"/>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投标保证金须在2024年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日北京时</w:t>
      </w:r>
      <w:r>
        <w:rPr>
          <w:rFonts w:hint="eastAsia" w:ascii="仿宋" w:hAnsi="仿宋" w:eastAsia="仿宋" w:cs="仿宋"/>
          <w:color w:val="000000" w:themeColor="text1"/>
          <w:sz w:val="24"/>
          <w:szCs w:val="24"/>
          <w14:textFill>
            <w14:solidFill>
              <w14:schemeClr w14:val="tx1"/>
            </w14:solidFill>
          </w14:textFill>
        </w:rPr>
        <w:t>间17:00前以转账等非现金形式从投标人基本账户转出，以到账时间为准。</w:t>
      </w:r>
    </w:p>
    <w:p>
      <w:pPr>
        <w:spacing w:line="400" w:lineRule="exact"/>
        <w:ind w:firstLine="480" w:firstLineChars="200"/>
        <w:outlineLvl w:val="1"/>
        <w:rPr>
          <w:rFonts w:ascii="仿宋" w:hAnsi="仿宋" w:eastAsia="仿宋" w:cs="仿宋"/>
          <w:color w:val="000000" w:themeColor="text1"/>
          <w:sz w:val="24"/>
          <w:szCs w:val="24"/>
          <w14:textFill>
            <w14:solidFill>
              <w14:schemeClr w14:val="tx1"/>
            </w14:solidFill>
          </w14:textFill>
        </w:rPr>
      </w:pPr>
      <w:bookmarkStart w:id="108" w:name="_Toc17547"/>
      <w:bookmarkStart w:id="109" w:name="_Toc14994"/>
      <w:r>
        <w:rPr>
          <w:rFonts w:hint="eastAsia" w:ascii="仿宋" w:hAnsi="仿宋" w:eastAsia="仿宋" w:cs="仿宋"/>
          <w:color w:val="000000" w:themeColor="text1"/>
          <w:sz w:val="24"/>
          <w:szCs w:val="24"/>
          <w14:textFill>
            <w14:solidFill>
              <w14:schemeClr w14:val="tx1"/>
            </w14:solidFill>
          </w14:textFill>
        </w:rPr>
        <w:t>（二）投标保证金账户</w:t>
      </w:r>
      <w:bookmarkEnd w:id="108"/>
      <w:bookmarkEnd w:id="109"/>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户  名：共佑工程咨询（重庆）有限公司</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开户行：招商银行股份有限公司重庆北部新区支行</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  号：1239 1220 5610 802</w:t>
      </w:r>
    </w:p>
    <w:p>
      <w:pPr>
        <w:spacing w:line="400" w:lineRule="exact"/>
        <w:ind w:firstLine="480" w:firstLineChars="200"/>
        <w:outlineLvl w:val="1"/>
        <w:rPr>
          <w:rFonts w:ascii="仿宋" w:hAnsi="仿宋" w:eastAsia="仿宋" w:cs="仿宋"/>
          <w:color w:val="000000" w:themeColor="text1"/>
          <w:sz w:val="24"/>
          <w:szCs w:val="24"/>
          <w14:textFill>
            <w14:solidFill>
              <w14:schemeClr w14:val="tx1"/>
            </w14:solidFill>
          </w14:textFill>
        </w:rPr>
      </w:pPr>
      <w:bookmarkStart w:id="110" w:name="_Toc25387"/>
      <w:bookmarkStart w:id="111" w:name="_Toc23593"/>
      <w:r>
        <w:rPr>
          <w:rFonts w:hint="eastAsia" w:ascii="仿宋" w:hAnsi="仿宋" w:eastAsia="仿宋" w:cs="仿宋"/>
          <w:color w:val="000000" w:themeColor="text1"/>
          <w:sz w:val="24"/>
          <w:szCs w:val="24"/>
          <w14:textFill>
            <w14:solidFill>
              <w14:schemeClr w14:val="tx1"/>
            </w14:solidFill>
          </w14:textFill>
        </w:rPr>
        <w:t>（三）投标保证金退还方式</w:t>
      </w:r>
      <w:bookmarkEnd w:id="110"/>
      <w:bookmarkEnd w:id="111"/>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1.未中标投标人的保证金，在中标通知书发放后，在五个工作日内按来款渠道直接退还。</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中标人的投标保证金，中标人在与比选人签订合同后一个工作日内将合同扫描件发送至171239179@qq.com，五个工作日内按资金来款渠道直接退还。如因中标人未及时发送导致保证金超期退还的，由中标人自行承担相应损失，比选人及比选代理机构不承担责任。</w:t>
      </w:r>
    </w:p>
    <w:p>
      <w:pPr>
        <w:pStyle w:val="3"/>
        <w:spacing w:line="5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112" w:name="_Toc23601"/>
      <w:bookmarkStart w:id="113" w:name="_Toc21605"/>
      <w:bookmarkStart w:id="114" w:name="_Toc26893"/>
      <w:bookmarkStart w:id="115" w:name="_Toc14862"/>
      <w:bookmarkStart w:id="116" w:name="_Toc14165"/>
      <w:bookmarkStart w:id="117" w:name="_Toc4843"/>
      <w:r>
        <w:rPr>
          <w:rFonts w:hint="eastAsia" w:ascii="仿宋" w:hAnsi="仿宋" w:eastAsia="仿宋" w:cs="仿宋"/>
          <w:b/>
          <w:color w:val="000000" w:themeColor="text1"/>
          <w:sz w:val="24"/>
          <w14:textFill>
            <w14:solidFill>
              <w14:schemeClr w14:val="tx1"/>
            </w14:solidFill>
          </w14:textFill>
        </w:rPr>
        <w:t>六、投标有关规定</w:t>
      </w:r>
      <w:bookmarkEnd w:id="112"/>
      <w:bookmarkEnd w:id="113"/>
      <w:bookmarkEnd w:id="114"/>
      <w:bookmarkEnd w:id="115"/>
      <w:bookmarkEnd w:id="116"/>
      <w:bookmarkEnd w:id="117"/>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（一）单位负责人为同一人或者存在直接控股、管理关系的不同投标人，不得参加同一合同项（分包）下的投标活动。</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（二）为招标项目提供整体设计、规范编制或者项目管理、监理、检测等服务的投标人，不得再参加该招标项目的其他招标活动。</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（三）本项目不允许联合体投标，不允许转包或分包。否则为无效投标。</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（四）本项目的补遗文件（如果有）一律以书面形式通知各投标人，请各投标人到</w:t>
      </w:r>
      <w:r>
        <w:rPr>
          <w:rFonts w:hint="eastAsia" w:ascii="仿宋" w:hAnsi="仿宋" w:eastAsia="仿宋" w:cs="仿宋"/>
          <w:color w:val="000000" w:themeColor="text1"/>
          <w:sz w:val="24"/>
          <w:szCs w:val="24"/>
          <w:lang w:eastAsia="zh-CN"/>
          <w14:textFill>
            <w14:solidFill>
              <w14:schemeClr w14:val="tx1"/>
            </w14:solidFill>
          </w14:textFill>
        </w:rPr>
        <w:t>比选代理机构</w:t>
      </w:r>
      <w:r>
        <w:rPr>
          <w:rFonts w:hint="eastAsia" w:ascii="仿宋" w:hAnsi="仿宋" w:eastAsia="仿宋" w:cs="仿宋"/>
          <w:color w:val="000000" w:themeColor="text1"/>
          <w:sz w:val="24"/>
          <w:szCs w:val="24"/>
          <w14:textFill>
            <w14:solidFill>
              <w14:schemeClr w14:val="tx1"/>
            </w14:solidFill>
          </w14:textFill>
        </w:rPr>
        <w:t>领取；无论投标人领取与否，均视同投标人已知晓本项目补遗文件的内容。</w:t>
      </w:r>
    </w:p>
    <w:p>
      <w:pPr>
        <w:snapToGrid w:val="0"/>
        <w:spacing w:line="400" w:lineRule="exact"/>
        <w:ind w:firstLine="480" w:firstLineChars="200"/>
        <w:outlineLvl w:val="1"/>
        <w:rPr>
          <w:rFonts w:ascii="仿宋" w:hAnsi="仿宋" w:eastAsia="仿宋" w:cs="仿宋"/>
          <w:color w:val="000000" w:themeColor="text1"/>
          <w:sz w:val="24"/>
          <w:szCs w:val="24"/>
          <w14:textFill>
            <w14:solidFill>
              <w14:schemeClr w14:val="tx1"/>
            </w14:solidFill>
          </w14:textFill>
        </w:rPr>
      </w:pPr>
      <w:bookmarkStart w:id="118" w:name="_Toc18692"/>
      <w:bookmarkStart w:id="119" w:name="_Toc4453"/>
      <w:r>
        <w:rPr>
          <w:rFonts w:hint="eastAsia" w:ascii="仿宋" w:hAnsi="仿宋" w:eastAsia="仿宋" w:cs="仿宋"/>
          <w:color w:val="000000" w:themeColor="text1"/>
          <w:sz w:val="24"/>
          <w:szCs w:val="24"/>
          <w14:textFill>
            <w14:solidFill>
              <w14:schemeClr w14:val="tx1"/>
            </w14:solidFill>
          </w14:textFill>
        </w:rPr>
        <w:t>（五）超过投标截止时间递交的投标文件，恕不接收。</w:t>
      </w:r>
      <w:bookmarkEnd w:id="118"/>
      <w:bookmarkEnd w:id="119"/>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（六）投标费用：无论投标结果如何，投标人参与本项目投标的所有费用均应由投标人自行承担。</w:t>
      </w:r>
    </w:p>
    <w:p>
      <w:pPr>
        <w:pStyle w:val="3"/>
        <w:spacing w:line="5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120" w:name="_Toc32310"/>
      <w:bookmarkStart w:id="121" w:name="_Toc4551"/>
      <w:bookmarkStart w:id="122" w:name="_Toc9505"/>
      <w:bookmarkStart w:id="123" w:name="_Toc24076"/>
      <w:bookmarkStart w:id="124" w:name="_Toc25367"/>
      <w:bookmarkStart w:id="125" w:name="_Toc19441"/>
      <w:r>
        <w:rPr>
          <w:rFonts w:hint="eastAsia" w:ascii="仿宋" w:hAnsi="仿宋" w:eastAsia="仿宋" w:cs="仿宋"/>
          <w:b/>
          <w:color w:val="000000" w:themeColor="text1"/>
          <w:sz w:val="24"/>
          <w14:textFill>
            <w14:solidFill>
              <w14:schemeClr w14:val="tx1"/>
            </w14:solidFill>
          </w14:textFill>
        </w:rPr>
        <w:t>七、联系方式</w:t>
      </w:r>
      <w:bookmarkEnd w:id="120"/>
      <w:bookmarkEnd w:id="121"/>
      <w:bookmarkEnd w:id="122"/>
      <w:bookmarkEnd w:id="123"/>
      <w:bookmarkEnd w:id="124"/>
      <w:bookmarkEnd w:id="125"/>
    </w:p>
    <w:p>
      <w:pPr>
        <w:snapToGrid w:val="0"/>
        <w:spacing w:line="400" w:lineRule="exact"/>
        <w:ind w:firstLine="480" w:firstLineChars="200"/>
        <w:outlineLvl w:val="1"/>
        <w:rPr>
          <w:rFonts w:hint="eastAsia" w:ascii="仿宋" w:hAnsi="仿宋" w:eastAsia="仿宋" w:cs="仿宋"/>
          <w:color w:val="000000" w:themeColor="text1"/>
          <w:sz w:val="24"/>
          <w:szCs w:val="24"/>
          <w14:textFill>
            <w14:solidFill>
              <w14:schemeClr w14:val="tx1"/>
            </w14:solidFill>
          </w14:textFill>
        </w:rPr>
      </w:pPr>
      <w:bookmarkStart w:id="126" w:name="_Toc29858"/>
      <w:bookmarkStart w:id="127" w:name="_Toc24732"/>
      <w:bookmarkStart w:id="128" w:name="_Toc26025"/>
      <w:bookmarkStart w:id="129" w:name="_Toc2740"/>
      <w:r>
        <w:rPr>
          <w:rFonts w:hint="eastAsia" w:ascii="仿宋" w:hAnsi="仿宋" w:eastAsia="仿宋" w:cs="仿宋"/>
          <w:color w:val="000000" w:themeColor="text1"/>
          <w:sz w:val="24"/>
          <w:szCs w:val="24"/>
          <w14:textFill>
            <w14:solidFill>
              <w14:schemeClr w14:val="tx1"/>
            </w14:solidFill>
          </w14:textFill>
        </w:rPr>
        <w:t>比选人：重庆市沙坪坝区大学城实验幼儿园</w:t>
      </w:r>
      <w:bookmarkEnd w:id="126"/>
      <w:bookmarkEnd w:id="127"/>
    </w:p>
    <w:p>
      <w:pPr>
        <w:snapToGrid w:val="0"/>
        <w:spacing w:line="400" w:lineRule="exact"/>
        <w:ind w:firstLine="480" w:firstLineChars="200"/>
        <w:outlineLvl w:val="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联系人：方老师</w:t>
      </w:r>
    </w:p>
    <w:p>
      <w:pPr>
        <w:snapToGrid w:val="0"/>
        <w:spacing w:line="400" w:lineRule="exact"/>
        <w:ind w:firstLine="480" w:firstLineChars="200"/>
        <w:outlineLvl w:val="1"/>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w:t>
      </w:r>
      <w:r>
        <w:rPr>
          <w:rFonts w:hint="eastAsia" w:ascii="仿宋" w:hAnsi="仿宋" w:eastAsia="仿宋" w:cs="仿宋"/>
          <w:color w:val="000000" w:themeColor="text1"/>
          <w:sz w:val="24"/>
          <w:szCs w:val="24"/>
          <w:lang w:val="en-US" w:eastAsia="zh-CN"/>
          <w14:textFill>
            <w14:solidFill>
              <w14:schemeClr w14:val="tx1"/>
            </w14:solidFill>
          </w14:textFill>
        </w:rPr>
        <w:t>023-88100761</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址：重庆市沙坪坝区陈家桥陈东路254号</w:t>
      </w:r>
    </w:p>
    <w:p>
      <w:pPr>
        <w:snapToGrid w:val="0"/>
        <w:spacing w:line="400" w:lineRule="exact"/>
        <w:ind w:firstLine="480" w:firstLineChars="200"/>
        <w:outlineLvl w:val="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比选代理机构：共佑工程咨询（重庆）有限公司</w:t>
      </w:r>
      <w:bookmarkEnd w:id="128"/>
      <w:bookmarkEnd w:id="129"/>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联系人：黄老师</w:t>
      </w:r>
    </w:p>
    <w:p>
      <w:pPr>
        <w:snapToGrid w:val="0"/>
        <w:spacing w:line="400" w:lineRule="exact"/>
        <w:ind w:firstLine="480" w:firstLineChars="200"/>
        <w:outlineLvl w:val="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话：13996231314</w:t>
      </w:r>
    </w:p>
    <w:p>
      <w:pPr>
        <w:snapToGrid w:val="0"/>
        <w:spacing w:line="400" w:lineRule="exact"/>
        <w:ind w:firstLine="480" w:firstLineChars="200"/>
        <w:outlineLvl w:val="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址：重庆市渝北区东湖南路333号2栋9-3</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p>
      <w:pPr>
        <w:pStyle w:val="2"/>
        <w:spacing w:before="240" w:after="12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bookmarkStart w:id="130" w:name="_Toc10363"/>
      <w:bookmarkStart w:id="131" w:name="_Toc26847"/>
      <w:bookmarkStart w:id="132" w:name="_Toc15481"/>
      <w:bookmarkStart w:id="133" w:name="_Toc20524"/>
      <w:bookmarkStart w:id="134" w:name="_Toc23719"/>
      <w:bookmarkStart w:id="135" w:name="_Toc8589"/>
      <w:r>
        <w:rPr>
          <w:rFonts w:hint="eastAsia" w:ascii="仿宋" w:hAnsi="仿宋" w:eastAsia="仿宋" w:cs="仿宋"/>
          <w:color w:val="000000" w:themeColor="text1"/>
          <w14:textFill>
            <w14:solidFill>
              <w14:schemeClr w14:val="tx1"/>
            </w14:solidFill>
          </w14:textFill>
        </w:rPr>
        <w:t>第二篇 项目服务要求</w:t>
      </w:r>
      <w:bookmarkEnd w:id="130"/>
      <w:bookmarkEnd w:id="131"/>
      <w:bookmarkEnd w:id="132"/>
      <w:bookmarkEnd w:id="133"/>
      <w:bookmarkEnd w:id="134"/>
      <w:bookmarkEnd w:id="135"/>
      <w:bookmarkStart w:id="136" w:name="_Toc18542"/>
      <w:bookmarkStart w:id="137" w:name="_Toc9939"/>
      <w:bookmarkStart w:id="138" w:name="_Toc18223"/>
      <w:bookmarkStart w:id="139" w:name="_Toc20326"/>
    </w:p>
    <w:bookmarkEnd w:id="136"/>
    <w:bookmarkEnd w:id="137"/>
    <w:p>
      <w:pPr>
        <w:pStyle w:val="3"/>
        <w:spacing w:line="500" w:lineRule="exact"/>
        <w:ind w:firstLine="482" w:firstLineChars="200"/>
        <w:jc w:val="left"/>
        <w:outlineLvl w:val="0"/>
        <w:rPr>
          <w:rFonts w:ascii="仿宋" w:hAnsi="仿宋" w:eastAsia="仿宋" w:cs="仿宋"/>
          <w:b/>
          <w:color w:val="000000" w:themeColor="text1"/>
          <w:sz w:val="24"/>
          <w14:textFill>
            <w14:solidFill>
              <w14:schemeClr w14:val="tx1"/>
            </w14:solidFill>
          </w14:textFill>
        </w:rPr>
      </w:pPr>
      <w:bookmarkStart w:id="140" w:name="_Toc13332"/>
      <w:bookmarkStart w:id="141" w:name="_Toc15749"/>
      <w:bookmarkStart w:id="142" w:name="_Toc17231"/>
      <w:bookmarkStart w:id="143" w:name="_Toc25452"/>
      <w:r>
        <w:rPr>
          <w:rFonts w:hint="eastAsia" w:ascii="仿宋" w:hAnsi="仿宋" w:eastAsia="仿宋" w:cs="仿宋"/>
          <w:b/>
          <w:color w:val="000000" w:themeColor="text1"/>
          <w:sz w:val="24"/>
          <w14:textFill>
            <w14:solidFill>
              <w14:schemeClr w14:val="tx1"/>
            </w14:solidFill>
          </w14:textFill>
        </w:rPr>
        <w:t>一、招标项目一览表</w:t>
      </w:r>
      <w:bookmarkEnd w:id="138"/>
      <w:bookmarkEnd w:id="139"/>
      <w:bookmarkEnd w:id="140"/>
      <w:bookmarkEnd w:id="141"/>
      <w:bookmarkEnd w:id="142"/>
      <w:bookmarkEnd w:id="143"/>
    </w:p>
    <w:tbl>
      <w:tblPr>
        <w:tblStyle w:val="6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3752"/>
        <w:gridCol w:w="1605"/>
        <w:gridCol w:w="145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93" w:type="dxa"/>
            <w:vAlign w:val="center"/>
          </w:tcPr>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144" w:name="_Toc32649"/>
            <w:bookmarkStart w:id="145" w:name="_Toc9053"/>
            <w:bookmarkStart w:id="146" w:name="_Toc12793"/>
            <w:bookmarkStart w:id="147" w:name="_Toc13848"/>
            <w:bookmarkStart w:id="148" w:name="_Toc6221"/>
            <w:bookmarkStart w:id="149" w:name="_Toc5820"/>
            <w:r>
              <w:rPr>
                <w:rFonts w:hint="eastAsia" w:ascii="仿宋" w:hAnsi="仿宋" w:eastAsia="仿宋" w:cs="仿宋"/>
                <w:b/>
                <w:color w:val="000000" w:themeColor="text1"/>
                <w:sz w:val="21"/>
                <w:szCs w:val="21"/>
                <w14:textFill>
                  <w14:solidFill>
                    <w14:schemeClr w14:val="tx1"/>
                  </w14:solidFill>
                </w14:textFill>
              </w:rPr>
              <w:t>序号</w:t>
            </w:r>
            <w:bookmarkEnd w:id="144"/>
            <w:bookmarkEnd w:id="145"/>
          </w:p>
        </w:tc>
        <w:tc>
          <w:tcPr>
            <w:tcW w:w="3752" w:type="dxa"/>
            <w:vAlign w:val="center"/>
          </w:tcPr>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150" w:name="_Toc26457"/>
            <w:bookmarkStart w:id="151" w:name="_Toc6654"/>
            <w:r>
              <w:rPr>
                <w:rFonts w:hint="eastAsia" w:ascii="仿宋" w:hAnsi="仿宋" w:eastAsia="仿宋" w:cs="仿宋"/>
                <w:b/>
                <w:color w:val="000000" w:themeColor="text1"/>
                <w:sz w:val="21"/>
                <w:szCs w:val="21"/>
                <w14:textFill>
                  <w14:solidFill>
                    <w14:schemeClr w14:val="tx1"/>
                  </w14:solidFill>
                </w14:textFill>
              </w:rPr>
              <w:t>招标项目名称</w:t>
            </w:r>
            <w:bookmarkEnd w:id="150"/>
            <w:bookmarkEnd w:id="151"/>
          </w:p>
        </w:tc>
        <w:tc>
          <w:tcPr>
            <w:tcW w:w="1605" w:type="dxa"/>
            <w:vAlign w:val="center"/>
          </w:tcPr>
          <w:p>
            <w:pPr>
              <w:pStyle w:val="24"/>
              <w:spacing w:line="240" w:lineRule="atLeast"/>
              <w:ind w:left="0"/>
              <w:jc w:val="center"/>
              <w:outlineLvl w:val="0"/>
              <w:rPr>
                <w:rFonts w:hint="eastAsia" w:ascii="仿宋" w:hAnsi="仿宋" w:eastAsia="仿宋" w:cs="仿宋"/>
                <w:b/>
                <w:color w:val="000000" w:themeColor="text1"/>
                <w:sz w:val="21"/>
                <w:szCs w:val="21"/>
                <w:lang w:val="en-US" w:eastAsia="zh-CN"/>
                <w14:textFill>
                  <w14:solidFill>
                    <w14:schemeClr w14:val="tx1"/>
                  </w14:solidFill>
                </w14:textFill>
              </w:rPr>
            </w:pPr>
            <w:bookmarkStart w:id="152" w:name="_Toc17444"/>
            <w:bookmarkStart w:id="153" w:name="_Toc25973"/>
            <w:r>
              <w:rPr>
                <w:rFonts w:hint="eastAsia" w:ascii="仿宋" w:hAnsi="仿宋" w:eastAsia="仿宋" w:cs="仿宋"/>
                <w:b/>
                <w:color w:val="000000" w:themeColor="text1"/>
                <w:sz w:val="21"/>
                <w:szCs w:val="21"/>
                <w:lang w:val="en-US" w:eastAsia="zh-CN"/>
                <w14:textFill>
                  <w14:solidFill>
                    <w14:schemeClr w14:val="tx1"/>
                  </w14:solidFill>
                </w14:textFill>
              </w:rPr>
              <w:t>采购预算</w:t>
            </w:r>
          </w:p>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（万元）</w:t>
            </w:r>
            <w:bookmarkEnd w:id="152"/>
            <w:bookmarkEnd w:id="153"/>
          </w:p>
        </w:tc>
        <w:tc>
          <w:tcPr>
            <w:tcW w:w="1455" w:type="dxa"/>
            <w:vAlign w:val="center"/>
          </w:tcPr>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154" w:name="_Toc1702"/>
            <w:bookmarkStart w:id="155" w:name="_Toc14820"/>
            <w:r>
              <w:rPr>
                <w:rFonts w:hint="eastAsia" w:ascii="仿宋" w:hAnsi="仿宋" w:eastAsia="仿宋" w:cs="仿宋"/>
                <w:b/>
                <w:color w:val="000000" w:themeColor="text1"/>
                <w:sz w:val="21"/>
                <w:szCs w:val="21"/>
                <w14:textFill>
                  <w14:solidFill>
                    <w14:schemeClr w14:val="tx1"/>
                  </w14:solidFill>
                </w14:textFill>
              </w:rPr>
              <w:t>服务期</w:t>
            </w:r>
            <w:bookmarkEnd w:id="154"/>
            <w:bookmarkEnd w:id="155"/>
          </w:p>
        </w:tc>
        <w:tc>
          <w:tcPr>
            <w:tcW w:w="1063" w:type="dxa"/>
            <w:vAlign w:val="center"/>
          </w:tcPr>
          <w:p>
            <w:pPr>
              <w:pStyle w:val="24"/>
              <w:spacing w:line="240" w:lineRule="atLeast"/>
              <w:ind w:left="0"/>
              <w:jc w:val="center"/>
              <w:outlineLvl w:val="0"/>
              <w:rPr>
                <w:rFonts w:ascii="仿宋" w:hAnsi="仿宋" w:eastAsia="仿宋" w:cs="仿宋"/>
                <w:b/>
                <w:color w:val="000000" w:themeColor="text1"/>
                <w:sz w:val="21"/>
                <w:szCs w:val="21"/>
                <w14:textFill>
                  <w14:solidFill>
                    <w14:schemeClr w14:val="tx1"/>
                  </w14:solidFill>
                </w14:textFill>
              </w:rPr>
            </w:pPr>
            <w:bookmarkStart w:id="156" w:name="_Toc32271"/>
            <w:bookmarkStart w:id="157" w:name="_Toc13587"/>
            <w:r>
              <w:rPr>
                <w:rFonts w:hint="eastAsia" w:ascii="仿宋" w:hAnsi="仿宋" w:eastAsia="仿宋" w:cs="仿宋"/>
                <w:b/>
                <w:color w:val="000000" w:themeColor="text1"/>
                <w:sz w:val="21"/>
                <w:szCs w:val="21"/>
                <w14:textFill>
                  <w14:solidFill>
                    <w14:schemeClr w14:val="tx1"/>
                  </w14:solidFill>
                </w14:textFill>
              </w:rPr>
              <w:t>备注</w:t>
            </w:r>
            <w:bookmarkEnd w:id="156"/>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93" w:type="dxa"/>
            <w:vAlign w:val="center"/>
          </w:tcPr>
          <w:p>
            <w:pPr>
              <w:pStyle w:val="15"/>
              <w:spacing w:line="240" w:lineRule="atLeast"/>
              <w:ind w:firstLine="0"/>
              <w:jc w:val="center"/>
              <w:outlineLvl w:val="0"/>
              <w:rPr>
                <w:rFonts w:ascii="仿宋" w:hAnsi="仿宋" w:eastAsia="仿宋" w:cs="仿宋"/>
                <w:bCs/>
                <w:color w:val="000000" w:themeColor="text1"/>
                <w:sz w:val="21"/>
                <w:szCs w:val="21"/>
                <w14:textFill>
                  <w14:solidFill>
                    <w14:schemeClr w14:val="tx1"/>
                  </w14:solidFill>
                </w14:textFill>
              </w:rPr>
            </w:pPr>
            <w:bookmarkStart w:id="158" w:name="_Toc21622"/>
            <w:bookmarkStart w:id="159" w:name="_Toc14918"/>
            <w:r>
              <w:rPr>
                <w:rFonts w:hint="eastAsia" w:ascii="仿宋" w:hAnsi="仿宋" w:eastAsia="仿宋" w:cs="仿宋"/>
                <w:bCs/>
                <w:color w:val="000000" w:themeColor="text1"/>
                <w:sz w:val="21"/>
                <w:szCs w:val="21"/>
                <w14:textFill>
                  <w14:solidFill>
                    <w14:schemeClr w14:val="tx1"/>
                  </w14:solidFill>
                </w14:textFill>
              </w:rPr>
              <w:t>1</w:t>
            </w:r>
            <w:bookmarkEnd w:id="158"/>
            <w:bookmarkEnd w:id="159"/>
          </w:p>
        </w:tc>
        <w:tc>
          <w:tcPr>
            <w:tcW w:w="3752" w:type="dxa"/>
            <w:vAlign w:val="center"/>
          </w:tcPr>
          <w:p>
            <w:pPr>
              <w:pStyle w:val="24"/>
              <w:spacing w:line="240" w:lineRule="atLeast"/>
              <w:ind w:left="0"/>
              <w:outlineLvl w:val="0"/>
              <w:rPr>
                <w:rFonts w:ascii="仿宋" w:hAnsi="仿宋" w:eastAsia="仿宋" w:cs="仿宋"/>
                <w:bCs/>
                <w:color w:val="000000" w:themeColor="text1"/>
                <w:sz w:val="21"/>
                <w:szCs w:val="21"/>
                <w14:textFill>
                  <w14:solidFill>
                    <w14:schemeClr w14:val="tx1"/>
                  </w14:solidFill>
                </w14:textFill>
              </w:rPr>
            </w:pPr>
            <w:bookmarkStart w:id="160" w:name="_Toc26072"/>
            <w:bookmarkStart w:id="161" w:name="_Toc28428"/>
            <w:r>
              <w:rPr>
                <w:rFonts w:hint="eastAsia" w:ascii="仿宋" w:hAnsi="仿宋" w:eastAsia="仿宋" w:cs="仿宋"/>
                <w:bCs/>
                <w:color w:val="000000" w:themeColor="text1"/>
                <w:sz w:val="21"/>
                <w:szCs w:val="21"/>
                <w14:textFill>
                  <w14:solidFill>
                    <w14:schemeClr w14:val="tx1"/>
                  </w14:solidFill>
                </w14:textFill>
              </w:rPr>
              <w:t>重庆市沙坪坝区大学城实验幼儿园物业管理服务（保洁、后勤等服务外包）</w:t>
            </w:r>
            <w:bookmarkEnd w:id="160"/>
            <w:bookmarkEnd w:id="161"/>
          </w:p>
        </w:tc>
        <w:tc>
          <w:tcPr>
            <w:tcW w:w="1605" w:type="dxa"/>
            <w:vAlign w:val="center"/>
          </w:tcPr>
          <w:p>
            <w:pPr>
              <w:pStyle w:val="24"/>
              <w:spacing w:line="240" w:lineRule="atLeast"/>
              <w:ind w:left="0"/>
              <w:jc w:val="center"/>
              <w:outlineLvl w:val="0"/>
              <w:rPr>
                <w:rFonts w:ascii="仿宋" w:hAnsi="仿宋" w:eastAsia="仿宋" w:cs="仿宋"/>
                <w:bCs/>
                <w:color w:val="000000" w:themeColor="text1"/>
                <w:sz w:val="21"/>
                <w:szCs w:val="21"/>
                <w14:textFill>
                  <w14:solidFill>
                    <w14:schemeClr w14:val="tx1"/>
                  </w14:solidFill>
                </w14:textFill>
              </w:rPr>
            </w:pPr>
            <w:bookmarkStart w:id="162" w:name="_Toc4941"/>
            <w:bookmarkStart w:id="163" w:name="_Toc2774"/>
            <w:r>
              <w:rPr>
                <w:rFonts w:hint="eastAsia" w:ascii="仿宋" w:hAnsi="仿宋" w:eastAsia="仿宋" w:cs="仿宋"/>
                <w:bCs/>
                <w:color w:val="000000" w:themeColor="text1"/>
                <w:sz w:val="21"/>
                <w:szCs w:val="21"/>
                <w14:textFill>
                  <w14:solidFill>
                    <w14:schemeClr w14:val="tx1"/>
                  </w14:solidFill>
                </w14:textFill>
              </w:rPr>
              <w:t>19.8</w:t>
            </w:r>
            <w:bookmarkEnd w:id="162"/>
            <w:bookmarkEnd w:id="163"/>
          </w:p>
        </w:tc>
        <w:tc>
          <w:tcPr>
            <w:tcW w:w="1455" w:type="dxa"/>
            <w:vAlign w:val="center"/>
          </w:tcPr>
          <w:p>
            <w:pPr>
              <w:pStyle w:val="15"/>
              <w:spacing w:line="400" w:lineRule="exact"/>
              <w:ind w:firstLine="0"/>
              <w:jc w:val="center"/>
              <w:outlineLvl w:val="0"/>
              <w:rPr>
                <w:rFonts w:ascii="仿宋" w:hAnsi="仿宋" w:eastAsia="仿宋" w:cs="仿宋"/>
                <w:bCs/>
                <w:color w:val="000000" w:themeColor="text1"/>
                <w:sz w:val="21"/>
                <w:szCs w:val="21"/>
                <w14:textFill>
                  <w14:solidFill>
                    <w14:schemeClr w14:val="tx1"/>
                  </w14:solidFill>
                </w14:textFill>
              </w:rPr>
            </w:pPr>
            <w:bookmarkStart w:id="164" w:name="_Toc26120"/>
            <w:bookmarkStart w:id="165" w:name="_Toc5472"/>
            <w:r>
              <w:rPr>
                <w:rFonts w:hint="eastAsia" w:ascii="仿宋" w:hAnsi="仿宋" w:eastAsia="仿宋" w:cs="仿宋"/>
                <w:bCs/>
                <w:color w:val="000000" w:themeColor="text1"/>
                <w:sz w:val="21"/>
                <w:szCs w:val="21"/>
                <w14:textFill>
                  <w14:solidFill>
                    <w14:schemeClr w14:val="tx1"/>
                  </w14:solidFill>
                </w14:textFill>
              </w:rPr>
              <w:t>1年</w:t>
            </w:r>
            <w:bookmarkEnd w:id="164"/>
            <w:bookmarkEnd w:id="165"/>
          </w:p>
        </w:tc>
        <w:tc>
          <w:tcPr>
            <w:tcW w:w="1063" w:type="dxa"/>
            <w:vAlign w:val="center"/>
          </w:tcPr>
          <w:p>
            <w:pPr>
              <w:pStyle w:val="15"/>
              <w:spacing w:line="400" w:lineRule="exact"/>
              <w:ind w:firstLine="0"/>
              <w:outlineLvl w:val="9"/>
              <w:rPr>
                <w:rFonts w:ascii="仿宋" w:hAnsi="仿宋" w:eastAsia="仿宋" w:cs="仿宋"/>
                <w:bCs/>
                <w:color w:val="000000" w:themeColor="text1"/>
                <w:sz w:val="21"/>
                <w:szCs w:val="21"/>
                <w14:textFill>
                  <w14:solidFill>
                    <w14:schemeClr w14:val="tx1"/>
                  </w14:solidFill>
                </w14:textFill>
              </w:rPr>
            </w:pPr>
          </w:p>
        </w:tc>
      </w:tr>
      <w:bookmarkEnd w:id="146"/>
      <w:bookmarkEnd w:id="147"/>
      <w:bookmarkEnd w:id="148"/>
      <w:bookmarkEnd w:id="149"/>
    </w:tbl>
    <w:p>
      <w:pPr>
        <w:pStyle w:val="3"/>
        <w:numPr>
          <w:ilvl w:val="0"/>
          <w:numId w:val="17"/>
        </w:numPr>
        <w:spacing w:line="420" w:lineRule="exact"/>
        <w:ind w:left="20" w:leftChars="0" w:firstLine="482" w:firstLineChars="0"/>
        <w:outlineLvl w:val="0"/>
        <w:rPr>
          <w:rFonts w:hint="eastAsia" w:ascii="仿宋" w:hAnsi="仿宋" w:eastAsia="仿宋" w:cs="仿宋"/>
          <w:b/>
          <w:color w:val="000000" w:themeColor="text1"/>
          <w:sz w:val="24"/>
          <w:lang w:val="en-US" w:eastAsia="zh-CN"/>
          <w14:textFill>
            <w14:solidFill>
              <w14:schemeClr w14:val="tx1"/>
            </w14:solidFill>
          </w14:textFill>
        </w:rPr>
      </w:pPr>
      <w:bookmarkStart w:id="166" w:name="_Toc13618"/>
      <w:bookmarkStart w:id="167" w:name="_Toc24321"/>
      <w:r>
        <w:rPr>
          <w:rFonts w:hint="eastAsia" w:ascii="仿宋" w:hAnsi="仿宋" w:eastAsia="仿宋" w:cs="仿宋"/>
          <w:b/>
          <w:color w:val="000000" w:themeColor="text1"/>
          <w:sz w:val="24"/>
          <w:lang w:val="en-US" w:eastAsia="zh-CN"/>
          <w14:textFill>
            <w14:solidFill>
              <w14:schemeClr w14:val="tx1"/>
            </w14:solidFill>
          </w14:textFill>
        </w:rPr>
        <w:t>招标项目服务需求</w:t>
      </w:r>
      <w:bookmarkEnd w:id="166"/>
      <w:bookmarkEnd w:id="167"/>
    </w:p>
    <w:p>
      <w:pPr>
        <w:pStyle w:val="3"/>
        <w:numPr>
          <w:ilvl w:val="0"/>
          <w:numId w:val="0"/>
        </w:numPr>
        <w:spacing w:line="420" w:lineRule="exact"/>
        <w:ind w:firstLine="720" w:firstLineChars="300"/>
        <w:rPr>
          <w:rFonts w:hint="eastAsia" w:ascii="仿宋" w:hAnsi="仿宋" w:eastAsia="仿宋" w:cs="仿宋"/>
          <w:b w:val="0"/>
          <w:bCs/>
          <w:color w:val="000000" w:themeColor="text1"/>
          <w:sz w:val="24"/>
          <w:szCs w:val="24"/>
          <w:lang w:eastAsia="zh-CN"/>
          <w14:textFill>
            <w14:solidFill>
              <w14:schemeClr w14:val="tx1"/>
            </w14:solidFill>
          </w14:textFill>
        </w:rPr>
      </w:pPr>
      <w:bookmarkStart w:id="168" w:name="_Toc1281"/>
      <w:bookmarkStart w:id="169" w:name="_Toc8229"/>
      <w:r>
        <w:rPr>
          <w:rFonts w:hint="eastAsia" w:ascii="仿宋" w:hAnsi="仿宋" w:eastAsia="仿宋" w:cs="仿宋"/>
          <w:b w:val="0"/>
          <w:bCs/>
          <w:color w:val="000000" w:themeColor="text1"/>
          <w:sz w:val="24"/>
          <w14:textFill>
            <w14:solidFill>
              <w14:schemeClr w14:val="tx1"/>
            </w14:solidFill>
          </w14:textFill>
        </w:rPr>
        <w:t>人员配置数量及职责</w:t>
      </w:r>
      <w:r>
        <w:rPr>
          <w:rFonts w:hint="eastAsia" w:ascii="仿宋" w:hAnsi="仿宋" w:eastAsia="仿宋" w:cs="仿宋"/>
          <w:b w:val="0"/>
          <w:bCs/>
          <w:color w:val="000000" w:themeColor="text1"/>
          <w:sz w:val="24"/>
          <w:lang w:eastAsia="zh-CN"/>
          <w14:textFill>
            <w14:solidFill>
              <w14:schemeClr w14:val="tx1"/>
            </w14:solidFill>
          </w14:textFill>
        </w:rPr>
        <w:t>：</w:t>
      </w:r>
      <w:bookmarkEnd w:id="168"/>
      <w:bookmarkEnd w:id="169"/>
    </w:p>
    <w:p>
      <w:pPr>
        <w:snapToGrid w:val="0"/>
        <w:spacing w:line="400" w:lineRule="exact"/>
        <w:ind w:firstLine="480" w:firstLineChars="200"/>
        <w:outlineLvl w:val="1"/>
        <w:rPr>
          <w:rFonts w:ascii="仿宋" w:hAnsi="仿宋" w:eastAsia="仿宋" w:cs="仿宋"/>
          <w:color w:val="000000" w:themeColor="text1"/>
          <w:kern w:val="0"/>
          <w:sz w:val="24"/>
          <w:szCs w:val="24"/>
          <w:highlight w:val="none"/>
          <w14:textFill>
            <w14:solidFill>
              <w14:schemeClr w14:val="tx1"/>
            </w14:solidFill>
          </w14:textFill>
        </w:rPr>
      </w:pPr>
      <w:bookmarkStart w:id="170" w:name="_Toc9698"/>
      <w:bookmarkStart w:id="171" w:name="_Toc29448"/>
      <w:bookmarkStart w:id="172" w:name="_Toc8807"/>
      <w:bookmarkStart w:id="173" w:name="_Toc27045"/>
      <w:bookmarkStart w:id="174" w:name="_Toc7083"/>
      <w:bookmarkStart w:id="175" w:name="_Toc13676"/>
      <w:r>
        <w:rPr>
          <w:rFonts w:hint="eastAsia" w:ascii="仿宋" w:hAnsi="仿宋" w:eastAsia="仿宋" w:cs="仿宋"/>
          <w:color w:val="000000" w:themeColor="text1"/>
          <w:kern w:val="0"/>
          <w:sz w:val="24"/>
          <w:szCs w:val="24"/>
          <w:highlight w:val="none"/>
          <w14:textFill>
            <w14:solidFill>
              <w14:schemeClr w14:val="tx1"/>
            </w14:solidFill>
          </w14:textFill>
        </w:rPr>
        <w:t>（一）食堂保洁杂工</w:t>
      </w:r>
      <w:bookmarkEnd w:id="170"/>
      <w:bookmarkEnd w:id="171"/>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1、人员配备要求：1人</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2、职责：</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（1）保洁人员须在指定时间内到达厨房，听从主厨安排做好洗菜、配菜、洗碗等协助主厨对食堂的管理工作。</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（2）协助主厨完成食堂各餐的烹制工作，保证食品安全卫生，无过期变质食品；</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（3）供餐时负责饭、菜的及时添加；做好厨房的清洁卫生</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（4）保证各班级的餐及时供应。</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（5）负责厨房卫生清理工作，厨房灶台、砧板地面、冷藏柜、冰柜、窗台、灶具等无灰尘、无水渍。</w:t>
      </w:r>
    </w:p>
    <w:p>
      <w:pPr>
        <w:snapToGrid w:val="0"/>
        <w:spacing w:line="400" w:lineRule="exact"/>
        <w:ind w:firstLine="480" w:firstLineChars="200"/>
        <w:outlineLvl w:val="2"/>
        <w:rPr>
          <w:rFonts w:ascii="仿宋" w:hAnsi="仿宋" w:eastAsia="仿宋" w:cs="仿宋"/>
          <w:color w:val="000000" w:themeColor="text1"/>
          <w:kern w:val="0"/>
          <w:sz w:val="24"/>
          <w:szCs w:val="24"/>
          <w:highlight w:val="none"/>
          <w14:textFill>
            <w14:solidFill>
              <w14:schemeClr w14:val="tx1"/>
            </w14:solidFill>
          </w14:textFill>
        </w:rPr>
      </w:pPr>
      <w:bookmarkStart w:id="176" w:name="_Toc4377"/>
      <w:bookmarkStart w:id="177" w:name="_Toc3785"/>
      <w:r>
        <w:rPr>
          <w:rFonts w:hint="eastAsia" w:ascii="仿宋" w:hAnsi="仿宋" w:eastAsia="仿宋" w:cs="仿宋"/>
          <w:color w:val="000000" w:themeColor="text1"/>
          <w:kern w:val="0"/>
          <w:sz w:val="24"/>
          <w:szCs w:val="24"/>
          <w:highlight w:val="none"/>
          <w14:textFill>
            <w14:solidFill>
              <w14:schemeClr w14:val="tx1"/>
            </w14:solidFill>
          </w14:textFill>
        </w:rPr>
        <w:t>3、上班时间：</w:t>
      </w:r>
      <w:bookmarkEnd w:id="176"/>
      <w:bookmarkEnd w:id="177"/>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分早、晚班轮班：</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（周一至周五）早班：05：00——14:00    </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（周一至周五）晚班：07:00——12:30；15:00—17:50</w:t>
      </w:r>
    </w:p>
    <w:p>
      <w:pPr>
        <w:snapToGrid w:val="0"/>
        <w:spacing w:line="400" w:lineRule="exact"/>
        <w:ind w:firstLine="480" w:firstLineChars="200"/>
        <w:outlineLvl w:val="2"/>
        <w:rPr>
          <w:rFonts w:ascii="仿宋" w:hAnsi="仿宋" w:eastAsia="仿宋" w:cs="仿宋"/>
          <w:color w:val="000000" w:themeColor="text1"/>
          <w:kern w:val="0"/>
          <w:sz w:val="24"/>
          <w:szCs w:val="24"/>
          <w:highlight w:val="none"/>
          <w14:textFill>
            <w14:solidFill>
              <w14:schemeClr w14:val="tx1"/>
            </w14:solidFill>
          </w14:textFill>
        </w:rPr>
      </w:pPr>
      <w:bookmarkStart w:id="178" w:name="_Toc14389"/>
      <w:bookmarkStart w:id="179" w:name="_Toc10652"/>
      <w:r>
        <w:rPr>
          <w:rFonts w:hint="eastAsia" w:ascii="仿宋" w:hAnsi="仿宋" w:eastAsia="仿宋" w:cs="仿宋"/>
          <w:color w:val="000000" w:themeColor="text1"/>
          <w:kern w:val="0"/>
          <w:sz w:val="24"/>
          <w:szCs w:val="24"/>
          <w:highlight w:val="none"/>
          <w14:textFill>
            <w14:solidFill>
              <w14:schemeClr w14:val="tx1"/>
            </w14:solidFill>
          </w14:textFill>
        </w:rPr>
        <w:t>4、人员要求：</w:t>
      </w:r>
      <w:bookmarkEnd w:id="178"/>
      <w:bookmarkEnd w:id="179"/>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（1）年龄要求:50岁以下。不得使用50岁以上及退休年龄的人员</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（2）其他要求：必须为人员购买五险一金。不得使用零时工。学校现有岗位职工不允许更换及辞退。</w:t>
      </w:r>
    </w:p>
    <w:p>
      <w:pPr>
        <w:snapToGrid w:val="0"/>
        <w:spacing w:line="400" w:lineRule="exact"/>
        <w:ind w:firstLine="480" w:firstLineChars="200"/>
        <w:outlineLvl w:val="1"/>
        <w:rPr>
          <w:rFonts w:ascii="仿宋" w:hAnsi="仿宋" w:eastAsia="仿宋" w:cs="仿宋"/>
          <w:color w:val="000000" w:themeColor="text1"/>
          <w:kern w:val="0"/>
          <w:sz w:val="24"/>
          <w:szCs w:val="24"/>
          <w:highlight w:val="none"/>
          <w14:textFill>
            <w14:solidFill>
              <w14:schemeClr w14:val="tx1"/>
            </w14:solidFill>
          </w14:textFill>
        </w:rPr>
      </w:pPr>
      <w:bookmarkStart w:id="180" w:name="_Toc9033"/>
      <w:bookmarkStart w:id="181" w:name="_Toc31573"/>
      <w:r>
        <w:rPr>
          <w:rFonts w:hint="eastAsia" w:ascii="仿宋" w:hAnsi="仿宋" w:eastAsia="仿宋" w:cs="仿宋"/>
          <w:color w:val="000000" w:themeColor="text1"/>
          <w:kern w:val="0"/>
          <w:sz w:val="24"/>
          <w:szCs w:val="24"/>
          <w:highlight w:val="none"/>
          <w14:textFill>
            <w14:solidFill>
              <w14:schemeClr w14:val="tx1"/>
            </w14:solidFill>
          </w14:textFill>
        </w:rPr>
        <w:t>（二）班级保育保洁员</w:t>
      </w:r>
      <w:bookmarkEnd w:id="180"/>
      <w:bookmarkEnd w:id="181"/>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1、人员配备要求：2人</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2、职责：</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（1）严格遵守国家的法律、法规和幼儿园的各项规章制度，对幼儿实施保育和教育工作。</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（2）遵守职业道德，有良好的工作责任感，仪表整洁，以身作则，不随便离岗，处处做幼儿的表率，严禁对幼儿进行体罚和变相体罚。 </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（3）负责本班室内外清洁卫生消毒工作，保持本班环境清洁整齐、空气新鲜。 </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（4）根据本班教育教学要求每天配合教师开展教学活动、游戏活动、体育活动。</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（5）每周参加一次政治学习，每两周参加一次业务学习。</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（6）协助医务室人员做好幼儿的预防接种工作。</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（7）负责学校公共区域的卫生清洁，以及搬、运、抬的临时工作。</w:t>
      </w:r>
    </w:p>
    <w:p>
      <w:pPr>
        <w:snapToGrid w:val="0"/>
        <w:spacing w:line="400" w:lineRule="exact"/>
        <w:ind w:firstLine="480" w:firstLineChars="200"/>
        <w:outlineLvl w:val="2"/>
        <w:rPr>
          <w:rFonts w:ascii="仿宋" w:hAnsi="仿宋" w:eastAsia="仿宋" w:cs="仿宋"/>
          <w:color w:val="000000" w:themeColor="text1"/>
          <w:kern w:val="0"/>
          <w:sz w:val="24"/>
          <w:szCs w:val="24"/>
          <w:highlight w:val="none"/>
          <w14:textFill>
            <w14:solidFill>
              <w14:schemeClr w14:val="tx1"/>
            </w14:solidFill>
          </w14:textFill>
        </w:rPr>
      </w:pPr>
      <w:bookmarkStart w:id="182" w:name="_Toc14224"/>
      <w:bookmarkStart w:id="183" w:name="_Toc4987"/>
      <w:r>
        <w:rPr>
          <w:rFonts w:hint="eastAsia" w:ascii="仿宋" w:hAnsi="仿宋" w:eastAsia="仿宋" w:cs="仿宋"/>
          <w:color w:val="000000" w:themeColor="text1"/>
          <w:kern w:val="0"/>
          <w:sz w:val="24"/>
          <w:szCs w:val="24"/>
          <w:highlight w:val="none"/>
          <w14:textFill>
            <w14:solidFill>
              <w14:schemeClr w14:val="tx1"/>
            </w14:solidFill>
          </w14:textFill>
        </w:rPr>
        <w:t>3、上班时间：</w:t>
      </w:r>
      <w:bookmarkEnd w:id="182"/>
      <w:bookmarkEnd w:id="183"/>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（周一至周五）07:10—12:00；13:40—18:00</w:t>
      </w:r>
    </w:p>
    <w:p>
      <w:pPr>
        <w:snapToGrid w:val="0"/>
        <w:spacing w:line="400" w:lineRule="exact"/>
        <w:ind w:firstLine="480" w:firstLineChars="200"/>
        <w:outlineLvl w:val="2"/>
        <w:rPr>
          <w:rFonts w:ascii="仿宋" w:hAnsi="仿宋" w:eastAsia="仿宋" w:cs="仿宋"/>
          <w:color w:val="000000" w:themeColor="text1"/>
          <w:kern w:val="0"/>
          <w:sz w:val="24"/>
          <w:szCs w:val="24"/>
          <w:highlight w:val="none"/>
          <w14:textFill>
            <w14:solidFill>
              <w14:schemeClr w14:val="tx1"/>
            </w14:solidFill>
          </w14:textFill>
        </w:rPr>
      </w:pPr>
      <w:bookmarkStart w:id="184" w:name="_Toc1902"/>
      <w:bookmarkStart w:id="185" w:name="_Toc22017"/>
      <w:r>
        <w:rPr>
          <w:rFonts w:hint="eastAsia" w:ascii="仿宋" w:hAnsi="仿宋" w:eastAsia="仿宋" w:cs="仿宋"/>
          <w:color w:val="000000" w:themeColor="text1"/>
          <w:kern w:val="0"/>
          <w:sz w:val="24"/>
          <w:szCs w:val="24"/>
          <w:highlight w:val="none"/>
          <w14:textFill>
            <w14:solidFill>
              <w14:schemeClr w14:val="tx1"/>
            </w14:solidFill>
          </w14:textFill>
        </w:rPr>
        <w:t>4、人员要求：</w:t>
      </w:r>
      <w:bookmarkEnd w:id="184"/>
      <w:bookmarkEnd w:id="185"/>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（1）年龄要求：50岁以下。不得使用50岁以上及退休年龄的人员</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（2）资格要求：必须具备保育员资格证书才能上岗</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（3）其他要求：必须购买五险一金。不得使用零时工。学校现有岗位职工不允许更换及辞退。</w:t>
      </w:r>
    </w:p>
    <w:p>
      <w:pPr>
        <w:snapToGrid w:val="0"/>
        <w:spacing w:line="400" w:lineRule="exact"/>
        <w:ind w:firstLine="480" w:firstLineChars="200"/>
        <w:outlineLvl w:val="1"/>
        <w:rPr>
          <w:rFonts w:ascii="仿宋" w:hAnsi="仿宋" w:eastAsia="仿宋" w:cs="仿宋"/>
          <w:color w:val="000000" w:themeColor="text1"/>
          <w:kern w:val="0"/>
          <w:sz w:val="24"/>
          <w:szCs w:val="24"/>
          <w:highlight w:val="none"/>
          <w14:textFill>
            <w14:solidFill>
              <w14:schemeClr w14:val="tx1"/>
            </w14:solidFill>
          </w14:textFill>
        </w:rPr>
      </w:pPr>
      <w:bookmarkStart w:id="186" w:name="_Toc2893"/>
      <w:bookmarkStart w:id="187" w:name="_Toc5010"/>
      <w:r>
        <w:rPr>
          <w:rFonts w:hint="eastAsia" w:ascii="仿宋" w:hAnsi="仿宋" w:eastAsia="仿宋" w:cs="仿宋"/>
          <w:color w:val="000000" w:themeColor="text1"/>
          <w:kern w:val="0"/>
          <w:sz w:val="24"/>
          <w:szCs w:val="24"/>
          <w:highlight w:val="none"/>
          <w14:textFill>
            <w14:solidFill>
              <w14:schemeClr w14:val="tx1"/>
            </w14:solidFill>
          </w14:textFill>
        </w:rPr>
        <w:t>（三）后勤人员</w:t>
      </w:r>
      <w:bookmarkEnd w:id="186"/>
      <w:bookmarkEnd w:id="187"/>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1、人员配备要求：专职后勤1人 ；水电维修1人 </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2、职责：</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（1）协助后勤主任做后勤的日常工作。</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（2）负责后勤档案及材料的统计、存档工作。</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（3）负责学校内设施设备维护维修工作。包括水、电、气及食堂设施设备维修工作。</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（4）负责学校的排水、给水、供暖、供电的工作。</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（5）负责学校安全、消防设备、特种设备的全面管理工作。</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（6）负责学校安保人员的管理工作</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（7）组织安排各项活动，完成领导的交办的其他工作。</w:t>
      </w:r>
    </w:p>
    <w:p>
      <w:pPr>
        <w:snapToGrid w:val="0"/>
        <w:spacing w:line="400" w:lineRule="exact"/>
        <w:ind w:firstLine="480" w:firstLineChars="200"/>
        <w:outlineLvl w:val="2"/>
        <w:rPr>
          <w:rFonts w:ascii="仿宋" w:hAnsi="仿宋" w:eastAsia="仿宋" w:cs="仿宋"/>
          <w:color w:val="000000" w:themeColor="text1"/>
          <w:kern w:val="0"/>
          <w:sz w:val="24"/>
          <w:szCs w:val="24"/>
          <w:highlight w:val="none"/>
          <w14:textFill>
            <w14:solidFill>
              <w14:schemeClr w14:val="tx1"/>
            </w14:solidFill>
          </w14:textFill>
        </w:rPr>
      </w:pPr>
      <w:bookmarkStart w:id="188" w:name="_Toc4670"/>
      <w:bookmarkStart w:id="189" w:name="_Toc8089"/>
      <w:r>
        <w:rPr>
          <w:rFonts w:hint="eastAsia" w:ascii="仿宋" w:hAnsi="仿宋" w:eastAsia="仿宋" w:cs="仿宋"/>
          <w:color w:val="000000" w:themeColor="text1"/>
          <w:kern w:val="0"/>
          <w:sz w:val="24"/>
          <w:szCs w:val="24"/>
          <w:highlight w:val="none"/>
          <w14:textFill>
            <w14:solidFill>
              <w14:schemeClr w14:val="tx1"/>
            </w14:solidFill>
          </w14:textFill>
        </w:rPr>
        <w:t>3、上班时间：</w:t>
      </w:r>
      <w:bookmarkEnd w:id="188"/>
      <w:bookmarkEnd w:id="189"/>
    </w:p>
    <w:p>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专职后勤：（周一至周五）08:00—12:00；14:00—18:00</w:t>
      </w:r>
    </w:p>
    <w:p>
      <w:pPr>
        <w:snapToGrid w:val="0"/>
        <w:spacing w:line="400" w:lineRule="exact"/>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水电维修</w:t>
      </w:r>
      <w:r>
        <w:rPr>
          <w:rFonts w:hint="eastAsia" w:ascii="仿宋" w:hAnsi="仿宋" w:eastAsia="仿宋" w:cs="仿宋"/>
          <w:color w:val="000000" w:themeColor="text1"/>
          <w:kern w:val="0"/>
          <w:sz w:val="24"/>
          <w:szCs w:val="24"/>
          <w:highlight w:val="none"/>
          <w14:textFill>
            <w14:solidFill>
              <w14:schemeClr w14:val="tx1"/>
            </w14:solidFill>
          </w14:textFill>
        </w:rPr>
        <w:t>：（周一至周六）08:00—12:00或14:00—18:00（每日完成学校水电的检测、维修工作，必须将当日工作完成检查合格后才能离岗，出现维修情况，需要立即到岗解决）</w:t>
      </w:r>
    </w:p>
    <w:p>
      <w:pPr>
        <w:snapToGrid w:val="0"/>
        <w:spacing w:line="400" w:lineRule="exact"/>
        <w:ind w:firstLine="480" w:firstLineChars="200"/>
        <w:outlineLvl w:val="2"/>
        <w:rPr>
          <w:rFonts w:ascii="仿宋" w:hAnsi="仿宋" w:eastAsia="仿宋" w:cs="仿宋"/>
          <w:color w:val="000000" w:themeColor="text1"/>
          <w:kern w:val="0"/>
          <w:sz w:val="24"/>
          <w:szCs w:val="24"/>
          <w:highlight w:val="none"/>
          <w14:textFill>
            <w14:solidFill>
              <w14:schemeClr w14:val="tx1"/>
            </w14:solidFill>
          </w14:textFill>
        </w:rPr>
      </w:pPr>
      <w:bookmarkStart w:id="190" w:name="_Toc28895"/>
      <w:bookmarkStart w:id="191" w:name="_Toc16092"/>
      <w:r>
        <w:rPr>
          <w:rFonts w:hint="eastAsia" w:ascii="仿宋" w:hAnsi="仿宋" w:eastAsia="仿宋" w:cs="仿宋"/>
          <w:color w:val="000000" w:themeColor="text1"/>
          <w:kern w:val="0"/>
          <w:sz w:val="24"/>
          <w:szCs w:val="24"/>
          <w:highlight w:val="none"/>
          <w14:textFill>
            <w14:solidFill>
              <w14:schemeClr w14:val="tx1"/>
            </w14:solidFill>
          </w14:textFill>
        </w:rPr>
        <w:t>4、人员要求：</w:t>
      </w:r>
      <w:bookmarkEnd w:id="190"/>
      <w:bookmarkEnd w:id="191"/>
    </w:p>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（1）年龄要求：50</w:t>
      </w:r>
      <w:r>
        <w:rPr>
          <w:rFonts w:hint="eastAsia" w:ascii="仿宋" w:hAnsi="仿宋" w:eastAsia="仿宋" w:cs="仿宋"/>
          <w:color w:val="000000" w:themeColor="text1"/>
          <w:kern w:val="0"/>
          <w:sz w:val="24"/>
          <w:szCs w:val="24"/>
          <w14:textFill>
            <w14:solidFill>
              <w14:schemeClr w14:val="tx1"/>
            </w14:solidFill>
          </w14:textFill>
        </w:rPr>
        <w:t>岁以下，男性，不得使用50岁以上及退休年龄的人员。</w:t>
      </w:r>
    </w:p>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（2）其他要求：必须购买五险一金。不得使用零时工。学校现有岗位职工不允许更换及辞退。</w:t>
      </w:r>
    </w:p>
    <w:p>
      <w:pPr>
        <w:pStyle w:val="3"/>
        <w:spacing w:line="500" w:lineRule="exact"/>
        <w:ind w:firstLine="482" w:firstLineChars="200"/>
        <w:jc w:val="left"/>
        <w:outlineLvl w:val="0"/>
        <w:rPr>
          <w:rFonts w:hint="default" w:ascii="仿宋" w:hAnsi="仿宋" w:eastAsia="仿宋" w:cs="仿宋"/>
          <w:b/>
          <w:color w:val="000000" w:themeColor="text1"/>
          <w:sz w:val="24"/>
          <w:lang w:val="en-US" w:eastAsia="zh-CN"/>
          <w14:textFill>
            <w14:solidFill>
              <w14:schemeClr w14:val="tx1"/>
            </w14:solidFill>
          </w14:textFill>
        </w:rPr>
      </w:pPr>
      <w:bookmarkStart w:id="192" w:name="_Toc4829"/>
      <w:bookmarkStart w:id="193" w:name="_Toc18670"/>
      <w:r>
        <w:rPr>
          <w:rFonts w:hint="eastAsia" w:ascii="仿宋" w:hAnsi="仿宋" w:eastAsia="仿宋" w:cs="仿宋"/>
          <w:b/>
          <w:color w:val="000000" w:themeColor="text1"/>
          <w:sz w:val="24"/>
          <w14:textFill>
            <w14:solidFill>
              <w14:schemeClr w14:val="tx1"/>
            </w14:solidFill>
          </w14:textFill>
        </w:rPr>
        <w:t>三、</w:t>
      </w:r>
      <w:r>
        <w:rPr>
          <w:rFonts w:hint="eastAsia" w:ascii="仿宋" w:hAnsi="仿宋" w:eastAsia="仿宋" w:cs="仿宋"/>
          <w:b/>
          <w:color w:val="000000" w:themeColor="text1"/>
          <w:sz w:val="24"/>
          <w:lang w:val="en-US" w:eastAsia="zh-CN"/>
          <w14:textFill>
            <w14:solidFill>
              <w14:schemeClr w14:val="tx1"/>
            </w14:solidFill>
          </w14:textFill>
        </w:rPr>
        <w:t>工资要求</w:t>
      </w:r>
      <w:bookmarkEnd w:id="192"/>
      <w:bookmarkEnd w:id="193"/>
    </w:p>
    <w:p>
      <w:pPr>
        <w:snapToGrid w:val="0"/>
        <w:spacing w:line="400" w:lineRule="exact"/>
        <w:ind w:firstLine="480" w:firstLineChars="200"/>
        <w:rPr>
          <w:rFonts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所有外包人员节假日均带薪休假（正常月发放的工资标准），不得克扣工资。寒暑假三个月按当前重庆最低标准发放工资。所有人员均要购买五险一金，不得使用临时工，超龄人员。</w:t>
      </w:r>
    </w:p>
    <w:p>
      <w:pPr>
        <w:pStyle w:val="3"/>
        <w:spacing w:line="500" w:lineRule="exact"/>
        <w:ind w:firstLine="482" w:firstLineChars="200"/>
        <w:jc w:val="left"/>
        <w:outlineLvl w:val="0"/>
        <w:rPr>
          <w:rFonts w:hint="default" w:ascii="仿宋" w:hAnsi="仿宋" w:eastAsia="仿宋" w:cs="仿宋"/>
          <w:b/>
          <w:color w:val="000000" w:themeColor="text1"/>
          <w:sz w:val="24"/>
          <w:lang w:val="en-US" w:eastAsia="zh-CN"/>
          <w14:textFill>
            <w14:solidFill>
              <w14:schemeClr w14:val="tx1"/>
            </w14:solidFill>
          </w14:textFill>
        </w:rPr>
      </w:pPr>
      <w:bookmarkStart w:id="194" w:name="_Toc28348"/>
      <w:bookmarkStart w:id="195" w:name="_Toc6477"/>
      <w:r>
        <w:rPr>
          <w:rFonts w:hint="eastAsia" w:ascii="仿宋" w:hAnsi="仿宋" w:eastAsia="仿宋" w:cs="仿宋"/>
          <w:b/>
          <w:color w:val="000000" w:themeColor="text1"/>
          <w:sz w:val="24"/>
          <w14:textFill>
            <w14:solidFill>
              <w14:schemeClr w14:val="tx1"/>
            </w14:solidFill>
          </w14:textFill>
        </w:rPr>
        <w:t>四、</w:t>
      </w:r>
      <w:r>
        <w:rPr>
          <w:rFonts w:hint="eastAsia" w:ascii="仿宋" w:hAnsi="仿宋" w:eastAsia="仿宋" w:cs="仿宋"/>
          <w:b/>
          <w:color w:val="000000" w:themeColor="text1"/>
          <w:sz w:val="24"/>
          <w:lang w:val="en-US" w:eastAsia="zh-CN"/>
          <w14:textFill>
            <w14:solidFill>
              <w14:schemeClr w14:val="tx1"/>
            </w14:solidFill>
          </w14:textFill>
        </w:rPr>
        <w:t>标准</w:t>
      </w:r>
      <w:bookmarkEnd w:id="194"/>
      <w:bookmarkEnd w:id="195"/>
    </w:p>
    <w:p>
      <w:pPr>
        <w:snapToGrid w:val="0"/>
        <w:spacing w:line="400" w:lineRule="exact"/>
        <w:ind w:firstLine="480" w:firstLineChars="200"/>
        <w:rPr>
          <w:rFonts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所有外包人员的用工标准及岗位职责要求都要写入外包合同，不接受协商更改，请供应商认真阅读，慎重投标，若不按要求履行，请自行承担法律后果。</w:t>
      </w: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2"/>
        <w:spacing w:before="240" w:after="120" w:line="360" w:lineRule="auto"/>
        <w:outlineLvl w:val="1"/>
        <w:rPr>
          <w:rFonts w:ascii="仿宋" w:hAnsi="仿宋" w:eastAsia="仿宋" w:cs="仿宋"/>
          <w:color w:val="000000" w:themeColor="text1"/>
          <w14:textFill>
            <w14:solidFill>
              <w14:schemeClr w14:val="tx1"/>
            </w14:solidFill>
          </w14:textFill>
        </w:rPr>
      </w:pPr>
      <w:bookmarkStart w:id="196" w:name="_Toc25389"/>
      <w:bookmarkStart w:id="197" w:name="_Toc10748"/>
      <w:r>
        <w:rPr>
          <w:rFonts w:hint="eastAsia" w:ascii="仿宋" w:hAnsi="仿宋" w:eastAsia="仿宋" w:cs="仿宋"/>
          <w:color w:val="000000" w:themeColor="text1"/>
          <w14:textFill>
            <w14:solidFill>
              <w14:schemeClr w14:val="tx1"/>
            </w14:solidFill>
          </w14:textFill>
        </w:rPr>
        <w:t>第三篇  项目商务要求</w:t>
      </w:r>
      <w:bookmarkEnd w:id="172"/>
      <w:bookmarkEnd w:id="173"/>
      <w:bookmarkEnd w:id="174"/>
      <w:bookmarkEnd w:id="175"/>
      <w:bookmarkEnd w:id="196"/>
      <w:bookmarkEnd w:id="197"/>
    </w:p>
    <w:p>
      <w:pPr>
        <w:pStyle w:val="3"/>
        <w:spacing w:line="40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198" w:name="_Toc20722"/>
      <w:bookmarkStart w:id="199" w:name="_Toc4155"/>
      <w:bookmarkStart w:id="200" w:name="_Toc3102"/>
      <w:bookmarkStart w:id="201" w:name="_Toc14157"/>
      <w:bookmarkStart w:id="202" w:name="_Toc27241"/>
      <w:bookmarkStart w:id="203" w:name="_Toc32411"/>
      <w:bookmarkStart w:id="204" w:name="_Toc75793509"/>
      <w:r>
        <w:rPr>
          <w:rFonts w:hint="eastAsia" w:ascii="仿宋" w:hAnsi="仿宋" w:eastAsia="仿宋" w:cs="仿宋"/>
          <w:b/>
          <w:color w:val="000000" w:themeColor="text1"/>
          <w:sz w:val="24"/>
          <w:szCs w:val="24"/>
          <w14:textFill>
            <w14:solidFill>
              <w14:schemeClr w14:val="tx1"/>
            </w14:solidFill>
          </w14:textFill>
        </w:rPr>
        <w:t>一、服务期、服务地点及验收方式</w:t>
      </w:r>
      <w:bookmarkEnd w:id="198"/>
      <w:bookmarkEnd w:id="199"/>
      <w:bookmarkEnd w:id="200"/>
      <w:bookmarkEnd w:id="201"/>
      <w:bookmarkEnd w:id="202"/>
      <w:bookmarkEnd w:id="203"/>
      <w:bookmarkEnd w:id="204"/>
    </w:p>
    <w:p>
      <w:pPr>
        <w:snapToGrid w:val="0"/>
        <w:spacing w:line="400" w:lineRule="exact"/>
        <w:ind w:firstLine="480" w:firstLineChars="200"/>
        <w:outlineLvl w:val="1"/>
        <w:rPr>
          <w:rFonts w:ascii="仿宋" w:hAnsi="仿宋" w:eastAsia="仿宋" w:cs="仿宋"/>
          <w:color w:val="000000" w:themeColor="text1"/>
          <w:kern w:val="0"/>
          <w:sz w:val="24"/>
          <w:szCs w:val="24"/>
          <w14:textFill>
            <w14:solidFill>
              <w14:schemeClr w14:val="tx1"/>
            </w14:solidFill>
          </w14:textFill>
        </w:rPr>
      </w:pPr>
      <w:bookmarkStart w:id="205" w:name="_Toc31623"/>
      <w:bookmarkStart w:id="206" w:name="_Toc20285"/>
      <w:r>
        <w:rPr>
          <w:rFonts w:hint="eastAsia" w:ascii="仿宋" w:hAnsi="仿宋" w:eastAsia="仿宋" w:cs="仿宋"/>
          <w:color w:val="000000" w:themeColor="text1"/>
          <w:kern w:val="0"/>
          <w:sz w:val="24"/>
          <w:szCs w:val="24"/>
          <w14:textFill>
            <w14:solidFill>
              <w14:schemeClr w14:val="tx1"/>
            </w14:solidFill>
          </w14:textFill>
        </w:rPr>
        <w:t>（一）服务期</w:t>
      </w:r>
      <w:bookmarkEnd w:id="205"/>
      <w:bookmarkEnd w:id="206"/>
    </w:p>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自合同签订之日起1年</w:t>
      </w:r>
    </w:p>
    <w:p>
      <w:pPr>
        <w:snapToGrid w:val="0"/>
        <w:spacing w:line="400" w:lineRule="exact"/>
        <w:ind w:firstLine="480" w:firstLineChars="200"/>
        <w:outlineLvl w:val="1"/>
        <w:rPr>
          <w:rFonts w:ascii="仿宋" w:hAnsi="仿宋" w:eastAsia="仿宋" w:cs="仿宋"/>
          <w:color w:val="000000" w:themeColor="text1"/>
          <w:kern w:val="0"/>
          <w:sz w:val="24"/>
          <w:szCs w:val="24"/>
          <w14:textFill>
            <w14:solidFill>
              <w14:schemeClr w14:val="tx1"/>
            </w14:solidFill>
          </w14:textFill>
        </w:rPr>
      </w:pPr>
      <w:bookmarkStart w:id="207" w:name="_Toc3332"/>
      <w:bookmarkStart w:id="208" w:name="_Toc27320"/>
      <w:r>
        <w:rPr>
          <w:rFonts w:hint="eastAsia" w:ascii="仿宋" w:hAnsi="仿宋" w:eastAsia="仿宋" w:cs="仿宋"/>
          <w:color w:val="000000" w:themeColor="text1"/>
          <w:kern w:val="0"/>
          <w:sz w:val="24"/>
          <w:szCs w:val="24"/>
          <w14:textFill>
            <w14:solidFill>
              <w14:schemeClr w14:val="tx1"/>
            </w14:solidFill>
          </w14:textFill>
        </w:rPr>
        <w:t>（二）服务地点</w:t>
      </w:r>
      <w:bookmarkEnd w:id="207"/>
      <w:bookmarkEnd w:id="208"/>
    </w:p>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比选人指定地点。</w:t>
      </w:r>
    </w:p>
    <w:p>
      <w:pPr>
        <w:snapToGrid w:val="0"/>
        <w:spacing w:line="400" w:lineRule="exact"/>
        <w:ind w:firstLine="480" w:firstLineChars="200"/>
        <w:outlineLvl w:val="1"/>
        <w:rPr>
          <w:rFonts w:ascii="仿宋" w:hAnsi="仿宋" w:eastAsia="仿宋" w:cs="仿宋"/>
          <w:color w:val="000000" w:themeColor="text1"/>
          <w:kern w:val="0"/>
          <w:sz w:val="24"/>
          <w:szCs w:val="24"/>
          <w14:textFill>
            <w14:solidFill>
              <w14:schemeClr w14:val="tx1"/>
            </w14:solidFill>
          </w14:textFill>
        </w:rPr>
      </w:pPr>
      <w:bookmarkStart w:id="209" w:name="_Toc10328"/>
      <w:bookmarkStart w:id="210" w:name="_Toc15190"/>
      <w:r>
        <w:rPr>
          <w:rFonts w:hint="eastAsia" w:ascii="仿宋" w:hAnsi="仿宋" w:eastAsia="仿宋" w:cs="仿宋"/>
          <w:color w:val="000000" w:themeColor="text1"/>
          <w:kern w:val="0"/>
          <w:sz w:val="24"/>
          <w:szCs w:val="24"/>
          <w14:textFill>
            <w14:solidFill>
              <w14:schemeClr w14:val="tx1"/>
            </w14:solidFill>
          </w14:textFill>
        </w:rPr>
        <w:t>（三）验收标准</w:t>
      </w:r>
      <w:bookmarkEnd w:id="209"/>
      <w:bookmarkEnd w:id="210"/>
    </w:p>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bookmarkStart w:id="211" w:name="_Toc31607"/>
      <w:bookmarkStart w:id="212" w:name="_Toc19217"/>
      <w:bookmarkStart w:id="213" w:name="_Toc31349"/>
      <w:bookmarkStart w:id="214" w:name="_Toc23390"/>
      <w:bookmarkStart w:id="215" w:name="_Toc1684"/>
      <w:bookmarkStart w:id="216" w:name="_Toc28948"/>
      <w:r>
        <w:rPr>
          <w:rFonts w:hint="eastAsia" w:ascii="仿宋" w:hAnsi="仿宋" w:eastAsia="仿宋" w:cs="仿宋"/>
          <w:color w:val="000000" w:themeColor="text1"/>
          <w:kern w:val="0"/>
          <w:sz w:val="24"/>
          <w:szCs w:val="24"/>
          <w14:textFill>
            <w14:solidFill>
              <w14:schemeClr w14:val="tx1"/>
            </w14:solidFill>
          </w14:textFill>
        </w:rPr>
        <w:t>1.以经采购人确认的项目文件、合同和采购方需求，以及国家及行业相关标准作为验收标准进行验收，如验收达不到规定要求，对采购人造成一定的影响，中标人承担一切责任，并赔偿所造成的损失。</w:t>
      </w:r>
    </w:p>
    <w:p>
      <w:pPr>
        <w:snapToGrid w:val="0"/>
        <w:spacing w:line="400" w:lineRule="exact"/>
        <w:ind w:firstLine="480" w:firstLineChars="200"/>
        <w:rPr>
          <w:rFonts w:ascii="仿宋" w:hAnsi="仿宋" w:eastAsia="仿宋"/>
          <w:sz w:val="24"/>
          <w:szCs w:val="24"/>
        </w:rPr>
      </w:pPr>
      <w:r>
        <w:rPr>
          <w:rFonts w:hint="eastAsia" w:ascii="仿宋" w:hAnsi="仿宋" w:eastAsia="仿宋" w:cs="仿宋"/>
          <w:color w:val="000000" w:themeColor="text1"/>
          <w:kern w:val="0"/>
          <w:sz w:val="24"/>
          <w:szCs w:val="24"/>
          <w14:textFill>
            <w14:solidFill>
              <w14:schemeClr w14:val="tx1"/>
            </w14:solidFill>
          </w14:textFill>
        </w:rPr>
        <w:t>2.采购人组织相关人员对中标人在本项目实际到场工作人员等进行核实，并在项目实施过程中对项目实施情况进行不定期巡查，巡查中发现服务人员未按照要求执行的，按照10元/次对服务人员及中标供应商执行扣款，如发现中标供应商未按照要求进行管理（包括但不限于校园物业管理工作安排、人员薪资按时发放及保险按时缴纳）或出现重大工作失误或月考核不合格，采购人有权要求解除合同</w:t>
      </w:r>
      <w:r>
        <w:rPr>
          <w:rFonts w:hint="eastAsia" w:ascii="仿宋" w:hAnsi="仿宋" w:eastAsia="仿宋"/>
          <w:sz w:val="24"/>
          <w:szCs w:val="24"/>
        </w:rPr>
        <w:t>。</w:t>
      </w:r>
    </w:p>
    <w:bookmarkEnd w:id="211"/>
    <w:bookmarkEnd w:id="212"/>
    <w:bookmarkEnd w:id="213"/>
    <w:bookmarkEnd w:id="214"/>
    <w:bookmarkEnd w:id="215"/>
    <w:bookmarkEnd w:id="216"/>
    <w:p>
      <w:pPr>
        <w:pStyle w:val="3"/>
        <w:spacing w:line="50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217" w:name="_Toc12947"/>
      <w:bookmarkStart w:id="218" w:name="_Toc28544"/>
      <w:bookmarkStart w:id="219" w:name="_Toc16170740"/>
      <w:bookmarkStart w:id="220" w:name="_Toc24008"/>
      <w:bookmarkStart w:id="221" w:name="_Toc21854"/>
      <w:bookmarkStart w:id="222" w:name="_Toc10369"/>
      <w:bookmarkStart w:id="223" w:name="_Toc31950"/>
      <w:bookmarkStart w:id="224" w:name="_Toc31971"/>
      <w:bookmarkStart w:id="225" w:name="_Toc1560"/>
      <w:r>
        <w:rPr>
          <w:rFonts w:hint="eastAsia" w:ascii="仿宋" w:hAnsi="仿宋" w:eastAsia="仿宋" w:cs="仿宋"/>
          <w:b/>
          <w:color w:val="000000" w:themeColor="text1"/>
          <w:sz w:val="24"/>
          <w:szCs w:val="24"/>
          <w14:textFill>
            <w14:solidFill>
              <w14:schemeClr w14:val="tx1"/>
            </w14:solidFill>
          </w14:textFill>
        </w:rPr>
        <w:t>二、报价要求</w:t>
      </w:r>
      <w:bookmarkEnd w:id="217"/>
      <w:bookmarkEnd w:id="218"/>
      <w:bookmarkEnd w:id="219"/>
      <w:bookmarkEnd w:id="220"/>
      <w:bookmarkEnd w:id="221"/>
      <w:bookmarkEnd w:id="222"/>
      <w:bookmarkEnd w:id="223"/>
      <w:bookmarkEnd w:id="224"/>
      <w:bookmarkEnd w:id="225"/>
    </w:p>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bookmarkStart w:id="226" w:name="_Toc31213"/>
      <w:bookmarkStart w:id="227" w:name="_Toc9827"/>
      <w:bookmarkStart w:id="228" w:name="_Toc492"/>
      <w:bookmarkStart w:id="229" w:name="_Toc11557"/>
      <w:bookmarkStart w:id="230" w:name="_Toc11132"/>
      <w:bookmarkStart w:id="231" w:name="_Toc8893"/>
      <w:bookmarkStart w:id="232" w:name="_Toc16170742"/>
      <w:bookmarkStart w:id="233" w:name="_Toc267320051"/>
      <w:r>
        <w:rPr>
          <w:rFonts w:hint="eastAsia" w:ascii="仿宋" w:hAnsi="仿宋" w:eastAsia="仿宋" w:cs="仿宋"/>
          <w:color w:val="000000" w:themeColor="text1"/>
          <w:kern w:val="0"/>
          <w:sz w:val="24"/>
          <w:szCs w:val="24"/>
          <w14:textFill>
            <w14:solidFill>
              <w14:schemeClr w14:val="tx1"/>
            </w14:solidFill>
          </w14:textFill>
        </w:rPr>
        <w:t>本次报价须为人民币报价，包含不限于本项目的服务费、人员</w:t>
      </w:r>
      <w:r>
        <w:rPr>
          <w:rFonts w:hint="eastAsia" w:ascii="仿宋" w:hAnsi="仿宋" w:eastAsia="仿宋" w:cs="仿宋"/>
          <w:color w:val="000000" w:themeColor="text1"/>
          <w:kern w:val="0"/>
          <w:sz w:val="24"/>
          <w:szCs w:val="24"/>
          <w:lang w:val="zh-TW"/>
          <w14:textFill>
            <w14:solidFill>
              <w14:schemeClr w14:val="tx1"/>
            </w14:solidFill>
          </w14:textFill>
        </w:rPr>
        <w:t>工资、福利待遇、奖金、社会保险费、意外伤害险及辞退（终止或解除劳动合同关系）经济补偿金、</w:t>
      </w:r>
      <w:r>
        <w:rPr>
          <w:rFonts w:hint="eastAsia" w:ascii="仿宋" w:hAnsi="仿宋" w:eastAsia="仿宋" w:cs="仿宋"/>
          <w:color w:val="000000" w:themeColor="text1"/>
          <w:kern w:val="0"/>
          <w:sz w:val="24"/>
          <w:szCs w:val="24"/>
          <w14:textFill>
            <w14:solidFill>
              <w14:schemeClr w14:val="tx1"/>
            </w14:solidFill>
          </w14:textFill>
        </w:rPr>
        <w:t>税费等费用。因中标人自身原因造成漏报、少报皆由中标人自行承担责任，比选人不再补偿。</w:t>
      </w:r>
    </w:p>
    <w:p>
      <w:pPr>
        <w:snapToGrid w:val="0"/>
        <w:spacing w:line="400" w:lineRule="exact"/>
        <w:ind w:firstLine="480" w:firstLineChars="200"/>
        <w:rPr>
          <w:rFonts w:hint="eastAsia" w:ascii="仿宋" w:hAnsi="仿宋" w:eastAsia="仿宋" w:cs="仿宋"/>
          <w:b/>
          <w:bCs/>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注：此报价不包含人员加班工资、用餐，加班工资、用餐由采购人和成交供应商在采购合同中另行约定结算发放。</w:t>
      </w:r>
      <w:r>
        <w:rPr>
          <w:rFonts w:hint="eastAsia" w:ascii="仿宋" w:hAnsi="仿宋" w:eastAsia="仿宋" w:cs="仿宋"/>
          <w:b/>
          <w:bCs/>
          <w:color w:val="000000" w:themeColor="text1"/>
          <w:kern w:val="0"/>
          <w:sz w:val="24"/>
          <w:szCs w:val="24"/>
          <w:lang w:eastAsia="zh-CN"/>
          <w14:textFill>
            <w14:solidFill>
              <w14:schemeClr w14:val="tx1"/>
            </w14:solidFill>
          </w14:textFill>
        </w:rPr>
        <w:t>（</w:t>
      </w:r>
      <w:r>
        <w:rPr>
          <w:rFonts w:hint="eastAsia" w:ascii="仿宋" w:hAnsi="仿宋" w:eastAsia="仿宋" w:cs="仿宋"/>
          <w:b/>
          <w:bCs/>
          <w:color w:val="000000" w:themeColor="text1"/>
          <w:kern w:val="0"/>
          <w:sz w:val="24"/>
          <w:szCs w:val="24"/>
          <w:lang w:val="en-US" w:eastAsia="zh-CN"/>
          <w14:textFill>
            <w14:solidFill>
              <w14:schemeClr w14:val="tx1"/>
            </w14:solidFill>
          </w14:textFill>
        </w:rPr>
        <w:t>注：填报的报价保留到小数点后两位，小数点后第三位“四舍五入”</w:t>
      </w:r>
      <w:r>
        <w:rPr>
          <w:rFonts w:hint="eastAsia" w:ascii="仿宋" w:hAnsi="仿宋" w:eastAsia="仿宋" w:cs="仿宋"/>
          <w:b/>
          <w:bCs/>
          <w:color w:val="000000" w:themeColor="text1"/>
          <w:kern w:val="0"/>
          <w:sz w:val="24"/>
          <w:szCs w:val="24"/>
          <w:lang w:eastAsia="zh-CN"/>
          <w14:textFill>
            <w14:solidFill>
              <w14:schemeClr w14:val="tx1"/>
            </w14:solidFill>
          </w14:textFill>
        </w:rPr>
        <w:t>）</w:t>
      </w:r>
    </w:p>
    <w:bookmarkEnd w:id="226"/>
    <w:bookmarkEnd w:id="227"/>
    <w:p>
      <w:pPr>
        <w:pStyle w:val="3"/>
        <w:spacing w:line="50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234" w:name="_Toc32328"/>
      <w:bookmarkStart w:id="235" w:name="_Toc23679"/>
      <w:bookmarkStart w:id="236" w:name="_Toc13038"/>
      <w:bookmarkStart w:id="237" w:name="_Toc17533"/>
      <w:r>
        <w:rPr>
          <w:rFonts w:hint="eastAsia" w:ascii="仿宋" w:hAnsi="仿宋" w:eastAsia="仿宋" w:cs="仿宋"/>
          <w:b/>
          <w:color w:val="000000" w:themeColor="text1"/>
          <w:sz w:val="24"/>
          <w:szCs w:val="24"/>
          <w14:textFill>
            <w14:solidFill>
              <w14:schemeClr w14:val="tx1"/>
            </w14:solidFill>
          </w14:textFill>
        </w:rPr>
        <w:t>三、付款方式</w:t>
      </w:r>
      <w:bookmarkEnd w:id="228"/>
      <w:bookmarkEnd w:id="229"/>
      <w:bookmarkEnd w:id="230"/>
      <w:bookmarkEnd w:id="231"/>
      <w:bookmarkEnd w:id="234"/>
      <w:bookmarkEnd w:id="235"/>
      <w:bookmarkEnd w:id="236"/>
      <w:bookmarkEnd w:id="237"/>
    </w:p>
    <w:bookmarkEnd w:id="232"/>
    <w:bookmarkEnd w:id="233"/>
    <w:p>
      <w:pPr>
        <w:snapToGrid w:val="0"/>
        <w:spacing w:line="360" w:lineRule="auto"/>
        <w:ind w:firstLine="480" w:firstLineChars="200"/>
        <w:rPr>
          <w:rFonts w:ascii="仿宋" w:hAnsi="仿宋" w:eastAsia="仿宋" w:cs="仿宋"/>
          <w:kern w:val="0"/>
          <w:sz w:val="24"/>
          <w:szCs w:val="24"/>
        </w:rPr>
      </w:pPr>
      <w:bookmarkStart w:id="238" w:name="_Toc19408"/>
      <w:bookmarkStart w:id="239" w:name="_Toc14698"/>
      <w:bookmarkStart w:id="240" w:name="_Toc19046"/>
      <w:bookmarkStart w:id="241" w:name="_Toc27288"/>
      <w:bookmarkStart w:id="242" w:name="_Toc6596"/>
      <w:bookmarkStart w:id="243" w:name="_Toc15977"/>
      <w:bookmarkStart w:id="244" w:name="_Toc16170744"/>
      <w:bookmarkStart w:id="245" w:name="_Toc267320052"/>
      <w:r>
        <w:rPr>
          <w:rFonts w:hint="eastAsia" w:ascii="仿宋" w:hAnsi="仿宋" w:eastAsia="仿宋" w:cs="仿宋"/>
          <w:kern w:val="0"/>
          <w:sz w:val="24"/>
          <w:szCs w:val="24"/>
        </w:rPr>
        <w:t xml:space="preserve">按月付款，每月5号前支付上月服务费用，且每次费用结算成交后投标人须出具正规有效的发票。 </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注：如因比选人对本项目服务有所调整，而导致减少或增加相应的工作人员，中标人须按照比选人要求执行。人员费用增减标准按照中标人在投标文件分项明细报价表所填写对应的人员月薪报价执行。</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计算公式为：每月实际支付金额=每月合同价款±（各类别人员增加（减少）的数量*各类别人员对应的月薪中标价）+临时应急有偿服务费（若有）+其他费用。</w:t>
      </w:r>
    </w:p>
    <w:p>
      <w:pPr>
        <w:pStyle w:val="3"/>
        <w:spacing w:line="40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246" w:name="_Toc3861"/>
      <w:bookmarkStart w:id="247" w:name="_Toc31464"/>
      <w:r>
        <w:rPr>
          <w:rFonts w:hint="eastAsia" w:ascii="仿宋" w:hAnsi="仿宋" w:eastAsia="仿宋" w:cs="仿宋"/>
          <w:b/>
          <w:color w:val="000000" w:themeColor="text1"/>
          <w:sz w:val="24"/>
          <w:szCs w:val="24"/>
          <w14:textFill>
            <w14:solidFill>
              <w14:schemeClr w14:val="tx1"/>
            </w14:solidFill>
          </w14:textFill>
        </w:rPr>
        <w:t>四、知识产权</w:t>
      </w:r>
      <w:bookmarkEnd w:id="238"/>
      <w:bookmarkEnd w:id="239"/>
      <w:bookmarkEnd w:id="240"/>
      <w:bookmarkEnd w:id="241"/>
      <w:bookmarkEnd w:id="242"/>
      <w:bookmarkEnd w:id="243"/>
      <w:bookmarkEnd w:id="244"/>
      <w:bookmarkEnd w:id="245"/>
      <w:bookmarkEnd w:id="246"/>
      <w:bookmarkEnd w:id="247"/>
    </w:p>
    <w:p>
      <w:pPr>
        <w:spacing w:line="360" w:lineRule="auto"/>
        <w:ind w:firstLine="480"/>
        <w:rPr>
          <w:rFonts w:ascii="仿宋" w:hAnsi="仿宋" w:eastAsia="仿宋" w:cs="仿宋"/>
          <w:sz w:val="24"/>
          <w:szCs w:val="24"/>
        </w:rPr>
      </w:pPr>
      <w:bookmarkStart w:id="248" w:name="_Toc267320054"/>
      <w:bookmarkStart w:id="249" w:name="_Toc16170746"/>
      <w:bookmarkStart w:id="250" w:name="_Toc603"/>
      <w:bookmarkStart w:id="251" w:name="_Toc8552"/>
      <w:bookmarkStart w:id="252" w:name="_Toc13315"/>
      <w:bookmarkStart w:id="253" w:name="_Toc28491"/>
      <w:bookmarkStart w:id="254" w:name="_Toc14591"/>
      <w:bookmarkStart w:id="255" w:name="_Toc20598"/>
      <w:r>
        <w:rPr>
          <w:rFonts w:hint="eastAsia" w:ascii="仿宋" w:hAnsi="仿宋" w:eastAsia="仿宋" w:cs="仿宋"/>
          <w:sz w:val="24"/>
          <w:szCs w:val="24"/>
        </w:rPr>
        <w:t>比选人在中华人民共和国境内使用中标人提供的货物及服务时免受第三方提出的侵犯其专利权或其他知识产权的起诉。如果第三方提出侵权指控，中标人应承担由此而引起的一切法律责任和费用。</w:t>
      </w:r>
    </w:p>
    <w:p>
      <w:pPr>
        <w:pStyle w:val="3"/>
        <w:spacing w:line="40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256" w:name="_Toc1973"/>
      <w:bookmarkStart w:id="257" w:name="_Toc23041"/>
      <w:r>
        <w:rPr>
          <w:rFonts w:hint="eastAsia" w:ascii="仿宋" w:hAnsi="仿宋" w:eastAsia="仿宋" w:cs="仿宋"/>
          <w:b/>
          <w:color w:val="000000" w:themeColor="text1"/>
          <w:sz w:val="24"/>
          <w:szCs w:val="24"/>
          <w14:textFill>
            <w14:solidFill>
              <w14:schemeClr w14:val="tx1"/>
            </w14:solidFill>
          </w14:textFill>
        </w:rPr>
        <w:t>五、其他</w:t>
      </w:r>
      <w:bookmarkEnd w:id="248"/>
      <w:bookmarkEnd w:id="249"/>
      <w:bookmarkEnd w:id="250"/>
      <w:bookmarkEnd w:id="251"/>
      <w:bookmarkEnd w:id="252"/>
      <w:bookmarkEnd w:id="253"/>
      <w:bookmarkEnd w:id="254"/>
      <w:bookmarkEnd w:id="255"/>
      <w:bookmarkEnd w:id="256"/>
      <w:bookmarkEnd w:id="257"/>
    </w:p>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bookmarkStart w:id="258" w:name="_Toc445111302"/>
      <w:bookmarkStart w:id="259" w:name="_Toc445212807"/>
      <w:bookmarkStart w:id="260" w:name="_Toc445111448"/>
      <w:bookmarkStart w:id="261" w:name="_Toc445212898"/>
      <w:bookmarkStart w:id="262" w:name="_Toc445213002"/>
      <w:r>
        <w:rPr>
          <w:rFonts w:hint="eastAsia" w:ascii="仿宋" w:hAnsi="仿宋" w:eastAsia="仿宋" w:cs="仿宋"/>
          <w:color w:val="000000" w:themeColor="text1"/>
          <w:kern w:val="0"/>
          <w:sz w:val="24"/>
          <w:szCs w:val="24"/>
          <w14:textFill>
            <w14:solidFill>
              <w14:schemeClr w14:val="tx1"/>
            </w14:solidFill>
          </w14:textFill>
        </w:rPr>
        <w:t>（一）供应商必须在响应文件中对以上条款和服务承诺明确列出，承诺内容必须达到本文件其他条款的要求。</w:t>
      </w:r>
      <w:bookmarkEnd w:id="258"/>
      <w:bookmarkEnd w:id="259"/>
      <w:bookmarkEnd w:id="260"/>
      <w:bookmarkEnd w:id="261"/>
      <w:bookmarkEnd w:id="262"/>
    </w:p>
    <w:p>
      <w:pPr>
        <w:snapToGrid w:val="0"/>
        <w:spacing w:line="400" w:lineRule="exact"/>
        <w:ind w:firstLine="480" w:firstLineChars="200"/>
        <w:outlineLvl w:val="1"/>
        <w:rPr>
          <w:rFonts w:ascii="仿宋" w:hAnsi="仿宋" w:eastAsia="仿宋" w:cs="仿宋"/>
          <w:color w:val="000000" w:themeColor="text1"/>
          <w:kern w:val="0"/>
          <w:sz w:val="24"/>
          <w:szCs w:val="24"/>
          <w14:textFill>
            <w14:solidFill>
              <w14:schemeClr w14:val="tx1"/>
            </w14:solidFill>
          </w14:textFill>
        </w:rPr>
      </w:pPr>
      <w:bookmarkStart w:id="263" w:name="_Toc18524"/>
      <w:bookmarkStart w:id="264" w:name="_Toc19609"/>
      <w:bookmarkStart w:id="265" w:name="_Toc445212808"/>
      <w:bookmarkStart w:id="266" w:name="_Toc445111449"/>
      <w:bookmarkStart w:id="267" w:name="_Toc445212899"/>
      <w:bookmarkStart w:id="268" w:name="_Toc445213003"/>
      <w:bookmarkStart w:id="269" w:name="_Toc445111303"/>
      <w:r>
        <w:rPr>
          <w:rFonts w:hint="eastAsia" w:ascii="仿宋" w:hAnsi="仿宋" w:eastAsia="仿宋" w:cs="仿宋"/>
          <w:color w:val="000000" w:themeColor="text1"/>
          <w:kern w:val="0"/>
          <w:sz w:val="24"/>
          <w:szCs w:val="24"/>
          <w14:textFill>
            <w14:solidFill>
              <w14:schemeClr w14:val="tx1"/>
            </w14:solidFill>
          </w14:textFill>
        </w:rPr>
        <w:t>（二）其他未尽事宜由供需双方在采购合同中详细约定。</w:t>
      </w:r>
      <w:bookmarkEnd w:id="263"/>
      <w:bookmarkEnd w:id="264"/>
      <w:bookmarkEnd w:id="265"/>
      <w:bookmarkEnd w:id="266"/>
      <w:bookmarkEnd w:id="267"/>
      <w:bookmarkEnd w:id="268"/>
      <w:bookmarkEnd w:id="269"/>
    </w:p>
    <w:p>
      <w:pPr>
        <w:pStyle w:val="2"/>
        <w:spacing w:before="240" w:after="120" w:line="24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br w:type="page"/>
      </w:r>
      <w:bookmarkStart w:id="270" w:name="_Toc20994"/>
      <w:bookmarkStart w:id="271" w:name="_Toc15421"/>
      <w:bookmarkStart w:id="272" w:name="_Toc13967"/>
      <w:bookmarkStart w:id="273" w:name="_Toc23121"/>
      <w:bookmarkStart w:id="274" w:name="_Toc13250"/>
      <w:bookmarkStart w:id="275" w:name="_Toc16467"/>
      <w:r>
        <w:rPr>
          <w:rFonts w:hint="eastAsia" w:ascii="仿宋" w:hAnsi="仿宋" w:eastAsia="仿宋" w:cs="仿宋"/>
          <w:color w:val="000000" w:themeColor="text1"/>
          <w14:textFill>
            <w14:solidFill>
              <w14:schemeClr w14:val="tx1"/>
            </w14:solidFill>
          </w14:textFill>
        </w:rPr>
        <w:t>第四篇  评标方法、评标标准</w:t>
      </w:r>
      <w:bookmarkEnd w:id="270"/>
      <w:bookmarkEnd w:id="271"/>
      <w:bookmarkEnd w:id="272"/>
      <w:r>
        <w:rPr>
          <w:rFonts w:hint="eastAsia" w:ascii="仿宋" w:hAnsi="仿宋" w:eastAsia="仿宋" w:cs="仿宋"/>
          <w:color w:val="000000" w:themeColor="text1"/>
          <w14:textFill>
            <w14:solidFill>
              <w14:schemeClr w14:val="tx1"/>
            </w14:solidFill>
          </w14:textFill>
        </w:rPr>
        <w:t>及</w:t>
      </w:r>
      <w:r>
        <w:rPr>
          <w:rFonts w:hint="eastAsia" w:ascii="仿宋" w:hAnsi="仿宋" w:eastAsia="仿宋" w:cs="仿宋"/>
          <w:color w:val="000000" w:themeColor="text1"/>
          <w:szCs w:val="24"/>
          <w14:textFill>
            <w14:solidFill>
              <w14:schemeClr w14:val="tx1"/>
            </w14:solidFill>
          </w14:textFill>
        </w:rPr>
        <w:t>无效投标条款</w:t>
      </w:r>
      <w:bookmarkEnd w:id="273"/>
      <w:bookmarkEnd w:id="274"/>
      <w:bookmarkEnd w:id="275"/>
    </w:p>
    <w:p>
      <w:pPr>
        <w:pStyle w:val="3"/>
        <w:spacing w:line="40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276" w:name="_Toc15763"/>
      <w:bookmarkStart w:id="277" w:name="_Toc8876"/>
      <w:bookmarkStart w:id="278" w:name="_Toc9314"/>
      <w:bookmarkStart w:id="279" w:name="_Toc18199"/>
      <w:bookmarkStart w:id="280" w:name="_Toc4667"/>
      <w:bookmarkStart w:id="281" w:name="_Toc20756"/>
      <w:r>
        <w:rPr>
          <w:rFonts w:hint="eastAsia" w:ascii="仿宋" w:hAnsi="仿宋" w:eastAsia="仿宋" w:cs="仿宋"/>
          <w:b/>
          <w:color w:val="000000" w:themeColor="text1"/>
          <w:sz w:val="24"/>
          <w:szCs w:val="24"/>
          <w14:textFill>
            <w14:solidFill>
              <w14:schemeClr w14:val="tx1"/>
            </w14:solidFill>
          </w14:textFill>
        </w:rPr>
        <w:t>一、评标方法</w:t>
      </w:r>
      <w:bookmarkEnd w:id="276"/>
      <w:bookmarkEnd w:id="277"/>
      <w:bookmarkEnd w:id="278"/>
      <w:bookmarkEnd w:id="279"/>
      <w:bookmarkEnd w:id="280"/>
      <w:bookmarkEnd w:id="281"/>
    </w:p>
    <w:p>
      <w:pPr>
        <w:snapToGrid w:val="0"/>
        <w:spacing w:line="400" w:lineRule="exact"/>
        <w:ind w:firstLine="480" w:firstLineChars="200"/>
        <w:outlineLvl w:val="1"/>
        <w:rPr>
          <w:rFonts w:ascii="仿宋" w:hAnsi="仿宋" w:eastAsia="仿宋" w:cs="仿宋"/>
          <w:color w:val="000000" w:themeColor="text1"/>
          <w:kern w:val="0"/>
          <w:sz w:val="24"/>
          <w:szCs w:val="24"/>
          <w14:textFill>
            <w14:solidFill>
              <w14:schemeClr w14:val="tx1"/>
            </w14:solidFill>
          </w14:textFill>
        </w:rPr>
      </w:pPr>
      <w:bookmarkStart w:id="282" w:name="_Toc12216"/>
      <w:bookmarkStart w:id="283" w:name="_Toc22287"/>
      <w:r>
        <w:rPr>
          <w:rFonts w:hint="eastAsia" w:ascii="仿宋" w:hAnsi="仿宋" w:eastAsia="仿宋" w:cs="仿宋"/>
          <w:color w:val="000000" w:themeColor="text1"/>
          <w:kern w:val="0"/>
          <w:sz w:val="24"/>
          <w:szCs w:val="24"/>
          <w14:textFill>
            <w14:solidFill>
              <w14:schemeClr w14:val="tx1"/>
            </w14:solidFill>
          </w14:textFill>
        </w:rPr>
        <w:t>（一）评标方法定义</w:t>
      </w:r>
      <w:bookmarkEnd w:id="282"/>
      <w:bookmarkEnd w:id="283"/>
    </w:p>
    <w:p>
      <w:pPr>
        <w:snapToGrid w:val="0"/>
        <w:spacing w:line="400" w:lineRule="exact"/>
        <w:ind w:firstLine="482"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综合评分法：</w:t>
      </w:r>
      <w:r>
        <w:rPr>
          <w:rFonts w:hint="eastAsia" w:ascii="仿宋" w:hAnsi="仿宋" w:eastAsia="仿宋" w:cs="仿宋"/>
          <w:color w:val="000000" w:themeColor="text1"/>
          <w:kern w:val="0"/>
          <w:sz w:val="24"/>
          <w:szCs w:val="24"/>
          <w14:textFill>
            <w14:solidFill>
              <w14:schemeClr w14:val="tx1"/>
            </w14:solidFill>
          </w14:textFill>
        </w:rPr>
        <w:t>本项目采用综合评分法进行评标。综合评分法，是指投标文件满足</w:t>
      </w:r>
      <w:r>
        <w:rPr>
          <w:rFonts w:hint="eastAsia" w:ascii="仿宋" w:hAnsi="仿宋" w:eastAsia="仿宋" w:cs="仿宋"/>
          <w:color w:val="000000" w:themeColor="text1"/>
          <w:kern w:val="0"/>
          <w:sz w:val="24"/>
          <w:szCs w:val="24"/>
          <w:lang w:eastAsia="zh-CN"/>
          <w14:textFill>
            <w14:solidFill>
              <w14:schemeClr w14:val="tx1"/>
            </w14:solidFill>
          </w14:textFill>
        </w:rPr>
        <w:t>比选文件</w:t>
      </w:r>
      <w:r>
        <w:rPr>
          <w:rFonts w:hint="eastAsia" w:ascii="仿宋" w:hAnsi="仿宋" w:eastAsia="仿宋" w:cs="仿宋"/>
          <w:color w:val="000000" w:themeColor="text1"/>
          <w:kern w:val="0"/>
          <w:sz w:val="24"/>
          <w:szCs w:val="24"/>
          <w14:textFill>
            <w14:solidFill>
              <w14:schemeClr w14:val="tx1"/>
            </w14:solidFill>
          </w14:textFill>
        </w:rPr>
        <w:t>全部实质性要求且按照评审因素的量化指标评审得分最高的投标人为中标候选人的评标方法。投标人总得分为价格、商务、技术等评定因素分别按照相应权重值计算分项得分后相加，满分为100分。</w:t>
      </w:r>
    </w:p>
    <w:p>
      <w:pPr>
        <w:snapToGrid w:val="0"/>
        <w:spacing w:line="400" w:lineRule="exact"/>
        <w:ind w:firstLine="480" w:firstLineChars="200"/>
        <w:outlineLvl w:val="1"/>
        <w:rPr>
          <w:rFonts w:ascii="仿宋" w:hAnsi="仿宋" w:eastAsia="仿宋" w:cs="仿宋"/>
          <w:color w:val="000000" w:themeColor="text1"/>
          <w:kern w:val="0"/>
          <w:sz w:val="24"/>
          <w:szCs w:val="24"/>
          <w14:textFill>
            <w14:solidFill>
              <w14:schemeClr w14:val="tx1"/>
            </w14:solidFill>
          </w14:textFill>
        </w:rPr>
      </w:pPr>
      <w:bookmarkStart w:id="284" w:name="_Toc8965"/>
      <w:bookmarkStart w:id="285" w:name="_Toc14644"/>
      <w:r>
        <w:rPr>
          <w:rFonts w:hint="eastAsia" w:ascii="仿宋" w:hAnsi="仿宋" w:eastAsia="仿宋" w:cs="仿宋"/>
          <w:color w:val="000000" w:themeColor="text1"/>
          <w:kern w:val="0"/>
          <w:sz w:val="24"/>
          <w:szCs w:val="24"/>
          <w14:textFill>
            <w14:solidFill>
              <w14:schemeClr w14:val="tx1"/>
            </w14:solidFill>
          </w14:textFill>
        </w:rPr>
        <w:t>（二）评标程序</w:t>
      </w:r>
      <w:bookmarkEnd w:id="284"/>
      <w:bookmarkEnd w:id="285"/>
    </w:p>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评标工作由</w:t>
      </w:r>
      <w:r>
        <w:rPr>
          <w:rFonts w:hint="eastAsia" w:ascii="仿宋" w:hAnsi="仿宋" w:eastAsia="仿宋" w:cs="仿宋"/>
          <w:color w:val="000000" w:themeColor="text1"/>
          <w:kern w:val="0"/>
          <w:sz w:val="24"/>
          <w:szCs w:val="24"/>
          <w:lang w:eastAsia="zh-CN"/>
          <w14:textFill>
            <w14:solidFill>
              <w14:schemeClr w14:val="tx1"/>
            </w14:solidFill>
          </w14:textFill>
        </w:rPr>
        <w:t>比选代理机构</w:t>
      </w:r>
      <w:r>
        <w:rPr>
          <w:rFonts w:hint="eastAsia" w:ascii="仿宋" w:hAnsi="仿宋" w:eastAsia="仿宋" w:cs="仿宋"/>
          <w:color w:val="000000" w:themeColor="text1"/>
          <w:kern w:val="0"/>
          <w:sz w:val="24"/>
          <w:szCs w:val="24"/>
          <w14:textFill>
            <w14:solidFill>
              <w14:schemeClr w14:val="tx1"/>
            </w14:solidFill>
          </w14:textFill>
        </w:rPr>
        <w:t>负责组织，具体评标事务由</w:t>
      </w:r>
      <w:r>
        <w:rPr>
          <w:rFonts w:hint="eastAsia" w:ascii="仿宋" w:hAnsi="仿宋" w:eastAsia="仿宋" w:cs="仿宋"/>
          <w:color w:val="000000" w:themeColor="text1"/>
          <w:kern w:val="0"/>
          <w:sz w:val="24"/>
          <w:szCs w:val="24"/>
          <w:lang w:eastAsia="zh-CN"/>
          <w14:textFill>
            <w14:solidFill>
              <w14:schemeClr w14:val="tx1"/>
            </w14:solidFill>
          </w14:textFill>
        </w:rPr>
        <w:t>比选代理机构</w:t>
      </w:r>
      <w:r>
        <w:rPr>
          <w:rFonts w:hint="eastAsia" w:ascii="仿宋" w:hAnsi="仿宋" w:eastAsia="仿宋" w:cs="仿宋"/>
          <w:color w:val="000000" w:themeColor="text1"/>
          <w:kern w:val="0"/>
          <w:sz w:val="24"/>
          <w:szCs w:val="24"/>
          <w14:textFill>
            <w14:solidFill>
              <w14:schemeClr w14:val="tx1"/>
            </w14:solidFill>
          </w14:textFill>
        </w:rPr>
        <w:t>依法组建的评标委员会负责。</w:t>
      </w:r>
    </w:p>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评标委员会成员到位后，推举其中一位评审专家担任评审组长，并由评审组长牵头组织该项目评审工作。评标委员会按以下程序独立履行评审职责：</w:t>
      </w:r>
    </w:p>
    <w:p>
      <w:pPr>
        <w:numPr>
          <w:ilvl w:val="0"/>
          <w:numId w:val="18"/>
        </w:num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资格性审查。依据法律法规和</w:t>
      </w:r>
      <w:r>
        <w:rPr>
          <w:rFonts w:hint="eastAsia" w:ascii="仿宋" w:hAnsi="仿宋" w:eastAsia="仿宋" w:cs="仿宋"/>
          <w:color w:val="000000" w:themeColor="text1"/>
          <w:kern w:val="0"/>
          <w:sz w:val="24"/>
          <w:szCs w:val="24"/>
          <w:lang w:eastAsia="zh-CN"/>
          <w14:textFill>
            <w14:solidFill>
              <w14:schemeClr w14:val="tx1"/>
            </w14:solidFill>
          </w14:textFill>
        </w:rPr>
        <w:t>比选文件</w:t>
      </w:r>
      <w:r>
        <w:rPr>
          <w:rFonts w:hint="eastAsia" w:ascii="仿宋" w:hAnsi="仿宋" w:eastAsia="仿宋" w:cs="仿宋"/>
          <w:color w:val="000000" w:themeColor="text1"/>
          <w:kern w:val="0"/>
          <w:sz w:val="24"/>
          <w:szCs w:val="24"/>
          <w14:textFill>
            <w14:solidFill>
              <w14:schemeClr w14:val="tx1"/>
            </w14:solidFill>
          </w14:textFill>
        </w:rPr>
        <w:t>的规定，对投标文件中的资格证明进行审查，以确定投标人是否具备投标资格。资格性检查资料表如下：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529"/>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序号</w:t>
            </w:r>
          </w:p>
        </w:tc>
        <w:tc>
          <w:tcPr>
            <w:tcW w:w="4238" w:type="dxa"/>
            <w:gridSpan w:val="2"/>
            <w:vAlign w:val="center"/>
          </w:tcPr>
          <w:p>
            <w:pPr>
              <w:spacing w:line="240" w:lineRule="exact"/>
              <w:jc w:val="center"/>
              <w:rPr>
                <w:rFonts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检查因素</w:t>
            </w:r>
          </w:p>
        </w:tc>
        <w:tc>
          <w:tcPr>
            <w:tcW w:w="4714" w:type="dxa"/>
            <w:vAlign w:val="center"/>
          </w:tcPr>
          <w:p>
            <w:pPr>
              <w:spacing w:line="240" w:lineRule="exact"/>
              <w:jc w:val="center"/>
              <w:rPr>
                <w:rFonts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76" w:type="dxa"/>
            <w:vMerge w:val="restart"/>
            <w:vAlign w:val="center"/>
          </w:tcPr>
          <w:p>
            <w:pPr>
              <w:spacing w:line="24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09" w:type="dxa"/>
            <w:vMerge w:val="restart"/>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sz w:val="21"/>
                <w:szCs w:val="21"/>
                <w:lang w:val="zh-CN"/>
              </w:rPr>
              <w:t>《中华人民共和国政府采购法》第二十二条规定</w:t>
            </w:r>
          </w:p>
        </w:tc>
        <w:tc>
          <w:tcPr>
            <w:tcW w:w="3529" w:type="dxa"/>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（1）具有独立承担民事责任的能力</w:t>
            </w:r>
          </w:p>
        </w:tc>
        <w:tc>
          <w:tcPr>
            <w:tcW w:w="4714" w:type="dxa"/>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1.投标人法人营业执照（副本）或事业单位法人证书（副本）或个体工商户营业执照或有效的自然人身份证明或社会团体法人登记证书（提供复印件）。 </w:t>
            </w:r>
          </w:p>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76" w:type="dxa"/>
            <w:vMerge w:val="continue"/>
            <w:vAlign w:val="center"/>
          </w:tcPr>
          <w:p>
            <w:pPr>
              <w:spacing w:line="240" w:lineRule="exact"/>
              <w:jc w:val="center"/>
              <w:rPr>
                <w:rFonts w:ascii="仿宋" w:hAnsi="仿宋" w:eastAsia="仿宋" w:cs="仿宋"/>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p>
        </w:tc>
        <w:tc>
          <w:tcPr>
            <w:tcW w:w="3529" w:type="dxa"/>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具有良好的商业信誉和健全的财务会计制度</w:t>
            </w:r>
          </w:p>
        </w:tc>
        <w:tc>
          <w:tcPr>
            <w:tcW w:w="4714" w:type="dxa"/>
            <w:vMerge w:val="restart"/>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w:t>
            </w:r>
            <w:r>
              <w:rPr>
                <w:rFonts w:hint="eastAsia" w:ascii="仿宋" w:hAnsi="仿宋" w:eastAsia="仿宋" w:cs="仿宋"/>
                <w:color w:val="000000" w:themeColor="text1"/>
                <w:sz w:val="21"/>
                <w:szCs w:val="21"/>
                <w:lang w:val="zh-CN"/>
                <w14:textFill>
                  <w14:solidFill>
                    <w14:schemeClr w14:val="tx1"/>
                  </w14:solidFill>
                </w14:textFill>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76" w:type="dxa"/>
            <w:vMerge w:val="continue"/>
            <w:vAlign w:val="center"/>
          </w:tcPr>
          <w:p>
            <w:pPr>
              <w:spacing w:line="240" w:lineRule="exact"/>
              <w:jc w:val="center"/>
              <w:rPr>
                <w:rFonts w:ascii="仿宋" w:hAnsi="仿宋" w:eastAsia="仿宋" w:cs="仿宋"/>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p>
        </w:tc>
        <w:tc>
          <w:tcPr>
            <w:tcW w:w="3529" w:type="dxa"/>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（3）具有履行合同所必需的设备和专业技术能力</w:t>
            </w:r>
          </w:p>
        </w:tc>
        <w:tc>
          <w:tcPr>
            <w:tcW w:w="4714" w:type="dxa"/>
            <w:vMerge w:val="continue"/>
            <w:vAlign w:val="center"/>
          </w:tcPr>
          <w:p>
            <w:pPr>
              <w:spacing w:line="240" w:lineRule="exact"/>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76" w:type="dxa"/>
            <w:vMerge w:val="continue"/>
            <w:vAlign w:val="center"/>
          </w:tcPr>
          <w:p>
            <w:pPr>
              <w:spacing w:line="240" w:lineRule="exact"/>
              <w:jc w:val="center"/>
              <w:rPr>
                <w:rFonts w:ascii="仿宋" w:hAnsi="仿宋" w:eastAsia="仿宋" w:cs="仿宋"/>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p>
        </w:tc>
        <w:tc>
          <w:tcPr>
            <w:tcW w:w="3529" w:type="dxa"/>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（4）有依法缴纳税收和社会保障金的良好记录</w:t>
            </w:r>
          </w:p>
        </w:tc>
        <w:tc>
          <w:tcPr>
            <w:tcW w:w="4714" w:type="dxa"/>
            <w:vMerge w:val="continue"/>
            <w:vAlign w:val="center"/>
          </w:tcPr>
          <w:p>
            <w:pPr>
              <w:spacing w:line="240" w:lineRule="exact"/>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76" w:type="dxa"/>
            <w:vMerge w:val="continue"/>
            <w:vAlign w:val="center"/>
          </w:tcPr>
          <w:p>
            <w:pPr>
              <w:spacing w:line="240" w:lineRule="exact"/>
              <w:jc w:val="center"/>
              <w:rPr>
                <w:rFonts w:ascii="仿宋" w:hAnsi="仿宋" w:eastAsia="仿宋" w:cs="仿宋"/>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p>
        </w:tc>
        <w:tc>
          <w:tcPr>
            <w:tcW w:w="3529" w:type="dxa"/>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（5）参加此次招标采购活动前三年内，在经营活动中没有重大违法记录。</w:t>
            </w:r>
          </w:p>
        </w:tc>
        <w:tc>
          <w:tcPr>
            <w:tcW w:w="4714" w:type="dxa"/>
            <w:vMerge w:val="continue"/>
            <w:vAlign w:val="center"/>
          </w:tcPr>
          <w:p>
            <w:pPr>
              <w:spacing w:line="240" w:lineRule="exact"/>
              <w:rPr>
                <w:rFonts w:ascii="仿宋" w:hAnsi="仿宋" w:eastAsia="仿宋" w:cs="仿宋"/>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76" w:type="dxa"/>
            <w:vMerge w:val="continue"/>
            <w:vAlign w:val="center"/>
          </w:tcPr>
          <w:p>
            <w:pPr>
              <w:spacing w:line="240" w:lineRule="exact"/>
              <w:jc w:val="center"/>
              <w:rPr>
                <w:rFonts w:ascii="仿宋" w:hAnsi="仿宋" w:eastAsia="仿宋" w:cs="仿宋"/>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p>
        </w:tc>
        <w:tc>
          <w:tcPr>
            <w:tcW w:w="3529" w:type="dxa"/>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6</w:t>
            </w:r>
            <w:r>
              <w:rPr>
                <w:rFonts w:hint="eastAsia" w:ascii="仿宋" w:hAnsi="仿宋" w:eastAsia="仿宋" w:cs="仿宋"/>
                <w:color w:val="000000" w:themeColor="text1"/>
                <w:sz w:val="21"/>
                <w:szCs w:val="21"/>
                <w:lang w:val="zh-CN"/>
                <w14:textFill>
                  <w14:solidFill>
                    <w14:schemeClr w14:val="tx1"/>
                  </w14:solidFill>
                </w14:textFill>
              </w:rPr>
              <w:t>）法律、行政法规规定的其他条件</w:t>
            </w:r>
          </w:p>
        </w:tc>
        <w:tc>
          <w:tcPr>
            <w:tcW w:w="4714" w:type="dxa"/>
            <w:vAlign w:val="center"/>
          </w:tcPr>
          <w:p>
            <w:pPr>
              <w:spacing w:line="240" w:lineRule="exact"/>
              <w:rPr>
                <w:rFonts w:ascii="仿宋" w:hAnsi="仿宋" w:eastAsia="仿宋" w:cs="仿宋"/>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6" w:type="dxa"/>
            <w:vAlign w:val="center"/>
          </w:tcPr>
          <w:p>
            <w:pPr>
              <w:spacing w:line="24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4238" w:type="dxa"/>
            <w:gridSpan w:val="2"/>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特定资格</w:t>
            </w:r>
            <w:r>
              <w:rPr>
                <w:rFonts w:hint="eastAsia" w:ascii="仿宋" w:hAnsi="仿宋" w:eastAsia="仿宋" w:cs="仿宋"/>
                <w:sz w:val="21"/>
                <w:szCs w:val="21"/>
              </w:rPr>
              <w:t>要求（如果有）</w:t>
            </w:r>
          </w:p>
        </w:tc>
        <w:tc>
          <w:tcPr>
            <w:tcW w:w="4714" w:type="dxa"/>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rPr>
              <w:t>按第一篇“三、投标人资格要求（二）特定资格要求”的要求提交。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Align w:val="center"/>
          </w:tcPr>
          <w:p>
            <w:pPr>
              <w:spacing w:line="24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4238" w:type="dxa"/>
            <w:gridSpan w:val="2"/>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比选保证金</w:t>
            </w:r>
          </w:p>
        </w:tc>
        <w:tc>
          <w:tcPr>
            <w:tcW w:w="4714" w:type="dxa"/>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rPr>
              <w:t>按照比选文件的要求足额交纳比选保证金</w:t>
            </w:r>
          </w:p>
        </w:tc>
      </w:tr>
    </w:tbl>
    <w:p>
      <w:pPr>
        <w:snapToGrid w:val="0"/>
        <w:spacing w:line="400" w:lineRule="exact"/>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2、符合性审查。依据</w:t>
      </w:r>
      <w:r>
        <w:rPr>
          <w:rFonts w:hint="eastAsia" w:ascii="仿宋" w:hAnsi="仿宋" w:eastAsia="仿宋" w:cs="仿宋"/>
          <w:color w:val="000000" w:themeColor="text1"/>
          <w:kern w:val="0"/>
          <w:sz w:val="24"/>
          <w:szCs w:val="24"/>
          <w:lang w:eastAsia="zh-CN"/>
          <w14:textFill>
            <w14:solidFill>
              <w14:schemeClr w14:val="tx1"/>
            </w14:solidFill>
          </w14:textFill>
        </w:rPr>
        <w:t>比选文件</w:t>
      </w:r>
      <w:r>
        <w:rPr>
          <w:rFonts w:hint="eastAsia" w:ascii="仿宋" w:hAnsi="仿宋" w:eastAsia="仿宋" w:cs="仿宋"/>
          <w:color w:val="000000" w:themeColor="text1"/>
          <w:kern w:val="0"/>
          <w:sz w:val="24"/>
          <w:szCs w:val="24"/>
          <w14:textFill>
            <w14:solidFill>
              <w14:schemeClr w14:val="tx1"/>
            </w14:solidFill>
          </w14:textFill>
        </w:rPr>
        <w:t>的规定，从投标文件的有效性、完整性和对</w:t>
      </w:r>
      <w:r>
        <w:rPr>
          <w:rFonts w:hint="eastAsia" w:ascii="仿宋" w:hAnsi="仿宋" w:eastAsia="仿宋" w:cs="仿宋"/>
          <w:color w:val="000000" w:themeColor="text1"/>
          <w:kern w:val="0"/>
          <w:sz w:val="24"/>
          <w:szCs w:val="24"/>
          <w:lang w:eastAsia="zh-CN"/>
          <w14:textFill>
            <w14:solidFill>
              <w14:schemeClr w14:val="tx1"/>
            </w14:solidFill>
          </w14:textFill>
        </w:rPr>
        <w:t>比选文件</w:t>
      </w:r>
      <w:r>
        <w:rPr>
          <w:rFonts w:hint="eastAsia" w:ascii="仿宋" w:hAnsi="仿宋" w:eastAsia="仿宋" w:cs="仿宋"/>
          <w:color w:val="000000" w:themeColor="text1"/>
          <w:kern w:val="0"/>
          <w:sz w:val="24"/>
          <w:szCs w:val="24"/>
          <w14:textFill>
            <w14:solidFill>
              <w14:schemeClr w14:val="tx1"/>
            </w14:solidFill>
          </w14:textFill>
        </w:rPr>
        <w:t>的响应程度进行审查，以确定是否对</w:t>
      </w:r>
      <w:r>
        <w:rPr>
          <w:rFonts w:hint="eastAsia" w:ascii="仿宋" w:hAnsi="仿宋" w:eastAsia="仿宋" w:cs="仿宋"/>
          <w:color w:val="000000" w:themeColor="text1"/>
          <w:kern w:val="0"/>
          <w:sz w:val="24"/>
          <w:szCs w:val="24"/>
          <w:lang w:eastAsia="zh-CN"/>
          <w14:textFill>
            <w14:solidFill>
              <w14:schemeClr w14:val="tx1"/>
            </w14:solidFill>
          </w14:textFill>
        </w:rPr>
        <w:t>比选文件</w:t>
      </w:r>
      <w:r>
        <w:rPr>
          <w:rFonts w:hint="eastAsia" w:ascii="仿宋" w:hAnsi="仿宋" w:eastAsia="仿宋" w:cs="仿宋"/>
          <w:color w:val="000000" w:themeColor="text1"/>
          <w:kern w:val="0"/>
          <w:sz w:val="24"/>
          <w:szCs w:val="24"/>
          <w14:textFill>
            <w14:solidFill>
              <w14:schemeClr w14:val="tx1"/>
            </w14:solidFill>
          </w14:textFill>
        </w:rPr>
        <w:t>的实质性要求作出响应。符合性检查资料表如下：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序号</w:t>
            </w:r>
          </w:p>
        </w:tc>
        <w:tc>
          <w:tcPr>
            <w:tcW w:w="3544" w:type="dxa"/>
            <w:gridSpan w:val="2"/>
            <w:vAlign w:val="center"/>
          </w:tcPr>
          <w:p>
            <w:pPr>
              <w:spacing w:line="240" w:lineRule="exact"/>
              <w:jc w:val="center"/>
              <w:rPr>
                <w:rFonts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c>
          <w:tcPr>
            <w:tcW w:w="1560" w:type="dxa"/>
            <w:vMerge w:val="restart"/>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有效性审查</w:t>
            </w:r>
          </w:p>
        </w:tc>
        <w:tc>
          <w:tcPr>
            <w:tcW w:w="1984" w:type="dxa"/>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投标文件签署</w:t>
            </w:r>
          </w:p>
        </w:tc>
        <w:tc>
          <w:tcPr>
            <w:tcW w:w="5409" w:type="dxa"/>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sz w:val="21"/>
                <w:szCs w:val="21"/>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vAlign w:val="center"/>
          </w:tcPr>
          <w:p>
            <w:pPr>
              <w:rPr>
                <w:rFonts w:ascii="仿宋" w:hAnsi="仿宋" w:eastAsia="仿宋" w:cs="仿宋"/>
                <w:color w:val="000000" w:themeColor="text1"/>
                <w14:textFill>
                  <w14:solidFill>
                    <w14:schemeClr w14:val="tx1"/>
                  </w14:solidFill>
                </w14:textFill>
              </w:rPr>
            </w:pPr>
          </w:p>
        </w:tc>
        <w:tc>
          <w:tcPr>
            <w:tcW w:w="1560" w:type="dxa"/>
            <w:vMerge w:val="continue"/>
            <w:vAlign w:val="center"/>
          </w:tcPr>
          <w:p>
            <w:pPr>
              <w:rPr>
                <w:rFonts w:ascii="仿宋" w:hAnsi="仿宋" w:eastAsia="仿宋" w:cs="仿宋"/>
                <w:color w:val="000000" w:themeColor="text1"/>
                <w14:textFill>
                  <w14:solidFill>
                    <w14:schemeClr w14:val="tx1"/>
                  </w14:solidFill>
                </w14:textFill>
              </w:rPr>
            </w:pPr>
          </w:p>
        </w:tc>
        <w:tc>
          <w:tcPr>
            <w:tcW w:w="1984" w:type="dxa"/>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法定代表人身份证明及授权委托书</w:t>
            </w:r>
          </w:p>
        </w:tc>
        <w:tc>
          <w:tcPr>
            <w:tcW w:w="5409" w:type="dxa"/>
            <w:vAlign w:val="center"/>
          </w:tcPr>
          <w:p>
            <w:pPr>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法定代表人身份证明及授权委托书有效，符合</w:t>
            </w:r>
            <w:r>
              <w:rPr>
                <w:rFonts w:hint="eastAsia" w:ascii="仿宋" w:hAnsi="仿宋" w:eastAsia="仿宋" w:cs="仿宋"/>
                <w:color w:val="000000" w:themeColor="text1"/>
                <w:sz w:val="21"/>
                <w:szCs w:val="21"/>
                <w:lang w:eastAsia="zh-CN"/>
                <w14:textFill>
                  <w14:solidFill>
                    <w14:schemeClr w14:val="tx1"/>
                  </w14:solidFill>
                </w14:textFill>
              </w:rPr>
              <w:t>比选文件</w:t>
            </w:r>
            <w:r>
              <w:rPr>
                <w:rFonts w:hint="eastAsia" w:ascii="仿宋" w:hAnsi="仿宋" w:eastAsia="仿宋" w:cs="仿宋"/>
                <w:color w:val="000000" w:themeColor="text1"/>
                <w:sz w:val="21"/>
                <w:szCs w:val="21"/>
                <w14:textFill>
                  <w14:solidFill>
                    <w14:schemeClr w14:val="tx1"/>
                  </w14:solidFill>
                </w14:textFill>
              </w:rPr>
              <w:t>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仿宋" w:hAnsi="仿宋" w:eastAsia="仿宋" w:cs="仿宋"/>
                <w:color w:val="000000" w:themeColor="text1"/>
                <w14:textFill>
                  <w14:solidFill>
                    <w14:schemeClr w14:val="tx1"/>
                  </w14:solidFill>
                </w14:textFill>
              </w:rPr>
            </w:pPr>
          </w:p>
        </w:tc>
        <w:tc>
          <w:tcPr>
            <w:tcW w:w="1560" w:type="dxa"/>
            <w:vMerge w:val="continue"/>
            <w:vAlign w:val="center"/>
          </w:tcPr>
          <w:p>
            <w:pPr>
              <w:rPr>
                <w:rFonts w:ascii="仿宋" w:hAnsi="仿宋" w:eastAsia="仿宋" w:cs="仿宋"/>
                <w:color w:val="000000" w:themeColor="text1"/>
                <w14:textFill>
                  <w14:solidFill>
                    <w14:schemeClr w14:val="tx1"/>
                  </w14:solidFill>
                </w14:textFill>
              </w:rPr>
            </w:pPr>
          </w:p>
        </w:tc>
        <w:tc>
          <w:tcPr>
            <w:tcW w:w="1984" w:type="dxa"/>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rPr>
                <w:rFonts w:ascii="仿宋" w:hAnsi="仿宋" w:eastAsia="仿宋" w:cs="仿宋"/>
                <w:color w:val="000000" w:themeColor="text1"/>
                <w14:textFill>
                  <w14:solidFill>
                    <w14:schemeClr w14:val="tx1"/>
                  </w14:solidFill>
                </w14:textFill>
              </w:rPr>
            </w:pPr>
          </w:p>
        </w:tc>
        <w:tc>
          <w:tcPr>
            <w:tcW w:w="1560" w:type="dxa"/>
            <w:vMerge w:val="continue"/>
            <w:vAlign w:val="center"/>
          </w:tcPr>
          <w:p>
            <w:pPr>
              <w:rPr>
                <w:rFonts w:ascii="仿宋" w:hAnsi="仿宋" w:eastAsia="仿宋" w:cs="仿宋"/>
                <w:color w:val="000000" w:themeColor="text1"/>
                <w14:textFill>
                  <w14:solidFill>
                    <w14:schemeClr w14:val="tx1"/>
                  </w14:solidFill>
                </w14:textFill>
              </w:rPr>
            </w:pPr>
          </w:p>
        </w:tc>
        <w:tc>
          <w:tcPr>
            <w:tcW w:w="1984" w:type="dxa"/>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报价唯一</w:t>
            </w:r>
          </w:p>
        </w:tc>
        <w:tc>
          <w:tcPr>
            <w:tcW w:w="5409" w:type="dxa"/>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sz w:val="21"/>
                <w:szCs w:val="21"/>
                <w:lang w:val="zh-CN"/>
              </w:rPr>
              <w:t>只能在采购预算内报价，只能有一个有效报价，不得提交选择性报价。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pPr>
              <w:spacing w:line="240" w:lineRule="exact"/>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c>
          <w:tcPr>
            <w:tcW w:w="1560" w:type="dxa"/>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完整性审查</w:t>
            </w:r>
          </w:p>
        </w:tc>
        <w:tc>
          <w:tcPr>
            <w:tcW w:w="1984" w:type="dxa"/>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投标文件份数</w:t>
            </w:r>
          </w:p>
        </w:tc>
        <w:tc>
          <w:tcPr>
            <w:tcW w:w="5409" w:type="dxa"/>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sz w:val="21"/>
                <w:szCs w:val="21"/>
              </w:rPr>
              <w:t>投标文件</w:t>
            </w:r>
            <w:r>
              <w:rPr>
                <w:rFonts w:hint="eastAsia" w:ascii="仿宋" w:hAnsi="仿宋" w:eastAsia="仿宋" w:cs="仿宋"/>
                <w:sz w:val="21"/>
                <w:szCs w:val="21"/>
                <w:lang w:val="zh-CN"/>
              </w:rPr>
              <w:t>数量符合比选</w:t>
            </w:r>
            <w:r>
              <w:rPr>
                <w:rFonts w:hint="eastAsia" w:ascii="仿宋" w:hAnsi="仿宋" w:eastAsia="仿宋" w:cs="仿宋"/>
                <w:sz w:val="21"/>
                <w:szCs w:val="21"/>
              </w:rPr>
              <w:t>文件</w:t>
            </w:r>
            <w:r>
              <w:rPr>
                <w:rFonts w:hint="eastAsia" w:ascii="仿宋" w:hAnsi="仿宋" w:eastAsia="仿宋" w:cs="仿宋"/>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p>
        </w:tc>
        <w:tc>
          <w:tcPr>
            <w:tcW w:w="1560" w:type="dxa"/>
            <w:vMerge w:val="restart"/>
            <w:vAlign w:val="center"/>
          </w:tcPr>
          <w:p>
            <w:pPr>
              <w:spacing w:line="240" w:lineRule="exact"/>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对</w:t>
            </w:r>
            <w:r>
              <w:rPr>
                <w:rFonts w:hint="eastAsia" w:ascii="仿宋" w:hAnsi="仿宋" w:eastAsia="仿宋" w:cs="仿宋"/>
                <w:color w:val="000000" w:themeColor="text1"/>
                <w:kern w:val="0"/>
                <w:sz w:val="21"/>
                <w:szCs w:val="21"/>
                <w:lang w:eastAsia="zh-CN"/>
                <w14:textFill>
                  <w14:solidFill>
                    <w14:schemeClr w14:val="tx1"/>
                  </w14:solidFill>
                </w14:textFill>
              </w:rPr>
              <w:t>比选文件</w:t>
            </w:r>
            <w:r>
              <w:rPr>
                <w:rFonts w:hint="eastAsia" w:ascii="仿宋" w:hAnsi="仿宋" w:eastAsia="仿宋" w:cs="仿宋"/>
                <w:color w:val="000000" w:themeColor="text1"/>
                <w:kern w:val="0"/>
                <w:sz w:val="21"/>
                <w:szCs w:val="21"/>
                <w14:textFill>
                  <w14:solidFill>
                    <w14:schemeClr w14:val="tx1"/>
                  </w14:solidFill>
                </w14:textFill>
              </w:rPr>
              <w:t>的响应程度审查</w:t>
            </w:r>
          </w:p>
        </w:tc>
        <w:tc>
          <w:tcPr>
            <w:tcW w:w="1984" w:type="dxa"/>
            <w:vMerge w:val="restart"/>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投标文件内容</w:t>
            </w:r>
          </w:p>
        </w:tc>
        <w:tc>
          <w:tcPr>
            <w:tcW w:w="5409" w:type="dxa"/>
            <w:vAlign w:val="center"/>
          </w:tcPr>
          <w:p>
            <w:pPr>
              <w:pStyle w:val="33"/>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满足</w:t>
            </w:r>
            <w:r>
              <w:rPr>
                <w:rFonts w:hint="eastAsia" w:ascii="仿宋" w:hAnsi="仿宋" w:eastAsia="仿宋" w:cs="仿宋"/>
                <w:color w:val="000000" w:themeColor="text1"/>
                <w:kern w:val="0"/>
                <w:sz w:val="21"/>
                <w:szCs w:val="21"/>
                <w:lang w:eastAsia="zh-CN"/>
                <w14:textFill>
                  <w14:solidFill>
                    <w14:schemeClr w14:val="tx1"/>
                  </w14:solidFill>
                </w14:textFill>
              </w:rPr>
              <w:t>比选文件</w:t>
            </w:r>
            <w:r>
              <w:rPr>
                <w:rFonts w:hint="eastAsia" w:ascii="仿宋" w:hAnsi="仿宋" w:eastAsia="仿宋" w:cs="仿宋"/>
                <w:color w:val="000000" w:themeColor="text1"/>
                <w:kern w:val="0"/>
                <w:sz w:val="21"/>
                <w:szCs w:val="21"/>
                <w14:textFill>
                  <w14:solidFill>
                    <w14:schemeClr w14:val="tx1"/>
                  </w14:solidFill>
                </w14:textFill>
              </w:rPr>
              <w:t>第二篇</w:t>
            </w:r>
            <w:r>
              <w:rPr>
                <w:rFonts w:hint="eastAsia" w:ascii="仿宋" w:hAnsi="仿宋" w:eastAsia="仿宋" w:cs="仿宋"/>
                <w:sz w:val="21"/>
                <w:szCs w:val="21"/>
                <w:lang w:val="zh-CN"/>
              </w:rPr>
              <w:t>规定的内容作实质性响应</w:t>
            </w:r>
            <w:r>
              <w:rPr>
                <w:rFonts w:hint="eastAsia" w:ascii="仿宋" w:hAnsi="仿宋" w:eastAsia="仿宋" w:cs="仿宋"/>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continue"/>
            <w:vAlign w:val="center"/>
          </w:tcPr>
          <w:p>
            <w:pPr>
              <w:spacing w:line="240" w:lineRule="exact"/>
              <w:jc w:val="center"/>
              <w:rPr>
                <w:rFonts w:ascii="仿宋" w:hAnsi="仿宋" w:eastAsia="仿宋" w:cs="仿宋"/>
                <w:color w:val="000000" w:themeColor="text1"/>
                <w:kern w:val="0"/>
                <w:sz w:val="21"/>
                <w:szCs w:val="21"/>
                <w14:textFill>
                  <w14:solidFill>
                    <w14:schemeClr w14:val="tx1"/>
                  </w14:solidFill>
                </w14:textFill>
              </w:rPr>
            </w:pPr>
          </w:p>
        </w:tc>
        <w:tc>
          <w:tcPr>
            <w:tcW w:w="1560" w:type="dxa"/>
            <w:vMerge w:val="continue"/>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p>
        </w:tc>
        <w:tc>
          <w:tcPr>
            <w:tcW w:w="1984" w:type="dxa"/>
            <w:vMerge w:val="continue"/>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p>
        </w:tc>
        <w:tc>
          <w:tcPr>
            <w:tcW w:w="5409" w:type="dxa"/>
            <w:vAlign w:val="center"/>
          </w:tcPr>
          <w:p>
            <w:pPr>
              <w:pStyle w:val="33"/>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满足</w:t>
            </w:r>
            <w:r>
              <w:rPr>
                <w:rFonts w:hint="eastAsia" w:ascii="仿宋" w:hAnsi="仿宋" w:eastAsia="仿宋" w:cs="仿宋"/>
                <w:color w:val="000000" w:themeColor="text1"/>
                <w:kern w:val="0"/>
                <w:sz w:val="21"/>
                <w:szCs w:val="21"/>
                <w:lang w:eastAsia="zh-CN"/>
                <w14:textFill>
                  <w14:solidFill>
                    <w14:schemeClr w14:val="tx1"/>
                  </w14:solidFill>
                </w14:textFill>
              </w:rPr>
              <w:t>比选文件</w:t>
            </w:r>
            <w:r>
              <w:rPr>
                <w:rFonts w:hint="eastAsia" w:ascii="仿宋" w:hAnsi="仿宋" w:eastAsia="仿宋" w:cs="仿宋"/>
                <w:color w:val="000000" w:themeColor="text1"/>
                <w:kern w:val="0"/>
                <w:sz w:val="21"/>
                <w:szCs w:val="21"/>
                <w14:textFill>
                  <w14:solidFill>
                    <w14:schemeClr w14:val="tx1"/>
                  </w14:solidFill>
                </w14:textFill>
              </w:rPr>
              <w:t>第三篇</w:t>
            </w:r>
            <w:r>
              <w:rPr>
                <w:rFonts w:hint="eastAsia" w:ascii="仿宋" w:hAnsi="仿宋" w:eastAsia="仿宋" w:cs="仿宋"/>
                <w:sz w:val="21"/>
                <w:szCs w:val="21"/>
                <w:lang w:val="zh-CN"/>
              </w:rPr>
              <w:t>规定的内容作实质性响应</w:t>
            </w:r>
            <w:r>
              <w:rPr>
                <w:rFonts w:hint="eastAsia" w:ascii="仿宋" w:hAnsi="仿宋" w:eastAsia="仿宋" w:cs="仿宋"/>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vAlign w:val="center"/>
          </w:tcPr>
          <w:p>
            <w:pPr>
              <w:rPr>
                <w:rFonts w:ascii="仿宋" w:hAnsi="仿宋" w:eastAsia="仿宋" w:cs="仿宋"/>
                <w:color w:val="000000" w:themeColor="text1"/>
                <w14:textFill>
                  <w14:solidFill>
                    <w14:schemeClr w14:val="tx1"/>
                  </w14:solidFill>
                </w14:textFill>
              </w:rPr>
            </w:pPr>
          </w:p>
        </w:tc>
        <w:tc>
          <w:tcPr>
            <w:tcW w:w="1560" w:type="dxa"/>
            <w:vMerge w:val="continue"/>
            <w:vAlign w:val="center"/>
          </w:tcPr>
          <w:p>
            <w:pPr>
              <w:rPr>
                <w:rFonts w:ascii="仿宋" w:hAnsi="仿宋" w:eastAsia="仿宋" w:cs="仿宋"/>
                <w:color w:val="000000" w:themeColor="text1"/>
                <w14:textFill>
                  <w14:solidFill>
                    <w14:schemeClr w14:val="tx1"/>
                  </w14:solidFill>
                </w14:textFill>
              </w:rPr>
            </w:pPr>
          </w:p>
        </w:tc>
        <w:tc>
          <w:tcPr>
            <w:tcW w:w="1984" w:type="dxa"/>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投标有效期</w:t>
            </w:r>
          </w:p>
        </w:tc>
        <w:tc>
          <w:tcPr>
            <w:tcW w:w="5409" w:type="dxa"/>
            <w:vAlign w:val="center"/>
          </w:tcPr>
          <w:p>
            <w:pPr>
              <w:spacing w:line="240" w:lineRule="exac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kern w:val="0"/>
                <w:sz w:val="21"/>
                <w:szCs w:val="21"/>
              </w:rPr>
              <w:t>比选有效期为投标文件递交截止时间起90天。</w:t>
            </w:r>
          </w:p>
        </w:tc>
      </w:tr>
    </w:tbl>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4、比较与评价。按</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中规定的评标方法和标准，对资格性检查和符合性检查合格的投标文件进行商务和服务评估。</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复核后，评标委员会汇总每个投标人每项评分因素的得分。</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推荐中标候选人名单。按评审后得分由高到低的排列顺序推荐综合得分排名前三的投标人为本项目中标候选人，排名第一的为第一中标候选人。若综合得分相同的，按投标报价得分由高到低顺序排列；若综合得分且投标报价得分相同的，按服务部分得分高到低顺序排列；若综合得分、投标报价得分、服务部分得分均相同的，按商务部分的优劣顺序排列。</w:t>
      </w:r>
    </w:p>
    <w:p>
      <w:pPr>
        <w:pStyle w:val="3"/>
        <w:spacing w:line="400" w:lineRule="exact"/>
        <w:ind w:firstLine="482" w:firstLineChars="200"/>
        <w:outlineLvl w:val="0"/>
        <w:rPr>
          <w:rFonts w:ascii="仿宋" w:hAnsi="仿宋" w:eastAsia="仿宋" w:cs="仿宋"/>
          <w:color w:val="000000" w:themeColor="text1"/>
          <w14:textFill>
            <w14:solidFill>
              <w14:schemeClr w14:val="tx1"/>
            </w14:solidFill>
          </w14:textFill>
        </w:rPr>
      </w:pPr>
      <w:bookmarkStart w:id="286" w:name="_Toc13585"/>
      <w:bookmarkStart w:id="287" w:name="_Toc27329"/>
      <w:bookmarkStart w:id="288" w:name="_Toc19660"/>
      <w:bookmarkStart w:id="289" w:name="_Toc267320057"/>
      <w:bookmarkStart w:id="290" w:name="_Toc23974"/>
      <w:bookmarkStart w:id="291" w:name="_Toc5540"/>
      <w:bookmarkStart w:id="292" w:name="_Toc7150"/>
      <w:r>
        <w:rPr>
          <w:rFonts w:hint="eastAsia" w:ascii="仿宋" w:hAnsi="仿宋" w:eastAsia="仿宋" w:cs="仿宋"/>
          <w:b/>
          <w:color w:val="000000" w:themeColor="text1"/>
          <w:sz w:val="24"/>
          <w:szCs w:val="24"/>
          <w14:textFill>
            <w14:solidFill>
              <w14:schemeClr w14:val="tx1"/>
            </w14:solidFill>
          </w14:textFill>
        </w:rPr>
        <w:t>二、评标标准</w:t>
      </w:r>
      <w:bookmarkEnd w:id="286"/>
      <w:bookmarkEnd w:id="287"/>
      <w:bookmarkEnd w:id="288"/>
      <w:bookmarkEnd w:id="289"/>
      <w:bookmarkEnd w:id="290"/>
      <w:bookmarkEnd w:id="291"/>
      <w:bookmarkEnd w:id="292"/>
    </w:p>
    <w:tbl>
      <w:tblPr>
        <w:tblStyle w:val="60"/>
        <w:tblW w:w="99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503"/>
        <w:gridCol w:w="3831"/>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 w:type="dxa"/>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bookmarkStart w:id="293" w:name="_Toc7235"/>
            <w:bookmarkStart w:id="294" w:name="_Toc18728"/>
            <w:bookmarkStart w:id="295" w:name="_Toc3637"/>
            <w:bookmarkStart w:id="296" w:name="_Toc2715"/>
            <w:bookmarkStart w:id="297" w:name="_Toc31252"/>
            <w:bookmarkStart w:id="298" w:name="_Toc19968"/>
            <w:bookmarkStart w:id="299" w:name="_Toc9461"/>
            <w:bookmarkStart w:id="300" w:name="_Toc19341"/>
            <w:r>
              <w:rPr>
                <w:rFonts w:hint="eastAsia" w:ascii="仿宋" w:hAnsi="仿宋" w:eastAsia="仿宋" w:cs="仿宋"/>
                <w:color w:val="000000" w:themeColor="text1"/>
                <w:kern w:val="0"/>
                <w:sz w:val="21"/>
                <w:szCs w:val="21"/>
                <w14:textFill>
                  <w14:solidFill>
                    <w14:schemeClr w14:val="tx1"/>
                  </w14:solidFill>
                </w14:textFill>
              </w:rPr>
              <w:t>序号</w:t>
            </w:r>
          </w:p>
        </w:tc>
        <w:tc>
          <w:tcPr>
            <w:tcW w:w="1276" w:type="dxa"/>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评审因素及权重</w:t>
            </w:r>
          </w:p>
        </w:tc>
        <w:tc>
          <w:tcPr>
            <w:tcW w:w="1503" w:type="dxa"/>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分值</w:t>
            </w:r>
          </w:p>
        </w:tc>
        <w:tc>
          <w:tcPr>
            <w:tcW w:w="3831" w:type="dxa"/>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评分标准</w:t>
            </w:r>
          </w:p>
        </w:tc>
        <w:tc>
          <w:tcPr>
            <w:tcW w:w="2746" w:type="dxa"/>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7" w:type="dxa"/>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c>
          <w:tcPr>
            <w:tcW w:w="1276" w:type="dxa"/>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投标报价</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40</w:t>
            </w:r>
            <w:r>
              <w:rPr>
                <w:rFonts w:hint="eastAsia" w:ascii="仿宋" w:hAnsi="仿宋" w:eastAsia="仿宋" w:cs="仿宋"/>
                <w:color w:val="000000" w:themeColor="text1"/>
                <w:kern w:val="0"/>
                <w:sz w:val="21"/>
                <w:szCs w:val="21"/>
                <w14:textFill>
                  <w14:solidFill>
                    <w14:schemeClr w14:val="tx1"/>
                  </w14:solidFill>
                </w14:textFill>
              </w:rPr>
              <w:t>%）</w:t>
            </w:r>
          </w:p>
        </w:tc>
        <w:tc>
          <w:tcPr>
            <w:tcW w:w="1503" w:type="dxa"/>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40</w:t>
            </w:r>
            <w:r>
              <w:rPr>
                <w:rFonts w:hint="eastAsia" w:ascii="仿宋" w:hAnsi="仿宋" w:eastAsia="仿宋" w:cs="仿宋"/>
                <w:color w:val="000000" w:themeColor="text1"/>
                <w:kern w:val="0"/>
                <w:sz w:val="21"/>
                <w:szCs w:val="21"/>
                <w14:textFill>
                  <w14:solidFill>
                    <w14:schemeClr w14:val="tx1"/>
                  </w14:solidFill>
                </w14:textFill>
              </w:rPr>
              <w:t>分</w:t>
            </w:r>
          </w:p>
        </w:tc>
        <w:tc>
          <w:tcPr>
            <w:tcW w:w="3831" w:type="dxa"/>
            <w:tcBorders>
              <w:tl2br w:val="nil"/>
              <w:tr2bl w:val="nil"/>
            </w:tcBorders>
            <w:shd w:val="clear" w:color="auto" w:fill="auto"/>
            <w:vAlign w:val="center"/>
          </w:tcPr>
          <w:p>
            <w:pPr>
              <w:widowControl/>
              <w:ind w:firstLine="420" w:firstLineChars="200"/>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满足资格性、符合性要求，初步评审合格且投标报价不超过最高限价的有效报价中，去掉六分之一（不能整除的按小数前整数取整，不足六家报价则不去掉）的最低价和相同家数的最高价后的算术平均值即为评审基准价。</w:t>
            </w:r>
          </w:p>
          <w:p>
            <w:pPr>
              <w:widowControl/>
              <w:ind w:firstLine="420" w:firstLineChars="200"/>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投标总报价规定分值的满分4</w:t>
            </w:r>
            <w:r>
              <w:rPr>
                <w:rFonts w:hint="eastAsia" w:ascii="仿宋" w:hAnsi="仿宋" w:eastAsia="仿宋" w:cs="仿宋"/>
                <w:color w:val="000000" w:themeColor="text1"/>
                <w:kern w:val="0"/>
                <w:sz w:val="21"/>
                <w:szCs w:val="21"/>
                <w:lang w:val="en-US" w:eastAsia="zh-CN"/>
                <w14:textFill>
                  <w14:solidFill>
                    <w14:schemeClr w14:val="tx1"/>
                  </w14:solidFill>
                </w14:textFill>
              </w:rPr>
              <w:t>0</w:t>
            </w:r>
            <w:r>
              <w:rPr>
                <w:rFonts w:hint="eastAsia" w:ascii="仿宋" w:hAnsi="仿宋" w:eastAsia="仿宋" w:cs="仿宋"/>
                <w:color w:val="000000" w:themeColor="text1"/>
                <w:kern w:val="0"/>
                <w:sz w:val="21"/>
                <w:szCs w:val="21"/>
                <w14:textFill>
                  <w14:solidFill>
                    <w14:schemeClr w14:val="tx1"/>
                  </w14:solidFill>
                </w14:textFill>
              </w:rPr>
              <w:t>分。在此基础上，投标总报价与评标基准价相比，每增加1%扣 1分，每减少1%扣 0.5分，最多扣3分。</w:t>
            </w:r>
          </w:p>
          <w:p>
            <w:pPr>
              <w:widowControl/>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按插入法计算得分。</w:t>
            </w:r>
          </w:p>
          <w:p>
            <w:pPr>
              <w:widowControl/>
              <w:ind w:firstLine="420" w:firstLineChars="200"/>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未参与评标基准价计算的投标总报价，仍应参加计算相应分值。</w:t>
            </w:r>
          </w:p>
          <w:p>
            <w:pPr>
              <w:widowControl/>
              <w:ind w:firstLine="420" w:firstLineChars="200"/>
              <w:jc w:val="lef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以上计算保留小数点后两位，第三位四舍五入。</w:t>
            </w:r>
          </w:p>
        </w:tc>
        <w:tc>
          <w:tcPr>
            <w:tcW w:w="2746" w:type="dxa"/>
            <w:tcBorders>
              <w:tl2br w:val="nil"/>
              <w:tr2bl w:val="nil"/>
            </w:tcBorders>
            <w:shd w:val="clear" w:color="auto" w:fill="auto"/>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高于最高限价为无效响应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567"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c>
          <w:tcPr>
            <w:tcW w:w="127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技术部分</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0</w:t>
            </w:r>
            <w:r>
              <w:rPr>
                <w:rFonts w:hint="eastAsia" w:ascii="仿宋" w:hAnsi="仿宋" w:eastAsia="仿宋" w:cs="仿宋"/>
                <w:color w:val="000000" w:themeColor="text1"/>
                <w:kern w:val="0"/>
                <w:sz w:val="21"/>
                <w:szCs w:val="21"/>
                <w14:textFill>
                  <w14:solidFill>
                    <w14:schemeClr w14:val="tx1"/>
                  </w14:solidFill>
                </w14:textFill>
              </w:rPr>
              <w:t>%）</w:t>
            </w:r>
          </w:p>
        </w:tc>
        <w:tc>
          <w:tcPr>
            <w:tcW w:w="1503" w:type="dxa"/>
            <w:tcBorders>
              <w:tl2br w:val="nil"/>
              <w:tr2bl w:val="nil"/>
            </w:tcBorders>
            <w:shd w:val="clear" w:color="auto" w:fill="auto"/>
            <w:vAlign w:val="center"/>
          </w:tcPr>
          <w:p>
            <w:pPr>
              <w:spacing w:line="360" w:lineRule="auto"/>
              <w:ind w:firstLine="28"/>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sz w:val="21"/>
                <w:szCs w:val="21"/>
              </w:rPr>
              <w:t>人员日常管理方案（</w:t>
            </w:r>
            <w:r>
              <w:rPr>
                <w:rFonts w:hint="eastAsia" w:ascii="仿宋" w:hAnsi="仿宋" w:eastAsia="仿宋" w:cs="仿宋"/>
                <w:sz w:val="21"/>
                <w:szCs w:val="21"/>
                <w:lang w:val="en-US" w:eastAsia="zh-CN"/>
              </w:rPr>
              <w:t>15</w:t>
            </w:r>
            <w:r>
              <w:rPr>
                <w:rFonts w:hint="eastAsia" w:ascii="仿宋" w:hAnsi="仿宋" w:eastAsia="仿宋" w:cs="仿宋"/>
                <w:sz w:val="21"/>
                <w:szCs w:val="21"/>
              </w:rPr>
              <w:t>%）</w:t>
            </w:r>
          </w:p>
        </w:tc>
        <w:tc>
          <w:tcPr>
            <w:tcW w:w="3831" w:type="dxa"/>
            <w:tcBorders>
              <w:tl2br w:val="nil"/>
              <w:tr2bl w:val="nil"/>
            </w:tcBorders>
            <w:shd w:val="clear" w:color="auto" w:fill="auto"/>
            <w:vAlign w:val="center"/>
          </w:tcPr>
          <w:p>
            <w:pPr>
              <w:widowControl/>
              <w:ind w:firstLine="420" w:firstLineChars="200"/>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1、投标人有针对本项目的管理方案（含日常管理、组织架构、人员培训与考核等）；</w:t>
            </w:r>
          </w:p>
          <w:p>
            <w:pPr>
              <w:widowControl/>
              <w:ind w:firstLine="420" w:firstLineChars="200"/>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2、根据各投标人提供的管理方案，从方案的全面性、合理性、可执行性，按方案优劣程度进行打分。优秀得</w:t>
            </w:r>
            <w:r>
              <w:rPr>
                <w:rFonts w:hint="eastAsia" w:ascii="仿宋" w:hAnsi="仿宋" w:eastAsia="仿宋" w:cs="仿宋"/>
                <w:color w:val="000000" w:themeColor="text1"/>
                <w:kern w:val="0"/>
                <w:sz w:val="21"/>
                <w:szCs w:val="21"/>
                <w:lang w:val="en-US" w:eastAsia="zh-CN"/>
                <w14:textFill>
                  <w14:solidFill>
                    <w14:schemeClr w14:val="tx1"/>
                  </w14:solidFill>
                </w14:textFill>
              </w:rPr>
              <w:t>15</w:t>
            </w:r>
            <w:r>
              <w:rPr>
                <w:rFonts w:hint="eastAsia" w:ascii="仿宋" w:hAnsi="仿宋" w:eastAsia="仿宋" w:cs="仿宋"/>
                <w:color w:val="000000" w:themeColor="text1"/>
                <w:kern w:val="0"/>
                <w:sz w:val="21"/>
                <w:szCs w:val="21"/>
                <w14:textFill>
                  <w14:solidFill>
                    <w14:schemeClr w14:val="tx1"/>
                  </w14:solidFill>
                </w14:textFill>
              </w:rPr>
              <w:t>分，良好得</w:t>
            </w:r>
            <w:r>
              <w:rPr>
                <w:rFonts w:hint="eastAsia" w:ascii="仿宋" w:hAnsi="仿宋" w:eastAsia="仿宋" w:cs="仿宋"/>
                <w:color w:val="000000" w:themeColor="text1"/>
                <w:kern w:val="0"/>
                <w:sz w:val="21"/>
                <w:szCs w:val="21"/>
                <w:lang w:val="en-US" w:eastAsia="zh-CN"/>
                <w14:textFill>
                  <w14:solidFill>
                    <w14:schemeClr w14:val="tx1"/>
                  </w14:solidFill>
                </w14:textFill>
              </w:rPr>
              <w:t>10</w:t>
            </w:r>
            <w:r>
              <w:rPr>
                <w:rFonts w:hint="eastAsia" w:ascii="仿宋" w:hAnsi="仿宋" w:eastAsia="仿宋" w:cs="仿宋"/>
                <w:color w:val="000000" w:themeColor="text1"/>
                <w:kern w:val="0"/>
                <w:sz w:val="21"/>
                <w:szCs w:val="21"/>
                <w14:textFill>
                  <w14:solidFill>
                    <w14:schemeClr w14:val="tx1"/>
                  </w14:solidFill>
                </w14:textFill>
              </w:rPr>
              <w:t>分，一般得</w:t>
            </w:r>
            <w:r>
              <w:rPr>
                <w:rFonts w:hint="eastAsia" w:ascii="仿宋" w:hAnsi="仿宋" w:eastAsia="仿宋" w:cs="仿宋"/>
                <w:color w:val="000000" w:themeColor="text1"/>
                <w:kern w:val="0"/>
                <w:sz w:val="21"/>
                <w:szCs w:val="21"/>
                <w:lang w:val="en-US" w:eastAsia="zh-CN"/>
                <w14:textFill>
                  <w14:solidFill>
                    <w14:schemeClr w14:val="tx1"/>
                  </w14:solidFill>
                </w14:textFill>
              </w:rPr>
              <w:t>7</w:t>
            </w:r>
            <w:r>
              <w:rPr>
                <w:rFonts w:hint="eastAsia" w:ascii="仿宋" w:hAnsi="仿宋" w:eastAsia="仿宋" w:cs="仿宋"/>
                <w:color w:val="000000" w:themeColor="text1"/>
                <w:kern w:val="0"/>
                <w:sz w:val="21"/>
                <w:szCs w:val="21"/>
                <w14:textFill>
                  <w14:solidFill>
                    <w14:schemeClr w14:val="tx1"/>
                  </w14:solidFill>
                </w14:textFill>
              </w:rPr>
              <w:t>分，</w:t>
            </w:r>
            <w:r>
              <w:rPr>
                <w:rFonts w:hint="eastAsia" w:ascii="仿宋" w:hAnsi="仿宋" w:eastAsia="仿宋" w:cs="仿宋"/>
                <w:color w:val="000000" w:themeColor="text1"/>
                <w:kern w:val="0"/>
                <w:sz w:val="21"/>
                <w:szCs w:val="21"/>
                <w:lang w:val="en-US" w:eastAsia="zh-CN"/>
                <w14:textFill>
                  <w14:solidFill>
                    <w14:schemeClr w14:val="tx1"/>
                  </w14:solidFill>
                </w14:textFill>
              </w:rPr>
              <w:t>差得4分，</w:t>
            </w:r>
            <w:r>
              <w:rPr>
                <w:rFonts w:hint="eastAsia" w:ascii="仿宋" w:hAnsi="仿宋" w:eastAsia="仿宋" w:cs="仿宋"/>
                <w:color w:val="000000" w:themeColor="text1"/>
                <w:kern w:val="0"/>
                <w:sz w:val="21"/>
                <w:szCs w:val="21"/>
                <w14:textFill>
                  <w14:solidFill>
                    <w14:schemeClr w14:val="tx1"/>
                  </w14:solidFill>
                </w14:textFill>
              </w:rPr>
              <w:t>未提供得0分。</w:t>
            </w:r>
          </w:p>
        </w:tc>
        <w:tc>
          <w:tcPr>
            <w:tcW w:w="2746" w:type="dxa"/>
            <w:vMerge w:val="restart"/>
            <w:tcBorders>
              <w:tl2br w:val="nil"/>
              <w:tr2bl w:val="nil"/>
            </w:tcBorders>
            <w:shd w:val="clear" w:color="auto" w:fill="auto"/>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提供相关方案，格式自定。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567" w:type="dxa"/>
            <w:vMerge w:val="continue"/>
            <w:tcBorders>
              <w:tl2br w:val="nil"/>
              <w:tr2bl w:val="nil"/>
            </w:tcBorders>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c>
          <w:tcPr>
            <w:tcW w:w="1276" w:type="dxa"/>
            <w:vMerge w:val="continue"/>
            <w:tcBorders>
              <w:tl2br w:val="nil"/>
              <w:tr2bl w:val="nil"/>
            </w:tcBorders>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c>
          <w:tcPr>
            <w:tcW w:w="1503" w:type="dxa"/>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sz w:val="21"/>
                <w:szCs w:val="21"/>
              </w:rPr>
              <w:t>公司管理方案（1</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3831" w:type="dxa"/>
            <w:tcBorders>
              <w:tl2br w:val="nil"/>
              <w:tr2bl w:val="nil"/>
            </w:tcBorders>
            <w:shd w:val="clear" w:color="auto" w:fill="auto"/>
            <w:vAlign w:val="center"/>
          </w:tcPr>
          <w:p>
            <w:pPr>
              <w:widowControl/>
              <w:ind w:firstLine="420" w:firstLineChars="200"/>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1、投标人有针对本项目的管理规范及设施设备管理制度、质量保障控制制度及措施等方案。</w:t>
            </w:r>
          </w:p>
          <w:p>
            <w:pPr>
              <w:widowControl/>
              <w:ind w:firstLine="420" w:firstLineChars="200"/>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2、根据各投标人提供的管理方案，从方案的全面性、合理性、可执行性，按方案优劣程度进行打分。优秀得</w:t>
            </w:r>
            <w:r>
              <w:rPr>
                <w:rFonts w:hint="eastAsia" w:ascii="仿宋" w:hAnsi="仿宋" w:eastAsia="仿宋" w:cs="仿宋"/>
                <w:color w:val="000000" w:themeColor="text1"/>
                <w:kern w:val="0"/>
                <w:sz w:val="21"/>
                <w:szCs w:val="21"/>
                <w:lang w:val="en-US" w:eastAsia="zh-CN"/>
                <w14:textFill>
                  <w14:solidFill>
                    <w14:schemeClr w14:val="tx1"/>
                  </w14:solidFill>
                </w14:textFill>
              </w:rPr>
              <w:t>10</w:t>
            </w:r>
            <w:r>
              <w:rPr>
                <w:rFonts w:hint="eastAsia" w:ascii="仿宋" w:hAnsi="仿宋" w:eastAsia="仿宋" w:cs="仿宋"/>
                <w:color w:val="000000" w:themeColor="text1"/>
                <w:kern w:val="0"/>
                <w:sz w:val="21"/>
                <w:szCs w:val="21"/>
                <w14:textFill>
                  <w14:solidFill>
                    <w14:schemeClr w14:val="tx1"/>
                  </w14:solidFill>
                </w14:textFill>
              </w:rPr>
              <w:t>分，良好得</w:t>
            </w:r>
            <w:r>
              <w:rPr>
                <w:rFonts w:hint="eastAsia" w:ascii="仿宋" w:hAnsi="仿宋" w:eastAsia="仿宋" w:cs="仿宋"/>
                <w:color w:val="000000" w:themeColor="text1"/>
                <w:kern w:val="0"/>
                <w:sz w:val="21"/>
                <w:szCs w:val="21"/>
                <w:lang w:val="en-US" w:eastAsia="zh-CN"/>
                <w14:textFill>
                  <w14:solidFill>
                    <w14:schemeClr w14:val="tx1"/>
                  </w14:solidFill>
                </w14:textFill>
              </w:rPr>
              <w:t>7</w:t>
            </w:r>
            <w:r>
              <w:rPr>
                <w:rFonts w:hint="eastAsia" w:ascii="仿宋" w:hAnsi="仿宋" w:eastAsia="仿宋" w:cs="仿宋"/>
                <w:color w:val="000000" w:themeColor="text1"/>
                <w:kern w:val="0"/>
                <w:sz w:val="21"/>
                <w:szCs w:val="21"/>
                <w14:textFill>
                  <w14:solidFill>
                    <w14:schemeClr w14:val="tx1"/>
                  </w14:solidFill>
                </w14:textFill>
              </w:rPr>
              <w:t>分，一般得</w:t>
            </w: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14:textFill>
                  <w14:solidFill>
                    <w14:schemeClr w14:val="tx1"/>
                  </w14:solidFill>
                </w14:textFill>
              </w:rPr>
              <w:t>分，</w:t>
            </w:r>
            <w:r>
              <w:rPr>
                <w:rFonts w:hint="eastAsia" w:ascii="仿宋" w:hAnsi="仿宋" w:eastAsia="仿宋" w:cs="仿宋"/>
                <w:color w:val="000000" w:themeColor="text1"/>
                <w:kern w:val="0"/>
                <w:sz w:val="21"/>
                <w:szCs w:val="21"/>
                <w:lang w:val="en-US" w:eastAsia="zh-CN"/>
                <w14:textFill>
                  <w14:solidFill>
                    <w14:schemeClr w14:val="tx1"/>
                  </w14:solidFill>
                </w14:textFill>
              </w:rPr>
              <w:t>差得1分，</w:t>
            </w:r>
            <w:r>
              <w:rPr>
                <w:rFonts w:hint="eastAsia" w:ascii="仿宋" w:hAnsi="仿宋" w:eastAsia="仿宋" w:cs="仿宋"/>
                <w:color w:val="000000" w:themeColor="text1"/>
                <w:kern w:val="0"/>
                <w:sz w:val="21"/>
                <w:szCs w:val="21"/>
                <w14:textFill>
                  <w14:solidFill>
                    <w14:schemeClr w14:val="tx1"/>
                  </w14:solidFill>
                </w14:textFill>
              </w:rPr>
              <w:t>未提供得0分。</w:t>
            </w:r>
          </w:p>
        </w:tc>
        <w:tc>
          <w:tcPr>
            <w:tcW w:w="2746" w:type="dxa"/>
            <w:vMerge w:val="continue"/>
            <w:tcBorders>
              <w:tl2br w:val="nil"/>
              <w:tr2bl w:val="nil"/>
            </w:tcBorders>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567" w:type="dxa"/>
            <w:vMerge w:val="continue"/>
            <w:tcBorders>
              <w:tl2br w:val="nil"/>
              <w:tr2bl w:val="nil"/>
            </w:tcBorders>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c>
          <w:tcPr>
            <w:tcW w:w="1276" w:type="dxa"/>
            <w:vMerge w:val="continue"/>
            <w:tcBorders>
              <w:tl2br w:val="nil"/>
              <w:tr2bl w:val="nil"/>
            </w:tcBorders>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c>
          <w:tcPr>
            <w:tcW w:w="1503" w:type="dxa"/>
            <w:tcBorders>
              <w:tl2br w:val="nil"/>
              <w:tr2bl w:val="nil"/>
            </w:tcBorders>
            <w:shd w:val="clear" w:color="auto" w:fill="auto"/>
            <w:vAlign w:val="center"/>
          </w:tcPr>
          <w:p>
            <w:pPr>
              <w:snapToGrid w:val="0"/>
              <w:spacing w:line="360" w:lineRule="auto"/>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sz w:val="21"/>
                <w:szCs w:val="21"/>
              </w:rPr>
              <w:t>应急处置方案（10%）</w:t>
            </w:r>
          </w:p>
        </w:tc>
        <w:tc>
          <w:tcPr>
            <w:tcW w:w="3831" w:type="dxa"/>
            <w:tcBorders>
              <w:tl2br w:val="nil"/>
              <w:tr2bl w:val="nil"/>
            </w:tcBorders>
            <w:shd w:val="clear" w:color="auto" w:fill="auto"/>
            <w:vAlign w:val="center"/>
          </w:tcPr>
          <w:p>
            <w:pPr>
              <w:widowControl/>
              <w:ind w:firstLine="420" w:firstLineChars="200"/>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1、投标人有针对本项目的应急处置方案（含人员发生患病、工伤、工亡或其他安全事件时的善后处置、突发疫情等应急方案）；</w:t>
            </w:r>
          </w:p>
          <w:p>
            <w:pPr>
              <w:widowControl/>
              <w:ind w:firstLine="420" w:firstLineChars="200"/>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2、根据各投标人提供的应急处置方案，从方案的全面性、合理性、可执行性，按方案优劣程度进行打分。优秀得10分，良好得7分，一般得4分，</w:t>
            </w:r>
            <w:r>
              <w:rPr>
                <w:rFonts w:hint="eastAsia" w:ascii="仿宋" w:hAnsi="仿宋" w:eastAsia="仿宋" w:cs="仿宋"/>
                <w:color w:val="000000" w:themeColor="text1"/>
                <w:kern w:val="0"/>
                <w:sz w:val="21"/>
                <w:szCs w:val="21"/>
                <w:lang w:val="en-US" w:eastAsia="zh-CN"/>
                <w14:textFill>
                  <w14:solidFill>
                    <w14:schemeClr w14:val="tx1"/>
                  </w14:solidFill>
                </w14:textFill>
              </w:rPr>
              <w:t>差得1分，</w:t>
            </w:r>
            <w:r>
              <w:rPr>
                <w:rFonts w:hint="eastAsia" w:ascii="仿宋" w:hAnsi="仿宋" w:eastAsia="仿宋" w:cs="仿宋"/>
                <w:color w:val="000000" w:themeColor="text1"/>
                <w:kern w:val="0"/>
                <w:sz w:val="21"/>
                <w:szCs w:val="21"/>
                <w14:textFill>
                  <w14:solidFill>
                    <w14:schemeClr w14:val="tx1"/>
                  </w14:solidFill>
                </w14:textFill>
              </w:rPr>
              <w:t>未提供得0分。</w:t>
            </w:r>
          </w:p>
        </w:tc>
        <w:tc>
          <w:tcPr>
            <w:tcW w:w="2746" w:type="dxa"/>
            <w:vMerge w:val="continue"/>
            <w:tcBorders>
              <w:tl2br w:val="nil"/>
              <w:tr2bl w:val="nil"/>
            </w:tcBorders>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567" w:type="dxa"/>
            <w:vMerge w:val="continue"/>
            <w:tcBorders>
              <w:tl2br w:val="nil"/>
              <w:tr2bl w:val="nil"/>
            </w:tcBorders>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c>
          <w:tcPr>
            <w:tcW w:w="1276" w:type="dxa"/>
            <w:vMerge w:val="continue"/>
            <w:tcBorders>
              <w:tl2br w:val="nil"/>
              <w:tr2bl w:val="nil"/>
            </w:tcBorders>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c>
          <w:tcPr>
            <w:tcW w:w="1503" w:type="dxa"/>
            <w:tcBorders>
              <w:tl2br w:val="nil"/>
              <w:tr2bl w:val="nil"/>
            </w:tcBorders>
            <w:shd w:val="clear" w:color="auto" w:fill="auto"/>
            <w:vAlign w:val="center"/>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服务能力</w:t>
            </w:r>
          </w:p>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3831" w:type="dxa"/>
            <w:tcBorders>
              <w:tl2br w:val="nil"/>
              <w:tr2bl w:val="nil"/>
            </w:tcBorders>
            <w:shd w:val="clear" w:color="auto" w:fill="auto"/>
            <w:vAlign w:val="center"/>
          </w:tcPr>
          <w:p>
            <w:pPr>
              <w:widowControl/>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投标人承诺中标后，接收到采购人紧急任务通知后，在1个小时内到达采购人指定地点。提供承诺得</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14:textFill>
                  <w14:solidFill>
                    <w14:schemeClr w14:val="tx1"/>
                  </w14:solidFill>
                </w14:textFill>
              </w:rPr>
              <w:t>分，未承诺不得分。</w:t>
            </w:r>
          </w:p>
        </w:tc>
        <w:tc>
          <w:tcPr>
            <w:tcW w:w="2746" w:type="dxa"/>
            <w:tcBorders>
              <w:tl2br w:val="nil"/>
              <w:tr2bl w:val="nil"/>
            </w:tcBorders>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p>
        </w:tc>
        <w:tc>
          <w:tcPr>
            <w:tcW w:w="127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商务部分</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20</w:t>
            </w:r>
            <w:r>
              <w:rPr>
                <w:rFonts w:hint="eastAsia" w:ascii="仿宋" w:hAnsi="仿宋" w:eastAsia="仿宋" w:cs="仿宋"/>
                <w:color w:val="000000" w:themeColor="text1"/>
                <w:kern w:val="0"/>
                <w:sz w:val="21"/>
                <w:szCs w:val="21"/>
                <w14:textFill>
                  <w14:solidFill>
                    <w14:schemeClr w14:val="tx1"/>
                  </w14:solidFill>
                </w14:textFill>
              </w:rPr>
              <w:t>%）</w:t>
            </w:r>
          </w:p>
        </w:tc>
        <w:tc>
          <w:tcPr>
            <w:tcW w:w="1503" w:type="dxa"/>
            <w:tcBorders>
              <w:tl2br w:val="nil"/>
              <w:tr2bl w:val="nil"/>
            </w:tcBorders>
            <w:shd w:val="clear" w:color="auto" w:fill="auto"/>
            <w:vAlign w:val="center"/>
          </w:tcPr>
          <w:p>
            <w:pPr>
              <w:spacing w:line="360" w:lineRule="auto"/>
              <w:jc w:val="center"/>
              <w:rPr>
                <w:rFonts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 xml:space="preserve"> </w:t>
            </w:r>
            <w:r>
              <w:rPr>
                <w:rFonts w:hint="eastAsia" w:ascii="仿宋" w:hAnsi="仿宋" w:eastAsia="仿宋" w:cs="仿宋"/>
                <w:sz w:val="21"/>
                <w:szCs w:val="21"/>
              </w:rPr>
              <w:t>业绩</w:t>
            </w:r>
          </w:p>
          <w:p>
            <w:pPr>
              <w:widowControl/>
              <w:jc w:val="center"/>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sz w:val="21"/>
                <w:szCs w:val="21"/>
              </w:rPr>
              <w:t>（10%）</w:t>
            </w:r>
          </w:p>
        </w:tc>
        <w:tc>
          <w:tcPr>
            <w:tcW w:w="3831" w:type="dxa"/>
            <w:tcBorders>
              <w:tl2br w:val="nil"/>
              <w:tr2bl w:val="nil"/>
            </w:tcBorders>
            <w:shd w:val="clear" w:color="auto" w:fill="auto"/>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sz w:val="21"/>
                <w:szCs w:val="21"/>
              </w:rPr>
              <w:t>投标人自2021年1月1日至今具有学校或幼儿园保洁、后勤等业绩1个得5分，最多得10分。</w:t>
            </w:r>
          </w:p>
        </w:tc>
        <w:tc>
          <w:tcPr>
            <w:tcW w:w="2746" w:type="dxa"/>
            <w:tcBorders>
              <w:tl2br w:val="nil"/>
              <w:tr2bl w:val="nil"/>
            </w:tcBorders>
            <w:shd w:val="clear" w:color="auto" w:fill="auto"/>
            <w:vAlign w:val="center"/>
          </w:tcPr>
          <w:p>
            <w:pPr>
              <w:widowControl/>
              <w:jc w:val="left"/>
              <w:rPr>
                <w:rFonts w:ascii="仿宋" w:hAnsi="仿宋" w:eastAsia="仿宋" w:cs="仿宋"/>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67"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p>
        </w:tc>
        <w:tc>
          <w:tcPr>
            <w:tcW w:w="1276" w:type="dxa"/>
            <w:vMerge w:val="continue"/>
            <w:tcBorders>
              <w:tl2br w:val="nil"/>
              <w:tr2bl w:val="nil"/>
            </w:tcBorders>
            <w:shd w:val="clear" w:color="auto" w:fill="auto"/>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p>
        </w:tc>
        <w:tc>
          <w:tcPr>
            <w:tcW w:w="1503" w:type="dxa"/>
            <w:tcBorders>
              <w:tl2br w:val="nil"/>
              <w:tr2bl w:val="nil"/>
            </w:tcBorders>
            <w:shd w:val="clear" w:color="auto" w:fill="auto"/>
            <w:vAlign w:val="center"/>
          </w:tcPr>
          <w:p>
            <w:pPr>
              <w:spacing w:line="36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团队人员</w:t>
            </w:r>
          </w:p>
          <w:p>
            <w:pPr>
              <w:widowControl/>
              <w:jc w:val="center"/>
              <w:rPr>
                <w:rFonts w:hint="eastAsia" w:ascii="仿宋" w:hAnsi="仿宋" w:eastAsia="仿宋" w:cs="仿宋"/>
                <w:sz w:val="21"/>
                <w:szCs w:val="21"/>
              </w:rPr>
            </w:pPr>
            <w:r>
              <w:rPr>
                <w:rFonts w:hint="eastAsia" w:ascii="仿宋" w:hAnsi="仿宋" w:eastAsia="仿宋" w:cs="仿宋"/>
                <w:color w:val="auto"/>
                <w:kern w:val="2"/>
                <w:sz w:val="21"/>
                <w:szCs w:val="21"/>
                <w:lang w:val="en-US" w:eastAsia="zh-CN" w:bidi="ar-SA"/>
              </w:rPr>
              <w:t>（10%）</w:t>
            </w:r>
          </w:p>
        </w:tc>
        <w:tc>
          <w:tcPr>
            <w:tcW w:w="3831" w:type="dxa"/>
            <w:tcBorders>
              <w:tl2br w:val="nil"/>
              <w:tr2bl w:val="nil"/>
            </w:tcBorders>
            <w:shd w:val="clear" w:color="auto" w:fill="auto"/>
            <w:vAlign w:val="center"/>
          </w:tcPr>
          <w:p>
            <w:pPr>
              <w:widowControl/>
              <w:numPr>
                <w:ilvl w:val="0"/>
                <w:numId w:val="0"/>
              </w:numP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1、服务团队中持有健康合格证明，提供1人得1分，最多得5分。</w:t>
            </w:r>
          </w:p>
          <w:p>
            <w:pPr>
              <w:widowControl/>
              <w:jc w:val="left"/>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2、服务团队中持有保育员职业资格证书，提供1人</w:t>
            </w:r>
            <w:r>
              <w:rPr>
                <w:rFonts w:hint="eastAsia" w:ascii="仿宋" w:hAnsi="仿宋" w:eastAsia="仿宋" w:cs="仿宋"/>
                <w:color w:val="000000" w:themeColor="text1"/>
                <w:kern w:val="0"/>
                <w:sz w:val="21"/>
                <w:szCs w:val="21"/>
                <w:lang w:val="en-US" w:eastAsia="zh-CN"/>
                <w14:textFill>
                  <w14:solidFill>
                    <w14:schemeClr w14:val="tx1"/>
                  </w14:solidFill>
                </w14:textFill>
              </w:rPr>
              <w:t>得1分，最多得5分。</w:t>
            </w:r>
          </w:p>
          <w:p>
            <w:pPr>
              <w:widowControl/>
              <w:jc w:val="left"/>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注：</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健康合格证明</w:t>
            </w:r>
            <w:r>
              <w:rPr>
                <w:rFonts w:hint="eastAsia" w:ascii="仿宋" w:hAnsi="仿宋" w:eastAsia="仿宋" w:cs="仿宋"/>
                <w:color w:val="000000" w:themeColor="text1"/>
                <w:kern w:val="0"/>
                <w:sz w:val="21"/>
                <w:szCs w:val="21"/>
                <w:lang w:val="en-US" w:eastAsia="zh-CN"/>
                <w14:textFill>
                  <w14:solidFill>
                    <w14:schemeClr w14:val="tx1"/>
                  </w14:solidFill>
                </w14:textFill>
              </w:rPr>
              <w:t>及职业资格证书同时具有的不可重复计分。</w:t>
            </w:r>
          </w:p>
        </w:tc>
        <w:tc>
          <w:tcPr>
            <w:tcW w:w="2746" w:type="dxa"/>
            <w:tcBorders>
              <w:tl2br w:val="nil"/>
              <w:tr2bl w:val="nil"/>
            </w:tcBorders>
            <w:shd w:val="clear" w:color="auto" w:fill="auto"/>
            <w:vAlign w:val="center"/>
          </w:tcPr>
          <w:p>
            <w:pP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所有人员需提供2023年8月-2024年1月在本单位缴纳养老保险证明材料并加盖投标人公章。</w:t>
            </w:r>
          </w:p>
        </w:tc>
      </w:tr>
    </w:tbl>
    <w:p>
      <w:pPr>
        <w:pStyle w:val="3"/>
        <w:spacing w:line="400" w:lineRule="exact"/>
        <w:outlineLvl w:val="9"/>
        <w:rPr>
          <w:rFonts w:ascii="仿宋" w:hAnsi="仿宋" w:eastAsia="仿宋" w:cs="仿宋"/>
          <w:b/>
          <w:color w:val="000000" w:themeColor="text1"/>
          <w:sz w:val="24"/>
          <w:szCs w:val="24"/>
          <w14:textFill>
            <w14:solidFill>
              <w14:schemeClr w14:val="tx1"/>
            </w14:solidFill>
          </w14:textFill>
        </w:rPr>
      </w:pPr>
    </w:p>
    <w:p>
      <w:pPr>
        <w:pStyle w:val="3"/>
        <w:spacing w:line="40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301" w:name="_Toc31771"/>
      <w:bookmarkStart w:id="302" w:name="_Toc10661"/>
      <w:r>
        <w:rPr>
          <w:rFonts w:hint="eastAsia" w:ascii="仿宋" w:hAnsi="仿宋" w:eastAsia="仿宋" w:cs="仿宋"/>
          <w:b/>
          <w:color w:val="000000" w:themeColor="text1"/>
          <w:sz w:val="24"/>
          <w:szCs w:val="24"/>
          <w14:textFill>
            <w14:solidFill>
              <w14:schemeClr w14:val="tx1"/>
            </w14:solidFill>
          </w14:textFill>
        </w:rPr>
        <w:t>三、无效投标条款</w:t>
      </w:r>
      <w:bookmarkEnd w:id="293"/>
      <w:bookmarkEnd w:id="294"/>
      <w:bookmarkEnd w:id="295"/>
      <w:bookmarkEnd w:id="296"/>
      <w:bookmarkEnd w:id="297"/>
      <w:bookmarkEnd w:id="298"/>
      <w:bookmarkEnd w:id="299"/>
      <w:bookmarkEnd w:id="300"/>
      <w:bookmarkEnd w:id="301"/>
      <w:bookmarkEnd w:id="302"/>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投标人或其投标文件出现下列情况之一者，应为无效投标：</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（一）未按照</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的规定提交投标保证金的；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（二）投标文件未按</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要求签署、盖章的；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（三）不具备</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中规定的资格要求的；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（四）未通过符合性审查的；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（五）报价超过</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中规定的预算金额或者最高限价的；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（六）投标文件含有比选人不能接受的附加条件的；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（七）投标人串通投标的；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（八）单位负责人为同一人或者存在直接控股、管理关系的不同投标人，参加同一合同项（包）下的招标活动的；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（九）为采购项目提供整体设计、规范编制或者项目管理、监理、检测等服务的投标人，再参加该采购项目的其他采购活动的；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（十）未在</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获取截止时间之前按照第一篇规定递交《</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lang w:val="en-US" w:eastAsia="zh-CN"/>
          <w14:textFill>
            <w14:solidFill>
              <w14:schemeClr w14:val="tx1"/>
            </w14:solidFill>
          </w14:textFill>
        </w:rPr>
        <w:t>发售</w:t>
      </w:r>
      <w:r>
        <w:rPr>
          <w:rFonts w:hint="eastAsia" w:ascii="仿宋" w:hAnsi="仿宋" w:eastAsia="仿宋" w:cs="仿宋"/>
          <w:color w:val="000000" w:themeColor="text1"/>
          <w:sz w:val="24"/>
          <w:szCs w:val="24"/>
          <w14:textFill>
            <w14:solidFill>
              <w14:schemeClr w14:val="tx1"/>
            </w14:solidFill>
          </w14:textFill>
        </w:rPr>
        <w:t>登记表》</w:t>
      </w:r>
    </w:p>
    <w:p>
      <w:pPr>
        <w:snapToGrid w:val="0"/>
        <w:spacing w:line="400" w:lineRule="exact"/>
        <w:ind w:firstLine="480" w:firstLineChars="200"/>
        <w:outlineLvl w:val="1"/>
        <w:rPr>
          <w:rFonts w:ascii="仿宋" w:hAnsi="仿宋" w:eastAsia="仿宋" w:cs="仿宋"/>
          <w:color w:val="000000" w:themeColor="text1"/>
          <w:sz w:val="24"/>
          <w:szCs w:val="24"/>
          <w14:textFill>
            <w14:solidFill>
              <w14:schemeClr w14:val="tx1"/>
            </w14:solidFill>
          </w14:textFill>
        </w:rPr>
      </w:pPr>
      <w:bookmarkStart w:id="303" w:name="_Toc30131"/>
      <w:bookmarkStart w:id="304" w:name="_Toc10073"/>
      <w:r>
        <w:rPr>
          <w:rFonts w:hint="eastAsia" w:ascii="仿宋" w:hAnsi="仿宋" w:eastAsia="仿宋" w:cs="仿宋"/>
          <w:color w:val="000000" w:themeColor="text1"/>
          <w:sz w:val="24"/>
          <w:szCs w:val="24"/>
          <w14:textFill>
            <w14:solidFill>
              <w14:schemeClr w14:val="tx1"/>
            </w14:solidFill>
          </w14:textFill>
        </w:rPr>
        <w:t>（十一）法律、法规和</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规定的其他无效情形。</w:t>
      </w:r>
      <w:bookmarkEnd w:id="303"/>
      <w:bookmarkEnd w:id="304"/>
    </w:p>
    <w:p>
      <w:pPr>
        <w:pStyle w:val="3"/>
        <w:spacing w:line="40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305" w:name="_Toc8576"/>
      <w:bookmarkStart w:id="306" w:name="_Toc21042"/>
      <w:bookmarkStart w:id="307" w:name="_Toc23778"/>
      <w:bookmarkStart w:id="308" w:name="_Toc22082"/>
      <w:bookmarkStart w:id="309" w:name="_Toc24534"/>
      <w:bookmarkStart w:id="310" w:name="_Toc21456"/>
      <w:bookmarkStart w:id="311" w:name="_Toc8742"/>
      <w:bookmarkStart w:id="312" w:name="_Toc4365"/>
      <w:bookmarkStart w:id="313" w:name="_Toc4573"/>
      <w:bookmarkStart w:id="314" w:name="_Toc31902"/>
      <w:r>
        <w:rPr>
          <w:rFonts w:hint="eastAsia" w:ascii="仿宋" w:hAnsi="仿宋" w:eastAsia="仿宋" w:cs="仿宋"/>
          <w:b/>
          <w:color w:val="000000" w:themeColor="text1"/>
          <w:sz w:val="24"/>
          <w:szCs w:val="24"/>
          <w14:textFill>
            <w14:solidFill>
              <w14:schemeClr w14:val="tx1"/>
            </w14:solidFill>
          </w14:textFill>
        </w:rPr>
        <w:t>四、废标条款</w:t>
      </w:r>
      <w:bookmarkEnd w:id="305"/>
      <w:bookmarkEnd w:id="306"/>
      <w:bookmarkEnd w:id="307"/>
      <w:bookmarkEnd w:id="308"/>
      <w:bookmarkEnd w:id="309"/>
      <w:bookmarkEnd w:id="310"/>
      <w:bookmarkEnd w:id="311"/>
      <w:bookmarkEnd w:id="312"/>
      <w:bookmarkEnd w:id="313"/>
      <w:bookmarkEnd w:id="314"/>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在招标采购中，出现下列情形之一的，应予废标：</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（一）符合专业条件的投标人或者对</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作实质响应的投标人不足三家的；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（二）投标人的报价均超过了采购预算，比选人不能支付的；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（三）出现影响采购公正的违法、违规行为的；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（四）因重大变故，采购任务取消的。</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315" w:name="_Toc31666"/>
      <w:bookmarkStart w:id="316" w:name="_Toc16383"/>
      <w:r>
        <w:rPr>
          <w:rFonts w:hint="eastAsia" w:ascii="仿宋" w:hAnsi="仿宋" w:eastAsia="仿宋" w:cs="仿宋"/>
          <w:color w:val="000000" w:themeColor="text1"/>
          <w:sz w:val="24"/>
          <w:szCs w:val="24"/>
          <w14:textFill>
            <w14:solidFill>
              <w14:schemeClr w14:val="tx1"/>
            </w14:solidFill>
          </w14:textFill>
        </w:rPr>
        <w:t>废标后，除采购任务取消情形外，应当重新组织采购。</w:t>
      </w:r>
      <w:bookmarkEnd w:id="315"/>
      <w:bookmarkEnd w:id="316"/>
    </w:p>
    <w:p>
      <w:pPr>
        <w:pStyle w:val="2"/>
        <w:spacing w:before="240" w:after="120" w:line="360" w:lineRule="auto"/>
        <w:outlineLvl w:val="1"/>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br w:type="page"/>
      </w:r>
      <w:bookmarkStart w:id="317" w:name="_Toc8696"/>
      <w:bookmarkStart w:id="318" w:name="_Toc7074"/>
      <w:bookmarkStart w:id="319" w:name="_Toc3996"/>
      <w:bookmarkStart w:id="320" w:name="_Toc30409"/>
      <w:bookmarkStart w:id="321" w:name="_Toc13494"/>
      <w:bookmarkStart w:id="322" w:name="_Toc8838"/>
      <w:r>
        <w:rPr>
          <w:rFonts w:hint="eastAsia" w:ascii="仿宋" w:hAnsi="仿宋" w:eastAsia="仿宋" w:cs="仿宋"/>
          <w:color w:val="000000" w:themeColor="text1"/>
          <w14:textFill>
            <w14:solidFill>
              <w14:schemeClr w14:val="tx1"/>
            </w14:solidFill>
          </w14:textFill>
        </w:rPr>
        <w:t>第五篇  投标人须知</w:t>
      </w:r>
      <w:bookmarkEnd w:id="317"/>
      <w:bookmarkEnd w:id="318"/>
      <w:bookmarkEnd w:id="319"/>
      <w:bookmarkEnd w:id="320"/>
      <w:bookmarkEnd w:id="321"/>
      <w:bookmarkEnd w:id="322"/>
    </w:p>
    <w:p>
      <w:pPr>
        <w:pStyle w:val="3"/>
        <w:spacing w:line="4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323" w:name="_Toc28656"/>
      <w:bookmarkStart w:id="324" w:name="_Toc25501"/>
      <w:bookmarkStart w:id="325" w:name="_Toc5868"/>
      <w:bookmarkStart w:id="326" w:name="_Toc6150"/>
      <w:bookmarkStart w:id="327" w:name="_Toc28938"/>
      <w:bookmarkStart w:id="328" w:name="_Toc15342"/>
      <w:r>
        <w:rPr>
          <w:rFonts w:hint="eastAsia" w:ascii="仿宋" w:hAnsi="仿宋" w:eastAsia="仿宋" w:cs="仿宋"/>
          <w:b/>
          <w:color w:val="000000" w:themeColor="text1"/>
          <w:sz w:val="24"/>
          <w14:textFill>
            <w14:solidFill>
              <w14:schemeClr w14:val="tx1"/>
            </w14:solidFill>
          </w14:textFill>
        </w:rPr>
        <w:t>一、投标人</w:t>
      </w:r>
      <w:bookmarkEnd w:id="323"/>
      <w:bookmarkEnd w:id="324"/>
      <w:bookmarkEnd w:id="325"/>
      <w:bookmarkEnd w:id="326"/>
      <w:bookmarkEnd w:id="327"/>
      <w:bookmarkEnd w:id="328"/>
    </w:p>
    <w:p>
      <w:pPr>
        <w:snapToGrid w:val="0"/>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29" w:name="_Toc22932"/>
      <w:bookmarkStart w:id="330" w:name="_Toc11457"/>
      <w:r>
        <w:rPr>
          <w:rFonts w:hint="eastAsia" w:ascii="仿宋" w:hAnsi="仿宋" w:eastAsia="仿宋" w:cs="仿宋"/>
          <w:color w:val="000000" w:themeColor="text1"/>
          <w:sz w:val="24"/>
          <w14:textFill>
            <w14:solidFill>
              <w14:schemeClr w14:val="tx1"/>
            </w14:solidFill>
          </w14:textFill>
        </w:rPr>
        <w:t>1、合格投标人条件</w:t>
      </w:r>
      <w:bookmarkEnd w:id="329"/>
      <w:bookmarkEnd w:id="330"/>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合格投标人应完全符合</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第一篇中规定的投标人资格条件，并对</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作出实质性响应。</w:t>
      </w:r>
    </w:p>
    <w:p>
      <w:pPr>
        <w:snapToGrid w:val="0"/>
        <w:spacing w:line="400" w:lineRule="exact"/>
        <w:ind w:firstLine="480" w:firstLineChars="200"/>
        <w:outlineLvl w:val="1"/>
        <w:rPr>
          <w:rFonts w:ascii="仿宋" w:hAnsi="仿宋" w:eastAsia="仿宋" w:cs="仿宋"/>
          <w:color w:val="000000" w:themeColor="text1"/>
          <w:sz w:val="24"/>
          <w:szCs w:val="28"/>
          <w14:textFill>
            <w14:solidFill>
              <w14:schemeClr w14:val="tx1"/>
            </w14:solidFill>
          </w14:textFill>
        </w:rPr>
      </w:pPr>
      <w:bookmarkStart w:id="331" w:name="_Toc31286"/>
      <w:bookmarkStart w:id="332" w:name="_Toc28609"/>
      <w:r>
        <w:rPr>
          <w:rFonts w:hint="eastAsia" w:ascii="仿宋" w:hAnsi="仿宋" w:eastAsia="仿宋" w:cs="仿宋"/>
          <w:color w:val="000000" w:themeColor="text1"/>
          <w:sz w:val="24"/>
          <w:szCs w:val="28"/>
          <w14:textFill>
            <w14:solidFill>
              <w14:schemeClr w14:val="tx1"/>
            </w14:solidFill>
          </w14:textFill>
        </w:rPr>
        <w:t>2、投标人的风险</w:t>
      </w:r>
      <w:bookmarkEnd w:id="331"/>
      <w:bookmarkEnd w:id="332"/>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投标人没有按照</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要求提供全部资料，或者投标人没有对</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在各方面作出实质性响应，可能导致投标被拒绝或评定为无效投标。</w:t>
      </w:r>
    </w:p>
    <w:p>
      <w:pPr>
        <w:pStyle w:val="3"/>
        <w:spacing w:line="400" w:lineRule="exact"/>
        <w:ind w:firstLine="482" w:firstLineChars="200"/>
        <w:outlineLvl w:val="0"/>
        <w:rPr>
          <w:rFonts w:hint="eastAsia" w:ascii="仿宋" w:hAnsi="仿宋" w:eastAsia="仿宋" w:cs="仿宋"/>
          <w:b/>
          <w:color w:val="000000" w:themeColor="text1"/>
          <w:sz w:val="24"/>
          <w:lang w:eastAsia="zh-CN"/>
          <w14:textFill>
            <w14:solidFill>
              <w14:schemeClr w14:val="tx1"/>
            </w14:solidFill>
          </w14:textFill>
        </w:rPr>
      </w:pPr>
      <w:bookmarkStart w:id="333" w:name="_Toc6909"/>
      <w:bookmarkStart w:id="334" w:name="_Toc5777"/>
      <w:bookmarkStart w:id="335" w:name="_Toc5664"/>
      <w:bookmarkStart w:id="336" w:name="_Toc20475"/>
      <w:bookmarkStart w:id="337" w:name="_Toc17132"/>
      <w:bookmarkStart w:id="338" w:name="_Toc18544"/>
      <w:r>
        <w:rPr>
          <w:rFonts w:hint="eastAsia" w:ascii="仿宋" w:hAnsi="仿宋" w:eastAsia="仿宋" w:cs="仿宋"/>
          <w:b/>
          <w:color w:val="000000" w:themeColor="text1"/>
          <w:sz w:val="24"/>
          <w14:textFill>
            <w14:solidFill>
              <w14:schemeClr w14:val="tx1"/>
            </w14:solidFill>
          </w14:textFill>
        </w:rPr>
        <w:t>二、</w:t>
      </w:r>
      <w:bookmarkEnd w:id="333"/>
      <w:bookmarkEnd w:id="334"/>
      <w:bookmarkEnd w:id="335"/>
      <w:bookmarkEnd w:id="336"/>
      <w:bookmarkEnd w:id="337"/>
      <w:bookmarkEnd w:id="338"/>
      <w:r>
        <w:rPr>
          <w:rFonts w:hint="eastAsia" w:ascii="仿宋" w:hAnsi="仿宋" w:eastAsia="仿宋" w:cs="仿宋"/>
          <w:b/>
          <w:color w:val="000000" w:themeColor="text1"/>
          <w:sz w:val="24"/>
          <w:lang w:eastAsia="zh-CN"/>
          <w14:textFill>
            <w14:solidFill>
              <w14:schemeClr w14:val="tx1"/>
            </w14:solidFill>
          </w14:textFill>
        </w:rPr>
        <w:t>比选文件</w:t>
      </w:r>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是投标人编制投标文件的依据，是评标委员会评判依据和标准。</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也是比选人与中标人签订合同的基础。</w:t>
      </w:r>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由投标邀请书；项目服务要求；</w:t>
      </w:r>
      <w:r>
        <w:rPr>
          <w:rFonts w:hint="eastAsia" w:ascii="仿宋" w:hAnsi="仿宋" w:eastAsia="仿宋" w:cs="仿宋"/>
          <w:color w:val="000000" w:themeColor="text1"/>
          <w:sz w:val="24"/>
          <w:szCs w:val="22"/>
          <w14:textFill>
            <w14:solidFill>
              <w14:schemeClr w14:val="tx1"/>
            </w14:solidFill>
          </w14:textFill>
        </w:rPr>
        <w:t>项目商务要求；</w:t>
      </w:r>
      <w:r>
        <w:rPr>
          <w:rFonts w:hint="eastAsia" w:ascii="仿宋" w:hAnsi="仿宋" w:eastAsia="仿宋" w:cs="仿宋"/>
          <w:color w:val="000000" w:themeColor="text1"/>
          <w:sz w:val="24"/>
          <w14:textFill>
            <w14:solidFill>
              <w14:schemeClr w14:val="tx1"/>
            </w14:solidFill>
          </w14:textFill>
        </w:rPr>
        <w:t>评标方法和评标标准；投标人须知；合同条款；投标文件格式等七部分组成。</w:t>
      </w:r>
    </w:p>
    <w:p>
      <w:pPr>
        <w:snapToGrid w:val="0"/>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（二）</w:t>
      </w:r>
      <w:r>
        <w:rPr>
          <w:rFonts w:hint="eastAsia" w:ascii="仿宋" w:hAnsi="仿宋" w:eastAsia="仿宋" w:cs="仿宋"/>
          <w:color w:val="000000" w:themeColor="text1"/>
          <w:sz w:val="24"/>
          <w:lang w:eastAsia="zh-CN"/>
          <w14:textFill>
            <w14:solidFill>
              <w14:schemeClr w14:val="tx1"/>
            </w14:solidFill>
          </w14:textFill>
        </w:rPr>
        <w:t>比选代理机构</w:t>
      </w:r>
      <w:r>
        <w:rPr>
          <w:rFonts w:hint="eastAsia" w:ascii="仿宋" w:hAnsi="仿宋" w:eastAsia="仿宋" w:cs="仿宋"/>
          <w:color w:val="000000" w:themeColor="text1"/>
          <w:sz w:val="24"/>
          <w14:textFill>
            <w14:solidFill>
              <w14:schemeClr w14:val="tx1"/>
            </w14:solidFill>
          </w14:textFill>
        </w:rPr>
        <w:t>对</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所作的一切有效的书面通知、修改及补充，都是</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不可分割的部分。</w:t>
      </w:r>
    </w:p>
    <w:p>
      <w:pPr>
        <w:snapToGrid w:val="0"/>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w:t>
      </w:r>
      <w:r>
        <w:rPr>
          <w:rFonts w:hint="eastAsia" w:ascii="仿宋" w:hAnsi="仿宋" w:eastAsia="仿宋" w:cs="仿宋"/>
          <w:color w:val="000000" w:themeColor="text1"/>
          <w:sz w:val="24"/>
          <w:szCs w:val="24"/>
          <w14:textFill>
            <w14:solidFill>
              <w14:schemeClr w14:val="tx1"/>
            </w14:solidFill>
          </w14:textFill>
        </w:rPr>
        <w:t>本项目的</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、补遗文件（如果有）一律在</w:t>
      </w:r>
      <w:r>
        <w:fldChar w:fldCharType="begin"/>
      </w:r>
      <w:r>
        <w:instrText xml:space="preserve"> HYPERLINK </w:instrText>
      </w:r>
      <w:r>
        <w:fldChar w:fldCharType="separate"/>
      </w:r>
      <w:r>
        <w:fldChar w:fldCharType="end"/>
      </w:r>
      <w:r>
        <w:rPr>
          <w:rFonts w:hint="eastAsia" w:ascii="仿宋" w:hAnsi="仿宋" w:eastAsia="仿宋" w:cs="仿宋"/>
          <w:color w:val="000000" w:themeColor="text1"/>
          <w:sz w:val="24"/>
          <w:szCs w:val="24"/>
          <w:lang w:eastAsia="zh-CN"/>
          <w14:textFill>
            <w14:solidFill>
              <w14:schemeClr w14:val="tx1"/>
            </w14:solidFill>
          </w14:textFill>
        </w:rPr>
        <w:t>比选代理机构</w:t>
      </w:r>
      <w:r>
        <w:rPr>
          <w:rFonts w:hint="eastAsia" w:ascii="仿宋" w:hAnsi="仿宋" w:eastAsia="仿宋" w:cs="仿宋"/>
          <w:color w:val="000000" w:themeColor="text1"/>
          <w:sz w:val="24"/>
          <w:szCs w:val="24"/>
          <w14:textFill>
            <w14:solidFill>
              <w14:schemeClr w14:val="tx1"/>
            </w14:solidFill>
          </w14:textFill>
        </w:rPr>
        <w:t>领取，补遗文件（如果有）将以书面形式发送给各投标人，无论投标人领取与否，均视同投标人已知晓本项目</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、补遗文件的内容。</w:t>
      </w:r>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w:t>
      </w:r>
      <w:r>
        <w:rPr>
          <w:rFonts w:hint="eastAsia" w:ascii="仿宋" w:hAnsi="仿宋" w:eastAsia="仿宋" w:cs="仿宋"/>
          <w:color w:val="000000" w:themeColor="text1"/>
          <w:sz w:val="24"/>
          <w:lang w:eastAsia="zh-CN"/>
          <w14:textFill>
            <w14:solidFill>
              <w14:schemeClr w14:val="tx1"/>
            </w14:solidFill>
          </w14:textFill>
        </w:rPr>
        <w:t>比选代理机构</w:t>
      </w:r>
      <w:r>
        <w:rPr>
          <w:rFonts w:hint="eastAsia" w:ascii="仿宋" w:hAnsi="仿宋" w:eastAsia="仿宋" w:cs="仿宋"/>
          <w:color w:val="000000" w:themeColor="text1"/>
          <w:sz w:val="24"/>
          <w14:textFill>
            <w14:solidFill>
              <w14:schemeClr w14:val="tx1"/>
            </w14:solidFill>
          </w14:textFill>
        </w:rPr>
        <w:t>对已发出的</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需要进行澄清或修改的，应以书面形式或公告形式通知所有</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收受人。该澄清或者修改的内容为</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的组成部分。补遗内容可能影响投标文件编制的，须在投标截止时间15日前发布，发布时间至投标截止时间不足15日的，须相应延后投标截止时间。</w:t>
      </w:r>
    </w:p>
    <w:p>
      <w:pPr>
        <w:pStyle w:val="3"/>
        <w:spacing w:line="4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339" w:name="_Toc26529"/>
      <w:bookmarkStart w:id="340" w:name="_Toc30575"/>
      <w:bookmarkStart w:id="341" w:name="_Toc6644"/>
      <w:bookmarkStart w:id="342" w:name="_Toc28267"/>
      <w:bookmarkStart w:id="343" w:name="_Toc31343"/>
      <w:bookmarkStart w:id="344" w:name="_Toc31083"/>
      <w:r>
        <w:rPr>
          <w:rFonts w:hint="eastAsia" w:ascii="仿宋" w:hAnsi="仿宋" w:eastAsia="仿宋" w:cs="仿宋"/>
          <w:b/>
          <w:color w:val="000000" w:themeColor="text1"/>
          <w:sz w:val="24"/>
          <w14:textFill>
            <w14:solidFill>
              <w14:schemeClr w14:val="tx1"/>
            </w14:solidFill>
          </w14:textFill>
        </w:rPr>
        <w:t>三、投标文件</w:t>
      </w:r>
      <w:bookmarkEnd w:id="339"/>
      <w:bookmarkEnd w:id="340"/>
      <w:bookmarkEnd w:id="341"/>
      <w:bookmarkEnd w:id="342"/>
      <w:bookmarkEnd w:id="343"/>
      <w:bookmarkEnd w:id="344"/>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投标人应当按照</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的要求编制投标文件，并对</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提出的要求和条件作出实质性响应，投标文件原则上采用软面订本，同时应编制完整的页码、目录。</w:t>
      </w:r>
    </w:p>
    <w:p>
      <w:pPr>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45" w:name="_Toc1334"/>
      <w:bookmarkStart w:id="346" w:name="_Toc4437"/>
      <w:r>
        <w:rPr>
          <w:rFonts w:hint="eastAsia" w:ascii="仿宋" w:hAnsi="仿宋" w:eastAsia="仿宋" w:cs="仿宋"/>
          <w:color w:val="000000" w:themeColor="text1"/>
          <w:sz w:val="24"/>
          <w14:textFill>
            <w14:solidFill>
              <w14:schemeClr w14:val="tx1"/>
            </w14:solidFill>
          </w14:textFill>
        </w:rPr>
        <w:t>（一）投标文件组成</w:t>
      </w:r>
      <w:bookmarkEnd w:id="345"/>
      <w:bookmarkEnd w:id="346"/>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具体内容如下：</w:t>
      </w:r>
      <w:bookmarkStart w:id="568" w:name="_GoBack"/>
      <w:bookmarkEnd w:id="568"/>
    </w:p>
    <w:p>
      <w:pPr>
        <w:spacing w:line="400" w:lineRule="exact"/>
        <w:ind w:firstLine="480" w:firstLineChars="200"/>
        <w:outlineLvl w:val="2"/>
        <w:rPr>
          <w:rFonts w:ascii="仿宋" w:hAnsi="仿宋" w:eastAsia="仿宋" w:cs="仿宋"/>
          <w:color w:val="000000" w:themeColor="text1"/>
          <w:sz w:val="24"/>
          <w14:textFill>
            <w14:solidFill>
              <w14:schemeClr w14:val="tx1"/>
            </w14:solidFill>
          </w14:textFill>
        </w:rPr>
      </w:pPr>
      <w:bookmarkStart w:id="347" w:name="_Toc24108"/>
      <w:bookmarkStart w:id="348" w:name="_Toc6369"/>
      <w:r>
        <w:rPr>
          <w:rFonts w:hint="eastAsia" w:ascii="仿宋" w:hAnsi="仿宋" w:eastAsia="仿宋" w:cs="仿宋"/>
          <w:color w:val="000000" w:themeColor="text1"/>
          <w:sz w:val="24"/>
          <w14:textFill>
            <w14:solidFill>
              <w14:schemeClr w14:val="tx1"/>
            </w14:solidFill>
          </w14:textFill>
        </w:rPr>
        <w:t>1、经济文件</w:t>
      </w:r>
      <w:bookmarkEnd w:id="347"/>
      <w:bookmarkEnd w:id="348"/>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1.1报价函</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1.2明细报价表</w:t>
      </w:r>
    </w:p>
    <w:p>
      <w:pPr>
        <w:spacing w:line="400" w:lineRule="exact"/>
        <w:ind w:firstLine="480" w:firstLineChars="200"/>
        <w:outlineLvl w:val="2"/>
        <w:rPr>
          <w:rFonts w:ascii="仿宋" w:hAnsi="仿宋" w:eastAsia="仿宋" w:cs="仿宋"/>
          <w:color w:val="000000" w:themeColor="text1"/>
          <w:sz w:val="24"/>
          <w14:textFill>
            <w14:solidFill>
              <w14:schemeClr w14:val="tx1"/>
            </w14:solidFill>
          </w14:textFill>
        </w:rPr>
      </w:pPr>
      <w:bookmarkStart w:id="349" w:name="_Toc19249"/>
      <w:bookmarkStart w:id="350" w:name="_Toc24669"/>
      <w:bookmarkStart w:id="351" w:name="_Toc6583"/>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、技术文件</w:t>
      </w:r>
      <w:bookmarkEnd w:id="349"/>
      <w:bookmarkEnd w:id="350"/>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.1服务条款差异表</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技术</w:t>
      </w:r>
      <w:r>
        <w:rPr>
          <w:rFonts w:hint="eastAsia" w:ascii="仿宋" w:hAnsi="仿宋" w:eastAsia="仿宋" w:cs="仿宋"/>
          <w:color w:val="000000" w:themeColor="text1"/>
          <w:sz w:val="24"/>
          <w14:textFill>
            <w14:solidFill>
              <w14:schemeClr w14:val="tx1"/>
            </w14:solidFill>
          </w14:textFill>
        </w:rPr>
        <w:t>方案（格式自拟）</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技术部分评分对应证明材料（如有）</w:t>
      </w:r>
    </w:p>
    <w:p>
      <w:pPr>
        <w:spacing w:line="400" w:lineRule="exact"/>
        <w:ind w:firstLine="480" w:firstLineChars="200"/>
        <w:outlineLvl w:val="2"/>
        <w:rPr>
          <w:rFonts w:ascii="仿宋" w:hAnsi="仿宋" w:eastAsia="仿宋" w:cs="仿宋"/>
          <w:color w:val="000000" w:themeColor="text1"/>
          <w:sz w:val="24"/>
          <w14:textFill>
            <w14:solidFill>
              <w14:schemeClr w14:val="tx1"/>
            </w14:solidFill>
          </w14:textFill>
        </w:rPr>
      </w:pPr>
      <w:bookmarkStart w:id="352" w:name="_Toc1983"/>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、商务文件</w:t>
      </w:r>
      <w:bookmarkEnd w:id="351"/>
      <w:bookmarkEnd w:id="352"/>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.1投标函（格式）</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.2商务条款差异表</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.3商务部分评分对应证明材料（如有）</w:t>
      </w:r>
    </w:p>
    <w:p>
      <w:pPr>
        <w:spacing w:line="400" w:lineRule="exact"/>
        <w:ind w:firstLine="480" w:firstLineChars="200"/>
        <w:outlineLvl w:val="2"/>
        <w:rPr>
          <w:rFonts w:ascii="仿宋" w:hAnsi="仿宋" w:eastAsia="仿宋" w:cs="仿宋"/>
          <w:color w:val="000000" w:themeColor="text1"/>
          <w:sz w:val="24"/>
          <w14:textFill>
            <w14:solidFill>
              <w14:schemeClr w14:val="tx1"/>
            </w14:solidFill>
          </w14:textFill>
        </w:rPr>
      </w:pPr>
      <w:bookmarkStart w:id="353" w:name="_Toc27518"/>
      <w:bookmarkStart w:id="354" w:name="_Toc18471"/>
      <w:r>
        <w:rPr>
          <w:rFonts w:hint="eastAsia" w:ascii="仿宋" w:hAnsi="仿宋" w:eastAsia="仿宋" w:cs="仿宋"/>
          <w:color w:val="000000" w:themeColor="text1"/>
          <w:sz w:val="24"/>
          <w14:textFill>
            <w14:solidFill>
              <w14:schemeClr w14:val="tx1"/>
            </w14:solidFill>
          </w14:textFill>
        </w:rPr>
        <w:t>4、其他</w:t>
      </w:r>
      <w:bookmarkEnd w:id="353"/>
      <w:bookmarkEnd w:id="354"/>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4.1投标保证金缴纳情况证明文件</w:t>
      </w:r>
    </w:p>
    <w:p>
      <w:pPr>
        <w:spacing w:line="400" w:lineRule="exact"/>
        <w:ind w:firstLine="480" w:firstLineChars="200"/>
        <w:rPr>
          <w:rFonts w:ascii="仿宋" w:hAnsi="仿宋" w:eastAsia="仿宋" w:cs="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2"/>
          <w14:textFill>
            <w14:solidFill>
              <w14:schemeClr w14:val="tx1"/>
            </w14:solidFill>
          </w14:textFill>
        </w:rPr>
        <w:t>4.2其他与项目有关的资料（自附）</w:t>
      </w:r>
    </w:p>
    <w:p>
      <w:pPr>
        <w:spacing w:line="400" w:lineRule="exact"/>
        <w:ind w:firstLine="480" w:firstLineChars="200"/>
        <w:outlineLvl w:val="2"/>
        <w:rPr>
          <w:rFonts w:ascii="仿宋" w:hAnsi="仿宋" w:eastAsia="仿宋" w:cs="仿宋"/>
          <w:color w:val="000000" w:themeColor="text1"/>
          <w:sz w:val="24"/>
          <w14:textFill>
            <w14:solidFill>
              <w14:schemeClr w14:val="tx1"/>
            </w14:solidFill>
          </w14:textFill>
        </w:rPr>
      </w:pPr>
      <w:bookmarkStart w:id="355" w:name="_Toc14936"/>
      <w:bookmarkStart w:id="356" w:name="_Toc25072"/>
      <w:r>
        <w:rPr>
          <w:rFonts w:hint="eastAsia" w:ascii="仿宋" w:hAnsi="仿宋" w:eastAsia="仿宋" w:cs="仿宋"/>
          <w:color w:val="000000" w:themeColor="text1"/>
          <w:sz w:val="24"/>
          <w14:textFill>
            <w14:solidFill>
              <w14:schemeClr w14:val="tx1"/>
            </w14:solidFill>
          </w14:textFill>
        </w:rPr>
        <w:t>5、资格文件</w:t>
      </w:r>
      <w:bookmarkEnd w:id="355"/>
      <w:bookmarkEnd w:id="356"/>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5.1法人营业执照（副本）或事业单位法人证书（副本）复印件</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5.2法定代表人身份证明书（格式）</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5.3法定代表人授权委托书（格式）</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5.4 基本资格条件承诺函（格式）</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5.5 特定资格条件证书或证明文件</w:t>
      </w:r>
    </w:p>
    <w:p>
      <w:pPr>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57" w:name="_Toc5306"/>
      <w:bookmarkStart w:id="358" w:name="_Toc18310"/>
      <w:r>
        <w:rPr>
          <w:rFonts w:hint="eastAsia" w:ascii="仿宋" w:hAnsi="仿宋" w:eastAsia="仿宋" w:cs="仿宋"/>
          <w:color w:val="000000" w:themeColor="text1"/>
          <w:sz w:val="24"/>
          <w14:textFill>
            <w14:solidFill>
              <w14:schemeClr w14:val="tx1"/>
            </w14:solidFill>
          </w14:textFill>
        </w:rPr>
        <w:t>（二）投标有效期</w:t>
      </w:r>
      <w:bookmarkEnd w:id="357"/>
      <w:bookmarkEnd w:id="358"/>
    </w:p>
    <w:p>
      <w:pPr>
        <w:spacing w:line="400" w:lineRule="exact"/>
        <w:ind w:firstLine="480" w:firstLineChars="200"/>
        <w:rPr>
          <w:rFonts w:ascii="仿宋" w:hAnsi="仿宋" w:eastAsia="仿宋" w:cs="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2"/>
          <w14:textFill>
            <w14:solidFill>
              <w14:schemeClr w14:val="tx1"/>
            </w14:solidFill>
          </w14:textFill>
        </w:rPr>
        <w:t>投标有效期为投标截止时间起90天。</w:t>
      </w:r>
    </w:p>
    <w:p>
      <w:pPr>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59" w:name="_Toc29222"/>
      <w:bookmarkStart w:id="360" w:name="_Toc28212"/>
      <w:r>
        <w:rPr>
          <w:rFonts w:hint="eastAsia" w:ascii="仿宋" w:hAnsi="仿宋" w:eastAsia="仿宋" w:cs="仿宋"/>
          <w:color w:val="000000" w:themeColor="text1"/>
          <w:sz w:val="24"/>
          <w14:textFill>
            <w14:solidFill>
              <w14:schemeClr w14:val="tx1"/>
            </w14:solidFill>
          </w14:textFill>
        </w:rPr>
        <w:t>（三）投标保证金</w:t>
      </w:r>
      <w:bookmarkEnd w:id="359"/>
      <w:bookmarkEnd w:id="360"/>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1、投标人应在投标截止时间前，按</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第一篇规定缴纳投标保证金。</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2、投标保证金为投标的有效约束条件。</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3、投标保证金有效期与投标有效期一致。</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4、投标保证金币种应与投标报价币种相同。</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5、保证金退付</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1.未中标投标人的保证金，在中标通知书发放后，在五个工作日内按来款渠道直接退还。</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中标人的投标保证金，中标人在与比选人签订合同后一个工作日内将合同扫描件发送至171239179@qq.com，五个工作日内按资金来款渠道直接退还。如因中标人未及时发送导致保证金超期退还的，由中标人自行承担相应损失，比选人及比选代理机构不承担责任。</w:t>
      </w:r>
    </w:p>
    <w:p>
      <w:pPr>
        <w:pStyle w:val="23"/>
        <w:spacing w:line="400" w:lineRule="exact"/>
        <w:ind w:firstLine="480" w:firstLineChars="200"/>
        <w:outlineLvl w:val="2"/>
        <w:rPr>
          <w:rFonts w:ascii="仿宋" w:hAnsi="仿宋" w:eastAsia="仿宋" w:cs="仿宋"/>
          <w:color w:val="000000" w:themeColor="text1"/>
          <w:sz w:val="24"/>
          <w14:textFill>
            <w14:solidFill>
              <w14:schemeClr w14:val="tx1"/>
            </w14:solidFill>
          </w14:textFill>
        </w:rPr>
      </w:pPr>
      <w:bookmarkStart w:id="361" w:name="_Toc12187"/>
      <w:bookmarkStart w:id="362" w:name="_Toc17294"/>
      <w:r>
        <w:rPr>
          <w:rFonts w:hint="eastAsia" w:ascii="仿宋" w:hAnsi="仿宋" w:eastAsia="仿宋" w:cs="仿宋"/>
          <w:color w:val="000000" w:themeColor="text1"/>
          <w:sz w:val="24"/>
          <w14:textFill>
            <w14:solidFill>
              <w14:schemeClr w14:val="tx1"/>
            </w14:solidFill>
          </w14:textFill>
        </w:rPr>
        <w:t>6、投标人有下列情形之一的，投标保证金将不予退还：</w:t>
      </w:r>
      <w:bookmarkEnd w:id="361"/>
      <w:bookmarkEnd w:id="362"/>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（1）投标人在投标有效期内撤回投标文件的；</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（2）投标人在投标过程中弄虚作假，提供虚假材料的；</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（3）中标人无正当理由不与比选人签订合同的；</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（4）中标人将中标项目转让给他人或者在投标文件中未说明且未经比选人同意，将中标项目分包给他人的；</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（5）中标人拒绝履行合同义务的；</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（6）其他严重扰乱招投标程序的。</w:t>
      </w:r>
    </w:p>
    <w:p>
      <w:pPr>
        <w:pStyle w:val="23"/>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63" w:name="_Toc10965"/>
      <w:bookmarkStart w:id="364" w:name="_Toc28969"/>
      <w:r>
        <w:rPr>
          <w:rFonts w:hint="eastAsia" w:ascii="仿宋" w:hAnsi="仿宋" w:eastAsia="仿宋" w:cs="仿宋"/>
          <w:color w:val="000000" w:themeColor="text1"/>
          <w:sz w:val="24"/>
          <w14:textFill>
            <w14:solidFill>
              <w14:schemeClr w14:val="tx1"/>
            </w14:solidFill>
          </w14:textFill>
        </w:rPr>
        <w:t>（四）投标文件的份数和签署和递交</w:t>
      </w:r>
      <w:bookmarkEnd w:id="363"/>
      <w:bookmarkEnd w:id="364"/>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投标文件一式四份，其中正本一份，副本两份，电子文档一份。</w:t>
      </w:r>
      <w:r>
        <w:rPr>
          <w:rFonts w:hint="eastAsia" w:ascii="仿宋" w:hAnsi="仿宋" w:eastAsia="仿宋" w:cs="仿宋"/>
          <w:color w:val="000000" w:themeColor="text1"/>
          <w:sz w:val="24"/>
          <w14:textFill>
            <w14:solidFill>
              <w14:schemeClr w14:val="tx1"/>
            </w14:solidFill>
          </w14:textFill>
        </w:rPr>
        <w:t>（电子文档内容应与纸质文件正本一致，如不一致以纸质文件正本为准。采用U盘为电子文档载体）；副本可为正本的复印件，应与正本一致，如出现不一致情况以正本为准。</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每套纸质响应文件须在封面清楚地标明“正本”、“副本”，副本可为正本的复印件，应与正本一致，如出现不一致情况以正本为准。响应文件封面必须标注正副本，未标注的按废标处理。</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2、在投标文件正本中，</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第七篇投标文件格式中规定签字、盖章的地方必须按其规定签字、盖章。</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3、若投标人对投标文件的错处作必要修改，则应在修改处加盖投标人公章或由法定代表人或法定代表人授权代表签字确认。</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4、电报、电话、传真形式的投标文件概不接受。</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5、投标文件的密封与标记</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（1）投标文件的正本、副本、电子文档均应密封送达投标地点，应在封套上注明项目名称、投标人名称。若正本、副本、电子文档分别进行密封的，还应在封套上注明“正本”、“副本”、“电子文档”字样。</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（2）封套的封口处应加盖投标人公章或由法定代表人授权代表签字。</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（3）如果未按上述规定进行密封和标记，投标文件将被拒收。</w:t>
      </w:r>
    </w:p>
    <w:p>
      <w:pPr>
        <w:pStyle w:val="23"/>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65" w:name="_Toc463"/>
      <w:bookmarkStart w:id="366" w:name="_Toc16392"/>
      <w:r>
        <w:rPr>
          <w:rFonts w:hint="eastAsia" w:ascii="仿宋" w:hAnsi="仿宋" w:eastAsia="仿宋" w:cs="仿宋"/>
          <w:color w:val="000000" w:themeColor="text1"/>
          <w:sz w:val="24"/>
          <w14:textFill>
            <w14:solidFill>
              <w14:schemeClr w14:val="tx1"/>
            </w14:solidFill>
          </w14:textFill>
        </w:rPr>
        <w:t>（五）投标报价</w:t>
      </w:r>
      <w:bookmarkEnd w:id="365"/>
      <w:bookmarkEnd w:id="366"/>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1、投标人应严格按照“投标文件格式”中“报价函”的格式填写报价。</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2、投标人的报价为一次性报价，即在投标有效期内投标价格固定不变。</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3、本项目只接受一个投标报价，有选择的或有条件的报价将不予接受。</w:t>
      </w:r>
    </w:p>
    <w:p>
      <w:pPr>
        <w:pStyle w:val="23"/>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67" w:name="_Toc18088"/>
      <w:bookmarkStart w:id="368" w:name="_Toc23611"/>
      <w:r>
        <w:rPr>
          <w:rFonts w:hint="eastAsia" w:ascii="仿宋" w:hAnsi="仿宋" w:eastAsia="仿宋" w:cs="仿宋"/>
          <w:color w:val="000000" w:themeColor="text1"/>
          <w:sz w:val="24"/>
          <w14:textFill>
            <w14:solidFill>
              <w14:schemeClr w14:val="tx1"/>
            </w14:solidFill>
          </w14:textFill>
        </w:rPr>
        <w:t>（六）修正错误</w:t>
      </w:r>
      <w:bookmarkEnd w:id="367"/>
      <w:bookmarkEnd w:id="368"/>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若投标文件出现计算或表达上的错误，修正错误的原则如下：</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1.投标文件中报价函内容与投标文件中相应内容不一致的，以报价函为准；</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2.大写金额和小写金额不一致的，以大写金额为准，大写金额明显错误的除外；</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3.单价金额小数点或者百分比有明显错位的，以报价函的总价为准，并修改单价；</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4.总价金额与按单价汇总金额不一致的，以单价金额计算结果为准。</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确认的或明显与事实不符的，由评标委员会认定。</w:t>
      </w:r>
    </w:p>
    <w:p>
      <w:pPr>
        <w:pStyle w:val="3"/>
        <w:spacing w:line="4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369" w:name="_Toc28499"/>
      <w:bookmarkStart w:id="370" w:name="_Toc2686"/>
      <w:bookmarkStart w:id="371" w:name="_Toc21816"/>
      <w:bookmarkStart w:id="372" w:name="_Toc2606"/>
      <w:bookmarkStart w:id="373" w:name="_Toc10055"/>
      <w:bookmarkStart w:id="374" w:name="_Toc25325"/>
      <w:r>
        <w:rPr>
          <w:rFonts w:hint="eastAsia" w:ascii="仿宋" w:hAnsi="仿宋" w:eastAsia="仿宋" w:cs="仿宋"/>
          <w:b/>
          <w:color w:val="000000" w:themeColor="text1"/>
          <w:sz w:val="24"/>
          <w14:textFill>
            <w14:solidFill>
              <w14:schemeClr w14:val="tx1"/>
            </w14:solidFill>
          </w14:textFill>
        </w:rPr>
        <w:t>四、开标</w:t>
      </w:r>
      <w:bookmarkEnd w:id="369"/>
      <w:bookmarkEnd w:id="370"/>
      <w:bookmarkEnd w:id="371"/>
      <w:bookmarkEnd w:id="372"/>
      <w:bookmarkEnd w:id="373"/>
      <w:bookmarkEnd w:id="374"/>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（一）开标应当在</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中“投标邀请书”确定的时间和地点公开进行。</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w:t>
      </w:r>
      <w:r>
        <w:rPr>
          <w:rFonts w:hint="eastAsia" w:ascii="仿宋" w:hAnsi="仿宋" w:eastAsia="仿宋" w:cs="仿宋"/>
          <w:color w:val="000000" w:themeColor="text1"/>
          <w:sz w:val="24"/>
          <w:lang w:eastAsia="zh-CN"/>
          <w14:textFill>
            <w14:solidFill>
              <w14:schemeClr w14:val="tx1"/>
            </w14:solidFill>
          </w14:textFill>
        </w:rPr>
        <w:t>比选代理机构</w:t>
      </w:r>
      <w:r>
        <w:rPr>
          <w:rFonts w:hint="eastAsia" w:ascii="仿宋" w:hAnsi="仿宋" w:eastAsia="仿宋" w:cs="仿宋"/>
          <w:color w:val="000000" w:themeColor="text1"/>
          <w:sz w:val="24"/>
          <w14:textFill>
            <w14:solidFill>
              <w14:schemeClr w14:val="tx1"/>
            </w14:solidFill>
          </w14:textFill>
        </w:rPr>
        <w:t>可视采购具体情况，延长投标截止时间和开标时间，并将变更时间书面通知所有</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收受人。</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（三）开标由比选人或比选代理机构主持，邀请投标人和有关监督部门代表参加,有关监督部门可视情况派员现场监督。</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开标时，由投标人或者其推选的代表检查投标文件的密封情况；经确认无误后，由比选人或者比选代理机构工作人员当众拆封，宣布投标人名称、投标价格和报价函规定的需要宣布的其他内容。投标人不足三家的，不得开标。</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（五）未宣读的投标价格、价格折扣和</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允许提供的备选投标方案等实质性内容等，评标时不予承认。</w:t>
      </w:r>
    </w:p>
    <w:p>
      <w:pPr>
        <w:pStyle w:val="23"/>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（六）开标过程应由比选人或比选代理机构指定专人负责记录，并存档备查。</w:t>
      </w:r>
    </w:p>
    <w:p>
      <w:pPr>
        <w:pStyle w:val="23"/>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75" w:name="_Toc26142"/>
      <w:bookmarkStart w:id="376" w:name="_Toc12516"/>
      <w:r>
        <w:rPr>
          <w:rFonts w:hint="eastAsia" w:ascii="仿宋" w:hAnsi="仿宋" w:eastAsia="仿宋" w:cs="仿宋"/>
          <w:color w:val="000000" w:themeColor="text1"/>
          <w:sz w:val="24"/>
          <w14:textFill>
            <w14:solidFill>
              <w14:schemeClr w14:val="tx1"/>
            </w14:solidFill>
          </w14:textFill>
        </w:rPr>
        <w:t>（七）投标人未参加开标的，视同认可开标结果。</w:t>
      </w:r>
      <w:bookmarkEnd w:id="375"/>
      <w:bookmarkEnd w:id="376"/>
    </w:p>
    <w:p>
      <w:pPr>
        <w:pStyle w:val="3"/>
        <w:spacing w:line="4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377" w:name="_Toc1294"/>
      <w:bookmarkStart w:id="378" w:name="_Toc2232"/>
      <w:bookmarkStart w:id="379" w:name="_Toc21920"/>
      <w:bookmarkStart w:id="380" w:name="_Toc4251"/>
      <w:bookmarkStart w:id="381" w:name="_Toc25627"/>
      <w:bookmarkStart w:id="382" w:name="_Toc24144"/>
      <w:r>
        <w:rPr>
          <w:rFonts w:hint="eastAsia" w:ascii="仿宋" w:hAnsi="仿宋" w:eastAsia="仿宋" w:cs="仿宋"/>
          <w:b/>
          <w:color w:val="000000" w:themeColor="text1"/>
          <w:sz w:val="24"/>
          <w14:textFill>
            <w14:solidFill>
              <w14:schemeClr w14:val="tx1"/>
            </w14:solidFill>
          </w14:textFill>
        </w:rPr>
        <w:t>五、评标</w:t>
      </w:r>
      <w:bookmarkEnd w:id="377"/>
      <w:bookmarkEnd w:id="378"/>
      <w:bookmarkEnd w:id="379"/>
      <w:bookmarkEnd w:id="380"/>
      <w:bookmarkEnd w:id="381"/>
      <w:bookmarkEnd w:id="382"/>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见第四篇“评标”内容。</w:t>
      </w:r>
    </w:p>
    <w:p>
      <w:pPr>
        <w:pStyle w:val="3"/>
        <w:spacing w:line="4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383" w:name="_Toc14262"/>
      <w:bookmarkStart w:id="384" w:name="_Toc23294"/>
      <w:bookmarkStart w:id="385" w:name="_Toc25044"/>
      <w:bookmarkStart w:id="386" w:name="_Toc14538"/>
      <w:bookmarkStart w:id="387" w:name="_Toc1821"/>
      <w:bookmarkStart w:id="388" w:name="_Toc16345"/>
      <w:r>
        <w:rPr>
          <w:rFonts w:hint="eastAsia" w:ascii="仿宋" w:hAnsi="仿宋" w:eastAsia="仿宋" w:cs="仿宋"/>
          <w:b/>
          <w:color w:val="000000" w:themeColor="text1"/>
          <w:sz w:val="24"/>
          <w14:textFill>
            <w14:solidFill>
              <w14:schemeClr w14:val="tx1"/>
            </w14:solidFill>
          </w14:textFill>
        </w:rPr>
        <w:t>六、定标</w:t>
      </w:r>
      <w:bookmarkEnd w:id="383"/>
      <w:bookmarkEnd w:id="384"/>
      <w:bookmarkEnd w:id="385"/>
      <w:bookmarkEnd w:id="386"/>
      <w:bookmarkEnd w:id="387"/>
      <w:bookmarkEnd w:id="388"/>
    </w:p>
    <w:p>
      <w:pPr>
        <w:snapToGrid w:val="0"/>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89" w:name="_Toc14104"/>
      <w:bookmarkStart w:id="390" w:name="_Toc17760"/>
      <w:r>
        <w:rPr>
          <w:rFonts w:hint="eastAsia" w:ascii="仿宋" w:hAnsi="仿宋" w:eastAsia="仿宋" w:cs="仿宋"/>
          <w:color w:val="000000" w:themeColor="text1"/>
          <w:sz w:val="24"/>
          <w14:textFill>
            <w14:solidFill>
              <w14:schemeClr w14:val="tx1"/>
            </w14:solidFill>
          </w14:textFill>
        </w:rPr>
        <w:t>（一）定标原则</w:t>
      </w:r>
      <w:bookmarkEnd w:id="389"/>
      <w:bookmarkEnd w:id="390"/>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比选人或其授权的评标委员会应按照评标报告中推荐的中标候选人排名顺序确定中标人。</w:t>
      </w:r>
    </w:p>
    <w:p>
      <w:pPr>
        <w:snapToGrid w:val="0"/>
        <w:spacing w:line="400" w:lineRule="exact"/>
        <w:ind w:firstLine="480" w:firstLineChars="200"/>
        <w:outlineLvl w:val="1"/>
        <w:rPr>
          <w:rFonts w:ascii="仿宋" w:hAnsi="仿宋" w:eastAsia="仿宋" w:cs="仿宋"/>
          <w:color w:val="000000" w:themeColor="text1"/>
          <w:sz w:val="24"/>
          <w14:textFill>
            <w14:solidFill>
              <w14:schemeClr w14:val="tx1"/>
            </w14:solidFill>
          </w14:textFill>
        </w:rPr>
      </w:pPr>
      <w:bookmarkStart w:id="391" w:name="_Toc23569"/>
      <w:bookmarkStart w:id="392" w:name="_Toc20262"/>
      <w:r>
        <w:rPr>
          <w:rFonts w:hint="eastAsia" w:ascii="仿宋" w:hAnsi="仿宋" w:eastAsia="仿宋" w:cs="仿宋"/>
          <w:color w:val="000000" w:themeColor="text1"/>
          <w:sz w:val="24"/>
          <w14:textFill>
            <w14:solidFill>
              <w14:schemeClr w14:val="tx1"/>
            </w14:solidFill>
          </w14:textFill>
        </w:rPr>
        <w:t>（二）定标程序</w:t>
      </w:r>
      <w:bookmarkEnd w:id="391"/>
      <w:bookmarkEnd w:id="392"/>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1.比选代理机构应当在评标结束后2个工作日内将评标报告送比选人。</w:t>
      </w:r>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2.比选人应当自收到评标报告之日起5个工作日内按评标报告推荐的中标候选人顺序确定中标人。</w:t>
      </w:r>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3.比选人或者比选代理机构应当自中标人确定之日起2个工作日内，在行采家（https://www.gec123.com/）上公告中标结果。中标公告期限为1个工作日。</w:t>
      </w:r>
    </w:p>
    <w:p>
      <w:pPr>
        <w:snapToGrid w:val="0"/>
        <w:spacing w:line="400" w:lineRule="exact"/>
        <w:ind w:firstLine="480" w:firstLineChars="200"/>
        <w:outlineLvl w:val="2"/>
        <w:rPr>
          <w:rFonts w:ascii="仿宋" w:hAnsi="仿宋" w:eastAsia="仿宋" w:cs="仿宋"/>
          <w:color w:val="000000" w:themeColor="text1"/>
          <w:sz w:val="24"/>
          <w14:textFill>
            <w14:solidFill>
              <w14:schemeClr w14:val="tx1"/>
            </w14:solidFill>
          </w14:textFill>
        </w:rPr>
      </w:pPr>
      <w:bookmarkStart w:id="393" w:name="_Toc1844"/>
      <w:bookmarkStart w:id="394" w:name="_Toc21128"/>
      <w:r>
        <w:rPr>
          <w:rFonts w:hint="eastAsia" w:ascii="仿宋" w:hAnsi="仿宋" w:eastAsia="仿宋" w:cs="仿宋"/>
          <w:color w:val="000000" w:themeColor="text1"/>
          <w:sz w:val="24"/>
          <w14:textFill>
            <w14:solidFill>
              <w14:schemeClr w14:val="tx1"/>
            </w14:solidFill>
          </w14:textFill>
        </w:rPr>
        <w:t>4.中标人变更</w:t>
      </w:r>
      <w:bookmarkEnd w:id="393"/>
      <w:bookmarkEnd w:id="394"/>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中标人拒绝与比选人签订合同的，比选人可以按照评标报告推荐的中标候选人顺序，确定排名下一位的候选人为中标人，也可以重新开展招标活动。</w:t>
      </w:r>
    </w:p>
    <w:p>
      <w:pPr>
        <w:pStyle w:val="3"/>
        <w:spacing w:line="4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395" w:name="_Toc22258"/>
      <w:bookmarkStart w:id="396" w:name="_Toc393"/>
      <w:bookmarkStart w:id="397" w:name="_Toc25174"/>
      <w:bookmarkStart w:id="398" w:name="_Toc24214"/>
      <w:bookmarkStart w:id="399" w:name="_Toc822"/>
      <w:bookmarkStart w:id="400" w:name="_Toc18112"/>
      <w:r>
        <w:rPr>
          <w:rFonts w:hint="eastAsia" w:ascii="仿宋" w:hAnsi="仿宋" w:eastAsia="仿宋" w:cs="仿宋"/>
          <w:b/>
          <w:color w:val="000000" w:themeColor="text1"/>
          <w:sz w:val="24"/>
          <w14:textFill>
            <w14:solidFill>
              <w14:schemeClr w14:val="tx1"/>
            </w14:solidFill>
          </w14:textFill>
        </w:rPr>
        <w:t>七、中标通知书</w:t>
      </w:r>
      <w:bookmarkEnd w:id="395"/>
      <w:bookmarkEnd w:id="396"/>
      <w:bookmarkEnd w:id="397"/>
      <w:bookmarkEnd w:id="398"/>
      <w:bookmarkEnd w:id="399"/>
      <w:bookmarkEnd w:id="400"/>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1、比选人依法确定中标人后，</w:t>
      </w:r>
      <w:r>
        <w:rPr>
          <w:rFonts w:hint="eastAsia" w:ascii="仿宋" w:hAnsi="仿宋" w:eastAsia="仿宋" w:cs="仿宋"/>
          <w:color w:val="000000" w:themeColor="text1"/>
          <w:sz w:val="24"/>
          <w:lang w:eastAsia="zh-CN"/>
          <w14:textFill>
            <w14:solidFill>
              <w14:schemeClr w14:val="tx1"/>
            </w14:solidFill>
          </w14:textFill>
        </w:rPr>
        <w:t>比选代理机构</w:t>
      </w:r>
      <w:r>
        <w:rPr>
          <w:rFonts w:hint="eastAsia" w:ascii="仿宋" w:hAnsi="仿宋" w:eastAsia="仿宋" w:cs="仿宋"/>
          <w:color w:val="000000" w:themeColor="text1"/>
          <w:sz w:val="24"/>
          <w14:textFill>
            <w14:solidFill>
              <w14:schemeClr w14:val="tx1"/>
            </w14:solidFill>
          </w14:textFill>
        </w:rPr>
        <w:t>以书面形式发出中标通知书。</w:t>
      </w:r>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2、中标通知书发出后，比选人改变中标结果，或者中标人放弃中标，应当承担相应的法律责任。</w:t>
      </w:r>
    </w:p>
    <w:p>
      <w:pPr>
        <w:pStyle w:val="3"/>
        <w:spacing w:line="4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401" w:name="_Toc363"/>
      <w:bookmarkStart w:id="402" w:name="_Toc32169"/>
      <w:bookmarkStart w:id="403" w:name="_Toc6845"/>
      <w:bookmarkStart w:id="404" w:name="_Toc1749"/>
      <w:bookmarkStart w:id="405" w:name="_Toc9184"/>
      <w:bookmarkStart w:id="406" w:name="_Toc2676"/>
      <w:r>
        <w:rPr>
          <w:rFonts w:hint="eastAsia" w:ascii="仿宋" w:hAnsi="仿宋" w:eastAsia="仿宋" w:cs="仿宋"/>
          <w:b/>
          <w:color w:val="000000" w:themeColor="text1"/>
          <w:sz w:val="24"/>
          <w14:textFill>
            <w14:solidFill>
              <w14:schemeClr w14:val="tx1"/>
            </w14:solidFill>
          </w14:textFill>
        </w:rPr>
        <w:t>八、比选代理服务费</w:t>
      </w:r>
      <w:bookmarkEnd w:id="401"/>
      <w:bookmarkEnd w:id="402"/>
      <w:bookmarkEnd w:id="403"/>
      <w:bookmarkEnd w:id="404"/>
      <w:bookmarkEnd w:id="405"/>
      <w:bookmarkEnd w:id="406"/>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w:t>
      </w:r>
      <w:r>
        <w:rPr>
          <w:rFonts w:hint="eastAsia" w:ascii="仿宋" w:hAnsi="仿宋" w:eastAsia="仿宋" w:cs="仿宋"/>
          <w:sz w:val="24"/>
          <w:szCs w:val="24"/>
        </w:rPr>
        <w:t>缴纳代</w:t>
      </w:r>
      <w:r>
        <w:rPr>
          <w:rFonts w:hint="eastAsia" w:ascii="仿宋" w:hAnsi="仿宋" w:eastAsia="仿宋" w:cs="仿宋"/>
          <w:color w:val="000000" w:themeColor="text1"/>
          <w:sz w:val="24"/>
          <w14:textFill>
            <w14:solidFill>
              <w14:schemeClr w14:val="tx1"/>
            </w14:solidFill>
          </w14:textFill>
        </w:rPr>
        <w:t>理服务费：投标人中标后在领取成交通知书的同时，需向比选代理机构缴纳比选代理服务费</w:t>
      </w:r>
      <w:r>
        <w:rPr>
          <w:rFonts w:hint="eastAsia" w:ascii="仿宋" w:hAnsi="仿宋" w:eastAsia="仿宋" w:cs="仿宋"/>
          <w:sz w:val="24"/>
          <w:szCs w:val="24"/>
          <w:u w:val="single"/>
        </w:rPr>
        <w:t>7,000.00</w:t>
      </w:r>
      <w:r>
        <w:rPr>
          <w:rFonts w:hint="eastAsia" w:ascii="仿宋" w:hAnsi="仿宋" w:eastAsia="仿宋" w:cs="仿宋"/>
          <w:sz w:val="24"/>
          <w:szCs w:val="24"/>
        </w:rPr>
        <w:t>元（大写：</w:t>
      </w:r>
      <w:r>
        <w:rPr>
          <w:rFonts w:hint="eastAsia" w:ascii="仿宋" w:hAnsi="仿宋" w:eastAsia="仿宋" w:cs="仿宋"/>
          <w:sz w:val="24"/>
          <w:szCs w:val="24"/>
          <w:u w:val="single"/>
        </w:rPr>
        <w:t>柒仟元整</w:t>
      </w:r>
      <w:r>
        <w:rPr>
          <w:rFonts w:hint="eastAsia" w:ascii="仿宋" w:hAnsi="仿宋" w:eastAsia="仿宋" w:cs="仿宋"/>
          <w:sz w:val="24"/>
          <w:szCs w:val="24"/>
        </w:rPr>
        <w:t>）。</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（二）缴纳方式：转账（对公账户）。</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（三）比选代理服务费缴纳账号：</w:t>
      </w:r>
    </w:p>
    <w:p>
      <w:pPr>
        <w:snapToGrid w:val="0"/>
        <w:spacing w:before="120" w:beforeLines="50" w:line="38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407" w:name="_Toc30756"/>
      <w:bookmarkStart w:id="408" w:name="_Toc343881212"/>
      <w:bookmarkStart w:id="409" w:name="_Toc429584878"/>
      <w:bookmarkStart w:id="410" w:name="_Toc345318310"/>
      <w:bookmarkStart w:id="411" w:name="_Toc16894"/>
      <w:bookmarkStart w:id="412" w:name="_Toc342983494"/>
      <w:bookmarkStart w:id="413" w:name="_Toc14234"/>
      <w:bookmarkStart w:id="414" w:name="_Toc12121"/>
      <w:r>
        <w:rPr>
          <w:rFonts w:hint="eastAsia" w:ascii="仿宋" w:hAnsi="仿宋" w:eastAsia="仿宋" w:cs="仿宋"/>
          <w:color w:val="000000" w:themeColor="text1"/>
          <w:sz w:val="24"/>
          <w:szCs w:val="24"/>
          <w14:textFill>
            <w14:solidFill>
              <w14:schemeClr w14:val="tx1"/>
            </w14:solidFill>
          </w14:textFill>
        </w:rPr>
        <w:t>账户名：共佑工程咨询（重庆）有限公司</w:t>
      </w:r>
    </w:p>
    <w:p>
      <w:pPr>
        <w:snapToGrid w:val="0"/>
        <w:spacing w:before="120" w:beforeLines="50" w:line="38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开户行：招商银行股份有限公司重庆北部新区支行</w:t>
      </w:r>
    </w:p>
    <w:p>
      <w:pPr>
        <w:snapToGrid w:val="0"/>
        <w:spacing w:before="120" w:beforeLines="50" w:line="38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  号：1239 1220 5610 802</w:t>
      </w:r>
    </w:p>
    <w:p>
      <w:pPr>
        <w:pStyle w:val="3"/>
        <w:spacing w:line="400" w:lineRule="exact"/>
        <w:ind w:firstLine="482" w:firstLineChars="200"/>
        <w:outlineLvl w:val="0"/>
        <w:rPr>
          <w:rFonts w:ascii="仿宋" w:hAnsi="仿宋" w:eastAsia="仿宋" w:cs="仿宋"/>
          <w:b/>
          <w:color w:val="000000" w:themeColor="text1"/>
          <w:sz w:val="24"/>
          <w14:textFill>
            <w14:solidFill>
              <w14:schemeClr w14:val="tx1"/>
            </w14:solidFill>
          </w14:textFill>
        </w:rPr>
      </w:pPr>
      <w:bookmarkStart w:id="415" w:name="_Toc10335"/>
      <w:bookmarkStart w:id="416" w:name="_Toc31056"/>
      <w:r>
        <w:rPr>
          <w:rFonts w:hint="eastAsia" w:ascii="仿宋" w:hAnsi="仿宋" w:eastAsia="仿宋" w:cs="仿宋"/>
          <w:b/>
          <w:color w:val="000000" w:themeColor="text1"/>
          <w:sz w:val="24"/>
          <w14:textFill>
            <w14:solidFill>
              <w14:schemeClr w14:val="tx1"/>
            </w14:solidFill>
          </w14:textFill>
        </w:rPr>
        <w:t>九、</w:t>
      </w:r>
      <w:bookmarkEnd w:id="407"/>
      <w:bookmarkEnd w:id="408"/>
      <w:bookmarkEnd w:id="409"/>
      <w:bookmarkEnd w:id="410"/>
      <w:bookmarkEnd w:id="411"/>
      <w:bookmarkEnd w:id="412"/>
      <w:bookmarkStart w:id="417" w:name="_Toc3015"/>
      <w:bookmarkStart w:id="418" w:name="_Toc23451"/>
      <w:r>
        <w:rPr>
          <w:rFonts w:hint="eastAsia" w:ascii="仿宋" w:hAnsi="仿宋" w:eastAsia="仿宋" w:cs="仿宋"/>
          <w:b/>
          <w:color w:val="000000" w:themeColor="text1"/>
          <w:sz w:val="24"/>
          <w:szCs w:val="22"/>
          <w14:textFill>
            <w14:solidFill>
              <w14:schemeClr w14:val="tx1"/>
            </w14:solidFill>
          </w14:textFill>
        </w:rPr>
        <w:t>签订合同</w:t>
      </w:r>
      <w:bookmarkEnd w:id="413"/>
      <w:bookmarkEnd w:id="414"/>
      <w:bookmarkEnd w:id="415"/>
      <w:bookmarkEnd w:id="416"/>
      <w:bookmarkEnd w:id="417"/>
      <w:bookmarkEnd w:id="418"/>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（一）比选人和中标人应当自中标通知书发出之日起30天内，根据</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和中标人的投标文件订立书面合同。中标人因除不可抗力外其他理由拒签合同的，比选人取消其中标资格，其投标保证金不予退还。</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、中标人的投标文件及澄清文件等，均为签订采购合同的依据。</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（三）合同生效条款由供需双方约定，法律、行政法规规定应当办理批准、登记等手续后生效的合同，依照其规定。</w:t>
      </w:r>
    </w:p>
    <w:p>
      <w:pPr>
        <w:pStyle w:val="2"/>
        <w:spacing w:before="240" w:after="120" w:line="360" w:lineRule="auto"/>
        <w:outlineLvl w:val="1"/>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bookmarkStart w:id="419" w:name="_Toc7105"/>
      <w:bookmarkStart w:id="420" w:name="_Toc3595"/>
      <w:bookmarkStart w:id="421" w:name="_Toc26863"/>
      <w:bookmarkStart w:id="422" w:name="_Toc30004"/>
      <w:bookmarkStart w:id="423" w:name="_Toc22195"/>
      <w:bookmarkStart w:id="424" w:name="_Toc3177"/>
      <w:r>
        <w:rPr>
          <w:rFonts w:hint="eastAsia" w:ascii="仿宋" w:hAnsi="仿宋" w:eastAsia="仿宋" w:cs="仿宋"/>
          <w:color w:val="000000" w:themeColor="text1"/>
          <w14:textFill>
            <w14:solidFill>
              <w14:schemeClr w14:val="tx1"/>
            </w14:solidFill>
          </w14:textFill>
        </w:rPr>
        <w:t>第六篇  合同</w:t>
      </w:r>
      <w:bookmarkEnd w:id="419"/>
      <w:bookmarkEnd w:id="420"/>
      <w:r>
        <w:rPr>
          <w:rFonts w:hint="eastAsia" w:ascii="仿宋" w:hAnsi="仿宋" w:eastAsia="仿宋" w:cs="仿宋"/>
          <w:color w:val="000000" w:themeColor="text1"/>
          <w14:textFill>
            <w14:solidFill>
              <w14:schemeClr w14:val="tx1"/>
            </w14:solidFill>
          </w14:textFill>
        </w:rPr>
        <w:t>草案条款（参考）</w:t>
      </w:r>
      <w:bookmarkEnd w:id="421"/>
      <w:bookmarkEnd w:id="422"/>
      <w:bookmarkEnd w:id="423"/>
      <w:bookmarkEnd w:id="424"/>
    </w:p>
    <w:p>
      <w:pPr>
        <w:snapToGrid w:val="0"/>
        <w:spacing w:line="360" w:lineRule="auto"/>
        <w:ind w:firstLine="700" w:firstLineChars="250"/>
        <w:rPr>
          <w:rFonts w:ascii="仿宋" w:hAnsi="仿宋" w:eastAsia="仿宋" w:cs="仿宋"/>
          <w:bCs/>
          <w:color w:val="000000"/>
          <w:sz w:val="24"/>
        </w:rPr>
      </w:pPr>
      <w:bookmarkStart w:id="425" w:name="_Toc28376"/>
      <w:bookmarkStart w:id="426" w:name="_Toc6280"/>
      <w:bookmarkStart w:id="427" w:name="_Toc23131"/>
      <w:bookmarkStart w:id="428" w:name="_Toc4371"/>
      <w:r>
        <w:rPr>
          <w:rFonts w:hint="eastAsia" w:ascii="仿宋" w:hAnsi="仿宋" w:eastAsia="仿宋" w:cs="仿宋"/>
          <w:bCs/>
          <w:color w:val="000000"/>
          <w:szCs w:val="28"/>
        </w:rPr>
        <w:t>注：（以下合同格式为通用版本，合同格式的最终版以签订合同时比选人提供的版本为准）</w:t>
      </w:r>
    </w:p>
    <w:p>
      <w:pPr>
        <w:pStyle w:val="3"/>
        <w:ind w:firstLine="480" w:firstLineChars="200"/>
        <w:outlineLvl w:val="0"/>
        <w:rPr>
          <w:rFonts w:ascii="仿宋" w:hAnsi="仿宋" w:eastAsia="仿宋" w:cs="仿宋"/>
          <w:sz w:val="24"/>
        </w:rPr>
      </w:pPr>
      <w:bookmarkStart w:id="429" w:name="_Toc31912"/>
      <w:bookmarkStart w:id="430" w:name="_Toc27427"/>
      <w:r>
        <w:rPr>
          <w:rFonts w:hint="eastAsia" w:ascii="仿宋" w:hAnsi="仿宋" w:eastAsia="仿宋" w:cs="仿宋"/>
          <w:sz w:val="24"/>
        </w:rPr>
        <w:t>一、合同主要条款</w:t>
      </w:r>
      <w:bookmarkEnd w:id="429"/>
      <w:bookmarkEnd w:id="430"/>
    </w:p>
    <w:p>
      <w:pPr>
        <w:spacing w:line="360" w:lineRule="auto"/>
        <w:ind w:firstLine="480" w:firstLineChars="200"/>
        <w:outlineLvl w:val="1"/>
        <w:rPr>
          <w:rFonts w:ascii="仿宋" w:hAnsi="仿宋" w:eastAsia="仿宋" w:cs="仿宋"/>
          <w:sz w:val="24"/>
          <w:szCs w:val="24"/>
        </w:rPr>
      </w:pPr>
      <w:bookmarkStart w:id="431" w:name="_Toc5153"/>
      <w:bookmarkStart w:id="432" w:name="_Toc17278"/>
      <w:r>
        <w:rPr>
          <w:rFonts w:hint="eastAsia" w:ascii="仿宋" w:hAnsi="仿宋" w:eastAsia="仿宋" w:cs="仿宋"/>
          <w:sz w:val="24"/>
          <w:szCs w:val="24"/>
        </w:rPr>
        <w:t>1.定义</w:t>
      </w:r>
      <w:bookmarkEnd w:id="431"/>
      <w:bookmarkEnd w:id="43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1.1甲方（需方）即比选人，是指通过招标采购，接受合同货物及服务的各级国家机关、事业单位和团体组织。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1.2乙方（供方）即中标人，是指中标后提供合同货物和服务的自然人、法人及其他组织。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1.3合同是指由甲乙双方按照竞采文件和投标文件的实质性内容，通过协商一致达成的书面协议。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1.4合同价格指以中标价格为依据，在供方全面履行合同义务后，需方（或财政部门）应支付给供方的金额。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1.5技术资料是指合同货物及其相关的设计、制造、监造、检验、验收等文件（包括图纸、各种文字说明、标准）。</w:t>
      </w:r>
    </w:p>
    <w:p>
      <w:pPr>
        <w:spacing w:line="360" w:lineRule="auto"/>
        <w:ind w:firstLine="480" w:firstLineChars="200"/>
        <w:outlineLvl w:val="1"/>
        <w:rPr>
          <w:rFonts w:ascii="仿宋" w:hAnsi="仿宋" w:eastAsia="仿宋" w:cs="仿宋"/>
          <w:sz w:val="24"/>
          <w:szCs w:val="24"/>
        </w:rPr>
      </w:pPr>
      <w:bookmarkStart w:id="433" w:name="_Toc23971"/>
      <w:bookmarkStart w:id="434" w:name="_Toc9884"/>
      <w:r>
        <w:rPr>
          <w:rFonts w:hint="eastAsia" w:ascii="仿宋" w:hAnsi="仿宋" w:eastAsia="仿宋" w:cs="仿宋"/>
          <w:sz w:val="24"/>
          <w:szCs w:val="24"/>
        </w:rPr>
        <w:t>2.货物内容</w:t>
      </w:r>
      <w:bookmarkEnd w:id="433"/>
      <w:bookmarkEnd w:id="43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合同包括以下内容：货物名称、型号规格、技术参数、数量（单位）等内容。</w:t>
      </w:r>
    </w:p>
    <w:p>
      <w:pPr>
        <w:spacing w:line="360" w:lineRule="auto"/>
        <w:ind w:firstLine="480" w:firstLineChars="200"/>
        <w:outlineLvl w:val="1"/>
        <w:rPr>
          <w:rFonts w:ascii="仿宋" w:hAnsi="仿宋" w:eastAsia="仿宋" w:cs="仿宋"/>
          <w:sz w:val="24"/>
          <w:szCs w:val="24"/>
        </w:rPr>
      </w:pPr>
      <w:bookmarkStart w:id="435" w:name="_Toc17830"/>
      <w:bookmarkStart w:id="436" w:name="_Toc28802"/>
      <w:r>
        <w:rPr>
          <w:rFonts w:hint="eastAsia" w:ascii="仿宋" w:hAnsi="仿宋" w:eastAsia="仿宋" w:cs="仿宋"/>
          <w:sz w:val="24"/>
          <w:szCs w:val="24"/>
        </w:rPr>
        <w:t>3.合同价格</w:t>
      </w:r>
      <w:bookmarkEnd w:id="435"/>
      <w:bookmarkEnd w:id="436"/>
    </w:p>
    <w:p>
      <w:pPr>
        <w:spacing w:line="360" w:lineRule="auto"/>
        <w:ind w:firstLine="480" w:firstLineChars="200"/>
        <w:outlineLvl w:val="2"/>
        <w:rPr>
          <w:rFonts w:ascii="仿宋" w:hAnsi="仿宋" w:eastAsia="仿宋" w:cs="仿宋"/>
          <w:sz w:val="24"/>
          <w:szCs w:val="24"/>
        </w:rPr>
      </w:pPr>
      <w:bookmarkStart w:id="437" w:name="_Toc387"/>
      <w:bookmarkStart w:id="438" w:name="_Toc29483"/>
      <w:r>
        <w:rPr>
          <w:rFonts w:hint="eastAsia" w:ascii="仿宋" w:hAnsi="仿宋" w:eastAsia="仿宋" w:cs="仿宋"/>
          <w:sz w:val="24"/>
          <w:szCs w:val="24"/>
        </w:rPr>
        <w:t>3.1合同价格即合同总价。</w:t>
      </w:r>
      <w:bookmarkEnd w:id="437"/>
      <w:bookmarkEnd w:id="43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3.2合同价格包括合同货物、技术资料、合同货物的税费、运杂费、保险费、包装费、装卸费及与货物有关的供方应纳的税费，所有税费由乙方负担。</w:t>
      </w:r>
    </w:p>
    <w:p>
      <w:pPr>
        <w:spacing w:line="360" w:lineRule="auto"/>
        <w:ind w:firstLine="480" w:firstLineChars="200"/>
        <w:outlineLvl w:val="2"/>
        <w:rPr>
          <w:rFonts w:ascii="仿宋" w:hAnsi="仿宋" w:eastAsia="仿宋" w:cs="仿宋"/>
          <w:sz w:val="24"/>
          <w:szCs w:val="24"/>
        </w:rPr>
      </w:pPr>
      <w:bookmarkStart w:id="439" w:name="_Toc28078"/>
      <w:bookmarkStart w:id="440" w:name="_Toc23503"/>
      <w:r>
        <w:rPr>
          <w:rFonts w:hint="eastAsia" w:ascii="仿宋" w:hAnsi="仿宋" w:eastAsia="仿宋" w:cs="仿宋"/>
          <w:sz w:val="24"/>
          <w:szCs w:val="24"/>
        </w:rPr>
        <w:t>3.3合同货物单价为不变价。</w:t>
      </w:r>
      <w:bookmarkEnd w:id="439"/>
      <w:bookmarkEnd w:id="440"/>
    </w:p>
    <w:p>
      <w:pPr>
        <w:spacing w:line="360" w:lineRule="auto"/>
        <w:ind w:firstLine="480" w:firstLineChars="200"/>
        <w:outlineLvl w:val="1"/>
        <w:rPr>
          <w:rFonts w:ascii="仿宋" w:hAnsi="仿宋" w:eastAsia="仿宋" w:cs="仿宋"/>
          <w:sz w:val="24"/>
          <w:szCs w:val="24"/>
        </w:rPr>
      </w:pPr>
      <w:bookmarkStart w:id="441" w:name="_Toc10424"/>
      <w:bookmarkStart w:id="442" w:name="_Toc18911"/>
      <w:r>
        <w:rPr>
          <w:rFonts w:hint="eastAsia" w:ascii="仿宋" w:hAnsi="仿宋" w:eastAsia="仿宋" w:cs="仿宋"/>
          <w:sz w:val="24"/>
          <w:szCs w:val="24"/>
        </w:rPr>
        <w:t>4.转包或分包</w:t>
      </w:r>
      <w:bookmarkEnd w:id="441"/>
      <w:bookmarkEnd w:id="442"/>
    </w:p>
    <w:p>
      <w:pPr>
        <w:spacing w:line="360" w:lineRule="auto"/>
        <w:ind w:firstLine="480" w:firstLineChars="200"/>
        <w:outlineLvl w:val="2"/>
        <w:rPr>
          <w:rFonts w:ascii="仿宋" w:hAnsi="仿宋" w:eastAsia="仿宋" w:cs="仿宋"/>
          <w:sz w:val="24"/>
          <w:szCs w:val="24"/>
        </w:rPr>
      </w:pPr>
      <w:bookmarkStart w:id="443" w:name="_Toc25454"/>
      <w:bookmarkStart w:id="444" w:name="_Toc4965"/>
      <w:r>
        <w:rPr>
          <w:rFonts w:hint="eastAsia" w:ascii="仿宋" w:hAnsi="仿宋" w:eastAsia="仿宋" w:cs="仿宋"/>
          <w:sz w:val="24"/>
          <w:szCs w:val="24"/>
        </w:rPr>
        <w:t>4.1本合同范围的货物，应由乙方直接供应，不得转让他人供应；</w:t>
      </w:r>
      <w:bookmarkEnd w:id="443"/>
      <w:bookmarkEnd w:id="44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4.2非经甲方书面同意，乙方不得将本合同范围的货物或服务全部或部分分包给他人供应；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4.3如有转让和未经甲方同意的分包行为，甲方有权解除合同，没收履约保证金并追究乙方的违约责任。</w:t>
      </w:r>
    </w:p>
    <w:p>
      <w:pPr>
        <w:spacing w:line="360" w:lineRule="auto"/>
        <w:ind w:firstLine="480" w:firstLineChars="200"/>
        <w:outlineLvl w:val="1"/>
        <w:rPr>
          <w:rFonts w:ascii="仿宋" w:hAnsi="仿宋" w:eastAsia="仿宋" w:cs="仿宋"/>
          <w:sz w:val="24"/>
          <w:szCs w:val="24"/>
        </w:rPr>
      </w:pPr>
      <w:bookmarkStart w:id="445" w:name="_Toc27943"/>
      <w:bookmarkStart w:id="446" w:name="_Toc7160"/>
      <w:r>
        <w:rPr>
          <w:rFonts w:hint="eastAsia" w:ascii="仿宋" w:hAnsi="仿宋" w:eastAsia="仿宋" w:cs="仿宋"/>
          <w:sz w:val="24"/>
          <w:szCs w:val="24"/>
        </w:rPr>
        <w:t>5.质量保证及售后服务</w:t>
      </w:r>
      <w:bookmarkEnd w:id="445"/>
      <w:bookmarkEnd w:id="44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5.1乙方应按竞采文件规定的货物性能、技术要求、质量标准向甲方提供未经使用的全新产品。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5.2乙方提供的货物或服务在质保期内因货物本身的质量问题发生故障，乙方应负责免费更换。对达不到技术要求者，根据实际情况，经双方协商，可按以下办法处理：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5.2.1更换：由乙方承担所发生的全部费用。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5.2.2贬值处理：由甲乙双方合议定价。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5.2.3退货处理：乙方应退还甲方支付的合同款，同时应承担该货物的直接费用（运输、保险、检验、贷款利息及银行手续费等）。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5.3如在使用过程中发生质量问题，乙方应按本项目“第三篇 采购项目商务需求”中的要求处理。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5.4在质保期内，乙方应对货物出现的质量及安全问题负责处理解决并承担一切费用。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5.5 如甲方要求乙方提供履约保证金的，履约保证金的收取和退还应按本项目“第三篇 采购项目商务需求”中的要求处理。</w:t>
      </w:r>
    </w:p>
    <w:p>
      <w:pPr>
        <w:spacing w:line="360" w:lineRule="auto"/>
        <w:ind w:firstLine="480" w:firstLineChars="200"/>
        <w:outlineLvl w:val="1"/>
        <w:rPr>
          <w:rFonts w:ascii="仿宋" w:hAnsi="仿宋" w:eastAsia="仿宋" w:cs="仿宋"/>
          <w:sz w:val="24"/>
          <w:szCs w:val="24"/>
        </w:rPr>
      </w:pPr>
      <w:bookmarkStart w:id="447" w:name="_Toc2014"/>
      <w:bookmarkStart w:id="448" w:name="_Toc5248"/>
      <w:r>
        <w:rPr>
          <w:rFonts w:hint="eastAsia" w:ascii="仿宋" w:hAnsi="仿宋" w:eastAsia="仿宋" w:cs="仿宋"/>
          <w:sz w:val="24"/>
          <w:szCs w:val="24"/>
        </w:rPr>
        <w:t>6.付款</w:t>
      </w:r>
      <w:bookmarkEnd w:id="447"/>
      <w:bookmarkEnd w:id="44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6.1本合同使用货币币种如未作特别说明均为人民币。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6.2付款方式：银行转账、现金支票。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6.3付款方法：同本项目“第三篇 商务需求”中关于付款方式的约定。</w:t>
      </w:r>
    </w:p>
    <w:p>
      <w:pPr>
        <w:spacing w:line="360" w:lineRule="auto"/>
        <w:ind w:firstLine="480" w:firstLineChars="200"/>
        <w:outlineLvl w:val="1"/>
        <w:rPr>
          <w:rFonts w:ascii="仿宋" w:hAnsi="仿宋" w:eastAsia="仿宋" w:cs="仿宋"/>
          <w:sz w:val="24"/>
          <w:szCs w:val="24"/>
        </w:rPr>
      </w:pPr>
      <w:bookmarkStart w:id="449" w:name="_Toc28434"/>
      <w:bookmarkStart w:id="450" w:name="_Toc8135"/>
      <w:r>
        <w:rPr>
          <w:rFonts w:hint="eastAsia" w:ascii="仿宋" w:hAnsi="仿宋" w:eastAsia="仿宋" w:cs="仿宋"/>
          <w:sz w:val="24"/>
          <w:szCs w:val="24"/>
        </w:rPr>
        <w:t>7.检查验收</w:t>
      </w:r>
      <w:bookmarkEnd w:id="449"/>
      <w:bookmarkEnd w:id="45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7.1供方应随货物提供合格证和质量证明文件，如是国外进口的货物还须提供入关证明。</w:t>
      </w:r>
    </w:p>
    <w:p>
      <w:pPr>
        <w:spacing w:line="360" w:lineRule="auto"/>
        <w:ind w:firstLine="480" w:firstLineChars="200"/>
        <w:outlineLvl w:val="2"/>
        <w:rPr>
          <w:rFonts w:ascii="仿宋" w:hAnsi="仿宋" w:eastAsia="仿宋" w:cs="仿宋"/>
          <w:sz w:val="24"/>
          <w:szCs w:val="24"/>
        </w:rPr>
      </w:pPr>
      <w:bookmarkStart w:id="451" w:name="_Toc12493"/>
      <w:bookmarkStart w:id="452" w:name="_Toc25102"/>
      <w:r>
        <w:rPr>
          <w:rFonts w:hint="eastAsia" w:ascii="仿宋" w:hAnsi="仿宋" w:eastAsia="仿宋" w:cs="仿宋"/>
          <w:sz w:val="24"/>
          <w:szCs w:val="24"/>
        </w:rPr>
        <w:t>7.2货物验收</w:t>
      </w:r>
      <w:bookmarkEnd w:id="451"/>
      <w:bookmarkEnd w:id="45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供方所交货物的各种质量指标不得低于供方提供样品的质量指标（无样品时按供方的投标时提供的“技术文件”执行），售后服务质量要求按照</w:t>
      </w:r>
      <w:r>
        <w:rPr>
          <w:rFonts w:hint="eastAsia" w:ascii="仿宋" w:hAnsi="仿宋" w:eastAsia="仿宋" w:cs="仿宋"/>
          <w:sz w:val="24"/>
          <w:szCs w:val="24"/>
          <w:lang w:eastAsia="zh-CN"/>
        </w:rPr>
        <w:t>比选文件</w:t>
      </w:r>
      <w:r>
        <w:rPr>
          <w:rFonts w:hint="eastAsia" w:ascii="仿宋" w:hAnsi="仿宋" w:eastAsia="仿宋" w:cs="仿宋"/>
          <w:sz w:val="24"/>
          <w:szCs w:val="24"/>
        </w:rPr>
        <w:t>和投标文件的内容执行。供方交货时，需方可根据需要随机抽取一部分货物送有关权威检测部门检测，如检测不合格，供方负责赔偿需方一切损失。</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7.3货物验收报告应由需方、供方经办人签字，并加盖双方公章，以此作为支付凭据。</w:t>
      </w:r>
    </w:p>
    <w:p>
      <w:pPr>
        <w:spacing w:line="360" w:lineRule="auto"/>
        <w:ind w:firstLine="480" w:firstLineChars="200"/>
        <w:outlineLvl w:val="1"/>
        <w:rPr>
          <w:rFonts w:ascii="仿宋" w:hAnsi="仿宋" w:eastAsia="仿宋" w:cs="仿宋"/>
          <w:sz w:val="24"/>
          <w:szCs w:val="24"/>
        </w:rPr>
      </w:pPr>
      <w:bookmarkStart w:id="453" w:name="_Toc167"/>
      <w:bookmarkStart w:id="454" w:name="_Toc21364"/>
      <w:r>
        <w:rPr>
          <w:rFonts w:hint="eastAsia" w:ascii="仿宋" w:hAnsi="仿宋" w:eastAsia="仿宋" w:cs="仿宋"/>
          <w:sz w:val="24"/>
          <w:szCs w:val="24"/>
        </w:rPr>
        <w:t>8.索赔</w:t>
      </w:r>
      <w:bookmarkEnd w:id="453"/>
      <w:bookmarkEnd w:id="45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供方对货物与合同要求不符负有责任，并且需方已于规定交货内和质量保证期内提出索赔，供方应按需方同意的下述一种或多种方法解决索赔事宜。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8.2根据货物的疵劣和受损程度以及需方遭受损失的金额，经双方同意降低货物价格。</w:t>
      </w:r>
    </w:p>
    <w:p>
      <w:pPr>
        <w:spacing w:line="360" w:lineRule="auto"/>
        <w:ind w:firstLine="480" w:firstLineChars="200"/>
        <w:outlineLvl w:val="1"/>
        <w:rPr>
          <w:rFonts w:ascii="仿宋" w:hAnsi="仿宋" w:eastAsia="仿宋" w:cs="仿宋"/>
          <w:sz w:val="24"/>
          <w:szCs w:val="24"/>
        </w:rPr>
      </w:pPr>
      <w:bookmarkStart w:id="455" w:name="_Toc26850"/>
      <w:bookmarkStart w:id="456" w:name="_Toc8390"/>
      <w:r>
        <w:rPr>
          <w:rFonts w:hint="eastAsia" w:ascii="仿宋" w:hAnsi="仿宋" w:eastAsia="仿宋" w:cs="仿宋"/>
          <w:sz w:val="24"/>
          <w:szCs w:val="24"/>
        </w:rPr>
        <w:t>9.知识产权</w:t>
      </w:r>
      <w:bookmarkEnd w:id="455"/>
      <w:bookmarkEnd w:id="45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甲方在中华人民共和国境内使用乙方提供的货物及服务时免受第三方提出的侵犯其专利权或其他知识产权的起诉。如果第三方提出侵权指控，乙方应承担由此而引起的一切法律责任和费用。</w:t>
      </w:r>
    </w:p>
    <w:p>
      <w:pPr>
        <w:spacing w:line="360" w:lineRule="auto"/>
        <w:ind w:firstLine="480" w:firstLineChars="200"/>
        <w:outlineLvl w:val="1"/>
        <w:rPr>
          <w:rFonts w:ascii="仿宋" w:hAnsi="仿宋" w:eastAsia="仿宋" w:cs="仿宋"/>
          <w:sz w:val="24"/>
          <w:szCs w:val="24"/>
        </w:rPr>
      </w:pPr>
      <w:bookmarkStart w:id="457" w:name="_Toc2064"/>
      <w:bookmarkStart w:id="458" w:name="_Toc20901"/>
      <w:r>
        <w:rPr>
          <w:rFonts w:hint="eastAsia" w:ascii="仿宋" w:hAnsi="仿宋" w:eastAsia="仿宋" w:cs="仿宋"/>
          <w:sz w:val="24"/>
          <w:szCs w:val="24"/>
        </w:rPr>
        <w:t>10.合同争议的解决</w:t>
      </w:r>
      <w:bookmarkEnd w:id="457"/>
      <w:bookmarkEnd w:id="458"/>
    </w:p>
    <w:p>
      <w:pPr>
        <w:spacing w:line="360" w:lineRule="auto"/>
        <w:ind w:firstLine="480" w:firstLineChars="200"/>
        <w:outlineLvl w:val="2"/>
        <w:rPr>
          <w:rFonts w:ascii="仿宋" w:hAnsi="仿宋" w:eastAsia="仿宋" w:cs="仿宋"/>
          <w:sz w:val="24"/>
          <w:szCs w:val="24"/>
        </w:rPr>
      </w:pPr>
      <w:bookmarkStart w:id="459" w:name="_Toc10852"/>
      <w:bookmarkStart w:id="460" w:name="_Toc22320"/>
      <w:r>
        <w:rPr>
          <w:rFonts w:hint="eastAsia" w:ascii="仿宋" w:hAnsi="仿宋" w:eastAsia="仿宋" w:cs="仿宋"/>
          <w:sz w:val="24"/>
          <w:szCs w:val="24"/>
        </w:rPr>
        <w:t>10.1当事人友好协商达成一致</w:t>
      </w:r>
      <w:bookmarkEnd w:id="459"/>
      <w:bookmarkEnd w:id="46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10.2在60天内当事人协商不能达成协议的，可提请比选人当地仲裁机构仲裁。</w:t>
      </w:r>
    </w:p>
    <w:p>
      <w:pPr>
        <w:spacing w:line="360" w:lineRule="auto"/>
        <w:ind w:firstLine="480" w:firstLineChars="200"/>
        <w:outlineLvl w:val="1"/>
        <w:rPr>
          <w:rFonts w:ascii="仿宋" w:hAnsi="仿宋" w:eastAsia="仿宋" w:cs="仿宋"/>
          <w:sz w:val="24"/>
          <w:szCs w:val="24"/>
        </w:rPr>
      </w:pPr>
      <w:bookmarkStart w:id="461" w:name="_Toc31875"/>
      <w:bookmarkStart w:id="462" w:name="_Toc1799"/>
      <w:r>
        <w:rPr>
          <w:rFonts w:hint="eastAsia" w:ascii="仿宋" w:hAnsi="仿宋" w:eastAsia="仿宋" w:cs="仿宋"/>
          <w:sz w:val="24"/>
          <w:szCs w:val="24"/>
        </w:rPr>
        <w:t>11.违约责任</w:t>
      </w:r>
      <w:bookmarkEnd w:id="461"/>
      <w:bookmarkEnd w:id="46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按《中华人民共和国民法典》、《中华人民共和国政府采购法》有关条款，或由供需双方约定。</w:t>
      </w:r>
    </w:p>
    <w:p>
      <w:pPr>
        <w:spacing w:line="360" w:lineRule="auto"/>
        <w:ind w:firstLine="480" w:firstLineChars="200"/>
        <w:outlineLvl w:val="1"/>
        <w:rPr>
          <w:rFonts w:ascii="仿宋" w:hAnsi="仿宋" w:eastAsia="仿宋" w:cs="仿宋"/>
          <w:sz w:val="24"/>
          <w:szCs w:val="24"/>
        </w:rPr>
      </w:pPr>
      <w:bookmarkStart w:id="463" w:name="_Toc23370"/>
      <w:bookmarkStart w:id="464" w:name="_Toc28866"/>
      <w:r>
        <w:rPr>
          <w:rFonts w:hint="eastAsia" w:ascii="仿宋" w:hAnsi="仿宋" w:eastAsia="仿宋" w:cs="仿宋"/>
          <w:sz w:val="24"/>
          <w:szCs w:val="24"/>
        </w:rPr>
        <w:t>12.合同生效及其他</w:t>
      </w:r>
      <w:bookmarkEnd w:id="463"/>
      <w:bookmarkEnd w:id="46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12.1合同生效及其效力应符合《中华人民共和国民法典》有关规定。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12.2合同应经当事人法定代表人或委托代理人签字，加盖双方合同专用章或公章。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12.3合同所包括附件，是合同不可分割的一部分，具有同等法律效力。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12.4合同需提供担保的，按《中华人民共和国担保法》规定执行。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12.5本合同条件未尽事宜依照《中华人民共和国民法典》，由供需双方共同协商确定。</w:t>
      </w:r>
    </w:p>
    <w:p>
      <w:pPr>
        <w:spacing w:line="360" w:lineRule="auto"/>
        <w:rPr>
          <w:rFonts w:ascii="仿宋" w:hAnsi="仿宋" w:eastAsia="仿宋" w:cs="仿宋"/>
        </w:rPr>
      </w:pPr>
    </w:p>
    <w:p>
      <w:pPr>
        <w:snapToGrid w:val="0"/>
        <w:spacing w:line="360" w:lineRule="auto"/>
        <w:ind w:firstLine="424" w:firstLineChars="200"/>
        <w:rPr>
          <w:rFonts w:ascii="仿宋" w:hAnsi="仿宋" w:eastAsia="仿宋" w:cs="仿宋"/>
          <w:b/>
          <w:sz w:val="44"/>
        </w:rPr>
      </w:pPr>
      <w:r>
        <w:rPr>
          <w:rFonts w:hint="eastAsia" w:ascii="方正仿宋_GB2312" w:hAnsi="方正仿宋_GB2312" w:eastAsia="方正仿宋_GB2312" w:cs="方正仿宋_GB2312"/>
          <w:spacing w:val="-14"/>
          <w:sz w:val="24"/>
          <w:szCs w:val="24"/>
        </w:rPr>
        <w:t>(注：成交后比选人和中标人应按本项目</w:t>
      </w:r>
      <w:r>
        <w:rPr>
          <w:rFonts w:hint="eastAsia" w:ascii="仿宋" w:hAnsi="仿宋" w:eastAsia="仿宋" w:cs="仿宋"/>
          <w:sz w:val="24"/>
          <w:szCs w:val="24"/>
        </w:rPr>
        <w:t>比选</w:t>
      </w:r>
      <w:r>
        <w:rPr>
          <w:rFonts w:hint="eastAsia" w:ascii="方正仿宋_GB2312" w:hAnsi="方正仿宋_GB2312" w:eastAsia="方正仿宋_GB2312" w:cs="方正仿宋_GB2312"/>
          <w:spacing w:val="-14"/>
          <w:sz w:val="24"/>
          <w:szCs w:val="24"/>
        </w:rPr>
        <w:t>文件、中标人的投标文件及本篇合同主要条款及格式，在规定时间内签订采购合同，合同可根据项目实际情况修改，但所签订的采购合同不得对</w:t>
      </w:r>
      <w:r>
        <w:rPr>
          <w:rFonts w:hint="eastAsia" w:ascii="仿宋" w:hAnsi="仿宋" w:eastAsia="仿宋" w:cs="仿宋"/>
          <w:spacing w:val="-14"/>
          <w:sz w:val="24"/>
          <w:szCs w:val="24"/>
        </w:rPr>
        <w:t>比选</w:t>
      </w:r>
      <w:r>
        <w:rPr>
          <w:rFonts w:hint="eastAsia" w:ascii="方正仿宋_GB2312" w:hAnsi="方正仿宋_GB2312" w:eastAsia="方正仿宋_GB2312" w:cs="方正仿宋_GB2312"/>
          <w:spacing w:val="-14"/>
          <w:sz w:val="24"/>
          <w:szCs w:val="24"/>
        </w:rPr>
        <w:t>文件和中标人的投标文件作实质性修改。)</w:t>
      </w:r>
    </w:p>
    <w:p>
      <w:pPr>
        <w:spacing w:line="360" w:lineRule="auto"/>
        <w:rPr>
          <w:rFonts w:ascii="仿宋" w:hAnsi="仿宋" w:eastAsia="仿宋" w:cs="仿宋"/>
          <w:b/>
          <w:sz w:val="44"/>
        </w:rPr>
      </w:pPr>
    </w:p>
    <w:p>
      <w:pPr>
        <w:tabs>
          <w:tab w:val="left" w:pos="9000"/>
        </w:tabs>
        <w:spacing w:line="360" w:lineRule="auto"/>
        <w:rPr>
          <w:rFonts w:ascii="仿宋" w:hAnsi="仿宋" w:eastAsia="仿宋" w:cs="仿宋"/>
          <w:sz w:val="24"/>
          <w:szCs w:val="24"/>
        </w:rPr>
      </w:pPr>
    </w:p>
    <w:p>
      <w:pPr>
        <w:pStyle w:val="28"/>
        <w:spacing w:line="360" w:lineRule="auto"/>
        <w:ind w:left="0" w:firstLine="0" w:firstLineChars="0"/>
        <w:rPr>
          <w:rFonts w:ascii="仿宋" w:hAnsi="仿宋" w:eastAsia="仿宋" w:cs="仿宋"/>
          <w:sz w:val="24"/>
        </w:rPr>
      </w:pPr>
    </w:p>
    <w:p>
      <w:pPr>
        <w:pStyle w:val="28"/>
        <w:spacing w:line="360" w:lineRule="auto"/>
        <w:ind w:left="0" w:firstLine="0" w:firstLineChars="0"/>
        <w:rPr>
          <w:rFonts w:ascii="仿宋" w:hAnsi="仿宋" w:eastAsia="仿宋" w:cs="仿宋"/>
          <w:sz w:val="24"/>
        </w:rPr>
      </w:pPr>
    </w:p>
    <w:p>
      <w:pPr>
        <w:pStyle w:val="28"/>
        <w:spacing w:line="360" w:lineRule="auto"/>
        <w:ind w:left="0" w:firstLine="0" w:firstLineChars="0"/>
        <w:rPr>
          <w:rFonts w:ascii="仿宋" w:hAnsi="仿宋" w:eastAsia="仿宋" w:cs="仿宋"/>
          <w:sz w:val="24"/>
        </w:rPr>
      </w:pPr>
    </w:p>
    <w:p>
      <w:pPr>
        <w:pStyle w:val="28"/>
        <w:spacing w:line="360" w:lineRule="auto"/>
        <w:ind w:left="0" w:firstLine="0" w:firstLineChars="0"/>
        <w:rPr>
          <w:rFonts w:ascii="仿宋" w:hAnsi="仿宋" w:eastAsia="仿宋" w:cs="仿宋"/>
          <w:sz w:val="24"/>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48"/>
          <w:szCs w:val="21"/>
        </w:rPr>
      </w:pPr>
      <w:r>
        <w:rPr>
          <w:rFonts w:hint="eastAsia" w:ascii="仿宋" w:hAnsi="仿宋" w:eastAsia="仿宋" w:cs="仿宋"/>
          <w:b/>
          <w:sz w:val="32"/>
          <w:szCs w:val="32"/>
        </w:rPr>
        <w:t>重庆市政府采购合同</w:t>
      </w:r>
    </w:p>
    <w:p>
      <w:pPr>
        <w:spacing w:line="360" w:lineRule="auto"/>
        <w:jc w:val="center"/>
        <w:rPr>
          <w:rFonts w:ascii="仿宋" w:hAnsi="仿宋" w:eastAsia="仿宋" w:cs="仿宋"/>
          <w:sz w:val="24"/>
          <w:szCs w:val="24"/>
        </w:rPr>
      </w:pPr>
      <w:r>
        <w:rPr>
          <w:rFonts w:hint="eastAsia" w:ascii="仿宋" w:hAnsi="仿宋" w:eastAsia="仿宋" w:cs="仿宋"/>
          <w:sz w:val="24"/>
          <w:szCs w:val="24"/>
        </w:rPr>
        <w:t>（项目编号：     ）</w:t>
      </w:r>
    </w:p>
    <w:p>
      <w:pPr>
        <w:spacing w:line="360" w:lineRule="auto"/>
        <w:rPr>
          <w:rFonts w:ascii="仿宋" w:hAnsi="仿宋" w:eastAsia="仿宋" w:cs="仿宋"/>
          <w:sz w:val="24"/>
          <w:szCs w:val="24"/>
        </w:rPr>
      </w:pPr>
      <w:r>
        <w:rPr>
          <w:rFonts w:hint="eastAsia" w:ascii="仿宋" w:hAnsi="仿宋" w:eastAsia="仿宋" w:cs="仿宋"/>
          <w:sz w:val="24"/>
          <w:szCs w:val="24"/>
        </w:rPr>
        <w:t>甲方（需方）：___________________________      计价单位：____________</w:t>
      </w:r>
    </w:p>
    <w:p>
      <w:pPr>
        <w:spacing w:line="360" w:lineRule="auto"/>
        <w:rPr>
          <w:rFonts w:ascii="仿宋" w:hAnsi="仿宋" w:eastAsia="仿宋" w:cs="仿宋"/>
          <w:sz w:val="24"/>
          <w:szCs w:val="24"/>
        </w:rPr>
      </w:pPr>
      <w:r>
        <w:rPr>
          <w:rFonts w:hint="eastAsia" w:ascii="仿宋" w:hAnsi="仿宋" w:eastAsia="仿宋" w:cs="仿宋"/>
          <w:sz w:val="24"/>
          <w:szCs w:val="24"/>
        </w:rPr>
        <w:t>乙方（供方）：___________________________      计量单位：_____________</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293"/>
        <w:gridCol w:w="1179"/>
        <w:gridCol w:w="96"/>
        <w:gridCol w:w="1472"/>
        <w:gridCol w:w="1973"/>
        <w:gridCol w:w="1569"/>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0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129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275" w:type="dxa"/>
            <w:gridSpan w:val="2"/>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综合单价</w:t>
            </w:r>
          </w:p>
        </w:tc>
        <w:tc>
          <w:tcPr>
            <w:tcW w:w="147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总价</w:t>
            </w:r>
          </w:p>
        </w:tc>
        <w:tc>
          <w:tcPr>
            <w:tcW w:w="197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服务时间</w:t>
            </w:r>
          </w:p>
        </w:tc>
        <w:tc>
          <w:tcPr>
            <w:tcW w:w="1584" w:type="dxa"/>
            <w:gridSpan w:val="2"/>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ascii="仿宋" w:hAnsi="仿宋" w:eastAsia="仿宋" w:cs="仿宋"/>
                <w:sz w:val="24"/>
                <w:szCs w:val="24"/>
              </w:rPr>
            </w:pPr>
          </w:p>
        </w:tc>
        <w:tc>
          <w:tcPr>
            <w:tcW w:w="1293" w:type="dxa"/>
            <w:vAlign w:val="center"/>
          </w:tcPr>
          <w:p>
            <w:pPr>
              <w:spacing w:line="360" w:lineRule="auto"/>
              <w:jc w:val="center"/>
              <w:rPr>
                <w:rFonts w:ascii="仿宋" w:hAnsi="仿宋" w:eastAsia="仿宋" w:cs="仿宋"/>
                <w:sz w:val="24"/>
                <w:szCs w:val="24"/>
              </w:rPr>
            </w:pPr>
          </w:p>
        </w:tc>
        <w:tc>
          <w:tcPr>
            <w:tcW w:w="1275" w:type="dxa"/>
            <w:gridSpan w:val="2"/>
            <w:vAlign w:val="center"/>
          </w:tcPr>
          <w:p>
            <w:pPr>
              <w:spacing w:line="360" w:lineRule="auto"/>
              <w:jc w:val="center"/>
              <w:rPr>
                <w:rFonts w:ascii="仿宋" w:hAnsi="仿宋" w:eastAsia="仿宋" w:cs="仿宋"/>
                <w:sz w:val="24"/>
                <w:szCs w:val="24"/>
              </w:rPr>
            </w:pPr>
          </w:p>
        </w:tc>
        <w:tc>
          <w:tcPr>
            <w:tcW w:w="1472" w:type="dxa"/>
            <w:vAlign w:val="center"/>
          </w:tcPr>
          <w:p>
            <w:pPr>
              <w:spacing w:line="360" w:lineRule="auto"/>
              <w:jc w:val="center"/>
              <w:rPr>
                <w:rFonts w:ascii="仿宋" w:hAnsi="仿宋" w:eastAsia="仿宋" w:cs="仿宋"/>
                <w:sz w:val="24"/>
                <w:szCs w:val="24"/>
              </w:rPr>
            </w:pPr>
          </w:p>
        </w:tc>
        <w:tc>
          <w:tcPr>
            <w:tcW w:w="1973" w:type="dxa"/>
            <w:vAlign w:val="center"/>
          </w:tcPr>
          <w:p>
            <w:pPr>
              <w:spacing w:line="360" w:lineRule="auto"/>
              <w:jc w:val="center"/>
              <w:rPr>
                <w:rFonts w:ascii="仿宋" w:hAnsi="仿宋" w:eastAsia="仿宋" w:cs="仿宋"/>
                <w:sz w:val="24"/>
                <w:szCs w:val="24"/>
              </w:rPr>
            </w:pPr>
          </w:p>
        </w:tc>
        <w:tc>
          <w:tcPr>
            <w:tcW w:w="1584" w:type="dxa"/>
            <w:gridSpan w:val="2"/>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ascii="仿宋" w:hAnsi="仿宋" w:eastAsia="仿宋" w:cs="仿宋"/>
                <w:sz w:val="24"/>
                <w:szCs w:val="24"/>
              </w:rPr>
            </w:pPr>
          </w:p>
        </w:tc>
        <w:tc>
          <w:tcPr>
            <w:tcW w:w="1293" w:type="dxa"/>
            <w:vAlign w:val="center"/>
          </w:tcPr>
          <w:p>
            <w:pPr>
              <w:spacing w:line="360" w:lineRule="auto"/>
              <w:jc w:val="center"/>
              <w:rPr>
                <w:rFonts w:ascii="仿宋" w:hAnsi="仿宋" w:eastAsia="仿宋" w:cs="仿宋"/>
                <w:sz w:val="24"/>
                <w:szCs w:val="24"/>
              </w:rPr>
            </w:pPr>
          </w:p>
        </w:tc>
        <w:tc>
          <w:tcPr>
            <w:tcW w:w="1275" w:type="dxa"/>
            <w:gridSpan w:val="2"/>
            <w:vAlign w:val="center"/>
          </w:tcPr>
          <w:p>
            <w:pPr>
              <w:spacing w:line="360" w:lineRule="auto"/>
              <w:jc w:val="center"/>
              <w:rPr>
                <w:rFonts w:ascii="仿宋" w:hAnsi="仿宋" w:eastAsia="仿宋" w:cs="仿宋"/>
                <w:sz w:val="24"/>
                <w:szCs w:val="24"/>
              </w:rPr>
            </w:pPr>
          </w:p>
        </w:tc>
        <w:tc>
          <w:tcPr>
            <w:tcW w:w="1472" w:type="dxa"/>
            <w:vAlign w:val="center"/>
          </w:tcPr>
          <w:p>
            <w:pPr>
              <w:spacing w:line="360" w:lineRule="auto"/>
              <w:jc w:val="center"/>
              <w:rPr>
                <w:rFonts w:ascii="仿宋" w:hAnsi="仿宋" w:eastAsia="仿宋" w:cs="仿宋"/>
                <w:sz w:val="24"/>
                <w:szCs w:val="24"/>
              </w:rPr>
            </w:pPr>
          </w:p>
        </w:tc>
        <w:tc>
          <w:tcPr>
            <w:tcW w:w="1973" w:type="dxa"/>
            <w:vAlign w:val="center"/>
          </w:tcPr>
          <w:p>
            <w:pPr>
              <w:spacing w:line="360" w:lineRule="auto"/>
              <w:jc w:val="center"/>
              <w:rPr>
                <w:rFonts w:ascii="仿宋" w:hAnsi="仿宋" w:eastAsia="仿宋" w:cs="仿宋"/>
                <w:sz w:val="24"/>
                <w:szCs w:val="24"/>
              </w:rPr>
            </w:pPr>
          </w:p>
        </w:tc>
        <w:tc>
          <w:tcPr>
            <w:tcW w:w="1584" w:type="dxa"/>
            <w:gridSpan w:val="2"/>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ascii="仿宋" w:hAnsi="仿宋" w:eastAsia="仿宋" w:cs="仿宋"/>
                <w:sz w:val="24"/>
                <w:szCs w:val="24"/>
              </w:rPr>
            </w:pPr>
          </w:p>
        </w:tc>
        <w:tc>
          <w:tcPr>
            <w:tcW w:w="1293" w:type="dxa"/>
            <w:vAlign w:val="center"/>
          </w:tcPr>
          <w:p>
            <w:pPr>
              <w:spacing w:line="360" w:lineRule="auto"/>
              <w:jc w:val="center"/>
              <w:rPr>
                <w:rFonts w:ascii="仿宋" w:hAnsi="仿宋" w:eastAsia="仿宋" w:cs="仿宋"/>
                <w:sz w:val="24"/>
                <w:szCs w:val="24"/>
              </w:rPr>
            </w:pPr>
          </w:p>
        </w:tc>
        <w:tc>
          <w:tcPr>
            <w:tcW w:w="1275" w:type="dxa"/>
            <w:gridSpan w:val="2"/>
            <w:vAlign w:val="center"/>
          </w:tcPr>
          <w:p>
            <w:pPr>
              <w:spacing w:line="360" w:lineRule="auto"/>
              <w:jc w:val="center"/>
              <w:rPr>
                <w:rFonts w:ascii="仿宋" w:hAnsi="仿宋" w:eastAsia="仿宋" w:cs="仿宋"/>
                <w:sz w:val="24"/>
                <w:szCs w:val="24"/>
              </w:rPr>
            </w:pPr>
          </w:p>
        </w:tc>
        <w:tc>
          <w:tcPr>
            <w:tcW w:w="1472" w:type="dxa"/>
            <w:vAlign w:val="center"/>
          </w:tcPr>
          <w:p>
            <w:pPr>
              <w:spacing w:line="360" w:lineRule="auto"/>
              <w:jc w:val="center"/>
              <w:rPr>
                <w:rFonts w:ascii="仿宋" w:hAnsi="仿宋" w:eastAsia="仿宋" w:cs="仿宋"/>
                <w:sz w:val="24"/>
                <w:szCs w:val="24"/>
              </w:rPr>
            </w:pPr>
          </w:p>
        </w:tc>
        <w:tc>
          <w:tcPr>
            <w:tcW w:w="1973" w:type="dxa"/>
            <w:vAlign w:val="center"/>
          </w:tcPr>
          <w:p>
            <w:pPr>
              <w:spacing w:line="360" w:lineRule="auto"/>
              <w:jc w:val="center"/>
              <w:rPr>
                <w:rFonts w:ascii="仿宋" w:hAnsi="仿宋" w:eastAsia="仿宋" w:cs="仿宋"/>
                <w:sz w:val="24"/>
                <w:szCs w:val="24"/>
              </w:rPr>
            </w:pPr>
          </w:p>
        </w:tc>
        <w:tc>
          <w:tcPr>
            <w:tcW w:w="1584" w:type="dxa"/>
            <w:gridSpan w:val="2"/>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ascii="仿宋" w:hAnsi="仿宋" w:eastAsia="仿宋" w:cs="仿宋"/>
                <w:sz w:val="24"/>
                <w:szCs w:val="24"/>
              </w:rPr>
            </w:pPr>
          </w:p>
        </w:tc>
        <w:tc>
          <w:tcPr>
            <w:tcW w:w="1293" w:type="dxa"/>
            <w:vAlign w:val="center"/>
          </w:tcPr>
          <w:p>
            <w:pPr>
              <w:spacing w:line="360" w:lineRule="auto"/>
              <w:jc w:val="center"/>
              <w:rPr>
                <w:rFonts w:ascii="仿宋" w:hAnsi="仿宋" w:eastAsia="仿宋" w:cs="仿宋"/>
                <w:sz w:val="24"/>
                <w:szCs w:val="24"/>
              </w:rPr>
            </w:pPr>
          </w:p>
        </w:tc>
        <w:tc>
          <w:tcPr>
            <w:tcW w:w="1275" w:type="dxa"/>
            <w:gridSpan w:val="2"/>
            <w:vAlign w:val="center"/>
          </w:tcPr>
          <w:p>
            <w:pPr>
              <w:spacing w:line="360" w:lineRule="auto"/>
              <w:jc w:val="center"/>
              <w:rPr>
                <w:rFonts w:ascii="仿宋" w:hAnsi="仿宋" w:eastAsia="仿宋" w:cs="仿宋"/>
                <w:sz w:val="24"/>
                <w:szCs w:val="24"/>
              </w:rPr>
            </w:pPr>
          </w:p>
        </w:tc>
        <w:tc>
          <w:tcPr>
            <w:tcW w:w="1472" w:type="dxa"/>
            <w:vAlign w:val="center"/>
          </w:tcPr>
          <w:p>
            <w:pPr>
              <w:spacing w:line="360" w:lineRule="auto"/>
              <w:jc w:val="center"/>
              <w:rPr>
                <w:rFonts w:ascii="仿宋" w:hAnsi="仿宋" w:eastAsia="仿宋" w:cs="仿宋"/>
                <w:sz w:val="24"/>
                <w:szCs w:val="24"/>
              </w:rPr>
            </w:pPr>
          </w:p>
        </w:tc>
        <w:tc>
          <w:tcPr>
            <w:tcW w:w="1973" w:type="dxa"/>
            <w:vAlign w:val="center"/>
          </w:tcPr>
          <w:p>
            <w:pPr>
              <w:spacing w:line="360" w:lineRule="auto"/>
              <w:jc w:val="center"/>
              <w:rPr>
                <w:rFonts w:ascii="仿宋" w:hAnsi="仿宋" w:eastAsia="仿宋" w:cs="仿宋"/>
                <w:sz w:val="24"/>
                <w:szCs w:val="24"/>
              </w:rPr>
            </w:pPr>
          </w:p>
        </w:tc>
        <w:tc>
          <w:tcPr>
            <w:tcW w:w="1584" w:type="dxa"/>
            <w:gridSpan w:val="2"/>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ascii="仿宋" w:hAnsi="仿宋" w:eastAsia="仿宋" w:cs="仿宋"/>
                <w:sz w:val="24"/>
                <w:szCs w:val="24"/>
              </w:rPr>
            </w:pPr>
          </w:p>
        </w:tc>
        <w:tc>
          <w:tcPr>
            <w:tcW w:w="1293" w:type="dxa"/>
            <w:vAlign w:val="center"/>
          </w:tcPr>
          <w:p>
            <w:pPr>
              <w:spacing w:line="360" w:lineRule="auto"/>
              <w:jc w:val="center"/>
              <w:rPr>
                <w:rFonts w:ascii="仿宋" w:hAnsi="仿宋" w:eastAsia="仿宋" w:cs="仿宋"/>
                <w:sz w:val="24"/>
                <w:szCs w:val="24"/>
              </w:rPr>
            </w:pPr>
          </w:p>
        </w:tc>
        <w:tc>
          <w:tcPr>
            <w:tcW w:w="1275" w:type="dxa"/>
            <w:gridSpan w:val="2"/>
            <w:vAlign w:val="center"/>
          </w:tcPr>
          <w:p>
            <w:pPr>
              <w:spacing w:line="360" w:lineRule="auto"/>
              <w:jc w:val="center"/>
              <w:rPr>
                <w:rFonts w:ascii="仿宋" w:hAnsi="仿宋" w:eastAsia="仿宋" w:cs="仿宋"/>
                <w:sz w:val="24"/>
                <w:szCs w:val="24"/>
              </w:rPr>
            </w:pPr>
          </w:p>
        </w:tc>
        <w:tc>
          <w:tcPr>
            <w:tcW w:w="1472" w:type="dxa"/>
            <w:vAlign w:val="center"/>
          </w:tcPr>
          <w:p>
            <w:pPr>
              <w:spacing w:line="360" w:lineRule="auto"/>
              <w:jc w:val="center"/>
              <w:rPr>
                <w:rFonts w:ascii="仿宋" w:hAnsi="仿宋" w:eastAsia="仿宋" w:cs="仿宋"/>
                <w:sz w:val="24"/>
                <w:szCs w:val="24"/>
              </w:rPr>
            </w:pPr>
          </w:p>
        </w:tc>
        <w:tc>
          <w:tcPr>
            <w:tcW w:w="1973" w:type="dxa"/>
            <w:vAlign w:val="center"/>
          </w:tcPr>
          <w:p>
            <w:pPr>
              <w:spacing w:line="360" w:lineRule="auto"/>
              <w:jc w:val="center"/>
              <w:rPr>
                <w:rFonts w:ascii="仿宋" w:hAnsi="仿宋" w:eastAsia="仿宋" w:cs="仿宋"/>
                <w:sz w:val="24"/>
                <w:szCs w:val="24"/>
              </w:rPr>
            </w:pPr>
          </w:p>
        </w:tc>
        <w:tc>
          <w:tcPr>
            <w:tcW w:w="1584" w:type="dxa"/>
            <w:gridSpan w:val="2"/>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ascii="仿宋" w:hAnsi="仿宋" w:eastAsia="仿宋" w:cs="仿宋"/>
                <w:sz w:val="24"/>
                <w:szCs w:val="24"/>
              </w:rPr>
            </w:pPr>
          </w:p>
        </w:tc>
        <w:tc>
          <w:tcPr>
            <w:tcW w:w="1293" w:type="dxa"/>
            <w:vAlign w:val="center"/>
          </w:tcPr>
          <w:p>
            <w:pPr>
              <w:spacing w:line="360" w:lineRule="auto"/>
              <w:jc w:val="center"/>
              <w:rPr>
                <w:rFonts w:ascii="仿宋" w:hAnsi="仿宋" w:eastAsia="仿宋" w:cs="仿宋"/>
                <w:sz w:val="24"/>
                <w:szCs w:val="24"/>
              </w:rPr>
            </w:pPr>
          </w:p>
        </w:tc>
        <w:tc>
          <w:tcPr>
            <w:tcW w:w="1275" w:type="dxa"/>
            <w:gridSpan w:val="2"/>
            <w:vAlign w:val="center"/>
          </w:tcPr>
          <w:p>
            <w:pPr>
              <w:spacing w:line="360" w:lineRule="auto"/>
              <w:jc w:val="center"/>
              <w:rPr>
                <w:rFonts w:ascii="仿宋" w:hAnsi="仿宋" w:eastAsia="仿宋" w:cs="仿宋"/>
                <w:sz w:val="24"/>
                <w:szCs w:val="24"/>
              </w:rPr>
            </w:pPr>
          </w:p>
        </w:tc>
        <w:tc>
          <w:tcPr>
            <w:tcW w:w="1472" w:type="dxa"/>
            <w:vAlign w:val="center"/>
          </w:tcPr>
          <w:p>
            <w:pPr>
              <w:spacing w:line="360" w:lineRule="auto"/>
              <w:jc w:val="center"/>
              <w:rPr>
                <w:rFonts w:ascii="仿宋" w:hAnsi="仿宋" w:eastAsia="仿宋" w:cs="仿宋"/>
                <w:sz w:val="24"/>
                <w:szCs w:val="24"/>
              </w:rPr>
            </w:pPr>
          </w:p>
        </w:tc>
        <w:tc>
          <w:tcPr>
            <w:tcW w:w="1973" w:type="dxa"/>
            <w:vAlign w:val="center"/>
          </w:tcPr>
          <w:p>
            <w:pPr>
              <w:spacing w:line="360" w:lineRule="auto"/>
              <w:jc w:val="center"/>
              <w:rPr>
                <w:rFonts w:ascii="仿宋" w:hAnsi="仿宋" w:eastAsia="仿宋" w:cs="仿宋"/>
                <w:sz w:val="24"/>
                <w:szCs w:val="24"/>
              </w:rPr>
            </w:pPr>
          </w:p>
        </w:tc>
        <w:tc>
          <w:tcPr>
            <w:tcW w:w="1584" w:type="dxa"/>
            <w:gridSpan w:val="2"/>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ascii="仿宋" w:hAnsi="仿宋" w:eastAsia="仿宋" w:cs="仿宋"/>
                <w:sz w:val="24"/>
                <w:szCs w:val="24"/>
              </w:rPr>
            </w:pPr>
          </w:p>
        </w:tc>
        <w:tc>
          <w:tcPr>
            <w:tcW w:w="1293" w:type="dxa"/>
            <w:vAlign w:val="center"/>
          </w:tcPr>
          <w:p>
            <w:pPr>
              <w:spacing w:line="360" w:lineRule="auto"/>
              <w:jc w:val="center"/>
              <w:rPr>
                <w:rFonts w:ascii="仿宋" w:hAnsi="仿宋" w:eastAsia="仿宋" w:cs="仿宋"/>
                <w:sz w:val="24"/>
                <w:szCs w:val="24"/>
              </w:rPr>
            </w:pPr>
          </w:p>
        </w:tc>
        <w:tc>
          <w:tcPr>
            <w:tcW w:w="1275" w:type="dxa"/>
            <w:gridSpan w:val="2"/>
            <w:vAlign w:val="center"/>
          </w:tcPr>
          <w:p>
            <w:pPr>
              <w:spacing w:line="360" w:lineRule="auto"/>
              <w:jc w:val="center"/>
              <w:rPr>
                <w:rFonts w:ascii="仿宋" w:hAnsi="仿宋" w:eastAsia="仿宋" w:cs="仿宋"/>
                <w:sz w:val="24"/>
                <w:szCs w:val="24"/>
              </w:rPr>
            </w:pPr>
          </w:p>
        </w:tc>
        <w:tc>
          <w:tcPr>
            <w:tcW w:w="1472" w:type="dxa"/>
            <w:vAlign w:val="center"/>
          </w:tcPr>
          <w:p>
            <w:pPr>
              <w:spacing w:line="360" w:lineRule="auto"/>
              <w:jc w:val="center"/>
              <w:rPr>
                <w:rFonts w:ascii="仿宋" w:hAnsi="仿宋" w:eastAsia="仿宋" w:cs="仿宋"/>
                <w:sz w:val="24"/>
                <w:szCs w:val="24"/>
              </w:rPr>
            </w:pPr>
          </w:p>
        </w:tc>
        <w:tc>
          <w:tcPr>
            <w:tcW w:w="1973" w:type="dxa"/>
            <w:vAlign w:val="center"/>
          </w:tcPr>
          <w:p>
            <w:pPr>
              <w:spacing w:line="360" w:lineRule="auto"/>
              <w:jc w:val="center"/>
              <w:rPr>
                <w:rFonts w:ascii="仿宋" w:hAnsi="仿宋" w:eastAsia="仿宋" w:cs="仿宋"/>
                <w:sz w:val="24"/>
                <w:szCs w:val="24"/>
              </w:rPr>
            </w:pPr>
          </w:p>
        </w:tc>
        <w:tc>
          <w:tcPr>
            <w:tcW w:w="1584" w:type="dxa"/>
            <w:gridSpan w:val="2"/>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jc w:val="center"/>
              <w:rPr>
                <w:rFonts w:ascii="仿宋" w:hAnsi="仿宋" w:eastAsia="仿宋" w:cs="仿宋"/>
                <w:sz w:val="24"/>
                <w:szCs w:val="24"/>
              </w:rPr>
            </w:pPr>
          </w:p>
        </w:tc>
        <w:tc>
          <w:tcPr>
            <w:tcW w:w="1293" w:type="dxa"/>
            <w:vAlign w:val="center"/>
          </w:tcPr>
          <w:p>
            <w:pPr>
              <w:spacing w:line="360" w:lineRule="auto"/>
              <w:jc w:val="center"/>
              <w:rPr>
                <w:rFonts w:ascii="仿宋" w:hAnsi="仿宋" w:eastAsia="仿宋" w:cs="仿宋"/>
                <w:sz w:val="24"/>
                <w:szCs w:val="24"/>
              </w:rPr>
            </w:pPr>
          </w:p>
        </w:tc>
        <w:tc>
          <w:tcPr>
            <w:tcW w:w="1275" w:type="dxa"/>
            <w:gridSpan w:val="2"/>
            <w:vAlign w:val="center"/>
          </w:tcPr>
          <w:p>
            <w:pPr>
              <w:spacing w:line="360" w:lineRule="auto"/>
              <w:jc w:val="center"/>
              <w:rPr>
                <w:rFonts w:ascii="仿宋" w:hAnsi="仿宋" w:eastAsia="仿宋" w:cs="仿宋"/>
                <w:sz w:val="24"/>
                <w:szCs w:val="24"/>
              </w:rPr>
            </w:pPr>
          </w:p>
        </w:tc>
        <w:tc>
          <w:tcPr>
            <w:tcW w:w="1472" w:type="dxa"/>
            <w:vAlign w:val="center"/>
          </w:tcPr>
          <w:p>
            <w:pPr>
              <w:spacing w:line="360" w:lineRule="auto"/>
              <w:jc w:val="center"/>
              <w:rPr>
                <w:rFonts w:ascii="仿宋" w:hAnsi="仿宋" w:eastAsia="仿宋" w:cs="仿宋"/>
                <w:sz w:val="24"/>
                <w:szCs w:val="24"/>
              </w:rPr>
            </w:pPr>
          </w:p>
        </w:tc>
        <w:tc>
          <w:tcPr>
            <w:tcW w:w="1973" w:type="dxa"/>
            <w:vAlign w:val="center"/>
          </w:tcPr>
          <w:p>
            <w:pPr>
              <w:spacing w:line="360" w:lineRule="auto"/>
              <w:jc w:val="center"/>
              <w:rPr>
                <w:rFonts w:ascii="仿宋" w:hAnsi="仿宋" w:eastAsia="仿宋" w:cs="仿宋"/>
                <w:sz w:val="24"/>
                <w:szCs w:val="24"/>
              </w:rPr>
            </w:pPr>
          </w:p>
        </w:tc>
        <w:tc>
          <w:tcPr>
            <w:tcW w:w="1584" w:type="dxa"/>
            <w:gridSpan w:val="2"/>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仿宋" w:hAnsi="仿宋" w:eastAsia="仿宋" w:cs="仿宋"/>
                <w:sz w:val="24"/>
                <w:szCs w:val="24"/>
              </w:rPr>
            </w:pPr>
            <w:r>
              <w:rPr>
                <w:rFonts w:hint="eastAsia" w:ascii="仿宋" w:hAnsi="仿宋" w:eastAsia="仿宋" w:cs="仿宋"/>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仿宋" w:hAnsi="仿宋" w:eastAsia="仿宋" w:cs="仿宋"/>
                <w:sz w:val="24"/>
                <w:szCs w:val="24"/>
              </w:rPr>
            </w:pPr>
            <w:r>
              <w:rPr>
                <w:rFonts w:hint="eastAsia" w:ascii="仿宋" w:hAnsi="仿宋" w:eastAsia="仿宋" w:cs="仿宋"/>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仿宋" w:hAnsi="仿宋" w:eastAsia="仿宋" w:cs="仿宋"/>
                <w:sz w:val="24"/>
                <w:szCs w:val="24"/>
              </w:rPr>
            </w:pPr>
            <w:r>
              <w:rPr>
                <w:rFonts w:hint="eastAsia" w:ascii="仿宋" w:hAnsi="仿宋" w:eastAsia="仿宋" w:cs="仿宋"/>
                <w:sz w:val="24"/>
                <w:szCs w:val="24"/>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360" w:lineRule="auto"/>
              <w:rPr>
                <w:rFonts w:ascii="仿宋" w:hAnsi="仿宋" w:eastAsia="仿宋" w:cs="仿宋"/>
                <w:sz w:val="24"/>
                <w:szCs w:val="24"/>
              </w:rPr>
            </w:pPr>
            <w:r>
              <w:rPr>
                <w:rFonts w:hint="eastAsia" w:ascii="仿宋" w:hAnsi="仿宋" w:eastAsia="仿宋" w:cs="仿宋"/>
                <w:sz w:val="24"/>
                <w:szCs w:val="24"/>
              </w:rPr>
              <w:t>二、服务内容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360" w:lineRule="auto"/>
              <w:rPr>
                <w:rFonts w:ascii="仿宋" w:hAnsi="仿宋" w:eastAsia="仿宋" w:cs="仿宋"/>
                <w:sz w:val="24"/>
                <w:szCs w:val="24"/>
              </w:rPr>
            </w:pPr>
            <w:r>
              <w:rPr>
                <w:rFonts w:hint="eastAsia" w:ascii="仿宋" w:hAnsi="仿宋" w:eastAsia="仿宋" w:cs="仿宋"/>
                <w:sz w:val="24"/>
                <w:szCs w:val="24"/>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仿宋" w:hAnsi="仿宋" w:eastAsia="仿宋" w:cs="仿宋"/>
                <w:sz w:val="24"/>
                <w:szCs w:val="24"/>
              </w:rPr>
            </w:pPr>
            <w:r>
              <w:rPr>
                <w:rFonts w:hint="eastAsia" w:ascii="仿宋" w:hAnsi="仿宋" w:eastAsia="仿宋" w:cs="仿宋"/>
                <w:sz w:val="24"/>
                <w:szCs w:val="24"/>
              </w:rPr>
              <w:t>四、违约责任：</w:t>
            </w:r>
          </w:p>
          <w:p>
            <w:pPr>
              <w:spacing w:line="360" w:lineRule="auto"/>
              <w:rPr>
                <w:rFonts w:ascii="仿宋" w:hAnsi="仿宋" w:eastAsia="仿宋" w:cs="仿宋"/>
                <w:sz w:val="24"/>
                <w:szCs w:val="24"/>
              </w:rPr>
            </w:pPr>
            <w:r>
              <w:rPr>
                <w:rFonts w:hint="eastAsia" w:ascii="仿宋" w:hAnsi="仿宋" w:eastAsia="仿宋" w:cs="仿宋"/>
                <w:sz w:val="24"/>
                <w:szCs w:val="24"/>
              </w:rPr>
              <w:t>按《民法典》、《政府采购法》执行，或按双方约定。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仿宋" w:hAnsi="仿宋" w:eastAsia="仿宋" w:cs="仿宋"/>
                <w:sz w:val="24"/>
                <w:szCs w:val="24"/>
              </w:rPr>
            </w:pPr>
            <w:r>
              <w:rPr>
                <w:rFonts w:hint="eastAsia" w:ascii="仿宋" w:hAnsi="仿宋" w:eastAsia="仿宋" w:cs="仿宋"/>
                <w:sz w:val="24"/>
                <w:szCs w:val="24"/>
              </w:rPr>
              <w:t>五、其他约定事项：</w:t>
            </w:r>
          </w:p>
          <w:p>
            <w:pPr>
              <w:spacing w:line="360" w:lineRule="auto"/>
              <w:rPr>
                <w:rFonts w:ascii="仿宋" w:hAnsi="仿宋" w:eastAsia="仿宋" w:cs="仿宋"/>
                <w:sz w:val="24"/>
                <w:szCs w:val="24"/>
              </w:rPr>
            </w:pPr>
            <w:r>
              <w:rPr>
                <w:rFonts w:hint="eastAsia" w:ascii="仿宋" w:hAnsi="仿宋" w:eastAsia="仿宋" w:cs="仿宋"/>
                <w:sz w:val="24"/>
                <w:szCs w:val="24"/>
              </w:rPr>
              <w:t>1.采购文件及其补遗文件、投标文件和承诺是本合同不可分割的部分。</w:t>
            </w:r>
          </w:p>
          <w:p>
            <w:pPr>
              <w:spacing w:line="360" w:lineRule="auto"/>
              <w:rPr>
                <w:rFonts w:ascii="仿宋" w:hAnsi="仿宋" w:eastAsia="仿宋" w:cs="仿宋"/>
                <w:sz w:val="24"/>
                <w:szCs w:val="24"/>
              </w:rPr>
            </w:pPr>
            <w:r>
              <w:rPr>
                <w:rFonts w:hint="eastAsia" w:ascii="仿宋" w:hAnsi="仿宋" w:eastAsia="仿宋" w:cs="仿宋"/>
                <w:sz w:val="24"/>
                <w:szCs w:val="24"/>
              </w:rPr>
              <w:t>2.本合同如发生争议由双方协商解决，协商不成向需方所在地仲裁机构提请仲裁。</w:t>
            </w:r>
          </w:p>
          <w:p>
            <w:pPr>
              <w:spacing w:line="360" w:lineRule="auto"/>
              <w:rPr>
                <w:rFonts w:ascii="仿宋" w:hAnsi="仿宋" w:eastAsia="仿宋" w:cs="仿宋"/>
                <w:sz w:val="24"/>
                <w:szCs w:val="24"/>
              </w:rPr>
            </w:pPr>
            <w:r>
              <w:rPr>
                <w:rFonts w:hint="eastAsia" w:ascii="仿宋" w:hAnsi="仿宋" w:eastAsia="仿宋" w:cs="仿宋"/>
                <w:sz w:val="24"/>
                <w:szCs w:val="24"/>
              </w:rPr>
              <w:t>3.本合同一式__份， 需方__份，供方__份，具备同等法律效力。</w:t>
            </w:r>
          </w:p>
          <w:p>
            <w:pPr>
              <w:spacing w:line="360" w:lineRule="auto"/>
              <w:rPr>
                <w:rFonts w:ascii="仿宋" w:hAnsi="仿宋" w:eastAsia="仿宋" w:cs="仿宋"/>
                <w:sz w:val="24"/>
                <w:szCs w:val="24"/>
              </w:rPr>
            </w:pPr>
            <w:r>
              <w:rPr>
                <w:rFonts w:hint="eastAsia" w:ascii="仿宋" w:hAnsi="仿宋" w:eastAsia="仿宋" w:cs="仿宋"/>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仿宋" w:hAnsi="仿宋" w:eastAsia="仿宋" w:cs="仿宋"/>
                <w:sz w:val="24"/>
                <w:szCs w:val="24"/>
              </w:rPr>
            </w:pPr>
            <w:r>
              <w:rPr>
                <w:rFonts w:hint="eastAsia" w:ascii="仿宋" w:hAnsi="仿宋" w:eastAsia="仿宋" w:cs="仿宋"/>
                <w:sz w:val="24"/>
                <w:szCs w:val="24"/>
              </w:rPr>
              <w:t>需方：</w:t>
            </w:r>
          </w:p>
          <w:p>
            <w:pPr>
              <w:spacing w:line="360" w:lineRule="auto"/>
              <w:rPr>
                <w:rFonts w:ascii="仿宋" w:hAnsi="仿宋" w:eastAsia="仿宋" w:cs="仿宋"/>
                <w:sz w:val="24"/>
                <w:szCs w:val="24"/>
              </w:rPr>
            </w:pPr>
            <w:r>
              <w:rPr>
                <w:rFonts w:hint="eastAsia" w:ascii="仿宋" w:hAnsi="仿宋" w:eastAsia="仿宋" w:cs="仿宋"/>
                <w:sz w:val="24"/>
                <w:szCs w:val="24"/>
              </w:rPr>
              <w:t>地址：</w:t>
            </w:r>
          </w:p>
          <w:p>
            <w:pPr>
              <w:spacing w:line="360" w:lineRule="auto"/>
              <w:rPr>
                <w:rFonts w:ascii="仿宋" w:hAnsi="仿宋" w:eastAsia="仿宋" w:cs="仿宋"/>
                <w:sz w:val="24"/>
                <w:szCs w:val="24"/>
              </w:rPr>
            </w:pPr>
            <w:r>
              <w:rPr>
                <w:rFonts w:hint="eastAsia" w:ascii="仿宋" w:hAnsi="仿宋" w:eastAsia="仿宋" w:cs="仿宋"/>
                <w:sz w:val="24"/>
                <w:szCs w:val="24"/>
              </w:rPr>
              <w:t>联系电话：</w:t>
            </w:r>
          </w:p>
          <w:p>
            <w:pPr>
              <w:spacing w:line="360" w:lineRule="auto"/>
              <w:rPr>
                <w:rFonts w:ascii="仿宋" w:hAnsi="仿宋" w:eastAsia="仿宋" w:cs="仿宋"/>
                <w:sz w:val="24"/>
                <w:szCs w:val="24"/>
              </w:rPr>
            </w:pPr>
            <w:r>
              <w:rPr>
                <w:rFonts w:hint="eastAsia" w:ascii="仿宋" w:hAnsi="仿宋" w:eastAsia="仿宋" w:cs="仿宋"/>
                <w:sz w:val="24"/>
                <w:szCs w:val="24"/>
              </w:rPr>
              <w:t>授权代表：</w:t>
            </w:r>
          </w:p>
        </w:tc>
        <w:tc>
          <w:tcPr>
            <w:tcW w:w="5125" w:type="dxa"/>
            <w:gridSpan w:val="5"/>
          </w:tcPr>
          <w:p>
            <w:pPr>
              <w:spacing w:line="360" w:lineRule="auto"/>
              <w:rPr>
                <w:rFonts w:ascii="仿宋" w:hAnsi="仿宋" w:eastAsia="仿宋" w:cs="仿宋"/>
                <w:sz w:val="24"/>
                <w:szCs w:val="24"/>
              </w:rPr>
            </w:pPr>
            <w:r>
              <w:rPr>
                <w:rFonts w:hint="eastAsia" w:ascii="仿宋" w:hAnsi="仿宋" w:eastAsia="仿宋" w:cs="仿宋"/>
                <w:sz w:val="24"/>
                <w:szCs w:val="24"/>
              </w:rPr>
              <w:t>供方：</w:t>
            </w:r>
          </w:p>
          <w:p>
            <w:pPr>
              <w:spacing w:line="360" w:lineRule="auto"/>
              <w:rPr>
                <w:rFonts w:ascii="仿宋" w:hAnsi="仿宋" w:eastAsia="仿宋" w:cs="仿宋"/>
                <w:sz w:val="24"/>
                <w:szCs w:val="24"/>
              </w:rPr>
            </w:pPr>
            <w:r>
              <w:rPr>
                <w:rFonts w:hint="eastAsia" w:ascii="仿宋" w:hAnsi="仿宋" w:eastAsia="仿宋" w:cs="仿宋"/>
                <w:sz w:val="24"/>
                <w:szCs w:val="24"/>
              </w:rPr>
              <w:t>地址：</w:t>
            </w:r>
          </w:p>
          <w:p>
            <w:pPr>
              <w:spacing w:line="360" w:lineRule="auto"/>
              <w:rPr>
                <w:rFonts w:ascii="仿宋" w:hAnsi="仿宋" w:eastAsia="仿宋" w:cs="仿宋"/>
                <w:sz w:val="24"/>
                <w:szCs w:val="24"/>
              </w:rPr>
            </w:pPr>
            <w:r>
              <w:rPr>
                <w:rFonts w:hint="eastAsia" w:ascii="仿宋" w:hAnsi="仿宋" w:eastAsia="仿宋" w:cs="仿宋"/>
                <w:sz w:val="24"/>
                <w:szCs w:val="24"/>
              </w:rPr>
              <w:t>电话：</w:t>
            </w:r>
          </w:p>
          <w:p>
            <w:pPr>
              <w:spacing w:line="360" w:lineRule="auto"/>
              <w:rPr>
                <w:rFonts w:ascii="仿宋" w:hAnsi="仿宋" w:eastAsia="仿宋" w:cs="仿宋"/>
                <w:sz w:val="24"/>
                <w:szCs w:val="24"/>
              </w:rPr>
            </w:pPr>
            <w:r>
              <w:rPr>
                <w:rFonts w:hint="eastAsia" w:ascii="仿宋" w:hAnsi="仿宋" w:eastAsia="仿宋" w:cs="仿宋"/>
                <w:sz w:val="24"/>
                <w:szCs w:val="24"/>
              </w:rPr>
              <w:t>传真：</w:t>
            </w:r>
          </w:p>
          <w:p>
            <w:pPr>
              <w:spacing w:line="360" w:lineRule="auto"/>
              <w:rPr>
                <w:rFonts w:ascii="仿宋" w:hAnsi="仿宋" w:eastAsia="仿宋" w:cs="仿宋"/>
                <w:sz w:val="24"/>
                <w:szCs w:val="24"/>
              </w:rPr>
            </w:pPr>
            <w:r>
              <w:rPr>
                <w:rFonts w:hint="eastAsia" w:ascii="仿宋" w:hAnsi="仿宋" w:eastAsia="仿宋" w:cs="仿宋"/>
                <w:sz w:val="24"/>
                <w:szCs w:val="24"/>
              </w:rPr>
              <w:t>开户银行：</w:t>
            </w:r>
          </w:p>
          <w:p>
            <w:pPr>
              <w:spacing w:line="360" w:lineRule="auto"/>
              <w:rPr>
                <w:rFonts w:ascii="仿宋" w:hAnsi="仿宋" w:eastAsia="仿宋" w:cs="仿宋"/>
                <w:sz w:val="24"/>
                <w:szCs w:val="24"/>
              </w:rPr>
            </w:pPr>
            <w:r>
              <w:rPr>
                <w:rFonts w:hint="eastAsia" w:ascii="仿宋" w:hAnsi="仿宋" w:eastAsia="仿宋" w:cs="仿宋"/>
                <w:sz w:val="24"/>
                <w:szCs w:val="24"/>
              </w:rPr>
              <w:t>账号：</w:t>
            </w:r>
          </w:p>
          <w:p>
            <w:pPr>
              <w:spacing w:line="360" w:lineRule="auto"/>
              <w:rPr>
                <w:rFonts w:ascii="仿宋" w:hAnsi="仿宋" w:eastAsia="仿宋" w:cs="仿宋"/>
                <w:sz w:val="24"/>
                <w:szCs w:val="24"/>
              </w:rPr>
            </w:pPr>
            <w:r>
              <w:rPr>
                <w:rFonts w:hint="eastAsia" w:ascii="仿宋" w:hAnsi="仿宋" w:eastAsia="仿宋" w:cs="仿宋"/>
                <w:sz w:val="24"/>
                <w:szCs w:val="24"/>
              </w:rPr>
              <w:t>授权代表：</w:t>
            </w:r>
          </w:p>
          <w:p>
            <w:pPr>
              <w:widowControl/>
              <w:spacing w:line="360" w:lineRule="auto"/>
              <w:jc w:val="left"/>
              <w:rPr>
                <w:rFonts w:ascii="仿宋" w:hAnsi="仿宋" w:eastAsia="仿宋" w:cs="仿宋"/>
                <w:sz w:val="24"/>
                <w:szCs w:val="24"/>
              </w:rPr>
            </w:pPr>
            <w:r>
              <w:rPr>
                <w:rFonts w:hint="eastAsia" w:ascii="仿宋" w:hAnsi="仿宋" w:eastAsia="仿宋" w:cs="仿宋"/>
                <w:sz w:val="24"/>
                <w:szCs w:val="24"/>
              </w:rPr>
              <w:t>（本栏请用计算机打印以便于准确付款）</w:t>
            </w:r>
          </w:p>
        </w:tc>
      </w:tr>
    </w:tbl>
    <w:p>
      <w:pPr>
        <w:pStyle w:val="22"/>
        <w:spacing w:line="360" w:lineRule="auto"/>
        <w:rPr>
          <w:rFonts w:ascii="仿宋" w:hAnsi="仿宋" w:eastAsia="仿宋" w:cs="仿宋"/>
          <w:sz w:val="24"/>
          <w:szCs w:val="24"/>
        </w:rPr>
      </w:pPr>
    </w:p>
    <w:p>
      <w:pPr>
        <w:pStyle w:val="22"/>
        <w:spacing w:line="360" w:lineRule="auto"/>
        <w:rPr>
          <w:rFonts w:ascii="仿宋" w:hAnsi="仿宋" w:eastAsia="仿宋" w:cs="仿宋"/>
          <w:sz w:val="24"/>
          <w:szCs w:val="24"/>
        </w:rPr>
      </w:pPr>
    </w:p>
    <w:p>
      <w:pPr>
        <w:pStyle w:val="22"/>
        <w:spacing w:line="360" w:lineRule="auto"/>
        <w:rPr>
          <w:rFonts w:ascii="仿宋" w:hAnsi="仿宋" w:eastAsia="仿宋" w:cs="仿宋"/>
          <w:sz w:val="24"/>
          <w:szCs w:val="24"/>
        </w:rPr>
      </w:pPr>
    </w:p>
    <w:p>
      <w:pPr>
        <w:pStyle w:val="22"/>
        <w:spacing w:line="360" w:lineRule="auto"/>
        <w:rPr>
          <w:rFonts w:ascii="仿宋" w:hAnsi="仿宋" w:eastAsia="仿宋" w:cs="仿宋"/>
          <w:sz w:val="24"/>
          <w:szCs w:val="24"/>
        </w:rPr>
      </w:pPr>
    </w:p>
    <w:p>
      <w:pPr>
        <w:pStyle w:val="22"/>
        <w:spacing w:line="360" w:lineRule="auto"/>
        <w:rPr>
          <w:rFonts w:ascii="仿宋" w:hAnsi="仿宋" w:eastAsia="仿宋" w:cs="仿宋"/>
        </w:rPr>
      </w:pPr>
      <w:r>
        <w:rPr>
          <w:rFonts w:hint="eastAsia" w:ascii="仿宋" w:hAnsi="仿宋" w:eastAsia="仿宋" w:cs="仿宋"/>
          <w:sz w:val="24"/>
          <w:szCs w:val="24"/>
        </w:rPr>
        <w:t>签约时间：           年   月   日      签约地点：</w:t>
      </w:r>
    </w:p>
    <w:p>
      <w:pPr>
        <w:pStyle w:val="2"/>
        <w:spacing w:before="240" w:after="120" w:line="360" w:lineRule="auto"/>
        <w:outlineLvl w:val="9"/>
        <w:rPr>
          <w:rFonts w:ascii="仿宋" w:hAnsi="仿宋" w:eastAsia="仿宋" w:cs="仿宋"/>
          <w:color w:val="000000" w:themeColor="text1"/>
          <w14:textFill>
            <w14:solidFill>
              <w14:schemeClr w14:val="tx1"/>
            </w14:solidFill>
          </w14:textFill>
        </w:rPr>
      </w:pPr>
    </w:p>
    <w:p>
      <w:pPr>
        <w:pStyle w:val="2"/>
        <w:spacing w:before="240" w:after="120" w:line="360" w:lineRule="auto"/>
        <w:outlineLvl w:val="9"/>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28"/>
      </w:pPr>
    </w:p>
    <w:p>
      <w:pPr>
        <w:pStyle w:val="2"/>
        <w:spacing w:before="240" w:after="120" w:line="360" w:lineRule="auto"/>
        <w:rPr>
          <w:rFonts w:hint="default" w:ascii="仿宋" w:hAnsi="仿宋" w:eastAsia="仿宋" w:cs="仿宋"/>
          <w:b/>
          <w:color w:val="000000" w:themeColor="text1"/>
          <w:sz w:val="24"/>
          <w:szCs w:val="24"/>
          <w:lang w:val="en-US" w:eastAsia="zh-CN"/>
          <w14:textFill>
            <w14:solidFill>
              <w14:schemeClr w14:val="tx1"/>
            </w14:solidFill>
          </w14:textFill>
        </w:rPr>
      </w:pPr>
      <w:bookmarkStart w:id="465" w:name="_Toc16603"/>
      <w:bookmarkStart w:id="466" w:name="_Toc5409"/>
      <w:r>
        <w:rPr>
          <w:rFonts w:hint="eastAsia" w:ascii="仿宋" w:hAnsi="仿宋" w:eastAsia="仿宋" w:cs="仿宋"/>
          <w:color w:val="000000" w:themeColor="text1"/>
          <w14:textFill>
            <w14:solidFill>
              <w14:schemeClr w14:val="tx1"/>
            </w14:solidFill>
          </w14:textFill>
        </w:rPr>
        <w:t>第七篇  投标文件格式</w:t>
      </w:r>
      <w:bookmarkEnd w:id="425"/>
      <w:bookmarkEnd w:id="426"/>
      <w:bookmarkEnd w:id="427"/>
      <w:bookmarkEnd w:id="428"/>
      <w:bookmarkEnd w:id="465"/>
      <w:bookmarkEnd w:id="466"/>
    </w:p>
    <w:p>
      <w:pPr>
        <w:snapToGrid w:val="0"/>
        <w:spacing w:line="440" w:lineRule="exact"/>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一</w:t>
      </w:r>
      <w:r>
        <w:rPr>
          <w:rFonts w:hint="eastAsia" w:ascii="仿宋" w:hAnsi="仿宋" w:eastAsia="仿宋" w:cs="仿宋"/>
          <w:b/>
          <w:color w:val="000000" w:themeColor="text1"/>
          <w:sz w:val="24"/>
          <w:szCs w:val="24"/>
          <w14:textFill>
            <w14:solidFill>
              <w14:schemeClr w14:val="tx1"/>
            </w14:solidFill>
          </w14:textFill>
        </w:rPr>
        <w:t>、经济文件</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（一）报价函</w:t>
      </w:r>
    </w:p>
    <w:p>
      <w:pPr>
        <w:snapToGrid w:val="0"/>
        <w:spacing w:line="440" w:lineRule="exact"/>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（二）明细报价表</w:t>
      </w:r>
    </w:p>
    <w:p>
      <w:pPr>
        <w:snapToGrid w:val="0"/>
        <w:spacing w:line="44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467" w:name="_Toc11"/>
      <w:bookmarkStart w:id="468" w:name="_Toc22163"/>
      <w:bookmarkStart w:id="469" w:name="_Toc8669"/>
      <w:r>
        <w:rPr>
          <w:rFonts w:hint="eastAsia" w:ascii="仿宋" w:hAnsi="仿宋" w:eastAsia="仿宋" w:cs="仿宋"/>
          <w:b/>
          <w:color w:val="000000" w:themeColor="text1"/>
          <w:sz w:val="24"/>
          <w:szCs w:val="24"/>
          <w:lang w:val="en-US" w:eastAsia="zh-CN"/>
          <w14:textFill>
            <w14:solidFill>
              <w14:schemeClr w14:val="tx1"/>
            </w14:solidFill>
          </w14:textFill>
        </w:rPr>
        <w:t>二</w:t>
      </w:r>
      <w:r>
        <w:rPr>
          <w:rFonts w:hint="eastAsia" w:ascii="仿宋" w:hAnsi="仿宋" w:eastAsia="仿宋" w:cs="仿宋"/>
          <w:b/>
          <w:color w:val="000000" w:themeColor="text1"/>
          <w:sz w:val="24"/>
          <w:szCs w:val="24"/>
          <w14:textFill>
            <w14:solidFill>
              <w14:schemeClr w14:val="tx1"/>
            </w14:solidFill>
          </w14:textFill>
        </w:rPr>
        <w:t>、技术文件</w:t>
      </w:r>
      <w:bookmarkEnd w:id="467"/>
      <w:bookmarkEnd w:id="468"/>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（一）服务条款差异表</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（二）技术方案（格式自拟）</w:t>
      </w:r>
    </w:p>
    <w:p>
      <w:pPr>
        <w:snapToGrid w:val="0"/>
        <w:spacing w:line="440" w:lineRule="exact"/>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（三）技术部分评分对应证明材料（如有）</w:t>
      </w:r>
    </w:p>
    <w:p>
      <w:pPr>
        <w:snapToGrid w:val="0"/>
        <w:spacing w:line="44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470" w:name="_Toc28157"/>
      <w:r>
        <w:rPr>
          <w:rFonts w:hint="eastAsia" w:ascii="仿宋" w:hAnsi="仿宋" w:eastAsia="仿宋" w:cs="仿宋"/>
          <w:b/>
          <w:color w:val="000000" w:themeColor="text1"/>
          <w:sz w:val="24"/>
          <w:szCs w:val="24"/>
          <w:lang w:val="en-US" w:eastAsia="zh-CN"/>
          <w14:textFill>
            <w14:solidFill>
              <w14:schemeClr w14:val="tx1"/>
            </w14:solidFill>
          </w14:textFill>
        </w:rPr>
        <w:t>三</w:t>
      </w:r>
      <w:r>
        <w:rPr>
          <w:rFonts w:hint="eastAsia" w:ascii="仿宋" w:hAnsi="仿宋" w:eastAsia="仿宋" w:cs="仿宋"/>
          <w:b/>
          <w:color w:val="000000" w:themeColor="text1"/>
          <w:sz w:val="24"/>
          <w:szCs w:val="24"/>
          <w14:textFill>
            <w14:solidFill>
              <w14:schemeClr w14:val="tx1"/>
            </w14:solidFill>
          </w14:textFill>
        </w:rPr>
        <w:t>、商务文件</w:t>
      </w:r>
      <w:bookmarkEnd w:id="469"/>
      <w:bookmarkEnd w:id="470"/>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（一）投标函（格式）</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（二）商务条款差异表</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（三）商务部分评分对应证明材料（如有）</w:t>
      </w:r>
    </w:p>
    <w:p>
      <w:pPr>
        <w:tabs>
          <w:tab w:val="left" w:pos="1764"/>
        </w:tabs>
        <w:snapToGrid w:val="0"/>
        <w:spacing w:line="44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471" w:name="_Toc28694"/>
      <w:bookmarkStart w:id="472" w:name="_Toc3683"/>
      <w:r>
        <w:rPr>
          <w:rFonts w:hint="eastAsia" w:ascii="仿宋" w:hAnsi="仿宋" w:eastAsia="仿宋" w:cs="仿宋"/>
          <w:b/>
          <w:color w:val="000000" w:themeColor="text1"/>
          <w:sz w:val="24"/>
          <w:szCs w:val="24"/>
          <w:lang w:val="en-US" w:eastAsia="zh-CN"/>
          <w14:textFill>
            <w14:solidFill>
              <w14:schemeClr w14:val="tx1"/>
            </w14:solidFill>
          </w14:textFill>
        </w:rPr>
        <w:t>四</w:t>
      </w:r>
      <w:r>
        <w:rPr>
          <w:rFonts w:hint="eastAsia" w:ascii="仿宋" w:hAnsi="仿宋" w:eastAsia="仿宋" w:cs="仿宋"/>
          <w:b/>
          <w:color w:val="000000" w:themeColor="text1"/>
          <w:sz w:val="24"/>
          <w:szCs w:val="24"/>
          <w14:textFill>
            <w14:solidFill>
              <w14:schemeClr w14:val="tx1"/>
            </w14:solidFill>
          </w14:textFill>
        </w:rPr>
        <w:t>、其他</w:t>
      </w:r>
      <w:bookmarkEnd w:id="471"/>
      <w:bookmarkEnd w:id="472"/>
    </w:p>
    <w:p>
      <w:pPr>
        <w:tabs>
          <w:tab w:val="left" w:pos="6300"/>
        </w:tabs>
        <w:snapToGrid w:val="0"/>
        <w:spacing w:line="50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（一）投标保证金缴纳情况证明文件</w:t>
      </w:r>
    </w:p>
    <w:p>
      <w:pPr>
        <w:tabs>
          <w:tab w:val="left" w:pos="6300"/>
        </w:tabs>
        <w:snapToGrid w:val="0"/>
        <w:spacing w:line="50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（二）其他与项目有关的资料（自附）</w:t>
      </w:r>
    </w:p>
    <w:p>
      <w:pPr>
        <w:snapToGrid w:val="0"/>
        <w:spacing w:line="440" w:lineRule="exact"/>
        <w:ind w:firstLine="482" w:firstLineChars="200"/>
        <w:outlineLvl w:val="0"/>
        <w:rPr>
          <w:rFonts w:ascii="仿宋" w:hAnsi="仿宋" w:eastAsia="仿宋" w:cs="仿宋"/>
          <w:b/>
          <w:color w:val="000000" w:themeColor="text1"/>
          <w:sz w:val="24"/>
          <w:szCs w:val="24"/>
          <w14:textFill>
            <w14:solidFill>
              <w14:schemeClr w14:val="tx1"/>
            </w14:solidFill>
          </w14:textFill>
        </w:rPr>
      </w:pPr>
      <w:bookmarkStart w:id="473" w:name="_Toc28940"/>
      <w:bookmarkStart w:id="474" w:name="_Toc23218"/>
      <w:r>
        <w:rPr>
          <w:rFonts w:hint="eastAsia" w:ascii="仿宋" w:hAnsi="仿宋" w:eastAsia="仿宋" w:cs="仿宋"/>
          <w:b/>
          <w:color w:val="000000" w:themeColor="text1"/>
          <w:sz w:val="24"/>
          <w:szCs w:val="24"/>
          <w:lang w:val="en-US" w:eastAsia="zh-CN"/>
          <w14:textFill>
            <w14:solidFill>
              <w14:schemeClr w14:val="tx1"/>
            </w14:solidFill>
          </w14:textFill>
        </w:rPr>
        <w:t>五</w:t>
      </w:r>
      <w:r>
        <w:rPr>
          <w:rFonts w:hint="eastAsia" w:ascii="仿宋" w:hAnsi="仿宋" w:eastAsia="仿宋" w:cs="仿宋"/>
          <w:b/>
          <w:color w:val="000000" w:themeColor="text1"/>
          <w:sz w:val="24"/>
          <w:szCs w:val="24"/>
          <w14:textFill>
            <w14:solidFill>
              <w14:schemeClr w14:val="tx1"/>
            </w14:solidFill>
          </w14:textFill>
        </w:rPr>
        <w:t>、资格文件</w:t>
      </w:r>
      <w:bookmarkEnd w:id="473"/>
      <w:bookmarkEnd w:id="474"/>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（一）法人营业执照（副本）或事业单位法人证书（副本）复印件</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（二）法定代表人身份证明书（格式）</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（三）法定代表人授权委托书（格式）</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（四）基本资格条件承诺函（格式）</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（五）特定资格条件证书或证明文件</w:t>
      </w:r>
    </w:p>
    <w:p>
      <w:pPr>
        <w:sectPr>
          <w:footerReference r:id="rId8" w:type="default"/>
          <w:pgSz w:w="11907" w:h="16840"/>
          <w:pgMar w:top="1134" w:right="1191" w:bottom="1134" w:left="1304" w:header="964" w:footer="992" w:gutter="0"/>
          <w:pgNumType w:fmt="decimal" w:start="1"/>
          <w:cols w:space="720" w:num="1"/>
          <w:docGrid w:linePitch="380" w:charSpace="-5735"/>
        </w:sectPr>
      </w:pPr>
    </w:p>
    <w:p>
      <w:pPr>
        <w:pStyle w:val="4"/>
        <w:spacing w:before="0" w:after="0" w:line="360" w:lineRule="auto"/>
        <w:jc w:val="both"/>
        <w:outlineLvl w:val="0"/>
        <w:rPr>
          <w:rFonts w:hint="eastAsia" w:ascii="仿宋" w:hAnsi="仿宋" w:eastAsia="仿宋" w:cs="仿宋"/>
          <w:sz w:val="30"/>
          <w:szCs w:val="30"/>
          <w:lang w:val="en-US" w:eastAsia="zh-CN"/>
        </w:rPr>
      </w:pPr>
      <w:bookmarkStart w:id="475" w:name="_Toc23867"/>
      <w:bookmarkStart w:id="476" w:name="_Toc31317"/>
      <w:bookmarkStart w:id="477" w:name="_Toc429584884"/>
      <w:bookmarkStart w:id="478" w:name="_Toc2817"/>
      <w:bookmarkStart w:id="479" w:name="_Toc12559"/>
    </w:p>
    <w:p>
      <w:pPr>
        <w:tabs>
          <w:tab w:val="left" w:pos="3600"/>
          <w:tab w:val="left" w:pos="4480"/>
          <w:tab w:val="left" w:pos="5360"/>
        </w:tabs>
        <w:autoSpaceDE w:val="0"/>
        <w:autoSpaceDN w:val="0"/>
        <w:adjustRightInd w:val="0"/>
        <w:snapToGrid w:val="0"/>
        <w:spacing w:line="360" w:lineRule="auto"/>
        <w:jc w:val="left"/>
        <w:rPr>
          <w:rFonts w:ascii="仿宋" w:hAnsi="仿宋" w:eastAsia="仿宋" w:cs="仿宋"/>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仿宋" w:hAnsi="仿宋" w:eastAsia="仿宋" w:cs="仿宋"/>
          <w:b/>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仿宋" w:hAnsi="仿宋" w:eastAsia="仿宋" w:cs="仿宋"/>
          <w:b/>
          <w:kern w:val="0"/>
          <w:sz w:val="44"/>
          <w:szCs w:val="44"/>
        </w:rPr>
      </w:pPr>
    </w:p>
    <w:p>
      <w:pPr>
        <w:tabs>
          <w:tab w:val="left" w:pos="3600"/>
          <w:tab w:val="left" w:pos="4480"/>
          <w:tab w:val="left" w:pos="5360"/>
        </w:tabs>
        <w:autoSpaceDE w:val="0"/>
        <w:autoSpaceDN w:val="0"/>
        <w:adjustRightInd w:val="0"/>
        <w:snapToGrid w:val="0"/>
        <w:spacing w:line="360" w:lineRule="auto"/>
        <w:jc w:val="center"/>
        <w:outlineLvl w:val="1"/>
        <w:rPr>
          <w:rFonts w:ascii="仿宋" w:hAnsi="仿宋" w:eastAsia="仿宋" w:cs="仿宋"/>
          <w:b/>
          <w:kern w:val="0"/>
          <w:sz w:val="44"/>
          <w:szCs w:val="44"/>
        </w:rPr>
      </w:pPr>
      <w:r>
        <w:rPr>
          <w:rFonts w:hint="eastAsia" w:ascii="仿宋" w:hAnsi="仿宋" w:eastAsia="仿宋" w:cs="仿宋"/>
          <w:b/>
          <w:kern w:val="0"/>
          <w:sz w:val="44"/>
          <w:szCs w:val="44"/>
          <w:u w:val="single"/>
        </w:rPr>
        <w:t xml:space="preserve">        </w:t>
      </w:r>
      <w:bookmarkStart w:id="480" w:name="_Toc10350"/>
      <w:bookmarkStart w:id="481" w:name="_Toc14075"/>
      <w:r>
        <w:rPr>
          <w:rFonts w:hint="eastAsia" w:ascii="仿宋" w:hAnsi="仿宋" w:eastAsia="仿宋" w:cs="仿宋"/>
          <w:b/>
          <w:kern w:val="0"/>
          <w:sz w:val="44"/>
          <w:szCs w:val="44"/>
          <w:u w:val="single"/>
        </w:rPr>
        <w:t>(</w:t>
      </w:r>
      <w:r>
        <w:rPr>
          <w:rFonts w:hint="eastAsia" w:ascii="仿宋" w:hAnsi="仿宋" w:eastAsia="仿宋" w:cs="仿宋"/>
          <w:b/>
          <w:kern w:val="0"/>
          <w:sz w:val="44"/>
          <w:szCs w:val="44"/>
        </w:rPr>
        <w:t>项目名称)</w:t>
      </w:r>
      <w:r>
        <w:rPr>
          <w:rFonts w:hint="eastAsia" w:ascii="仿宋" w:hAnsi="仿宋" w:eastAsia="仿宋" w:cs="仿宋"/>
          <w:b/>
          <w:kern w:val="0"/>
          <w:sz w:val="44"/>
          <w:szCs w:val="44"/>
          <w:lang w:val="en-US" w:eastAsia="zh-CN"/>
        </w:rPr>
        <w:t>投标</w:t>
      </w:r>
      <w:r>
        <w:rPr>
          <w:rFonts w:hint="eastAsia" w:ascii="仿宋" w:hAnsi="仿宋" w:eastAsia="仿宋" w:cs="仿宋"/>
          <w:b/>
          <w:kern w:val="0"/>
          <w:sz w:val="44"/>
          <w:szCs w:val="44"/>
        </w:rPr>
        <w:t>文件</w:t>
      </w:r>
      <w:bookmarkEnd w:id="480"/>
      <w:bookmarkEnd w:id="481"/>
    </w:p>
    <w:p>
      <w:pPr>
        <w:tabs>
          <w:tab w:val="left" w:pos="3600"/>
          <w:tab w:val="left" w:pos="4480"/>
          <w:tab w:val="left" w:pos="5360"/>
        </w:tabs>
        <w:autoSpaceDE w:val="0"/>
        <w:autoSpaceDN w:val="0"/>
        <w:adjustRightInd w:val="0"/>
        <w:snapToGrid w:val="0"/>
        <w:spacing w:line="360" w:lineRule="auto"/>
        <w:rPr>
          <w:rFonts w:ascii="仿宋" w:hAnsi="仿宋" w:eastAsia="仿宋" w:cs="仿宋"/>
          <w:b/>
          <w:kern w:val="0"/>
          <w:sz w:val="84"/>
          <w:szCs w:val="84"/>
        </w:rPr>
      </w:pPr>
    </w:p>
    <w:p>
      <w:pPr>
        <w:autoSpaceDE w:val="0"/>
        <w:autoSpaceDN w:val="0"/>
        <w:adjustRightInd w:val="0"/>
        <w:snapToGrid w:val="0"/>
        <w:spacing w:line="360" w:lineRule="auto"/>
        <w:jc w:val="left"/>
        <w:rPr>
          <w:rFonts w:ascii="仿宋" w:hAnsi="仿宋" w:eastAsia="仿宋" w:cs="仿宋"/>
          <w:kern w:val="0"/>
          <w:sz w:val="16"/>
          <w:szCs w:val="16"/>
        </w:rPr>
      </w:pPr>
    </w:p>
    <w:p>
      <w:pPr>
        <w:tabs>
          <w:tab w:val="left" w:pos="6904"/>
        </w:tabs>
        <w:autoSpaceDE w:val="0"/>
        <w:autoSpaceDN w:val="0"/>
        <w:adjustRightInd w:val="0"/>
        <w:snapToGrid w:val="0"/>
        <w:spacing w:line="360" w:lineRule="auto"/>
        <w:ind w:firstLine="964" w:firstLineChars="343"/>
        <w:jc w:val="left"/>
        <w:rPr>
          <w:rFonts w:ascii="仿宋" w:hAnsi="仿宋" w:eastAsia="仿宋" w:cs="仿宋"/>
          <w:b/>
          <w:kern w:val="0"/>
          <w:szCs w:val="28"/>
        </w:rPr>
      </w:pPr>
    </w:p>
    <w:p>
      <w:pPr>
        <w:autoSpaceDE w:val="0"/>
        <w:autoSpaceDN w:val="0"/>
        <w:adjustRightInd w:val="0"/>
        <w:snapToGrid w:val="0"/>
        <w:spacing w:line="360" w:lineRule="auto"/>
        <w:jc w:val="left"/>
        <w:rPr>
          <w:rFonts w:ascii="仿宋" w:hAnsi="仿宋" w:eastAsia="仿宋" w:cs="仿宋"/>
          <w:b/>
          <w:kern w:val="0"/>
          <w:sz w:val="20"/>
          <w:u w:val="single"/>
        </w:rPr>
      </w:pPr>
    </w:p>
    <w:p>
      <w:pPr>
        <w:autoSpaceDE w:val="0"/>
        <w:autoSpaceDN w:val="0"/>
        <w:adjustRightInd w:val="0"/>
        <w:snapToGrid w:val="0"/>
        <w:spacing w:line="360" w:lineRule="auto"/>
        <w:jc w:val="left"/>
        <w:rPr>
          <w:rFonts w:ascii="仿宋" w:hAnsi="仿宋" w:eastAsia="仿宋" w:cs="仿宋"/>
          <w:b/>
          <w:kern w:val="0"/>
          <w:sz w:val="20"/>
        </w:rPr>
      </w:pPr>
    </w:p>
    <w:p>
      <w:pPr>
        <w:autoSpaceDE w:val="0"/>
        <w:autoSpaceDN w:val="0"/>
        <w:adjustRightInd w:val="0"/>
        <w:snapToGrid w:val="0"/>
        <w:spacing w:line="360" w:lineRule="auto"/>
        <w:jc w:val="left"/>
        <w:rPr>
          <w:rFonts w:ascii="仿宋" w:hAnsi="仿宋" w:eastAsia="仿宋" w:cs="仿宋"/>
          <w:b/>
          <w:kern w:val="0"/>
          <w:sz w:val="20"/>
        </w:rPr>
      </w:pPr>
    </w:p>
    <w:p>
      <w:pPr>
        <w:autoSpaceDE w:val="0"/>
        <w:autoSpaceDN w:val="0"/>
        <w:adjustRightInd w:val="0"/>
        <w:snapToGrid w:val="0"/>
        <w:spacing w:line="360" w:lineRule="auto"/>
        <w:jc w:val="left"/>
        <w:rPr>
          <w:rFonts w:ascii="仿宋" w:hAnsi="仿宋" w:eastAsia="仿宋" w:cs="仿宋"/>
          <w:b/>
          <w:kern w:val="0"/>
          <w:sz w:val="20"/>
        </w:rPr>
      </w:pPr>
    </w:p>
    <w:p>
      <w:pPr>
        <w:autoSpaceDE w:val="0"/>
        <w:autoSpaceDN w:val="0"/>
        <w:adjustRightInd w:val="0"/>
        <w:snapToGrid w:val="0"/>
        <w:spacing w:line="360" w:lineRule="auto"/>
        <w:jc w:val="left"/>
        <w:rPr>
          <w:rFonts w:ascii="仿宋" w:hAnsi="仿宋" w:eastAsia="仿宋" w:cs="仿宋"/>
          <w:b/>
          <w:kern w:val="0"/>
          <w:sz w:val="20"/>
        </w:rPr>
      </w:pPr>
    </w:p>
    <w:p>
      <w:pPr>
        <w:pStyle w:val="22"/>
        <w:spacing w:line="360" w:lineRule="auto"/>
        <w:rPr>
          <w:rFonts w:ascii="仿宋" w:hAnsi="仿宋" w:eastAsia="仿宋" w:cs="仿宋"/>
        </w:rPr>
      </w:pPr>
    </w:p>
    <w:p>
      <w:pPr>
        <w:spacing w:line="360" w:lineRule="auto"/>
        <w:rPr>
          <w:rFonts w:ascii="仿宋" w:hAnsi="仿宋" w:eastAsia="仿宋" w:cs="仿宋"/>
        </w:rPr>
      </w:pPr>
    </w:p>
    <w:p>
      <w:pPr>
        <w:tabs>
          <w:tab w:val="left" w:pos="6080"/>
          <w:tab w:val="left" w:pos="6640"/>
        </w:tabs>
        <w:snapToGrid w:val="0"/>
        <w:spacing w:line="360" w:lineRule="auto"/>
        <w:ind w:firstLine="1251" w:firstLineChars="450"/>
        <w:rPr>
          <w:rFonts w:ascii="仿宋" w:hAnsi="仿宋" w:eastAsia="仿宋" w:cs="仿宋"/>
          <w:b/>
          <w:w w:val="99"/>
          <w:kern w:val="0"/>
          <w:szCs w:val="28"/>
        </w:rPr>
      </w:pPr>
      <w:r>
        <w:rPr>
          <w:rFonts w:hint="eastAsia" w:ascii="仿宋" w:hAnsi="仿宋" w:eastAsia="仿宋" w:cs="仿宋"/>
          <w:b/>
          <w:w w:val="99"/>
          <w:kern w:val="0"/>
          <w:szCs w:val="28"/>
        </w:rPr>
        <w:t>比选投标人</w:t>
      </w:r>
      <w:r>
        <w:rPr>
          <w:rFonts w:hint="eastAsia" w:ascii="仿宋" w:hAnsi="仿宋" w:eastAsia="仿宋" w:cs="仿宋"/>
          <w:b/>
          <w:spacing w:val="1"/>
          <w:w w:val="99"/>
          <w:kern w:val="0"/>
          <w:szCs w:val="28"/>
        </w:rPr>
        <w:t>：</w:t>
      </w:r>
      <w:r>
        <w:rPr>
          <w:rFonts w:hint="eastAsia" w:ascii="仿宋" w:hAnsi="仿宋" w:eastAsia="仿宋" w:cs="仿宋"/>
          <w:b/>
          <w:w w:val="198"/>
          <w:kern w:val="0"/>
          <w:szCs w:val="28"/>
          <w:u w:val="single"/>
        </w:rPr>
        <w:t xml:space="preserve"> 　　　　 　　</w:t>
      </w:r>
      <w:r>
        <w:rPr>
          <w:rFonts w:hint="eastAsia" w:ascii="仿宋" w:hAnsi="仿宋" w:eastAsia="仿宋" w:cs="仿宋"/>
          <w:b/>
          <w:w w:val="99"/>
          <w:kern w:val="0"/>
          <w:szCs w:val="28"/>
        </w:rPr>
        <w:t>（公章）</w:t>
      </w:r>
    </w:p>
    <w:p>
      <w:pPr>
        <w:tabs>
          <w:tab w:val="left" w:pos="6080"/>
          <w:tab w:val="left" w:pos="6640"/>
        </w:tabs>
        <w:snapToGrid w:val="0"/>
        <w:spacing w:line="360" w:lineRule="auto"/>
        <w:ind w:firstLine="1251" w:firstLineChars="450"/>
        <w:rPr>
          <w:rFonts w:ascii="仿宋" w:hAnsi="仿宋" w:eastAsia="仿宋" w:cs="仿宋"/>
          <w:b/>
          <w:w w:val="99"/>
          <w:kern w:val="0"/>
          <w:szCs w:val="28"/>
        </w:rPr>
      </w:pPr>
    </w:p>
    <w:p>
      <w:pPr>
        <w:tabs>
          <w:tab w:val="left" w:pos="6080"/>
          <w:tab w:val="left" w:pos="6640"/>
        </w:tabs>
        <w:autoSpaceDE w:val="0"/>
        <w:autoSpaceDN w:val="0"/>
        <w:adjustRightInd w:val="0"/>
        <w:snapToGrid w:val="0"/>
        <w:spacing w:line="360" w:lineRule="auto"/>
        <w:ind w:firstLine="1251" w:firstLineChars="450"/>
        <w:rPr>
          <w:rFonts w:ascii="仿宋" w:hAnsi="仿宋" w:eastAsia="仿宋" w:cs="仿宋"/>
          <w:b/>
          <w:w w:val="99"/>
          <w:kern w:val="0"/>
          <w:szCs w:val="28"/>
        </w:rPr>
      </w:pPr>
      <w:r>
        <w:rPr>
          <w:rFonts w:hint="eastAsia" w:ascii="仿宋" w:hAnsi="仿宋" w:eastAsia="仿宋" w:cs="仿宋"/>
          <w:b/>
          <w:w w:val="99"/>
          <w:kern w:val="0"/>
          <w:szCs w:val="28"/>
        </w:rPr>
        <w:t>法定代表人或其授权代表：</w:t>
      </w:r>
      <w:r>
        <w:rPr>
          <w:rFonts w:hint="eastAsia" w:ascii="仿宋" w:hAnsi="仿宋" w:eastAsia="仿宋" w:cs="仿宋"/>
          <w:b/>
          <w:w w:val="198"/>
          <w:kern w:val="0"/>
          <w:szCs w:val="28"/>
          <w:u w:val="single"/>
        </w:rPr>
        <w:t xml:space="preserve"> 　　 　</w:t>
      </w:r>
      <w:r>
        <w:rPr>
          <w:rFonts w:hint="eastAsia" w:ascii="仿宋" w:hAnsi="仿宋" w:eastAsia="仿宋" w:cs="仿宋"/>
          <w:b/>
          <w:w w:val="99"/>
          <w:kern w:val="0"/>
          <w:szCs w:val="28"/>
        </w:rPr>
        <w:t>（签字）</w:t>
      </w:r>
    </w:p>
    <w:p>
      <w:pPr>
        <w:pStyle w:val="28"/>
        <w:spacing w:line="360" w:lineRule="auto"/>
      </w:pPr>
    </w:p>
    <w:p>
      <w:pPr>
        <w:tabs>
          <w:tab w:val="left" w:pos="3280"/>
          <w:tab w:val="left" w:pos="4680"/>
          <w:tab w:val="left" w:pos="6080"/>
        </w:tabs>
        <w:autoSpaceDE w:val="0"/>
        <w:autoSpaceDN w:val="0"/>
        <w:adjustRightInd w:val="0"/>
        <w:snapToGrid w:val="0"/>
        <w:spacing w:line="360" w:lineRule="auto"/>
        <w:jc w:val="center"/>
        <w:rPr>
          <w:rFonts w:ascii="仿宋" w:hAnsi="仿宋" w:eastAsia="仿宋" w:cs="仿宋"/>
          <w:sz w:val="36"/>
          <w:szCs w:val="36"/>
        </w:rPr>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b/>
          <w:w w:val="99"/>
          <w:kern w:val="0"/>
          <w:szCs w:val="28"/>
          <w:u w:val="single"/>
        </w:rPr>
        <w:t xml:space="preserve">    </w:t>
      </w:r>
      <w:r>
        <w:rPr>
          <w:rFonts w:hint="eastAsia" w:ascii="仿宋" w:hAnsi="仿宋" w:eastAsia="仿宋" w:cs="仿宋"/>
          <w:b/>
          <w:w w:val="99"/>
          <w:kern w:val="0"/>
          <w:szCs w:val="28"/>
        </w:rPr>
        <w:t>年</w:t>
      </w:r>
      <w:r>
        <w:rPr>
          <w:rFonts w:hint="eastAsia" w:ascii="仿宋" w:hAnsi="仿宋" w:eastAsia="仿宋" w:cs="仿宋"/>
          <w:b/>
          <w:w w:val="99"/>
          <w:kern w:val="0"/>
          <w:szCs w:val="28"/>
          <w:u w:val="single"/>
        </w:rPr>
        <w:t xml:space="preserve">   </w:t>
      </w:r>
      <w:r>
        <w:rPr>
          <w:rFonts w:hint="eastAsia" w:ascii="仿宋" w:hAnsi="仿宋" w:eastAsia="仿宋" w:cs="仿宋"/>
          <w:b/>
          <w:w w:val="99"/>
          <w:kern w:val="0"/>
          <w:szCs w:val="28"/>
        </w:rPr>
        <w:t>月</w:t>
      </w:r>
      <w:r>
        <w:rPr>
          <w:rFonts w:hint="eastAsia" w:ascii="仿宋" w:hAnsi="仿宋" w:eastAsia="仿宋" w:cs="仿宋"/>
          <w:b/>
          <w:w w:val="99"/>
          <w:kern w:val="0"/>
          <w:szCs w:val="28"/>
          <w:u w:val="single"/>
        </w:rPr>
        <w:t xml:space="preserve">   </w:t>
      </w:r>
    </w:p>
    <w:p>
      <w:pPr>
        <w:pStyle w:val="3"/>
        <w:spacing w:line="500" w:lineRule="exact"/>
        <w:outlineLvl w:val="0"/>
        <w:rPr>
          <w:rFonts w:ascii="仿宋" w:hAnsi="仿宋" w:eastAsia="仿宋" w:cs="仿宋"/>
          <w:b/>
          <w:color w:val="000000" w:themeColor="text1"/>
          <w:szCs w:val="28"/>
          <w14:textFill>
            <w14:solidFill>
              <w14:schemeClr w14:val="tx1"/>
            </w14:solidFill>
          </w14:textFill>
        </w:rPr>
      </w:pPr>
      <w:bookmarkStart w:id="482" w:name="_Toc3922"/>
      <w:bookmarkStart w:id="483" w:name="_Toc6471"/>
      <w:r>
        <w:rPr>
          <w:rFonts w:hint="eastAsia" w:ascii="仿宋" w:hAnsi="仿宋" w:eastAsia="仿宋" w:cs="仿宋"/>
          <w:b/>
          <w:color w:val="000000" w:themeColor="text1"/>
          <w:szCs w:val="28"/>
          <w:lang w:val="en-US" w:eastAsia="zh-CN"/>
          <w14:textFill>
            <w14:solidFill>
              <w14:schemeClr w14:val="tx1"/>
            </w14:solidFill>
          </w14:textFill>
        </w:rPr>
        <w:t>一</w:t>
      </w:r>
      <w:r>
        <w:rPr>
          <w:rFonts w:hint="eastAsia" w:ascii="仿宋" w:hAnsi="仿宋" w:eastAsia="仿宋" w:cs="仿宋"/>
          <w:b/>
          <w:color w:val="000000" w:themeColor="text1"/>
          <w:szCs w:val="28"/>
          <w14:textFill>
            <w14:solidFill>
              <w14:schemeClr w14:val="tx1"/>
            </w14:solidFill>
          </w14:textFill>
        </w:rPr>
        <w:t>、经济文件</w:t>
      </w:r>
      <w:bookmarkEnd w:id="475"/>
      <w:bookmarkEnd w:id="476"/>
      <w:bookmarkEnd w:id="477"/>
      <w:bookmarkEnd w:id="478"/>
      <w:bookmarkEnd w:id="479"/>
      <w:bookmarkEnd w:id="482"/>
      <w:bookmarkEnd w:id="483"/>
    </w:p>
    <w:p>
      <w:pPr>
        <w:tabs>
          <w:tab w:val="left" w:pos="6300"/>
        </w:tabs>
        <w:snapToGrid w:val="0"/>
        <w:spacing w:line="360" w:lineRule="auto"/>
        <w:ind w:firstLine="480" w:firstLineChars="200"/>
        <w:rPr>
          <w:rFonts w:ascii="仿宋" w:hAnsi="仿宋" w:eastAsia="仿宋" w:cs="仿宋"/>
          <w:sz w:val="24"/>
          <w:szCs w:val="24"/>
        </w:rPr>
      </w:pPr>
    </w:p>
    <w:p>
      <w:pPr>
        <w:tabs>
          <w:tab w:val="left" w:pos="6300"/>
        </w:tabs>
        <w:snapToGrid w:val="0"/>
        <w:spacing w:line="360" w:lineRule="auto"/>
        <w:ind w:firstLine="480" w:firstLineChars="200"/>
        <w:outlineLvl w:val="1"/>
        <w:rPr>
          <w:rFonts w:ascii="仿宋" w:hAnsi="仿宋" w:eastAsia="仿宋" w:cs="仿宋"/>
          <w:sz w:val="24"/>
          <w:szCs w:val="24"/>
        </w:rPr>
      </w:pPr>
      <w:bookmarkStart w:id="484" w:name="_Toc11981"/>
      <w:bookmarkStart w:id="485" w:name="_Toc21517"/>
      <w:r>
        <w:rPr>
          <w:rFonts w:hint="eastAsia" w:ascii="仿宋" w:hAnsi="仿宋" w:eastAsia="仿宋" w:cs="仿宋"/>
          <w:sz w:val="24"/>
          <w:szCs w:val="24"/>
        </w:rPr>
        <w:t>（一）报价函</w:t>
      </w:r>
      <w:bookmarkEnd w:id="484"/>
      <w:bookmarkEnd w:id="485"/>
    </w:p>
    <w:p>
      <w:pPr>
        <w:tabs>
          <w:tab w:val="left" w:pos="6300"/>
        </w:tabs>
        <w:snapToGrid w:val="0"/>
        <w:spacing w:line="360" w:lineRule="auto"/>
        <w:jc w:val="center"/>
        <w:rPr>
          <w:rFonts w:ascii="仿宋" w:hAnsi="仿宋" w:eastAsia="仿宋" w:cs="仿宋"/>
          <w:b/>
          <w:szCs w:val="28"/>
        </w:rPr>
      </w:pPr>
      <w:r>
        <w:rPr>
          <w:rFonts w:hint="eastAsia" w:ascii="仿宋" w:hAnsi="仿宋" w:eastAsia="仿宋" w:cs="仿宋"/>
          <w:b/>
          <w:szCs w:val="28"/>
        </w:rPr>
        <w:t>报价函</w:t>
      </w:r>
    </w:p>
    <w:p>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（比选代理机构名称）：</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我方收到</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（项目名称）的竞争性比选文件，经详细研究，决定参加该项目的比选。</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1、愿意按照竞争性比选文件中的一切要求，提供本项目的服务要求，报价为人民币大写：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tabs>
          <w:tab w:val="left" w:pos="6300"/>
        </w:tabs>
        <w:snapToGrid w:val="0"/>
        <w:spacing w:line="360" w:lineRule="auto"/>
        <w:ind w:firstLine="480" w:firstLineChars="200"/>
        <w:outlineLvl w:val="2"/>
        <w:rPr>
          <w:rFonts w:ascii="仿宋" w:hAnsi="仿宋" w:eastAsia="仿宋" w:cs="仿宋"/>
          <w:sz w:val="24"/>
          <w:szCs w:val="24"/>
        </w:rPr>
      </w:pPr>
      <w:bookmarkStart w:id="486" w:name="_Toc4852"/>
      <w:bookmarkStart w:id="487" w:name="_Toc1994"/>
      <w:r>
        <w:rPr>
          <w:rFonts w:hint="eastAsia" w:ascii="仿宋" w:hAnsi="仿宋" w:eastAsia="仿宋" w:cs="仿宋"/>
          <w:sz w:val="24"/>
          <w:szCs w:val="24"/>
        </w:rPr>
        <w:t>2、我方承诺：本次比选的有效期为90天。</w:t>
      </w:r>
      <w:bookmarkEnd w:id="486"/>
      <w:bookmarkEnd w:id="487"/>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3、我方完全理解和接受贵方竞争性比选文件的一切规定和要求及评审办法。</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4、在整个比选过程中，我方若有违规行为，接受按照《中华人民共和国政府采购法》和《竞争性比选文件》之规定给予惩罚。</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5、我方若成为中标人，将按照最终比选结果签订合同，并且严格履行合同义务。本承诺函将成为合同不可分割的一部分，与合同具有同等的法律效力。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地址：  </w:t>
      </w:r>
    </w:p>
    <w:p>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电话：                                             传真：</w:t>
      </w:r>
    </w:p>
    <w:p>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网址：                                             邮编：</w:t>
      </w:r>
    </w:p>
    <w:p>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联系人：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pPr>
        <w:snapToGrid w:val="0"/>
        <w:spacing w:line="360" w:lineRule="auto"/>
        <w:ind w:firstLine="480" w:firstLineChars="200"/>
        <w:jc w:val="center"/>
        <w:rPr>
          <w:rFonts w:ascii="仿宋" w:hAnsi="仿宋" w:eastAsia="仿宋" w:cs="仿宋"/>
          <w:sz w:val="24"/>
          <w:szCs w:val="24"/>
        </w:rPr>
      </w:pPr>
      <w:r>
        <w:rPr>
          <w:rFonts w:hint="eastAsia" w:ascii="仿宋" w:hAnsi="仿宋" w:eastAsia="仿宋" w:cs="仿宋"/>
          <w:sz w:val="24"/>
          <w:szCs w:val="24"/>
        </w:rPr>
        <w:t xml:space="preserve">                                         年   月   日 </w:t>
      </w: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tabs>
          <w:tab w:val="left" w:pos="6300"/>
        </w:tabs>
        <w:snapToGrid w:val="0"/>
        <w:spacing w:line="360" w:lineRule="auto"/>
        <w:ind w:firstLine="480" w:firstLineChars="200"/>
        <w:outlineLvl w:val="1"/>
        <w:rPr>
          <w:rFonts w:ascii="仿宋" w:hAnsi="仿宋" w:eastAsia="仿宋" w:cs="仿宋"/>
          <w:sz w:val="24"/>
          <w:szCs w:val="24"/>
        </w:rPr>
      </w:pPr>
      <w:bookmarkStart w:id="488" w:name="_Toc8582"/>
      <w:bookmarkStart w:id="489" w:name="_Toc25915"/>
      <w:r>
        <w:rPr>
          <w:rFonts w:hint="eastAsia" w:ascii="宋体" w:hAnsi="宋体" w:cs="宋体"/>
          <w:sz w:val="24"/>
          <w:szCs w:val="24"/>
        </w:rPr>
        <w:t>（</w:t>
      </w:r>
      <w:r>
        <w:rPr>
          <w:rFonts w:hint="eastAsia" w:ascii="仿宋" w:hAnsi="仿宋" w:eastAsia="仿宋" w:cs="仿宋"/>
          <w:sz w:val="24"/>
          <w:szCs w:val="24"/>
        </w:rPr>
        <w:t>二）明细报价表</w:t>
      </w:r>
      <w:bookmarkEnd w:id="488"/>
      <w:bookmarkEnd w:id="489"/>
    </w:p>
    <w:p>
      <w:pPr>
        <w:tabs>
          <w:tab w:val="left" w:pos="6300"/>
        </w:tabs>
        <w:snapToGrid w:val="0"/>
        <w:spacing w:line="360" w:lineRule="auto"/>
        <w:jc w:val="center"/>
        <w:outlineLvl w:val="0"/>
        <w:rPr>
          <w:rFonts w:ascii="仿宋" w:hAnsi="仿宋" w:eastAsia="仿宋" w:cs="仿宋"/>
          <w:b/>
          <w:szCs w:val="28"/>
        </w:rPr>
      </w:pPr>
      <w:bookmarkStart w:id="490" w:name="_Toc2350"/>
      <w:bookmarkStart w:id="491" w:name="_Toc10139"/>
      <w:r>
        <w:rPr>
          <w:rFonts w:hint="eastAsia" w:ascii="仿宋" w:hAnsi="仿宋" w:eastAsia="仿宋" w:cs="仿宋"/>
          <w:b/>
          <w:szCs w:val="28"/>
        </w:rPr>
        <w:t>明细报价表</w:t>
      </w:r>
      <w:bookmarkEnd w:id="490"/>
      <w:bookmarkEnd w:id="491"/>
    </w:p>
    <w:p>
      <w:pPr>
        <w:spacing w:line="360" w:lineRule="auto"/>
        <w:rPr>
          <w:rFonts w:ascii="仿宋" w:hAnsi="仿宋" w:eastAsia="仿宋" w:cs="仿宋"/>
          <w:sz w:val="24"/>
          <w:szCs w:val="24"/>
          <w:u w:val="single"/>
        </w:rPr>
      </w:pPr>
      <w:r>
        <w:rPr>
          <w:rFonts w:hint="eastAsia" w:ascii="仿宋" w:hAnsi="仿宋" w:eastAsia="仿宋" w:cs="仿宋"/>
          <w:sz w:val="24"/>
          <w:szCs w:val="24"/>
        </w:rPr>
        <w:t>项目名称：                                                            单位：元</w:t>
      </w:r>
    </w:p>
    <w:tbl>
      <w:tblPr>
        <w:tblStyle w:val="60"/>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583"/>
        <w:gridCol w:w="3287"/>
        <w:gridCol w:w="1240"/>
        <w:gridCol w:w="124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58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名称</w:t>
            </w:r>
          </w:p>
        </w:tc>
        <w:tc>
          <w:tcPr>
            <w:tcW w:w="3287"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相关信息</w:t>
            </w:r>
          </w:p>
        </w:tc>
        <w:tc>
          <w:tcPr>
            <w:tcW w:w="124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24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124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83" w:type="dxa"/>
            <w:vAlign w:val="center"/>
          </w:tcPr>
          <w:p>
            <w:pPr>
              <w:spacing w:line="360" w:lineRule="auto"/>
              <w:jc w:val="center"/>
              <w:rPr>
                <w:rFonts w:ascii="仿宋" w:hAnsi="仿宋" w:eastAsia="仿宋" w:cs="仿宋"/>
                <w:sz w:val="24"/>
                <w:szCs w:val="24"/>
              </w:rPr>
            </w:pP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583" w:type="dxa"/>
            <w:vAlign w:val="center"/>
          </w:tcPr>
          <w:p>
            <w:pPr>
              <w:spacing w:line="360" w:lineRule="auto"/>
              <w:jc w:val="center"/>
              <w:rPr>
                <w:rFonts w:ascii="仿宋" w:hAnsi="仿宋" w:eastAsia="仿宋" w:cs="仿宋"/>
                <w:sz w:val="24"/>
                <w:szCs w:val="24"/>
              </w:rPr>
            </w:pP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583" w:type="dxa"/>
            <w:vAlign w:val="center"/>
          </w:tcPr>
          <w:p>
            <w:pPr>
              <w:spacing w:line="360" w:lineRule="auto"/>
              <w:jc w:val="center"/>
              <w:rPr>
                <w:rFonts w:ascii="仿宋" w:hAnsi="仿宋" w:eastAsia="仿宋" w:cs="仿宋"/>
                <w:sz w:val="24"/>
                <w:szCs w:val="24"/>
              </w:rPr>
            </w:pP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583" w:type="dxa"/>
            <w:vAlign w:val="center"/>
          </w:tcPr>
          <w:p>
            <w:pPr>
              <w:spacing w:line="360" w:lineRule="auto"/>
              <w:jc w:val="center"/>
              <w:rPr>
                <w:rFonts w:ascii="仿宋" w:hAnsi="仿宋" w:eastAsia="仿宋" w:cs="仿宋"/>
                <w:sz w:val="24"/>
                <w:szCs w:val="24"/>
              </w:rPr>
            </w:pP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1583" w:type="dxa"/>
            <w:vAlign w:val="center"/>
          </w:tcPr>
          <w:p>
            <w:pPr>
              <w:spacing w:line="360" w:lineRule="auto"/>
              <w:jc w:val="center"/>
              <w:rPr>
                <w:rFonts w:ascii="仿宋" w:hAnsi="仿宋" w:eastAsia="仿宋" w:cs="仿宋"/>
                <w:color w:val="000000"/>
                <w:sz w:val="24"/>
                <w:szCs w:val="24"/>
              </w:rPr>
            </w:pPr>
          </w:p>
        </w:tc>
        <w:tc>
          <w:tcPr>
            <w:tcW w:w="3287" w:type="dxa"/>
            <w:vAlign w:val="center"/>
          </w:tcPr>
          <w:p>
            <w:pPr>
              <w:spacing w:line="360" w:lineRule="auto"/>
              <w:jc w:val="center"/>
              <w:rPr>
                <w:rFonts w:ascii="仿宋" w:hAnsi="仿宋" w:eastAsia="仿宋" w:cs="仿宋"/>
                <w:color w:val="000000"/>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1583" w:type="dxa"/>
            <w:vAlign w:val="center"/>
          </w:tcPr>
          <w:p>
            <w:pPr>
              <w:spacing w:line="360" w:lineRule="auto"/>
              <w:jc w:val="center"/>
              <w:rPr>
                <w:rFonts w:ascii="仿宋" w:hAnsi="仿宋" w:eastAsia="仿宋" w:cs="仿宋"/>
                <w:color w:val="000000"/>
                <w:sz w:val="24"/>
                <w:szCs w:val="24"/>
              </w:rPr>
            </w:pPr>
          </w:p>
        </w:tc>
        <w:tc>
          <w:tcPr>
            <w:tcW w:w="3287" w:type="dxa"/>
            <w:vAlign w:val="center"/>
          </w:tcPr>
          <w:p>
            <w:pPr>
              <w:spacing w:line="360" w:lineRule="auto"/>
              <w:jc w:val="center"/>
              <w:rPr>
                <w:rFonts w:ascii="仿宋" w:hAnsi="仿宋" w:eastAsia="仿宋" w:cs="仿宋"/>
                <w:color w:val="000000"/>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1583" w:type="dxa"/>
            <w:vAlign w:val="center"/>
          </w:tcPr>
          <w:p>
            <w:pPr>
              <w:spacing w:line="360" w:lineRule="auto"/>
              <w:jc w:val="center"/>
              <w:rPr>
                <w:rFonts w:ascii="仿宋" w:hAnsi="仿宋" w:eastAsia="仿宋" w:cs="仿宋"/>
                <w:sz w:val="24"/>
                <w:szCs w:val="24"/>
              </w:rPr>
            </w:pP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8</w:t>
            </w:r>
          </w:p>
        </w:tc>
        <w:tc>
          <w:tcPr>
            <w:tcW w:w="1583" w:type="dxa"/>
            <w:vAlign w:val="center"/>
          </w:tcPr>
          <w:p>
            <w:pPr>
              <w:spacing w:line="360" w:lineRule="auto"/>
              <w:jc w:val="center"/>
              <w:rPr>
                <w:rFonts w:ascii="仿宋" w:hAnsi="仿宋" w:eastAsia="仿宋" w:cs="仿宋"/>
                <w:sz w:val="24"/>
                <w:szCs w:val="24"/>
              </w:rPr>
            </w:pP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9</w:t>
            </w:r>
          </w:p>
        </w:tc>
        <w:tc>
          <w:tcPr>
            <w:tcW w:w="1583" w:type="dxa"/>
            <w:vAlign w:val="center"/>
          </w:tcPr>
          <w:p>
            <w:pPr>
              <w:spacing w:line="360" w:lineRule="auto"/>
              <w:jc w:val="center"/>
              <w:rPr>
                <w:rFonts w:ascii="仿宋" w:hAnsi="仿宋" w:eastAsia="仿宋" w:cs="仿宋"/>
                <w:sz w:val="24"/>
                <w:szCs w:val="24"/>
              </w:rPr>
            </w:pP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1583" w:type="dxa"/>
            <w:vAlign w:val="center"/>
          </w:tcPr>
          <w:p>
            <w:pPr>
              <w:spacing w:line="360" w:lineRule="auto"/>
              <w:jc w:val="center"/>
              <w:rPr>
                <w:rFonts w:ascii="仿宋" w:hAnsi="仿宋" w:eastAsia="仿宋" w:cs="仿宋"/>
                <w:sz w:val="24"/>
                <w:szCs w:val="24"/>
              </w:rPr>
            </w:pP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1583" w:type="dxa"/>
            <w:vAlign w:val="center"/>
          </w:tcPr>
          <w:p>
            <w:pPr>
              <w:spacing w:line="360" w:lineRule="auto"/>
              <w:jc w:val="center"/>
              <w:rPr>
                <w:rFonts w:ascii="仿宋" w:hAnsi="仿宋" w:eastAsia="仿宋" w:cs="仿宋"/>
                <w:sz w:val="24"/>
                <w:szCs w:val="24"/>
              </w:rPr>
            </w:pP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12</w:t>
            </w:r>
          </w:p>
        </w:tc>
        <w:tc>
          <w:tcPr>
            <w:tcW w:w="158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pPr>
              <w:spacing w:line="360" w:lineRule="auto"/>
              <w:jc w:val="center"/>
              <w:rPr>
                <w:rFonts w:ascii="仿宋" w:hAnsi="仿宋" w:eastAsia="仿宋" w:cs="仿宋"/>
                <w:sz w:val="24"/>
                <w:szCs w:val="24"/>
              </w:rPr>
            </w:pPr>
          </w:p>
        </w:tc>
        <w:tc>
          <w:tcPr>
            <w:tcW w:w="158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合计</w:t>
            </w:r>
          </w:p>
        </w:tc>
        <w:tc>
          <w:tcPr>
            <w:tcW w:w="3287"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c>
          <w:tcPr>
            <w:tcW w:w="1240" w:type="dxa"/>
            <w:vAlign w:val="center"/>
          </w:tcPr>
          <w:p>
            <w:pPr>
              <w:spacing w:line="360" w:lineRule="auto"/>
              <w:jc w:val="center"/>
              <w:rPr>
                <w:rFonts w:ascii="仿宋" w:hAnsi="仿宋" w:eastAsia="仿宋" w:cs="仿宋"/>
                <w:sz w:val="24"/>
                <w:szCs w:val="24"/>
              </w:rPr>
            </w:pPr>
          </w:p>
        </w:tc>
      </w:tr>
    </w:tbl>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8"/>
        </w:rPr>
      </w:pPr>
    </w:p>
    <w:p>
      <w:pPr>
        <w:snapToGrid w:val="0"/>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注：1、请投标人完整填写本表。</w:t>
      </w:r>
    </w:p>
    <w:p>
      <w:pPr>
        <w:snapToGrid w:val="0"/>
        <w:spacing w:line="360" w:lineRule="auto"/>
        <w:rPr>
          <w:rFonts w:ascii="仿宋" w:hAnsi="仿宋" w:eastAsia="仿宋" w:cs="仿宋"/>
          <w:sz w:val="24"/>
          <w:szCs w:val="28"/>
        </w:rPr>
      </w:pPr>
      <w:r>
        <w:rPr>
          <w:rFonts w:hint="eastAsia" w:ascii="仿宋" w:hAnsi="仿宋" w:eastAsia="仿宋" w:cs="仿宋"/>
          <w:sz w:val="24"/>
          <w:szCs w:val="28"/>
        </w:rPr>
        <w:t xml:space="preserve">        2、该表可扩展可根据项目实际情况修改，并逐页盖章。</w:t>
      </w:r>
    </w:p>
    <w:p>
      <w:pPr>
        <w:pStyle w:val="38"/>
        <w:spacing w:line="360" w:lineRule="auto"/>
        <w:ind w:firstLine="240"/>
        <w:rPr>
          <w:rFonts w:ascii="仿宋" w:hAnsi="仿宋" w:eastAsia="仿宋" w:cs="仿宋"/>
          <w:sz w:val="24"/>
          <w:szCs w:val="24"/>
        </w:rPr>
      </w:pPr>
    </w:p>
    <w:p>
      <w:pPr>
        <w:pStyle w:val="38"/>
        <w:spacing w:line="360" w:lineRule="auto"/>
        <w:ind w:firstLine="240"/>
        <w:rPr>
          <w:rFonts w:ascii="仿宋" w:hAnsi="仿宋" w:eastAsia="仿宋" w:cs="仿宋"/>
          <w:sz w:val="24"/>
          <w:szCs w:val="24"/>
        </w:rPr>
      </w:pPr>
      <w:r>
        <w:rPr>
          <w:rFonts w:hint="eastAsia" w:ascii="仿宋" w:hAnsi="仿宋" w:eastAsia="仿宋" w:cs="仿宋"/>
          <w:sz w:val="24"/>
          <w:szCs w:val="24"/>
        </w:rPr>
        <w:t xml:space="preserve">            </w:t>
      </w:r>
    </w:p>
    <w:p>
      <w:pPr>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sz w:val="24"/>
        </w:rPr>
        <w:t xml:space="preserve">                               投标人名称（公章）：</w:t>
      </w:r>
    </w:p>
    <w:p>
      <w:pPr>
        <w:pStyle w:val="28"/>
        <w:ind w:left="0" w:firstLine="4800" w:firstLineChars="2000"/>
        <w:rPr>
          <w:rFonts w:ascii="仿宋" w:hAnsi="仿宋" w:eastAsia="仿宋" w:cs="仿宋"/>
          <w:color w:val="000000" w:themeColor="text1"/>
          <w:sz w:val="24"/>
          <w:szCs w:val="28"/>
          <w14:textFill>
            <w14:solidFill>
              <w14:schemeClr w14:val="tx1"/>
            </w14:solidFill>
          </w14:textFill>
        </w:rPr>
        <w:sectPr>
          <w:pgSz w:w="11907" w:h="16840"/>
          <w:pgMar w:top="1134" w:right="1191" w:bottom="1134" w:left="1304" w:header="964" w:footer="992" w:gutter="0"/>
          <w:pgNumType w:fmt="decimal"/>
          <w:cols w:space="720" w:num="1"/>
          <w:docGrid w:linePitch="381" w:charSpace="0"/>
        </w:sectPr>
      </w:pPr>
      <w:r>
        <w:rPr>
          <w:rFonts w:hint="eastAsia" w:ascii="仿宋" w:hAnsi="仿宋" w:eastAsia="仿宋" w:cs="仿宋"/>
          <w:sz w:val="24"/>
        </w:rPr>
        <w:t>年   月   日</w:t>
      </w:r>
    </w:p>
    <w:p>
      <w:pPr>
        <w:pStyle w:val="3"/>
        <w:pageBreakBefore/>
        <w:spacing w:line="500" w:lineRule="exact"/>
        <w:outlineLvl w:val="0"/>
        <w:rPr>
          <w:rFonts w:ascii="仿宋" w:hAnsi="仿宋" w:eastAsia="仿宋" w:cs="仿宋"/>
          <w:b/>
          <w:color w:val="000000" w:themeColor="text1"/>
          <w:sz w:val="24"/>
          <w14:textFill>
            <w14:solidFill>
              <w14:schemeClr w14:val="tx1"/>
            </w14:solidFill>
          </w14:textFill>
        </w:rPr>
      </w:pPr>
      <w:bookmarkStart w:id="492" w:name="_Toc17949"/>
      <w:bookmarkStart w:id="493" w:name="_Toc12026"/>
      <w:bookmarkStart w:id="494" w:name="_Toc1846"/>
      <w:bookmarkStart w:id="495" w:name="_Toc13657"/>
      <w:bookmarkStart w:id="496" w:name="_Toc2766"/>
      <w:bookmarkStart w:id="497" w:name="_Toc21149"/>
      <w:bookmarkStart w:id="498" w:name="_Toc429584887"/>
      <w:bookmarkStart w:id="499" w:name="_Toc12777"/>
      <w:bookmarkStart w:id="500" w:name="_Toc31505"/>
      <w:bookmarkStart w:id="501" w:name="_Toc429584886"/>
      <w:bookmarkStart w:id="502" w:name="_Toc20010"/>
      <w:bookmarkStart w:id="503" w:name="_Toc2043"/>
      <w:bookmarkStart w:id="504" w:name="_Toc16976"/>
      <w:r>
        <w:rPr>
          <w:rFonts w:hint="eastAsia" w:ascii="仿宋" w:hAnsi="仿宋" w:eastAsia="仿宋" w:cs="仿宋"/>
          <w:b/>
          <w:color w:val="000000" w:themeColor="text1"/>
          <w:szCs w:val="28"/>
          <w:lang w:val="en-US" w:eastAsia="zh-CN"/>
          <w14:textFill>
            <w14:solidFill>
              <w14:schemeClr w14:val="tx1"/>
            </w14:solidFill>
          </w14:textFill>
        </w:rPr>
        <w:t>二</w:t>
      </w:r>
      <w:r>
        <w:rPr>
          <w:rFonts w:hint="eastAsia" w:ascii="仿宋" w:hAnsi="仿宋" w:eastAsia="仿宋" w:cs="仿宋"/>
          <w:b/>
          <w:color w:val="000000" w:themeColor="text1"/>
          <w:szCs w:val="28"/>
          <w14:textFill>
            <w14:solidFill>
              <w14:schemeClr w14:val="tx1"/>
            </w14:solidFill>
          </w14:textFill>
        </w:rPr>
        <w:t>、技术文件</w:t>
      </w:r>
      <w:bookmarkEnd w:id="492"/>
      <w:bookmarkEnd w:id="493"/>
      <w:bookmarkEnd w:id="494"/>
      <w:bookmarkEnd w:id="495"/>
      <w:bookmarkEnd w:id="496"/>
      <w:bookmarkEnd w:id="497"/>
      <w:bookmarkEnd w:id="498"/>
    </w:p>
    <w:p>
      <w:pPr>
        <w:tabs>
          <w:tab w:val="left" w:pos="6300"/>
        </w:tabs>
        <w:snapToGrid w:val="0"/>
        <w:spacing w:line="500" w:lineRule="exact"/>
        <w:outlineLvl w:val="1"/>
        <w:rPr>
          <w:rFonts w:ascii="仿宋" w:hAnsi="仿宋" w:eastAsia="仿宋" w:cs="仿宋"/>
          <w:color w:val="000000" w:themeColor="text1"/>
          <w:szCs w:val="24"/>
          <w14:textFill>
            <w14:solidFill>
              <w14:schemeClr w14:val="tx1"/>
            </w14:solidFill>
          </w14:textFill>
        </w:rPr>
      </w:pPr>
      <w:bookmarkStart w:id="505" w:name="_Toc7892"/>
      <w:bookmarkStart w:id="506" w:name="_Toc17427"/>
      <w:r>
        <w:rPr>
          <w:rFonts w:hint="eastAsia" w:ascii="仿宋" w:hAnsi="仿宋" w:eastAsia="仿宋" w:cs="仿宋"/>
          <w:color w:val="000000" w:themeColor="text1"/>
          <w:szCs w:val="24"/>
          <w14:textFill>
            <w14:solidFill>
              <w14:schemeClr w14:val="tx1"/>
            </w14:solidFill>
          </w14:textFill>
        </w:rPr>
        <w:t>（一）服务条款差异表</w:t>
      </w:r>
      <w:bookmarkEnd w:id="505"/>
      <w:bookmarkEnd w:id="506"/>
    </w:p>
    <w:p>
      <w:pPr>
        <w:pStyle w:val="33"/>
        <w:tabs>
          <w:tab w:val="left" w:pos="6300"/>
        </w:tabs>
        <w:snapToGrid w:val="0"/>
        <w:spacing w:line="500" w:lineRule="exact"/>
        <w:ind w:firstLine="480" w:firstLineChars="200"/>
        <w:outlineLvl w:val="0"/>
        <w:rPr>
          <w:rFonts w:ascii="仿宋" w:hAnsi="仿宋" w:eastAsia="仿宋" w:cs="仿宋"/>
          <w:color w:val="000000" w:themeColor="text1"/>
          <w:sz w:val="24"/>
          <w:szCs w:val="28"/>
          <w14:textFill>
            <w14:solidFill>
              <w14:schemeClr w14:val="tx1"/>
            </w14:solidFill>
          </w14:textFill>
        </w:rPr>
      </w:pPr>
      <w:bookmarkStart w:id="507" w:name="_Toc26119"/>
      <w:bookmarkStart w:id="508" w:name="_Toc26506"/>
      <w:r>
        <w:rPr>
          <w:rFonts w:hint="eastAsia" w:ascii="仿宋" w:hAnsi="仿宋" w:eastAsia="仿宋" w:cs="仿宋"/>
          <w:color w:val="000000" w:themeColor="text1"/>
          <w:sz w:val="24"/>
          <w:szCs w:val="28"/>
          <w14:textFill>
            <w14:solidFill>
              <w14:schemeClr w14:val="tx1"/>
            </w14:solidFill>
          </w14:textFill>
        </w:rPr>
        <w:t>招标项目名称</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szCs w:val="28"/>
          <w14:textFill>
            <w14:solidFill>
              <w14:schemeClr w14:val="tx1"/>
            </w14:solidFill>
          </w14:textFill>
        </w:rPr>
        <w:t xml:space="preserve">   项目编号：</w:t>
      </w:r>
      <w:bookmarkEnd w:id="507"/>
      <w:bookmarkEnd w:id="508"/>
    </w:p>
    <w:tbl>
      <w:tblPr>
        <w:tblStyle w:val="6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color w:val="000000" w:themeColor="text1"/>
                <w:sz w:val="21"/>
                <w:szCs w:val="21"/>
                <w14:textFill>
                  <w14:solidFill>
                    <w14:schemeClr w14:val="tx1"/>
                  </w14:solidFill>
                </w14:textFill>
              </w:rPr>
            </w:pPr>
            <w:bookmarkStart w:id="509" w:name="_Toc19332"/>
            <w:bookmarkStart w:id="510" w:name="_Toc15953"/>
            <w:r>
              <w:rPr>
                <w:rFonts w:hint="eastAsia" w:ascii="仿宋" w:hAnsi="仿宋" w:eastAsia="仿宋" w:cs="仿宋"/>
                <w:color w:val="000000" w:themeColor="text1"/>
                <w:sz w:val="21"/>
                <w:szCs w:val="21"/>
                <w14:textFill>
                  <w14:solidFill>
                    <w14:schemeClr w14:val="tx1"/>
                  </w14:solidFill>
                </w14:textFill>
              </w:rPr>
              <w:t>序号</w:t>
            </w:r>
            <w:bookmarkEnd w:id="509"/>
            <w:bookmarkEnd w:id="510"/>
          </w:p>
        </w:tc>
        <w:tc>
          <w:tcPr>
            <w:tcW w:w="2969" w:type="dxa"/>
            <w:vAlign w:val="center"/>
          </w:tcPr>
          <w:p>
            <w:pPr>
              <w:tabs>
                <w:tab w:val="left" w:pos="6300"/>
              </w:tabs>
              <w:snapToGrid w:val="0"/>
              <w:spacing w:line="500" w:lineRule="exact"/>
              <w:jc w:val="center"/>
              <w:outlineLvl w:val="0"/>
              <w:rPr>
                <w:rFonts w:ascii="仿宋" w:hAnsi="仿宋" w:eastAsia="仿宋" w:cs="仿宋"/>
                <w:color w:val="000000" w:themeColor="text1"/>
                <w:sz w:val="21"/>
                <w:szCs w:val="21"/>
                <w14:textFill>
                  <w14:solidFill>
                    <w14:schemeClr w14:val="tx1"/>
                  </w14:solidFill>
                </w14:textFill>
              </w:rPr>
            </w:pPr>
            <w:bookmarkStart w:id="511" w:name="_Toc21169"/>
            <w:bookmarkStart w:id="512" w:name="_Toc17583"/>
            <w:r>
              <w:rPr>
                <w:rFonts w:hint="eastAsia" w:ascii="仿宋" w:hAnsi="仿宋" w:eastAsia="仿宋" w:cs="仿宋"/>
                <w:color w:val="000000" w:themeColor="text1"/>
                <w:sz w:val="21"/>
                <w:szCs w:val="21"/>
                <w14:textFill>
                  <w14:solidFill>
                    <w14:schemeClr w14:val="tx1"/>
                  </w14:solidFill>
                </w14:textFill>
              </w:rPr>
              <w:t>项目服务要求</w:t>
            </w:r>
            <w:bookmarkEnd w:id="511"/>
            <w:bookmarkEnd w:id="512"/>
          </w:p>
        </w:tc>
        <w:tc>
          <w:tcPr>
            <w:tcW w:w="3081" w:type="dxa"/>
            <w:vAlign w:val="center"/>
          </w:tcPr>
          <w:p>
            <w:pPr>
              <w:tabs>
                <w:tab w:val="left" w:pos="6300"/>
              </w:tabs>
              <w:snapToGrid w:val="0"/>
              <w:spacing w:line="500" w:lineRule="exact"/>
              <w:jc w:val="center"/>
              <w:outlineLvl w:val="0"/>
              <w:rPr>
                <w:rFonts w:ascii="仿宋" w:hAnsi="仿宋" w:eastAsia="仿宋" w:cs="仿宋"/>
                <w:color w:val="000000" w:themeColor="text1"/>
                <w:sz w:val="21"/>
                <w:szCs w:val="21"/>
                <w14:textFill>
                  <w14:solidFill>
                    <w14:schemeClr w14:val="tx1"/>
                  </w14:solidFill>
                </w14:textFill>
              </w:rPr>
            </w:pPr>
            <w:bookmarkStart w:id="513" w:name="_Toc7052"/>
            <w:bookmarkStart w:id="514" w:name="_Toc26323"/>
            <w:r>
              <w:rPr>
                <w:rFonts w:hint="eastAsia" w:ascii="仿宋" w:hAnsi="仿宋" w:eastAsia="仿宋" w:cs="仿宋"/>
                <w:color w:val="000000" w:themeColor="text1"/>
                <w:sz w:val="21"/>
                <w:szCs w:val="21"/>
                <w14:textFill>
                  <w14:solidFill>
                    <w14:schemeClr w14:val="tx1"/>
                  </w14:solidFill>
                </w14:textFill>
              </w:rPr>
              <w:t>响应情况</w:t>
            </w:r>
            <w:bookmarkEnd w:id="513"/>
            <w:bookmarkEnd w:id="514"/>
          </w:p>
        </w:tc>
        <w:tc>
          <w:tcPr>
            <w:tcW w:w="2307" w:type="dxa"/>
            <w:vAlign w:val="center"/>
          </w:tcPr>
          <w:p>
            <w:pPr>
              <w:tabs>
                <w:tab w:val="left" w:pos="6300"/>
              </w:tabs>
              <w:snapToGrid w:val="0"/>
              <w:spacing w:line="500" w:lineRule="exact"/>
              <w:jc w:val="center"/>
              <w:outlineLvl w:val="0"/>
              <w:rPr>
                <w:rFonts w:ascii="仿宋" w:hAnsi="仿宋" w:eastAsia="仿宋" w:cs="仿宋"/>
                <w:color w:val="000000" w:themeColor="text1"/>
                <w:sz w:val="21"/>
                <w:szCs w:val="21"/>
                <w14:textFill>
                  <w14:solidFill>
                    <w14:schemeClr w14:val="tx1"/>
                  </w14:solidFill>
                </w14:textFill>
              </w:rPr>
            </w:pPr>
            <w:bookmarkStart w:id="515" w:name="_Toc30689"/>
            <w:bookmarkStart w:id="516" w:name="_Toc32454"/>
            <w:r>
              <w:rPr>
                <w:rFonts w:hint="eastAsia" w:ascii="仿宋" w:hAnsi="仿宋" w:eastAsia="仿宋" w:cs="仿宋"/>
                <w:color w:val="000000" w:themeColor="text1"/>
                <w:sz w:val="21"/>
                <w:szCs w:val="21"/>
                <w14:textFill>
                  <w14:solidFill>
                    <w14:schemeClr w14:val="tx1"/>
                  </w14:solidFill>
                </w14:textFill>
              </w:rPr>
              <w:t>差异说明</w:t>
            </w:r>
            <w:bookmarkEnd w:id="515"/>
            <w:bookmarkEnd w:id="5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69"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307"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bl>
    <w:p>
      <w:pPr>
        <w:spacing w:line="500" w:lineRule="exact"/>
        <w:ind w:firstLine="600" w:firstLineChars="25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投标人：                            法定代表人或法定代表人授权代表：</w:t>
      </w:r>
    </w:p>
    <w:p>
      <w:pPr>
        <w:spacing w:line="500" w:lineRule="exac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w:t>
      </w:r>
    </w:p>
    <w:p>
      <w:pPr>
        <w:spacing w:line="500" w:lineRule="exact"/>
        <w:ind w:firstLine="720" w:firstLineChars="3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（投标人公章）                               （签字或签章）</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年     月     日</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pPr>
        <w:tabs>
          <w:tab w:val="left" w:pos="6300"/>
        </w:tabs>
        <w:snapToGrid w:val="0"/>
        <w:spacing w:line="500" w:lineRule="exact"/>
        <w:ind w:firstLine="57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1、本表即为对本项目“第二篇  项目服务要求”中所列服务要求进行比较和响应；</w:t>
      </w:r>
    </w:p>
    <w:p>
      <w:pPr>
        <w:tabs>
          <w:tab w:val="left" w:pos="6300"/>
        </w:tabs>
        <w:snapToGrid w:val="0"/>
        <w:spacing w:line="500" w:lineRule="exact"/>
        <w:ind w:firstLine="57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2、该表必须按照</w:t>
      </w:r>
      <w:r>
        <w:rPr>
          <w:rFonts w:hint="eastAsia" w:ascii="仿宋" w:hAnsi="仿宋" w:eastAsia="仿宋" w:cs="仿宋"/>
          <w:color w:val="000000" w:themeColor="text1"/>
          <w:sz w:val="24"/>
          <w:szCs w:val="24"/>
          <w:lang w:eastAsia="zh-CN"/>
          <w14:textFill>
            <w14:solidFill>
              <w14:schemeClr w14:val="tx1"/>
            </w14:solidFill>
          </w14:textFill>
        </w:rPr>
        <w:t>比选文件</w:t>
      </w:r>
      <w:r>
        <w:rPr>
          <w:rFonts w:hint="eastAsia" w:ascii="仿宋" w:hAnsi="仿宋" w:eastAsia="仿宋" w:cs="仿宋"/>
          <w:color w:val="000000" w:themeColor="text1"/>
          <w:sz w:val="24"/>
          <w:szCs w:val="24"/>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500" w:lineRule="exact"/>
        <w:ind w:firstLine="57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3、该表可扩展；</w:t>
      </w:r>
    </w:p>
    <w:p>
      <w:pPr>
        <w:tabs>
          <w:tab w:val="left" w:pos="6300"/>
        </w:tabs>
        <w:snapToGrid w:val="0"/>
        <w:spacing w:line="500" w:lineRule="exact"/>
        <w:ind w:firstLine="57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4、可附相关技术支撑材料。（格式自定）</w:t>
      </w:r>
    </w:p>
    <w:p>
      <w:pPr>
        <w:tabs>
          <w:tab w:val="left" w:pos="6300"/>
        </w:tabs>
        <w:snapToGrid w:val="0"/>
        <w:spacing w:line="500" w:lineRule="exact"/>
        <w:rPr>
          <w:rFonts w:ascii="仿宋" w:hAnsi="仿宋" w:eastAsia="仿宋" w:cs="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color w:val="000000" w:themeColor="text1"/>
          <w:sz w:val="24"/>
          <w:szCs w:val="22"/>
          <w14:textFill>
            <w14:solidFill>
              <w14:schemeClr w14:val="tx1"/>
            </w14:solidFill>
          </w14:textFill>
        </w:rPr>
        <w:t>（二）技术方案（格式自拟）</w:t>
      </w:r>
    </w:p>
    <w:p>
      <w:pPr>
        <w:tabs>
          <w:tab w:val="left" w:pos="6300"/>
        </w:tabs>
        <w:snapToGrid w:val="0"/>
        <w:spacing w:line="500" w:lineRule="exact"/>
        <w:rPr>
          <w:rFonts w:ascii="仿宋" w:hAnsi="仿宋" w:eastAsia="仿宋" w:cs="仿宋"/>
          <w:color w:val="000000" w:themeColor="text1"/>
          <w:szCs w:val="22"/>
          <w14:textFill>
            <w14:solidFill>
              <w14:schemeClr w14:val="tx1"/>
            </w14:solidFill>
          </w14:textFill>
        </w:rPr>
      </w:pPr>
    </w:p>
    <w:p>
      <w:pPr>
        <w:pStyle w:val="3"/>
        <w:pageBreakBefore/>
        <w:numPr>
          <w:ilvl w:val="0"/>
          <w:numId w:val="19"/>
        </w:numPr>
        <w:spacing w:line="500" w:lineRule="exact"/>
        <w:ind w:left="0" w:leftChars="0" w:firstLine="480" w:firstLineChars="200"/>
        <w:outlineLvl w:val="1"/>
        <w:rPr>
          <w:rFonts w:hint="eastAsia" w:ascii="仿宋" w:hAnsi="仿宋" w:eastAsia="仿宋" w:cs="仿宋"/>
          <w:color w:val="000000" w:themeColor="text1"/>
          <w:sz w:val="24"/>
          <w:szCs w:val="18"/>
          <w14:textFill>
            <w14:solidFill>
              <w14:schemeClr w14:val="tx1"/>
            </w14:solidFill>
          </w14:textFill>
        </w:rPr>
      </w:pPr>
      <w:bookmarkStart w:id="517" w:name="_Toc22707"/>
      <w:bookmarkStart w:id="518" w:name="_Toc20708"/>
      <w:r>
        <w:rPr>
          <w:rFonts w:hint="eastAsia" w:ascii="仿宋" w:hAnsi="仿宋" w:eastAsia="仿宋" w:cs="仿宋"/>
          <w:color w:val="000000" w:themeColor="text1"/>
          <w:sz w:val="24"/>
          <w:szCs w:val="18"/>
          <w14:textFill>
            <w14:solidFill>
              <w14:schemeClr w14:val="tx1"/>
            </w14:solidFill>
          </w14:textFill>
        </w:rPr>
        <w:t>技术部分评分对应证明材料（如有）</w:t>
      </w:r>
      <w:bookmarkEnd w:id="517"/>
      <w:bookmarkEnd w:id="518"/>
    </w:p>
    <w:p>
      <w:pPr>
        <w:pStyle w:val="3"/>
        <w:pageBreakBefore/>
        <w:numPr>
          <w:ilvl w:val="0"/>
          <w:numId w:val="0"/>
        </w:numPr>
        <w:spacing w:line="500" w:lineRule="exact"/>
        <w:ind w:leftChars="200"/>
        <w:outlineLvl w:val="0"/>
        <w:rPr>
          <w:rFonts w:ascii="仿宋" w:hAnsi="仿宋" w:eastAsia="仿宋" w:cs="仿宋"/>
          <w:b/>
          <w:color w:val="000000" w:themeColor="text1"/>
          <w:szCs w:val="28"/>
          <w14:textFill>
            <w14:solidFill>
              <w14:schemeClr w14:val="tx1"/>
            </w14:solidFill>
          </w14:textFill>
        </w:rPr>
      </w:pPr>
      <w:bookmarkStart w:id="519" w:name="_Toc19192"/>
      <w:r>
        <w:rPr>
          <w:rFonts w:hint="eastAsia" w:ascii="仿宋" w:hAnsi="仿宋" w:eastAsia="仿宋" w:cs="仿宋"/>
          <w:b/>
          <w:color w:val="000000" w:themeColor="text1"/>
          <w:szCs w:val="28"/>
          <w:lang w:val="en-US" w:eastAsia="zh-CN"/>
          <w14:textFill>
            <w14:solidFill>
              <w14:schemeClr w14:val="tx1"/>
            </w14:solidFill>
          </w14:textFill>
        </w:rPr>
        <w:t>三</w:t>
      </w:r>
      <w:r>
        <w:rPr>
          <w:rFonts w:hint="eastAsia" w:ascii="仿宋" w:hAnsi="仿宋" w:eastAsia="仿宋" w:cs="仿宋"/>
          <w:b/>
          <w:color w:val="000000" w:themeColor="text1"/>
          <w:szCs w:val="28"/>
          <w14:textFill>
            <w14:solidFill>
              <w14:schemeClr w14:val="tx1"/>
            </w14:solidFill>
          </w14:textFill>
        </w:rPr>
        <w:t>、商务文件</w:t>
      </w:r>
      <w:bookmarkEnd w:id="499"/>
      <w:bookmarkEnd w:id="500"/>
      <w:bookmarkEnd w:id="501"/>
      <w:bookmarkEnd w:id="502"/>
      <w:bookmarkEnd w:id="503"/>
      <w:bookmarkEnd w:id="504"/>
      <w:bookmarkEnd w:id="519"/>
    </w:p>
    <w:p>
      <w:pPr>
        <w:snapToGrid w:val="0"/>
        <w:spacing w:before="120" w:beforeLines="50" w:line="500" w:lineRule="exact"/>
        <w:jc w:val="center"/>
        <w:outlineLvl w:val="1"/>
        <w:rPr>
          <w:rFonts w:ascii="仿宋" w:hAnsi="仿宋" w:eastAsia="仿宋" w:cs="仿宋"/>
          <w:color w:val="000000" w:themeColor="text1"/>
          <w:szCs w:val="28"/>
          <w14:textFill>
            <w14:solidFill>
              <w14:schemeClr w14:val="tx1"/>
            </w14:solidFill>
          </w14:textFill>
        </w:rPr>
      </w:pPr>
      <w:bookmarkStart w:id="520" w:name="_Toc14051"/>
      <w:bookmarkStart w:id="521" w:name="_Toc1002"/>
      <w:r>
        <w:rPr>
          <w:rFonts w:hint="eastAsia" w:ascii="仿宋" w:hAnsi="仿宋" w:eastAsia="仿宋" w:cs="仿宋"/>
          <w:color w:val="000000" w:themeColor="text1"/>
          <w:szCs w:val="28"/>
          <w14:textFill>
            <w14:solidFill>
              <w14:schemeClr w14:val="tx1"/>
            </w14:solidFill>
          </w14:textFill>
        </w:rPr>
        <w:t>（一）投标函（格式）</w:t>
      </w:r>
      <w:bookmarkEnd w:id="520"/>
      <w:bookmarkEnd w:id="521"/>
    </w:p>
    <w:p>
      <w:pPr>
        <w:spacing w:line="500" w:lineRule="exact"/>
        <w:ind w:firstLine="480" w:firstLineChars="200"/>
        <w:rPr>
          <w:rFonts w:ascii="仿宋" w:hAnsi="仿宋" w:eastAsia="仿宋" w:cs="仿宋"/>
          <w:color w:val="000000" w:themeColor="text1"/>
          <w:sz w:val="24"/>
          <w:szCs w:val="28"/>
          <w:u w:val="single"/>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招标项目名称：</w:t>
      </w:r>
      <w:r>
        <w:rPr>
          <w:rFonts w:hint="eastAsia" w:ascii="仿宋" w:hAnsi="仿宋" w:eastAsia="仿宋" w:cs="仿宋"/>
          <w:color w:val="000000" w:themeColor="text1"/>
          <w:sz w:val="24"/>
          <w:szCs w:val="28"/>
          <w:u w:val="single"/>
          <w14:textFill>
            <w14:solidFill>
              <w14:schemeClr w14:val="tx1"/>
            </w14:solidFill>
          </w14:textFill>
        </w:rPr>
        <w:t xml:space="preserve">                                             </w:t>
      </w:r>
    </w:p>
    <w:p>
      <w:pPr>
        <w:spacing w:line="500" w:lineRule="exact"/>
        <w:rPr>
          <w:rFonts w:ascii="仿宋" w:hAnsi="仿宋" w:eastAsia="仿宋" w:cs="仿宋"/>
          <w:color w:val="000000" w:themeColor="text1"/>
          <w:sz w:val="24"/>
          <w:szCs w:val="28"/>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致：</w:t>
      </w:r>
      <w:r>
        <w:rPr>
          <w:rFonts w:hint="eastAsia" w:ascii="仿宋" w:hAnsi="仿宋" w:eastAsia="仿宋" w:cs="仿宋"/>
          <w:color w:val="000000" w:themeColor="text1"/>
          <w:sz w:val="24"/>
          <w:szCs w:val="28"/>
          <w:u w:val="single"/>
          <w14:textFill>
            <w14:solidFill>
              <w14:schemeClr w14:val="tx1"/>
            </w14:solidFill>
          </w14:textFill>
        </w:rPr>
        <w:t xml:space="preserve">                    </w:t>
      </w:r>
      <w:r>
        <w:rPr>
          <w:rFonts w:hint="eastAsia" w:ascii="仿宋" w:hAnsi="仿宋" w:eastAsia="仿宋" w:cs="仿宋"/>
          <w:color w:val="000000" w:themeColor="text1"/>
          <w:sz w:val="24"/>
          <w:szCs w:val="28"/>
          <w14:textFill>
            <w14:solidFill>
              <w14:schemeClr w14:val="tx1"/>
            </w14:solidFill>
          </w14:textFill>
        </w:rPr>
        <w:t>（</w:t>
      </w:r>
      <w:r>
        <w:rPr>
          <w:rFonts w:hint="eastAsia" w:ascii="仿宋" w:hAnsi="仿宋" w:eastAsia="仿宋" w:cs="仿宋"/>
          <w:color w:val="000000" w:themeColor="text1"/>
          <w:sz w:val="24"/>
          <w:szCs w:val="28"/>
          <w:lang w:eastAsia="zh-CN"/>
          <w14:textFill>
            <w14:solidFill>
              <w14:schemeClr w14:val="tx1"/>
            </w14:solidFill>
          </w14:textFill>
        </w:rPr>
        <w:t>比选代理机构</w:t>
      </w:r>
      <w:r>
        <w:rPr>
          <w:rFonts w:hint="eastAsia" w:ascii="仿宋" w:hAnsi="仿宋" w:eastAsia="仿宋" w:cs="仿宋"/>
          <w:color w:val="000000" w:themeColor="text1"/>
          <w:sz w:val="24"/>
          <w:szCs w:val="28"/>
          <w14:textFill>
            <w14:solidFill>
              <w14:schemeClr w14:val="tx1"/>
            </w14:solidFill>
          </w14:textFill>
        </w:rPr>
        <w:t>名称）：</w:t>
      </w:r>
    </w:p>
    <w:p>
      <w:pPr>
        <w:snapToGrid w:val="0"/>
        <w:spacing w:before="120" w:beforeLines="50"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u w:val="single"/>
          <w14:textFill>
            <w14:solidFill>
              <w14:schemeClr w14:val="tx1"/>
            </w14:solidFill>
          </w14:textFill>
        </w:rPr>
        <w:t xml:space="preserve">                        </w:t>
      </w:r>
      <w:r>
        <w:rPr>
          <w:rFonts w:hint="eastAsia" w:ascii="仿宋" w:hAnsi="仿宋" w:eastAsia="仿宋" w:cs="仿宋"/>
          <w:color w:val="000000" w:themeColor="text1"/>
          <w:sz w:val="24"/>
          <w:szCs w:val="28"/>
          <w14:textFill>
            <w14:solidFill>
              <w14:schemeClr w14:val="tx1"/>
            </w14:solidFill>
          </w14:textFill>
        </w:rPr>
        <w:t>（投标人名称）系中华人民共和国合法企业，注册地址：</w:t>
      </w:r>
      <w:r>
        <w:rPr>
          <w:rFonts w:hint="eastAsia" w:ascii="仿宋" w:hAnsi="仿宋" w:eastAsia="仿宋" w:cs="仿宋"/>
          <w:color w:val="000000" w:themeColor="text1"/>
          <w:sz w:val="24"/>
          <w:szCs w:val="28"/>
          <w:u w:val="single"/>
          <w14:textFill>
            <w14:solidFill>
              <w14:schemeClr w14:val="tx1"/>
            </w14:solidFill>
          </w14:textFill>
        </w:rPr>
        <w:t xml:space="preserve">                               </w:t>
      </w:r>
      <w:r>
        <w:rPr>
          <w:rFonts w:hint="eastAsia" w:ascii="仿宋" w:hAnsi="仿宋" w:eastAsia="仿宋" w:cs="仿宋"/>
          <w:color w:val="000000" w:themeColor="text1"/>
          <w:sz w:val="24"/>
          <w:szCs w:val="28"/>
          <w14:textFill>
            <w14:solidFill>
              <w14:schemeClr w14:val="tx1"/>
            </w14:solidFill>
          </w14:textFill>
        </w:rPr>
        <w:t>。我方就参加本次投标有关事项郑重声明如下：</w:t>
      </w:r>
    </w:p>
    <w:p>
      <w:pPr>
        <w:tabs>
          <w:tab w:val="left" w:pos="6300"/>
        </w:tabs>
        <w:snapToGrid w:val="0"/>
        <w:spacing w:line="500" w:lineRule="exact"/>
        <w:ind w:firstLine="480" w:firstLineChars="200"/>
        <w:outlineLvl w:val="0"/>
        <w:rPr>
          <w:rFonts w:ascii="仿宋" w:hAnsi="仿宋" w:eastAsia="仿宋" w:cs="仿宋"/>
          <w:color w:val="000000" w:themeColor="text1"/>
          <w:sz w:val="24"/>
          <w:szCs w:val="28"/>
          <w14:textFill>
            <w14:solidFill>
              <w14:schemeClr w14:val="tx1"/>
            </w14:solidFill>
          </w14:textFill>
        </w:rPr>
      </w:pPr>
      <w:bookmarkStart w:id="522" w:name="_Toc3205"/>
      <w:bookmarkStart w:id="523" w:name="_Toc4"/>
      <w:r>
        <w:rPr>
          <w:rFonts w:hint="eastAsia" w:ascii="仿宋" w:hAnsi="仿宋" w:eastAsia="仿宋" w:cs="仿宋"/>
          <w:color w:val="000000" w:themeColor="text1"/>
          <w:sz w:val="24"/>
          <w:szCs w:val="28"/>
          <w14:textFill>
            <w14:solidFill>
              <w14:schemeClr w14:val="tx1"/>
            </w14:solidFill>
          </w14:textFill>
        </w:rPr>
        <w:t>一、我方完全理解并接受该项目</w:t>
      </w:r>
      <w:r>
        <w:rPr>
          <w:rFonts w:hint="eastAsia" w:ascii="仿宋" w:hAnsi="仿宋" w:eastAsia="仿宋" w:cs="仿宋"/>
          <w:color w:val="000000" w:themeColor="text1"/>
          <w:sz w:val="24"/>
          <w:szCs w:val="28"/>
          <w:lang w:eastAsia="zh-CN"/>
          <w14:textFill>
            <w14:solidFill>
              <w14:schemeClr w14:val="tx1"/>
            </w14:solidFill>
          </w14:textFill>
        </w:rPr>
        <w:t>比选文件</w:t>
      </w:r>
      <w:r>
        <w:rPr>
          <w:rFonts w:hint="eastAsia" w:ascii="仿宋" w:hAnsi="仿宋" w:eastAsia="仿宋" w:cs="仿宋"/>
          <w:color w:val="000000" w:themeColor="text1"/>
          <w:sz w:val="24"/>
          <w:szCs w:val="28"/>
          <w14:textFill>
            <w14:solidFill>
              <w14:schemeClr w14:val="tx1"/>
            </w14:solidFill>
          </w14:textFill>
        </w:rPr>
        <w:t>所有要求。</w:t>
      </w:r>
      <w:bookmarkEnd w:id="522"/>
      <w:bookmarkEnd w:id="523"/>
    </w:p>
    <w:p>
      <w:pPr>
        <w:tabs>
          <w:tab w:val="left" w:pos="6300"/>
        </w:tabs>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二、我方提交的所有投标文件、资料都是准确和真实的，如有虚假或隐瞒，我方愿意承担一切法律责任。</w:t>
      </w:r>
    </w:p>
    <w:p>
      <w:pPr>
        <w:tabs>
          <w:tab w:val="left" w:pos="6300"/>
        </w:tabs>
        <w:snapToGrid w:val="0"/>
        <w:spacing w:line="500" w:lineRule="exact"/>
        <w:ind w:firstLine="480" w:firstLineChars="200"/>
        <w:outlineLvl w:val="0"/>
        <w:rPr>
          <w:rFonts w:ascii="仿宋" w:hAnsi="仿宋" w:eastAsia="仿宋" w:cs="仿宋"/>
          <w:color w:val="000000" w:themeColor="text1"/>
          <w:sz w:val="24"/>
          <w:szCs w:val="28"/>
          <w14:textFill>
            <w14:solidFill>
              <w14:schemeClr w14:val="tx1"/>
            </w14:solidFill>
          </w14:textFill>
        </w:rPr>
      </w:pPr>
      <w:bookmarkStart w:id="524" w:name="_Toc11580"/>
      <w:bookmarkStart w:id="525" w:name="_Toc21590"/>
      <w:r>
        <w:rPr>
          <w:rFonts w:hint="eastAsia" w:ascii="仿宋" w:hAnsi="仿宋" w:eastAsia="仿宋" w:cs="仿宋"/>
          <w:color w:val="000000" w:themeColor="text1"/>
          <w:sz w:val="24"/>
          <w:szCs w:val="28"/>
          <w14:textFill>
            <w14:solidFill>
              <w14:schemeClr w14:val="tx1"/>
            </w14:solidFill>
          </w14:textFill>
        </w:rPr>
        <w:t>三、我方承诺按照</w:t>
      </w:r>
      <w:r>
        <w:rPr>
          <w:rFonts w:hint="eastAsia" w:ascii="仿宋" w:hAnsi="仿宋" w:eastAsia="仿宋" w:cs="仿宋"/>
          <w:color w:val="000000" w:themeColor="text1"/>
          <w:sz w:val="24"/>
          <w:szCs w:val="28"/>
          <w:lang w:eastAsia="zh-CN"/>
          <w14:textFill>
            <w14:solidFill>
              <w14:schemeClr w14:val="tx1"/>
            </w14:solidFill>
          </w14:textFill>
        </w:rPr>
        <w:t>比选文件</w:t>
      </w:r>
      <w:r>
        <w:rPr>
          <w:rFonts w:hint="eastAsia" w:ascii="仿宋" w:hAnsi="仿宋" w:eastAsia="仿宋" w:cs="仿宋"/>
          <w:color w:val="000000" w:themeColor="text1"/>
          <w:sz w:val="24"/>
          <w:szCs w:val="28"/>
          <w14:textFill>
            <w14:solidFill>
              <w14:schemeClr w14:val="tx1"/>
            </w14:solidFill>
          </w14:textFill>
        </w:rPr>
        <w:t>要求，提供招标项目的技术服务。</w:t>
      </w:r>
      <w:bookmarkEnd w:id="524"/>
      <w:bookmarkEnd w:id="525"/>
    </w:p>
    <w:p>
      <w:pPr>
        <w:tabs>
          <w:tab w:val="left" w:pos="6300"/>
        </w:tabs>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四、我方按</w:t>
      </w:r>
      <w:r>
        <w:rPr>
          <w:rFonts w:hint="eastAsia" w:ascii="仿宋" w:hAnsi="仿宋" w:eastAsia="仿宋" w:cs="仿宋"/>
          <w:color w:val="000000" w:themeColor="text1"/>
          <w:sz w:val="24"/>
          <w:szCs w:val="28"/>
          <w:lang w:eastAsia="zh-CN"/>
          <w14:textFill>
            <w14:solidFill>
              <w14:schemeClr w14:val="tx1"/>
            </w14:solidFill>
          </w14:textFill>
        </w:rPr>
        <w:t>比选文件</w:t>
      </w:r>
      <w:r>
        <w:rPr>
          <w:rFonts w:hint="eastAsia" w:ascii="仿宋" w:hAnsi="仿宋" w:eastAsia="仿宋" w:cs="仿宋"/>
          <w:color w:val="000000" w:themeColor="text1"/>
          <w:sz w:val="24"/>
          <w:szCs w:val="28"/>
          <w14:textFill>
            <w14:solidFill>
              <w14:schemeClr w14:val="tx1"/>
            </w14:solidFill>
          </w14:textFill>
        </w:rPr>
        <w:t>要求提交的投标文件为：投标文件正本</w:t>
      </w:r>
      <w:r>
        <w:rPr>
          <w:rFonts w:hint="eastAsia" w:ascii="仿宋" w:hAnsi="仿宋" w:eastAsia="仿宋" w:cs="仿宋"/>
          <w:color w:val="000000" w:themeColor="text1"/>
          <w:sz w:val="24"/>
          <w:szCs w:val="28"/>
          <w:u w:val="single"/>
          <w14:textFill>
            <w14:solidFill>
              <w14:schemeClr w14:val="tx1"/>
            </w14:solidFill>
          </w14:textFill>
        </w:rPr>
        <w:t xml:space="preserve">  </w:t>
      </w:r>
      <w:r>
        <w:rPr>
          <w:rFonts w:hint="eastAsia" w:ascii="仿宋" w:hAnsi="仿宋" w:eastAsia="仿宋" w:cs="仿宋"/>
          <w:color w:val="000000" w:themeColor="text1"/>
          <w:sz w:val="24"/>
          <w:szCs w:val="28"/>
          <w14:textFill>
            <w14:solidFill>
              <w14:schemeClr w14:val="tx1"/>
            </w14:solidFill>
          </w14:textFill>
        </w:rPr>
        <w:t>份，副本</w:t>
      </w:r>
      <w:r>
        <w:rPr>
          <w:rFonts w:hint="eastAsia" w:ascii="仿宋" w:hAnsi="仿宋" w:eastAsia="仿宋" w:cs="仿宋"/>
          <w:color w:val="000000" w:themeColor="text1"/>
          <w:sz w:val="24"/>
          <w:szCs w:val="28"/>
          <w:u w:val="single"/>
          <w14:textFill>
            <w14:solidFill>
              <w14:schemeClr w14:val="tx1"/>
            </w14:solidFill>
          </w14:textFill>
        </w:rPr>
        <w:t xml:space="preserve">  </w:t>
      </w:r>
      <w:r>
        <w:rPr>
          <w:rFonts w:hint="eastAsia" w:ascii="仿宋" w:hAnsi="仿宋" w:eastAsia="仿宋" w:cs="仿宋"/>
          <w:color w:val="000000" w:themeColor="text1"/>
          <w:sz w:val="24"/>
          <w:szCs w:val="28"/>
          <w14:textFill>
            <w14:solidFill>
              <w14:schemeClr w14:val="tx1"/>
            </w14:solidFill>
          </w14:textFill>
        </w:rPr>
        <w:t>份，电子文档</w:t>
      </w:r>
      <w:r>
        <w:rPr>
          <w:rFonts w:hint="eastAsia" w:ascii="仿宋" w:hAnsi="仿宋" w:eastAsia="仿宋" w:cs="仿宋"/>
          <w:color w:val="000000" w:themeColor="text1"/>
          <w:sz w:val="24"/>
          <w:szCs w:val="28"/>
          <w:u w:val="single"/>
          <w14:textFill>
            <w14:solidFill>
              <w14:schemeClr w14:val="tx1"/>
            </w14:solidFill>
          </w14:textFill>
        </w:rPr>
        <w:t xml:space="preserve">   </w:t>
      </w:r>
      <w:r>
        <w:rPr>
          <w:rFonts w:hint="eastAsia" w:ascii="仿宋" w:hAnsi="仿宋" w:eastAsia="仿宋" w:cs="仿宋"/>
          <w:color w:val="000000" w:themeColor="text1"/>
          <w:sz w:val="24"/>
          <w:szCs w:val="28"/>
          <w14:textFill>
            <w14:solidFill>
              <w14:schemeClr w14:val="tx1"/>
            </w14:solidFill>
          </w14:textFill>
        </w:rPr>
        <w:t>份。</w:t>
      </w:r>
    </w:p>
    <w:p>
      <w:pPr>
        <w:tabs>
          <w:tab w:val="left" w:pos="6300"/>
        </w:tabs>
        <w:snapToGrid w:val="0"/>
        <w:spacing w:line="500" w:lineRule="exact"/>
        <w:ind w:firstLine="480" w:firstLineChars="200"/>
        <w:outlineLvl w:val="0"/>
        <w:rPr>
          <w:rFonts w:ascii="仿宋" w:hAnsi="仿宋" w:eastAsia="仿宋" w:cs="仿宋"/>
          <w:color w:val="000000" w:themeColor="text1"/>
          <w:sz w:val="24"/>
          <w:szCs w:val="28"/>
          <w14:textFill>
            <w14:solidFill>
              <w14:schemeClr w14:val="tx1"/>
            </w14:solidFill>
          </w14:textFill>
        </w:rPr>
      </w:pPr>
      <w:bookmarkStart w:id="526" w:name="_Toc29484"/>
      <w:bookmarkStart w:id="527" w:name="_Toc1333"/>
      <w:r>
        <w:rPr>
          <w:rFonts w:hint="eastAsia" w:ascii="仿宋" w:hAnsi="仿宋" w:eastAsia="仿宋" w:cs="仿宋"/>
          <w:color w:val="000000" w:themeColor="text1"/>
          <w:sz w:val="24"/>
          <w:szCs w:val="28"/>
          <w14:textFill>
            <w14:solidFill>
              <w14:schemeClr w14:val="tx1"/>
            </w14:solidFill>
          </w14:textFill>
        </w:rPr>
        <w:t>五、我方承诺：本次投标的投标有效期为投标截止时间起90天。</w:t>
      </w:r>
      <w:bookmarkEnd w:id="526"/>
      <w:bookmarkEnd w:id="527"/>
    </w:p>
    <w:p>
      <w:pPr>
        <w:tabs>
          <w:tab w:val="left" w:pos="6300"/>
        </w:tabs>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六、我方投标报价为闭口价。即在投标有效期和合同有效期内，该报价固定不变。</w:t>
      </w:r>
    </w:p>
    <w:p>
      <w:pPr>
        <w:tabs>
          <w:tab w:val="left" w:pos="6300"/>
        </w:tabs>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七、如果我方中标，我方将履行</w:t>
      </w:r>
      <w:r>
        <w:rPr>
          <w:rFonts w:hint="eastAsia" w:ascii="仿宋" w:hAnsi="仿宋" w:eastAsia="仿宋" w:cs="仿宋"/>
          <w:color w:val="000000" w:themeColor="text1"/>
          <w:sz w:val="24"/>
          <w:szCs w:val="28"/>
          <w:lang w:eastAsia="zh-CN"/>
          <w14:textFill>
            <w14:solidFill>
              <w14:schemeClr w14:val="tx1"/>
            </w14:solidFill>
          </w14:textFill>
        </w:rPr>
        <w:t>比选文件</w:t>
      </w:r>
      <w:r>
        <w:rPr>
          <w:rFonts w:hint="eastAsia" w:ascii="仿宋" w:hAnsi="仿宋" w:eastAsia="仿宋" w:cs="仿宋"/>
          <w:color w:val="000000" w:themeColor="text1"/>
          <w:sz w:val="24"/>
          <w:szCs w:val="28"/>
          <w14:textFill>
            <w14:solidFill>
              <w14:schemeClr w14:val="tx1"/>
            </w14:solidFill>
          </w14:textFill>
        </w:rPr>
        <w:t>中规定的各项要求以及我方投标文件的各项承诺，按《中华人民共和国招标投标法》、《民法典》及合同约定条款承担我方责任。</w:t>
      </w:r>
    </w:p>
    <w:p>
      <w:pPr>
        <w:tabs>
          <w:tab w:val="left" w:pos="6300"/>
        </w:tabs>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八、我方未</w:t>
      </w:r>
      <w:r>
        <w:rPr>
          <w:rFonts w:hint="eastAsia" w:ascii="仿宋" w:hAnsi="仿宋" w:eastAsia="仿宋" w:cs="仿宋"/>
          <w:color w:val="000000" w:themeColor="text1"/>
          <w:sz w:val="24"/>
          <w:szCs w:val="24"/>
          <w14:textFill>
            <w14:solidFill>
              <w14:schemeClr w14:val="tx1"/>
            </w14:solidFill>
          </w14:textFill>
        </w:rPr>
        <w:t>为招标项目提供整体设计、规范编制或者项目管理、监理、检测等服务。</w:t>
      </w:r>
    </w:p>
    <w:p>
      <w:pPr>
        <w:tabs>
          <w:tab w:val="left" w:pos="6300"/>
        </w:tabs>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九、我方理解，最低报价不是中标的唯一条件。</w:t>
      </w:r>
    </w:p>
    <w:p>
      <w:pPr>
        <w:tabs>
          <w:tab w:val="left" w:pos="6300"/>
        </w:tabs>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十、我方同意按有关规定及</w:t>
      </w:r>
      <w:r>
        <w:rPr>
          <w:rFonts w:hint="eastAsia" w:ascii="仿宋" w:hAnsi="仿宋" w:eastAsia="仿宋" w:cs="仿宋"/>
          <w:color w:val="000000" w:themeColor="text1"/>
          <w:sz w:val="24"/>
          <w:szCs w:val="28"/>
          <w:lang w:eastAsia="zh-CN"/>
          <w14:textFill>
            <w14:solidFill>
              <w14:schemeClr w14:val="tx1"/>
            </w14:solidFill>
          </w14:textFill>
        </w:rPr>
        <w:t>比选文件</w:t>
      </w:r>
      <w:r>
        <w:rPr>
          <w:rFonts w:hint="eastAsia" w:ascii="仿宋" w:hAnsi="仿宋" w:eastAsia="仿宋" w:cs="仿宋"/>
          <w:color w:val="000000" w:themeColor="text1"/>
          <w:sz w:val="24"/>
          <w:szCs w:val="28"/>
          <w14:textFill>
            <w14:solidFill>
              <w14:schemeClr w14:val="tx1"/>
            </w14:solidFill>
          </w14:textFill>
        </w:rPr>
        <w:t>要求，缴纳足额投标保证金。</w:t>
      </w:r>
    </w:p>
    <w:p>
      <w:pPr>
        <w:tabs>
          <w:tab w:val="left" w:pos="6300"/>
        </w:tabs>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十一、若我方中标，愿意按有关规定及</w:t>
      </w:r>
      <w:r>
        <w:rPr>
          <w:rFonts w:hint="eastAsia" w:ascii="仿宋" w:hAnsi="仿宋" w:eastAsia="仿宋" w:cs="仿宋"/>
          <w:color w:val="000000" w:themeColor="text1"/>
          <w:sz w:val="24"/>
          <w:szCs w:val="28"/>
          <w:lang w:eastAsia="zh-CN"/>
          <w14:textFill>
            <w14:solidFill>
              <w14:schemeClr w14:val="tx1"/>
            </w14:solidFill>
          </w14:textFill>
        </w:rPr>
        <w:t>比选文件</w:t>
      </w:r>
      <w:r>
        <w:rPr>
          <w:rFonts w:hint="eastAsia" w:ascii="仿宋" w:hAnsi="仿宋" w:eastAsia="仿宋" w:cs="仿宋"/>
          <w:color w:val="000000" w:themeColor="text1"/>
          <w:sz w:val="24"/>
          <w:szCs w:val="28"/>
          <w14:textFill>
            <w14:solidFill>
              <w14:schemeClr w14:val="tx1"/>
            </w14:solidFill>
          </w14:textFill>
        </w:rPr>
        <w:t>要求缴纳招标代理服务费。</w:t>
      </w:r>
    </w:p>
    <w:p>
      <w:pPr>
        <w:tabs>
          <w:tab w:val="left" w:pos="6300"/>
        </w:tabs>
        <w:snapToGrid w:val="0"/>
        <w:spacing w:line="500" w:lineRule="exact"/>
        <w:ind w:firstLine="480" w:firstLineChars="20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十二、若我方中标，保证在签订合同之日起一个工作日内将合同扫描件发送至171239179@qq.com，以便办理中标人保证金退还事宜。若因我方超期发送，保证金退还时间顺延。</w:t>
      </w:r>
    </w:p>
    <w:p>
      <w:pPr>
        <w:tabs>
          <w:tab w:val="left" w:pos="6300"/>
        </w:tabs>
        <w:snapToGrid w:val="0"/>
        <w:spacing w:line="500" w:lineRule="exact"/>
        <w:ind w:firstLine="5460" w:firstLineChars="2275"/>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（投标人公章）</w:t>
      </w:r>
    </w:p>
    <w:p>
      <w:pPr>
        <w:tabs>
          <w:tab w:val="left" w:pos="6300"/>
        </w:tabs>
        <w:snapToGrid w:val="0"/>
        <w:spacing w:line="500" w:lineRule="exact"/>
        <w:ind w:firstLine="570"/>
        <w:rPr>
          <w:rFonts w:ascii="仿宋" w:hAnsi="仿宋" w:eastAsia="仿宋" w:cs="仿宋"/>
          <w:color w:val="000000" w:themeColor="text1"/>
          <w:sz w:val="24"/>
          <w:szCs w:val="28"/>
          <w14:textFill>
            <w14:solidFill>
              <w14:schemeClr w14:val="tx1"/>
            </w14:solidFill>
          </w14:textFill>
        </w:rPr>
      </w:pPr>
    </w:p>
    <w:p>
      <w:pPr>
        <w:tabs>
          <w:tab w:val="left" w:pos="6300"/>
        </w:tabs>
        <w:snapToGrid w:val="0"/>
        <w:spacing w:line="500" w:lineRule="exact"/>
        <w:ind w:firstLine="5760" w:firstLineChars="24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年    月   日</w:t>
      </w:r>
    </w:p>
    <w:p>
      <w:pPr>
        <w:tabs>
          <w:tab w:val="left" w:pos="6300"/>
        </w:tabs>
        <w:snapToGrid w:val="0"/>
        <w:spacing w:line="500" w:lineRule="exact"/>
        <w:jc w:val="left"/>
        <w:outlineLvl w:val="1"/>
        <w:rPr>
          <w:rFonts w:ascii="仿宋" w:hAnsi="仿宋" w:eastAsia="仿宋" w:cs="仿宋"/>
          <w:color w:val="000000" w:themeColor="text1"/>
          <w:sz w:val="44"/>
          <w14:textFill>
            <w14:solidFill>
              <w14:schemeClr w14:val="tx1"/>
            </w14:solidFill>
          </w14:textFill>
        </w:rPr>
      </w:pPr>
      <w:r>
        <w:rPr>
          <w:rFonts w:hint="eastAsia" w:ascii="仿宋" w:hAnsi="仿宋" w:eastAsia="仿宋" w:cs="仿宋"/>
          <w:color w:val="000000" w:themeColor="text1"/>
          <w:szCs w:val="44"/>
          <w14:textFill>
            <w14:solidFill>
              <w14:schemeClr w14:val="tx1"/>
            </w14:solidFill>
          </w14:textFill>
        </w:rPr>
        <w:br w:type="page"/>
      </w:r>
      <w:bookmarkStart w:id="528" w:name="_Toc26237"/>
      <w:bookmarkStart w:id="529" w:name="_Toc4615"/>
      <w:r>
        <w:rPr>
          <w:rFonts w:hint="eastAsia" w:ascii="仿宋" w:hAnsi="仿宋" w:eastAsia="仿宋" w:cs="仿宋"/>
          <w:color w:val="000000" w:themeColor="text1"/>
          <w:szCs w:val="28"/>
          <w14:textFill>
            <w14:solidFill>
              <w14:schemeClr w14:val="tx1"/>
            </w14:solidFill>
          </w14:textFill>
        </w:rPr>
        <w:t>（二）</w:t>
      </w:r>
      <w:r>
        <w:rPr>
          <w:rFonts w:hint="eastAsia" w:ascii="仿宋" w:hAnsi="仿宋" w:eastAsia="仿宋" w:cs="仿宋"/>
          <w:color w:val="000000" w:themeColor="text1"/>
          <w14:textFill>
            <w14:solidFill>
              <w14:schemeClr w14:val="tx1"/>
            </w14:solidFill>
          </w14:textFill>
        </w:rPr>
        <w:t>商务条款差异表</w:t>
      </w:r>
      <w:bookmarkEnd w:id="528"/>
      <w:bookmarkEnd w:id="529"/>
    </w:p>
    <w:p>
      <w:pPr>
        <w:pStyle w:val="33"/>
        <w:tabs>
          <w:tab w:val="left" w:pos="6300"/>
        </w:tabs>
        <w:snapToGrid w:val="0"/>
        <w:spacing w:line="500" w:lineRule="exact"/>
        <w:ind w:firstLine="480" w:firstLineChars="200"/>
        <w:outlineLvl w:val="0"/>
        <w:rPr>
          <w:rFonts w:ascii="仿宋" w:hAnsi="仿宋" w:eastAsia="仿宋" w:cs="仿宋"/>
          <w:color w:val="000000" w:themeColor="text1"/>
          <w:sz w:val="24"/>
          <w14:textFill>
            <w14:solidFill>
              <w14:schemeClr w14:val="tx1"/>
            </w14:solidFill>
          </w14:textFill>
        </w:rPr>
      </w:pPr>
      <w:bookmarkStart w:id="530" w:name="_Toc10202"/>
      <w:bookmarkStart w:id="531" w:name="_Toc21106"/>
      <w:r>
        <w:rPr>
          <w:rFonts w:hint="eastAsia" w:ascii="仿宋" w:hAnsi="仿宋" w:eastAsia="仿宋" w:cs="仿宋"/>
          <w:color w:val="000000" w:themeColor="text1"/>
          <w:sz w:val="24"/>
          <w:szCs w:val="28"/>
          <w14:textFill>
            <w14:solidFill>
              <w14:schemeClr w14:val="tx1"/>
            </w14:solidFill>
          </w14:textFill>
        </w:rPr>
        <w:t>招标项目名称</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szCs w:val="28"/>
          <w14:textFill>
            <w14:solidFill>
              <w14:schemeClr w14:val="tx1"/>
            </w14:solidFill>
          </w14:textFill>
        </w:rPr>
        <w:t xml:space="preserve">   项目编号：</w:t>
      </w:r>
      <w:bookmarkEnd w:id="530"/>
      <w:bookmarkEnd w:id="531"/>
    </w:p>
    <w:tbl>
      <w:tblPr>
        <w:tblStyle w:val="60"/>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945"/>
        <w:gridCol w:w="3055"/>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60" w:type="dxa"/>
            <w:vAlign w:val="center"/>
          </w:tcPr>
          <w:p>
            <w:pPr>
              <w:tabs>
                <w:tab w:val="left" w:pos="6300"/>
              </w:tabs>
              <w:snapToGrid w:val="0"/>
              <w:spacing w:line="500" w:lineRule="exact"/>
              <w:jc w:val="center"/>
              <w:outlineLvl w:val="0"/>
              <w:rPr>
                <w:rFonts w:ascii="仿宋" w:hAnsi="仿宋" w:eastAsia="仿宋" w:cs="仿宋"/>
                <w:color w:val="000000" w:themeColor="text1"/>
                <w:sz w:val="21"/>
                <w:szCs w:val="21"/>
                <w14:textFill>
                  <w14:solidFill>
                    <w14:schemeClr w14:val="tx1"/>
                  </w14:solidFill>
                </w14:textFill>
              </w:rPr>
            </w:pPr>
            <w:bookmarkStart w:id="532" w:name="_Toc19709"/>
            <w:bookmarkStart w:id="533" w:name="_Toc29187"/>
            <w:r>
              <w:rPr>
                <w:rFonts w:hint="eastAsia" w:ascii="仿宋" w:hAnsi="仿宋" w:eastAsia="仿宋" w:cs="仿宋"/>
                <w:color w:val="000000" w:themeColor="text1"/>
                <w:sz w:val="21"/>
                <w:szCs w:val="21"/>
                <w14:textFill>
                  <w14:solidFill>
                    <w14:schemeClr w14:val="tx1"/>
                  </w14:solidFill>
                </w14:textFill>
              </w:rPr>
              <w:t>序号</w:t>
            </w:r>
            <w:bookmarkEnd w:id="532"/>
            <w:bookmarkEnd w:id="533"/>
          </w:p>
        </w:tc>
        <w:tc>
          <w:tcPr>
            <w:tcW w:w="2945" w:type="dxa"/>
            <w:vAlign w:val="center"/>
          </w:tcPr>
          <w:p>
            <w:pPr>
              <w:tabs>
                <w:tab w:val="left" w:pos="6300"/>
              </w:tabs>
              <w:snapToGrid w:val="0"/>
              <w:spacing w:line="500" w:lineRule="exact"/>
              <w:jc w:val="center"/>
              <w:outlineLvl w:val="0"/>
              <w:rPr>
                <w:rFonts w:ascii="仿宋" w:hAnsi="仿宋" w:eastAsia="仿宋" w:cs="仿宋"/>
                <w:color w:val="000000" w:themeColor="text1"/>
                <w:sz w:val="21"/>
                <w:szCs w:val="21"/>
                <w14:textFill>
                  <w14:solidFill>
                    <w14:schemeClr w14:val="tx1"/>
                  </w14:solidFill>
                </w14:textFill>
              </w:rPr>
            </w:pPr>
            <w:bookmarkStart w:id="534" w:name="_Toc6311"/>
            <w:bookmarkStart w:id="535" w:name="_Toc24823"/>
            <w:r>
              <w:rPr>
                <w:rFonts w:hint="eastAsia" w:ascii="仿宋" w:hAnsi="仿宋" w:eastAsia="仿宋" w:cs="仿宋"/>
                <w:color w:val="000000" w:themeColor="text1"/>
                <w:sz w:val="21"/>
                <w:szCs w:val="21"/>
                <w14:textFill>
                  <w14:solidFill>
                    <w14:schemeClr w14:val="tx1"/>
                  </w14:solidFill>
                </w14:textFill>
              </w:rPr>
              <w:t>招标商务要求</w:t>
            </w:r>
            <w:bookmarkEnd w:id="534"/>
            <w:bookmarkEnd w:id="535"/>
          </w:p>
        </w:tc>
        <w:tc>
          <w:tcPr>
            <w:tcW w:w="3055" w:type="dxa"/>
            <w:vAlign w:val="center"/>
          </w:tcPr>
          <w:p>
            <w:pPr>
              <w:tabs>
                <w:tab w:val="left" w:pos="6300"/>
              </w:tabs>
              <w:snapToGrid w:val="0"/>
              <w:spacing w:line="500" w:lineRule="exact"/>
              <w:jc w:val="center"/>
              <w:outlineLvl w:val="0"/>
              <w:rPr>
                <w:rFonts w:ascii="仿宋" w:hAnsi="仿宋" w:eastAsia="仿宋" w:cs="仿宋"/>
                <w:color w:val="000000" w:themeColor="text1"/>
                <w:sz w:val="21"/>
                <w:szCs w:val="21"/>
                <w14:textFill>
                  <w14:solidFill>
                    <w14:schemeClr w14:val="tx1"/>
                  </w14:solidFill>
                </w14:textFill>
              </w:rPr>
            </w:pPr>
            <w:bookmarkStart w:id="536" w:name="_Toc30646"/>
            <w:bookmarkStart w:id="537" w:name="_Toc830"/>
            <w:r>
              <w:rPr>
                <w:rFonts w:hint="eastAsia" w:ascii="仿宋" w:hAnsi="仿宋" w:eastAsia="仿宋" w:cs="仿宋"/>
                <w:color w:val="000000" w:themeColor="text1"/>
                <w:sz w:val="21"/>
                <w:szCs w:val="21"/>
                <w14:textFill>
                  <w14:solidFill>
                    <w14:schemeClr w14:val="tx1"/>
                  </w14:solidFill>
                </w14:textFill>
              </w:rPr>
              <w:t>响应情况</w:t>
            </w:r>
            <w:bookmarkEnd w:id="536"/>
            <w:bookmarkEnd w:id="537"/>
          </w:p>
        </w:tc>
        <w:tc>
          <w:tcPr>
            <w:tcW w:w="2288" w:type="dxa"/>
            <w:vAlign w:val="center"/>
          </w:tcPr>
          <w:p>
            <w:pPr>
              <w:tabs>
                <w:tab w:val="left" w:pos="6300"/>
              </w:tabs>
              <w:snapToGrid w:val="0"/>
              <w:spacing w:line="500" w:lineRule="exact"/>
              <w:jc w:val="center"/>
              <w:outlineLvl w:val="0"/>
              <w:rPr>
                <w:rFonts w:ascii="仿宋" w:hAnsi="仿宋" w:eastAsia="仿宋" w:cs="仿宋"/>
                <w:color w:val="000000" w:themeColor="text1"/>
                <w:sz w:val="21"/>
                <w:szCs w:val="21"/>
                <w14:textFill>
                  <w14:solidFill>
                    <w14:schemeClr w14:val="tx1"/>
                  </w14:solidFill>
                </w14:textFill>
              </w:rPr>
            </w:pPr>
            <w:bookmarkStart w:id="538" w:name="_Toc30872"/>
            <w:bookmarkStart w:id="539" w:name="_Toc2227"/>
            <w:r>
              <w:rPr>
                <w:rFonts w:hint="eastAsia" w:ascii="仿宋" w:hAnsi="仿宋" w:eastAsia="仿宋" w:cs="仿宋"/>
                <w:color w:val="000000" w:themeColor="text1"/>
                <w:sz w:val="21"/>
                <w:szCs w:val="21"/>
                <w14:textFill>
                  <w14:solidFill>
                    <w14:schemeClr w14:val="tx1"/>
                  </w14:solidFill>
                </w14:textFill>
              </w:rPr>
              <w:t>差异说明</w:t>
            </w:r>
            <w:bookmarkEnd w:id="538"/>
            <w:bookmarkEnd w:id="5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94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3055"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c>
          <w:tcPr>
            <w:tcW w:w="2288" w:type="dxa"/>
            <w:vAlign w:val="center"/>
          </w:tcPr>
          <w:p>
            <w:pPr>
              <w:tabs>
                <w:tab w:val="left" w:pos="6300"/>
              </w:tabs>
              <w:snapToGrid w:val="0"/>
              <w:spacing w:line="500" w:lineRule="exact"/>
              <w:jc w:val="center"/>
              <w:outlineLvl w:val="9"/>
              <w:rPr>
                <w:rFonts w:ascii="仿宋" w:hAnsi="仿宋" w:eastAsia="仿宋" w:cs="仿宋"/>
                <w:color w:val="000000" w:themeColor="text1"/>
                <w:sz w:val="21"/>
                <w:szCs w:val="21"/>
                <w14:textFill>
                  <w14:solidFill>
                    <w14:schemeClr w14:val="tx1"/>
                  </w14:solidFill>
                </w14:textFill>
              </w:rPr>
            </w:pPr>
          </w:p>
        </w:tc>
      </w:tr>
    </w:tbl>
    <w:p>
      <w:pPr>
        <w:spacing w:line="500" w:lineRule="exact"/>
        <w:ind w:firstLine="600" w:firstLineChars="25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投标人：                             法定代表人或法定代表人授权代表：</w:t>
      </w:r>
    </w:p>
    <w:p>
      <w:pPr>
        <w:spacing w:line="500" w:lineRule="exact"/>
        <w:rPr>
          <w:rFonts w:ascii="仿宋" w:hAnsi="仿宋" w:eastAsia="仿宋" w:cs="仿宋"/>
          <w:color w:val="000000" w:themeColor="text1"/>
          <w:sz w:val="24"/>
          <w:szCs w:val="28"/>
          <w14:textFill>
            <w14:solidFill>
              <w14:schemeClr w14:val="tx1"/>
            </w14:solidFill>
          </w14:textFill>
        </w:rPr>
      </w:pPr>
    </w:p>
    <w:p>
      <w:pPr>
        <w:spacing w:line="500" w:lineRule="exac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（投标人公章）                               （签字或签章）</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年     月     日</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pPr>
        <w:tabs>
          <w:tab w:val="left" w:pos="6300"/>
        </w:tabs>
        <w:snapToGrid w:val="0"/>
        <w:spacing w:line="500" w:lineRule="exact"/>
        <w:ind w:firstLine="57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1、本表即为对本项目“第三篇 项目商务要求”中所列服务要求进行比较和响应；</w:t>
      </w:r>
    </w:p>
    <w:p>
      <w:pPr>
        <w:tabs>
          <w:tab w:val="left" w:pos="6300"/>
        </w:tabs>
        <w:snapToGrid w:val="0"/>
        <w:spacing w:line="500" w:lineRule="exact"/>
        <w:ind w:firstLine="57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2、该表必须按照比选文件要求逐条如实填写，根据投标情况在“差异说明”项填写正偏离或负偏离及原因，完全符合的填写“无差异”。</w:t>
      </w:r>
    </w:p>
    <w:p>
      <w:pPr>
        <w:tabs>
          <w:tab w:val="left" w:pos="6300"/>
        </w:tabs>
        <w:snapToGrid w:val="0"/>
        <w:spacing w:line="500" w:lineRule="exact"/>
        <w:ind w:firstLine="570"/>
        <w:outlineLvl w:val="2"/>
        <w:rPr>
          <w:rFonts w:ascii="仿宋" w:hAnsi="仿宋" w:eastAsia="仿宋" w:cs="仿宋"/>
          <w:color w:val="000000" w:themeColor="text1"/>
          <w:sz w:val="24"/>
          <w:szCs w:val="24"/>
          <w14:textFill>
            <w14:solidFill>
              <w14:schemeClr w14:val="tx1"/>
            </w14:solidFill>
          </w14:textFill>
        </w:rPr>
      </w:pPr>
      <w:bookmarkStart w:id="540" w:name="_Toc18026"/>
      <w:bookmarkStart w:id="541" w:name="_Toc12086"/>
      <w:r>
        <w:rPr>
          <w:rFonts w:hint="eastAsia" w:ascii="仿宋" w:hAnsi="仿宋" w:eastAsia="仿宋" w:cs="仿宋"/>
          <w:color w:val="000000" w:themeColor="text1"/>
          <w:sz w:val="24"/>
          <w:szCs w:val="24"/>
          <w14:textFill>
            <w14:solidFill>
              <w14:schemeClr w14:val="tx1"/>
            </w14:solidFill>
          </w14:textFill>
        </w:rPr>
        <w:t>3、该表可扩展。</w:t>
      </w:r>
      <w:bookmarkEnd w:id="540"/>
      <w:bookmarkEnd w:id="541"/>
    </w:p>
    <w:p>
      <w:pPr>
        <w:tabs>
          <w:tab w:val="left" w:pos="6300"/>
        </w:tabs>
        <w:snapToGrid w:val="0"/>
        <w:spacing w:line="500" w:lineRule="exact"/>
        <w:outlineLvl w:val="1"/>
        <w:rPr>
          <w:rFonts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bookmarkStart w:id="542" w:name="_Toc25914"/>
      <w:bookmarkStart w:id="543" w:name="_Toc10797"/>
      <w:r>
        <w:rPr>
          <w:rFonts w:hint="eastAsia" w:ascii="仿宋" w:hAnsi="仿宋" w:eastAsia="仿宋" w:cs="仿宋"/>
          <w:color w:val="000000" w:themeColor="text1"/>
          <w:sz w:val="24"/>
          <w:szCs w:val="18"/>
          <w14:textFill>
            <w14:solidFill>
              <w14:schemeClr w14:val="tx1"/>
            </w14:solidFill>
          </w14:textFill>
        </w:rPr>
        <w:t>（</w:t>
      </w:r>
      <w:r>
        <w:rPr>
          <w:rFonts w:hint="eastAsia" w:ascii="仿宋" w:hAnsi="仿宋" w:eastAsia="仿宋" w:cs="仿宋"/>
          <w:color w:val="000000" w:themeColor="text1"/>
          <w:sz w:val="24"/>
          <w:szCs w:val="21"/>
          <w14:textFill>
            <w14:solidFill>
              <w14:schemeClr w14:val="tx1"/>
            </w14:solidFill>
          </w14:textFill>
        </w:rPr>
        <w:t>三）</w:t>
      </w:r>
      <w:r>
        <w:rPr>
          <w:rFonts w:hint="eastAsia" w:ascii="仿宋" w:hAnsi="仿宋" w:eastAsia="仿宋" w:cs="仿宋"/>
          <w:color w:val="000000" w:themeColor="text1"/>
          <w:sz w:val="24"/>
          <w:szCs w:val="18"/>
          <w14:textFill>
            <w14:solidFill>
              <w14:schemeClr w14:val="tx1"/>
            </w14:solidFill>
          </w14:textFill>
        </w:rPr>
        <w:t>商务部分评分对应证明材料（如有）</w:t>
      </w:r>
      <w:bookmarkEnd w:id="542"/>
      <w:bookmarkEnd w:id="543"/>
    </w:p>
    <w:p>
      <w:pPr>
        <w:tabs>
          <w:tab w:val="left" w:pos="6300"/>
        </w:tabs>
        <w:snapToGrid w:val="0"/>
        <w:spacing w:line="500" w:lineRule="exact"/>
        <w:rPr>
          <w:rFonts w:ascii="仿宋" w:hAnsi="仿宋" w:eastAsia="仿宋" w:cs="仿宋"/>
          <w:color w:val="000000" w:themeColor="text1"/>
          <w:szCs w:val="22"/>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Cs w:val="22"/>
          <w14:textFill>
            <w14:solidFill>
              <w14:schemeClr w14:val="tx1"/>
            </w14:solidFill>
          </w14:textFill>
        </w:rPr>
      </w:pPr>
    </w:p>
    <w:p>
      <w:pPr>
        <w:pStyle w:val="3"/>
        <w:pageBreakBefore/>
        <w:spacing w:line="500" w:lineRule="exact"/>
        <w:outlineLvl w:val="0"/>
        <w:rPr>
          <w:rFonts w:ascii="仿宋" w:hAnsi="仿宋" w:eastAsia="仿宋" w:cs="仿宋"/>
          <w:b/>
          <w:color w:val="000000" w:themeColor="text1"/>
          <w:szCs w:val="28"/>
          <w14:textFill>
            <w14:solidFill>
              <w14:schemeClr w14:val="tx1"/>
            </w14:solidFill>
          </w14:textFill>
        </w:rPr>
      </w:pPr>
      <w:bookmarkStart w:id="544" w:name="_Toc1939"/>
      <w:bookmarkStart w:id="545" w:name="_Toc25731"/>
      <w:bookmarkStart w:id="546" w:name="_Toc20192"/>
      <w:bookmarkStart w:id="547" w:name="_Toc429584888"/>
      <w:bookmarkStart w:id="548" w:name="_Toc25878"/>
      <w:bookmarkStart w:id="549" w:name="_Toc26643"/>
      <w:bookmarkStart w:id="550" w:name="_Toc12390"/>
      <w:r>
        <w:rPr>
          <w:rFonts w:hint="eastAsia" w:ascii="仿宋" w:hAnsi="仿宋" w:eastAsia="仿宋" w:cs="仿宋"/>
          <w:b/>
          <w:color w:val="000000" w:themeColor="text1"/>
          <w:szCs w:val="28"/>
          <w:lang w:val="en-US" w:eastAsia="zh-CN"/>
          <w14:textFill>
            <w14:solidFill>
              <w14:schemeClr w14:val="tx1"/>
            </w14:solidFill>
          </w14:textFill>
        </w:rPr>
        <w:t>四</w:t>
      </w:r>
      <w:r>
        <w:rPr>
          <w:rFonts w:hint="eastAsia" w:ascii="仿宋" w:hAnsi="仿宋" w:eastAsia="仿宋" w:cs="仿宋"/>
          <w:b/>
          <w:color w:val="000000" w:themeColor="text1"/>
          <w:szCs w:val="28"/>
          <w14:textFill>
            <w14:solidFill>
              <w14:schemeClr w14:val="tx1"/>
            </w14:solidFill>
          </w14:textFill>
        </w:rPr>
        <w:t>、其他</w:t>
      </w:r>
      <w:bookmarkEnd w:id="544"/>
      <w:bookmarkEnd w:id="545"/>
      <w:bookmarkEnd w:id="546"/>
      <w:bookmarkEnd w:id="547"/>
      <w:bookmarkEnd w:id="548"/>
      <w:bookmarkEnd w:id="549"/>
      <w:bookmarkEnd w:id="550"/>
    </w:p>
    <w:p>
      <w:pPr>
        <w:tabs>
          <w:tab w:val="left" w:pos="6300"/>
        </w:tabs>
        <w:snapToGrid w:val="0"/>
        <w:spacing w:line="500" w:lineRule="exact"/>
        <w:jc w:val="left"/>
        <w:rPr>
          <w:rFonts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（一）投标保证金缴纳情况证明文件</w:t>
      </w:r>
      <w:r>
        <w:rPr>
          <w:rFonts w:hint="eastAsia" w:ascii="仿宋" w:hAnsi="仿宋" w:eastAsia="仿宋" w:cs="仿宋"/>
          <w:color w:val="000000" w:themeColor="text1"/>
          <w:sz w:val="24"/>
          <w:szCs w:val="24"/>
          <w14:textFill>
            <w14:solidFill>
              <w14:schemeClr w14:val="tx1"/>
            </w14:solidFill>
          </w14:textFill>
        </w:rPr>
        <w:t>（银行回执单复印件加盖投标人公章）</w:t>
      </w:r>
    </w:p>
    <w:p>
      <w:pPr>
        <w:tabs>
          <w:tab w:val="left" w:pos="6300"/>
        </w:tabs>
        <w:snapToGrid w:val="0"/>
        <w:spacing w:line="500" w:lineRule="exact"/>
        <w:rPr>
          <w:rFonts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color w:val="000000" w:themeColor="text1"/>
          <w:sz w:val="24"/>
          <w:szCs w:val="18"/>
          <w14:textFill>
            <w14:solidFill>
              <w14:schemeClr w14:val="tx1"/>
            </w14:solidFill>
          </w14:textFill>
        </w:rPr>
        <w:t>（二）其他与项目有关的资料（自附）</w:t>
      </w: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14:textFill>
            <w14:solidFill>
              <w14:schemeClr w14:val="tx1"/>
            </w14:solidFill>
          </w14:textFill>
        </w:rPr>
      </w:pPr>
    </w:p>
    <w:p>
      <w:pPr>
        <w:pStyle w:val="22"/>
        <w:rPr>
          <w:rFonts w:ascii="仿宋" w:hAnsi="仿宋" w:eastAsia="仿宋" w:cs="仿宋"/>
          <w:color w:val="000000" w:themeColor="text1"/>
          <w14:textFill>
            <w14:solidFill>
              <w14:schemeClr w14:val="tx1"/>
            </w14:solidFill>
          </w14:textFill>
        </w:rPr>
      </w:pPr>
    </w:p>
    <w:p>
      <w:pPr>
        <w:pStyle w:val="58"/>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22"/>
        <w:rPr>
          <w:rFonts w:ascii="仿宋" w:hAnsi="仿宋" w:eastAsia="仿宋" w:cs="仿宋"/>
          <w:color w:val="000000" w:themeColor="text1"/>
          <w14:textFill>
            <w14:solidFill>
              <w14:schemeClr w14:val="tx1"/>
            </w14:solidFill>
          </w14:textFill>
        </w:rPr>
      </w:pPr>
    </w:p>
    <w:p>
      <w:pPr>
        <w:pStyle w:val="58"/>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28"/>
        <w:rPr>
          <w:rFonts w:ascii="仿宋" w:hAnsi="仿宋" w:eastAsia="仿宋" w:cs="仿宋"/>
          <w:color w:val="000000" w:themeColor="text1"/>
          <w14:textFill>
            <w14:solidFill>
              <w14:schemeClr w14:val="tx1"/>
            </w14:solidFill>
          </w14:textFill>
        </w:rPr>
      </w:pPr>
    </w:p>
    <w:p>
      <w:pPr>
        <w:pStyle w:val="28"/>
        <w:rPr>
          <w:rFonts w:ascii="仿宋" w:hAnsi="仿宋" w:eastAsia="仿宋" w:cs="仿宋"/>
          <w:color w:val="000000" w:themeColor="text1"/>
          <w14:textFill>
            <w14:solidFill>
              <w14:schemeClr w14:val="tx1"/>
            </w14:solidFill>
          </w14:textFill>
        </w:rPr>
      </w:pPr>
    </w:p>
    <w:p>
      <w:pPr>
        <w:pStyle w:val="28"/>
        <w:rPr>
          <w:rFonts w:ascii="仿宋" w:hAnsi="仿宋" w:eastAsia="仿宋" w:cs="仿宋"/>
          <w:color w:val="000000" w:themeColor="text1"/>
          <w14:textFill>
            <w14:solidFill>
              <w14:schemeClr w14:val="tx1"/>
            </w14:solidFill>
          </w14:textFill>
        </w:rPr>
      </w:pPr>
    </w:p>
    <w:p>
      <w:pPr>
        <w:pStyle w:val="28"/>
        <w:rPr>
          <w:rFonts w:ascii="仿宋" w:hAnsi="仿宋" w:eastAsia="仿宋" w:cs="仿宋"/>
          <w:color w:val="000000" w:themeColor="text1"/>
          <w14:textFill>
            <w14:solidFill>
              <w14:schemeClr w14:val="tx1"/>
            </w14:solidFill>
          </w14:textFill>
        </w:rPr>
      </w:pPr>
    </w:p>
    <w:p>
      <w:pPr>
        <w:pStyle w:val="3"/>
        <w:pageBreakBefore/>
        <w:spacing w:line="500" w:lineRule="exact"/>
        <w:outlineLvl w:val="0"/>
        <w:rPr>
          <w:rFonts w:ascii="仿宋" w:hAnsi="仿宋" w:eastAsia="仿宋" w:cs="仿宋"/>
          <w:b/>
          <w:color w:val="000000" w:themeColor="text1"/>
          <w:szCs w:val="28"/>
          <w14:textFill>
            <w14:solidFill>
              <w14:schemeClr w14:val="tx1"/>
            </w14:solidFill>
          </w14:textFill>
        </w:rPr>
      </w:pPr>
      <w:bookmarkStart w:id="551" w:name="_Toc13790"/>
      <w:bookmarkStart w:id="552" w:name="_Toc429584885"/>
      <w:bookmarkStart w:id="553" w:name="_Toc31199"/>
      <w:bookmarkStart w:id="554" w:name="_Toc14313"/>
      <w:bookmarkStart w:id="555" w:name="_Toc27334"/>
      <w:bookmarkStart w:id="556" w:name="_Toc15136"/>
      <w:bookmarkStart w:id="557" w:name="_Toc1124"/>
      <w:r>
        <w:rPr>
          <w:rFonts w:hint="eastAsia" w:ascii="仿宋" w:hAnsi="仿宋" w:eastAsia="仿宋" w:cs="仿宋"/>
          <w:b/>
          <w:color w:val="000000" w:themeColor="text1"/>
          <w:szCs w:val="28"/>
          <w:lang w:val="en-US" w:eastAsia="zh-CN"/>
          <w14:textFill>
            <w14:solidFill>
              <w14:schemeClr w14:val="tx1"/>
            </w14:solidFill>
          </w14:textFill>
        </w:rPr>
        <w:t>五</w:t>
      </w:r>
      <w:r>
        <w:rPr>
          <w:rFonts w:hint="eastAsia" w:ascii="仿宋" w:hAnsi="仿宋" w:eastAsia="仿宋" w:cs="仿宋"/>
          <w:b/>
          <w:color w:val="000000" w:themeColor="text1"/>
          <w:szCs w:val="28"/>
          <w14:textFill>
            <w14:solidFill>
              <w14:schemeClr w14:val="tx1"/>
            </w14:solidFill>
          </w14:textFill>
        </w:rPr>
        <w:t>、资格文件</w:t>
      </w:r>
      <w:bookmarkEnd w:id="551"/>
      <w:bookmarkEnd w:id="552"/>
      <w:bookmarkEnd w:id="553"/>
      <w:bookmarkEnd w:id="554"/>
      <w:bookmarkEnd w:id="555"/>
      <w:bookmarkEnd w:id="556"/>
      <w:bookmarkEnd w:id="557"/>
    </w:p>
    <w:p>
      <w:pPr>
        <w:snapToGrid w:val="0"/>
        <w:spacing w:line="440" w:lineRule="exact"/>
        <w:ind w:firstLine="48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（一）法人营业执照（副本）或事业单位法人证书（副本）复印件</w:t>
      </w:r>
    </w:p>
    <w:p>
      <w:pPr>
        <w:tabs>
          <w:tab w:val="left" w:pos="6300"/>
        </w:tabs>
        <w:snapToGrid w:val="0"/>
        <w:spacing w:line="500" w:lineRule="exact"/>
        <w:ind w:firstLine="570"/>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ind w:firstLine="570"/>
        <w:jc w:val="center"/>
        <w:rPr>
          <w:rFonts w:ascii="仿宋" w:hAnsi="仿宋" w:eastAsia="仿宋" w:cs="仿宋"/>
          <w:color w:val="000000" w:themeColor="text1"/>
          <w14:textFill>
            <w14:solidFill>
              <w14:schemeClr w14:val="tx1"/>
            </w14:solidFill>
          </w14:textFill>
        </w:rPr>
      </w:pPr>
    </w:p>
    <w:p>
      <w:pPr>
        <w:wordWrap w:val="0"/>
        <w:rPr>
          <w:rFonts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color w:val="000000" w:themeColor="text1"/>
          <w:sz w:val="24"/>
          <w:szCs w:val="18"/>
          <w14:textFill>
            <w14:solidFill>
              <w14:schemeClr w14:val="tx1"/>
            </w14:solidFill>
          </w14:textFill>
        </w:rPr>
        <w:t>（二）法定代表人身份证明书（格式）</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招标项目名称：</w:t>
      </w:r>
      <w:r>
        <w:rPr>
          <w:rFonts w:hint="eastAsia" w:ascii="仿宋" w:hAnsi="仿宋" w:eastAsia="仿宋" w:cs="仿宋"/>
          <w:color w:val="000000" w:themeColor="text1"/>
          <w:sz w:val="24"/>
          <w:u w:val="single"/>
          <w14:textFill>
            <w14:solidFill>
              <w14:schemeClr w14:val="tx1"/>
            </w14:solidFill>
          </w14:textFill>
        </w:rPr>
        <w:t xml:space="preserve">                                                </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比选代理机构</w:t>
      </w:r>
      <w:r>
        <w:rPr>
          <w:rFonts w:hint="eastAsia" w:ascii="仿宋" w:hAnsi="仿宋" w:eastAsia="仿宋" w:cs="仿宋"/>
          <w:color w:val="000000" w:themeColor="text1"/>
          <w:sz w:val="24"/>
          <w14:textFill>
            <w14:solidFill>
              <w14:schemeClr w14:val="tx1"/>
            </w14:solidFill>
          </w14:textFill>
        </w:rPr>
        <w:t>名称）：</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（法定代表人姓名）在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（投标人名称）任</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（职务名称）职务，是（投标人名称）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的法定代表人。</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特此证明。</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（投标人公章）</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（附：法定代表人身份证正反面复印件）</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outlineLvl w:val="1"/>
        <w:rPr>
          <w:rFonts w:ascii="仿宋" w:hAnsi="仿宋" w:eastAsia="仿宋" w:cs="仿宋"/>
          <w:color w:val="000000" w:themeColor="text1"/>
          <w:sz w:val="24"/>
          <w:szCs w:val="18"/>
          <w14:textFill>
            <w14:solidFill>
              <w14:schemeClr w14:val="tx1"/>
            </w14:solidFill>
          </w14:textFill>
        </w:rPr>
      </w:pPr>
      <w:bookmarkStart w:id="558" w:name="_Toc15775"/>
      <w:bookmarkStart w:id="559" w:name="_Toc31384"/>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sz w:val="24"/>
          <w:szCs w:val="18"/>
          <w14:textFill>
            <w14:solidFill>
              <w14:schemeClr w14:val="tx1"/>
            </w14:solidFill>
          </w14:textFill>
        </w:rPr>
        <w:t>（三）法定代表人授权委托书（格式）</w:t>
      </w:r>
      <w:bookmarkEnd w:id="558"/>
      <w:bookmarkEnd w:id="559"/>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招标项目名称</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比选代理机构</w:t>
      </w:r>
      <w:r>
        <w:rPr>
          <w:rFonts w:hint="eastAsia" w:ascii="仿宋" w:hAnsi="仿宋" w:eastAsia="仿宋" w:cs="仿宋"/>
          <w:color w:val="000000" w:themeColor="text1"/>
          <w:sz w:val="24"/>
          <w14:textFill>
            <w14:solidFill>
              <w14:schemeClr w14:val="tx1"/>
            </w14:solidFill>
          </w14:textFill>
        </w:rPr>
        <w:t>名称）：</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（投标人法定代表人名称）是</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（投标人名称）的法定代表人，特授权</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被授权人：                                 投标人法定代表人：</w:t>
      </w:r>
    </w:p>
    <w:p>
      <w:pPr>
        <w:tabs>
          <w:tab w:val="left" w:pos="6300"/>
        </w:tabs>
        <w:snapToGrid w:val="0"/>
        <w:spacing w:line="500" w:lineRule="exact"/>
        <w:ind w:firstLine="570"/>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（签字或签章）                                （签字或签章）</w:t>
      </w:r>
    </w:p>
    <w:p>
      <w:pPr>
        <w:tabs>
          <w:tab w:val="left" w:pos="6300"/>
        </w:tabs>
        <w:snapToGrid w:val="0"/>
        <w:spacing w:line="500" w:lineRule="exact"/>
        <w:ind w:firstLine="570"/>
        <w:rPr>
          <w:rFonts w:ascii="仿宋" w:hAnsi="仿宋" w:eastAsia="仿宋" w:cs="仿宋"/>
          <w:color w:val="000000" w:themeColor="text1"/>
          <w:sz w:val="24"/>
          <w:szCs w:val="28"/>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outlineLvl w:val="2"/>
        <w:rPr>
          <w:rFonts w:ascii="仿宋" w:hAnsi="仿宋" w:eastAsia="仿宋" w:cs="仿宋"/>
          <w:color w:val="000000" w:themeColor="text1"/>
          <w:sz w:val="24"/>
          <w14:textFill>
            <w14:solidFill>
              <w14:schemeClr w14:val="tx1"/>
            </w14:solidFill>
          </w14:textFill>
        </w:rPr>
      </w:pPr>
      <w:bookmarkStart w:id="560" w:name="_Toc13022"/>
      <w:bookmarkStart w:id="561" w:name="_Toc20151"/>
      <w:r>
        <w:rPr>
          <w:rFonts w:hint="eastAsia" w:ascii="仿宋" w:hAnsi="仿宋" w:eastAsia="仿宋" w:cs="仿宋"/>
          <w:color w:val="000000" w:themeColor="text1"/>
          <w:sz w:val="24"/>
          <w14:textFill>
            <w14:solidFill>
              <w14:schemeClr w14:val="tx1"/>
            </w14:solidFill>
          </w14:textFill>
        </w:rPr>
        <w:t>（附：被授权人身份证正反面复印件）</w:t>
      </w:r>
      <w:bookmarkEnd w:id="560"/>
      <w:bookmarkEnd w:id="561"/>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（投标人公章）</w:t>
      </w:r>
    </w:p>
    <w:p>
      <w:pPr>
        <w:tabs>
          <w:tab w:val="left" w:pos="6300"/>
        </w:tabs>
        <w:snapToGrid w:val="0"/>
        <w:spacing w:line="500" w:lineRule="exact"/>
        <w:ind w:right="480" w:firstLine="57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月   日</w:t>
      </w: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5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注：若投标人法定代表人参与投标的，无需出具法定代表人授权委托书。</w:t>
      </w:r>
    </w:p>
    <w:p>
      <w:pPr>
        <w:tabs>
          <w:tab w:val="left" w:pos="6300"/>
        </w:tabs>
        <w:snapToGrid w:val="0"/>
        <w:spacing w:line="500" w:lineRule="exact"/>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outlineLvl w:val="1"/>
        <w:rPr>
          <w:rFonts w:ascii="仿宋" w:hAnsi="仿宋" w:eastAsia="仿宋" w:cs="仿宋"/>
          <w:color w:val="000000" w:themeColor="text1"/>
          <w:sz w:val="24"/>
          <w:szCs w:val="18"/>
          <w14:textFill>
            <w14:solidFill>
              <w14:schemeClr w14:val="tx1"/>
            </w14:solidFill>
          </w14:textFill>
        </w:rPr>
      </w:pPr>
      <w:bookmarkStart w:id="562" w:name="_Toc17762"/>
      <w:bookmarkStart w:id="563" w:name="_Toc8290"/>
      <w:r>
        <w:rPr>
          <w:rFonts w:hint="eastAsia" w:ascii="仿宋" w:hAnsi="仿宋" w:eastAsia="仿宋" w:cs="仿宋"/>
          <w:color w:val="000000" w:themeColor="text1"/>
          <w:sz w:val="24"/>
          <w:szCs w:val="18"/>
          <w14:textFill>
            <w14:solidFill>
              <w14:schemeClr w14:val="tx1"/>
            </w14:solidFill>
          </w14:textFill>
        </w:rPr>
        <w:t>（四）基本资格条件承诺函（格式）</w:t>
      </w:r>
      <w:bookmarkEnd w:id="562"/>
      <w:bookmarkEnd w:id="563"/>
    </w:p>
    <w:p>
      <w:pPr>
        <w:tabs>
          <w:tab w:val="left" w:pos="6300"/>
        </w:tabs>
        <w:snapToGrid w:val="0"/>
        <w:spacing w:line="500" w:lineRule="exact"/>
        <w:ind w:firstLine="643" w:firstLineChars="200"/>
        <w:jc w:val="center"/>
        <w:outlineLvl w:val="9"/>
        <w:rPr>
          <w:rFonts w:ascii="仿宋" w:hAnsi="仿宋" w:eastAsia="仿宋" w:cs="仿宋"/>
          <w:b/>
          <w:bCs/>
          <w:color w:val="000000" w:themeColor="text1"/>
          <w:sz w:val="32"/>
          <w:szCs w:val="32"/>
          <w14:textFill>
            <w14:solidFill>
              <w14:schemeClr w14:val="tx1"/>
            </w14:solidFill>
          </w14:textFill>
        </w:rPr>
      </w:pPr>
    </w:p>
    <w:p>
      <w:pPr>
        <w:tabs>
          <w:tab w:val="left" w:pos="6300"/>
        </w:tabs>
        <w:snapToGrid w:val="0"/>
        <w:spacing w:line="500" w:lineRule="exact"/>
        <w:ind w:firstLine="643" w:firstLineChars="200"/>
        <w:jc w:val="center"/>
        <w:outlineLvl w:val="2"/>
        <w:rPr>
          <w:rFonts w:ascii="仿宋" w:hAnsi="仿宋" w:eastAsia="仿宋" w:cs="仿宋"/>
          <w:b/>
          <w:bCs/>
          <w:color w:val="000000" w:themeColor="text1"/>
          <w:sz w:val="32"/>
          <w:szCs w:val="32"/>
          <w14:textFill>
            <w14:solidFill>
              <w14:schemeClr w14:val="tx1"/>
            </w14:solidFill>
          </w14:textFill>
        </w:rPr>
      </w:pPr>
      <w:bookmarkStart w:id="564" w:name="_Toc26048"/>
      <w:bookmarkStart w:id="565" w:name="_Toc14973"/>
      <w:r>
        <w:rPr>
          <w:rFonts w:hint="eastAsia" w:ascii="仿宋" w:hAnsi="仿宋" w:eastAsia="仿宋" w:cs="仿宋"/>
          <w:b/>
          <w:bCs/>
          <w:color w:val="000000" w:themeColor="text1"/>
          <w:sz w:val="32"/>
          <w:szCs w:val="32"/>
          <w14:textFill>
            <w14:solidFill>
              <w14:schemeClr w14:val="tx1"/>
            </w14:solidFill>
          </w14:textFill>
        </w:rPr>
        <w:t>基本资格条件承诺函</w:t>
      </w:r>
      <w:bookmarkEnd w:id="564"/>
      <w:bookmarkEnd w:id="565"/>
    </w:p>
    <w:p>
      <w:pPr>
        <w:tabs>
          <w:tab w:val="left" w:pos="6300"/>
        </w:tabs>
        <w:snapToGrid w:val="0"/>
        <w:spacing w:line="530" w:lineRule="exact"/>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比选代理机构</w:t>
      </w:r>
      <w:r>
        <w:rPr>
          <w:rFonts w:hint="eastAsia" w:ascii="仿宋" w:hAnsi="仿宋" w:eastAsia="仿宋" w:cs="仿宋"/>
          <w:color w:val="000000" w:themeColor="text1"/>
          <w:sz w:val="24"/>
          <w14:textFill>
            <w14:solidFill>
              <w14:schemeClr w14:val="tx1"/>
            </w14:solidFill>
          </w14:textFill>
        </w:rPr>
        <w:t>名称）：</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（投标人名称）郑重承诺：</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14:textFill>
            <w14:solidFill>
              <w14:schemeClr w14:val="tx1"/>
            </w14:solidFill>
          </w14:textFill>
        </w:rPr>
        <w:t>，参加此次招标采购活动前三年内，在经营活动中没有重大违法记录。</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3.我方在招标项目评审（评标）环节结束后，随时接受比选人、比选代理机构的检查验证，配合提供相关证明材料，证明符合</w:t>
      </w:r>
      <w:r>
        <w:rPr>
          <w:rFonts w:hint="eastAsia" w:ascii="仿宋" w:hAnsi="仿宋" w:eastAsia="仿宋" w:cs="仿宋"/>
          <w:color w:val="000000" w:themeColor="text1"/>
          <w:sz w:val="24"/>
          <w:lang w:eastAsia="zh-CN"/>
          <w14:textFill>
            <w14:solidFill>
              <w14:schemeClr w14:val="tx1"/>
            </w14:solidFill>
          </w14:textFill>
        </w:rPr>
        <w:t>比选文件</w:t>
      </w:r>
      <w:r>
        <w:rPr>
          <w:rFonts w:hint="eastAsia" w:ascii="仿宋" w:hAnsi="仿宋" w:eastAsia="仿宋" w:cs="仿宋"/>
          <w:color w:val="000000" w:themeColor="text1"/>
          <w:sz w:val="24"/>
          <w14:textFill>
            <w14:solidFill>
              <w14:schemeClr w14:val="tx1"/>
            </w14:solidFill>
          </w14:textFill>
        </w:rPr>
        <w:t>规定的投标人基本资格条件。</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我方对以上承诺负全部法律责任。</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特此承诺。</w:t>
      </w:r>
    </w:p>
    <w:p>
      <w:pPr>
        <w:tabs>
          <w:tab w:val="left" w:pos="6300"/>
        </w:tabs>
        <w:snapToGrid w:val="0"/>
        <w:spacing w:line="500" w:lineRule="exact"/>
        <w:ind w:firstLine="480" w:firstLineChars="200"/>
        <w:rPr>
          <w:rFonts w:ascii="仿宋" w:hAns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（投标人公章）</w:t>
      </w:r>
    </w:p>
    <w:p>
      <w:pPr>
        <w:pStyle w:val="38"/>
        <w:ind w:firstLine="240"/>
        <w:jc w:val="right"/>
        <w:rPr>
          <w:rFonts w:ascii="仿宋" w:hAnsi="仿宋" w:eastAsia="仿宋" w:cs="仿宋"/>
          <w:color w:val="000000" w:themeColor="text1"/>
          <w:sz w:val="24"/>
          <w14:textFill>
            <w14:solidFill>
              <w14:schemeClr w14:val="tx1"/>
            </w14:solidFill>
          </w14:textFill>
        </w:rPr>
      </w:pPr>
    </w:p>
    <w:p>
      <w:pPr>
        <w:pStyle w:val="38"/>
        <w:ind w:firstLine="24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月   日</w:t>
      </w:r>
      <w:r>
        <w:rPr>
          <w:rFonts w:hint="eastAsia" w:ascii="仿宋" w:hAnsi="仿宋" w:eastAsia="仿宋" w:cs="仿宋"/>
          <w:color w:val="000000" w:themeColor="text1"/>
          <w:sz w:val="24"/>
          <w14:textFill>
            <w14:solidFill>
              <w14:schemeClr w14:val="tx1"/>
            </w14:solidFill>
          </w14:textFill>
        </w:rPr>
        <w:br w:type="page"/>
      </w:r>
    </w:p>
    <w:p>
      <w:pPr>
        <w:pStyle w:val="28"/>
        <w:spacing w:line="240" w:lineRule="auto"/>
        <w:ind w:left="0" w:right="0" w:firstLine="0" w:firstLineChars="0"/>
        <w:outlineLvl w:val="1"/>
        <w:rPr>
          <w:rFonts w:ascii="仿宋" w:hAnsi="仿宋" w:eastAsia="仿宋" w:cs="仿宋"/>
          <w:color w:val="000000" w:themeColor="text1"/>
          <w14:textFill>
            <w14:solidFill>
              <w14:schemeClr w14:val="tx1"/>
            </w14:solidFill>
          </w14:textFill>
        </w:rPr>
      </w:pPr>
      <w:bookmarkStart w:id="566" w:name="_Toc31050"/>
      <w:bookmarkStart w:id="567" w:name="_Toc19156"/>
      <w:r>
        <w:rPr>
          <w:rFonts w:hint="eastAsia" w:ascii="仿宋" w:hAnsi="仿宋" w:eastAsia="仿宋" w:cs="仿宋"/>
          <w:color w:val="000000" w:themeColor="text1"/>
          <w:sz w:val="24"/>
          <w:szCs w:val="18"/>
          <w14:textFill>
            <w14:solidFill>
              <w14:schemeClr w14:val="tx1"/>
            </w14:solidFill>
          </w14:textFill>
        </w:rPr>
        <w:t>（五）特定资格条件证书或证明文件</w:t>
      </w:r>
      <w:bookmarkEnd w:id="566"/>
      <w:bookmarkEnd w:id="567"/>
    </w:p>
    <w:p>
      <w:pPr>
        <w:rPr>
          <w:rFonts w:ascii="仿宋" w:hAnsi="仿宋" w:eastAsia="仿宋" w:cs="仿宋"/>
          <w:color w:val="000000" w:themeColor="text1"/>
          <w14:textFill>
            <w14:solidFill>
              <w14:schemeClr w14:val="tx1"/>
            </w14:solidFill>
          </w14:textFill>
        </w:rPr>
      </w:pPr>
    </w:p>
    <w:p>
      <w:pPr>
        <w:tabs>
          <w:tab w:val="left" w:pos="6300"/>
        </w:tabs>
        <w:snapToGrid w:val="0"/>
        <w:spacing w:line="500" w:lineRule="exact"/>
        <w:jc w:val="left"/>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both"/>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（结束）</w:t>
      </w: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jc w:val="center"/>
        <w:rPr>
          <w:rFonts w:ascii="仿宋" w:hAnsi="仿宋" w:eastAsia="仿宋" w:cs="仿宋"/>
          <w:color w:val="000000" w:themeColor="text1"/>
          <w:sz w:val="24"/>
          <w:szCs w:val="18"/>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hint="eastAsia"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hint="eastAsia" w:ascii="仿宋" w:hAnsi="仿宋" w:eastAsia="仿宋" w:cs="仿宋"/>
          <w:color w:val="000000" w:themeColor="text1"/>
          <w:sz w:val="32"/>
          <w:szCs w:val="21"/>
          <w14:textFill>
            <w14:solidFill>
              <w14:schemeClr w14:val="tx1"/>
            </w14:solidFill>
          </w14:textFill>
        </w:rPr>
      </w:pPr>
    </w:p>
    <w:p>
      <w:pPr>
        <w:tabs>
          <w:tab w:val="left" w:pos="6300"/>
        </w:tabs>
        <w:snapToGrid w:val="0"/>
        <w:spacing w:line="500" w:lineRule="exact"/>
        <w:rPr>
          <w:rFonts w:ascii="仿宋" w:hAnsi="仿宋" w:eastAsia="仿宋" w:cs="仿宋"/>
          <w:color w:val="000000" w:themeColor="text1"/>
          <w:sz w:val="32"/>
          <w:szCs w:val="21"/>
          <w14:textFill>
            <w14:solidFill>
              <w14:schemeClr w14:val="tx1"/>
            </w14:solidFill>
          </w14:textFill>
        </w:rPr>
      </w:pPr>
      <w:r>
        <w:rPr>
          <w:rFonts w:hint="eastAsia" w:ascii="仿宋" w:hAnsi="仿宋" w:eastAsia="仿宋" w:cs="仿宋"/>
          <w:color w:val="000000" w:themeColor="text1"/>
          <w:sz w:val="32"/>
          <w:szCs w:val="21"/>
          <w14:textFill>
            <w14:solidFill>
              <w14:schemeClr w14:val="tx1"/>
            </w14:solidFill>
          </w14:textFill>
        </w:rPr>
        <w:t>附件：</w:t>
      </w:r>
    </w:p>
    <w:p>
      <w:pPr>
        <w:jc w:val="center"/>
        <w:rPr>
          <w:rFonts w:ascii="仿宋" w:hAnsi="仿宋" w:eastAsia="仿宋" w:cs="仿宋"/>
          <w:b/>
          <w:bCs/>
          <w:sz w:val="44"/>
          <w:szCs w:val="44"/>
        </w:rPr>
      </w:pPr>
      <w:r>
        <w:rPr>
          <w:rFonts w:hint="eastAsia" w:ascii="仿宋" w:hAnsi="仿宋" w:eastAsia="仿宋" w:cs="仿宋"/>
          <w:b/>
          <w:bCs/>
          <w:sz w:val="44"/>
          <w:szCs w:val="44"/>
        </w:rPr>
        <w:t>共佑工程咨询（重庆）有限公司</w:t>
      </w:r>
    </w:p>
    <w:p>
      <w:pPr>
        <w:jc w:val="center"/>
        <w:rPr>
          <w:rFonts w:ascii="仿宋" w:hAnsi="仿宋" w:eastAsia="仿宋" w:cs="仿宋"/>
          <w:b/>
          <w:bCs/>
          <w:sz w:val="44"/>
          <w:szCs w:val="44"/>
        </w:rPr>
      </w:pPr>
      <w:r>
        <w:rPr>
          <w:rFonts w:hint="eastAsia" w:ascii="仿宋" w:hAnsi="仿宋" w:eastAsia="仿宋" w:cs="仿宋"/>
          <w:b/>
          <w:bCs/>
          <w:sz w:val="44"/>
          <w:szCs w:val="44"/>
          <w:lang w:val="en-US" w:eastAsia="zh-CN"/>
        </w:rPr>
        <w:t>比选</w:t>
      </w:r>
      <w:r>
        <w:rPr>
          <w:rFonts w:hint="eastAsia" w:ascii="仿宋" w:hAnsi="仿宋" w:eastAsia="仿宋" w:cs="仿宋"/>
          <w:b/>
          <w:bCs/>
          <w:sz w:val="44"/>
          <w:szCs w:val="44"/>
        </w:rPr>
        <w:t>文件发售登记表</w:t>
      </w:r>
    </w:p>
    <w:tbl>
      <w:tblPr>
        <w:tblStyle w:val="60"/>
        <w:tblW w:w="97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2974"/>
        <w:gridCol w:w="1275"/>
        <w:gridCol w:w="30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9740" w:type="dxa"/>
            <w:gridSpan w:val="4"/>
            <w:vAlign w:val="center"/>
          </w:tcPr>
          <w:p>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项目编号： </w:t>
            </w:r>
          </w:p>
          <w:p>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项目名称：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409" w:type="dxa"/>
            <w:vAlign w:val="center"/>
          </w:tcPr>
          <w:p>
            <w:pPr>
              <w:spacing w:line="360" w:lineRule="exact"/>
              <w:jc w:val="center"/>
              <w:rPr>
                <w:rFonts w:ascii="仿宋" w:hAnsi="仿宋" w:eastAsia="仿宋" w:cs="仿宋"/>
                <w:sz w:val="30"/>
                <w:szCs w:val="30"/>
              </w:rPr>
            </w:pPr>
            <w:r>
              <w:rPr>
                <w:rFonts w:hint="eastAsia" w:ascii="仿宋" w:hAnsi="仿宋" w:eastAsia="仿宋" w:cs="仿宋"/>
                <w:sz w:val="30"/>
                <w:szCs w:val="30"/>
              </w:rPr>
              <w:t>投标人名称</w:t>
            </w:r>
          </w:p>
        </w:tc>
        <w:tc>
          <w:tcPr>
            <w:tcW w:w="7331" w:type="dxa"/>
            <w:gridSpan w:val="3"/>
            <w:vAlign w:val="bottom"/>
          </w:tcPr>
          <w:p>
            <w:pPr>
              <w:spacing w:line="360" w:lineRule="exact"/>
              <w:jc w:val="right"/>
              <w:rPr>
                <w:rFonts w:ascii="仿宋" w:hAnsi="仿宋" w:eastAsia="仿宋" w:cs="仿宋"/>
                <w:sz w:val="30"/>
                <w:szCs w:val="30"/>
              </w:rPr>
            </w:pPr>
            <w:r>
              <w:rPr>
                <w:rFonts w:hint="eastAsia" w:ascii="仿宋" w:hAnsi="仿宋" w:eastAsia="仿宋" w:cs="仿宋"/>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09" w:type="dxa"/>
            <w:vAlign w:val="center"/>
          </w:tcPr>
          <w:p>
            <w:pPr>
              <w:spacing w:line="360" w:lineRule="exact"/>
              <w:jc w:val="center"/>
              <w:rPr>
                <w:rFonts w:ascii="仿宋" w:hAnsi="仿宋" w:eastAsia="仿宋" w:cs="仿宋"/>
                <w:sz w:val="30"/>
                <w:szCs w:val="30"/>
              </w:rPr>
            </w:pPr>
            <w:r>
              <w:rPr>
                <w:rFonts w:hint="eastAsia" w:ascii="仿宋" w:hAnsi="仿宋" w:eastAsia="仿宋" w:cs="仿宋"/>
                <w:sz w:val="30"/>
                <w:szCs w:val="30"/>
              </w:rPr>
              <w:t>联系人</w:t>
            </w:r>
          </w:p>
        </w:tc>
        <w:tc>
          <w:tcPr>
            <w:tcW w:w="7331" w:type="dxa"/>
            <w:gridSpan w:val="3"/>
            <w:vAlign w:val="center"/>
          </w:tcPr>
          <w:p>
            <w:pPr>
              <w:spacing w:line="360" w:lineRule="exact"/>
              <w:jc w:val="left"/>
              <w:rPr>
                <w:rFonts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09" w:type="dxa"/>
            <w:vAlign w:val="center"/>
          </w:tcPr>
          <w:p>
            <w:pPr>
              <w:spacing w:line="360" w:lineRule="exact"/>
              <w:jc w:val="left"/>
              <w:rPr>
                <w:rFonts w:ascii="仿宋" w:hAnsi="仿宋" w:eastAsia="仿宋" w:cs="仿宋"/>
                <w:sz w:val="30"/>
                <w:szCs w:val="30"/>
              </w:rPr>
            </w:pPr>
            <w:r>
              <w:rPr>
                <w:rFonts w:hint="eastAsia" w:ascii="仿宋" w:hAnsi="仿宋" w:eastAsia="仿宋" w:cs="仿宋"/>
                <w:sz w:val="30"/>
                <w:szCs w:val="30"/>
              </w:rPr>
              <w:t>联系电话（手机）</w:t>
            </w:r>
          </w:p>
        </w:tc>
        <w:tc>
          <w:tcPr>
            <w:tcW w:w="2974" w:type="dxa"/>
            <w:vAlign w:val="center"/>
          </w:tcPr>
          <w:p>
            <w:pPr>
              <w:spacing w:line="360" w:lineRule="exact"/>
              <w:jc w:val="left"/>
              <w:rPr>
                <w:rFonts w:ascii="仿宋" w:hAnsi="仿宋" w:eastAsia="仿宋" w:cs="仿宋"/>
                <w:sz w:val="30"/>
                <w:szCs w:val="30"/>
              </w:rPr>
            </w:pPr>
          </w:p>
        </w:tc>
        <w:tc>
          <w:tcPr>
            <w:tcW w:w="1275" w:type="dxa"/>
            <w:vAlign w:val="center"/>
          </w:tcPr>
          <w:p>
            <w:pPr>
              <w:spacing w:line="36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座机</w:t>
            </w:r>
          </w:p>
        </w:tc>
        <w:tc>
          <w:tcPr>
            <w:tcW w:w="3082" w:type="dxa"/>
            <w:vAlign w:val="center"/>
          </w:tcPr>
          <w:p>
            <w:pPr>
              <w:spacing w:line="360" w:lineRule="exact"/>
              <w:jc w:val="left"/>
              <w:rPr>
                <w:rFonts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409" w:type="dxa"/>
            <w:vAlign w:val="center"/>
          </w:tcPr>
          <w:p>
            <w:pPr>
              <w:spacing w:line="360" w:lineRule="exact"/>
              <w:jc w:val="center"/>
              <w:rPr>
                <w:rFonts w:ascii="仿宋" w:hAnsi="仿宋" w:eastAsia="仿宋" w:cs="仿宋"/>
                <w:sz w:val="30"/>
                <w:szCs w:val="30"/>
              </w:rPr>
            </w:pPr>
            <w:r>
              <w:rPr>
                <w:rFonts w:hint="eastAsia" w:ascii="仿宋" w:hAnsi="仿宋" w:eastAsia="仿宋" w:cs="仿宋"/>
                <w:sz w:val="30"/>
                <w:szCs w:val="30"/>
              </w:rPr>
              <w:t>电子邮箱</w:t>
            </w:r>
          </w:p>
        </w:tc>
        <w:tc>
          <w:tcPr>
            <w:tcW w:w="7331" w:type="dxa"/>
            <w:gridSpan w:val="3"/>
            <w:vAlign w:val="center"/>
          </w:tcPr>
          <w:p>
            <w:pPr>
              <w:spacing w:line="360" w:lineRule="exact"/>
              <w:jc w:val="left"/>
              <w:rPr>
                <w:rFonts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409" w:type="dxa"/>
            <w:vAlign w:val="center"/>
          </w:tcPr>
          <w:p>
            <w:pPr>
              <w:spacing w:line="360" w:lineRule="exact"/>
              <w:jc w:val="center"/>
              <w:rPr>
                <w:rFonts w:ascii="仿宋" w:hAnsi="仿宋" w:eastAsia="仿宋" w:cs="仿宋"/>
                <w:sz w:val="30"/>
                <w:szCs w:val="30"/>
              </w:rPr>
            </w:pPr>
            <w:r>
              <w:rPr>
                <w:rFonts w:hint="eastAsia" w:ascii="仿宋" w:hAnsi="仿宋" w:eastAsia="仿宋" w:cs="仿宋"/>
                <w:sz w:val="30"/>
                <w:szCs w:val="30"/>
              </w:rPr>
              <w:t>单位地址</w:t>
            </w:r>
          </w:p>
        </w:tc>
        <w:tc>
          <w:tcPr>
            <w:tcW w:w="7331" w:type="dxa"/>
            <w:gridSpan w:val="3"/>
            <w:vAlign w:val="center"/>
          </w:tcPr>
          <w:p>
            <w:pPr>
              <w:spacing w:line="360" w:lineRule="exact"/>
              <w:jc w:val="left"/>
              <w:rPr>
                <w:rFonts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9740" w:type="dxa"/>
            <w:gridSpan w:val="4"/>
            <w:vAlign w:val="center"/>
          </w:tcPr>
          <w:p>
            <w:pPr>
              <w:spacing w:line="360" w:lineRule="auto"/>
              <w:ind w:firstLine="560" w:firstLineChars="200"/>
              <w:rPr>
                <w:rFonts w:ascii="仿宋" w:hAnsi="仿宋" w:eastAsia="仿宋" w:cs="仿宋"/>
                <w:szCs w:val="28"/>
              </w:rPr>
            </w:pPr>
            <w:r>
              <w:rPr>
                <w:rFonts w:hint="eastAsia" w:ascii="仿宋" w:hAnsi="仿宋" w:eastAsia="仿宋" w:cs="仿宋"/>
                <w:szCs w:val="28"/>
              </w:rPr>
              <w:t>投标人将《</w:t>
            </w:r>
            <w:r>
              <w:rPr>
                <w:rFonts w:hint="eastAsia" w:ascii="仿宋" w:hAnsi="仿宋" w:eastAsia="仿宋" w:cs="仿宋"/>
                <w:szCs w:val="28"/>
                <w:lang w:val="en-US" w:eastAsia="zh-CN"/>
              </w:rPr>
              <w:t>比选</w:t>
            </w:r>
            <w:r>
              <w:rPr>
                <w:rFonts w:hint="eastAsia" w:ascii="仿宋" w:hAnsi="仿宋" w:eastAsia="仿宋" w:cs="仿宋"/>
                <w:szCs w:val="28"/>
              </w:rPr>
              <w:t>文件发售登记表》（加盖供应商公章）扫描后发送至171239179@qq.com（邮箱），未在报名截止期限前发送《采购文件发售登记表》的，其报名和投标无效。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740" w:type="dxa"/>
            <w:gridSpan w:val="4"/>
            <w:vAlign w:val="center"/>
          </w:tcPr>
          <w:p>
            <w:pPr>
              <w:jc w:val="left"/>
              <w:rPr>
                <w:rFonts w:ascii="仿宋" w:hAnsi="仿宋" w:eastAsia="仿宋" w:cs="仿宋"/>
                <w:sz w:val="30"/>
                <w:szCs w:val="30"/>
              </w:rPr>
            </w:pPr>
            <w:r>
              <w:rPr>
                <w:rFonts w:hint="eastAsia" w:ascii="仿宋" w:hAnsi="仿宋" w:eastAsia="仿宋" w:cs="仿宋"/>
                <w:sz w:val="30"/>
                <w:szCs w:val="30"/>
              </w:rPr>
              <w:t>报名截止时间：</w:t>
            </w:r>
            <w:r>
              <w:rPr>
                <w:rFonts w:hint="eastAsia" w:ascii="仿宋" w:hAnsi="仿宋" w:eastAsia="仿宋" w:cs="仿宋"/>
                <w:sz w:val="30"/>
                <w:szCs w:val="30"/>
                <w:highlight w:val="none"/>
              </w:rPr>
              <w:t>2024年1月</w:t>
            </w:r>
            <w:r>
              <w:rPr>
                <w:rFonts w:hint="eastAsia" w:ascii="仿宋" w:hAnsi="仿宋" w:eastAsia="仿宋" w:cs="仿宋"/>
                <w:sz w:val="30"/>
                <w:szCs w:val="30"/>
                <w:highlight w:val="none"/>
                <w:lang w:val="en-US" w:eastAsia="zh-CN"/>
              </w:rPr>
              <w:t>31</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val="en-US" w:eastAsia="zh-CN"/>
              </w:rPr>
              <w:t>17</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740" w:type="dxa"/>
            <w:gridSpan w:val="4"/>
            <w:vAlign w:val="center"/>
          </w:tcPr>
          <w:p>
            <w:pPr>
              <w:jc w:val="left"/>
              <w:rPr>
                <w:rFonts w:ascii="仿宋" w:hAnsi="仿宋" w:eastAsia="仿宋" w:cs="仿宋"/>
                <w:sz w:val="30"/>
                <w:szCs w:val="30"/>
              </w:rPr>
            </w:pPr>
            <w:r>
              <w:rPr>
                <w:rFonts w:hint="eastAsia" w:ascii="仿宋" w:hAnsi="仿宋" w:eastAsia="仿宋" w:cs="仿宋"/>
                <w:sz w:val="30"/>
                <w:szCs w:val="30"/>
              </w:rPr>
              <w:t>项目经办人：黄老师</w:t>
            </w:r>
          </w:p>
        </w:tc>
      </w:tr>
    </w:tbl>
    <w:p>
      <w:pPr>
        <w:tabs>
          <w:tab w:val="left" w:pos="6300"/>
        </w:tabs>
        <w:snapToGrid w:val="0"/>
        <w:spacing w:line="500" w:lineRule="exact"/>
        <w:rPr>
          <w:rFonts w:ascii="仿宋" w:hAnsi="仿宋" w:eastAsia="仿宋" w:cs="仿宋"/>
          <w:color w:val="000000" w:themeColor="text1"/>
          <w:sz w:val="24"/>
          <w:szCs w:val="18"/>
          <w14:textFill>
            <w14:solidFill>
              <w14:schemeClr w14:val="tx1"/>
            </w14:solidFill>
          </w14:textFill>
        </w:rPr>
      </w:pPr>
    </w:p>
    <w:sectPr>
      <w:pgSz w:w="11907" w:h="16840"/>
      <w:pgMar w:top="1134" w:right="1191" w:bottom="1134" w:left="1304" w:header="964" w:footer="992" w:gutter="0"/>
      <w:pgNumType w:fmt="decimal"/>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r>
      <w:fldChar w:fldCharType="begin"/>
    </w:r>
    <w:r>
      <w:rPr>
        <w:rStyle w:val="64"/>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rFonts w:hint="eastAsia"/>
      </w:rPr>
      <w:drawing>
        <wp:inline distT="0" distB="0" distL="0" distR="0">
          <wp:extent cx="4175760" cy="551180"/>
          <wp:effectExtent l="0" t="0" r="14605" b="1270"/>
          <wp:docPr id="4097" name="图片 8" descr="和定页眉"/>
          <wp:cNvGraphicFramePr/>
          <a:graphic xmlns:a="http://schemas.openxmlformats.org/drawingml/2006/main">
            <a:graphicData uri="http://schemas.openxmlformats.org/drawingml/2006/picture">
              <pic:pic xmlns:pic="http://schemas.openxmlformats.org/drawingml/2006/picture">
                <pic:nvPicPr>
                  <pic:cNvPr id="4097" name="图片 8" descr="和定页眉"/>
                  <pic:cNvPicPr/>
                </pic:nvPicPr>
                <pic:blipFill>
                  <a:blip r:embed="rId1" cstate="print"/>
                  <a:srcRect/>
                  <a:stretch>
                    <a:fillRect/>
                  </a:stretch>
                </pic:blipFill>
                <pic:spPr>
                  <a:xfrm>
                    <a:off x="0" y="0"/>
                    <a:ext cx="4176394" cy="551180"/>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rFonts w:hint="eastAsia"/>
      </w:rPr>
      <w:t>共佑工程咨询（重庆）有限公司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rFonts w:hint="eastAsia"/>
      </w:rPr>
      <w:t>共佑工程咨询（重庆）有限公司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sz w:val="24"/>
        <w:szCs w:val="24"/>
      </w:rPr>
    </w:pPr>
    <w:r>
      <w:rPr>
        <w:rFonts w:hint="eastAsia"/>
      </w:rPr>
      <w:t>共佑工程咨询（重庆）有限公司</w:t>
    </w:r>
    <w:r>
      <w:rPr>
        <w:rFonts w:hint="eastAsia"/>
        <w:sz w:val="22"/>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A7167"/>
    <w:multiLevelType w:val="singleLevel"/>
    <w:tmpl w:val="AF8A7167"/>
    <w:lvl w:ilvl="0" w:tentative="0">
      <w:start w:val="2"/>
      <w:numFmt w:val="chineseCounting"/>
      <w:suff w:val="nothing"/>
      <w:lvlText w:val="%1、"/>
      <w:lvlJc w:val="left"/>
      <w:pPr>
        <w:ind w:left="20"/>
      </w:pPr>
      <w:rPr>
        <w:rFonts w:hint="eastAsia"/>
      </w:rPr>
    </w:lvl>
  </w:abstractNum>
  <w:abstractNum w:abstractNumId="1">
    <w:nsid w:val="00000002"/>
    <w:multiLevelType w:val="singleLevel"/>
    <w:tmpl w:val="00000002"/>
    <w:lvl w:ilvl="0" w:tentative="0">
      <w:start w:val="1"/>
      <w:numFmt w:val="decimal"/>
      <w:pStyle w:val="13"/>
      <w:lvlText w:val="%1."/>
      <w:lvlJc w:val="left"/>
      <w:pPr>
        <w:tabs>
          <w:tab w:val="left" w:pos="780"/>
        </w:tabs>
        <w:ind w:left="780" w:hanging="360"/>
      </w:pPr>
    </w:lvl>
  </w:abstractNum>
  <w:abstractNum w:abstractNumId="2">
    <w:nsid w:val="00000003"/>
    <w:multiLevelType w:val="multilevel"/>
    <w:tmpl w:val="00000003"/>
    <w:lvl w:ilvl="0" w:tentative="0">
      <w:start w:val="1"/>
      <w:numFmt w:val="bullet"/>
      <w:pStyle w:val="174"/>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00000004"/>
    <w:multiLevelType w:val="singleLevel"/>
    <w:tmpl w:val="00000004"/>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4">
    <w:nsid w:val="00000005"/>
    <w:multiLevelType w:val="multilevel"/>
    <w:tmpl w:val="00000005"/>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8"/>
    <w:multiLevelType w:val="multilevel"/>
    <w:tmpl w:val="00000008"/>
    <w:lvl w:ilvl="0" w:tentative="0">
      <w:start w:val="8"/>
      <w:numFmt w:val="decimal"/>
      <w:pStyle w:val="160"/>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0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9"/>
    <w:multiLevelType w:val="singleLevel"/>
    <w:tmpl w:val="00000009"/>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9">
    <w:nsid w:val="0000000A"/>
    <w:multiLevelType w:val="multilevel"/>
    <w:tmpl w:val="0000000A"/>
    <w:lvl w:ilvl="0" w:tentative="0">
      <w:start w:val="1"/>
      <w:numFmt w:val="bullet"/>
      <w:pStyle w:val="1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decimal"/>
      <w:pStyle w:val="13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D"/>
    <w:multiLevelType w:val="singleLevel"/>
    <w:tmpl w:val="0000000D"/>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3">
    <w:nsid w:val="0000000E"/>
    <w:multiLevelType w:val="singleLevel"/>
    <w:tmpl w:val="0000000E"/>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4">
    <w:nsid w:val="0000000F"/>
    <w:multiLevelType w:val="singleLevel"/>
    <w:tmpl w:val="0000000F"/>
    <w:lvl w:ilvl="0" w:tentative="0">
      <w:start w:val="1"/>
      <w:numFmt w:val="decimal"/>
      <w:pStyle w:val="211"/>
      <w:lvlText w:val="%1)"/>
      <w:lvlJc w:val="left"/>
      <w:pPr>
        <w:tabs>
          <w:tab w:val="left" w:pos="425"/>
        </w:tabs>
        <w:ind w:left="425" w:hanging="425"/>
      </w:pPr>
      <w:rPr>
        <w:rFonts w:hint="eastAsia"/>
      </w:rPr>
    </w:lvl>
  </w:abstractNum>
  <w:abstractNum w:abstractNumId="15">
    <w:nsid w:val="00000010"/>
    <w:multiLevelType w:val="multilevel"/>
    <w:tmpl w:val="00000010"/>
    <w:lvl w:ilvl="0" w:tentative="0">
      <w:start w:val="1"/>
      <w:numFmt w:val="decimal"/>
      <w:pStyle w:val="1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1"/>
    <w:multiLevelType w:val="multilevel"/>
    <w:tmpl w:val="00000011"/>
    <w:lvl w:ilvl="0" w:tentative="0">
      <w:start w:val="1"/>
      <w:numFmt w:val="chineseCountingThousand"/>
      <w:pStyle w:val="2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2"/>
    <w:multiLevelType w:val="singleLevel"/>
    <w:tmpl w:val="00000012"/>
    <w:lvl w:ilvl="0" w:tentative="0">
      <w:start w:val="1"/>
      <w:numFmt w:val="decimal"/>
      <w:suff w:val="nothing"/>
      <w:lvlText w:val="%1、"/>
      <w:lvlJc w:val="left"/>
    </w:lvl>
  </w:abstractNum>
  <w:abstractNum w:abstractNumId="18">
    <w:nsid w:val="2C8C9E7B"/>
    <w:multiLevelType w:val="singleLevel"/>
    <w:tmpl w:val="2C8C9E7B"/>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13"/>
  </w:num>
  <w:num w:numId="5">
    <w:abstractNumId w:val="8"/>
  </w:num>
  <w:num w:numId="6">
    <w:abstractNumId w:val="6"/>
  </w:num>
  <w:num w:numId="7">
    <w:abstractNumId w:val="15"/>
  </w:num>
  <w:num w:numId="8">
    <w:abstractNumId w:val="7"/>
  </w:num>
  <w:num w:numId="9">
    <w:abstractNumId w:val="9"/>
  </w:num>
  <w:num w:numId="10">
    <w:abstractNumId w:val="11"/>
  </w:num>
  <w:num w:numId="11">
    <w:abstractNumId w:val="12"/>
  </w:num>
  <w:num w:numId="12">
    <w:abstractNumId w:val="2"/>
  </w:num>
  <w:num w:numId="13">
    <w:abstractNumId w:val="4"/>
  </w:num>
  <w:num w:numId="14">
    <w:abstractNumId w:val="14"/>
  </w:num>
  <w:num w:numId="15">
    <w:abstractNumId w:val="16"/>
  </w:num>
  <w:num w:numId="16">
    <w:abstractNumId w:val="10"/>
  </w:num>
  <w:num w:numId="17">
    <w:abstractNumId w:val="0"/>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YjMyMGVkZGUxMjNmMDhlZWIyM2RjYWQ1Y2NjNDcifQ=="/>
  </w:docVars>
  <w:rsids>
    <w:rsidRoot w:val="00FD75AD"/>
    <w:rsid w:val="000156D6"/>
    <w:rsid w:val="00071556"/>
    <w:rsid w:val="001E10FA"/>
    <w:rsid w:val="0033036F"/>
    <w:rsid w:val="004D6B6F"/>
    <w:rsid w:val="00660981"/>
    <w:rsid w:val="007C0326"/>
    <w:rsid w:val="007E3C11"/>
    <w:rsid w:val="00825A7D"/>
    <w:rsid w:val="00AD0B6F"/>
    <w:rsid w:val="00CB5B3C"/>
    <w:rsid w:val="00DE7581"/>
    <w:rsid w:val="00E675C9"/>
    <w:rsid w:val="00F11110"/>
    <w:rsid w:val="00FD75AD"/>
    <w:rsid w:val="010F3A87"/>
    <w:rsid w:val="0184128B"/>
    <w:rsid w:val="01BD7A4F"/>
    <w:rsid w:val="01C51910"/>
    <w:rsid w:val="01EE7C08"/>
    <w:rsid w:val="0258084F"/>
    <w:rsid w:val="02C166EC"/>
    <w:rsid w:val="02CB619B"/>
    <w:rsid w:val="02DB4577"/>
    <w:rsid w:val="02F9280D"/>
    <w:rsid w:val="02FA613C"/>
    <w:rsid w:val="02FD1654"/>
    <w:rsid w:val="03172DAE"/>
    <w:rsid w:val="033063AB"/>
    <w:rsid w:val="034712AF"/>
    <w:rsid w:val="03ED067A"/>
    <w:rsid w:val="04320EBF"/>
    <w:rsid w:val="053E0EA6"/>
    <w:rsid w:val="05622E2C"/>
    <w:rsid w:val="05722750"/>
    <w:rsid w:val="05942874"/>
    <w:rsid w:val="061049C3"/>
    <w:rsid w:val="061F6462"/>
    <w:rsid w:val="068B677B"/>
    <w:rsid w:val="06AC1E40"/>
    <w:rsid w:val="06B537A5"/>
    <w:rsid w:val="06C62E53"/>
    <w:rsid w:val="071A7AD5"/>
    <w:rsid w:val="072D414A"/>
    <w:rsid w:val="07320597"/>
    <w:rsid w:val="075938A6"/>
    <w:rsid w:val="080839D3"/>
    <w:rsid w:val="088C3CD7"/>
    <w:rsid w:val="09555833"/>
    <w:rsid w:val="098D7103"/>
    <w:rsid w:val="09CD45A7"/>
    <w:rsid w:val="0A56044E"/>
    <w:rsid w:val="0AAE7163"/>
    <w:rsid w:val="0B472961"/>
    <w:rsid w:val="0BAB55BC"/>
    <w:rsid w:val="0BC83278"/>
    <w:rsid w:val="0BDE6F3F"/>
    <w:rsid w:val="0C544E7A"/>
    <w:rsid w:val="0CD97C60"/>
    <w:rsid w:val="0D0368A8"/>
    <w:rsid w:val="0DD669A4"/>
    <w:rsid w:val="0DEB248D"/>
    <w:rsid w:val="0E796B38"/>
    <w:rsid w:val="0E867CE3"/>
    <w:rsid w:val="0F5A56A4"/>
    <w:rsid w:val="0F5D70C6"/>
    <w:rsid w:val="0FB57FB7"/>
    <w:rsid w:val="10000155"/>
    <w:rsid w:val="10A07D8D"/>
    <w:rsid w:val="10ED1235"/>
    <w:rsid w:val="1170063A"/>
    <w:rsid w:val="1179781C"/>
    <w:rsid w:val="12AD4511"/>
    <w:rsid w:val="1357332A"/>
    <w:rsid w:val="13864913"/>
    <w:rsid w:val="13FA41EA"/>
    <w:rsid w:val="14213865"/>
    <w:rsid w:val="148333C4"/>
    <w:rsid w:val="148E17B3"/>
    <w:rsid w:val="149676CD"/>
    <w:rsid w:val="14AB3742"/>
    <w:rsid w:val="14D23011"/>
    <w:rsid w:val="151C4C5C"/>
    <w:rsid w:val="158741A4"/>
    <w:rsid w:val="16553A32"/>
    <w:rsid w:val="16CD4648"/>
    <w:rsid w:val="16D312C3"/>
    <w:rsid w:val="178D56A2"/>
    <w:rsid w:val="18356139"/>
    <w:rsid w:val="184258A8"/>
    <w:rsid w:val="1864257A"/>
    <w:rsid w:val="19B03939"/>
    <w:rsid w:val="19E2714E"/>
    <w:rsid w:val="1A764A60"/>
    <w:rsid w:val="1BBD5DCA"/>
    <w:rsid w:val="1C0922D3"/>
    <w:rsid w:val="1C3B093E"/>
    <w:rsid w:val="1C861E45"/>
    <w:rsid w:val="1C8A6328"/>
    <w:rsid w:val="1CCC7E36"/>
    <w:rsid w:val="1D0511DA"/>
    <w:rsid w:val="1DD27B63"/>
    <w:rsid w:val="1F016D75"/>
    <w:rsid w:val="1F0B4909"/>
    <w:rsid w:val="1F0F2A13"/>
    <w:rsid w:val="1F572E39"/>
    <w:rsid w:val="1FAF4216"/>
    <w:rsid w:val="1FCE1DED"/>
    <w:rsid w:val="1FFD05A3"/>
    <w:rsid w:val="20FF5536"/>
    <w:rsid w:val="21233DB7"/>
    <w:rsid w:val="213B5E42"/>
    <w:rsid w:val="21BE2F93"/>
    <w:rsid w:val="22006C46"/>
    <w:rsid w:val="22053A3F"/>
    <w:rsid w:val="223C1E72"/>
    <w:rsid w:val="22552F34"/>
    <w:rsid w:val="22C43D0C"/>
    <w:rsid w:val="2350393C"/>
    <w:rsid w:val="23C40292"/>
    <w:rsid w:val="23CB6326"/>
    <w:rsid w:val="24607E62"/>
    <w:rsid w:val="246979BF"/>
    <w:rsid w:val="24C7636B"/>
    <w:rsid w:val="24ED1B6D"/>
    <w:rsid w:val="24F63DFD"/>
    <w:rsid w:val="251E0098"/>
    <w:rsid w:val="25377454"/>
    <w:rsid w:val="25585809"/>
    <w:rsid w:val="25614A61"/>
    <w:rsid w:val="25F259F9"/>
    <w:rsid w:val="26574262"/>
    <w:rsid w:val="27971831"/>
    <w:rsid w:val="292774C6"/>
    <w:rsid w:val="29916F47"/>
    <w:rsid w:val="2A273408"/>
    <w:rsid w:val="2BA8034C"/>
    <w:rsid w:val="2BCE0BE6"/>
    <w:rsid w:val="2C411D73"/>
    <w:rsid w:val="2CCC7F97"/>
    <w:rsid w:val="2D1A4245"/>
    <w:rsid w:val="2D393B7E"/>
    <w:rsid w:val="2D4F6931"/>
    <w:rsid w:val="2D864873"/>
    <w:rsid w:val="2DB44207"/>
    <w:rsid w:val="2EA01D9D"/>
    <w:rsid w:val="2EBE05F6"/>
    <w:rsid w:val="2EC438EF"/>
    <w:rsid w:val="2F061FEC"/>
    <w:rsid w:val="2F2E6FE6"/>
    <w:rsid w:val="2F3C2D1A"/>
    <w:rsid w:val="2F515578"/>
    <w:rsid w:val="30215881"/>
    <w:rsid w:val="3030500C"/>
    <w:rsid w:val="3066297B"/>
    <w:rsid w:val="323C580F"/>
    <w:rsid w:val="32C959A4"/>
    <w:rsid w:val="32F116FB"/>
    <w:rsid w:val="32F31357"/>
    <w:rsid w:val="32F34D7C"/>
    <w:rsid w:val="3386325D"/>
    <w:rsid w:val="33F9457E"/>
    <w:rsid w:val="34DA12D0"/>
    <w:rsid w:val="351A1163"/>
    <w:rsid w:val="35306866"/>
    <w:rsid w:val="3534419C"/>
    <w:rsid w:val="35625CB1"/>
    <w:rsid w:val="35810B4A"/>
    <w:rsid w:val="35E835A1"/>
    <w:rsid w:val="36A5156D"/>
    <w:rsid w:val="36D50C9F"/>
    <w:rsid w:val="373C2DCC"/>
    <w:rsid w:val="37505242"/>
    <w:rsid w:val="37712166"/>
    <w:rsid w:val="37931B4D"/>
    <w:rsid w:val="381E757B"/>
    <w:rsid w:val="38B555EE"/>
    <w:rsid w:val="38D96215"/>
    <w:rsid w:val="392F688C"/>
    <w:rsid w:val="3A050779"/>
    <w:rsid w:val="3B84405F"/>
    <w:rsid w:val="3BB14C14"/>
    <w:rsid w:val="3C7D6412"/>
    <w:rsid w:val="3C80350D"/>
    <w:rsid w:val="3C815550"/>
    <w:rsid w:val="3C8714E7"/>
    <w:rsid w:val="3C887535"/>
    <w:rsid w:val="3CA01B26"/>
    <w:rsid w:val="3D4253B1"/>
    <w:rsid w:val="3DB11AD4"/>
    <w:rsid w:val="3E2E7003"/>
    <w:rsid w:val="3EB75510"/>
    <w:rsid w:val="3F3D5750"/>
    <w:rsid w:val="3F9F5E7E"/>
    <w:rsid w:val="3FDA2F9E"/>
    <w:rsid w:val="407A3AE6"/>
    <w:rsid w:val="40E63A60"/>
    <w:rsid w:val="41002506"/>
    <w:rsid w:val="41065AEE"/>
    <w:rsid w:val="41205A94"/>
    <w:rsid w:val="412979DD"/>
    <w:rsid w:val="414E23E4"/>
    <w:rsid w:val="423F4565"/>
    <w:rsid w:val="42711AD6"/>
    <w:rsid w:val="427D0979"/>
    <w:rsid w:val="428C190E"/>
    <w:rsid w:val="42997141"/>
    <w:rsid w:val="43860D47"/>
    <w:rsid w:val="440102EC"/>
    <w:rsid w:val="450A795C"/>
    <w:rsid w:val="45464223"/>
    <w:rsid w:val="45904ABF"/>
    <w:rsid w:val="45A2210C"/>
    <w:rsid w:val="460F0796"/>
    <w:rsid w:val="466A5AD6"/>
    <w:rsid w:val="472C3300"/>
    <w:rsid w:val="47A0687C"/>
    <w:rsid w:val="47C94806"/>
    <w:rsid w:val="483D6488"/>
    <w:rsid w:val="495A6E90"/>
    <w:rsid w:val="498312FA"/>
    <w:rsid w:val="4A706B8D"/>
    <w:rsid w:val="4AB80380"/>
    <w:rsid w:val="4ABC3A31"/>
    <w:rsid w:val="4BC81498"/>
    <w:rsid w:val="4CD5406F"/>
    <w:rsid w:val="4CED55F5"/>
    <w:rsid w:val="4D113F1D"/>
    <w:rsid w:val="4D506A61"/>
    <w:rsid w:val="4D8277CA"/>
    <w:rsid w:val="4E3D2D17"/>
    <w:rsid w:val="4E832A53"/>
    <w:rsid w:val="4EA5021E"/>
    <w:rsid w:val="4F0917E7"/>
    <w:rsid w:val="4F936CC6"/>
    <w:rsid w:val="500B0644"/>
    <w:rsid w:val="501C231A"/>
    <w:rsid w:val="50444FA1"/>
    <w:rsid w:val="50767473"/>
    <w:rsid w:val="50BD624C"/>
    <w:rsid w:val="510B326A"/>
    <w:rsid w:val="51215DA5"/>
    <w:rsid w:val="516E3237"/>
    <w:rsid w:val="519C3EF3"/>
    <w:rsid w:val="51A375D2"/>
    <w:rsid w:val="51B02950"/>
    <w:rsid w:val="5257103B"/>
    <w:rsid w:val="52841342"/>
    <w:rsid w:val="54793E4C"/>
    <w:rsid w:val="55087261"/>
    <w:rsid w:val="55B87486"/>
    <w:rsid w:val="563C1000"/>
    <w:rsid w:val="563C3388"/>
    <w:rsid w:val="564A6B55"/>
    <w:rsid w:val="566B62A7"/>
    <w:rsid w:val="57A34E48"/>
    <w:rsid w:val="57C959AF"/>
    <w:rsid w:val="58042017"/>
    <w:rsid w:val="58313575"/>
    <w:rsid w:val="5891283B"/>
    <w:rsid w:val="58916A7D"/>
    <w:rsid w:val="58B55EFF"/>
    <w:rsid w:val="5982364F"/>
    <w:rsid w:val="59B30690"/>
    <w:rsid w:val="5A1C06A6"/>
    <w:rsid w:val="5A902780"/>
    <w:rsid w:val="5AC05FA1"/>
    <w:rsid w:val="5ADC6E9E"/>
    <w:rsid w:val="5CB81921"/>
    <w:rsid w:val="5D204D26"/>
    <w:rsid w:val="5D6677C8"/>
    <w:rsid w:val="5DA7031E"/>
    <w:rsid w:val="5DD20E2B"/>
    <w:rsid w:val="5E442C08"/>
    <w:rsid w:val="5E8B689C"/>
    <w:rsid w:val="5E9D569D"/>
    <w:rsid w:val="5EAC3616"/>
    <w:rsid w:val="5F0A6587"/>
    <w:rsid w:val="5F8E5EB0"/>
    <w:rsid w:val="60C64AF5"/>
    <w:rsid w:val="614C229A"/>
    <w:rsid w:val="61B72CE8"/>
    <w:rsid w:val="61BA25E2"/>
    <w:rsid w:val="61C05341"/>
    <w:rsid w:val="624F60A4"/>
    <w:rsid w:val="62614CE4"/>
    <w:rsid w:val="62AC67A9"/>
    <w:rsid w:val="63186EA4"/>
    <w:rsid w:val="632255BB"/>
    <w:rsid w:val="636D3E48"/>
    <w:rsid w:val="637A44AD"/>
    <w:rsid w:val="641157D5"/>
    <w:rsid w:val="64272E68"/>
    <w:rsid w:val="646A2109"/>
    <w:rsid w:val="64795CF3"/>
    <w:rsid w:val="65174361"/>
    <w:rsid w:val="651A36AB"/>
    <w:rsid w:val="656767D3"/>
    <w:rsid w:val="66A5763D"/>
    <w:rsid w:val="66A75F61"/>
    <w:rsid w:val="66D52415"/>
    <w:rsid w:val="67083035"/>
    <w:rsid w:val="678C03A6"/>
    <w:rsid w:val="6817016F"/>
    <w:rsid w:val="683C3F7B"/>
    <w:rsid w:val="68996CA3"/>
    <w:rsid w:val="68B17340"/>
    <w:rsid w:val="69484AEB"/>
    <w:rsid w:val="69F45D82"/>
    <w:rsid w:val="6A4C7774"/>
    <w:rsid w:val="6B4C4FE1"/>
    <w:rsid w:val="6B5D66AE"/>
    <w:rsid w:val="6C314576"/>
    <w:rsid w:val="6C89683B"/>
    <w:rsid w:val="6C8C6F1A"/>
    <w:rsid w:val="6CC35498"/>
    <w:rsid w:val="6D050543"/>
    <w:rsid w:val="6EAE7221"/>
    <w:rsid w:val="6EE93C24"/>
    <w:rsid w:val="6EED3D36"/>
    <w:rsid w:val="6F943C5A"/>
    <w:rsid w:val="6FE6179D"/>
    <w:rsid w:val="704174F7"/>
    <w:rsid w:val="70925BB5"/>
    <w:rsid w:val="71433EB5"/>
    <w:rsid w:val="71900E5F"/>
    <w:rsid w:val="720D387B"/>
    <w:rsid w:val="723B72C2"/>
    <w:rsid w:val="72EE4C6B"/>
    <w:rsid w:val="73727B73"/>
    <w:rsid w:val="73781BAB"/>
    <w:rsid w:val="73AF2154"/>
    <w:rsid w:val="747B58E5"/>
    <w:rsid w:val="74C7147F"/>
    <w:rsid w:val="754602D7"/>
    <w:rsid w:val="757A7E5C"/>
    <w:rsid w:val="765531EC"/>
    <w:rsid w:val="76785DA3"/>
    <w:rsid w:val="76A342F7"/>
    <w:rsid w:val="775A4F3D"/>
    <w:rsid w:val="777F0DB7"/>
    <w:rsid w:val="77810F70"/>
    <w:rsid w:val="78192432"/>
    <w:rsid w:val="782A74A2"/>
    <w:rsid w:val="78806E64"/>
    <w:rsid w:val="7890719A"/>
    <w:rsid w:val="78E0091E"/>
    <w:rsid w:val="79387AF1"/>
    <w:rsid w:val="7984574E"/>
    <w:rsid w:val="798B43D9"/>
    <w:rsid w:val="79A80546"/>
    <w:rsid w:val="7A2605B3"/>
    <w:rsid w:val="7A29344E"/>
    <w:rsid w:val="7A352879"/>
    <w:rsid w:val="7ABA7958"/>
    <w:rsid w:val="7B1018EE"/>
    <w:rsid w:val="7B131DB6"/>
    <w:rsid w:val="7BC25D04"/>
    <w:rsid w:val="7C717FE0"/>
    <w:rsid w:val="7C8F1766"/>
    <w:rsid w:val="7D1F5A4D"/>
    <w:rsid w:val="7DC629C6"/>
    <w:rsid w:val="7E3477DD"/>
    <w:rsid w:val="7E627602"/>
    <w:rsid w:val="7EBE7E7A"/>
    <w:rsid w:val="7F0F357A"/>
    <w:rsid w:val="7F2C4AF3"/>
    <w:rsid w:val="7FF1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73"/>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qFormat/>
    <w:uiPriority w:val="0"/>
    <w:pPr>
      <w:keepNext/>
      <w:keepLines/>
      <w:spacing w:before="260" w:after="260" w:line="413" w:lineRule="auto"/>
      <w:jc w:val="center"/>
      <w:outlineLvl w:val="2"/>
    </w:pPr>
    <w:rPr>
      <w:b/>
      <w:sz w:val="44"/>
    </w:rPr>
  </w:style>
  <w:style w:type="paragraph" w:styleId="5">
    <w:name w:val="heading 4"/>
    <w:basedOn w:val="1"/>
    <w:next w:val="1"/>
    <w:autoRedefine/>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2"/>
      </w:numPr>
      <w:spacing w:line="360" w:lineRule="auto"/>
    </w:pPr>
    <w:rPr>
      <w:sz w:val="24"/>
    </w:rPr>
  </w:style>
  <w:style w:type="paragraph" w:styleId="14">
    <w:name w:val="List Bullet 4"/>
    <w:basedOn w:val="1"/>
    <w:autoRedefine/>
    <w:qFormat/>
    <w:uiPriority w:val="0"/>
    <w:pPr>
      <w:widowControl/>
      <w:numPr>
        <w:ilvl w:val="0"/>
        <w:numId w:val="3"/>
      </w:numPr>
      <w:tabs>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4"/>
    <w:autoRedefine/>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4"/>
      </w:numPr>
      <w:adjustRightInd w:val="0"/>
      <w:snapToGrid w:val="0"/>
      <w:spacing w:line="360" w:lineRule="auto"/>
    </w:pPr>
    <w:rPr>
      <w:sz w:val="24"/>
    </w:rPr>
  </w:style>
  <w:style w:type="paragraph" w:styleId="22">
    <w:name w:val="Body Text"/>
    <w:basedOn w:val="1"/>
    <w:next w:val="23"/>
    <w:autoRedefine/>
    <w:qFormat/>
    <w:uiPriority w:val="0"/>
    <w:rPr>
      <w:rFonts w:ascii="仿宋_GB2312"/>
      <w:sz w:val="32"/>
    </w:rPr>
  </w:style>
  <w:style w:type="paragraph" w:styleId="23">
    <w:name w:val="Plain Text"/>
    <w:basedOn w:val="1"/>
    <w:next w:val="1"/>
    <w:autoRedefine/>
    <w:qFormat/>
    <w:uiPriority w:val="0"/>
    <w:pPr>
      <w:adjustRightInd w:val="0"/>
      <w:snapToGrid w:val="0"/>
      <w:spacing w:line="360" w:lineRule="auto"/>
    </w:pPr>
    <w:rPr>
      <w:rFonts w:ascii="宋体" w:hAnsi="Courier New"/>
      <w:sz w:val="21"/>
    </w:rPr>
  </w:style>
  <w:style w:type="paragraph" w:styleId="24">
    <w:name w:val="Body Text Indent"/>
    <w:basedOn w:val="1"/>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autoSpaceDE w:val="0"/>
      <w:autoSpaceDN w:val="0"/>
      <w:adjustRightInd w:val="0"/>
      <w:spacing w:line="1270" w:lineRule="exact"/>
      <w:ind w:left="2160" w:right="-20" w:hanging="2160" w:hangingChars="300"/>
      <w:jc w:val="left"/>
    </w:pPr>
    <w:rPr>
      <w:sz w:val="72"/>
      <w:szCs w:val="24"/>
    </w:rPr>
  </w:style>
  <w:style w:type="paragraph" w:styleId="29">
    <w:name w:val="List Bullet 2"/>
    <w:basedOn w:val="1"/>
    <w:autoRedefine/>
    <w:qFormat/>
    <w:uiPriority w:val="0"/>
    <w:pPr>
      <w:numPr>
        <w:ilvl w:val="0"/>
        <w:numId w:val="5"/>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ind w:left="840" w:leftChars="400"/>
    </w:pPr>
  </w:style>
  <w:style w:type="paragraph" w:styleId="32">
    <w:name w:val="toc 8"/>
    <w:basedOn w:val="1"/>
    <w:next w:val="1"/>
    <w:autoRedefine/>
    <w:qFormat/>
    <w:uiPriority w:val="0"/>
    <w:pPr>
      <w:ind w:left="2940" w:leftChars="1400"/>
    </w:pPr>
  </w:style>
  <w:style w:type="paragraph" w:styleId="33">
    <w:name w:val="Date"/>
    <w:basedOn w:val="1"/>
    <w:next w:val="1"/>
    <w:link w:val="75"/>
    <w:autoRedefine/>
    <w:qFormat/>
    <w:uiPriority w:val="0"/>
  </w:style>
  <w:style w:type="paragraph" w:styleId="34">
    <w:name w:val="Body Text Indent 2"/>
    <w:basedOn w:val="1"/>
    <w:autoRedefine/>
    <w:qFormat/>
    <w:uiPriority w:val="0"/>
    <w:pPr>
      <w:snapToGrid w:val="0"/>
      <w:spacing w:line="440" w:lineRule="atLeast"/>
      <w:ind w:firstLine="570"/>
    </w:pPr>
    <w:rPr>
      <w:rFonts w:ascii="宋体"/>
    </w:rPr>
  </w:style>
  <w:style w:type="paragraph" w:styleId="35">
    <w:name w:val="Balloon Text"/>
    <w:basedOn w:val="1"/>
    <w:autoRedefine/>
    <w:qFormat/>
    <w:uiPriority w:val="0"/>
    <w:rPr>
      <w:sz w:val="18"/>
    </w:rPr>
  </w:style>
  <w:style w:type="paragraph" w:styleId="36">
    <w:name w:val="footer"/>
    <w:basedOn w:val="1"/>
    <w:autoRedefine/>
    <w:qFormat/>
    <w:uiPriority w:val="0"/>
    <w:pPr>
      <w:tabs>
        <w:tab w:val="center" w:pos="4153"/>
        <w:tab w:val="right" w:pos="8306"/>
      </w:tabs>
      <w:snapToGrid w:val="0"/>
      <w:jc w:val="left"/>
    </w:pPr>
    <w:rPr>
      <w:rFonts w:eastAsia="宋体"/>
      <w:sz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rFonts w:eastAsia="宋体"/>
      <w:sz w:val="18"/>
    </w:rPr>
  </w:style>
  <w:style w:type="paragraph" w:styleId="3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index 7"/>
    <w:basedOn w:val="1"/>
    <w:next w:val="1"/>
    <w:autoRedefine/>
    <w:unhideWhenUsed/>
    <w:qFormat/>
    <w:uiPriority w:val="99"/>
    <w:pPr>
      <w:ind w:left="1200" w:leftChars="1200"/>
    </w:p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tabs>
        <w:tab w:val="right" w:leader="dot" w:pos="8400"/>
      </w:tabs>
      <w:spacing w:line="440" w:lineRule="exact"/>
      <w:ind w:left="280" w:leftChars="100" w:right="-91" w:rightChars="-91"/>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Message Header"/>
    <w:basedOn w:val="1"/>
    <w:next w:val="22"/>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53">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after="240" w:line="360" w:lineRule="auto"/>
      <w:jc w:val="center"/>
    </w:pPr>
    <w:rPr>
      <w:rFonts w:ascii="Arial" w:hAnsi="Arial" w:eastAsia="宋体"/>
      <w:b/>
      <w:smallCaps/>
      <w:kern w:val="28"/>
      <w:sz w:val="36"/>
      <w:lang w:eastAsia="en-US"/>
    </w:rPr>
  </w:style>
  <w:style w:type="paragraph" w:styleId="57">
    <w:name w:val="annotation subject"/>
    <w:basedOn w:val="19"/>
    <w:next w:val="19"/>
    <w:autoRedefine/>
    <w:qFormat/>
    <w:uiPriority w:val="0"/>
    <w:pPr>
      <w:widowControl w:val="0"/>
      <w:adjustRightInd/>
      <w:snapToGrid/>
      <w:spacing w:line="240" w:lineRule="auto"/>
    </w:pPr>
    <w:rPr>
      <w:rFonts w:eastAsia="宋体"/>
      <w:b/>
      <w:kern w:val="2"/>
      <w:sz w:val="21"/>
      <w:lang w:eastAsia="zh-CN"/>
    </w:rPr>
  </w:style>
  <w:style w:type="paragraph" w:styleId="58">
    <w:name w:val="Body Text First Indent"/>
    <w:basedOn w:val="22"/>
    <w:next w:val="1"/>
    <w:autoRedefine/>
    <w:qFormat/>
    <w:uiPriority w:val="0"/>
    <w:pPr>
      <w:spacing w:line="360" w:lineRule="auto"/>
      <w:ind w:firstLine="420"/>
    </w:pPr>
    <w:rPr>
      <w:rFonts w:ascii="宋体" w:hAnsi="宋体"/>
      <w:sz w:val="24"/>
    </w:rPr>
  </w:style>
  <w:style w:type="paragraph" w:styleId="59">
    <w:name w:val="Body Text First Indent 2"/>
    <w:basedOn w:val="24"/>
    <w:autoRedefine/>
    <w:qFormat/>
    <w:uiPriority w:val="0"/>
    <w:pPr>
      <w:spacing w:after="120" w:line="240" w:lineRule="auto"/>
      <w:ind w:left="420" w:leftChars="200" w:firstLine="420" w:firstLineChars="200"/>
    </w:pPr>
    <w:rPr>
      <w:sz w:val="21"/>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rPr>
  </w:style>
  <w:style w:type="character" w:styleId="64">
    <w:name w:val="page number"/>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rPr>
  </w:style>
  <w:style w:type="character" w:styleId="69">
    <w:name w:val="footnote reference"/>
    <w:autoRedefine/>
    <w:qFormat/>
    <w:uiPriority w:val="0"/>
    <w:rPr>
      <w:position w:val="6"/>
      <w:sz w:val="14"/>
      <w:vertAlign w:val="superscript"/>
    </w:rPr>
  </w:style>
  <w:style w:type="paragraph" w:customStyle="1" w:styleId="70">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71">
    <w:name w:val="NormalIndent"/>
    <w:basedOn w:val="1"/>
    <w:next w:val="72"/>
    <w:autoRedefine/>
    <w:qFormat/>
    <w:uiPriority w:val="99"/>
    <w:pPr>
      <w:ind w:firstLine="420" w:firstLineChars="200"/>
    </w:pPr>
  </w:style>
  <w:style w:type="paragraph" w:customStyle="1" w:styleId="72">
    <w:name w:val="Heading4"/>
    <w:basedOn w:val="1"/>
    <w:next w:val="1"/>
    <w:autoRedefine/>
    <w:qFormat/>
    <w:uiPriority w:val="99"/>
    <w:pPr>
      <w:spacing w:before="100" w:beforeAutospacing="1" w:after="100" w:afterAutospacing="1"/>
      <w:jc w:val="left"/>
    </w:pPr>
    <w:rPr>
      <w:rFonts w:ascii="宋体" w:hAnsi="宋体"/>
      <w:b/>
      <w:kern w:val="0"/>
      <w:sz w:val="24"/>
      <w:szCs w:val="24"/>
    </w:rPr>
  </w:style>
  <w:style w:type="character" w:customStyle="1" w:styleId="73">
    <w:name w:val="标题 2 Char1"/>
    <w:link w:val="3"/>
    <w:autoRedefine/>
    <w:qFormat/>
    <w:uiPriority w:val="0"/>
    <w:rPr>
      <w:rFonts w:ascii="宋体" w:hAnsi="宋体"/>
      <w:kern w:val="2"/>
      <w:sz w:val="28"/>
    </w:rPr>
  </w:style>
  <w:style w:type="character" w:customStyle="1" w:styleId="74">
    <w:name w:val="批注文字 Char"/>
    <w:link w:val="19"/>
    <w:autoRedefine/>
    <w:qFormat/>
    <w:uiPriority w:val="0"/>
    <w:rPr>
      <w:rFonts w:eastAsia="PMingLiU"/>
      <w:sz w:val="24"/>
      <w:lang w:eastAsia="zh-TW"/>
    </w:rPr>
  </w:style>
  <w:style w:type="character" w:customStyle="1" w:styleId="75">
    <w:name w:val="日期 Char"/>
    <w:link w:val="33"/>
    <w:autoRedefine/>
    <w:qFormat/>
    <w:uiPriority w:val="0"/>
    <w:rPr>
      <w:kern w:val="2"/>
      <w:sz w:val="28"/>
    </w:rPr>
  </w:style>
  <w:style w:type="paragraph" w:customStyle="1" w:styleId="76">
    <w:name w:val="_Style 6"/>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77">
    <w:name w:val="Table Text Char"/>
    <w:autoRedefine/>
    <w:qFormat/>
    <w:uiPriority w:val="0"/>
    <w:rPr>
      <w:rFonts w:ascii="Arial" w:hAnsi="Arial"/>
      <w:kern w:val="2"/>
      <w:sz w:val="18"/>
      <w:lang w:val="en-US" w:eastAsia="zh-CN" w:bidi="ar-SA"/>
    </w:rPr>
  </w:style>
  <w:style w:type="character" w:customStyle="1" w:styleId="78">
    <w:name w:val="font1"/>
    <w:autoRedefine/>
    <w:qFormat/>
    <w:uiPriority w:val="0"/>
    <w:rPr>
      <w:color w:val="000000"/>
      <w:sz w:val="18"/>
    </w:rPr>
  </w:style>
  <w:style w:type="character" w:customStyle="1" w:styleId="79">
    <w:name w:val="Char Char"/>
    <w:autoRedefine/>
    <w:qFormat/>
    <w:uiPriority w:val="0"/>
    <w:rPr>
      <w:rFonts w:ascii="宋体" w:hAnsi="宋体" w:eastAsia="宋体"/>
      <w:kern w:val="2"/>
      <w:sz w:val="24"/>
      <w:lang w:val="en-US" w:eastAsia="zh-CN" w:bidi="ar-SA"/>
    </w:rPr>
  </w:style>
  <w:style w:type="character" w:customStyle="1" w:styleId="80">
    <w:name w:val="标书正文:  0.74 厘米 Char1"/>
    <w:autoRedefine/>
    <w:qFormat/>
    <w:uiPriority w:val="0"/>
    <w:rPr>
      <w:rFonts w:eastAsia="宋体"/>
      <w:kern w:val="2"/>
      <w:sz w:val="24"/>
      <w:lang w:val="en-US" w:eastAsia="zh-CN"/>
    </w:rPr>
  </w:style>
  <w:style w:type="character" w:customStyle="1" w:styleId="81">
    <w:name w:val="样式 宋体"/>
    <w:autoRedefine/>
    <w:qFormat/>
    <w:uiPriority w:val="0"/>
    <w:rPr>
      <w:rFonts w:ascii="宋体" w:hAnsi="宋体" w:eastAsia="宋体"/>
      <w:sz w:val="28"/>
    </w:rPr>
  </w:style>
  <w:style w:type="character" w:customStyle="1" w:styleId="82">
    <w:name w:val="Table Text Char Char Char Char"/>
    <w:autoRedefine/>
    <w:qFormat/>
    <w:uiPriority w:val="0"/>
    <w:rPr>
      <w:rFonts w:ascii="Arial" w:hAnsi="Arial"/>
      <w:kern w:val="2"/>
      <w:sz w:val="18"/>
      <w:lang w:val="en-US" w:eastAsia="zh-CN" w:bidi="ar-SA"/>
    </w:rPr>
  </w:style>
  <w:style w:type="character" w:customStyle="1" w:styleId="83">
    <w:name w:val="Char Char5"/>
    <w:autoRedefine/>
    <w:qFormat/>
    <w:uiPriority w:val="0"/>
    <w:rPr>
      <w:rFonts w:ascii="Arial" w:hAnsi="Arial" w:eastAsia="宋体"/>
      <w:b/>
      <w:smallCaps/>
      <w:kern w:val="28"/>
      <w:sz w:val="36"/>
      <w:lang w:val="en-US" w:eastAsia="en-US"/>
    </w:rPr>
  </w:style>
  <w:style w:type="character" w:customStyle="1" w:styleId="84">
    <w:name w:val="Char Char7"/>
    <w:autoRedefine/>
    <w:qFormat/>
    <w:uiPriority w:val="0"/>
    <w:rPr>
      <w:rFonts w:ascii="宋体" w:hAnsi="宋体" w:eastAsia="宋体"/>
      <w:kern w:val="2"/>
      <w:sz w:val="28"/>
    </w:rPr>
  </w:style>
  <w:style w:type="character" w:customStyle="1" w:styleId="85">
    <w:name w:val="v151"/>
    <w:autoRedefine/>
    <w:qFormat/>
    <w:uiPriority w:val="0"/>
    <w:rPr>
      <w:sz w:val="18"/>
    </w:rPr>
  </w:style>
  <w:style w:type="character" w:customStyle="1" w:styleId="86">
    <w:name w:val="文字 Char"/>
    <w:link w:val="87"/>
    <w:autoRedefine/>
    <w:qFormat/>
    <w:uiPriority w:val="0"/>
    <w:rPr>
      <w:rFonts w:ascii="宋体" w:eastAsia="宋体"/>
      <w:kern w:val="2"/>
      <w:sz w:val="28"/>
      <w:lang w:val="en-US" w:eastAsia="zh-CN" w:bidi="ar-SA"/>
    </w:rPr>
  </w:style>
  <w:style w:type="paragraph" w:customStyle="1" w:styleId="87">
    <w:name w:val="文字"/>
    <w:basedOn w:val="1"/>
    <w:link w:val="86"/>
    <w:autoRedefine/>
    <w:qFormat/>
    <w:uiPriority w:val="0"/>
    <w:pPr>
      <w:tabs>
        <w:tab w:val="left" w:pos="8520"/>
      </w:tabs>
      <w:spacing w:line="312" w:lineRule="auto"/>
      <w:ind w:right="-210" w:firstLine="556"/>
    </w:pPr>
    <w:rPr>
      <w:rFonts w:ascii="宋体" w:eastAsia="宋体"/>
    </w:rPr>
  </w:style>
  <w:style w:type="character" w:customStyle="1" w:styleId="88">
    <w:name w:val="Table Heading Char Char"/>
    <w:autoRedefine/>
    <w:qFormat/>
    <w:uiPriority w:val="0"/>
    <w:rPr>
      <w:rFonts w:ascii="Arial" w:hAnsi="Arial" w:eastAsia="黑体"/>
      <w:kern w:val="2"/>
      <w:sz w:val="18"/>
      <w:lang w:val="en-US" w:eastAsia="zh-CN"/>
    </w:rPr>
  </w:style>
  <w:style w:type="character" w:customStyle="1" w:styleId="89">
    <w:name w:val="Char Char4"/>
    <w:autoRedefine/>
    <w:qFormat/>
    <w:uiPriority w:val="0"/>
    <w:rPr>
      <w:rFonts w:eastAsia="宋体"/>
      <w:b/>
      <w:kern w:val="2"/>
      <w:sz w:val="21"/>
      <w:lang w:val="en-US" w:eastAsia="zh-CN"/>
    </w:rPr>
  </w:style>
  <w:style w:type="character" w:customStyle="1" w:styleId="90">
    <w:name w:val="Char Char6"/>
    <w:autoRedefine/>
    <w:qFormat/>
    <w:uiPriority w:val="0"/>
    <w:rPr>
      <w:rFonts w:ascii="仿宋_GB2312" w:eastAsia="仿宋_GB2312"/>
      <w:kern w:val="2"/>
      <w:sz w:val="32"/>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Char Char3"/>
    <w:autoRedefine/>
    <w:qFormat/>
    <w:uiPriority w:val="0"/>
    <w:rPr>
      <w:rFonts w:eastAsia="宋体"/>
      <w:kern w:val="2"/>
      <w:sz w:val="18"/>
      <w:lang w:val="en-US" w:eastAsia="zh-CN"/>
    </w:rPr>
  </w:style>
  <w:style w:type="character" w:customStyle="1" w:styleId="93">
    <w:name w:val="未命名11"/>
    <w:autoRedefine/>
    <w:qFormat/>
    <w:uiPriority w:val="0"/>
    <w:rPr>
      <w:color w:val="77FFFF"/>
      <w:sz w:val="24"/>
    </w:rPr>
  </w:style>
  <w:style w:type="character" w:customStyle="1" w:styleId="94">
    <w:name w:val="content-white1"/>
    <w:autoRedefine/>
    <w:qFormat/>
    <w:uiPriority w:val="0"/>
    <w:rPr>
      <w:rFonts w:ascii="_x000B__x000C_" w:hAnsi="_x000B__x000C_"/>
      <w:color w:val="auto"/>
      <w:sz w:val="18"/>
      <w:u w:val="none"/>
    </w:rPr>
  </w:style>
  <w:style w:type="character" w:customStyle="1" w:styleId="95">
    <w:name w:val="Table Text Char1 Char"/>
    <w:autoRedefine/>
    <w:qFormat/>
    <w:uiPriority w:val="0"/>
    <w:rPr>
      <w:rFonts w:ascii="Arial" w:hAnsi="Arial"/>
      <w:kern w:val="2"/>
      <w:sz w:val="18"/>
      <w:lang w:val="en-US" w:eastAsia="zh-CN" w:bidi="ar-SA"/>
    </w:rPr>
  </w:style>
  <w:style w:type="character" w:customStyle="1" w:styleId="96">
    <w:name w:val="top-det1"/>
    <w:autoRedefine/>
    <w:qFormat/>
    <w:uiPriority w:val="0"/>
    <w:rPr>
      <w:b/>
      <w:color w:val="000000"/>
    </w:rPr>
  </w:style>
  <w:style w:type="character" w:customStyle="1" w:styleId="97">
    <w:name w:val="Char Char2"/>
    <w:autoRedefine/>
    <w:qFormat/>
    <w:uiPriority w:val="0"/>
    <w:rPr>
      <w:rFonts w:eastAsia="宋体"/>
      <w:kern w:val="2"/>
      <w:sz w:val="18"/>
      <w:lang w:val="en-US" w:eastAsia="zh-CN"/>
    </w:rPr>
  </w:style>
  <w:style w:type="character" w:customStyle="1" w:styleId="98">
    <w:name w:val="正文 + 三号 Char"/>
    <w:autoRedefine/>
    <w:qFormat/>
    <w:uiPriority w:val="0"/>
    <w:rPr>
      <w:rFonts w:eastAsia="宋体"/>
      <w:kern w:val="2"/>
      <w:sz w:val="21"/>
      <w:lang w:val="en-US" w:eastAsia="zh-CN"/>
    </w:rPr>
  </w:style>
  <w:style w:type="character" w:customStyle="1" w:styleId="99">
    <w:name w:val="crowed11"/>
    <w:autoRedefine/>
    <w:qFormat/>
    <w:uiPriority w:val="0"/>
    <w:rPr>
      <w:rFonts w:hint="default" w:ascii="_x000B__x000C_" w:hAnsi="_x000B__x000C_"/>
      <w:sz w:val="24"/>
    </w:rPr>
  </w:style>
  <w:style w:type="paragraph" w:customStyle="1" w:styleId="100">
    <w:name w:val="章标题"/>
    <w:next w:val="1"/>
    <w:autoRedefine/>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2">
    <w:name w:val="附录3"/>
    <w:basedOn w:val="1"/>
    <w:next w:val="1"/>
    <w:autoRedefine/>
    <w:qFormat/>
    <w:uiPriority w:val="0"/>
    <w:pPr>
      <w:tabs>
        <w:tab w:val="left" w:pos="851"/>
      </w:tabs>
      <w:ind w:left="425" w:hanging="425"/>
      <w:outlineLvl w:val="2"/>
    </w:pPr>
    <w:rPr>
      <w:rFonts w:eastAsia="黑体"/>
      <w:b/>
      <w:sz w:val="32"/>
    </w:rPr>
  </w:style>
  <w:style w:type="paragraph" w:customStyle="1" w:styleId="103">
    <w:name w:val="IN Feature"/>
    <w:next w:val="104"/>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4">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5">
    <w:name w:val="Item Step"/>
    <w:autoRedefine/>
    <w:qFormat/>
    <w:uiPriority w:val="0"/>
    <w:pPr>
      <w:tabs>
        <w:tab w:val="left" w:pos="1644"/>
      </w:tabs>
      <w:ind w:left="1644" w:hanging="510"/>
      <w:outlineLvl w:val="4"/>
    </w:pPr>
    <w:rPr>
      <w:rFonts w:ascii="Arial" w:hAnsi="Arial" w:eastAsia="仿宋_GB2312" w:cs="Times New Roman"/>
      <w:sz w:val="21"/>
      <w:lang w:val="en-US" w:eastAsia="zh-CN" w:bidi="ar-SA"/>
    </w:rPr>
  </w:style>
  <w:style w:type="paragraph" w:customStyle="1" w:styleId="106">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7">
    <w:name w:val="样式 样式 首行缩进:  2 字符 + 首行缩进:  2 字符"/>
    <w:basedOn w:val="1"/>
    <w:autoRedefine/>
    <w:qFormat/>
    <w:uiPriority w:val="0"/>
    <w:pPr>
      <w:numPr>
        <w:ilvl w:val="0"/>
        <w:numId w:val="7"/>
      </w:numPr>
      <w:tabs>
        <w:tab w:val="clear" w:pos="1230"/>
      </w:tabs>
      <w:spacing w:line="360" w:lineRule="auto"/>
      <w:ind w:firstLine="480" w:firstLineChars="200"/>
    </w:pPr>
    <w:rPr>
      <w:sz w:val="24"/>
    </w:rPr>
  </w:style>
  <w:style w:type="paragraph" w:customStyle="1" w:styleId="108">
    <w:name w:val="Style Heading 3h3Heading 3 - oldLevel 3 HeadH3level_3PIM 3se..."/>
    <w:basedOn w:val="4"/>
    <w:autoRedefine/>
    <w:qFormat/>
    <w:uiPriority w:val="0"/>
    <w:pPr>
      <w:numPr>
        <w:ilvl w:val="2"/>
        <w:numId w:val="8"/>
      </w:numPr>
      <w:jc w:val="both"/>
    </w:pPr>
    <w:rPr>
      <w:sz w:val="32"/>
    </w:rPr>
  </w:style>
  <w:style w:type="paragraph" w:customStyle="1" w:styleId="109">
    <w:name w:val="Char"/>
    <w:basedOn w:val="1"/>
    <w:autoRedefine/>
    <w:qFormat/>
    <w:uiPriority w:val="0"/>
    <w:pPr>
      <w:widowControl/>
      <w:spacing w:line="400" w:lineRule="exact"/>
      <w:jc w:val="center"/>
    </w:pPr>
    <w:rPr>
      <w:sz w:val="24"/>
    </w:rPr>
  </w:style>
  <w:style w:type="paragraph" w:customStyle="1" w:styleId="110">
    <w:name w:val="标题2"/>
    <w:basedOn w:val="3"/>
    <w:autoRedefine/>
    <w:qFormat/>
    <w:uiPriority w:val="0"/>
    <w:pPr>
      <w:keepNext w:val="0"/>
      <w:keepLines w:val="0"/>
      <w:ind w:firstLine="574" w:firstLineChars="196"/>
      <w:outlineLvl w:val="9"/>
    </w:pPr>
    <w:rPr>
      <w:b/>
      <w:spacing w:val="6"/>
      <w:u w:val="single"/>
    </w:rPr>
  </w:style>
  <w:style w:type="paragraph" w:customStyle="1" w:styleId="11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2">
    <w:name w:val="样式1"/>
    <w:basedOn w:val="5"/>
    <w:autoRedefine/>
    <w:qFormat/>
    <w:uiPriority w:val="0"/>
    <w:pPr>
      <w:spacing w:before="500" w:after="260" w:line="560" w:lineRule="atLeast"/>
    </w:pPr>
  </w:style>
  <w:style w:type="paragraph" w:customStyle="1" w:styleId="11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14">
    <w:name w:val="样式 标题 1章标题Heading 0Section HeadPIM 1H1h11st levell11H1..."/>
    <w:basedOn w:val="2"/>
    <w:autoRedefine/>
    <w:qFormat/>
    <w:uiPriority w:val="0"/>
    <w:pPr>
      <w:keepLines/>
      <w:pageBreakBefore/>
      <w:tabs>
        <w:tab w:val="clear" w:pos="3360"/>
      </w:tabs>
      <w:autoSpaceDE w:val="0"/>
      <w:autoSpaceDN w:val="0"/>
      <w:adjustRightInd w:val="0"/>
      <w:spacing w:before="340" w:after="330" w:line="578" w:lineRule="atLeast"/>
      <w:jc w:val="both"/>
      <w:textAlignment w:val="bottom"/>
    </w:pPr>
    <w:rPr>
      <w:rFonts w:ascii="宋体" w:hAnsi="宋体"/>
      <w:b/>
      <w:kern w:val="44"/>
      <w:sz w:val="36"/>
    </w:rPr>
  </w:style>
  <w:style w:type="paragraph" w:customStyle="1" w:styleId="115">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
    <w:name w:val="Body Text 2_5895b5e3-7438-4eed-98af-21e186495806"/>
    <w:basedOn w:val="1"/>
    <w:autoRedefine/>
    <w:qFormat/>
    <w:uiPriority w:val="0"/>
    <w:pPr>
      <w:adjustRightInd w:val="0"/>
      <w:spacing w:before="120" w:line="360" w:lineRule="auto"/>
      <w:ind w:firstLine="480"/>
      <w:textAlignment w:val="baseline"/>
    </w:pPr>
    <w:rPr>
      <w:sz w:val="24"/>
    </w:rPr>
  </w:style>
  <w:style w:type="paragraph" w:customStyle="1" w:styleId="117">
    <w:name w:val="1"/>
    <w:basedOn w:val="1"/>
    <w:autoRedefine/>
    <w:qFormat/>
    <w:uiPriority w:val="0"/>
    <w:rPr>
      <w:rFonts w:ascii="Tahoma" w:hAnsi="Tahoma"/>
      <w:sz w:val="24"/>
    </w:rPr>
  </w:style>
  <w:style w:type="paragraph" w:customStyle="1" w:styleId="118">
    <w:name w:val="标题3——2"/>
    <w:basedOn w:val="4"/>
    <w:next w:val="58"/>
    <w:autoRedefine/>
    <w:qFormat/>
    <w:uiPriority w:val="0"/>
    <w:pPr>
      <w:tabs>
        <w:tab w:val="left" w:pos="1280"/>
        <w:tab w:val="right" w:leader="dot" w:pos="8777"/>
      </w:tabs>
      <w:spacing w:before="312" w:beforeLines="100" w:after="0" w:line="240" w:lineRule="auto"/>
      <w:ind w:left="851" w:hanging="851"/>
      <w:jc w:val="both"/>
      <w:outlineLvl w:val="9"/>
    </w:pPr>
    <w:rPr>
      <w:rFonts w:ascii="黑体" w:hAnsi="宋体" w:eastAsia="黑体"/>
      <w:sz w:val="30"/>
    </w:rPr>
  </w:style>
  <w:style w:type="paragraph" w:customStyle="1" w:styleId="119">
    <w:name w:val="样式1xz"/>
    <w:basedOn w:val="1"/>
    <w:autoRedefine/>
    <w:qFormat/>
    <w:uiPriority w:val="0"/>
    <w:pPr>
      <w:tabs>
        <w:tab w:val="left" w:pos="1050"/>
        <w:tab w:val="right" w:leader="dot" w:pos="8296"/>
      </w:tabs>
    </w:pPr>
    <w:rPr>
      <w:caps/>
      <w:spacing w:val="20"/>
      <w:sz w:val="24"/>
    </w:rPr>
  </w:style>
  <w:style w:type="paragraph" w:customStyle="1" w:styleId="120">
    <w:name w:val="表文字"/>
    <w:autoRedefine/>
    <w:qFormat/>
    <w:uiPriority w:val="0"/>
    <w:rPr>
      <w:rFonts w:ascii="宋体" w:hAnsi="Times New Roman" w:eastAsia="仿宋_GB2312" w:cs="Times New Roman"/>
      <w:kern w:val="2"/>
      <w:lang w:val="en-US" w:eastAsia="zh-CN" w:bidi="ar-SA"/>
    </w:rPr>
  </w:style>
  <w:style w:type="paragraph" w:customStyle="1" w:styleId="121">
    <w:name w:val="Char1 Char Char Char"/>
    <w:basedOn w:val="1"/>
    <w:autoRedefine/>
    <w:qFormat/>
    <w:uiPriority w:val="0"/>
    <w:rPr>
      <w:rFonts w:ascii="Tahoma" w:hAnsi="Tahoma"/>
      <w:sz w:val="21"/>
    </w:rPr>
  </w:style>
  <w:style w:type="paragraph" w:customStyle="1" w:styleId="12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23">
    <w:name w:val="Item List"/>
    <w:autoRedefine/>
    <w:qFormat/>
    <w:uiPriority w:val="0"/>
    <w:pPr>
      <w:numPr>
        <w:ilvl w:val="0"/>
        <w:numId w:val="9"/>
      </w:numPr>
      <w:spacing w:line="300" w:lineRule="auto"/>
      <w:jc w:val="both"/>
    </w:pPr>
    <w:rPr>
      <w:rFonts w:ascii="Arial" w:hAnsi="Arial" w:eastAsia="仿宋_GB2312" w:cs="Times New Roman"/>
      <w:sz w:val="21"/>
      <w:lang w:val="en-US" w:eastAsia="zh-CN" w:bidi="ar-SA"/>
    </w:rPr>
  </w:style>
  <w:style w:type="paragraph" w:customStyle="1" w:styleId="124">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25">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6">
    <w:name w:val="Char1"/>
    <w:basedOn w:val="1"/>
    <w:autoRedefine/>
    <w:qFormat/>
    <w:uiPriority w:val="0"/>
    <w:rPr>
      <w:sz w:val="21"/>
    </w:rPr>
  </w:style>
  <w:style w:type="paragraph" w:customStyle="1" w:styleId="127">
    <w:name w:val="样式 标题 1 + 居中 段前: 6 磅 段后: 6 磅 行距: 1.5 倍行距"/>
    <w:basedOn w:val="2"/>
    <w:autoRedefine/>
    <w:qFormat/>
    <w:uiPriority w:val="0"/>
    <w:pPr>
      <w:keepLines/>
      <w:tabs>
        <w:tab w:val="clear" w:pos="3360"/>
      </w:tabs>
      <w:adjustRightInd w:val="0"/>
      <w:spacing w:before="120" w:line="360" w:lineRule="auto"/>
    </w:pPr>
    <w:rPr>
      <w:rFonts w:eastAsia="宋体"/>
      <w:b/>
      <w:kern w:val="44"/>
      <w:sz w:val="32"/>
    </w:rPr>
  </w:style>
  <w:style w:type="paragraph" w:customStyle="1" w:styleId="128">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9">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默认段落字体 Para Char Char Char Char Char Char Char Char Char1 Char Char Char Char"/>
    <w:basedOn w:val="1"/>
    <w:autoRedefine/>
    <w:qFormat/>
    <w:uiPriority w:val="0"/>
    <w:rPr>
      <w:rFonts w:ascii="Tahoma" w:hAnsi="Tahoma"/>
      <w:sz w:val="24"/>
    </w:rPr>
  </w:style>
  <w:style w:type="paragraph" w:customStyle="1" w:styleId="13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默认段落字体 Para Char Char Char Char Char Char Char"/>
    <w:basedOn w:val="1"/>
    <w:autoRedefine/>
    <w:qFormat/>
    <w:uiPriority w:val="0"/>
    <w:rPr>
      <w:rFonts w:ascii="Tahoma" w:hAnsi="Tahoma"/>
      <w:sz w:val="24"/>
    </w:rPr>
  </w:style>
  <w:style w:type="paragraph" w:customStyle="1" w:styleId="133">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34">
    <w:name w:val="标书正文:  0.74 厘米"/>
    <w:basedOn w:val="1"/>
    <w:autoRedefine/>
    <w:qFormat/>
    <w:uiPriority w:val="0"/>
    <w:pPr>
      <w:snapToGrid w:val="0"/>
      <w:spacing w:line="360" w:lineRule="auto"/>
      <w:ind w:firstLine="420"/>
    </w:pPr>
    <w:rPr>
      <w:rFonts w:eastAsia="宋体"/>
      <w:sz w:val="24"/>
    </w:rPr>
  </w:style>
  <w:style w:type="paragraph" w:customStyle="1" w:styleId="135">
    <w:name w:val="样式 行距: 1.5 倍行距1"/>
    <w:basedOn w:val="1"/>
    <w:autoRedefine/>
    <w:qFormat/>
    <w:uiPriority w:val="0"/>
    <w:pPr>
      <w:snapToGrid w:val="0"/>
    </w:pPr>
    <w:rPr>
      <w:sz w:val="21"/>
    </w:rPr>
  </w:style>
  <w:style w:type="paragraph" w:customStyle="1" w:styleId="13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7">
    <w:name w:val="Item Step in Table"/>
    <w:autoRedefine/>
    <w:qFormat/>
    <w:uiPriority w:val="0"/>
    <w:pPr>
      <w:numPr>
        <w:ilvl w:val="0"/>
        <w:numId w:val="10"/>
      </w:numPr>
      <w:spacing w:before="40" w:after="40"/>
      <w:jc w:val="both"/>
    </w:pPr>
    <w:rPr>
      <w:rFonts w:ascii="Arial" w:hAnsi="Arial" w:eastAsia="仿宋_GB2312" w:cs="Times New Roman"/>
      <w:sz w:val="18"/>
      <w:lang w:val="en-US" w:eastAsia="zh-CN" w:bidi="ar-SA"/>
    </w:rPr>
  </w:style>
  <w:style w:type="paragraph" w:customStyle="1" w:styleId="138">
    <w:name w:val="标题无"/>
    <w:basedOn w:val="1"/>
    <w:autoRedefine/>
    <w:qFormat/>
    <w:uiPriority w:val="0"/>
    <w:pPr>
      <w:spacing w:line="360" w:lineRule="auto"/>
    </w:pPr>
    <w:rPr>
      <w:sz w:val="24"/>
    </w:rPr>
  </w:style>
  <w:style w:type="paragraph" w:customStyle="1" w:styleId="139">
    <w:name w:val="正文 A"/>
    <w:autoRedefine/>
    <w:qFormat/>
    <w:uiPriority w:val="0"/>
    <w:pPr>
      <w:widowControl w:val="0"/>
      <w:jc w:val="both"/>
    </w:pPr>
    <w:rPr>
      <w:rFonts w:ascii="Calibri" w:hAnsi="Calibri" w:eastAsia="Arial Unicode MS" w:cs="Arial Unicode MS"/>
      <w:color w:val="000000"/>
      <w:kern w:val="2"/>
      <w:sz w:val="28"/>
      <w:szCs w:val="28"/>
      <w:lang w:val="en-US" w:eastAsia="zh-CN" w:bidi="ar-SA"/>
    </w:rPr>
  </w:style>
  <w:style w:type="paragraph" w:customStyle="1" w:styleId="140">
    <w:name w:val="文本框样式1"/>
    <w:basedOn w:val="1"/>
    <w:autoRedefine/>
    <w:qFormat/>
    <w:uiPriority w:val="0"/>
    <w:pPr>
      <w:adjustRightInd w:val="0"/>
      <w:snapToGrid w:val="0"/>
      <w:spacing w:before="60" w:line="180" w:lineRule="exact"/>
      <w:jc w:val="center"/>
    </w:pPr>
    <w:rPr>
      <w:sz w:val="21"/>
    </w:rPr>
  </w:style>
  <w:style w:type="paragraph" w:customStyle="1" w:styleId="141">
    <w:name w:val="Char Char1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2">
    <w:name w:val="正文1"/>
    <w:basedOn w:val="1"/>
    <w:autoRedefine/>
    <w:qFormat/>
    <w:uiPriority w:val="0"/>
    <w:pPr>
      <w:spacing w:line="300" w:lineRule="auto"/>
      <w:ind w:firstLine="200" w:firstLineChars="200"/>
    </w:pPr>
    <w:rPr>
      <w:sz w:val="24"/>
    </w:rPr>
  </w:style>
  <w:style w:type="paragraph" w:customStyle="1" w:styleId="14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44">
    <w:name w:val="首行缩进"/>
    <w:basedOn w:val="1"/>
    <w:autoRedefine/>
    <w:qFormat/>
    <w:uiPriority w:val="0"/>
    <w:pPr>
      <w:spacing w:line="360" w:lineRule="auto"/>
      <w:ind w:firstLine="420" w:firstLineChars="200"/>
    </w:pPr>
    <w:rPr>
      <w:sz w:val="21"/>
    </w:rPr>
  </w:style>
  <w:style w:type="paragraph" w:customStyle="1" w:styleId="145">
    <w:name w:val="首行缩进 1"/>
    <w:basedOn w:val="1"/>
    <w:autoRedefine/>
    <w:qFormat/>
    <w:uiPriority w:val="0"/>
    <w:pPr>
      <w:spacing w:after="120" w:line="360" w:lineRule="auto"/>
      <w:ind w:firstLine="200" w:firstLineChars="200"/>
    </w:pPr>
    <w:rPr>
      <w:sz w:val="24"/>
    </w:rPr>
  </w:style>
  <w:style w:type="paragraph" w:customStyle="1" w:styleId="146">
    <w:name w:val="正文表格"/>
    <w:basedOn w:val="1"/>
    <w:autoRedefine/>
    <w:qFormat/>
    <w:uiPriority w:val="0"/>
    <w:pPr>
      <w:adjustRightInd w:val="0"/>
      <w:spacing w:before="40" w:after="40"/>
    </w:pPr>
    <w:rPr>
      <w:sz w:val="24"/>
    </w:rPr>
  </w:style>
  <w:style w:type="paragraph" w:customStyle="1" w:styleId="147">
    <w:name w:val="没有缩进（为图形使用）"/>
    <w:basedOn w:val="1"/>
    <w:autoRedefine/>
    <w:qFormat/>
    <w:uiPriority w:val="0"/>
    <w:pPr>
      <w:spacing w:before="120" w:after="120" w:line="360" w:lineRule="auto"/>
    </w:pPr>
    <w:rPr>
      <w:sz w:val="24"/>
    </w:rPr>
  </w:style>
  <w:style w:type="paragraph" w:customStyle="1" w:styleId="148">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9">
    <w:name w:val="Char Char 字元 字元 字元 Char Char Char Char"/>
    <w:basedOn w:val="1"/>
    <w:autoRedefine/>
    <w:qFormat/>
    <w:uiPriority w:val="0"/>
    <w:pPr>
      <w:adjustRightInd w:val="0"/>
      <w:spacing w:line="360" w:lineRule="auto"/>
    </w:pPr>
    <w:rPr>
      <w:kern w:val="0"/>
      <w:sz w:val="24"/>
    </w:rPr>
  </w:style>
  <w:style w:type="paragraph" w:customStyle="1" w:styleId="150">
    <w:name w:val="标准正文"/>
    <w:basedOn w:val="24"/>
    <w:autoRedefine/>
    <w:qFormat/>
    <w:uiPriority w:val="0"/>
    <w:pPr>
      <w:spacing w:before="60" w:after="60" w:line="360" w:lineRule="auto"/>
      <w:ind w:left="0" w:firstLine="482"/>
    </w:pPr>
    <w:rPr>
      <w:rFonts w:ascii="Arial" w:hAnsi="Arial"/>
      <w:sz w:val="24"/>
    </w:rPr>
  </w:style>
  <w:style w:type="paragraph" w:customStyle="1" w:styleId="151">
    <w:name w:val="样式 首行缩进:  0.74 厘米"/>
    <w:basedOn w:val="1"/>
    <w:autoRedefine/>
    <w:qFormat/>
    <w:uiPriority w:val="0"/>
    <w:pPr>
      <w:spacing w:line="360" w:lineRule="auto"/>
      <w:ind w:firstLine="420"/>
    </w:pPr>
    <w:rPr>
      <w:sz w:val="24"/>
    </w:rPr>
  </w:style>
  <w:style w:type="paragraph" w:customStyle="1" w:styleId="152">
    <w:name w:val="_Style 148"/>
    <w:autoRedefine/>
    <w:qFormat/>
    <w:uiPriority w:val="0"/>
    <w:rPr>
      <w:rFonts w:ascii="Times New Roman" w:hAnsi="Times New Roman" w:eastAsia="仿宋_GB2312" w:cs="Times New Roman"/>
      <w:kern w:val="2"/>
      <w:sz w:val="21"/>
      <w:lang w:val="en-US" w:eastAsia="zh-CN" w:bidi="ar-SA"/>
    </w:rPr>
  </w:style>
  <w:style w:type="paragraph" w:customStyle="1" w:styleId="153">
    <w:name w:val="简单回函地址"/>
    <w:basedOn w:val="1"/>
    <w:autoRedefine/>
    <w:qFormat/>
    <w:uiPriority w:val="0"/>
    <w:pPr>
      <w:adjustRightInd w:val="0"/>
      <w:snapToGrid w:val="0"/>
      <w:spacing w:line="360" w:lineRule="auto"/>
    </w:pPr>
    <w:rPr>
      <w:sz w:val="24"/>
    </w:rPr>
  </w:style>
  <w:style w:type="paragraph" w:customStyle="1" w:styleId="15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5">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5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57">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5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9">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0">
    <w:name w:val="Char Char Char Char Char"/>
    <w:basedOn w:val="1"/>
    <w:autoRedefine/>
    <w:qFormat/>
    <w:uiPriority w:val="0"/>
    <w:pPr>
      <w:numPr>
        <w:ilvl w:val="0"/>
        <w:numId w:val="8"/>
      </w:numPr>
    </w:pPr>
    <w:rPr>
      <w:rFonts w:ascii="Tahoma" w:hAnsi="Tahoma"/>
      <w:sz w:val="24"/>
    </w:rPr>
  </w:style>
  <w:style w:type="paragraph" w:customStyle="1" w:styleId="161">
    <w:name w:val="表头文本"/>
    <w:autoRedefine/>
    <w:qFormat/>
    <w:uiPriority w:val="0"/>
    <w:pPr>
      <w:jc w:val="center"/>
    </w:pPr>
    <w:rPr>
      <w:rFonts w:ascii="Arial" w:hAnsi="Arial" w:eastAsia="仿宋_GB2312" w:cs="Times New Roman"/>
      <w:b/>
      <w:sz w:val="21"/>
      <w:lang w:val="en-US" w:eastAsia="zh-CN" w:bidi="ar-SA"/>
    </w:rPr>
  </w:style>
  <w:style w:type="paragraph" w:customStyle="1" w:styleId="162">
    <w:name w:val="Table Text Char1"/>
    <w:autoRedefine/>
    <w:qFormat/>
    <w:uiPriority w:val="0"/>
    <w:pPr>
      <w:snapToGrid w:val="0"/>
      <w:spacing w:before="80" w:after="80"/>
    </w:pPr>
    <w:rPr>
      <w:rFonts w:ascii="Arial" w:hAnsi="Arial" w:eastAsia="仿宋_GB2312" w:cs="Times New Roman"/>
      <w:kern w:val="2"/>
      <w:sz w:val="18"/>
      <w:lang w:val="en-US" w:eastAsia="zh-CN" w:bidi="ar-SA"/>
    </w:rPr>
  </w:style>
  <w:style w:type="paragraph" w:customStyle="1" w:styleId="163">
    <w:name w:val="Table Contents"/>
    <w:basedOn w:val="22"/>
    <w:autoRedefine/>
    <w:qFormat/>
    <w:uiPriority w:val="0"/>
    <w:pPr>
      <w:suppressAutoHyphens/>
      <w:jc w:val="left"/>
    </w:pPr>
    <w:rPr>
      <w:rFonts w:ascii="Times New Roman" w:eastAsia="Times New Roman"/>
      <w:kern w:val="0"/>
      <w:sz w:val="24"/>
    </w:rPr>
  </w:style>
  <w:style w:type="paragraph" w:customStyle="1" w:styleId="164">
    <w:name w:val="样式 正文缩进正文（首行缩进两字）表正文正文非缩进特点标题4段1 + 首行缩进:  2 字符"/>
    <w:basedOn w:val="15"/>
    <w:autoRedefine/>
    <w:qFormat/>
    <w:uiPriority w:val="0"/>
    <w:pPr>
      <w:ind w:firstLine="480" w:firstLineChars="200"/>
    </w:pPr>
  </w:style>
  <w:style w:type="paragraph" w:customStyle="1" w:styleId="165">
    <w:name w:val="表格内文字"/>
    <w:basedOn w:val="23"/>
    <w:autoRedefine/>
    <w:qFormat/>
    <w:uiPriority w:val="0"/>
    <w:pPr>
      <w:snapToGrid/>
      <w:spacing w:line="240" w:lineRule="auto"/>
    </w:pPr>
    <w:rPr>
      <w:color w:val="000000"/>
      <w:lang w:val="en-GB"/>
    </w:rPr>
  </w:style>
  <w:style w:type="paragraph" w:customStyle="1" w:styleId="16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67">
    <w:name w:val="正文 + 三号"/>
    <w:basedOn w:val="1"/>
    <w:autoRedefine/>
    <w:qFormat/>
    <w:uiPriority w:val="0"/>
    <w:rPr>
      <w:rFonts w:eastAsia="宋体"/>
      <w:sz w:val="21"/>
    </w:rPr>
  </w:style>
  <w:style w:type="paragraph" w:customStyle="1" w:styleId="168">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69">
    <w:name w:val="摘要"/>
    <w:basedOn w:val="1"/>
    <w:next w:val="3"/>
    <w:autoRedefine/>
    <w:qFormat/>
    <w:uiPriority w:val="0"/>
    <w:pPr>
      <w:spacing w:line="360" w:lineRule="auto"/>
    </w:pPr>
    <w:rPr>
      <w:rFonts w:eastAsia="黑体"/>
      <w:sz w:val="20"/>
    </w:rPr>
  </w:style>
  <w:style w:type="paragraph" w:customStyle="1" w:styleId="170">
    <w:name w:val="Char Char Char Char Char Char Char"/>
    <w:basedOn w:val="17"/>
    <w:autoRedefine/>
    <w:qFormat/>
    <w:uiPriority w:val="0"/>
    <w:rPr>
      <w:rFonts w:ascii="宋体" w:hAnsi="Tahoma"/>
    </w:rPr>
  </w:style>
  <w:style w:type="paragraph" w:customStyle="1" w:styleId="171">
    <w:name w:val="表号"/>
    <w:basedOn w:val="1"/>
    <w:autoRedefine/>
    <w:qFormat/>
    <w:uiPriority w:val="0"/>
    <w:pPr>
      <w:numPr>
        <w:ilvl w:val="0"/>
        <w:numId w:val="11"/>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文章正文"/>
    <w:basedOn w:val="1"/>
    <w:autoRedefine/>
    <w:qFormat/>
    <w:uiPriority w:val="0"/>
    <w:pPr>
      <w:ind w:firstLine="560" w:firstLineChars="200"/>
    </w:pPr>
    <w:rPr>
      <w:rFonts w:ascii="仿宋_GB2312" w:hAnsi="宋体"/>
      <w:color w:val="000000"/>
    </w:rPr>
  </w:style>
  <w:style w:type="paragraph" w:customStyle="1" w:styleId="173">
    <w:name w:val="Table Text"/>
    <w:autoRedefine/>
    <w:qFormat/>
    <w:uiPriority w:val="0"/>
    <w:pPr>
      <w:snapToGrid w:val="0"/>
      <w:spacing w:before="80" w:after="80"/>
    </w:pPr>
    <w:rPr>
      <w:rFonts w:ascii="Arial" w:hAnsi="Arial" w:eastAsia="仿宋_GB2312" w:cs="Times New Roman"/>
      <w:kern w:val="2"/>
      <w:sz w:val="18"/>
      <w:lang w:val="en-US" w:eastAsia="zh-CN" w:bidi="ar-SA"/>
    </w:rPr>
  </w:style>
  <w:style w:type="paragraph" w:customStyle="1" w:styleId="174">
    <w:name w:val="列表项目"/>
    <w:basedOn w:val="1"/>
    <w:autoRedefine/>
    <w:qFormat/>
    <w:uiPriority w:val="0"/>
    <w:pPr>
      <w:numPr>
        <w:ilvl w:val="0"/>
        <w:numId w:val="12"/>
      </w:numPr>
      <w:tabs>
        <w:tab w:val="clear" w:pos="980"/>
      </w:tabs>
      <w:spacing w:line="288" w:lineRule="auto"/>
      <w:ind w:left="840" w:leftChars="200" w:hanging="420" w:hangingChars="200"/>
    </w:pPr>
    <w:rPr>
      <w:sz w:val="21"/>
    </w:rPr>
  </w:style>
  <w:style w:type="paragraph" w:customStyle="1" w:styleId="17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7">
    <w:name w:val="关键词"/>
    <w:basedOn w:val="1"/>
    <w:next w:val="1"/>
    <w:autoRedefine/>
    <w:qFormat/>
    <w:uiPriority w:val="0"/>
    <w:pPr>
      <w:spacing w:line="360" w:lineRule="auto"/>
    </w:pPr>
    <w:rPr>
      <w:rFonts w:eastAsia="黑体"/>
      <w:sz w:val="20"/>
    </w:rPr>
  </w:style>
  <w:style w:type="paragraph" w:customStyle="1" w:styleId="178">
    <w:name w:val="表格文本"/>
    <w:autoRedefine/>
    <w:qFormat/>
    <w:uiPriority w:val="0"/>
    <w:pPr>
      <w:tabs>
        <w:tab w:val="decimal" w:pos="0"/>
      </w:tabs>
    </w:pPr>
    <w:rPr>
      <w:rFonts w:ascii="Arial" w:hAnsi="Arial" w:eastAsia="仿宋_GB2312" w:cs="Times New Roman"/>
      <w:sz w:val="21"/>
      <w:lang w:val="en-US" w:eastAsia="zh-CN" w:bidi="ar-SA"/>
    </w:rPr>
  </w:style>
  <w:style w:type="paragraph" w:customStyle="1" w:styleId="17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80">
    <w:name w:val="样式4"/>
    <w:basedOn w:val="5"/>
    <w:autoRedefine/>
    <w:qFormat/>
    <w:uiPriority w:val="0"/>
    <w:pPr>
      <w:numPr>
        <w:numId w:val="0"/>
      </w:numPr>
      <w:adjustRightInd w:val="0"/>
      <w:snapToGrid w:val="0"/>
      <w:spacing w:before="280" w:line="372" w:lineRule="auto"/>
    </w:pPr>
  </w:style>
  <w:style w:type="paragraph" w:customStyle="1" w:styleId="181">
    <w:name w:val="样式3"/>
    <w:basedOn w:val="2"/>
    <w:next w:val="2"/>
    <w:autoRedefine/>
    <w:qFormat/>
    <w:uiPriority w:val="0"/>
    <w:pPr>
      <w:keepLines/>
      <w:tabs>
        <w:tab w:val="clear" w:pos="3360"/>
      </w:tabs>
      <w:adjustRightInd w:val="0"/>
      <w:spacing w:before="340" w:after="330" w:line="576" w:lineRule="auto"/>
      <w:jc w:val="both"/>
    </w:pPr>
    <w:rPr>
      <w:b/>
      <w:kern w:val="44"/>
    </w:rPr>
  </w:style>
  <w:style w:type="paragraph" w:customStyle="1" w:styleId="182">
    <w:name w:val="内容标题"/>
    <w:basedOn w:val="17"/>
    <w:autoRedefine/>
    <w:qFormat/>
    <w:uiPriority w:val="0"/>
    <w:rPr>
      <w:rFonts w:ascii="Tahoma" w:hAnsi="Tahoma"/>
      <w:sz w:val="24"/>
    </w:rPr>
  </w:style>
  <w:style w:type="paragraph" w:customStyle="1" w:styleId="183">
    <w:name w:val="样式 正文首行缩进 2 + 首行缩进:  2 字符"/>
    <w:basedOn w:val="1"/>
    <w:autoRedefine/>
    <w:qFormat/>
    <w:uiPriority w:val="0"/>
    <w:pPr>
      <w:numPr>
        <w:ilvl w:val="0"/>
        <w:numId w:val="13"/>
      </w:numPr>
      <w:adjustRightInd w:val="0"/>
      <w:snapToGrid w:val="0"/>
      <w:spacing w:line="360" w:lineRule="auto"/>
    </w:pPr>
    <w:rPr>
      <w:rFonts w:ascii="Arial" w:hAnsi="Arial"/>
      <w:b/>
      <w:sz w:val="24"/>
    </w:rPr>
  </w:style>
  <w:style w:type="paragraph" w:customStyle="1" w:styleId="184">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kern w:val="0"/>
      <w:sz w:val="24"/>
    </w:rPr>
  </w:style>
  <w:style w:type="paragraph" w:customStyle="1" w:styleId="18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6">
    <w:name w:val="Char2"/>
    <w:basedOn w:val="1"/>
    <w:autoRedefine/>
    <w:qFormat/>
    <w:uiPriority w:val="0"/>
    <w:pPr>
      <w:spacing w:line="240" w:lineRule="atLeast"/>
      <w:ind w:left="420" w:firstLine="420"/>
    </w:pPr>
    <w:rPr>
      <w:kern w:val="0"/>
      <w:sz w:val="21"/>
    </w:rPr>
  </w:style>
  <w:style w:type="paragraph" w:customStyle="1" w:styleId="187">
    <w:name w:val="00"/>
    <w:basedOn w:val="1"/>
    <w:autoRedefine/>
    <w:qFormat/>
    <w:uiPriority w:val="0"/>
    <w:pPr>
      <w:autoSpaceDE w:val="0"/>
      <w:autoSpaceDN w:val="0"/>
      <w:adjustRightInd w:val="0"/>
      <w:jc w:val="left"/>
    </w:pPr>
    <w:rPr>
      <w:rFonts w:ascii="黑体" w:eastAsia="黑体"/>
      <w:b/>
      <w:kern w:val="0"/>
      <w:sz w:val="20"/>
    </w:rPr>
  </w:style>
  <w:style w:type="paragraph" w:customStyle="1" w:styleId="188">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9">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0">
    <w:name w:val="图片文字"/>
    <w:basedOn w:val="1"/>
    <w:autoRedefine/>
    <w:qFormat/>
    <w:uiPriority w:val="0"/>
    <w:pPr>
      <w:spacing w:line="240" w:lineRule="atLeast"/>
      <w:jc w:val="center"/>
    </w:pPr>
    <w:rPr>
      <w:sz w:val="21"/>
    </w:rPr>
  </w:style>
  <w:style w:type="paragraph" w:customStyle="1" w:styleId="191">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2">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93">
    <w:name w:val="可研正文"/>
    <w:basedOn w:val="22"/>
    <w:autoRedefine/>
    <w:qFormat/>
    <w:uiPriority w:val="0"/>
    <w:pPr>
      <w:adjustRightInd w:val="0"/>
      <w:snapToGrid w:val="0"/>
      <w:spacing w:line="440" w:lineRule="exact"/>
      <w:ind w:firstLine="567"/>
    </w:pPr>
    <w:rPr>
      <w:sz w:val="28"/>
    </w:rPr>
  </w:style>
  <w:style w:type="paragraph" w:customStyle="1" w:styleId="194">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95">
    <w:name w:val="段落正文"/>
    <w:basedOn w:val="1"/>
    <w:autoRedefine/>
    <w:qFormat/>
    <w:uiPriority w:val="0"/>
    <w:pPr>
      <w:spacing w:before="156" w:beforeLines="50" w:line="360" w:lineRule="auto"/>
      <w:ind w:firstLine="200" w:firstLineChars="200"/>
    </w:pPr>
    <w:rPr>
      <w:spacing w:val="2"/>
      <w:sz w:val="24"/>
    </w:rPr>
  </w:style>
  <w:style w:type="paragraph" w:customStyle="1" w:styleId="196">
    <w:name w:val="二级列表"/>
    <w:basedOn w:val="195"/>
    <w:next w:val="195"/>
    <w:autoRedefine/>
    <w:qFormat/>
    <w:uiPriority w:val="0"/>
    <w:pPr>
      <w:tabs>
        <w:tab w:val="left" w:pos="2120"/>
      </w:tabs>
      <w:ind w:firstLine="0" w:firstLineChars="0"/>
    </w:pPr>
    <w:rPr>
      <w:b/>
    </w:rPr>
  </w:style>
  <w:style w:type="paragraph" w:customStyle="1" w:styleId="197">
    <w:name w:val="Char Char Char Char Char Char Char1"/>
    <w:basedOn w:val="1"/>
    <w:autoRedefine/>
    <w:qFormat/>
    <w:uiPriority w:val="0"/>
    <w:pPr>
      <w:widowControl/>
      <w:spacing w:after="160" w:line="240" w:lineRule="exact"/>
      <w:jc w:val="left"/>
    </w:pPr>
    <w:rPr>
      <w:rFonts w:ascii="Verdana" w:hAnsi="Verdana"/>
      <w:kern w:val="0"/>
      <w:sz w:val="24"/>
      <w:lang w:eastAsia="en-US"/>
    </w:rPr>
  </w:style>
  <w:style w:type="paragraph" w:customStyle="1" w:styleId="198">
    <w:name w:val="文本1"/>
    <w:basedOn w:val="1"/>
    <w:autoRedefine/>
    <w:qFormat/>
    <w:uiPriority w:val="0"/>
    <w:pPr>
      <w:adjustRightInd w:val="0"/>
      <w:spacing w:line="312" w:lineRule="atLeast"/>
      <w:jc w:val="center"/>
      <w:textAlignment w:val="baseline"/>
    </w:pPr>
    <w:rPr>
      <w:kern w:val="0"/>
      <w:sz w:val="18"/>
    </w:rPr>
  </w:style>
  <w:style w:type="paragraph" w:customStyle="1" w:styleId="199">
    <w:name w:val="正文字缩2字"/>
    <w:basedOn w:val="1"/>
    <w:autoRedefine/>
    <w:qFormat/>
    <w:uiPriority w:val="0"/>
    <w:pPr>
      <w:spacing w:before="60" w:after="60" w:line="360" w:lineRule="auto"/>
      <w:ind w:left="200" w:leftChars="200" w:firstLine="200" w:firstLineChars="200"/>
    </w:pPr>
    <w:rPr>
      <w:sz w:val="24"/>
    </w:rPr>
  </w:style>
  <w:style w:type="paragraph" w:customStyle="1" w:styleId="200">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1">
    <w:name w:val="Body Text Indent 2_a1acab1c-4489-496f-8674-199cc3da0b1e"/>
    <w:basedOn w:val="1"/>
    <w:autoRedefine/>
    <w:qFormat/>
    <w:uiPriority w:val="0"/>
    <w:pPr>
      <w:adjustRightInd w:val="0"/>
      <w:spacing w:before="120"/>
      <w:ind w:firstLine="420"/>
      <w:textAlignment w:val="baseline"/>
    </w:pPr>
    <w:rPr>
      <w:sz w:val="24"/>
    </w:rPr>
  </w:style>
  <w:style w:type="paragraph" w:customStyle="1" w:styleId="202">
    <w:name w:val="1.正文"/>
    <w:basedOn w:val="1"/>
    <w:autoRedefine/>
    <w:qFormat/>
    <w:uiPriority w:val="0"/>
    <w:pPr>
      <w:spacing w:line="360" w:lineRule="auto"/>
      <w:ind w:left="540" w:leftChars="225" w:firstLine="540" w:firstLineChars="225"/>
    </w:pPr>
    <w:rPr>
      <w:sz w:val="24"/>
    </w:rPr>
  </w:style>
  <w:style w:type="paragraph" w:customStyle="1" w:styleId="203">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4">
    <w:name w:val="Char1 Char Char Char1"/>
    <w:basedOn w:val="1"/>
    <w:autoRedefine/>
    <w:qFormat/>
    <w:uiPriority w:val="0"/>
    <w:rPr>
      <w:rFonts w:ascii="Tahoma" w:hAnsi="Tahoma"/>
      <w:sz w:val="24"/>
    </w:rPr>
  </w:style>
  <w:style w:type="paragraph" w:customStyle="1" w:styleId="20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06">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7">
    <w:name w:val="Title - Date"/>
    <w:basedOn w:val="56"/>
    <w:next w:val="1"/>
    <w:autoRedefine/>
    <w:qFormat/>
    <w:uiPriority w:val="0"/>
    <w:pPr>
      <w:spacing w:before="240" w:after="720"/>
    </w:pPr>
    <w:rPr>
      <w:sz w:val="28"/>
    </w:rPr>
  </w:style>
  <w:style w:type="paragraph" w:customStyle="1" w:styleId="208">
    <w:name w:val="Title - Revision"/>
    <w:basedOn w:val="56"/>
    <w:autoRedefine/>
    <w:qFormat/>
    <w:uiPriority w:val="0"/>
    <w:pPr>
      <w:spacing w:before="720"/>
    </w:pPr>
  </w:style>
  <w:style w:type="paragraph" w:customStyle="1" w:styleId="209">
    <w:name w:val="Char Char Char"/>
    <w:basedOn w:val="1"/>
    <w:autoRedefine/>
    <w:qFormat/>
    <w:uiPriority w:val="0"/>
    <w:rPr>
      <w:rFonts w:ascii="Tahoma" w:hAnsi="Tahoma"/>
      <w:sz w:val="24"/>
    </w:rPr>
  </w:style>
  <w:style w:type="paragraph" w:customStyle="1" w:styleId="21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11">
    <w:name w:val="操作步骤"/>
    <w:basedOn w:val="1"/>
    <w:autoRedefine/>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1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14">
    <w:name w:val="样式2"/>
    <w:basedOn w:val="5"/>
    <w:autoRedefine/>
    <w:qFormat/>
    <w:uiPriority w:val="0"/>
    <w:pPr>
      <w:numPr>
        <w:ilvl w:val="0"/>
        <w:numId w:val="15"/>
      </w:numPr>
      <w:spacing w:line="400" w:lineRule="exact"/>
      <w:jc w:val="center"/>
      <w:outlineLvl w:val="0"/>
    </w:pPr>
    <w:rPr>
      <w:b w:val="0"/>
      <w:sz w:val="44"/>
    </w:rPr>
  </w:style>
  <w:style w:type="paragraph" w:customStyle="1" w:styleId="215">
    <w:name w:val="Table Text Char Char Char"/>
    <w:autoRedefine/>
    <w:qFormat/>
    <w:uiPriority w:val="0"/>
    <w:pPr>
      <w:snapToGrid w:val="0"/>
      <w:spacing w:before="80" w:after="80"/>
    </w:pPr>
    <w:rPr>
      <w:rFonts w:ascii="Arial" w:hAnsi="Arial" w:eastAsia="仿宋_GB2312" w:cs="Times New Roman"/>
      <w:kern w:val="2"/>
      <w:sz w:val="18"/>
      <w:lang w:val="en-US" w:eastAsia="zh-CN" w:bidi="ar-SA"/>
    </w:rPr>
  </w:style>
  <w:style w:type="paragraph" w:customStyle="1" w:styleId="216">
    <w:name w:val="Table Text Char Char"/>
    <w:autoRedefine/>
    <w:qFormat/>
    <w:uiPriority w:val="0"/>
    <w:pPr>
      <w:snapToGrid w:val="0"/>
      <w:spacing w:before="80" w:after="80"/>
    </w:pPr>
    <w:rPr>
      <w:rFonts w:ascii="Arial" w:hAnsi="Arial" w:eastAsia="仿宋_GB2312" w:cs="Times New Roman"/>
      <w:kern w:val="2"/>
      <w:sz w:val="18"/>
      <w:lang w:val="en-US" w:eastAsia="zh-CN" w:bidi="ar-SA"/>
    </w:rPr>
  </w:style>
  <w:style w:type="paragraph" w:customStyle="1" w:styleId="21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8">
    <w:name w:val="样式 宋体 五号 行距: 单倍行距"/>
    <w:basedOn w:val="1"/>
    <w:autoRedefine/>
    <w:qFormat/>
    <w:uiPriority w:val="0"/>
    <w:pPr>
      <w:adjustRightInd w:val="0"/>
      <w:jc w:val="left"/>
    </w:pPr>
    <w:rPr>
      <w:rFonts w:ascii="宋体" w:hAnsi="宋体"/>
      <w:kern w:val="0"/>
      <w:sz w:val="21"/>
    </w:rPr>
  </w:style>
  <w:style w:type="paragraph" w:customStyle="1" w:styleId="219">
    <w:name w:val="Char Char Char Char Char Char Char Char Char Char Char Char Char"/>
    <w:basedOn w:val="1"/>
    <w:autoRedefine/>
    <w:qFormat/>
    <w:uiPriority w:val="0"/>
    <w:pPr>
      <w:widowControl/>
      <w:spacing w:after="160" w:line="240" w:lineRule="exact"/>
      <w:jc w:val="left"/>
    </w:pPr>
    <w:rPr>
      <w:rFonts w:ascii="Verdana" w:hAnsi="Verdana"/>
      <w:kern w:val="0"/>
      <w:sz w:val="24"/>
      <w:lang w:eastAsia="en-US"/>
    </w:rPr>
  </w:style>
  <w:style w:type="paragraph" w:customStyle="1" w:styleId="220">
    <w:name w:val="图例"/>
    <w:basedOn w:val="1"/>
    <w:autoRedefine/>
    <w:qFormat/>
    <w:uiPriority w:val="0"/>
    <w:pPr>
      <w:spacing w:before="120" w:after="120" w:line="360" w:lineRule="auto"/>
      <w:jc w:val="center"/>
    </w:pPr>
    <w:rPr>
      <w:b/>
      <w:sz w:val="24"/>
    </w:rPr>
  </w:style>
  <w:style w:type="paragraph" w:customStyle="1" w:styleId="221">
    <w:name w:val="Default"/>
    <w:autoRedefine/>
    <w:qFormat/>
    <w:uiPriority w:val="0"/>
    <w:pPr>
      <w:widowControl w:val="0"/>
      <w:autoSpaceDE w:val="0"/>
      <w:autoSpaceDN w:val="0"/>
      <w:adjustRightInd w:val="0"/>
    </w:pPr>
    <w:rPr>
      <w:rFonts w:ascii="宋体" w:hAnsi="Calibri" w:eastAsia="仿宋_GB2312" w:cs="宋体"/>
      <w:color w:val="000000"/>
      <w:sz w:val="24"/>
      <w:szCs w:val="24"/>
      <w:lang w:val="en-US" w:eastAsia="zh-CN" w:bidi="ar-SA"/>
    </w:rPr>
  </w:style>
  <w:style w:type="paragraph" w:customStyle="1" w:styleId="222">
    <w:name w:val="Char Char1 Char"/>
    <w:basedOn w:val="1"/>
    <w:autoRedefine/>
    <w:qFormat/>
    <w:uiPriority w:val="0"/>
    <w:rPr>
      <w:rFonts w:ascii="Tahoma" w:hAnsi="Tahoma"/>
      <w:sz w:val="24"/>
      <w:szCs w:val="24"/>
    </w:rPr>
  </w:style>
  <w:style w:type="paragraph" w:customStyle="1" w:styleId="223">
    <w:name w:val="编号正文"/>
    <w:basedOn w:val="125"/>
    <w:autoRedefine/>
    <w:qFormat/>
    <w:uiPriority w:val="0"/>
    <w:pPr>
      <w:snapToGrid/>
      <w:spacing w:line="360" w:lineRule="auto"/>
      <w:ind w:left="1407" w:hanging="1047"/>
      <w:jc w:val="left"/>
    </w:pPr>
  </w:style>
  <w:style w:type="character" w:customStyle="1" w:styleId="224">
    <w:name w:val="NormalCharacter"/>
    <w:autoRedefine/>
    <w:qFormat/>
    <w:uiPriority w:val="0"/>
  </w:style>
  <w:style w:type="paragraph" w:customStyle="1" w:styleId="225">
    <w:name w:val="Body text|1"/>
    <w:basedOn w:val="1"/>
    <w:autoRedefine/>
    <w:qFormat/>
    <w:uiPriority w:val="0"/>
    <w:pPr>
      <w:spacing w:line="468" w:lineRule="auto"/>
      <w:ind w:firstLine="400"/>
    </w:pPr>
    <w:rPr>
      <w:rFonts w:ascii="宋体" w:hAnsi="宋体" w:eastAsia="宋体" w:cs="宋体"/>
      <w:szCs w:val="28"/>
      <w:lang w:val="zh-TW" w:eastAsia="zh-TW" w:bidi="zh-TW"/>
    </w:rPr>
  </w:style>
  <w:style w:type="paragraph" w:customStyle="1" w:styleId="226">
    <w:name w:val="Heading #2|1"/>
    <w:basedOn w:val="1"/>
    <w:autoRedefine/>
    <w:qFormat/>
    <w:uiPriority w:val="0"/>
    <w:pPr>
      <w:spacing w:after="580"/>
      <w:jc w:val="center"/>
      <w:outlineLvl w:val="1"/>
    </w:pPr>
    <w:rPr>
      <w:rFonts w:ascii="宋体" w:hAnsi="宋体" w:eastAsia="宋体" w:cs="宋体"/>
      <w:sz w:val="34"/>
      <w:szCs w:val="34"/>
      <w:lang w:val="zh-TW" w:eastAsia="zh-TW" w:bidi="zh-TW"/>
    </w:rPr>
  </w:style>
  <w:style w:type="paragraph" w:customStyle="1" w:styleId="227">
    <w:name w:val="Other|1"/>
    <w:basedOn w:val="1"/>
    <w:autoRedefine/>
    <w:qFormat/>
    <w:uiPriority w:val="0"/>
    <w:pPr>
      <w:spacing w:line="468" w:lineRule="auto"/>
      <w:ind w:firstLine="400"/>
    </w:pPr>
    <w:rPr>
      <w:rFonts w:ascii="宋体" w:hAnsi="宋体" w:eastAsia="宋体" w:cs="宋体"/>
      <w:szCs w:val="28"/>
      <w:lang w:val="zh-TW" w:eastAsia="zh-TW" w:bidi="zh-TW"/>
    </w:rPr>
  </w:style>
  <w:style w:type="paragraph" w:customStyle="1" w:styleId="228">
    <w:name w:val="Header or footer|1"/>
    <w:basedOn w:val="1"/>
    <w:autoRedefine/>
    <w:qFormat/>
    <w:uiPriority w:val="0"/>
    <w:pPr>
      <w:jc w:val="center"/>
    </w:pPr>
    <w:rPr>
      <w:rFonts w:eastAsia="宋体"/>
      <w:lang w:val="zh-TW" w:eastAsia="zh-TW" w:bidi="zh-TW"/>
    </w:rPr>
  </w:style>
  <w:style w:type="character" w:customStyle="1" w:styleId="229">
    <w:name w:val="标题 2 Char"/>
    <w:autoRedefine/>
    <w:qFormat/>
    <w:uiPriority w:val="0"/>
    <w:rPr>
      <w:rFonts w:ascii="宋体" w:hAnsi="宋体"/>
      <w:kern w:val="2"/>
      <w:sz w:val="28"/>
    </w:rPr>
  </w:style>
  <w:style w:type="paragraph" w:customStyle="1" w:styleId="23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1">
    <w:name w:val="批注框文本1"/>
    <w:basedOn w:val="1"/>
    <w:autoRedefine/>
    <w:qFormat/>
    <w:uiPriority w:val="0"/>
    <w:rPr>
      <w:sz w:val="18"/>
      <w:szCs w:val="18"/>
    </w:rPr>
  </w:style>
  <w:style w:type="paragraph" w:customStyle="1" w:styleId="232">
    <w:name w:val="WPSOffice手动目录 1"/>
    <w:autoRedefine/>
    <w:qFormat/>
    <w:uiPriority w:val="0"/>
    <w:pPr>
      <w:ind w:leftChars="0"/>
    </w:pPr>
    <w:rPr>
      <w:rFonts w:ascii="Times New Roman" w:hAnsi="Times New Roman" w:eastAsia="宋体" w:cs="Times New Roman"/>
      <w:sz w:val="20"/>
      <w:szCs w:val="20"/>
    </w:rPr>
  </w:style>
  <w:style w:type="paragraph" w:customStyle="1" w:styleId="233">
    <w:name w:val="WPSOffice手动目录 2"/>
    <w:autoRedefine/>
    <w:qFormat/>
    <w:uiPriority w:val="0"/>
    <w:pPr>
      <w:ind w:leftChars="200"/>
    </w:pPr>
    <w:rPr>
      <w:rFonts w:ascii="Times New Roman" w:hAnsi="Times New Roman" w:eastAsia="宋体" w:cs="Times New Roman"/>
      <w:sz w:val="20"/>
      <w:szCs w:val="20"/>
    </w:rPr>
  </w:style>
  <w:style w:type="paragraph" w:customStyle="1" w:styleId="234">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3176</Words>
  <Characters>18109</Characters>
  <Lines>150</Lines>
  <Paragraphs>42</Paragraphs>
  <TotalTime>7</TotalTime>
  <ScaleCrop>false</ScaleCrop>
  <LinksUpToDate>false</LinksUpToDate>
  <CharactersWithSpaces>21243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2021-06-08T01:10:00Z</dcterms:created>
  <dc:creator>admin</dc:creator>
  <cp:lastModifiedBy>易德勇</cp:lastModifiedBy>
  <cp:lastPrinted>2023-09-11T06:08:00Z</cp:lastPrinted>
  <dcterms:modified xsi:type="dcterms:W3CDTF">2024-01-29T07:45:29Z</dcterms:modified>
  <dc:title>货物</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AB623A94E5634B3CA119893B8404837B_13</vt:lpwstr>
  </property>
</Properties>
</file>