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D85305">
      <w:pPr>
        <w:pStyle w:val="27"/>
        <w:numPr>
          <w:ilvl w:val="0"/>
          <w:numId w:val="0"/>
        </w:numPr>
        <w:ind w:left="420"/>
        <w:rPr>
          <w:color w:val="auto"/>
          <w:highlight w:val="none"/>
        </w:rPr>
      </w:pPr>
      <w:bookmarkStart w:id="493" w:name="_GoBack"/>
      <w:bookmarkEnd w:id="493"/>
    </w:p>
    <w:p w14:paraId="7EF5D1E3">
      <w:pPr>
        <w:pStyle w:val="27"/>
        <w:numPr>
          <w:ilvl w:val="0"/>
          <w:numId w:val="0"/>
        </w:numPr>
        <w:ind w:left="420"/>
        <w:rPr>
          <w:color w:val="auto"/>
          <w:highlight w:val="none"/>
        </w:rPr>
      </w:pPr>
    </w:p>
    <w:p w14:paraId="3781E0F5">
      <w:pPr>
        <w:ind w:left="0" w:leftChars="0" w:firstLine="1120" w:firstLineChars="0"/>
        <w:jc w:val="center"/>
        <w:outlineLvl w:val="0"/>
        <w:rPr>
          <w:rFonts w:hint="default" w:ascii="方正小标宋_GBK" w:hAnsi="微软雅黑" w:eastAsia="方正小标宋_GBK" w:cs="微软雅黑"/>
          <w:color w:val="auto"/>
          <w:spacing w:val="80"/>
          <w:sz w:val="96"/>
          <w:szCs w:val="96"/>
          <w:highlight w:val="none"/>
          <w:lang w:val="en-US" w:eastAsia="zh-CN"/>
        </w:rPr>
      </w:pPr>
      <w:r>
        <w:rPr>
          <w:rFonts w:hint="eastAsia" w:ascii="方正小标宋_GBK" w:hAnsi="微软雅黑" w:eastAsia="方正小标宋_GBK" w:cs="微软雅黑"/>
          <w:color w:val="auto"/>
          <w:spacing w:val="80"/>
          <w:sz w:val="96"/>
          <w:szCs w:val="96"/>
          <w:highlight w:val="none"/>
          <w:lang w:val="en-US" w:eastAsia="zh-CN"/>
        </w:rPr>
        <w:t>比选文件</w:t>
      </w:r>
    </w:p>
    <w:p w14:paraId="0C9FFBA3">
      <w:pPr>
        <w:spacing w:line="700" w:lineRule="exact"/>
        <w:ind w:firstLine="640"/>
        <w:jc w:val="center"/>
        <w:rPr>
          <w:rFonts w:hint="eastAsia" w:ascii="微软雅黑" w:hAnsi="微软雅黑" w:eastAsia="微软雅黑" w:cs="微软雅黑"/>
          <w:color w:val="auto"/>
          <w:sz w:val="32"/>
          <w:highlight w:val="none"/>
        </w:rPr>
      </w:pPr>
    </w:p>
    <w:p w14:paraId="70854D84">
      <w:pPr>
        <w:spacing w:line="700" w:lineRule="exact"/>
        <w:ind w:firstLine="640"/>
        <w:jc w:val="center"/>
        <w:rPr>
          <w:rFonts w:hint="eastAsia" w:ascii="微软雅黑" w:hAnsi="微软雅黑" w:eastAsia="微软雅黑" w:cs="微软雅黑"/>
          <w:color w:val="auto"/>
          <w:sz w:val="32"/>
          <w:highlight w:val="none"/>
        </w:rPr>
      </w:pPr>
    </w:p>
    <w:p w14:paraId="44FBAEB9">
      <w:pPr>
        <w:pStyle w:val="2"/>
        <w:ind w:firstLine="640"/>
        <w:rPr>
          <w:color w:val="auto"/>
          <w:highlight w:val="none"/>
        </w:rPr>
      </w:pPr>
    </w:p>
    <w:p w14:paraId="066ACD19">
      <w:pPr>
        <w:pStyle w:val="16"/>
        <w:ind w:firstLine="480"/>
        <w:jc w:val="center"/>
        <w:rPr>
          <w:color w:val="auto"/>
          <w:highlight w:val="none"/>
        </w:rPr>
      </w:pPr>
    </w:p>
    <w:p w14:paraId="289D4C80">
      <w:pPr>
        <w:spacing w:line="700" w:lineRule="exact"/>
        <w:ind w:left="2537" w:leftChars="0" w:hanging="2537" w:hangingChars="702"/>
        <w:jc w:val="both"/>
        <w:rPr>
          <w:rFonts w:hint="eastAsia" w:ascii="宋体" w:hAnsi="宋体" w:eastAsia="宋体" w:cs="宋体"/>
          <w:b/>
          <w:bCs/>
          <w:color w:val="auto"/>
          <w:kern w:val="0"/>
          <w:sz w:val="36"/>
          <w:szCs w:val="36"/>
          <w:highlight w:val="none"/>
          <w:lang w:eastAsia="zh-CN"/>
        </w:rPr>
      </w:pPr>
      <w:r>
        <w:rPr>
          <w:rFonts w:hint="eastAsia" w:ascii="宋体" w:hAnsi="宋体" w:cs="宋体"/>
          <w:b/>
          <w:bCs/>
          <w:color w:val="auto"/>
          <w:kern w:val="0"/>
          <w:sz w:val="36"/>
          <w:szCs w:val="36"/>
          <w:highlight w:val="none"/>
        </w:rPr>
        <w:t>项目名称：</w:t>
      </w:r>
      <w:r>
        <w:rPr>
          <w:rFonts w:hint="eastAsia" w:ascii="宋体" w:hAnsi="宋体" w:cs="宋体"/>
          <w:b/>
          <w:bCs/>
          <w:color w:val="auto"/>
          <w:kern w:val="0"/>
          <w:sz w:val="36"/>
          <w:szCs w:val="36"/>
          <w:highlight w:val="none"/>
          <w:lang w:val="en-US" w:eastAsia="zh-CN"/>
        </w:rPr>
        <w:t>正升</w:t>
      </w:r>
      <w:r>
        <w:rPr>
          <w:rFonts w:hint="eastAsia" w:ascii="微软雅黑" w:hAnsi="微软雅黑" w:eastAsia="微软雅黑" w:cs="微软雅黑"/>
          <w:b/>
          <w:bCs/>
          <w:color w:val="auto"/>
          <w:kern w:val="0"/>
          <w:sz w:val="36"/>
          <w:szCs w:val="36"/>
          <w:highlight w:val="none"/>
          <w:lang w:val="en-US" w:eastAsia="zh-CN"/>
        </w:rPr>
        <w:t>·</w:t>
      </w:r>
      <w:r>
        <w:rPr>
          <w:rFonts w:hint="eastAsia" w:ascii="宋体" w:hAnsi="宋体" w:cs="宋体"/>
          <w:b/>
          <w:bCs/>
          <w:color w:val="auto"/>
          <w:kern w:val="0"/>
          <w:sz w:val="36"/>
          <w:szCs w:val="36"/>
          <w:highlight w:val="none"/>
          <w:lang w:val="en-US" w:eastAsia="zh-CN"/>
        </w:rPr>
        <w:t>百老汇住宅1单元3台</w:t>
      </w:r>
      <w:r>
        <w:rPr>
          <w:rFonts w:hint="eastAsia" w:ascii="宋体" w:hAnsi="宋体" w:eastAsia="宋体" w:cs="宋体"/>
          <w:b/>
          <w:bCs/>
          <w:color w:val="auto"/>
          <w:kern w:val="0"/>
          <w:sz w:val="36"/>
          <w:szCs w:val="36"/>
          <w:highlight w:val="none"/>
          <w:lang w:val="en-US" w:eastAsia="zh-CN"/>
        </w:rPr>
        <w:t>电梯更新工程</w:t>
      </w:r>
    </w:p>
    <w:p w14:paraId="34E89964">
      <w:pPr>
        <w:spacing w:line="700" w:lineRule="exact"/>
        <w:ind w:left="832" w:leftChars="297" w:firstLine="1800" w:firstLineChars="500"/>
        <w:jc w:val="both"/>
        <w:rPr>
          <w:rFonts w:hint="eastAsia" w:ascii="微软雅黑" w:hAnsi="微软雅黑" w:eastAsia="宋体" w:cs="微软雅黑"/>
          <w:color w:val="auto"/>
          <w:sz w:val="36"/>
          <w:szCs w:val="30"/>
          <w:highlight w:val="none"/>
          <w:lang w:eastAsia="zh-CN"/>
        </w:rPr>
      </w:pPr>
    </w:p>
    <w:p w14:paraId="5A5173C8">
      <w:pPr>
        <w:pStyle w:val="16"/>
        <w:ind w:firstLine="480"/>
        <w:rPr>
          <w:rFonts w:hint="eastAsia" w:ascii="微软雅黑" w:hAnsi="微软雅黑" w:eastAsia="微软雅黑" w:cs="微软雅黑"/>
          <w:color w:val="auto"/>
          <w:highlight w:val="none"/>
        </w:rPr>
      </w:pPr>
    </w:p>
    <w:p w14:paraId="01D3B36D">
      <w:pPr>
        <w:rPr>
          <w:rFonts w:hint="eastAsia" w:ascii="微软雅黑" w:hAnsi="微软雅黑" w:eastAsia="微软雅黑" w:cs="微软雅黑"/>
          <w:color w:val="auto"/>
          <w:highlight w:val="none"/>
        </w:rPr>
      </w:pPr>
    </w:p>
    <w:p w14:paraId="31970210">
      <w:pPr>
        <w:pStyle w:val="27"/>
        <w:numPr>
          <w:ilvl w:val="0"/>
          <w:numId w:val="0"/>
        </w:numPr>
        <w:ind w:left="420"/>
        <w:rPr>
          <w:rFonts w:hint="eastAsia" w:ascii="微软雅黑" w:hAnsi="微软雅黑" w:eastAsia="微软雅黑" w:cs="微软雅黑"/>
          <w:color w:val="auto"/>
          <w:highlight w:val="none"/>
        </w:rPr>
      </w:pPr>
    </w:p>
    <w:p w14:paraId="0936F2C4">
      <w:pPr>
        <w:pStyle w:val="27"/>
        <w:numPr>
          <w:ilvl w:val="0"/>
          <w:numId w:val="0"/>
        </w:numPr>
        <w:ind w:left="420"/>
        <w:rPr>
          <w:rFonts w:hint="eastAsia" w:ascii="微软雅黑" w:hAnsi="微软雅黑" w:eastAsia="微软雅黑" w:cs="微软雅黑"/>
          <w:color w:val="auto"/>
          <w:highlight w:val="none"/>
        </w:rPr>
      </w:pPr>
    </w:p>
    <w:p w14:paraId="1C0BF03E">
      <w:pPr>
        <w:pStyle w:val="16"/>
        <w:ind w:firstLine="480"/>
        <w:rPr>
          <w:rFonts w:hint="eastAsia" w:ascii="微软雅黑" w:hAnsi="微软雅黑" w:eastAsia="微软雅黑" w:cs="微软雅黑"/>
          <w:color w:val="auto"/>
          <w:highlight w:val="none"/>
        </w:rPr>
      </w:pPr>
    </w:p>
    <w:p w14:paraId="4B95F8C9">
      <w:pPr>
        <w:ind w:firstLine="1120" w:firstLineChars="400"/>
        <w:jc w:val="left"/>
        <w:rPr>
          <w:rFonts w:hint="eastAsia" w:ascii="微软雅黑" w:hAnsi="微软雅黑" w:eastAsia="微软雅黑" w:cs="微软雅黑"/>
          <w:color w:val="auto"/>
          <w:szCs w:val="28"/>
          <w:highlight w:val="none"/>
        </w:rPr>
      </w:pPr>
      <w:r>
        <w:rPr>
          <w:rFonts w:hint="eastAsia" w:ascii="微软雅黑" w:hAnsi="微软雅黑" w:eastAsia="微软雅黑" w:cs="微软雅黑"/>
          <w:color w:val="auto"/>
          <w:szCs w:val="28"/>
          <w:highlight w:val="none"/>
          <w:lang w:val="en-US" w:eastAsia="zh-CN"/>
        </w:rPr>
        <w:t xml:space="preserve">招   标  </w:t>
      </w:r>
      <w:r>
        <w:rPr>
          <w:rFonts w:hint="eastAsia" w:ascii="微软雅黑" w:hAnsi="微软雅黑" w:eastAsia="微软雅黑" w:cs="微软雅黑"/>
          <w:color w:val="auto"/>
          <w:szCs w:val="28"/>
          <w:highlight w:val="none"/>
        </w:rPr>
        <w:t>人：</w:t>
      </w:r>
      <w:r>
        <w:rPr>
          <w:rFonts w:hint="eastAsia" w:ascii="微软雅黑" w:hAnsi="微软雅黑" w:eastAsia="微软雅黑" w:cs="微软雅黑"/>
          <w:color w:val="auto"/>
          <w:szCs w:val="28"/>
          <w:highlight w:val="none"/>
          <w:lang w:val="en-US" w:eastAsia="zh-CN"/>
        </w:rPr>
        <w:t>新大正物业集团股份有限公司</w:t>
      </w:r>
    </w:p>
    <w:p w14:paraId="493BF380">
      <w:pPr>
        <w:spacing w:line="700" w:lineRule="exact"/>
        <w:ind w:firstLine="640"/>
        <w:jc w:val="center"/>
        <w:rPr>
          <w:rFonts w:hint="eastAsia" w:ascii="方正黑体_GBK" w:hAnsi="微软雅黑" w:eastAsia="方正黑体_GBK" w:cs="微软雅黑"/>
          <w:color w:val="auto"/>
          <w:sz w:val="32"/>
          <w:szCs w:val="28"/>
          <w:highlight w:val="none"/>
        </w:rPr>
      </w:pPr>
      <w:r>
        <w:rPr>
          <w:rFonts w:hint="eastAsia" w:ascii="方正黑体_GBK" w:hAnsi="微软雅黑" w:eastAsia="方正黑体_GBK" w:cs="微软雅黑"/>
          <w:color w:val="auto"/>
          <w:sz w:val="32"/>
          <w:szCs w:val="28"/>
          <w:highlight w:val="none"/>
        </w:rPr>
        <w:t>二〇二</w:t>
      </w:r>
      <w:r>
        <w:rPr>
          <w:rFonts w:hint="eastAsia" w:ascii="方正黑体_GBK" w:hAnsi="微软雅黑" w:eastAsia="方正黑体_GBK" w:cs="微软雅黑"/>
          <w:color w:val="auto"/>
          <w:sz w:val="32"/>
          <w:szCs w:val="28"/>
          <w:highlight w:val="none"/>
          <w:lang w:val="en-US" w:eastAsia="zh-CN"/>
        </w:rPr>
        <w:t>六</w:t>
      </w:r>
      <w:r>
        <w:rPr>
          <w:rFonts w:hint="eastAsia" w:ascii="方正黑体_GBK" w:hAnsi="微软雅黑" w:eastAsia="方正黑体_GBK" w:cs="微软雅黑"/>
          <w:color w:val="auto"/>
          <w:sz w:val="32"/>
          <w:szCs w:val="28"/>
          <w:highlight w:val="none"/>
        </w:rPr>
        <w:t>年</w:t>
      </w:r>
      <w:r>
        <w:rPr>
          <w:rFonts w:hint="eastAsia" w:ascii="方正黑体_GBK" w:hAnsi="微软雅黑" w:eastAsia="方正黑体_GBK" w:cs="微软雅黑"/>
          <w:color w:val="auto"/>
          <w:sz w:val="32"/>
          <w:szCs w:val="28"/>
          <w:highlight w:val="none"/>
          <w:lang w:val="en-US" w:eastAsia="zh-CN"/>
        </w:rPr>
        <w:t>四</w:t>
      </w:r>
      <w:r>
        <w:rPr>
          <w:rFonts w:hint="eastAsia" w:ascii="方正黑体_GBK" w:hAnsi="微软雅黑" w:eastAsia="方正黑体_GBK" w:cs="微软雅黑"/>
          <w:color w:val="auto"/>
          <w:sz w:val="32"/>
          <w:szCs w:val="28"/>
          <w:highlight w:val="none"/>
        </w:rPr>
        <w:t>月</w:t>
      </w:r>
    </w:p>
    <w:p w14:paraId="1BF947A0">
      <w:pPr>
        <w:widowControl/>
        <w:ind w:firstLine="880"/>
        <w:jc w:val="center"/>
        <w:rPr>
          <w:rFonts w:hint="eastAsia" w:ascii="微软雅黑" w:hAnsi="微软雅黑" w:eastAsia="微软雅黑" w:cs="微软雅黑"/>
          <w:color w:val="auto"/>
          <w:sz w:val="44"/>
          <w:szCs w:val="28"/>
          <w:highlight w:val="none"/>
        </w:rPr>
        <w:sectPr>
          <w:headerReference r:id="rId3" w:type="default"/>
          <w:pgSz w:w="11906" w:h="16838"/>
          <w:pgMar w:top="1440" w:right="1803" w:bottom="1440" w:left="1803" w:header="851" w:footer="992" w:gutter="0"/>
          <w:cols w:space="0" w:num="1"/>
          <w:docGrid w:type="lines" w:linePitch="319" w:charSpace="0"/>
        </w:sectPr>
      </w:pPr>
    </w:p>
    <w:sdt>
      <w:sdtPr>
        <w:rPr>
          <w:rFonts w:ascii="宋体" w:hAnsi="宋体"/>
          <w:b/>
          <w:bCs/>
          <w:color w:val="auto"/>
          <w:sz w:val="32"/>
          <w:szCs w:val="28"/>
          <w:highlight w:val="none"/>
        </w:rPr>
        <w:id w:val="147468279"/>
        <w15:color w:val="DBDBDB"/>
        <w:docPartObj>
          <w:docPartGallery w:val="Table of Contents"/>
          <w:docPartUnique/>
        </w:docPartObj>
      </w:sdtPr>
      <w:sdtEndPr>
        <w:rPr>
          <w:rFonts w:hint="eastAsia" w:ascii="微软雅黑" w:hAnsi="微软雅黑" w:eastAsia="微软雅黑" w:cs="微软雅黑"/>
          <w:b/>
          <w:bCs/>
          <w:color w:val="auto"/>
          <w:sz w:val="24"/>
          <w:szCs w:val="24"/>
          <w:highlight w:val="none"/>
        </w:rPr>
      </w:sdtEndPr>
      <w:sdtContent>
        <w:p w14:paraId="453D7B99">
          <w:pPr>
            <w:ind w:firstLine="640"/>
            <w:jc w:val="center"/>
            <w:rPr>
              <w:b/>
              <w:bCs/>
              <w:color w:val="auto"/>
              <w:sz w:val="44"/>
              <w:szCs w:val="28"/>
              <w:highlight w:val="none"/>
            </w:rPr>
          </w:pPr>
          <w:bookmarkStart w:id="0" w:name="_Toc11641050"/>
          <w:bookmarkStart w:id="1" w:name="_Toc12789052"/>
          <w:r>
            <w:rPr>
              <w:rFonts w:ascii="宋体" w:hAnsi="宋体"/>
              <w:b/>
              <w:bCs/>
              <w:color w:val="auto"/>
              <w:sz w:val="32"/>
              <w:szCs w:val="28"/>
              <w:highlight w:val="none"/>
            </w:rPr>
            <w:t>目录</w:t>
          </w:r>
        </w:p>
        <w:p w14:paraId="034EDDD9">
          <w:pPr>
            <w:pStyle w:val="38"/>
            <w:tabs>
              <w:tab w:val="right" w:leader="dot" w:pos="9412"/>
            </w:tabs>
            <w:rPr>
              <w:color w:val="auto"/>
              <w:highlight w:val="none"/>
            </w:rPr>
          </w:pP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TOC \o "1-6" \h \u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_Toc17379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30"/>
              <w:highlight w:val="none"/>
            </w:rPr>
            <w:t xml:space="preserve">第一篇  </w:t>
          </w:r>
          <w:r>
            <w:rPr>
              <w:rFonts w:hint="eastAsia" w:ascii="微软雅黑" w:hAnsi="微软雅黑" w:eastAsia="微软雅黑" w:cs="微软雅黑"/>
              <w:color w:val="auto"/>
              <w:szCs w:val="30"/>
              <w:highlight w:val="none"/>
              <w:lang w:val="en-US" w:eastAsia="zh-CN"/>
            </w:rPr>
            <w:t>招标</w:t>
          </w:r>
          <w:r>
            <w:rPr>
              <w:rFonts w:hint="eastAsia" w:ascii="微软雅黑" w:hAnsi="微软雅黑" w:eastAsia="微软雅黑" w:cs="微软雅黑"/>
              <w:color w:val="auto"/>
              <w:szCs w:val="30"/>
              <w:highlight w:val="none"/>
            </w:rPr>
            <w:t>公告</w:t>
          </w:r>
          <w:r>
            <w:rPr>
              <w:color w:val="auto"/>
              <w:highlight w:val="none"/>
            </w:rPr>
            <w:tab/>
          </w:r>
          <w:r>
            <w:rPr>
              <w:color w:val="auto"/>
              <w:highlight w:val="none"/>
            </w:rPr>
            <w:fldChar w:fldCharType="begin"/>
          </w:r>
          <w:r>
            <w:rPr>
              <w:color w:val="auto"/>
              <w:highlight w:val="none"/>
            </w:rPr>
            <w:instrText xml:space="preserve"> PAGEREF _Toc17379 \h </w:instrText>
          </w:r>
          <w:r>
            <w:rPr>
              <w:color w:val="auto"/>
              <w:highlight w:val="none"/>
            </w:rPr>
            <w:fldChar w:fldCharType="separate"/>
          </w:r>
          <w:r>
            <w:rPr>
              <w:b/>
              <w:color w:val="auto"/>
              <w:highlight w:val="none"/>
            </w:rPr>
            <w:t>错误！未定义书签。</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6A7C344A">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_Toc2597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30"/>
              <w:highlight w:val="none"/>
            </w:rPr>
            <w:t xml:space="preserve">第二篇  </w:t>
          </w:r>
          <w:r>
            <w:rPr>
              <w:rFonts w:ascii="微软雅黑" w:hAnsi="微软雅黑" w:eastAsia="微软雅黑" w:cs="微软雅黑"/>
              <w:bCs/>
              <w:color w:val="auto"/>
              <w:szCs w:val="30"/>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_Toc2597 \h </w:instrText>
          </w:r>
          <w:r>
            <w:rPr>
              <w:color w:val="auto"/>
              <w:highlight w:val="none"/>
            </w:rPr>
            <w:fldChar w:fldCharType="separate"/>
          </w:r>
          <w:r>
            <w:rPr>
              <w:color w:val="auto"/>
              <w:highlight w:val="none"/>
            </w:rPr>
            <w:t>- 7 -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C31F950">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_Toc32751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24"/>
              <w:highlight w:val="none"/>
            </w:rPr>
            <w:t>一、电梯总体技术要求</w:t>
          </w:r>
          <w:r>
            <w:rPr>
              <w:color w:val="auto"/>
              <w:highlight w:val="none"/>
            </w:rPr>
            <w:tab/>
          </w:r>
          <w:r>
            <w:rPr>
              <w:color w:val="auto"/>
              <w:highlight w:val="none"/>
            </w:rPr>
            <w:fldChar w:fldCharType="begin"/>
          </w:r>
          <w:r>
            <w:rPr>
              <w:color w:val="auto"/>
              <w:highlight w:val="none"/>
            </w:rPr>
            <w:instrText xml:space="preserve"> PAGEREF _Toc32751 \h </w:instrText>
          </w:r>
          <w:r>
            <w:rPr>
              <w:color w:val="auto"/>
              <w:highlight w:val="none"/>
            </w:rPr>
            <w:fldChar w:fldCharType="separate"/>
          </w:r>
          <w:r>
            <w:rPr>
              <w:color w:val="auto"/>
              <w:highlight w:val="none"/>
            </w:rPr>
            <w:t>- 7 -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01DC218">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_Toc11280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24"/>
              <w:highlight w:val="none"/>
            </w:rPr>
            <w:t>二、电梯主要技术参数和配置要求</w:t>
          </w:r>
          <w:r>
            <w:rPr>
              <w:color w:val="auto"/>
              <w:highlight w:val="none"/>
            </w:rPr>
            <w:tab/>
          </w:r>
          <w:r>
            <w:rPr>
              <w:color w:val="auto"/>
              <w:highlight w:val="none"/>
            </w:rPr>
            <w:fldChar w:fldCharType="begin"/>
          </w:r>
          <w:r>
            <w:rPr>
              <w:color w:val="auto"/>
              <w:highlight w:val="none"/>
            </w:rPr>
            <w:instrText xml:space="preserve"> PAGEREF _Toc11280 \h </w:instrText>
          </w:r>
          <w:r>
            <w:rPr>
              <w:color w:val="auto"/>
              <w:highlight w:val="none"/>
            </w:rPr>
            <w:fldChar w:fldCharType="separate"/>
          </w:r>
          <w:r>
            <w:rPr>
              <w:color w:val="auto"/>
              <w:highlight w:val="none"/>
            </w:rPr>
            <w:t>- 7 -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C0DDFB9">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_Toc2462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24"/>
              <w:highlight w:val="none"/>
            </w:rPr>
            <w:t>三、电梯功能要求</w:t>
          </w:r>
          <w:r>
            <w:rPr>
              <w:color w:val="auto"/>
              <w:highlight w:val="none"/>
            </w:rPr>
            <w:tab/>
          </w:r>
          <w:r>
            <w:rPr>
              <w:color w:val="auto"/>
              <w:highlight w:val="none"/>
            </w:rPr>
            <w:fldChar w:fldCharType="begin"/>
          </w:r>
          <w:r>
            <w:rPr>
              <w:color w:val="auto"/>
              <w:highlight w:val="none"/>
            </w:rPr>
            <w:instrText xml:space="preserve"> PAGEREF _Toc2462 \h </w:instrText>
          </w:r>
          <w:r>
            <w:rPr>
              <w:color w:val="auto"/>
              <w:highlight w:val="none"/>
            </w:rPr>
            <w:fldChar w:fldCharType="separate"/>
          </w:r>
          <w:r>
            <w:rPr>
              <w:b/>
              <w:color w:val="auto"/>
              <w:highlight w:val="none"/>
            </w:rPr>
            <w:t>错误！未定义书签。</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4813465B">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_Toc27604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四、施工环境要求</w:t>
          </w:r>
          <w:r>
            <w:rPr>
              <w:color w:val="auto"/>
              <w:highlight w:val="none"/>
            </w:rPr>
            <w:tab/>
          </w:r>
          <w:r>
            <w:rPr>
              <w:color w:val="auto"/>
              <w:highlight w:val="none"/>
            </w:rPr>
            <w:fldChar w:fldCharType="begin"/>
          </w:r>
          <w:r>
            <w:rPr>
              <w:color w:val="auto"/>
              <w:highlight w:val="none"/>
            </w:rPr>
            <w:instrText xml:space="preserve"> PAGEREF _Toc27604 \h </w:instrText>
          </w:r>
          <w:r>
            <w:rPr>
              <w:color w:val="auto"/>
              <w:highlight w:val="none"/>
            </w:rPr>
            <w:fldChar w:fldCharType="separate"/>
          </w:r>
          <w:r>
            <w:rPr>
              <w:color w:val="auto"/>
              <w:highlight w:val="none"/>
            </w:rPr>
            <w:t>- 11 -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7546052D">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_Toc20745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五、项目管理人员配备要求（项目管理人员之间不得相互兼任）</w:t>
          </w:r>
          <w:r>
            <w:rPr>
              <w:color w:val="auto"/>
              <w:highlight w:val="none"/>
            </w:rPr>
            <w:tab/>
          </w:r>
          <w:r>
            <w:rPr>
              <w:color w:val="auto"/>
              <w:highlight w:val="none"/>
            </w:rPr>
            <w:fldChar w:fldCharType="begin"/>
          </w:r>
          <w:r>
            <w:rPr>
              <w:color w:val="auto"/>
              <w:highlight w:val="none"/>
            </w:rPr>
            <w:instrText xml:space="preserve"> PAGEREF _Toc20745 \h </w:instrText>
          </w:r>
          <w:r>
            <w:rPr>
              <w:color w:val="auto"/>
              <w:highlight w:val="none"/>
            </w:rPr>
            <w:fldChar w:fldCharType="separate"/>
          </w:r>
          <w:r>
            <w:rPr>
              <w:color w:val="auto"/>
              <w:highlight w:val="none"/>
            </w:rPr>
            <w:t>- 11 -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60F23174">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_Toc17227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bCs/>
              <w:color w:val="auto"/>
              <w:szCs w:val="30"/>
              <w:highlight w:val="none"/>
            </w:rPr>
            <w:t>第三篇  项目商务需求</w:t>
          </w:r>
          <w:r>
            <w:rPr>
              <w:color w:val="auto"/>
              <w:highlight w:val="none"/>
            </w:rPr>
            <w:tab/>
          </w:r>
          <w:r>
            <w:rPr>
              <w:color w:val="auto"/>
              <w:highlight w:val="none"/>
            </w:rPr>
            <w:fldChar w:fldCharType="begin"/>
          </w:r>
          <w:r>
            <w:rPr>
              <w:color w:val="auto"/>
              <w:highlight w:val="none"/>
            </w:rPr>
            <w:instrText xml:space="preserve"> PAGEREF _Toc17227 \h </w:instrText>
          </w:r>
          <w:r>
            <w:rPr>
              <w:color w:val="auto"/>
              <w:highlight w:val="none"/>
            </w:rPr>
            <w:fldChar w:fldCharType="separate"/>
          </w:r>
          <w:r>
            <w:rPr>
              <w:color w:val="auto"/>
              <w:highlight w:val="none"/>
            </w:rPr>
            <w:t>- 12 -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2BC7DF36">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_Toc31885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一、实施工期、地点</w:t>
          </w:r>
          <w:r>
            <w:rPr>
              <w:color w:val="auto"/>
              <w:highlight w:val="none"/>
            </w:rPr>
            <w:tab/>
          </w:r>
          <w:r>
            <w:rPr>
              <w:color w:val="auto"/>
              <w:highlight w:val="none"/>
            </w:rPr>
            <w:fldChar w:fldCharType="begin"/>
          </w:r>
          <w:r>
            <w:rPr>
              <w:color w:val="auto"/>
              <w:highlight w:val="none"/>
            </w:rPr>
            <w:instrText xml:space="preserve"> PAGEREF _Toc31885 \h </w:instrText>
          </w:r>
          <w:r>
            <w:rPr>
              <w:color w:val="auto"/>
              <w:highlight w:val="none"/>
            </w:rPr>
            <w:fldChar w:fldCharType="separate"/>
          </w:r>
          <w:r>
            <w:rPr>
              <w:color w:val="auto"/>
              <w:highlight w:val="none"/>
            </w:rPr>
            <w:t>- 12 -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632E321E">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_Toc16228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二、报价要求</w:t>
          </w:r>
          <w:r>
            <w:rPr>
              <w:color w:val="auto"/>
              <w:highlight w:val="none"/>
            </w:rPr>
            <w:tab/>
          </w:r>
          <w:r>
            <w:rPr>
              <w:color w:val="auto"/>
              <w:highlight w:val="none"/>
            </w:rPr>
            <w:fldChar w:fldCharType="begin"/>
          </w:r>
          <w:r>
            <w:rPr>
              <w:color w:val="auto"/>
              <w:highlight w:val="none"/>
            </w:rPr>
            <w:instrText xml:space="preserve"> PAGEREF _Toc16228 \h </w:instrText>
          </w:r>
          <w:r>
            <w:rPr>
              <w:color w:val="auto"/>
              <w:highlight w:val="none"/>
            </w:rPr>
            <w:fldChar w:fldCharType="separate"/>
          </w:r>
          <w:r>
            <w:rPr>
              <w:color w:val="auto"/>
              <w:highlight w:val="none"/>
            </w:rPr>
            <w:t>- 12 -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7841CB98">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_Toc12397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三、付款方式</w:t>
          </w:r>
          <w:r>
            <w:rPr>
              <w:color w:val="auto"/>
              <w:highlight w:val="none"/>
            </w:rPr>
            <w:tab/>
          </w:r>
          <w:r>
            <w:rPr>
              <w:color w:val="auto"/>
              <w:highlight w:val="none"/>
            </w:rPr>
            <w:fldChar w:fldCharType="begin"/>
          </w:r>
          <w:r>
            <w:rPr>
              <w:color w:val="auto"/>
              <w:highlight w:val="none"/>
            </w:rPr>
            <w:instrText xml:space="preserve"> PAGEREF _Toc12397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73F02E4">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_Toc4980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四、知识产权</w:t>
          </w:r>
          <w:r>
            <w:rPr>
              <w:color w:val="auto"/>
              <w:highlight w:val="none"/>
            </w:rPr>
            <w:tab/>
          </w:r>
          <w:r>
            <w:rPr>
              <w:color w:val="auto"/>
              <w:highlight w:val="none"/>
            </w:rPr>
            <w:fldChar w:fldCharType="begin"/>
          </w:r>
          <w:r>
            <w:rPr>
              <w:color w:val="auto"/>
              <w:highlight w:val="none"/>
            </w:rPr>
            <w:instrText xml:space="preserve"> PAGEREF _Toc4980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1EB44ED0">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_Toc12608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五</w:t>
          </w:r>
          <w:r>
            <w:rPr>
              <w:rFonts w:hint="eastAsia" w:ascii="微软雅黑" w:hAnsi="微软雅黑" w:eastAsia="微软雅黑" w:cs="微软雅黑"/>
              <w:color w:val="auto"/>
              <w:szCs w:val="24"/>
              <w:highlight w:val="none"/>
            </w:rPr>
            <w:t>、售后服务规范</w:t>
          </w:r>
          <w:r>
            <w:rPr>
              <w:color w:val="auto"/>
              <w:highlight w:val="none"/>
            </w:rPr>
            <w:tab/>
          </w:r>
          <w:r>
            <w:rPr>
              <w:color w:val="auto"/>
              <w:highlight w:val="none"/>
            </w:rPr>
            <w:fldChar w:fldCharType="begin"/>
          </w:r>
          <w:r>
            <w:rPr>
              <w:color w:val="auto"/>
              <w:highlight w:val="none"/>
            </w:rPr>
            <w:instrText xml:space="preserve"> PAGEREF _Toc12608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49EC14B4">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_Toc18397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lang w:eastAsia="zh-CN"/>
            </w:rPr>
            <w:t>六</w:t>
          </w:r>
          <w:r>
            <w:rPr>
              <w:rFonts w:hint="eastAsia" w:ascii="微软雅黑" w:hAnsi="微软雅黑" w:eastAsia="微软雅黑" w:cs="微软雅黑"/>
              <w:color w:val="auto"/>
              <w:szCs w:val="24"/>
              <w:highlight w:val="none"/>
            </w:rPr>
            <w:t>、其他</w:t>
          </w:r>
          <w:r>
            <w:rPr>
              <w:color w:val="auto"/>
              <w:highlight w:val="none"/>
            </w:rPr>
            <w:tab/>
          </w:r>
          <w:r>
            <w:rPr>
              <w:color w:val="auto"/>
              <w:highlight w:val="none"/>
            </w:rPr>
            <w:fldChar w:fldCharType="begin"/>
          </w:r>
          <w:r>
            <w:rPr>
              <w:color w:val="auto"/>
              <w:highlight w:val="none"/>
            </w:rPr>
            <w:instrText xml:space="preserve"> PAGEREF _Toc18397 \h </w:instrText>
          </w:r>
          <w:r>
            <w:rPr>
              <w:color w:val="auto"/>
              <w:highlight w:val="none"/>
            </w:rPr>
            <w:fldChar w:fldCharType="separate"/>
          </w:r>
          <w:r>
            <w:rPr>
              <w:color w:val="auto"/>
              <w:highlight w:val="none"/>
            </w:rPr>
            <w:t>- 13 -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1A069410">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_Toc21229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highlight w:val="none"/>
            </w:rPr>
            <w:t xml:space="preserve">第四篇  </w:t>
          </w:r>
          <w:r>
            <w:rPr>
              <w:rFonts w:hint="eastAsia" w:ascii="微软雅黑" w:hAnsi="微软雅黑" w:eastAsia="微软雅黑" w:cs="微软雅黑"/>
              <w:color w:val="auto"/>
              <w:highlight w:val="none"/>
              <w:lang w:eastAsia="zh-CN"/>
            </w:rPr>
            <w:t>招标</w:t>
          </w:r>
          <w:r>
            <w:rPr>
              <w:rFonts w:hint="eastAsia" w:ascii="微软雅黑" w:hAnsi="微软雅黑" w:eastAsia="微软雅黑" w:cs="微软雅黑"/>
              <w:color w:val="auto"/>
              <w:highlight w:val="none"/>
            </w:rPr>
            <w:t>程序及方法、评审标准、无效响应和采购终止</w:t>
          </w:r>
          <w:r>
            <w:rPr>
              <w:color w:val="auto"/>
              <w:highlight w:val="none"/>
            </w:rPr>
            <w:tab/>
          </w:r>
          <w:r>
            <w:rPr>
              <w:color w:val="auto"/>
              <w:highlight w:val="none"/>
            </w:rPr>
            <w:fldChar w:fldCharType="begin"/>
          </w:r>
          <w:r>
            <w:rPr>
              <w:color w:val="auto"/>
              <w:highlight w:val="none"/>
            </w:rPr>
            <w:instrText xml:space="preserve"> PAGEREF _Toc21229 \h </w:instrText>
          </w:r>
          <w:r>
            <w:rPr>
              <w:color w:val="auto"/>
              <w:highlight w:val="none"/>
            </w:rPr>
            <w:fldChar w:fldCharType="separate"/>
          </w:r>
          <w:r>
            <w:rPr>
              <w:color w:val="auto"/>
              <w:highlight w:val="none"/>
            </w:rPr>
            <w:t>- 14 -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CF0FB71">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_Toc12837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一、</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程序及方法</w:t>
          </w:r>
          <w:r>
            <w:rPr>
              <w:color w:val="auto"/>
              <w:highlight w:val="none"/>
            </w:rPr>
            <w:tab/>
          </w:r>
          <w:r>
            <w:rPr>
              <w:color w:val="auto"/>
              <w:highlight w:val="none"/>
            </w:rPr>
            <w:fldChar w:fldCharType="begin"/>
          </w:r>
          <w:r>
            <w:rPr>
              <w:color w:val="auto"/>
              <w:highlight w:val="none"/>
            </w:rPr>
            <w:instrText xml:space="preserve"> PAGEREF _Toc12837 \h </w:instrText>
          </w:r>
          <w:r>
            <w:rPr>
              <w:color w:val="auto"/>
              <w:highlight w:val="none"/>
            </w:rPr>
            <w:fldChar w:fldCharType="separate"/>
          </w:r>
          <w:r>
            <w:rPr>
              <w:color w:val="auto"/>
              <w:highlight w:val="none"/>
            </w:rPr>
            <w:t>- 14 -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449BC9B1">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_Toc28841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二、评审标准</w:t>
          </w:r>
          <w:r>
            <w:rPr>
              <w:color w:val="auto"/>
              <w:highlight w:val="none"/>
            </w:rPr>
            <w:tab/>
          </w:r>
          <w:r>
            <w:rPr>
              <w:color w:val="auto"/>
              <w:highlight w:val="none"/>
            </w:rPr>
            <w:fldChar w:fldCharType="begin"/>
          </w:r>
          <w:r>
            <w:rPr>
              <w:color w:val="auto"/>
              <w:highlight w:val="none"/>
            </w:rPr>
            <w:instrText xml:space="preserve"> PAGEREF _Toc28841 \h </w:instrText>
          </w:r>
          <w:r>
            <w:rPr>
              <w:color w:val="auto"/>
              <w:highlight w:val="none"/>
            </w:rPr>
            <w:fldChar w:fldCharType="separate"/>
          </w:r>
          <w:r>
            <w:rPr>
              <w:color w:val="auto"/>
              <w:highlight w:val="none"/>
            </w:rPr>
            <w:t>- 15 -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5AB59F4B">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_Toc7088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三、无效响应</w:t>
          </w:r>
          <w:r>
            <w:rPr>
              <w:color w:val="auto"/>
              <w:highlight w:val="none"/>
            </w:rPr>
            <w:tab/>
          </w:r>
          <w:r>
            <w:rPr>
              <w:color w:val="auto"/>
              <w:highlight w:val="none"/>
            </w:rPr>
            <w:fldChar w:fldCharType="begin"/>
          </w:r>
          <w:r>
            <w:rPr>
              <w:color w:val="auto"/>
              <w:highlight w:val="none"/>
            </w:rPr>
            <w:instrText xml:space="preserve"> PAGEREF _Toc7088 \h </w:instrText>
          </w:r>
          <w:r>
            <w:rPr>
              <w:color w:val="auto"/>
              <w:highlight w:val="none"/>
            </w:rPr>
            <w:fldChar w:fldCharType="separate"/>
          </w:r>
          <w:r>
            <w:rPr>
              <w:color w:val="auto"/>
              <w:highlight w:val="none"/>
            </w:rPr>
            <w:t>- 20 -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4B71F6A">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_Toc5407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四、采购终止</w:t>
          </w:r>
          <w:r>
            <w:rPr>
              <w:color w:val="auto"/>
              <w:highlight w:val="none"/>
            </w:rPr>
            <w:tab/>
          </w:r>
          <w:r>
            <w:rPr>
              <w:color w:val="auto"/>
              <w:highlight w:val="none"/>
            </w:rPr>
            <w:fldChar w:fldCharType="begin"/>
          </w:r>
          <w:r>
            <w:rPr>
              <w:color w:val="auto"/>
              <w:highlight w:val="none"/>
            </w:rPr>
            <w:instrText xml:space="preserve"> PAGEREF _Toc5407 \h </w:instrText>
          </w:r>
          <w:r>
            <w:rPr>
              <w:color w:val="auto"/>
              <w:highlight w:val="none"/>
            </w:rPr>
            <w:fldChar w:fldCharType="separate"/>
          </w:r>
          <w:r>
            <w:rPr>
              <w:color w:val="auto"/>
              <w:highlight w:val="none"/>
            </w:rPr>
            <w:t>- 21 -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C7AF697">
          <w:pPr>
            <w:pStyle w:val="47"/>
            <w:tabs>
              <w:tab w:val="right" w:leader="dot" w:pos="9412"/>
            </w:tabs>
            <w:ind w:left="0" w:leftChars="0" w:firstLine="0" w:firstLineChars="0"/>
            <w:rPr>
              <w:rFonts w:hint="eastAsia" w:ascii="微软雅黑" w:hAnsi="微软雅黑" w:eastAsia="微软雅黑" w:cs="微软雅黑"/>
              <w:color w:val="auto"/>
              <w:kern w:val="2"/>
              <w:sz w:val="30"/>
              <w:highlight w:val="none"/>
              <w:lang w:val="en-US" w:eastAsia="zh-CN" w:bidi="ar-SA"/>
            </w:rPr>
          </w:pPr>
          <w:r>
            <w:rPr>
              <w:rFonts w:hint="eastAsia" w:ascii="微软雅黑" w:hAnsi="微软雅黑" w:eastAsia="微软雅黑" w:cs="微软雅黑"/>
              <w:color w:val="auto"/>
              <w:kern w:val="2"/>
              <w:sz w:val="30"/>
              <w:highlight w:val="none"/>
              <w:lang w:val="en-US" w:eastAsia="zh-CN" w:bidi="ar-SA"/>
            </w:rPr>
            <w:fldChar w:fldCharType="begin"/>
          </w:r>
          <w:r>
            <w:rPr>
              <w:rFonts w:hint="eastAsia" w:ascii="微软雅黑" w:hAnsi="微软雅黑" w:eastAsia="微软雅黑" w:cs="微软雅黑"/>
              <w:color w:val="auto"/>
              <w:kern w:val="2"/>
              <w:sz w:val="30"/>
              <w:highlight w:val="none"/>
              <w:lang w:val="en-US" w:eastAsia="zh-CN" w:bidi="ar-SA"/>
            </w:rPr>
            <w:instrText xml:space="preserve"> HYPERLINK \l _Toc1000 </w:instrText>
          </w:r>
          <w:r>
            <w:rPr>
              <w:rFonts w:hint="eastAsia" w:ascii="微软雅黑" w:hAnsi="微软雅黑" w:eastAsia="微软雅黑" w:cs="微软雅黑"/>
              <w:color w:val="auto"/>
              <w:kern w:val="2"/>
              <w:sz w:val="30"/>
              <w:highlight w:val="none"/>
              <w:lang w:val="en-US" w:eastAsia="zh-CN" w:bidi="ar-SA"/>
            </w:rPr>
            <w:fldChar w:fldCharType="separate"/>
          </w:r>
          <w:r>
            <w:rPr>
              <w:rFonts w:hint="eastAsia" w:ascii="微软雅黑" w:hAnsi="微软雅黑" w:eastAsia="微软雅黑" w:cs="微软雅黑"/>
              <w:color w:val="auto"/>
              <w:kern w:val="2"/>
              <w:sz w:val="30"/>
              <w:highlight w:val="none"/>
              <w:lang w:val="en-US" w:eastAsia="zh-CN" w:bidi="ar-SA"/>
            </w:rPr>
            <w:t>第五篇  供应商须知</w:t>
          </w:r>
          <w:r>
            <w:rPr>
              <w:rFonts w:hint="eastAsia" w:ascii="微软雅黑" w:hAnsi="微软雅黑" w:eastAsia="微软雅黑" w:cs="微软雅黑"/>
              <w:color w:val="auto"/>
              <w:kern w:val="2"/>
              <w:sz w:val="30"/>
              <w:highlight w:val="none"/>
              <w:lang w:val="en-US" w:eastAsia="zh-CN" w:bidi="ar-SA"/>
            </w:rPr>
            <w:tab/>
          </w:r>
          <w:r>
            <w:rPr>
              <w:rFonts w:hint="eastAsia" w:ascii="微软雅黑" w:hAnsi="微软雅黑" w:eastAsia="微软雅黑" w:cs="微软雅黑"/>
              <w:color w:val="auto"/>
              <w:kern w:val="2"/>
              <w:sz w:val="30"/>
              <w:highlight w:val="none"/>
              <w:lang w:val="en-US" w:eastAsia="zh-CN" w:bidi="ar-SA"/>
            </w:rPr>
            <w:fldChar w:fldCharType="begin"/>
          </w:r>
          <w:r>
            <w:rPr>
              <w:rFonts w:hint="eastAsia" w:ascii="微软雅黑" w:hAnsi="微软雅黑" w:eastAsia="微软雅黑" w:cs="微软雅黑"/>
              <w:color w:val="auto"/>
              <w:kern w:val="2"/>
              <w:sz w:val="30"/>
              <w:highlight w:val="none"/>
              <w:lang w:val="en-US" w:eastAsia="zh-CN" w:bidi="ar-SA"/>
            </w:rPr>
            <w:instrText xml:space="preserve"> PAGEREF _Toc1000 \h </w:instrText>
          </w:r>
          <w:r>
            <w:rPr>
              <w:rFonts w:hint="eastAsia" w:ascii="微软雅黑" w:hAnsi="微软雅黑" w:eastAsia="微软雅黑" w:cs="微软雅黑"/>
              <w:color w:val="auto"/>
              <w:kern w:val="2"/>
              <w:sz w:val="30"/>
              <w:highlight w:val="none"/>
              <w:lang w:val="en-US" w:eastAsia="zh-CN" w:bidi="ar-SA"/>
            </w:rPr>
            <w:fldChar w:fldCharType="separate"/>
          </w:r>
          <w:r>
            <w:rPr>
              <w:rFonts w:hint="eastAsia" w:ascii="微软雅黑" w:hAnsi="微软雅黑" w:eastAsia="微软雅黑" w:cs="微软雅黑"/>
              <w:color w:val="auto"/>
              <w:kern w:val="2"/>
              <w:sz w:val="30"/>
              <w:highlight w:val="none"/>
              <w:lang w:val="en-US" w:eastAsia="zh-CN" w:bidi="ar-SA"/>
            </w:rPr>
            <w:t>- 22 -</w:t>
          </w:r>
          <w:r>
            <w:rPr>
              <w:rFonts w:hint="eastAsia" w:ascii="微软雅黑" w:hAnsi="微软雅黑" w:eastAsia="微软雅黑" w:cs="微软雅黑"/>
              <w:color w:val="auto"/>
              <w:kern w:val="2"/>
              <w:sz w:val="30"/>
              <w:highlight w:val="none"/>
              <w:lang w:val="en-US" w:eastAsia="zh-CN" w:bidi="ar-SA"/>
            </w:rPr>
            <w:fldChar w:fldCharType="end"/>
          </w:r>
          <w:r>
            <w:rPr>
              <w:rFonts w:hint="eastAsia" w:ascii="微软雅黑" w:hAnsi="微软雅黑" w:eastAsia="微软雅黑" w:cs="微软雅黑"/>
              <w:color w:val="auto"/>
              <w:kern w:val="2"/>
              <w:sz w:val="30"/>
              <w:highlight w:val="none"/>
              <w:lang w:val="en-US" w:eastAsia="zh-CN" w:bidi="ar-SA"/>
            </w:rPr>
            <w:fldChar w:fldCharType="end"/>
          </w:r>
        </w:p>
        <w:p w14:paraId="29F0878B">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_Toc4126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一、</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费用</w:t>
          </w:r>
          <w:r>
            <w:rPr>
              <w:color w:val="auto"/>
              <w:highlight w:val="none"/>
            </w:rPr>
            <w:tab/>
          </w:r>
          <w:r>
            <w:rPr>
              <w:color w:val="auto"/>
              <w:highlight w:val="none"/>
            </w:rPr>
            <w:fldChar w:fldCharType="begin"/>
          </w:r>
          <w:r>
            <w:rPr>
              <w:color w:val="auto"/>
              <w:highlight w:val="none"/>
            </w:rPr>
            <w:instrText xml:space="preserve"> PAGEREF _Toc4126 \h </w:instrText>
          </w:r>
          <w:r>
            <w:rPr>
              <w:color w:val="auto"/>
              <w:highlight w:val="none"/>
            </w:rPr>
            <w:fldChar w:fldCharType="separate"/>
          </w:r>
          <w:r>
            <w:rPr>
              <w:color w:val="auto"/>
              <w:highlight w:val="none"/>
            </w:rPr>
            <w:t>- 22 -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1219F96C">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_Toc12667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二、</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文件</w:t>
          </w:r>
          <w:r>
            <w:rPr>
              <w:color w:val="auto"/>
              <w:highlight w:val="none"/>
            </w:rPr>
            <w:tab/>
          </w:r>
          <w:r>
            <w:rPr>
              <w:color w:val="auto"/>
              <w:highlight w:val="none"/>
            </w:rPr>
            <w:fldChar w:fldCharType="begin"/>
          </w:r>
          <w:r>
            <w:rPr>
              <w:color w:val="auto"/>
              <w:highlight w:val="none"/>
            </w:rPr>
            <w:instrText xml:space="preserve"> PAGEREF _Toc12667 \h </w:instrText>
          </w:r>
          <w:r>
            <w:rPr>
              <w:color w:val="auto"/>
              <w:highlight w:val="none"/>
            </w:rPr>
            <w:fldChar w:fldCharType="separate"/>
          </w:r>
          <w:r>
            <w:rPr>
              <w:color w:val="auto"/>
              <w:highlight w:val="none"/>
            </w:rPr>
            <w:t>- 22 -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52BD52DF">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_Toc19490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三、</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要求</w:t>
          </w:r>
          <w:r>
            <w:rPr>
              <w:color w:val="auto"/>
              <w:highlight w:val="none"/>
            </w:rPr>
            <w:tab/>
          </w:r>
          <w:r>
            <w:rPr>
              <w:color w:val="auto"/>
              <w:highlight w:val="none"/>
            </w:rPr>
            <w:fldChar w:fldCharType="begin"/>
          </w:r>
          <w:r>
            <w:rPr>
              <w:color w:val="auto"/>
              <w:highlight w:val="none"/>
            </w:rPr>
            <w:instrText xml:space="preserve"> PAGEREF _Toc19490 \h </w:instrText>
          </w:r>
          <w:r>
            <w:rPr>
              <w:color w:val="auto"/>
              <w:highlight w:val="none"/>
            </w:rPr>
            <w:fldChar w:fldCharType="separate"/>
          </w:r>
          <w:r>
            <w:rPr>
              <w:color w:val="auto"/>
              <w:highlight w:val="none"/>
            </w:rPr>
            <w:t>- 22 -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5F2308A">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_Toc15722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四、成交供应商的确认和变更</w:t>
          </w:r>
          <w:r>
            <w:rPr>
              <w:color w:val="auto"/>
              <w:highlight w:val="none"/>
            </w:rPr>
            <w:tab/>
          </w:r>
          <w:r>
            <w:rPr>
              <w:color w:val="auto"/>
              <w:highlight w:val="none"/>
            </w:rPr>
            <w:fldChar w:fldCharType="begin"/>
          </w:r>
          <w:r>
            <w:rPr>
              <w:color w:val="auto"/>
              <w:highlight w:val="none"/>
            </w:rPr>
            <w:instrText xml:space="preserve"> PAGEREF _Toc15722 \h </w:instrText>
          </w:r>
          <w:r>
            <w:rPr>
              <w:color w:val="auto"/>
              <w:highlight w:val="none"/>
            </w:rPr>
            <w:fldChar w:fldCharType="separate"/>
          </w:r>
          <w:r>
            <w:rPr>
              <w:color w:val="auto"/>
              <w:highlight w:val="none"/>
            </w:rPr>
            <w:t>- 23 -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3205760A">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_Toc2900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五、成交通知</w:t>
          </w:r>
          <w:r>
            <w:rPr>
              <w:color w:val="auto"/>
              <w:highlight w:val="none"/>
            </w:rPr>
            <w:tab/>
          </w:r>
          <w:r>
            <w:rPr>
              <w:color w:val="auto"/>
              <w:highlight w:val="none"/>
            </w:rPr>
            <w:fldChar w:fldCharType="begin"/>
          </w:r>
          <w:r>
            <w:rPr>
              <w:color w:val="auto"/>
              <w:highlight w:val="none"/>
            </w:rPr>
            <w:instrText xml:space="preserve"> PAGEREF _Toc2900 \h </w:instrText>
          </w:r>
          <w:r>
            <w:rPr>
              <w:color w:val="auto"/>
              <w:highlight w:val="none"/>
            </w:rPr>
            <w:fldChar w:fldCharType="separate"/>
          </w:r>
          <w:r>
            <w:rPr>
              <w:color w:val="auto"/>
              <w:highlight w:val="none"/>
            </w:rPr>
            <w:t>- 23 -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2AFFBE01">
          <w:pPr>
            <w:pStyle w:val="29"/>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_Toc10186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24"/>
              <w:highlight w:val="none"/>
            </w:rPr>
            <w:t>六、签订合同</w:t>
          </w:r>
          <w:r>
            <w:rPr>
              <w:color w:val="auto"/>
              <w:highlight w:val="none"/>
            </w:rPr>
            <w:tab/>
          </w:r>
          <w:r>
            <w:rPr>
              <w:color w:val="auto"/>
              <w:highlight w:val="none"/>
            </w:rPr>
            <w:fldChar w:fldCharType="begin"/>
          </w:r>
          <w:r>
            <w:rPr>
              <w:color w:val="auto"/>
              <w:highlight w:val="none"/>
            </w:rPr>
            <w:instrText xml:space="preserve"> PAGEREF _Toc10186 \h </w:instrText>
          </w:r>
          <w:r>
            <w:rPr>
              <w:color w:val="auto"/>
              <w:highlight w:val="none"/>
            </w:rPr>
            <w:fldChar w:fldCharType="separate"/>
          </w:r>
          <w:r>
            <w:rPr>
              <w:color w:val="auto"/>
              <w:highlight w:val="none"/>
            </w:rPr>
            <w:t>- 24 -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01A4C981">
          <w:pPr>
            <w:pStyle w:val="47"/>
            <w:tabs>
              <w:tab w:val="right" w:leader="dot" w:pos="9412"/>
            </w:tabs>
            <w:ind w:left="0" w:leftChars="0" w:firstLine="0" w:firstLineChars="0"/>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_Toc25782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kern w:val="2"/>
              <w:sz w:val="30"/>
              <w:highlight w:val="none"/>
              <w:lang w:val="en-US" w:eastAsia="zh-CN" w:bidi="ar-SA"/>
            </w:rPr>
            <w:t>第六篇 采购合同</w:t>
          </w:r>
          <w:r>
            <w:rPr>
              <w:color w:val="auto"/>
              <w:highlight w:val="none"/>
            </w:rPr>
            <w:tab/>
          </w:r>
          <w:r>
            <w:rPr>
              <w:color w:val="auto"/>
              <w:highlight w:val="none"/>
            </w:rPr>
            <w:fldChar w:fldCharType="begin"/>
          </w:r>
          <w:r>
            <w:rPr>
              <w:color w:val="auto"/>
              <w:highlight w:val="none"/>
            </w:rPr>
            <w:instrText xml:space="preserve"> PAGEREF _Toc25782 \h </w:instrText>
          </w:r>
          <w:r>
            <w:rPr>
              <w:color w:val="auto"/>
              <w:highlight w:val="none"/>
            </w:rPr>
            <w:fldChar w:fldCharType="separate"/>
          </w:r>
          <w:r>
            <w:rPr>
              <w:color w:val="auto"/>
              <w:highlight w:val="none"/>
            </w:rPr>
            <w:t>- 25 -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7F913765">
          <w:pPr>
            <w:pStyle w:val="38"/>
            <w:tabs>
              <w:tab w:val="right" w:leader="dot" w:pos="9412"/>
            </w:tabs>
            <w:rPr>
              <w:color w:val="auto"/>
              <w:highlight w:val="none"/>
            </w:rPr>
          </w:pPr>
          <w:r>
            <w:rPr>
              <w:rFonts w:hint="eastAsia" w:ascii="微软雅黑" w:hAnsi="微软雅黑" w:eastAsia="微软雅黑" w:cs="微软雅黑"/>
              <w:color w:val="auto"/>
              <w:szCs w:val="24"/>
              <w:highlight w:val="none"/>
            </w:rPr>
            <w:fldChar w:fldCharType="begin"/>
          </w:r>
          <w:r>
            <w:rPr>
              <w:rFonts w:hint="eastAsia" w:ascii="微软雅黑" w:hAnsi="微软雅黑" w:eastAsia="微软雅黑" w:cs="微软雅黑"/>
              <w:color w:val="auto"/>
              <w:szCs w:val="24"/>
              <w:highlight w:val="none"/>
            </w:rPr>
            <w:instrText xml:space="preserve"> HYPERLINK \l _Toc31715 </w:instrText>
          </w:r>
          <w:r>
            <w:rPr>
              <w:rFonts w:hint="eastAsia" w:ascii="微软雅黑" w:hAnsi="微软雅黑" w:eastAsia="微软雅黑" w:cs="微软雅黑"/>
              <w:color w:val="auto"/>
              <w:szCs w:val="24"/>
              <w:highlight w:val="none"/>
            </w:rPr>
            <w:fldChar w:fldCharType="separate"/>
          </w:r>
          <w:r>
            <w:rPr>
              <w:rFonts w:hint="eastAsia" w:ascii="微软雅黑" w:hAnsi="微软雅黑" w:eastAsia="微软雅黑" w:cs="微软雅黑"/>
              <w:color w:val="auto"/>
              <w:szCs w:val="30"/>
              <w:highlight w:val="none"/>
            </w:rPr>
            <w:t>第七篇 响应文件编制要求</w:t>
          </w:r>
          <w:r>
            <w:rPr>
              <w:color w:val="auto"/>
              <w:highlight w:val="none"/>
            </w:rPr>
            <w:tab/>
          </w:r>
          <w:r>
            <w:rPr>
              <w:color w:val="auto"/>
              <w:highlight w:val="none"/>
            </w:rPr>
            <w:fldChar w:fldCharType="begin"/>
          </w:r>
          <w:r>
            <w:rPr>
              <w:color w:val="auto"/>
              <w:highlight w:val="none"/>
            </w:rPr>
            <w:instrText xml:space="preserve"> PAGEREF _Toc31715 \h </w:instrText>
          </w:r>
          <w:r>
            <w:rPr>
              <w:color w:val="auto"/>
              <w:highlight w:val="none"/>
            </w:rPr>
            <w:fldChar w:fldCharType="separate"/>
          </w:r>
          <w:r>
            <w:rPr>
              <w:color w:val="auto"/>
              <w:highlight w:val="none"/>
            </w:rPr>
            <w:t>- 30 -</w:t>
          </w:r>
          <w:r>
            <w:rPr>
              <w:color w:val="auto"/>
              <w:highlight w:val="none"/>
            </w:rPr>
            <w:fldChar w:fldCharType="end"/>
          </w:r>
          <w:r>
            <w:rPr>
              <w:rFonts w:hint="eastAsia" w:ascii="微软雅黑" w:hAnsi="微软雅黑" w:eastAsia="微软雅黑" w:cs="微软雅黑"/>
              <w:color w:val="auto"/>
              <w:szCs w:val="24"/>
              <w:highlight w:val="none"/>
            </w:rPr>
            <w:fldChar w:fldCharType="end"/>
          </w:r>
        </w:p>
        <w:p w14:paraId="239D3C5D">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Cs w:val="24"/>
              <w:highlight w:val="none"/>
            </w:rPr>
            <w:fldChar w:fldCharType="end"/>
          </w:r>
        </w:p>
      </w:sdtContent>
    </w:sdt>
    <w:p w14:paraId="7ACE7546">
      <w:pPr>
        <w:pStyle w:val="3"/>
        <w:spacing w:beforeLines="0" w:afterLines="0"/>
        <w:jc w:val="center"/>
        <w:rPr>
          <w:rFonts w:hint="eastAsia" w:hAnsi="宋体" w:eastAsia="宋体" w:cs="宋体"/>
          <w:b/>
          <w:color w:val="auto"/>
          <w:sz w:val="30"/>
          <w:szCs w:val="30"/>
          <w:highlight w:val="none"/>
          <w:lang w:val="en-US" w:eastAsia="zh-CN"/>
        </w:rPr>
      </w:pPr>
      <w:r>
        <w:rPr>
          <w:rFonts w:hint="eastAsia" w:hAnsi="宋体" w:cs="宋体"/>
          <w:b/>
          <w:color w:val="auto"/>
          <w:sz w:val="30"/>
          <w:szCs w:val="30"/>
          <w:highlight w:val="none"/>
          <w:lang w:val="en-US" w:eastAsia="zh-CN"/>
        </w:rPr>
        <w:t>第一篇</w:t>
      </w:r>
      <w:r>
        <w:rPr>
          <w:rFonts w:hint="default" w:hAnsi="宋体" w:cs="宋体"/>
          <w:b/>
          <w:color w:val="auto"/>
          <w:sz w:val="30"/>
          <w:szCs w:val="30"/>
          <w:highlight w:val="none"/>
        </w:rPr>
        <w:t>比选</w:t>
      </w:r>
      <w:r>
        <w:rPr>
          <w:rFonts w:hint="eastAsia" w:hAnsi="宋体" w:cs="宋体"/>
          <w:b/>
          <w:color w:val="auto"/>
          <w:sz w:val="30"/>
          <w:szCs w:val="30"/>
          <w:highlight w:val="none"/>
          <w:lang w:val="en-US" w:eastAsia="zh-CN"/>
        </w:rPr>
        <w:t>公告</w:t>
      </w:r>
    </w:p>
    <w:p w14:paraId="72CCA5BC">
      <w:pPr>
        <w:snapToGrid w:val="0"/>
        <w:spacing w:beforeLines="0" w:afterLines="0" w:line="392" w:lineRule="exact"/>
        <w:ind w:firstLine="480" w:firstLineChars="200"/>
        <w:rPr>
          <w:rFonts w:hint="default" w:ascii="宋体" w:hAnsi="宋体" w:cs="宋体"/>
          <w:color w:val="auto"/>
          <w:sz w:val="24"/>
          <w:szCs w:val="24"/>
          <w:highlight w:val="none"/>
        </w:rPr>
      </w:pP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default" w:ascii="宋体" w:hAnsi="宋体" w:cs="宋体"/>
          <w:color w:val="auto"/>
          <w:sz w:val="24"/>
          <w:szCs w:val="24"/>
          <w:highlight w:val="none"/>
        </w:rPr>
        <w:t>（以下简称：采</w:t>
      </w:r>
      <w:r>
        <w:rPr>
          <w:rFonts w:hint="eastAsia" w:ascii="宋体" w:hAnsi="宋体" w:cs="宋体"/>
          <w:color w:val="auto"/>
          <w:sz w:val="24"/>
          <w:szCs w:val="24"/>
          <w:highlight w:val="none"/>
          <w:lang w:val="en-US" w:eastAsia="zh-CN"/>
        </w:rPr>
        <w:t>购人</w:t>
      </w:r>
      <w:r>
        <w:rPr>
          <w:rFonts w:hint="default" w:ascii="宋体" w:hAnsi="宋体" w:cs="宋体"/>
          <w:color w:val="auto"/>
          <w:sz w:val="24"/>
          <w:szCs w:val="24"/>
          <w:highlight w:val="none"/>
        </w:rPr>
        <w:t>）接受</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百老汇住宅1单元业主</w:t>
      </w:r>
      <w:r>
        <w:rPr>
          <w:rFonts w:hint="default" w:ascii="宋体" w:hAnsi="宋体" w:cs="宋体"/>
          <w:color w:val="auto"/>
          <w:sz w:val="24"/>
          <w:szCs w:val="24"/>
          <w:highlight w:val="none"/>
          <w:u w:val="single"/>
        </w:rPr>
        <w:t xml:space="preserve"> </w:t>
      </w:r>
      <w:r>
        <w:rPr>
          <w:rFonts w:hint="default" w:ascii="宋体" w:hAnsi="宋体" w:cs="宋体"/>
          <w:color w:val="auto"/>
          <w:sz w:val="24"/>
          <w:szCs w:val="24"/>
          <w:highlight w:val="none"/>
        </w:rPr>
        <w:t>的委托，对</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w:t>
      </w:r>
      <w:r>
        <w:rPr>
          <w:rFonts w:hint="default" w:ascii="宋体" w:hAnsi="宋体" w:cs="宋体"/>
          <w:color w:val="auto"/>
          <w:sz w:val="24"/>
          <w:szCs w:val="24"/>
          <w:highlight w:val="none"/>
          <w:u w:val="single"/>
        </w:rPr>
        <w:t>住宅</w:t>
      </w:r>
      <w:r>
        <w:rPr>
          <w:rFonts w:hint="eastAsia" w:ascii="宋体" w:hAnsi="宋体" w:cs="宋体"/>
          <w:color w:val="auto"/>
          <w:sz w:val="24"/>
          <w:szCs w:val="24"/>
          <w:highlight w:val="none"/>
          <w:u w:val="single"/>
          <w:lang w:val="en-US" w:eastAsia="zh-CN"/>
        </w:rPr>
        <w:t>1单元</w:t>
      </w:r>
      <w:r>
        <w:rPr>
          <w:rFonts w:hint="default" w:ascii="宋体" w:hAnsi="宋体" w:cs="宋体"/>
          <w:color w:val="auto"/>
          <w:sz w:val="24"/>
          <w:szCs w:val="24"/>
          <w:highlight w:val="none"/>
          <w:u w:val="single"/>
        </w:rPr>
        <w:t>老旧电梯更新工程</w:t>
      </w:r>
      <w:r>
        <w:rPr>
          <w:rFonts w:hint="default" w:ascii="宋体" w:hAnsi="宋体" w:cs="宋体"/>
          <w:color w:val="auto"/>
          <w:sz w:val="24"/>
          <w:szCs w:val="24"/>
          <w:highlight w:val="none"/>
        </w:rPr>
        <w:t>进行竞争性比选采购。欢迎有资格的供应商前来参加报价。</w:t>
      </w:r>
    </w:p>
    <w:p w14:paraId="39082E6A">
      <w:pPr>
        <w:keepNext/>
        <w:keepLines/>
        <w:adjustRightInd w:val="0"/>
        <w:snapToGrid w:val="0"/>
        <w:spacing w:beforeLines="0" w:afterLines="0" w:line="392" w:lineRule="exact"/>
        <w:ind w:firstLine="482" w:firstLineChars="200"/>
        <w:outlineLvl w:val="1"/>
        <w:rPr>
          <w:rFonts w:hint="default" w:ascii="宋体" w:hAnsi="宋体" w:cs="宋体"/>
          <w:b/>
          <w:color w:val="auto"/>
          <w:sz w:val="24"/>
          <w:szCs w:val="24"/>
          <w:highlight w:val="none"/>
        </w:rPr>
      </w:pPr>
      <w:bookmarkStart w:id="2" w:name="_Toc26091"/>
      <w:bookmarkStart w:id="3" w:name="_Toc7758"/>
      <w:bookmarkStart w:id="4" w:name="_Toc18246"/>
      <w:bookmarkStart w:id="5" w:name="_Toc9650"/>
      <w:bookmarkStart w:id="6" w:name="_Toc65660330"/>
      <w:r>
        <w:rPr>
          <w:rFonts w:hint="default" w:ascii="宋体" w:hAnsi="宋体" w:cs="宋体"/>
          <w:b/>
          <w:color w:val="auto"/>
          <w:sz w:val="24"/>
          <w:szCs w:val="24"/>
          <w:highlight w:val="none"/>
        </w:rPr>
        <w:t>一、比选内容</w:t>
      </w:r>
      <w:bookmarkEnd w:id="2"/>
      <w:bookmarkEnd w:id="3"/>
      <w:bookmarkEnd w:id="4"/>
      <w:bookmarkEnd w:id="5"/>
      <w:bookmarkEnd w:id="6"/>
    </w:p>
    <w:tbl>
      <w:tblPr>
        <w:tblStyle w:val="59"/>
        <w:tblW w:w="45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7"/>
        <w:gridCol w:w="1856"/>
        <w:gridCol w:w="1399"/>
        <w:gridCol w:w="1750"/>
      </w:tblGrid>
      <w:tr w14:paraId="1CF5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1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42F1C9">
            <w:pPr>
              <w:widowControl/>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名称</w:t>
            </w:r>
          </w:p>
        </w:tc>
        <w:tc>
          <w:tcPr>
            <w:tcW w:w="10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CC49D3">
            <w:pPr>
              <w:widowControl/>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最高限价（万元）</w:t>
            </w:r>
          </w:p>
        </w:tc>
        <w:tc>
          <w:tcPr>
            <w:tcW w:w="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52718F">
            <w:pPr>
              <w:widowControl/>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投标保证金</w:t>
            </w:r>
          </w:p>
          <w:p w14:paraId="6FB13897">
            <w:pPr>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（万元）</w:t>
            </w:r>
          </w:p>
        </w:tc>
        <w:tc>
          <w:tcPr>
            <w:tcW w:w="9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CC9BD5">
            <w:pPr>
              <w:spacing w:beforeLines="0" w:afterLines="0"/>
              <w:jc w:val="center"/>
              <w:rPr>
                <w:rFonts w:hint="default" w:ascii="宋体" w:hAnsi="宋体" w:cs="宋体"/>
                <w:b/>
                <w:color w:val="auto"/>
                <w:kern w:val="0"/>
                <w:sz w:val="21"/>
                <w:szCs w:val="24"/>
                <w:highlight w:val="none"/>
              </w:rPr>
            </w:pPr>
            <w:r>
              <w:rPr>
                <w:rFonts w:hint="default" w:ascii="宋体" w:hAnsi="宋体" w:cs="宋体"/>
                <w:b/>
                <w:color w:val="auto"/>
                <w:kern w:val="0"/>
                <w:sz w:val="21"/>
                <w:szCs w:val="24"/>
                <w:highlight w:val="none"/>
              </w:rPr>
              <w:t>成交供应商数量（名）</w:t>
            </w:r>
          </w:p>
        </w:tc>
      </w:tr>
      <w:tr w14:paraId="1D57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7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F6B678">
            <w:pPr>
              <w:spacing w:beforeLines="0" w:afterLines="0"/>
              <w:jc w:val="center"/>
              <w:rPr>
                <w:rFonts w:hint="default" w:ascii="宋体" w:hAnsi="宋体" w:cs="宋体"/>
                <w:color w:val="auto"/>
                <w:kern w:val="0"/>
                <w:sz w:val="21"/>
                <w:szCs w:val="24"/>
                <w:highlight w:val="none"/>
              </w:rPr>
            </w:pPr>
            <w:r>
              <w:rPr>
                <w:rFonts w:hint="default" w:ascii="宋体" w:hAnsi="宋体" w:cs="宋体"/>
                <w:color w:val="auto"/>
                <w:sz w:val="21"/>
                <w:szCs w:val="21"/>
                <w:highlight w:val="none"/>
                <w:lang w:val="en-US" w:eastAsia="zh-CN"/>
              </w:rPr>
              <w:t>正升·百老汇住宅1单元3台电梯更新工程</w:t>
            </w:r>
          </w:p>
        </w:tc>
        <w:tc>
          <w:tcPr>
            <w:tcW w:w="10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35463A">
            <w:pPr>
              <w:spacing w:beforeLines="0" w:afterLine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108.5</w:t>
            </w:r>
          </w:p>
        </w:tc>
        <w:tc>
          <w:tcPr>
            <w:tcW w:w="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D9A9B1">
            <w:pPr>
              <w:spacing w:beforeLines="0" w:afterLines="0"/>
              <w:jc w:val="center"/>
              <w:rPr>
                <w:rFonts w:hint="default" w:ascii="宋体" w:hAnsi="宋体" w:cs="宋体"/>
                <w:color w:val="auto"/>
                <w:sz w:val="21"/>
                <w:szCs w:val="21"/>
                <w:highlight w:val="none"/>
              </w:rPr>
            </w:pPr>
            <w:r>
              <w:rPr>
                <w:rFonts w:hint="default" w:ascii="宋体" w:hAnsi="宋体" w:cs="宋体"/>
                <w:color w:val="auto"/>
                <w:sz w:val="21"/>
                <w:szCs w:val="21"/>
                <w:highlight w:val="none"/>
              </w:rPr>
              <w:t>2</w:t>
            </w:r>
          </w:p>
        </w:tc>
        <w:tc>
          <w:tcPr>
            <w:tcW w:w="9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90277D">
            <w:pPr>
              <w:spacing w:beforeLines="0" w:afterLine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bl>
    <w:p w14:paraId="392762FB">
      <w:pPr>
        <w:keepNext/>
        <w:keepLines/>
        <w:adjustRightInd w:val="0"/>
        <w:snapToGrid w:val="0"/>
        <w:spacing w:beforeLines="0" w:afterLines="0" w:line="392" w:lineRule="exact"/>
        <w:ind w:firstLine="482" w:firstLineChars="200"/>
        <w:outlineLvl w:val="1"/>
        <w:rPr>
          <w:rFonts w:hint="default" w:ascii="宋体" w:hAnsi="宋体" w:cs="宋体"/>
          <w:b/>
          <w:color w:val="auto"/>
          <w:sz w:val="24"/>
          <w:szCs w:val="24"/>
          <w:highlight w:val="none"/>
        </w:rPr>
      </w:pPr>
      <w:bookmarkStart w:id="7" w:name="_Toc65660331"/>
      <w:bookmarkStart w:id="8" w:name="_Toc27028"/>
      <w:bookmarkStart w:id="9" w:name="_Toc4424"/>
      <w:bookmarkStart w:id="10" w:name="_Toc29483"/>
      <w:bookmarkStart w:id="11" w:name="_Toc3256"/>
      <w:r>
        <w:rPr>
          <w:rFonts w:hint="default" w:ascii="宋体" w:hAnsi="宋体" w:cs="宋体"/>
          <w:b/>
          <w:color w:val="auto"/>
          <w:sz w:val="24"/>
          <w:szCs w:val="24"/>
          <w:highlight w:val="none"/>
        </w:rPr>
        <w:t>二、资金来源</w:t>
      </w:r>
      <w:bookmarkEnd w:id="7"/>
      <w:bookmarkEnd w:id="8"/>
      <w:bookmarkEnd w:id="9"/>
      <w:bookmarkEnd w:id="10"/>
      <w:bookmarkEnd w:id="11"/>
    </w:p>
    <w:p w14:paraId="3A023C44">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业主</w:t>
      </w:r>
      <w:r>
        <w:rPr>
          <w:rFonts w:hint="eastAsia" w:ascii="宋体" w:hAnsi="宋体" w:cs="宋体"/>
          <w:color w:val="auto"/>
          <w:sz w:val="24"/>
          <w:szCs w:val="24"/>
          <w:highlight w:val="none"/>
          <w:lang w:val="en-US" w:eastAsia="zh-CN"/>
        </w:rPr>
        <w:t>维修资金</w:t>
      </w:r>
      <w:r>
        <w:rPr>
          <w:rFonts w:hint="default" w:ascii="宋体" w:hAnsi="宋体" w:cs="宋体"/>
          <w:color w:val="auto"/>
          <w:sz w:val="24"/>
          <w:szCs w:val="24"/>
          <w:highlight w:val="none"/>
        </w:rPr>
        <w:t>和国债补贴（如有）。</w:t>
      </w:r>
      <w:bookmarkStart w:id="12" w:name="_Toc13541"/>
      <w:bookmarkStart w:id="13" w:name="_Toc18548"/>
      <w:bookmarkStart w:id="14" w:name="_Toc64731996"/>
      <w:bookmarkStart w:id="15" w:name="_Toc20867"/>
      <w:bookmarkStart w:id="16" w:name="_Toc2244"/>
      <w:bookmarkStart w:id="17" w:name="_Toc65660332"/>
    </w:p>
    <w:p w14:paraId="5376FABF">
      <w:pPr>
        <w:numPr>
          <w:ilvl w:val="0"/>
          <w:numId w:val="12"/>
        </w:numPr>
        <w:spacing w:beforeLines="0" w:afterLines="0" w:line="392" w:lineRule="exact"/>
        <w:ind w:firstLine="482" w:firstLineChars="200"/>
        <w:rPr>
          <w:rFonts w:hint="default" w:ascii="宋体" w:hAnsi="宋体" w:cs="宋体"/>
          <w:b/>
          <w:color w:val="auto"/>
          <w:sz w:val="24"/>
          <w:szCs w:val="24"/>
          <w:highlight w:val="none"/>
        </w:rPr>
      </w:pPr>
      <w:r>
        <w:rPr>
          <w:rFonts w:hint="default" w:ascii="宋体" w:hAnsi="宋体" w:cs="宋体"/>
          <w:b/>
          <w:color w:val="auto"/>
          <w:sz w:val="24"/>
          <w:szCs w:val="24"/>
          <w:highlight w:val="none"/>
        </w:rPr>
        <w:t>供应商资格条件</w:t>
      </w:r>
      <w:bookmarkEnd w:id="12"/>
      <w:bookmarkEnd w:id="13"/>
      <w:bookmarkEnd w:id="14"/>
      <w:bookmarkEnd w:id="15"/>
      <w:bookmarkEnd w:id="16"/>
      <w:bookmarkEnd w:id="17"/>
      <w:bookmarkStart w:id="18" w:name="_Toc13903"/>
      <w:bookmarkStart w:id="19" w:name="_Toc65660333"/>
      <w:bookmarkStart w:id="20" w:name="_Toc11908"/>
      <w:bookmarkStart w:id="21" w:name="_Toc30747"/>
    </w:p>
    <w:p w14:paraId="72FE80EA">
      <w:pPr>
        <w:spacing w:beforeLines="0" w:afterLines="0" w:line="392" w:lineRule="exact"/>
        <w:ind w:firstLine="420"/>
        <w:rPr>
          <w:rFonts w:hint="default" w:ascii="宋体" w:hAnsi="宋体" w:cs="宋体"/>
          <w:b/>
          <w:color w:val="auto"/>
          <w:sz w:val="28"/>
          <w:szCs w:val="24"/>
          <w:highlight w:val="none"/>
        </w:rPr>
      </w:pPr>
      <w:r>
        <w:rPr>
          <w:rFonts w:hint="default" w:ascii="宋体" w:hAnsi="宋体" w:cs="宋体"/>
          <w:b/>
          <w:color w:val="auto"/>
          <w:sz w:val="24"/>
          <w:szCs w:val="24"/>
          <w:highlight w:val="none"/>
        </w:rPr>
        <w:t>（一）基本资格条件</w:t>
      </w:r>
    </w:p>
    <w:p w14:paraId="4139B038">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1. 具有独立承担民事责任的能力；</w:t>
      </w:r>
    </w:p>
    <w:p w14:paraId="30390F69">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2. 具有良好的商业信誉和健全的财务会计制度；</w:t>
      </w:r>
    </w:p>
    <w:p w14:paraId="5B59B996">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3. 具有履行合同所必需的设备和专业技术能力；</w:t>
      </w:r>
    </w:p>
    <w:p w14:paraId="6E372D85">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4. 有依法缴纳税收和社会保障资金的良好记录；</w:t>
      </w:r>
    </w:p>
    <w:p w14:paraId="05AABAE4">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5. 参加政府采购活动前三年内，在经营活动中没有重大违法记录；</w:t>
      </w:r>
    </w:p>
    <w:p w14:paraId="338CA177">
      <w:pPr>
        <w:spacing w:beforeLines="0" w:afterLines="0" w:line="392"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6. 法律、行政法规规定的其他条件。</w:t>
      </w:r>
    </w:p>
    <w:p w14:paraId="0597C1E4">
      <w:pPr>
        <w:spacing w:beforeLines="0" w:afterLines="0" w:line="392" w:lineRule="exact"/>
        <w:ind w:firstLine="480" w:firstLineChars="200"/>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（二）特定资格条件</w:t>
      </w:r>
    </w:p>
    <w:p w14:paraId="158F2B96">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1、电梯生产制造商参加投标的必须具备以下资格：</w:t>
      </w:r>
    </w:p>
    <w:p w14:paraId="338B6116">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须在中华人民共和国境内合法注册的电梯制造商（经营范围包含电梯生产或制造），具有工商行政主管部门颁发的有效营业执照的电梯生产企业；（须提供有效的法人营业执照副本复印件并加盖供应商公章）</w:t>
      </w:r>
    </w:p>
    <w:p w14:paraId="4E434965">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（2）具有中华人民共和国国家质量监督检验检疫总局颁发的且在有效期的《中华人民共和国特种设备制造许可证》(电梯)（乘客电梯</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级资质）或具有市场监督管理部门颁发且在有效期的《中华人民共和国特种设备生产许可证》｛许可项目：电梯制造〔含安装、修理、改造〕｝；（须提供有效证书复印件并加盖供应商公章）。</w:t>
      </w:r>
    </w:p>
    <w:p w14:paraId="6720E34D">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（3）具有有关质量监督检验部门颁发的且在有效期的《中华人民共和国特种设备安装改造修理（或维修）许可证》〔（电梯）安装、改造、修理（或维修）〕（乘客电梯</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级及以上资质）或具有市场监督管理部门颁发且在有效期的《中华人民共和国特种设备生产许可证》｛许可项目：电梯制造〔含安装、修理、改造〕｝；（须提供有效的证书复印件并加盖供应商公章）。</w:t>
      </w:r>
    </w:p>
    <w:p w14:paraId="6F0381E8">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2、代理商参加投标的必须具备以下资格：</w:t>
      </w:r>
    </w:p>
    <w:p w14:paraId="1D2DF4EF">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（1）须在中华人民共和国境内合法注册的电梯安装企业，具有工商行政主管部门颁发的有效营业执照的电梯安装企业；（须提供有效的法人营业执照副本复印件并加盖供应商公章。）</w:t>
      </w:r>
    </w:p>
    <w:p w14:paraId="0894B355">
      <w:pPr>
        <w:spacing w:beforeLines="0" w:afterLines="0" w:line="392"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取得电梯生产制造商针对本项目所投产品的授权，对其授权的生产制造商必须满足生产制造商独立投标的资格条件（即特定资格条件第１条）；〔须提供生产制造商针对本项目授权资料的复印件；须提供投标品牌生产制造商独立投标所需的全部资格审查资料的复印件（即特定资格条件第１条）。本条款复印件均需同时加盖生产制造商公章和代理商公章。〕</w:t>
      </w:r>
    </w:p>
    <w:p w14:paraId="6C0C1626">
      <w:pPr>
        <w:spacing w:beforeLines="0" w:afterLines="0" w:line="392" w:lineRule="exact"/>
        <w:ind w:firstLine="480" w:firstLineChars="200"/>
        <w:rPr>
          <w:rFonts w:hint="default" w:ascii="宋体" w:hAnsi="宋体" w:cs="宋体"/>
          <w:b/>
          <w:color w:val="auto"/>
          <w:sz w:val="24"/>
          <w:szCs w:val="24"/>
          <w:highlight w:val="none"/>
        </w:rPr>
      </w:pPr>
      <w:r>
        <w:rPr>
          <w:rFonts w:hint="eastAsia" w:ascii="宋体" w:hAnsi="宋体" w:eastAsia="宋体" w:cs="宋体"/>
          <w:color w:val="auto"/>
          <w:sz w:val="24"/>
          <w:szCs w:val="24"/>
          <w:highlight w:val="none"/>
        </w:rPr>
        <w:t>（3）具有有关质量监督检验部门颁发的且在有效期的《中华人民共和国特种设备安装改造修理（或维修）许可证》〔（电梯）安装、改造、修理（或维修）〕（乘客电梯</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级及以上资质）或具有市场监督管理部门颁发且在有效期的《中华人民共和国特种设备生产许可证》｛许可项目</w:t>
      </w:r>
      <w:r>
        <w:rPr>
          <w:rFonts w:hint="eastAsia" w:ascii="宋体" w:hAnsi="宋体" w:cs="宋体"/>
          <w:color w:val="auto"/>
          <w:sz w:val="24"/>
          <w:szCs w:val="24"/>
          <w:highlight w:val="none"/>
          <w:lang w:val="en-US" w:eastAsia="zh-CN"/>
        </w:rPr>
        <w:t>包含</w:t>
      </w:r>
      <w:r>
        <w:rPr>
          <w:rFonts w:hint="eastAsia" w:ascii="宋体" w:hAnsi="宋体" w:eastAsia="宋体" w:cs="宋体"/>
          <w:color w:val="auto"/>
          <w:sz w:val="24"/>
          <w:szCs w:val="24"/>
          <w:highlight w:val="none"/>
        </w:rPr>
        <w:t>：电梯安装（含修理）｝；（须提供有效的证书复印件并加盖供应商公章。）</w:t>
      </w:r>
    </w:p>
    <w:p w14:paraId="31BEE01D">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color w:val="auto"/>
          <w:sz w:val="24"/>
          <w:szCs w:val="24"/>
          <w:highlight w:val="none"/>
        </w:rPr>
        <w:t>（2）须提供所投电梯品牌制造商针对本项目的唯一授权书。特别提醒：同一品牌电梯只能一家供应商参与投标。</w:t>
      </w:r>
      <w:r>
        <w:rPr>
          <w:rFonts w:hint="default" w:ascii="宋体" w:hAnsi="宋体" w:cs="宋体"/>
          <w:b/>
          <w:color w:val="auto"/>
          <w:sz w:val="24"/>
          <w:szCs w:val="24"/>
          <w:highlight w:val="none"/>
        </w:rPr>
        <w:t>（提供所投电梯品牌制造商针对本项目授权资料复印件并加盖供应商公章。）</w:t>
      </w:r>
    </w:p>
    <w:p w14:paraId="4BE7BC38">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3、电梯品牌要求</w:t>
      </w:r>
    </w:p>
    <w:p w14:paraId="051C8354">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color w:val="auto"/>
          <w:sz w:val="24"/>
          <w:szCs w:val="24"/>
          <w:highlight w:val="none"/>
        </w:rPr>
        <w:t>本次招标电梯品牌</w:t>
      </w:r>
      <w:r>
        <w:rPr>
          <w:rFonts w:hint="eastAsia" w:ascii="宋体" w:hAnsi="宋体" w:cs="宋体"/>
          <w:color w:val="auto"/>
          <w:sz w:val="24"/>
          <w:szCs w:val="24"/>
          <w:highlight w:val="none"/>
          <w:lang w:val="en-US" w:eastAsia="zh-CN"/>
        </w:rPr>
        <w:t>,具有广泛的市场影响力，在国内、国际有较高的知名度</w:t>
      </w:r>
      <w:r>
        <w:rPr>
          <w:rFonts w:hint="default" w:ascii="宋体" w:hAnsi="宋体" w:cs="宋体"/>
          <w:color w:val="auto"/>
          <w:sz w:val="24"/>
          <w:szCs w:val="24"/>
          <w:highlight w:val="none"/>
        </w:rPr>
        <w:t>，并满足厂家唯一授权且原厂质保及维保。</w:t>
      </w:r>
    </w:p>
    <w:p w14:paraId="398C2D1D">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4.业绩要求</w:t>
      </w:r>
    </w:p>
    <w:p w14:paraId="58E0F1D8">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供应商自2023年1月1日起至投标截止日止</w:t>
      </w:r>
      <w:r>
        <w:rPr>
          <w:rFonts w:hint="default" w:ascii="宋体" w:hAnsi="宋体" w:cs="宋体"/>
          <w:b/>
          <w:color w:val="auto"/>
          <w:sz w:val="24"/>
          <w:szCs w:val="24"/>
          <w:highlight w:val="none"/>
        </w:rPr>
        <w:t>（以合同签订时间为准）</w:t>
      </w:r>
      <w:r>
        <w:rPr>
          <w:rFonts w:hint="default" w:ascii="宋体" w:hAnsi="宋体" w:cs="宋体"/>
          <w:color w:val="auto"/>
          <w:sz w:val="24"/>
          <w:szCs w:val="24"/>
          <w:highlight w:val="none"/>
        </w:rPr>
        <w:t>，至少承接过1个电梯更新或更换项目。</w:t>
      </w:r>
    </w:p>
    <w:p w14:paraId="3C6D470E">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（提供合同复印件并加盖供应商公章）。</w:t>
      </w:r>
    </w:p>
    <w:p w14:paraId="68BE3B2C">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四、比选有关说明</w:t>
      </w:r>
      <w:bookmarkEnd w:id="18"/>
      <w:bookmarkEnd w:id="19"/>
      <w:bookmarkEnd w:id="20"/>
      <w:bookmarkEnd w:id="21"/>
    </w:p>
    <w:p w14:paraId="2B4D33BC">
      <w:pPr>
        <w:spacing w:beforeLines="0" w:afterLines="0" w:line="392" w:lineRule="exact"/>
        <w:ind w:firstLine="420"/>
        <w:rPr>
          <w:rFonts w:hint="default" w:ascii="宋体" w:hAnsi="宋体" w:cs="宋体"/>
          <w:color w:val="auto"/>
          <w:sz w:val="24"/>
          <w:szCs w:val="24"/>
          <w:highlight w:val="none"/>
        </w:rPr>
      </w:pPr>
      <w:bookmarkStart w:id="22" w:name="_Toc6178"/>
      <w:bookmarkStart w:id="23" w:name="_Toc65660334"/>
      <w:bookmarkStart w:id="24" w:name="_Toc525047161"/>
      <w:bookmarkStart w:id="25" w:name="_Toc11956"/>
      <w:bookmarkStart w:id="26" w:name="_Toc23330"/>
      <w:bookmarkStart w:id="27" w:name="_Toc521053053"/>
      <w:bookmarkStart w:id="28" w:name="_Toc4638"/>
      <w:r>
        <w:rPr>
          <w:rFonts w:hint="default" w:ascii="宋体" w:hAnsi="宋体" w:cs="宋体"/>
          <w:b/>
          <w:color w:val="auto"/>
          <w:sz w:val="24"/>
          <w:szCs w:val="24"/>
          <w:highlight w:val="none"/>
        </w:rPr>
        <w:t>（一）凡有意参加比选的供应商，必须在“ 行采家 ”服务平台注册，成为正式供应商。供应商请于公告发布之日起至响应文件递交截止时间之前，在“行采家”（https://www.gec123.com/）上下载本项目竞争性比选文件以及补遗等比选前公布的所有项目资料，无论供应商下载与否，均视为已知晓所有比选实质性要求内容。本比选采购邀请书同时在行采家平台发布和本小区公告栏张贴。</w:t>
      </w:r>
    </w:p>
    <w:p w14:paraId="64974BA1">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（二）报名及比选文件发售：</w:t>
      </w:r>
    </w:p>
    <w:p w14:paraId="294B9953">
      <w:pPr>
        <w:spacing w:beforeLines="0" w:afterLines="0" w:line="392" w:lineRule="exact"/>
        <w:ind w:left="238" w:leftChars="85" w:firstLine="120" w:firstLineChars="50"/>
        <w:rPr>
          <w:rFonts w:hint="default" w:ascii="宋体" w:hAnsi="宋体" w:cs="宋体"/>
          <w:b/>
          <w:color w:val="auto"/>
          <w:sz w:val="24"/>
          <w:szCs w:val="24"/>
          <w:highlight w:val="none"/>
        </w:rPr>
      </w:pPr>
      <w:r>
        <w:rPr>
          <w:rFonts w:hint="default" w:ascii="宋体" w:hAnsi="宋体" w:cs="宋体"/>
          <w:b/>
          <w:color w:val="auto"/>
          <w:sz w:val="24"/>
          <w:szCs w:val="24"/>
          <w:highlight w:val="none"/>
        </w:rPr>
        <w:t>1.报名期限和比选文件发售期：公告发布之日（2026年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17</w:t>
      </w:r>
      <w:r>
        <w:rPr>
          <w:rFonts w:hint="default" w:ascii="宋体" w:hAnsi="宋体" w:cs="宋体"/>
          <w:b/>
          <w:color w:val="auto"/>
          <w:sz w:val="24"/>
          <w:szCs w:val="24"/>
          <w:highlight w:val="none"/>
        </w:rPr>
        <w:t>日）起至（2026年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21</w:t>
      </w:r>
      <w:r>
        <w:rPr>
          <w:rFonts w:hint="default" w:ascii="宋体" w:hAnsi="宋体" w:cs="宋体"/>
          <w:b/>
          <w:color w:val="auto"/>
          <w:sz w:val="24"/>
          <w:szCs w:val="24"/>
          <w:highlight w:val="none"/>
        </w:rPr>
        <w:t>日）17时00分止。</w:t>
      </w:r>
    </w:p>
    <w:p w14:paraId="5663B3AF">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2.比选文件售价：</w:t>
      </w:r>
      <w:r>
        <w:rPr>
          <w:rFonts w:hint="default" w:ascii="宋体" w:hAnsi="宋体" w:cs="宋体"/>
          <w:color w:val="auto"/>
          <w:sz w:val="24"/>
          <w:szCs w:val="24"/>
          <w:highlight w:val="none"/>
        </w:rPr>
        <w:t>人民币</w:t>
      </w:r>
      <w:r>
        <w:rPr>
          <w:rFonts w:hint="eastAsia" w:ascii="宋体" w:hAnsi="宋体" w:cs="宋体"/>
          <w:color w:val="auto"/>
          <w:sz w:val="24"/>
          <w:szCs w:val="24"/>
          <w:highlight w:val="none"/>
          <w:lang w:val="en-US" w:eastAsia="zh-CN"/>
        </w:rPr>
        <w:t>5</w:t>
      </w:r>
      <w:r>
        <w:rPr>
          <w:rFonts w:hint="default" w:ascii="宋体" w:hAnsi="宋体" w:cs="宋体"/>
          <w:color w:val="auto"/>
          <w:sz w:val="24"/>
          <w:szCs w:val="24"/>
          <w:highlight w:val="none"/>
        </w:rPr>
        <w:t>00元/份（售后不退）。</w:t>
      </w:r>
    </w:p>
    <w:p w14:paraId="7E96B07A">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3.报名方式：</w:t>
      </w:r>
      <w:r>
        <w:rPr>
          <w:rFonts w:hint="default" w:ascii="宋体" w:hAnsi="宋体" w:cs="宋体"/>
          <w:color w:val="auto"/>
          <w:sz w:val="24"/>
          <w:szCs w:val="24"/>
          <w:highlight w:val="none"/>
        </w:rPr>
        <w:t>在报名期限和比选文件发售期内，供应商将比选文件购买费用汇至以下账户（转账时备注：供应商简称+</w:t>
      </w:r>
      <w:r>
        <w:rPr>
          <w:rFonts w:hint="eastAsia" w:ascii="宋体" w:hAnsi="宋体" w:cs="宋体"/>
          <w:color w:val="auto"/>
          <w:sz w:val="24"/>
          <w:szCs w:val="24"/>
          <w:highlight w:val="none"/>
          <w:lang w:val="en-US" w:eastAsia="zh-CN"/>
        </w:rPr>
        <w:t>正升</w:t>
      </w:r>
      <w:r>
        <w:rPr>
          <w:rFonts w:hint="eastAsia" w:ascii="微软雅黑" w:hAnsi="微软雅黑" w:eastAsia="微软雅黑" w:cs="微软雅黑"/>
          <w:color w:val="auto"/>
          <w:sz w:val="24"/>
          <w:szCs w:val="24"/>
          <w:highlight w:val="none"/>
          <w:lang w:val="en-US" w:eastAsia="zh-CN"/>
        </w:rPr>
        <w:t>·</w:t>
      </w:r>
      <w:r>
        <w:rPr>
          <w:rFonts w:hint="eastAsia" w:ascii="宋体" w:hAnsi="宋体" w:cs="宋体"/>
          <w:color w:val="auto"/>
          <w:sz w:val="24"/>
          <w:szCs w:val="24"/>
          <w:highlight w:val="none"/>
          <w:lang w:val="en-US" w:eastAsia="zh-CN"/>
        </w:rPr>
        <w:t>百老汇住宅1单元</w:t>
      </w:r>
      <w:r>
        <w:rPr>
          <w:rFonts w:hint="default" w:ascii="宋体" w:hAnsi="宋体" w:cs="宋体"/>
          <w:color w:val="auto"/>
          <w:sz w:val="24"/>
          <w:szCs w:val="24"/>
          <w:highlight w:val="none"/>
        </w:rPr>
        <w:t>电梯</w:t>
      </w:r>
      <w:r>
        <w:rPr>
          <w:rFonts w:hint="eastAsia" w:ascii="宋体" w:hAnsi="宋体" w:cs="宋体"/>
          <w:color w:val="auto"/>
          <w:sz w:val="24"/>
          <w:szCs w:val="24"/>
          <w:highlight w:val="none"/>
          <w:lang w:val="en-US" w:eastAsia="zh-CN"/>
        </w:rPr>
        <w:t>更新</w:t>
      </w:r>
      <w:r>
        <w:rPr>
          <w:rFonts w:hint="default" w:ascii="宋体" w:hAnsi="宋体" w:cs="宋体"/>
          <w:color w:val="auto"/>
          <w:sz w:val="24"/>
          <w:szCs w:val="24"/>
          <w:highlight w:val="none"/>
        </w:rPr>
        <w:t>文件费），同时将填写完善的《报名登记表》（格式详见本篇附件）加盖供应商公章扫描后发送至</w:t>
      </w:r>
      <w:r>
        <w:rPr>
          <w:rFonts w:hint="eastAsia" w:ascii="宋体" w:hAnsi="宋体" w:cs="宋体"/>
          <w:color w:val="auto"/>
          <w:sz w:val="24"/>
          <w:szCs w:val="24"/>
          <w:highlight w:val="none"/>
          <w:lang w:val="en-US" w:eastAsia="zh-CN"/>
        </w:rPr>
        <w:t>453063533@qq.com</w:t>
      </w:r>
      <w:r>
        <w:rPr>
          <w:rFonts w:hint="default" w:ascii="宋体" w:hAnsi="宋体" w:cs="宋体"/>
          <w:color w:val="auto"/>
          <w:sz w:val="24"/>
          <w:szCs w:val="24"/>
          <w:highlight w:val="none"/>
        </w:rPr>
        <w:t>（电子邮箱）或到</w:t>
      </w: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百老汇物业项目部</w:t>
      </w:r>
      <w:r>
        <w:rPr>
          <w:rFonts w:hint="default" w:ascii="宋体" w:hAnsi="宋体" w:cs="宋体"/>
          <w:color w:val="auto"/>
          <w:sz w:val="24"/>
          <w:szCs w:val="24"/>
          <w:highlight w:val="none"/>
        </w:rPr>
        <w:t>现场缴纳文件费并递交《报名登记表》报名，在报名期限和比选文件发售期内报名并交纳比选文件费的供应商，其响应文件才能被接收。</w:t>
      </w:r>
    </w:p>
    <w:p w14:paraId="62A39AD0">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户  名：</w:t>
      </w:r>
      <w:r>
        <w:rPr>
          <w:rFonts w:hint="eastAsia" w:ascii="宋体" w:hAnsi="宋体" w:cs="宋体"/>
          <w:color w:val="auto"/>
          <w:sz w:val="24"/>
          <w:szCs w:val="24"/>
          <w:highlight w:val="none"/>
          <w:u w:val="none"/>
          <w:lang w:val="en-US" w:eastAsia="zh-CN"/>
        </w:rPr>
        <w:t>新大正物业集团股份</w:t>
      </w:r>
      <w:r>
        <w:rPr>
          <w:rFonts w:hint="default" w:ascii="宋体" w:hAnsi="宋体" w:cs="宋体"/>
          <w:color w:val="auto"/>
          <w:sz w:val="24"/>
          <w:szCs w:val="24"/>
          <w:highlight w:val="none"/>
          <w:u w:val="none"/>
        </w:rPr>
        <w:t>有限公司</w:t>
      </w:r>
    </w:p>
    <w:p w14:paraId="34B26E93">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开户行：中国农业银行重庆渝中大正支行</w:t>
      </w:r>
    </w:p>
    <w:p w14:paraId="3685F052">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账  号：31020301040000026</w:t>
      </w:r>
    </w:p>
    <w:p w14:paraId="69D0DC98">
      <w:pPr>
        <w:spacing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（三）本项目采用线上+线下相结合的投标方式，请各供应商按如下要求进行投标：</w:t>
      </w:r>
    </w:p>
    <w:p w14:paraId="37C4C011">
      <w:pPr>
        <w:spacing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1.线上报价及上传响应文件电子文档</w:t>
      </w:r>
    </w:p>
    <w:p w14:paraId="1A11CFEE">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线上报价时间：</w:t>
      </w:r>
      <w:r>
        <w:rPr>
          <w:rFonts w:hint="default" w:ascii="宋体" w:hAnsi="宋体" w:cs="宋体"/>
          <w:b/>
          <w:color w:val="auto"/>
          <w:sz w:val="24"/>
          <w:szCs w:val="24"/>
          <w:highlight w:val="none"/>
        </w:rPr>
        <w:t>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09</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00</w:t>
      </w:r>
      <w:r>
        <w:rPr>
          <w:rFonts w:hint="default" w:ascii="宋体" w:hAnsi="宋体" w:cs="宋体"/>
          <w:b/>
          <w:color w:val="auto"/>
          <w:sz w:val="24"/>
          <w:szCs w:val="24"/>
          <w:highlight w:val="none"/>
        </w:rPr>
        <w:t>分至2026年</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12</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00</w:t>
      </w:r>
      <w:r>
        <w:rPr>
          <w:rFonts w:hint="default" w:ascii="宋体" w:hAnsi="宋体" w:cs="宋体"/>
          <w:b/>
          <w:color w:val="auto"/>
          <w:sz w:val="24"/>
          <w:szCs w:val="24"/>
          <w:highlight w:val="none"/>
        </w:rPr>
        <w:t>分。</w:t>
      </w:r>
    </w:p>
    <w:p w14:paraId="19DB8C68">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上报价要求：按本项目规定的线上报价时间内在行采家（https://www.gec123.com/）上进行线上报价，并在规定的时间内上传响应文件电子文档。未在规定时间内报价和上传响应文件电子文档的供应商不具备比选资格。行采家上传的响应文件电子文档应为签字盖章齐全的纸质响应文件正本的扫描件（PDF格式），若与纸质响应文件正本不一致的，以纸质响应文件正本为准。</w:t>
      </w:r>
    </w:p>
    <w:p w14:paraId="71C35BE7">
      <w:pPr>
        <w:spacing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2.线下递交纸质响应文件</w:t>
      </w:r>
    </w:p>
    <w:p w14:paraId="5A960B87">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线下递交纸质响应文件开始时间：</w:t>
      </w:r>
      <w:r>
        <w:rPr>
          <w:rFonts w:hint="default" w:ascii="宋体" w:hAnsi="宋体" w:cs="宋体"/>
          <w:b/>
          <w:color w:val="auto"/>
          <w:sz w:val="24"/>
          <w:szCs w:val="24"/>
          <w:highlight w:val="none"/>
        </w:rPr>
        <w:t xml:space="preserve">2026年 </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 xml:space="preserve">日 </w:t>
      </w:r>
      <w:r>
        <w:rPr>
          <w:rFonts w:hint="eastAsia" w:ascii="宋体" w:hAnsi="宋体" w:cs="宋体"/>
          <w:b/>
          <w:color w:val="auto"/>
          <w:sz w:val="24"/>
          <w:szCs w:val="24"/>
          <w:highlight w:val="none"/>
          <w:lang w:val="en-US" w:eastAsia="zh-CN"/>
        </w:rPr>
        <w:t>14</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00</w:t>
      </w:r>
      <w:r>
        <w:rPr>
          <w:rFonts w:hint="default" w:ascii="宋体" w:hAnsi="宋体" w:cs="宋体"/>
          <w:b/>
          <w:color w:val="auto"/>
          <w:sz w:val="24"/>
          <w:szCs w:val="24"/>
          <w:highlight w:val="none"/>
        </w:rPr>
        <w:t>分。</w:t>
      </w:r>
    </w:p>
    <w:p w14:paraId="4868A2D3">
      <w:pPr>
        <w:spacing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线下递交纸质响应文件截止时间：</w:t>
      </w:r>
      <w:r>
        <w:rPr>
          <w:rFonts w:hint="default" w:ascii="宋体" w:hAnsi="宋体" w:cs="宋体"/>
          <w:b/>
          <w:color w:val="auto"/>
          <w:sz w:val="24"/>
          <w:szCs w:val="24"/>
          <w:highlight w:val="none"/>
        </w:rPr>
        <w:t xml:space="preserve">2026年 </w:t>
      </w:r>
      <w:r>
        <w:rPr>
          <w:rFonts w:hint="eastAsia" w:ascii="宋体" w:hAnsi="宋体" w:cs="宋体"/>
          <w:b/>
          <w:color w:val="auto"/>
          <w:sz w:val="24"/>
          <w:szCs w:val="24"/>
          <w:highlight w:val="none"/>
          <w:lang w:val="en-US" w:eastAsia="zh-CN"/>
        </w:rPr>
        <w:t>4</w:t>
      </w:r>
      <w:r>
        <w:rPr>
          <w:rFonts w:hint="default" w:ascii="宋体" w:hAnsi="宋体" w:cs="宋体"/>
          <w:b/>
          <w:color w:val="auto"/>
          <w:sz w:val="24"/>
          <w:szCs w:val="24"/>
          <w:highlight w:val="none"/>
        </w:rPr>
        <w:t>月</w:t>
      </w:r>
      <w:r>
        <w:rPr>
          <w:rFonts w:hint="eastAsia" w:ascii="宋体" w:hAnsi="宋体" w:cs="宋体"/>
          <w:b/>
          <w:color w:val="auto"/>
          <w:sz w:val="24"/>
          <w:szCs w:val="24"/>
          <w:highlight w:val="none"/>
          <w:lang w:val="en-US" w:eastAsia="zh-CN"/>
        </w:rPr>
        <w:t>22</w:t>
      </w:r>
      <w:r>
        <w:rPr>
          <w:rFonts w:hint="default" w:ascii="宋体" w:hAnsi="宋体" w:cs="宋体"/>
          <w:b/>
          <w:color w:val="auto"/>
          <w:sz w:val="24"/>
          <w:szCs w:val="24"/>
          <w:highlight w:val="none"/>
        </w:rPr>
        <w:t xml:space="preserve">日 </w:t>
      </w:r>
      <w:r>
        <w:rPr>
          <w:rFonts w:hint="eastAsia" w:ascii="宋体" w:hAnsi="宋体" w:cs="宋体"/>
          <w:b/>
          <w:color w:val="auto"/>
          <w:sz w:val="24"/>
          <w:szCs w:val="24"/>
          <w:highlight w:val="none"/>
          <w:lang w:val="en-US" w:eastAsia="zh-CN"/>
        </w:rPr>
        <w:t>14</w:t>
      </w:r>
      <w:r>
        <w:rPr>
          <w:rFonts w:hint="default"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30</w:t>
      </w:r>
      <w:r>
        <w:rPr>
          <w:rFonts w:hint="default" w:ascii="宋体" w:hAnsi="宋体" w:cs="宋体"/>
          <w:b/>
          <w:color w:val="auto"/>
          <w:sz w:val="24"/>
          <w:szCs w:val="24"/>
          <w:highlight w:val="none"/>
        </w:rPr>
        <w:t>分。</w:t>
      </w:r>
    </w:p>
    <w:p w14:paraId="5B9B60F9">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线下递交纸质响应文件地点：</w:t>
      </w: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eastAsia" w:ascii="宋体" w:hAnsi="宋体" w:cs="宋体"/>
          <w:color w:val="auto"/>
          <w:sz w:val="24"/>
          <w:szCs w:val="24"/>
          <w:highlight w:val="none"/>
          <w:u w:val="single"/>
          <w:lang w:val="en-US" w:eastAsia="zh-CN"/>
        </w:rPr>
        <w:t>正升</w:t>
      </w:r>
      <w:r>
        <w:rPr>
          <w:rFonts w:hint="eastAsia" w:ascii="微软雅黑" w:hAnsi="微软雅黑" w:eastAsia="微软雅黑" w:cs="微软雅黑"/>
          <w:color w:val="auto"/>
          <w:sz w:val="24"/>
          <w:szCs w:val="24"/>
          <w:highlight w:val="none"/>
          <w:u w:val="single"/>
          <w:lang w:val="en-US" w:eastAsia="zh-CN"/>
        </w:rPr>
        <w:t>·</w:t>
      </w:r>
      <w:r>
        <w:rPr>
          <w:rFonts w:hint="eastAsia" w:ascii="宋体" w:hAnsi="宋体" w:cs="宋体"/>
          <w:color w:val="auto"/>
          <w:sz w:val="24"/>
          <w:szCs w:val="24"/>
          <w:highlight w:val="none"/>
          <w:u w:val="single"/>
          <w:lang w:val="en-US" w:eastAsia="zh-CN"/>
        </w:rPr>
        <w:t>百老汇物业项目部</w:t>
      </w:r>
      <w:r>
        <w:rPr>
          <w:rFonts w:hint="default" w:ascii="宋体" w:hAnsi="宋体" w:cs="宋体"/>
          <w:color w:val="auto"/>
          <w:sz w:val="24"/>
          <w:szCs w:val="24"/>
          <w:highlight w:val="none"/>
        </w:rPr>
        <w:t>办公室【具体会议室以现场安排为准】。逾期送达的或者未送达指定地点的响应文件，采购人不予受理。</w:t>
      </w:r>
    </w:p>
    <w:p w14:paraId="3E4A7D5F">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3.开标时间：同线下递交纸质响应文件截止时间。</w:t>
      </w:r>
    </w:p>
    <w:p w14:paraId="06C00654">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4.开标地点：同线下递交纸质响应文件地点。</w:t>
      </w:r>
    </w:p>
    <w:p w14:paraId="1A3F40EC">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5.供应商须满足以下要件，其响应文件才被接受：</w:t>
      </w:r>
    </w:p>
    <w:p w14:paraId="61545594">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（1）按时报名。</w:t>
      </w:r>
    </w:p>
    <w:p w14:paraId="304E8DF9">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（2）按时在行采家（https://www.gec123.com/）进行线上报价并上传签字盖章齐全的pdf格式的响应文件电子文档。</w:t>
      </w:r>
    </w:p>
    <w:p w14:paraId="71A90AFE">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（3）按时线下递交纸质响应文件。</w:t>
      </w:r>
    </w:p>
    <w:p w14:paraId="41D483C6">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（4）按时签到并按时缴纳投标保证金。</w:t>
      </w:r>
    </w:p>
    <w:p w14:paraId="13A9296B">
      <w:pPr>
        <w:spacing w:beforeLines="0" w:afterLines="0" w:line="392" w:lineRule="exact"/>
        <w:ind w:firstLine="420"/>
        <w:rPr>
          <w:rFonts w:hint="default" w:ascii="宋体" w:hAnsi="宋体" w:cs="宋体"/>
          <w:b/>
          <w:color w:val="auto"/>
          <w:sz w:val="24"/>
          <w:szCs w:val="24"/>
          <w:highlight w:val="none"/>
        </w:rPr>
      </w:pPr>
      <w:r>
        <w:rPr>
          <w:rFonts w:hint="default" w:ascii="宋体" w:hAnsi="宋体" w:cs="宋体"/>
          <w:b/>
          <w:color w:val="auto"/>
          <w:sz w:val="24"/>
          <w:szCs w:val="24"/>
          <w:highlight w:val="none"/>
        </w:rPr>
        <w:t>五、投标保证金</w:t>
      </w:r>
      <w:bookmarkEnd w:id="22"/>
      <w:bookmarkEnd w:id="23"/>
      <w:bookmarkEnd w:id="24"/>
      <w:bookmarkEnd w:id="25"/>
      <w:bookmarkEnd w:id="26"/>
      <w:bookmarkEnd w:id="27"/>
      <w:bookmarkEnd w:id="28"/>
    </w:p>
    <w:p w14:paraId="318BCDC1">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（一）保证金递交</w:t>
      </w:r>
    </w:p>
    <w:p w14:paraId="1921D309">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1.供应商应足额交纳保证金（保证金金额详见本篇，一、比选内容），并汇至如下账户，保证金的到账截止时间同提交响应文件截止时间。</w:t>
      </w:r>
    </w:p>
    <w:p w14:paraId="7BB55058">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保证金账户：</w:t>
      </w:r>
    </w:p>
    <w:p w14:paraId="3C09648E">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户  名：</w:t>
      </w:r>
      <w:r>
        <w:rPr>
          <w:rFonts w:hint="eastAsia" w:ascii="宋体" w:hAnsi="宋体" w:cs="宋体"/>
          <w:color w:val="auto"/>
          <w:sz w:val="24"/>
          <w:szCs w:val="24"/>
          <w:highlight w:val="none"/>
          <w:u w:val="none"/>
          <w:lang w:val="en-US" w:eastAsia="zh-CN"/>
        </w:rPr>
        <w:t>新大正物业集团股份</w:t>
      </w:r>
      <w:r>
        <w:rPr>
          <w:rFonts w:hint="default" w:ascii="宋体" w:hAnsi="宋体" w:cs="宋体"/>
          <w:color w:val="auto"/>
          <w:sz w:val="24"/>
          <w:szCs w:val="24"/>
          <w:highlight w:val="none"/>
        </w:rPr>
        <w:t xml:space="preserve">有限公司 </w:t>
      </w:r>
    </w:p>
    <w:p w14:paraId="6CEEB959">
      <w:pPr>
        <w:spacing w:beforeLines="0" w:afterLines="0" w:line="392" w:lineRule="exact"/>
        <w:ind w:firstLine="420"/>
        <w:rPr>
          <w:rFonts w:hint="eastAsia" w:ascii="宋体" w:hAnsi="宋体" w:cs="宋体"/>
          <w:color w:val="auto"/>
          <w:sz w:val="24"/>
          <w:szCs w:val="24"/>
          <w:highlight w:val="none"/>
          <w:lang w:val="en-US" w:eastAsia="zh-CN"/>
        </w:rPr>
      </w:pPr>
      <w:r>
        <w:rPr>
          <w:rFonts w:hint="default" w:ascii="宋体" w:hAnsi="宋体" w:cs="宋体"/>
          <w:color w:val="auto"/>
          <w:sz w:val="24"/>
          <w:szCs w:val="24"/>
          <w:highlight w:val="none"/>
        </w:rPr>
        <w:t>开户行：中国农业银行重庆渝中大正支行</w:t>
      </w:r>
    </w:p>
    <w:p w14:paraId="1DD5AF2C">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账  号：</w:t>
      </w:r>
      <w:r>
        <w:rPr>
          <w:rFonts w:hint="eastAsia" w:ascii="宋体" w:hAnsi="宋体" w:cs="宋体"/>
          <w:color w:val="auto"/>
          <w:sz w:val="24"/>
          <w:szCs w:val="24"/>
          <w:highlight w:val="none"/>
          <w:lang w:val="en-US" w:eastAsia="zh-CN"/>
        </w:rPr>
        <w:t>31020301040000026</w:t>
      </w:r>
    </w:p>
    <w:p w14:paraId="4CDD12BA">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2.各供应商在银行转账（电汇）时，须充分考虑银行转账（电汇）的时间差风险，如同城转账、异地转账或汇款、跨行转账或电汇的时间要求。</w:t>
      </w:r>
    </w:p>
    <w:p w14:paraId="65B4AFD7">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（二）保证金退还方式</w:t>
      </w:r>
    </w:p>
    <w:p w14:paraId="3E508900">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1.未成交供应商的保证金，在成交通知书发放后，采购</w:t>
      </w:r>
      <w:r>
        <w:rPr>
          <w:rFonts w:hint="eastAsia" w:ascii="宋体" w:hAnsi="宋体" w:cs="宋体"/>
          <w:color w:val="auto"/>
          <w:sz w:val="24"/>
          <w:szCs w:val="24"/>
          <w:highlight w:val="none"/>
          <w:lang w:val="en-US" w:eastAsia="zh-CN"/>
        </w:rPr>
        <w:t>人</w:t>
      </w:r>
      <w:r>
        <w:rPr>
          <w:rFonts w:hint="default" w:ascii="宋体" w:hAnsi="宋体" w:cs="宋体"/>
          <w:color w:val="auto"/>
          <w:sz w:val="24"/>
          <w:szCs w:val="24"/>
          <w:highlight w:val="none"/>
        </w:rPr>
        <w:t>在五个工作日内按来款渠道无息直接退还。</w:t>
      </w:r>
    </w:p>
    <w:p w14:paraId="14D77515">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2.成交供应商的保证金，在成交供应商与采购人签订合同后，采购代理机构在五个工作日内按资金来款渠道无息直接退还。</w:t>
      </w:r>
    </w:p>
    <w:p w14:paraId="48DAF294">
      <w:pPr>
        <w:spacing w:beforeLines="0" w:afterLines="0" w:line="392" w:lineRule="exact"/>
        <w:ind w:firstLine="420"/>
        <w:rPr>
          <w:rFonts w:hint="default" w:ascii="宋体" w:hAnsi="宋体" w:cs="宋体"/>
          <w:b/>
          <w:color w:val="auto"/>
          <w:sz w:val="24"/>
          <w:szCs w:val="24"/>
          <w:highlight w:val="none"/>
        </w:rPr>
      </w:pPr>
      <w:bookmarkStart w:id="29" w:name="_Toc65660335"/>
      <w:bookmarkStart w:id="30" w:name="_Toc521053054"/>
      <w:bookmarkStart w:id="31" w:name="_Toc12296"/>
      <w:bookmarkStart w:id="32" w:name="_Toc479668114"/>
      <w:bookmarkStart w:id="33" w:name="_Toc6810"/>
      <w:bookmarkStart w:id="34" w:name="_Toc525047162"/>
      <w:bookmarkStart w:id="35" w:name="_Toc2945"/>
      <w:bookmarkStart w:id="36" w:name="_Toc4355"/>
      <w:r>
        <w:rPr>
          <w:rFonts w:hint="eastAsia" w:ascii="宋体" w:hAnsi="宋体" w:cs="宋体"/>
          <w:b/>
          <w:color w:val="auto"/>
          <w:sz w:val="24"/>
          <w:szCs w:val="24"/>
          <w:highlight w:val="none"/>
          <w:lang w:val="en-US" w:eastAsia="zh-CN"/>
        </w:rPr>
        <w:t>六</w:t>
      </w:r>
      <w:r>
        <w:rPr>
          <w:rFonts w:hint="default" w:ascii="宋体" w:hAnsi="宋体" w:cs="宋体"/>
          <w:b/>
          <w:color w:val="auto"/>
          <w:sz w:val="24"/>
          <w:szCs w:val="24"/>
          <w:highlight w:val="none"/>
        </w:rPr>
        <w:t>、</w:t>
      </w:r>
      <w:bookmarkEnd w:id="29"/>
      <w:bookmarkEnd w:id="30"/>
      <w:bookmarkEnd w:id="31"/>
      <w:bookmarkEnd w:id="32"/>
      <w:bookmarkEnd w:id="33"/>
      <w:bookmarkEnd w:id="34"/>
      <w:bookmarkEnd w:id="35"/>
      <w:bookmarkEnd w:id="36"/>
      <w:r>
        <w:rPr>
          <w:rFonts w:hint="default" w:ascii="宋体" w:hAnsi="宋体" w:cs="宋体"/>
          <w:b/>
          <w:color w:val="auto"/>
          <w:sz w:val="24"/>
          <w:szCs w:val="24"/>
          <w:highlight w:val="none"/>
        </w:rPr>
        <w:t>其他有关规定</w:t>
      </w:r>
    </w:p>
    <w:p w14:paraId="182E126C">
      <w:pPr>
        <w:spacing w:beforeLines="0" w:afterLines="0" w:line="392" w:lineRule="exact"/>
        <w:ind w:firstLine="420"/>
        <w:rPr>
          <w:rFonts w:hint="default" w:ascii="宋体" w:hAnsi="宋体" w:cs="宋体"/>
          <w:color w:val="auto"/>
          <w:sz w:val="24"/>
          <w:szCs w:val="24"/>
          <w:highlight w:val="none"/>
        </w:rPr>
      </w:pPr>
      <w:bookmarkStart w:id="37" w:name="_Toc4164"/>
      <w:r>
        <w:rPr>
          <w:rFonts w:hint="default" w:ascii="宋体" w:hAnsi="宋体" w:cs="宋体"/>
          <w:color w:val="auto"/>
          <w:sz w:val="24"/>
          <w:szCs w:val="24"/>
          <w:highlight w:val="none"/>
        </w:rPr>
        <w:t>（一）单位负责人为同一人或者存在直接控股、管理关系的不同供应商，不得参加同一合同项下的采购活动，否则均为无效响应。</w:t>
      </w:r>
      <w:bookmarkStart w:id="38" w:name="_Toc26534"/>
      <w:bookmarkStart w:id="39" w:name="_Toc7523"/>
      <w:bookmarkStart w:id="40" w:name="_Toc27096"/>
    </w:p>
    <w:p w14:paraId="1B8157BA">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（二）为采购项目提供规范编制或者项目管理、监理、检测等服务的供应商，不得再参加该采购项目的其他采购活动，否则均为无效响应。</w:t>
      </w:r>
      <w:bookmarkEnd w:id="38"/>
      <w:bookmarkEnd w:id="39"/>
      <w:bookmarkEnd w:id="40"/>
      <w:bookmarkStart w:id="41" w:name="_Toc12146"/>
      <w:bookmarkStart w:id="42" w:name="_Toc28271"/>
      <w:bookmarkStart w:id="43" w:name="_Toc28581"/>
    </w:p>
    <w:p w14:paraId="4ECE2CA6">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（三）本项目的补遗文件（如果有）一律在“行采家”（https://www.gec123.com/）上发布，请各供应商注意下载；无论供应商下载与否，均视同供应商已知晓本项目补遗文件（如果有）的内容。</w:t>
      </w:r>
      <w:bookmarkEnd w:id="41"/>
      <w:bookmarkEnd w:id="42"/>
      <w:bookmarkEnd w:id="43"/>
      <w:bookmarkStart w:id="44" w:name="_Toc15302"/>
      <w:bookmarkStart w:id="45" w:name="_Toc24100"/>
    </w:p>
    <w:p w14:paraId="771DDB58">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（四）超过响应文件截止时间递交的响应文件，恕不接收。</w:t>
      </w:r>
      <w:bookmarkEnd w:id="44"/>
      <w:bookmarkEnd w:id="45"/>
      <w:bookmarkStart w:id="46" w:name="_Toc17096"/>
      <w:bookmarkStart w:id="47" w:name="_Toc21653"/>
      <w:bookmarkStart w:id="48" w:name="_Toc8595"/>
    </w:p>
    <w:p w14:paraId="130712BF">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（五）比选费用：无论比选结果如何，供应商参与本项目比选的所有费用均应由供应商自行承担。</w:t>
      </w:r>
      <w:bookmarkEnd w:id="46"/>
      <w:bookmarkEnd w:id="47"/>
      <w:bookmarkEnd w:id="48"/>
      <w:bookmarkStart w:id="49" w:name="_Toc20776"/>
      <w:bookmarkStart w:id="50" w:name="_Toc10564"/>
      <w:bookmarkStart w:id="51" w:name="_Toc31172"/>
    </w:p>
    <w:p w14:paraId="3A6A4EC6">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（六）本项目不接受联合体投标。</w:t>
      </w:r>
      <w:bookmarkEnd w:id="49"/>
      <w:bookmarkEnd w:id="50"/>
      <w:bookmarkEnd w:id="51"/>
    </w:p>
    <w:p w14:paraId="40E05C82">
      <w:pPr>
        <w:spacing w:beforeLines="0" w:afterLines="0" w:line="392" w:lineRule="exact"/>
        <w:ind w:firstLine="420"/>
        <w:rPr>
          <w:rFonts w:hint="default" w:ascii="宋体" w:hAnsi="宋体" w:cs="宋体"/>
          <w:color w:val="auto"/>
          <w:sz w:val="24"/>
          <w:szCs w:val="24"/>
          <w:highlight w:val="none"/>
        </w:rPr>
      </w:pPr>
      <w:r>
        <w:rPr>
          <w:rFonts w:hint="eastAsia" w:ascii="宋体" w:hAnsi="宋体" w:cs="宋体"/>
          <w:b/>
          <w:color w:val="auto"/>
          <w:sz w:val="24"/>
          <w:szCs w:val="24"/>
          <w:highlight w:val="none"/>
          <w:lang w:val="en-US" w:eastAsia="zh-CN"/>
        </w:rPr>
        <w:t>七</w:t>
      </w:r>
      <w:r>
        <w:rPr>
          <w:rFonts w:hint="default" w:ascii="宋体" w:hAnsi="宋体" w:cs="宋体"/>
          <w:b/>
          <w:color w:val="auto"/>
          <w:sz w:val="24"/>
          <w:szCs w:val="24"/>
          <w:highlight w:val="none"/>
        </w:rPr>
        <w:t>、现场踏勘</w:t>
      </w:r>
      <w:bookmarkEnd w:id="37"/>
    </w:p>
    <w:p w14:paraId="1E188941">
      <w:pPr>
        <w:spacing w:beforeLines="0" w:afterLines="0" w:line="392" w:lineRule="exact"/>
        <w:ind w:firstLine="420"/>
        <w:rPr>
          <w:rFonts w:hint="default" w:ascii="宋体" w:hAnsi="宋体" w:cs="宋体"/>
          <w:color w:val="auto"/>
          <w:sz w:val="24"/>
          <w:szCs w:val="24"/>
          <w:highlight w:val="none"/>
          <w:lang w:val="en-US"/>
        </w:rPr>
      </w:pPr>
      <w:bookmarkStart w:id="52" w:name="_Toc10415"/>
      <w:bookmarkStart w:id="53" w:name="_Toc1733"/>
      <w:bookmarkStart w:id="54" w:name="_Toc525047164"/>
      <w:bookmarkStart w:id="55" w:name="_Toc1552"/>
      <w:bookmarkStart w:id="56" w:name="_Toc65660337"/>
      <w:bookmarkStart w:id="57" w:name="_Toc521053056"/>
      <w:r>
        <w:rPr>
          <w:rFonts w:hint="default" w:ascii="宋体" w:hAnsi="宋体" w:cs="宋体"/>
          <w:color w:val="auto"/>
          <w:sz w:val="24"/>
          <w:szCs w:val="24"/>
          <w:highlight w:val="none"/>
        </w:rPr>
        <w:t>为确保项目的正常实施开展，了解项目有关情况，供应商可以在竞争性比选文件公告期间进行现场自行踏勘，不管供应商踏勘与否，均视作供应商已了解本项目的所有工作内容。</w:t>
      </w:r>
      <w:bookmarkStart w:id="58" w:name="_Toc1061"/>
      <w:r>
        <w:rPr>
          <w:rFonts w:hint="default" w:ascii="宋体" w:hAnsi="宋体" w:cs="宋体"/>
          <w:color w:val="auto"/>
          <w:sz w:val="24"/>
          <w:szCs w:val="24"/>
          <w:highlight w:val="none"/>
        </w:rPr>
        <w:t>现场踏勘联系人，</w:t>
      </w:r>
      <w:r>
        <w:rPr>
          <w:rFonts w:hint="eastAsia" w:ascii="宋体" w:hAnsi="宋体" w:cs="宋体"/>
          <w:color w:val="auto"/>
          <w:sz w:val="24"/>
          <w:szCs w:val="24"/>
          <w:highlight w:val="none"/>
          <w:lang w:val="en-US" w:eastAsia="zh-CN"/>
        </w:rPr>
        <w:t>周老师。电话：023-68140275</w:t>
      </w:r>
    </w:p>
    <w:p w14:paraId="33497C81">
      <w:pPr>
        <w:spacing w:beforeLines="0" w:afterLines="0" w:line="392" w:lineRule="exact"/>
        <w:ind w:firstLine="420"/>
        <w:rPr>
          <w:rFonts w:hint="default" w:ascii="宋体" w:hAnsi="宋体" w:cs="宋体"/>
          <w:b/>
          <w:color w:val="auto"/>
          <w:sz w:val="24"/>
          <w:szCs w:val="24"/>
          <w:highlight w:val="none"/>
        </w:rPr>
      </w:pPr>
      <w:r>
        <w:rPr>
          <w:rFonts w:hint="eastAsia" w:ascii="宋体" w:hAnsi="宋体" w:cs="宋体"/>
          <w:b/>
          <w:color w:val="auto"/>
          <w:sz w:val="24"/>
          <w:szCs w:val="24"/>
          <w:highlight w:val="none"/>
          <w:lang w:val="en-US" w:eastAsia="zh-CN"/>
        </w:rPr>
        <w:t>八</w:t>
      </w:r>
      <w:r>
        <w:rPr>
          <w:rFonts w:hint="default" w:ascii="宋体" w:hAnsi="宋体" w:cs="宋体"/>
          <w:b/>
          <w:color w:val="auto"/>
          <w:sz w:val="24"/>
          <w:szCs w:val="24"/>
          <w:highlight w:val="none"/>
        </w:rPr>
        <w:t>、联系方式</w:t>
      </w:r>
      <w:bookmarkEnd w:id="52"/>
      <w:bookmarkEnd w:id="53"/>
      <w:bookmarkEnd w:id="54"/>
      <w:bookmarkEnd w:id="55"/>
      <w:bookmarkEnd w:id="56"/>
      <w:bookmarkEnd w:id="57"/>
      <w:bookmarkEnd w:id="58"/>
    </w:p>
    <w:p w14:paraId="136ACE21">
      <w:pPr>
        <w:spacing w:beforeLines="0" w:afterLines="0" w:line="392" w:lineRule="exact"/>
        <w:ind w:firstLine="420"/>
        <w:rPr>
          <w:rFonts w:hint="default" w:ascii="宋体" w:hAnsi="宋体" w:cs="宋体"/>
          <w:color w:val="auto"/>
          <w:sz w:val="24"/>
          <w:szCs w:val="24"/>
          <w:highlight w:val="none"/>
        </w:rPr>
      </w:pPr>
      <w:r>
        <w:rPr>
          <w:rFonts w:hint="default" w:ascii="宋体" w:hAnsi="宋体" w:cs="宋体"/>
          <w:color w:val="auto"/>
          <w:sz w:val="24"/>
          <w:szCs w:val="24"/>
          <w:highlight w:val="none"/>
        </w:rPr>
        <w:t>（一）采购人：</w:t>
      </w:r>
      <w:r>
        <w:rPr>
          <w:rFonts w:hint="eastAsia" w:ascii="宋体" w:hAnsi="宋体" w:cs="宋体"/>
          <w:color w:val="auto"/>
          <w:sz w:val="24"/>
          <w:szCs w:val="24"/>
          <w:highlight w:val="none"/>
          <w:u w:val="single"/>
          <w:lang w:val="en-US" w:eastAsia="zh-CN"/>
        </w:rPr>
        <w:t>新大正物业集团股份</w:t>
      </w:r>
      <w:r>
        <w:rPr>
          <w:rFonts w:hint="default" w:ascii="宋体" w:hAnsi="宋体" w:cs="宋体"/>
          <w:color w:val="auto"/>
          <w:sz w:val="24"/>
          <w:szCs w:val="24"/>
          <w:highlight w:val="none"/>
          <w:u w:val="single"/>
        </w:rPr>
        <w:t>有限公司</w:t>
      </w:r>
      <w:r>
        <w:rPr>
          <w:rFonts w:hint="default" w:ascii="宋体" w:hAnsi="宋体" w:cs="宋体"/>
          <w:color w:val="auto"/>
          <w:sz w:val="24"/>
          <w:szCs w:val="24"/>
          <w:highlight w:val="none"/>
        </w:rPr>
        <w:t xml:space="preserve"> </w:t>
      </w:r>
    </w:p>
    <w:p w14:paraId="13B90AA2">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联系人：</w:t>
      </w:r>
      <w:r>
        <w:rPr>
          <w:rFonts w:hint="eastAsia" w:ascii="宋体" w:hAnsi="宋体" w:cs="宋体"/>
          <w:color w:val="auto"/>
          <w:sz w:val="24"/>
          <w:szCs w:val="24"/>
          <w:highlight w:val="none"/>
          <w:lang w:val="en-US" w:eastAsia="zh-CN"/>
        </w:rPr>
        <w:t>周老师</w:t>
      </w:r>
    </w:p>
    <w:p w14:paraId="538233A5">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电  话：</w:t>
      </w:r>
      <w:r>
        <w:rPr>
          <w:rFonts w:hint="eastAsia" w:ascii="宋体" w:hAnsi="宋体" w:cs="宋体"/>
          <w:color w:val="auto"/>
          <w:sz w:val="24"/>
          <w:szCs w:val="24"/>
          <w:highlight w:val="none"/>
          <w:lang w:val="en-US" w:eastAsia="zh-CN"/>
        </w:rPr>
        <w:t>023-68140275</w:t>
      </w:r>
    </w:p>
    <w:p w14:paraId="552FD73C">
      <w:pPr>
        <w:spacing w:beforeLines="0" w:afterLines="0" w:line="392" w:lineRule="exact"/>
        <w:ind w:firstLine="420"/>
        <w:rPr>
          <w:rFonts w:hint="default" w:ascii="宋体" w:hAnsi="宋体" w:eastAsia="宋体" w:cs="宋体"/>
          <w:color w:val="auto"/>
          <w:sz w:val="24"/>
          <w:szCs w:val="24"/>
          <w:highlight w:val="none"/>
          <w:lang w:val="en-US" w:eastAsia="zh-CN"/>
        </w:rPr>
      </w:pPr>
      <w:r>
        <w:rPr>
          <w:rFonts w:hint="default" w:ascii="宋体" w:hAnsi="宋体" w:cs="宋体"/>
          <w:color w:val="auto"/>
          <w:sz w:val="24"/>
          <w:szCs w:val="24"/>
          <w:highlight w:val="none"/>
        </w:rPr>
        <w:t>地  址：重庆市九龙坡区</w:t>
      </w:r>
      <w:r>
        <w:rPr>
          <w:rFonts w:hint="eastAsia" w:ascii="宋体" w:hAnsi="宋体" w:cs="宋体"/>
          <w:color w:val="auto"/>
          <w:sz w:val="24"/>
          <w:szCs w:val="24"/>
          <w:highlight w:val="none"/>
          <w:lang w:val="en-US" w:eastAsia="zh-CN"/>
        </w:rPr>
        <w:t>杨家坪物业项目部</w:t>
      </w:r>
    </w:p>
    <w:p w14:paraId="67170A95">
      <w:pPr>
        <w:spacing w:beforeLines="0" w:afterLines="0" w:line="392" w:lineRule="exact"/>
        <w:rPr>
          <w:rFonts w:hint="default" w:ascii="宋体" w:hAnsi="宋体" w:cs="宋体"/>
          <w:color w:val="auto"/>
          <w:sz w:val="24"/>
          <w:szCs w:val="24"/>
          <w:highlight w:val="none"/>
        </w:rPr>
      </w:pPr>
      <w:r>
        <w:rPr>
          <w:rFonts w:hint="default" w:ascii="宋体" w:hAnsi="宋体" w:cs="宋体"/>
          <w:color w:val="auto"/>
          <w:sz w:val="24"/>
          <w:szCs w:val="24"/>
          <w:highlight w:val="none"/>
        </w:rPr>
        <w:t xml:space="preserve"> </w:t>
      </w:r>
    </w:p>
    <w:p w14:paraId="09365216">
      <w:pPr>
        <w:spacing w:beforeLines="0" w:afterLines="0" w:line="392" w:lineRule="exact"/>
        <w:rPr>
          <w:rFonts w:hint="default" w:ascii="宋体" w:hAnsi="宋体" w:cs="宋体"/>
          <w:color w:val="auto"/>
          <w:sz w:val="24"/>
          <w:szCs w:val="24"/>
          <w:highlight w:val="none"/>
        </w:rPr>
      </w:pPr>
    </w:p>
    <w:p w14:paraId="4C29286F">
      <w:pPr>
        <w:spacing w:beforeLines="0" w:afterLines="0" w:line="392" w:lineRule="exact"/>
        <w:rPr>
          <w:rFonts w:hint="default" w:ascii="宋体" w:hAnsi="宋体" w:cs="宋体"/>
          <w:color w:val="auto"/>
          <w:sz w:val="24"/>
          <w:szCs w:val="24"/>
          <w:highlight w:val="none"/>
        </w:rPr>
      </w:pPr>
    </w:p>
    <w:p w14:paraId="7737CB4A">
      <w:pPr>
        <w:spacing w:beforeLines="0" w:afterLines="0" w:line="392" w:lineRule="exact"/>
        <w:rPr>
          <w:rFonts w:hint="default" w:ascii="宋体" w:hAnsi="宋体" w:cs="宋体"/>
          <w:color w:val="auto"/>
          <w:sz w:val="24"/>
          <w:szCs w:val="24"/>
          <w:highlight w:val="none"/>
        </w:rPr>
      </w:pPr>
    </w:p>
    <w:p w14:paraId="79EBFDCD">
      <w:pPr>
        <w:spacing w:beforeLines="0" w:afterLines="0" w:line="392" w:lineRule="exact"/>
        <w:rPr>
          <w:rFonts w:hint="default" w:ascii="宋体" w:hAnsi="宋体" w:cs="宋体"/>
          <w:color w:val="auto"/>
          <w:sz w:val="24"/>
          <w:szCs w:val="24"/>
          <w:highlight w:val="none"/>
        </w:rPr>
      </w:pPr>
    </w:p>
    <w:p w14:paraId="38AD4686">
      <w:pPr>
        <w:spacing w:beforeLines="0" w:afterLines="0" w:line="392" w:lineRule="exact"/>
        <w:rPr>
          <w:rFonts w:hint="default" w:ascii="宋体" w:hAnsi="宋体" w:cs="宋体"/>
          <w:color w:val="auto"/>
          <w:sz w:val="24"/>
          <w:szCs w:val="24"/>
          <w:highlight w:val="none"/>
        </w:rPr>
      </w:pPr>
    </w:p>
    <w:p w14:paraId="3D142626">
      <w:pPr>
        <w:spacing w:beforeLines="0" w:afterLines="0" w:line="392" w:lineRule="exact"/>
        <w:rPr>
          <w:rFonts w:hint="default" w:ascii="宋体" w:hAnsi="宋体" w:cs="宋体"/>
          <w:color w:val="auto"/>
          <w:sz w:val="24"/>
          <w:szCs w:val="24"/>
          <w:highlight w:val="none"/>
        </w:rPr>
      </w:pPr>
    </w:p>
    <w:p w14:paraId="1A1E0474">
      <w:pPr>
        <w:spacing w:beforeLines="0" w:afterLines="0" w:line="392" w:lineRule="exact"/>
        <w:rPr>
          <w:rFonts w:hint="default" w:ascii="宋体" w:hAnsi="宋体" w:cs="宋体"/>
          <w:color w:val="auto"/>
          <w:sz w:val="24"/>
          <w:szCs w:val="24"/>
          <w:highlight w:val="none"/>
        </w:rPr>
      </w:pPr>
    </w:p>
    <w:p w14:paraId="3AA3E1AF">
      <w:pPr>
        <w:spacing w:beforeLines="0" w:afterLines="0" w:line="392" w:lineRule="exact"/>
        <w:rPr>
          <w:rFonts w:hint="default" w:ascii="宋体" w:hAnsi="宋体" w:cs="宋体"/>
          <w:color w:val="auto"/>
          <w:sz w:val="24"/>
          <w:szCs w:val="24"/>
          <w:highlight w:val="none"/>
        </w:rPr>
      </w:pPr>
    </w:p>
    <w:p w14:paraId="0DDA34BE">
      <w:pPr>
        <w:spacing w:beforeLines="0" w:afterLines="0" w:line="392" w:lineRule="exact"/>
        <w:rPr>
          <w:rFonts w:hint="default" w:ascii="宋体" w:hAnsi="宋体" w:cs="宋体"/>
          <w:color w:val="auto"/>
          <w:sz w:val="24"/>
          <w:szCs w:val="24"/>
          <w:highlight w:val="none"/>
        </w:rPr>
      </w:pPr>
    </w:p>
    <w:p w14:paraId="1C3563A1">
      <w:pPr>
        <w:spacing w:beforeLines="0" w:afterLines="0" w:line="392" w:lineRule="exact"/>
        <w:rPr>
          <w:rFonts w:hint="default" w:ascii="宋体" w:hAnsi="宋体" w:cs="宋体"/>
          <w:color w:val="auto"/>
          <w:sz w:val="24"/>
          <w:szCs w:val="24"/>
          <w:highlight w:val="none"/>
        </w:rPr>
      </w:pPr>
    </w:p>
    <w:p w14:paraId="4F9464F6">
      <w:pPr>
        <w:snapToGrid w:val="0"/>
        <w:spacing w:beforeLines="0" w:afterLines="0" w:line="520" w:lineRule="exact"/>
        <w:ind w:firstLine="880" w:firstLineChars="200"/>
        <w:jc w:val="left"/>
        <w:rPr>
          <w:rFonts w:hint="eastAsia" w:ascii="宋体" w:hAnsi="宋体" w:eastAsia="宋体" w:cs="宋体"/>
          <w:color w:val="auto"/>
          <w:sz w:val="44"/>
          <w:szCs w:val="44"/>
          <w:highlight w:val="none"/>
          <w:lang w:val="en-US" w:eastAsia="zh-CN"/>
        </w:rPr>
      </w:pPr>
      <w:r>
        <w:rPr>
          <w:rFonts w:hint="eastAsia" w:ascii="宋体" w:hAnsi="宋体" w:cs="宋体"/>
          <w:color w:val="auto"/>
          <w:sz w:val="44"/>
          <w:szCs w:val="44"/>
          <w:highlight w:val="none"/>
          <w:lang w:val="en-US" w:eastAsia="zh-CN"/>
        </w:rPr>
        <w:t>附：</w:t>
      </w:r>
    </w:p>
    <w:tbl>
      <w:tblPr>
        <w:tblStyle w:val="59"/>
        <w:tblpPr w:leftFromText="180" w:rightFromText="180" w:vertAnchor="text" w:horzAnchor="page" w:tblpX="1810" w:tblpY="1001"/>
        <w:tblOverlap w:val="never"/>
        <w:tblW w:w="893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7"/>
        <w:gridCol w:w="5702"/>
      </w:tblGrid>
      <w:tr w14:paraId="187099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double" w:color="auto" w:sz="4" w:space="0"/>
              <w:left w:val="double" w:color="auto" w:sz="4" w:space="0"/>
              <w:bottom w:val="single" w:color="auto" w:sz="4" w:space="0"/>
              <w:right w:val="single" w:color="auto" w:sz="4" w:space="0"/>
              <w:tl2br w:val="nil"/>
              <w:tr2bl w:val="nil"/>
            </w:tcBorders>
            <w:noWrap w:val="0"/>
            <w:vAlign w:val="center"/>
          </w:tcPr>
          <w:p w14:paraId="1495D262">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项目名称</w:t>
            </w:r>
          </w:p>
        </w:tc>
        <w:tc>
          <w:tcPr>
            <w:tcW w:w="5702" w:type="dxa"/>
            <w:tcBorders>
              <w:top w:val="double" w:color="auto" w:sz="4" w:space="0"/>
              <w:left w:val="single" w:color="auto" w:sz="4" w:space="0"/>
              <w:bottom w:val="single" w:color="auto" w:sz="4" w:space="0"/>
              <w:right w:val="double" w:color="auto" w:sz="4" w:space="0"/>
              <w:tl2br w:val="nil"/>
              <w:tr2bl w:val="nil"/>
            </w:tcBorders>
            <w:noWrap w:val="0"/>
            <w:vAlign w:val="center"/>
          </w:tcPr>
          <w:p w14:paraId="2707239D">
            <w:pPr>
              <w:snapToGrid w:val="0"/>
              <w:spacing w:beforeLines="0" w:afterLines="0" w:line="320" w:lineRule="exact"/>
              <w:ind w:firstLine="480" w:firstLineChars="200"/>
              <w:rPr>
                <w:rFonts w:hint="default" w:ascii="宋体" w:hAnsi="宋体" w:cs="宋体"/>
                <w:color w:val="auto"/>
                <w:sz w:val="24"/>
                <w:szCs w:val="24"/>
                <w:highlight w:val="none"/>
              </w:rPr>
            </w:pPr>
          </w:p>
        </w:tc>
      </w:tr>
      <w:tr w14:paraId="4880AF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79"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03342039">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供应商名称</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bottom"/>
          </w:tcPr>
          <w:p w14:paraId="6CAD3631">
            <w:pPr>
              <w:snapToGrid w:val="0"/>
              <w:spacing w:beforeLines="0" w:afterLines="0" w:line="320" w:lineRule="exact"/>
              <w:ind w:firstLine="3278" w:firstLineChars="1366"/>
              <w:rPr>
                <w:rFonts w:hint="default" w:ascii="宋体" w:hAnsi="宋体" w:cs="宋体"/>
                <w:color w:val="auto"/>
                <w:sz w:val="24"/>
                <w:szCs w:val="24"/>
                <w:highlight w:val="none"/>
              </w:rPr>
            </w:pPr>
            <w:r>
              <w:rPr>
                <w:rFonts w:hint="default" w:ascii="宋体" w:hAnsi="宋体" w:cs="宋体"/>
                <w:color w:val="auto"/>
                <w:sz w:val="24"/>
                <w:szCs w:val="24"/>
                <w:highlight w:val="none"/>
              </w:rPr>
              <w:t>（供应商加盖公章）</w:t>
            </w:r>
          </w:p>
        </w:tc>
      </w:tr>
      <w:tr w14:paraId="08404D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09"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35E27325">
            <w:pPr>
              <w:snapToGrid w:val="0"/>
              <w:spacing w:beforeLines="0" w:afterLines="0" w:line="320" w:lineRule="exact"/>
              <w:ind w:firstLine="0" w:firstLineChars="0"/>
              <w:jc w:val="center"/>
              <w:rPr>
                <w:rFonts w:hint="default" w:ascii="宋体" w:hAnsi="宋体" w:cs="宋体"/>
                <w:color w:val="auto"/>
                <w:sz w:val="24"/>
                <w:szCs w:val="24"/>
                <w:highlight w:val="none"/>
              </w:rPr>
            </w:pPr>
            <w:r>
              <w:rPr>
                <w:rFonts w:hint="default" w:ascii="宋体" w:hAnsi="宋体" w:cs="宋体"/>
                <w:color w:val="auto"/>
                <w:sz w:val="24"/>
                <w:szCs w:val="24"/>
                <w:highlight w:val="none"/>
              </w:rPr>
              <w:t>供应商联系人及手机号码</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04AC378A">
            <w:pPr>
              <w:snapToGrid w:val="0"/>
              <w:spacing w:beforeLines="0" w:afterLines="0" w:line="320" w:lineRule="exact"/>
              <w:ind w:firstLine="480" w:firstLineChars="200"/>
              <w:rPr>
                <w:rFonts w:hint="default" w:ascii="宋体" w:hAnsi="宋体" w:cs="宋体"/>
                <w:color w:val="auto"/>
                <w:sz w:val="24"/>
                <w:szCs w:val="24"/>
                <w:highlight w:val="none"/>
              </w:rPr>
            </w:pPr>
          </w:p>
        </w:tc>
      </w:tr>
      <w:tr w14:paraId="62A0F1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794BC9B8">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供应商电子邮箱</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1FC4D95A">
            <w:pPr>
              <w:snapToGrid w:val="0"/>
              <w:spacing w:beforeLines="0" w:afterLines="0" w:line="320" w:lineRule="exact"/>
              <w:ind w:firstLine="480" w:firstLineChars="200"/>
              <w:rPr>
                <w:rFonts w:hint="default" w:ascii="宋体" w:hAnsi="宋体" w:cs="宋体"/>
                <w:color w:val="auto"/>
                <w:sz w:val="24"/>
                <w:szCs w:val="24"/>
                <w:highlight w:val="none"/>
              </w:rPr>
            </w:pPr>
          </w:p>
        </w:tc>
      </w:tr>
      <w:tr w14:paraId="2C616D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1227C377">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供应商地址</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38EA265C">
            <w:pPr>
              <w:snapToGrid w:val="0"/>
              <w:spacing w:beforeLines="0" w:afterLines="0" w:line="320" w:lineRule="exact"/>
              <w:ind w:firstLine="480" w:firstLineChars="200"/>
              <w:rPr>
                <w:rFonts w:hint="default" w:ascii="宋体" w:hAnsi="宋体" w:cs="宋体"/>
                <w:color w:val="auto"/>
                <w:sz w:val="24"/>
                <w:szCs w:val="24"/>
                <w:highlight w:val="none"/>
              </w:rPr>
            </w:pPr>
          </w:p>
        </w:tc>
      </w:tr>
      <w:tr w14:paraId="3FCF8D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20" w:hRule="exact"/>
        </w:trPr>
        <w:tc>
          <w:tcPr>
            <w:tcW w:w="3237" w:type="dxa"/>
            <w:tcBorders>
              <w:top w:val="single" w:color="auto" w:sz="4" w:space="0"/>
              <w:left w:val="double" w:color="auto" w:sz="4" w:space="0"/>
              <w:bottom w:val="single" w:color="auto" w:sz="4" w:space="0"/>
              <w:right w:val="single" w:color="auto" w:sz="4" w:space="0"/>
              <w:tl2br w:val="nil"/>
              <w:tr2bl w:val="nil"/>
            </w:tcBorders>
            <w:noWrap w:val="0"/>
            <w:vAlign w:val="center"/>
          </w:tcPr>
          <w:p w14:paraId="5D3E6987">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所投电梯品牌</w:t>
            </w:r>
          </w:p>
        </w:tc>
        <w:tc>
          <w:tcPr>
            <w:tcW w:w="5702" w:type="dxa"/>
            <w:tcBorders>
              <w:top w:val="single" w:color="auto" w:sz="4" w:space="0"/>
              <w:left w:val="single" w:color="auto" w:sz="4" w:space="0"/>
              <w:bottom w:val="single" w:color="auto" w:sz="4" w:space="0"/>
              <w:right w:val="double" w:color="auto" w:sz="4" w:space="0"/>
              <w:tl2br w:val="nil"/>
              <w:tr2bl w:val="nil"/>
            </w:tcBorders>
            <w:noWrap w:val="0"/>
            <w:vAlign w:val="center"/>
          </w:tcPr>
          <w:p w14:paraId="3266F328">
            <w:pPr>
              <w:snapToGrid w:val="0"/>
              <w:spacing w:beforeLines="0" w:afterLines="0" w:line="320" w:lineRule="exact"/>
              <w:ind w:firstLine="480" w:firstLineChars="200"/>
              <w:rPr>
                <w:rFonts w:hint="default" w:ascii="宋体" w:hAnsi="宋体" w:cs="宋体"/>
                <w:color w:val="auto"/>
                <w:sz w:val="24"/>
                <w:szCs w:val="24"/>
                <w:highlight w:val="none"/>
              </w:rPr>
            </w:pPr>
          </w:p>
        </w:tc>
      </w:tr>
      <w:tr w14:paraId="11F7BB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17" w:hRule="exact"/>
        </w:trPr>
        <w:tc>
          <w:tcPr>
            <w:tcW w:w="8939" w:type="dxa"/>
            <w:gridSpan w:val="2"/>
            <w:tcBorders>
              <w:top w:val="single" w:color="auto" w:sz="4" w:space="0"/>
              <w:left w:val="double" w:color="auto" w:sz="4" w:space="0"/>
              <w:bottom w:val="double" w:color="auto" w:sz="4" w:space="0"/>
              <w:right w:val="double" w:color="auto" w:sz="4" w:space="0"/>
              <w:tl2br w:val="nil"/>
              <w:tr2bl w:val="nil"/>
            </w:tcBorders>
            <w:noWrap w:val="0"/>
            <w:vAlign w:val="center"/>
          </w:tcPr>
          <w:p w14:paraId="1A0B2487">
            <w:pPr>
              <w:snapToGrid w:val="0"/>
              <w:spacing w:beforeLines="0" w:afterLines="0" w:line="320" w:lineRule="exact"/>
              <w:ind w:firstLine="480" w:firstLineChars="200"/>
              <w:rPr>
                <w:rFonts w:hint="default" w:ascii="宋体" w:hAnsi="宋体" w:cs="宋体"/>
                <w:color w:val="auto"/>
                <w:sz w:val="24"/>
                <w:szCs w:val="24"/>
                <w:highlight w:val="none"/>
              </w:rPr>
            </w:pPr>
            <w:r>
              <w:rPr>
                <w:rFonts w:hint="default" w:ascii="宋体" w:hAnsi="宋体" w:cs="宋体"/>
                <w:color w:val="auto"/>
                <w:sz w:val="24"/>
                <w:szCs w:val="24"/>
                <w:highlight w:val="none"/>
              </w:rPr>
              <w:t xml:space="preserve">报名及获取比选文件日期：     年    月    日 </w:t>
            </w:r>
          </w:p>
        </w:tc>
      </w:tr>
    </w:tbl>
    <w:p w14:paraId="0C3FB6EA">
      <w:pPr>
        <w:snapToGrid w:val="0"/>
        <w:spacing w:beforeLines="0" w:afterLines="0" w:line="520" w:lineRule="exact"/>
        <w:ind w:firstLine="880" w:firstLineChars="200"/>
        <w:jc w:val="center"/>
        <w:rPr>
          <w:rFonts w:hint="default" w:ascii="宋体" w:hAnsi="宋体" w:cs="宋体"/>
          <w:color w:val="auto"/>
          <w:sz w:val="24"/>
          <w:szCs w:val="24"/>
          <w:highlight w:val="none"/>
        </w:rPr>
      </w:pPr>
      <w:r>
        <w:rPr>
          <w:rFonts w:hint="default" w:ascii="宋体" w:hAnsi="宋体" w:cs="宋体"/>
          <w:color w:val="auto"/>
          <w:sz w:val="44"/>
          <w:szCs w:val="44"/>
          <w:highlight w:val="none"/>
        </w:rPr>
        <w:t>《报名登记表》</w:t>
      </w:r>
      <w:r>
        <w:rPr>
          <w:rFonts w:hint="default" w:ascii="宋体" w:hAnsi="宋体" w:cs="宋体"/>
          <w:color w:val="auto"/>
          <w:sz w:val="44"/>
          <w:szCs w:val="44"/>
          <w:highlight w:val="none"/>
        </w:rPr>
        <w:br w:type="textWrapping"/>
      </w:r>
    </w:p>
    <w:p w14:paraId="46AEF4A9">
      <w:pPr>
        <w:rPr>
          <w:color w:val="auto"/>
          <w:highlight w:val="none"/>
        </w:rPr>
      </w:pPr>
    </w:p>
    <w:p w14:paraId="2DFF3009">
      <w:pPr>
        <w:rPr>
          <w:color w:val="auto"/>
          <w:highlight w:val="none"/>
        </w:rPr>
      </w:pPr>
    </w:p>
    <w:p w14:paraId="62218224">
      <w:pP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br w:type="page"/>
      </w:r>
    </w:p>
    <w:bookmarkEnd w:id="0"/>
    <w:bookmarkEnd w:id="1"/>
    <w:p w14:paraId="15DB0CEF">
      <w:pPr>
        <w:pStyle w:val="3"/>
        <w:spacing w:line="360" w:lineRule="auto"/>
        <w:ind w:firstLine="720"/>
        <w:jc w:val="center"/>
        <w:rPr>
          <w:rFonts w:hint="eastAsia" w:hAnsi="宋体"/>
          <w:bCs/>
          <w:color w:val="auto"/>
          <w:highlight w:val="none"/>
        </w:rPr>
      </w:pPr>
      <w:bookmarkStart w:id="59" w:name="_Toc23873"/>
      <w:bookmarkStart w:id="60" w:name="_Toc494"/>
      <w:bookmarkStart w:id="61" w:name="_Toc2597"/>
      <w:r>
        <w:rPr>
          <w:rFonts w:hint="eastAsia" w:ascii="微软雅黑" w:hAnsi="微软雅黑" w:eastAsia="微软雅黑" w:cs="微软雅黑"/>
          <w:bCs/>
          <w:color w:val="auto"/>
          <w:sz w:val="36"/>
          <w:szCs w:val="30"/>
          <w:highlight w:val="none"/>
        </w:rPr>
        <w:t xml:space="preserve">第二篇  </w:t>
      </w:r>
      <w:bookmarkStart w:id="62" w:name="_Toc12789058"/>
      <w:r>
        <w:rPr>
          <w:rFonts w:ascii="微软雅黑" w:hAnsi="微软雅黑" w:eastAsia="微软雅黑" w:cs="微软雅黑"/>
          <w:bCs/>
          <w:color w:val="auto"/>
          <w:sz w:val="36"/>
          <w:szCs w:val="30"/>
          <w:highlight w:val="none"/>
        </w:rPr>
        <w:t>技术标准和要求</w:t>
      </w:r>
      <w:bookmarkEnd w:id="59"/>
      <w:bookmarkEnd w:id="60"/>
      <w:bookmarkEnd w:id="61"/>
      <w:bookmarkStart w:id="63" w:name="招标文件07章技术标准和要求01"/>
      <w:bookmarkEnd w:id="63"/>
      <w:bookmarkStart w:id="64" w:name="_Toc287620808"/>
      <w:bookmarkStart w:id="65" w:name="_Toc430530524"/>
    </w:p>
    <w:bookmarkEnd w:id="64"/>
    <w:bookmarkEnd w:id="65"/>
    <w:p w14:paraId="0F8BF7FB">
      <w:pPr>
        <w:snapToGrid w:val="0"/>
        <w:outlineLvl w:val="2"/>
        <w:rPr>
          <w:rFonts w:hint="eastAsia" w:ascii="微软雅黑" w:hAnsi="微软雅黑" w:eastAsia="微软雅黑" w:cs="微软雅黑"/>
          <w:b/>
          <w:bCs/>
          <w:color w:val="auto"/>
          <w:sz w:val="24"/>
          <w:szCs w:val="24"/>
          <w:highlight w:val="none"/>
        </w:rPr>
      </w:pPr>
      <w:bookmarkStart w:id="66" w:name="_Toc32751"/>
      <w:bookmarkStart w:id="67" w:name="_Toc23063"/>
      <w:bookmarkStart w:id="68" w:name="_Toc152698722"/>
      <w:r>
        <w:rPr>
          <w:rFonts w:hint="eastAsia" w:ascii="微软雅黑" w:hAnsi="微软雅黑" w:eastAsia="微软雅黑" w:cs="微软雅黑"/>
          <w:b/>
          <w:bCs/>
          <w:color w:val="auto"/>
          <w:sz w:val="24"/>
          <w:szCs w:val="24"/>
          <w:highlight w:val="none"/>
        </w:rPr>
        <w:t>一、电梯总体技术要求</w:t>
      </w:r>
      <w:bookmarkEnd w:id="66"/>
    </w:p>
    <w:p w14:paraId="07B512C8">
      <w:pPr>
        <w:snapToGrid w:val="0"/>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1、所有电梯的设计、制造及调试均应符合</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《市场监管总局办公厅关于进一步做好住宅老旧电梯更新有关工作的通知》（市监特设发〔2025〕52 号）</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《电梯制造与安装安全规范》（GB 7588-202</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《电梯技术条件》（GB/T 10058-2023）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《电梯试验方法》（GB/T 10059-2023）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《电梯工程施工质量验收规范》（GB 50310-2002）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《电梯监督检验和定期检验规则》（TSG T7001-2023）</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《电梯层门耐火试验方法》（GB 24475-2009）</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《特种设备使用管理规则》（TSG 08-2017）</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《电梯主要部件报废技术条件》（GB/T 31821-2015）</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《电梯、自动扶梯和自动人行道物联网技术规范》（GB/T 36668-2018）</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《无障碍设计规范》（GB 50763-2012）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《重庆市电梯安全管理办法》</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检测报告</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本次更新改造必须符合最新国标、行业标准，国补市监管总局52号文的最新要求。当其它电梯技术参数与本条发生矛盾时，以本条标准。安装调试以最新的国标标准进行检测验收合格为准。</w:t>
      </w:r>
    </w:p>
    <w:p w14:paraId="489E37C8">
      <w:pPr>
        <w:snapToGrid w:val="0"/>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2、制造电梯的所有零部件和材料都必须达到技术标准，应是全新的，未曾使用过的。</w:t>
      </w:r>
    </w:p>
    <w:p w14:paraId="78CEC52D">
      <w:pPr>
        <w:snapToGrid w:val="0"/>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3、电梯的井道、机房和滑轮间、层门以及轿厢等的构件尺寸和配合距离均应满足的要求，并配有完备的安全装置和故障应急措施，能确保乘客、操作人员和维修人员的人身安全。</w:t>
      </w:r>
    </w:p>
    <w:p w14:paraId="2F6F412A">
      <w:pPr>
        <w:ind w:firstLine="360" w:firstLineChars="15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4、电梯基本要求（本次电梯在交货时需提供制造商生产许可证、产品合格证等有关资料，进口部件须提供相应证明文件）。</w:t>
      </w:r>
    </w:p>
    <w:p w14:paraId="37B9B0E6">
      <w:pPr>
        <w:ind w:firstLine="360" w:firstLineChars="150"/>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5、基本工作内容：旧电梯拆除；新电梯设备供货及安装；电梯机房整治，降温设备供货及安装。</w:t>
      </w:r>
    </w:p>
    <w:p w14:paraId="34476D4C">
      <w:pPr>
        <w:ind w:firstLine="360" w:firstLineChars="150"/>
        <w:jc w:val="left"/>
        <w:rPr>
          <w:rFonts w:hint="eastAsia" w:ascii="微软雅黑" w:hAnsi="微软雅黑" w:eastAsia="微软雅黑" w:cs="微软雅黑"/>
          <w:color w:val="auto"/>
          <w:sz w:val="24"/>
          <w:szCs w:val="24"/>
          <w:highlight w:val="none"/>
        </w:rPr>
      </w:pPr>
    </w:p>
    <w:p w14:paraId="5A23BECC">
      <w:pPr>
        <w:pStyle w:val="69"/>
        <w:numPr>
          <w:ilvl w:val="0"/>
          <w:numId w:val="13"/>
        </w:numPr>
        <w:ind w:left="0" w:leftChars="0" w:firstLine="0" w:firstLineChars="0"/>
        <w:outlineLvl w:val="2"/>
        <w:rPr>
          <w:rFonts w:hint="eastAsia" w:ascii="微软雅黑" w:hAnsi="微软雅黑" w:eastAsia="微软雅黑" w:cs="微软雅黑"/>
          <w:b/>
          <w:bCs/>
          <w:color w:val="auto"/>
          <w:sz w:val="24"/>
          <w:szCs w:val="24"/>
          <w:highlight w:val="none"/>
        </w:rPr>
      </w:pPr>
      <w:bookmarkStart w:id="69" w:name="_Toc11280"/>
      <w:r>
        <w:rPr>
          <w:rFonts w:hint="eastAsia" w:ascii="微软雅黑" w:hAnsi="微软雅黑" w:eastAsia="微软雅黑" w:cs="微软雅黑"/>
          <w:b/>
          <w:bCs/>
          <w:color w:val="auto"/>
          <w:sz w:val="24"/>
          <w:szCs w:val="24"/>
          <w:highlight w:val="none"/>
        </w:rPr>
        <w:t>电梯主要技术参数和配置要求</w:t>
      </w:r>
      <w:bookmarkEnd w:id="69"/>
    </w:p>
    <w:p w14:paraId="56A495FC">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总体要求：</w:t>
      </w:r>
    </w:p>
    <w:p w14:paraId="63C79A73">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提升电梯运行平稳质量。</w:t>
      </w:r>
    </w:p>
    <w:p w14:paraId="3B61F3B3">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提高安全性能。</w:t>
      </w:r>
    </w:p>
    <w:p w14:paraId="5D22EC6D">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提升节能性能。</w:t>
      </w:r>
    </w:p>
    <w:p w14:paraId="06561295">
      <w:pPr>
        <w:numPr>
          <w:ilvl w:val="0"/>
          <w:numId w:val="15"/>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增加电梯智慧管理系统。</w:t>
      </w:r>
    </w:p>
    <w:p w14:paraId="711399C2">
      <w:pPr>
        <w:numPr>
          <w:ilvl w:val="0"/>
          <w:numId w:val="0"/>
        </w:numPr>
        <w:ind w:left="0" w:leftChars="0" w:firstLine="499" w:firstLineChars="208"/>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5、符合最新国标、行业标准，国补市监总局52号文的最新要求。</w:t>
      </w:r>
    </w:p>
    <w:p w14:paraId="61A91628">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技术规格参数、功能要求：</w:t>
      </w:r>
    </w:p>
    <w:p w14:paraId="486359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1.主机形式：永磁同步无齿轮曳引机，配置能量再生节能装置；</w:t>
      </w:r>
    </w:p>
    <w:p w14:paraId="0F0D720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2.电源电压：三相380V 50Hz；</w:t>
      </w:r>
    </w:p>
    <w:p w14:paraId="2E5C33B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3.平层精度：±10mm（起制动加、减速度≤0.8m/s²）,新增再平层功能，提前开门功能。配置停电应急平层装置，配置无障碍功能。</w:t>
      </w:r>
    </w:p>
    <w:p w14:paraId="49312B3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4.振动加速度：水平方向及垂直方向均≤25cm/s²，增加乘运质量测试；</w:t>
      </w:r>
    </w:p>
    <w:p w14:paraId="206DF0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5.额定载重量：1000kg；</w:t>
      </w:r>
    </w:p>
    <w:p w14:paraId="3B0B2A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6.额定速度：2.5m/s；</w:t>
      </w:r>
    </w:p>
    <w:p w14:paraId="38F592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7.层数／站数／开门数：34层/34站/34门（单梯下车库）；</w:t>
      </w:r>
    </w:p>
    <w:p w14:paraId="5D5BD28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层数／站数／开门数：30层/30站/30门（双梯不下车库，并联梯控）；</w:t>
      </w:r>
    </w:p>
    <w:p w14:paraId="76007B0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8.主服务层/消防返回层：1F；</w:t>
      </w:r>
    </w:p>
    <w:p w14:paraId="321F2CD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9.开门方式及开门宽高：中分，900×2100；</w:t>
      </w:r>
    </w:p>
    <w:p w14:paraId="2BF1B01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10.轿厢尺寸：不小于1600×1400×</w:t>
      </w:r>
      <w:r>
        <w:rPr>
          <w:rFonts w:hint="eastAsia" w:ascii="微软雅黑" w:hAnsi="微软雅黑" w:eastAsia="微软雅黑" w:cs="微软雅黑"/>
          <w:color w:val="auto"/>
          <w:sz w:val="24"/>
          <w:szCs w:val="24"/>
          <w:highlight w:val="none"/>
          <w:lang w:val="en-US" w:eastAsia="zh-CN"/>
        </w:rPr>
        <w:t>2400</w:t>
      </w:r>
      <w:r>
        <w:rPr>
          <w:rFonts w:hint="eastAsia" w:ascii="微软雅黑" w:hAnsi="微软雅黑" w:eastAsia="微软雅黑" w:cs="微软雅黑"/>
          <w:color w:val="auto"/>
          <w:sz w:val="24"/>
          <w:szCs w:val="24"/>
          <w:highlight w:val="none"/>
          <w:lang w:val="en-US" w:eastAsia="zh-CN"/>
        </w:rPr>
        <w:t>；</w:t>
      </w:r>
    </w:p>
    <w:p w14:paraId="42AB936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11.增加轿厢意外移动保护、上行超速保护、钢丝绳断丝检测、制动器子系统检测、门旁路保护等新检规安全保护装置；</w:t>
      </w:r>
    </w:p>
    <w:p w14:paraId="28B71D7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12.增加物联网智慧管理系统；</w:t>
      </w:r>
    </w:p>
    <w:p w14:paraId="2DA6621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13.增加阻止电瓶车进入摄像监控系统；</w:t>
      </w:r>
    </w:p>
    <w:p w14:paraId="58DAE24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14.机房墙面刷白、地面做漆防尘、更新空调，机房、基坑有渗漏处防水处理；</w:t>
      </w:r>
    </w:p>
    <w:p w14:paraId="12BC89B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15.增加电梯乘客乘运保险，5000万/台/年。</w:t>
      </w:r>
    </w:p>
    <w:p w14:paraId="2EF6281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16.采用无线五方对讲(需接入监控室）；</w:t>
      </w:r>
    </w:p>
    <w:p w14:paraId="46BA14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499" w:firstLineChars="208"/>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17.增加轿厢内和基站侯梯厅视频监控（需布线至监控室）</w:t>
      </w:r>
      <w:r>
        <w:rPr>
          <w:rFonts w:hint="eastAsia" w:ascii="微软雅黑" w:hAnsi="微软雅黑" w:eastAsia="微软雅黑" w:cs="微软雅黑"/>
          <w:b w:val="0"/>
          <w:bCs w:val="0"/>
          <w:color w:val="auto"/>
          <w:sz w:val="24"/>
          <w:szCs w:val="24"/>
          <w:highlight w:val="none"/>
          <w:lang w:val="en-US" w:eastAsia="zh-CN"/>
        </w:rPr>
        <w:t>。</w:t>
      </w:r>
    </w:p>
    <w:p w14:paraId="769D2E71">
      <w:pPr>
        <w:keepNext w:val="0"/>
        <w:keepLines w:val="0"/>
        <w:pageBreakBefore w:val="0"/>
        <w:widowControl w:val="0"/>
        <w:numPr>
          <w:ilvl w:val="0"/>
          <w:numId w:val="14"/>
        </w:numPr>
        <w:kinsoku/>
        <w:wordWrap/>
        <w:overflowPunct/>
        <w:topLinePunct w:val="0"/>
        <w:autoSpaceDE/>
        <w:autoSpaceDN/>
        <w:bidi w:val="0"/>
        <w:adjustRightInd/>
        <w:snapToGrid w:val="0"/>
        <w:spacing w:line="240" w:lineRule="auto"/>
        <w:ind w:left="0" w:leftChars="0" w:firstLine="499" w:firstLineChars="208"/>
        <w:jc w:val="both"/>
        <w:textAlignment w:val="auto"/>
        <w:rPr>
          <w:rFonts w:hint="eastAsia" w:ascii="微软雅黑" w:hAnsi="微软雅黑" w:eastAsia="微软雅黑" w:cs="微软雅黑"/>
          <w:b/>
          <w:bCs w:val="0"/>
          <w:color w:val="auto"/>
          <w:kern w:val="2"/>
          <w:sz w:val="24"/>
          <w:szCs w:val="24"/>
          <w:highlight w:val="none"/>
          <w:lang w:val="en-US" w:eastAsia="zh-CN" w:bidi="ar-SA"/>
        </w:rPr>
      </w:pPr>
      <w:r>
        <w:rPr>
          <w:rFonts w:hint="eastAsia" w:ascii="微软雅黑" w:hAnsi="微软雅黑" w:eastAsia="微软雅黑" w:cs="微软雅黑"/>
          <w:b/>
          <w:color w:val="auto"/>
          <w:kern w:val="2"/>
          <w:sz w:val="24"/>
          <w:szCs w:val="24"/>
          <w:highlight w:val="none"/>
          <w:lang w:val="en-US" w:eastAsia="zh-CN" w:bidi="ar-SA"/>
        </w:rPr>
        <w:t>安全性能</w:t>
      </w:r>
    </w:p>
    <w:p w14:paraId="455AC59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val="0"/>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合乎《电梯监督检验和定期检验规则》TSG T7001-2023要求。</w:t>
      </w:r>
    </w:p>
    <w:p w14:paraId="160D3EEF">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轿厢与厅门参数（ 配置标准）：</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831"/>
        <w:gridCol w:w="5910"/>
      </w:tblGrid>
      <w:tr w14:paraId="4BED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op w:val="single" w:color="000000" w:sz="4" w:space="0"/>
              <w:left w:val="single" w:color="000000" w:sz="4" w:space="0"/>
              <w:bottom w:val="single" w:color="000000" w:sz="4" w:space="0"/>
              <w:right w:val="single" w:color="000000" w:sz="4" w:space="0"/>
              <w:tl2br w:val="nil"/>
            </w:tcBorders>
            <w:shd w:val="clear" w:color="auto" w:fill="F1F1F1" w:themeFill="background1" w:themeFillShade="F2"/>
            <w:vAlign w:val="center"/>
          </w:tcPr>
          <w:p w14:paraId="66E05A39">
            <w:pPr>
              <w:widowControl w:val="0"/>
              <w:tabs>
                <w:tab w:val="left" w:pos="1906"/>
              </w:tabs>
              <w:bidi w:val="0"/>
              <w:jc w:val="center"/>
              <w:rPr>
                <w:rFonts w:hint="eastAsia" w:ascii="宋体" w:hAnsi="宋体" w:eastAsia="宋体" w:cs="宋体"/>
                <w:b w:val="0"/>
                <w:bCs w:val="0"/>
                <w:color w:val="auto"/>
                <w:spacing w:val="0"/>
                <w:position w:val="0"/>
                <w:sz w:val="32"/>
                <w:szCs w:val="32"/>
                <w:highlight w:val="none"/>
                <w:u w:val="none"/>
                <w:lang w:val="en-US" w:eastAsia="zh-CN"/>
              </w:rPr>
            </w:pPr>
            <w:r>
              <w:rPr>
                <w:rFonts w:hint="eastAsia" w:ascii="宋体" w:hAnsi="宋体" w:eastAsia="宋体" w:cs="宋体"/>
                <w:b w:val="0"/>
                <w:bCs w:val="0"/>
                <w:color w:val="auto"/>
                <w:spacing w:val="0"/>
                <w:position w:val="0"/>
                <w:sz w:val="28"/>
                <w:szCs w:val="28"/>
                <w:highlight w:val="none"/>
                <w:u w:val="none"/>
                <w:lang w:eastAsia="zh-CN"/>
              </w:rPr>
              <w:t>候梯厅门</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DA5F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门厅、门框装修</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07762">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首层：304 发纹不锈钢（厚度≥1.5mm，无划痕、色差）</w:t>
            </w:r>
          </w:p>
          <w:p w14:paraId="625E956F">
            <w:pPr>
              <w:widowControl w:val="0"/>
              <w:tabs>
                <w:tab w:val="left" w:pos="1906"/>
              </w:tabs>
              <w:bidi w:val="0"/>
              <w:jc w:val="center"/>
              <w:rPr>
                <w:rFonts w:hint="default" w:ascii="宋体" w:hAnsi="宋体" w:eastAsia="宋体" w:cs="宋体"/>
                <w:b w:val="0"/>
                <w:color w:val="auto"/>
                <w:spacing w:val="0"/>
                <w:position w:val="0"/>
                <w:sz w:val="21"/>
                <w:szCs w:val="21"/>
                <w:highlight w:val="none"/>
                <w:vertAlign w:val="baseli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其余层：钢板喷漆或保留原门层门</w:t>
            </w:r>
          </w:p>
        </w:tc>
      </w:tr>
      <w:tr w14:paraId="1338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3D5ACAC">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F6FDD">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厅外显示</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47AE6">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一体式层站召唤，外呼段码显示，银色长发纹不锈钢</w:t>
            </w:r>
          </w:p>
        </w:tc>
      </w:tr>
      <w:tr w14:paraId="031A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op w:val="single" w:color="000000" w:sz="4" w:space="0"/>
              <w:left w:val="single" w:color="000000" w:sz="4" w:space="0"/>
              <w:right w:val="single" w:color="000000" w:sz="4" w:space="0"/>
            </w:tcBorders>
            <w:shd w:val="clear" w:color="auto" w:fill="F1F1F1" w:themeFill="background1" w:themeFillShade="F2"/>
            <w:vAlign w:val="center"/>
          </w:tcPr>
          <w:p w14:paraId="47E57B5A">
            <w:pPr>
              <w:widowControl w:val="0"/>
              <w:tabs>
                <w:tab w:val="left" w:pos="1906"/>
              </w:tabs>
              <w:bidi w:val="0"/>
              <w:jc w:val="center"/>
              <w:rPr>
                <w:rFonts w:hint="eastAsia" w:ascii="宋体" w:hAnsi="宋体" w:eastAsia="宋体" w:cs="宋体"/>
                <w:b w:val="0"/>
                <w:bCs w:val="0"/>
                <w:color w:val="auto"/>
                <w:spacing w:val="0"/>
                <w:position w:val="0"/>
                <w:sz w:val="28"/>
                <w:szCs w:val="28"/>
                <w:highlight w:val="none"/>
                <w:u w:val="none"/>
                <w:lang w:val="en-US" w:eastAsia="zh-CN"/>
              </w:rPr>
            </w:pPr>
            <w:r>
              <w:rPr>
                <w:rFonts w:hint="eastAsia" w:ascii="宋体" w:hAnsi="宋体" w:eastAsia="宋体" w:cs="宋体"/>
                <w:b w:val="0"/>
                <w:bCs w:val="0"/>
                <w:color w:val="auto"/>
                <w:spacing w:val="0"/>
                <w:position w:val="0"/>
                <w:sz w:val="28"/>
                <w:szCs w:val="28"/>
                <w:highlight w:val="none"/>
                <w:u w:val="none"/>
                <w:lang w:val="en-US" w:eastAsia="zh-CN"/>
              </w:rPr>
              <w:t>土建尺寸</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C6A8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井道尺寸</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D0A5D">
            <w:pPr>
              <w:widowControl w:val="0"/>
              <w:tabs>
                <w:tab w:val="left" w:pos="1906"/>
              </w:tabs>
              <w:bidi w:val="0"/>
              <w:jc w:val="center"/>
              <w:rPr>
                <w:rFonts w:hint="default"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2200</w:t>
            </w:r>
            <w:r>
              <w:rPr>
                <w:rFonts w:hint="default" w:ascii="宋体" w:hAnsi="宋体" w:eastAsia="宋体" w:cs="宋体"/>
                <w:b w:val="0"/>
                <w:bCs w:val="0"/>
                <w:color w:val="auto"/>
                <w:spacing w:val="0"/>
                <w:position w:val="0"/>
                <w:sz w:val="21"/>
                <w:szCs w:val="21"/>
                <w:highlight w:val="none"/>
                <w:u w:val="none"/>
                <w:lang w:val="en-US" w:eastAsia="zh-CN"/>
              </w:rPr>
              <w:t>×</w:t>
            </w:r>
            <w:r>
              <w:rPr>
                <w:rFonts w:hint="eastAsia" w:ascii="宋体" w:hAnsi="宋体" w:eastAsia="宋体" w:cs="宋体"/>
                <w:b w:val="0"/>
                <w:bCs w:val="0"/>
                <w:color w:val="auto"/>
                <w:spacing w:val="0"/>
                <w:position w:val="0"/>
                <w:sz w:val="21"/>
                <w:szCs w:val="21"/>
                <w:highlight w:val="none"/>
                <w:u w:val="none"/>
                <w:lang w:val="en-US" w:eastAsia="zh-CN"/>
              </w:rPr>
              <w:t>2200（单梯），双梯（待实测）</w:t>
            </w:r>
          </w:p>
        </w:tc>
      </w:tr>
      <w:tr w14:paraId="1204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7E3A0AC0">
            <w:pPr>
              <w:widowControl w:val="0"/>
              <w:tabs>
                <w:tab w:val="left" w:pos="1906"/>
              </w:tabs>
              <w:bidi w:val="0"/>
              <w:jc w:val="center"/>
              <w:rPr>
                <w:rFonts w:hint="eastAsia" w:ascii="宋体" w:hAnsi="宋体" w:eastAsia="宋体" w:cs="宋体"/>
                <w:b w:val="0"/>
                <w:bCs w:val="0"/>
                <w:color w:val="auto"/>
                <w:spacing w:val="0"/>
                <w:position w:val="0"/>
                <w:sz w:val="28"/>
                <w:szCs w:val="28"/>
                <w:highlight w:val="none"/>
                <w:u w:val="none"/>
                <w:lang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45F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顶层高度</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CA264">
            <w:pPr>
              <w:widowControl w:val="0"/>
              <w:tabs>
                <w:tab w:val="left" w:pos="1906"/>
              </w:tabs>
              <w:bidi w:val="0"/>
              <w:jc w:val="center"/>
              <w:rPr>
                <w:rFonts w:hint="default"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pacing w:val="0"/>
                <w:position w:val="0"/>
                <w:sz w:val="21"/>
                <w:szCs w:val="21"/>
                <w:highlight w:val="none"/>
                <w:u w:val="none"/>
                <w:lang w:val="en-US" w:eastAsia="zh-CN"/>
              </w:rPr>
              <w:t>6000</w:t>
            </w:r>
          </w:p>
        </w:tc>
      </w:tr>
      <w:tr w14:paraId="2E5C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8064C75">
            <w:pPr>
              <w:widowControl w:val="0"/>
              <w:tabs>
                <w:tab w:val="left" w:pos="1906"/>
              </w:tabs>
              <w:bidi w:val="0"/>
              <w:jc w:val="center"/>
              <w:rPr>
                <w:rFonts w:hint="eastAsia" w:ascii="宋体" w:hAnsi="宋体" w:eastAsia="宋体" w:cs="宋体"/>
                <w:b w:val="0"/>
                <w:bCs w:val="0"/>
                <w:color w:val="auto"/>
                <w:spacing w:val="0"/>
                <w:position w:val="0"/>
                <w:sz w:val="28"/>
                <w:szCs w:val="28"/>
                <w:highlight w:val="none"/>
                <w:u w:val="none"/>
                <w:lang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24F14">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层高</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538B1">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每层3000</w:t>
            </w:r>
          </w:p>
        </w:tc>
      </w:tr>
      <w:tr w14:paraId="0547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restart"/>
            <w:tcBorders>
              <w:top w:val="single" w:color="000000" w:sz="4" w:space="0"/>
              <w:left w:val="single" w:color="000000" w:sz="4" w:space="0"/>
              <w:right w:val="single" w:color="000000" w:sz="4" w:space="0"/>
            </w:tcBorders>
            <w:shd w:val="clear" w:color="auto" w:fill="F1F1F1" w:themeFill="background1" w:themeFillShade="F2"/>
            <w:vAlign w:val="center"/>
          </w:tcPr>
          <w:p w14:paraId="475379CA">
            <w:pPr>
              <w:widowControl w:val="0"/>
              <w:tabs>
                <w:tab w:val="left" w:pos="1906"/>
              </w:tabs>
              <w:bidi w:val="0"/>
              <w:jc w:val="center"/>
              <w:rPr>
                <w:rFonts w:hint="eastAsia" w:ascii="宋体" w:hAnsi="宋体" w:eastAsia="宋体" w:cs="宋体"/>
                <w:b w:val="0"/>
                <w:color w:val="auto"/>
                <w:spacing w:val="0"/>
                <w:position w:val="0"/>
                <w:sz w:val="32"/>
                <w:szCs w:val="32"/>
                <w:highlight w:val="none"/>
                <w:vertAlign w:val="baseline"/>
                <w:lang w:val="en-US" w:eastAsia="zh-CN"/>
              </w:rPr>
            </w:pPr>
            <w:r>
              <w:rPr>
                <w:rFonts w:hint="eastAsia" w:ascii="宋体" w:hAnsi="宋体" w:eastAsia="宋体" w:cs="宋体"/>
                <w:b w:val="0"/>
                <w:bCs w:val="0"/>
                <w:color w:val="auto"/>
                <w:spacing w:val="0"/>
                <w:position w:val="0"/>
                <w:sz w:val="28"/>
                <w:szCs w:val="28"/>
                <w:highlight w:val="none"/>
                <w:u w:val="none"/>
                <w:lang w:eastAsia="zh-CN"/>
              </w:rPr>
              <w:t>轿厢</w:t>
            </w: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4B2C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轿厢尺寸</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09C0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z w:val="24"/>
                <w:szCs w:val="24"/>
                <w:highlight w:val="none"/>
                <w:lang w:val="en-US" w:eastAsia="zh-CN"/>
              </w:rPr>
              <w:t>不小于</w:t>
            </w:r>
            <w:r>
              <w:rPr>
                <w:rFonts w:hint="eastAsia" w:ascii="宋体" w:hAnsi="宋体" w:eastAsia="宋体" w:cs="宋体"/>
                <w:b w:val="0"/>
                <w:bCs w:val="0"/>
                <w:color w:val="auto"/>
                <w:sz w:val="24"/>
                <w:szCs w:val="24"/>
                <w:highlight w:val="none"/>
                <w:lang w:val="en-US" w:eastAsia="zh-CN"/>
              </w:rPr>
              <w:t>1600×1400×</w:t>
            </w:r>
            <w:r>
              <w:rPr>
                <w:rFonts w:hint="eastAsia" w:ascii="宋体" w:hAnsi="宋体" w:eastAsia="宋体" w:cs="宋体"/>
                <w:b w:val="0"/>
                <w:bCs w:val="0"/>
                <w:color w:val="auto"/>
                <w:sz w:val="24"/>
                <w:szCs w:val="24"/>
                <w:highlight w:val="none"/>
                <w:lang w:val="en-US" w:eastAsia="zh-CN"/>
              </w:rPr>
              <w:t>2400</w:t>
            </w:r>
          </w:p>
        </w:tc>
      </w:tr>
      <w:tr w14:paraId="228F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2CC244AB">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71169">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轿门材质</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24CD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发纹不锈钢</w:t>
            </w:r>
          </w:p>
        </w:tc>
      </w:tr>
      <w:tr w14:paraId="3008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502B0CE3">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2CA49">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开门尺寸</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A5838">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900*2100</w:t>
            </w:r>
          </w:p>
        </w:tc>
      </w:tr>
      <w:tr w14:paraId="6C12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B1697A4">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1ECA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轿壁装潢</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388D8">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210"/>
                <w:kern w:val="0"/>
                <w:position w:val="0"/>
                <w:sz w:val="21"/>
                <w:szCs w:val="21"/>
                <w:highlight w:val="none"/>
                <w:u w:val="none"/>
                <w:fitText w:val="840" w:id="2128881205"/>
                <w:lang w:eastAsia="zh-CN"/>
              </w:rPr>
              <w:t>前</w:t>
            </w:r>
            <w:r>
              <w:rPr>
                <w:rFonts w:hint="eastAsia" w:ascii="宋体" w:hAnsi="宋体" w:eastAsia="宋体" w:cs="宋体"/>
                <w:b w:val="0"/>
                <w:bCs w:val="0"/>
                <w:color w:val="auto"/>
                <w:spacing w:val="0"/>
                <w:kern w:val="0"/>
                <w:position w:val="0"/>
                <w:sz w:val="21"/>
                <w:szCs w:val="21"/>
                <w:highlight w:val="none"/>
                <w:u w:val="none"/>
                <w:fitText w:val="840" w:id="2128881205"/>
                <w:lang w:eastAsia="zh-CN"/>
              </w:rPr>
              <w:t>壁</w:t>
            </w:r>
            <w:r>
              <w:rPr>
                <w:rFonts w:hint="eastAsia" w:ascii="宋体" w:hAnsi="宋体" w:eastAsia="宋体" w:cs="宋体"/>
                <w:b w:val="0"/>
                <w:bCs w:val="0"/>
                <w:color w:val="auto"/>
                <w:spacing w:val="0"/>
                <w:position w:val="0"/>
                <w:sz w:val="21"/>
                <w:szCs w:val="21"/>
                <w:highlight w:val="none"/>
                <w:u w:val="none"/>
                <w:lang w:eastAsia="zh-CN"/>
              </w:rPr>
              <w:t>：发纹不锈钢</w:t>
            </w:r>
          </w:p>
          <w:p w14:paraId="37FCC92A">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210"/>
                <w:kern w:val="0"/>
                <w:position w:val="0"/>
                <w:sz w:val="21"/>
                <w:szCs w:val="21"/>
                <w:highlight w:val="none"/>
                <w:u w:val="none"/>
                <w:fitText w:val="840" w:id="442465460"/>
                <w:lang w:eastAsia="zh-CN"/>
              </w:rPr>
              <w:t>侧</w:t>
            </w:r>
            <w:r>
              <w:rPr>
                <w:rFonts w:hint="eastAsia" w:ascii="宋体" w:hAnsi="宋体" w:eastAsia="宋体" w:cs="宋体"/>
                <w:b w:val="0"/>
                <w:bCs w:val="0"/>
                <w:color w:val="auto"/>
                <w:spacing w:val="0"/>
                <w:kern w:val="0"/>
                <w:position w:val="0"/>
                <w:sz w:val="21"/>
                <w:szCs w:val="21"/>
                <w:highlight w:val="none"/>
                <w:u w:val="none"/>
                <w:fitText w:val="840" w:id="442465460"/>
                <w:lang w:eastAsia="zh-CN"/>
              </w:rPr>
              <w:t>壁</w:t>
            </w:r>
            <w:r>
              <w:rPr>
                <w:rFonts w:hint="eastAsia" w:ascii="宋体" w:hAnsi="宋体" w:eastAsia="宋体" w:cs="宋体"/>
                <w:b w:val="0"/>
                <w:bCs w:val="0"/>
                <w:color w:val="auto"/>
                <w:spacing w:val="0"/>
                <w:position w:val="0"/>
                <w:sz w:val="21"/>
                <w:szCs w:val="21"/>
                <w:highlight w:val="none"/>
                <w:u w:val="none"/>
                <w:lang w:eastAsia="zh-CN"/>
              </w:rPr>
              <w:t>：发纹不锈钢</w:t>
            </w:r>
          </w:p>
          <w:p w14:paraId="485D3411">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0"/>
                <w:position w:val="0"/>
                <w:sz w:val="21"/>
                <w:szCs w:val="21"/>
                <w:highlight w:val="none"/>
                <w:u w:val="none"/>
                <w:lang w:eastAsia="zh-CN"/>
              </w:rPr>
              <w:t>后壁中板：发纹不锈钢</w:t>
            </w:r>
          </w:p>
          <w:p w14:paraId="2F00265B">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后壁侧板：发纹不锈钢</w:t>
            </w:r>
          </w:p>
        </w:tc>
      </w:tr>
      <w:tr w14:paraId="5099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39154EA5">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2F119">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轿壁扶手</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88B8D">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pacing w:val="0"/>
                <w:position w:val="0"/>
                <w:sz w:val="21"/>
                <w:szCs w:val="21"/>
                <w:highlight w:val="none"/>
                <w:u w:val="none"/>
                <w:lang w:val="en-US" w:eastAsia="zh-CN"/>
              </w:rPr>
              <w:t>后壁圆</w:t>
            </w:r>
            <w:r>
              <w:rPr>
                <w:rFonts w:hint="eastAsia" w:ascii="宋体" w:hAnsi="宋体" w:eastAsia="宋体" w:cs="宋体"/>
                <w:b w:val="0"/>
                <w:bCs w:val="0"/>
                <w:color w:val="auto"/>
                <w:spacing w:val="0"/>
                <w:position w:val="0"/>
                <w:sz w:val="21"/>
                <w:szCs w:val="21"/>
                <w:highlight w:val="none"/>
                <w:u w:val="none"/>
                <w:lang w:val="en-US" w:eastAsia="zh-CN"/>
              </w:rPr>
              <w:t>型不锈钢扶手</w:t>
            </w:r>
          </w:p>
        </w:tc>
      </w:tr>
      <w:tr w14:paraId="04E3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383D77FB">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8F343">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后壁板装饰</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7215B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后壁中央镜面不锈钢</w:t>
            </w:r>
          </w:p>
        </w:tc>
      </w:tr>
      <w:tr w14:paraId="1933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09B9761">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B8DD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轿顶类型</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5821D">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镜面不锈钢型、筒灯</w:t>
            </w:r>
          </w:p>
        </w:tc>
      </w:tr>
      <w:tr w14:paraId="0C19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73FDAB50">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AFA9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地板类型</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32370">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大理石材</w:t>
            </w:r>
          </w:p>
        </w:tc>
      </w:tr>
      <w:tr w14:paraId="792C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2AB1CFDF">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6F2B1">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轿厢操作面板</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FEE5F">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val="en-US" w:eastAsia="zh-CN"/>
              </w:rPr>
              <w:t>一体式操纵轿壁，外呼段码</w:t>
            </w:r>
            <w:r>
              <w:rPr>
                <w:rFonts w:hint="eastAsia" w:ascii="宋体" w:hAnsi="宋体" w:eastAsia="宋体" w:cs="宋体"/>
                <w:b w:val="0"/>
                <w:bCs w:val="0"/>
                <w:color w:val="auto"/>
                <w:spacing w:val="0"/>
                <w:position w:val="0"/>
                <w:sz w:val="21"/>
                <w:szCs w:val="21"/>
                <w:highlight w:val="none"/>
                <w:u w:val="none"/>
                <w:lang w:eastAsia="zh-CN"/>
              </w:rPr>
              <w:t>显示，长发纹不锈钢</w:t>
            </w:r>
          </w:p>
        </w:tc>
      </w:tr>
      <w:tr w14:paraId="5B3B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133F260D">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879CA">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盲文按钮</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83D6C">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val="en-US" w:eastAsia="zh-CN"/>
              </w:rPr>
            </w:pPr>
            <w:r>
              <w:rPr>
                <w:rFonts w:hint="eastAsia" w:ascii="宋体" w:hAnsi="宋体" w:eastAsia="宋体" w:cs="宋体"/>
                <w:b w:val="0"/>
                <w:bCs w:val="0"/>
                <w:color w:val="auto"/>
                <w:spacing w:val="0"/>
                <w:position w:val="0"/>
                <w:sz w:val="21"/>
                <w:szCs w:val="21"/>
                <w:highlight w:val="none"/>
                <w:u w:val="none"/>
                <w:lang w:eastAsia="zh-CN"/>
              </w:rPr>
              <w:t>有</w:t>
            </w:r>
          </w:p>
        </w:tc>
      </w:tr>
      <w:tr w14:paraId="747C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vMerge w:val="continue"/>
            <w:tcBorders>
              <w:left w:val="single" w:color="000000" w:sz="4" w:space="0"/>
              <w:right w:val="single" w:color="000000" w:sz="4" w:space="0"/>
            </w:tcBorders>
            <w:shd w:val="clear" w:color="auto" w:fill="F1F1F1" w:themeFill="background1" w:themeFillShade="F2"/>
            <w:vAlign w:val="center"/>
          </w:tcPr>
          <w:p w14:paraId="24432B97">
            <w:pPr>
              <w:widowControl w:val="0"/>
              <w:spacing w:before="64" w:line="372" w:lineRule="auto"/>
              <w:jc w:val="center"/>
              <w:rPr>
                <w:rFonts w:hint="eastAsia" w:ascii="宋体" w:hAnsi="宋体" w:eastAsia="宋体" w:cs="宋体"/>
                <w:b w:val="0"/>
                <w:color w:val="auto"/>
                <w:spacing w:val="0"/>
                <w:position w:val="0"/>
                <w:sz w:val="32"/>
                <w:szCs w:val="32"/>
                <w:highlight w:val="none"/>
                <w:vertAlign w:val="baseline"/>
                <w:lang w:val="en-US" w:eastAsia="zh-CN"/>
              </w:rPr>
            </w:pPr>
          </w:p>
        </w:tc>
        <w:tc>
          <w:tcPr>
            <w:tcW w:w="18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D7F15">
            <w:pPr>
              <w:widowControl w:val="0"/>
              <w:tabs>
                <w:tab w:val="left" w:pos="1906"/>
              </w:tabs>
              <w:bidi w:val="0"/>
              <w:jc w:val="center"/>
              <w:rPr>
                <w:rFonts w:hint="eastAsia" w:ascii="宋体" w:hAnsi="宋体" w:eastAsia="宋体" w:cs="宋体"/>
                <w:b w:val="0"/>
                <w:bCs w:val="0"/>
                <w:color w:val="auto"/>
                <w:spacing w:val="0"/>
                <w:position w:val="0"/>
                <w:sz w:val="21"/>
                <w:szCs w:val="21"/>
                <w:highlight w:val="none"/>
                <w:u w:val="none"/>
                <w:lang w:eastAsia="zh-CN"/>
              </w:rPr>
            </w:pPr>
            <w:r>
              <w:rPr>
                <w:rFonts w:hint="eastAsia" w:ascii="宋体" w:hAnsi="宋体" w:eastAsia="宋体" w:cs="宋体"/>
                <w:b w:val="0"/>
                <w:bCs w:val="0"/>
                <w:color w:val="auto"/>
                <w:spacing w:val="0"/>
                <w:position w:val="0"/>
                <w:sz w:val="21"/>
                <w:szCs w:val="21"/>
                <w:highlight w:val="none"/>
                <w:u w:val="none"/>
                <w:lang w:val="en-US" w:eastAsia="zh-CN"/>
              </w:rPr>
              <w:t>通风装置</w:t>
            </w:r>
          </w:p>
        </w:tc>
        <w:tc>
          <w:tcPr>
            <w:tcW w:w="59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DFC6D">
            <w:pPr>
              <w:widowControl w:val="0"/>
              <w:tabs>
                <w:tab w:val="left" w:pos="1906"/>
              </w:tabs>
              <w:bidi w:val="0"/>
              <w:jc w:val="center"/>
              <w:rPr>
                <w:rFonts w:hint="default" w:ascii="宋体" w:hAnsi="宋体" w:eastAsia="宋体" w:cs="宋体"/>
                <w:b w:val="0"/>
                <w:bCs w:val="0"/>
                <w:color w:val="auto"/>
                <w:spacing w:val="0"/>
                <w:position w:val="0"/>
                <w:sz w:val="21"/>
                <w:szCs w:val="21"/>
                <w:highlight w:val="none"/>
                <w:u w:val="none"/>
                <w:lang w:val="en-US" w:eastAsia="zh-CN"/>
              </w:rPr>
            </w:pPr>
            <w:r>
              <w:rPr>
                <w:rFonts w:hint="eastAsia" w:ascii="宋体" w:hAnsi="宋体" w:cs="宋体"/>
                <w:b w:val="0"/>
                <w:bCs w:val="0"/>
                <w:color w:val="auto"/>
                <w:spacing w:val="0"/>
                <w:position w:val="0"/>
                <w:sz w:val="21"/>
                <w:szCs w:val="21"/>
                <w:highlight w:val="none"/>
                <w:u w:val="none"/>
                <w:lang w:val="en-US" w:eastAsia="zh-CN"/>
              </w:rPr>
              <w:t>轴流风机</w:t>
            </w:r>
          </w:p>
        </w:tc>
      </w:tr>
    </w:tbl>
    <w:p w14:paraId="7A2F15F3">
      <w:pPr>
        <w:widowControl w:val="0"/>
        <w:numPr>
          <w:ilvl w:val="0"/>
          <w:numId w:val="14"/>
        </w:numPr>
        <w:kinsoku/>
        <w:autoSpaceDE/>
        <w:autoSpaceDN/>
        <w:adjustRightInd/>
        <w:snapToGrid/>
        <w:spacing w:line="240" w:lineRule="auto"/>
        <w:ind w:left="-169" w:leftChars="0" w:firstLine="420" w:firstLine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配置功能标准</w:t>
      </w:r>
    </w:p>
    <w:tbl>
      <w:tblPr>
        <w:tblStyle w:val="59"/>
        <w:tblW w:w="9398" w:type="dxa"/>
        <w:jc w:val="center"/>
        <w:tblLayout w:type="fixed"/>
        <w:tblCellMar>
          <w:top w:w="0" w:type="dxa"/>
          <w:left w:w="108" w:type="dxa"/>
          <w:bottom w:w="0" w:type="dxa"/>
          <w:right w:w="108" w:type="dxa"/>
        </w:tblCellMar>
      </w:tblPr>
      <w:tblGrid>
        <w:gridCol w:w="910"/>
        <w:gridCol w:w="3633"/>
        <w:gridCol w:w="983"/>
        <w:gridCol w:w="3872"/>
      </w:tblGrid>
      <w:tr w14:paraId="5999DB16">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79B3C19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w:t>
            </w:r>
          </w:p>
        </w:tc>
        <w:tc>
          <w:tcPr>
            <w:tcW w:w="3633" w:type="dxa"/>
            <w:tcBorders>
              <w:top w:val="single" w:color="auto" w:sz="4" w:space="0"/>
              <w:left w:val="nil"/>
              <w:bottom w:val="single" w:color="auto" w:sz="4" w:space="0"/>
              <w:right w:val="single" w:color="auto" w:sz="4" w:space="0"/>
            </w:tcBorders>
            <w:noWrap/>
            <w:vAlign w:val="bottom"/>
          </w:tcPr>
          <w:p w14:paraId="0017EF2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全集选控制</w:t>
            </w:r>
          </w:p>
        </w:tc>
        <w:tc>
          <w:tcPr>
            <w:tcW w:w="983" w:type="dxa"/>
            <w:tcBorders>
              <w:top w:val="single" w:color="auto" w:sz="4" w:space="0"/>
              <w:left w:val="nil"/>
              <w:bottom w:val="single" w:color="auto" w:sz="4" w:space="0"/>
              <w:right w:val="single" w:color="auto" w:sz="4" w:space="0"/>
            </w:tcBorders>
            <w:noWrap/>
            <w:vAlign w:val="bottom"/>
          </w:tcPr>
          <w:p w14:paraId="313F089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29</w:t>
            </w:r>
          </w:p>
        </w:tc>
        <w:tc>
          <w:tcPr>
            <w:tcW w:w="3872" w:type="dxa"/>
            <w:tcBorders>
              <w:top w:val="single" w:color="auto" w:sz="4" w:space="0"/>
              <w:left w:val="nil"/>
              <w:bottom w:val="single" w:color="auto" w:sz="4" w:space="0"/>
              <w:right w:val="single" w:color="auto" w:sz="4" w:space="0"/>
            </w:tcBorders>
            <w:vAlign w:val="center"/>
          </w:tcPr>
          <w:p w14:paraId="5A390C4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抱闸异常检测功能</w:t>
            </w:r>
          </w:p>
        </w:tc>
      </w:tr>
      <w:tr w14:paraId="489CD467">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7E76B12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w:t>
            </w:r>
          </w:p>
        </w:tc>
        <w:tc>
          <w:tcPr>
            <w:tcW w:w="3633" w:type="dxa"/>
            <w:tcBorders>
              <w:top w:val="nil"/>
              <w:left w:val="nil"/>
              <w:bottom w:val="single" w:color="auto" w:sz="4" w:space="0"/>
              <w:right w:val="single" w:color="auto" w:sz="4" w:space="0"/>
            </w:tcBorders>
            <w:noWrap/>
            <w:vAlign w:val="bottom"/>
          </w:tcPr>
          <w:p w14:paraId="2A77476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满载直驶</w:t>
            </w:r>
          </w:p>
        </w:tc>
        <w:tc>
          <w:tcPr>
            <w:tcW w:w="983" w:type="dxa"/>
            <w:tcBorders>
              <w:top w:val="nil"/>
              <w:left w:val="nil"/>
              <w:bottom w:val="single" w:color="auto" w:sz="4" w:space="0"/>
              <w:right w:val="single" w:color="auto" w:sz="4" w:space="0"/>
            </w:tcBorders>
            <w:noWrap/>
            <w:vAlign w:val="bottom"/>
          </w:tcPr>
          <w:p w14:paraId="3CFA848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30</w:t>
            </w:r>
          </w:p>
        </w:tc>
        <w:tc>
          <w:tcPr>
            <w:tcW w:w="3872" w:type="dxa"/>
            <w:tcBorders>
              <w:top w:val="nil"/>
              <w:left w:val="nil"/>
              <w:bottom w:val="single" w:color="auto" w:sz="4" w:space="0"/>
              <w:right w:val="single" w:color="auto" w:sz="4" w:space="0"/>
            </w:tcBorders>
            <w:vAlign w:val="center"/>
          </w:tcPr>
          <w:p w14:paraId="71BBB1B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厅门自学习</w:t>
            </w:r>
          </w:p>
        </w:tc>
      </w:tr>
      <w:tr w14:paraId="2FF879AE">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438D4C0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w:t>
            </w:r>
          </w:p>
        </w:tc>
        <w:tc>
          <w:tcPr>
            <w:tcW w:w="3633" w:type="dxa"/>
            <w:tcBorders>
              <w:top w:val="nil"/>
              <w:left w:val="nil"/>
              <w:bottom w:val="single" w:color="auto" w:sz="4" w:space="0"/>
              <w:right w:val="single" w:color="auto" w:sz="4" w:space="0"/>
            </w:tcBorders>
            <w:noWrap/>
            <w:vAlign w:val="bottom"/>
          </w:tcPr>
          <w:p w14:paraId="1EABB0B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自动返回基站</w:t>
            </w:r>
          </w:p>
        </w:tc>
        <w:tc>
          <w:tcPr>
            <w:tcW w:w="983" w:type="dxa"/>
            <w:tcBorders>
              <w:top w:val="nil"/>
              <w:left w:val="nil"/>
              <w:bottom w:val="single" w:color="auto" w:sz="4" w:space="0"/>
              <w:right w:val="single" w:color="auto" w:sz="4" w:space="0"/>
            </w:tcBorders>
            <w:noWrap/>
            <w:vAlign w:val="bottom"/>
          </w:tcPr>
          <w:p w14:paraId="3BA75172">
            <w:pPr>
              <w:widowControl/>
              <w:ind w:firstLine="400"/>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31</w:t>
            </w:r>
          </w:p>
        </w:tc>
        <w:tc>
          <w:tcPr>
            <w:tcW w:w="3872" w:type="dxa"/>
            <w:tcBorders>
              <w:top w:val="nil"/>
              <w:left w:val="nil"/>
              <w:bottom w:val="single" w:color="auto" w:sz="4" w:space="0"/>
              <w:right w:val="single" w:color="auto" w:sz="4" w:space="0"/>
            </w:tcBorders>
            <w:vAlign w:val="center"/>
          </w:tcPr>
          <w:p w14:paraId="1CEC4AA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安全救助功能</w:t>
            </w:r>
          </w:p>
        </w:tc>
      </w:tr>
      <w:tr w14:paraId="4795764C">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A60C49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w:t>
            </w:r>
          </w:p>
        </w:tc>
        <w:tc>
          <w:tcPr>
            <w:tcW w:w="3633" w:type="dxa"/>
            <w:tcBorders>
              <w:top w:val="nil"/>
              <w:left w:val="nil"/>
              <w:bottom w:val="single" w:color="auto" w:sz="4" w:space="0"/>
              <w:right w:val="single" w:color="auto" w:sz="4" w:space="0"/>
            </w:tcBorders>
            <w:noWrap/>
            <w:vAlign w:val="bottom"/>
          </w:tcPr>
          <w:p w14:paraId="1D63313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错误指令取消</w:t>
            </w:r>
          </w:p>
        </w:tc>
        <w:tc>
          <w:tcPr>
            <w:tcW w:w="983" w:type="dxa"/>
            <w:tcBorders>
              <w:top w:val="nil"/>
              <w:left w:val="nil"/>
              <w:bottom w:val="single" w:color="auto" w:sz="4" w:space="0"/>
              <w:right w:val="single" w:color="auto" w:sz="4" w:space="0"/>
            </w:tcBorders>
            <w:noWrap/>
            <w:vAlign w:val="bottom"/>
          </w:tcPr>
          <w:p w14:paraId="0164130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32</w:t>
            </w:r>
          </w:p>
        </w:tc>
        <w:tc>
          <w:tcPr>
            <w:tcW w:w="3872" w:type="dxa"/>
            <w:tcBorders>
              <w:top w:val="nil"/>
              <w:left w:val="nil"/>
              <w:bottom w:val="single" w:color="auto" w:sz="4" w:space="0"/>
              <w:right w:val="single" w:color="auto" w:sz="4" w:space="0"/>
            </w:tcBorders>
            <w:vAlign w:val="center"/>
          </w:tcPr>
          <w:p w14:paraId="773BAE2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钢丝绳滑动自检功能</w:t>
            </w:r>
          </w:p>
        </w:tc>
      </w:tr>
      <w:tr w14:paraId="3B481503">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4BE81C5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w:t>
            </w:r>
          </w:p>
        </w:tc>
        <w:tc>
          <w:tcPr>
            <w:tcW w:w="3633" w:type="dxa"/>
            <w:tcBorders>
              <w:top w:val="nil"/>
              <w:left w:val="nil"/>
              <w:bottom w:val="single" w:color="auto" w:sz="4" w:space="0"/>
              <w:right w:val="single" w:color="auto" w:sz="4" w:space="0"/>
            </w:tcBorders>
            <w:noWrap/>
            <w:vAlign w:val="center"/>
          </w:tcPr>
          <w:p w14:paraId="22945AE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楼层间距自学习</w:t>
            </w:r>
          </w:p>
        </w:tc>
        <w:tc>
          <w:tcPr>
            <w:tcW w:w="983" w:type="dxa"/>
            <w:tcBorders>
              <w:top w:val="nil"/>
              <w:left w:val="nil"/>
              <w:bottom w:val="single" w:color="auto" w:sz="4" w:space="0"/>
              <w:right w:val="single" w:color="auto" w:sz="4" w:space="0"/>
            </w:tcBorders>
            <w:noWrap/>
            <w:vAlign w:val="bottom"/>
          </w:tcPr>
          <w:p w14:paraId="306FF7D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33</w:t>
            </w:r>
          </w:p>
        </w:tc>
        <w:tc>
          <w:tcPr>
            <w:tcW w:w="3872" w:type="dxa"/>
            <w:tcBorders>
              <w:top w:val="nil"/>
              <w:left w:val="nil"/>
              <w:bottom w:val="single" w:color="auto" w:sz="4" w:space="0"/>
              <w:right w:val="single" w:color="auto" w:sz="4" w:space="0"/>
            </w:tcBorders>
            <w:vAlign w:val="center"/>
          </w:tcPr>
          <w:p w14:paraId="52845F4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控制系统温度监测</w:t>
            </w:r>
          </w:p>
        </w:tc>
      </w:tr>
      <w:tr w14:paraId="1C3E9989">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575AF55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6</w:t>
            </w:r>
          </w:p>
        </w:tc>
        <w:tc>
          <w:tcPr>
            <w:tcW w:w="3633" w:type="dxa"/>
            <w:tcBorders>
              <w:top w:val="nil"/>
              <w:left w:val="nil"/>
              <w:bottom w:val="single" w:color="auto" w:sz="4" w:space="0"/>
              <w:right w:val="single" w:color="auto" w:sz="4" w:space="0"/>
            </w:tcBorders>
            <w:noWrap/>
            <w:vAlign w:val="center"/>
          </w:tcPr>
          <w:p w14:paraId="5783285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锁梯开关</w:t>
            </w:r>
          </w:p>
        </w:tc>
        <w:tc>
          <w:tcPr>
            <w:tcW w:w="983" w:type="dxa"/>
            <w:tcBorders>
              <w:top w:val="nil"/>
              <w:left w:val="nil"/>
              <w:bottom w:val="single" w:color="auto" w:sz="4" w:space="0"/>
              <w:right w:val="single" w:color="auto" w:sz="4" w:space="0"/>
            </w:tcBorders>
            <w:noWrap/>
            <w:vAlign w:val="bottom"/>
          </w:tcPr>
          <w:p w14:paraId="5DAF05E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34</w:t>
            </w:r>
          </w:p>
        </w:tc>
        <w:tc>
          <w:tcPr>
            <w:tcW w:w="3872" w:type="dxa"/>
            <w:tcBorders>
              <w:top w:val="nil"/>
              <w:left w:val="nil"/>
              <w:bottom w:val="single" w:color="auto" w:sz="4" w:space="0"/>
              <w:right w:val="single" w:color="auto" w:sz="4" w:space="0"/>
            </w:tcBorders>
            <w:vAlign w:val="center"/>
          </w:tcPr>
          <w:p w14:paraId="1E82D55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防捣乱保护</w:t>
            </w:r>
          </w:p>
        </w:tc>
      </w:tr>
      <w:tr w14:paraId="5A86C4D2">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894E21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7</w:t>
            </w:r>
          </w:p>
        </w:tc>
        <w:tc>
          <w:tcPr>
            <w:tcW w:w="3633" w:type="dxa"/>
            <w:tcBorders>
              <w:top w:val="nil"/>
              <w:left w:val="nil"/>
              <w:bottom w:val="single" w:color="auto" w:sz="4" w:space="0"/>
              <w:right w:val="single" w:color="auto" w:sz="4" w:space="0"/>
            </w:tcBorders>
            <w:noWrap/>
            <w:vAlign w:val="bottom"/>
          </w:tcPr>
          <w:p w14:paraId="72B1F3C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开关门按钮</w:t>
            </w:r>
          </w:p>
        </w:tc>
        <w:tc>
          <w:tcPr>
            <w:tcW w:w="983" w:type="dxa"/>
            <w:tcBorders>
              <w:top w:val="nil"/>
              <w:left w:val="nil"/>
              <w:bottom w:val="single" w:color="auto" w:sz="4" w:space="0"/>
              <w:right w:val="single" w:color="auto" w:sz="4" w:space="0"/>
            </w:tcBorders>
            <w:noWrap/>
            <w:vAlign w:val="bottom"/>
          </w:tcPr>
          <w:p w14:paraId="2FE2035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35</w:t>
            </w:r>
          </w:p>
        </w:tc>
        <w:tc>
          <w:tcPr>
            <w:tcW w:w="3872" w:type="dxa"/>
            <w:tcBorders>
              <w:top w:val="nil"/>
              <w:left w:val="nil"/>
              <w:bottom w:val="single" w:color="auto" w:sz="4" w:space="0"/>
              <w:right w:val="single" w:color="auto" w:sz="4" w:space="0"/>
            </w:tcBorders>
            <w:vAlign w:val="center"/>
          </w:tcPr>
          <w:p w14:paraId="0CA6152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自动泊梯</w:t>
            </w:r>
          </w:p>
        </w:tc>
      </w:tr>
      <w:tr w14:paraId="54CF44BD">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7F39A0F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8</w:t>
            </w:r>
          </w:p>
        </w:tc>
        <w:tc>
          <w:tcPr>
            <w:tcW w:w="3633" w:type="dxa"/>
            <w:tcBorders>
              <w:top w:val="nil"/>
              <w:left w:val="nil"/>
              <w:bottom w:val="single" w:color="auto" w:sz="4" w:space="0"/>
              <w:right w:val="single" w:color="auto" w:sz="4" w:space="0"/>
            </w:tcBorders>
            <w:noWrap/>
            <w:vAlign w:val="center"/>
          </w:tcPr>
          <w:p w14:paraId="60E0835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厅外、轿内开门时间分别控制</w:t>
            </w:r>
          </w:p>
        </w:tc>
        <w:tc>
          <w:tcPr>
            <w:tcW w:w="983" w:type="dxa"/>
            <w:tcBorders>
              <w:top w:val="nil"/>
              <w:left w:val="nil"/>
              <w:bottom w:val="single" w:color="auto" w:sz="4" w:space="0"/>
              <w:right w:val="single" w:color="auto" w:sz="4" w:space="0"/>
            </w:tcBorders>
            <w:noWrap/>
            <w:vAlign w:val="bottom"/>
          </w:tcPr>
          <w:p w14:paraId="201C4EA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36</w:t>
            </w:r>
          </w:p>
        </w:tc>
        <w:tc>
          <w:tcPr>
            <w:tcW w:w="3872" w:type="dxa"/>
            <w:tcBorders>
              <w:top w:val="nil"/>
              <w:left w:val="nil"/>
              <w:bottom w:val="single" w:color="auto" w:sz="4" w:space="0"/>
              <w:right w:val="single" w:color="auto" w:sz="4" w:space="0"/>
            </w:tcBorders>
            <w:vAlign w:val="center"/>
          </w:tcPr>
          <w:p w14:paraId="7901CAD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厅外呼梯切除开关</w:t>
            </w:r>
          </w:p>
        </w:tc>
      </w:tr>
      <w:tr w14:paraId="5607143A">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E8CEE2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9</w:t>
            </w:r>
          </w:p>
        </w:tc>
        <w:tc>
          <w:tcPr>
            <w:tcW w:w="3633" w:type="dxa"/>
            <w:tcBorders>
              <w:top w:val="nil"/>
              <w:left w:val="nil"/>
              <w:bottom w:val="single" w:color="auto" w:sz="4" w:space="0"/>
              <w:right w:val="single" w:color="auto" w:sz="4" w:space="0"/>
            </w:tcBorders>
            <w:noWrap/>
            <w:vAlign w:val="center"/>
          </w:tcPr>
          <w:p w14:paraId="6F9888A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自动校正运行</w:t>
            </w:r>
          </w:p>
        </w:tc>
        <w:tc>
          <w:tcPr>
            <w:tcW w:w="983" w:type="dxa"/>
            <w:tcBorders>
              <w:top w:val="nil"/>
              <w:left w:val="nil"/>
              <w:bottom w:val="single" w:color="auto" w:sz="4" w:space="0"/>
              <w:right w:val="single" w:color="auto" w:sz="4" w:space="0"/>
            </w:tcBorders>
            <w:noWrap/>
            <w:vAlign w:val="bottom"/>
          </w:tcPr>
          <w:p w14:paraId="49BE997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37</w:t>
            </w:r>
          </w:p>
        </w:tc>
        <w:tc>
          <w:tcPr>
            <w:tcW w:w="3872" w:type="dxa"/>
            <w:tcBorders>
              <w:top w:val="nil"/>
              <w:left w:val="nil"/>
              <w:bottom w:val="single" w:color="auto" w:sz="4" w:space="0"/>
              <w:right w:val="single" w:color="auto" w:sz="4" w:space="0"/>
            </w:tcBorders>
            <w:vAlign w:val="center"/>
          </w:tcPr>
          <w:p w14:paraId="3012A31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静态定位功能</w:t>
            </w:r>
          </w:p>
        </w:tc>
      </w:tr>
      <w:tr w14:paraId="0D0C11DC">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89FC65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10</w:t>
            </w:r>
          </w:p>
        </w:tc>
        <w:tc>
          <w:tcPr>
            <w:tcW w:w="3633" w:type="dxa"/>
            <w:tcBorders>
              <w:top w:val="nil"/>
              <w:left w:val="nil"/>
              <w:bottom w:val="single" w:color="auto" w:sz="4" w:space="0"/>
              <w:right w:val="single" w:color="auto" w:sz="4" w:space="0"/>
            </w:tcBorders>
            <w:noWrap/>
            <w:vAlign w:val="center"/>
          </w:tcPr>
          <w:p w14:paraId="5489E10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关门等待取消</w:t>
            </w:r>
          </w:p>
        </w:tc>
        <w:tc>
          <w:tcPr>
            <w:tcW w:w="983" w:type="dxa"/>
            <w:tcBorders>
              <w:top w:val="nil"/>
              <w:left w:val="nil"/>
              <w:bottom w:val="single" w:color="auto" w:sz="4" w:space="0"/>
              <w:right w:val="single" w:color="auto" w:sz="4" w:space="0"/>
            </w:tcBorders>
            <w:noWrap/>
            <w:vAlign w:val="bottom"/>
          </w:tcPr>
          <w:p w14:paraId="488BDF4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38</w:t>
            </w:r>
          </w:p>
        </w:tc>
        <w:tc>
          <w:tcPr>
            <w:tcW w:w="3872" w:type="dxa"/>
            <w:tcBorders>
              <w:top w:val="nil"/>
              <w:left w:val="nil"/>
              <w:bottom w:val="single" w:color="auto" w:sz="4" w:space="0"/>
              <w:right w:val="single" w:color="auto" w:sz="4" w:space="0"/>
            </w:tcBorders>
            <w:vAlign w:val="center"/>
          </w:tcPr>
          <w:p w14:paraId="3901970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轿顶检修</w:t>
            </w:r>
          </w:p>
        </w:tc>
      </w:tr>
      <w:tr w14:paraId="22E2A640">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315D36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11</w:t>
            </w:r>
          </w:p>
        </w:tc>
        <w:tc>
          <w:tcPr>
            <w:tcW w:w="3633" w:type="dxa"/>
            <w:tcBorders>
              <w:top w:val="nil"/>
              <w:left w:val="nil"/>
              <w:bottom w:val="single" w:color="auto" w:sz="4" w:space="0"/>
              <w:right w:val="single" w:color="auto" w:sz="4" w:space="0"/>
            </w:tcBorders>
            <w:noWrap/>
            <w:vAlign w:val="center"/>
          </w:tcPr>
          <w:p w14:paraId="175AFB6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本层厅外重开门</w:t>
            </w:r>
          </w:p>
        </w:tc>
        <w:tc>
          <w:tcPr>
            <w:tcW w:w="983" w:type="dxa"/>
            <w:tcBorders>
              <w:top w:val="nil"/>
              <w:left w:val="nil"/>
              <w:bottom w:val="single" w:color="auto" w:sz="4" w:space="0"/>
              <w:right w:val="single" w:color="auto" w:sz="4" w:space="0"/>
            </w:tcBorders>
            <w:noWrap/>
            <w:vAlign w:val="bottom"/>
          </w:tcPr>
          <w:p w14:paraId="186B0C4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39</w:t>
            </w:r>
          </w:p>
        </w:tc>
        <w:tc>
          <w:tcPr>
            <w:tcW w:w="3872" w:type="dxa"/>
            <w:tcBorders>
              <w:top w:val="nil"/>
              <w:left w:val="nil"/>
              <w:bottom w:val="single" w:color="auto" w:sz="4" w:space="0"/>
              <w:right w:val="single" w:color="auto" w:sz="4" w:space="0"/>
            </w:tcBorders>
            <w:vAlign w:val="center"/>
          </w:tcPr>
          <w:p w14:paraId="5DC3280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静音模式</w:t>
            </w:r>
          </w:p>
        </w:tc>
      </w:tr>
      <w:tr w14:paraId="112DDE6A">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C10B0B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12</w:t>
            </w:r>
          </w:p>
        </w:tc>
        <w:tc>
          <w:tcPr>
            <w:tcW w:w="3633" w:type="dxa"/>
            <w:tcBorders>
              <w:top w:val="nil"/>
              <w:left w:val="nil"/>
              <w:bottom w:val="single" w:color="auto" w:sz="4" w:space="0"/>
              <w:right w:val="single" w:color="auto" w:sz="4" w:space="0"/>
            </w:tcBorders>
            <w:noWrap/>
            <w:vAlign w:val="center"/>
          </w:tcPr>
          <w:p w14:paraId="5757BFD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无称重力矩补偿</w:t>
            </w:r>
          </w:p>
        </w:tc>
        <w:tc>
          <w:tcPr>
            <w:tcW w:w="983" w:type="dxa"/>
            <w:tcBorders>
              <w:top w:val="nil"/>
              <w:left w:val="nil"/>
              <w:bottom w:val="single" w:color="auto" w:sz="4" w:space="0"/>
              <w:right w:val="single" w:color="auto" w:sz="4" w:space="0"/>
            </w:tcBorders>
            <w:noWrap/>
            <w:vAlign w:val="bottom"/>
          </w:tcPr>
          <w:p w14:paraId="5C68261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40</w:t>
            </w:r>
          </w:p>
        </w:tc>
        <w:tc>
          <w:tcPr>
            <w:tcW w:w="3872" w:type="dxa"/>
            <w:tcBorders>
              <w:top w:val="nil"/>
              <w:left w:val="nil"/>
              <w:bottom w:val="single" w:color="auto" w:sz="4" w:space="0"/>
              <w:right w:val="single" w:color="auto" w:sz="4" w:space="0"/>
            </w:tcBorders>
            <w:vAlign w:val="center"/>
          </w:tcPr>
          <w:p w14:paraId="228987D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语音安抚</w:t>
            </w:r>
          </w:p>
        </w:tc>
      </w:tr>
      <w:tr w14:paraId="3B444979">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7BA33A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13</w:t>
            </w:r>
          </w:p>
        </w:tc>
        <w:tc>
          <w:tcPr>
            <w:tcW w:w="3633" w:type="dxa"/>
            <w:tcBorders>
              <w:top w:val="nil"/>
              <w:left w:val="nil"/>
              <w:bottom w:val="single" w:color="auto" w:sz="4" w:space="0"/>
              <w:right w:val="single" w:color="auto" w:sz="4" w:space="0"/>
            </w:tcBorders>
            <w:noWrap/>
            <w:vAlign w:val="center"/>
          </w:tcPr>
          <w:p w14:paraId="2D5CF29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末站换向预指示</w:t>
            </w:r>
          </w:p>
        </w:tc>
        <w:tc>
          <w:tcPr>
            <w:tcW w:w="983" w:type="dxa"/>
            <w:tcBorders>
              <w:top w:val="nil"/>
              <w:left w:val="nil"/>
              <w:bottom w:val="single" w:color="auto" w:sz="4" w:space="0"/>
              <w:right w:val="single" w:color="auto" w:sz="4" w:space="0"/>
            </w:tcBorders>
            <w:noWrap/>
            <w:vAlign w:val="bottom"/>
          </w:tcPr>
          <w:p w14:paraId="61D2C7D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41</w:t>
            </w:r>
          </w:p>
        </w:tc>
        <w:tc>
          <w:tcPr>
            <w:tcW w:w="3872" w:type="dxa"/>
            <w:tcBorders>
              <w:top w:val="nil"/>
              <w:left w:val="nil"/>
              <w:bottom w:val="single" w:color="auto" w:sz="4" w:space="0"/>
              <w:right w:val="single" w:color="auto" w:sz="4" w:space="0"/>
            </w:tcBorders>
            <w:vAlign w:val="center"/>
          </w:tcPr>
          <w:p w14:paraId="6E4A810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轿内照明风扇自动控制</w:t>
            </w:r>
          </w:p>
        </w:tc>
      </w:tr>
      <w:tr w14:paraId="483475D3">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45C38AB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14</w:t>
            </w:r>
          </w:p>
        </w:tc>
        <w:tc>
          <w:tcPr>
            <w:tcW w:w="3633" w:type="dxa"/>
            <w:tcBorders>
              <w:top w:val="nil"/>
              <w:left w:val="nil"/>
              <w:bottom w:val="single" w:color="auto" w:sz="4" w:space="0"/>
              <w:right w:val="single" w:color="auto" w:sz="4" w:space="0"/>
            </w:tcBorders>
            <w:noWrap/>
            <w:vAlign w:val="center"/>
          </w:tcPr>
          <w:p w14:paraId="79AC52B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按钮微亮</w:t>
            </w:r>
          </w:p>
        </w:tc>
        <w:tc>
          <w:tcPr>
            <w:tcW w:w="983" w:type="dxa"/>
            <w:tcBorders>
              <w:top w:val="nil"/>
              <w:left w:val="nil"/>
              <w:bottom w:val="single" w:color="auto" w:sz="4" w:space="0"/>
              <w:right w:val="single" w:color="auto" w:sz="4" w:space="0"/>
            </w:tcBorders>
            <w:noWrap/>
            <w:vAlign w:val="bottom"/>
          </w:tcPr>
          <w:p w14:paraId="62EDE29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42</w:t>
            </w:r>
          </w:p>
        </w:tc>
        <w:tc>
          <w:tcPr>
            <w:tcW w:w="3872" w:type="dxa"/>
            <w:tcBorders>
              <w:top w:val="nil"/>
              <w:left w:val="nil"/>
              <w:bottom w:val="single" w:color="auto" w:sz="4" w:space="0"/>
              <w:right w:val="single" w:color="auto" w:sz="4" w:space="0"/>
            </w:tcBorders>
            <w:vAlign w:val="center"/>
          </w:tcPr>
          <w:p w14:paraId="5B1B7A6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轿厢内应急照明</w:t>
            </w:r>
          </w:p>
        </w:tc>
      </w:tr>
      <w:tr w14:paraId="593B8731">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1F98EB6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15</w:t>
            </w:r>
          </w:p>
        </w:tc>
        <w:tc>
          <w:tcPr>
            <w:tcW w:w="3633" w:type="dxa"/>
            <w:tcBorders>
              <w:top w:val="nil"/>
              <w:left w:val="nil"/>
              <w:bottom w:val="single" w:color="auto" w:sz="4" w:space="0"/>
              <w:right w:val="single" w:color="auto" w:sz="4" w:space="0"/>
            </w:tcBorders>
            <w:noWrap/>
            <w:vAlign w:val="center"/>
          </w:tcPr>
          <w:p w14:paraId="488BC0C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五方对讲</w:t>
            </w:r>
          </w:p>
        </w:tc>
        <w:tc>
          <w:tcPr>
            <w:tcW w:w="983" w:type="dxa"/>
            <w:tcBorders>
              <w:top w:val="nil"/>
              <w:left w:val="nil"/>
              <w:bottom w:val="single" w:color="auto" w:sz="4" w:space="0"/>
              <w:right w:val="single" w:color="auto" w:sz="4" w:space="0"/>
            </w:tcBorders>
            <w:noWrap/>
            <w:vAlign w:val="bottom"/>
          </w:tcPr>
          <w:p w14:paraId="346EB35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43</w:t>
            </w:r>
          </w:p>
        </w:tc>
        <w:tc>
          <w:tcPr>
            <w:tcW w:w="3872" w:type="dxa"/>
            <w:tcBorders>
              <w:top w:val="nil"/>
              <w:left w:val="nil"/>
              <w:bottom w:val="single" w:color="auto" w:sz="4" w:space="0"/>
              <w:right w:val="single" w:color="auto" w:sz="4" w:space="0"/>
            </w:tcBorders>
            <w:vAlign w:val="center"/>
          </w:tcPr>
          <w:p w14:paraId="15E3A4F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轿内、厅外显示</w:t>
            </w:r>
          </w:p>
        </w:tc>
      </w:tr>
      <w:tr w14:paraId="7F72CDE5">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5BBE543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16</w:t>
            </w:r>
          </w:p>
        </w:tc>
        <w:tc>
          <w:tcPr>
            <w:tcW w:w="3633" w:type="dxa"/>
            <w:tcBorders>
              <w:top w:val="nil"/>
              <w:left w:val="nil"/>
              <w:bottom w:val="single" w:color="auto" w:sz="4" w:space="0"/>
              <w:right w:val="single" w:color="auto" w:sz="4" w:space="0"/>
            </w:tcBorders>
            <w:noWrap/>
            <w:vAlign w:val="center"/>
          </w:tcPr>
          <w:p w14:paraId="2FB2A88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端站保护</w:t>
            </w:r>
          </w:p>
        </w:tc>
        <w:tc>
          <w:tcPr>
            <w:tcW w:w="983" w:type="dxa"/>
            <w:tcBorders>
              <w:top w:val="nil"/>
              <w:left w:val="nil"/>
              <w:bottom w:val="single" w:color="auto" w:sz="4" w:space="0"/>
              <w:right w:val="single" w:color="auto" w:sz="4" w:space="0"/>
            </w:tcBorders>
            <w:noWrap/>
            <w:vAlign w:val="bottom"/>
          </w:tcPr>
          <w:p w14:paraId="73F7893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44</w:t>
            </w:r>
          </w:p>
        </w:tc>
        <w:tc>
          <w:tcPr>
            <w:tcW w:w="3872" w:type="dxa"/>
            <w:tcBorders>
              <w:top w:val="nil"/>
              <w:left w:val="nil"/>
              <w:bottom w:val="single" w:color="auto" w:sz="4" w:space="0"/>
              <w:right w:val="single" w:color="auto" w:sz="4" w:space="0"/>
            </w:tcBorders>
            <w:vAlign w:val="center"/>
          </w:tcPr>
          <w:p w14:paraId="7A573AA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层站召唤智能登记</w:t>
            </w:r>
          </w:p>
        </w:tc>
      </w:tr>
      <w:tr w14:paraId="681DBF06">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7251BC4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17</w:t>
            </w:r>
          </w:p>
        </w:tc>
        <w:tc>
          <w:tcPr>
            <w:tcW w:w="3633" w:type="dxa"/>
            <w:tcBorders>
              <w:top w:val="single" w:color="auto" w:sz="4" w:space="0"/>
              <w:left w:val="single" w:color="auto" w:sz="4" w:space="0"/>
              <w:bottom w:val="single" w:color="auto" w:sz="4" w:space="0"/>
              <w:right w:val="single" w:color="auto" w:sz="4" w:space="0"/>
            </w:tcBorders>
            <w:noWrap/>
            <w:vAlign w:val="center"/>
          </w:tcPr>
          <w:p w14:paraId="44B1EEC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故障自诊断</w:t>
            </w:r>
          </w:p>
        </w:tc>
        <w:tc>
          <w:tcPr>
            <w:tcW w:w="983" w:type="dxa"/>
            <w:tcBorders>
              <w:top w:val="single" w:color="auto" w:sz="4" w:space="0"/>
              <w:left w:val="single" w:color="auto" w:sz="4" w:space="0"/>
              <w:bottom w:val="single" w:color="auto" w:sz="4" w:space="0"/>
              <w:right w:val="single" w:color="auto" w:sz="4" w:space="0"/>
            </w:tcBorders>
            <w:noWrap/>
            <w:vAlign w:val="bottom"/>
          </w:tcPr>
          <w:p w14:paraId="792123A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45</w:t>
            </w:r>
          </w:p>
        </w:tc>
        <w:tc>
          <w:tcPr>
            <w:tcW w:w="3872" w:type="dxa"/>
            <w:tcBorders>
              <w:top w:val="single" w:color="auto" w:sz="4" w:space="0"/>
              <w:left w:val="single" w:color="auto" w:sz="4" w:space="0"/>
              <w:bottom w:val="single" w:color="auto" w:sz="4" w:space="0"/>
              <w:right w:val="single" w:color="auto" w:sz="4" w:space="0"/>
            </w:tcBorders>
            <w:vAlign w:val="center"/>
          </w:tcPr>
          <w:p w14:paraId="07627B3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智能舒适运行</w:t>
            </w:r>
          </w:p>
        </w:tc>
      </w:tr>
      <w:tr w14:paraId="2A200F27">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5836456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18</w:t>
            </w:r>
          </w:p>
        </w:tc>
        <w:tc>
          <w:tcPr>
            <w:tcW w:w="3633" w:type="dxa"/>
            <w:tcBorders>
              <w:top w:val="single" w:color="auto" w:sz="4" w:space="0"/>
              <w:left w:val="nil"/>
              <w:bottom w:val="single" w:color="auto" w:sz="4" w:space="0"/>
              <w:right w:val="single" w:color="auto" w:sz="4" w:space="0"/>
            </w:tcBorders>
            <w:noWrap/>
            <w:vAlign w:val="center"/>
          </w:tcPr>
          <w:p w14:paraId="3511AD2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驱动设备过热保护</w:t>
            </w:r>
          </w:p>
        </w:tc>
        <w:tc>
          <w:tcPr>
            <w:tcW w:w="983" w:type="dxa"/>
            <w:tcBorders>
              <w:top w:val="single" w:color="auto" w:sz="4" w:space="0"/>
              <w:left w:val="nil"/>
              <w:bottom w:val="single" w:color="auto" w:sz="4" w:space="0"/>
              <w:right w:val="single" w:color="auto" w:sz="4" w:space="0"/>
            </w:tcBorders>
            <w:noWrap/>
            <w:vAlign w:val="bottom"/>
          </w:tcPr>
          <w:p w14:paraId="022B989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46</w:t>
            </w:r>
          </w:p>
        </w:tc>
        <w:tc>
          <w:tcPr>
            <w:tcW w:w="3872" w:type="dxa"/>
            <w:tcBorders>
              <w:top w:val="single" w:color="auto" w:sz="4" w:space="0"/>
              <w:left w:val="nil"/>
              <w:bottom w:val="single" w:color="auto" w:sz="4" w:space="0"/>
              <w:right w:val="single" w:color="auto" w:sz="4" w:space="0"/>
            </w:tcBorders>
            <w:vAlign w:val="center"/>
          </w:tcPr>
          <w:p w14:paraId="5D8A9FC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开门保持时间智能调节</w:t>
            </w:r>
          </w:p>
        </w:tc>
      </w:tr>
      <w:tr w14:paraId="05494AB1">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2AF219B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19</w:t>
            </w:r>
          </w:p>
        </w:tc>
        <w:tc>
          <w:tcPr>
            <w:tcW w:w="3633" w:type="dxa"/>
            <w:tcBorders>
              <w:top w:val="nil"/>
              <w:left w:val="nil"/>
              <w:bottom w:val="single" w:color="auto" w:sz="4" w:space="0"/>
              <w:right w:val="single" w:color="auto" w:sz="4" w:space="0"/>
            </w:tcBorders>
            <w:noWrap/>
            <w:vAlign w:val="center"/>
          </w:tcPr>
          <w:p w14:paraId="24D082E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关门力矩保护</w:t>
            </w:r>
          </w:p>
        </w:tc>
        <w:tc>
          <w:tcPr>
            <w:tcW w:w="983" w:type="dxa"/>
            <w:tcBorders>
              <w:top w:val="nil"/>
              <w:left w:val="nil"/>
              <w:bottom w:val="single" w:color="auto" w:sz="4" w:space="0"/>
              <w:right w:val="single" w:color="auto" w:sz="4" w:space="0"/>
            </w:tcBorders>
            <w:noWrap/>
            <w:vAlign w:val="bottom"/>
          </w:tcPr>
          <w:p w14:paraId="6E3B9FF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47</w:t>
            </w:r>
          </w:p>
        </w:tc>
        <w:tc>
          <w:tcPr>
            <w:tcW w:w="3872" w:type="dxa"/>
            <w:tcBorders>
              <w:top w:val="nil"/>
              <w:left w:val="nil"/>
              <w:bottom w:val="single" w:color="auto" w:sz="4" w:space="0"/>
              <w:right w:val="single" w:color="auto" w:sz="4" w:space="0"/>
            </w:tcBorders>
            <w:vAlign w:val="center"/>
          </w:tcPr>
          <w:p w14:paraId="0074360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按钮粘连自动识别</w:t>
            </w:r>
          </w:p>
        </w:tc>
      </w:tr>
      <w:tr w14:paraId="4D2D90F9">
        <w:tblPrEx>
          <w:tblCellMar>
            <w:top w:w="0" w:type="dxa"/>
            <w:left w:w="108" w:type="dxa"/>
            <w:bottom w:w="0" w:type="dxa"/>
            <w:right w:w="108" w:type="dxa"/>
          </w:tblCellMar>
        </w:tblPrEx>
        <w:trPr>
          <w:trHeight w:val="419" w:hRule="atLeast"/>
          <w:jc w:val="center"/>
        </w:trPr>
        <w:tc>
          <w:tcPr>
            <w:tcW w:w="910" w:type="dxa"/>
            <w:tcBorders>
              <w:top w:val="nil"/>
              <w:left w:val="single" w:color="auto" w:sz="4" w:space="0"/>
              <w:bottom w:val="single" w:color="auto" w:sz="4" w:space="0"/>
              <w:right w:val="single" w:color="auto" w:sz="4" w:space="0"/>
            </w:tcBorders>
            <w:noWrap/>
            <w:vAlign w:val="bottom"/>
          </w:tcPr>
          <w:p w14:paraId="67C318D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20</w:t>
            </w:r>
          </w:p>
        </w:tc>
        <w:tc>
          <w:tcPr>
            <w:tcW w:w="3633" w:type="dxa"/>
            <w:tcBorders>
              <w:top w:val="nil"/>
              <w:left w:val="nil"/>
              <w:bottom w:val="single" w:color="auto" w:sz="4" w:space="0"/>
              <w:right w:val="single" w:color="auto" w:sz="4" w:space="0"/>
            </w:tcBorders>
            <w:noWrap/>
            <w:vAlign w:val="center"/>
          </w:tcPr>
          <w:p w14:paraId="429D638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速度异常检测功能</w:t>
            </w:r>
          </w:p>
        </w:tc>
        <w:tc>
          <w:tcPr>
            <w:tcW w:w="983" w:type="dxa"/>
            <w:tcBorders>
              <w:top w:val="nil"/>
              <w:left w:val="nil"/>
              <w:bottom w:val="single" w:color="auto" w:sz="4" w:space="0"/>
              <w:right w:val="single" w:color="auto" w:sz="4" w:space="0"/>
            </w:tcBorders>
            <w:noWrap/>
            <w:vAlign w:val="center"/>
          </w:tcPr>
          <w:p w14:paraId="2AFF339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48</w:t>
            </w:r>
          </w:p>
        </w:tc>
        <w:tc>
          <w:tcPr>
            <w:tcW w:w="3872" w:type="dxa"/>
            <w:tcBorders>
              <w:top w:val="nil"/>
              <w:left w:val="nil"/>
              <w:bottom w:val="single" w:color="auto" w:sz="4" w:space="0"/>
              <w:right w:val="single" w:color="auto" w:sz="4" w:space="0"/>
            </w:tcBorders>
            <w:vAlign w:val="center"/>
          </w:tcPr>
          <w:p w14:paraId="1B6A042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厅外及轿厢方向指示</w:t>
            </w:r>
          </w:p>
        </w:tc>
      </w:tr>
      <w:tr w14:paraId="09D4C7F3">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681F8DA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21</w:t>
            </w:r>
          </w:p>
        </w:tc>
        <w:tc>
          <w:tcPr>
            <w:tcW w:w="3633" w:type="dxa"/>
            <w:tcBorders>
              <w:top w:val="single" w:color="auto" w:sz="4" w:space="0"/>
              <w:left w:val="single" w:color="auto" w:sz="4" w:space="0"/>
              <w:bottom w:val="single" w:color="auto" w:sz="4" w:space="0"/>
              <w:right w:val="single" w:color="auto" w:sz="4" w:space="0"/>
            </w:tcBorders>
            <w:noWrap/>
            <w:vAlign w:val="center"/>
          </w:tcPr>
          <w:p w14:paraId="1D8925E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接触器异常检测功能</w:t>
            </w:r>
          </w:p>
        </w:tc>
        <w:tc>
          <w:tcPr>
            <w:tcW w:w="983" w:type="dxa"/>
            <w:tcBorders>
              <w:top w:val="single" w:color="auto" w:sz="4" w:space="0"/>
              <w:left w:val="single" w:color="auto" w:sz="4" w:space="0"/>
              <w:bottom w:val="single" w:color="auto" w:sz="4" w:space="0"/>
              <w:right w:val="single" w:color="auto" w:sz="4" w:space="0"/>
            </w:tcBorders>
            <w:noWrap/>
            <w:vAlign w:val="center"/>
          </w:tcPr>
          <w:p w14:paraId="3180665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49</w:t>
            </w:r>
          </w:p>
        </w:tc>
        <w:tc>
          <w:tcPr>
            <w:tcW w:w="3872" w:type="dxa"/>
            <w:tcBorders>
              <w:top w:val="single" w:color="auto" w:sz="4" w:space="0"/>
              <w:left w:val="single" w:color="auto" w:sz="4" w:space="0"/>
              <w:bottom w:val="single" w:color="auto" w:sz="4" w:space="0"/>
              <w:right w:val="single" w:color="auto" w:sz="4" w:space="0"/>
            </w:tcBorders>
            <w:vAlign w:val="center"/>
          </w:tcPr>
          <w:p w14:paraId="25E2D36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超载报警</w:t>
            </w:r>
          </w:p>
        </w:tc>
      </w:tr>
      <w:tr w14:paraId="3FE23E71">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43076B3A">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22</w:t>
            </w:r>
          </w:p>
        </w:tc>
        <w:tc>
          <w:tcPr>
            <w:tcW w:w="3633" w:type="dxa"/>
            <w:tcBorders>
              <w:top w:val="single" w:color="auto" w:sz="4" w:space="0"/>
              <w:left w:val="nil"/>
              <w:bottom w:val="single" w:color="auto" w:sz="4" w:space="0"/>
              <w:right w:val="single" w:color="auto" w:sz="4" w:space="0"/>
            </w:tcBorders>
            <w:noWrap/>
            <w:vAlign w:val="center"/>
          </w:tcPr>
          <w:p w14:paraId="0EA9618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电网异常检测功能</w:t>
            </w:r>
          </w:p>
        </w:tc>
        <w:tc>
          <w:tcPr>
            <w:tcW w:w="983" w:type="dxa"/>
            <w:tcBorders>
              <w:top w:val="single" w:color="auto" w:sz="4" w:space="0"/>
              <w:left w:val="nil"/>
              <w:bottom w:val="single" w:color="auto" w:sz="4" w:space="0"/>
              <w:right w:val="single" w:color="auto" w:sz="4" w:space="0"/>
            </w:tcBorders>
            <w:noWrap/>
            <w:vAlign w:val="center"/>
          </w:tcPr>
          <w:p w14:paraId="130EEFCE">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50</w:t>
            </w:r>
          </w:p>
        </w:tc>
        <w:tc>
          <w:tcPr>
            <w:tcW w:w="3872" w:type="dxa"/>
            <w:tcBorders>
              <w:top w:val="single" w:color="auto" w:sz="4" w:space="0"/>
              <w:left w:val="nil"/>
              <w:bottom w:val="single" w:color="auto" w:sz="4" w:space="0"/>
              <w:right w:val="single" w:color="auto" w:sz="4" w:space="0"/>
            </w:tcBorders>
            <w:vAlign w:val="center"/>
          </w:tcPr>
          <w:p w14:paraId="3F126610">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轿厢开、关门延时保护</w:t>
            </w:r>
          </w:p>
        </w:tc>
      </w:tr>
      <w:tr w14:paraId="784F6E99">
        <w:tblPrEx>
          <w:tblCellMar>
            <w:top w:w="0" w:type="dxa"/>
            <w:left w:w="108" w:type="dxa"/>
            <w:bottom w:w="0" w:type="dxa"/>
            <w:right w:w="108" w:type="dxa"/>
          </w:tblCellMar>
        </w:tblPrEx>
        <w:trPr>
          <w:trHeight w:val="419" w:hRule="atLeast"/>
          <w:jc w:val="center"/>
        </w:trPr>
        <w:tc>
          <w:tcPr>
            <w:tcW w:w="910" w:type="dxa"/>
            <w:tcBorders>
              <w:top w:val="single" w:color="auto" w:sz="4" w:space="0"/>
              <w:left w:val="single" w:color="auto" w:sz="4" w:space="0"/>
              <w:bottom w:val="single" w:color="auto" w:sz="4" w:space="0"/>
              <w:right w:val="single" w:color="auto" w:sz="4" w:space="0"/>
            </w:tcBorders>
            <w:noWrap/>
            <w:vAlign w:val="bottom"/>
          </w:tcPr>
          <w:p w14:paraId="65824B9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23</w:t>
            </w:r>
          </w:p>
        </w:tc>
        <w:tc>
          <w:tcPr>
            <w:tcW w:w="3633" w:type="dxa"/>
            <w:tcBorders>
              <w:top w:val="single" w:color="auto" w:sz="4" w:space="0"/>
              <w:left w:val="single" w:color="auto" w:sz="4" w:space="0"/>
              <w:bottom w:val="single" w:color="auto" w:sz="4" w:space="0"/>
              <w:right w:val="single" w:color="auto" w:sz="4" w:space="0"/>
            </w:tcBorders>
            <w:noWrap/>
            <w:vAlign w:val="center"/>
          </w:tcPr>
          <w:p w14:paraId="529AD831">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光幕门保护</w:t>
            </w:r>
          </w:p>
        </w:tc>
        <w:tc>
          <w:tcPr>
            <w:tcW w:w="983" w:type="dxa"/>
            <w:tcBorders>
              <w:top w:val="single" w:color="auto" w:sz="4" w:space="0"/>
              <w:left w:val="single" w:color="auto" w:sz="4" w:space="0"/>
              <w:bottom w:val="single" w:color="auto" w:sz="4" w:space="0"/>
              <w:right w:val="single" w:color="auto" w:sz="4" w:space="0"/>
            </w:tcBorders>
            <w:noWrap/>
            <w:vAlign w:val="center"/>
          </w:tcPr>
          <w:p w14:paraId="19649EB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51</w:t>
            </w:r>
          </w:p>
        </w:tc>
        <w:tc>
          <w:tcPr>
            <w:tcW w:w="3872" w:type="dxa"/>
            <w:tcBorders>
              <w:top w:val="single" w:color="auto" w:sz="4" w:space="0"/>
              <w:left w:val="single" w:color="auto" w:sz="4" w:space="0"/>
              <w:bottom w:val="single" w:color="auto" w:sz="4" w:space="0"/>
              <w:right w:val="single" w:color="auto" w:sz="4" w:space="0"/>
            </w:tcBorders>
            <w:vAlign w:val="center"/>
          </w:tcPr>
          <w:p w14:paraId="44291D2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轿厢监控设备</w:t>
            </w:r>
          </w:p>
        </w:tc>
      </w:tr>
      <w:tr w14:paraId="3056288C">
        <w:tblPrEx>
          <w:tblCellMar>
            <w:top w:w="0" w:type="dxa"/>
            <w:left w:w="108" w:type="dxa"/>
            <w:bottom w:w="0" w:type="dxa"/>
            <w:right w:w="108" w:type="dxa"/>
          </w:tblCellMar>
        </w:tblPrEx>
        <w:trPr>
          <w:trHeight w:val="709"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1A52EE3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24</w:t>
            </w:r>
          </w:p>
        </w:tc>
        <w:tc>
          <w:tcPr>
            <w:tcW w:w="3633" w:type="dxa"/>
            <w:tcBorders>
              <w:top w:val="single" w:color="auto" w:sz="4" w:space="0"/>
              <w:left w:val="single" w:color="auto" w:sz="4" w:space="0"/>
              <w:bottom w:val="single" w:color="auto" w:sz="4" w:space="0"/>
              <w:right w:val="single" w:color="auto" w:sz="4" w:space="0"/>
            </w:tcBorders>
            <w:noWrap/>
            <w:vAlign w:val="center"/>
          </w:tcPr>
          <w:p w14:paraId="7A88F5DD">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电梯AI摄像机</w:t>
            </w:r>
          </w:p>
          <w:p w14:paraId="734D093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（有电动车报警停止运行功能）</w:t>
            </w:r>
          </w:p>
        </w:tc>
        <w:tc>
          <w:tcPr>
            <w:tcW w:w="983" w:type="dxa"/>
            <w:tcBorders>
              <w:top w:val="single" w:color="auto" w:sz="4" w:space="0"/>
              <w:left w:val="single" w:color="auto" w:sz="4" w:space="0"/>
              <w:bottom w:val="single" w:color="auto" w:sz="4" w:space="0"/>
              <w:right w:val="single" w:color="auto" w:sz="4" w:space="0"/>
            </w:tcBorders>
            <w:noWrap/>
            <w:vAlign w:val="center"/>
          </w:tcPr>
          <w:p w14:paraId="6D6816A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52</w:t>
            </w:r>
          </w:p>
        </w:tc>
        <w:tc>
          <w:tcPr>
            <w:tcW w:w="3872" w:type="dxa"/>
            <w:tcBorders>
              <w:top w:val="single" w:color="auto" w:sz="4" w:space="0"/>
              <w:left w:val="single" w:color="auto" w:sz="4" w:space="0"/>
              <w:bottom w:val="single" w:color="auto" w:sz="4" w:space="0"/>
              <w:right w:val="single" w:color="auto" w:sz="4" w:space="0"/>
            </w:tcBorders>
            <w:vAlign w:val="center"/>
          </w:tcPr>
          <w:p w14:paraId="4D39754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机房内设置空调</w:t>
            </w:r>
          </w:p>
        </w:tc>
      </w:tr>
      <w:tr w14:paraId="1DAC36E2">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745E5C52">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25</w:t>
            </w:r>
          </w:p>
        </w:tc>
        <w:tc>
          <w:tcPr>
            <w:tcW w:w="3633" w:type="dxa"/>
            <w:tcBorders>
              <w:top w:val="single" w:color="auto" w:sz="4" w:space="0"/>
              <w:left w:val="single" w:color="auto" w:sz="4" w:space="0"/>
              <w:bottom w:val="single" w:color="auto" w:sz="4" w:space="0"/>
              <w:right w:val="single" w:color="auto" w:sz="4" w:space="0"/>
            </w:tcBorders>
            <w:noWrap/>
            <w:vAlign w:val="center"/>
          </w:tcPr>
          <w:p w14:paraId="6308B158">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反绳轮为铸铁材质</w:t>
            </w:r>
          </w:p>
        </w:tc>
        <w:tc>
          <w:tcPr>
            <w:tcW w:w="983" w:type="dxa"/>
            <w:tcBorders>
              <w:top w:val="single" w:color="auto" w:sz="4" w:space="0"/>
              <w:left w:val="single" w:color="auto" w:sz="4" w:space="0"/>
              <w:bottom w:val="single" w:color="auto" w:sz="4" w:space="0"/>
              <w:right w:val="single" w:color="auto" w:sz="4" w:space="0"/>
            </w:tcBorders>
            <w:noWrap/>
            <w:vAlign w:val="center"/>
          </w:tcPr>
          <w:p w14:paraId="5F886B0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53</w:t>
            </w:r>
          </w:p>
        </w:tc>
        <w:tc>
          <w:tcPr>
            <w:tcW w:w="3872" w:type="dxa"/>
            <w:tcBorders>
              <w:top w:val="single" w:color="auto" w:sz="4" w:space="0"/>
              <w:left w:val="single" w:color="auto" w:sz="4" w:space="0"/>
              <w:bottom w:val="single" w:color="auto" w:sz="4" w:space="0"/>
              <w:right w:val="single" w:color="auto" w:sz="4" w:space="0"/>
            </w:tcBorders>
            <w:vAlign w:val="center"/>
          </w:tcPr>
          <w:p w14:paraId="0F7F31F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轿厢警铃</w:t>
            </w:r>
          </w:p>
        </w:tc>
      </w:tr>
      <w:tr w14:paraId="6A37F883">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72C23C6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26</w:t>
            </w:r>
          </w:p>
        </w:tc>
        <w:tc>
          <w:tcPr>
            <w:tcW w:w="3633" w:type="dxa"/>
            <w:tcBorders>
              <w:top w:val="single" w:color="auto" w:sz="4" w:space="0"/>
              <w:left w:val="single" w:color="auto" w:sz="4" w:space="0"/>
              <w:bottom w:val="single" w:color="auto" w:sz="4" w:space="0"/>
              <w:right w:val="single" w:color="auto" w:sz="4" w:space="0"/>
            </w:tcBorders>
            <w:noWrap/>
            <w:vAlign w:val="center"/>
          </w:tcPr>
          <w:p w14:paraId="20939C53">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井道照明系统</w:t>
            </w:r>
          </w:p>
        </w:tc>
        <w:tc>
          <w:tcPr>
            <w:tcW w:w="983" w:type="dxa"/>
            <w:tcBorders>
              <w:top w:val="single" w:color="auto" w:sz="4" w:space="0"/>
              <w:left w:val="single" w:color="auto" w:sz="4" w:space="0"/>
              <w:bottom w:val="single" w:color="auto" w:sz="4" w:space="0"/>
              <w:right w:val="single" w:color="auto" w:sz="4" w:space="0"/>
            </w:tcBorders>
            <w:noWrap/>
            <w:vAlign w:val="center"/>
          </w:tcPr>
          <w:p w14:paraId="59E0E774">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54</w:t>
            </w:r>
          </w:p>
        </w:tc>
        <w:tc>
          <w:tcPr>
            <w:tcW w:w="3872" w:type="dxa"/>
            <w:tcBorders>
              <w:top w:val="single" w:color="auto" w:sz="4" w:space="0"/>
              <w:left w:val="single" w:color="auto" w:sz="4" w:space="0"/>
              <w:bottom w:val="single" w:color="auto" w:sz="4" w:space="0"/>
              <w:right w:val="single" w:color="auto" w:sz="4" w:space="0"/>
            </w:tcBorders>
            <w:vAlign w:val="center"/>
          </w:tcPr>
          <w:p w14:paraId="241C3C09">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主控CPU WDT保护</w:t>
            </w:r>
          </w:p>
        </w:tc>
      </w:tr>
      <w:tr w14:paraId="72943D5A">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0045B23B">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27</w:t>
            </w:r>
          </w:p>
        </w:tc>
        <w:tc>
          <w:tcPr>
            <w:tcW w:w="3633" w:type="dxa"/>
            <w:tcBorders>
              <w:top w:val="single" w:color="auto" w:sz="4" w:space="0"/>
              <w:left w:val="single" w:color="auto" w:sz="4" w:space="0"/>
              <w:bottom w:val="single" w:color="auto" w:sz="4" w:space="0"/>
              <w:right w:val="single" w:color="auto" w:sz="4" w:space="0"/>
            </w:tcBorders>
            <w:noWrap/>
            <w:vAlign w:val="center"/>
          </w:tcPr>
          <w:p w14:paraId="0CD31F7C">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终端楼层保护</w:t>
            </w:r>
          </w:p>
        </w:tc>
        <w:tc>
          <w:tcPr>
            <w:tcW w:w="983" w:type="dxa"/>
            <w:tcBorders>
              <w:top w:val="single" w:color="auto" w:sz="4" w:space="0"/>
              <w:left w:val="single" w:color="auto" w:sz="4" w:space="0"/>
              <w:bottom w:val="single" w:color="auto" w:sz="4" w:space="0"/>
              <w:right w:val="single" w:color="auto" w:sz="4" w:space="0"/>
            </w:tcBorders>
            <w:noWrap/>
            <w:vAlign w:val="center"/>
          </w:tcPr>
          <w:p w14:paraId="1A6B854F">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55</w:t>
            </w:r>
          </w:p>
        </w:tc>
        <w:tc>
          <w:tcPr>
            <w:tcW w:w="3872" w:type="dxa"/>
            <w:tcBorders>
              <w:top w:val="single" w:color="auto" w:sz="4" w:space="0"/>
              <w:left w:val="single" w:color="auto" w:sz="4" w:space="0"/>
              <w:bottom w:val="single" w:color="auto" w:sz="4" w:space="0"/>
              <w:right w:val="single" w:color="auto" w:sz="4" w:space="0"/>
            </w:tcBorders>
            <w:vAlign w:val="center"/>
          </w:tcPr>
          <w:p w14:paraId="29E5DE77">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轿厢内</w:t>
            </w:r>
            <w:r>
              <w:rPr>
                <w:rFonts w:hint="eastAsia" w:ascii="宋体" w:hAnsi="宋体" w:eastAsia="宋体" w:cs="宋体"/>
                <w:b w:val="0"/>
                <w:bCs w:val="0"/>
                <w:color w:val="auto"/>
                <w:spacing w:val="0"/>
                <w:position w:val="0"/>
                <w:sz w:val="21"/>
                <w:szCs w:val="21"/>
                <w:highlight w:val="none"/>
                <w:u w:val="none"/>
                <w:lang w:val="en-US" w:eastAsia="zh-CN"/>
              </w:rPr>
              <w:t>换气扇</w:t>
            </w:r>
          </w:p>
        </w:tc>
      </w:tr>
      <w:tr w14:paraId="029C5EE3">
        <w:tblPrEx>
          <w:tblCellMar>
            <w:top w:w="0" w:type="dxa"/>
            <w:left w:w="108" w:type="dxa"/>
            <w:bottom w:w="0" w:type="dxa"/>
            <w:right w:w="108" w:type="dxa"/>
          </w:tblCellMar>
        </w:tblPrEx>
        <w:trPr>
          <w:trHeight w:val="518" w:hRule="atLeast"/>
          <w:jc w:val="center"/>
        </w:trPr>
        <w:tc>
          <w:tcPr>
            <w:tcW w:w="910" w:type="dxa"/>
            <w:tcBorders>
              <w:top w:val="single" w:color="auto" w:sz="4" w:space="0"/>
              <w:left w:val="single" w:color="auto" w:sz="4" w:space="0"/>
              <w:bottom w:val="single" w:color="auto" w:sz="4" w:space="0"/>
              <w:right w:val="single" w:color="auto" w:sz="4" w:space="0"/>
            </w:tcBorders>
            <w:noWrap/>
            <w:vAlign w:val="center"/>
          </w:tcPr>
          <w:p w14:paraId="3C029E25">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28</w:t>
            </w:r>
          </w:p>
        </w:tc>
        <w:tc>
          <w:tcPr>
            <w:tcW w:w="3633" w:type="dxa"/>
            <w:tcBorders>
              <w:top w:val="single" w:color="auto" w:sz="4" w:space="0"/>
              <w:left w:val="single" w:color="auto" w:sz="4" w:space="0"/>
              <w:bottom w:val="single" w:color="auto" w:sz="4" w:space="0"/>
              <w:right w:val="single" w:color="auto" w:sz="4" w:space="0"/>
            </w:tcBorders>
            <w:noWrap/>
            <w:vAlign w:val="center"/>
          </w:tcPr>
          <w:p w14:paraId="4B79B7A6">
            <w:pPr>
              <w:widowControl/>
              <w:ind w:firstLine="400"/>
              <w:jc w:val="center"/>
              <w:rPr>
                <w:rFonts w:hint="eastAsia" w:ascii="微软雅黑" w:hAnsi="微软雅黑" w:eastAsia="微软雅黑" w:cs="微软雅黑"/>
                <w:color w:val="auto"/>
                <w:kern w:val="0"/>
                <w:sz w:val="20"/>
                <w:highlight w:val="none"/>
                <w:lang w:bidi="ar"/>
              </w:rPr>
            </w:pPr>
            <w:r>
              <w:rPr>
                <w:rFonts w:hint="eastAsia" w:ascii="微软雅黑" w:hAnsi="微软雅黑" w:eastAsia="微软雅黑" w:cs="微软雅黑"/>
                <w:color w:val="auto"/>
                <w:kern w:val="0"/>
                <w:sz w:val="20"/>
                <w:highlight w:val="none"/>
                <w:lang w:bidi="ar"/>
              </w:rPr>
              <w:t>消防电梯消防员专用功能</w:t>
            </w:r>
          </w:p>
        </w:tc>
        <w:tc>
          <w:tcPr>
            <w:tcW w:w="983" w:type="dxa"/>
            <w:tcBorders>
              <w:top w:val="single" w:color="auto" w:sz="4" w:space="0"/>
              <w:left w:val="single" w:color="auto" w:sz="4" w:space="0"/>
              <w:bottom w:val="single" w:color="auto" w:sz="4" w:space="0"/>
              <w:right w:val="single" w:color="auto" w:sz="4" w:space="0"/>
            </w:tcBorders>
            <w:noWrap/>
            <w:vAlign w:val="center"/>
          </w:tcPr>
          <w:p w14:paraId="17873CB7">
            <w:pPr>
              <w:widowControl/>
              <w:ind w:firstLine="400"/>
              <w:jc w:val="center"/>
              <w:rPr>
                <w:rFonts w:hint="eastAsia" w:ascii="微软雅黑" w:hAnsi="微软雅黑" w:eastAsia="微软雅黑" w:cs="微软雅黑"/>
                <w:color w:val="auto"/>
                <w:kern w:val="0"/>
                <w:sz w:val="20"/>
                <w:highlight w:val="none"/>
                <w:lang w:bidi="ar"/>
              </w:rPr>
            </w:pPr>
          </w:p>
        </w:tc>
        <w:tc>
          <w:tcPr>
            <w:tcW w:w="3872" w:type="dxa"/>
            <w:tcBorders>
              <w:top w:val="single" w:color="auto" w:sz="4" w:space="0"/>
              <w:left w:val="single" w:color="auto" w:sz="4" w:space="0"/>
              <w:bottom w:val="single" w:color="auto" w:sz="4" w:space="0"/>
              <w:right w:val="single" w:color="auto" w:sz="4" w:space="0"/>
            </w:tcBorders>
            <w:vAlign w:val="center"/>
          </w:tcPr>
          <w:p w14:paraId="3A30F10D">
            <w:pPr>
              <w:widowControl/>
              <w:ind w:firstLine="400"/>
              <w:jc w:val="center"/>
              <w:rPr>
                <w:rFonts w:hint="eastAsia" w:ascii="微软雅黑" w:hAnsi="微软雅黑" w:eastAsia="微软雅黑" w:cs="微软雅黑"/>
                <w:color w:val="auto"/>
                <w:kern w:val="0"/>
                <w:sz w:val="20"/>
                <w:highlight w:val="none"/>
                <w:lang w:bidi="ar"/>
              </w:rPr>
            </w:pPr>
          </w:p>
        </w:tc>
      </w:tr>
    </w:tbl>
    <w:p w14:paraId="62AE3AF4">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p>
    <w:p w14:paraId="4D11A291">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p>
    <w:p w14:paraId="0671EFB0">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p>
    <w:p w14:paraId="7A5FF6B4">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（六）轿厢装潢参考图</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6"/>
        <w:gridCol w:w="4276"/>
      </w:tblGrid>
      <w:tr w14:paraId="4E46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4276" w:type="dxa"/>
          </w:tcPr>
          <w:p w14:paraId="65C43722">
            <w:pPr>
              <w:widowControl w:val="0"/>
              <w:spacing w:before="128" w:line="206" w:lineRule="auto"/>
              <w:rPr>
                <w:rFonts w:hint="eastAsia" w:ascii="宋体" w:hAnsi="宋体" w:eastAsia="宋体" w:cs="宋体"/>
                <w:color w:val="auto"/>
                <w:spacing w:val="0"/>
                <w:position w:val="0"/>
                <w:sz w:val="32"/>
                <w:szCs w:val="32"/>
                <w:highlight w:val="none"/>
                <w:vertAlign w:val="baseline"/>
                <w:lang w:val="en-US" w:eastAsia="zh-CN"/>
              </w:rPr>
            </w:pPr>
            <w:r>
              <w:rPr>
                <w:rFonts w:hint="eastAsia" w:ascii="宋体" w:hAnsi="宋体" w:eastAsia="宋体" w:cs="宋体"/>
                <w:color w:val="auto"/>
                <w:szCs w:val="22"/>
                <w:highlight w:val="none"/>
              </w:rPr>
              <w:drawing>
                <wp:anchor distT="0" distB="0" distL="114300" distR="114300" simplePos="0" relativeHeight="251659264" behindDoc="0" locked="0" layoutInCell="1" allowOverlap="1">
                  <wp:simplePos x="0" y="0"/>
                  <wp:positionH relativeFrom="column">
                    <wp:posOffset>416560</wp:posOffset>
                  </wp:positionH>
                  <wp:positionV relativeFrom="paragraph">
                    <wp:posOffset>24765</wp:posOffset>
                  </wp:positionV>
                  <wp:extent cx="1750695" cy="2229485"/>
                  <wp:effectExtent l="0" t="0" r="1905" b="10795"/>
                  <wp:wrapNone/>
                  <wp:docPr id="2" name="图片 5"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图片包含 文本&#10;&#10;AI 生成的内容可能不正确。"/>
                          <pic:cNvPicPr>
                            <a:picLocks noChangeAspect="1"/>
                          </pic:cNvPicPr>
                        </pic:nvPicPr>
                        <pic:blipFill>
                          <a:blip r:embed="rId7" cstate="print">
                            <a:extLst>
                              <a:ext uri="{28A0092B-C50C-407E-A947-70E740481C1C}">
                                <a14:useLocalDpi xmlns:a14="http://schemas.microsoft.com/office/drawing/2010/main" val="0"/>
                              </a:ext>
                            </a:extLst>
                          </a:blip>
                          <a:srcRect l="23374" t="7975" r="23661" b="7919"/>
                          <a:stretch>
                            <a:fillRect/>
                          </a:stretch>
                        </pic:blipFill>
                        <pic:spPr>
                          <a:xfrm>
                            <a:off x="0" y="0"/>
                            <a:ext cx="1750695" cy="2229485"/>
                          </a:xfrm>
                          <a:prstGeom prst="rect">
                            <a:avLst/>
                          </a:prstGeom>
                        </pic:spPr>
                      </pic:pic>
                    </a:graphicData>
                  </a:graphic>
                </wp:anchor>
              </w:drawing>
            </w:r>
          </w:p>
        </w:tc>
        <w:tc>
          <w:tcPr>
            <w:tcW w:w="4276" w:type="dxa"/>
          </w:tcPr>
          <w:p w14:paraId="58CA73A0">
            <w:pPr>
              <w:widowControl w:val="0"/>
              <w:spacing w:before="128" w:line="206" w:lineRule="auto"/>
              <w:rPr>
                <w:rFonts w:hint="eastAsia" w:ascii="宋体" w:hAnsi="宋体" w:eastAsia="宋体" w:cs="宋体"/>
                <w:color w:val="auto"/>
                <w:spacing w:val="0"/>
                <w:position w:val="0"/>
                <w:sz w:val="32"/>
                <w:szCs w:val="32"/>
                <w:highlight w:val="none"/>
                <w:vertAlign w:val="baseline"/>
                <w:lang w:val="en-US" w:eastAsia="zh-CN"/>
              </w:rPr>
            </w:pPr>
            <w:r>
              <w:rPr>
                <w:rFonts w:hint="eastAsia" w:ascii="宋体" w:hAnsi="宋体" w:eastAsia="宋体" w:cs="宋体"/>
                <w:color w:val="auto"/>
                <w:szCs w:val="22"/>
                <w:highlight w:val="none"/>
              </w:rPr>
              <w:drawing>
                <wp:anchor distT="0" distB="0" distL="114300" distR="114300" simplePos="0" relativeHeight="251660288" behindDoc="0" locked="0" layoutInCell="1" allowOverlap="1">
                  <wp:simplePos x="0" y="0"/>
                  <wp:positionH relativeFrom="column">
                    <wp:posOffset>309880</wp:posOffset>
                  </wp:positionH>
                  <wp:positionV relativeFrom="paragraph">
                    <wp:posOffset>25400</wp:posOffset>
                  </wp:positionV>
                  <wp:extent cx="1871980" cy="2223770"/>
                  <wp:effectExtent l="0" t="0" r="2540" b="12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rcRect t="1097"/>
                          <a:stretch>
                            <a:fillRect/>
                          </a:stretch>
                        </pic:blipFill>
                        <pic:spPr>
                          <a:xfrm>
                            <a:off x="0" y="0"/>
                            <a:ext cx="1871980" cy="2223770"/>
                          </a:xfrm>
                          <a:prstGeom prst="rect">
                            <a:avLst/>
                          </a:prstGeom>
                          <a:noFill/>
                          <a:ln>
                            <a:noFill/>
                          </a:ln>
                        </pic:spPr>
                      </pic:pic>
                    </a:graphicData>
                  </a:graphic>
                </wp:anchor>
              </w:drawing>
            </w:r>
          </w:p>
        </w:tc>
      </w:tr>
    </w:tbl>
    <w:p w14:paraId="09CA11B7">
      <w:pPr>
        <w:widowControl w:val="0"/>
        <w:numPr>
          <w:ilvl w:val="-1"/>
          <w:numId w:val="0"/>
        </w:numPr>
        <w:kinsoku/>
        <w:autoSpaceDE/>
        <w:autoSpaceDN/>
        <w:adjustRightInd/>
        <w:snapToGrid/>
        <w:spacing w:line="240" w:lineRule="auto"/>
        <w:ind w:left="251" w:leftChars="0" w:firstLine="0" w:firstLine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（七）</w:t>
      </w:r>
      <w:r>
        <w:rPr>
          <w:rFonts w:hint="eastAsia" w:ascii="微软雅黑" w:hAnsi="微软雅黑" w:eastAsia="微软雅黑" w:cs="微软雅黑"/>
          <w:b w:val="0"/>
          <w:bCs w:val="0"/>
          <w:color w:val="auto"/>
          <w:sz w:val="24"/>
          <w:szCs w:val="24"/>
          <w:highlight w:val="none"/>
          <w:lang w:val="en-US" w:eastAsia="zh-CN"/>
        </w:rPr>
        <w:t>机房防尘降燥、降温处理</w:t>
      </w:r>
    </w:p>
    <w:p w14:paraId="680E96DB">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空调配置：</w:t>
      </w:r>
      <w:r>
        <w:rPr>
          <w:rFonts w:hint="eastAsia" w:ascii="微软雅黑" w:hAnsi="微软雅黑" w:eastAsia="微软雅黑" w:cs="微软雅黑"/>
          <w:color w:val="auto"/>
          <w:spacing w:val="0"/>
          <w:position w:val="0"/>
          <w:sz w:val="24"/>
          <w:szCs w:val="24"/>
          <w:highlight w:val="none"/>
          <w:lang w:val="en-US" w:eastAsia="zh-CN"/>
        </w:rPr>
        <w:t>双梯机房3匹空调；单梯机房1.5匹空调；</w:t>
      </w:r>
    </w:p>
    <w:p w14:paraId="6DA73031">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地面处理：涂刷环氧树脂防尘漆；</w:t>
      </w:r>
    </w:p>
    <w:p w14:paraId="5E9A4A5E">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墙面处理：墙面涂刷内墙乳胶漆；</w:t>
      </w:r>
    </w:p>
    <w:p w14:paraId="340817B1">
      <w:pPr>
        <w:numPr>
          <w:ilvl w:val="0"/>
          <w:numId w:val="16"/>
        </w:numPr>
        <w:spacing w:before="64" w:line="372" w:lineRule="auto"/>
        <w:ind w:left="1060" w:leftChars="0" w:hanging="425" w:firstLineChars="0"/>
        <w:jc w:val="both"/>
        <w:rPr>
          <w:rFonts w:hint="eastAsia" w:ascii="微软雅黑" w:hAnsi="微软雅黑" w:eastAsia="微软雅黑" w:cs="微软雅黑"/>
          <w:color w:val="auto"/>
          <w:spacing w:val="0"/>
          <w:position w:val="0"/>
          <w:sz w:val="24"/>
          <w:szCs w:val="24"/>
          <w:highlight w:val="none"/>
          <w:lang w:val="en-US" w:eastAsia="zh-CN"/>
        </w:rPr>
      </w:pPr>
      <w:r>
        <w:rPr>
          <w:rFonts w:hint="eastAsia" w:ascii="微软雅黑" w:hAnsi="微软雅黑" w:eastAsia="微软雅黑" w:cs="微软雅黑"/>
          <w:color w:val="auto"/>
          <w:spacing w:val="0"/>
          <w:position w:val="0"/>
          <w:sz w:val="24"/>
          <w:szCs w:val="24"/>
          <w:highlight w:val="none"/>
          <w:lang w:val="en-US" w:eastAsia="zh-CN"/>
        </w:rPr>
        <w:t>天棚处理：天棚涂刷内墙乳胶漆；</w:t>
      </w:r>
    </w:p>
    <w:p w14:paraId="07E0B51F">
      <w:pPr>
        <w:widowControl w:val="0"/>
        <w:numPr>
          <w:ilvl w:val="0"/>
          <w:numId w:val="0"/>
        </w:numPr>
        <w:kinsoku/>
        <w:autoSpaceDE/>
        <w:autoSpaceDN/>
        <w:adjustRightInd/>
        <w:snapToGrid/>
        <w:spacing w:line="240" w:lineRule="auto"/>
        <w:ind w:left="251" w:leftChars="0"/>
        <w:jc w:val="both"/>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（八）整改机房示意图</w:t>
      </w:r>
    </w:p>
    <w:p w14:paraId="177A430E">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r>
        <w:rPr>
          <w:color w:val="auto"/>
          <w:highlight w:val="none"/>
        </w:rPr>
        <w:drawing>
          <wp:inline distT="0" distB="0" distL="114300" distR="114300">
            <wp:extent cx="4624070" cy="2458085"/>
            <wp:effectExtent l="0" t="0" r="889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4624070" cy="2458085"/>
                    </a:xfrm>
                    <a:prstGeom prst="rect">
                      <a:avLst/>
                    </a:prstGeom>
                    <a:noFill/>
                    <a:ln>
                      <a:noFill/>
                    </a:ln>
                  </pic:spPr>
                </pic:pic>
              </a:graphicData>
            </a:graphic>
          </wp:inline>
        </w:drawing>
      </w:r>
    </w:p>
    <w:p w14:paraId="2CAD1F0C">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1C646414">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725F7495">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5FD3BEE4">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482043DC">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p w14:paraId="1FE4AB7A">
      <w:pPr>
        <w:widowControl w:val="0"/>
        <w:numPr>
          <w:ilvl w:val="0"/>
          <w:numId w:val="0"/>
        </w:numPr>
        <w:kinsoku/>
        <w:autoSpaceDE/>
        <w:autoSpaceDN/>
        <w:adjustRightInd/>
        <w:snapToGrid/>
        <w:spacing w:line="240" w:lineRule="auto"/>
        <w:jc w:val="both"/>
        <w:textAlignment w:val="auto"/>
        <w:rPr>
          <w:rFonts w:hint="eastAsia" w:ascii="微软雅黑" w:hAnsi="微软雅黑" w:eastAsia="微软雅黑" w:cs="微软雅黑"/>
          <w:b w:val="0"/>
          <w:bCs w:val="0"/>
          <w:color w:val="auto"/>
          <w:sz w:val="24"/>
          <w:szCs w:val="24"/>
          <w:highlight w:val="none"/>
          <w:lang w:val="en-US" w:eastAsia="zh-CN"/>
        </w:rPr>
      </w:pPr>
    </w:p>
    <w:bookmarkEnd w:id="67"/>
    <w:bookmarkEnd w:id="68"/>
    <w:p w14:paraId="72A82766">
      <w:pPr>
        <w:spacing w:line="240" w:lineRule="auto"/>
        <w:outlineLvl w:val="2"/>
        <w:rPr>
          <w:rFonts w:hint="eastAsia" w:ascii="微软雅黑" w:hAnsi="微软雅黑" w:eastAsia="微软雅黑" w:cs="微软雅黑"/>
          <w:b/>
          <w:color w:val="auto"/>
          <w:sz w:val="24"/>
          <w:szCs w:val="24"/>
          <w:highlight w:val="none"/>
          <w:lang w:eastAsia="zh-CN"/>
        </w:rPr>
      </w:pPr>
      <w:bookmarkStart w:id="70" w:name="_Toc27604"/>
      <w:r>
        <w:rPr>
          <w:rFonts w:hint="eastAsia" w:ascii="微软雅黑" w:hAnsi="微软雅黑" w:eastAsia="微软雅黑" w:cs="微软雅黑"/>
          <w:b/>
          <w:color w:val="auto"/>
          <w:sz w:val="24"/>
          <w:szCs w:val="24"/>
          <w:highlight w:val="none"/>
          <w:lang w:val="en-US" w:eastAsia="zh-CN"/>
        </w:rPr>
        <w:t>三</w:t>
      </w:r>
      <w:r>
        <w:rPr>
          <w:rFonts w:hint="eastAsia" w:ascii="微软雅黑" w:hAnsi="微软雅黑" w:eastAsia="微软雅黑" w:cs="微软雅黑"/>
          <w:b/>
          <w:color w:val="auto"/>
          <w:sz w:val="24"/>
          <w:szCs w:val="24"/>
          <w:highlight w:val="none"/>
          <w:lang w:eastAsia="zh-CN"/>
        </w:rPr>
        <w:t>、施工环境要求</w:t>
      </w:r>
      <w:bookmarkEnd w:id="70"/>
    </w:p>
    <w:p w14:paraId="7291156D">
      <w:p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1" w:name="_Toc12932"/>
      <w:r>
        <w:rPr>
          <w:rFonts w:hint="eastAsia" w:ascii="微软雅黑" w:hAnsi="微软雅黑" w:eastAsia="微软雅黑" w:cs="微软雅黑"/>
          <w:b w:val="0"/>
          <w:bCs/>
          <w:color w:val="auto"/>
          <w:sz w:val="24"/>
          <w:szCs w:val="24"/>
          <w:highlight w:val="none"/>
          <w:lang w:eastAsia="zh-CN"/>
        </w:rPr>
        <w:t>（一）</w:t>
      </w:r>
      <w:r>
        <w:rPr>
          <w:rFonts w:hint="eastAsia" w:ascii="微软雅黑" w:hAnsi="微软雅黑" w:eastAsia="微软雅黑" w:cs="微软雅黑"/>
          <w:b w:val="0"/>
          <w:bCs/>
          <w:color w:val="auto"/>
          <w:sz w:val="24"/>
          <w:szCs w:val="24"/>
          <w:highlight w:val="none"/>
          <w:lang w:eastAsia="zh-CN"/>
        </w:rPr>
        <w:t>严格遵守相关规范化管理规定，</w:t>
      </w:r>
      <w:r>
        <w:rPr>
          <w:rFonts w:hint="eastAsia" w:ascii="微软雅黑" w:hAnsi="微软雅黑" w:eastAsia="微软雅黑" w:cs="微软雅黑"/>
          <w:b w:val="0"/>
          <w:bCs/>
          <w:color w:val="auto"/>
          <w:sz w:val="24"/>
          <w:szCs w:val="24"/>
          <w:highlight w:val="none"/>
          <w:lang w:val="en-US" w:eastAsia="zh-CN"/>
        </w:rPr>
        <w:t>因本项目位于重庆主城区，需符合《重庆市大气污染防治条例》《重庆市环境噪声污染防治办法》，施工时间为 8:00-12:00、14:00-18:00，夜间禁止施工，扬尘排放需达到重庆市《建筑施工扬尘控制标准》（DB50/T 580-2014）要求”。</w:t>
      </w:r>
      <w:r>
        <w:rPr>
          <w:rFonts w:hint="eastAsia" w:ascii="微软雅黑" w:hAnsi="微软雅黑" w:eastAsia="微软雅黑" w:cs="微软雅黑"/>
          <w:b w:val="0"/>
          <w:bCs/>
          <w:color w:val="auto"/>
          <w:sz w:val="24"/>
          <w:szCs w:val="24"/>
          <w:highlight w:val="none"/>
          <w:lang w:eastAsia="zh-CN"/>
        </w:rPr>
        <w:t>施工区域始终保持完全完整封闭状态施工，除渣、运输等环节不得有粉尘污染。</w:t>
      </w:r>
      <w:bookmarkEnd w:id="71"/>
    </w:p>
    <w:p w14:paraId="106455E1">
      <w:p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2" w:name="_Toc15530"/>
      <w:r>
        <w:rPr>
          <w:rFonts w:hint="eastAsia" w:ascii="微软雅黑" w:hAnsi="微软雅黑" w:eastAsia="微软雅黑" w:cs="微软雅黑"/>
          <w:b w:val="0"/>
          <w:bCs/>
          <w:color w:val="auto"/>
          <w:sz w:val="24"/>
          <w:szCs w:val="24"/>
          <w:highlight w:val="none"/>
          <w:lang w:eastAsia="zh-CN"/>
        </w:rPr>
        <w:t>（二）供应商须做到安全文明施工，做好施工噪声及扬尘控制等。</w:t>
      </w:r>
      <w:bookmarkEnd w:id="72"/>
    </w:p>
    <w:p w14:paraId="6AE9824E">
      <w:pPr>
        <w:pStyle w:val="2"/>
        <w:rPr>
          <w:rFonts w:hint="eastAsia" w:ascii="微软雅黑" w:hAnsi="微软雅黑" w:eastAsia="微软雅黑" w:cs="微软雅黑"/>
          <w:b w:val="0"/>
          <w:bCs/>
          <w:color w:val="auto"/>
          <w:sz w:val="24"/>
          <w:szCs w:val="24"/>
          <w:highlight w:val="none"/>
          <w:lang w:val="en-US" w:eastAsia="zh-CN"/>
        </w:rPr>
      </w:pPr>
      <w:r>
        <w:rPr>
          <w:rFonts w:hint="eastAsia" w:ascii="微软雅黑" w:hAnsi="微软雅黑" w:eastAsia="微软雅黑" w:cs="微软雅黑"/>
          <w:b w:val="0"/>
          <w:bCs/>
          <w:color w:val="auto"/>
          <w:sz w:val="24"/>
          <w:szCs w:val="24"/>
          <w:highlight w:val="none"/>
          <w:lang w:val="en-US" w:eastAsia="zh-CN"/>
        </w:rPr>
        <w:t xml:space="preserve">    （三）</w:t>
      </w:r>
      <w:r>
        <w:rPr>
          <w:rFonts w:hint="eastAsia" w:ascii="微软雅黑" w:hAnsi="微软雅黑" w:eastAsia="微软雅黑" w:cs="微软雅黑"/>
          <w:b w:val="0"/>
          <w:bCs/>
          <w:color w:val="auto"/>
          <w:sz w:val="24"/>
          <w:szCs w:val="24"/>
          <w:highlight w:val="none"/>
          <w:lang w:val="en-US" w:eastAsia="zh-CN"/>
        </w:rPr>
        <w:t>特种设备安装告知：电梯安装前需向重庆市市场监督管理局办理安装告知手续，成交供应商需在设备进场前 3 个工作日内完成安装告知手续，未完成的不得开工”，符合《特种设备安全法》第四十七条规定。</w:t>
      </w:r>
    </w:p>
    <w:p w14:paraId="4A394B33">
      <w:pPr>
        <w:spacing w:line="240" w:lineRule="auto"/>
        <w:outlineLvl w:val="2"/>
        <w:rPr>
          <w:rFonts w:hint="eastAsia" w:ascii="微软雅黑" w:hAnsi="微软雅黑" w:eastAsia="微软雅黑" w:cs="微软雅黑"/>
          <w:b/>
          <w:color w:val="auto"/>
          <w:sz w:val="24"/>
          <w:szCs w:val="24"/>
          <w:highlight w:val="none"/>
          <w:lang w:eastAsia="zh-CN"/>
        </w:rPr>
      </w:pPr>
      <w:bookmarkStart w:id="73" w:name="_Toc20745"/>
      <w:r>
        <w:rPr>
          <w:rFonts w:hint="eastAsia" w:ascii="微软雅黑" w:hAnsi="微软雅黑" w:eastAsia="微软雅黑" w:cs="微软雅黑"/>
          <w:b/>
          <w:color w:val="auto"/>
          <w:sz w:val="24"/>
          <w:szCs w:val="24"/>
          <w:highlight w:val="none"/>
          <w:lang w:val="en-US" w:eastAsia="zh-CN"/>
        </w:rPr>
        <w:t>四</w:t>
      </w:r>
      <w:r>
        <w:rPr>
          <w:rFonts w:hint="eastAsia" w:ascii="微软雅黑" w:hAnsi="微软雅黑" w:eastAsia="微软雅黑" w:cs="微软雅黑"/>
          <w:b/>
          <w:color w:val="auto"/>
          <w:sz w:val="24"/>
          <w:szCs w:val="24"/>
          <w:highlight w:val="none"/>
          <w:lang w:eastAsia="zh-CN"/>
        </w:rPr>
        <w:t>、项目管理人员配备要求（项目管理人员之间不得相互兼任）</w:t>
      </w:r>
      <w:bookmarkEnd w:id="73"/>
    </w:p>
    <w:p w14:paraId="497FA92D">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74" w:name="_Toc21285"/>
      <w:r>
        <w:rPr>
          <w:rFonts w:hint="eastAsia" w:ascii="微软雅黑" w:hAnsi="微软雅黑" w:eastAsia="微软雅黑" w:cs="微软雅黑"/>
          <w:color w:val="auto"/>
          <w:szCs w:val="24"/>
          <w:highlight w:val="none"/>
          <w:lang w:eastAsia="zh-CN"/>
        </w:rPr>
        <w:t>1.技术负责人（1人）：具有机电工程相关专业中级及以上职称，提供证书复印件加盖供应商公章。</w:t>
      </w:r>
      <w:bookmarkEnd w:id="74"/>
    </w:p>
    <w:p w14:paraId="70475105">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75" w:name="_Toc18453"/>
      <w:r>
        <w:rPr>
          <w:rFonts w:hint="eastAsia" w:ascii="微软雅黑" w:hAnsi="微软雅黑" w:eastAsia="微软雅黑" w:cs="微软雅黑"/>
          <w:color w:val="auto"/>
          <w:szCs w:val="24"/>
          <w:highlight w:val="none"/>
          <w:lang w:eastAsia="zh-CN"/>
        </w:rPr>
        <w:t>2.安全生产管理员（1人）：具有专职安全生产管理人员，提供安全生产考核合格证书或特种设备安全管理员A证复印件并加盖供应商公章。</w:t>
      </w:r>
      <w:bookmarkEnd w:id="75"/>
    </w:p>
    <w:p w14:paraId="3FF4F09B">
      <w:p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6" w:name="_Toc3244"/>
      <w:r>
        <w:rPr>
          <w:rFonts w:hint="eastAsia" w:ascii="微软雅黑" w:hAnsi="微软雅黑" w:eastAsia="微软雅黑" w:cs="微软雅黑"/>
          <w:b w:val="0"/>
          <w:bCs/>
          <w:color w:val="auto"/>
          <w:sz w:val="24"/>
          <w:szCs w:val="24"/>
          <w:highlight w:val="none"/>
          <w:lang w:eastAsia="zh-CN"/>
        </w:rPr>
        <w:t>注：供应商提供项目管理人员名单（包含但不限于姓名、身份证号码、工作职责）以及为其人员缴纳</w:t>
      </w:r>
      <w:r>
        <w:rPr>
          <w:rFonts w:hint="eastAsia" w:ascii="微软雅黑" w:hAnsi="微软雅黑" w:eastAsia="微软雅黑" w:cs="微软雅黑"/>
          <w:b w:val="0"/>
          <w:bCs/>
          <w:color w:val="auto"/>
          <w:sz w:val="24"/>
          <w:szCs w:val="24"/>
          <w:highlight w:val="none"/>
          <w:lang w:val="en-US" w:eastAsia="zh-CN"/>
        </w:rPr>
        <w:t>近半年</w:t>
      </w:r>
      <w:r>
        <w:rPr>
          <w:rFonts w:hint="eastAsia" w:ascii="微软雅黑" w:hAnsi="微软雅黑" w:eastAsia="微软雅黑" w:cs="微软雅黑"/>
          <w:b w:val="0"/>
          <w:bCs/>
          <w:color w:val="auto"/>
          <w:sz w:val="24"/>
          <w:szCs w:val="24"/>
          <w:highlight w:val="none"/>
          <w:lang w:eastAsia="zh-CN"/>
        </w:rPr>
        <w:t>的社保证明材料复印件或签订的劳动合同复印件），加盖供应商公章。</w:t>
      </w:r>
      <w:bookmarkEnd w:id="76"/>
    </w:p>
    <w:p w14:paraId="231C7C07">
      <w:pPr>
        <w:numPr>
          <w:ilvl w:val="0"/>
          <w:numId w:val="0"/>
        </w:numPr>
        <w:spacing w:line="240" w:lineRule="auto"/>
        <w:outlineLvl w:val="2"/>
        <w:rPr>
          <w:rFonts w:hint="eastAsia" w:ascii="微软雅黑" w:hAnsi="微软雅黑" w:eastAsia="微软雅黑" w:cs="微软雅黑"/>
          <w:b/>
          <w:color w:val="auto"/>
          <w:sz w:val="24"/>
          <w:szCs w:val="24"/>
          <w:highlight w:val="none"/>
          <w:lang w:eastAsia="zh-CN"/>
        </w:rPr>
      </w:pPr>
      <w:bookmarkStart w:id="77" w:name="_Toc21799"/>
      <w:r>
        <w:rPr>
          <w:rFonts w:hint="eastAsia" w:ascii="微软雅黑" w:hAnsi="微软雅黑" w:eastAsia="微软雅黑" w:cs="微软雅黑"/>
          <w:b/>
          <w:color w:val="auto"/>
          <w:kern w:val="2"/>
          <w:sz w:val="24"/>
          <w:szCs w:val="24"/>
          <w:highlight w:val="none"/>
          <w:lang w:val="en-US" w:eastAsia="zh-CN" w:bidi="ar-SA"/>
        </w:rPr>
        <w:t>五、</w:t>
      </w:r>
      <w:r>
        <w:rPr>
          <w:rFonts w:hint="eastAsia" w:ascii="微软雅黑" w:hAnsi="微软雅黑" w:eastAsia="微软雅黑" w:cs="微软雅黑"/>
          <w:b/>
          <w:color w:val="auto"/>
          <w:sz w:val="24"/>
          <w:szCs w:val="24"/>
          <w:highlight w:val="none"/>
          <w:lang w:eastAsia="zh-CN"/>
        </w:rPr>
        <w:t>其他要求</w:t>
      </w:r>
      <w:bookmarkEnd w:id="77"/>
    </w:p>
    <w:p w14:paraId="26B95ACB">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8" w:name="_Toc30629"/>
      <w:r>
        <w:rPr>
          <w:rFonts w:hint="eastAsia" w:ascii="微软雅黑" w:hAnsi="微软雅黑" w:eastAsia="微软雅黑" w:cs="微软雅黑"/>
          <w:b w:val="0"/>
          <w:bCs/>
          <w:color w:val="auto"/>
          <w:sz w:val="24"/>
          <w:szCs w:val="24"/>
          <w:highlight w:val="none"/>
          <w:lang w:eastAsia="zh-CN"/>
        </w:rPr>
        <w:t>（一）供应商施工人员、施工机械或在运输、装卸、施工途中对其他工程及邻近设备、管线、设施（含其他成品）等造成损坏，应由供应商负责修复原状及承担一切费用。</w:t>
      </w:r>
      <w:bookmarkEnd w:id="78"/>
    </w:p>
    <w:p w14:paraId="5639E3A2">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79" w:name="_Toc8266"/>
      <w:r>
        <w:rPr>
          <w:rFonts w:hint="eastAsia" w:ascii="微软雅黑" w:hAnsi="微软雅黑" w:eastAsia="微软雅黑" w:cs="微软雅黑"/>
          <w:b w:val="0"/>
          <w:bCs/>
          <w:color w:val="auto"/>
          <w:sz w:val="24"/>
          <w:szCs w:val="24"/>
          <w:highlight w:val="none"/>
          <w:lang w:eastAsia="zh-CN"/>
        </w:rPr>
        <w:t>（二）供应商对施工安全（包含但不仅限于施工现场及施工周边的施工人身安全、行人安全等）负责，供应商的项目管理团队必须到现场加强对项目的管理，若发生安全事故及造成的经济损失，一切安全责任均由供应商全部承担，采购人不承担任何责任。</w:t>
      </w:r>
      <w:bookmarkEnd w:id="79"/>
    </w:p>
    <w:p w14:paraId="0A8A17C2">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80" w:name="_Toc10797"/>
      <w:r>
        <w:rPr>
          <w:rFonts w:hint="eastAsia" w:ascii="微软雅黑" w:hAnsi="微软雅黑" w:eastAsia="微软雅黑" w:cs="微软雅黑"/>
          <w:b w:val="0"/>
          <w:bCs/>
          <w:color w:val="auto"/>
          <w:sz w:val="24"/>
          <w:szCs w:val="24"/>
          <w:highlight w:val="none"/>
          <w:lang w:eastAsia="zh-CN"/>
        </w:rPr>
        <w:t>（三）供应商的工作人员在为采购人的服务期间，因疾病、工伤、意外伤害、疾病传染、劳动保护、职业病等所产生的一切费用，均由供应商自行负责。</w:t>
      </w:r>
      <w:bookmarkEnd w:id="80"/>
      <w:r>
        <w:rPr>
          <w:rFonts w:hint="eastAsia" w:ascii="微软雅黑" w:hAnsi="微软雅黑" w:eastAsia="微软雅黑" w:cs="微软雅黑"/>
          <w:b w:val="0"/>
          <w:bCs/>
          <w:color w:val="auto"/>
          <w:sz w:val="24"/>
          <w:szCs w:val="24"/>
          <w:highlight w:val="none"/>
          <w:lang w:eastAsia="zh-CN"/>
        </w:rPr>
        <w:t xml:space="preserve"> </w:t>
      </w:r>
    </w:p>
    <w:p w14:paraId="7D508D57">
      <w:pPr>
        <w:numPr>
          <w:ilvl w:val="0"/>
          <w:numId w:val="0"/>
        </w:numPr>
        <w:spacing w:line="240" w:lineRule="auto"/>
        <w:ind w:firstLine="480" w:firstLineChars="200"/>
        <w:outlineLvl w:val="2"/>
        <w:rPr>
          <w:rFonts w:hint="eastAsia" w:ascii="微软雅黑" w:hAnsi="微软雅黑" w:eastAsia="微软雅黑" w:cs="微软雅黑"/>
          <w:b w:val="0"/>
          <w:bCs/>
          <w:color w:val="auto"/>
          <w:sz w:val="24"/>
          <w:szCs w:val="24"/>
          <w:highlight w:val="none"/>
          <w:lang w:eastAsia="zh-CN"/>
        </w:rPr>
      </w:pPr>
      <w:bookmarkStart w:id="81" w:name="_Toc9343"/>
      <w:r>
        <w:rPr>
          <w:rFonts w:hint="eastAsia" w:ascii="微软雅黑" w:hAnsi="微软雅黑" w:eastAsia="微软雅黑" w:cs="微软雅黑"/>
          <w:b w:val="0"/>
          <w:bCs/>
          <w:color w:val="auto"/>
          <w:sz w:val="24"/>
          <w:szCs w:val="24"/>
          <w:highlight w:val="none"/>
          <w:lang w:eastAsia="zh-CN"/>
        </w:rPr>
        <w:t>（四）在履约服务期限内，供应商自行组织人员完成合同约定事务，并按国家法律法规的要求完善用工制度，供应商为完成合同约定事务自行聘请的人员工资、福利、社保等用工责任由供应商自行承担，因供应商未完善而引起的劳动争议由供应商自行负责。</w:t>
      </w:r>
      <w:bookmarkEnd w:id="81"/>
      <w:r>
        <w:rPr>
          <w:rFonts w:hint="eastAsia" w:ascii="微软雅黑" w:hAnsi="微软雅黑" w:eastAsia="微软雅黑" w:cs="微软雅黑"/>
          <w:b w:val="0"/>
          <w:bCs/>
          <w:color w:val="auto"/>
          <w:sz w:val="24"/>
          <w:szCs w:val="24"/>
          <w:highlight w:val="none"/>
          <w:lang w:eastAsia="zh-CN"/>
        </w:rPr>
        <w:t xml:space="preserve"> </w:t>
      </w:r>
    </w:p>
    <w:p w14:paraId="07B25F17">
      <w:pPr>
        <w:pStyle w:val="2"/>
        <w:ind w:firstLine="480" w:firstLineChars="200"/>
        <w:rPr>
          <w:rFonts w:hint="eastAsia" w:ascii="微软雅黑" w:hAnsi="微软雅黑" w:eastAsia="微软雅黑" w:cs="微软雅黑"/>
          <w:b w:val="0"/>
          <w:bCs/>
          <w:color w:val="auto"/>
          <w:sz w:val="24"/>
          <w:szCs w:val="24"/>
          <w:highlight w:val="none"/>
          <w:lang w:eastAsia="zh-CN"/>
        </w:rPr>
      </w:pPr>
      <w:r>
        <w:rPr>
          <w:rFonts w:hint="eastAsia" w:ascii="微软雅黑" w:hAnsi="微软雅黑" w:eastAsia="微软雅黑" w:cs="微软雅黑"/>
          <w:b w:val="0"/>
          <w:bCs/>
          <w:color w:val="auto"/>
          <w:sz w:val="24"/>
          <w:szCs w:val="24"/>
          <w:highlight w:val="none"/>
          <w:lang w:eastAsia="zh-CN"/>
        </w:rPr>
        <w:t>（五）供应商人员因自身工作失误造成设备、现场、人员及其他损失由供应商自行负责，采购人不承担责任。</w:t>
      </w:r>
    </w:p>
    <w:p w14:paraId="15F2ED37">
      <w:pPr>
        <w:ind w:firstLine="480" w:firstLineChars="200"/>
        <w:rPr>
          <w:rFonts w:hint="default" w:ascii="微软雅黑" w:hAnsi="微软雅黑" w:eastAsia="微软雅黑" w:cs="微软雅黑"/>
          <w:b w:val="0"/>
          <w:bCs/>
          <w:color w:val="auto"/>
          <w:kern w:val="2"/>
          <w:sz w:val="24"/>
          <w:szCs w:val="24"/>
          <w:highlight w:val="none"/>
          <w:lang w:val="en-US" w:eastAsia="zh-CN" w:bidi="ar-SA"/>
        </w:rPr>
      </w:pP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六</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品牌要求：</w:t>
      </w:r>
      <w:r>
        <w:rPr>
          <w:rFonts w:hint="eastAsia" w:ascii="微软雅黑" w:hAnsi="微软雅黑" w:eastAsia="微软雅黑" w:cs="微软雅黑"/>
          <w:b w:val="0"/>
          <w:bCs/>
          <w:color w:val="auto"/>
          <w:kern w:val="2"/>
          <w:sz w:val="24"/>
          <w:szCs w:val="24"/>
          <w:highlight w:val="none"/>
          <w:lang w:val="en-US" w:eastAsia="zh-CN" w:bidi="ar-SA"/>
        </w:rPr>
        <w:t>一线品牌如上海三菱、奥的斯、通力或同档次品牌；</w:t>
      </w:r>
    </w:p>
    <w:p w14:paraId="27E31165">
      <w:pPr>
        <w:rPr>
          <w:color w:val="auto"/>
          <w:highlight w:val="none"/>
        </w:rPr>
      </w:pPr>
      <w:r>
        <w:rPr>
          <w:color w:val="auto"/>
          <w:highlight w:val="none"/>
        </w:rPr>
        <w:br w:type="page"/>
      </w:r>
    </w:p>
    <w:p w14:paraId="4D1F12AD">
      <w:pPr>
        <w:widowControl/>
        <w:ind w:firstLine="720"/>
        <w:jc w:val="center"/>
        <w:outlineLvl w:val="0"/>
        <w:rPr>
          <w:rFonts w:hint="eastAsia" w:ascii="微软雅黑" w:hAnsi="微软雅黑" w:eastAsia="微软雅黑" w:cs="微软雅黑"/>
          <w:bCs/>
          <w:color w:val="auto"/>
          <w:sz w:val="36"/>
          <w:szCs w:val="30"/>
          <w:highlight w:val="none"/>
        </w:rPr>
      </w:pPr>
      <w:bookmarkStart w:id="82" w:name="_Toc26515"/>
      <w:bookmarkStart w:id="83" w:name="_Toc17227"/>
      <w:r>
        <w:rPr>
          <w:rFonts w:hint="eastAsia" w:ascii="微软雅黑" w:hAnsi="微软雅黑" w:eastAsia="微软雅黑" w:cs="微软雅黑"/>
          <w:bCs/>
          <w:color w:val="auto"/>
          <w:sz w:val="36"/>
          <w:szCs w:val="30"/>
          <w:highlight w:val="none"/>
        </w:rPr>
        <w:t>第三篇  项目商务需求</w:t>
      </w:r>
      <w:bookmarkEnd w:id="62"/>
      <w:bookmarkEnd w:id="82"/>
      <w:bookmarkEnd w:id="83"/>
    </w:p>
    <w:p w14:paraId="3C1C5F86">
      <w:pPr>
        <w:pStyle w:val="5"/>
        <w:spacing w:line="400" w:lineRule="exact"/>
        <w:rPr>
          <w:rFonts w:hint="eastAsia" w:ascii="微软雅黑" w:hAnsi="微软雅黑" w:eastAsia="微软雅黑" w:cs="微软雅黑"/>
          <w:color w:val="auto"/>
          <w:sz w:val="24"/>
          <w:szCs w:val="24"/>
          <w:highlight w:val="none"/>
        </w:rPr>
      </w:pPr>
      <w:bookmarkStart w:id="84" w:name="_Toc5045"/>
      <w:bookmarkStart w:id="85" w:name="_Toc344475120"/>
      <w:bookmarkStart w:id="86" w:name="_Toc31885"/>
      <w:bookmarkStart w:id="87" w:name="_Toc26532255"/>
      <w:bookmarkStart w:id="88" w:name="_Toc17224"/>
      <w:bookmarkStart w:id="89" w:name="_Toc344475121"/>
      <w:bookmarkStart w:id="90" w:name="_Toc47094774"/>
      <w:r>
        <w:rPr>
          <w:rFonts w:hint="eastAsia" w:ascii="微软雅黑" w:hAnsi="微软雅黑" w:eastAsia="微软雅黑" w:cs="微软雅黑"/>
          <w:color w:val="auto"/>
          <w:sz w:val="24"/>
          <w:szCs w:val="24"/>
          <w:highlight w:val="none"/>
        </w:rPr>
        <w:t>一、实施工期、地点</w:t>
      </w:r>
      <w:bookmarkEnd w:id="84"/>
      <w:bookmarkEnd w:id="85"/>
      <w:bookmarkEnd w:id="86"/>
      <w:bookmarkEnd w:id="87"/>
      <w:bookmarkEnd w:id="88"/>
    </w:p>
    <w:p w14:paraId="27896801">
      <w:pPr>
        <w:spacing w:line="400" w:lineRule="exact"/>
        <w:rPr>
          <w:rFonts w:hint="default" w:ascii="微软雅黑" w:hAnsi="微软雅黑" w:eastAsia="微软雅黑" w:cs="微软雅黑"/>
          <w:bCs/>
          <w:color w:val="auto"/>
          <w:sz w:val="24"/>
          <w:szCs w:val="24"/>
          <w:highlight w:val="none"/>
          <w:u w:val="single"/>
          <w:lang w:val="en-US" w:eastAsia="zh-CN"/>
        </w:rPr>
      </w:pPr>
      <w:bookmarkStart w:id="91" w:name="_Toc29854"/>
      <w:r>
        <w:rPr>
          <w:rFonts w:hint="eastAsia" w:ascii="微软雅黑" w:hAnsi="微软雅黑" w:eastAsia="微软雅黑" w:cs="微软雅黑"/>
          <w:bCs/>
          <w:color w:val="auto"/>
          <w:sz w:val="24"/>
          <w:szCs w:val="24"/>
          <w:highlight w:val="none"/>
        </w:rPr>
        <w:t>（一）</w:t>
      </w:r>
      <w:bookmarkEnd w:id="91"/>
      <w:bookmarkStart w:id="92" w:name="_Toc22018"/>
      <w:r>
        <w:rPr>
          <w:rFonts w:hint="eastAsia" w:ascii="微软雅黑" w:hAnsi="微软雅黑" w:eastAsia="微软雅黑" w:cs="微软雅黑"/>
          <w:bCs/>
          <w:color w:val="auto"/>
          <w:sz w:val="24"/>
          <w:szCs w:val="24"/>
          <w:highlight w:val="none"/>
        </w:rPr>
        <w:t>实施工期：</w:t>
      </w:r>
      <w:r>
        <w:rPr>
          <w:rFonts w:hint="eastAsia" w:ascii="微软雅黑" w:hAnsi="微软雅黑" w:eastAsia="微软雅黑" w:cs="微软雅黑"/>
          <w:bCs/>
          <w:color w:val="auto"/>
          <w:sz w:val="24"/>
          <w:szCs w:val="24"/>
          <w:highlight w:val="none"/>
          <w:u w:val="none"/>
          <w:lang w:val="en-US" w:eastAsia="zh-CN"/>
        </w:rPr>
        <w:t>合同</w:t>
      </w:r>
      <w:r>
        <w:rPr>
          <w:rFonts w:hint="eastAsia" w:ascii="微软雅黑" w:hAnsi="微软雅黑" w:eastAsia="微软雅黑" w:cs="微软雅黑"/>
          <w:bCs/>
          <w:color w:val="auto"/>
          <w:sz w:val="24"/>
          <w:szCs w:val="24"/>
          <w:highlight w:val="none"/>
        </w:rPr>
        <w:t>总工期</w:t>
      </w:r>
      <w:r>
        <w:rPr>
          <w:rFonts w:hint="eastAsia" w:ascii="微软雅黑" w:hAnsi="微软雅黑" w:eastAsia="微软雅黑" w:cs="微软雅黑"/>
          <w:bCs/>
          <w:color w:val="auto"/>
          <w:sz w:val="24"/>
          <w:szCs w:val="24"/>
          <w:highlight w:val="none"/>
          <w:lang w:val="en-US" w:eastAsia="zh-CN"/>
        </w:rPr>
        <w:t>180</w:t>
      </w:r>
      <w:r>
        <w:rPr>
          <w:rFonts w:hint="eastAsia" w:ascii="微软雅黑" w:hAnsi="微软雅黑" w:eastAsia="微软雅黑" w:cs="微软雅黑"/>
          <w:bCs/>
          <w:color w:val="auto"/>
          <w:sz w:val="24"/>
          <w:szCs w:val="24"/>
          <w:highlight w:val="none"/>
        </w:rPr>
        <w:t>天，该工期为生产供货、完成安装、调试直至</w:t>
      </w:r>
      <w:r>
        <w:rPr>
          <w:rFonts w:hint="eastAsia" w:ascii="微软雅黑" w:hAnsi="微软雅黑" w:eastAsia="微软雅黑" w:cs="微软雅黑"/>
          <w:bCs/>
          <w:color w:val="auto"/>
          <w:sz w:val="24"/>
          <w:szCs w:val="24"/>
          <w:highlight w:val="none"/>
          <w:lang w:val="en-US" w:eastAsia="zh-CN"/>
        </w:rPr>
        <w:t>取得监督检验报告</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u w:val="single"/>
          <w:lang w:val="en-US" w:eastAsia="zh-CN"/>
        </w:rPr>
        <w:t>现场施工时间：120天</w:t>
      </w:r>
    </w:p>
    <w:p w14:paraId="5D67BD69">
      <w:pPr>
        <w:spacing w:line="400" w:lineRule="exact"/>
        <w:outlineLvl w:val="1"/>
        <w:rPr>
          <w:rFonts w:hint="eastAsia" w:ascii="微软雅黑" w:hAnsi="微软雅黑" w:eastAsia="微软雅黑" w:cs="微软雅黑"/>
          <w:bCs/>
          <w:color w:val="auto"/>
          <w:sz w:val="24"/>
          <w:szCs w:val="24"/>
          <w:highlight w:val="none"/>
        </w:rPr>
      </w:pPr>
      <w:bookmarkStart w:id="93" w:name="_Toc19440"/>
      <w:bookmarkStart w:id="94" w:name="_Toc29565"/>
      <w:bookmarkStart w:id="95" w:name="_Toc16464"/>
      <w:bookmarkStart w:id="96" w:name="_Toc4866"/>
      <w:r>
        <w:rPr>
          <w:rFonts w:hint="eastAsia" w:ascii="微软雅黑" w:hAnsi="微软雅黑" w:eastAsia="微软雅黑" w:cs="微软雅黑"/>
          <w:bCs/>
          <w:color w:val="auto"/>
          <w:sz w:val="24"/>
          <w:szCs w:val="24"/>
          <w:highlight w:val="none"/>
        </w:rPr>
        <w:t>（二）实施地点：</w:t>
      </w:r>
      <w:bookmarkEnd w:id="89"/>
      <w:bookmarkEnd w:id="90"/>
      <w:bookmarkEnd w:id="92"/>
      <w:r>
        <w:rPr>
          <w:rFonts w:hint="eastAsia" w:ascii="微软雅黑" w:hAnsi="微软雅黑" w:eastAsia="微软雅黑" w:cs="微软雅黑"/>
          <w:bCs/>
          <w:color w:val="auto"/>
          <w:sz w:val="24"/>
          <w:szCs w:val="24"/>
          <w:highlight w:val="none"/>
        </w:rPr>
        <w:t>重庆市</w:t>
      </w:r>
      <w:r>
        <w:rPr>
          <w:rFonts w:hint="eastAsia" w:ascii="微软雅黑" w:hAnsi="微软雅黑" w:eastAsia="微软雅黑" w:cs="微软雅黑"/>
          <w:bCs/>
          <w:color w:val="auto"/>
          <w:sz w:val="24"/>
          <w:szCs w:val="24"/>
          <w:highlight w:val="none"/>
          <w:lang w:val="en-US" w:eastAsia="zh-CN"/>
        </w:rPr>
        <w:t>正升·百老汇住宅1单元</w:t>
      </w:r>
      <w:r>
        <w:rPr>
          <w:rFonts w:hint="eastAsia" w:ascii="微软雅黑" w:hAnsi="微软雅黑" w:eastAsia="微软雅黑" w:cs="微软雅黑"/>
          <w:bCs/>
          <w:color w:val="auto"/>
          <w:sz w:val="24"/>
          <w:szCs w:val="24"/>
          <w:highlight w:val="none"/>
        </w:rPr>
        <w:t>。</w:t>
      </w:r>
      <w:bookmarkEnd w:id="93"/>
      <w:bookmarkEnd w:id="94"/>
      <w:bookmarkEnd w:id="95"/>
      <w:bookmarkEnd w:id="96"/>
    </w:p>
    <w:p w14:paraId="6FDA572F">
      <w:pPr>
        <w:spacing w:line="400" w:lineRule="exact"/>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（三）投标企业自主现场勘察。</w:t>
      </w:r>
    </w:p>
    <w:p w14:paraId="264F9173">
      <w:pPr>
        <w:pStyle w:val="5"/>
        <w:spacing w:line="400" w:lineRule="exact"/>
        <w:rPr>
          <w:rFonts w:hint="eastAsia" w:ascii="微软雅黑" w:hAnsi="微软雅黑" w:eastAsia="微软雅黑" w:cs="微软雅黑"/>
          <w:color w:val="auto"/>
          <w:sz w:val="24"/>
          <w:szCs w:val="24"/>
          <w:highlight w:val="none"/>
        </w:rPr>
      </w:pPr>
      <w:bookmarkStart w:id="97" w:name="_Toc466546916"/>
      <w:bookmarkStart w:id="98" w:name="_Toc16237"/>
      <w:bookmarkStart w:id="99" w:name="_Toc344475123"/>
      <w:bookmarkStart w:id="100" w:name="_Toc47094775"/>
      <w:bookmarkStart w:id="101" w:name="_Toc16228"/>
      <w:bookmarkStart w:id="102" w:name="_Toc28952"/>
      <w:r>
        <w:rPr>
          <w:rFonts w:hint="eastAsia" w:ascii="微软雅黑" w:hAnsi="微软雅黑" w:eastAsia="微软雅黑" w:cs="微软雅黑"/>
          <w:color w:val="auto"/>
          <w:sz w:val="24"/>
          <w:szCs w:val="24"/>
          <w:highlight w:val="none"/>
        </w:rPr>
        <w:t>二、</w:t>
      </w:r>
      <w:bookmarkEnd w:id="97"/>
      <w:r>
        <w:rPr>
          <w:rFonts w:hint="eastAsia" w:ascii="微软雅黑" w:hAnsi="微软雅黑" w:eastAsia="微软雅黑" w:cs="微软雅黑"/>
          <w:color w:val="auto"/>
          <w:sz w:val="24"/>
          <w:szCs w:val="24"/>
          <w:highlight w:val="none"/>
        </w:rPr>
        <w:t>报价要求</w:t>
      </w:r>
      <w:bookmarkEnd w:id="98"/>
      <w:bookmarkEnd w:id="99"/>
      <w:bookmarkEnd w:id="100"/>
      <w:bookmarkEnd w:id="101"/>
      <w:bookmarkEnd w:id="102"/>
    </w:p>
    <w:p w14:paraId="558BA77E">
      <w:pPr>
        <w:ind w:firstLine="480" w:firstLineChars="200"/>
        <w:outlineLvl w:val="1"/>
        <w:rPr>
          <w:rFonts w:hint="eastAsia" w:ascii="微软雅黑" w:hAnsi="微软雅黑" w:eastAsia="微软雅黑" w:cs="微软雅黑"/>
          <w:bCs/>
          <w:color w:val="auto"/>
          <w:sz w:val="24"/>
          <w:szCs w:val="24"/>
          <w:highlight w:val="none"/>
        </w:rPr>
      </w:pPr>
      <w:bookmarkStart w:id="103" w:name="_Toc1966"/>
      <w:bookmarkStart w:id="104" w:name="_Toc15850"/>
      <w:bookmarkStart w:id="105" w:name="_Toc26532258"/>
      <w:bookmarkStart w:id="106" w:name="_Toc11571"/>
      <w:r>
        <w:rPr>
          <w:rFonts w:hint="eastAsia" w:ascii="微软雅黑" w:hAnsi="微软雅黑" w:eastAsia="微软雅黑" w:cs="微软雅黑"/>
          <w:bCs/>
          <w:color w:val="auto"/>
          <w:sz w:val="24"/>
          <w:szCs w:val="24"/>
          <w:highlight w:val="none"/>
        </w:rPr>
        <w:t>本项目报价以人民币报价，有效投标报价为：本次为包干报价。包括完成本项目设计费、安装费、材料费、运输费、人工费、安全文明施工费、电梯监督检验等及各种应缴纳的税费等保障项目完成的所有费用。</w:t>
      </w:r>
      <w:r>
        <w:rPr>
          <w:rFonts w:hint="eastAsia" w:ascii="微软雅黑" w:hAnsi="微软雅黑" w:eastAsia="微软雅黑" w:cs="微软雅黑"/>
          <w:bCs/>
          <w:color w:val="auto"/>
          <w:sz w:val="24"/>
          <w:szCs w:val="24"/>
          <w:highlight w:val="none"/>
          <w:u w:val="single"/>
        </w:rPr>
        <w:t>因成交供应商自身原因造成漏报、少报皆由其自行承担责任，采购人不再补偿</w:t>
      </w:r>
      <w:r>
        <w:rPr>
          <w:rFonts w:hint="eastAsia" w:ascii="微软雅黑" w:hAnsi="微软雅黑" w:eastAsia="微软雅黑" w:cs="微软雅黑"/>
          <w:bCs/>
          <w:color w:val="auto"/>
          <w:sz w:val="24"/>
          <w:szCs w:val="24"/>
          <w:highlight w:val="none"/>
        </w:rPr>
        <w:t>。</w:t>
      </w:r>
      <w:bookmarkEnd w:id="103"/>
    </w:p>
    <w:p w14:paraId="105A2494">
      <w:pPr>
        <w:ind w:firstLine="480" w:firstLineChars="200"/>
        <w:outlineLvl w:val="1"/>
        <w:rPr>
          <w:rFonts w:hint="default"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费用构成如下：</w:t>
      </w:r>
    </w:p>
    <w:p w14:paraId="4E1C27A6">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1.旧电梯拆除费；</w:t>
      </w:r>
    </w:p>
    <w:p w14:paraId="0413910C">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2.新电梯设备供货及安装以及期间的水电等能耗费用；</w:t>
      </w:r>
    </w:p>
    <w:p w14:paraId="799F8563">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3.电梯通风、监控、五方通话、能源反馈装置；</w:t>
      </w:r>
    </w:p>
    <w:p w14:paraId="11D913B4">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4.楼栋电梯配置物联网智慧管理系统；</w:t>
      </w:r>
    </w:p>
    <w:p w14:paraId="5DB8FAC8">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5.电梯机房整治、降温设备供货及安装费；</w:t>
      </w:r>
    </w:p>
    <w:p w14:paraId="37C2FE03">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6.电梯</w:t>
      </w:r>
      <w:r>
        <w:rPr>
          <w:rFonts w:hint="eastAsia" w:ascii="微软雅黑" w:hAnsi="微软雅黑" w:eastAsia="微软雅黑" w:cs="微软雅黑"/>
          <w:bCs/>
          <w:color w:val="auto"/>
          <w:sz w:val="24"/>
          <w:szCs w:val="24"/>
          <w:highlight w:val="none"/>
          <w:lang w:val="en-US" w:eastAsia="zh-CN"/>
        </w:rPr>
        <w:t>阻车监控系统</w:t>
      </w:r>
      <w:r>
        <w:rPr>
          <w:rFonts w:hint="eastAsia" w:ascii="微软雅黑" w:hAnsi="微软雅黑" w:eastAsia="微软雅黑" w:cs="微软雅黑"/>
          <w:bCs/>
          <w:color w:val="auto"/>
          <w:sz w:val="24"/>
          <w:szCs w:val="24"/>
          <w:highlight w:val="none"/>
        </w:rPr>
        <w:t>措施费；</w:t>
      </w:r>
    </w:p>
    <w:p w14:paraId="016FEC9A">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7.损坏的石材电梯门套更换</w:t>
      </w:r>
    </w:p>
    <w:p w14:paraId="62A93DAB">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8.电梯检测评估费；</w:t>
      </w:r>
    </w:p>
    <w:p w14:paraId="7F461165">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9.旧电梯残值</w:t>
      </w:r>
      <w:r>
        <w:rPr>
          <w:rFonts w:hint="eastAsia" w:ascii="微软雅黑" w:hAnsi="微软雅黑" w:eastAsia="微软雅黑" w:cs="微软雅黑"/>
          <w:bCs/>
          <w:color w:val="auto"/>
          <w:sz w:val="24"/>
          <w:szCs w:val="24"/>
          <w:highlight w:val="none"/>
          <w:lang w:val="en-US" w:eastAsia="zh-CN"/>
        </w:rPr>
        <w:t>按第三方专业公司计价核定后，在本项目总造价扣除</w:t>
      </w:r>
      <w:r>
        <w:rPr>
          <w:rFonts w:hint="eastAsia" w:ascii="微软雅黑" w:hAnsi="微软雅黑" w:eastAsia="微软雅黑" w:cs="微软雅黑"/>
          <w:bCs/>
          <w:color w:val="auto"/>
          <w:sz w:val="24"/>
          <w:szCs w:val="24"/>
          <w:highlight w:val="none"/>
        </w:rPr>
        <w:t>；</w:t>
      </w:r>
    </w:p>
    <w:p w14:paraId="386D6046">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10.建筑垃圾清运费；</w:t>
      </w:r>
    </w:p>
    <w:p w14:paraId="1DCD7FB4">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11.停梯期间的便民服务费；</w:t>
      </w:r>
    </w:p>
    <w:p w14:paraId="78AAA560">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12.其他必要的施工措施费；</w:t>
      </w:r>
    </w:p>
    <w:p w14:paraId="3619FE27">
      <w:pPr>
        <w:ind w:firstLine="480" w:firstLineChars="200"/>
        <w:outlineLvl w:val="1"/>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13.本次电梯更新工程费用</w:t>
      </w:r>
    </w:p>
    <w:p w14:paraId="6438DFEF">
      <w:pPr>
        <w:ind w:firstLine="480" w:firstLineChars="200"/>
        <w:outlineLvl w:val="1"/>
        <w:rPr>
          <w:rFonts w:hint="eastAsia" w:ascii="微软雅黑" w:hAnsi="微软雅黑" w:eastAsia="微软雅黑" w:cs="微软雅黑"/>
          <w:bCs/>
          <w:color w:val="auto"/>
          <w:sz w:val="24"/>
          <w:szCs w:val="24"/>
          <w:highlight w:val="none"/>
        </w:rPr>
      </w:pPr>
    </w:p>
    <w:p w14:paraId="69A567E2">
      <w:pPr>
        <w:pStyle w:val="5"/>
        <w:spacing w:line="240" w:lineRule="auto"/>
        <w:rPr>
          <w:rFonts w:hint="eastAsia" w:ascii="微软雅黑" w:hAnsi="微软雅黑" w:eastAsia="微软雅黑" w:cs="微软雅黑"/>
          <w:color w:val="auto"/>
          <w:sz w:val="24"/>
          <w:szCs w:val="24"/>
          <w:highlight w:val="none"/>
        </w:rPr>
      </w:pPr>
      <w:bookmarkStart w:id="107" w:name="_Toc12397"/>
      <w:r>
        <w:rPr>
          <w:rFonts w:hint="eastAsia" w:ascii="微软雅黑" w:hAnsi="微软雅黑" w:eastAsia="微软雅黑" w:cs="微软雅黑"/>
          <w:color w:val="auto"/>
          <w:sz w:val="24"/>
          <w:szCs w:val="24"/>
          <w:highlight w:val="none"/>
        </w:rPr>
        <w:t>三、</w:t>
      </w:r>
      <w:bookmarkStart w:id="108" w:name="_Toc344475122"/>
      <w:r>
        <w:rPr>
          <w:rFonts w:hint="eastAsia" w:ascii="微软雅黑" w:hAnsi="微软雅黑" w:eastAsia="微软雅黑" w:cs="微软雅黑"/>
          <w:color w:val="auto"/>
          <w:sz w:val="24"/>
          <w:szCs w:val="24"/>
          <w:highlight w:val="none"/>
        </w:rPr>
        <w:t>付款方式</w:t>
      </w:r>
      <w:bookmarkEnd w:id="104"/>
      <w:bookmarkEnd w:id="105"/>
      <w:bookmarkEnd w:id="106"/>
      <w:bookmarkEnd w:id="107"/>
      <w:bookmarkEnd w:id="108"/>
    </w:p>
    <w:p w14:paraId="76B19E1E">
      <w:pPr>
        <w:pStyle w:val="5"/>
        <w:spacing w:line="240" w:lineRule="auto"/>
        <w:ind w:firstLine="480" w:firstLineChars="200"/>
        <w:rPr>
          <w:rFonts w:hint="eastAsia" w:ascii="微软雅黑" w:hAnsi="微软雅黑" w:eastAsia="微软雅黑" w:cs="微软雅黑"/>
          <w:b w:val="0"/>
          <w:bCs/>
          <w:color w:val="auto"/>
          <w:sz w:val="24"/>
          <w:szCs w:val="24"/>
          <w:highlight w:val="none"/>
        </w:rPr>
      </w:pPr>
      <w:bookmarkStart w:id="109" w:name="_Toc13199"/>
      <w:bookmarkStart w:id="110" w:name="_Toc13025"/>
      <w:bookmarkStart w:id="111" w:name="_Toc24921"/>
      <w:bookmarkStart w:id="112" w:name="_Toc26532259"/>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1</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rPr>
        <w:t>《重庆市财政局关于下达2025年第一批超长期特别国债（大规模设备更新领域-住宅老旧电梯更新）支出预算通知》（渝财建［2025］119号）等文件要求，按规定及时拨付施工进度款。申请主体按国债资金拨付要求准备资料和《住宅老旧电梯更新项目使用超长期特别国债资金审核意见书》、《住宅老旧电梯更新项目超使用长期特别国债资金拨付审批表》送街道相关岗位审核后，报建设局审批，建设局使用国债资金将进度款直接拨付至电梯安装施工单位账户</w:t>
      </w:r>
      <w:r>
        <w:rPr>
          <w:rFonts w:hint="eastAsia" w:ascii="微软雅黑" w:hAnsi="微软雅黑" w:eastAsia="微软雅黑" w:cs="微软雅黑"/>
          <w:b w:val="0"/>
          <w:bCs/>
          <w:color w:val="auto"/>
          <w:sz w:val="24"/>
          <w:szCs w:val="24"/>
          <w:highlight w:val="none"/>
        </w:rPr>
        <w:t>。</w:t>
      </w:r>
      <w:bookmarkEnd w:id="109"/>
    </w:p>
    <w:p w14:paraId="210CEAF7">
      <w:pPr>
        <w:pStyle w:val="5"/>
        <w:spacing w:line="240" w:lineRule="auto"/>
        <w:ind w:firstLine="480" w:firstLineChars="200"/>
        <w:rPr>
          <w:rFonts w:hint="eastAsia" w:ascii="微软雅黑" w:hAnsi="微软雅黑" w:eastAsia="微软雅黑" w:cs="微软雅黑"/>
          <w:b w:val="0"/>
          <w:bCs/>
          <w:color w:val="auto"/>
          <w:sz w:val="24"/>
          <w:szCs w:val="24"/>
          <w:highlight w:val="none"/>
        </w:rPr>
      </w:pPr>
      <w:bookmarkStart w:id="113" w:name="_Toc27514"/>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val="en-US" w:eastAsia="zh-CN"/>
        </w:rPr>
        <w:t>2</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val="0"/>
          <w:bCs/>
          <w:color w:val="auto"/>
          <w:sz w:val="24"/>
          <w:szCs w:val="24"/>
          <w:highlight w:val="none"/>
          <w:lang w:eastAsia="zh-CN"/>
        </w:rPr>
        <w:t>住宅专项维修资金使用：本项目使用维修资金，需严格遵守《重庆市住宅专项维修资金管理办法》，</w:t>
      </w:r>
      <w:r>
        <w:rPr>
          <w:rFonts w:hint="eastAsia" w:ascii="微软雅黑" w:hAnsi="微软雅黑" w:eastAsia="微软雅黑" w:cs="微软雅黑"/>
          <w:b w:val="0"/>
          <w:bCs/>
          <w:color w:val="auto"/>
          <w:sz w:val="24"/>
          <w:szCs w:val="24"/>
          <w:highlight w:val="none"/>
          <w:lang w:val="en-US" w:eastAsia="zh-CN"/>
        </w:rPr>
        <w:t>本项目</w:t>
      </w:r>
      <w:r>
        <w:rPr>
          <w:rFonts w:hint="eastAsia" w:ascii="微软雅黑" w:hAnsi="微软雅黑" w:eastAsia="微软雅黑" w:cs="微软雅黑"/>
          <w:b w:val="0"/>
          <w:bCs/>
          <w:color w:val="auto"/>
          <w:sz w:val="24"/>
          <w:szCs w:val="24"/>
          <w:highlight w:val="none"/>
          <w:lang w:eastAsia="zh-CN"/>
        </w:rPr>
        <w:t>成交供应商需配合甲方完成维修资金使用的业主表决、资料备案等工作，</w:t>
      </w:r>
      <w:r>
        <w:rPr>
          <w:rFonts w:hint="eastAsia" w:ascii="微软雅黑" w:hAnsi="微软雅黑" w:eastAsia="微软雅黑" w:cs="微软雅黑"/>
          <w:b w:val="0"/>
          <w:bCs/>
          <w:color w:val="auto"/>
          <w:sz w:val="24"/>
          <w:szCs w:val="24"/>
          <w:highlight w:val="none"/>
        </w:rPr>
        <w:t>按物业专项维修资金使用要求准备资料送街道相关岗位审核后，报建设局审批，建设局使用维修资金将尾款直接拨付至电梯施工单位账户。</w:t>
      </w:r>
      <w:bookmarkEnd w:id="113"/>
    </w:p>
    <w:p w14:paraId="58440F49">
      <w:pPr>
        <w:pStyle w:val="5"/>
        <w:spacing w:line="240" w:lineRule="auto"/>
        <w:rPr>
          <w:rFonts w:hint="eastAsia" w:ascii="微软雅黑" w:hAnsi="微软雅黑" w:eastAsia="微软雅黑" w:cs="微软雅黑"/>
          <w:color w:val="auto"/>
          <w:sz w:val="24"/>
          <w:szCs w:val="24"/>
          <w:highlight w:val="none"/>
        </w:rPr>
      </w:pPr>
      <w:bookmarkStart w:id="114" w:name="_Toc4980"/>
      <w:r>
        <w:rPr>
          <w:rFonts w:hint="eastAsia" w:ascii="微软雅黑" w:hAnsi="微软雅黑" w:eastAsia="微软雅黑" w:cs="微软雅黑"/>
          <w:color w:val="auto"/>
          <w:sz w:val="24"/>
          <w:szCs w:val="24"/>
          <w:highlight w:val="none"/>
        </w:rPr>
        <w:t>四、知识产权</w:t>
      </w:r>
      <w:bookmarkEnd w:id="110"/>
      <w:bookmarkEnd w:id="111"/>
      <w:bookmarkEnd w:id="112"/>
      <w:bookmarkEnd w:id="114"/>
    </w:p>
    <w:p w14:paraId="460B381D">
      <w:pPr>
        <w:snapToGrid w:val="0"/>
        <w:ind w:firstLine="480"/>
        <w:rPr>
          <w:rFonts w:hint="eastAsia" w:ascii="微软雅黑" w:hAnsi="微软雅黑" w:eastAsia="微软雅黑" w:cs="微软雅黑"/>
          <w:color w:val="auto"/>
          <w:sz w:val="24"/>
          <w:szCs w:val="24"/>
          <w:highlight w:val="none"/>
        </w:rPr>
      </w:pPr>
      <w:bookmarkStart w:id="115" w:name="_Toc267320053"/>
      <w:bookmarkStart w:id="116" w:name="_Toc441065671"/>
      <w:r>
        <w:rPr>
          <w:rFonts w:hint="eastAsia" w:ascii="微软雅黑" w:hAnsi="微软雅黑" w:eastAsia="微软雅黑" w:cs="微软雅黑"/>
          <w:color w:val="auto"/>
          <w:sz w:val="24"/>
          <w:szCs w:val="24"/>
          <w:highlight w:val="none"/>
          <w:lang w:val="en-US" w:eastAsia="zh-CN"/>
        </w:rPr>
        <w:t>招标</w:t>
      </w:r>
      <w:r>
        <w:rPr>
          <w:rFonts w:hint="eastAsia" w:ascii="微软雅黑" w:hAnsi="微软雅黑" w:eastAsia="微软雅黑" w:cs="微软雅黑"/>
          <w:color w:val="auto"/>
          <w:sz w:val="24"/>
          <w:szCs w:val="24"/>
          <w:highlight w:val="none"/>
        </w:rPr>
        <w:t>人在中华人民共和国境内使用成交供应商提供的货物及服务时免受第三方提出的侵犯其专利权或其它知识产权的起诉。如果第三方提出侵权指控，成交供应商应承担由此而引起的一切法律责任和费用。</w:t>
      </w:r>
      <w:bookmarkEnd w:id="115"/>
      <w:bookmarkEnd w:id="116"/>
    </w:p>
    <w:p w14:paraId="367E273E">
      <w:pPr>
        <w:spacing w:line="240" w:lineRule="auto"/>
        <w:outlineLvl w:val="2"/>
        <w:rPr>
          <w:rFonts w:hint="eastAsia" w:ascii="微软雅黑" w:hAnsi="微软雅黑" w:eastAsia="微软雅黑" w:cs="微软雅黑"/>
          <w:bCs/>
          <w:color w:val="auto"/>
          <w:sz w:val="24"/>
          <w:szCs w:val="24"/>
          <w:highlight w:val="none"/>
        </w:rPr>
      </w:pPr>
      <w:bookmarkStart w:id="117" w:name="_Toc12608"/>
      <w:r>
        <w:rPr>
          <w:rFonts w:hint="eastAsia" w:ascii="微软雅黑" w:hAnsi="微软雅黑" w:eastAsia="微软雅黑" w:cs="微软雅黑"/>
          <w:b/>
          <w:color w:val="auto"/>
          <w:sz w:val="24"/>
          <w:szCs w:val="24"/>
          <w:highlight w:val="none"/>
          <w:lang w:eastAsia="zh-CN"/>
        </w:rPr>
        <w:t>五</w:t>
      </w:r>
      <w:r>
        <w:rPr>
          <w:rFonts w:hint="eastAsia" w:ascii="微软雅黑" w:hAnsi="微软雅黑" w:eastAsia="微软雅黑" w:cs="微软雅黑"/>
          <w:b/>
          <w:color w:val="auto"/>
          <w:sz w:val="24"/>
          <w:szCs w:val="24"/>
          <w:highlight w:val="none"/>
        </w:rPr>
        <w:t>、售后服务规范</w:t>
      </w:r>
      <w:bookmarkEnd w:id="117"/>
    </w:p>
    <w:p w14:paraId="201629D0">
      <w:pPr>
        <w:spacing w:line="240" w:lineRule="auto"/>
        <w:ind w:firstLine="480"/>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（一）产品质量保证期：</w:t>
      </w:r>
      <w:r>
        <w:rPr>
          <w:rStyle w:val="258"/>
          <w:rFonts w:hint="eastAsia" w:ascii="微软雅黑" w:hAnsi="微软雅黑" w:eastAsia="微软雅黑" w:cs="微软雅黑"/>
          <w:bCs/>
          <w:color w:val="auto"/>
          <w:sz w:val="24"/>
          <w:szCs w:val="24"/>
          <w:highlight w:val="none"/>
        </w:rPr>
        <w:t>整机质保期为5年，六大核心部件质保期为10年，免费维保期</w:t>
      </w:r>
      <w:r>
        <w:rPr>
          <w:rStyle w:val="258"/>
          <w:rFonts w:hint="eastAsia" w:ascii="微软雅黑" w:hAnsi="微软雅黑" w:eastAsia="微软雅黑" w:cs="微软雅黑"/>
          <w:bCs/>
          <w:color w:val="auto"/>
          <w:sz w:val="24"/>
          <w:szCs w:val="24"/>
          <w:highlight w:val="none"/>
          <w:lang w:val="en-US" w:eastAsia="zh-CN"/>
        </w:rPr>
        <w:t>5</w:t>
      </w:r>
      <w:r>
        <w:rPr>
          <w:rStyle w:val="258"/>
          <w:rFonts w:hint="eastAsia" w:ascii="微软雅黑" w:hAnsi="微软雅黑" w:eastAsia="微软雅黑" w:cs="微软雅黑"/>
          <w:bCs/>
          <w:color w:val="auto"/>
          <w:sz w:val="24"/>
          <w:szCs w:val="24"/>
          <w:highlight w:val="none"/>
        </w:rPr>
        <w:t>年</w:t>
      </w:r>
      <w:r>
        <w:rPr>
          <w:rFonts w:hint="eastAsia" w:ascii="微软雅黑" w:hAnsi="微软雅黑" w:eastAsia="微软雅黑" w:cs="微软雅黑"/>
          <w:bCs/>
          <w:color w:val="auto"/>
          <w:sz w:val="24"/>
          <w:szCs w:val="24"/>
          <w:highlight w:val="none"/>
        </w:rPr>
        <w:t>，不设置密码等技术屏障。</w:t>
      </w:r>
    </w:p>
    <w:p w14:paraId="26C21B61">
      <w:pPr>
        <w:pStyle w:val="2"/>
        <w:ind w:firstLine="480" w:firstLineChars="200"/>
        <w:rPr>
          <w:rFonts w:hint="eastAsia" w:eastAsia="微软雅黑"/>
          <w:color w:val="auto"/>
          <w:highlight w:val="none"/>
          <w:lang w:eastAsia="zh-CN"/>
        </w:rPr>
      </w:pPr>
      <w:bookmarkStart w:id="118" w:name="_Toc5729"/>
      <w:bookmarkStart w:id="119" w:name="_Toc15659"/>
      <w:bookmarkStart w:id="120" w:name="_Toc21554"/>
      <w:r>
        <w:rPr>
          <w:rFonts w:hint="eastAsia" w:ascii="微软雅黑" w:hAnsi="微软雅黑" w:eastAsia="微软雅黑" w:cs="微软雅黑"/>
          <w:bCs/>
          <w:color w:val="auto"/>
          <w:sz w:val="24"/>
          <w:szCs w:val="24"/>
          <w:highlight w:val="none"/>
        </w:rPr>
        <w:t>（二）电梯质保和维保工作必须由成交供应商负责承担</w:t>
      </w:r>
      <w:bookmarkEnd w:id="118"/>
      <w:bookmarkEnd w:id="119"/>
      <w:bookmarkEnd w:id="120"/>
      <w:r>
        <w:rPr>
          <w:rFonts w:hint="eastAsia" w:ascii="微软雅黑" w:hAnsi="微软雅黑" w:eastAsia="微软雅黑" w:cs="微软雅黑"/>
          <w:bCs/>
          <w:color w:val="auto"/>
          <w:sz w:val="24"/>
          <w:szCs w:val="24"/>
          <w:highlight w:val="none"/>
          <w:lang w:eastAsia="zh-CN"/>
        </w:rPr>
        <w:t>。</w:t>
      </w:r>
    </w:p>
    <w:p w14:paraId="37748D26">
      <w:pPr>
        <w:pStyle w:val="5"/>
        <w:spacing w:line="240" w:lineRule="auto"/>
        <w:rPr>
          <w:rFonts w:hint="eastAsia" w:ascii="微软雅黑" w:hAnsi="微软雅黑" w:eastAsia="微软雅黑" w:cs="微软雅黑"/>
          <w:color w:val="auto"/>
          <w:sz w:val="24"/>
          <w:szCs w:val="24"/>
          <w:highlight w:val="none"/>
        </w:rPr>
      </w:pPr>
      <w:bookmarkStart w:id="121" w:name="_Toc18397"/>
      <w:bookmarkStart w:id="122" w:name="_Toc15352"/>
      <w:bookmarkStart w:id="123" w:name="_Toc26412"/>
      <w:bookmarkStart w:id="124" w:name="_Toc26532260"/>
      <w:r>
        <w:rPr>
          <w:rFonts w:hint="eastAsia" w:ascii="微软雅黑" w:hAnsi="微软雅黑" w:eastAsia="微软雅黑" w:cs="微软雅黑"/>
          <w:color w:val="auto"/>
          <w:sz w:val="24"/>
          <w:szCs w:val="24"/>
          <w:highlight w:val="none"/>
          <w:lang w:eastAsia="zh-CN"/>
        </w:rPr>
        <w:t>六</w:t>
      </w:r>
      <w:r>
        <w:rPr>
          <w:rFonts w:hint="eastAsia" w:ascii="微软雅黑" w:hAnsi="微软雅黑" w:eastAsia="微软雅黑" w:cs="微软雅黑"/>
          <w:color w:val="auto"/>
          <w:sz w:val="24"/>
          <w:szCs w:val="24"/>
          <w:highlight w:val="none"/>
        </w:rPr>
        <w:t>、</w:t>
      </w:r>
      <w:bookmarkStart w:id="125" w:name="_Toc344475125"/>
      <w:r>
        <w:rPr>
          <w:rFonts w:hint="eastAsia" w:ascii="微软雅黑" w:hAnsi="微软雅黑" w:eastAsia="微软雅黑" w:cs="微软雅黑"/>
          <w:color w:val="auto"/>
          <w:sz w:val="24"/>
          <w:szCs w:val="24"/>
          <w:highlight w:val="none"/>
        </w:rPr>
        <w:t>其他</w:t>
      </w:r>
      <w:bookmarkEnd w:id="121"/>
      <w:bookmarkEnd w:id="122"/>
      <w:bookmarkEnd w:id="123"/>
      <w:bookmarkEnd w:id="124"/>
      <w:bookmarkEnd w:id="125"/>
    </w:p>
    <w:p w14:paraId="0D57B1C4">
      <w:pPr>
        <w:snapToGrid w:val="0"/>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（一）供应商必须在响应文件中对以上条款和服务承诺明确列出，承诺内容必须达到本篇及</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其他条款的要求。</w:t>
      </w:r>
    </w:p>
    <w:p w14:paraId="784B6033">
      <w:pPr>
        <w:pStyle w:val="16"/>
        <w:spacing w:line="240" w:lineRule="auto"/>
        <w:ind w:firstLine="480"/>
        <w:outlineLvl w:val="1"/>
        <w:rPr>
          <w:rFonts w:hint="eastAsia" w:ascii="微软雅黑" w:hAnsi="微软雅黑" w:eastAsia="微软雅黑" w:cs="微软雅黑"/>
          <w:color w:val="auto"/>
          <w:szCs w:val="24"/>
          <w:highlight w:val="none"/>
        </w:rPr>
      </w:pPr>
      <w:bookmarkStart w:id="126" w:name="_Toc12554"/>
      <w:bookmarkStart w:id="127" w:name="_Toc24694"/>
      <w:bookmarkStart w:id="128" w:name="_Toc9118"/>
      <w:bookmarkStart w:id="129" w:name="_Toc27915"/>
      <w:r>
        <w:rPr>
          <w:rFonts w:hint="eastAsia" w:ascii="微软雅黑" w:hAnsi="微软雅黑" w:eastAsia="微软雅黑" w:cs="微软雅黑"/>
          <w:color w:val="auto"/>
          <w:szCs w:val="24"/>
          <w:highlight w:val="none"/>
        </w:rPr>
        <w:t>（二）其他未尽事宜由供需双方在采购合同中详细约定。</w:t>
      </w:r>
      <w:bookmarkEnd w:id="126"/>
      <w:bookmarkEnd w:id="127"/>
      <w:bookmarkEnd w:id="128"/>
      <w:bookmarkEnd w:id="129"/>
    </w:p>
    <w:p w14:paraId="6EDDF46A">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130" w:name="_Toc15374"/>
      <w:r>
        <w:rPr>
          <w:rFonts w:hint="eastAsia" w:ascii="微软雅黑" w:hAnsi="微软雅黑" w:eastAsia="微软雅黑" w:cs="微软雅黑"/>
          <w:color w:val="auto"/>
          <w:szCs w:val="24"/>
          <w:highlight w:val="none"/>
        </w:rPr>
        <w:t>（</w:t>
      </w:r>
      <w:r>
        <w:rPr>
          <w:rFonts w:hint="eastAsia" w:ascii="微软雅黑" w:hAnsi="微软雅黑" w:eastAsia="微软雅黑" w:cs="微软雅黑"/>
          <w:color w:val="auto"/>
          <w:szCs w:val="24"/>
          <w:highlight w:val="none"/>
          <w:lang w:val="en-US" w:eastAsia="zh-CN"/>
        </w:rPr>
        <w:t>三</w:t>
      </w:r>
      <w:r>
        <w:rPr>
          <w:rFonts w:hint="eastAsia" w:ascii="微软雅黑" w:hAnsi="微软雅黑" w:eastAsia="微软雅黑" w:cs="微软雅黑"/>
          <w:color w:val="auto"/>
          <w:szCs w:val="24"/>
          <w:highlight w:val="none"/>
        </w:rPr>
        <w:t>）</w:t>
      </w:r>
      <w:r>
        <w:rPr>
          <w:rFonts w:hint="eastAsia" w:ascii="微软雅黑" w:hAnsi="微软雅黑" w:eastAsia="微软雅黑" w:cs="微软雅黑"/>
          <w:color w:val="auto"/>
          <w:szCs w:val="24"/>
          <w:highlight w:val="none"/>
        </w:rPr>
        <w:t>时间节点：2026年</w:t>
      </w:r>
      <w:r>
        <w:rPr>
          <w:rFonts w:hint="eastAsia" w:ascii="微软雅黑" w:hAnsi="微软雅黑" w:eastAsia="微软雅黑" w:cs="微软雅黑"/>
          <w:color w:val="auto"/>
          <w:szCs w:val="24"/>
          <w:highlight w:val="none"/>
          <w:lang w:val="en-US" w:eastAsia="zh-CN"/>
        </w:rPr>
        <w:t>6</w:t>
      </w:r>
      <w:r>
        <w:rPr>
          <w:rFonts w:hint="eastAsia" w:ascii="微软雅黑" w:hAnsi="微软雅黑" w:eastAsia="微软雅黑" w:cs="微软雅黑"/>
          <w:color w:val="auto"/>
          <w:szCs w:val="24"/>
          <w:highlight w:val="none"/>
        </w:rPr>
        <w:t>月</w:t>
      </w:r>
      <w:r>
        <w:rPr>
          <w:rFonts w:hint="eastAsia" w:ascii="微软雅黑" w:hAnsi="微软雅黑" w:eastAsia="微软雅黑" w:cs="微软雅黑"/>
          <w:color w:val="auto"/>
          <w:szCs w:val="24"/>
          <w:highlight w:val="none"/>
          <w:lang w:val="en-US" w:eastAsia="zh-CN"/>
        </w:rPr>
        <w:t>1</w:t>
      </w:r>
      <w:r>
        <w:rPr>
          <w:rFonts w:hint="eastAsia" w:ascii="微软雅黑" w:hAnsi="微软雅黑" w:eastAsia="微软雅黑" w:cs="微软雅黑"/>
          <w:color w:val="auto"/>
          <w:szCs w:val="24"/>
          <w:highlight w:val="none"/>
        </w:rPr>
        <w:t>日前签订合同，2026年</w:t>
      </w:r>
      <w:r>
        <w:rPr>
          <w:rFonts w:hint="eastAsia" w:ascii="微软雅黑" w:hAnsi="微软雅黑" w:eastAsia="微软雅黑" w:cs="微软雅黑"/>
          <w:color w:val="auto"/>
          <w:szCs w:val="24"/>
          <w:highlight w:val="none"/>
          <w:lang w:val="en-US" w:eastAsia="zh-CN"/>
        </w:rPr>
        <w:t>7</w:t>
      </w:r>
      <w:r>
        <w:rPr>
          <w:rFonts w:hint="eastAsia" w:ascii="微软雅黑" w:hAnsi="微软雅黑" w:eastAsia="微软雅黑" w:cs="微软雅黑"/>
          <w:color w:val="auto"/>
          <w:szCs w:val="24"/>
          <w:highlight w:val="none"/>
        </w:rPr>
        <w:t>月</w:t>
      </w:r>
      <w:r>
        <w:rPr>
          <w:rFonts w:hint="eastAsia" w:ascii="微软雅黑" w:hAnsi="微软雅黑" w:eastAsia="微软雅黑" w:cs="微软雅黑"/>
          <w:color w:val="auto"/>
          <w:szCs w:val="24"/>
          <w:highlight w:val="none"/>
          <w:lang w:val="en-US" w:eastAsia="zh-CN"/>
        </w:rPr>
        <w:t>1</w:t>
      </w:r>
      <w:r>
        <w:rPr>
          <w:rFonts w:hint="eastAsia" w:ascii="微软雅黑" w:hAnsi="微软雅黑" w:eastAsia="微软雅黑" w:cs="微软雅黑"/>
          <w:color w:val="auto"/>
          <w:szCs w:val="24"/>
          <w:highlight w:val="none"/>
        </w:rPr>
        <w:t>日前开工</w:t>
      </w:r>
      <w:r>
        <w:rPr>
          <w:rFonts w:hint="eastAsia" w:ascii="微软雅黑" w:hAnsi="微软雅黑" w:eastAsia="微软雅黑" w:cs="微软雅黑"/>
          <w:color w:val="auto"/>
          <w:szCs w:val="24"/>
          <w:highlight w:val="none"/>
          <w:lang w:eastAsia="zh-CN"/>
        </w:rPr>
        <w:t>。</w:t>
      </w:r>
      <w:bookmarkEnd w:id="130"/>
    </w:p>
    <w:p w14:paraId="41220A5A">
      <w:pPr>
        <w:pStyle w:val="16"/>
        <w:spacing w:line="240" w:lineRule="auto"/>
        <w:ind w:firstLine="480"/>
        <w:outlineLvl w:val="1"/>
        <w:rPr>
          <w:rFonts w:hint="eastAsia" w:ascii="微软雅黑" w:hAnsi="微软雅黑" w:eastAsia="微软雅黑" w:cs="微软雅黑"/>
          <w:color w:val="auto"/>
          <w:szCs w:val="24"/>
          <w:highlight w:val="none"/>
          <w:lang w:eastAsia="zh-CN"/>
        </w:rPr>
      </w:pPr>
      <w:bookmarkStart w:id="131" w:name="_Toc18701"/>
      <w:r>
        <w:rPr>
          <w:rFonts w:hint="eastAsia" w:ascii="微软雅黑" w:hAnsi="微软雅黑" w:eastAsia="微软雅黑" w:cs="微软雅黑"/>
          <w:color w:val="auto"/>
          <w:szCs w:val="24"/>
          <w:highlight w:val="none"/>
        </w:rPr>
        <w:t>（</w:t>
      </w:r>
      <w:r>
        <w:rPr>
          <w:rFonts w:hint="eastAsia" w:ascii="微软雅黑" w:hAnsi="微软雅黑" w:eastAsia="微软雅黑" w:cs="微软雅黑"/>
          <w:color w:val="auto"/>
          <w:szCs w:val="24"/>
          <w:highlight w:val="none"/>
          <w:lang w:val="en-US" w:eastAsia="zh-CN"/>
        </w:rPr>
        <w:t>四</w:t>
      </w:r>
      <w:r>
        <w:rPr>
          <w:rFonts w:hint="eastAsia" w:ascii="微软雅黑" w:hAnsi="微软雅黑" w:eastAsia="微软雅黑" w:cs="微软雅黑"/>
          <w:color w:val="auto"/>
          <w:szCs w:val="24"/>
          <w:highlight w:val="none"/>
        </w:rPr>
        <w:t>）不可抗力：若遇不可抗力（如暴雨、疫情）导致工期延误，施工单位需在事件发生后 24 小时内提交《工期延误申请》 ，附证明材料（如气象预警、疫情管控通知） ，经属地镇街审核、专班批准后可延期。</w:t>
      </w:r>
      <w:bookmarkEnd w:id="131"/>
    </w:p>
    <w:p w14:paraId="7EB686F9">
      <w:pPr>
        <w:autoSpaceDE w:val="0"/>
        <w:autoSpaceDN w:val="0"/>
        <w:adjustRightInd w:val="0"/>
        <w:snapToGrid w:val="0"/>
        <w:spacing w:line="360" w:lineRule="auto"/>
        <w:ind w:firstLine="720" w:firstLineChars="200"/>
        <w:rPr>
          <w:rFonts w:hint="eastAsia" w:ascii="微软雅黑" w:hAnsi="微软雅黑" w:eastAsia="微软雅黑" w:cs="宋体"/>
          <w:color w:val="auto"/>
          <w:sz w:val="24"/>
          <w:szCs w:val="24"/>
          <w:highlight w:val="none"/>
        </w:rPr>
      </w:pPr>
      <w:r>
        <w:rPr>
          <w:rFonts w:ascii="微软雅黑" w:hAnsi="微软雅黑" w:eastAsia="微软雅黑" w:cs="微软雅黑"/>
          <w:b/>
          <w:color w:val="auto"/>
          <w:sz w:val="36"/>
          <w:szCs w:val="30"/>
          <w:highlight w:val="none"/>
        </w:rPr>
        <w:br w:type="page"/>
      </w:r>
      <w:bookmarkStart w:id="132" w:name="_Toc25083"/>
      <w:bookmarkStart w:id="133" w:name="_Toc102227313"/>
      <w:bookmarkStart w:id="134" w:name="_Toc11641055"/>
      <w:bookmarkStart w:id="135" w:name="_Toc12789059"/>
    </w:p>
    <w:p w14:paraId="3B6507CD">
      <w:pPr>
        <w:spacing w:line="200" w:lineRule="exact"/>
        <w:rPr>
          <w:rFonts w:hint="eastAsia" w:ascii="宋体" w:hAnsi="宋体"/>
          <w:color w:val="auto"/>
          <w:kern w:val="0"/>
          <w:highlight w:val="none"/>
        </w:rPr>
      </w:pPr>
      <w:bookmarkStart w:id="136" w:name="招标文件03章02评标办法综合评估法00"/>
      <w:bookmarkEnd w:id="136"/>
      <w:bookmarkStart w:id="137" w:name="招标文件03章02评标办法综合评估法"/>
      <w:bookmarkEnd w:id="137"/>
    </w:p>
    <w:p w14:paraId="2DE91B5D">
      <w:pPr>
        <w:widowControl/>
        <w:ind w:firstLine="640"/>
        <w:jc w:val="center"/>
        <w:outlineLvl w:val="0"/>
        <w:rPr>
          <w:rFonts w:hint="eastAsia" w:ascii="微软雅黑" w:hAnsi="微软雅黑" w:eastAsia="微软雅黑" w:cs="微软雅黑"/>
          <w:b/>
          <w:color w:val="auto"/>
          <w:sz w:val="36"/>
          <w:szCs w:val="30"/>
          <w:highlight w:val="none"/>
        </w:rPr>
      </w:pPr>
      <w:bookmarkStart w:id="138" w:name="_Toc21229"/>
      <w:bookmarkStart w:id="139" w:name="_Toc25102"/>
      <w:bookmarkStart w:id="140" w:name="_Toc24681"/>
      <w:r>
        <w:rPr>
          <w:rStyle w:val="263"/>
          <w:rFonts w:hint="eastAsia" w:ascii="微软雅黑" w:hAnsi="微软雅黑" w:eastAsia="微软雅黑" w:cs="微软雅黑"/>
          <w:color w:val="auto"/>
          <w:highlight w:val="none"/>
        </w:rPr>
        <w:t xml:space="preserve">第四篇  </w:t>
      </w:r>
      <w:r>
        <w:rPr>
          <w:rStyle w:val="263"/>
          <w:rFonts w:hint="eastAsia" w:ascii="微软雅黑" w:hAnsi="微软雅黑" w:eastAsia="微软雅黑" w:cs="微软雅黑"/>
          <w:color w:val="auto"/>
          <w:highlight w:val="none"/>
          <w:lang w:eastAsia="zh-CN"/>
        </w:rPr>
        <w:t>招标</w:t>
      </w:r>
      <w:r>
        <w:rPr>
          <w:rStyle w:val="263"/>
          <w:rFonts w:hint="eastAsia" w:ascii="微软雅黑" w:hAnsi="微软雅黑" w:eastAsia="微软雅黑" w:cs="微软雅黑"/>
          <w:color w:val="auto"/>
          <w:highlight w:val="none"/>
        </w:rPr>
        <w:t>程序及方法、评审标准、无效响应和采购终止</w:t>
      </w:r>
      <w:bookmarkEnd w:id="138"/>
      <w:bookmarkEnd w:id="139"/>
      <w:bookmarkEnd w:id="140"/>
    </w:p>
    <w:p w14:paraId="62CB9B18">
      <w:pPr>
        <w:pStyle w:val="5"/>
        <w:spacing w:line="440" w:lineRule="exact"/>
        <w:rPr>
          <w:rFonts w:hint="eastAsia" w:ascii="微软雅黑" w:hAnsi="微软雅黑" w:eastAsia="微软雅黑" w:cs="微软雅黑"/>
          <w:color w:val="auto"/>
          <w:sz w:val="24"/>
          <w:szCs w:val="24"/>
          <w:highlight w:val="none"/>
        </w:rPr>
      </w:pPr>
      <w:bookmarkStart w:id="141" w:name="_Toc469"/>
      <w:bookmarkStart w:id="142" w:name="_Toc12837"/>
      <w:bookmarkStart w:id="143" w:name="_Toc837"/>
      <w:bookmarkStart w:id="144" w:name="_Toc47094779"/>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程序及方法</w:t>
      </w:r>
      <w:bookmarkEnd w:id="141"/>
      <w:bookmarkEnd w:id="142"/>
      <w:bookmarkEnd w:id="143"/>
      <w:bookmarkEnd w:id="144"/>
    </w:p>
    <w:p w14:paraId="3809DF88">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文件规定的时间和地点进行，供应商须有法定代表人或其授权代表参加并签到。由本项目依法组建的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小组分别对各供应商进行</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6DD128E3">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小组对各供应商的资格条件、响应文件的有效性、完整性和响应程度进行审查。各供应商只有在完全符合要求的前提下，才能参与正式</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0C1A8D6C">
      <w:pPr>
        <w:snapToGrid w:val="0"/>
        <w:spacing w:line="400" w:lineRule="exact"/>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kern w:val="0"/>
          <w:sz w:val="24"/>
          <w:szCs w:val="24"/>
          <w:highlight w:val="none"/>
        </w:rPr>
        <w:t>资格性检查。依据法律法规和</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文件的规定，对响应文件中的资格证明、</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保证金等进行审查，以确定供应商是否具备</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资格。资格性检查资料表如下：</w:t>
      </w:r>
    </w:p>
    <w:tbl>
      <w:tblPr>
        <w:tblStyle w:val="59"/>
        <w:tblpPr w:leftFromText="180" w:rightFromText="180" w:vertAnchor="text" w:horzAnchor="page" w:tblpX="1304" w:tblpY="414"/>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43"/>
        <w:gridCol w:w="4280"/>
        <w:gridCol w:w="3429"/>
      </w:tblGrid>
      <w:tr w14:paraId="690E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76" w:type="dxa"/>
            <w:vAlign w:val="center"/>
          </w:tcPr>
          <w:p w14:paraId="71B00C92">
            <w:pPr>
              <w:spacing w:line="240" w:lineRule="exact"/>
              <w:jc w:val="both"/>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序号</w:t>
            </w:r>
          </w:p>
        </w:tc>
        <w:tc>
          <w:tcPr>
            <w:tcW w:w="5523" w:type="dxa"/>
            <w:gridSpan w:val="2"/>
            <w:vAlign w:val="center"/>
          </w:tcPr>
          <w:p w14:paraId="09DF40EB">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检查因素</w:t>
            </w:r>
          </w:p>
        </w:tc>
        <w:tc>
          <w:tcPr>
            <w:tcW w:w="3429" w:type="dxa"/>
            <w:vAlign w:val="center"/>
          </w:tcPr>
          <w:p w14:paraId="54CA1EDB">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检查内容</w:t>
            </w:r>
          </w:p>
        </w:tc>
      </w:tr>
      <w:tr w14:paraId="7572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5" w:hRule="atLeast"/>
        </w:trPr>
        <w:tc>
          <w:tcPr>
            <w:tcW w:w="676" w:type="dxa"/>
            <w:vMerge w:val="restart"/>
            <w:vAlign w:val="center"/>
          </w:tcPr>
          <w:p w14:paraId="731737BE">
            <w:pPr>
              <w:spacing w:line="240" w:lineRule="exact"/>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w:t>
            </w:r>
          </w:p>
        </w:tc>
        <w:tc>
          <w:tcPr>
            <w:tcW w:w="1243" w:type="dxa"/>
            <w:vMerge w:val="restart"/>
            <w:vAlign w:val="center"/>
          </w:tcPr>
          <w:p w14:paraId="5CC27965">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val="zh-CN"/>
              </w:rPr>
              <w:t>应符合的基本资格条件</w:t>
            </w:r>
          </w:p>
        </w:tc>
        <w:tc>
          <w:tcPr>
            <w:tcW w:w="4280" w:type="dxa"/>
            <w:vAlign w:val="center"/>
          </w:tcPr>
          <w:p w14:paraId="2BB7FDD2">
            <w:pPr>
              <w:spacing w:line="240" w:lineRule="exact"/>
              <w:ind w:firstLine="4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华文细黑" w:hAnsi="华文细黑" w:eastAsia="华文细黑" w:cs="华文细黑"/>
                <w:color w:val="auto"/>
                <w:sz w:val="22"/>
                <w:szCs w:val="22"/>
                <w:highlight w:val="none"/>
              </w:rPr>
              <w:t>1）具有独立承担民事责任的能力</w:t>
            </w:r>
          </w:p>
        </w:tc>
        <w:tc>
          <w:tcPr>
            <w:tcW w:w="3429" w:type="dxa"/>
            <w:vAlign w:val="center"/>
          </w:tcPr>
          <w:p w14:paraId="4C912ADE">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供应商法人营业执照（副本）或事业单位法人证书（副本）或个体工商户营业执照或有效的自然人身份证明、组织机构代码证复印件； </w:t>
            </w:r>
          </w:p>
          <w:p w14:paraId="78266EB9">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供应商法定代表人身份证明和法定代表人授权代表委托书。</w:t>
            </w:r>
          </w:p>
        </w:tc>
      </w:tr>
      <w:tr w14:paraId="2FA1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676" w:type="dxa"/>
            <w:vMerge w:val="continue"/>
            <w:vAlign w:val="center"/>
          </w:tcPr>
          <w:p w14:paraId="47B82F3F">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7FF94CA3">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19FE17BB">
            <w:pPr>
              <w:spacing w:line="240" w:lineRule="exact"/>
              <w:ind w:firstLine="4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zh-CN"/>
              </w:rPr>
              <w:t>（2）</w:t>
            </w:r>
            <w:r>
              <w:rPr>
                <w:rFonts w:hint="eastAsia" w:ascii="微软雅黑" w:hAnsi="微软雅黑" w:eastAsia="微软雅黑" w:cs="微软雅黑"/>
                <w:color w:val="auto"/>
                <w:sz w:val="22"/>
                <w:szCs w:val="22"/>
                <w:highlight w:val="none"/>
              </w:rPr>
              <w:t>具有良好的商业信誉和健全的财务会计制度</w:t>
            </w:r>
          </w:p>
        </w:tc>
        <w:tc>
          <w:tcPr>
            <w:tcW w:w="3429" w:type="dxa"/>
            <w:vMerge w:val="restart"/>
            <w:vAlign w:val="center"/>
          </w:tcPr>
          <w:p w14:paraId="43E126FE">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供应商提供书面声明或相关证明材料（见格式文件）</w:t>
            </w:r>
          </w:p>
        </w:tc>
      </w:tr>
      <w:tr w14:paraId="300D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676" w:type="dxa"/>
            <w:vMerge w:val="continue"/>
            <w:vAlign w:val="center"/>
          </w:tcPr>
          <w:p w14:paraId="692CAD33">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71FD5BEF">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1FBCDAEF">
            <w:pPr>
              <w:spacing w:line="240" w:lineRule="exact"/>
              <w:ind w:firstLine="440"/>
              <w:jc w:val="lef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lang w:val="zh-CN"/>
              </w:rPr>
              <w:t>（3）具有履行合同所必需的设备和专业技术能力</w:t>
            </w:r>
          </w:p>
        </w:tc>
        <w:tc>
          <w:tcPr>
            <w:tcW w:w="3429" w:type="dxa"/>
            <w:vMerge w:val="continue"/>
            <w:vAlign w:val="center"/>
          </w:tcPr>
          <w:p w14:paraId="2B27C716">
            <w:pPr>
              <w:spacing w:line="240" w:lineRule="exact"/>
              <w:ind w:firstLine="440"/>
              <w:rPr>
                <w:rFonts w:hint="eastAsia" w:ascii="微软雅黑" w:hAnsi="微软雅黑" w:eastAsia="微软雅黑" w:cs="微软雅黑"/>
                <w:color w:val="auto"/>
                <w:sz w:val="22"/>
                <w:szCs w:val="22"/>
                <w:highlight w:val="none"/>
              </w:rPr>
            </w:pPr>
          </w:p>
        </w:tc>
      </w:tr>
      <w:tr w14:paraId="6AFE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676" w:type="dxa"/>
            <w:vMerge w:val="continue"/>
            <w:vAlign w:val="center"/>
          </w:tcPr>
          <w:p w14:paraId="0BA92FD8">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749D2085">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4AF59137">
            <w:pPr>
              <w:spacing w:line="240" w:lineRule="exact"/>
              <w:ind w:firstLine="440"/>
              <w:jc w:val="lef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lang w:val="zh-CN"/>
              </w:rPr>
              <w:t>（4）有依法缴纳税收和社会保障金的良好记录</w:t>
            </w:r>
          </w:p>
        </w:tc>
        <w:tc>
          <w:tcPr>
            <w:tcW w:w="3429" w:type="dxa"/>
            <w:vMerge w:val="continue"/>
            <w:vAlign w:val="center"/>
          </w:tcPr>
          <w:p w14:paraId="49D0D168">
            <w:pPr>
              <w:spacing w:line="240" w:lineRule="exact"/>
              <w:ind w:firstLine="440"/>
              <w:rPr>
                <w:rFonts w:hint="eastAsia" w:ascii="微软雅黑" w:hAnsi="微软雅黑" w:eastAsia="微软雅黑" w:cs="微软雅黑"/>
                <w:color w:val="auto"/>
                <w:sz w:val="22"/>
                <w:szCs w:val="22"/>
                <w:highlight w:val="none"/>
              </w:rPr>
            </w:pPr>
          </w:p>
        </w:tc>
      </w:tr>
      <w:tr w14:paraId="6325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76" w:type="dxa"/>
            <w:vMerge w:val="continue"/>
            <w:vAlign w:val="center"/>
          </w:tcPr>
          <w:p w14:paraId="3CF19D63">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1C2FC5D8">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6FC5B201">
            <w:pPr>
              <w:spacing w:line="240" w:lineRule="exact"/>
              <w:ind w:firstLine="440"/>
              <w:jc w:val="lef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（5）参加政府采购活动前三年内，在经营活动中没有重大违法记录。</w:t>
            </w:r>
          </w:p>
        </w:tc>
        <w:tc>
          <w:tcPr>
            <w:tcW w:w="3429" w:type="dxa"/>
            <w:vMerge w:val="continue"/>
            <w:vAlign w:val="center"/>
          </w:tcPr>
          <w:p w14:paraId="0E4AB598">
            <w:pPr>
              <w:spacing w:line="240" w:lineRule="exact"/>
              <w:ind w:firstLine="440"/>
              <w:rPr>
                <w:rFonts w:hint="eastAsia" w:ascii="微软雅黑" w:hAnsi="微软雅黑" w:eastAsia="微软雅黑" w:cs="微软雅黑"/>
                <w:color w:val="auto"/>
                <w:sz w:val="22"/>
                <w:szCs w:val="22"/>
                <w:highlight w:val="none"/>
              </w:rPr>
            </w:pPr>
          </w:p>
        </w:tc>
      </w:tr>
      <w:tr w14:paraId="7524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Merge w:val="continue"/>
            <w:vAlign w:val="center"/>
          </w:tcPr>
          <w:p w14:paraId="28BA52F5">
            <w:pPr>
              <w:spacing w:line="240" w:lineRule="exact"/>
              <w:ind w:firstLine="440"/>
              <w:jc w:val="center"/>
              <w:rPr>
                <w:rFonts w:hint="eastAsia" w:ascii="微软雅黑" w:hAnsi="微软雅黑" w:eastAsia="微软雅黑" w:cs="微软雅黑"/>
                <w:color w:val="auto"/>
                <w:sz w:val="22"/>
                <w:szCs w:val="22"/>
                <w:highlight w:val="none"/>
              </w:rPr>
            </w:pPr>
          </w:p>
        </w:tc>
        <w:tc>
          <w:tcPr>
            <w:tcW w:w="1243" w:type="dxa"/>
            <w:vMerge w:val="continue"/>
            <w:vAlign w:val="center"/>
          </w:tcPr>
          <w:p w14:paraId="0F0D3755">
            <w:pPr>
              <w:spacing w:line="240" w:lineRule="exact"/>
              <w:ind w:firstLine="440"/>
              <w:rPr>
                <w:rFonts w:hint="eastAsia" w:ascii="微软雅黑" w:hAnsi="微软雅黑" w:eastAsia="微软雅黑" w:cs="微软雅黑"/>
                <w:color w:val="auto"/>
                <w:sz w:val="22"/>
                <w:szCs w:val="22"/>
                <w:highlight w:val="none"/>
                <w:lang w:val="zh-CN"/>
              </w:rPr>
            </w:pPr>
          </w:p>
        </w:tc>
        <w:tc>
          <w:tcPr>
            <w:tcW w:w="4280" w:type="dxa"/>
            <w:vAlign w:val="center"/>
          </w:tcPr>
          <w:p w14:paraId="09105F72">
            <w:pPr>
              <w:spacing w:line="240" w:lineRule="exact"/>
              <w:ind w:firstLine="4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（6）法律、行政法规规定的其他条件</w:t>
            </w:r>
          </w:p>
        </w:tc>
        <w:tc>
          <w:tcPr>
            <w:tcW w:w="3429" w:type="dxa"/>
            <w:vAlign w:val="center"/>
          </w:tcPr>
          <w:p w14:paraId="542A484B">
            <w:pPr>
              <w:spacing w:line="240" w:lineRule="exact"/>
              <w:ind w:firstLine="440"/>
              <w:rPr>
                <w:rFonts w:hint="eastAsia" w:ascii="微软雅黑" w:hAnsi="微软雅黑" w:eastAsia="微软雅黑" w:cs="微软雅黑"/>
                <w:color w:val="auto"/>
                <w:sz w:val="22"/>
                <w:szCs w:val="22"/>
                <w:highlight w:val="none"/>
              </w:rPr>
            </w:pPr>
          </w:p>
        </w:tc>
      </w:tr>
      <w:tr w14:paraId="4E79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676" w:type="dxa"/>
            <w:vAlign w:val="center"/>
          </w:tcPr>
          <w:p w14:paraId="0AF99C24">
            <w:pPr>
              <w:adjustRightInd w:val="0"/>
              <w:snapToGrid w:val="0"/>
              <w:spacing w:line="360" w:lineRule="auto"/>
              <w:jc w:val="center"/>
              <w:rPr>
                <w:rFonts w:hint="eastAsia" w:ascii="微软雅黑" w:hAnsi="微软雅黑" w:eastAsia="微软雅黑" w:cs="微软雅黑"/>
                <w:color w:val="auto"/>
                <w:sz w:val="22"/>
                <w:szCs w:val="22"/>
                <w:highlight w:val="none"/>
              </w:rPr>
            </w:pPr>
            <w:r>
              <w:rPr>
                <w:rFonts w:hint="eastAsia" w:ascii="仿宋" w:hAnsi="仿宋" w:eastAsia="仿宋" w:cs="仿宋"/>
                <w:color w:val="auto"/>
                <w:sz w:val="24"/>
                <w:szCs w:val="24"/>
                <w:highlight w:val="none"/>
              </w:rPr>
              <w:t>2</w:t>
            </w:r>
          </w:p>
        </w:tc>
        <w:tc>
          <w:tcPr>
            <w:tcW w:w="1243" w:type="dxa"/>
            <w:vAlign w:val="center"/>
          </w:tcPr>
          <w:p w14:paraId="24E7CD66">
            <w:pPr>
              <w:pStyle w:val="3"/>
              <w:rPr>
                <w:rFonts w:hint="eastAsia" w:ascii="微软雅黑" w:hAnsi="微软雅黑" w:eastAsia="微软雅黑" w:cs="微软雅黑"/>
                <w:color w:val="auto"/>
                <w:szCs w:val="22"/>
                <w:highlight w:val="none"/>
                <w:lang w:val="zh-CN"/>
              </w:rPr>
            </w:pPr>
            <w:bookmarkStart w:id="145" w:name="_Toc12195"/>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val="zh-CN"/>
              </w:rPr>
              <w:t>应符合的</w:t>
            </w:r>
            <w:r>
              <w:rPr>
                <w:rFonts w:hint="eastAsia" w:ascii="微软雅黑" w:hAnsi="微软雅黑" w:eastAsia="微软雅黑" w:cs="微软雅黑"/>
                <w:color w:val="auto"/>
                <w:sz w:val="22"/>
                <w:szCs w:val="22"/>
                <w:highlight w:val="none"/>
              </w:rPr>
              <w:t>特定</w:t>
            </w:r>
            <w:r>
              <w:rPr>
                <w:rFonts w:hint="eastAsia" w:ascii="微软雅黑" w:hAnsi="微软雅黑" w:eastAsia="微软雅黑" w:cs="微软雅黑"/>
                <w:color w:val="auto"/>
                <w:sz w:val="22"/>
                <w:szCs w:val="22"/>
                <w:highlight w:val="none"/>
                <w:lang w:val="zh-CN"/>
              </w:rPr>
              <w:t>资格条件</w:t>
            </w:r>
            <w:bookmarkEnd w:id="145"/>
          </w:p>
        </w:tc>
        <w:tc>
          <w:tcPr>
            <w:tcW w:w="4280" w:type="dxa"/>
            <w:vAlign w:val="center"/>
          </w:tcPr>
          <w:p w14:paraId="6BBF7DFF">
            <w:pPr>
              <w:adjustRightInd w:val="0"/>
              <w:snapToGrid w:val="0"/>
              <w:spacing w:line="360" w:lineRule="auto"/>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文件第一篇中特定资格条件的相关规定。</w:t>
            </w:r>
          </w:p>
        </w:tc>
        <w:tc>
          <w:tcPr>
            <w:tcW w:w="3429" w:type="dxa"/>
            <w:vAlign w:val="center"/>
          </w:tcPr>
          <w:p w14:paraId="2C518577">
            <w:pPr>
              <w:adjustRightInd w:val="0"/>
              <w:snapToGrid w:val="0"/>
              <w:spacing w:line="240" w:lineRule="auto"/>
              <w:ind w:firstLine="440" w:firstLineChars="200"/>
              <w:jc w:val="both"/>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按照</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文件的规定提交相关证明材料。</w:t>
            </w:r>
          </w:p>
        </w:tc>
      </w:tr>
      <w:tr w14:paraId="0B75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676" w:type="dxa"/>
            <w:vAlign w:val="center"/>
          </w:tcPr>
          <w:p w14:paraId="38870E0A">
            <w:pPr>
              <w:spacing w:line="240" w:lineRule="exact"/>
              <w:ind w:firstLine="220" w:firstLineChars="10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p>
        </w:tc>
        <w:tc>
          <w:tcPr>
            <w:tcW w:w="5523" w:type="dxa"/>
            <w:gridSpan w:val="2"/>
            <w:vAlign w:val="center"/>
          </w:tcPr>
          <w:p w14:paraId="30327551">
            <w:pPr>
              <w:spacing w:line="24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保证金</w:t>
            </w:r>
          </w:p>
        </w:tc>
        <w:tc>
          <w:tcPr>
            <w:tcW w:w="3429" w:type="dxa"/>
            <w:vAlign w:val="center"/>
          </w:tcPr>
          <w:p w14:paraId="1ACB7C8B">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按照</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文件的规定提交</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保证金。</w:t>
            </w:r>
          </w:p>
        </w:tc>
      </w:tr>
    </w:tbl>
    <w:p w14:paraId="3C3B60C8">
      <w:pPr>
        <w:snapToGrid w:val="0"/>
        <w:spacing w:line="400" w:lineRule="exact"/>
        <w:ind w:firstLine="480" w:firstLineChars="200"/>
        <w:rPr>
          <w:rFonts w:hint="eastAsia" w:ascii="微软雅黑" w:hAnsi="微软雅黑" w:eastAsia="微软雅黑" w:cs="微软雅黑"/>
          <w:color w:val="auto"/>
          <w:kern w:val="0"/>
          <w:sz w:val="24"/>
          <w:szCs w:val="24"/>
          <w:highlight w:val="none"/>
        </w:rPr>
      </w:pPr>
    </w:p>
    <w:p w14:paraId="4CFC9E44">
      <w:pPr>
        <w:snapToGrid w:val="0"/>
        <w:spacing w:line="400" w:lineRule="exact"/>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注：供应商按“三证合一”登记制度办理营业执照的，组织机构代码证和税务登记证（副本）以供应商所提供的营业执照（副本）复印件为准；供应商按“五证合一”登记制度办理营业执照的，组织机构代码证、税务登记证（副本）和社会保险登记证以供应商所提供的营业执照（副本）复印件为准。</w:t>
      </w:r>
    </w:p>
    <w:p w14:paraId="125066BB">
      <w:pPr>
        <w:numPr>
          <w:ilvl w:val="0"/>
          <w:numId w:val="17"/>
        </w:numPr>
        <w:snapToGrid w:val="0"/>
        <w:spacing w:line="400" w:lineRule="exact"/>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符合性检查。依据</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文件的规定，从响应文件的有效性、完整性和对</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文件的响应程度进行审查，以确定是否对</w:t>
      </w:r>
      <w:r>
        <w:rPr>
          <w:rFonts w:hint="eastAsia" w:ascii="微软雅黑" w:hAnsi="微软雅黑" w:eastAsia="微软雅黑" w:cs="微软雅黑"/>
          <w:color w:val="auto"/>
          <w:kern w:val="0"/>
          <w:sz w:val="24"/>
          <w:szCs w:val="24"/>
          <w:highlight w:val="none"/>
          <w:lang w:eastAsia="zh-CN"/>
        </w:rPr>
        <w:t>招标</w:t>
      </w:r>
      <w:r>
        <w:rPr>
          <w:rFonts w:hint="eastAsia" w:ascii="微软雅黑" w:hAnsi="微软雅黑" w:eastAsia="微软雅黑" w:cs="微软雅黑"/>
          <w:color w:val="auto"/>
          <w:kern w:val="0"/>
          <w:sz w:val="24"/>
          <w:szCs w:val="24"/>
          <w:highlight w:val="none"/>
        </w:rPr>
        <w:t>文件的实质性要求作出响应。符合性检查资料表如下：</w:t>
      </w:r>
    </w:p>
    <w:p w14:paraId="24647765">
      <w:pPr>
        <w:numPr>
          <w:ilvl w:val="0"/>
          <w:numId w:val="0"/>
        </w:numPr>
        <w:snapToGrid w:val="0"/>
        <w:spacing w:line="400" w:lineRule="exact"/>
        <w:rPr>
          <w:rFonts w:hint="eastAsia" w:ascii="微软雅黑" w:hAnsi="微软雅黑" w:eastAsia="微软雅黑" w:cs="微软雅黑"/>
          <w:color w:val="auto"/>
          <w:kern w:val="0"/>
          <w:sz w:val="24"/>
          <w:szCs w:val="24"/>
          <w:highlight w:val="none"/>
        </w:rPr>
      </w:pPr>
    </w:p>
    <w:tbl>
      <w:tblPr>
        <w:tblStyle w:val="59"/>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58"/>
        <w:gridCol w:w="1983"/>
        <w:gridCol w:w="5404"/>
      </w:tblGrid>
      <w:tr w14:paraId="6BD9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74" w:type="dxa"/>
            <w:vAlign w:val="center"/>
          </w:tcPr>
          <w:p w14:paraId="3181C71C">
            <w:pPr>
              <w:spacing w:line="240" w:lineRule="exact"/>
              <w:jc w:val="both"/>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序号</w:t>
            </w:r>
          </w:p>
        </w:tc>
        <w:tc>
          <w:tcPr>
            <w:tcW w:w="3541" w:type="dxa"/>
            <w:gridSpan w:val="2"/>
            <w:vAlign w:val="center"/>
          </w:tcPr>
          <w:p w14:paraId="5AC05955">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评审因素</w:t>
            </w:r>
          </w:p>
        </w:tc>
        <w:tc>
          <w:tcPr>
            <w:tcW w:w="5404" w:type="dxa"/>
            <w:vAlign w:val="center"/>
          </w:tcPr>
          <w:p w14:paraId="202FFBC1">
            <w:pPr>
              <w:spacing w:line="240" w:lineRule="exact"/>
              <w:ind w:firstLine="4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评审标准</w:t>
            </w:r>
          </w:p>
        </w:tc>
      </w:tr>
      <w:tr w14:paraId="3D43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4" w:type="dxa"/>
            <w:vMerge w:val="restart"/>
            <w:vAlign w:val="center"/>
          </w:tcPr>
          <w:p w14:paraId="219FFCF2">
            <w:pPr>
              <w:spacing w:line="240" w:lineRule="exact"/>
              <w:jc w:val="both"/>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w:t>
            </w:r>
          </w:p>
        </w:tc>
        <w:tc>
          <w:tcPr>
            <w:tcW w:w="1558" w:type="dxa"/>
            <w:vMerge w:val="restart"/>
            <w:vAlign w:val="center"/>
          </w:tcPr>
          <w:p w14:paraId="11B7A1AA">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有效性审查</w:t>
            </w:r>
          </w:p>
        </w:tc>
        <w:tc>
          <w:tcPr>
            <w:tcW w:w="1983" w:type="dxa"/>
            <w:vAlign w:val="center"/>
          </w:tcPr>
          <w:p w14:paraId="4CC1B0C0">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响应文件签署</w:t>
            </w:r>
          </w:p>
        </w:tc>
        <w:tc>
          <w:tcPr>
            <w:tcW w:w="5404" w:type="dxa"/>
            <w:vAlign w:val="center"/>
          </w:tcPr>
          <w:p w14:paraId="3DA6A638">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响应文件上法定代表人或其授权代表人的签字或盖章齐全。</w:t>
            </w:r>
          </w:p>
        </w:tc>
      </w:tr>
      <w:tr w14:paraId="25B2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674" w:type="dxa"/>
            <w:vMerge w:val="continue"/>
            <w:vAlign w:val="center"/>
          </w:tcPr>
          <w:p w14:paraId="6157B069">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7C179EC8">
            <w:pPr>
              <w:spacing w:line="240" w:lineRule="exact"/>
              <w:ind w:firstLine="440"/>
              <w:rPr>
                <w:rFonts w:hint="eastAsia" w:ascii="微软雅黑" w:hAnsi="微软雅黑" w:eastAsia="微软雅黑" w:cs="微软雅黑"/>
                <w:color w:val="auto"/>
                <w:kern w:val="0"/>
                <w:sz w:val="22"/>
                <w:szCs w:val="22"/>
                <w:highlight w:val="none"/>
              </w:rPr>
            </w:pPr>
          </w:p>
        </w:tc>
        <w:tc>
          <w:tcPr>
            <w:tcW w:w="1983" w:type="dxa"/>
            <w:vAlign w:val="center"/>
          </w:tcPr>
          <w:p w14:paraId="31335B6A">
            <w:pPr>
              <w:spacing w:line="24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法定代表人身份证明及授权委托书</w:t>
            </w:r>
          </w:p>
        </w:tc>
        <w:tc>
          <w:tcPr>
            <w:tcW w:w="5404" w:type="dxa"/>
            <w:vAlign w:val="center"/>
          </w:tcPr>
          <w:p w14:paraId="1A46B59F">
            <w:pPr>
              <w:spacing w:line="240" w:lineRule="exact"/>
              <w:ind w:firstLine="4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法定代表人身份证明及授权委托书有效，符合</w:t>
            </w:r>
            <w:r>
              <w:rPr>
                <w:rFonts w:hint="eastAsia" w:ascii="微软雅黑" w:hAnsi="微软雅黑" w:eastAsia="微软雅黑" w:cs="微软雅黑"/>
                <w:color w:val="auto"/>
                <w:sz w:val="22"/>
                <w:szCs w:val="22"/>
                <w:highlight w:val="none"/>
                <w:lang w:eastAsia="zh-CN"/>
              </w:rPr>
              <w:t>招标</w:t>
            </w:r>
            <w:r>
              <w:rPr>
                <w:rFonts w:hint="eastAsia" w:ascii="微软雅黑" w:hAnsi="微软雅黑" w:eastAsia="微软雅黑" w:cs="微软雅黑"/>
                <w:color w:val="auto"/>
                <w:sz w:val="22"/>
                <w:szCs w:val="22"/>
                <w:highlight w:val="none"/>
              </w:rPr>
              <w:t>文件规定的格式，签字或盖章齐全。</w:t>
            </w:r>
          </w:p>
        </w:tc>
      </w:tr>
      <w:tr w14:paraId="65B0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dxa"/>
            <w:vMerge w:val="continue"/>
            <w:vAlign w:val="center"/>
          </w:tcPr>
          <w:p w14:paraId="442DF676">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3254E18A">
            <w:pPr>
              <w:spacing w:line="240" w:lineRule="exact"/>
              <w:ind w:firstLine="440"/>
              <w:rPr>
                <w:rFonts w:hint="eastAsia" w:ascii="微软雅黑" w:hAnsi="微软雅黑" w:eastAsia="微软雅黑" w:cs="微软雅黑"/>
                <w:color w:val="auto"/>
                <w:kern w:val="0"/>
                <w:sz w:val="22"/>
                <w:szCs w:val="22"/>
                <w:highlight w:val="none"/>
              </w:rPr>
            </w:pPr>
          </w:p>
        </w:tc>
        <w:tc>
          <w:tcPr>
            <w:tcW w:w="1983" w:type="dxa"/>
            <w:vAlign w:val="center"/>
          </w:tcPr>
          <w:p w14:paraId="7D5D2859">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响应</w:t>
            </w:r>
            <w:r>
              <w:rPr>
                <w:rFonts w:hint="eastAsia" w:ascii="微软雅黑" w:hAnsi="微软雅黑" w:eastAsia="微软雅黑" w:cs="微软雅黑"/>
                <w:color w:val="auto"/>
                <w:sz w:val="22"/>
                <w:szCs w:val="22"/>
                <w:highlight w:val="none"/>
                <w:lang w:val="zh-CN"/>
              </w:rPr>
              <w:t>方案</w:t>
            </w:r>
          </w:p>
        </w:tc>
        <w:tc>
          <w:tcPr>
            <w:tcW w:w="5404" w:type="dxa"/>
            <w:vAlign w:val="center"/>
          </w:tcPr>
          <w:p w14:paraId="79E1C787">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lang w:val="zh-CN"/>
              </w:rPr>
              <w:t>只能有一个</w:t>
            </w:r>
            <w:r>
              <w:rPr>
                <w:rFonts w:hint="eastAsia" w:ascii="微软雅黑" w:hAnsi="微软雅黑" w:eastAsia="微软雅黑" w:cs="微软雅黑"/>
                <w:color w:val="auto"/>
                <w:kern w:val="0"/>
                <w:sz w:val="22"/>
                <w:szCs w:val="22"/>
                <w:highlight w:val="none"/>
              </w:rPr>
              <w:t>响应</w:t>
            </w:r>
            <w:r>
              <w:rPr>
                <w:rFonts w:hint="eastAsia" w:ascii="微软雅黑" w:hAnsi="微软雅黑" w:eastAsia="微软雅黑" w:cs="微软雅黑"/>
                <w:color w:val="auto"/>
                <w:kern w:val="0"/>
                <w:sz w:val="22"/>
                <w:szCs w:val="22"/>
                <w:highlight w:val="none"/>
                <w:lang w:val="zh-CN"/>
              </w:rPr>
              <w:t>方案。</w:t>
            </w:r>
          </w:p>
        </w:tc>
      </w:tr>
      <w:tr w14:paraId="4D9C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74" w:type="dxa"/>
            <w:vMerge w:val="continue"/>
            <w:vAlign w:val="center"/>
          </w:tcPr>
          <w:p w14:paraId="403D6F15">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0FDB4DE7">
            <w:pPr>
              <w:spacing w:line="240" w:lineRule="exact"/>
              <w:ind w:firstLine="440"/>
              <w:rPr>
                <w:rFonts w:hint="eastAsia" w:ascii="微软雅黑" w:hAnsi="微软雅黑" w:eastAsia="微软雅黑" w:cs="微软雅黑"/>
                <w:color w:val="auto"/>
                <w:kern w:val="0"/>
                <w:sz w:val="22"/>
                <w:szCs w:val="22"/>
                <w:highlight w:val="none"/>
              </w:rPr>
            </w:pPr>
          </w:p>
        </w:tc>
        <w:tc>
          <w:tcPr>
            <w:tcW w:w="1983" w:type="dxa"/>
            <w:vAlign w:val="center"/>
          </w:tcPr>
          <w:p w14:paraId="6B483F27">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sz w:val="22"/>
                <w:szCs w:val="22"/>
                <w:highlight w:val="none"/>
              </w:rPr>
              <w:t>报价唯一</w:t>
            </w:r>
          </w:p>
        </w:tc>
        <w:tc>
          <w:tcPr>
            <w:tcW w:w="5404" w:type="dxa"/>
            <w:vAlign w:val="center"/>
          </w:tcPr>
          <w:p w14:paraId="4DABA9C3">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lang w:val="zh-CN"/>
              </w:rPr>
              <w:t>只能在采购预算范围内报价，</w:t>
            </w:r>
            <w:r>
              <w:rPr>
                <w:rFonts w:hint="eastAsia" w:ascii="微软雅黑" w:hAnsi="微软雅黑" w:eastAsia="微软雅黑" w:cs="微软雅黑"/>
                <w:color w:val="auto"/>
                <w:sz w:val="22"/>
                <w:szCs w:val="22"/>
                <w:highlight w:val="none"/>
              </w:rPr>
              <w:t>只能有一个有效报价，不得提交选择性报价。</w:t>
            </w:r>
          </w:p>
        </w:tc>
      </w:tr>
      <w:tr w14:paraId="5A24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74" w:type="dxa"/>
            <w:vAlign w:val="center"/>
          </w:tcPr>
          <w:p w14:paraId="073D9929">
            <w:pPr>
              <w:spacing w:line="240" w:lineRule="exact"/>
              <w:jc w:val="both"/>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w:t>
            </w:r>
          </w:p>
        </w:tc>
        <w:tc>
          <w:tcPr>
            <w:tcW w:w="1558" w:type="dxa"/>
            <w:vAlign w:val="center"/>
          </w:tcPr>
          <w:p w14:paraId="61297CCE">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完整性审查</w:t>
            </w:r>
          </w:p>
        </w:tc>
        <w:tc>
          <w:tcPr>
            <w:tcW w:w="1983" w:type="dxa"/>
            <w:vAlign w:val="center"/>
          </w:tcPr>
          <w:p w14:paraId="0FA5CC8C">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响应</w:t>
            </w:r>
            <w:r>
              <w:rPr>
                <w:rFonts w:hint="eastAsia" w:ascii="微软雅黑" w:hAnsi="微软雅黑" w:eastAsia="微软雅黑" w:cs="微软雅黑"/>
                <w:color w:val="auto"/>
                <w:sz w:val="22"/>
                <w:szCs w:val="22"/>
                <w:highlight w:val="none"/>
                <w:lang w:val="zh-CN"/>
              </w:rPr>
              <w:t>文件份数</w:t>
            </w:r>
          </w:p>
        </w:tc>
        <w:tc>
          <w:tcPr>
            <w:tcW w:w="5404" w:type="dxa"/>
            <w:vAlign w:val="center"/>
          </w:tcPr>
          <w:p w14:paraId="66A4C4F0">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响应文件正、副本数量符合</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文件要求。</w:t>
            </w:r>
          </w:p>
        </w:tc>
      </w:tr>
      <w:tr w14:paraId="1F2B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74" w:type="dxa"/>
            <w:vMerge w:val="restart"/>
            <w:vAlign w:val="center"/>
          </w:tcPr>
          <w:p w14:paraId="36F52045">
            <w:pPr>
              <w:spacing w:line="240" w:lineRule="exact"/>
              <w:jc w:val="both"/>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w:t>
            </w:r>
          </w:p>
        </w:tc>
        <w:tc>
          <w:tcPr>
            <w:tcW w:w="1558" w:type="dxa"/>
            <w:vMerge w:val="restart"/>
            <w:vAlign w:val="center"/>
          </w:tcPr>
          <w:p w14:paraId="74E3D0AE">
            <w:pPr>
              <w:spacing w:line="240" w:lineRule="exact"/>
              <w:rPr>
                <w:rFonts w:hint="eastAsia" w:ascii="微软雅黑" w:hAnsi="微软雅黑" w:eastAsia="微软雅黑" w:cs="微软雅黑"/>
                <w:color w:val="auto"/>
                <w:sz w:val="22"/>
                <w:szCs w:val="22"/>
                <w:highlight w:val="none"/>
                <w:lang w:val="zh-CN"/>
              </w:rPr>
            </w:pP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文件的响应程度审查</w:t>
            </w:r>
          </w:p>
        </w:tc>
        <w:tc>
          <w:tcPr>
            <w:tcW w:w="1983" w:type="dxa"/>
            <w:vAlign w:val="center"/>
          </w:tcPr>
          <w:p w14:paraId="62C98657">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响应文件内容</w:t>
            </w:r>
          </w:p>
        </w:tc>
        <w:tc>
          <w:tcPr>
            <w:tcW w:w="5404" w:type="dxa"/>
            <w:vAlign w:val="center"/>
          </w:tcPr>
          <w:p w14:paraId="68339D6E">
            <w:pPr>
              <w:pStyle w:val="33"/>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对</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文件第二篇、第三篇规定的</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内容作出响应。</w:t>
            </w:r>
          </w:p>
        </w:tc>
      </w:tr>
      <w:tr w14:paraId="143D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74" w:type="dxa"/>
            <w:vMerge w:val="continue"/>
            <w:vAlign w:val="center"/>
          </w:tcPr>
          <w:p w14:paraId="62C317E3">
            <w:pPr>
              <w:spacing w:line="240" w:lineRule="exact"/>
              <w:ind w:firstLine="440"/>
              <w:jc w:val="center"/>
              <w:rPr>
                <w:rFonts w:hint="eastAsia" w:ascii="微软雅黑" w:hAnsi="微软雅黑" w:eastAsia="微软雅黑" w:cs="微软雅黑"/>
                <w:color w:val="auto"/>
                <w:kern w:val="0"/>
                <w:sz w:val="22"/>
                <w:szCs w:val="22"/>
                <w:highlight w:val="none"/>
              </w:rPr>
            </w:pPr>
          </w:p>
        </w:tc>
        <w:tc>
          <w:tcPr>
            <w:tcW w:w="1558" w:type="dxa"/>
            <w:vMerge w:val="continue"/>
            <w:vAlign w:val="center"/>
          </w:tcPr>
          <w:p w14:paraId="71784344">
            <w:pPr>
              <w:spacing w:line="240" w:lineRule="exact"/>
              <w:ind w:firstLine="440"/>
              <w:rPr>
                <w:rFonts w:hint="eastAsia" w:ascii="微软雅黑" w:hAnsi="微软雅黑" w:eastAsia="微软雅黑" w:cs="微软雅黑"/>
                <w:color w:val="auto"/>
                <w:sz w:val="22"/>
                <w:szCs w:val="22"/>
                <w:highlight w:val="none"/>
                <w:lang w:val="zh-CN"/>
              </w:rPr>
            </w:pPr>
          </w:p>
        </w:tc>
        <w:tc>
          <w:tcPr>
            <w:tcW w:w="1983" w:type="dxa"/>
            <w:vAlign w:val="center"/>
          </w:tcPr>
          <w:p w14:paraId="2DB985CF">
            <w:pPr>
              <w:spacing w:line="240" w:lineRule="exact"/>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有效期</w:t>
            </w:r>
          </w:p>
        </w:tc>
        <w:tc>
          <w:tcPr>
            <w:tcW w:w="5404" w:type="dxa"/>
            <w:vAlign w:val="center"/>
          </w:tcPr>
          <w:p w14:paraId="414F24A6">
            <w:pPr>
              <w:spacing w:line="240" w:lineRule="exact"/>
              <w:ind w:firstLine="4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满足</w:t>
            </w:r>
            <w:r>
              <w:rPr>
                <w:rFonts w:hint="eastAsia" w:ascii="微软雅黑" w:hAnsi="微软雅黑" w:eastAsia="微软雅黑" w:cs="微软雅黑"/>
                <w:color w:val="auto"/>
                <w:kern w:val="0"/>
                <w:sz w:val="22"/>
                <w:szCs w:val="22"/>
                <w:highlight w:val="none"/>
                <w:lang w:eastAsia="zh-CN"/>
              </w:rPr>
              <w:t>招标</w:t>
            </w:r>
            <w:r>
              <w:rPr>
                <w:rFonts w:hint="eastAsia" w:ascii="微软雅黑" w:hAnsi="微软雅黑" w:eastAsia="微软雅黑" w:cs="微软雅黑"/>
                <w:color w:val="auto"/>
                <w:kern w:val="0"/>
                <w:sz w:val="22"/>
                <w:szCs w:val="22"/>
                <w:highlight w:val="none"/>
              </w:rPr>
              <w:t>文件</w:t>
            </w:r>
            <w:r>
              <w:rPr>
                <w:rFonts w:hint="eastAsia" w:ascii="微软雅黑" w:hAnsi="微软雅黑" w:eastAsia="微软雅黑" w:cs="微软雅黑"/>
                <w:color w:val="auto"/>
                <w:sz w:val="22"/>
                <w:szCs w:val="22"/>
                <w:highlight w:val="none"/>
                <w:lang w:val="zh-CN"/>
              </w:rPr>
              <w:t>规定。</w:t>
            </w:r>
          </w:p>
        </w:tc>
      </w:tr>
    </w:tbl>
    <w:p w14:paraId="231FC759">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（三）澄清有关问题。</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52F5CFA">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50EACC6">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（五）在</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过程中</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的任何一方不得向他人透露与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有关的技术资料、价格或其他信息。</w:t>
      </w:r>
    </w:p>
    <w:p w14:paraId="2F070C7C">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小组采用综合评分法对合格供应商的响应文件和报价进行综合评分。综合评分法，是指响应文件满足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全部实质性要求且按照评审因素的量化指标评审得分最高的供应商为成交候选人的评审方法。供应商总得分为价格、商务、服务等评定因素分别按照相应权重值计算分项得分后相加，满分为100分。（详见评审标准）。</w:t>
      </w:r>
    </w:p>
    <w:p w14:paraId="1A2315B6">
      <w:pPr>
        <w:spacing w:line="440" w:lineRule="exact"/>
        <w:ind w:firstLine="480" w:firstLineChars="200"/>
        <w:rPr>
          <w:rFonts w:hint="eastAsia" w:ascii="微软雅黑" w:hAnsi="微软雅黑" w:eastAsia="微软雅黑" w:cs="微软雅黑"/>
          <w:color w:val="auto"/>
          <w:sz w:val="24"/>
          <w:szCs w:val="24"/>
          <w:highlight w:val="none"/>
        </w:rPr>
      </w:pPr>
      <w:bookmarkStart w:id="146" w:name="_Toc15937"/>
      <w:bookmarkStart w:id="147" w:name="_Toc47094780"/>
      <w:bookmarkStart w:id="148" w:name="_Toc15404"/>
      <w:r>
        <w:rPr>
          <w:rFonts w:hint="eastAsia" w:ascii="微软雅黑" w:hAnsi="微软雅黑" w:eastAsia="微软雅黑" w:cs="微软雅黑"/>
          <w:color w:val="auto"/>
          <w:sz w:val="24"/>
          <w:szCs w:val="24"/>
          <w:highlight w:val="none"/>
        </w:rPr>
        <w:t>（七）</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各成员独立对每个有效响应（通过资格性检查、符合性检查的供应商）的文件进行评价、打分，然后汇总每个供应商每项评分因素的得分，并根据综合评分情况按照评审得分由高到低顺序推荐综合得分前三名的供应商为成交候选人，并编写评审报告。 采购人收到评审报告后，确定综合得分最高的为成交供应商。若供应商的评审得分相同的，按照报价由低到高的顺序排列推荐。评审得分且报价相同的，按照服务指标优劣顺序排列推荐。以上都相同的，按商务条款的优劣顺序排列推荐。若供应商的服务部分为0分，将失去成为成交候选人的资格。</w:t>
      </w:r>
      <w:bookmarkStart w:id="149" w:name="_Toc28841"/>
    </w:p>
    <w:p w14:paraId="32F387EA">
      <w:pPr>
        <w:pStyle w:val="5"/>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bookmarkStart w:id="150" w:name="_Toc342913394"/>
      <w:bookmarkStart w:id="151" w:name="_Toc102227320"/>
      <w:r>
        <w:rPr>
          <w:rFonts w:hint="eastAsia" w:ascii="微软雅黑" w:hAnsi="微软雅黑" w:eastAsia="微软雅黑" w:cs="微软雅黑"/>
          <w:color w:val="auto"/>
          <w:sz w:val="24"/>
          <w:szCs w:val="24"/>
          <w:highlight w:val="none"/>
        </w:rPr>
        <w:t>评审标准</w:t>
      </w:r>
      <w:bookmarkEnd w:id="146"/>
      <w:bookmarkEnd w:id="147"/>
      <w:bookmarkEnd w:id="148"/>
      <w:bookmarkEnd w:id="149"/>
    </w:p>
    <w:tbl>
      <w:tblPr>
        <w:tblStyle w:val="59"/>
        <w:tblW w:w="95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4"/>
        <w:gridCol w:w="1178"/>
        <w:gridCol w:w="1607"/>
        <w:gridCol w:w="4140"/>
        <w:gridCol w:w="2166"/>
      </w:tblGrid>
      <w:tr w14:paraId="7B5B9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504" w:type="dxa"/>
            <w:noWrap/>
            <w:vAlign w:val="center"/>
          </w:tcPr>
          <w:p w14:paraId="6ED2AE02">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178" w:type="dxa"/>
            <w:noWrap/>
            <w:vAlign w:val="center"/>
          </w:tcPr>
          <w:p w14:paraId="236A7884">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评分及</w:t>
            </w:r>
          </w:p>
          <w:p w14:paraId="469E281C">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权重</w:t>
            </w:r>
          </w:p>
        </w:tc>
        <w:tc>
          <w:tcPr>
            <w:tcW w:w="1607" w:type="dxa"/>
            <w:noWrap/>
            <w:vAlign w:val="center"/>
          </w:tcPr>
          <w:p w14:paraId="3C7590F0">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分值</w:t>
            </w:r>
          </w:p>
        </w:tc>
        <w:tc>
          <w:tcPr>
            <w:tcW w:w="4140" w:type="dxa"/>
            <w:noWrap/>
            <w:vAlign w:val="center"/>
          </w:tcPr>
          <w:p w14:paraId="05462E11">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评分标准</w:t>
            </w:r>
          </w:p>
        </w:tc>
        <w:tc>
          <w:tcPr>
            <w:tcW w:w="2166" w:type="dxa"/>
            <w:noWrap/>
            <w:vAlign w:val="center"/>
          </w:tcPr>
          <w:p w14:paraId="706204B6">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14:paraId="5E14B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504" w:type="dxa"/>
            <w:noWrap/>
            <w:vAlign w:val="center"/>
          </w:tcPr>
          <w:p w14:paraId="04FCDC19">
            <w:pPr>
              <w:snapToGrid w:val="0"/>
              <w:spacing w:line="390" w:lineRule="exact"/>
              <w:jc w:val="center"/>
              <w:rPr>
                <w:rFonts w:hint="eastAsia" w:ascii="微软雅黑" w:hAnsi="微软雅黑" w:eastAsia="微软雅黑" w:cs="微软雅黑"/>
                <w:color w:val="auto"/>
                <w:sz w:val="20"/>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1</w:t>
            </w:r>
          </w:p>
        </w:tc>
        <w:tc>
          <w:tcPr>
            <w:tcW w:w="1178" w:type="dxa"/>
            <w:noWrap/>
            <w:vAlign w:val="center"/>
          </w:tcPr>
          <w:p w14:paraId="73945890">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比选报价</w:t>
            </w:r>
          </w:p>
          <w:p w14:paraId="1D166FF8">
            <w:pPr>
              <w:adjustRightInd w:val="0"/>
              <w:snapToGrid w:val="0"/>
              <w:spacing w:line="400" w:lineRule="exact"/>
              <w:rPr>
                <w:rFonts w:hint="eastAsia" w:ascii="微软雅黑" w:hAnsi="微软雅黑" w:eastAsia="微软雅黑" w:cs="微软雅黑"/>
                <w:color w:val="auto"/>
                <w:sz w:val="24"/>
                <w:szCs w:val="24"/>
                <w:highlight w:val="none"/>
                <w:lang w:eastAsia="en-US"/>
              </w:rPr>
            </w:pPr>
            <w:r>
              <w:rPr>
                <w:rFonts w:hint="eastAsia" w:ascii="微软雅黑" w:hAnsi="微软雅黑" w:eastAsia="微软雅黑" w:cs="微软雅黑"/>
                <w:color w:val="auto"/>
                <w:sz w:val="24"/>
                <w:szCs w:val="24"/>
                <w:highlight w:val="none"/>
              </w:rPr>
              <w:t>（40%）</w:t>
            </w:r>
          </w:p>
        </w:tc>
        <w:tc>
          <w:tcPr>
            <w:tcW w:w="1607" w:type="dxa"/>
            <w:noWrap/>
            <w:vAlign w:val="center"/>
          </w:tcPr>
          <w:p w14:paraId="00D2470D">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40分</w:t>
            </w:r>
          </w:p>
        </w:tc>
        <w:tc>
          <w:tcPr>
            <w:tcW w:w="4140" w:type="dxa"/>
            <w:noWrap/>
            <w:vAlign w:val="center"/>
          </w:tcPr>
          <w:p w14:paraId="1DFC7BEA">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所有通过资格评审和符合性评审合格的供应商的比选报价的算术平均值为评审基准价。比选报价等于评审基准价的得满分40分。</w:t>
            </w:r>
          </w:p>
          <w:p w14:paraId="7A2A90B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在此基础上,比选总报价与评审准基价相比,每增加1%扣0.2分，每减少1%扣0.1分，最多扣5分。</w:t>
            </w:r>
          </w:p>
          <w:p w14:paraId="4DFE46C8">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按插入法计算得分。</w:t>
            </w:r>
          </w:p>
          <w:p w14:paraId="2EEE52C7">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以上计算取小数点后两位，第三位四舍五入。</w:t>
            </w:r>
          </w:p>
          <w:p w14:paraId="07EA7A42">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在评审基准价计算完成后（除计算错误外），在后续的评审中不得再对其做出调整。比选报价的偏差率计算公式：</w:t>
            </w:r>
          </w:p>
          <w:p w14:paraId="4960E0E9">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偏差率=100％×（比选报价一评审基准价）／评标基准价。</w:t>
            </w:r>
          </w:p>
          <w:p w14:paraId="24A1278F">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偏差率计算保留小数点后两位，小数点后第三位“四舍五入”。</w:t>
            </w:r>
          </w:p>
        </w:tc>
        <w:tc>
          <w:tcPr>
            <w:tcW w:w="2166" w:type="dxa"/>
            <w:noWrap/>
            <w:vAlign w:val="center"/>
          </w:tcPr>
          <w:p w14:paraId="5577556A">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评分计算过程中，按四舍五入原则保留小数点后两位。</w:t>
            </w:r>
          </w:p>
        </w:tc>
      </w:tr>
      <w:tr w14:paraId="638B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0" w:hRule="atLeast"/>
          <w:jc w:val="center"/>
        </w:trPr>
        <w:tc>
          <w:tcPr>
            <w:tcW w:w="504" w:type="dxa"/>
            <w:vMerge w:val="restart"/>
            <w:tcBorders>
              <w:top w:val="single" w:color="auto" w:sz="4" w:space="0"/>
            </w:tcBorders>
            <w:noWrap/>
            <w:vAlign w:val="center"/>
          </w:tcPr>
          <w:p w14:paraId="5B40AA56">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p>
        </w:tc>
        <w:tc>
          <w:tcPr>
            <w:tcW w:w="1178" w:type="dxa"/>
            <w:vMerge w:val="restart"/>
            <w:tcBorders>
              <w:top w:val="single" w:color="auto" w:sz="4" w:space="0"/>
            </w:tcBorders>
            <w:noWrap/>
            <w:vAlign w:val="center"/>
          </w:tcPr>
          <w:p w14:paraId="5AD37A0F">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技术部分（30%）</w:t>
            </w:r>
          </w:p>
          <w:p w14:paraId="7E6E8D62">
            <w:pPr>
              <w:adjustRightInd w:val="0"/>
              <w:snapToGrid w:val="0"/>
              <w:spacing w:line="400" w:lineRule="exact"/>
              <w:rPr>
                <w:rFonts w:hint="eastAsia" w:ascii="微软雅黑" w:hAnsi="微软雅黑" w:eastAsia="微软雅黑" w:cs="微软雅黑"/>
                <w:color w:val="auto"/>
                <w:sz w:val="24"/>
                <w:szCs w:val="24"/>
                <w:highlight w:val="none"/>
              </w:rPr>
            </w:pPr>
          </w:p>
          <w:p w14:paraId="3B722F4B">
            <w:pPr>
              <w:pStyle w:val="2"/>
              <w:rPr>
                <w:rFonts w:hint="eastAsia"/>
                <w:color w:val="auto"/>
                <w:highlight w:val="none"/>
              </w:rPr>
            </w:pPr>
          </w:p>
        </w:tc>
        <w:tc>
          <w:tcPr>
            <w:tcW w:w="1607" w:type="dxa"/>
            <w:tcBorders>
              <w:top w:val="single" w:color="auto" w:sz="4" w:space="0"/>
            </w:tcBorders>
            <w:noWrap/>
            <w:vAlign w:val="center"/>
          </w:tcPr>
          <w:p w14:paraId="7DFE82F6">
            <w:pPr>
              <w:adjustRightInd w:val="0"/>
              <w:snapToGrid w:val="0"/>
              <w:spacing w:line="400" w:lineRule="exact"/>
              <w:rPr>
                <w:rFonts w:hint="eastAsia" w:ascii="微软雅黑" w:hAnsi="微软雅黑" w:eastAsia="微软雅黑" w:cs="微软雅黑"/>
                <w:color w:val="auto"/>
                <w:sz w:val="24"/>
                <w:szCs w:val="24"/>
                <w:highlight w:val="none"/>
              </w:rPr>
            </w:pPr>
            <w:r>
              <w:rPr>
                <w:rFonts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rPr>
              <w:t>安装施工组织方案</w:t>
            </w:r>
          </w:p>
          <w:p w14:paraId="27F31EB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分）</w:t>
            </w:r>
          </w:p>
        </w:tc>
        <w:tc>
          <w:tcPr>
            <w:tcW w:w="4140" w:type="dxa"/>
            <w:noWrap/>
            <w:vAlign w:val="center"/>
          </w:tcPr>
          <w:p w14:paraId="08613FFB">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自行踏勘现场，结合现场条件特点，有针对性的编制施工方案，共包含三个部分：</w:t>
            </w:r>
          </w:p>
          <w:p w14:paraId="7202DB29">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一、原有电梯的拆除（</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377311B3">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内容至少包含：</w:t>
            </w:r>
          </w:p>
          <w:p w14:paraId="277971BF">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1.拆除进度安排</w:t>
            </w:r>
          </w:p>
          <w:p w14:paraId="61860B6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2.拆除施工方案</w:t>
            </w:r>
          </w:p>
          <w:p w14:paraId="0411185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3.废旧物资的堆放、运输</w:t>
            </w:r>
          </w:p>
          <w:p w14:paraId="1209B846">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二、电梯安装（</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65891FB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内容至少包含：</w:t>
            </w:r>
          </w:p>
          <w:p w14:paraId="66E25636">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1.进场安排</w:t>
            </w:r>
          </w:p>
          <w:p w14:paraId="4F36947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2.现场复原</w:t>
            </w:r>
          </w:p>
          <w:p w14:paraId="63C5A99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3.电梯试运行</w:t>
            </w:r>
          </w:p>
          <w:p w14:paraId="0DC8796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三、安全文明施工（</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p w14:paraId="0613D8C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内容至少包含：</w:t>
            </w:r>
          </w:p>
          <w:p w14:paraId="1CB3D727">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1.安全生产制度建设</w:t>
            </w:r>
          </w:p>
          <w:p w14:paraId="7D7312F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2.施工操作规程</w:t>
            </w:r>
          </w:p>
          <w:p w14:paraId="5CBCA4D4">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3.安全管理培训</w:t>
            </w:r>
          </w:p>
          <w:p w14:paraId="0706ADD4">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评审内容：</w:t>
            </w:r>
          </w:p>
          <w:p w14:paraId="7406AD79">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1.方案包含上述所有内容的基础上，内容不存在瑕疵的，得</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 xml:space="preserve">分； </w:t>
            </w:r>
          </w:p>
          <w:p w14:paraId="641F5B46">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2.方案包含上述所有内容的基础上，内容存在1处瑕疵的，得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 xml:space="preserve">分； </w:t>
            </w:r>
          </w:p>
          <w:p w14:paraId="5BBEE1DC">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3.方案包含上述所有内容的基础上，内容存在2处瑕疵的，得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w:t>
            </w:r>
          </w:p>
          <w:p w14:paraId="7252C4E6">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4.方案包含上述所有内容的基础上，内容存在3处及以上瑕疵或未提供方案的，得0分。</w:t>
            </w:r>
          </w:p>
        </w:tc>
        <w:tc>
          <w:tcPr>
            <w:tcW w:w="2166" w:type="dxa"/>
            <w:noWrap/>
            <w:vAlign w:val="center"/>
          </w:tcPr>
          <w:p w14:paraId="554CAA03">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评审内容：</w:t>
            </w:r>
          </w:p>
          <w:p w14:paraId="503F10D1">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1.方案包含上述所有内容的基础上，内容不存在瑕疵的，得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 xml:space="preserve">分； </w:t>
            </w:r>
          </w:p>
          <w:p w14:paraId="2CA9434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2.方案包含上述所有内容的基础上，内容存在1处瑕疵的，得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 xml:space="preserve">分； </w:t>
            </w:r>
          </w:p>
          <w:p w14:paraId="61A3317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3.方案包含上述所有内容的基础上，内容存在2处瑕疵的，得</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分；</w:t>
            </w:r>
          </w:p>
          <w:p w14:paraId="2D3B00A1">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4.方案包含上述所有内容的基础上，内容存在3处及以上瑕疵或未提供方案的，得0分。</w:t>
            </w:r>
          </w:p>
          <w:p w14:paraId="11FDABB9">
            <w:pPr>
              <w:adjustRightInd w:val="0"/>
              <w:snapToGrid w:val="0"/>
              <w:spacing w:line="400" w:lineRule="exact"/>
              <w:rPr>
                <w:rFonts w:hint="eastAsia" w:ascii="微软雅黑" w:hAnsi="微软雅黑" w:eastAsia="微软雅黑" w:cs="微软雅黑"/>
                <w:color w:val="auto"/>
                <w:sz w:val="24"/>
                <w:szCs w:val="24"/>
                <w:highlight w:val="none"/>
              </w:rPr>
            </w:pPr>
          </w:p>
        </w:tc>
      </w:tr>
      <w:tr w14:paraId="3B2C8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jc w:val="center"/>
        </w:trPr>
        <w:tc>
          <w:tcPr>
            <w:tcW w:w="504" w:type="dxa"/>
            <w:vMerge w:val="continue"/>
            <w:noWrap/>
            <w:vAlign w:val="center"/>
          </w:tcPr>
          <w:p w14:paraId="73CED75A">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61288204">
            <w:pPr>
              <w:adjustRightInd w:val="0"/>
              <w:snapToGrid w:val="0"/>
              <w:spacing w:line="400" w:lineRule="exact"/>
              <w:rPr>
                <w:rFonts w:hint="eastAsia" w:ascii="微软雅黑" w:hAnsi="微软雅黑" w:eastAsia="微软雅黑" w:cs="微软雅黑"/>
                <w:color w:val="auto"/>
                <w:sz w:val="24"/>
                <w:szCs w:val="24"/>
                <w:highlight w:val="none"/>
              </w:rPr>
            </w:pPr>
          </w:p>
        </w:tc>
        <w:tc>
          <w:tcPr>
            <w:tcW w:w="1607" w:type="dxa"/>
            <w:noWrap/>
            <w:vAlign w:val="center"/>
          </w:tcPr>
          <w:p w14:paraId="6A10CA10">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2、售后服务方案（1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分）</w:t>
            </w:r>
          </w:p>
        </w:tc>
        <w:tc>
          <w:tcPr>
            <w:tcW w:w="4140" w:type="dxa"/>
            <w:tcBorders>
              <w:bottom w:val="single" w:color="auto" w:sz="4" w:space="0"/>
            </w:tcBorders>
            <w:noWrap/>
            <w:vAlign w:val="center"/>
          </w:tcPr>
          <w:p w14:paraId="194D0E8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根据竞选人提供本项目售后服务方案，内容至少包含：</w:t>
            </w:r>
          </w:p>
          <w:p w14:paraId="768394F8">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1.人员配备</w:t>
            </w:r>
          </w:p>
          <w:p w14:paraId="047A2073">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2.运行保障</w:t>
            </w:r>
          </w:p>
          <w:p w14:paraId="4DDCD7E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3.应急响应</w:t>
            </w:r>
          </w:p>
          <w:p w14:paraId="0E7F7563">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4.故障处理</w:t>
            </w:r>
          </w:p>
          <w:p w14:paraId="5E0BDE92">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5.维护保养</w:t>
            </w:r>
          </w:p>
          <w:p w14:paraId="77ADD1FB">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评审内容：</w:t>
            </w:r>
          </w:p>
          <w:p w14:paraId="6FAA2DDD">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1.方案包含上述所有内容的基础上，内容不存在瑕疵的，得10分； </w:t>
            </w:r>
          </w:p>
          <w:p w14:paraId="0217D50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2.方案包含上述所有内容的基础上，内容存在1处瑕疵的，得6分； </w:t>
            </w:r>
          </w:p>
          <w:p w14:paraId="23917757">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3.方案包含上述所有内容的基础上，内容存在2处瑕疵的，得3分；</w:t>
            </w:r>
          </w:p>
          <w:p w14:paraId="14DCB351">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4.方案包含上述所有内容的基础上，内容存在3处及以上瑕疵或未提供方案的，得0分。</w:t>
            </w:r>
          </w:p>
        </w:tc>
        <w:tc>
          <w:tcPr>
            <w:tcW w:w="2166" w:type="dxa"/>
            <w:noWrap/>
            <w:vAlign w:val="center"/>
          </w:tcPr>
          <w:p w14:paraId="701C3763">
            <w:pPr>
              <w:autoSpaceDE w:val="0"/>
              <w:autoSpaceDN w:val="0"/>
              <w:adjustRightInd w:val="0"/>
              <w:spacing w:line="460" w:lineRule="exact"/>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提供售后服务方案，格式自定。</w:t>
            </w:r>
          </w:p>
          <w:p w14:paraId="5892A55B">
            <w:pPr>
              <w:autoSpaceDE w:val="0"/>
              <w:autoSpaceDN w:val="0"/>
              <w:adjustRightInd w:val="0"/>
              <w:spacing w:line="460" w:lineRule="exact"/>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注：</w:t>
            </w:r>
          </w:p>
          <w:p w14:paraId="55700210">
            <w:pPr>
              <w:autoSpaceDE w:val="0"/>
              <w:autoSpaceDN w:val="0"/>
              <w:adjustRightInd w:val="0"/>
              <w:spacing w:line="460" w:lineRule="exact"/>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1.竞选人提供的方案须建立在本项目使用场景之上，否则相关方案按0分处理。</w:t>
            </w:r>
          </w:p>
          <w:p w14:paraId="7B54BABB">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2.本项内容中所称的“瑕疵”：</w:t>
            </w:r>
          </w:p>
          <w:p w14:paraId="4F77FD84">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①内容表述不完整或缺少关键分析点；</w:t>
            </w:r>
          </w:p>
          <w:p w14:paraId="53B4A8B1">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②计划及措施不科学合理方案；</w:t>
            </w:r>
          </w:p>
          <w:p w14:paraId="17DDB110">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③内容表述前后矛盾、无连贯性、内容存在逻辑漏洞；</w:t>
            </w:r>
          </w:p>
          <w:p w14:paraId="19004F52">
            <w:pPr>
              <w:autoSpaceDE w:val="0"/>
              <w:autoSpaceDN w:val="0"/>
              <w:adjustRightInd w:val="0"/>
              <w:spacing w:line="460" w:lineRule="exact"/>
              <w:ind w:firstLine="480" w:firstLineChars="20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④常识性错误；</w:t>
            </w:r>
          </w:p>
          <w:p w14:paraId="3A0A140B">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⑤技术措施保障安排并不适用本项目特性或非专门</w:t>
            </w:r>
          </w:p>
        </w:tc>
      </w:tr>
      <w:tr w14:paraId="20B2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1" w:hRule="atLeast"/>
          <w:jc w:val="center"/>
        </w:trPr>
        <w:tc>
          <w:tcPr>
            <w:tcW w:w="504" w:type="dxa"/>
            <w:vMerge w:val="continue"/>
            <w:noWrap/>
            <w:vAlign w:val="center"/>
          </w:tcPr>
          <w:p w14:paraId="35CE03A0">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3B6DD383">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noWrap/>
            <w:vAlign w:val="center"/>
          </w:tcPr>
          <w:p w14:paraId="7F581FE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、曳引机制动器（</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72CBEC07">
            <w:pPr>
              <w:adjustRightInd w:val="0"/>
              <w:snapToGrid w:val="0"/>
              <w:spacing w:line="400" w:lineRule="exact"/>
              <w:rPr>
                <w:rFonts w:hint="eastAsia" w:ascii="微软雅黑" w:hAnsi="微软雅黑" w:eastAsia="微软雅黑" w:cs="微软雅黑"/>
                <w:color w:val="auto"/>
                <w:sz w:val="24"/>
                <w:szCs w:val="24"/>
                <w:highlight w:val="none"/>
              </w:rPr>
            </w:pPr>
          </w:p>
        </w:tc>
        <w:tc>
          <w:tcPr>
            <w:tcW w:w="4140" w:type="dxa"/>
            <w:tcBorders>
              <w:bottom w:val="single" w:color="auto" w:sz="4" w:space="0"/>
            </w:tcBorders>
            <w:noWrap/>
            <w:vAlign w:val="center"/>
          </w:tcPr>
          <w:p w14:paraId="142ABAF6">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所投品牌电梯曳引机制动器静载试验：轿厢内加载至额定荷载的190%后，停靠在最低层站平层位置，切断供电电源，保持时间≥15分钟。判定标准:主机制动器各部件应完好，电引轮不转动，钢丝绳无打滑现象，轿厢未发生明显位移，制动器保持良好的静态制动性能。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465330EE">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本项最多得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分，未满足此项不得分。</w:t>
            </w:r>
          </w:p>
        </w:tc>
        <w:tc>
          <w:tcPr>
            <w:tcW w:w="2166" w:type="dxa"/>
            <w:noWrap/>
            <w:vAlign w:val="center"/>
          </w:tcPr>
          <w:p w14:paraId="0088F1D5">
            <w:pPr>
              <w:adjustRightInd w:val="0"/>
              <w:snapToGrid w:val="0"/>
              <w:spacing w:line="400" w:lineRule="exact"/>
              <w:rPr>
                <w:rFonts w:hint="eastAsia" w:ascii="微软雅黑" w:hAnsi="微软雅黑" w:eastAsia="微软雅黑" w:cs="微软雅黑"/>
                <w:strike/>
                <w:color w:val="auto"/>
                <w:sz w:val="24"/>
                <w:szCs w:val="24"/>
                <w:highlight w:val="none"/>
              </w:rPr>
            </w:pPr>
            <w:r>
              <w:rPr>
                <w:rFonts w:hint="eastAsia" w:ascii="微软雅黑" w:hAnsi="微软雅黑" w:eastAsia="微软雅黑" w:cs="微软雅黑"/>
                <w:color w:val="auto"/>
                <w:sz w:val="24"/>
                <w:szCs w:val="24"/>
                <w:highlight w:val="none"/>
              </w:rPr>
              <w:t>提供具有ILAC-MRA和CNAS认证的提供第三方检测报告或试验报告或测试报告。</w:t>
            </w:r>
          </w:p>
        </w:tc>
      </w:tr>
      <w:tr w14:paraId="356E4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9" w:hRule="exact"/>
          <w:jc w:val="center"/>
        </w:trPr>
        <w:tc>
          <w:tcPr>
            <w:tcW w:w="504" w:type="dxa"/>
            <w:vMerge w:val="continue"/>
            <w:noWrap/>
            <w:vAlign w:val="center"/>
          </w:tcPr>
          <w:p w14:paraId="6D188FF0">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6256DDEA">
            <w:pPr>
              <w:adjustRightInd w:val="0"/>
              <w:snapToGrid w:val="0"/>
              <w:spacing w:line="400" w:lineRule="exact"/>
              <w:rPr>
                <w:rFonts w:hint="eastAsia" w:ascii="微软雅黑" w:hAnsi="微软雅黑" w:eastAsia="微软雅黑" w:cs="微软雅黑"/>
                <w:color w:val="auto"/>
                <w:sz w:val="24"/>
                <w:szCs w:val="24"/>
                <w:highlight w:val="none"/>
              </w:rPr>
            </w:pPr>
          </w:p>
        </w:tc>
        <w:tc>
          <w:tcPr>
            <w:tcW w:w="1607" w:type="dxa"/>
            <w:noWrap/>
            <w:vAlign w:val="center"/>
          </w:tcPr>
          <w:p w14:paraId="398C35A5">
            <w:pPr>
              <w:snapToGrid w:val="0"/>
              <w:spacing w:line="400" w:lineRule="exact"/>
              <w:rPr>
                <w:rFonts w:hint="eastAsia" w:ascii="微软雅黑" w:hAnsi="微软雅黑" w:eastAsia="微软雅黑" w:cs="微软雅黑"/>
                <w:color w:val="auto"/>
                <w:sz w:val="24"/>
                <w:szCs w:val="24"/>
                <w:highlight w:val="none"/>
                <w:lang w:eastAsia="en-US"/>
              </w:rPr>
            </w:pPr>
            <w:r>
              <w:rPr>
                <w:rFonts w:hint="eastAsia" w:ascii="微软雅黑" w:hAnsi="微软雅黑" w:eastAsia="微软雅黑"/>
                <w:color w:val="auto"/>
                <w:sz w:val="24"/>
                <w:szCs w:val="24"/>
                <w:highlight w:val="none"/>
                <w:lang w:val="en-US" w:eastAsia="zh-CN"/>
              </w:rPr>
              <w:t>4、光幕保护装置（3分）</w:t>
            </w:r>
          </w:p>
        </w:tc>
        <w:tc>
          <w:tcPr>
            <w:tcW w:w="4140" w:type="dxa"/>
            <w:tcBorders>
              <w:bottom w:val="single" w:color="auto" w:sz="4" w:space="0"/>
            </w:tcBorders>
            <w:noWrap/>
            <w:vAlign w:val="center"/>
          </w:tcPr>
          <w:p w14:paraId="52F2DA66">
            <w:pPr>
              <w:rPr>
                <w:rFonts w:hint="eastAsia" w:ascii="微软雅黑" w:hAnsi="微软雅黑" w:eastAsia="微软雅黑" w:cs="微软雅黑"/>
                <w:color w:val="auto"/>
                <w:sz w:val="24"/>
                <w:szCs w:val="24"/>
                <w:highlight w:val="none"/>
              </w:rPr>
            </w:pPr>
            <w:r>
              <w:rPr>
                <w:rFonts w:hint="eastAsia" w:ascii="微软雅黑" w:hAnsi="微软雅黑" w:eastAsia="微软雅黑" w:cs="Times New Roman"/>
                <w:color w:val="auto"/>
                <w:sz w:val="24"/>
                <w:szCs w:val="24"/>
                <w:highlight w:val="none"/>
                <w:lang w:val="en-US" w:eastAsia="zh-CN"/>
              </w:rPr>
              <w:t>光幕保护装置与整机同一制造商的，IP防护等级≥IP65，光束数量满足180束，得3分。</w:t>
            </w:r>
          </w:p>
        </w:tc>
        <w:tc>
          <w:tcPr>
            <w:tcW w:w="2166" w:type="dxa"/>
            <w:noWrap/>
            <w:vAlign w:val="center"/>
          </w:tcPr>
          <w:p w14:paraId="1FBC802B">
            <w:p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提供具有CNAS</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CMA</w:t>
            </w:r>
            <w:r>
              <w:rPr>
                <w:rFonts w:hint="eastAsia" w:ascii="微软雅黑" w:hAnsi="微软雅黑" w:eastAsia="微软雅黑" w:cs="微软雅黑"/>
                <w:color w:val="auto"/>
                <w:sz w:val="24"/>
                <w:szCs w:val="24"/>
                <w:highlight w:val="none"/>
              </w:rPr>
              <w:t>认证的第三方检测单位出具的试验报告复印件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加盖</w:t>
            </w:r>
            <w:r>
              <w:rPr>
                <w:rFonts w:hint="eastAsia" w:ascii="微软雅黑" w:hAnsi="微软雅黑" w:eastAsia="微软雅黑" w:cs="微软雅黑"/>
                <w:color w:val="auto"/>
                <w:sz w:val="24"/>
                <w:szCs w:val="24"/>
                <w:highlight w:val="none"/>
              </w:rPr>
              <w:t>比选申请人公章</w:t>
            </w:r>
            <w:r>
              <w:rPr>
                <w:rFonts w:hint="eastAsia" w:ascii="微软雅黑" w:hAnsi="微软雅黑" w:eastAsia="微软雅黑" w:cs="微软雅黑"/>
                <w:color w:val="auto"/>
                <w:sz w:val="24"/>
                <w:szCs w:val="24"/>
                <w:highlight w:val="none"/>
                <w:lang w:eastAsia="zh-CN"/>
              </w:rPr>
              <w:t>。</w:t>
            </w:r>
          </w:p>
          <w:p w14:paraId="586221E2">
            <w:pPr>
              <w:snapToGrid w:val="0"/>
              <w:spacing w:line="400" w:lineRule="exact"/>
              <w:rPr>
                <w:rFonts w:hint="eastAsia" w:ascii="微软雅黑" w:hAnsi="微软雅黑" w:eastAsia="微软雅黑" w:cs="微软雅黑"/>
                <w:color w:val="auto"/>
                <w:sz w:val="24"/>
                <w:szCs w:val="24"/>
                <w:highlight w:val="none"/>
              </w:rPr>
            </w:pPr>
          </w:p>
        </w:tc>
      </w:tr>
      <w:tr w14:paraId="2EC34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504" w:type="dxa"/>
            <w:vMerge w:val="continue"/>
            <w:noWrap/>
            <w:vAlign w:val="center"/>
          </w:tcPr>
          <w:p w14:paraId="635B22B6">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3A4F96A8">
            <w:pPr>
              <w:adjustRightInd w:val="0"/>
              <w:snapToGrid w:val="0"/>
              <w:spacing w:line="400" w:lineRule="exact"/>
              <w:rPr>
                <w:rFonts w:hint="eastAsia" w:ascii="微软雅黑" w:hAnsi="微软雅黑" w:eastAsia="微软雅黑" w:cs="微软雅黑"/>
                <w:color w:val="auto"/>
                <w:sz w:val="24"/>
                <w:szCs w:val="24"/>
                <w:highlight w:val="none"/>
              </w:rPr>
            </w:pPr>
          </w:p>
        </w:tc>
        <w:tc>
          <w:tcPr>
            <w:tcW w:w="1607" w:type="dxa"/>
            <w:noWrap/>
            <w:vAlign w:val="center"/>
          </w:tcPr>
          <w:p w14:paraId="1A536C26">
            <w:pPr>
              <w:adjustRightInd w:val="0"/>
              <w:snapToGrid w:val="0"/>
              <w:spacing w:line="400" w:lineRule="exact"/>
              <w:rPr>
                <w:rFonts w:hint="eastAsia" w:ascii="微软雅黑" w:hAnsi="微软雅黑" w:eastAsia="微软雅黑" w:cs="微软雅黑"/>
                <w:color w:val="auto"/>
                <w:sz w:val="24"/>
                <w:szCs w:val="24"/>
                <w:highlight w:val="none"/>
                <w:lang w:eastAsia="en-US"/>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en-US"/>
              </w:rPr>
              <w:t>控制系统</w:t>
            </w:r>
          </w:p>
          <w:p w14:paraId="0D689B5D">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en-US"/>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eastAsia="en-US"/>
              </w:rPr>
              <w:t>分）</w:t>
            </w:r>
          </w:p>
        </w:tc>
        <w:tc>
          <w:tcPr>
            <w:tcW w:w="4140" w:type="dxa"/>
            <w:tcBorders>
              <w:bottom w:val="single" w:color="auto" w:sz="4" w:space="0"/>
            </w:tcBorders>
            <w:noWrap/>
            <w:vAlign w:val="center"/>
          </w:tcPr>
          <w:p w14:paraId="011D030D">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ascii="微软雅黑" w:hAnsi="微软雅黑" w:eastAsia="微软雅黑" w:cs="微软雅黑"/>
                <w:color w:val="auto"/>
                <w:sz w:val="24"/>
                <w:szCs w:val="24"/>
                <w:highlight w:val="none"/>
              </w:rPr>
              <w:t>针对控制柜 AC380V 电压波动适应性</w:t>
            </w:r>
            <w:r>
              <w:rPr>
                <w:rFonts w:hint="eastAsia" w:ascii="微软雅黑" w:hAnsi="微软雅黑" w:eastAsia="微软雅黑" w:cs="微软雅黑"/>
                <w:color w:val="auto"/>
                <w:sz w:val="24"/>
                <w:szCs w:val="24"/>
                <w:highlight w:val="none"/>
              </w:rPr>
              <w:t>：</w:t>
            </w:r>
          </w:p>
          <w:p w14:paraId="510AA90B">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若控制柜可实现</w:t>
            </w:r>
            <w:r>
              <w:rPr>
                <w:rFonts w:ascii="微软雅黑" w:hAnsi="微软雅黑" w:eastAsia="微软雅黑" w:cs="微软雅黑"/>
                <w:color w:val="auto"/>
                <w:sz w:val="24"/>
                <w:szCs w:val="24"/>
                <w:highlight w:val="none"/>
              </w:rPr>
              <w:t xml:space="preserve"> AC380V </w:t>
            </w:r>
            <w:r>
              <w:rPr>
                <w:rFonts w:hint="eastAsia" w:ascii="微软雅黑" w:hAnsi="微软雅黑" w:eastAsia="微软雅黑" w:cs="微软雅黑"/>
                <w:color w:val="auto"/>
                <w:sz w:val="24"/>
                <w:szCs w:val="24"/>
                <w:highlight w:val="none"/>
              </w:rPr>
              <w:t>电压±15</w:t>
            </w:r>
            <w:r>
              <w:rPr>
                <w:rFonts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rPr>
              <w:t>波动范围内稳定运行，满足上述工况要求，得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w:t>
            </w:r>
          </w:p>
          <w:p w14:paraId="2103E1FE">
            <w:pPr>
              <w:adjustRightInd w:val="0"/>
              <w:snapToGrid w:val="0"/>
              <w:spacing w:line="400" w:lineRule="exact"/>
              <w:ind w:firstLine="480" w:firstLineChars="200"/>
              <w:rPr>
                <w:rFonts w:ascii="Segoe UI" w:hAnsi="Segoe UI" w:cs="Segoe UI"/>
                <w:color w:val="auto"/>
                <w:sz w:val="24"/>
                <w:szCs w:val="24"/>
                <w:highlight w:val="none"/>
                <w:shd w:val="clear" w:color="auto" w:fill="FFFFFF"/>
              </w:rPr>
            </w:pPr>
            <w:r>
              <w:rPr>
                <w:rFonts w:hint="eastAsia" w:ascii="微软雅黑" w:hAnsi="微软雅黑" w:eastAsia="微软雅黑" w:cs="微软雅黑"/>
                <w:color w:val="auto"/>
                <w:sz w:val="24"/>
                <w:szCs w:val="24"/>
                <w:highlight w:val="none"/>
              </w:rPr>
              <w:t>本项最多得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分，未满足此项不得分。</w:t>
            </w:r>
          </w:p>
        </w:tc>
        <w:tc>
          <w:tcPr>
            <w:tcW w:w="2166" w:type="dxa"/>
            <w:noWrap/>
            <w:vAlign w:val="center"/>
          </w:tcPr>
          <w:p w14:paraId="2D0187CB">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提供具有ILAC-MRA和CNAS认证的提供第三方检测报告或试验报告或测试报告。</w:t>
            </w:r>
          </w:p>
        </w:tc>
      </w:tr>
      <w:tr w14:paraId="318C7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504" w:type="dxa"/>
            <w:vMerge w:val="continue"/>
            <w:noWrap/>
            <w:vAlign w:val="center"/>
          </w:tcPr>
          <w:p w14:paraId="152B4559">
            <w:pPr>
              <w:adjustRightInd w:val="0"/>
              <w:snapToGrid w:val="0"/>
              <w:spacing w:line="400" w:lineRule="exact"/>
              <w:rPr>
                <w:rFonts w:hint="eastAsia" w:ascii="微软雅黑" w:hAnsi="微软雅黑" w:eastAsia="微软雅黑" w:cs="微软雅黑"/>
                <w:color w:val="auto"/>
                <w:sz w:val="24"/>
                <w:szCs w:val="24"/>
                <w:highlight w:val="none"/>
              </w:rPr>
            </w:pPr>
          </w:p>
        </w:tc>
        <w:tc>
          <w:tcPr>
            <w:tcW w:w="1178" w:type="dxa"/>
            <w:vMerge w:val="continue"/>
            <w:noWrap/>
            <w:vAlign w:val="center"/>
          </w:tcPr>
          <w:p w14:paraId="7CD72E98">
            <w:pPr>
              <w:pStyle w:val="2"/>
              <w:rPr>
                <w:rFonts w:hint="eastAsia"/>
                <w:color w:val="auto"/>
                <w:highlight w:val="none"/>
              </w:rPr>
            </w:pPr>
          </w:p>
        </w:tc>
        <w:tc>
          <w:tcPr>
            <w:tcW w:w="1607" w:type="dxa"/>
            <w:noWrap/>
            <w:vAlign w:val="center"/>
          </w:tcPr>
          <w:p w14:paraId="606AC022">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、电梯控制柜（</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w:t>
            </w:r>
          </w:p>
        </w:tc>
        <w:tc>
          <w:tcPr>
            <w:tcW w:w="4140" w:type="dxa"/>
            <w:tcBorders>
              <w:bottom w:val="single" w:color="auto" w:sz="4" w:space="0"/>
            </w:tcBorders>
            <w:noWrap/>
            <w:vAlign w:val="center"/>
          </w:tcPr>
          <w:p w14:paraId="7A59B7F5">
            <w:pPr>
              <w:pStyle w:val="167"/>
              <w:tabs>
                <w:tab w:val="left" w:pos="4260"/>
              </w:tabs>
              <w:spacing w:before="34"/>
              <w:ind w:right="92" w:rightChars="33" w:firstLine="576" w:firstLineChars="2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所投电梯产品控制柜抗浪涌电压±15KV得</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分，其他情况不得分。</w:t>
            </w:r>
          </w:p>
        </w:tc>
        <w:tc>
          <w:tcPr>
            <w:tcW w:w="2166" w:type="dxa"/>
            <w:noWrap/>
            <w:vAlign w:val="center"/>
          </w:tcPr>
          <w:p w14:paraId="5EF32983">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提供具有ILAC-MRA和CNAS认证的提供第三方检测报告或试验报告或测试报告。</w:t>
            </w:r>
          </w:p>
        </w:tc>
      </w:tr>
      <w:tr w14:paraId="01ABC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0" w:hRule="atLeast"/>
          <w:jc w:val="center"/>
        </w:trPr>
        <w:tc>
          <w:tcPr>
            <w:tcW w:w="504" w:type="dxa"/>
            <w:vMerge w:val="restart"/>
            <w:tcBorders>
              <w:top w:val="single" w:color="auto" w:sz="4" w:space="0"/>
            </w:tcBorders>
            <w:noWrap/>
            <w:vAlign w:val="center"/>
          </w:tcPr>
          <w:p w14:paraId="757DFE0A">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w:t>
            </w:r>
          </w:p>
        </w:tc>
        <w:tc>
          <w:tcPr>
            <w:tcW w:w="1178" w:type="dxa"/>
            <w:vMerge w:val="restart"/>
            <w:noWrap/>
            <w:vAlign w:val="center"/>
          </w:tcPr>
          <w:p w14:paraId="7D87B100">
            <w:pPr>
              <w:adjustRightInd w:val="0"/>
              <w:snapToGrid w:val="0"/>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商务部分（30%）</w:t>
            </w:r>
          </w:p>
        </w:tc>
        <w:tc>
          <w:tcPr>
            <w:tcW w:w="1607" w:type="dxa"/>
            <w:tcBorders>
              <w:top w:val="single" w:color="auto" w:sz="4" w:space="0"/>
              <w:bottom w:val="single" w:color="auto" w:sz="4" w:space="0"/>
            </w:tcBorders>
            <w:noWrap/>
            <w:vAlign w:val="center"/>
          </w:tcPr>
          <w:p w14:paraId="599E587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w:t>
            </w:r>
            <w:r>
              <w:rPr>
                <w:rFonts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rPr>
              <w:t>推荐品牌</w:t>
            </w:r>
          </w:p>
          <w:p w14:paraId="2AB3C23D">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（10分）</w:t>
            </w:r>
          </w:p>
        </w:tc>
        <w:tc>
          <w:tcPr>
            <w:tcW w:w="4140" w:type="dxa"/>
            <w:tcBorders>
              <w:top w:val="single" w:color="auto" w:sz="4" w:space="0"/>
              <w:bottom w:val="single" w:color="auto" w:sz="4" w:space="0"/>
            </w:tcBorders>
            <w:noWrap/>
            <w:vAlign w:val="center"/>
          </w:tcPr>
          <w:p w14:paraId="4D2F7A2C">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所投电梯品牌制造商及型号为：迅达</w:t>
            </w:r>
            <w:r>
              <w:rPr>
                <w:rFonts w:hint="eastAsia" w:ascii="微软雅黑" w:hAnsi="微软雅黑" w:eastAsia="微软雅黑" w:cs="微软雅黑"/>
                <w:color w:val="auto"/>
                <w:kern w:val="0"/>
                <w:sz w:val="24"/>
                <w:szCs w:val="24"/>
                <w:highlight w:val="none"/>
              </w:rPr>
              <w:t>（5400）</w:t>
            </w:r>
            <w:r>
              <w:rPr>
                <w:rFonts w:hint="eastAsia" w:ascii="微软雅黑" w:hAnsi="微软雅黑" w:eastAsia="微软雅黑" w:cs="微软雅黑"/>
                <w:color w:val="auto"/>
                <w:sz w:val="24"/>
                <w:szCs w:val="24"/>
                <w:highlight w:val="none"/>
              </w:rPr>
              <w:t>、通力（N-MINI ）、奥的斯（中国）（Arise/GEN3）、蒂升(Meta-200)、日立(MCA)、三菱（LEHY-III）的得10分；其余不得分。</w:t>
            </w:r>
          </w:p>
        </w:tc>
        <w:tc>
          <w:tcPr>
            <w:tcW w:w="2166" w:type="dxa"/>
            <w:noWrap/>
            <w:vAlign w:val="center"/>
          </w:tcPr>
          <w:p w14:paraId="316EC5EC">
            <w:pPr>
              <w:spacing w:line="440" w:lineRule="exact"/>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提供型式试验报告</w:t>
            </w:r>
          </w:p>
        </w:tc>
      </w:tr>
      <w:tr w14:paraId="63FE3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5" w:hRule="atLeast"/>
          <w:jc w:val="center"/>
        </w:trPr>
        <w:tc>
          <w:tcPr>
            <w:tcW w:w="504" w:type="dxa"/>
            <w:vMerge w:val="continue"/>
            <w:noWrap/>
            <w:vAlign w:val="center"/>
          </w:tcPr>
          <w:p w14:paraId="357FA97B">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7D95AC66">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shd w:val="clear" w:color="auto" w:fill="auto"/>
            <w:noWrap/>
            <w:vAlign w:val="center"/>
          </w:tcPr>
          <w:p w14:paraId="212D7EC8">
            <w:pPr>
              <w:numPr>
                <w:ilvl w:val="0"/>
                <w:numId w:val="0"/>
              </w:num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2、投标人实力</w:t>
            </w:r>
          </w:p>
          <w:p w14:paraId="573C553B">
            <w:pPr>
              <w:pStyle w:val="2"/>
              <w:numPr>
                <w:ilvl w:val="0"/>
                <w:numId w:val="0"/>
              </w:numPr>
              <w:ind w:left="0" w:leftChars="0" w:firstLine="0" w:firstLineChars="0"/>
              <w:rPr>
                <w:rFonts w:hint="eastAsia" w:ascii="微软雅黑" w:hAnsi="微软雅黑" w:eastAsia="微软雅黑" w:cs="Times New Roman"/>
                <w:color w:val="auto"/>
                <w:kern w:val="2"/>
                <w:sz w:val="24"/>
                <w:szCs w:val="16"/>
                <w:highlight w:val="none"/>
                <w:lang w:val="en-US" w:eastAsia="en-US" w:bidi="ar-SA"/>
                <w14:ligatures w14:val="none"/>
              </w:rPr>
            </w:pPr>
            <w:r>
              <w:rPr>
                <w:rFonts w:hint="eastAsia"/>
                <w:color w:val="auto"/>
                <w:highlight w:val="none"/>
                <w:lang w:val="en-US" w:eastAsia="zh-CN"/>
              </w:rPr>
              <w:t>（6分）</w:t>
            </w:r>
          </w:p>
        </w:tc>
        <w:tc>
          <w:tcPr>
            <w:tcW w:w="4140" w:type="dxa"/>
            <w:tcBorders>
              <w:top w:val="single" w:color="auto" w:sz="4" w:space="0"/>
              <w:bottom w:val="single" w:color="auto" w:sz="4" w:space="0"/>
            </w:tcBorders>
            <w:shd w:val="clear" w:color="auto" w:fill="auto"/>
            <w:noWrap/>
            <w:vAlign w:val="center"/>
          </w:tcPr>
          <w:p w14:paraId="28C8D9DE">
            <w:pPr>
              <w:numPr>
                <w:ilvl w:val="0"/>
                <w:numId w:val="18"/>
              </w:num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投标人，其工商注册实缴资本金大于或等于5000万元人民币的，得2分，工商注册实缴资本金小于5000万元的，不得分。</w:t>
            </w:r>
          </w:p>
          <w:p w14:paraId="451C1AEB">
            <w:pPr>
              <w:numPr>
                <w:ilvl w:val="0"/>
                <w:numId w:val="18"/>
              </w:num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zh-TW" w:eastAsia="zh-TW"/>
              </w:rPr>
            </w:pPr>
            <w:r>
              <w:rPr>
                <w:rFonts w:hint="eastAsia" w:ascii="微软雅黑" w:hAnsi="微软雅黑" w:eastAsia="微软雅黑" w:cs="微软雅黑"/>
                <w:color w:val="auto"/>
                <w:sz w:val="24"/>
                <w:szCs w:val="24"/>
                <w:highlight w:val="none"/>
                <w:lang w:val="en-US" w:eastAsia="zh-CN"/>
              </w:rPr>
              <w:t>投标人具有单个项目合同金额400万以上的更新、改造项目（资格条件的业绩不予计算），有一个得1分，有二个及以上，得2分。</w:t>
            </w:r>
          </w:p>
          <w:p w14:paraId="2D347201">
            <w:pPr>
              <w:pStyle w:val="2"/>
              <w:ind w:firstLine="480" w:firstLineChars="200"/>
              <w:rPr>
                <w:rFonts w:hint="default" w:ascii="微软雅黑" w:hAnsi="微软雅黑" w:eastAsia="微软雅黑" w:cs="微软雅黑"/>
                <w:color w:val="auto"/>
                <w:kern w:val="2"/>
                <w:sz w:val="24"/>
                <w:szCs w:val="24"/>
                <w:highlight w:val="none"/>
                <w:lang w:val="en-US" w:eastAsia="zh-CN" w:bidi="ar-SA"/>
                <w14:ligatures w14:val="none"/>
              </w:rPr>
            </w:pPr>
            <w:r>
              <w:rPr>
                <w:rFonts w:hint="eastAsia" w:ascii="微软雅黑" w:hAnsi="微软雅黑" w:eastAsia="微软雅黑" w:cs="微软雅黑"/>
                <w:color w:val="auto"/>
                <w:kern w:val="2"/>
                <w:sz w:val="24"/>
                <w:szCs w:val="24"/>
                <w:highlight w:val="none"/>
                <w:lang w:val="en-US" w:eastAsia="zh-CN" w:bidi="ar-SA"/>
                <w14:ligatures w14:val="none"/>
              </w:rPr>
              <w:t>（3）投标人具有电梯专业施工人数（包括T证或A证）50人以上，得2分</w:t>
            </w:r>
          </w:p>
        </w:tc>
        <w:tc>
          <w:tcPr>
            <w:tcW w:w="2166" w:type="dxa"/>
            <w:shd w:val="clear" w:color="auto" w:fill="auto"/>
            <w:noWrap/>
            <w:vAlign w:val="center"/>
          </w:tcPr>
          <w:p w14:paraId="4B30D5C2">
            <w:pPr>
              <w:pStyle w:val="2"/>
              <w:rPr>
                <w:rFonts w:hint="default"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2"/>
                <w:sz w:val="24"/>
                <w:szCs w:val="24"/>
                <w:highlight w:val="none"/>
                <w:lang w:val="zh-TW" w:eastAsia="zh-CN" w:bidi="ar-SA"/>
                <w14:ligatures w14:val="none"/>
              </w:rPr>
              <w:t>（</w:t>
            </w:r>
            <w:r>
              <w:rPr>
                <w:rFonts w:hint="eastAsia" w:ascii="微软雅黑" w:hAnsi="微软雅黑" w:eastAsia="微软雅黑" w:cs="微软雅黑"/>
                <w:color w:val="auto"/>
                <w:kern w:val="2"/>
                <w:sz w:val="24"/>
                <w:szCs w:val="24"/>
                <w:highlight w:val="none"/>
                <w:lang w:val="en-US" w:eastAsia="zh-CN" w:bidi="ar-SA"/>
                <w14:ligatures w14:val="none"/>
              </w:rPr>
              <w:t>1）</w:t>
            </w:r>
            <w:r>
              <w:rPr>
                <w:rFonts w:hint="eastAsia" w:ascii="微软雅黑" w:hAnsi="微软雅黑" w:eastAsia="微软雅黑" w:cs="微软雅黑"/>
                <w:color w:val="auto"/>
                <w:kern w:val="2"/>
                <w:sz w:val="24"/>
                <w:szCs w:val="24"/>
                <w:highlight w:val="none"/>
                <w:lang w:val="zh-TW" w:eastAsia="zh-CN" w:bidi="ar-SA"/>
                <w14:ligatures w14:val="none"/>
              </w:rPr>
              <w:t>【</w:t>
            </w:r>
            <w:r>
              <w:rPr>
                <w:rFonts w:hint="eastAsia" w:ascii="微软雅黑" w:hAnsi="微软雅黑" w:eastAsia="微软雅黑" w:cs="微软雅黑"/>
                <w:color w:val="auto"/>
                <w:kern w:val="2"/>
                <w:sz w:val="24"/>
                <w:szCs w:val="24"/>
                <w:highlight w:val="none"/>
                <w:lang w:val="en-US" w:eastAsia="zh-CN" w:bidi="ar-SA"/>
                <w14:ligatures w14:val="none"/>
              </w:rPr>
              <w:t>提供投标人实缴资本金相关证明</w:t>
            </w:r>
            <w:r>
              <w:rPr>
                <w:rFonts w:hint="eastAsia" w:ascii="微软雅黑" w:hAnsi="微软雅黑" w:eastAsia="微软雅黑" w:cs="微软雅黑"/>
                <w:color w:val="auto"/>
                <w:kern w:val="0"/>
                <w:sz w:val="24"/>
                <w:szCs w:val="24"/>
                <w:highlight w:val="none"/>
                <w:lang w:val="en-US" w:eastAsia="zh-CN" w:bidi="ar-SA"/>
              </w:rPr>
              <w:t>】</w:t>
            </w:r>
          </w:p>
          <w:p w14:paraId="0FF82C87">
            <w:p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（2）提供项目签订合同复印件盖公章，并承诺其真实性。</w:t>
            </w:r>
          </w:p>
          <w:p w14:paraId="3916E5FE">
            <w:pPr>
              <w:pStyle w:val="2"/>
              <w:rPr>
                <w:rFonts w:hint="default"/>
                <w:color w:val="auto"/>
                <w:highlight w:val="none"/>
                <w:lang w:val="en-US" w:eastAsia="zh-CN"/>
              </w:rPr>
            </w:pPr>
            <w:r>
              <w:rPr>
                <w:rFonts w:hint="eastAsia" w:ascii="微软雅黑" w:hAnsi="微软雅黑" w:eastAsia="微软雅黑" w:cs="微软雅黑"/>
                <w:color w:val="auto"/>
                <w:sz w:val="24"/>
                <w:szCs w:val="24"/>
                <w:highlight w:val="none"/>
                <w:lang w:val="en-US" w:eastAsia="zh-CN"/>
              </w:rPr>
              <w:t>（3）提供证书和社保证明。</w:t>
            </w:r>
          </w:p>
        </w:tc>
      </w:tr>
      <w:tr w14:paraId="010A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vMerge w:val="continue"/>
            <w:noWrap/>
            <w:vAlign w:val="center"/>
          </w:tcPr>
          <w:p w14:paraId="29C16691">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7B88940D">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noWrap/>
            <w:vAlign w:val="center"/>
          </w:tcPr>
          <w:p w14:paraId="41A4AC96">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、节能证书</w:t>
            </w:r>
          </w:p>
          <w:p w14:paraId="657DC5B0">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noWrap/>
            <w:vAlign w:val="center"/>
          </w:tcPr>
          <w:p w14:paraId="2515F0EB">
            <w:pPr>
              <w:adjustRightInd w:val="0"/>
              <w:snapToGrid w:val="0"/>
              <w:spacing w:line="400" w:lineRule="exact"/>
              <w:rPr>
                <w:rFonts w:hint="eastAsia" w:ascii="微软雅黑" w:hAnsi="微软雅黑" w:eastAsia="微软雅黑" w:cs="微软雅黑"/>
                <w:color w:val="auto"/>
                <w:sz w:val="24"/>
                <w:szCs w:val="24"/>
                <w:highlight w:val="none"/>
              </w:rPr>
            </w:pPr>
          </w:p>
          <w:p w14:paraId="55C82423">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本次所投电梯品牌型号系列拥有VDI4707和ISO25745双重能源认证，且均为最高等级：A级，得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分。缺项、漏项或无法提供的不得分。</w:t>
            </w:r>
          </w:p>
          <w:p w14:paraId="7A1F3877">
            <w:pPr>
              <w:adjustRightInd w:val="0"/>
              <w:snapToGrid w:val="0"/>
              <w:spacing w:line="400" w:lineRule="exact"/>
              <w:rPr>
                <w:rFonts w:hint="eastAsia" w:ascii="微软雅黑" w:hAnsi="微软雅黑" w:eastAsia="微软雅黑" w:cs="微软雅黑"/>
                <w:color w:val="auto"/>
                <w:sz w:val="24"/>
                <w:szCs w:val="24"/>
                <w:highlight w:val="none"/>
              </w:rPr>
            </w:pPr>
          </w:p>
          <w:p w14:paraId="1AC620B3">
            <w:pPr>
              <w:adjustRightInd w:val="0"/>
              <w:snapToGrid w:val="0"/>
              <w:spacing w:line="400" w:lineRule="exact"/>
              <w:rPr>
                <w:rFonts w:hint="eastAsia" w:ascii="微软雅黑" w:hAnsi="微软雅黑" w:eastAsia="微软雅黑" w:cs="微软雅黑"/>
                <w:color w:val="auto"/>
                <w:sz w:val="24"/>
                <w:szCs w:val="24"/>
                <w:highlight w:val="none"/>
              </w:rPr>
            </w:pPr>
          </w:p>
        </w:tc>
        <w:tc>
          <w:tcPr>
            <w:tcW w:w="2166" w:type="dxa"/>
            <w:noWrap/>
            <w:vAlign w:val="center"/>
          </w:tcPr>
          <w:p w14:paraId="3DE1230F">
            <w:pPr>
              <w:spacing w:line="440" w:lineRule="exact"/>
              <w:ind w:left="0" w:leftChars="0" w:firstLine="0" w:firstLineChars="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需提供VDI4707和ISO25745证书复印件。</w:t>
            </w:r>
          </w:p>
        </w:tc>
      </w:tr>
      <w:tr w14:paraId="7274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noWrap/>
            <w:vAlign w:val="center"/>
          </w:tcPr>
          <w:p w14:paraId="13A0FE31">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22445ACC">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noWrap/>
            <w:vAlign w:val="center"/>
          </w:tcPr>
          <w:p w14:paraId="335BFD8B">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、保险保障</w:t>
            </w:r>
          </w:p>
          <w:p w14:paraId="6B1A8CE1">
            <w:p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noWrap/>
            <w:vAlign w:val="center"/>
          </w:tcPr>
          <w:p w14:paraId="749B91F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1.所投品牌电梯产品由保险公司承保，同时累计赔偿限额不低于1亿元人民币（或根据当前汇率计算不低于1亿人民币）的，得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w:t>
            </w:r>
          </w:p>
          <w:p w14:paraId="0F3B29C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本项最多得</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分，未提供不得分。</w:t>
            </w:r>
          </w:p>
        </w:tc>
        <w:tc>
          <w:tcPr>
            <w:tcW w:w="2166" w:type="dxa"/>
            <w:noWrap/>
            <w:vAlign w:val="center"/>
          </w:tcPr>
          <w:p w14:paraId="6BBDFBDF">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提供所投品牌制造商保险凭证或保单凭证。</w:t>
            </w:r>
          </w:p>
        </w:tc>
      </w:tr>
      <w:tr w14:paraId="0B217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noWrap/>
            <w:vAlign w:val="center"/>
          </w:tcPr>
          <w:p w14:paraId="7E10A484">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5F844D2B">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noWrap/>
            <w:vAlign w:val="center"/>
          </w:tcPr>
          <w:p w14:paraId="71915624">
            <w:pPr>
              <w:numPr>
                <w:ilvl w:val="0"/>
                <w:numId w:val="0"/>
              </w:numPr>
              <w:adjustRightInd w:val="0"/>
              <w:snapToGrid w:val="0"/>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质保期限（</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noWrap/>
            <w:vAlign w:val="center"/>
          </w:tcPr>
          <w:p w14:paraId="6FA29604">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整机质保5年得1分，整机质保</w:t>
            </w:r>
            <w:r>
              <w:rPr>
                <w:rFonts w:hint="eastAsia" w:ascii="微软雅黑" w:hAnsi="微软雅黑" w:eastAsia="微软雅黑" w:cs="微软雅黑"/>
                <w:color w:val="auto"/>
                <w:sz w:val="24"/>
                <w:szCs w:val="24"/>
                <w:highlight w:val="none"/>
                <w:lang w:val="en-US" w:eastAsia="zh-CN"/>
              </w:rPr>
              <w:t>超过</w:t>
            </w:r>
            <w:r>
              <w:rPr>
                <w:rFonts w:hint="eastAsia" w:ascii="微软雅黑" w:hAnsi="微软雅黑" w:eastAsia="微软雅黑" w:cs="微软雅黑"/>
                <w:color w:val="auto"/>
                <w:sz w:val="24"/>
                <w:szCs w:val="24"/>
                <w:highlight w:val="none"/>
              </w:rPr>
              <w:t>5年以上得</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tc>
        <w:tc>
          <w:tcPr>
            <w:tcW w:w="2166" w:type="dxa"/>
            <w:noWrap/>
            <w:vAlign w:val="center"/>
          </w:tcPr>
          <w:p w14:paraId="4B6209DE">
            <w:pPr>
              <w:adjustRightInd w:val="0"/>
              <w:snapToGrid w:val="0"/>
              <w:spacing w:line="400" w:lineRule="exact"/>
              <w:ind w:firstLine="480" w:firstLineChars="20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投标人提供承诺函</w:t>
            </w:r>
          </w:p>
        </w:tc>
      </w:tr>
      <w:tr w14:paraId="7802A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2" w:hRule="atLeast"/>
          <w:jc w:val="center"/>
        </w:trPr>
        <w:tc>
          <w:tcPr>
            <w:tcW w:w="504" w:type="dxa"/>
            <w:noWrap/>
            <w:vAlign w:val="center"/>
          </w:tcPr>
          <w:p w14:paraId="7FA25347">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178" w:type="dxa"/>
            <w:vMerge w:val="continue"/>
            <w:noWrap/>
            <w:vAlign w:val="center"/>
          </w:tcPr>
          <w:p w14:paraId="2AAC3354">
            <w:pPr>
              <w:adjustRightInd w:val="0"/>
              <w:snapToGrid w:val="0"/>
              <w:spacing w:line="400" w:lineRule="exact"/>
              <w:jc w:val="center"/>
              <w:rPr>
                <w:rFonts w:hint="eastAsia" w:ascii="微软雅黑" w:hAnsi="微软雅黑" w:eastAsia="微软雅黑" w:cs="微软雅黑"/>
                <w:color w:val="auto"/>
                <w:sz w:val="24"/>
                <w:szCs w:val="24"/>
                <w:highlight w:val="none"/>
              </w:rPr>
            </w:pPr>
          </w:p>
        </w:tc>
        <w:tc>
          <w:tcPr>
            <w:tcW w:w="1607" w:type="dxa"/>
            <w:tcBorders>
              <w:top w:val="single" w:color="auto" w:sz="4" w:space="0"/>
              <w:bottom w:val="single" w:color="auto" w:sz="4" w:space="0"/>
            </w:tcBorders>
            <w:shd w:val="clear" w:color="auto" w:fill="auto"/>
            <w:noWrap/>
            <w:vAlign w:val="center"/>
          </w:tcPr>
          <w:p w14:paraId="2F0C06BB">
            <w:pPr>
              <w:adjustRightInd w:val="0"/>
              <w:snapToGrid w:val="0"/>
              <w:spacing w:line="40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售后网点（</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分）</w:t>
            </w:r>
          </w:p>
        </w:tc>
        <w:tc>
          <w:tcPr>
            <w:tcW w:w="4140" w:type="dxa"/>
            <w:tcBorders>
              <w:top w:val="single" w:color="auto" w:sz="4" w:space="0"/>
              <w:bottom w:val="single" w:color="auto" w:sz="4" w:space="0"/>
            </w:tcBorders>
            <w:shd w:val="clear" w:color="auto" w:fill="auto"/>
            <w:noWrap/>
            <w:vAlign w:val="center"/>
          </w:tcPr>
          <w:p w14:paraId="3F71577D">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未提供</w:t>
            </w:r>
            <w:r>
              <w:rPr>
                <w:rFonts w:hint="eastAsia" w:ascii="微软雅黑" w:hAnsi="微软雅黑" w:eastAsia="微软雅黑" w:cs="微软雅黑"/>
                <w:color w:val="auto"/>
                <w:sz w:val="24"/>
                <w:szCs w:val="24"/>
                <w:highlight w:val="none"/>
                <w:lang w:val="en-US" w:eastAsia="zh-CN"/>
              </w:rPr>
              <w:t>资料的计</w:t>
            </w:r>
            <w:r>
              <w:rPr>
                <w:rFonts w:hint="eastAsia" w:ascii="微软雅黑" w:hAnsi="微软雅黑" w:eastAsia="微软雅黑" w:cs="微软雅黑"/>
                <w:color w:val="auto"/>
                <w:sz w:val="24"/>
                <w:szCs w:val="24"/>
                <w:highlight w:val="none"/>
              </w:rPr>
              <w:t>0分。</w:t>
            </w:r>
          </w:p>
          <w:p w14:paraId="7716EA30">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供应商（制造商或代理商）的售后机构服务网点距离服务地点距离，15分钟以内得4分，20钟以内得2分，30分钟以内得1分，超过30分钟不得分。时速按30公里/小时计算。</w:t>
            </w:r>
          </w:p>
          <w:p w14:paraId="0EE042F5">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注：成交供应商中标后，签订合同前采购人可现场考察售后机构，如有虚假应标，可取消其中标资格，由第二中标候选人中标，以此类推。并由采购人没收投标保证金，没收的投标保证金用于抵扣本次电梯更换的设备款。</w:t>
            </w:r>
          </w:p>
        </w:tc>
        <w:tc>
          <w:tcPr>
            <w:tcW w:w="2166" w:type="dxa"/>
            <w:noWrap/>
            <w:vAlign w:val="center"/>
          </w:tcPr>
          <w:p w14:paraId="2DA8016B">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提供售后机构服务网点到小区地图距离截图，以及售后机构服务网点照片2张并加盖供应商公章。</w:t>
            </w:r>
          </w:p>
          <w:p w14:paraId="5305BC75">
            <w:pPr>
              <w:adjustRightInd w:val="0"/>
              <w:snapToGrid w:val="0"/>
              <w:spacing w:line="400" w:lineRule="exact"/>
              <w:ind w:firstLine="480" w:firstLineChars="200"/>
              <w:rPr>
                <w:rFonts w:hint="eastAsia" w:ascii="微软雅黑" w:hAnsi="微软雅黑" w:eastAsia="微软雅黑" w:cs="微软雅黑"/>
                <w:color w:val="auto"/>
                <w:sz w:val="24"/>
                <w:szCs w:val="24"/>
                <w:highlight w:val="none"/>
                <w:lang w:val="en-US" w:eastAsia="zh-CN"/>
              </w:rPr>
            </w:pPr>
          </w:p>
        </w:tc>
      </w:tr>
    </w:tbl>
    <w:p w14:paraId="53CB8B17">
      <w:pPr>
        <w:rPr>
          <w:rFonts w:hint="eastAsia"/>
          <w:color w:val="auto"/>
          <w:highlight w:val="none"/>
        </w:rPr>
      </w:pPr>
    </w:p>
    <w:p w14:paraId="399ADB9B">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小组认为排名在前面的成交候选人的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报价或者某些分项报价明显不合理或者低于成本，有可能影响服务质量和不能诚信履约的，将要求其在规定的期限内提供书面文件予以解释说明，并提交相关证明材料；否则，</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小组可以取消该成交候选人资格，按顺序由排在后一位的成交候选人递补，以此类推。</w:t>
      </w:r>
    </w:p>
    <w:p w14:paraId="04E7AE8A">
      <w:pPr>
        <w:pStyle w:val="5"/>
        <w:spacing w:line="400" w:lineRule="exact"/>
        <w:rPr>
          <w:rFonts w:hint="eastAsia" w:ascii="微软雅黑" w:hAnsi="微软雅黑" w:eastAsia="微软雅黑" w:cs="微软雅黑"/>
          <w:color w:val="auto"/>
          <w:sz w:val="24"/>
          <w:szCs w:val="24"/>
          <w:highlight w:val="none"/>
        </w:rPr>
      </w:pPr>
      <w:bookmarkStart w:id="152" w:name="_Toc47094781"/>
      <w:bookmarkStart w:id="153" w:name="_Toc7088"/>
      <w:bookmarkStart w:id="154" w:name="_Toc1396"/>
      <w:bookmarkStart w:id="155" w:name="_Toc29030"/>
      <w:r>
        <w:rPr>
          <w:rFonts w:hint="eastAsia" w:ascii="微软雅黑" w:hAnsi="微软雅黑" w:eastAsia="微软雅黑" w:cs="微软雅黑"/>
          <w:color w:val="auto"/>
          <w:sz w:val="24"/>
          <w:szCs w:val="24"/>
          <w:highlight w:val="none"/>
        </w:rPr>
        <w:t>三、无效响应</w:t>
      </w:r>
      <w:bookmarkEnd w:id="152"/>
      <w:bookmarkEnd w:id="153"/>
      <w:bookmarkEnd w:id="154"/>
      <w:bookmarkEnd w:id="155"/>
    </w:p>
    <w:p w14:paraId="471FA6D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供应商发生以下条款情况之一者，视为无效响应，其响应文件将被拒绝：</w:t>
      </w:r>
    </w:p>
    <w:p w14:paraId="244F9318">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（一）供应商不符合规定的基本资格条件或特定资格条件的；</w:t>
      </w:r>
    </w:p>
    <w:p w14:paraId="1BCABA2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（二）供应商未按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文件规定购买</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w:t>
      </w:r>
    </w:p>
    <w:p w14:paraId="4B54AACF">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（三）供应商的法定代表人或其授权代表未参加</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0A29A0F8">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（四）供应商未按照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文件的要求缴纳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保证金；</w:t>
      </w:r>
    </w:p>
    <w:p w14:paraId="7A10EE6E">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（五）供应商所提交的响应文件不按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文件规定签字、盖章；</w:t>
      </w:r>
    </w:p>
    <w:p w14:paraId="7697F5D5">
      <w:pPr>
        <w:snapToGrid w:val="0"/>
        <w:spacing w:line="400" w:lineRule="exact"/>
        <w:ind w:firstLine="480"/>
        <w:outlineLvl w:val="1"/>
        <w:rPr>
          <w:rFonts w:hint="eastAsia" w:ascii="微软雅黑" w:hAnsi="微软雅黑" w:eastAsia="微软雅黑" w:cs="微软雅黑"/>
          <w:color w:val="auto"/>
          <w:sz w:val="24"/>
          <w:szCs w:val="24"/>
          <w:highlight w:val="none"/>
        </w:rPr>
      </w:pPr>
      <w:bookmarkStart w:id="156" w:name="_Toc29174"/>
      <w:bookmarkStart w:id="157" w:name="_Toc9033"/>
      <w:bookmarkStart w:id="158" w:name="_Toc28986"/>
      <w:bookmarkStart w:id="159" w:name="_Toc16133"/>
      <w:r>
        <w:rPr>
          <w:rFonts w:hint="eastAsia" w:ascii="微软雅黑" w:hAnsi="微软雅黑" w:eastAsia="微软雅黑" w:cs="微软雅黑"/>
          <w:color w:val="auto"/>
          <w:sz w:val="24"/>
          <w:szCs w:val="24"/>
          <w:highlight w:val="none"/>
        </w:rPr>
        <w:t>（六）供应商的报价超过最高限价的；</w:t>
      </w:r>
      <w:bookmarkEnd w:id="156"/>
      <w:bookmarkEnd w:id="157"/>
      <w:bookmarkEnd w:id="158"/>
      <w:bookmarkEnd w:id="159"/>
    </w:p>
    <w:p w14:paraId="3EBEE098">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（七）法定代表人为同一个人的两个及两个以上法人，母公司、全资子公司及其控股公司，在同一采购中同时参与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3BBAF692">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（八）单位负责人为同一人或者存在直接控股、管理关系的不同供应商，参加同一合同项下的采购活动的；</w:t>
      </w:r>
    </w:p>
    <w:p w14:paraId="0E92003B">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（九）为采购项目提供整体设计、规范编制或者项目管理、监理、检测等服务的供应商，不再参加该采购项目的其他采购活动；</w:t>
      </w:r>
    </w:p>
    <w:p w14:paraId="121F8BF6">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（十）供应商的服务期、质量保证期及</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有效期不满足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文件要求的；</w:t>
      </w:r>
    </w:p>
    <w:p w14:paraId="5F491C81">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（十一）供应商响应文件内容有与国家现行法律法规相违背的内容，或附有采购人无法接受的条件。</w:t>
      </w:r>
    </w:p>
    <w:p w14:paraId="12D76D4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（十二）供应商被列入失信被执行人、重大税收违法案件当事人名单、及其他不符合本项目供应商资格条件的。</w:t>
      </w:r>
    </w:p>
    <w:p w14:paraId="6D885CFD">
      <w:pPr>
        <w:pStyle w:val="5"/>
        <w:spacing w:line="400" w:lineRule="exact"/>
        <w:rPr>
          <w:rFonts w:hint="eastAsia" w:ascii="微软雅黑" w:hAnsi="微软雅黑" w:eastAsia="微软雅黑" w:cs="微软雅黑"/>
          <w:color w:val="auto"/>
          <w:sz w:val="24"/>
          <w:szCs w:val="24"/>
          <w:highlight w:val="none"/>
        </w:rPr>
      </w:pPr>
      <w:bookmarkStart w:id="160" w:name="_Toc47094782"/>
      <w:bookmarkStart w:id="161" w:name="_Toc5407"/>
      <w:bookmarkStart w:id="162" w:name="_Toc1105"/>
      <w:bookmarkStart w:id="163" w:name="_Toc10087"/>
      <w:r>
        <w:rPr>
          <w:rFonts w:hint="eastAsia" w:ascii="微软雅黑" w:hAnsi="微软雅黑" w:eastAsia="微软雅黑" w:cs="微软雅黑"/>
          <w:color w:val="auto"/>
          <w:sz w:val="24"/>
          <w:szCs w:val="24"/>
          <w:highlight w:val="none"/>
        </w:rPr>
        <w:t>四、</w:t>
      </w:r>
      <w:bookmarkEnd w:id="150"/>
      <w:bookmarkEnd w:id="151"/>
      <w:r>
        <w:rPr>
          <w:rFonts w:hint="eastAsia" w:ascii="微软雅黑" w:hAnsi="微软雅黑" w:eastAsia="微软雅黑" w:cs="微软雅黑"/>
          <w:color w:val="auto"/>
          <w:sz w:val="24"/>
          <w:szCs w:val="24"/>
          <w:highlight w:val="none"/>
        </w:rPr>
        <w:t>采购终止</w:t>
      </w:r>
      <w:bookmarkEnd w:id="160"/>
      <w:bookmarkEnd w:id="161"/>
      <w:bookmarkEnd w:id="162"/>
      <w:bookmarkEnd w:id="163"/>
    </w:p>
    <w:p w14:paraId="23643D17">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出现下列情形之一的，采购人或者采购代理机构应当终止</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采购活动，发布项目终止公告并说明原因，重新开展采购活动：</w:t>
      </w:r>
    </w:p>
    <w:p w14:paraId="5788537A">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（一）因情况变化，不再符合规定的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采购方式适用情形的；</w:t>
      </w:r>
    </w:p>
    <w:p w14:paraId="23F74B09">
      <w:pPr>
        <w:snapToGrid w:val="0"/>
        <w:spacing w:line="4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（二）出现影响采购公正的违法、违规行为的；</w:t>
      </w:r>
    </w:p>
    <w:p w14:paraId="61065855">
      <w:pPr>
        <w:pStyle w:val="35"/>
        <w:ind w:firstLine="480" w:firstLineChars="200"/>
        <w:rPr>
          <w:color w:val="auto"/>
          <w:highlight w:val="none"/>
        </w:rPr>
      </w:pPr>
      <w:r>
        <w:rPr>
          <w:rFonts w:hint="eastAsia" w:ascii="微软雅黑" w:hAnsi="微软雅黑" w:eastAsia="微软雅黑" w:cs="微软雅黑"/>
          <w:color w:val="auto"/>
          <w:sz w:val="24"/>
          <w:szCs w:val="24"/>
          <w:highlight w:val="none"/>
        </w:rPr>
        <w:t>（三）在采购过程中符合要求的供应商不足3家。</w:t>
      </w:r>
    </w:p>
    <w:p w14:paraId="4B779A55">
      <w:pPr>
        <w:rPr>
          <w:color w:val="auto"/>
          <w:highlight w:val="none"/>
        </w:rPr>
      </w:pPr>
      <w:r>
        <w:rPr>
          <w:color w:val="auto"/>
          <w:highlight w:val="none"/>
        </w:rPr>
        <w:br w:type="page"/>
      </w:r>
    </w:p>
    <w:p w14:paraId="46688678">
      <w:pPr>
        <w:widowControl/>
        <w:ind w:firstLine="720"/>
        <w:jc w:val="center"/>
        <w:outlineLvl w:val="1"/>
        <w:rPr>
          <w:rFonts w:hint="eastAsia" w:ascii="微软雅黑" w:hAnsi="微软雅黑" w:eastAsia="微软雅黑" w:cs="微软雅黑"/>
          <w:bCs/>
          <w:color w:val="auto"/>
          <w:szCs w:val="30"/>
          <w:highlight w:val="none"/>
        </w:rPr>
      </w:pPr>
      <w:bookmarkStart w:id="164" w:name="_Toc1000"/>
      <w:bookmarkStart w:id="165" w:name="_Toc21388"/>
      <w:r>
        <w:rPr>
          <w:rFonts w:hint="eastAsia" w:ascii="微软雅黑" w:hAnsi="微软雅黑" w:eastAsia="微软雅黑" w:cs="微软雅黑"/>
          <w:bCs/>
          <w:color w:val="auto"/>
          <w:sz w:val="36"/>
          <w:szCs w:val="30"/>
          <w:highlight w:val="none"/>
        </w:rPr>
        <w:t>第五篇  供应商须知</w:t>
      </w:r>
      <w:bookmarkEnd w:id="132"/>
      <w:bookmarkEnd w:id="133"/>
      <w:bookmarkEnd w:id="164"/>
      <w:bookmarkEnd w:id="165"/>
    </w:p>
    <w:p w14:paraId="32FB9066">
      <w:pPr>
        <w:pStyle w:val="5"/>
        <w:spacing w:line="440" w:lineRule="exact"/>
        <w:rPr>
          <w:rFonts w:hint="eastAsia" w:ascii="微软雅黑" w:hAnsi="微软雅黑" w:eastAsia="微软雅黑" w:cs="微软雅黑"/>
          <w:color w:val="auto"/>
          <w:sz w:val="24"/>
          <w:szCs w:val="24"/>
          <w:highlight w:val="none"/>
        </w:rPr>
      </w:pPr>
      <w:bookmarkStart w:id="166" w:name="_Toc9003"/>
      <w:bookmarkStart w:id="167" w:name="_Toc9095"/>
      <w:bookmarkStart w:id="168" w:name="_Toc47094784"/>
      <w:bookmarkStart w:id="169" w:name="_Toc4126"/>
      <w:bookmarkStart w:id="170" w:name="_Toc342913389"/>
      <w:bookmarkStart w:id="171" w:name="_Toc4999"/>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费用</w:t>
      </w:r>
      <w:bookmarkEnd w:id="166"/>
      <w:bookmarkEnd w:id="167"/>
      <w:bookmarkEnd w:id="168"/>
      <w:bookmarkEnd w:id="169"/>
      <w:bookmarkEnd w:id="170"/>
      <w:bookmarkEnd w:id="171"/>
    </w:p>
    <w:p w14:paraId="77DF549F">
      <w:pPr>
        <w:pStyle w:val="105"/>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参与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的供应商应承担其编制响应文件与递交响应文件所涉及的一切费用，不论</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结果如何，采购人和采购代理机构在任何情况下无义务也无责任承担这些费用。</w:t>
      </w:r>
    </w:p>
    <w:p w14:paraId="4DBE411C">
      <w:pPr>
        <w:pStyle w:val="5"/>
        <w:tabs>
          <w:tab w:val="left" w:pos="2640"/>
        </w:tabs>
        <w:spacing w:line="400" w:lineRule="exact"/>
        <w:rPr>
          <w:rFonts w:hint="eastAsia" w:ascii="微软雅黑" w:hAnsi="微软雅黑" w:eastAsia="微软雅黑" w:cs="微软雅黑"/>
          <w:color w:val="auto"/>
          <w:sz w:val="24"/>
          <w:szCs w:val="24"/>
          <w:highlight w:val="none"/>
        </w:rPr>
      </w:pPr>
      <w:bookmarkStart w:id="172" w:name="_Toc19556"/>
      <w:bookmarkStart w:id="173" w:name="_Toc47094785"/>
      <w:bookmarkStart w:id="174" w:name="_Toc20325"/>
      <w:bookmarkStart w:id="175" w:name="_Toc342913391"/>
      <w:bookmarkStart w:id="176" w:name="_Toc12667"/>
      <w:bookmarkStart w:id="177" w:name="_Toc11950"/>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w:t>
      </w:r>
      <w:bookmarkEnd w:id="172"/>
      <w:bookmarkEnd w:id="173"/>
      <w:bookmarkEnd w:id="174"/>
      <w:bookmarkEnd w:id="175"/>
      <w:bookmarkEnd w:id="176"/>
      <w:bookmarkEnd w:id="177"/>
    </w:p>
    <w:p w14:paraId="16D4B800">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文件由采购公告、技术标准和要求、项目商务需求、</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程序及方法、评审标准、无效响应和采购终止、供应商须知、采购合同、响应文件编制要求七部分组成。</w:t>
      </w:r>
    </w:p>
    <w:p w14:paraId="79A38FE5">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（二）采购人（或采购代理机构）所作的一切有效的书面通知、修改及补充，都是</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文件不可分割的部分。</w:t>
      </w:r>
    </w:p>
    <w:p w14:paraId="12D4315D">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178" w:name="_Toc11719"/>
      <w:bookmarkStart w:id="179" w:name="_Toc6608"/>
      <w:bookmarkStart w:id="180" w:name="_Toc14369"/>
      <w:bookmarkStart w:id="181" w:name="_Toc19541"/>
      <w:bookmarkStart w:id="182" w:name="_Toc318159160"/>
      <w:bookmarkStart w:id="183" w:name="_Toc318166429"/>
      <w:bookmarkStart w:id="184" w:name="_Toc318159349"/>
      <w:bookmarkStart w:id="185" w:name="_Toc318159780"/>
      <w:r>
        <w:rPr>
          <w:rFonts w:hint="eastAsia" w:ascii="微软雅黑" w:hAnsi="微软雅黑" w:eastAsia="微软雅黑" w:cs="微软雅黑"/>
          <w:color w:val="auto"/>
          <w:sz w:val="24"/>
          <w:szCs w:val="24"/>
          <w:highlight w:val="none"/>
        </w:rPr>
        <w:t>（三）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文件的解释</w:t>
      </w:r>
      <w:bookmarkEnd w:id="178"/>
      <w:bookmarkEnd w:id="179"/>
      <w:bookmarkEnd w:id="180"/>
      <w:bookmarkEnd w:id="181"/>
    </w:p>
    <w:p w14:paraId="71768949">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供应商如对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有疑问，必须以书面形式在提交响应文件截止时间3个工作日前向采购人（或采购代理机构）要求澄清，采购人（或采购代理机构）可视具体情况做出处理或答复。如供应商未提出疑问，视为完全理解并同意本</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文件。一经进入</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程序，即视为供应商已详细阅读全部文件资料，完全理解</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文件所有条款内容并同意放弃对这方面有不明白及误解的权利。</w:t>
      </w:r>
    </w:p>
    <w:p w14:paraId="6B7DA0D1">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（四）评审的依据为</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文件和响应文件（含有效的书面承诺）。</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小组判断响应文件对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文件的响应，仅基于响应文件本身而不靠外部证据。</w:t>
      </w:r>
      <w:bookmarkEnd w:id="182"/>
      <w:bookmarkEnd w:id="183"/>
      <w:bookmarkEnd w:id="184"/>
      <w:bookmarkEnd w:id="185"/>
    </w:p>
    <w:p w14:paraId="4D8F4FF6">
      <w:pPr>
        <w:pStyle w:val="5"/>
        <w:spacing w:line="400" w:lineRule="exact"/>
        <w:rPr>
          <w:rFonts w:hint="eastAsia" w:ascii="微软雅黑" w:hAnsi="微软雅黑" w:eastAsia="微软雅黑" w:cs="微软雅黑"/>
          <w:color w:val="auto"/>
          <w:sz w:val="24"/>
          <w:szCs w:val="24"/>
          <w:highlight w:val="none"/>
        </w:rPr>
      </w:pPr>
      <w:bookmarkStart w:id="186" w:name="_Toc27595"/>
      <w:bookmarkStart w:id="187" w:name="_Toc19490"/>
      <w:bookmarkStart w:id="188" w:name="_Toc102227318"/>
      <w:bookmarkStart w:id="189" w:name="_Toc342913392"/>
      <w:bookmarkStart w:id="190" w:name="_Toc27959"/>
      <w:bookmarkStart w:id="191" w:name="_Toc179714297"/>
      <w:bookmarkStart w:id="192" w:name="_Toc47094786"/>
      <w:bookmarkStart w:id="193" w:name="_Toc32339"/>
      <w:r>
        <w:rPr>
          <w:rFonts w:hint="eastAsia" w:ascii="微软雅黑" w:hAnsi="微软雅黑" w:eastAsia="微软雅黑" w:cs="微软雅黑"/>
          <w:color w:val="auto"/>
          <w:sz w:val="24"/>
          <w:szCs w:val="24"/>
          <w:highlight w:val="none"/>
        </w:rPr>
        <w:t>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要求</w:t>
      </w:r>
      <w:bookmarkEnd w:id="186"/>
      <w:bookmarkEnd w:id="187"/>
      <w:bookmarkEnd w:id="188"/>
      <w:bookmarkEnd w:id="189"/>
      <w:bookmarkEnd w:id="190"/>
      <w:bookmarkEnd w:id="191"/>
      <w:bookmarkEnd w:id="192"/>
      <w:bookmarkEnd w:id="193"/>
    </w:p>
    <w:p w14:paraId="0DFB68B6">
      <w:pPr>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194" w:name="_Toc18800"/>
      <w:bookmarkStart w:id="195" w:name="_Toc13338"/>
      <w:bookmarkStart w:id="196" w:name="_Toc5376"/>
      <w:bookmarkStart w:id="197" w:name="_Toc32342"/>
      <w:r>
        <w:rPr>
          <w:rFonts w:hint="eastAsia" w:ascii="微软雅黑" w:hAnsi="微软雅黑" w:eastAsia="微软雅黑" w:cs="微软雅黑"/>
          <w:color w:val="auto"/>
          <w:sz w:val="24"/>
          <w:szCs w:val="24"/>
          <w:highlight w:val="none"/>
        </w:rPr>
        <w:t>（一）响应文件</w:t>
      </w:r>
      <w:bookmarkEnd w:id="194"/>
      <w:bookmarkEnd w:id="195"/>
      <w:bookmarkEnd w:id="196"/>
      <w:bookmarkEnd w:id="197"/>
    </w:p>
    <w:p w14:paraId="00ECC784">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1、供应商应当按照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文件的要求编制响应文件，并对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文件提出的要求和条件作出实质性响应，响应文件原则上采用软面订本，同时应编制完整的页码、目录。</w:t>
      </w:r>
    </w:p>
    <w:p w14:paraId="16AECBAD">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2、响应文件组成</w:t>
      </w:r>
    </w:p>
    <w:p w14:paraId="4AC87295">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060694E2">
      <w:pPr>
        <w:spacing w:line="400" w:lineRule="exact"/>
        <w:ind w:firstLine="480" w:firstLineChars="200"/>
        <w:outlineLvl w:val="1"/>
        <w:rPr>
          <w:rFonts w:hint="eastAsia" w:ascii="微软雅黑" w:hAnsi="微软雅黑" w:eastAsia="微软雅黑" w:cs="微软雅黑"/>
          <w:color w:val="auto"/>
          <w:sz w:val="24"/>
          <w:szCs w:val="24"/>
          <w:highlight w:val="none"/>
          <w:lang w:val="en-US" w:eastAsia="zh-CN"/>
        </w:rPr>
      </w:pPr>
      <w:bookmarkStart w:id="198" w:name="_Toc31944"/>
      <w:bookmarkStart w:id="199" w:name="_Toc23751"/>
      <w:bookmarkStart w:id="200" w:name="_Toc4366"/>
      <w:bookmarkStart w:id="201" w:name="_Toc11677"/>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lang w:eastAsia="zh-CN"/>
        </w:rPr>
        <w:t>响应</w:t>
      </w:r>
      <w:r>
        <w:rPr>
          <w:rFonts w:hint="eastAsia" w:ascii="微软雅黑" w:hAnsi="微软雅黑" w:eastAsia="微软雅黑" w:cs="微软雅黑"/>
          <w:color w:val="auto"/>
          <w:sz w:val="24"/>
          <w:szCs w:val="24"/>
          <w:highlight w:val="none"/>
        </w:rPr>
        <w:t>文件中所有</w:t>
      </w:r>
      <w:r>
        <w:rPr>
          <w:rFonts w:hint="eastAsia" w:ascii="微软雅黑" w:hAnsi="微软雅黑" w:eastAsia="微软雅黑" w:cs="微软雅黑"/>
          <w:color w:val="auto"/>
          <w:sz w:val="24"/>
          <w:szCs w:val="24"/>
          <w:highlight w:val="none"/>
          <w:lang w:eastAsia="zh-CN"/>
        </w:rPr>
        <w:t>作出</w:t>
      </w:r>
      <w:r>
        <w:rPr>
          <w:rFonts w:hint="eastAsia" w:ascii="微软雅黑" w:hAnsi="微软雅黑" w:eastAsia="微软雅黑" w:cs="微软雅黑"/>
          <w:color w:val="auto"/>
          <w:sz w:val="24"/>
          <w:szCs w:val="24"/>
          <w:highlight w:val="none"/>
        </w:rPr>
        <w:t>的承诺函，均须由</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法定代表人签字并加盖</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否则视为无效响应。</w:t>
      </w:r>
      <w:bookmarkEnd w:id="198"/>
    </w:p>
    <w:p w14:paraId="6FDE3620">
      <w:pPr>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02" w:name="_Toc15597"/>
      <w:r>
        <w:rPr>
          <w:rFonts w:hint="eastAsia" w:ascii="微软雅黑" w:hAnsi="微软雅黑" w:eastAsia="微软雅黑" w:cs="微软雅黑"/>
          <w:color w:val="auto"/>
          <w:sz w:val="24"/>
          <w:szCs w:val="24"/>
          <w:highlight w:val="none"/>
        </w:rPr>
        <w:t>（二）联合体</w:t>
      </w:r>
      <w:bookmarkEnd w:id="199"/>
      <w:bookmarkEnd w:id="200"/>
      <w:bookmarkEnd w:id="201"/>
      <w:bookmarkEnd w:id="202"/>
    </w:p>
    <w:p w14:paraId="3ACF627C">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本项目不接受联合体</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41020870">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（三）本项目不接受</w:t>
      </w:r>
      <w:r>
        <w:rPr>
          <w:rFonts w:hint="eastAsia" w:ascii="微软雅黑" w:hAnsi="微软雅黑" w:eastAsia="微软雅黑" w:cs="微软雅黑"/>
          <w:color w:val="auto"/>
          <w:sz w:val="24"/>
          <w:szCs w:val="24"/>
          <w:highlight w:val="none"/>
          <w:lang w:val="en-US" w:eastAsia="zh-CN"/>
        </w:rPr>
        <w:t>转包及违法分包</w:t>
      </w:r>
      <w:r>
        <w:rPr>
          <w:rFonts w:hint="eastAsia" w:ascii="微软雅黑" w:hAnsi="微软雅黑" w:eastAsia="微软雅黑" w:cs="微软雅黑"/>
          <w:color w:val="auto"/>
          <w:sz w:val="24"/>
          <w:szCs w:val="24"/>
          <w:highlight w:val="none"/>
        </w:rPr>
        <w:t>。</w:t>
      </w:r>
    </w:p>
    <w:p w14:paraId="060A7EEB">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有效期：响应文件及有关承诺文件有效期为提交响应文件截止时间起90天。</w:t>
      </w:r>
    </w:p>
    <w:p w14:paraId="5BB3A2C2">
      <w:pPr>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03" w:name="_Toc6692"/>
      <w:bookmarkStart w:id="204" w:name="_Toc16614"/>
      <w:bookmarkStart w:id="205" w:name="_Toc6335"/>
      <w:bookmarkStart w:id="206" w:name="_Toc30987"/>
      <w:r>
        <w:rPr>
          <w:rFonts w:hint="eastAsia" w:ascii="微软雅黑" w:hAnsi="微软雅黑" w:eastAsia="微软雅黑" w:cs="微软雅黑"/>
          <w:color w:val="auto"/>
          <w:sz w:val="24"/>
          <w:szCs w:val="24"/>
          <w:highlight w:val="none"/>
        </w:rPr>
        <w:t>（五）修正错误</w:t>
      </w:r>
      <w:bookmarkEnd w:id="203"/>
      <w:bookmarkEnd w:id="204"/>
      <w:bookmarkEnd w:id="205"/>
      <w:bookmarkEnd w:id="206"/>
    </w:p>
    <w:p w14:paraId="1577DED2">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1、若供应商所递交的响应文件出现大写金额和小写金额不一致的错误，以大写金额修正为准。</w:t>
      </w:r>
    </w:p>
    <w:p w14:paraId="32ABD8CF">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小组按上述修正错误的原则及方法修正供应商的报价，供应商同意并签字确认后，修正后的报价对供应商具有约束作用。如果供应商不接受修正后的价格，将失去成为成交供应商的资格。</w:t>
      </w:r>
    </w:p>
    <w:p w14:paraId="05A951B9">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07" w:name="_Toc5774"/>
      <w:bookmarkStart w:id="208" w:name="_Toc9463"/>
      <w:bookmarkStart w:id="209" w:name="_Toc32401"/>
      <w:bookmarkStart w:id="210" w:name="_Toc1945"/>
      <w:r>
        <w:rPr>
          <w:rFonts w:hint="eastAsia" w:ascii="微软雅黑" w:hAnsi="微软雅黑" w:eastAsia="微软雅黑" w:cs="微软雅黑"/>
          <w:color w:val="auto"/>
          <w:sz w:val="24"/>
          <w:szCs w:val="24"/>
          <w:highlight w:val="none"/>
        </w:rPr>
        <w:t>（六）响应文件的递交</w:t>
      </w:r>
      <w:bookmarkEnd w:id="207"/>
      <w:bookmarkEnd w:id="208"/>
      <w:bookmarkEnd w:id="209"/>
      <w:bookmarkEnd w:id="210"/>
    </w:p>
    <w:p w14:paraId="4BB0D57D">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1、响应文件一式</w:t>
      </w:r>
      <w:r>
        <w:rPr>
          <w:rFonts w:hint="eastAsia" w:ascii="微软雅黑" w:hAnsi="微软雅黑" w:eastAsia="微软雅黑" w:cs="微软雅黑"/>
          <w:color w:val="auto"/>
          <w:sz w:val="24"/>
          <w:szCs w:val="24"/>
          <w:highlight w:val="none"/>
          <w:lang w:eastAsia="zh-CN"/>
        </w:rPr>
        <w:t>三</w:t>
      </w:r>
      <w:r>
        <w:rPr>
          <w:rFonts w:hint="eastAsia" w:ascii="微软雅黑" w:hAnsi="微软雅黑" w:eastAsia="微软雅黑" w:cs="微软雅黑"/>
          <w:color w:val="auto"/>
          <w:sz w:val="24"/>
          <w:szCs w:val="24"/>
          <w:highlight w:val="none"/>
        </w:rPr>
        <w:t>份，其中正本一份，副本</w:t>
      </w:r>
      <w:r>
        <w:rPr>
          <w:rFonts w:hint="eastAsia" w:ascii="微软雅黑" w:hAnsi="微软雅黑" w:eastAsia="微软雅黑" w:cs="微软雅黑"/>
          <w:color w:val="auto"/>
          <w:sz w:val="24"/>
          <w:szCs w:val="24"/>
          <w:highlight w:val="none"/>
          <w:lang w:eastAsia="zh-CN"/>
        </w:rPr>
        <w:t>一</w:t>
      </w:r>
      <w:r>
        <w:rPr>
          <w:rFonts w:hint="eastAsia" w:ascii="微软雅黑" w:hAnsi="微软雅黑" w:eastAsia="微软雅黑" w:cs="微软雅黑"/>
          <w:color w:val="auto"/>
          <w:sz w:val="24"/>
          <w:szCs w:val="24"/>
          <w:highlight w:val="none"/>
        </w:rPr>
        <w:t>份，电子文档一份（U盘装载）；副本可为正本的复印件，应与正本一致，如出现不一致情况以正本为准。</w:t>
      </w:r>
    </w:p>
    <w:p w14:paraId="59FAE77D">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2、响应文件应根据</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文件的要求制作、签字、盖章。响应文件应由供应商法定代表人或经法定代表人正式授权的授权代表在</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文件要求</w:t>
      </w:r>
      <w:r>
        <w:rPr>
          <w:rFonts w:ascii="微软雅黑" w:hAnsi="微软雅黑" w:eastAsia="微软雅黑" w:cs="微软雅黑"/>
          <w:color w:val="auto"/>
          <w:sz w:val="24"/>
          <w:highlight w:val="none"/>
        </w:rPr>
        <w:t>签字的</w:t>
      </w:r>
      <w:r>
        <w:rPr>
          <w:rFonts w:hint="eastAsia" w:ascii="微软雅黑" w:hAnsi="微软雅黑" w:eastAsia="微软雅黑" w:cs="微软雅黑"/>
          <w:color w:val="auto"/>
          <w:sz w:val="24"/>
          <w:highlight w:val="none"/>
        </w:rPr>
        <w:t>地方签字，并在签字处</w:t>
      </w:r>
      <w:r>
        <w:rPr>
          <w:rFonts w:ascii="微软雅黑" w:hAnsi="微软雅黑" w:eastAsia="微软雅黑" w:cs="微软雅黑"/>
          <w:color w:val="auto"/>
          <w:sz w:val="24"/>
          <w:highlight w:val="none"/>
        </w:rPr>
        <w:t>另行</w:t>
      </w:r>
      <w:r>
        <w:rPr>
          <w:rFonts w:hint="eastAsia" w:ascii="微软雅黑" w:hAnsi="微软雅黑" w:eastAsia="微软雅黑" w:cs="微软雅黑"/>
          <w:color w:val="auto"/>
          <w:sz w:val="24"/>
          <w:highlight w:val="none"/>
        </w:rPr>
        <w:t>单独加盖公章。</w:t>
      </w:r>
    </w:p>
    <w:p w14:paraId="098F8067">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3、响应文件中要求提供复印件证明材料的，复印件均需加盖供应商公章。</w:t>
      </w:r>
    </w:p>
    <w:p w14:paraId="613DA8A9">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4、响应文件的内容中，所有要求盖公章的地方都应加盖供应商单位（法定名称）章（鲜章），不得使用专用章（如经济合同章、比选专用章等）或下属单位印章代替。</w:t>
      </w:r>
    </w:p>
    <w:p w14:paraId="157C52E8">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r>
        <w:rPr>
          <w:rFonts w:hint="eastAsia" w:ascii="微软雅黑" w:hAnsi="微软雅黑" w:eastAsia="微软雅黑" w:cs="微软雅黑"/>
          <w:color w:val="auto"/>
          <w:sz w:val="24"/>
          <w:szCs w:val="24"/>
          <w:highlight w:val="none"/>
        </w:rPr>
        <w:t>响应文件</w:t>
      </w:r>
      <w:r>
        <w:rPr>
          <w:rFonts w:hint="eastAsia" w:ascii="微软雅黑" w:hAnsi="微软雅黑" w:eastAsia="微软雅黑" w:cs="微软雅黑"/>
          <w:color w:val="auto"/>
          <w:sz w:val="24"/>
          <w:highlight w:val="none"/>
        </w:rPr>
        <w:t>的正本、副本均应密封送达</w:t>
      </w:r>
      <w:r>
        <w:rPr>
          <w:rFonts w:hint="eastAsia" w:ascii="微软雅黑" w:hAnsi="微软雅黑" w:eastAsia="微软雅黑" w:cs="微软雅黑"/>
          <w:color w:val="auto"/>
          <w:sz w:val="24"/>
          <w:szCs w:val="24"/>
          <w:highlight w:val="none"/>
        </w:rPr>
        <w:t>递交响应文件地点</w:t>
      </w:r>
      <w:r>
        <w:rPr>
          <w:rFonts w:hint="eastAsia" w:ascii="微软雅黑" w:hAnsi="微软雅黑" w:eastAsia="微软雅黑" w:cs="微软雅黑"/>
          <w:color w:val="auto"/>
          <w:sz w:val="24"/>
          <w:highlight w:val="none"/>
        </w:rPr>
        <w:t>，应在密封套上注明项目名称、供应商名称，并在密封包装封口处加盖供应商公章和法定代表人印章。若正本、副本分别进行密封的，还应在封套上注明“正本”、“副本”字样。</w:t>
      </w:r>
    </w:p>
    <w:p w14:paraId="5D855D41">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6、未按上述条款印制和签署的，其响应文件视为无效响应文件，不予评审。</w:t>
      </w:r>
    </w:p>
    <w:p w14:paraId="605771AF">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11" w:name="_Toc31926"/>
      <w:bookmarkStart w:id="212" w:name="_Toc18317"/>
      <w:bookmarkStart w:id="213" w:name="_Toc27336"/>
      <w:bookmarkStart w:id="214" w:name="_Toc3692"/>
      <w:r>
        <w:rPr>
          <w:rFonts w:hint="eastAsia" w:ascii="微软雅黑" w:hAnsi="微软雅黑" w:eastAsia="微软雅黑" w:cs="微软雅黑"/>
          <w:color w:val="auto"/>
          <w:sz w:val="24"/>
          <w:szCs w:val="24"/>
          <w:highlight w:val="none"/>
        </w:rPr>
        <w:t>（七）供应商参与人员</w:t>
      </w:r>
      <w:bookmarkEnd w:id="211"/>
      <w:bookmarkEnd w:id="212"/>
      <w:bookmarkEnd w:id="213"/>
      <w:bookmarkEnd w:id="214"/>
    </w:p>
    <w:p w14:paraId="15B13612">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各个供应商应当派1-2名代表参与</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，至少1人应为法定代表人或具有法定代表人授权委托书的授权代表。</w:t>
      </w:r>
    </w:p>
    <w:p w14:paraId="4A740ECE">
      <w:pPr>
        <w:spacing w:line="380" w:lineRule="exact"/>
        <w:ind w:firstLine="480" w:firstLineChars="200"/>
        <w:rPr>
          <w:rFonts w:eastAsia="微软雅黑"/>
          <w:color w:val="auto"/>
          <w:highlight w:val="none"/>
        </w:rPr>
      </w:pPr>
      <w:r>
        <w:rPr>
          <w:rFonts w:hint="eastAsia" w:ascii="微软雅黑" w:hAnsi="微软雅黑" w:eastAsia="微软雅黑" w:cs="微软雅黑"/>
          <w:color w:val="auto"/>
          <w:sz w:val="24"/>
          <w:szCs w:val="24"/>
          <w:highlight w:val="none"/>
        </w:rPr>
        <w:t>（八）供应商授权代表递交</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响应文件时，需单独提交授权代表身份证原件及复印件，法人授权委托书原件各一份，否则视为无效响应。</w:t>
      </w:r>
    </w:p>
    <w:p w14:paraId="6168CC80">
      <w:pPr>
        <w:pStyle w:val="5"/>
        <w:spacing w:line="400" w:lineRule="exact"/>
        <w:rPr>
          <w:rFonts w:hint="eastAsia" w:ascii="微软雅黑" w:hAnsi="微软雅黑" w:eastAsia="微软雅黑" w:cs="微软雅黑"/>
          <w:color w:val="auto"/>
          <w:sz w:val="24"/>
          <w:szCs w:val="24"/>
          <w:highlight w:val="none"/>
        </w:rPr>
      </w:pPr>
      <w:bookmarkStart w:id="215" w:name="_Toc15722"/>
      <w:bookmarkStart w:id="216" w:name="_Toc22541"/>
      <w:bookmarkStart w:id="217" w:name="_Toc12400"/>
      <w:bookmarkStart w:id="218" w:name="_Toc31180"/>
      <w:bookmarkStart w:id="219" w:name="_Toc47094787"/>
      <w:r>
        <w:rPr>
          <w:rFonts w:hint="eastAsia" w:ascii="微软雅黑" w:hAnsi="微软雅黑" w:eastAsia="微软雅黑" w:cs="微软雅黑"/>
          <w:color w:val="auto"/>
          <w:sz w:val="24"/>
          <w:szCs w:val="24"/>
          <w:highlight w:val="none"/>
        </w:rPr>
        <w:t>四、成交供应商的确认和变更</w:t>
      </w:r>
      <w:bookmarkEnd w:id="215"/>
      <w:bookmarkEnd w:id="216"/>
      <w:bookmarkEnd w:id="217"/>
      <w:bookmarkEnd w:id="218"/>
      <w:bookmarkEnd w:id="219"/>
    </w:p>
    <w:p w14:paraId="0C7A3846">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20" w:name="_Toc31988"/>
      <w:bookmarkStart w:id="221" w:name="_Toc17126"/>
      <w:bookmarkStart w:id="222" w:name="_Toc15657"/>
      <w:bookmarkStart w:id="223" w:name="_Toc5237"/>
      <w:r>
        <w:rPr>
          <w:rFonts w:hint="eastAsia" w:ascii="微软雅黑" w:hAnsi="微软雅黑" w:eastAsia="微软雅黑" w:cs="微软雅黑"/>
          <w:color w:val="auto"/>
          <w:sz w:val="24"/>
          <w:szCs w:val="24"/>
          <w:highlight w:val="none"/>
        </w:rPr>
        <w:t>（一）成交供应商的确认</w:t>
      </w:r>
      <w:bookmarkEnd w:id="220"/>
      <w:bookmarkEnd w:id="221"/>
      <w:bookmarkEnd w:id="222"/>
      <w:bookmarkEnd w:id="223"/>
    </w:p>
    <w:p w14:paraId="47CD8CE0">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采购人应当</w:t>
      </w:r>
      <w:r>
        <w:rPr>
          <w:rFonts w:hint="eastAsia" w:ascii="微软雅黑" w:hAnsi="微软雅黑" w:eastAsia="微软雅黑" w:cs="微软雅黑"/>
          <w:color w:val="auto"/>
          <w:sz w:val="24"/>
          <w:szCs w:val="24"/>
          <w:highlight w:val="none"/>
          <w:lang w:val="en-US" w:eastAsia="zh-CN"/>
        </w:rPr>
        <w:t>根据</w:t>
      </w:r>
      <w:r>
        <w:rPr>
          <w:rFonts w:hint="eastAsia" w:ascii="微软雅黑" w:hAnsi="微软雅黑" w:eastAsia="微软雅黑" w:cs="微软雅黑"/>
          <w:color w:val="auto"/>
          <w:sz w:val="24"/>
          <w:szCs w:val="24"/>
          <w:highlight w:val="none"/>
        </w:rPr>
        <w:t>评审报告</w:t>
      </w:r>
      <w:r>
        <w:rPr>
          <w:rFonts w:hint="eastAsia" w:ascii="微软雅黑" w:hAnsi="微软雅黑" w:eastAsia="微软雅黑" w:cs="微软雅黑"/>
          <w:color w:val="auto"/>
          <w:sz w:val="24"/>
          <w:szCs w:val="24"/>
          <w:highlight w:val="none"/>
          <w:lang w:val="en-US" w:eastAsia="zh-CN"/>
        </w:rPr>
        <w:t>在</w:t>
      </w:r>
      <w:r>
        <w:rPr>
          <w:rFonts w:hint="eastAsia" w:ascii="微软雅黑" w:hAnsi="微软雅黑" w:eastAsia="微软雅黑" w:cs="微软雅黑"/>
          <w:color w:val="auto"/>
          <w:sz w:val="24"/>
          <w:szCs w:val="24"/>
          <w:highlight w:val="none"/>
        </w:rPr>
        <w:t>5个工作日内，从评审报告提出的成交候选人中，按照排序由高到低的原则确定成交供应商。采购人逾期未确定成交供应商且不提出异议的，视为确定评审报告提出的排序第一的供应商为成交供应商。</w:t>
      </w:r>
    </w:p>
    <w:p w14:paraId="33A2571A">
      <w:pPr>
        <w:snapToGrid w:val="0"/>
        <w:spacing w:line="400" w:lineRule="exact"/>
        <w:ind w:firstLine="480" w:firstLineChars="200"/>
        <w:outlineLvl w:val="1"/>
        <w:rPr>
          <w:rFonts w:hint="eastAsia" w:ascii="微软雅黑" w:hAnsi="微软雅黑" w:eastAsia="微软雅黑" w:cs="微软雅黑"/>
          <w:color w:val="auto"/>
          <w:sz w:val="24"/>
          <w:szCs w:val="24"/>
          <w:highlight w:val="none"/>
        </w:rPr>
      </w:pPr>
      <w:bookmarkStart w:id="224" w:name="_Toc4858"/>
      <w:bookmarkStart w:id="225" w:name="_Toc7256"/>
      <w:bookmarkStart w:id="226" w:name="_Toc6126"/>
      <w:bookmarkStart w:id="227" w:name="_Toc12529"/>
      <w:r>
        <w:rPr>
          <w:rFonts w:hint="eastAsia" w:ascii="微软雅黑" w:hAnsi="微软雅黑" w:eastAsia="微软雅黑" w:cs="微软雅黑"/>
          <w:color w:val="auto"/>
          <w:sz w:val="24"/>
          <w:szCs w:val="24"/>
          <w:highlight w:val="none"/>
        </w:rPr>
        <w:t>（二）成交供应商的变更</w:t>
      </w:r>
      <w:bookmarkEnd w:id="224"/>
      <w:bookmarkEnd w:id="225"/>
      <w:bookmarkEnd w:id="226"/>
      <w:bookmarkEnd w:id="227"/>
    </w:p>
    <w:p w14:paraId="75F43F3B">
      <w:pPr>
        <w:snapToGrid w:val="0"/>
        <w:spacing w:line="4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成交供应商拒绝与采购人签订合同的，采购人可以按照评审报告推荐的成交候选人顺序，确定排名下一位的候选人为成交供应商，也可以重新开展采购活动。</w:t>
      </w:r>
    </w:p>
    <w:p w14:paraId="362AC2E1">
      <w:pPr>
        <w:pStyle w:val="5"/>
        <w:spacing w:line="400" w:lineRule="exact"/>
        <w:rPr>
          <w:rFonts w:hint="eastAsia" w:ascii="微软雅黑" w:hAnsi="微软雅黑" w:eastAsia="微软雅黑" w:cs="微软雅黑"/>
          <w:color w:val="auto"/>
          <w:sz w:val="24"/>
          <w:szCs w:val="24"/>
          <w:highlight w:val="none"/>
        </w:rPr>
      </w:pPr>
      <w:bookmarkStart w:id="228" w:name="_Toc342913395"/>
      <w:bookmarkStart w:id="229" w:name="_Toc47094788"/>
      <w:bookmarkStart w:id="230" w:name="_Toc102227321"/>
      <w:bookmarkStart w:id="231" w:name="_Toc19947"/>
      <w:bookmarkStart w:id="232" w:name="_Toc2900"/>
      <w:bookmarkStart w:id="233" w:name="_Toc7957"/>
      <w:bookmarkStart w:id="234" w:name="_Toc8404"/>
      <w:r>
        <w:rPr>
          <w:rFonts w:hint="eastAsia" w:ascii="微软雅黑" w:hAnsi="微软雅黑" w:eastAsia="微软雅黑" w:cs="微软雅黑"/>
          <w:color w:val="auto"/>
          <w:sz w:val="24"/>
          <w:szCs w:val="24"/>
          <w:highlight w:val="none"/>
        </w:rPr>
        <w:t>五、成交通知</w:t>
      </w:r>
      <w:bookmarkEnd w:id="228"/>
      <w:bookmarkEnd w:id="229"/>
      <w:bookmarkEnd w:id="230"/>
      <w:bookmarkEnd w:id="231"/>
      <w:bookmarkEnd w:id="232"/>
      <w:bookmarkEnd w:id="233"/>
      <w:bookmarkEnd w:id="234"/>
    </w:p>
    <w:p w14:paraId="218302BD">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（一）成交供应商确定后，</w:t>
      </w:r>
      <w:r>
        <w:rPr>
          <w:rFonts w:hint="eastAsia" w:ascii="微软雅黑" w:hAnsi="微软雅黑" w:eastAsia="微软雅黑" w:cs="微软雅黑"/>
          <w:color w:val="auto"/>
          <w:sz w:val="24"/>
          <w:szCs w:val="24"/>
          <w:highlight w:val="none"/>
          <w:lang w:val="en-US" w:eastAsia="zh-CN"/>
        </w:rPr>
        <w:t>招标人</w:t>
      </w:r>
      <w:r>
        <w:rPr>
          <w:rFonts w:hint="eastAsia" w:ascii="微软雅黑" w:hAnsi="微软雅黑" w:eastAsia="微软雅黑" w:cs="微软雅黑"/>
          <w:color w:val="auto"/>
          <w:sz w:val="24"/>
          <w:szCs w:val="24"/>
          <w:highlight w:val="none"/>
        </w:rPr>
        <w:t>将在行采家（www.gec123.com）网上发布成交结果公告。</w:t>
      </w:r>
    </w:p>
    <w:p w14:paraId="3A0CCDB3">
      <w:pPr>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（二）结果公告发出同时，</w:t>
      </w:r>
      <w:r>
        <w:rPr>
          <w:rFonts w:hint="eastAsia" w:ascii="微软雅黑" w:hAnsi="微软雅黑" w:eastAsia="微软雅黑" w:cs="微软雅黑"/>
          <w:color w:val="auto"/>
          <w:sz w:val="24"/>
          <w:szCs w:val="24"/>
          <w:highlight w:val="none"/>
          <w:lang w:val="en-US" w:eastAsia="zh-CN"/>
        </w:rPr>
        <w:t>招标人</w:t>
      </w:r>
      <w:r>
        <w:rPr>
          <w:rFonts w:hint="eastAsia" w:ascii="微软雅黑" w:hAnsi="微软雅黑" w:eastAsia="微软雅黑" w:cs="微软雅黑"/>
          <w:color w:val="auto"/>
          <w:sz w:val="24"/>
          <w:szCs w:val="24"/>
          <w:highlight w:val="none"/>
        </w:rPr>
        <w:t>将以书面形式发出《成交通知书》。《成交通知书》一经发出即发生法律效力。</w:t>
      </w:r>
    </w:p>
    <w:p w14:paraId="183C18FB">
      <w:pPr>
        <w:spacing w:line="400" w:lineRule="exact"/>
        <w:ind w:firstLine="480" w:firstLineChars="200"/>
        <w:outlineLvl w:val="1"/>
        <w:rPr>
          <w:rFonts w:hint="eastAsia" w:ascii="微软雅黑" w:hAnsi="微软雅黑" w:eastAsia="微软雅黑" w:cs="微软雅黑"/>
          <w:color w:val="auto"/>
          <w:sz w:val="24"/>
          <w:highlight w:val="none"/>
        </w:rPr>
      </w:pPr>
      <w:bookmarkStart w:id="235" w:name="_Toc16731"/>
      <w:bookmarkStart w:id="236" w:name="_Toc15435"/>
      <w:bookmarkStart w:id="237" w:name="_Toc21937"/>
      <w:bookmarkStart w:id="238" w:name="_Toc28308"/>
      <w:r>
        <w:rPr>
          <w:rFonts w:hint="eastAsia" w:ascii="微软雅黑" w:hAnsi="微软雅黑" w:eastAsia="微软雅黑" w:cs="微软雅黑"/>
          <w:color w:val="auto"/>
          <w:sz w:val="24"/>
          <w:szCs w:val="24"/>
          <w:highlight w:val="none"/>
        </w:rPr>
        <w:t>（三）《成交通知书》将作为签订合同的依据。</w:t>
      </w:r>
      <w:bookmarkEnd w:id="235"/>
      <w:bookmarkEnd w:id="236"/>
      <w:bookmarkEnd w:id="237"/>
      <w:bookmarkEnd w:id="238"/>
    </w:p>
    <w:p w14:paraId="54971D90">
      <w:pPr>
        <w:pStyle w:val="5"/>
        <w:spacing w:line="400" w:lineRule="exact"/>
        <w:rPr>
          <w:rFonts w:hint="eastAsia" w:ascii="微软雅黑" w:hAnsi="微软雅黑" w:eastAsia="微软雅黑" w:cs="微软雅黑"/>
          <w:color w:val="auto"/>
          <w:sz w:val="24"/>
          <w:szCs w:val="24"/>
          <w:highlight w:val="none"/>
        </w:rPr>
      </w:pPr>
      <w:bookmarkStart w:id="239" w:name="_Toc102227322"/>
      <w:bookmarkStart w:id="240" w:name="_Toc10186"/>
      <w:bookmarkStart w:id="241" w:name="_Toc3796"/>
      <w:bookmarkStart w:id="242" w:name="_Toc47094791"/>
      <w:bookmarkStart w:id="243" w:name="_Toc9036"/>
      <w:bookmarkStart w:id="244" w:name="_Toc3328"/>
      <w:bookmarkStart w:id="245" w:name="_Toc342913396"/>
      <w:r>
        <w:rPr>
          <w:rFonts w:hint="eastAsia" w:ascii="微软雅黑" w:hAnsi="微软雅黑" w:eastAsia="微软雅黑" w:cs="微软雅黑"/>
          <w:color w:val="auto"/>
          <w:sz w:val="24"/>
          <w:szCs w:val="24"/>
          <w:highlight w:val="none"/>
        </w:rPr>
        <w:t>六、签订</w:t>
      </w:r>
      <w:bookmarkEnd w:id="239"/>
      <w:r>
        <w:rPr>
          <w:rFonts w:hint="eastAsia" w:ascii="微软雅黑" w:hAnsi="微软雅黑" w:eastAsia="微软雅黑" w:cs="微软雅黑"/>
          <w:color w:val="auto"/>
          <w:sz w:val="24"/>
          <w:szCs w:val="24"/>
          <w:highlight w:val="none"/>
        </w:rPr>
        <w:t>合同</w:t>
      </w:r>
      <w:bookmarkEnd w:id="240"/>
      <w:bookmarkEnd w:id="241"/>
      <w:bookmarkEnd w:id="242"/>
      <w:bookmarkEnd w:id="243"/>
      <w:bookmarkEnd w:id="244"/>
      <w:bookmarkEnd w:id="245"/>
    </w:p>
    <w:p w14:paraId="445608FC">
      <w:pPr>
        <w:spacing w:line="400" w:lineRule="exact"/>
        <w:ind w:firstLine="360" w:firstLineChars="1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（一）采购人应当自成交通知书发出之日起三十日内，按照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文件和成交供应商响应文件的约定，与成交供应商签订书面合同。所签订的合同不得对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文件和供应商的响应文件作实质性修改。</w:t>
      </w:r>
    </w:p>
    <w:p w14:paraId="33A38610">
      <w:pPr>
        <w:pStyle w:val="16"/>
        <w:spacing w:line="240" w:lineRule="auto"/>
        <w:ind w:firstLine="48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（二）</w:t>
      </w:r>
      <w:r>
        <w:rPr>
          <w:rFonts w:hint="eastAsia" w:ascii="微软雅黑" w:hAnsi="微软雅黑" w:eastAsia="微软雅黑" w:cs="微软雅黑"/>
          <w:color w:val="auto"/>
          <w:szCs w:val="24"/>
          <w:highlight w:val="none"/>
          <w:lang w:eastAsia="zh-CN"/>
        </w:rPr>
        <w:t>招标</w:t>
      </w:r>
      <w:r>
        <w:rPr>
          <w:rFonts w:hint="eastAsia" w:ascii="微软雅黑" w:hAnsi="微软雅黑" w:eastAsia="微软雅黑" w:cs="微软雅黑"/>
          <w:color w:val="auto"/>
          <w:szCs w:val="24"/>
          <w:highlight w:val="none"/>
        </w:rPr>
        <w:t>文件、供应商的响应文件及澄清文件等，均为签订采购合同的依据。</w:t>
      </w:r>
    </w:p>
    <w:p w14:paraId="235AD77A">
      <w:pPr>
        <w:pStyle w:val="16"/>
        <w:spacing w:line="240" w:lineRule="auto"/>
        <w:ind w:firstLine="480"/>
        <w:rPr>
          <w:color w:val="auto"/>
          <w:highlight w:val="none"/>
        </w:rPr>
      </w:pPr>
      <w:r>
        <w:rPr>
          <w:rFonts w:hint="eastAsia" w:ascii="微软雅黑" w:hAnsi="微软雅黑" w:eastAsia="微软雅黑" w:cs="微软雅黑"/>
          <w:color w:val="auto"/>
          <w:szCs w:val="24"/>
          <w:highlight w:val="none"/>
        </w:rPr>
        <w:t>（三）合同生效条款由供需双方约定，法律、行政法规规定应当办理批准、登记等手续后生效的合同，依照其规定。</w:t>
      </w:r>
      <w:r>
        <w:rPr>
          <w:color w:val="auto"/>
          <w:highlight w:val="none"/>
        </w:rPr>
        <w:br w:type="page"/>
      </w:r>
      <w:bookmarkEnd w:id="134"/>
      <w:bookmarkEnd w:id="135"/>
    </w:p>
    <w:p w14:paraId="6F09179E">
      <w:pPr>
        <w:spacing w:line="360" w:lineRule="auto"/>
        <w:ind w:firstLine="420"/>
        <w:jc w:val="center"/>
        <w:rPr>
          <w:rFonts w:hint="eastAsia" w:ascii="微软雅黑" w:hAnsi="微软雅黑" w:eastAsia="微软雅黑" w:cs="微软雅黑"/>
          <w:bCs/>
          <w:color w:val="auto"/>
          <w:sz w:val="21"/>
          <w:highlight w:val="none"/>
        </w:rPr>
      </w:pPr>
      <w:bookmarkStart w:id="246" w:name="_Hlt41879464"/>
      <w:bookmarkEnd w:id="246"/>
      <w:bookmarkStart w:id="247" w:name="_Toc505262417"/>
      <w:bookmarkStart w:id="248" w:name="_Toc12789072"/>
    </w:p>
    <w:p w14:paraId="4ADC005C">
      <w:pPr>
        <w:pStyle w:val="4"/>
        <w:numPr>
          <w:ilvl w:val="0"/>
          <w:numId w:val="19"/>
        </w:numPr>
        <w:spacing w:line="360" w:lineRule="auto"/>
        <w:ind w:firstLine="720"/>
        <w:jc w:val="center"/>
        <w:rPr>
          <w:rFonts w:hint="eastAsia" w:ascii="微软雅黑" w:hAnsi="微软雅黑" w:eastAsia="微软雅黑" w:cs="微软雅黑"/>
          <w:b w:val="0"/>
          <w:bCs/>
          <w:color w:val="auto"/>
          <w:sz w:val="36"/>
          <w:szCs w:val="30"/>
          <w:highlight w:val="none"/>
        </w:rPr>
      </w:pPr>
      <w:r>
        <w:rPr>
          <w:rFonts w:hint="eastAsia" w:ascii="微软雅黑" w:hAnsi="微软雅黑" w:eastAsia="微软雅黑" w:cs="微软雅黑"/>
          <w:b w:val="0"/>
          <w:bCs/>
          <w:color w:val="auto"/>
          <w:sz w:val="36"/>
          <w:szCs w:val="30"/>
          <w:highlight w:val="none"/>
        </w:rPr>
        <w:t xml:space="preserve"> </w:t>
      </w:r>
      <w:bookmarkStart w:id="249" w:name="_Toc18661"/>
      <w:bookmarkStart w:id="250" w:name="_Toc25782"/>
      <w:bookmarkStart w:id="251" w:name="_Toc5115"/>
      <w:r>
        <w:rPr>
          <w:rFonts w:hint="eastAsia" w:ascii="微软雅黑" w:hAnsi="微软雅黑" w:eastAsia="微软雅黑" w:cs="微软雅黑"/>
          <w:b w:val="0"/>
          <w:bCs/>
          <w:color w:val="auto"/>
          <w:sz w:val="36"/>
          <w:szCs w:val="30"/>
          <w:highlight w:val="none"/>
        </w:rPr>
        <w:t>采购合同</w:t>
      </w:r>
      <w:bookmarkEnd w:id="247"/>
      <w:bookmarkEnd w:id="249"/>
      <w:bookmarkEnd w:id="250"/>
      <w:bookmarkEnd w:id="251"/>
    </w:p>
    <w:p w14:paraId="75069BEA">
      <w:pPr>
        <w:rPr>
          <w:color w:val="auto"/>
          <w:highlight w:val="none"/>
        </w:rPr>
      </w:pPr>
    </w:p>
    <w:p w14:paraId="19985FB0">
      <w:pPr>
        <w:spacing w:line="480" w:lineRule="exact"/>
        <w:ind w:firstLine="720"/>
        <w:jc w:val="center"/>
        <w:rPr>
          <w:rStyle w:val="258"/>
          <w:rFonts w:hint="eastAsia" w:ascii="微软雅黑" w:hAnsi="微软雅黑" w:eastAsia="微软雅黑" w:cs="微软雅黑"/>
          <w:b/>
          <w:color w:val="auto"/>
          <w:sz w:val="36"/>
          <w:szCs w:val="36"/>
          <w:highlight w:val="none"/>
        </w:rPr>
      </w:pPr>
      <w:r>
        <w:rPr>
          <w:rStyle w:val="258"/>
          <w:rFonts w:hint="eastAsia" w:ascii="微软雅黑" w:hAnsi="微软雅黑" w:eastAsia="微软雅黑" w:cs="微软雅黑"/>
          <w:b/>
          <w:color w:val="auto"/>
          <w:sz w:val="36"/>
          <w:szCs w:val="36"/>
          <w:highlight w:val="none"/>
        </w:rPr>
        <w:t>货物采购合同</w:t>
      </w:r>
    </w:p>
    <w:p w14:paraId="059BAA33">
      <w:pPr>
        <w:tabs>
          <w:tab w:val="left" w:pos="8820"/>
        </w:tabs>
        <w:rPr>
          <w:rStyle w:val="258"/>
          <w:rFonts w:hint="eastAsia" w:ascii="微软雅黑" w:hAnsi="微软雅黑" w:eastAsia="微软雅黑" w:cs="微软雅黑"/>
          <w:b/>
          <w:color w:val="auto"/>
          <w:szCs w:val="28"/>
          <w:highlight w:val="none"/>
        </w:rPr>
      </w:pPr>
      <w:r>
        <w:rPr>
          <w:rStyle w:val="258"/>
          <w:rFonts w:hint="eastAsia" w:ascii="微软雅黑" w:hAnsi="微软雅黑" w:eastAsia="微软雅黑" w:cs="微软雅黑"/>
          <w:b/>
          <w:color w:val="auto"/>
          <w:szCs w:val="28"/>
          <w:highlight w:val="none"/>
        </w:rPr>
        <w:t xml:space="preserve">                                                        </w:t>
      </w:r>
    </w:p>
    <w:p w14:paraId="3FDD100A">
      <w:pPr>
        <w:tabs>
          <w:tab w:val="left" w:pos="8820"/>
        </w:tabs>
        <w:rPr>
          <w:rStyle w:val="258"/>
          <w:rFonts w:hint="eastAsia" w:ascii="微软雅黑" w:hAnsi="微软雅黑" w:eastAsia="微软雅黑" w:cs="微软雅黑"/>
          <w:b/>
          <w:color w:val="auto"/>
          <w:szCs w:val="28"/>
          <w:highlight w:val="none"/>
        </w:rPr>
      </w:pPr>
    </w:p>
    <w:p w14:paraId="1EBD1B3D">
      <w:pPr>
        <w:tabs>
          <w:tab w:val="left" w:pos="8820"/>
        </w:tabs>
        <w:ind w:firstLine="4802" w:firstLineChars="2000"/>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合 同 编 号：</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 xml:space="preserve">   </w:t>
      </w:r>
    </w:p>
    <w:p w14:paraId="57CAB133">
      <w:pPr>
        <w:spacing w:line="300" w:lineRule="auto"/>
        <w:jc w:val="center"/>
        <w:rPr>
          <w:rStyle w:val="258"/>
          <w:rFonts w:hint="eastAsia" w:ascii="微软雅黑" w:hAnsi="微软雅黑" w:eastAsia="微软雅黑" w:cs="微软雅黑"/>
          <w:bCs/>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               合同签订地点：</w:t>
      </w:r>
      <w:r>
        <w:rPr>
          <w:rStyle w:val="258"/>
          <w:rFonts w:hint="eastAsia" w:ascii="微软雅黑" w:hAnsi="微软雅黑" w:eastAsia="微软雅黑" w:cs="微软雅黑"/>
          <w:bCs/>
          <w:color w:val="auto"/>
          <w:sz w:val="24"/>
          <w:szCs w:val="24"/>
          <w:highlight w:val="none"/>
        </w:rPr>
        <w:t xml:space="preserve"> </w:t>
      </w:r>
      <w:r>
        <w:rPr>
          <w:rStyle w:val="258"/>
          <w:rFonts w:hint="eastAsia" w:ascii="微软雅黑" w:hAnsi="微软雅黑" w:eastAsia="微软雅黑" w:cs="微软雅黑"/>
          <w:bCs/>
          <w:color w:val="auto"/>
          <w:sz w:val="24"/>
          <w:szCs w:val="24"/>
          <w:highlight w:val="none"/>
          <w:u w:val="single"/>
        </w:rPr>
        <w:t xml:space="preserve">                  </w:t>
      </w:r>
      <w:r>
        <w:rPr>
          <w:rStyle w:val="258"/>
          <w:rFonts w:hint="eastAsia" w:ascii="微软雅黑" w:hAnsi="微软雅黑" w:eastAsia="微软雅黑" w:cs="微软雅黑"/>
          <w:bCs/>
          <w:color w:val="auto"/>
          <w:sz w:val="24"/>
          <w:szCs w:val="24"/>
          <w:highlight w:val="none"/>
        </w:rPr>
        <w:t xml:space="preserve">                 </w:t>
      </w:r>
      <w:r>
        <w:rPr>
          <w:rStyle w:val="258"/>
          <w:rFonts w:hint="eastAsia" w:ascii="微软雅黑" w:hAnsi="微软雅黑" w:eastAsia="微软雅黑" w:cs="微软雅黑"/>
          <w:bCs/>
          <w:color w:val="auto"/>
          <w:sz w:val="24"/>
          <w:szCs w:val="24"/>
          <w:highlight w:val="none"/>
          <w:u w:val="single"/>
        </w:rPr>
        <w:t xml:space="preserve">  </w:t>
      </w:r>
      <w:r>
        <w:rPr>
          <w:rStyle w:val="258"/>
          <w:rFonts w:hint="eastAsia" w:ascii="微软雅黑" w:hAnsi="微软雅黑" w:eastAsia="微软雅黑" w:cs="微软雅黑"/>
          <w:bCs/>
          <w:color w:val="auto"/>
          <w:sz w:val="24"/>
          <w:szCs w:val="24"/>
          <w:highlight w:val="none"/>
          <w:u w:val="single" w:color="000000"/>
        </w:rPr>
        <w:t xml:space="preserve">        </w:t>
      </w:r>
      <w:r>
        <w:rPr>
          <w:rStyle w:val="258"/>
          <w:rFonts w:hint="eastAsia" w:ascii="微软雅黑" w:hAnsi="微软雅黑" w:eastAsia="微软雅黑" w:cs="微软雅黑"/>
          <w:bCs/>
          <w:color w:val="auto"/>
          <w:sz w:val="24"/>
          <w:szCs w:val="24"/>
          <w:highlight w:val="none"/>
        </w:rPr>
        <w:t xml:space="preserve"> </w:t>
      </w:r>
    </w:p>
    <w:p w14:paraId="15FCDAA8">
      <w:pPr>
        <w:spacing w:line="300" w:lineRule="auto"/>
        <w:jc w:val="center"/>
        <w:rPr>
          <w:rStyle w:val="258"/>
          <w:rFonts w:hint="eastAsia" w:ascii="微软雅黑" w:hAnsi="微软雅黑" w:eastAsia="微软雅黑" w:cs="微软雅黑"/>
          <w:bCs/>
          <w:color w:val="auto"/>
          <w:sz w:val="24"/>
          <w:szCs w:val="24"/>
          <w:highlight w:val="none"/>
        </w:rPr>
      </w:pPr>
    </w:p>
    <w:p w14:paraId="205D0C71">
      <w:pPr>
        <w:spacing w:line="300" w:lineRule="auto"/>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购货方（甲方）                             供货方（乙方）</w:t>
      </w:r>
    </w:p>
    <w:tbl>
      <w:tblPr>
        <w:tblStyle w:val="59"/>
        <w:tblW w:w="9844" w:type="dxa"/>
        <w:tblInd w:w="-47" w:type="dxa"/>
        <w:tblLayout w:type="fixed"/>
        <w:tblCellMar>
          <w:top w:w="0" w:type="dxa"/>
          <w:left w:w="0" w:type="dxa"/>
          <w:bottom w:w="0" w:type="dxa"/>
          <w:right w:w="0" w:type="dxa"/>
        </w:tblCellMar>
      </w:tblPr>
      <w:tblGrid>
        <w:gridCol w:w="4965"/>
        <w:gridCol w:w="4879"/>
      </w:tblGrid>
      <w:tr w14:paraId="7C74C7B6">
        <w:tblPrEx>
          <w:tblCellMar>
            <w:top w:w="0" w:type="dxa"/>
            <w:left w:w="0" w:type="dxa"/>
            <w:bottom w:w="0" w:type="dxa"/>
            <w:right w:w="0" w:type="dxa"/>
          </w:tblCellMar>
        </w:tblPrEx>
        <w:trPr>
          <w:trHeight w:val="567" w:hRule="atLeast"/>
        </w:trPr>
        <w:tc>
          <w:tcPr>
            <w:tcW w:w="4965" w:type="dxa"/>
            <w:tcBorders>
              <w:top w:val="nil"/>
              <w:left w:val="nil"/>
              <w:bottom w:val="nil"/>
              <w:right w:val="nil"/>
            </w:tcBorders>
            <w:vAlign w:val="center"/>
          </w:tcPr>
          <w:p w14:paraId="2CB30160">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单位名称：</w:t>
            </w:r>
          </w:p>
        </w:tc>
        <w:tc>
          <w:tcPr>
            <w:tcW w:w="4879" w:type="dxa"/>
            <w:tcBorders>
              <w:top w:val="nil"/>
              <w:left w:val="nil"/>
              <w:bottom w:val="nil"/>
              <w:right w:val="nil"/>
            </w:tcBorders>
            <w:vAlign w:val="center"/>
          </w:tcPr>
          <w:p w14:paraId="6A488DCC">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单位名称:</w:t>
            </w:r>
          </w:p>
        </w:tc>
      </w:tr>
      <w:tr w14:paraId="37F26A2C">
        <w:tblPrEx>
          <w:tblCellMar>
            <w:top w:w="0" w:type="dxa"/>
            <w:left w:w="0" w:type="dxa"/>
            <w:bottom w:w="0" w:type="dxa"/>
            <w:right w:w="0" w:type="dxa"/>
          </w:tblCellMar>
        </w:tblPrEx>
        <w:trPr>
          <w:trHeight w:val="575" w:hRule="atLeast"/>
        </w:trPr>
        <w:tc>
          <w:tcPr>
            <w:tcW w:w="4965" w:type="dxa"/>
            <w:tcBorders>
              <w:top w:val="nil"/>
              <w:left w:val="nil"/>
              <w:bottom w:val="nil"/>
              <w:right w:val="nil"/>
            </w:tcBorders>
            <w:vAlign w:val="center"/>
          </w:tcPr>
          <w:p w14:paraId="271E93F2">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公司地址：</w:t>
            </w:r>
          </w:p>
        </w:tc>
        <w:tc>
          <w:tcPr>
            <w:tcW w:w="4879" w:type="dxa"/>
            <w:tcBorders>
              <w:top w:val="nil"/>
              <w:left w:val="nil"/>
              <w:bottom w:val="nil"/>
              <w:right w:val="nil"/>
            </w:tcBorders>
            <w:vAlign w:val="center"/>
          </w:tcPr>
          <w:p w14:paraId="5B1E6415">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公司地址：</w:t>
            </w:r>
          </w:p>
        </w:tc>
      </w:tr>
      <w:tr w14:paraId="12598A63">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69DFED14">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电话：</w:t>
            </w:r>
          </w:p>
        </w:tc>
        <w:tc>
          <w:tcPr>
            <w:tcW w:w="4879" w:type="dxa"/>
            <w:tcBorders>
              <w:top w:val="nil"/>
              <w:left w:val="nil"/>
              <w:bottom w:val="nil"/>
              <w:right w:val="nil"/>
            </w:tcBorders>
            <w:vAlign w:val="center"/>
          </w:tcPr>
          <w:p w14:paraId="4E9702F7">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电话： </w:t>
            </w:r>
          </w:p>
        </w:tc>
      </w:tr>
      <w:tr w14:paraId="31361DC4">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101EA47A">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邮编： </w:t>
            </w:r>
          </w:p>
        </w:tc>
        <w:tc>
          <w:tcPr>
            <w:tcW w:w="4879" w:type="dxa"/>
            <w:tcBorders>
              <w:top w:val="nil"/>
              <w:left w:val="nil"/>
              <w:bottom w:val="nil"/>
              <w:right w:val="nil"/>
            </w:tcBorders>
            <w:vAlign w:val="center"/>
          </w:tcPr>
          <w:p w14:paraId="02988BC1">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邮编：</w:t>
            </w:r>
          </w:p>
        </w:tc>
      </w:tr>
      <w:tr w14:paraId="3DC1D29E">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0420B9F5">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开户银行：</w:t>
            </w:r>
          </w:p>
        </w:tc>
        <w:tc>
          <w:tcPr>
            <w:tcW w:w="4879" w:type="dxa"/>
            <w:tcBorders>
              <w:top w:val="nil"/>
              <w:left w:val="nil"/>
              <w:bottom w:val="nil"/>
              <w:right w:val="nil"/>
            </w:tcBorders>
            <w:vAlign w:val="center"/>
          </w:tcPr>
          <w:p w14:paraId="768A96A3">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开户银行：</w:t>
            </w:r>
          </w:p>
        </w:tc>
      </w:tr>
      <w:tr w14:paraId="5467B993">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4FB9C459">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银行帐号： </w:t>
            </w:r>
          </w:p>
        </w:tc>
        <w:tc>
          <w:tcPr>
            <w:tcW w:w="4879" w:type="dxa"/>
            <w:tcBorders>
              <w:top w:val="nil"/>
              <w:left w:val="nil"/>
              <w:bottom w:val="nil"/>
              <w:right w:val="nil"/>
            </w:tcBorders>
            <w:vAlign w:val="center"/>
          </w:tcPr>
          <w:p w14:paraId="24AE7914">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银行帐号：</w:t>
            </w:r>
          </w:p>
        </w:tc>
      </w:tr>
      <w:tr w14:paraId="31CC8292">
        <w:tblPrEx>
          <w:tblCellMar>
            <w:top w:w="0" w:type="dxa"/>
            <w:left w:w="0" w:type="dxa"/>
            <w:bottom w:w="0" w:type="dxa"/>
            <w:right w:w="0" w:type="dxa"/>
          </w:tblCellMar>
        </w:tblPrEx>
        <w:trPr>
          <w:trHeight w:val="560" w:hRule="atLeast"/>
        </w:trPr>
        <w:tc>
          <w:tcPr>
            <w:tcW w:w="4965" w:type="dxa"/>
            <w:tcBorders>
              <w:top w:val="nil"/>
              <w:left w:val="nil"/>
              <w:bottom w:val="nil"/>
              <w:right w:val="nil"/>
            </w:tcBorders>
            <w:vAlign w:val="center"/>
          </w:tcPr>
          <w:p w14:paraId="2A4716EB">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统一社会信用代码：</w:t>
            </w:r>
          </w:p>
        </w:tc>
        <w:tc>
          <w:tcPr>
            <w:tcW w:w="4879" w:type="dxa"/>
            <w:tcBorders>
              <w:top w:val="nil"/>
              <w:left w:val="nil"/>
              <w:bottom w:val="nil"/>
              <w:right w:val="nil"/>
            </w:tcBorders>
            <w:vAlign w:val="center"/>
          </w:tcPr>
          <w:p w14:paraId="0446F909">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统一社会信用代码：</w:t>
            </w:r>
          </w:p>
        </w:tc>
      </w:tr>
      <w:tr w14:paraId="1D3D6E90">
        <w:tblPrEx>
          <w:tblCellMar>
            <w:top w:w="0" w:type="dxa"/>
            <w:left w:w="0" w:type="dxa"/>
            <w:bottom w:w="0" w:type="dxa"/>
            <w:right w:w="0" w:type="dxa"/>
          </w:tblCellMar>
        </w:tblPrEx>
        <w:trPr>
          <w:trHeight w:val="478" w:hRule="atLeast"/>
        </w:trPr>
        <w:tc>
          <w:tcPr>
            <w:tcW w:w="4965" w:type="dxa"/>
            <w:tcBorders>
              <w:top w:val="nil"/>
              <w:left w:val="nil"/>
              <w:bottom w:val="nil"/>
              <w:right w:val="nil"/>
            </w:tcBorders>
            <w:vAlign w:val="center"/>
          </w:tcPr>
          <w:p w14:paraId="0DB9ECA4">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项目联系人及电话：</w:t>
            </w:r>
          </w:p>
        </w:tc>
        <w:tc>
          <w:tcPr>
            <w:tcW w:w="4879" w:type="dxa"/>
            <w:tcBorders>
              <w:top w:val="nil"/>
              <w:left w:val="nil"/>
              <w:bottom w:val="nil"/>
              <w:right w:val="nil"/>
            </w:tcBorders>
            <w:vAlign w:val="center"/>
          </w:tcPr>
          <w:p w14:paraId="30B7FBA3">
            <w:pPr>
              <w:spacing w:line="240" w:lineRule="exact"/>
              <w:jc w:val="left"/>
              <w:textAlignment w:val="cente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 xml:space="preserve">项目联系人及电话： </w:t>
            </w:r>
          </w:p>
        </w:tc>
      </w:tr>
    </w:tbl>
    <w:p w14:paraId="58C755B0">
      <w:pPr>
        <w:spacing w:line="480" w:lineRule="exact"/>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 xml:space="preserve">   </w:t>
      </w:r>
    </w:p>
    <w:p w14:paraId="722F36CC">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甲方盖章：                          乙方盖章：</w:t>
      </w:r>
    </w:p>
    <w:p w14:paraId="1856259A">
      <w:pPr>
        <w:rPr>
          <w:rStyle w:val="258"/>
          <w:rFonts w:hint="eastAsia" w:ascii="微软雅黑" w:hAnsi="微软雅黑" w:eastAsia="微软雅黑" w:cs="微软雅黑"/>
          <w:b/>
          <w:color w:val="auto"/>
          <w:sz w:val="24"/>
          <w:szCs w:val="24"/>
          <w:highlight w:val="none"/>
        </w:rPr>
      </w:pPr>
    </w:p>
    <w:p w14:paraId="3BED313A">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甲方法定代表人或                    乙方法定代表人或</w:t>
      </w:r>
    </w:p>
    <w:p w14:paraId="15866553">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委托代理人签字：                    委托代理人签字：</w:t>
      </w:r>
      <w:r>
        <w:rPr>
          <w:rStyle w:val="258"/>
          <w:rFonts w:hint="eastAsia" w:ascii="微软雅黑" w:hAnsi="微软雅黑" w:eastAsia="微软雅黑" w:cs="微软雅黑"/>
          <w:b/>
          <w:color w:val="auto"/>
          <w:sz w:val="24"/>
          <w:szCs w:val="24"/>
          <w:highlight w:val="none"/>
          <w:u w:val="single" w:color="000000"/>
        </w:rPr>
        <w:t xml:space="preserve">                     </w:t>
      </w:r>
    </w:p>
    <w:p w14:paraId="5FE9E02A">
      <w:pPr>
        <w:rPr>
          <w:rStyle w:val="258"/>
          <w:rFonts w:hint="eastAsia" w:ascii="微软雅黑" w:hAnsi="微软雅黑" w:eastAsia="微软雅黑" w:cs="微软雅黑"/>
          <w:b/>
          <w:color w:val="auto"/>
          <w:sz w:val="24"/>
          <w:szCs w:val="24"/>
          <w:highlight w:val="none"/>
          <w:u w:val="single" w:color="000000"/>
        </w:rPr>
      </w:pPr>
    </w:p>
    <w:p w14:paraId="2A49A23F">
      <w:pPr>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年</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月</w:t>
      </w:r>
      <w:r>
        <w:rPr>
          <w:rStyle w:val="258"/>
          <w:rFonts w:hint="eastAsia" w:ascii="微软雅黑" w:hAnsi="微软雅黑" w:eastAsia="微软雅黑" w:cs="微软雅黑"/>
          <w:b/>
          <w:color w:val="auto"/>
          <w:sz w:val="24"/>
          <w:szCs w:val="24"/>
          <w:highlight w:val="none"/>
          <w:u w:val="single"/>
        </w:rPr>
        <w:t xml:space="preserve">      </w:t>
      </w:r>
      <w:r>
        <w:rPr>
          <w:rStyle w:val="258"/>
          <w:rFonts w:hint="eastAsia" w:ascii="微软雅黑" w:hAnsi="微软雅黑" w:eastAsia="微软雅黑" w:cs="微软雅黑"/>
          <w:b/>
          <w:color w:val="auto"/>
          <w:sz w:val="24"/>
          <w:szCs w:val="24"/>
          <w:highlight w:val="none"/>
        </w:rPr>
        <w:t xml:space="preserve">日              </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年</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月</w:t>
      </w:r>
      <w:r>
        <w:rPr>
          <w:rStyle w:val="258"/>
          <w:rFonts w:hint="eastAsia" w:ascii="微软雅黑" w:hAnsi="微软雅黑" w:eastAsia="微软雅黑" w:cs="微软雅黑"/>
          <w:b/>
          <w:color w:val="auto"/>
          <w:sz w:val="24"/>
          <w:szCs w:val="24"/>
          <w:highlight w:val="none"/>
          <w:u w:val="single" w:color="000000"/>
        </w:rPr>
        <w:t xml:space="preserve">     </w:t>
      </w:r>
      <w:r>
        <w:rPr>
          <w:rStyle w:val="258"/>
          <w:rFonts w:hint="eastAsia" w:ascii="微软雅黑" w:hAnsi="微软雅黑" w:eastAsia="微软雅黑" w:cs="微软雅黑"/>
          <w:b/>
          <w:color w:val="auto"/>
          <w:sz w:val="24"/>
          <w:szCs w:val="24"/>
          <w:highlight w:val="none"/>
        </w:rPr>
        <w:t>日</w:t>
      </w:r>
    </w:p>
    <w:p w14:paraId="65E20F72">
      <w:pPr>
        <w:spacing w:line="360" w:lineRule="auto"/>
        <w:rPr>
          <w:rStyle w:val="258"/>
          <w:rFonts w:hint="eastAsia" w:ascii="微软雅黑" w:hAnsi="微软雅黑" w:eastAsia="微软雅黑" w:cs="微软雅黑"/>
          <w:color w:val="auto"/>
          <w:szCs w:val="28"/>
          <w:highlight w:val="none"/>
        </w:rPr>
      </w:pPr>
      <w:r>
        <w:rPr>
          <w:rStyle w:val="258"/>
          <w:rFonts w:hint="eastAsia" w:ascii="微软雅黑" w:hAnsi="微软雅黑" w:eastAsia="微软雅黑" w:cs="微软雅黑"/>
          <w:color w:val="auto"/>
          <w:szCs w:val="28"/>
          <w:highlight w:val="none"/>
        </w:rPr>
        <w:t xml:space="preserve">      </w:t>
      </w:r>
    </w:p>
    <w:p w14:paraId="2C7769F9">
      <w:pPr>
        <w:spacing w:line="360" w:lineRule="auto"/>
        <w:rPr>
          <w:rStyle w:val="258"/>
          <w:rFonts w:hint="eastAsia" w:ascii="微软雅黑" w:hAnsi="微软雅黑" w:eastAsia="微软雅黑" w:cs="微软雅黑"/>
          <w:color w:val="auto"/>
          <w:szCs w:val="28"/>
          <w:highlight w:val="none"/>
        </w:rPr>
      </w:pPr>
    </w:p>
    <w:p w14:paraId="7C293BF6">
      <w:pPr>
        <w:spacing w:line="500" w:lineRule="exact"/>
        <w:ind w:firstLine="480" w:firstLineChars="200"/>
        <w:rPr>
          <w:rStyle w:val="258"/>
          <w:rFonts w:hint="eastAsia" w:ascii="微软雅黑" w:hAnsi="微软雅黑" w:eastAsia="微软雅黑" w:cs="微软雅黑"/>
          <w:b/>
          <w:color w:val="auto"/>
          <w:sz w:val="24"/>
          <w:szCs w:val="24"/>
          <w:highlight w:val="none"/>
          <w:u w:val="single" w:color="000000"/>
        </w:rPr>
      </w:pPr>
      <w:r>
        <w:rPr>
          <w:rStyle w:val="258"/>
          <w:rFonts w:hint="eastAsia" w:ascii="微软雅黑" w:hAnsi="微软雅黑" w:eastAsia="微软雅黑" w:cs="微软雅黑"/>
          <w:color w:val="auto"/>
          <w:sz w:val="24"/>
          <w:szCs w:val="24"/>
          <w:highlight w:val="none"/>
        </w:rPr>
        <w:t>甲乙双方本着自愿、友好、平等协商的原则，依据《中华人民共和国民法典》等相关法律规定，就甲方向乙方采购货物事宜达成如下条款，希双方共同遵守：</w:t>
      </w:r>
    </w:p>
    <w:p w14:paraId="54EE49A5">
      <w:pPr>
        <w:numPr>
          <w:ilvl w:val="0"/>
          <w:numId w:val="20"/>
        </w:numPr>
        <w:spacing w:line="500" w:lineRule="exact"/>
        <w:ind w:firstLine="480" w:firstLineChars="200"/>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项目名称：</w:t>
      </w:r>
      <w:r>
        <w:rPr>
          <w:rStyle w:val="258"/>
          <w:rFonts w:hint="eastAsia" w:ascii="微软雅黑" w:hAnsi="微软雅黑" w:eastAsia="微软雅黑" w:cs="微软雅黑"/>
          <w:b/>
          <w:color w:val="auto"/>
          <w:sz w:val="24"/>
          <w:szCs w:val="24"/>
          <w:highlight w:val="none"/>
          <w:lang w:val="en-US" w:eastAsia="zh-CN"/>
        </w:rPr>
        <w:t>XXXXX</w:t>
      </w:r>
      <w:r>
        <w:rPr>
          <w:rStyle w:val="258"/>
          <w:rFonts w:hint="eastAsia" w:ascii="微软雅黑" w:hAnsi="微软雅黑" w:eastAsia="微软雅黑" w:cs="微软雅黑"/>
          <w:b/>
          <w:color w:val="auto"/>
          <w:sz w:val="24"/>
          <w:szCs w:val="24"/>
          <w:highlight w:val="none"/>
          <w:lang w:eastAsia="zh-CN"/>
        </w:rPr>
        <w:t>电梯更新工程</w:t>
      </w:r>
    </w:p>
    <w:p w14:paraId="548C33C1">
      <w:pPr>
        <w:spacing w:line="500" w:lineRule="exact"/>
        <w:ind w:firstLine="480" w:firstLineChars="200"/>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b/>
          <w:color w:val="auto"/>
          <w:sz w:val="24"/>
          <w:szCs w:val="24"/>
          <w:highlight w:val="none"/>
        </w:rPr>
        <w:t>二、货物名称、技术参数、计量单位、单价：</w:t>
      </w:r>
    </w:p>
    <w:tbl>
      <w:tblPr>
        <w:tblStyle w:val="59"/>
        <w:tblW w:w="100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1805"/>
        <w:gridCol w:w="1649"/>
        <w:gridCol w:w="1213"/>
        <w:gridCol w:w="1399"/>
        <w:gridCol w:w="1489"/>
        <w:gridCol w:w="1743"/>
      </w:tblGrid>
      <w:tr w14:paraId="673D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21AA53C6">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序号</w:t>
            </w:r>
          </w:p>
        </w:tc>
        <w:tc>
          <w:tcPr>
            <w:tcW w:w="1805" w:type="dxa"/>
            <w:tcBorders>
              <w:top w:val="single" w:color="000000" w:sz="4" w:space="0"/>
              <w:left w:val="single" w:color="000000" w:sz="4" w:space="0"/>
              <w:bottom w:val="single" w:color="000000" w:sz="4" w:space="0"/>
              <w:right w:val="single" w:color="000000" w:sz="4" w:space="0"/>
            </w:tcBorders>
            <w:vAlign w:val="center"/>
          </w:tcPr>
          <w:p w14:paraId="1E5C928C">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货物名称</w:t>
            </w:r>
          </w:p>
        </w:tc>
        <w:tc>
          <w:tcPr>
            <w:tcW w:w="1649" w:type="dxa"/>
            <w:tcBorders>
              <w:top w:val="single" w:color="000000" w:sz="4" w:space="0"/>
              <w:left w:val="single" w:color="000000" w:sz="4" w:space="0"/>
              <w:bottom w:val="single" w:color="000000" w:sz="4" w:space="0"/>
              <w:right w:val="single" w:color="000000" w:sz="4" w:space="0"/>
            </w:tcBorders>
            <w:vAlign w:val="center"/>
          </w:tcPr>
          <w:p w14:paraId="606EC080">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color w:val="auto"/>
                <w:sz w:val="24"/>
                <w:szCs w:val="24"/>
                <w:highlight w:val="none"/>
              </w:rPr>
              <w:t>技术参数</w:t>
            </w:r>
          </w:p>
        </w:tc>
        <w:tc>
          <w:tcPr>
            <w:tcW w:w="1213" w:type="dxa"/>
            <w:tcBorders>
              <w:top w:val="single" w:color="000000" w:sz="4" w:space="0"/>
              <w:left w:val="single" w:color="000000" w:sz="4" w:space="0"/>
              <w:bottom w:val="single" w:color="000000" w:sz="4" w:space="0"/>
              <w:right w:val="single" w:color="000000" w:sz="4" w:space="0"/>
            </w:tcBorders>
            <w:vAlign w:val="center"/>
          </w:tcPr>
          <w:p w14:paraId="13DBDED2">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单位</w:t>
            </w:r>
          </w:p>
        </w:tc>
        <w:tc>
          <w:tcPr>
            <w:tcW w:w="1399" w:type="dxa"/>
            <w:tcBorders>
              <w:top w:val="single" w:color="000000" w:sz="4" w:space="0"/>
              <w:left w:val="single" w:color="000000" w:sz="4" w:space="0"/>
              <w:bottom w:val="single" w:color="000000" w:sz="4" w:space="0"/>
              <w:right w:val="single" w:color="000000" w:sz="4" w:space="0"/>
            </w:tcBorders>
            <w:vAlign w:val="center"/>
          </w:tcPr>
          <w:p w14:paraId="74FFDC7A">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数量</w:t>
            </w:r>
          </w:p>
        </w:tc>
        <w:tc>
          <w:tcPr>
            <w:tcW w:w="1489" w:type="dxa"/>
            <w:tcBorders>
              <w:top w:val="single" w:color="000000" w:sz="4" w:space="0"/>
              <w:left w:val="single" w:color="000000" w:sz="4" w:space="0"/>
              <w:bottom w:val="single" w:color="000000" w:sz="4" w:space="0"/>
              <w:right w:val="single" w:color="000000" w:sz="4" w:space="0"/>
            </w:tcBorders>
            <w:vAlign w:val="center"/>
          </w:tcPr>
          <w:p w14:paraId="16BA2B62">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单价（元）</w:t>
            </w:r>
          </w:p>
        </w:tc>
        <w:tc>
          <w:tcPr>
            <w:tcW w:w="1743" w:type="dxa"/>
            <w:tcBorders>
              <w:top w:val="single" w:color="000000" w:sz="4" w:space="0"/>
              <w:left w:val="single" w:color="000000" w:sz="4" w:space="0"/>
              <w:bottom w:val="single" w:color="000000" w:sz="4" w:space="0"/>
              <w:right w:val="single" w:color="000000" w:sz="4" w:space="0"/>
            </w:tcBorders>
            <w:vAlign w:val="center"/>
          </w:tcPr>
          <w:p w14:paraId="7F1F1A33">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小计（元）</w:t>
            </w:r>
          </w:p>
        </w:tc>
      </w:tr>
      <w:tr w14:paraId="5DD16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2F33235F">
            <w:pPr>
              <w:spacing w:line="500" w:lineRule="exact"/>
              <w:jc w:val="center"/>
              <w:rPr>
                <w:rStyle w:val="258"/>
                <w:rFonts w:hint="eastAsia" w:ascii="微软雅黑" w:hAnsi="微软雅黑" w:eastAsia="微软雅黑" w:cs="微软雅黑"/>
                <w:color w:val="auto"/>
                <w:sz w:val="24"/>
                <w:szCs w:val="24"/>
                <w:highlight w:val="none"/>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57E0C748">
            <w:pPr>
              <w:spacing w:line="500" w:lineRule="exact"/>
              <w:jc w:val="center"/>
              <w:rPr>
                <w:rStyle w:val="258"/>
                <w:rFonts w:hint="eastAsia" w:ascii="微软雅黑" w:hAnsi="微软雅黑" w:eastAsia="微软雅黑" w:cs="微软雅黑"/>
                <w:color w:val="auto"/>
                <w:sz w:val="24"/>
                <w:szCs w:val="24"/>
                <w:highlight w:val="none"/>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6549F1D7">
            <w:pPr>
              <w:spacing w:line="500" w:lineRule="exact"/>
              <w:jc w:val="center"/>
              <w:rPr>
                <w:rStyle w:val="258"/>
                <w:rFonts w:hint="eastAsia" w:ascii="微软雅黑" w:hAnsi="微软雅黑" w:eastAsia="微软雅黑" w:cs="微软雅黑"/>
                <w:color w:val="auto"/>
                <w:sz w:val="24"/>
                <w:szCs w:val="24"/>
                <w:highlight w:val="none"/>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60CFB964">
            <w:pPr>
              <w:spacing w:line="500" w:lineRule="exact"/>
              <w:jc w:val="center"/>
              <w:rPr>
                <w:rStyle w:val="258"/>
                <w:rFonts w:hint="eastAsia" w:ascii="微软雅黑" w:hAnsi="微软雅黑" w:eastAsia="微软雅黑" w:cs="微软雅黑"/>
                <w:color w:val="auto"/>
                <w:sz w:val="24"/>
                <w:szCs w:val="24"/>
                <w:highlight w:val="none"/>
              </w:rPr>
            </w:pPr>
          </w:p>
        </w:tc>
        <w:tc>
          <w:tcPr>
            <w:tcW w:w="1399" w:type="dxa"/>
            <w:tcBorders>
              <w:top w:val="single" w:color="000000" w:sz="4" w:space="0"/>
              <w:left w:val="single" w:color="000000" w:sz="4" w:space="0"/>
              <w:bottom w:val="single" w:color="000000" w:sz="4" w:space="0"/>
              <w:right w:val="single" w:color="000000" w:sz="4" w:space="0"/>
            </w:tcBorders>
            <w:vAlign w:val="center"/>
          </w:tcPr>
          <w:p w14:paraId="1C082DF0">
            <w:pPr>
              <w:spacing w:line="500" w:lineRule="exact"/>
              <w:jc w:val="center"/>
              <w:rPr>
                <w:rStyle w:val="258"/>
                <w:rFonts w:hint="eastAsia" w:ascii="微软雅黑" w:hAnsi="微软雅黑" w:eastAsia="微软雅黑" w:cs="微软雅黑"/>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00D7064A">
            <w:pPr>
              <w:spacing w:line="500" w:lineRule="exact"/>
              <w:jc w:val="center"/>
              <w:rPr>
                <w:rStyle w:val="258"/>
                <w:rFonts w:hint="eastAsia" w:ascii="微软雅黑" w:hAnsi="微软雅黑" w:eastAsia="微软雅黑" w:cs="微软雅黑"/>
                <w:color w:val="auto"/>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vAlign w:val="center"/>
          </w:tcPr>
          <w:p w14:paraId="5418FDE7">
            <w:pPr>
              <w:spacing w:line="500" w:lineRule="exact"/>
              <w:jc w:val="center"/>
              <w:rPr>
                <w:rStyle w:val="258"/>
                <w:rFonts w:hint="eastAsia" w:ascii="微软雅黑" w:hAnsi="微软雅黑" w:eastAsia="微软雅黑" w:cs="微软雅黑"/>
                <w:color w:val="auto"/>
                <w:sz w:val="24"/>
                <w:szCs w:val="24"/>
                <w:highlight w:val="none"/>
              </w:rPr>
            </w:pPr>
          </w:p>
        </w:tc>
      </w:tr>
      <w:tr w14:paraId="651BD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768" w:type="dxa"/>
            <w:tcBorders>
              <w:top w:val="single" w:color="000000" w:sz="4" w:space="0"/>
              <w:left w:val="single" w:color="000000" w:sz="4" w:space="0"/>
              <w:bottom w:val="single" w:color="000000" w:sz="4" w:space="0"/>
              <w:right w:val="single" w:color="000000" w:sz="4" w:space="0"/>
            </w:tcBorders>
            <w:vAlign w:val="center"/>
          </w:tcPr>
          <w:p w14:paraId="45CA207B">
            <w:pPr>
              <w:spacing w:line="500" w:lineRule="exact"/>
              <w:jc w:val="center"/>
              <w:rPr>
                <w:rStyle w:val="258"/>
                <w:rFonts w:hint="eastAsia" w:ascii="微软雅黑" w:hAnsi="微软雅黑" w:eastAsia="微软雅黑" w:cs="微软雅黑"/>
                <w:color w:val="auto"/>
                <w:sz w:val="24"/>
                <w:szCs w:val="24"/>
                <w:highlight w:val="none"/>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764CF09D">
            <w:pPr>
              <w:spacing w:line="500" w:lineRule="exact"/>
              <w:jc w:val="center"/>
              <w:rPr>
                <w:rStyle w:val="258"/>
                <w:rFonts w:hint="eastAsia" w:ascii="微软雅黑" w:hAnsi="微软雅黑" w:eastAsia="微软雅黑" w:cs="微软雅黑"/>
                <w:color w:val="auto"/>
                <w:sz w:val="24"/>
                <w:szCs w:val="24"/>
                <w:highlight w:val="none"/>
              </w:rPr>
            </w:pPr>
          </w:p>
        </w:tc>
        <w:tc>
          <w:tcPr>
            <w:tcW w:w="1649" w:type="dxa"/>
            <w:tcBorders>
              <w:top w:val="single" w:color="000000" w:sz="4" w:space="0"/>
              <w:left w:val="single" w:color="000000" w:sz="4" w:space="0"/>
              <w:bottom w:val="single" w:color="000000" w:sz="4" w:space="0"/>
              <w:right w:val="single" w:color="000000" w:sz="4" w:space="0"/>
            </w:tcBorders>
            <w:vAlign w:val="center"/>
          </w:tcPr>
          <w:p w14:paraId="00B7A063">
            <w:pPr>
              <w:spacing w:line="500" w:lineRule="exact"/>
              <w:jc w:val="center"/>
              <w:rPr>
                <w:rStyle w:val="258"/>
                <w:rFonts w:hint="eastAsia" w:ascii="微软雅黑" w:hAnsi="微软雅黑" w:eastAsia="微软雅黑" w:cs="微软雅黑"/>
                <w:color w:val="auto"/>
                <w:sz w:val="24"/>
                <w:szCs w:val="24"/>
                <w:highlight w:val="none"/>
              </w:rPr>
            </w:pPr>
          </w:p>
        </w:tc>
        <w:tc>
          <w:tcPr>
            <w:tcW w:w="1213" w:type="dxa"/>
            <w:tcBorders>
              <w:top w:val="single" w:color="000000" w:sz="4" w:space="0"/>
              <w:left w:val="single" w:color="000000" w:sz="4" w:space="0"/>
              <w:bottom w:val="single" w:color="000000" w:sz="4" w:space="0"/>
              <w:right w:val="single" w:color="000000" w:sz="4" w:space="0"/>
            </w:tcBorders>
            <w:vAlign w:val="center"/>
          </w:tcPr>
          <w:p w14:paraId="1F90B86E">
            <w:pPr>
              <w:spacing w:line="500" w:lineRule="exact"/>
              <w:jc w:val="center"/>
              <w:rPr>
                <w:rStyle w:val="258"/>
                <w:rFonts w:hint="eastAsia" w:ascii="微软雅黑" w:hAnsi="微软雅黑" w:eastAsia="微软雅黑" w:cs="微软雅黑"/>
                <w:color w:val="auto"/>
                <w:sz w:val="24"/>
                <w:szCs w:val="24"/>
                <w:highlight w:val="none"/>
              </w:rPr>
            </w:pPr>
          </w:p>
        </w:tc>
        <w:tc>
          <w:tcPr>
            <w:tcW w:w="1399" w:type="dxa"/>
            <w:tcBorders>
              <w:top w:val="single" w:color="000000" w:sz="4" w:space="0"/>
              <w:left w:val="single" w:color="000000" w:sz="4" w:space="0"/>
              <w:bottom w:val="single" w:color="000000" w:sz="4" w:space="0"/>
              <w:right w:val="single" w:color="000000" w:sz="4" w:space="0"/>
            </w:tcBorders>
            <w:vAlign w:val="center"/>
          </w:tcPr>
          <w:p w14:paraId="0E000BDD">
            <w:pPr>
              <w:spacing w:line="500" w:lineRule="exact"/>
              <w:jc w:val="center"/>
              <w:rPr>
                <w:rStyle w:val="258"/>
                <w:rFonts w:hint="eastAsia" w:ascii="微软雅黑" w:hAnsi="微软雅黑" w:eastAsia="微软雅黑" w:cs="微软雅黑"/>
                <w:color w:val="auto"/>
                <w:sz w:val="24"/>
                <w:szCs w:val="24"/>
                <w:highlight w:val="none"/>
              </w:rPr>
            </w:pPr>
          </w:p>
        </w:tc>
        <w:tc>
          <w:tcPr>
            <w:tcW w:w="1489" w:type="dxa"/>
            <w:tcBorders>
              <w:top w:val="single" w:color="000000" w:sz="4" w:space="0"/>
              <w:left w:val="single" w:color="000000" w:sz="4" w:space="0"/>
              <w:bottom w:val="single" w:color="000000" w:sz="4" w:space="0"/>
              <w:right w:val="single" w:color="000000" w:sz="4" w:space="0"/>
            </w:tcBorders>
            <w:vAlign w:val="center"/>
          </w:tcPr>
          <w:p w14:paraId="32D3C93B">
            <w:pPr>
              <w:spacing w:line="500" w:lineRule="exact"/>
              <w:jc w:val="center"/>
              <w:rPr>
                <w:rStyle w:val="258"/>
                <w:rFonts w:hint="eastAsia" w:ascii="微软雅黑" w:hAnsi="微软雅黑" w:eastAsia="微软雅黑" w:cs="微软雅黑"/>
                <w:color w:val="auto"/>
                <w:sz w:val="24"/>
                <w:szCs w:val="24"/>
                <w:highlight w:val="none"/>
              </w:rPr>
            </w:pPr>
          </w:p>
        </w:tc>
        <w:tc>
          <w:tcPr>
            <w:tcW w:w="1743" w:type="dxa"/>
            <w:tcBorders>
              <w:top w:val="single" w:color="000000" w:sz="4" w:space="0"/>
              <w:left w:val="single" w:color="000000" w:sz="4" w:space="0"/>
              <w:bottom w:val="single" w:color="000000" w:sz="4" w:space="0"/>
              <w:right w:val="single" w:color="000000" w:sz="4" w:space="0"/>
            </w:tcBorders>
            <w:vAlign w:val="center"/>
          </w:tcPr>
          <w:p w14:paraId="01DBB783">
            <w:pPr>
              <w:spacing w:line="500" w:lineRule="exact"/>
              <w:jc w:val="center"/>
              <w:rPr>
                <w:rStyle w:val="258"/>
                <w:rFonts w:hint="eastAsia" w:ascii="微软雅黑" w:hAnsi="微软雅黑" w:eastAsia="微软雅黑" w:cs="微软雅黑"/>
                <w:color w:val="auto"/>
                <w:sz w:val="24"/>
                <w:szCs w:val="24"/>
                <w:highlight w:val="none"/>
              </w:rPr>
            </w:pPr>
          </w:p>
        </w:tc>
      </w:tr>
      <w:tr w14:paraId="77993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2573" w:type="dxa"/>
            <w:gridSpan w:val="2"/>
            <w:tcBorders>
              <w:top w:val="single" w:color="000000" w:sz="4" w:space="0"/>
              <w:left w:val="single" w:color="000000" w:sz="4" w:space="0"/>
              <w:bottom w:val="single" w:color="000000" w:sz="4" w:space="0"/>
              <w:right w:val="single" w:color="000000" w:sz="4" w:space="0"/>
            </w:tcBorders>
            <w:vAlign w:val="center"/>
          </w:tcPr>
          <w:p w14:paraId="78AC2B08">
            <w:pPr>
              <w:spacing w:line="500" w:lineRule="exact"/>
              <w:jc w:val="center"/>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 xml:space="preserve">合同金额   </w:t>
            </w:r>
          </w:p>
        </w:tc>
        <w:tc>
          <w:tcPr>
            <w:tcW w:w="7493" w:type="dxa"/>
            <w:gridSpan w:val="5"/>
            <w:tcBorders>
              <w:top w:val="single" w:color="000000" w:sz="4" w:space="0"/>
              <w:left w:val="single" w:color="000000" w:sz="4" w:space="0"/>
              <w:bottom w:val="single" w:color="000000" w:sz="4" w:space="0"/>
              <w:right w:val="single" w:color="000000" w:sz="4" w:space="0"/>
            </w:tcBorders>
            <w:vAlign w:val="center"/>
          </w:tcPr>
          <w:p w14:paraId="7FFBBD46">
            <w:pPr>
              <w:spacing w:line="500" w:lineRule="exact"/>
              <w:rPr>
                <w:rStyle w:val="258"/>
                <w:rFonts w:hint="eastAsia" w:ascii="微软雅黑" w:hAnsi="微软雅黑" w:eastAsia="微软雅黑" w:cs="微软雅黑"/>
                <w:b/>
                <w:bCs/>
                <w:color w:val="auto"/>
                <w:sz w:val="24"/>
                <w:szCs w:val="24"/>
                <w:highlight w:val="none"/>
              </w:rPr>
            </w:pPr>
            <w:r>
              <w:rPr>
                <w:rStyle w:val="258"/>
                <w:rFonts w:hint="eastAsia" w:ascii="微软雅黑" w:hAnsi="微软雅黑" w:eastAsia="微软雅黑" w:cs="微软雅黑"/>
                <w:b/>
                <w:bCs/>
                <w:color w:val="auto"/>
                <w:sz w:val="24"/>
                <w:szCs w:val="24"/>
                <w:highlight w:val="none"/>
              </w:rPr>
              <w:t>人民币小写：        大写：</w:t>
            </w:r>
          </w:p>
        </w:tc>
      </w:tr>
    </w:tbl>
    <w:p w14:paraId="4B1B1333">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具体订货量以及交货时间以书面、短信、微信等方式确认，成交量以</w:t>
      </w:r>
      <w:r>
        <w:rPr>
          <w:rStyle w:val="67"/>
          <w:rFonts w:hint="eastAsia" w:ascii="微软雅黑" w:hAnsi="微软雅黑" w:eastAsia="微软雅黑" w:cs="微软雅黑"/>
          <w:color w:val="auto"/>
          <w:sz w:val="24"/>
          <w:szCs w:val="24"/>
          <w:highlight w:val="none"/>
        </w:rPr>
        <w:t>甲方现场专管人员对</w:t>
      </w:r>
      <w:r>
        <w:rPr>
          <w:rStyle w:val="258"/>
          <w:rFonts w:hint="eastAsia" w:ascii="微软雅黑" w:hAnsi="微软雅黑" w:eastAsia="微软雅黑" w:cs="微软雅黑"/>
          <w:color w:val="auto"/>
          <w:sz w:val="24"/>
          <w:szCs w:val="24"/>
          <w:highlight w:val="none"/>
        </w:rPr>
        <w:t>乙方送货单或对账单</w:t>
      </w:r>
      <w:r>
        <w:rPr>
          <w:rStyle w:val="67"/>
          <w:rFonts w:hint="eastAsia" w:ascii="微软雅黑" w:hAnsi="微软雅黑" w:eastAsia="微软雅黑" w:cs="微软雅黑"/>
          <w:color w:val="auto"/>
          <w:sz w:val="24"/>
          <w:szCs w:val="24"/>
          <w:highlight w:val="none"/>
        </w:rPr>
        <w:t>签字盖章</w:t>
      </w:r>
      <w:r>
        <w:rPr>
          <w:rStyle w:val="258"/>
          <w:rFonts w:hint="eastAsia" w:ascii="微软雅黑" w:hAnsi="微软雅黑" w:eastAsia="微软雅黑" w:cs="微软雅黑"/>
          <w:color w:val="auto"/>
          <w:sz w:val="24"/>
          <w:szCs w:val="24"/>
          <w:highlight w:val="none"/>
        </w:rPr>
        <w:t>为准。以上单价均为含增值税发票（税率</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%，随国家政策调整）、运输、上下车、安装、调试、前期电梯安全评估费、电梯监督检验费、维保费用等。</w:t>
      </w:r>
    </w:p>
    <w:p w14:paraId="68BC679D">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52" w:name="_Toc10098"/>
      <w:bookmarkStart w:id="253" w:name="_Toc32758"/>
      <w:bookmarkStart w:id="254" w:name="_Toc22065"/>
      <w:bookmarkStart w:id="255" w:name="_Toc16865"/>
      <w:r>
        <w:rPr>
          <w:rStyle w:val="258"/>
          <w:rFonts w:hint="eastAsia" w:ascii="微软雅黑" w:hAnsi="微软雅黑" w:eastAsia="微软雅黑" w:cs="微软雅黑"/>
          <w:b/>
          <w:color w:val="auto"/>
          <w:sz w:val="24"/>
          <w:szCs w:val="24"/>
          <w:highlight w:val="none"/>
        </w:rPr>
        <w:t>三、货物交付：</w:t>
      </w:r>
      <w:bookmarkEnd w:id="252"/>
      <w:bookmarkEnd w:id="253"/>
      <w:bookmarkEnd w:id="254"/>
      <w:bookmarkEnd w:id="255"/>
      <w:r>
        <w:rPr>
          <w:rStyle w:val="258"/>
          <w:rFonts w:hint="eastAsia" w:ascii="微软雅黑" w:hAnsi="微软雅黑" w:eastAsia="微软雅黑" w:cs="微软雅黑"/>
          <w:b/>
          <w:color w:val="auto"/>
          <w:sz w:val="24"/>
          <w:szCs w:val="24"/>
          <w:highlight w:val="none"/>
        </w:rPr>
        <w:t xml:space="preserve"> </w:t>
      </w:r>
    </w:p>
    <w:p w14:paraId="1EDFD4F1">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rPr>
      </w:pPr>
      <w:bookmarkStart w:id="256" w:name="_Toc26907"/>
      <w:bookmarkStart w:id="257" w:name="_Toc10029"/>
      <w:bookmarkStart w:id="258" w:name="_Toc13562"/>
      <w:bookmarkStart w:id="259" w:name="_Toc21789"/>
      <w:r>
        <w:rPr>
          <w:rStyle w:val="258"/>
          <w:rFonts w:hint="eastAsia" w:ascii="微软雅黑" w:hAnsi="微软雅黑" w:eastAsia="微软雅黑" w:cs="微软雅黑"/>
          <w:color w:val="auto"/>
          <w:sz w:val="24"/>
          <w:szCs w:val="24"/>
          <w:highlight w:val="none"/>
        </w:rPr>
        <w:t>1、交货时间：双方签订采购合同</w:t>
      </w:r>
      <w:r>
        <w:rPr>
          <w:rStyle w:val="258"/>
          <w:rFonts w:hint="eastAsia" w:ascii="微软雅黑" w:hAnsi="微软雅黑" w:eastAsia="微软雅黑" w:cs="微软雅黑"/>
          <w:color w:val="auto"/>
          <w:sz w:val="24"/>
          <w:szCs w:val="24"/>
          <w:highlight w:val="none"/>
          <w:lang w:val="en-US" w:eastAsia="zh-CN"/>
        </w:rPr>
        <w:t>3</w:t>
      </w:r>
      <w:r>
        <w:rPr>
          <w:rStyle w:val="258"/>
          <w:rFonts w:hint="eastAsia" w:ascii="微软雅黑" w:hAnsi="微软雅黑" w:eastAsia="微软雅黑" w:cs="微软雅黑"/>
          <w:color w:val="auto"/>
          <w:sz w:val="24"/>
          <w:szCs w:val="24"/>
          <w:highlight w:val="none"/>
        </w:rPr>
        <w:t>0</w:t>
      </w:r>
      <w:r>
        <w:rPr>
          <w:rStyle w:val="258"/>
          <w:rFonts w:hint="eastAsia" w:ascii="微软雅黑" w:hAnsi="微软雅黑" w:eastAsia="微软雅黑" w:cs="微软雅黑"/>
          <w:color w:val="auto"/>
          <w:sz w:val="24"/>
          <w:szCs w:val="24"/>
          <w:highlight w:val="none"/>
        </w:rPr>
        <w:t>日历天内</w:t>
      </w:r>
      <w:bookmarkEnd w:id="256"/>
      <w:bookmarkEnd w:id="257"/>
      <w:bookmarkEnd w:id="258"/>
      <w:r>
        <w:rPr>
          <w:rStyle w:val="258"/>
          <w:rFonts w:hint="eastAsia" w:ascii="微软雅黑" w:hAnsi="微软雅黑" w:eastAsia="微软雅黑" w:cs="微软雅黑"/>
          <w:color w:val="auto"/>
          <w:sz w:val="24"/>
          <w:szCs w:val="24"/>
          <w:highlight w:val="none"/>
        </w:rPr>
        <w:t>，</w:t>
      </w:r>
      <w:r>
        <w:rPr>
          <w:rStyle w:val="258"/>
          <w:rFonts w:hint="eastAsia" w:ascii="微软雅黑" w:hAnsi="微软雅黑" w:eastAsia="微软雅黑" w:cs="微软雅黑"/>
          <w:color w:val="auto"/>
          <w:sz w:val="24"/>
          <w:szCs w:val="24"/>
          <w:highlight w:val="none"/>
        </w:rPr>
        <w:t>且最迟保证在</w:t>
      </w:r>
      <w:r>
        <w:rPr>
          <w:rStyle w:val="258"/>
          <w:rFonts w:hint="eastAsia" w:ascii="微软雅黑" w:hAnsi="微软雅黑" w:eastAsia="微软雅黑" w:cs="微软雅黑"/>
          <w:color w:val="auto"/>
          <w:sz w:val="24"/>
          <w:szCs w:val="24"/>
          <w:highlight w:val="none"/>
          <w:u w:val="single"/>
        </w:rPr>
        <w:t>202</w:t>
      </w:r>
      <w:r>
        <w:rPr>
          <w:rStyle w:val="258"/>
          <w:rFonts w:hint="eastAsia" w:ascii="微软雅黑" w:hAnsi="微软雅黑" w:eastAsia="微软雅黑" w:cs="微软雅黑"/>
          <w:color w:val="auto"/>
          <w:sz w:val="24"/>
          <w:szCs w:val="24"/>
          <w:highlight w:val="none"/>
          <w:u w:val="single"/>
          <w:lang w:val="en-US" w:eastAsia="zh-CN"/>
        </w:rPr>
        <w:t>6</w:t>
      </w:r>
      <w:r>
        <w:rPr>
          <w:rStyle w:val="258"/>
          <w:rFonts w:hint="eastAsia" w:ascii="微软雅黑" w:hAnsi="微软雅黑" w:eastAsia="微软雅黑" w:cs="微软雅黑"/>
          <w:color w:val="auto"/>
          <w:sz w:val="24"/>
          <w:szCs w:val="24"/>
          <w:highlight w:val="none"/>
          <w:u w:val="single"/>
        </w:rPr>
        <w:t>年  月   日</w:t>
      </w:r>
      <w:r>
        <w:rPr>
          <w:rStyle w:val="258"/>
          <w:rFonts w:hint="eastAsia" w:ascii="微软雅黑" w:hAnsi="微软雅黑" w:eastAsia="微软雅黑" w:cs="微软雅黑"/>
          <w:color w:val="auto"/>
          <w:sz w:val="24"/>
          <w:szCs w:val="24"/>
          <w:highlight w:val="none"/>
        </w:rPr>
        <w:t>前全部验收合格。</w:t>
      </w:r>
      <w:bookmarkEnd w:id="259"/>
    </w:p>
    <w:p w14:paraId="0BF8F267">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2、包装标准：按乙方出厂标准执行，由乙方负责交货时的产品完好。</w:t>
      </w:r>
    </w:p>
    <w:p w14:paraId="68780C84">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lang w:val="en-IE"/>
        </w:rPr>
      </w:pPr>
      <w:bookmarkStart w:id="260" w:name="_Toc18976"/>
      <w:bookmarkStart w:id="261" w:name="_Toc20037"/>
      <w:bookmarkStart w:id="262" w:name="_Toc21265"/>
      <w:bookmarkStart w:id="263" w:name="_Toc19335"/>
      <w:r>
        <w:rPr>
          <w:rStyle w:val="258"/>
          <w:rFonts w:hint="eastAsia" w:ascii="微软雅黑" w:hAnsi="微软雅黑" w:eastAsia="微软雅黑" w:cs="微软雅黑"/>
          <w:color w:val="auto"/>
          <w:sz w:val="24"/>
          <w:szCs w:val="24"/>
          <w:highlight w:val="none"/>
        </w:rPr>
        <w:t>3、交（提）货方式及地点：</w:t>
      </w:r>
      <w:bookmarkEnd w:id="260"/>
      <w:bookmarkEnd w:id="261"/>
      <w:bookmarkEnd w:id="262"/>
      <w:bookmarkEnd w:id="263"/>
    </w:p>
    <w:p w14:paraId="60851F82">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（1）交货地点和收货人姓名：交货地点：</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 xml:space="preserve">。        </w:t>
      </w:r>
    </w:p>
    <w:p w14:paraId="6E16AC3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收货人姓名：</w:t>
      </w:r>
      <w:r>
        <w:rPr>
          <w:rStyle w:val="258"/>
          <w:rFonts w:hint="eastAsia" w:ascii="微软雅黑" w:hAnsi="微软雅黑" w:eastAsia="微软雅黑" w:cs="微软雅黑"/>
          <w:color w:val="auto"/>
          <w:sz w:val="24"/>
          <w:szCs w:val="24"/>
          <w:highlight w:val="none"/>
          <w:u w:val="single" w:color="000000"/>
        </w:rPr>
        <w:t xml:space="preserve">          </w:t>
      </w:r>
      <w:r>
        <w:rPr>
          <w:rStyle w:val="258"/>
          <w:rFonts w:hint="eastAsia" w:ascii="微软雅黑" w:hAnsi="微软雅黑" w:eastAsia="微软雅黑" w:cs="微软雅黑"/>
          <w:color w:val="auto"/>
          <w:sz w:val="24"/>
          <w:szCs w:val="24"/>
          <w:highlight w:val="none"/>
        </w:rPr>
        <w:t>电话</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 xml:space="preserve"> 。</w:t>
      </w:r>
    </w:p>
    <w:p w14:paraId="76D9D30E">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（2）运输：乙方将货物运输至项目现场。</w:t>
      </w:r>
    </w:p>
    <w:p w14:paraId="1D82C3E3">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（3）下列情形除外：</w:t>
      </w:r>
    </w:p>
    <w:p w14:paraId="3CA1A26C">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A、甲方项目在本合同交货地点时，根据现场的需求提供货源，保质保量运送到甲方指定地点。</w:t>
      </w:r>
    </w:p>
    <w:p w14:paraId="1FE0E39A">
      <w:pPr>
        <w:widowControl/>
        <w:adjustRightInd w:val="0"/>
        <w:spacing w:line="500" w:lineRule="exact"/>
        <w:ind w:firstLine="456" w:firstLineChars="200"/>
        <w:textAlignment w:val="baseline"/>
        <w:rPr>
          <w:rStyle w:val="258"/>
          <w:rFonts w:hint="eastAsia" w:ascii="微软雅黑" w:hAnsi="微软雅黑" w:eastAsia="微软雅黑" w:cs="微软雅黑"/>
          <w:color w:val="auto"/>
          <w:spacing w:val="-6"/>
          <w:sz w:val="24"/>
          <w:szCs w:val="24"/>
          <w:highlight w:val="none"/>
        </w:rPr>
      </w:pPr>
      <w:r>
        <w:rPr>
          <w:rStyle w:val="258"/>
          <w:rFonts w:hint="eastAsia" w:ascii="微软雅黑" w:hAnsi="微软雅黑" w:eastAsia="微软雅黑" w:cs="微软雅黑"/>
          <w:color w:val="auto"/>
          <w:spacing w:val="-6"/>
          <w:sz w:val="24"/>
          <w:szCs w:val="24"/>
          <w:highlight w:val="none"/>
        </w:rPr>
        <w:t>B、</w:t>
      </w:r>
      <w:r>
        <w:rPr>
          <w:rFonts w:hint="eastAsia" w:ascii="微软雅黑" w:hAnsi="微软雅黑" w:eastAsia="微软雅黑" w:cs="微软雅黑"/>
          <w:color w:val="auto"/>
          <w:sz w:val="24"/>
          <w:szCs w:val="24"/>
          <w:highlight w:val="none"/>
        </w:rPr>
        <w:t>甲方验收合格并接受货物之前，货物毁损、灭失等风险不发生转移。</w:t>
      </w:r>
    </w:p>
    <w:p w14:paraId="118840AC">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64" w:name="_Toc7375"/>
      <w:bookmarkStart w:id="265" w:name="_Toc4645"/>
      <w:bookmarkStart w:id="266" w:name="_Toc462"/>
      <w:bookmarkStart w:id="267" w:name="_Toc32697"/>
      <w:r>
        <w:rPr>
          <w:rStyle w:val="258"/>
          <w:rFonts w:hint="eastAsia" w:ascii="微软雅黑" w:hAnsi="微软雅黑" w:eastAsia="微软雅黑" w:cs="微软雅黑"/>
          <w:b/>
          <w:color w:val="auto"/>
          <w:sz w:val="24"/>
          <w:szCs w:val="24"/>
          <w:highlight w:val="none"/>
        </w:rPr>
        <w:t>四、货物的验收：</w:t>
      </w:r>
      <w:bookmarkEnd w:id="264"/>
      <w:bookmarkEnd w:id="265"/>
      <w:bookmarkEnd w:id="266"/>
      <w:bookmarkEnd w:id="267"/>
    </w:p>
    <w:p w14:paraId="3325C307">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Cs/>
          <w:color w:val="auto"/>
          <w:sz w:val="24"/>
          <w:szCs w:val="24"/>
          <w:highlight w:val="none"/>
        </w:rPr>
      </w:pPr>
      <w:bookmarkStart w:id="268" w:name="_Toc30623"/>
      <w:r>
        <w:rPr>
          <w:rStyle w:val="258"/>
          <w:rFonts w:hint="eastAsia" w:ascii="微软雅黑" w:hAnsi="微软雅黑" w:eastAsia="微软雅黑" w:cs="微软雅黑"/>
          <w:bCs/>
          <w:color w:val="auto"/>
          <w:sz w:val="24"/>
          <w:szCs w:val="24"/>
          <w:highlight w:val="none"/>
        </w:rPr>
        <w:t>1、本项目的货物验收由甲方负责，</w:t>
      </w:r>
      <w:r>
        <w:rPr>
          <w:rStyle w:val="258"/>
          <w:rFonts w:hint="eastAsia" w:ascii="微软雅黑" w:hAnsi="微软雅黑" w:eastAsia="微软雅黑" w:cs="微软雅黑"/>
          <w:color w:val="auto"/>
          <w:sz w:val="24"/>
          <w:szCs w:val="24"/>
          <w:highlight w:val="none"/>
        </w:rPr>
        <w:t>甲方对所供货物的数量、型号等进行核验。</w:t>
      </w:r>
      <w:bookmarkEnd w:id="268"/>
    </w:p>
    <w:p w14:paraId="4AB7B464">
      <w:pPr>
        <w:widowControl/>
        <w:adjustRightInd w:val="0"/>
        <w:spacing w:line="500" w:lineRule="exact"/>
        <w:ind w:firstLine="48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2、乙方保证所供材料的品质及数量。</w:t>
      </w:r>
    </w:p>
    <w:p w14:paraId="049039CC">
      <w:pPr>
        <w:widowControl/>
        <w:adjustRightInd w:val="0"/>
        <w:spacing w:line="500" w:lineRule="exact"/>
        <w:ind w:firstLine="48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3、乙方在与甲方约定时间内交货。乙方对甲方验收有异议时，有权复验。</w:t>
      </w:r>
    </w:p>
    <w:p w14:paraId="2C05F5F1">
      <w:pPr>
        <w:widowControl/>
        <w:adjustRightInd w:val="0"/>
        <w:spacing w:line="500" w:lineRule="exact"/>
        <w:ind w:firstLine="499" w:firstLineChars="208"/>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4、在交货地点由甲、乙双方同时在场情况下进行货物验收。</w:t>
      </w:r>
      <w:r>
        <w:rPr>
          <w:rFonts w:hint="eastAsia" w:ascii="微软雅黑" w:hAnsi="微软雅黑" w:eastAsia="微软雅黑" w:cs="微软雅黑"/>
          <w:color w:val="auto"/>
          <w:sz w:val="24"/>
          <w:szCs w:val="24"/>
          <w:highlight w:val="none"/>
        </w:rPr>
        <w:t>甲方仅对货物的数量和外观进行检验,并不因此减轻或免除乙方所应承担的质量保证责任。</w:t>
      </w:r>
      <w:r>
        <w:rPr>
          <w:rStyle w:val="258"/>
          <w:rFonts w:hint="eastAsia" w:ascii="微软雅黑" w:hAnsi="微软雅黑" w:eastAsia="微软雅黑" w:cs="微软雅黑"/>
          <w:color w:val="auto"/>
          <w:sz w:val="24"/>
          <w:szCs w:val="24"/>
          <w:highlight w:val="none"/>
        </w:rPr>
        <w:t>乙方货物到场，甲方应在24小时内验收签字确认，质量异议甲方应当在收货后三日内提出，</w:t>
      </w:r>
      <w:r>
        <w:rPr>
          <w:rFonts w:hint="eastAsia" w:ascii="微软雅黑" w:hAnsi="微软雅黑" w:eastAsia="微软雅黑" w:cs="微软雅黑"/>
          <w:color w:val="auto"/>
          <w:sz w:val="24"/>
          <w:szCs w:val="24"/>
          <w:highlight w:val="none"/>
        </w:rPr>
        <w:t>乙方对货物的质量保证责任不因甲方是否提出异议而免除</w:t>
      </w:r>
      <w:r>
        <w:rPr>
          <w:rStyle w:val="258"/>
          <w:rFonts w:hint="eastAsia" w:ascii="微软雅黑" w:hAnsi="微软雅黑" w:eastAsia="微软雅黑" w:cs="微软雅黑"/>
          <w:color w:val="auto"/>
          <w:sz w:val="24"/>
          <w:szCs w:val="24"/>
          <w:highlight w:val="none"/>
        </w:rPr>
        <w:t>。</w:t>
      </w:r>
    </w:p>
    <w:p w14:paraId="7BB8E62E">
      <w:pPr>
        <w:widowControl/>
        <w:adjustRightInd w:val="0"/>
        <w:spacing w:line="500" w:lineRule="exact"/>
        <w:ind w:firstLine="48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5、乙方提供产品合格证、检验、检测报告。产品质量符合乙方企业标准及国家合格标准，</w:t>
      </w:r>
      <w:r>
        <w:rPr>
          <w:rFonts w:hint="eastAsia" w:ascii="微软雅黑" w:hAnsi="微软雅黑" w:eastAsia="微软雅黑" w:cs="微软雅黑"/>
          <w:color w:val="auto"/>
          <w:sz w:val="24"/>
          <w:szCs w:val="24"/>
          <w:highlight w:val="none"/>
        </w:rPr>
        <w:t>否则视为乙方违约。</w:t>
      </w:r>
    </w:p>
    <w:p w14:paraId="7F63656C">
      <w:pPr>
        <w:widowControl/>
        <w:tabs>
          <w:tab w:val="left" w:pos="0"/>
        </w:tabs>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69" w:name="_Toc19293"/>
      <w:bookmarkStart w:id="270" w:name="_Toc7090"/>
      <w:bookmarkStart w:id="271" w:name="_Toc13956"/>
      <w:bookmarkStart w:id="272" w:name="_Toc29062"/>
      <w:r>
        <w:rPr>
          <w:rStyle w:val="258"/>
          <w:rFonts w:hint="eastAsia" w:ascii="微软雅黑" w:hAnsi="微软雅黑" w:eastAsia="微软雅黑" w:cs="微软雅黑"/>
          <w:b/>
          <w:color w:val="auto"/>
          <w:sz w:val="24"/>
          <w:szCs w:val="24"/>
          <w:highlight w:val="none"/>
        </w:rPr>
        <w:t>五、结算方式：</w:t>
      </w:r>
      <w:bookmarkEnd w:id="269"/>
      <w:bookmarkEnd w:id="270"/>
      <w:bookmarkEnd w:id="271"/>
      <w:bookmarkEnd w:id="272"/>
    </w:p>
    <w:p w14:paraId="2336E409">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rPr>
      </w:pPr>
      <w:bookmarkStart w:id="273" w:name="_Toc13571"/>
      <w:bookmarkStart w:id="274" w:name="_Toc29916"/>
      <w:bookmarkStart w:id="275" w:name="_Toc29703"/>
      <w:bookmarkStart w:id="276" w:name="_Toc32078"/>
      <w:r>
        <w:rPr>
          <w:rStyle w:val="258"/>
          <w:rFonts w:hint="eastAsia" w:ascii="微软雅黑" w:hAnsi="微软雅黑" w:eastAsia="微软雅黑" w:cs="微软雅黑"/>
          <w:color w:val="auto"/>
          <w:sz w:val="24"/>
          <w:szCs w:val="24"/>
          <w:highlight w:val="none"/>
        </w:rPr>
        <w:t>1、结算方式：</w:t>
      </w:r>
      <w:r>
        <w:rPr>
          <w:rStyle w:val="258"/>
          <w:rFonts w:hint="eastAsia" w:ascii="微软雅黑" w:hAnsi="微软雅黑" w:eastAsia="微软雅黑" w:cs="微软雅黑"/>
          <w:color w:val="auto"/>
          <w:sz w:val="24"/>
          <w:szCs w:val="24"/>
          <w:highlight w:val="none"/>
          <w:u w:val="single" w:color="000000"/>
        </w:rPr>
        <w:t xml:space="preserve"> 对公支付 </w:t>
      </w:r>
      <w:r>
        <w:rPr>
          <w:rStyle w:val="258"/>
          <w:rFonts w:hint="eastAsia" w:ascii="微软雅黑" w:hAnsi="微软雅黑" w:eastAsia="微软雅黑" w:cs="微软雅黑"/>
          <w:color w:val="auto"/>
          <w:sz w:val="24"/>
          <w:szCs w:val="24"/>
          <w:highlight w:val="none"/>
        </w:rPr>
        <w:t>。</w:t>
      </w:r>
      <w:bookmarkEnd w:id="273"/>
      <w:bookmarkEnd w:id="274"/>
      <w:bookmarkEnd w:id="275"/>
      <w:bookmarkEnd w:id="276"/>
    </w:p>
    <w:p w14:paraId="3375484D">
      <w:pPr>
        <w:widowControl/>
        <w:adjustRightInd w:val="0"/>
        <w:spacing w:line="500" w:lineRule="exact"/>
        <w:ind w:firstLine="480" w:firstLineChars="200"/>
        <w:textAlignment w:val="baseline"/>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b w:val="0"/>
          <w:bCs/>
          <w:color w:val="auto"/>
          <w:sz w:val="24"/>
          <w:szCs w:val="24"/>
          <w:highlight w:val="none"/>
          <w:u w:val="none"/>
        </w:rPr>
        <w:t>物业专项维修资金部分</w:t>
      </w:r>
      <w:r>
        <w:rPr>
          <w:rFonts w:hint="eastAsia" w:ascii="微软雅黑" w:hAnsi="微软雅黑" w:eastAsia="微软雅黑" w:cs="微软雅黑"/>
          <w:b w:val="0"/>
          <w:bCs/>
          <w:color w:val="auto"/>
          <w:sz w:val="24"/>
          <w:szCs w:val="24"/>
          <w:highlight w:val="none"/>
          <w:u w:val="none"/>
          <w:lang w:eastAsia="zh-CN"/>
        </w:rPr>
        <w:t>，</w:t>
      </w:r>
      <w:r>
        <w:rPr>
          <w:rFonts w:hint="eastAsia" w:ascii="微软雅黑" w:hAnsi="微软雅黑" w:eastAsia="微软雅黑" w:cs="微软雅黑"/>
          <w:b w:val="0"/>
          <w:bCs/>
          <w:color w:val="auto"/>
          <w:sz w:val="24"/>
          <w:szCs w:val="24"/>
          <w:highlight w:val="none"/>
          <w:lang w:eastAsia="zh-CN"/>
        </w:rPr>
        <w:t>遵守《重庆市住宅专项维修资金管理办法》，</w:t>
      </w:r>
      <w:r>
        <w:rPr>
          <w:rFonts w:hint="eastAsia" w:ascii="微软雅黑" w:hAnsi="微软雅黑" w:eastAsia="微软雅黑" w:cs="微软雅黑"/>
          <w:b w:val="0"/>
          <w:bCs/>
          <w:color w:val="auto"/>
          <w:sz w:val="24"/>
          <w:szCs w:val="24"/>
          <w:highlight w:val="none"/>
          <w:u w:val="none"/>
        </w:rPr>
        <w:t>由甲方向重庆市</w:t>
      </w:r>
      <w:r>
        <w:rPr>
          <w:rFonts w:hint="eastAsia" w:ascii="微软雅黑" w:hAnsi="微软雅黑" w:eastAsia="微软雅黑" w:cs="微软雅黑"/>
          <w:b w:val="0"/>
          <w:bCs/>
          <w:color w:val="auto"/>
          <w:sz w:val="24"/>
          <w:szCs w:val="24"/>
          <w:highlight w:val="none"/>
          <w:u w:val="none"/>
          <w:lang w:val="en-US" w:eastAsia="zh-CN"/>
        </w:rPr>
        <w:t>九龙坡</w:t>
      </w:r>
      <w:r>
        <w:rPr>
          <w:rFonts w:hint="eastAsia" w:ascii="微软雅黑" w:hAnsi="微软雅黑" w:eastAsia="微软雅黑" w:cs="微软雅黑"/>
          <w:b w:val="0"/>
          <w:bCs/>
          <w:color w:val="auto"/>
          <w:sz w:val="24"/>
          <w:szCs w:val="24"/>
          <w:highlight w:val="none"/>
          <w:u w:val="none"/>
        </w:rPr>
        <w:t>区住建委申请该栋物业专项维修资金进行支付，合同签订后甲方按使用流程向物业专项维修资金管理中心提交预付款申请资料，首批设备到场经甲方代表及热心业主验货无误后由物业专项维修资金管理中心支付大修基金部分的30%预付款，具体支付时间、金额以物业专项维修基金办支付为准，余款待工程竣工验收合格后由物业专项维修资金管理中心按照审定金额减去质保金</w:t>
      </w:r>
      <w:r>
        <w:rPr>
          <w:rFonts w:hint="eastAsia" w:ascii="微软雅黑" w:hAnsi="微软雅黑" w:eastAsia="微软雅黑" w:cs="微软雅黑"/>
          <w:b w:val="0"/>
          <w:bCs/>
          <w:color w:val="auto"/>
          <w:sz w:val="24"/>
          <w:szCs w:val="24"/>
          <w:highlight w:val="none"/>
          <w:u w:val="none"/>
          <w:lang w:val="en-US" w:eastAsia="zh-CN"/>
        </w:rPr>
        <w:t>3</w:t>
      </w:r>
      <w:r>
        <w:rPr>
          <w:rFonts w:hint="eastAsia" w:ascii="微软雅黑" w:hAnsi="微软雅黑" w:eastAsia="微软雅黑" w:cs="微软雅黑"/>
          <w:b w:val="0"/>
          <w:bCs/>
          <w:color w:val="auto"/>
          <w:sz w:val="24"/>
          <w:szCs w:val="24"/>
          <w:highlight w:val="none"/>
          <w:u w:val="none"/>
        </w:rPr>
        <w:t>%后进行结算。</w:t>
      </w:r>
    </w:p>
    <w:p w14:paraId="7BE34C0C">
      <w:pPr>
        <w:pStyle w:val="5"/>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、超长国债补贴每台电梯</w:t>
      </w:r>
      <w:r>
        <w:rPr>
          <w:rFonts w:hint="eastAsia" w:ascii="微软雅黑" w:hAnsi="微软雅黑" w:eastAsia="微软雅黑" w:cs="微软雅黑"/>
          <w:color w:val="auto"/>
          <w:sz w:val="24"/>
          <w:szCs w:val="24"/>
          <w:highlight w:val="none"/>
          <w:lang w:val="en-US" w:eastAsia="zh-CN"/>
        </w:rPr>
        <w:t>的金额</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按</w:t>
      </w:r>
      <w:r>
        <w:rPr>
          <w:rFonts w:hint="eastAsia" w:ascii="微软雅黑" w:hAnsi="微软雅黑" w:eastAsia="微软雅黑" w:cs="微软雅黑"/>
          <w:b w:val="0"/>
          <w:bCs/>
          <w:color w:val="auto"/>
          <w:sz w:val="24"/>
          <w:szCs w:val="24"/>
          <w:highlight w:val="none"/>
        </w:rPr>
        <w:t>《重庆市财政局关于下达2025年第一批超长期特别国债（大规模设备更新领域-住宅老旧电梯更新）支出预算通知》（渝财建［2025］119号）等文件要求，按规定及时拨付施工进度款。申请主体按国债资金拨付要求准备资料和《住宅老旧电梯更新项目使用超长期特别国债资金审核意见书》、《住宅老旧电梯更新项目超使用长期特别国债资金拨付审批表》送街道相关岗位审核后，报建设局审批，建设局使用国债资金将进度款直接拨付至电梯</w:t>
      </w:r>
      <w:r>
        <w:rPr>
          <w:rFonts w:hint="eastAsia" w:ascii="微软雅黑" w:hAnsi="微软雅黑" w:eastAsia="微软雅黑" w:cs="微软雅黑"/>
          <w:b w:val="0"/>
          <w:bCs/>
          <w:color w:val="auto"/>
          <w:sz w:val="24"/>
          <w:szCs w:val="24"/>
          <w:highlight w:val="none"/>
          <w:lang w:val="en-US" w:eastAsia="zh-CN"/>
        </w:rPr>
        <w:t>供货单位</w:t>
      </w:r>
      <w:r>
        <w:rPr>
          <w:rFonts w:hint="eastAsia" w:ascii="微软雅黑" w:hAnsi="微软雅黑" w:eastAsia="微软雅黑" w:cs="微软雅黑"/>
          <w:b w:val="0"/>
          <w:bCs/>
          <w:color w:val="auto"/>
          <w:sz w:val="24"/>
          <w:szCs w:val="24"/>
          <w:highlight w:val="none"/>
        </w:rPr>
        <w:t>单位账户</w:t>
      </w:r>
      <w:r>
        <w:rPr>
          <w:rFonts w:hint="eastAsia" w:ascii="微软雅黑" w:hAnsi="微软雅黑" w:eastAsia="微软雅黑" w:cs="微软雅黑"/>
          <w:b w:val="0"/>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乙方自行办理超长国债补贴的相关手续，且</w:t>
      </w:r>
      <w:r>
        <w:rPr>
          <w:rStyle w:val="258"/>
          <w:rFonts w:hint="eastAsia" w:ascii="微软雅黑" w:hAnsi="微软雅黑" w:eastAsia="微软雅黑" w:cs="微软雅黑"/>
          <w:b/>
          <w:bCs/>
          <w:color w:val="auto"/>
          <w:sz w:val="24"/>
          <w:szCs w:val="24"/>
          <w:highlight w:val="none"/>
        </w:rPr>
        <w:t>保证在超长国债补贴规定的时间内完成全部手续，否则由乙方自行承担国补费用。</w:t>
      </w:r>
    </w:p>
    <w:p w14:paraId="59E95F92">
      <w:pPr>
        <w:widowControl/>
        <w:adjustRightInd w:val="0"/>
        <w:spacing w:line="50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rPr>
        <w:t>4</w:t>
      </w:r>
      <w:r>
        <w:rPr>
          <w:rFonts w:hint="eastAsia" w:ascii="微软雅黑" w:hAnsi="微软雅黑" w:eastAsia="微软雅黑" w:cs="微软雅黑"/>
          <w:color w:val="auto"/>
          <w:kern w:val="0"/>
          <w:sz w:val="24"/>
          <w:szCs w:val="24"/>
          <w:highlight w:val="none"/>
        </w:rPr>
        <w:t>、电梯经重庆特检院验收合格之日起满2年后，20个工作日内由</w:t>
      </w:r>
      <w:r>
        <w:rPr>
          <w:rFonts w:hint="eastAsia" w:ascii="微软雅黑" w:hAnsi="微软雅黑" w:eastAsia="微软雅黑" w:cs="微软雅黑"/>
          <w:color w:val="auto"/>
          <w:kern w:val="0"/>
          <w:sz w:val="24"/>
          <w:szCs w:val="24"/>
          <w:highlight w:val="none"/>
          <w:lang w:val="en-US" w:eastAsia="zh-CN"/>
        </w:rPr>
        <w:t>乙</w:t>
      </w:r>
      <w:r>
        <w:rPr>
          <w:rFonts w:hint="eastAsia" w:ascii="微软雅黑" w:hAnsi="微软雅黑" w:eastAsia="微软雅黑" w:cs="微软雅黑"/>
          <w:color w:val="auto"/>
          <w:kern w:val="0"/>
          <w:sz w:val="24"/>
          <w:szCs w:val="24"/>
          <w:highlight w:val="none"/>
        </w:rPr>
        <w:t>方</w:t>
      </w:r>
      <w:r>
        <w:rPr>
          <w:rFonts w:hint="eastAsia" w:ascii="微软雅黑" w:hAnsi="微软雅黑" w:eastAsia="微软雅黑" w:cs="微软雅黑"/>
          <w:color w:val="auto"/>
          <w:kern w:val="0"/>
          <w:sz w:val="24"/>
          <w:szCs w:val="24"/>
          <w:highlight w:val="none"/>
          <w:lang w:val="en-US" w:eastAsia="zh-CN"/>
        </w:rPr>
        <w:t>开具3</w:t>
      </w:r>
      <w:r>
        <w:rPr>
          <w:rFonts w:hint="eastAsia" w:ascii="微软雅黑" w:hAnsi="微软雅黑" w:eastAsia="微软雅黑" w:cs="微软雅黑"/>
          <w:color w:val="auto"/>
          <w:kern w:val="0"/>
          <w:sz w:val="24"/>
          <w:szCs w:val="24"/>
          <w:highlight w:val="none"/>
        </w:rPr>
        <w:t>%质保金</w:t>
      </w:r>
      <w:r>
        <w:rPr>
          <w:rFonts w:hint="eastAsia" w:ascii="微软雅黑" w:hAnsi="微软雅黑" w:eastAsia="微软雅黑" w:cs="微软雅黑"/>
          <w:color w:val="auto"/>
          <w:kern w:val="0"/>
          <w:sz w:val="24"/>
          <w:szCs w:val="24"/>
          <w:highlight w:val="none"/>
          <w:lang w:val="en-US" w:eastAsia="zh-CN"/>
        </w:rPr>
        <w:t>质量保函</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kern w:val="0"/>
          <w:sz w:val="24"/>
          <w:szCs w:val="24"/>
          <w:highlight w:val="none"/>
          <w:lang w:val="en-US" w:eastAsia="zh-CN"/>
        </w:rPr>
        <w:t>有限期为3年（安装检验合格后5年），</w:t>
      </w:r>
      <w:r>
        <w:rPr>
          <w:rFonts w:hint="eastAsia" w:ascii="微软雅黑" w:hAnsi="微软雅黑" w:eastAsia="微软雅黑" w:cs="微软雅黑"/>
          <w:b w:val="0"/>
          <w:bCs/>
          <w:color w:val="auto"/>
          <w:sz w:val="24"/>
          <w:szCs w:val="24"/>
          <w:highlight w:val="none"/>
          <w:lang w:eastAsia="zh-CN"/>
        </w:rPr>
        <w:t>遵</w:t>
      </w:r>
      <w:r>
        <w:rPr>
          <w:rFonts w:hint="eastAsia" w:ascii="微软雅黑" w:hAnsi="微软雅黑" w:eastAsia="微软雅黑" w:cs="微软雅黑"/>
          <w:b w:val="0"/>
          <w:bCs/>
          <w:color w:val="auto"/>
          <w:sz w:val="24"/>
          <w:szCs w:val="24"/>
          <w:highlight w:val="none"/>
          <w:lang w:val="en-US" w:eastAsia="zh-CN"/>
        </w:rPr>
        <w:t>照</w:t>
      </w:r>
      <w:r>
        <w:rPr>
          <w:rFonts w:hint="eastAsia" w:ascii="微软雅黑" w:hAnsi="微软雅黑" w:eastAsia="微软雅黑" w:cs="微软雅黑"/>
          <w:b w:val="0"/>
          <w:bCs/>
          <w:color w:val="auto"/>
          <w:sz w:val="24"/>
          <w:szCs w:val="24"/>
          <w:highlight w:val="none"/>
          <w:lang w:eastAsia="zh-CN"/>
        </w:rPr>
        <w:t>《重庆市住宅专项维修资金管理办法》</w:t>
      </w:r>
      <w:r>
        <w:rPr>
          <w:rFonts w:hint="eastAsia" w:ascii="微软雅黑" w:hAnsi="微软雅黑" w:eastAsia="微软雅黑" w:cs="微软雅黑"/>
          <w:b w:val="0"/>
          <w:bCs/>
          <w:color w:val="auto"/>
          <w:sz w:val="24"/>
          <w:szCs w:val="24"/>
          <w:highlight w:val="none"/>
          <w:lang w:val="en-US" w:eastAsia="zh-CN"/>
        </w:rPr>
        <w:t>的相关规定，申请3%质保金退还乙方</w:t>
      </w:r>
      <w:r>
        <w:rPr>
          <w:rFonts w:hint="eastAsia" w:ascii="微软雅黑" w:hAnsi="微软雅黑" w:eastAsia="微软雅黑" w:cs="微软雅黑"/>
          <w:color w:val="auto"/>
          <w:kern w:val="0"/>
          <w:sz w:val="24"/>
          <w:szCs w:val="24"/>
          <w:highlight w:val="none"/>
          <w:lang w:val="en-US" w:eastAsia="zh-CN"/>
        </w:rPr>
        <w:t>。</w:t>
      </w:r>
    </w:p>
    <w:p w14:paraId="69043D9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lang w:val="en-US" w:eastAsia="zh-CN"/>
        </w:rPr>
        <w:t>5</w:t>
      </w:r>
      <w:r>
        <w:rPr>
          <w:rStyle w:val="258"/>
          <w:rFonts w:hint="eastAsia" w:ascii="微软雅黑" w:hAnsi="微软雅黑" w:eastAsia="微软雅黑" w:cs="微软雅黑"/>
          <w:color w:val="auto"/>
          <w:sz w:val="24"/>
          <w:szCs w:val="24"/>
          <w:highlight w:val="none"/>
        </w:rPr>
        <w:t>、甲方授权甲方代表</w:t>
      </w:r>
      <w:r>
        <w:rPr>
          <w:rStyle w:val="258"/>
          <w:rFonts w:hint="eastAsia" w:ascii="微软雅黑" w:hAnsi="微软雅黑" w:eastAsia="微软雅黑" w:cs="微软雅黑"/>
          <w:color w:val="auto"/>
          <w:sz w:val="24"/>
          <w:szCs w:val="24"/>
          <w:highlight w:val="none"/>
          <w:u w:val="single" w:color="000000"/>
        </w:rPr>
        <w:t xml:space="preserve">           </w:t>
      </w:r>
      <w:r>
        <w:rPr>
          <w:rStyle w:val="258"/>
          <w:rFonts w:hint="eastAsia" w:ascii="微软雅黑" w:hAnsi="微软雅黑" w:eastAsia="微软雅黑" w:cs="微软雅黑"/>
          <w:color w:val="auto"/>
          <w:sz w:val="24"/>
          <w:szCs w:val="24"/>
          <w:highlight w:val="none"/>
        </w:rPr>
        <w:t xml:space="preserve"> 电话：</w:t>
      </w:r>
      <w:r>
        <w:rPr>
          <w:rStyle w:val="258"/>
          <w:rFonts w:hint="eastAsia" w:ascii="微软雅黑" w:hAnsi="微软雅黑" w:eastAsia="微软雅黑" w:cs="微软雅黑"/>
          <w:color w:val="auto"/>
          <w:sz w:val="24"/>
          <w:szCs w:val="24"/>
          <w:highlight w:val="none"/>
          <w:u w:val="single" w:color="000000"/>
        </w:rPr>
        <w:t xml:space="preserve">              </w:t>
      </w:r>
      <w:r>
        <w:rPr>
          <w:rStyle w:val="258"/>
          <w:rFonts w:hint="eastAsia" w:ascii="微软雅黑" w:hAnsi="微软雅黑" w:eastAsia="微软雅黑" w:cs="微软雅黑"/>
          <w:color w:val="auto"/>
          <w:sz w:val="24"/>
          <w:szCs w:val="24"/>
          <w:highlight w:val="none"/>
        </w:rPr>
        <w:t>与乙方核对账目，以上人员在对账单签字的行为视为甲方对对账单的认可，并加盖甲方公章。乙方将对账单书面送达甲方后，甲方应当在7日内对账目进行核对，有异议书面向乙方提出。</w:t>
      </w:r>
    </w:p>
    <w:p w14:paraId="62BB32ED">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lang w:val="en-US" w:eastAsia="zh-CN"/>
        </w:rPr>
        <w:t>6</w:t>
      </w:r>
      <w:r>
        <w:rPr>
          <w:rStyle w:val="258"/>
          <w:rFonts w:hint="eastAsia" w:ascii="微软雅黑" w:hAnsi="微软雅黑" w:eastAsia="微软雅黑" w:cs="微软雅黑"/>
          <w:color w:val="auto"/>
          <w:sz w:val="24"/>
          <w:szCs w:val="24"/>
          <w:highlight w:val="none"/>
        </w:rPr>
        <w:t>、甲方应按照合同约定的付款方式及时履行付款义务。</w:t>
      </w:r>
      <w:r>
        <w:rPr>
          <w:rFonts w:hint="eastAsia" w:ascii="微软雅黑" w:hAnsi="微软雅黑" w:eastAsia="微软雅黑" w:cs="微软雅黑"/>
          <w:color w:val="auto"/>
          <w:sz w:val="24"/>
          <w:szCs w:val="24"/>
          <w:highlight w:val="none"/>
        </w:rPr>
        <w:t>付款前，乙方应提供真实有效的增值税发票</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注：材料设备税率13%，安装人工3%，或工程综合税率9%）</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否则甲方有权暂不付款，并不承担逾期付款违约责任。</w:t>
      </w:r>
      <w:r>
        <w:rPr>
          <w:rStyle w:val="258"/>
          <w:rFonts w:hint="eastAsia" w:ascii="微软雅黑" w:hAnsi="微软雅黑" w:eastAsia="微软雅黑" w:cs="微软雅黑"/>
          <w:color w:val="auto"/>
          <w:sz w:val="24"/>
          <w:szCs w:val="24"/>
          <w:highlight w:val="none"/>
        </w:rPr>
        <w:t xml:space="preserve"> </w:t>
      </w:r>
    </w:p>
    <w:p w14:paraId="429D97F9">
      <w:pPr>
        <w:widowControl/>
        <w:adjustRightInd w:val="0"/>
        <w:spacing w:line="500" w:lineRule="exact"/>
        <w:ind w:firstLine="480" w:firstLineChars="200"/>
        <w:textAlignment w:val="baseline"/>
        <w:outlineLvl w:val="1"/>
        <w:rPr>
          <w:rStyle w:val="258"/>
          <w:rFonts w:hint="eastAsia" w:ascii="微软雅黑" w:hAnsi="微软雅黑" w:eastAsia="微软雅黑" w:cs="微软雅黑"/>
          <w:color w:val="auto"/>
          <w:sz w:val="24"/>
          <w:szCs w:val="24"/>
          <w:highlight w:val="none"/>
        </w:rPr>
      </w:pPr>
      <w:bookmarkStart w:id="277" w:name="_Toc3542"/>
      <w:bookmarkStart w:id="278" w:name="_Toc23128"/>
      <w:bookmarkStart w:id="279" w:name="_Toc24402"/>
      <w:bookmarkStart w:id="280" w:name="_Toc13397"/>
      <w:r>
        <w:rPr>
          <w:rStyle w:val="258"/>
          <w:rFonts w:hint="eastAsia" w:ascii="微软雅黑" w:hAnsi="微软雅黑" w:eastAsia="微软雅黑" w:cs="微软雅黑"/>
          <w:color w:val="auto"/>
          <w:sz w:val="24"/>
          <w:szCs w:val="24"/>
          <w:highlight w:val="none"/>
          <w:lang w:val="en-US" w:eastAsia="zh-CN"/>
        </w:rPr>
        <w:t>7</w:t>
      </w:r>
      <w:r>
        <w:rPr>
          <w:rStyle w:val="258"/>
          <w:rFonts w:hint="eastAsia" w:ascii="微软雅黑" w:hAnsi="微软雅黑" w:eastAsia="微软雅黑" w:cs="微软雅黑"/>
          <w:color w:val="auto"/>
          <w:sz w:val="24"/>
          <w:szCs w:val="24"/>
          <w:highlight w:val="none"/>
        </w:rPr>
        <w:t>、付款时注意事项：</w:t>
      </w:r>
      <w:bookmarkEnd w:id="277"/>
      <w:bookmarkEnd w:id="278"/>
      <w:bookmarkEnd w:id="279"/>
      <w:bookmarkEnd w:id="280"/>
    </w:p>
    <w:p w14:paraId="32DBF82F">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支付货款时，须注明付款单位名称和项目名称；</w:t>
      </w:r>
    </w:p>
    <w:p w14:paraId="3BCCFCEA">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付款后及时将支付凭证以书面、短信、微信等方式传给乙方授权代表人，以便及时确认。</w:t>
      </w:r>
    </w:p>
    <w:p w14:paraId="420F6EAE">
      <w:pPr>
        <w:widowControl/>
        <w:adjustRightInd w:val="0"/>
        <w:spacing w:after="93" w:line="500" w:lineRule="exact"/>
        <w:ind w:firstLine="480" w:firstLineChars="200"/>
        <w:textAlignment w:val="baseline"/>
        <w:outlineLvl w:val="0"/>
        <w:rPr>
          <w:rStyle w:val="258"/>
          <w:rFonts w:hint="eastAsia" w:ascii="微软雅黑" w:hAnsi="微软雅黑" w:eastAsia="微软雅黑" w:cs="微软雅黑"/>
          <w:b/>
          <w:bCs/>
          <w:color w:val="auto"/>
          <w:sz w:val="24"/>
          <w:szCs w:val="24"/>
          <w:highlight w:val="none"/>
        </w:rPr>
      </w:pPr>
      <w:bookmarkStart w:id="281" w:name="_Toc9141"/>
      <w:bookmarkStart w:id="282" w:name="_Toc5711"/>
      <w:bookmarkStart w:id="283" w:name="_Toc4760"/>
      <w:bookmarkStart w:id="284" w:name="_Toc15362"/>
      <w:r>
        <w:rPr>
          <w:rStyle w:val="258"/>
          <w:rFonts w:hint="eastAsia" w:ascii="微软雅黑" w:hAnsi="微软雅黑" w:eastAsia="微软雅黑" w:cs="微软雅黑"/>
          <w:b/>
          <w:bCs/>
          <w:color w:val="auto"/>
          <w:sz w:val="24"/>
          <w:szCs w:val="24"/>
          <w:highlight w:val="none"/>
        </w:rPr>
        <w:t>六、安装验收</w:t>
      </w:r>
      <w:bookmarkEnd w:id="281"/>
      <w:bookmarkEnd w:id="282"/>
      <w:bookmarkEnd w:id="283"/>
      <w:bookmarkEnd w:id="284"/>
    </w:p>
    <w:p w14:paraId="6515E299">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1、供货清单的确认；</w:t>
      </w:r>
    </w:p>
    <w:p w14:paraId="13A2FC2C">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2、电梯的综合性能检查；</w:t>
      </w:r>
    </w:p>
    <w:p w14:paraId="6EB0EFBC">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3、竣工资料一套；</w:t>
      </w:r>
    </w:p>
    <w:p w14:paraId="14E9F1A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4、重庆特种设备检测研究院的检验报告和检验结论。</w:t>
      </w:r>
    </w:p>
    <w:p w14:paraId="6DE7DB3F">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85" w:name="_Toc9544"/>
      <w:bookmarkStart w:id="286" w:name="_Toc7963"/>
      <w:bookmarkStart w:id="287" w:name="_Toc15674"/>
      <w:bookmarkStart w:id="288" w:name="_Toc7202"/>
      <w:r>
        <w:rPr>
          <w:rStyle w:val="258"/>
          <w:rFonts w:hint="eastAsia" w:ascii="微软雅黑" w:hAnsi="微软雅黑" w:eastAsia="微软雅黑" w:cs="微软雅黑"/>
          <w:b/>
          <w:bCs/>
          <w:color w:val="auto"/>
          <w:sz w:val="24"/>
          <w:szCs w:val="24"/>
          <w:highlight w:val="none"/>
        </w:rPr>
        <w:t>七、</w:t>
      </w:r>
      <w:r>
        <w:rPr>
          <w:rStyle w:val="258"/>
          <w:rFonts w:hint="eastAsia" w:ascii="微软雅黑" w:hAnsi="微软雅黑" w:eastAsia="微软雅黑" w:cs="微软雅黑"/>
          <w:b/>
          <w:color w:val="auto"/>
          <w:sz w:val="24"/>
          <w:szCs w:val="24"/>
          <w:highlight w:val="none"/>
        </w:rPr>
        <w:t>质保期限：</w:t>
      </w:r>
      <w:bookmarkEnd w:id="285"/>
      <w:bookmarkEnd w:id="286"/>
      <w:bookmarkEnd w:id="287"/>
      <w:bookmarkEnd w:id="288"/>
    </w:p>
    <w:p w14:paraId="72D2E257">
      <w:pPr>
        <w:widowControl/>
        <w:adjustRightInd w:val="0"/>
        <w:spacing w:line="500" w:lineRule="exact"/>
        <w:ind w:firstLine="480" w:firstLineChars="200"/>
        <w:textAlignment w:val="baseline"/>
        <w:rPr>
          <w:rStyle w:val="258"/>
          <w:rFonts w:hint="eastAsia" w:ascii="微软雅黑" w:hAnsi="微软雅黑" w:eastAsia="微软雅黑" w:cs="微软雅黑"/>
          <w:bCs/>
          <w:color w:val="auto"/>
          <w:sz w:val="24"/>
          <w:szCs w:val="24"/>
          <w:highlight w:val="none"/>
        </w:rPr>
      </w:pPr>
      <w:r>
        <w:rPr>
          <w:rStyle w:val="258"/>
          <w:rFonts w:hint="eastAsia" w:ascii="微软雅黑" w:hAnsi="微软雅黑" w:eastAsia="微软雅黑" w:cs="微软雅黑"/>
          <w:bCs/>
          <w:color w:val="auto"/>
          <w:sz w:val="24"/>
          <w:szCs w:val="24"/>
          <w:highlight w:val="none"/>
        </w:rPr>
        <w:t>整机质保期为5年，六大核心部件质保期为10年，免费维保期</w:t>
      </w:r>
      <w:r>
        <w:rPr>
          <w:rStyle w:val="258"/>
          <w:rFonts w:hint="eastAsia" w:ascii="微软雅黑" w:hAnsi="微软雅黑" w:eastAsia="微软雅黑" w:cs="微软雅黑"/>
          <w:bCs/>
          <w:color w:val="auto"/>
          <w:sz w:val="24"/>
          <w:szCs w:val="24"/>
          <w:highlight w:val="none"/>
          <w:lang w:val="en-US" w:eastAsia="zh-CN"/>
        </w:rPr>
        <w:t>5</w:t>
      </w:r>
      <w:r>
        <w:rPr>
          <w:rStyle w:val="258"/>
          <w:rFonts w:hint="eastAsia" w:ascii="微软雅黑" w:hAnsi="微软雅黑" w:eastAsia="微软雅黑" w:cs="微软雅黑"/>
          <w:bCs/>
          <w:color w:val="auto"/>
          <w:sz w:val="24"/>
          <w:szCs w:val="24"/>
          <w:highlight w:val="none"/>
        </w:rPr>
        <w:t>年。从重庆市特种设备检测研究院监督检验合格之日起计算，质保期内电梯的任何设备、设施和零部件损坏，由乙方免费改造（人为损坏的除外）。质保期内乙方向甲方提供免费维修保养等服务。</w:t>
      </w:r>
    </w:p>
    <w:p w14:paraId="1F421786">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89" w:name="_Toc27856"/>
      <w:bookmarkStart w:id="290" w:name="_Toc12138"/>
      <w:bookmarkStart w:id="291" w:name="_Toc17473"/>
      <w:bookmarkStart w:id="292" w:name="_Toc29930"/>
      <w:r>
        <w:rPr>
          <w:rStyle w:val="258"/>
          <w:rFonts w:hint="eastAsia" w:ascii="微软雅黑" w:hAnsi="微软雅黑" w:eastAsia="微软雅黑" w:cs="微软雅黑"/>
          <w:b/>
          <w:color w:val="auto"/>
          <w:sz w:val="24"/>
          <w:szCs w:val="24"/>
          <w:highlight w:val="none"/>
        </w:rPr>
        <w:t>八、合同解除：</w:t>
      </w:r>
      <w:bookmarkEnd w:id="289"/>
      <w:bookmarkEnd w:id="290"/>
      <w:bookmarkEnd w:id="291"/>
      <w:bookmarkEnd w:id="292"/>
    </w:p>
    <w:p w14:paraId="458D232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bCs/>
          <w:color w:val="auto"/>
          <w:sz w:val="24"/>
          <w:szCs w:val="24"/>
          <w:highlight w:val="none"/>
        </w:rPr>
        <w:t>1、甲乙双方按合同要求履行完毕</w:t>
      </w:r>
      <w:r>
        <w:rPr>
          <w:rStyle w:val="258"/>
          <w:rFonts w:hint="eastAsia" w:ascii="微软雅黑" w:hAnsi="微软雅黑" w:eastAsia="微软雅黑" w:cs="微软雅黑"/>
          <w:color w:val="auto"/>
          <w:sz w:val="24"/>
          <w:szCs w:val="24"/>
          <w:highlight w:val="none"/>
        </w:rPr>
        <w:t>；</w:t>
      </w:r>
    </w:p>
    <w:p w14:paraId="528A873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2、乙方提供的材料存在质量原因的；</w:t>
      </w:r>
    </w:p>
    <w:p w14:paraId="2771AF4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3、未按甲方的相关要求供货并经双方协商未达成一致意见的；</w:t>
      </w:r>
    </w:p>
    <w:p w14:paraId="4F5E2B61">
      <w:pPr>
        <w:widowControl/>
        <w:adjustRightInd w:val="0"/>
        <w:spacing w:line="500" w:lineRule="exact"/>
        <w:ind w:firstLine="480" w:firstLineChars="200"/>
        <w:textAlignment w:val="baseline"/>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color w:val="auto"/>
          <w:sz w:val="24"/>
          <w:szCs w:val="24"/>
          <w:highlight w:val="none"/>
        </w:rPr>
        <w:t>4、遇到不可抗力因素的。</w:t>
      </w:r>
    </w:p>
    <w:p w14:paraId="6AB31A5A">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293" w:name="_Toc16340"/>
      <w:bookmarkStart w:id="294" w:name="_Toc12498"/>
      <w:bookmarkStart w:id="295" w:name="_Toc21721"/>
      <w:bookmarkStart w:id="296" w:name="_Toc1875"/>
      <w:r>
        <w:rPr>
          <w:rStyle w:val="258"/>
          <w:rFonts w:hint="eastAsia" w:ascii="微软雅黑" w:hAnsi="微软雅黑" w:eastAsia="微软雅黑" w:cs="微软雅黑"/>
          <w:b/>
          <w:color w:val="auto"/>
          <w:sz w:val="24"/>
          <w:szCs w:val="24"/>
          <w:highlight w:val="none"/>
        </w:rPr>
        <w:t>九、违约责任：</w:t>
      </w:r>
      <w:bookmarkEnd w:id="293"/>
      <w:bookmarkEnd w:id="294"/>
      <w:bookmarkEnd w:id="295"/>
      <w:bookmarkEnd w:id="296"/>
    </w:p>
    <w:p w14:paraId="7406E108">
      <w:pPr>
        <w:widowControl/>
        <w:adjustRightInd w:val="0"/>
        <w:spacing w:line="500" w:lineRule="exact"/>
        <w:ind w:firstLine="480" w:firstLineChars="200"/>
        <w:jc w:val="left"/>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 xml:space="preserve">1、甲方承诺按照本合同约定向乙方支付本合同工程款项。 </w:t>
      </w:r>
    </w:p>
    <w:p w14:paraId="46F3F727">
      <w:pPr>
        <w:widowControl/>
        <w:adjustRightInd w:val="0"/>
        <w:spacing w:line="500" w:lineRule="exact"/>
        <w:ind w:firstLine="480" w:firstLineChars="200"/>
        <w:textAlignment w:val="baseline"/>
        <w:rPr>
          <w:rStyle w:val="258"/>
          <w:rFonts w:hint="eastAsia" w:ascii="微软雅黑" w:hAnsi="微软雅黑" w:eastAsia="微软雅黑" w:cs="微软雅黑"/>
          <w:b/>
          <w:color w:val="auto"/>
          <w:sz w:val="24"/>
          <w:szCs w:val="24"/>
          <w:highlight w:val="none"/>
        </w:rPr>
      </w:pPr>
      <w:r>
        <w:rPr>
          <w:rStyle w:val="258"/>
          <w:rFonts w:hint="eastAsia" w:ascii="微软雅黑" w:hAnsi="微软雅黑" w:eastAsia="微软雅黑" w:cs="微软雅黑"/>
          <w:color w:val="auto"/>
          <w:sz w:val="24"/>
          <w:szCs w:val="24"/>
          <w:highlight w:val="none"/>
        </w:rPr>
        <w:t>2、付款前，乙方应提供真实有效的</w:t>
      </w:r>
      <w:r>
        <w:rPr>
          <w:rFonts w:hint="eastAsia" w:ascii="微软雅黑" w:hAnsi="微软雅黑" w:eastAsia="微软雅黑" w:cs="微软雅黑"/>
          <w:color w:val="auto"/>
          <w:sz w:val="24"/>
          <w:szCs w:val="24"/>
          <w:highlight w:val="none"/>
        </w:rPr>
        <w:t>增值税专用发票</w:t>
      </w:r>
      <w:r>
        <w:rPr>
          <w:rStyle w:val="258"/>
          <w:rFonts w:hint="eastAsia" w:ascii="微软雅黑" w:hAnsi="微软雅黑" w:eastAsia="微软雅黑" w:cs="微软雅黑"/>
          <w:color w:val="auto"/>
          <w:sz w:val="24"/>
          <w:szCs w:val="24"/>
          <w:highlight w:val="none"/>
        </w:rPr>
        <w:t>，否则甲方有权暂不付款，并不承担逾期付款违约责任。</w:t>
      </w:r>
    </w:p>
    <w:p w14:paraId="185D67C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3、甲方应提前三到五个工作日通知乙方，明确乙方交货的时间、货物，乙方应在订购单货物交货期内将货运达约定地点。乙方若逾期交货，每延迟交货一天，按所涉货款的</w:t>
      </w:r>
      <w:r>
        <w:rPr>
          <w:rStyle w:val="258"/>
          <w:rFonts w:hint="eastAsia" w:ascii="微软雅黑" w:hAnsi="微软雅黑" w:eastAsia="微软雅黑" w:cs="微软雅黑"/>
          <w:color w:val="auto"/>
          <w:sz w:val="24"/>
          <w:szCs w:val="24"/>
          <w:highlight w:val="none"/>
          <w:u w:val="single" w:color="000000"/>
        </w:rPr>
        <w:t xml:space="preserve">0.03% </w:t>
      </w:r>
      <w:r>
        <w:rPr>
          <w:rStyle w:val="258"/>
          <w:rFonts w:hint="eastAsia" w:ascii="微软雅黑" w:hAnsi="微软雅黑" w:eastAsia="微软雅黑" w:cs="微软雅黑"/>
          <w:color w:val="auto"/>
          <w:sz w:val="24"/>
          <w:szCs w:val="24"/>
          <w:highlight w:val="none"/>
        </w:rPr>
        <w:t>/天向甲方支付违约金（甲方原因导致延期和不可抗力因素除外）。</w:t>
      </w:r>
    </w:p>
    <w:p w14:paraId="52628073">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bCs/>
          <w:color w:val="auto"/>
          <w:sz w:val="24"/>
          <w:szCs w:val="24"/>
          <w:highlight w:val="none"/>
          <w:u w:val="single"/>
        </w:rPr>
      </w:pPr>
      <w:bookmarkStart w:id="297" w:name="_Toc17083"/>
      <w:bookmarkStart w:id="298" w:name="_Toc8473"/>
      <w:bookmarkStart w:id="299" w:name="_Toc27930"/>
      <w:bookmarkStart w:id="300" w:name="_Toc12288"/>
      <w:r>
        <w:rPr>
          <w:rStyle w:val="258"/>
          <w:rFonts w:hint="eastAsia" w:ascii="微软雅黑" w:hAnsi="微软雅黑" w:eastAsia="微软雅黑" w:cs="微软雅黑"/>
          <w:b/>
          <w:bCs/>
          <w:color w:val="auto"/>
          <w:sz w:val="24"/>
          <w:szCs w:val="24"/>
          <w:highlight w:val="none"/>
        </w:rPr>
        <w:t>十、双方联络：</w:t>
      </w:r>
      <w:bookmarkEnd w:id="297"/>
      <w:bookmarkEnd w:id="298"/>
      <w:bookmarkEnd w:id="299"/>
      <w:bookmarkEnd w:id="300"/>
    </w:p>
    <w:p w14:paraId="27E6A919">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1、甲方确认以下地址为其通讯地址</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收件人和电话</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若甲方相关信息变更，应当及时通知乙方，否则以以上地址为准，未能收件的后果由甲方承担。</w:t>
      </w:r>
    </w:p>
    <w:p w14:paraId="56F1FE72">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2、乙方确认以下地址为其通讯地址</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，收件人和电话</w:t>
      </w:r>
      <w:r>
        <w:rPr>
          <w:rStyle w:val="258"/>
          <w:rFonts w:hint="eastAsia" w:ascii="微软雅黑" w:hAnsi="微软雅黑" w:eastAsia="微软雅黑" w:cs="微软雅黑"/>
          <w:color w:val="auto"/>
          <w:sz w:val="24"/>
          <w:szCs w:val="24"/>
          <w:highlight w:val="none"/>
          <w:u w:val="single"/>
        </w:rPr>
        <w:t xml:space="preserve">          </w:t>
      </w:r>
      <w:r>
        <w:rPr>
          <w:rStyle w:val="258"/>
          <w:rFonts w:hint="eastAsia" w:ascii="微软雅黑" w:hAnsi="微软雅黑" w:eastAsia="微软雅黑" w:cs="微软雅黑"/>
          <w:color w:val="auto"/>
          <w:sz w:val="24"/>
          <w:szCs w:val="24"/>
          <w:highlight w:val="none"/>
        </w:rPr>
        <w:t>若乙方相关信息变更，应当及时通知甲方，否则以以上地址为准，未能收件的后果由乙方承担</w:t>
      </w:r>
      <w:r>
        <w:rPr>
          <w:rFonts w:hint="eastAsia" w:ascii="微软雅黑" w:hAnsi="微软雅黑" w:eastAsia="微软雅黑" w:cs="微软雅黑"/>
          <w:color w:val="auto"/>
          <w:sz w:val="24"/>
          <w:szCs w:val="24"/>
          <w:highlight w:val="none"/>
        </w:rPr>
        <w:t>，且甲方或司法机关向上述地址邮寄文书的，寄出之日起满3日视为送达</w:t>
      </w:r>
      <w:r>
        <w:rPr>
          <w:rStyle w:val="258"/>
          <w:rFonts w:hint="eastAsia" w:ascii="微软雅黑" w:hAnsi="微软雅黑" w:eastAsia="微软雅黑" w:cs="微软雅黑"/>
          <w:color w:val="auto"/>
          <w:sz w:val="24"/>
          <w:szCs w:val="24"/>
          <w:highlight w:val="none"/>
        </w:rPr>
        <w:t xml:space="preserve"> 。</w:t>
      </w:r>
    </w:p>
    <w:p w14:paraId="1CBB3781">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rPr>
        <w:t>乙方指定的前述收件人负责处理本合同的相关事务，其签署的一切书面性文件（包含微信、短信中确认的内容）的行为均有效代表乙方，对乙方产生法律效力。</w:t>
      </w:r>
    </w:p>
    <w:p w14:paraId="554D0C68">
      <w:pPr>
        <w:widowControl/>
        <w:adjustRightInd w:val="0"/>
        <w:spacing w:line="500" w:lineRule="exact"/>
        <w:ind w:firstLine="480" w:firstLineChars="200"/>
        <w:textAlignment w:val="baseline"/>
        <w:outlineLvl w:val="0"/>
        <w:rPr>
          <w:rStyle w:val="258"/>
          <w:rFonts w:hint="eastAsia" w:ascii="微软雅黑" w:hAnsi="微软雅黑" w:eastAsia="微软雅黑" w:cs="微软雅黑"/>
          <w:color w:val="auto"/>
          <w:sz w:val="24"/>
          <w:szCs w:val="24"/>
          <w:highlight w:val="none"/>
        </w:rPr>
      </w:pPr>
      <w:bookmarkStart w:id="301" w:name="_Toc10244"/>
      <w:bookmarkStart w:id="302" w:name="_Toc12356"/>
      <w:bookmarkStart w:id="303" w:name="_Toc8699"/>
      <w:bookmarkStart w:id="304" w:name="_Toc15025"/>
      <w:r>
        <w:rPr>
          <w:rStyle w:val="258"/>
          <w:rFonts w:hint="eastAsia" w:ascii="微软雅黑" w:hAnsi="微软雅黑" w:eastAsia="微软雅黑" w:cs="微软雅黑"/>
          <w:b/>
          <w:color w:val="auto"/>
          <w:sz w:val="24"/>
          <w:szCs w:val="24"/>
          <w:highlight w:val="none"/>
        </w:rPr>
        <w:t>十一、解决合同纠纷的方式：</w:t>
      </w:r>
      <w:bookmarkEnd w:id="301"/>
      <w:bookmarkEnd w:id="302"/>
      <w:bookmarkEnd w:id="303"/>
      <w:bookmarkEnd w:id="304"/>
    </w:p>
    <w:p w14:paraId="07E1C2A2">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本合同在履行中发生的争议，由双方当事人协商解决。协商或解决不成的，依法向</w:t>
      </w:r>
      <w:r>
        <w:rPr>
          <w:rStyle w:val="258"/>
          <w:rFonts w:hint="eastAsia" w:ascii="微软雅黑" w:hAnsi="微软雅黑" w:eastAsia="微软雅黑" w:cs="微软雅黑"/>
          <w:color w:val="auto"/>
          <w:sz w:val="24"/>
          <w:szCs w:val="24"/>
          <w:highlight w:val="none"/>
          <w:u w:val="single" w:color="000000"/>
        </w:rPr>
        <w:t>甲方所在地</w:t>
      </w:r>
      <w:r>
        <w:rPr>
          <w:rStyle w:val="258"/>
          <w:rFonts w:hint="eastAsia" w:ascii="微软雅黑" w:hAnsi="微软雅黑" w:eastAsia="微软雅黑" w:cs="微软雅黑"/>
          <w:color w:val="auto"/>
          <w:sz w:val="24"/>
          <w:szCs w:val="24"/>
          <w:highlight w:val="none"/>
        </w:rPr>
        <w:t>人民法院起诉。</w:t>
      </w:r>
    </w:p>
    <w:p w14:paraId="7AF473F3">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305" w:name="_Toc12582"/>
      <w:bookmarkStart w:id="306" w:name="_Toc395"/>
      <w:bookmarkStart w:id="307" w:name="_Toc3059"/>
      <w:bookmarkStart w:id="308" w:name="_Toc2737"/>
      <w:r>
        <w:rPr>
          <w:rStyle w:val="258"/>
          <w:rFonts w:hint="eastAsia" w:ascii="微软雅黑" w:hAnsi="微软雅黑" w:eastAsia="微软雅黑" w:cs="微软雅黑"/>
          <w:b/>
          <w:color w:val="auto"/>
          <w:sz w:val="24"/>
          <w:szCs w:val="24"/>
          <w:highlight w:val="none"/>
        </w:rPr>
        <w:t>十二、安全责任：</w:t>
      </w:r>
      <w:bookmarkEnd w:id="305"/>
      <w:bookmarkEnd w:id="306"/>
      <w:bookmarkEnd w:id="307"/>
      <w:bookmarkEnd w:id="308"/>
    </w:p>
    <w:p w14:paraId="0F112CD6">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1、乙方应遵守工程建设安全生产有关管理规定，严格按安全标准组织施工并随时接受行业安全检查人员依法实施的监督检查，采取必要的安全防护措施，及时消除事故隐患。</w:t>
      </w:r>
    </w:p>
    <w:p w14:paraId="20F1D573">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2、在施工过程中发生安全事故，给甲、乙双方及其他第三方造成人身、财产损害的，由乙方承担民事赔偿责任和其他行政、刑事责任，甲方不承担任何责任。</w:t>
      </w:r>
    </w:p>
    <w:p w14:paraId="78967018">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3、发生重大伤亡及其他安全事故，乙方应按有关规定立即通知甲方并上报有关部门，同时按政府有关部门要求处理。</w:t>
      </w:r>
    </w:p>
    <w:p w14:paraId="3E574852">
      <w:pPr>
        <w:widowControl/>
        <w:adjustRightInd w:val="0"/>
        <w:spacing w:line="500" w:lineRule="exact"/>
        <w:ind w:firstLine="480" w:firstLineChars="200"/>
        <w:textAlignment w:val="baseline"/>
        <w:outlineLvl w:val="0"/>
        <w:rPr>
          <w:rStyle w:val="258"/>
          <w:rFonts w:hint="eastAsia" w:ascii="微软雅黑" w:hAnsi="微软雅黑" w:eastAsia="微软雅黑" w:cs="微软雅黑"/>
          <w:b/>
          <w:color w:val="auto"/>
          <w:sz w:val="24"/>
          <w:szCs w:val="24"/>
          <w:highlight w:val="none"/>
        </w:rPr>
      </w:pPr>
      <w:bookmarkStart w:id="309" w:name="_Toc8658"/>
      <w:bookmarkStart w:id="310" w:name="_Toc1386"/>
      <w:bookmarkStart w:id="311" w:name="_Toc22082"/>
      <w:bookmarkStart w:id="312" w:name="_Toc6364"/>
      <w:r>
        <w:rPr>
          <w:rStyle w:val="258"/>
          <w:rFonts w:hint="eastAsia" w:ascii="微软雅黑" w:hAnsi="微软雅黑" w:eastAsia="微软雅黑" w:cs="微软雅黑"/>
          <w:b/>
          <w:color w:val="auto"/>
          <w:sz w:val="24"/>
          <w:szCs w:val="24"/>
          <w:highlight w:val="none"/>
        </w:rPr>
        <w:t>十三、其他约定事项：</w:t>
      </w:r>
      <w:bookmarkEnd w:id="309"/>
      <w:bookmarkEnd w:id="310"/>
      <w:bookmarkEnd w:id="311"/>
      <w:bookmarkEnd w:id="312"/>
    </w:p>
    <w:p w14:paraId="357E5884">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1、乙方货物进场至电梯监督检验之前，货物保管、成品保护由乙方自行负责。</w:t>
      </w:r>
    </w:p>
    <w:p w14:paraId="4B169AEA">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2、在本合同签定后，合同如需加以补充或变更，需要双方签署书面补充合同或变更合同。</w:t>
      </w:r>
    </w:p>
    <w:p w14:paraId="3D41F07B">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bookmarkStart w:id="313" w:name="_Toc27941"/>
      <w:bookmarkStart w:id="314" w:name="_Toc23580"/>
      <w:bookmarkStart w:id="315" w:name="_Toc516"/>
      <w:r>
        <w:rPr>
          <w:rStyle w:val="258"/>
          <w:rFonts w:hint="eastAsia" w:ascii="微软雅黑" w:hAnsi="微软雅黑" w:eastAsia="微软雅黑" w:cs="微软雅黑"/>
          <w:color w:val="auto"/>
          <w:sz w:val="24"/>
          <w:szCs w:val="24"/>
          <w:highlight w:val="none"/>
        </w:rPr>
        <w:t>3、合同未列入之条款，应按照《中华人民共和国</w:t>
      </w:r>
      <w:r>
        <w:rPr>
          <w:rFonts w:hint="eastAsia" w:ascii="微软雅黑" w:hAnsi="微软雅黑" w:eastAsia="微软雅黑" w:cs="微软雅黑"/>
          <w:color w:val="auto"/>
          <w:sz w:val="24"/>
          <w:szCs w:val="24"/>
          <w:highlight w:val="none"/>
        </w:rPr>
        <w:t>民法典</w:t>
      </w:r>
      <w:r>
        <w:rPr>
          <w:rStyle w:val="258"/>
          <w:rFonts w:hint="eastAsia" w:ascii="微软雅黑" w:hAnsi="微软雅黑" w:eastAsia="微软雅黑" w:cs="微软雅黑"/>
          <w:color w:val="auto"/>
          <w:sz w:val="24"/>
          <w:szCs w:val="24"/>
          <w:highlight w:val="none"/>
        </w:rPr>
        <w:t>》处理。</w:t>
      </w:r>
      <w:bookmarkEnd w:id="313"/>
      <w:bookmarkEnd w:id="314"/>
      <w:bookmarkEnd w:id="315"/>
    </w:p>
    <w:p w14:paraId="25B3609F">
      <w:pPr>
        <w:widowControl/>
        <w:adjustRightInd w:val="0"/>
        <w:spacing w:line="500" w:lineRule="exact"/>
        <w:ind w:firstLine="480" w:firstLineChars="200"/>
        <w:textAlignment w:val="baseline"/>
        <w:rPr>
          <w:rStyle w:val="258"/>
          <w:rFonts w:hint="eastAsia" w:ascii="微软雅黑" w:hAnsi="微软雅黑" w:eastAsia="微软雅黑" w:cs="微软雅黑"/>
          <w:color w:val="auto"/>
          <w:sz w:val="24"/>
          <w:szCs w:val="24"/>
          <w:highlight w:val="none"/>
        </w:rPr>
      </w:pPr>
      <w:r>
        <w:rPr>
          <w:rStyle w:val="258"/>
          <w:rFonts w:hint="eastAsia" w:ascii="微软雅黑" w:hAnsi="微软雅黑" w:eastAsia="微软雅黑" w:cs="微软雅黑"/>
          <w:color w:val="auto"/>
          <w:sz w:val="24"/>
          <w:szCs w:val="24"/>
          <w:highlight w:val="none"/>
        </w:rPr>
        <w:t>4、本合同一式肆份，甲方执两份，乙方执两份，具有同等法律效力。经双方签字（盖章）后生效。</w:t>
      </w:r>
    </w:p>
    <w:p w14:paraId="6D8E879B">
      <w:pPr>
        <w:ind w:firstLine="720"/>
        <w:rPr>
          <w:rFonts w:hint="eastAsia" w:ascii="微软雅黑" w:hAnsi="微软雅黑" w:eastAsia="微软雅黑" w:cs="微软雅黑"/>
          <w:color w:val="auto"/>
          <w:sz w:val="36"/>
          <w:szCs w:val="30"/>
          <w:highlight w:val="none"/>
        </w:rPr>
      </w:pPr>
      <w:r>
        <w:rPr>
          <w:rFonts w:hint="eastAsia" w:ascii="微软雅黑" w:hAnsi="微软雅黑" w:eastAsia="微软雅黑" w:cs="微软雅黑"/>
          <w:color w:val="auto"/>
          <w:sz w:val="36"/>
          <w:szCs w:val="30"/>
          <w:highlight w:val="none"/>
        </w:rPr>
        <w:br w:type="page"/>
      </w:r>
    </w:p>
    <w:p w14:paraId="0FF528F7">
      <w:pPr>
        <w:pStyle w:val="3"/>
        <w:spacing w:line="360" w:lineRule="auto"/>
        <w:ind w:firstLine="720"/>
        <w:jc w:val="center"/>
        <w:rPr>
          <w:rFonts w:hint="eastAsia" w:ascii="微软雅黑" w:hAnsi="微软雅黑" w:eastAsia="微软雅黑" w:cs="微软雅黑"/>
          <w:color w:val="auto"/>
          <w:sz w:val="36"/>
          <w:szCs w:val="30"/>
          <w:highlight w:val="none"/>
        </w:rPr>
      </w:pPr>
      <w:bookmarkStart w:id="316" w:name="_Toc1501"/>
      <w:bookmarkStart w:id="317" w:name="_Toc31715"/>
      <w:bookmarkStart w:id="318" w:name="_Toc22033"/>
      <w:r>
        <w:rPr>
          <w:rFonts w:hint="eastAsia" w:ascii="微软雅黑" w:hAnsi="微软雅黑" w:eastAsia="微软雅黑" w:cs="微软雅黑"/>
          <w:color w:val="auto"/>
          <w:sz w:val="36"/>
          <w:szCs w:val="30"/>
          <w:highlight w:val="none"/>
        </w:rPr>
        <w:t xml:space="preserve">第七篇  </w:t>
      </w:r>
      <w:bookmarkEnd w:id="248"/>
      <w:r>
        <w:rPr>
          <w:rFonts w:hint="eastAsia" w:ascii="微软雅黑" w:hAnsi="微软雅黑" w:eastAsia="微软雅黑" w:cs="微软雅黑"/>
          <w:color w:val="auto"/>
          <w:sz w:val="36"/>
          <w:szCs w:val="30"/>
          <w:highlight w:val="none"/>
        </w:rPr>
        <w:t>响应文件编制要求</w:t>
      </w:r>
      <w:bookmarkEnd w:id="316"/>
      <w:bookmarkEnd w:id="317"/>
      <w:bookmarkEnd w:id="318"/>
    </w:p>
    <w:p w14:paraId="4B3155AF">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19" w:name="_Toc7119"/>
      <w:bookmarkStart w:id="320" w:name="_Toc20023"/>
      <w:bookmarkStart w:id="321" w:name="_Toc2208"/>
      <w:r>
        <w:rPr>
          <w:rFonts w:hint="eastAsia" w:ascii="微软雅黑" w:hAnsi="微软雅黑" w:eastAsia="微软雅黑" w:cs="微软雅黑"/>
          <w:color w:val="auto"/>
          <w:sz w:val="24"/>
          <w:szCs w:val="24"/>
          <w:highlight w:val="none"/>
        </w:rPr>
        <w:t>一、经济部分</w:t>
      </w:r>
      <w:bookmarkEnd w:id="319"/>
      <w:bookmarkEnd w:id="320"/>
      <w:bookmarkEnd w:id="321"/>
    </w:p>
    <w:p w14:paraId="3EB0FF21">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报价函</w:t>
      </w:r>
    </w:p>
    <w:p w14:paraId="273865B0">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（二）明细报价表</w:t>
      </w:r>
    </w:p>
    <w:p w14:paraId="39A1DC77">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22" w:name="_Toc28347"/>
      <w:bookmarkStart w:id="323" w:name="_Toc23723"/>
      <w:bookmarkStart w:id="324" w:name="_Toc5940"/>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val="en-US" w:eastAsia="zh-CN"/>
        </w:rPr>
        <w:t>技术</w:t>
      </w:r>
      <w:r>
        <w:rPr>
          <w:rFonts w:hint="eastAsia" w:ascii="微软雅黑" w:hAnsi="微软雅黑" w:eastAsia="微软雅黑" w:cs="微软雅黑"/>
          <w:color w:val="auto"/>
          <w:sz w:val="24"/>
          <w:szCs w:val="24"/>
          <w:highlight w:val="none"/>
        </w:rPr>
        <w:t>部分</w:t>
      </w:r>
      <w:bookmarkEnd w:id="322"/>
      <w:bookmarkEnd w:id="323"/>
      <w:bookmarkEnd w:id="324"/>
    </w:p>
    <w:p w14:paraId="11939EAB">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方案</w:t>
      </w:r>
    </w:p>
    <w:p w14:paraId="673ACD00">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响应偏离表</w:t>
      </w:r>
    </w:p>
    <w:p w14:paraId="55D772C2">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25" w:name="_Toc18406"/>
      <w:bookmarkStart w:id="326" w:name="_Toc23995"/>
      <w:bookmarkStart w:id="327" w:name="_Toc18503"/>
      <w:r>
        <w:rPr>
          <w:rFonts w:hint="eastAsia" w:ascii="微软雅黑" w:hAnsi="微软雅黑" w:eastAsia="微软雅黑" w:cs="微软雅黑"/>
          <w:color w:val="auto"/>
          <w:sz w:val="24"/>
          <w:szCs w:val="24"/>
          <w:highlight w:val="none"/>
        </w:rPr>
        <w:t>三、商务部分</w:t>
      </w:r>
      <w:bookmarkEnd w:id="325"/>
      <w:bookmarkEnd w:id="326"/>
      <w:bookmarkEnd w:id="327"/>
    </w:p>
    <w:p w14:paraId="455A5CAF">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（一）商务要求响应情况：服务期及地点、报价要求、质量保证等。</w:t>
      </w:r>
    </w:p>
    <w:p w14:paraId="36A2881B">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（二）商务响应偏离表</w:t>
      </w:r>
    </w:p>
    <w:p w14:paraId="144C482E">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（三）其它优惠服务承诺</w:t>
      </w:r>
    </w:p>
    <w:p w14:paraId="4D79D46B">
      <w:pPr>
        <w:spacing w:line="440" w:lineRule="exact"/>
        <w:ind w:firstLine="480" w:firstLineChars="200"/>
        <w:outlineLvl w:val="0"/>
        <w:rPr>
          <w:rFonts w:hint="eastAsia" w:ascii="微软雅黑" w:hAnsi="微软雅黑" w:eastAsia="微软雅黑" w:cs="微软雅黑"/>
          <w:color w:val="auto"/>
          <w:sz w:val="24"/>
          <w:szCs w:val="24"/>
          <w:highlight w:val="none"/>
        </w:rPr>
      </w:pPr>
      <w:bookmarkStart w:id="328" w:name="_Toc5366"/>
      <w:bookmarkStart w:id="329" w:name="_Toc18593"/>
      <w:bookmarkStart w:id="330" w:name="_Toc31351"/>
      <w:r>
        <w:rPr>
          <w:rFonts w:hint="eastAsia" w:ascii="微软雅黑" w:hAnsi="微软雅黑" w:eastAsia="微软雅黑" w:cs="微软雅黑"/>
          <w:color w:val="auto"/>
          <w:sz w:val="24"/>
          <w:szCs w:val="24"/>
          <w:highlight w:val="none"/>
        </w:rPr>
        <w:t>四、资格条件及其他</w:t>
      </w:r>
      <w:bookmarkEnd w:id="328"/>
      <w:bookmarkEnd w:id="329"/>
      <w:bookmarkEnd w:id="330"/>
    </w:p>
    <w:p w14:paraId="55D6E031">
      <w:pPr>
        <w:snapToGrid w:val="0"/>
        <w:spacing w:line="40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（一）营业执照（副本）或事业单位法人证书（副本）复印件</w:t>
      </w:r>
    </w:p>
    <w:p w14:paraId="2F63910B">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（二）特定资格条件</w:t>
      </w:r>
    </w:p>
    <w:p w14:paraId="19C0134A">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（三）法定代表人身份证明书（格式）</w:t>
      </w:r>
    </w:p>
    <w:p w14:paraId="78B0AB83">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（四）法定代表人授权委托书（格式）</w:t>
      </w:r>
    </w:p>
    <w:p w14:paraId="2CB0B22F">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（五）书面声明</w:t>
      </w:r>
    </w:p>
    <w:p w14:paraId="11B076A4">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五、其他应提供的资料</w:t>
      </w:r>
    </w:p>
    <w:p w14:paraId="39C42295">
      <w:pPr>
        <w:snapToGrid w:val="0"/>
        <w:spacing w:line="360" w:lineRule="auto"/>
        <w:rPr>
          <w:rFonts w:hint="eastAsia" w:ascii="微软雅黑" w:hAnsi="微软雅黑" w:eastAsia="微软雅黑" w:cs="微软雅黑"/>
          <w:color w:val="auto"/>
          <w:sz w:val="24"/>
          <w:szCs w:val="24"/>
          <w:highlight w:val="none"/>
          <w:bdr w:val="single" w:color="auto" w:sz="4" w:space="0"/>
        </w:rPr>
        <w:sectPr>
          <w:footerReference r:id="rId4" w:type="default"/>
          <w:pgSz w:w="11907" w:h="16840"/>
          <w:pgMar w:top="1134" w:right="1191" w:bottom="1134" w:left="1304" w:header="851" w:footer="992" w:gutter="0"/>
          <w:pgNumType w:fmt="numberInDash" w:start="1"/>
          <w:cols w:space="720" w:num="1"/>
          <w:docGrid w:linePitch="380" w:charSpace="-5735"/>
        </w:sectPr>
      </w:pPr>
    </w:p>
    <w:p w14:paraId="346F8007">
      <w:pPr>
        <w:pStyle w:val="5"/>
        <w:spacing w:line="360" w:lineRule="auto"/>
        <w:rPr>
          <w:rFonts w:hint="eastAsia" w:ascii="微软雅黑" w:hAnsi="微软雅黑" w:eastAsia="微软雅黑" w:cs="微软雅黑"/>
          <w:color w:val="auto"/>
          <w:sz w:val="24"/>
          <w:szCs w:val="24"/>
          <w:highlight w:val="none"/>
        </w:rPr>
      </w:pPr>
      <w:bookmarkStart w:id="331" w:name="_Toc21931"/>
      <w:bookmarkStart w:id="332" w:name="_Toc12789073"/>
      <w:bookmarkStart w:id="333" w:name="_Toc16644"/>
      <w:bookmarkStart w:id="334" w:name="_Toc283382454"/>
      <w:bookmarkStart w:id="335" w:name="_Toc313888360"/>
      <w:bookmarkStart w:id="336" w:name="_Toc12770"/>
      <w:bookmarkStart w:id="337" w:name="_Toc313008356"/>
      <w:bookmarkStart w:id="338" w:name="_Toc342913419"/>
      <w:bookmarkStart w:id="339" w:name="_Toc47094794"/>
      <w:bookmarkStart w:id="340" w:name="_Toc13974"/>
      <w:r>
        <w:rPr>
          <w:rFonts w:hint="eastAsia" w:ascii="微软雅黑" w:hAnsi="微软雅黑" w:eastAsia="微软雅黑" w:cs="微软雅黑"/>
          <w:color w:val="auto"/>
          <w:sz w:val="24"/>
          <w:szCs w:val="24"/>
          <w:highlight w:val="none"/>
        </w:rPr>
        <w:t>一、经济部分</w:t>
      </w:r>
      <w:bookmarkEnd w:id="331"/>
      <w:bookmarkEnd w:id="332"/>
      <w:bookmarkEnd w:id="333"/>
      <w:bookmarkEnd w:id="334"/>
      <w:bookmarkEnd w:id="335"/>
      <w:bookmarkEnd w:id="336"/>
      <w:bookmarkEnd w:id="337"/>
      <w:bookmarkEnd w:id="338"/>
      <w:bookmarkEnd w:id="339"/>
      <w:bookmarkEnd w:id="340"/>
    </w:p>
    <w:p w14:paraId="348F547A">
      <w:pPr>
        <w:tabs>
          <w:tab w:val="left" w:pos="6300"/>
        </w:tabs>
        <w:snapToGrid w:val="0"/>
        <w:spacing w:line="312" w:lineRule="auto"/>
        <w:ind w:firstLine="480" w:firstLineChars="200"/>
        <w:outlineLvl w:val="1"/>
        <w:rPr>
          <w:rFonts w:hint="eastAsia" w:ascii="微软雅黑" w:hAnsi="微软雅黑" w:eastAsia="微软雅黑" w:cs="微软雅黑"/>
          <w:color w:val="auto"/>
          <w:sz w:val="24"/>
          <w:szCs w:val="24"/>
          <w:highlight w:val="none"/>
        </w:rPr>
      </w:pPr>
      <w:bookmarkStart w:id="341" w:name="_Toc9483"/>
      <w:bookmarkStart w:id="342" w:name="_Toc3413"/>
      <w:bookmarkStart w:id="343" w:name="_Toc1313"/>
      <w:bookmarkStart w:id="344" w:name="_Toc17945"/>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val="en-US" w:eastAsia="zh-CN"/>
        </w:rPr>
        <w:t>投</w:t>
      </w:r>
      <w:r>
        <w:rPr>
          <w:rFonts w:hint="eastAsia" w:ascii="微软雅黑" w:hAnsi="微软雅黑" w:eastAsia="微软雅黑" w:cs="微软雅黑"/>
          <w:color w:val="auto"/>
          <w:sz w:val="24"/>
          <w:szCs w:val="24"/>
          <w:highlight w:val="none"/>
          <w:lang w:eastAsia="zh-CN"/>
        </w:rPr>
        <w:t>标</w:t>
      </w:r>
      <w:r>
        <w:rPr>
          <w:rFonts w:hint="eastAsia" w:ascii="微软雅黑" w:hAnsi="微软雅黑" w:eastAsia="微软雅黑" w:cs="微软雅黑"/>
          <w:color w:val="auto"/>
          <w:sz w:val="24"/>
          <w:szCs w:val="24"/>
          <w:highlight w:val="none"/>
        </w:rPr>
        <w:t>报价函</w:t>
      </w:r>
      <w:bookmarkEnd w:id="341"/>
      <w:bookmarkEnd w:id="342"/>
      <w:bookmarkEnd w:id="343"/>
      <w:bookmarkEnd w:id="344"/>
    </w:p>
    <w:p w14:paraId="79A88E2E">
      <w:pPr>
        <w:tabs>
          <w:tab w:val="left" w:pos="6300"/>
        </w:tabs>
        <w:snapToGrid w:val="0"/>
        <w:spacing w:line="480" w:lineRule="exact"/>
        <w:jc w:val="center"/>
        <w:outlineLvl w:val="0"/>
        <w:rPr>
          <w:rFonts w:hint="eastAsia" w:ascii="微软雅黑" w:hAnsi="微软雅黑" w:eastAsia="微软雅黑" w:cs="微软雅黑"/>
          <w:b/>
          <w:color w:val="auto"/>
          <w:szCs w:val="28"/>
          <w:highlight w:val="none"/>
        </w:rPr>
      </w:pPr>
      <w:bookmarkStart w:id="345" w:name="_Toc25933"/>
      <w:bookmarkStart w:id="346" w:name="_Toc26769"/>
      <w:bookmarkStart w:id="347" w:name="_Toc2083"/>
      <w:bookmarkStart w:id="348" w:name="_Toc9952"/>
      <w:r>
        <w:rPr>
          <w:rFonts w:hint="eastAsia" w:ascii="微软雅黑" w:hAnsi="微软雅黑" w:eastAsia="微软雅黑" w:cs="微软雅黑"/>
          <w:b/>
          <w:color w:val="auto"/>
          <w:szCs w:val="28"/>
          <w:highlight w:val="none"/>
          <w:lang w:val="en-US" w:eastAsia="zh-CN"/>
        </w:rPr>
        <w:t>投</w:t>
      </w:r>
      <w:r>
        <w:rPr>
          <w:rFonts w:hint="eastAsia" w:ascii="微软雅黑" w:hAnsi="微软雅黑" w:eastAsia="微软雅黑" w:cs="微软雅黑"/>
          <w:b/>
          <w:color w:val="auto"/>
          <w:szCs w:val="28"/>
          <w:highlight w:val="none"/>
          <w:lang w:eastAsia="zh-CN"/>
        </w:rPr>
        <w:t>标</w:t>
      </w:r>
      <w:r>
        <w:rPr>
          <w:rFonts w:hint="eastAsia" w:ascii="微软雅黑" w:hAnsi="微软雅黑" w:eastAsia="微软雅黑" w:cs="微软雅黑"/>
          <w:b/>
          <w:color w:val="auto"/>
          <w:szCs w:val="28"/>
          <w:highlight w:val="none"/>
        </w:rPr>
        <w:t>报价函</w:t>
      </w:r>
      <w:bookmarkEnd w:id="345"/>
      <w:bookmarkEnd w:id="346"/>
      <w:bookmarkEnd w:id="347"/>
      <w:bookmarkEnd w:id="348"/>
    </w:p>
    <w:p w14:paraId="52636DF3">
      <w:pPr>
        <w:tabs>
          <w:tab w:val="left" w:pos="6300"/>
        </w:tabs>
        <w:snapToGrid w:val="0"/>
        <w:spacing w:line="48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single"/>
        </w:rPr>
        <w:t>（</w:t>
      </w:r>
      <w:r>
        <w:rPr>
          <w:rFonts w:hint="eastAsia" w:ascii="微软雅黑" w:hAnsi="微软雅黑" w:eastAsia="微软雅黑" w:cs="微软雅黑"/>
          <w:color w:val="auto"/>
          <w:sz w:val="24"/>
          <w:szCs w:val="24"/>
          <w:highlight w:val="none"/>
          <w:u w:val="single"/>
          <w:lang w:val="en-US" w:eastAsia="zh-CN"/>
        </w:rPr>
        <w:t>招标人</w:t>
      </w:r>
      <w:r>
        <w:rPr>
          <w:rFonts w:hint="eastAsia" w:ascii="微软雅黑" w:hAnsi="微软雅黑" w:eastAsia="微软雅黑" w:cs="微软雅黑"/>
          <w:color w:val="auto"/>
          <w:sz w:val="24"/>
          <w:szCs w:val="24"/>
          <w:highlight w:val="none"/>
          <w:u w:val="single"/>
        </w:rPr>
        <w:t>名称）</w:t>
      </w:r>
      <w:r>
        <w:rPr>
          <w:rFonts w:hint="eastAsia" w:ascii="微软雅黑" w:hAnsi="微软雅黑" w:eastAsia="微软雅黑" w:cs="微软雅黑"/>
          <w:color w:val="auto"/>
          <w:sz w:val="24"/>
          <w:szCs w:val="24"/>
          <w:highlight w:val="none"/>
        </w:rPr>
        <w:t>：</w:t>
      </w:r>
    </w:p>
    <w:p w14:paraId="4B7DEB34">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我方收到____________________________（项目名称）的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文件，经详细研究，决定参加该项目的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w:t>
      </w:r>
    </w:p>
    <w:p w14:paraId="38B50142">
      <w:pPr>
        <w:tabs>
          <w:tab w:val="left" w:pos="6300"/>
        </w:tabs>
        <w:snapToGrid w:val="0"/>
        <w:spacing w:line="480" w:lineRule="exact"/>
        <w:ind w:firstLine="480" w:firstLineChars="20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1、愿意按照</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文件中的一切要求，提供本项目的技术服务，</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报价为人民币大写：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；人民币小写：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元。</w:t>
      </w:r>
      <w:r>
        <w:rPr>
          <w:rFonts w:hint="eastAsia" w:ascii="微软雅黑" w:hAnsi="微软雅黑" w:eastAsia="微软雅黑" w:cs="微软雅黑"/>
          <w:color w:val="auto"/>
          <w:sz w:val="24"/>
          <w:szCs w:val="24"/>
          <w:highlight w:val="none"/>
          <w:lang w:val="en-US" w:eastAsia="zh-CN"/>
        </w:rPr>
        <w:t>电梯品牌及型号为：</w:t>
      </w:r>
      <w:r>
        <w:rPr>
          <w:rFonts w:hint="eastAsia" w:ascii="微软雅黑" w:hAnsi="微软雅黑" w:eastAsia="微软雅黑" w:cs="微软雅黑"/>
          <w:color w:val="auto"/>
          <w:sz w:val="24"/>
          <w:szCs w:val="24"/>
          <w:highlight w:val="none"/>
          <w:u w:val="single"/>
          <w:lang w:val="en-US" w:eastAsia="zh-CN"/>
        </w:rPr>
        <w:t xml:space="preserve">       。</w:t>
      </w:r>
    </w:p>
    <w:p w14:paraId="12FE12E0">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2、我方现提交的响应文件为：响应文件正本</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份，副本</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份，电子文档</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w:t>
      </w:r>
    </w:p>
    <w:p w14:paraId="46EB0F90">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、我方完全理解和接受贵方</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文件的规定和要求及评审办法。</w:t>
      </w:r>
    </w:p>
    <w:p w14:paraId="42C0D430">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、在整个</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过程中，我方若有违规行为，接受按照《中华人民共和国招标投标法》及其实施条例等规定给予惩罚。</w:t>
      </w:r>
    </w:p>
    <w:p w14:paraId="7A991D36">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、我方若成为成交供应商，将按照最终</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结果签订合同，并且严格履行合同义务。本承诺函将成为合同不可分割的一部分，与合同具有同等的法律效力。</w:t>
      </w:r>
    </w:p>
    <w:p w14:paraId="5F029069">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8"/>
          <w:highlight w:val="none"/>
        </w:rPr>
        <w:t>我方理解，最低报价不是成交的唯一条件。</w:t>
      </w:r>
    </w:p>
    <w:p w14:paraId="006AE64A">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、我方同意按</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文件规定，交纳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文件要求的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保证金。</w:t>
      </w:r>
    </w:p>
    <w:p w14:paraId="201145B4">
      <w:pPr>
        <w:tabs>
          <w:tab w:val="left" w:pos="6300"/>
        </w:tabs>
        <w:snapToGrid w:val="0"/>
        <w:spacing w:line="48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8"/>
          <w:highlight w:val="none"/>
        </w:rPr>
        <w:t>我方未</w:t>
      </w:r>
      <w:r>
        <w:rPr>
          <w:rFonts w:hint="eastAsia" w:ascii="微软雅黑" w:hAnsi="微软雅黑" w:eastAsia="微软雅黑" w:cs="微软雅黑"/>
          <w:color w:val="auto"/>
          <w:sz w:val="24"/>
          <w:szCs w:val="24"/>
          <w:highlight w:val="none"/>
        </w:rPr>
        <w:t>为采购项目提供规范编制或者项目管理、监理、检测等服务。</w:t>
      </w:r>
    </w:p>
    <w:p w14:paraId="51ABD34C">
      <w:pPr>
        <w:pStyle w:val="2"/>
        <w:ind w:firstLine="480" w:firstLineChars="200"/>
        <w:rPr>
          <w:rFonts w:eastAsia="微软雅黑"/>
          <w:color w:val="auto"/>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、其他承诺：</w:t>
      </w:r>
      <w:r>
        <w:rPr>
          <w:rFonts w:hint="eastAsia" w:ascii="微软雅黑" w:hAnsi="微软雅黑" w:eastAsia="微软雅黑" w:cs="微软雅黑"/>
          <w:color w:val="auto"/>
          <w:sz w:val="24"/>
          <w:szCs w:val="24"/>
          <w:highlight w:val="none"/>
          <w:u w:val="single"/>
        </w:rPr>
        <w:t xml:space="preserve">     。</w:t>
      </w:r>
    </w:p>
    <w:p w14:paraId="47D5E5D6">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p>
    <w:p w14:paraId="73DF0F04">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供应商（公章）：</w:t>
      </w:r>
    </w:p>
    <w:p w14:paraId="4F500935">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地址：                                              </w:t>
      </w:r>
    </w:p>
    <w:p w14:paraId="4C7E20BA">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联系人：</w:t>
      </w:r>
    </w:p>
    <w:p w14:paraId="1DBA5DAF">
      <w:pPr>
        <w:tabs>
          <w:tab w:val="left" w:pos="6300"/>
        </w:tabs>
        <w:snapToGrid w:val="0"/>
        <w:spacing w:line="312" w:lineRule="auto"/>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w:t>
      </w:r>
    </w:p>
    <w:p w14:paraId="11A8BB73">
      <w:pPr>
        <w:snapToGrid w:val="0"/>
        <w:spacing w:line="312" w:lineRule="auto"/>
        <w:ind w:firstLine="480" w:firstLineChars="200"/>
        <w:rPr>
          <w:rFonts w:hint="eastAsia" w:ascii="微软雅黑" w:hAnsi="微软雅黑" w:eastAsia="微软雅黑" w:cs="微软雅黑"/>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微软雅黑" w:hAnsi="微软雅黑" w:eastAsia="微软雅黑" w:cs="微软雅黑"/>
          <w:color w:val="auto"/>
          <w:sz w:val="24"/>
          <w:szCs w:val="24"/>
          <w:highlight w:val="none"/>
        </w:rPr>
        <w:t xml:space="preserve">                                                  年   月   日</w:t>
      </w:r>
    </w:p>
    <w:p w14:paraId="112BD916">
      <w:pPr>
        <w:tabs>
          <w:tab w:val="left" w:pos="2895"/>
        </w:tabs>
        <w:spacing w:line="360" w:lineRule="auto"/>
        <w:ind w:firstLine="480" w:firstLineChars="200"/>
        <w:outlineLvl w:val="1"/>
        <w:rPr>
          <w:rFonts w:hint="eastAsia" w:ascii="微软雅黑" w:hAnsi="微软雅黑" w:eastAsia="微软雅黑" w:cs="微软雅黑"/>
          <w:color w:val="auto"/>
          <w:sz w:val="24"/>
          <w:szCs w:val="24"/>
          <w:highlight w:val="none"/>
        </w:rPr>
      </w:pPr>
      <w:bookmarkStart w:id="349" w:name="_Toc5937"/>
      <w:bookmarkStart w:id="350" w:name="_Toc18265"/>
      <w:bookmarkStart w:id="351" w:name="_Toc21764"/>
      <w:bookmarkStart w:id="352" w:name="_Toc12851"/>
      <w:r>
        <w:rPr>
          <w:rFonts w:hint="eastAsia" w:ascii="微软雅黑" w:hAnsi="微软雅黑" w:eastAsia="微软雅黑" w:cs="微软雅黑"/>
          <w:color w:val="auto"/>
          <w:sz w:val="24"/>
          <w:szCs w:val="24"/>
          <w:highlight w:val="none"/>
        </w:rPr>
        <w:t>（二）明细报价表</w:t>
      </w:r>
      <w:bookmarkEnd w:id="349"/>
      <w:bookmarkEnd w:id="350"/>
      <w:bookmarkEnd w:id="351"/>
      <w:bookmarkEnd w:id="352"/>
    </w:p>
    <w:p w14:paraId="5A33DE35">
      <w:pPr>
        <w:jc w:val="center"/>
        <w:outlineLvl w:val="0"/>
        <w:rPr>
          <w:rFonts w:hint="eastAsia" w:ascii="微软雅黑" w:hAnsi="微软雅黑" w:eastAsia="微软雅黑" w:cs="微软雅黑"/>
          <w:b/>
          <w:color w:val="auto"/>
          <w:szCs w:val="28"/>
          <w:highlight w:val="none"/>
        </w:rPr>
      </w:pPr>
      <w:bookmarkStart w:id="353" w:name="_Toc20595"/>
      <w:bookmarkStart w:id="354" w:name="_Toc24266"/>
      <w:bookmarkStart w:id="355" w:name="_Toc21442"/>
      <w:bookmarkStart w:id="356" w:name="_Toc5974"/>
      <w:r>
        <w:rPr>
          <w:rFonts w:hint="eastAsia" w:ascii="微软雅黑" w:hAnsi="微软雅黑" w:eastAsia="微软雅黑" w:cs="微软雅黑"/>
          <w:b/>
          <w:color w:val="auto"/>
          <w:szCs w:val="28"/>
          <w:highlight w:val="none"/>
        </w:rPr>
        <w:t>明细报价表</w:t>
      </w:r>
      <w:bookmarkEnd w:id="353"/>
      <w:bookmarkEnd w:id="354"/>
      <w:bookmarkEnd w:id="355"/>
      <w:bookmarkEnd w:id="356"/>
    </w:p>
    <w:p w14:paraId="12E08075">
      <w:pPr>
        <w:spacing w:line="360" w:lineRule="auto"/>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项目名称：</w:t>
      </w:r>
    </w:p>
    <w:tbl>
      <w:tblPr>
        <w:tblStyle w:val="59"/>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29"/>
        <w:gridCol w:w="3404"/>
        <w:gridCol w:w="1344"/>
        <w:gridCol w:w="1344"/>
        <w:gridCol w:w="1344"/>
      </w:tblGrid>
      <w:tr w14:paraId="5975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088" w:type="dxa"/>
            <w:vAlign w:val="center"/>
          </w:tcPr>
          <w:p w14:paraId="49ACBCE1">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序号</w:t>
            </w:r>
          </w:p>
        </w:tc>
        <w:tc>
          <w:tcPr>
            <w:tcW w:w="1629" w:type="dxa"/>
            <w:vAlign w:val="center"/>
          </w:tcPr>
          <w:p w14:paraId="02D6DC4F">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名称</w:t>
            </w:r>
          </w:p>
        </w:tc>
        <w:tc>
          <w:tcPr>
            <w:tcW w:w="3404" w:type="dxa"/>
            <w:vAlign w:val="center"/>
          </w:tcPr>
          <w:p w14:paraId="07CE6AA4">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相关信息</w:t>
            </w:r>
          </w:p>
        </w:tc>
        <w:tc>
          <w:tcPr>
            <w:tcW w:w="1344" w:type="dxa"/>
            <w:vAlign w:val="center"/>
          </w:tcPr>
          <w:p w14:paraId="14DDC1F1">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数量</w:t>
            </w:r>
          </w:p>
        </w:tc>
        <w:tc>
          <w:tcPr>
            <w:tcW w:w="1344" w:type="dxa"/>
            <w:vAlign w:val="center"/>
          </w:tcPr>
          <w:p w14:paraId="1A65F30A">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单价</w:t>
            </w:r>
          </w:p>
        </w:tc>
        <w:tc>
          <w:tcPr>
            <w:tcW w:w="1344" w:type="dxa"/>
            <w:vAlign w:val="center"/>
          </w:tcPr>
          <w:p w14:paraId="54298F93">
            <w:pPr>
              <w:ind w:firstLine="420"/>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合计</w:t>
            </w:r>
          </w:p>
        </w:tc>
      </w:tr>
      <w:tr w14:paraId="3465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1A3D9A93">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57" w:name="_Toc26805"/>
            <w:bookmarkStart w:id="358" w:name="_Toc7385"/>
            <w:bookmarkStart w:id="359" w:name="_Toc5523"/>
            <w:bookmarkStart w:id="360" w:name="_Toc10787"/>
            <w:r>
              <w:rPr>
                <w:rFonts w:hint="eastAsia" w:ascii="微软雅黑" w:hAnsi="微软雅黑" w:eastAsia="微软雅黑" w:cs="微软雅黑"/>
                <w:color w:val="auto"/>
                <w:sz w:val="21"/>
                <w:szCs w:val="21"/>
                <w:highlight w:val="none"/>
              </w:rPr>
              <w:t>1</w:t>
            </w:r>
            <w:bookmarkEnd w:id="357"/>
            <w:bookmarkEnd w:id="358"/>
            <w:bookmarkEnd w:id="359"/>
            <w:bookmarkEnd w:id="360"/>
          </w:p>
        </w:tc>
        <w:tc>
          <w:tcPr>
            <w:tcW w:w="1629" w:type="dxa"/>
            <w:vAlign w:val="center"/>
          </w:tcPr>
          <w:p w14:paraId="485FB02D">
            <w:pPr>
              <w:ind w:firstLine="420"/>
              <w:jc w:val="center"/>
              <w:rPr>
                <w:rFonts w:hint="eastAsia" w:ascii="微软雅黑" w:hAnsi="微软雅黑" w:eastAsia="微软雅黑" w:cs="微软雅黑"/>
                <w:color w:val="auto"/>
                <w:sz w:val="21"/>
                <w:szCs w:val="21"/>
                <w:highlight w:val="none"/>
              </w:rPr>
            </w:pPr>
          </w:p>
        </w:tc>
        <w:tc>
          <w:tcPr>
            <w:tcW w:w="3404" w:type="dxa"/>
          </w:tcPr>
          <w:p w14:paraId="19F67FB9">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208E99BA">
            <w:pPr>
              <w:ind w:firstLine="420"/>
              <w:jc w:val="center"/>
              <w:rPr>
                <w:rFonts w:hint="eastAsia" w:ascii="微软雅黑" w:hAnsi="微软雅黑" w:eastAsia="微软雅黑" w:cs="微软雅黑"/>
                <w:color w:val="auto"/>
                <w:sz w:val="21"/>
                <w:szCs w:val="21"/>
                <w:highlight w:val="none"/>
              </w:rPr>
            </w:pPr>
          </w:p>
        </w:tc>
        <w:tc>
          <w:tcPr>
            <w:tcW w:w="1344" w:type="dxa"/>
          </w:tcPr>
          <w:p w14:paraId="19AC2CEB">
            <w:pPr>
              <w:ind w:firstLine="420"/>
              <w:jc w:val="center"/>
              <w:rPr>
                <w:rFonts w:hint="eastAsia" w:ascii="微软雅黑" w:hAnsi="微软雅黑" w:eastAsia="微软雅黑" w:cs="微软雅黑"/>
                <w:color w:val="auto"/>
                <w:sz w:val="21"/>
                <w:szCs w:val="21"/>
                <w:highlight w:val="none"/>
              </w:rPr>
            </w:pPr>
          </w:p>
        </w:tc>
        <w:tc>
          <w:tcPr>
            <w:tcW w:w="1344" w:type="dxa"/>
          </w:tcPr>
          <w:p w14:paraId="7D43FD9F">
            <w:pPr>
              <w:ind w:firstLine="420"/>
              <w:jc w:val="center"/>
              <w:rPr>
                <w:rFonts w:hint="eastAsia" w:ascii="微软雅黑" w:hAnsi="微软雅黑" w:eastAsia="微软雅黑" w:cs="微软雅黑"/>
                <w:color w:val="auto"/>
                <w:sz w:val="21"/>
                <w:szCs w:val="21"/>
                <w:highlight w:val="none"/>
              </w:rPr>
            </w:pPr>
          </w:p>
        </w:tc>
      </w:tr>
      <w:tr w14:paraId="6D71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3E17C12A">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61" w:name="_Toc30382"/>
            <w:bookmarkStart w:id="362" w:name="_Toc24635"/>
            <w:bookmarkStart w:id="363" w:name="_Toc12376"/>
            <w:bookmarkStart w:id="364" w:name="_Toc8299"/>
            <w:r>
              <w:rPr>
                <w:rFonts w:hint="eastAsia" w:ascii="微软雅黑" w:hAnsi="微软雅黑" w:eastAsia="微软雅黑" w:cs="微软雅黑"/>
                <w:color w:val="auto"/>
                <w:sz w:val="21"/>
                <w:szCs w:val="21"/>
                <w:highlight w:val="none"/>
              </w:rPr>
              <w:t>2</w:t>
            </w:r>
            <w:bookmarkEnd w:id="361"/>
            <w:bookmarkEnd w:id="362"/>
            <w:bookmarkEnd w:id="363"/>
            <w:bookmarkEnd w:id="364"/>
          </w:p>
        </w:tc>
        <w:tc>
          <w:tcPr>
            <w:tcW w:w="1629" w:type="dxa"/>
            <w:vAlign w:val="center"/>
          </w:tcPr>
          <w:p w14:paraId="305A4339">
            <w:pPr>
              <w:ind w:firstLine="420"/>
              <w:jc w:val="center"/>
              <w:rPr>
                <w:rFonts w:hint="eastAsia" w:ascii="微软雅黑" w:hAnsi="微软雅黑" w:eastAsia="微软雅黑" w:cs="微软雅黑"/>
                <w:color w:val="auto"/>
                <w:sz w:val="21"/>
                <w:szCs w:val="21"/>
                <w:highlight w:val="none"/>
              </w:rPr>
            </w:pPr>
          </w:p>
        </w:tc>
        <w:tc>
          <w:tcPr>
            <w:tcW w:w="3404" w:type="dxa"/>
          </w:tcPr>
          <w:p w14:paraId="11D1A8D1">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33461BDD">
            <w:pPr>
              <w:ind w:firstLine="420"/>
              <w:jc w:val="center"/>
              <w:rPr>
                <w:rFonts w:hint="eastAsia" w:ascii="微软雅黑" w:hAnsi="微软雅黑" w:eastAsia="微软雅黑" w:cs="微软雅黑"/>
                <w:color w:val="auto"/>
                <w:sz w:val="21"/>
                <w:szCs w:val="21"/>
                <w:highlight w:val="none"/>
              </w:rPr>
            </w:pPr>
          </w:p>
        </w:tc>
        <w:tc>
          <w:tcPr>
            <w:tcW w:w="1344" w:type="dxa"/>
          </w:tcPr>
          <w:p w14:paraId="23A7C122">
            <w:pPr>
              <w:ind w:firstLine="420"/>
              <w:jc w:val="center"/>
              <w:rPr>
                <w:rFonts w:hint="eastAsia" w:ascii="微软雅黑" w:hAnsi="微软雅黑" w:eastAsia="微软雅黑" w:cs="微软雅黑"/>
                <w:color w:val="auto"/>
                <w:sz w:val="21"/>
                <w:szCs w:val="21"/>
                <w:highlight w:val="none"/>
              </w:rPr>
            </w:pPr>
          </w:p>
        </w:tc>
        <w:tc>
          <w:tcPr>
            <w:tcW w:w="1344" w:type="dxa"/>
          </w:tcPr>
          <w:p w14:paraId="75A8F2A4">
            <w:pPr>
              <w:ind w:firstLine="420"/>
              <w:jc w:val="center"/>
              <w:rPr>
                <w:rFonts w:hint="eastAsia" w:ascii="微软雅黑" w:hAnsi="微软雅黑" w:eastAsia="微软雅黑" w:cs="微软雅黑"/>
                <w:color w:val="auto"/>
                <w:sz w:val="21"/>
                <w:szCs w:val="21"/>
                <w:highlight w:val="none"/>
              </w:rPr>
            </w:pPr>
          </w:p>
        </w:tc>
      </w:tr>
      <w:tr w14:paraId="4A70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338C0F14">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65" w:name="_Toc32147"/>
            <w:bookmarkStart w:id="366" w:name="_Toc4490"/>
            <w:bookmarkStart w:id="367" w:name="_Toc21164"/>
            <w:bookmarkStart w:id="368" w:name="_Toc15689"/>
            <w:r>
              <w:rPr>
                <w:rFonts w:hint="eastAsia" w:ascii="微软雅黑" w:hAnsi="微软雅黑" w:eastAsia="微软雅黑" w:cs="微软雅黑"/>
                <w:color w:val="auto"/>
                <w:sz w:val="21"/>
                <w:szCs w:val="21"/>
                <w:highlight w:val="none"/>
              </w:rPr>
              <w:t>3</w:t>
            </w:r>
            <w:bookmarkEnd w:id="365"/>
            <w:bookmarkEnd w:id="366"/>
            <w:bookmarkEnd w:id="367"/>
            <w:bookmarkEnd w:id="368"/>
          </w:p>
        </w:tc>
        <w:tc>
          <w:tcPr>
            <w:tcW w:w="1629" w:type="dxa"/>
            <w:vAlign w:val="center"/>
          </w:tcPr>
          <w:p w14:paraId="1F2B5240">
            <w:pPr>
              <w:ind w:firstLine="420"/>
              <w:jc w:val="center"/>
              <w:rPr>
                <w:rFonts w:hint="eastAsia" w:ascii="微软雅黑" w:hAnsi="微软雅黑" w:eastAsia="微软雅黑" w:cs="微软雅黑"/>
                <w:color w:val="auto"/>
                <w:sz w:val="21"/>
                <w:szCs w:val="21"/>
                <w:highlight w:val="none"/>
              </w:rPr>
            </w:pPr>
          </w:p>
        </w:tc>
        <w:tc>
          <w:tcPr>
            <w:tcW w:w="3404" w:type="dxa"/>
          </w:tcPr>
          <w:p w14:paraId="5BFF2EE0">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67B6281B">
            <w:pPr>
              <w:ind w:firstLine="420"/>
              <w:jc w:val="center"/>
              <w:rPr>
                <w:rFonts w:hint="eastAsia" w:ascii="微软雅黑" w:hAnsi="微软雅黑" w:eastAsia="微软雅黑" w:cs="微软雅黑"/>
                <w:color w:val="auto"/>
                <w:sz w:val="21"/>
                <w:szCs w:val="21"/>
                <w:highlight w:val="none"/>
              </w:rPr>
            </w:pPr>
          </w:p>
        </w:tc>
        <w:tc>
          <w:tcPr>
            <w:tcW w:w="1344" w:type="dxa"/>
          </w:tcPr>
          <w:p w14:paraId="522D80C1">
            <w:pPr>
              <w:ind w:firstLine="420"/>
              <w:jc w:val="center"/>
              <w:rPr>
                <w:rFonts w:hint="eastAsia" w:ascii="微软雅黑" w:hAnsi="微软雅黑" w:eastAsia="微软雅黑" w:cs="微软雅黑"/>
                <w:color w:val="auto"/>
                <w:sz w:val="21"/>
                <w:szCs w:val="21"/>
                <w:highlight w:val="none"/>
              </w:rPr>
            </w:pPr>
          </w:p>
        </w:tc>
        <w:tc>
          <w:tcPr>
            <w:tcW w:w="1344" w:type="dxa"/>
          </w:tcPr>
          <w:p w14:paraId="36B14A00">
            <w:pPr>
              <w:ind w:firstLine="420"/>
              <w:jc w:val="center"/>
              <w:rPr>
                <w:rFonts w:hint="eastAsia" w:ascii="微软雅黑" w:hAnsi="微软雅黑" w:eastAsia="微软雅黑" w:cs="微软雅黑"/>
                <w:color w:val="auto"/>
                <w:sz w:val="21"/>
                <w:szCs w:val="21"/>
                <w:highlight w:val="none"/>
              </w:rPr>
            </w:pPr>
          </w:p>
        </w:tc>
      </w:tr>
      <w:tr w14:paraId="67FC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5F8FF38C">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69" w:name="_Toc3501"/>
            <w:bookmarkStart w:id="370" w:name="_Toc28981"/>
            <w:bookmarkStart w:id="371" w:name="_Toc27509"/>
            <w:bookmarkStart w:id="372" w:name="_Toc6632"/>
            <w:r>
              <w:rPr>
                <w:rFonts w:hint="eastAsia" w:ascii="微软雅黑" w:hAnsi="微软雅黑" w:eastAsia="微软雅黑" w:cs="微软雅黑"/>
                <w:color w:val="auto"/>
                <w:sz w:val="21"/>
                <w:szCs w:val="21"/>
                <w:highlight w:val="none"/>
              </w:rPr>
              <w:t>4</w:t>
            </w:r>
            <w:bookmarkEnd w:id="369"/>
            <w:bookmarkEnd w:id="370"/>
            <w:bookmarkEnd w:id="371"/>
            <w:bookmarkEnd w:id="372"/>
          </w:p>
        </w:tc>
        <w:tc>
          <w:tcPr>
            <w:tcW w:w="1629" w:type="dxa"/>
            <w:vAlign w:val="center"/>
          </w:tcPr>
          <w:p w14:paraId="307F2451">
            <w:pPr>
              <w:ind w:firstLine="420"/>
              <w:jc w:val="center"/>
              <w:rPr>
                <w:rFonts w:hint="eastAsia" w:ascii="微软雅黑" w:hAnsi="微软雅黑" w:eastAsia="微软雅黑" w:cs="微软雅黑"/>
                <w:color w:val="auto"/>
                <w:sz w:val="21"/>
                <w:szCs w:val="21"/>
                <w:highlight w:val="none"/>
              </w:rPr>
            </w:pPr>
          </w:p>
        </w:tc>
        <w:tc>
          <w:tcPr>
            <w:tcW w:w="3404" w:type="dxa"/>
          </w:tcPr>
          <w:p w14:paraId="18A104D4">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744304D7">
            <w:pPr>
              <w:ind w:firstLine="420"/>
              <w:jc w:val="center"/>
              <w:rPr>
                <w:rFonts w:hint="eastAsia" w:ascii="微软雅黑" w:hAnsi="微软雅黑" w:eastAsia="微软雅黑" w:cs="微软雅黑"/>
                <w:color w:val="auto"/>
                <w:sz w:val="21"/>
                <w:szCs w:val="21"/>
                <w:highlight w:val="none"/>
              </w:rPr>
            </w:pPr>
          </w:p>
        </w:tc>
        <w:tc>
          <w:tcPr>
            <w:tcW w:w="1344" w:type="dxa"/>
          </w:tcPr>
          <w:p w14:paraId="4A1DA56A">
            <w:pPr>
              <w:ind w:firstLine="420"/>
              <w:jc w:val="center"/>
              <w:rPr>
                <w:rFonts w:hint="eastAsia" w:ascii="微软雅黑" w:hAnsi="微软雅黑" w:eastAsia="微软雅黑" w:cs="微软雅黑"/>
                <w:color w:val="auto"/>
                <w:sz w:val="21"/>
                <w:szCs w:val="21"/>
                <w:highlight w:val="none"/>
              </w:rPr>
            </w:pPr>
          </w:p>
        </w:tc>
        <w:tc>
          <w:tcPr>
            <w:tcW w:w="1344" w:type="dxa"/>
          </w:tcPr>
          <w:p w14:paraId="6E5FB057">
            <w:pPr>
              <w:ind w:firstLine="420"/>
              <w:jc w:val="center"/>
              <w:rPr>
                <w:rFonts w:hint="eastAsia" w:ascii="微软雅黑" w:hAnsi="微软雅黑" w:eastAsia="微软雅黑" w:cs="微软雅黑"/>
                <w:color w:val="auto"/>
                <w:sz w:val="21"/>
                <w:szCs w:val="21"/>
                <w:highlight w:val="none"/>
              </w:rPr>
            </w:pPr>
          </w:p>
        </w:tc>
      </w:tr>
      <w:tr w14:paraId="6F59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6F55E887">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73" w:name="_Toc10379"/>
            <w:bookmarkStart w:id="374" w:name="_Toc6737"/>
            <w:bookmarkStart w:id="375" w:name="_Toc11200"/>
            <w:bookmarkStart w:id="376" w:name="_Toc3652"/>
            <w:r>
              <w:rPr>
                <w:rFonts w:hint="eastAsia" w:ascii="微软雅黑" w:hAnsi="微软雅黑" w:eastAsia="微软雅黑" w:cs="微软雅黑"/>
                <w:color w:val="auto"/>
                <w:sz w:val="21"/>
                <w:szCs w:val="21"/>
                <w:highlight w:val="none"/>
              </w:rPr>
              <w:t>5</w:t>
            </w:r>
            <w:bookmarkEnd w:id="373"/>
            <w:bookmarkEnd w:id="374"/>
            <w:bookmarkEnd w:id="375"/>
            <w:bookmarkEnd w:id="376"/>
          </w:p>
        </w:tc>
        <w:tc>
          <w:tcPr>
            <w:tcW w:w="1629" w:type="dxa"/>
            <w:vAlign w:val="center"/>
          </w:tcPr>
          <w:p w14:paraId="4DC66E31">
            <w:pPr>
              <w:ind w:firstLine="420"/>
              <w:jc w:val="center"/>
              <w:rPr>
                <w:rFonts w:hint="eastAsia" w:ascii="微软雅黑" w:hAnsi="微软雅黑" w:eastAsia="微软雅黑" w:cs="微软雅黑"/>
                <w:color w:val="auto"/>
                <w:sz w:val="21"/>
                <w:szCs w:val="21"/>
                <w:highlight w:val="none"/>
              </w:rPr>
            </w:pPr>
          </w:p>
        </w:tc>
        <w:tc>
          <w:tcPr>
            <w:tcW w:w="3404" w:type="dxa"/>
          </w:tcPr>
          <w:p w14:paraId="507E1E0C">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1153A0CF">
            <w:pPr>
              <w:ind w:firstLine="420"/>
              <w:jc w:val="center"/>
              <w:rPr>
                <w:rFonts w:hint="eastAsia" w:ascii="微软雅黑" w:hAnsi="微软雅黑" w:eastAsia="微软雅黑" w:cs="微软雅黑"/>
                <w:color w:val="auto"/>
                <w:sz w:val="21"/>
                <w:szCs w:val="21"/>
                <w:highlight w:val="none"/>
              </w:rPr>
            </w:pPr>
          </w:p>
        </w:tc>
        <w:tc>
          <w:tcPr>
            <w:tcW w:w="1344" w:type="dxa"/>
          </w:tcPr>
          <w:p w14:paraId="504CCEA2">
            <w:pPr>
              <w:ind w:firstLine="420"/>
              <w:jc w:val="center"/>
              <w:rPr>
                <w:rFonts w:hint="eastAsia" w:ascii="微软雅黑" w:hAnsi="微软雅黑" w:eastAsia="微软雅黑" w:cs="微软雅黑"/>
                <w:color w:val="auto"/>
                <w:sz w:val="21"/>
                <w:szCs w:val="21"/>
                <w:highlight w:val="none"/>
              </w:rPr>
            </w:pPr>
          </w:p>
        </w:tc>
        <w:tc>
          <w:tcPr>
            <w:tcW w:w="1344" w:type="dxa"/>
          </w:tcPr>
          <w:p w14:paraId="2DA007DA">
            <w:pPr>
              <w:ind w:firstLine="420"/>
              <w:jc w:val="center"/>
              <w:rPr>
                <w:rFonts w:hint="eastAsia" w:ascii="微软雅黑" w:hAnsi="微软雅黑" w:eastAsia="微软雅黑" w:cs="微软雅黑"/>
                <w:color w:val="auto"/>
                <w:sz w:val="21"/>
                <w:szCs w:val="21"/>
                <w:highlight w:val="none"/>
              </w:rPr>
            </w:pPr>
          </w:p>
        </w:tc>
      </w:tr>
      <w:tr w14:paraId="147F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6999A3CE">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77" w:name="_Toc32234"/>
            <w:bookmarkStart w:id="378" w:name="_Toc19093"/>
            <w:bookmarkStart w:id="379" w:name="_Toc2627"/>
            <w:bookmarkStart w:id="380" w:name="_Toc10501"/>
            <w:r>
              <w:rPr>
                <w:rFonts w:hint="eastAsia" w:ascii="微软雅黑" w:hAnsi="微软雅黑" w:eastAsia="微软雅黑" w:cs="微软雅黑"/>
                <w:color w:val="auto"/>
                <w:sz w:val="21"/>
                <w:szCs w:val="21"/>
                <w:highlight w:val="none"/>
              </w:rPr>
              <w:t>6</w:t>
            </w:r>
            <w:bookmarkEnd w:id="377"/>
            <w:bookmarkEnd w:id="378"/>
            <w:bookmarkEnd w:id="379"/>
            <w:bookmarkEnd w:id="380"/>
          </w:p>
        </w:tc>
        <w:tc>
          <w:tcPr>
            <w:tcW w:w="1629" w:type="dxa"/>
            <w:vAlign w:val="center"/>
          </w:tcPr>
          <w:p w14:paraId="462E13A4">
            <w:pPr>
              <w:ind w:firstLine="420"/>
              <w:jc w:val="center"/>
              <w:rPr>
                <w:rFonts w:hint="eastAsia" w:ascii="微软雅黑" w:hAnsi="微软雅黑" w:eastAsia="微软雅黑" w:cs="微软雅黑"/>
                <w:color w:val="auto"/>
                <w:sz w:val="21"/>
                <w:szCs w:val="21"/>
                <w:highlight w:val="none"/>
              </w:rPr>
            </w:pPr>
          </w:p>
        </w:tc>
        <w:tc>
          <w:tcPr>
            <w:tcW w:w="3404" w:type="dxa"/>
          </w:tcPr>
          <w:p w14:paraId="70B45371">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50F20039">
            <w:pPr>
              <w:ind w:firstLine="420"/>
              <w:jc w:val="center"/>
              <w:rPr>
                <w:rFonts w:hint="eastAsia" w:ascii="微软雅黑" w:hAnsi="微软雅黑" w:eastAsia="微软雅黑" w:cs="微软雅黑"/>
                <w:color w:val="auto"/>
                <w:sz w:val="21"/>
                <w:szCs w:val="21"/>
                <w:highlight w:val="none"/>
              </w:rPr>
            </w:pPr>
          </w:p>
        </w:tc>
        <w:tc>
          <w:tcPr>
            <w:tcW w:w="1344" w:type="dxa"/>
          </w:tcPr>
          <w:p w14:paraId="6EFF7361">
            <w:pPr>
              <w:ind w:firstLine="420"/>
              <w:jc w:val="center"/>
              <w:rPr>
                <w:rFonts w:hint="eastAsia" w:ascii="微软雅黑" w:hAnsi="微软雅黑" w:eastAsia="微软雅黑" w:cs="微软雅黑"/>
                <w:color w:val="auto"/>
                <w:sz w:val="21"/>
                <w:szCs w:val="21"/>
                <w:highlight w:val="none"/>
              </w:rPr>
            </w:pPr>
          </w:p>
        </w:tc>
        <w:tc>
          <w:tcPr>
            <w:tcW w:w="1344" w:type="dxa"/>
          </w:tcPr>
          <w:p w14:paraId="58FA46EC">
            <w:pPr>
              <w:ind w:firstLine="420"/>
              <w:jc w:val="center"/>
              <w:rPr>
                <w:rFonts w:hint="eastAsia" w:ascii="微软雅黑" w:hAnsi="微软雅黑" w:eastAsia="微软雅黑" w:cs="微软雅黑"/>
                <w:color w:val="auto"/>
                <w:sz w:val="21"/>
                <w:szCs w:val="21"/>
                <w:highlight w:val="none"/>
              </w:rPr>
            </w:pPr>
          </w:p>
        </w:tc>
      </w:tr>
      <w:tr w14:paraId="2789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04219A7C">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81" w:name="_Toc18087"/>
            <w:bookmarkStart w:id="382" w:name="_Toc7294"/>
            <w:bookmarkStart w:id="383" w:name="_Toc27438"/>
            <w:bookmarkStart w:id="384" w:name="_Toc21152"/>
            <w:r>
              <w:rPr>
                <w:rFonts w:hint="eastAsia" w:ascii="微软雅黑" w:hAnsi="微软雅黑" w:eastAsia="微软雅黑" w:cs="微软雅黑"/>
                <w:color w:val="auto"/>
                <w:sz w:val="21"/>
                <w:szCs w:val="21"/>
                <w:highlight w:val="none"/>
              </w:rPr>
              <w:t>7</w:t>
            </w:r>
            <w:bookmarkEnd w:id="381"/>
            <w:bookmarkEnd w:id="382"/>
            <w:bookmarkEnd w:id="383"/>
            <w:bookmarkEnd w:id="384"/>
          </w:p>
        </w:tc>
        <w:tc>
          <w:tcPr>
            <w:tcW w:w="1629" w:type="dxa"/>
            <w:vAlign w:val="center"/>
          </w:tcPr>
          <w:p w14:paraId="18304C0F">
            <w:pPr>
              <w:ind w:firstLine="420"/>
              <w:jc w:val="center"/>
              <w:rPr>
                <w:rFonts w:hint="eastAsia" w:ascii="微软雅黑" w:hAnsi="微软雅黑" w:eastAsia="微软雅黑" w:cs="微软雅黑"/>
                <w:color w:val="auto"/>
                <w:sz w:val="21"/>
                <w:szCs w:val="21"/>
                <w:highlight w:val="none"/>
              </w:rPr>
            </w:pPr>
          </w:p>
        </w:tc>
        <w:tc>
          <w:tcPr>
            <w:tcW w:w="3404" w:type="dxa"/>
          </w:tcPr>
          <w:p w14:paraId="0FE29A18">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033E3881">
            <w:pPr>
              <w:ind w:firstLine="420"/>
              <w:jc w:val="center"/>
              <w:rPr>
                <w:rFonts w:hint="eastAsia" w:ascii="微软雅黑" w:hAnsi="微软雅黑" w:eastAsia="微软雅黑" w:cs="微软雅黑"/>
                <w:color w:val="auto"/>
                <w:sz w:val="21"/>
                <w:szCs w:val="21"/>
                <w:highlight w:val="none"/>
              </w:rPr>
            </w:pPr>
          </w:p>
        </w:tc>
        <w:tc>
          <w:tcPr>
            <w:tcW w:w="1344" w:type="dxa"/>
          </w:tcPr>
          <w:p w14:paraId="050A5FAB">
            <w:pPr>
              <w:ind w:firstLine="420"/>
              <w:jc w:val="center"/>
              <w:rPr>
                <w:rFonts w:hint="eastAsia" w:ascii="微软雅黑" w:hAnsi="微软雅黑" w:eastAsia="微软雅黑" w:cs="微软雅黑"/>
                <w:color w:val="auto"/>
                <w:sz w:val="21"/>
                <w:szCs w:val="21"/>
                <w:highlight w:val="none"/>
              </w:rPr>
            </w:pPr>
          </w:p>
        </w:tc>
        <w:tc>
          <w:tcPr>
            <w:tcW w:w="1344" w:type="dxa"/>
          </w:tcPr>
          <w:p w14:paraId="7A04DC71">
            <w:pPr>
              <w:ind w:firstLine="420"/>
              <w:jc w:val="center"/>
              <w:rPr>
                <w:rFonts w:hint="eastAsia" w:ascii="微软雅黑" w:hAnsi="微软雅黑" w:eastAsia="微软雅黑" w:cs="微软雅黑"/>
                <w:color w:val="auto"/>
                <w:sz w:val="21"/>
                <w:szCs w:val="21"/>
                <w:highlight w:val="none"/>
              </w:rPr>
            </w:pPr>
          </w:p>
        </w:tc>
      </w:tr>
      <w:tr w14:paraId="733E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6C1D5FD5">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85" w:name="_Toc8589"/>
            <w:bookmarkStart w:id="386" w:name="_Toc25327"/>
            <w:bookmarkStart w:id="387" w:name="_Toc13607"/>
            <w:bookmarkStart w:id="388" w:name="_Toc32101"/>
            <w:r>
              <w:rPr>
                <w:rFonts w:hint="eastAsia" w:ascii="微软雅黑" w:hAnsi="微软雅黑" w:eastAsia="微软雅黑" w:cs="微软雅黑"/>
                <w:color w:val="auto"/>
                <w:sz w:val="21"/>
                <w:szCs w:val="21"/>
                <w:highlight w:val="none"/>
              </w:rPr>
              <w:t>8</w:t>
            </w:r>
            <w:bookmarkEnd w:id="385"/>
            <w:bookmarkEnd w:id="386"/>
            <w:bookmarkEnd w:id="387"/>
            <w:bookmarkEnd w:id="388"/>
          </w:p>
        </w:tc>
        <w:tc>
          <w:tcPr>
            <w:tcW w:w="1629" w:type="dxa"/>
            <w:vAlign w:val="center"/>
          </w:tcPr>
          <w:p w14:paraId="3DF25F85">
            <w:pPr>
              <w:ind w:firstLine="420"/>
              <w:jc w:val="center"/>
              <w:rPr>
                <w:rFonts w:hint="eastAsia" w:ascii="微软雅黑" w:hAnsi="微软雅黑" w:eastAsia="微软雅黑" w:cs="微软雅黑"/>
                <w:color w:val="auto"/>
                <w:sz w:val="21"/>
                <w:szCs w:val="21"/>
                <w:highlight w:val="none"/>
              </w:rPr>
            </w:pPr>
          </w:p>
        </w:tc>
        <w:tc>
          <w:tcPr>
            <w:tcW w:w="3404" w:type="dxa"/>
          </w:tcPr>
          <w:p w14:paraId="164755F3">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49B8FC94">
            <w:pPr>
              <w:ind w:firstLine="420"/>
              <w:jc w:val="center"/>
              <w:rPr>
                <w:rFonts w:hint="eastAsia" w:ascii="微软雅黑" w:hAnsi="微软雅黑" w:eastAsia="微软雅黑" w:cs="微软雅黑"/>
                <w:color w:val="auto"/>
                <w:sz w:val="21"/>
                <w:szCs w:val="21"/>
                <w:highlight w:val="none"/>
              </w:rPr>
            </w:pPr>
          </w:p>
        </w:tc>
        <w:tc>
          <w:tcPr>
            <w:tcW w:w="1344" w:type="dxa"/>
          </w:tcPr>
          <w:p w14:paraId="58BEA789">
            <w:pPr>
              <w:ind w:firstLine="420"/>
              <w:jc w:val="center"/>
              <w:rPr>
                <w:rFonts w:hint="eastAsia" w:ascii="微软雅黑" w:hAnsi="微软雅黑" w:eastAsia="微软雅黑" w:cs="微软雅黑"/>
                <w:color w:val="auto"/>
                <w:sz w:val="21"/>
                <w:szCs w:val="21"/>
                <w:highlight w:val="none"/>
              </w:rPr>
            </w:pPr>
          </w:p>
        </w:tc>
        <w:tc>
          <w:tcPr>
            <w:tcW w:w="1344" w:type="dxa"/>
          </w:tcPr>
          <w:p w14:paraId="252E1095">
            <w:pPr>
              <w:ind w:firstLine="420"/>
              <w:jc w:val="center"/>
              <w:rPr>
                <w:rFonts w:hint="eastAsia" w:ascii="微软雅黑" w:hAnsi="微软雅黑" w:eastAsia="微软雅黑" w:cs="微软雅黑"/>
                <w:color w:val="auto"/>
                <w:sz w:val="21"/>
                <w:szCs w:val="21"/>
                <w:highlight w:val="none"/>
              </w:rPr>
            </w:pPr>
          </w:p>
        </w:tc>
      </w:tr>
      <w:tr w14:paraId="1381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4F438B90">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89" w:name="_Toc8195"/>
            <w:bookmarkStart w:id="390" w:name="_Toc15609"/>
            <w:bookmarkStart w:id="391" w:name="_Toc13081"/>
            <w:bookmarkStart w:id="392" w:name="_Toc4648"/>
            <w:r>
              <w:rPr>
                <w:rFonts w:hint="eastAsia" w:ascii="微软雅黑" w:hAnsi="微软雅黑" w:eastAsia="微软雅黑" w:cs="微软雅黑"/>
                <w:color w:val="auto"/>
                <w:sz w:val="21"/>
                <w:szCs w:val="21"/>
                <w:highlight w:val="none"/>
              </w:rPr>
              <w:t>9</w:t>
            </w:r>
            <w:bookmarkEnd w:id="389"/>
            <w:bookmarkEnd w:id="390"/>
            <w:bookmarkEnd w:id="391"/>
            <w:bookmarkEnd w:id="392"/>
          </w:p>
        </w:tc>
        <w:tc>
          <w:tcPr>
            <w:tcW w:w="1629" w:type="dxa"/>
            <w:vAlign w:val="center"/>
          </w:tcPr>
          <w:p w14:paraId="6D4DF58B">
            <w:pPr>
              <w:ind w:firstLine="420"/>
              <w:jc w:val="center"/>
              <w:rPr>
                <w:rFonts w:hint="eastAsia" w:ascii="微软雅黑" w:hAnsi="微软雅黑" w:eastAsia="微软雅黑" w:cs="微软雅黑"/>
                <w:color w:val="auto"/>
                <w:sz w:val="21"/>
                <w:szCs w:val="21"/>
                <w:highlight w:val="none"/>
              </w:rPr>
            </w:pPr>
          </w:p>
        </w:tc>
        <w:tc>
          <w:tcPr>
            <w:tcW w:w="3404" w:type="dxa"/>
          </w:tcPr>
          <w:p w14:paraId="62D1B45B">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2200DF67">
            <w:pPr>
              <w:ind w:firstLine="420"/>
              <w:jc w:val="center"/>
              <w:rPr>
                <w:rFonts w:hint="eastAsia" w:ascii="微软雅黑" w:hAnsi="微软雅黑" w:eastAsia="微软雅黑" w:cs="微软雅黑"/>
                <w:color w:val="auto"/>
                <w:sz w:val="21"/>
                <w:szCs w:val="21"/>
                <w:highlight w:val="none"/>
              </w:rPr>
            </w:pPr>
          </w:p>
        </w:tc>
        <w:tc>
          <w:tcPr>
            <w:tcW w:w="1344" w:type="dxa"/>
          </w:tcPr>
          <w:p w14:paraId="16872BD1">
            <w:pPr>
              <w:ind w:firstLine="420"/>
              <w:jc w:val="center"/>
              <w:rPr>
                <w:rFonts w:hint="eastAsia" w:ascii="微软雅黑" w:hAnsi="微软雅黑" w:eastAsia="微软雅黑" w:cs="微软雅黑"/>
                <w:color w:val="auto"/>
                <w:sz w:val="21"/>
                <w:szCs w:val="21"/>
                <w:highlight w:val="none"/>
              </w:rPr>
            </w:pPr>
          </w:p>
        </w:tc>
        <w:tc>
          <w:tcPr>
            <w:tcW w:w="1344" w:type="dxa"/>
          </w:tcPr>
          <w:p w14:paraId="5AA8A9A5">
            <w:pPr>
              <w:ind w:firstLine="420"/>
              <w:jc w:val="center"/>
              <w:rPr>
                <w:rFonts w:hint="eastAsia" w:ascii="微软雅黑" w:hAnsi="微软雅黑" w:eastAsia="微软雅黑" w:cs="微软雅黑"/>
                <w:color w:val="auto"/>
                <w:sz w:val="21"/>
                <w:szCs w:val="21"/>
                <w:highlight w:val="none"/>
              </w:rPr>
            </w:pPr>
          </w:p>
        </w:tc>
      </w:tr>
      <w:tr w14:paraId="0706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58B7A117">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93" w:name="_Toc15855"/>
            <w:bookmarkStart w:id="394" w:name="_Toc15194"/>
            <w:bookmarkStart w:id="395" w:name="_Toc24624"/>
            <w:bookmarkStart w:id="396" w:name="_Toc17425"/>
            <w:r>
              <w:rPr>
                <w:rFonts w:hint="eastAsia" w:ascii="微软雅黑" w:hAnsi="微软雅黑" w:eastAsia="微软雅黑" w:cs="微软雅黑"/>
                <w:color w:val="auto"/>
                <w:sz w:val="21"/>
                <w:szCs w:val="21"/>
                <w:highlight w:val="none"/>
              </w:rPr>
              <w:t>10</w:t>
            </w:r>
            <w:bookmarkEnd w:id="393"/>
            <w:bookmarkEnd w:id="394"/>
            <w:bookmarkEnd w:id="395"/>
            <w:bookmarkEnd w:id="396"/>
          </w:p>
        </w:tc>
        <w:tc>
          <w:tcPr>
            <w:tcW w:w="1629" w:type="dxa"/>
            <w:vAlign w:val="center"/>
          </w:tcPr>
          <w:p w14:paraId="17ABD7CF">
            <w:pPr>
              <w:ind w:firstLine="420"/>
              <w:jc w:val="center"/>
              <w:rPr>
                <w:rFonts w:hint="eastAsia" w:ascii="微软雅黑" w:hAnsi="微软雅黑" w:eastAsia="微软雅黑" w:cs="微软雅黑"/>
                <w:color w:val="auto"/>
                <w:sz w:val="21"/>
                <w:szCs w:val="21"/>
                <w:highlight w:val="none"/>
              </w:rPr>
            </w:pPr>
          </w:p>
        </w:tc>
        <w:tc>
          <w:tcPr>
            <w:tcW w:w="3404" w:type="dxa"/>
          </w:tcPr>
          <w:p w14:paraId="3682DB9E">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553017CF">
            <w:pPr>
              <w:ind w:firstLine="420"/>
              <w:jc w:val="center"/>
              <w:rPr>
                <w:rFonts w:hint="eastAsia" w:ascii="微软雅黑" w:hAnsi="微软雅黑" w:eastAsia="微软雅黑" w:cs="微软雅黑"/>
                <w:color w:val="auto"/>
                <w:sz w:val="21"/>
                <w:szCs w:val="21"/>
                <w:highlight w:val="none"/>
              </w:rPr>
            </w:pPr>
          </w:p>
        </w:tc>
        <w:tc>
          <w:tcPr>
            <w:tcW w:w="1344" w:type="dxa"/>
          </w:tcPr>
          <w:p w14:paraId="310E511E">
            <w:pPr>
              <w:ind w:firstLine="420"/>
              <w:jc w:val="center"/>
              <w:rPr>
                <w:rFonts w:hint="eastAsia" w:ascii="微软雅黑" w:hAnsi="微软雅黑" w:eastAsia="微软雅黑" w:cs="微软雅黑"/>
                <w:color w:val="auto"/>
                <w:sz w:val="21"/>
                <w:szCs w:val="21"/>
                <w:highlight w:val="none"/>
              </w:rPr>
            </w:pPr>
          </w:p>
        </w:tc>
        <w:tc>
          <w:tcPr>
            <w:tcW w:w="1344" w:type="dxa"/>
          </w:tcPr>
          <w:p w14:paraId="0D4ABB7A">
            <w:pPr>
              <w:ind w:firstLine="420"/>
              <w:jc w:val="center"/>
              <w:rPr>
                <w:rFonts w:hint="eastAsia" w:ascii="微软雅黑" w:hAnsi="微软雅黑" w:eastAsia="微软雅黑" w:cs="微软雅黑"/>
                <w:color w:val="auto"/>
                <w:sz w:val="21"/>
                <w:szCs w:val="21"/>
                <w:highlight w:val="none"/>
              </w:rPr>
            </w:pPr>
          </w:p>
        </w:tc>
      </w:tr>
      <w:tr w14:paraId="78E6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2EDAAC40">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397" w:name="_Toc13591"/>
            <w:bookmarkStart w:id="398" w:name="_Toc27712"/>
            <w:bookmarkStart w:id="399" w:name="_Toc18850"/>
            <w:bookmarkStart w:id="400" w:name="_Toc14875"/>
            <w:r>
              <w:rPr>
                <w:rFonts w:hint="eastAsia" w:ascii="微软雅黑" w:hAnsi="微软雅黑" w:eastAsia="微软雅黑" w:cs="微软雅黑"/>
                <w:color w:val="auto"/>
                <w:sz w:val="21"/>
                <w:szCs w:val="21"/>
                <w:highlight w:val="none"/>
              </w:rPr>
              <w:t>11</w:t>
            </w:r>
            <w:bookmarkEnd w:id="397"/>
            <w:bookmarkEnd w:id="398"/>
            <w:bookmarkEnd w:id="399"/>
            <w:bookmarkEnd w:id="400"/>
          </w:p>
        </w:tc>
        <w:tc>
          <w:tcPr>
            <w:tcW w:w="1629" w:type="dxa"/>
            <w:vAlign w:val="center"/>
          </w:tcPr>
          <w:p w14:paraId="160ED484">
            <w:pPr>
              <w:ind w:firstLine="420"/>
              <w:jc w:val="center"/>
              <w:rPr>
                <w:rFonts w:hint="eastAsia" w:ascii="微软雅黑" w:hAnsi="微软雅黑" w:eastAsia="微软雅黑" w:cs="微软雅黑"/>
                <w:color w:val="auto"/>
                <w:sz w:val="21"/>
                <w:szCs w:val="21"/>
                <w:highlight w:val="none"/>
              </w:rPr>
            </w:pPr>
          </w:p>
        </w:tc>
        <w:tc>
          <w:tcPr>
            <w:tcW w:w="3404" w:type="dxa"/>
          </w:tcPr>
          <w:p w14:paraId="51FB8772">
            <w:pPr>
              <w:ind w:firstLine="420"/>
              <w:jc w:val="center"/>
              <w:rPr>
                <w:rFonts w:hint="eastAsia" w:ascii="微软雅黑" w:hAnsi="微软雅黑" w:eastAsia="微软雅黑" w:cs="微软雅黑"/>
                <w:color w:val="auto"/>
                <w:sz w:val="21"/>
                <w:szCs w:val="21"/>
                <w:highlight w:val="none"/>
              </w:rPr>
            </w:pPr>
          </w:p>
        </w:tc>
        <w:tc>
          <w:tcPr>
            <w:tcW w:w="1344" w:type="dxa"/>
            <w:vAlign w:val="center"/>
          </w:tcPr>
          <w:p w14:paraId="398802CC">
            <w:pPr>
              <w:ind w:firstLine="420"/>
              <w:jc w:val="center"/>
              <w:rPr>
                <w:rFonts w:hint="eastAsia" w:ascii="微软雅黑" w:hAnsi="微软雅黑" w:eastAsia="微软雅黑" w:cs="微软雅黑"/>
                <w:color w:val="auto"/>
                <w:sz w:val="21"/>
                <w:szCs w:val="21"/>
                <w:highlight w:val="none"/>
              </w:rPr>
            </w:pPr>
          </w:p>
        </w:tc>
        <w:tc>
          <w:tcPr>
            <w:tcW w:w="1344" w:type="dxa"/>
          </w:tcPr>
          <w:p w14:paraId="31E0128B">
            <w:pPr>
              <w:ind w:firstLine="420"/>
              <w:jc w:val="center"/>
              <w:rPr>
                <w:rFonts w:hint="eastAsia" w:ascii="微软雅黑" w:hAnsi="微软雅黑" w:eastAsia="微软雅黑" w:cs="微软雅黑"/>
                <w:color w:val="auto"/>
                <w:sz w:val="21"/>
                <w:szCs w:val="21"/>
                <w:highlight w:val="none"/>
              </w:rPr>
            </w:pPr>
          </w:p>
        </w:tc>
        <w:tc>
          <w:tcPr>
            <w:tcW w:w="1344" w:type="dxa"/>
          </w:tcPr>
          <w:p w14:paraId="7C342E71">
            <w:pPr>
              <w:ind w:firstLine="420"/>
              <w:jc w:val="center"/>
              <w:rPr>
                <w:rFonts w:hint="eastAsia" w:ascii="微软雅黑" w:hAnsi="微软雅黑" w:eastAsia="微软雅黑" w:cs="微软雅黑"/>
                <w:color w:val="auto"/>
                <w:sz w:val="21"/>
                <w:szCs w:val="21"/>
                <w:highlight w:val="none"/>
              </w:rPr>
            </w:pPr>
          </w:p>
        </w:tc>
      </w:tr>
      <w:tr w14:paraId="73AB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88" w:type="dxa"/>
            <w:vAlign w:val="center"/>
          </w:tcPr>
          <w:p w14:paraId="4247ACFB">
            <w:pPr>
              <w:pStyle w:val="23"/>
              <w:spacing w:line="240" w:lineRule="atLeast"/>
              <w:ind w:left="560" w:firstLine="420"/>
              <w:jc w:val="center"/>
              <w:outlineLvl w:val="0"/>
              <w:rPr>
                <w:rFonts w:hint="eastAsia" w:ascii="微软雅黑" w:hAnsi="微软雅黑" w:eastAsia="微软雅黑" w:cs="微软雅黑"/>
                <w:color w:val="auto"/>
                <w:sz w:val="21"/>
                <w:szCs w:val="21"/>
                <w:highlight w:val="none"/>
              </w:rPr>
            </w:pPr>
            <w:bookmarkStart w:id="401" w:name="_Toc13203"/>
            <w:bookmarkStart w:id="402" w:name="_Toc12154"/>
            <w:bookmarkStart w:id="403" w:name="_Toc17159"/>
            <w:bookmarkStart w:id="404" w:name="_Toc27466"/>
            <w:r>
              <w:rPr>
                <w:rFonts w:hint="eastAsia" w:ascii="微软雅黑" w:hAnsi="微软雅黑" w:eastAsia="微软雅黑" w:cs="微软雅黑"/>
                <w:color w:val="auto"/>
                <w:sz w:val="21"/>
                <w:szCs w:val="21"/>
                <w:highlight w:val="none"/>
              </w:rPr>
              <w:t>12</w:t>
            </w:r>
            <w:bookmarkEnd w:id="401"/>
            <w:bookmarkEnd w:id="402"/>
            <w:bookmarkEnd w:id="403"/>
            <w:bookmarkEnd w:id="404"/>
          </w:p>
        </w:tc>
        <w:tc>
          <w:tcPr>
            <w:tcW w:w="1629" w:type="dxa"/>
            <w:vAlign w:val="center"/>
          </w:tcPr>
          <w:p w14:paraId="52C3EA55">
            <w:pPr>
              <w:ind w:firstLine="420"/>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总计</w:t>
            </w:r>
          </w:p>
        </w:tc>
        <w:tc>
          <w:tcPr>
            <w:tcW w:w="7436" w:type="dxa"/>
            <w:gridSpan w:val="4"/>
          </w:tcPr>
          <w:p w14:paraId="41018DDB">
            <w:pPr>
              <w:ind w:firstLine="420"/>
              <w:rPr>
                <w:rFonts w:hint="eastAsia" w:ascii="微软雅黑" w:hAnsi="微软雅黑" w:eastAsia="微软雅黑" w:cs="微软雅黑"/>
                <w:color w:val="auto"/>
                <w:sz w:val="21"/>
                <w:szCs w:val="21"/>
                <w:highlight w:val="none"/>
              </w:rPr>
            </w:pPr>
          </w:p>
        </w:tc>
      </w:tr>
    </w:tbl>
    <w:p w14:paraId="213B5333">
      <w:pPr>
        <w:snapToGrid w:val="0"/>
        <w:spacing w:line="500" w:lineRule="exact"/>
        <w:ind w:firstLine="480" w:firstLineChars="200"/>
        <w:rPr>
          <w:rFonts w:hint="eastAsia" w:ascii="微软雅黑" w:hAnsi="微软雅黑" w:eastAsia="微软雅黑" w:cs="微软雅黑"/>
          <w:color w:val="auto"/>
          <w:sz w:val="24"/>
          <w:szCs w:val="28"/>
          <w:highlight w:val="none"/>
        </w:rPr>
      </w:pPr>
    </w:p>
    <w:p w14:paraId="7BF389CA">
      <w:pPr>
        <w:snapToGrid w:val="0"/>
        <w:spacing w:line="500" w:lineRule="exact"/>
        <w:ind w:firstLine="480" w:firstLineChars="20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注：1、请供应商完整填写本表。</w:t>
      </w:r>
    </w:p>
    <w:p w14:paraId="48FA0869">
      <w:pPr>
        <w:snapToGrid w:val="0"/>
        <w:spacing w:line="500" w:lineRule="exact"/>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2、该表可扩展</w:t>
      </w:r>
      <w:bookmarkStart w:id="405" w:name="OLE_LINK1"/>
      <w:bookmarkStart w:id="406" w:name="OLE_LINK2"/>
      <w:r>
        <w:rPr>
          <w:rFonts w:hint="eastAsia" w:ascii="微软雅黑" w:hAnsi="微软雅黑" w:eastAsia="微软雅黑" w:cs="微软雅黑"/>
          <w:color w:val="auto"/>
          <w:sz w:val="24"/>
          <w:szCs w:val="28"/>
          <w:highlight w:val="none"/>
        </w:rPr>
        <w:t>，并逐页签字或盖章。</w:t>
      </w:r>
      <w:bookmarkEnd w:id="405"/>
      <w:bookmarkEnd w:id="406"/>
    </w:p>
    <w:p w14:paraId="3B219211">
      <w:pPr>
        <w:pStyle w:val="38"/>
        <w:spacing w:line="360" w:lineRule="auto"/>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3、该表可根据项目实际情况调整。</w:t>
      </w:r>
    </w:p>
    <w:p w14:paraId="11ED5B90">
      <w:pPr>
        <w:pStyle w:val="38"/>
        <w:spacing w:line="360" w:lineRule="auto"/>
        <w:jc w:val="both"/>
        <w:rPr>
          <w:rFonts w:hint="eastAsia" w:ascii="微软雅黑" w:hAnsi="微软雅黑" w:eastAsia="微软雅黑" w:cs="微软雅黑"/>
          <w:color w:val="auto"/>
          <w:sz w:val="24"/>
          <w:szCs w:val="24"/>
          <w:highlight w:val="none"/>
        </w:rPr>
      </w:pPr>
    </w:p>
    <w:p w14:paraId="59DE5E6E">
      <w:pPr>
        <w:pStyle w:val="38"/>
        <w:spacing w:line="360" w:lineRule="auto"/>
        <w:rPr>
          <w:rFonts w:hint="eastAsia" w:ascii="微软雅黑" w:hAnsi="微软雅黑" w:eastAsia="微软雅黑" w:cs="微软雅黑"/>
          <w:color w:val="auto"/>
          <w:sz w:val="24"/>
          <w:szCs w:val="24"/>
          <w:highlight w:val="none"/>
        </w:rPr>
      </w:pPr>
    </w:p>
    <w:p w14:paraId="42D987DD">
      <w:pPr>
        <w:rPr>
          <w:rFonts w:hint="eastAsia" w:ascii="微软雅黑" w:hAnsi="微软雅黑" w:eastAsia="微软雅黑" w:cs="微软雅黑"/>
          <w:color w:val="auto"/>
          <w:highlight w:val="none"/>
        </w:rPr>
      </w:pPr>
    </w:p>
    <w:p w14:paraId="2E3E0453">
      <w:pPr>
        <w:pStyle w:val="16"/>
        <w:ind w:firstLine="480"/>
        <w:rPr>
          <w:color w:val="auto"/>
          <w:highlight w:val="none"/>
        </w:rPr>
      </w:pPr>
    </w:p>
    <w:p w14:paraId="1C38B23B">
      <w:pPr>
        <w:rPr>
          <w:rFonts w:hint="eastAsia" w:ascii="微软雅黑" w:hAnsi="微软雅黑" w:eastAsia="微软雅黑" w:cs="微软雅黑"/>
          <w:color w:val="auto"/>
          <w:highlight w:val="none"/>
        </w:rPr>
      </w:pPr>
    </w:p>
    <w:p w14:paraId="461A3F40">
      <w:pPr>
        <w:spacing w:line="360" w:lineRule="auto"/>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szCs w:val="24"/>
          <w:highlight w:val="none"/>
        </w:rPr>
        <w:t xml:space="preserve">                                                   供应商名称（公章）：</w:t>
      </w:r>
    </w:p>
    <w:p w14:paraId="77F94E77">
      <w:pPr>
        <w:spacing w:line="360" w:lineRule="auto"/>
        <w:ind w:right="480" w:firstLine="6480" w:firstLineChars="27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年     月    日</w:t>
      </w:r>
    </w:p>
    <w:p w14:paraId="324431BA">
      <w:pPr>
        <w:snapToGrid w:val="0"/>
        <w:spacing w:line="360" w:lineRule="auto"/>
        <w:ind w:firstLine="480" w:firstLineChars="200"/>
        <w:rPr>
          <w:rFonts w:hint="eastAsia" w:ascii="微软雅黑" w:hAnsi="微软雅黑" w:eastAsia="微软雅黑" w:cs="微软雅黑"/>
          <w:color w:val="auto"/>
          <w:sz w:val="24"/>
          <w:szCs w:val="24"/>
          <w:highlight w:val="none"/>
          <w:bdr w:val="single" w:color="auto" w:sz="4" w:space="0"/>
        </w:rPr>
        <w:sectPr>
          <w:pgSz w:w="11907" w:h="16840"/>
          <w:pgMar w:top="1134" w:right="1191" w:bottom="1134" w:left="1304" w:header="851" w:footer="992" w:gutter="0"/>
          <w:pgNumType w:fmt="numberInDash"/>
          <w:cols w:space="720" w:num="1"/>
          <w:docGrid w:linePitch="380" w:charSpace="-5735"/>
        </w:sectPr>
      </w:pPr>
    </w:p>
    <w:p w14:paraId="7D348834">
      <w:pPr>
        <w:pStyle w:val="5"/>
        <w:spacing w:line="360" w:lineRule="auto"/>
        <w:rPr>
          <w:rFonts w:hint="eastAsia" w:ascii="微软雅黑" w:hAnsi="微软雅黑" w:eastAsia="微软雅黑" w:cs="微软雅黑"/>
          <w:color w:val="auto"/>
          <w:sz w:val="24"/>
          <w:szCs w:val="24"/>
          <w:highlight w:val="none"/>
        </w:rPr>
      </w:pPr>
      <w:bookmarkStart w:id="407" w:name="_Toc4581"/>
      <w:bookmarkStart w:id="408" w:name="_Toc313008357"/>
      <w:bookmarkStart w:id="409" w:name="_Toc342913420"/>
      <w:bookmarkStart w:id="410" w:name="_Toc14109"/>
      <w:bookmarkStart w:id="411" w:name="_Toc6239"/>
      <w:bookmarkStart w:id="412" w:name="_Toc47094795"/>
      <w:bookmarkStart w:id="413" w:name="_Toc313888361"/>
      <w:bookmarkStart w:id="414" w:name="_Toc13162"/>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部分</w:t>
      </w:r>
      <w:bookmarkEnd w:id="407"/>
      <w:bookmarkEnd w:id="408"/>
      <w:bookmarkEnd w:id="409"/>
      <w:bookmarkEnd w:id="410"/>
      <w:bookmarkEnd w:id="411"/>
      <w:bookmarkEnd w:id="412"/>
      <w:bookmarkEnd w:id="413"/>
      <w:bookmarkEnd w:id="414"/>
    </w:p>
    <w:p w14:paraId="635A38B6">
      <w:pPr>
        <w:snapToGrid w:val="0"/>
        <w:ind w:firstLine="480" w:firstLineChars="200"/>
        <w:rPr>
          <w:rFonts w:hint="eastAsia" w:ascii="微软雅黑" w:hAnsi="微软雅黑" w:eastAsia="微软雅黑" w:cs="微软雅黑"/>
          <w:color w:val="auto"/>
          <w:sz w:val="24"/>
          <w:szCs w:val="24"/>
          <w:highlight w:val="none"/>
        </w:rPr>
      </w:pPr>
    </w:p>
    <w:p w14:paraId="173E87D8">
      <w:pPr>
        <w:snapToGrid w:val="0"/>
        <w:ind w:firstLine="480" w:firstLineChars="200"/>
        <w:rPr>
          <w:rFonts w:hint="eastAsia" w:ascii="微软雅黑" w:hAnsi="微软雅黑" w:eastAsia="微软雅黑" w:cs="微软雅黑"/>
          <w:color w:val="auto"/>
          <w:sz w:val="24"/>
          <w:szCs w:val="24"/>
          <w:highlight w:val="none"/>
        </w:rPr>
      </w:pPr>
    </w:p>
    <w:p w14:paraId="54EE2842">
      <w:pPr>
        <w:snapToGrid w:val="0"/>
        <w:spacing w:line="360" w:lineRule="auto"/>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方案（格式自定）</w:t>
      </w:r>
    </w:p>
    <w:p w14:paraId="4F8B4E0F">
      <w:pPr>
        <w:snapToGrid w:val="0"/>
        <w:ind w:firstLine="480" w:firstLineChars="200"/>
        <w:rPr>
          <w:rFonts w:hint="eastAsia" w:ascii="微软雅黑" w:hAnsi="微软雅黑" w:eastAsia="微软雅黑" w:cs="微软雅黑"/>
          <w:color w:val="auto"/>
          <w:sz w:val="24"/>
          <w:szCs w:val="24"/>
          <w:highlight w:val="none"/>
        </w:rPr>
      </w:pPr>
    </w:p>
    <w:p w14:paraId="2E3E6660">
      <w:pPr>
        <w:snapToGrid w:val="0"/>
        <w:ind w:firstLine="480" w:firstLineChars="200"/>
        <w:rPr>
          <w:rFonts w:hint="eastAsia" w:ascii="微软雅黑" w:hAnsi="微软雅黑" w:eastAsia="微软雅黑" w:cs="微软雅黑"/>
          <w:color w:val="auto"/>
          <w:sz w:val="24"/>
          <w:szCs w:val="24"/>
          <w:highlight w:val="none"/>
        </w:rPr>
      </w:pPr>
    </w:p>
    <w:p w14:paraId="2AEA2AF2">
      <w:pPr>
        <w:snapToGrid w:val="0"/>
        <w:ind w:firstLine="480" w:firstLineChars="200"/>
        <w:rPr>
          <w:rFonts w:hint="eastAsia" w:ascii="微软雅黑" w:hAnsi="微软雅黑" w:eastAsia="微软雅黑" w:cs="微软雅黑"/>
          <w:color w:val="auto"/>
          <w:sz w:val="24"/>
          <w:szCs w:val="24"/>
          <w:highlight w:val="none"/>
        </w:rPr>
      </w:pPr>
    </w:p>
    <w:p w14:paraId="747E56FC">
      <w:pPr>
        <w:snapToGrid w:val="0"/>
        <w:ind w:firstLine="480" w:firstLineChars="200"/>
        <w:rPr>
          <w:rFonts w:hint="eastAsia" w:ascii="微软雅黑" w:hAnsi="微软雅黑" w:eastAsia="微软雅黑" w:cs="微软雅黑"/>
          <w:color w:val="auto"/>
          <w:sz w:val="24"/>
          <w:szCs w:val="24"/>
          <w:highlight w:val="none"/>
        </w:rPr>
      </w:pPr>
    </w:p>
    <w:p w14:paraId="2DDBEFEB">
      <w:pPr>
        <w:snapToGrid w:val="0"/>
        <w:ind w:firstLine="480" w:firstLineChars="200"/>
        <w:rPr>
          <w:rFonts w:hint="eastAsia" w:ascii="微软雅黑" w:hAnsi="微软雅黑" w:eastAsia="微软雅黑" w:cs="微软雅黑"/>
          <w:color w:val="auto"/>
          <w:sz w:val="24"/>
          <w:szCs w:val="24"/>
          <w:highlight w:val="none"/>
        </w:rPr>
      </w:pPr>
    </w:p>
    <w:p w14:paraId="698FD346">
      <w:pPr>
        <w:snapToGrid w:val="0"/>
        <w:ind w:firstLine="480" w:firstLineChars="200"/>
        <w:rPr>
          <w:rFonts w:hint="eastAsia" w:ascii="微软雅黑" w:hAnsi="微软雅黑" w:eastAsia="微软雅黑" w:cs="微软雅黑"/>
          <w:color w:val="auto"/>
          <w:sz w:val="24"/>
          <w:szCs w:val="24"/>
          <w:highlight w:val="none"/>
        </w:rPr>
      </w:pPr>
    </w:p>
    <w:p w14:paraId="4DA91A84">
      <w:pPr>
        <w:snapToGrid w:val="0"/>
        <w:ind w:firstLine="480" w:firstLineChars="200"/>
        <w:rPr>
          <w:rFonts w:hint="eastAsia" w:ascii="微软雅黑" w:hAnsi="微软雅黑" w:eastAsia="微软雅黑" w:cs="微软雅黑"/>
          <w:color w:val="auto"/>
          <w:sz w:val="24"/>
          <w:szCs w:val="24"/>
          <w:highlight w:val="none"/>
        </w:rPr>
      </w:pPr>
    </w:p>
    <w:p w14:paraId="6B6B1DFB">
      <w:pPr>
        <w:snapToGrid w:val="0"/>
        <w:ind w:firstLine="480" w:firstLineChars="200"/>
        <w:rPr>
          <w:rFonts w:hint="eastAsia" w:ascii="微软雅黑" w:hAnsi="微软雅黑" w:eastAsia="微软雅黑" w:cs="微软雅黑"/>
          <w:color w:val="auto"/>
          <w:sz w:val="24"/>
          <w:szCs w:val="24"/>
          <w:highlight w:val="none"/>
        </w:rPr>
      </w:pPr>
    </w:p>
    <w:p w14:paraId="076A12D5">
      <w:pPr>
        <w:snapToGrid w:val="0"/>
        <w:ind w:firstLine="480" w:firstLineChars="200"/>
        <w:rPr>
          <w:rFonts w:hint="eastAsia" w:ascii="微软雅黑" w:hAnsi="微软雅黑" w:eastAsia="微软雅黑" w:cs="微软雅黑"/>
          <w:color w:val="auto"/>
          <w:sz w:val="24"/>
          <w:szCs w:val="24"/>
          <w:highlight w:val="none"/>
        </w:rPr>
      </w:pPr>
    </w:p>
    <w:p w14:paraId="0B61378B">
      <w:pPr>
        <w:snapToGrid w:val="0"/>
        <w:ind w:firstLine="480" w:firstLineChars="200"/>
        <w:rPr>
          <w:rFonts w:hint="eastAsia" w:ascii="微软雅黑" w:hAnsi="微软雅黑" w:eastAsia="微软雅黑" w:cs="微软雅黑"/>
          <w:color w:val="auto"/>
          <w:sz w:val="24"/>
          <w:szCs w:val="24"/>
          <w:highlight w:val="none"/>
        </w:rPr>
      </w:pPr>
    </w:p>
    <w:p w14:paraId="2B9C91E2">
      <w:pPr>
        <w:snapToGrid w:val="0"/>
        <w:ind w:firstLine="480" w:firstLineChars="200"/>
        <w:rPr>
          <w:rFonts w:hint="eastAsia" w:ascii="微软雅黑" w:hAnsi="微软雅黑" w:eastAsia="微软雅黑" w:cs="微软雅黑"/>
          <w:color w:val="auto"/>
          <w:sz w:val="24"/>
          <w:szCs w:val="24"/>
          <w:highlight w:val="none"/>
        </w:rPr>
      </w:pPr>
    </w:p>
    <w:p w14:paraId="30956265">
      <w:pPr>
        <w:snapToGrid w:val="0"/>
        <w:ind w:firstLine="480" w:firstLineChars="200"/>
        <w:rPr>
          <w:rFonts w:hint="eastAsia" w:ascii="微软雅黑" w:hAnsi="微软雅黑" w:eastAsia="微软雅黑" w:cs="微软雅黑"/>
          <w:color w:val="auto"/>
          <w:sz w:val="24"/>
          <w:szCs w:val="24"/>
          <w:highlight w:val="none"/>
        </w:rPr>
      </w:pPr>
    </w:p>
    <w:p w14:paraId="6DEC879E">
      <w:pPr>
        <w:snapToGrid w:val="0"/>
        <w:ind w:firstLine="480" w:firstLineChars="200"/>
        <w:rPr>
          <w:rFonts w:hint="eastAsia" w:ascii="微软雅黑" w:hAnsi="微软雅黑" w:eastAsia="微软雅黑" w:cs="微软雅黑"/>
          <w:color w:val="auto"/>
          <w:sz w:val="24"/>
          <w:szCs w:val="24"/>
          <w:highlight w:val="none"/>
        </w:rPr>
      </w:pPr>
    </w:p>
    <w:p w14:paraId="261BAAD1">
      <w:pPr>
        <w:snapToGrid w:val="0"/>
        <w:ind w:firstLine="480" w:firstLineChars="200"/>
        <w:rPr>
          <w:rFonts w:hint="eastAsia" w:ascii="微软雅黑" w:hAnsi="微软雅黑" w:eastAsia="微软雅黑" w:cs="微软雅黑"/>
          <w:color w:val="auto"/>
          <w:sz w:val="24"/>
          <w:szCs w:val="24"/>
          <w:highlight w:val="none"/>
        </w:rPr>
      </w:pPr>
    </w:p>
    <w:p w14:paraId="0E74D57E">
      <w:pPr>
        <w:snapToGrid w:val="0"/>
        <w:ind w:firstLine="480" w:firstLineChars="200"/>
        <w:rPr>
          <w:rFonts w:hint="eastAsia" w:ascii="微软雅黑" w:hAnsi="微软雅黑" w:eastAsia="微软雅黑" w:cs="微软雅黑"/>
          <w:color w:val="auto"/>
          <w:sz w:val="24"/>
          <w:szCs w:val="24"/>
          <w:highlight w:val="none"/>
        </w:rPr>
      </w:pPr>
    </w:p>
    <w:p w14:paraId="332EF3C7">
      <w:pPr>
        <w:snapToGrid w:val="0"/>
        <w:ind w:firstLine="480" w:firstLineChars="200"/>
        <w:rPr>
          <w:rFonts w:hint="eastAsia" w:ascii="微软雅黑" w:hAnsi="微软雅黑" w:eastAsia="微软雅黑" w:cs="微软雅黑"/>
          <w:color w:val="auto"/>
          <w:sz w:val="24"/>
          <w:szCs w:val="24"/>
          <w:highlight w:val="none"/>
        </w:rPr>
      </w:pPr>
    </w:p>
    <w:p w14:paraId="2B4AEB31">
      <w:pPr>
        <w:snapToGrid w:val="0"/>
        <w:ind w:firstLine="480" w:firstLineChars="200"/>
        <w:rPr>
          <w:rFonts w:hint="eastAsia" w:ascii="微软雅黑" w:hAnsi="微软雅黑" w:eastAsia="微软雅黑" w:cs="微软雅黑"/>
          <w:color w:val="auto"/>
          <w:sz w:val="24"/>
          <w:szCs w:val="24"/>
          <w:highlight w:val="none"/>
        </w:rPr>
      </w:pPr>
    </w:p>
    <w:p w14:paraId="742D7EBB">
      <w:pPr>
        <w:snapToGrid w:val="0"/>
        <w:ind w:firstLine="480" w:firstLineChars="200"/>
        <w:rPr>
          <w:rFonts w:hint="eastAsia" w:ascii="微软雅黑" w:hAnsi="微软雅黑" w:eastAsia="微软雅黑" w:cs="微软雅黑"/>
          <w:color w:val="auto"/>
          <w:sz w:val="24"/>
          <w:szCs w:val="24"/>
          <w:highlight w:val="none"/>
        </w:rPr>
      </w:pPr>
    </w:p>
    <w:p w14:paraId="1063B429">
      <w:pPr>
        <w:snapToGrid w:val="0"/>
        <w:ind w:firstLine="480" w:firstLineChars="200"/>
        <w:rPr>
          <w:rFonts w:hint="eastAsia" w:ascii="微软雅黑" w:hAnsi="微软雅黑" w:eastAsia="微软雅黑" w:cs="微软雅黑"/>
          <w:color w:val="auto"/>
          <w:sz w:val="24"/>
          <w:szCs w:val="24"/>
          <w:highlight w:val="none"/>
        </w:rPr>
      </w:pPr>
    </w:p>
    <w:p w14:paraId="5C0355D8">
      <w:pPr>
        <w:snapToGrid w:val="0"/>
        <w:ind w:firstLine="480" w:firstLineChars="200"/>
        <w:rPr>
          <w:rFonts w:hint="eastAsia" w:ascii="微软雅黑" w:hAnsi="微软雅黑" w:eastAsia="微软雅黑" w:cs="微软雅黑"/>
          <w:color w:val="auto"/>
          <w:sz w:val="24"/>
          <w:szCs w:val="24"/>
          <w:highlight w:val="none"/>
        </w:rPr>
      </w:pPr>
    </w:p>
    <w:p w14:paraId="07012E37">
      <w:pPr>
        <w:snapToGrid w:val="0"/>
        <w:ind w:firstLine="480" w:firstLineChars="200"/>
        <w:rPr>
          <w:rFonts w:hint="eastAsia" w:ascii="微软雅黑" w:hAnsi="微软雅黑" w:eastAsia="微软雅黑" w:cs="微软雅黑"/>
          <w:color w:val="auto"/>
          <w:sz w:val="24"/>
          <w:szCs w:val="24"/>
          <w:highlight w:val="none"/>
        </w:rPr>
      </w:pPr>
    </w:p>
    <w:p w14:paraId="5356B94A">
      <w:pPr>
        <w:snapToGrid w:val="0"/>
        <w:ind w:firstLine="480" w:firstLineChars="200"/>
        <w:rPr>
          <w:rFonts w:hint="eastAsia" w:ascii="微软雅黑" w:hAnsi="微软雅黑" w:eastAsia="微软雅黑" w:cs="微软雅黑"/>
          <w:color w:val="auto"/>
          <w:sz w:val="24"/>
          <w:szCs w:val="24"/>
          <w:highlight w:val="none"/>
        </w:rPr>
      </w:pPr>
    </w:p>
    <w:p w14:paraId="410F2665">
      <w:pPr>
        <w:snapToGrid w:val="0"/>
        <w:ind w:firstLine="480" w:firstLineChars="200"/>
        <w:rPr>
          <w:rFonts w:hint="eastAsia" w:ascii="微软雅黑" w:hAnsi="微软雅黑" w:eastAsia="微软雅黑" w:cs="微软雅黑"/>
          <w:color w:val="auto"/>
          <w:sz w:val="24"/>
          <w:szCs w:val="24"/>
          <w:highlight w:val="none"/>
        </w:rPr>
      </w:pPr>
    </w:p>
    <w:p w14:paraId="7D40DAB6">
      <w:pPr>
        <w:snapToGrid w:val="0"/>
        <w:ind w:firstLine="480" w:firstLineChars="200"/>
        <w:rPr>
          <w:rFonts w:hint="eastAsia" w:ascii="微软雅黑" w:hAnsi="微软雅黑" w:eastAsia="微软雅黑" w:cs="微软雅黑"/>
          <w:color w:val="auto"/>
          <w:sz w:val="24"/>
          <w:szCs w:val="24"/>
          <w:highlight w:val="none"/>
        </w:rPr>
      </w:pPr>
    </w:p>
    <w:p w14:paraId="3C137925">
      <w:pPr>
        <w:pStyle w:val="16"/>
        <w:ind w:firstLine="480"/>
        <w:rPr>
          <w:color w:val="auto"/>
          <w:highlight w:val="none"/>
        </w:rPr>
      </w:pPr>
    </w:p>
    <w:p w14:paraId="521B5230">
      <w:pPr>
        <w:pStyle w:val="16"/>
        <w:ind w:firstLine="480"/>
        <w:rPr>
          <w:color w:val="auto"/>
          <w:highlight w:val="none"/>
        </w:rPr>
      </w:pPr>
    </w:p>
    <w:p w14:paraId="7D2CDBCB">
      <w:pPr>
        <w:snapToGrid w:val="0"/>
        <w:ind w:firstLine="480" w:firstLineChars="200"/>
        <w:rPr>
          <w:rFonts w:hint="eastAsia" w:ascii="微软雅黑" w:hAnsi="微软雅黑" w:eastAsia="微软雅黑" w:cs="微软雅黑"/>
          <w:color w:val="auto"/>
          <w:sz w:val="24"/>
          <w:szCs w:val="24"/>
          <w:highlight w:val="none"/>
        </w:rPr>
      </w:pPr>
    </w:p>
    <w:p w14:paraId="3CF8EB37">
      <w:pPr>
        <w:snapToGrid w:val="0"/>
        <w:ind w:firstLine="480" w:firstLineChars="200"/>
        <w:rPr>
          <w:rFonts w:hint="eastAsia" w:ascii="微软雅黑" w:hAnsi="微软雅黑" w:eastAsia="微软雅黑" w:cs="微软雅黑"/>
          <w:color w:val="auto"/>
          <w:sz w:val="24"/>
          <w:szCs w:val="24"/>
          <w:highlight w:val="none"/>
        </w:rPr>
      </w:pPr>
    </w:p>
    <w:p w14:paraId="3464692F">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0B23FF80">
      <w:pPr>
        <w:snapToGrid w:val="0"/>
        <w:ind w:firstLine="480" w:firstLineChars="20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响应偏离表</w:t>
      </w:r>
    </w:p>
    <w:p w14:paraId="6BEFB3EA">
      <w:pPr>
        <w:pStyle w:val="33"/>
        <w:tabs>
          <w:tab w:val="left" w:pos="6300"/>
        </w:tabs>
        <w:snapToGrid w:val="0"/>
        <w:spacing w:line="500" w:lineRule="exact"/>
        <w:ind w:firstLine="840" w:firstLineChars="300"/>
        <w:jc w:val="center"/>
        <w:outlineLvl w:val="0"/>
        <w:rPr>
          <w:rFonts w:hint="eastAsia" w:ascii="微软雅黑" w:hAnsi="微软雅黑" w:eastAsia="微软雅黑" w:cs="微软雅黑"/>
          <w:color w:val="auto"/>
          <w:sz w:val="24"/>
          <w:highlight w:val="none"/>
        </w:rPr>
      </w:pPr>
      <w:bookmarkStart w:id="415" w:name="_Toc8847"/>
      <w:bookmarkStart w:id="416" w:name="_Toc11106"/>
      <w:bookmarkStart w:id="417" w:name="_Toc11573"/>
      <w:r>
        <w:rPr>
          <w:rFonts w:hint="eastAsia" w:ascii="微软雅黑" w:hAnsi="微软雅黑" w:eastAsia="微软雅黑" w:cs="微软雅黑"/>
          <w:b/>
          <w:color w:val="auto"/>
          <w:szCs w:val="28"/>
          <w:highlight w:val="none"/>
          <w:lang w:eastAsia="zh-CN"/>
        </w:rPr>
        <w:t>技术</w:t>
      </w:r>
      <w:r>
        <w:rPr>
          <w:rFonts w:hint="eastAsia" w:ascii="微软雅黑" w:hAnsi="微软雅黑" w:eastAsia="微软雅黑" w:cs="微软雅黑"/>
          <w:b/>
          <w:color w:val="auto"/>
          <w:szCs w:val="28"/>
          <w:highlight w:val="none"/>
        </w:rPr>
        <w:t>响应偏离表</w:t>
      </w:r>
    </w:p>
    <w:p w14:paraId="47CC98CC">
      <w:pPr>
        <w:pStyle w:val="33"/>
        <w:tabs>
          <w:tab w:val="left" w:pos="6300"/>
        </w:tabs>
        <w:snapToGrid w:val="0"/>
        <w:spacing w:line="500" w:lineRule="exact"/>
        <w:ind w:firstLine="720" w:firstLineChars="300"/>
        <w:outlineLvl w:val="0"/>
        <w:rPr>
          <w:rFonts w:hint="eastAsia" w:ascii="微软雅黑" w:hAnsi="微软雅黑" w:eastAsia="微软雅黑" w:cs="微软雅黑"/>
          <w:color w:val="auto"/>
          <w:sz w:val="24"/>
          <w:highlight w:val="none"/>
        </w:rPr>
      </w:pPr>
      <w:bookmarkStart w:id="418" w:name="_Toc25210"/>
      <w:r>
        <w:rPr>
          <w:rFonts w:hint="eastAsia" w:ascii="微软雅黑" w:hAnsi="微软雅黑" w:eastAsia="微软雅黑" w:cs="微软雅黑"/>
          <w:color w:val="auto"/>
          <w:sz w:val="24"/>
          <w:highlight w:val="none"/>
        </w:rPr>
        <w:t>项目名称：</w:t>
      </w:r>
      <w:bookmarkEnd w:id="415"/>
      <w:bookmarkEnd w:id="416"/>
      <w:bookmarkEnd w:id="417"/>
      <w:bookmarkEnd w:id="418"/>
    </w:p>
    <w:tbl>
      <w:tblPr>
        <w:tblStyle w:val="59"/>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1DB2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F0EB124">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19" w:name="_Toc11987"/>
            <w:bookmarkStart w:id="420" w:name="_Toc2798"/>
            <w:bookmarkStart w:id="421" w:name="_Toc31506"/>
            <w:bookmarkStart w:id="422" w:name="_Toc7278"/>
            <w:r>
              <w:rPr>
                <w:rFonts w:hint="eastAsia" w:ascii="微软雅黑" w:hAnsi="微软雅黑" w:eastAsia="微软雅黑" w:cs="微软雅黑"/>
                <w:color w:val="auto"/>
                <w:sz w:val="21"/>
                <w:szCs w:val="21"/>
                <w:highlight w:val="none"/>
              </w:rPr>
              <w:t>序号</w:t>
            </w:r>
            <w:bookmarkEnd w:id="419"/>
            <w:bookmarkEnd w:id="420"/>
            <w:bookmarkEnd w:id="421"/>
            <w:bookmarkEnd w:id="422"/>
          </w:p>
        </w:tc>
        <w:tc>
          <w:tcPr>
            <w:tcW w:w="2658" w:type="dxa"/>
            <w:vAlign w:val="center"/>
          </w:tcPr>
          <w:p w14:paraId="41AE5C30">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23" w:name="_Toc2631"/>
            <w:bookmarkStart w:id="424" w:name="_Toc16435"/>
            <w:bookmarkStart w:id="425" w:name="_Toc2008"/>
            <w:bookmarkStart w:id="426" w:name="_Toc32235"/>
            <w:r>
              <w:rPr>
                <w:rFonts w:hint="eastAsia" w:ascii="微软雅黑" w:hAnsi="微软雅黑" w:eastAsia="微软雅黑" w:cs="微软雅黑"/>
                <w:color w:val="auto"/>
                <w:sz w:val="21"/>
                <w:szCs w:val="21"/>
                <w:highlight w:val="none"/>
              </w:rPr>
              <w:t>采购需求</w:t>
            </w:r>
            <w:bookmarkEnd w:id="423"/>
            <w:bookmarkEnd w:id="424"/>
            <w:bookmarkEnd w:id="425"/>
            <w:bookmarkEnd w:id="426"/>
          </w:p>
        </w:tc>
        <w:tc>
          <w:tcPr>
            <w:tcW w:w="2759" w:type="dxa"/>
            <w:vAlign w:val="center"/>
          </w:tcPr>
          <w:p w14:paraId="59137A6C">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27" w:name="_Toc27358"/>
            <w:bookmarkStart w:id="428" w:name="_Toc20886"/>
            <w:bookmarkStart w:id="429" w:name="_Toc28438"/>
            <w:bookmarkStart w:id="430" w:name="_Toc10716"/>
            <w:r>
              <w:rPr>
                <w:rFonts w:hint="eastAsia" w:ascii="微软雅黑" w:hAnsi="微软雅黑" w:eastAsia="微软雅黑" w:cs="微软雅黑"/>
                <w:color w:val="auto"/>
                <w:sz w:val="21"/>
                <w:szCs w:val="21"/>
                <w:highlight w:val="none"/>
              </w:rPr>
              <w:t>响应情况</w:t>
            </w:r>
            <w:bookmarkEnd w:id="427"/>
            <w:bookmarkEnd w:id="428"/>
            <w:bookmarkEnd w:id="429"/>
            <w:bookmarkEnd w:id="430"/>
          </w:p>
        </w:tc>
        <w:tc>
          <w:tcPr>
            <w:tcW w:w="2067" w:type="dxa"/>
            <w:vAlign w:val="center"/>
          </w:tcPr>
          <w:p w14:paraId="5B4C6B08">
            <w:pPr>
              <w:tabs>
                <w:tab w:val="left" w:pos="6300"/>
              </w:tabs>
              <w:snapToGrid w:val="0"/>
              <w:spacing w:line="500" w:lineRule="exact"/>
              <w:ind w:firstLine="420"/>
              <w:jc w:val="center"/>
              <w:outlineLvl w:val="0"/>
              <w:rPr>
                <w:rFonts w:hint="eastAsia" w:ascii="微软雅黑" w:hAnsi="微软雅黑" w:eastAsia="微软雅黑" w:cs="微软雅黑"/>
                <w:color w:val="auto"/>
                <w:sz w:val="21"/>
                <w:szCs w:val="21"/>
                <w:highlight w:val="none"/>
              </w:rPr>
            </w:pPr>
            <w:bookmarkStart w:id="431" w:name="_Toc23860"/>
            <w:bookmarkStart w:id="432" w:name="_Toc8316"/>
            <w:bookmarkStart w:id="433" w:name="_Toc17156"/>
            <w:bookmarkStart w:id="434" w:name="_Toc20384"/>
            <w:r>
              <w:rPr>
                <w:rFonts w:hint="eastAsia" w:ascii="微软雅黑" w:hAnsi="微软雅黑" w:eastAsia="微软雅黑" w:cs="微软雅黑"/>
                <w:color w:val="auto"/>
                <w:sz w:val="21"/>
                <w:szCs w:val="21"/>
                <w:highlight w:val="none"/>
              </w:rPr>
              <w:t>差异说明</w:t>
            </w:r>
            <w:bookmarkEnd w:id="431"/>
            <w:bookmarkEnd w:id="432"/>
            <w:bookmarkEnd w:id="433"/>
            <w:bookmarkEnd w:id="434"/>
          </w:p>
        </w:tc>
      </w:tr>
      <w:tr w14:paraId="6BB3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6C83080">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78F9962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1A027FE2">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6CF0C49C">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0995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16C1DA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0BBB6DF6">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3076305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412A29E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50DF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5240E7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634B912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650C0ED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1AA1EBC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0CC0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7536DAF">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76A38081">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7985BBF6">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1A88CA2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6F0D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C6898E0">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33BDADDB">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0EC3744B">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7B510A87">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78AB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2692627">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16E94F7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0F99F23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1FED964D">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7D33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00673A7">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428FC1E2">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200DCA7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4C1C855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44BC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5B5CFEB">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6AF656CA">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076C7D3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680C8E4E">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50D9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2F13014">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79CE3432">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76B56690">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282C919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r w14:paraId="1AE2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F30FF1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658" w:type="dxa"/>
            <w:vAlign w:val="center"/>
          </w:tcPr>
          <w:p w14:paraId="25B7243F">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759" w:type="dxa"/>
            <w:vAlign w:val="center"/>
          </w:tcPr>
          <w:p w14:paraId="7DF64745">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c>
          <w:tcPr>
            <w:tcW w:w="2067" w:type="dxa"/>
            <w:vAlign w:val="center"/>
          </w:tcPr>
          <w:p w14:paraId="6C191FB8">
            <w:pPr>
              <w:tabs>
                <w:tab w:val="left" w:pos="6300"/>
              </w:tabs>
              <w:snapToGrid w:val="0"/>
              <w:spacing w:line="500" w:lineRule="exact"/>
              <w:ind w:firstLine="420"/>
              <w:jc w:val="center"/>
              <w:rPr>
                <w:rFonts w:hint="eastAsia" w:ascii="微软雅黑" w:hAnsi="微软雅黑" w:eastAsia="微软雅黑" w:cs="微软雅黑"/>
                <w:color w:val="auto"/>
                <w:sz w:val="21"/>
                <w:szCs w:val="21"/>
                <w:highlight w:val="none"/>
              </w:rPr>
            </w:pPr>
          </w:p>
        </w:tc>
      </w:tr>
    </w:tbl>
    <w:p w14:paraId="090135B7">
      <w:pPr>
        <w:spacing w:line="500" w:lineRule="exact"/>
        <w:ind w:firstLine="600" w:firstLineChars="25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                                      法人授权代表：</w:t>
      </w:r>
    </w:p>
    <w:p w14:paraId="0E7671D2">
      <w:pPr>
        <w:spacing w:line="500" w:lineRule="exact"/>
        <w:rPr>
          <w:rFonts w:hint="eastAsia" w:ascii="微软雅黑" w:hAnsi="微软雅黑" w:eastAsia="微软雅黑" w:cs="微软雅黑"/>
          <w:color w:val="auto"/>
          <w:sz w:val="24"/>
          <w:szCs w:val="28"/>
          <w:highlight w:val="none"/>
        </w:rPr>
      </w:pPr>
    </w:p>
    <w:p w14:paraId="70F92B93">
      <w:pPr>
        <w:spacing w:line="500" w:lineRule="exact"/>
        <w:ind w:firstLine="720" w:firstLineChars="30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（供应商公章）                               （签字或盖章）</w:t>
      </w:r>
    </w:p>
    <w:p w14:paraId="22099FA3">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 xml:space="preserve">                                              年     月     日</w:t>
      </w:r>
    </w:p>
    <w:p w14:paraId="663E0628">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747F137B">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highlight w:val="none"/>
        </w:rPr>
        <w:t xml:space="preserve">、本表即为对本项目“第二篇  </w:t>
      </w:r>
      <w:r>
        <w:rPr>
          <w:rFonts w:hint="eastAsia" w:ascii="微软雅黑" w:hAnsi="微软雅黑" w:eastAsia="微软雅黑" w:cs="微软雅黑"/>
          <w:color w:val="auto"/>
          <w:sz w:val="24"/>
          <w:highlight w:val="none"/>
          <w:lang w:eastAsia="zh-CN"/>
        </w:rPr>
        <w:t>技术标准和要求</w:t>
      </w:r>
      <w:r>
        <w:rPr>
          <w:rFonts w:hint="eastAsia" w:ascii="微软雅黑" w:hAnsi="微软雅黑" w:eastAsia="微软雅黑" w:cs="微软雅黑"/>
          <w:color w:val="auto"/>
          <w:sz w:val="24"/>
          <w:highlight w:val="none"/>
        </w:rPr>
        <w:t>”中所列要求进行比较和响应；</w:t>
      </w:r>
    </w:p>
    <w:p w14:paraId="4A1B458D">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2、该表必须按照</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要求逐条如实填写，根据响应情况在“差异说明”项填写正偏离或负偏离及原因，完全符合的填写“无差异”；</w:t>
      </w:r>
    </w:p>
    <w:p w14:paraId="13481368">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3、该表可扩展</w:t>
      </w:r>
      <w:r>
        <w:rPr>
          <w:rFonts w:hint="eastAsia" w:ascii="微软雅黑" w:hAnsi="微软雅黑" w:eastAsia="微软雅黑" w:cs="微软雅黑"/>
          <w:color w:val="auto"/>
          <w:sz w:val="24"/>
          <w:szCs w:val="28"/>
          <w:highlight w:val="none"/>
        </w:rPr>
        <w:t>，并逐页签字或盖章</w:t>
      </w:r>
      <w:r>
        <w:rPr>
          <w:rFonts w:hint="eastAsia" w:ascii="微软雅黑" w:hAnsi="微软雅黑" w:eastAsia="微软雅黑" w:cs="微软雅黑"/>
          <w:color w:val="auto"/>
          <w:sz w:val="24"/>
          <w:highlight w:val="none"/>
        </w:rPr>
        <w:t>；</w:t>
      </w:r>
    </w:p>
    <w:p w14:paraId="4F1D46CF">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4、可附相关支撑材料。（格式自定）</w:t>
      </w:r>
    </w:p>
    <w:p w14:paraId="31325EB9">
      <w:pPr>
        <w:tabs>
          <w:tab w:val="left" w:pos="6300"/>
        </w:tabs>
        <w:snapToGrid w:val="0"/>
        <w:spacing w:line="500" w:lineRule="exact"/>
        <w:rPr>
          <w:rFonts w:hint="eastAsia" w:ascii="微软雅黑" w:hAnsi="微软雅黑" w:eastAsia="微软雅黑" w:cs="微软雅黑"/>
          <w:color w:val="auto"/>
          <w:sz w:val="24"/>
          <w:szCs w:val="24"/>
          <w:highlight w:val="none"/>
        </w:rPr>
      </w:pPr>
    </w:p>
    <w:p w14:paraId="7468ABC8">
      <w:pPr>
        <w:pStyle w:val="16"/>
        <w:ind w:firstLine="480"/>
        <w:rPr>
          <w:color w:val="auto"/>
          <w:highlight w:val="none"/>
        </w:rPr>
      </w:pPr>
    </w:p>
    <w:p w14:paraId="6E9309EB">
      <w:pPr>
        <w:pStyle w:val="5"/>
        <w:spacing w:line="360" w:lineRule="auto"/>
        <w:rPr>
          <w:rFonts w:hint="eastAsia" w:ascii="微软雅黑" w:hAnsi="微软雅黑" w:eastAsia="微软雅黑" w:cs="微软雅黑"/>
          <w:color w:val="auto"/>
          <w:sz w:val="24"/>
          <w:szCs w:val="24"/>
          <w:highlight w:val="none"/>
        </w:rPr>
      </w:pPr>
      <w:bookmarkStart w:id="435" w:name="_Toc47094796"/>
      <w:bookmarkStart w:id="436" w:name="_Toc10436"/>
      <w:bookmarkStart w:id="437" w:name="_Toc342913421"/>
      <w:bookmarkStart w:id="438" w:name="_Toc313888362"/>
      <w:bookmarkStart w:id="439" w:name="_Toc313008358"/>
      <w:bookmarkStart w:id="440" w:name="_Toc7432"/>
      <w:bookmarkStart w:id="441" w:name="_Toc24759"/>
      <w:bookmarkStart w:id="442" w:name="_Toc6802"/>
      <w:r>
        <w:rPr>
          <w:rFonts w:hint="eastAsia" w:ascii="微软雅黑" w:hAnsi="微软雅黑" w:eastAsia="微软雅黑" w:cs="微软雅黑"/>
          <w:color w:val="auto"/>
          <w:sz w:val="24"/>
          <w:szCs w:val="24"/>
          <w:highlight w:val="none"/>
        </w:rPr>
        <w:t>三、商务部分</w:t>
      </w:r>
      <w:bookmarkEnd w:id="435"/>
      <w:bookmarkEnd w:id="436"/>
      <w:bookmarkEnd w:id="437"/>
      <w:bookmarkEnd w:id="438"/>
      <w:bookmarkEnd w:id="439"/>
      <w:bookmarkEnd w:id="440"/>
      <w:bookmarkEnd w:id="441"/>
      <w:bookmarkEnd w:id="442"/>
    </w:p>
    <w:p w14:paraId="19F07CBA">
      <w:pPr>
        <w:snapToGrid w:val="0"/>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（一）商务要求响应情况：服务期及地点、报价要求、质量保证等（格式自定）</w:t>
      </w:r>
    </w:p>
    <w:p w14:paraId="39EDA4E4">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CDB96F1">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3F3A8CC5">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43726BA">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2D57A2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22BBCFB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A1C2CAC">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5EA74C3">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E8E321C">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40252AC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CE6B628">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9E720A1">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62DBA351">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F154AAC">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0EDE5FB6">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040A7794">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209A0D8F">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5106E18B">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10076CFD">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07ECD113">
      <w:pPr>
        <w:snapToGrid w:val="0"/>
        <w:spacing w:line="360" w:lineRule="auto"/>
        <w:ind w:firstLine="480" w:firstLineChars="200"/>
        <w:rPr>
          <w:rFonts w:hint="eastAsia" w:ascii="微软雅黑" w:hAnsi="微软雅黑" w:eastAsia="微软雅黑" w:cs="微软雅黑"/>
          <w:color w:val="auto"/>
          <w:sz w:val="24"/>
          <w:szCs w:val="24"/>
          <w:highlight w:val="none"/>
        </w:rPr>
      </w:pPr>
    </w:p>
    <w:p w14:paraId="231D6AFE">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3A9E68BE">
      <w:pPr>
        <w:snapToGrid w:val="0"/>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bookmarkStart w:id="443" w:name="_Toc283382459"/>
      <w:r>
        <w:rPr>
          <w:rFonts w:hint="eastAsia" w:ascii="微软雅黑" w:hAnsi="微软雅黑" w:eastAsia="微软雅黑" w:cs="微软雅黑"/>
          <w:color w:val="auto"/>
          <w:sz w:val="24"/>
          <w:szCs w:val="24"/>
          <w:highlight w:val="none"/>
        </w:rPr>
        <w:t>商务响应偏离表</w:t>
      </w:r>
    </w:p>
    <w:p w14:paraId="6A250C06">
      <w:pPr>
        <w:snapToGrid w:val="0"/>
        <w:spacing w:line="360" w:lineRule="auto"/>
        <w:jc w:val="center"/>
        <w:outlineLvl w:val="1"/>
        <w:rPr>
          <w:rFonts w:hint="eastAsia" w:ascii="微软雅黑" w:hAnsi="微软雅黑" w:eastAsia="微软雅黑" w:cs="微软雅黑"/>
          <w:b/>
          <w:color w:val="auto"/>
          <w:szCs w:val="28"/>
          <w:highlight w:val="none"/>
        </w:rPr>
      </w:pPr>
      <w:bookmarkStart w:id="444" w:name="_Toc18732"/>
      <w:bookmarkStart w:id="445" w:name="_Toc27369"/>
      <w:bookmarkStart w:id="446" w:name="_Toc1271"/>
      <w:bookmarkStart w:id="447" w:name="_Toc6649"/>
      <w:r>
        <w:rPr>
          <w:rFonts w:hint="eastAsia" w:ascii="微软雅黑" w:hAnsi="微软雅黑" w:eastAsia="微软雅黑" w:cs="微软雅黑"/>
          <w:b/>
          <w:color w:val="auto"/>
          <w:szCs w:val="28"/>
          <w:highlight w:val="none"/>
        </w:rPr>
        <w:t>商务响应偏离表</w:t>
      </w:r>
      <w:bookmarkEnd w:id="444"/>
      <w:bookmarkEnd w:id="445"/>
      <w:bookmarkEnd w:id="446"/>
      <w:bookmarkEnd w:id="447"/>
    </w:p>
    <w:p w14:paraId="2338E70B">
      <w:pPr>
        <w:pStyle w:val="33"/>
        <w:tabs>
          <w:tab w:val="left" w:pos="6300"/>
        </w:tabs>
        <w:snapToGrid w:val="0"/>
        <w:spacing w:line="500" w:lineRule="exact"/>
        <w:ind w:firstLine="480" w:firstLineChars="200"/>
        <w:outlineLvl w:val="0"/>
        <w:rPr>
          <w:color w:val="auto"/>
          <w:highlight w:val="none"/>
        </w:rPr>
      </w:pPr>
      <w:bookmarkStart w:id="448" w:name="_Toc18748"/>
      <w:bookmarkStart w:id="449" w:name="_Toc5987"/>
      <w:bookmarkStart w:id="450" w:name="_Toc21600"/>
      <w:bookmarkStart w:id="451" w:name="_Toc20484"/>
      <w:r>
        <w:rPr>
          <w:rFonts w:hint="eastAsia" w:ascii="微软雅黑" w:hAnsi="微软雅黑" w:eastAsia="微软雅黑" w:cs="微软雅黑"/>
          <w:color w:val="auto"/>
          <w:sz w:val="24"/>
          <w:highlight w:val="none"/>
        </w:rPr>
        <w:t>项目名称：</w:t>
      </w:r>
      <w:bookmarkEnd w:id="448"/>
      <w:bookmarkEnd w:id="449"/>
      <w:bookmarkEnd w:id="450"/>
      <w:bookmarkEnd w:id="451"/>
    </w:p>
    <w:tbl>
      <w:tblPr>
        <w:tblStyle w:val="59"/>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7A5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590461C5">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52" w:name="_Toc27465"/>
            <w:bookmarkStart w:id="453" w:name="_Toc2174"/>
            <w:bookmarkStart w:id="454" w:name="_Toc21670"/>
            <w:bookmarkStart w:id="455" w:name="_Toc10306"/>
            <w:r>
              <w:rPr>
                <w:rFonts w:hint="eastAsia" w:ascii="微软雅黑" w:hAnsi="微软雅黑" w:eastAsia="微软雅黑" w:cs="微软雅黑"/>
                <w:color w:val="auto"/>
                <w:sz w:val="21"/>
                <w:szCs w:val="24"/>
                <w:highlight w:val="none"/>
              </w:rPr>
              <w:t>序号</w:t>
            </w:r>
            <w:bookmarkEnd w:id="452"/>
            <w:bookmarkEnd w:id="453"/>
            <w:bookmarkEnd w:id="454"/>
            <w:bookmarkEnd w:id="455"/>
          </w:p>
        </w:tc>
        <w:tc>
          <w:tcPr>
            <w:tcW w:w="3179" w:type="dxa"/>
            <w:vAlign w:val="center"/>
          </w:tcPr>
          <w:p w14:paraId="18279511">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56" w:name="_Toc8061"/>
            <w:bookmarkStart w:id="457" w:name="_Toc9029"/>
            <w:bookmarkStart w:id="458" w:name="_Toc12846"/>
            <w:bookmarkStart w:id="459" w:name="_Toc32020"/>
            <w:r>
              <w:rPr>
                <w:rFonts w:hint="eastAsia" w:ascii="微软雅黑" w:hAnsi="微软雅黑" w:eastAsia="微软雅黑" w:cs="微软雅黑"/>
                <w:color w:val="auto"/>
                <w:sz w:val="21"/>
                <w:szCs w:val="24"/>
                <w:highlight w:val="none"/>
              </w:rPr>
              <w:t>项目需求</w:t>
            </w:r>
            <w:bookmarkEnd w:id="456"/>
            <w:bookmarkEnd w:id="457"/>
            <w:bookmarkEnd w:id="458"/>
            <w:bookmarkEnd w:id="459"/>
          </w:p>
        </w:tc>
        <w:tc>
          <w:tcPr>
            <w:tcW w:w="2434" w:type="dxa"/>
            <w:vAlign w:val="center"/>
          </w:tcPr>
          <w:p w14:paraId="418E6021">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60" w:name="_Toc18896"/>
            <w:bookmarkStart w:id="461" w:name="_Toc19004"/>
            <w:bookmarkStart w:id="462" w:name="_Toc1215"/>
            <w:bookmarkStart w:id="463" w:name="_Toc5236"/>
            <w:r>
              <w:rPr>
                <w:rFonts w:hint="eastAsia" w:ascii="微软雅黑" w:hAnsi="微软雅黑" w:eastAsia="微软雅黑" w:cs="微软雅黑"/>
                <w:color w:val="auto"/>
                <w:sz w:val="21"/>
                <w:szCs w:val="24"/>
                <w:highlight w:val="none"/>
              </w:rPr>
              <w:t>响应情况</w:t>
            </w:r>
            <w:bookmarkEnd w:id="460"/>
            <w:bookmarkEnd w:id="461"/>
            <w:bookmarkEnd w:id="462"/>
            <w:bookmarkEnd w:id="463"/>
          </w:p>
        </w:tc>
        <w:tc>
          <w:tcPr>
            <w:tcW w:w="2355" w:type="dxa"/>
            <w:vAlign w:val="center"/>
          </w:tcPr>
          <w:p w14:paraId="0E0A9940">
            <w:pPr>
              <w:tabs>
                <w:tab w:val="left" w:pos="6300"/>
              </w:tabs>
              <w:snapToGrid w:val="0"/>
              <w:spacing w:line="360" w:lineRule="auto"/>
              <w:ind w:firstLine="420"/>
              <w:jc w:val="center"/>
              <w:outlineLvl w:val="0"/>
              <w:rPr>
                <w:rFonts w:hint="eastAsia" w:ascii="微软雅黑" w:hAnsi="微软雅黑" w:eastAsia="微软雅黑" w:cs="微软雅黑"/>
                <w:color w:val="auto"/>
                <w:sz w:val="21"/>
                <w:szCs w:val="24"/>
                <w:highlight w:val="none"/>
              </w:rPr>
            </w:pPr>
            <w:bookmarkStart w:id="464" w:name="_Toc831"/>
            <w:bookmarkStart w:id="465" w:name="_Toc3119"/>
            <w:bookmarkStart w:id="466" w:name="_Toc23819"/>
            <w:bookmarkStart w:id="467" w:name="_Toc11422"/>
            <w:r>
              <w:rPr>
                <w:rFonts w:hint="eastAsia" w:ascii="微软雅黑" w:hAnsi="微软雅黑" w:eastAsia="微软雅黑" w:cs="微软雅黑"/>
                <w:color w:val="auto"/>
                <w:sz w:val="21"/>
                <w:szCs w:val="24"/>
                <w:highlight w:val="none"/>
              </w:rPr>
              <w:t>偏离说明</w:t>
            </w:r>
            <w:bookmarkEnd w:id="464"/>
            <w:bookmarkEnd w:id="465"/>
            <w:bookmarkEnd w:id="466"/>
            <w:bookmarkEnd w:id="467"/>
          </w:p>
        </w:tc>
      </w:tr>
      <w:tr w14:paraId="2F83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006657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506E8474">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3ADC3F44">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2E73E779">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1012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72A72CDD">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127116E5">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1788055E">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5842A723">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079F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B97283D">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30EF9297">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71D769F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7008408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2FBB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5AEAA3">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16E8350D">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6547F249">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1426CE10">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02BE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5BF59B">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5AEA16F2">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617F215F">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65302315">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r w14:paraId="06BD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EC60D93">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3179" w:type="dxa"/>
            <w:vAlign w:val="center"/>
          </w:tcPr>
          <w:p w14:paraId="3F03B6F1">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434" w:type="dxa"/>
            <w:vAlign w:val="center"/>
          </w:tcPr>
          <w:p w14:paraId="0C8E13BF">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c>
          <w:tcPr>
            <w:tcW w:w="2355" w:type="dxa"/>
            <w:vAlign w:val="center"/>
          </w:tcPr>
          <w:p w14:paraId="419831D8">
            <w:pPr>
              <w:tabs>
                <w:tab w:val="left" w:pos="6300"/>
              </w:tabs>
              <w:snapToGrid w:val="0"/>
              <w:spacing w:line="360" w:lineRule="auto"/>
              <w:ind w:firstLine="420"/>
              <w:jc w:val="center"/>
              <w:rPr>
                <w:rFonts w:hint="eastAsia" w:ascii="微软雅黑" w:hAnsi="微软雅黑" w:eastAsia="微软雅黑" w:cs="微软雅黑"/>
                <w:color w:val="auto"/>
                <w:sz w:val="21"/>
                <w:szCs w:val="24"/>
                <w:highlight w:val="none"/>
              </w:rPr>
            </w:pPr>
          </w:p>
        </w:tc>
      </w:tr>
    </w:tbl>
    <w:p w14:paraId="1E86E218">
      <w:pPr>
        <w:snapToGrid w:val="0"/>
        <w:spacing w:line="360" w:lineRule="auto"/>
        <w:ind w:firstLine="480"/>
        <w:rPr>
          <w:rFonts w:hint="eastAsia" w:ascii="微软雅黑" w:hAnsi="微软雅黑" w:eastAsia="微软雅黑" w:cs="微软雅黑"/>
          <w:color w:val="auto"/>
          <w:sz w:val="24"/>
          <w:szCs w:val="24"/>
          <w:highlight w:val="none"/>
        </w:rPr>
      </w:pPr>
    </w:p>
    <w:p w14:paraId="379C7F39">
      <w:pPr>
        <w:spacing w:line="500" w:lineRule="exact"/>
        <w:ind w:firstLine="600" w:firstLineChars="25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                                      法人授权代表：</w:t>
      </w:r>
    </w:p>
    <w:p w14:paraId="09C972A5">
      <w:pPr>
        <w:spacing w:line="500" w:lineRule="exact"/>
        <w:rPr>
          <w:rFonts w:hint="eastAsia" w:ascii="微软雅黑" w:hAnsi="微软雅黑" w:eastAsia="微软雅黑" w:cs="微软雅黑"/>
          <w:color w:val="auto"/>
          <w:sz w:val="24"/>
          <w:szCs w:val="28"/>
          <w:highlight w:val="none"/>
        </w:rPr>
      </w:pPr>
    </w:p>
    <w:p w14:paraId="103FDB9E">
      <w:pPr>
        <w:spacing w:line="500" w:lineRule="exact"/>
        <w:ind w:firstLine="360" w:firstLineChars="15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（供应商公章）                                 （签字或盖章）</w:t>
      </w:r>
    </w:p>
    <w:p w14:paraId="7CD8EE4C">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 xml:space="preserve">                                            年     月     日</w:t>
      </w:r>
    </w:p>
    <w:p w14:paraId="293AD8C4">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519A941E">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highlight w:val="none"/>
        </w:rPr>
        <w:t xml:space="preserve">、本表即为对本项目“第三篇 </w:t>
      </w:r>
      <w:r>
        <w:rPr>
          <w:rFonts w:hint="eastAsia" w:ascii="微软雅黑" w:hAnsi="微软雅黑" w:eastAsia="微软雅黑" w:cs="微软雅黑"/>
          <w:color w:val="auto"/>
          <w:sz w:val="24"/>
          <w:highlight w:val="none"/>
          <w:lang w:eastAsia="zh-CN"/>
        </w:rPr>
        <w:t>项目</w:t>
      </w:r>
      <w:r>
        <w:rPr>
          <w:rFonts w:hint="eastAsia" w:ascii="微软雅黑" w:hAnsi="微软雅黑" w:eastAsia="微软雅黑" w:cs="微软雅黑"/>
          <w:color w:val="auto"/>
          <w:sz w:val="24"/>
          <w:highlight w:val="none"/>
        </w:rPr>
        <w:t>商务需求”中所列服务要求进行比较和响应；</w:t>
      </w:r>
    </w:p>
    <w:p w14:paraId="32313697">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2、该表必须按照</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要求逐条如实填写，根据响应情况在“差异说明”项填写正偏离或负偏离及原因，完全符合的填写“无差异”；</w:t>
      </w:r>
    </w:p>
    <w:p w14:paraId="250803B7">
      <w:pPr>
        <w:tabs>
          <w:tab w:val="left" w:pos="6300"/>
        </w:tabs>
        <w:snapToGrid w:val="0"/>
        <w:spacing w:line="500" w:lineRule="exact"/>
        <w:ind w:firstLine="480" w:firstLineChars="200"/>
        <w:outlineLvl w:val="1"/>
        <w:rPr>
          <w:rFonts w:hint="eastAsia" w:ascii="微软雅黑" w:hAnsi="微软雅黑" w:eastAsia="微软雅黑" w:cs="微软雅黑"/>
          <w:color w:val="auto"/>
          <w:sz w:val="24"/>
          <w:highlight w:val="none"/>
        </w:rPr>
      </w:pPr>
      <w:bookmarkStart w:id="468" w:name="_Toc15898"/>
      <w:bookmarkStart w:id="469" w:name="_Toc9861"/>
      <w:bookmarkStart w:id="470" w:name="_Toc2066"/>
      <w:bookmarkStart w:id="471" w:name="_Toc32393"/>
      <w:r>
        <w:rPr>
          <w:rFonts w:hint="eastAsia" w:ascii="微软雅黑" w:hAnsi="微软雅黑" w:eastAsia="微软雅黑" w:cs="微软雅黑"/>
          <w:color w:val="auto"/>
          <w:sz w:val="24"/>
          <w:highlight w:val="none"/>
        </w:rPr>
        <w:t>3、该表可扩展</w:t>
      </w:r>
      <w:r>
        <w:rPr>
          <w:rFonts w:hint="eastAsia" w:ascii="微软雅黑" w:hAnsi="微软雅黑" w:eastAsia="微软雅黑" w:cs="微软雅黑"/>
          <w:color w:val="auto"/>
          <w:sz w:val="24"/>
          <w:szCs w:val="28"/>
          <w:highlight w:val="none"/>
        </w:rPr>
        <w:t>，并逐页签字或盖章</w:t>
      </w:r>
      <w:r>
        <w:rPr>
          <w:rFonts w:hint="eastAsia" w:ascii="微软雅黑" w:hAnsi="微软雅黑" w:eastAsia="微软雅黑" w:cs="微软雅黑"/>
          <w:color w:val="auto"/>
          <w:sz w:val="24"/>
          <w:highlight w:val="none"/>
        </w:rPr>
        <w:t>；</w:t>
      </w:r>
      <w:bookmarkEnd w:id="468"/>
      <w:bookmarkEnd w:id="469"/>
      <w:bookmarkEnd w:id="470"/>
      <w:bookmarkEnd w:id="471"/>
    </w:p>
    <w:p w14:paraId="3F835A8C">
      <w:pPr>
        <w:spacing w:line="360" w:lineRule="auto"/>
        <w:ind w:firstLine="56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color w:val="auto"/>
          <w:sz w:val="24"/>
          <w:szCs w:val="24"/>
          <w:highlight w:val="none"/>
        </w:rPr>
        <w:t>（三）其它优惠承诺（格式自定）</w:t>
      </w:r>
    </w:p>
    <w:p w14:paraId="2D35893F">
      <w:pPr>
        <w:spacing w:line="360" w:lineRule="auto"/>
        <w:ind w:firstLine="480" w:firstLineChars="200"/>
        <w:rPr>
          <w:rFonts w:hint="eastAsia" w:ascii="微软雅黑" w:hAnsi="微软雅黑" w:eastAsia="微软雅黑" w:cs="微软雅黑"/>
          <w:color w:val="auto"/>
          <w:sz w:val="24"/>
          <w:szCs w:val="24"/>
          <w:highlight w:val="none"/>
        </w:rPr>
      </w:pPr>
    </w:p>
    <w:p w14:paraId="79DF0E4D">
      <w:pPr>
        <w:spacing w:line="360" w:lineRule="auto"/>
        <w:ind w:firstLine="480" w:firstLineChars="200"/>
        <w:rPr>
          <w:rFonts w:hint="eastAsia" w:ascii="微软雅黑" w:hAnsi="微软雅黑" w:eastAsia="微软雅黑" w:cs="微软雅黑"/>
          <w:color w:val="auto"/>
          <w:sz w:val="24"/>
          <w:szCs w:val="24"/>
          <w:highlight w:val="none"/>
        </w:rPr>
      </w:pPr>
    </w:p>
    <w:p w14:paraId="7D3486B2">
      <w:pPr>
        <w:spacing w:line="360" w:lineRule="auto"/>
        <w:ind w:firstLine="480" w:firstLineChars="200"/>
        <w:rPr>
          <w:rFonts w:hint="eastAsia" w:ascii="微软雅黑" w:hAnsi="微软雅黑" w:eastAsia="微软雅黑" w:cs="微软雅黑"/>
          <w:color w:val="auto"/>
          <w:sz w:val="24"/>
          <w:szCs w:val="24"/>
          <w:highlight w:val="none"/>
        </w:rPr>
      </w:pPr>
    </w:p>
    <w:p w14:paraId="63205C10">
      <w:pPr>
        <w:spacing w:line="360" w:lineRule="auto"/>
        <w:ind w:firstLine="480" w:firstLineChars="200"/>
        <w:rPr>
          <w:rFonts w:hint="eastAsia" w:ascii="微软雅黑" w:hAnsi="微软雅黑" w:eastAsia="微软雅黑" w:cs="微软雅黑"/>
          <w:color w:val="auto"/>
          <w:sz w:val="24"/>
          <w:szCs w:val="24"/>
          <w:highlight w:val="none"/>
        </w:rPr>
      </w:pPr>
    </w:p>
    <w:p w14:paraId="6B78C653">
      <w:pPr>
        <w:spacing w:line="360" w:lineRule="auto"/>
        <w:ind w:firstLine="480" w:firstLineChars="200"/>
        <w:rPr>
          <w:rFonts w:hint="eastAsia" w:ascii="微软雅黑" w:hAnsi="微软雅黑" w:eastAsia="微软雅黑" w:cs="微软雅黑"/>
          <w:color w:val="auto"/>
          <w:sz w:val="24"/>
          <w:szCs w:val="24"/>
          <w:highlight w:val="none"/>
        </w:rPr>
      </w:pPr>
    </w:p>
    <w:p w14:paraId="135D494E">
      <w:pPr>
        <w:spacing w:line="360" w:lineRule="auto"/>
        <w:ind w:firstLine="480" w:firstLineChars="200"/>
        <w:rPr>
          <w:rFonts w:hint="eastAsia" w:ascii="微软雅黑" w:hAnsi="微软雅黑" w:eastAsia="微软雅黑" w:cs="微软雅黑"/>
          <w:color w:val="auto"/>
          <w:sz w:val="24"/>
          <w:szCs w:val="24"/>
          <w:highlight w:val="none"/>
        </w:rPr>
      </w:pPr>
    </w:p>
    <w:p w14:paraId="7CD1DF38">
      <w:pPr>
        <w:spacing w:line="360" w:lineRule="auto"/>
        <w:ind w:firstLine="480" w:firstLineChars="200"/>
        <w:rPr>
          <w:rFonts w:hint="eastAsia" w:ascii="微软雅黑" w:hAnsi="微软雅黑" w:eastAsia="微软雅黑" w:cs="微软雅黑"/>
          <w:color w:val="auto"/>
          <w:sz w:val="24"/>
          <w:szCs w:val="24"/>
          <w:highlight w:val="none"/>
        </w:rPr>
      </w:pPr>
    </w:p>
    <w:p w14:paraId="1A6D55CA">
      <w:pPr>
        <w:spacing w:line="360" w:lineRule="auto"/>
        <w:ind w:firstLine="480" w:firstLineChars="200"/>
        <w:rPr>
          <w:rFonts w:hint="eastAsia" w:ascii="微软雅黑" w:hAnsi="微软雅黑" w:eastAsia="微软雅黑" w:cs="微软雅黑"/>
          <w:color w:val="auto"/>
          <w:sz w:val="24"/>
          <w:szCs w:val="24"/>
          <w:highlight w:val="none"/>
        </w:rPr>
      </w:pPr>
    </w:p>
    <w:p w14:paraId="6F80F654">
      <w:pPr>
        <w:spacing w:line="360" w:lineRule="auto"/>
        <w:ind w:firstLine="480" w:firstLineChars="200"/>
        <w:rPr>
          <w:rFonts w:hint="eastAsia" w:ascii="微软雅黑" w:hAnsi="微软雅黑" w:eastAsia="微软雅黑" w:cs="微软雅黑"/>
          <w:color w:val="auto"/>
          <w:sz w:val="24"/>
          <w:szCs w:val="24"/>
          <w:highlight w:val="none"/>
        </w:rPr>
      </w:pPr>
    </w:p>
    <w:p w14:paraId="4176ED73">
      <w:pPr>
        <w:spacing w:line="360" w:lineRule="auto"/>
        <w:ind w:firstLine="480" w:firstLineChars="200"/>
        <w:rPr>
          <w:rFonts w:hint="eastAsia" w:ascii="微软雅黑" w:hAnsi="微软雅黑" w:eastAsia="微软雅黑" w:cs="微软雅黑"/>
          <w:color w:val="auto"/>
          <w:sz w:val="24"/>
          <w:szCs w:val="24"/>
          <w:highlight w:val="none"/>
        </w:rPr>
      </w:pPr>
    </w:p>
    <w:p w14:paraId="0A803537">
      <w:pPr>
        <w:spacing w:line="360" w:lineRule="auto"/>
        <w:ind w:firstLine="480" w:firstLineChars="200"/>
        <w:rPr>
          <w:rFonts w:hint="eastAsia" w:ascii="微软雅黑" w:hAnsi="微软雅黑" w:eastAsia="微软雅黑" w:cs="微软雅黑"/>
          <w:color w:val="auto"/>
          <w:sz w:val="24"/>
          <w:szCs w:val="24"/>
          <w:highlight w:val="none"/>
        </w:rPr>
      </w:pPr>
    </w:p>
    <w:p w14:paraId="738629B0">
      <w:pPr>
        <w:spacing w:line="360" w:lineRule="auto"/>
        <w:ind w:firstLine="480" w:firstLineChars="200"/>
        <w:rPr>
          <w:rFonts w:hint="eastAsia" w:ascii="微软雅黑" w:hAnsi="微软雅黑" w:eastAsia="微软雅黑" w:cs="微软雅黑"/>
          <w:color w:val="auto"/>
          <w:sz w:val="24"/>
          <w:szCs w:val="24"/>
          <w:highlight w:val="none"/>
        </w:rPr>
      </w:pPr>
    </w:p>
    <w:p w14:paraId="7CFA334E">
      <w:pPr>
        <w:spacing w:line="360" w:lineRule="auto"/>
        <w:ind w:firstLine="480" w:firstLineChars="200"/>
        <w:rPr>
          <w:rFonts w:hint="eastAsia" w:ascii="微软雅黑" w:hAnsi="微软雅黑" w:eastAsia="微软雅黑" w:cs="微软雅黑"/>
          <w:color w:val="auto"/>
          <w:sz w:val="24"/>
          <w:szCs w:val="24"/>
          <w:highlight w:val="none"/>
        </w:rPr>
      </w:pPr>
    </w:p>
    <w:p w14:paraId="258F269B">
      <w:pPr>
        <w:spacing w:line="360" w:lineRule="auto"/>
        <w:ind w:firstLine="480" w:firstLineChars="200"/>
        <w:rPr>
          <w:rFonts w:hint="eastAsia" w:ascii="微软雅黑" w:hAnsi="微软雅黑" w:eastAsia="微软雅黑" w:cs="微软雅黑"/>
          <w:color w:val="auto"/>
          <w:sz w:val="24"/>
          <w:szCs w:val="24"/>
          <w:highlight w:val="none"/>
        </w:rPr>
      </w:pPr>
    </w:p>
    <w:p w14:paraId="7FC8D81B">
      <w:pPr>
        <w:spacing w:line="360" w:lineRule="auto"/>
        <w:ind w:firstLine="480" w:firstLineChars="200"/>
        <w:rPr>
          <w:rFonts w:hint="eastAsia" w:ascii="微软雅黑" w:hAnsi="微软雅黑" w:eastAsia="微软雅黑" w:cs="微软雅黑"/>
          <w:color w:val="auto"/>
          <w:sz w:val="24"/>
          <w:szCs w:val="24"/>
          <w:highlight w:val="none"/>
        </w:rPr>
      </w:pPr>
    </w:p>
    <w:p w14:paraId="57176ECE">
      <w:pPr>
        <w:spacing w:line="360" w:lineRule="auto"/>
        <w:ind w:firstLine="480" w:firstLineChars="200"/>
        <w:rPr>
          <w:rFonts w:hint="eastAsia" w:ascii="微软雅黑" w:hAnsi="微软雅黑" w:eastAsia="微软雅黑" w:cs="微软雅黑"/>
          <w:color w:val="auto"/>
          <w:sz w:val="24"/>
          <w:szCs w:val="24"/>
          <w:highlight w:val="none"/>
        </w:rPr>
      </w:pPr>
    </w:p>
    <w:p w14:paraId="3902BD5D">
      <w:pPr>
        <w:spacing w:line="360" w:lineRule="auto"/>
        <w:ind w:firstLine="480" w:firstLineChars="200"/>
        <w:rPr>
          <w:rFonts w:hint="eastAsia" w:ascii="微软雅黑" w:hAnsi="微软雅黑" w:eastAsia="微软雅黑" w:cs="微软雅黑"/>
          <w:color w:val="auto"/>
          <w:sz w:val="24"/>
          <w:szCs w:val="24"/>
          <w:highlight w:val="none"/>
        </w:rPr>
      </w:pPr>
    </w:p>
    <w:p w14:paraId="39275B2C">
      <w:pPr>
        <w:spacing w:line="360" w:lineRule="auto"/>
        <w:ind w:firstLine="480" w:firstLineChars="200"/>
        <w:rPr>
          <w:rFonts w:hint="eastAsia" w:ascii="微软雅黑" w:hAnsi="微软雅黑" w:eastAsia="微软雅黑" w:cs="微软雅黑"/>
          <w:color w:val="auto"/>
          <w:sz w:val="24"/>
          <w:szCs w:val="24"/>
          <w:highlight w:val="none"/>
        </w:rPr>
      </w:pPr>
    </w:p>
    <w:p w14:paraId="35E17E47">
      <w:pPr>
        <w:spacing w:line="360" w:lineRule="auto"/>
        <w:ind w:firstLine="480" w:firstLineChars="200"/>
        <w:rPr>
          <w:rFonts w:hint="eastAsia" w:ascii="微软雅黑" w:hAnsi="微软雅黑" w:eastAsia="微软雅黑" w:cs="微软雅黑"/>
          <w:color w:val="auto"/>
          <w:sz w:val="24"/>
          <w:szCs w:val="24"/>
          <w:highlight w:val="none"/>
        </w:rPr>
      </w:pPr>
    </w:p>
    <w:p w14:paraId="26B634B9">
      <w:pPr>
        <w:spacing w:line="360" w:lineRule="auto"/>
        <w:ind w:firstLine="480" w:firstLineChars="200"/>
        <w:rPr>
          <w:rFonts w:hint="eastAsia" w:ascii="微软雅黑" w:hAnsi="微软雅黑" w:eastAsia="微软雅黑" w:cs="微软雅黑"/>
          <w:color w:val="auto"/>
          <w:sz w:val="24"/>
          <w:szCs w:val="24"/>
          <w:highlight w:val="none"/>
        </w:rPr>
      </w:pPr>
    </w:p>
    <w:bookmarkEnd w:id="443"/>
    <w:p w14:paraId="37116943">
      <w:pPr>
        <w:spacing w:line="360" w:lineRule="auto"/>
        <w:ind w:firstLine="480" w:firstLineChars="200"/>
        <w:rPr>
          <w:rFonts w:hint="eastAsia" w:ascii="微软雅黑" w:hAnsi="微软雅黑" w:eastAsia="微软雅黑" w:cs="微软雅黑"/>
          <w:color w:val="auto"/>
          <w:sz w:val="24"/>
          <w:szCs w:val="24"/>
          <w:highlight w:val="none"/>
        </w:rPr>
      </w:pPr>
    </w:p>
    <w:p w14:paraId="31FFF0D4">
      <w:pPr>
        <w:spacing w:line="360" w:lineRule="auto"/>
        <w:ind w:firstLine="480" w:firstLineChars="200"/>
        <w:rPr>
          <w:rFonts w:hint="eastAsia" w:ascii="微软雅黑" w:hAnsi="微软雅黑" w:eastAsia="微软雅黑" w:cs="微软雅黑"/>
          <w:color w:val="auto"/>
          <w:sz w:val="24"/>
          <w:szCs w:val="24"/>
          <w:highlight w:val="none"/>
        </w:rPr>
      </w:pPr>
    </w:p>
    <w:p w14:paraId="42C6C56A">
      <w:pPr>
        <w:pStyle w:val="5"/>
        <w:spacing w:line="360" w:lineRule="auto"/>
        <w:rPr>
          <w:rFonts w:hint="eastAsia" w:ascii="微软雅黑" w:hAnsi="微软雅黑" w:eastAsia="微软雅黑" w:cs="微软雅黑"/>
          <w:color w:val="auto"/>
          <w:highlight w:val="none"/>
        </w:rPr>
      </w:pPr>
      <w:bookmarkStart w:id="472" w:name="_Toc313008359"/>
      <w:bookmarkStart w:id="473" w:name="_Toc8582"/>
      <w:bookmarkStart w:id="474" w:name="_Toc5274"/>
      <w:bookmarkStart w:id="475" w:name="_Toc28169"/>
      <w:bookmarkStart w:id="476" w:name="_Toc47094797"/>
      <w:bookmarkStart w:id="477" w:name="_Toc342913422"/>
      <w:bookmarkStart w:id="478" w:name="_Toc29584"/>
      <w:bookmarkStart w:id="479" w:name="_Toc313888363"/>
      <w:r>
        <w:rPr>
          <w:rFonts w:hint="eastAsia" w:ascii="微软雅黑" w:hAnsi="微软雅黑" w:eastAsia="微软雅黑" w:cs="微软雅黑"/>
          <w:color w:val="auto"/>
          <w:sz w:val="24"/>
          <w:szCs w:val="24"/>
          <w:highlight w:val="none"/>
        </w:rPr>
        <w:t>四、资格条件及其他</w:t>
      </w:r>
      <w:bookmarkEnd w:id="472"/>
      <w:bookmarkEnd w:id="473"/>
      <w:bookmarkEnd w:id="474"/>
      <w:bookmarkEnd w:id="475"/>
      <w:bookmarkEnd w:id="476"/>
      <w:bookmarkEnd w:id="477"/>
      <w:bookmarkEnd w:id="478"/>
      <w:bookmarkEnd w:id="479"/>
    </w:p>
    <w:p w14:paraId="5E904986">
      <w:pPr>
        <w:tabs>
          <w:tab w:val="left" w:pos="6300"/>
        </w:tabs>
        <w:snapToGrid w:val="0"/>
        <w:spacing w:line="500" w:lineRule="exact"/>
        <w:ind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（一）营业执照（副本）或事业单位法人证书（副本）复印件</w:t>
      </w:r>
    </w:p>
    <w:p w14:paraId="60618799">
      <w:pPr>
        <w:tabs>
          <w:tab w:val="left" w:pos="6300"/>
        </w:tabs>
        <w:snapToGrid w:val="0"/>
        <w:spacing w:line="500" w:lineRule="exact"/>
        <w:ind w:firstLine="480"/>
        <w:rPr>
          <w:rFonts w:hint="eastAsia" w:ascii="微软雅黑" w:hAnsi="微软雅黑" w:eastAsia="微软雅黑" w:cs="微软雅黑"/>
          <w:color w:val="auto"/>
          <w:sz w:val="24"/>
          <w:szCs w:val="24"/>
          <w:highlight w:val="none"/>
        </w:rPr>
      </w:pPr>
    </w:p>
    <w:p w14:paraId="189BE455">
      <w:pPr>
        <w:tabs>
          <w:tab w:val="left" w:pos="6300"/>
        </w:tabs>
        <w:snapToGrid w:val="0"/>
        <w:spacing w:line="500" w:lineRule="exact"/>
        <w:ind w:firstLine="480"/>
        <w:rPr>
          <w:rFonts w:hint="eastAsia" w:ascii="微软雅黑" w:hAnsi="微软雅黑" w:eastAsia="微软雅黑" w:cs="微软雅黑"/>
          <w:color w:val="auto"/>
          <w:highlight w:val="none"/>
        </w:rPr>
      </w:pPr>
    </w:p>
    <w:p w14:paraId="2F934C00">
      <w:pPr>
        <w:tabs>
          <w:tab w:val="left" w:pos="6300"/>
        </w:tabs>
        <w:snapToGrid w:val="0"/>
        <w:spacing w:line="500" w:lineRule="exact"/>
        <w:ind w:firstLine="480"/>
        <w:rPr>
          <w:rFonts w:hint="eastAsia" w:ascii="微软雅黑" w:hAnsi="微软雅黑" w:eastAsia="微软雅黑" w:cs="微软雅黑"/>
          <w:color w:val="auto"/>
          <w:highlight w:val="none"/>
        </w:rPr>
      </w:pPr>
    </w:p>
    <w:p w14:paraId="40D75B8A">
      <w:pPr>
        <w:tabs>
          <w:tab w:val="left" w:pos="6300"/>
        </w:tabs>
        <w:snapToGrid w:val="0"/>
        <w:spacing w:line="500" w:lineRule="exact"/>
        <w:ind w:firstLine="480"/>
        <w:rPr>
          <w:rFonts w:hint="eastAsia" w:ascii="微软雅黑" w:hAnsi="微软雅黑" w:eastAsia="微软雅黑" w:cs="微软雅黑"/>
          <w:color w:val="auto"/>
          <w:highlight w:val="none"/>
        </w:rPr>
      </w:pPr>
    </w:p>
    <w:p w14:paraId="20DF982C">
      <w:pPr>
        <w:tabs>
          <w:tab w:val="left" w:pos="6300"/>
        </w:tabs>
        <w:snapToGrid w:val="0"/>
        <w:spacing w:line="500" w:lineRule="exact"/>
        <w:ind w:firstLine="480"/>
        <w:rPr>
          <w:rFonts w:hint="eastAsia" w:ascii="微软雅黑" w:hAnsi="微软雅黑" w:eastAsia="微软雅黑" w:cs="微软雅黑"/>
          <w:color w:val="auto"/>
          <w:highlight w:val="none"/>
        </w:rPr>
      </w:pPr>
    </w:p>
    <w:p w14:paraId="3CDD9E0F">
      <w:pPr>
        <w:tabs>
          <w:tab w:val="left" w:pos="6300"/>
        </w:tabs>
        <w:snapToGrid w:val="0"/>
        <w:spacing w:line="500" w:lineRule="exact"/>
        <w:ind w:firstLine="480"/>
        <w:rPr>
          <w:rFonts w:hint="eastAsia" w:ascii="微软雅黑" w:hAnsi="微软雅黑" w:eastAsia="微软雅黑" w:cs="微软雅黑"/>
          <w:color w:val="auto"/>
          <w:highlight w:val="none"/>
        </w:rPr>
      </w:pPr>
    </w:p>
    <w:p w14:paraId="1D0589A1">
      <w:pPr>
        <w:tabs>
          <w:tab w:val="left" w:pos="6300"/>
        </w:tabs>
        <w:snapToGrid w:val="0"/>
        <w:spacing w:line="500" w:lineRule="exact"/>
        <w:ind w:firstLine="480"/>
        <w:rPr>
          <w:rFonts w:hint="eastAsia" w:ascii="微软雅黑" w:hAnsi="微软雅黑" w:eastAsia="微软雅黑" w:cs="微软雅黑"/>
          <w:color w:val="auto"/>
          <w:highlight w:val="none"/>
        </w:rPr>
      </w:pPr>
    </w:p>
    <w:p w14:paraId="787DB9B4">
      <w:pPr>
        <w:tabs>
          <w:tab w:val="left" w:pos="6300"/>
        </w:tabs>
        <w:snapToGrid w:val="0"/>
        <w:spacing w:line="500" w:lineRule="exact"/>
        <w:ind w:firstLine="480"/>
        <w:rPr>
          <w:rFonts w:hint="eastAsia" w:ascii="微软雅黑" w:hAnsi="微软雅黑" w:eastAsia="微软雅黑" w:cs="微软雅黑"/>
          <w:color w:val="auto"/>
          <w:highlight w:val="none"/>
        </w:rPr>
      </w:pPr>
    </w:p>
    <w:p w14:paraId="0A4A34E4">
      <w:pPr>
        <w:tabs>
          <w:tab w:val="left" w:pos="6300"/>
        </w:tabs>
        <w:snapToGrid w:val="0"/>
        <w:spacing w:line="500" w:lineRule="exact"/>
        <w:ind w:firstLine="480"/>
        <w:rPr>
          <w:rFonts w:hint="eastAsia" w:ascii="微软雅黑" w:hAnsi="微软雅黑" w:eastAsia="微软雅黑" w:cs="微软雅黑"/>
          <w:color w:val="auto"/>
          <w:highlight w:val="none"/>
        </w:rPr>
      </w:pPr>
    </w:p>
    <w:p w14:paraId="5BDBC41A">
      <w:pPr>
        <w:tabs>
          <w:tab w:val="left" w:pos="6300"/>
        </w:tabs>
        <w:snapToGrid w:val="0"/>
        <w:spacing w:line="500" w:lineRule="exact"/>
        <w:ind w:firstLine="480"/>
        <w:rPr>
          <w:rFonts w:hint="eastAsia" w:ascii="微软雅黑" w:hAnsi="微软雅黑" w:eastAsia="微软雅黑" w:cs="微软雅黑"/>
          <w:color w:val="auto"/>
          <w:highlight w:val="none"/>
        </w:rPr>
      </w:pPr>
    </w:p>
    <w:p w14:paraId="18FEF8E8">
      <w:pPr>
        <w:tabs>
          <w:tab w:val="left" w:pos="6300"/>
        </w:tabs>
        <w:snapToGrid w:val="0"/>
        <w:spacing w:line="500" w:lineRule="exact"/>
        <w:ind w:firstLine="480"/>
        <w:rPr>
          <w:rFonts w:hint="eastAsia" w:ascii="微软雅黑" w:hAnsi="微软雅黑" w:eastAsia="微软雅黑" w:cs="微软雅黑"/>
          <w:color w:val="auto"/>
          <w:sz w:val="24"/>
          <w:szCs w:val="18"/>
          <w:highlight w:val="none"/>
        </w:rPr>
      </w:pPr>
      <w:r>
        <w:rPr>
          <w:rFonts w:hint="eastAsia" w:ascii="微软雅黑" w:hAnsi="微软雅黑" w:eastAsia="微软雅黑" w:cs="微软雅黑"/>
          <w:color w:val="auto"/>
          <w:sz w:val="24"/>
          <w:szCs w:val="18"/>
          <w:highlight w:val="none"/>
        </w:rPr>
        <w:t>（二）特定资格条件</w:t>
      </w:r>
    </w:p>
    <w:p w14:paraId="089F9F7F">
      <w:pPr>
        <w:widowControl/>
        <w:ind w:firstLine="560" w:firstLineChars="200"/>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color w:val="auto"/>
          <w:highlight w:val="none"/>
        </w:rPr>
        <w:t>（三）法定代表人身份证明书（格式）</w:t>
      </w:r>
    </w:p>
    <w:p w14:paraId="6EB67BFD">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69BF833B">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项目名称：</w:t>
      </w:r>
    </w:p>
    <w:p w14:paraId="731A650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6A3457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val="en-US" w:eastAsia="zh-CN"/>
        </w:rPr>
        <w:t>招标人</w:t>
      </w:r>
      <w:r>
        <w:rPr>
          <w:rFonts w:hint="eastAsia" w:ascii="微软雅黑" w:hAnsi="微软雅黑" w:eastAsia="微软雅黑" w:cs="微软雅黑"/>
          <w:color w:val="auto"/>
          <w:sz w:val="24"/>
          <w:highlight w:val="none"/>
        </w:rPr>
        <w:t>名称）：</w:t>
      </w:r>
    </w:p>
    <w:p w14:paraId="50ABD00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（法定代表人姓名）在（供应商名称）任（职务名称）职务，是（供应商名称）的法定代表人。</w:t>
      </w:r>
    </w:p>
    <w:p w14:paraId="6A576292">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56D5B53">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特此证明。</w:t>
      </w:r>
    </w:p>
    <w:p w14:paraId="3F55424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4DCE122">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68B59D6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A657B2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（供应商公章）</w:t>
      </w:r>
    </w:p>
    <w:p w14:paraId="42313F42">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7654AF80">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年   月   日</w:t>
      </w:r>
    </w:p>
    <w:p w14:paraId="29DDAA40">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7D930B1">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（附：法定代表人身份证正反面复印件）</w:t>
      </w:r>
    </w:p>
    <w:p w14:paraId="222DCF2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271686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63C02C8F">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E7A59A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6CEC84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5E6B08D">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E0FD9C1">
      <w:pPr>
        <w:tabs>
          <w:tab w:val="left" w:pos="6300"/>
        </w:tabs>
        <w:snapToGrid w:val="0"/>
        <w:spacing w:line="500" w:lineRule="exact"/>
        <w:ind w:firstLine="480"/>
        <w:jc w:val="center"/>
        <w:outlineLvl w:val="1"/>
        <w:rPr>
          <w:rFonts w:hint="eastAsia" w:ascii="微软雅黑" w:hAnsi="微软雅黑" w:eastAsia="微软雅黑" w:cs="微软雅黑"/>
          <w:color w:val="auto"/>
          <w:highlight w:val="none"/>
        </w:rPr>
      </w:pPr>
      <w:bookmarkStart w:id="480" w:name="_Toc25887"/>
      <w:bookmarkStart w:id="481" w:name="_Toc5918"/>
      <w:bookmarkStart w:id="482" w:name="_Toc24140"/>
      <w:bookmarkStart w:id="483" w:name="_Toc21320"/>
      <w:r>
        <w:rPr>
          <w:rFonts w:hint="eastAsia" w:ascii="微软雅黑" w:hAnsi="微软雅黑" w:eastAsia="微软雅黑" w:cs="微软雅黑"/>
          <w:color w:val="auto"/>
          <w:highlight w:val="none"/>
        </w:rPr>
        <w:br w:type="column"/>
      </w:r>
      <w:r>
        <w:rPr>
          <w:rFonts w:hint="eastAsia" w:ascii="微软雅黑" w:hAnsi="微软雅黑" w:eastAsia="微软雅黑" w:cs="微软雅黑"/>
          <w:color w:val="auto"/>
          <w:highlight w:val="none"/>
        </w:rPr>
        <w:t>（四）法定代表人授权委托书（格式）</w:t>
      </w:r>
      <w:bookmarkEnd w:id="480"/>
      <w:bookmarkEnd w:id="481"/>
      <w:bookmarkEnd w:id="482"/>
      <w:bookmarkEnd w:id="483"/>
    </w:p>
    <w:p w14:paraId="5121945C">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0455FB2">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项目名称</w:t>
      </w:r>
      <w:r>
        <w:rPr>
          <w:rFonts w:hint="eastAsia" w:ascii="微软雅黑" w:hAnsi="微软雅黑" w:eastAsia="微软雅黑" w:cs="微软雅黑"/>
          <w:color w:val="auto"/>
          <w:sz w:val="24"/>
          <w:highlight w:val="none"/>
        </w:rPr>
        <w:t>：</w:t>
      </w:r>
    </w:p>
    <w:p w14:paraId="5074F413">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1C45086">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val="en-US" w:eastAsia="zh-CN"/>
        </w:rPr>
        <w:t>招标人</w:t>
      </w:r>
      <w:r>
        <w:rPr>
          <w:rFonts w:hint="eastAsia" w:ascii="微软雅黑" w:hAnsi="微软雅黑" w:eastAsia="微软雅黑" w:cs="微软雅黑"/>
          <w:color w:val="auto"/>
          <w:sz w:val="24"/>
          <w:highlight w:val="none"/>
        </w:rPr>
        <w:t>名称）：</w:t>
      </w:r>
    </w:p>
    <w:p w14:paraId="5351F36E">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（供应商法定代表人名称）是（供应商名称）的法定代表人，特授权（被授权人姓名及身份证代码）代表我单位全权办理上述项目的</w:t>
      </w:r>
      <w:r>
        <w:rPr>
          <w:rFonts w:hint="eastAsia" w:ascii="微软雅黑" w:hAnsi="微软雅黑" w:eastAsia="微软雅黑" w:cs="微软雅黑"/>
          <w:color w:val="auto"/>
          <w:sz w:val="24"/>
          <w:highlight w:val="none"/>
          <w:lang w:eastAsia="zh-CN"/>
        </w:rPr>
        <w:t>招标</w:t>
      </w:r>
      <w:r>
        <w:rPr>
          <w:rFonts w:hint="eastAsia" w:ascii="微软雅黑" w:hAnsi="微软雅黑" w:eastAsia="微软雅黑" w:cs="微软雅黑"/>
          <w:color w:val="auto"/>
          <w:sz w:val="24"/>
          <w:highlight w:val="none"/>
        </w:rPr>
        <w:t>、签约等具体工作，并签署全部有关文件、协议及合同。</w:t>
      </w:r>
    </w:p>
    <w:p w14:paraId="09F49922">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我单位对被授权人的签字负全部责任。</w:t>
      </w:r>
    </w:p>
    <w:p w14:paraId="07A35C7C">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在撤消授权的书面通知以前，本授权书一直有效。被授权人在授权书有效期内签署的所有文件不因授权的撤消而失效。</w:t>
      </w:r>
    </w:p>
    <w:p w14:paraId="211FBE31">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9D019A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F7593FC">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被授权人：                                 供应商法定代表人：</w:t>
      </w:r>
    </w:p>
    <w:p w14:paraId="7CBADC5F">
      <w:pPr>
        <w:tabs>
          <w:tab w:val="left" w:pos="6300"/>
        </w:tabs>
        <w:snapToGrid w:val="0"/>
        <w:spacing w:line="500" w:lineRule="exact"/>
        <w:ind w:firstLine="480"/>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（签章）                        </w:t>
      </w:r>
      <w:r>
        <w:rPr>
          <w:rFonts w:hint="eastAsia" w:ascii="微软雅黑" w:hAnsi="微软雅黑" w:eastAsia="微软雅黑" w:cs="微软雅黑"/>
          <w:color w:val="auto"/>
          <w:sz w:val="24"/>
          <w:szCs w:val="28"/>
          <w:highlight w:val="none"/>
          <w:lang w:val="en-US" w:eastAsia="zh-CN"/>
        </w:rPr>
        <w:t xml:space="preserve">       </w:t>
      </w:r>
      <w:r>
        <w:rPr>
          <w:rFonts w:hint="eastAsia" w:ascii="微软雅黑" w:hAnsi="微软雅黑" w:eastAsia="微软雅黑" w:cs="微软雅黑"/>
          <w:color w:val="auto"/>
          <w:sz w:val="24"/>
          <w:szCs w:val="28"/>
          <w:highlight w:val="none"/>
        </w:rPr>
        <w:t xml:space="preserve">        （签章）</w:t>
      </w:r>
    </w:p>
    <w:p w14:paraId="27A520B3">
      <w:pPr>
        <w:tabs>
          <w:tab w:val="left" w:pos="6300"/>
        </w:tabs>
        <w:snapToGrid w:val="0"/>
        <w:spacing w:line="500" w:lineRule="exact"/>
        <w:ind w:firstLine="480"/>
        <w:rPr>
          <w:rFonts w:hint="eastAsia" w:ascii="微软雅黑" w:hAnsi="微软雅黑" w:eastAsia="微软雅黑" w:cs="微软雅黑"/>
          <w:color w:val="auto"/>
          <w:sz w:val="24"/>
          <w:szCs w:val="28"/>
          <w:highlight w:val="none"/>
        </w:rPr>
      </w:pPr>
    </w:p>
    <w:p w14:paraId="04E433F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1AB5D42">
      <w:pPr>
        <w:tabs>
          <w:tab w:val="left" w:pos="6300"/>
        </w:tabs>
        <w:snapToGrid w:val="0"/>
        <w:spacing w:line="500" w:lineRule="exact"/>
        <w:ind w:firstLine="4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（附：被授权人身份证正反面复印件）</w:t>
      </w:r>
    </w:p>
    <w:p w14:paraId="6625797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6B2289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BCD136F">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56F6197">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（供应商公章）</w:t>
      </w:r>
    </w:p>
    <w:p w14:paraId="5CFFB6A5">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590EBB25">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p>
    <w:p w14:paraId="252E672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00387F3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2761DD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864141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126424D6">
      <w:pPr>
        <w:tabs>
          <w:tab w:val="left" w:pos="6300"/>
        </w:tabs>
        <w:snapToGrid w:val="0"/>
        <w:spacing w:line="500" w:lineRule="exact"/>
        <w:ind w:firstLine="3220" w:firstLineChars="1150"/>
        <w:outlineLvl w:val="1"/>
        <w:rPr>
          <w:rFonts w:hint="eastAsia" w:ascii="微软雅黑" w:hAnsi="微软雅黑" w:eastAsia="微软雅黑" w:cs="微软雅黑"/>
          <w:color w:val="auto"/>
          <w:sz w:val="24"/>
          <w:highlight w:val="none"/>
        </w:rPr>
      </w:pPr>
      <w:bookmarkStart w:id="484" w:name="_Toc6302"/>
      <w:bookmarkStart w:id="485" w:name="_Toc29852"/>
      <w:bookmarkStart w:id="486" w:name="_Toc3978"/>
      <w:bookmarkStart w:id="487" w:name="_Toc13592"/>
      <w:r>
        <w:rPr>
          <w:rFonts w:hint="eastAsia" w:ascii="微软雅黑" w:hAnsi="微软雅黑" w:eastAsia="微软雅黑" w:cs="微软雅黑"/>
          <w:color w:val="auto"/>
          <w:highlight w:val="none"/>
        </w:rPr>
        <w:t>（五）书面声明</w:t>
      </w:r>
      <w:bookmarkEnd w:id="484"/>
      <w:bookmarkEnd w:id="485"/>
      <w:bookmarkEnd w:id="486"/>
      <w:bookmarkEnd w:id="487"/>
    </w:p>
    <w:p w14:paraId="26E5E74E">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5CE772B3">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lang w:eastAsia="zh-CN"/>
        </w:rPr>
        <w:t>招标</w:t>
      </w:r>
      <w:r>
        <w:rPr>
          <w:rFonts w:hint="eastAsia" w:ascii="微软雅黑" w:hAnsi="微软雅黑" w:eastAsia="微软雅黑" w:cs="微软雅黑"/>
          <w:color w:val="auto"/>
          <w:sz w:val="24"/>
          <w:szCs w:val="28"/>
          <w:highlight w:val="none"/>
        </w:rPr>
        <w:t>项目名称</w:t>
      </w:r>
      <w:r>
        <w:rPr>
          <w:rFonts w:hint="eastAsia" w:ascii="微软雅黑" w:hAnsi="微软雅黑" w:eastAsia="微软雅黑" w:cs="微软雅黑"/>
          <w:color w:val="auto"/>
          <w:sz w:val="24"/>
          <w:highlight w:val="none"/>
        </w:rPr>
        <w:t>：</w:t>
      </w:r>
    </w:p>
    <w:p w14:paraId="3628354A">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3F911FD0">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lang w:val="en-US" w:eastAsia="zh-CN"/>
        </w:rPr>
        <w:t>招标人</w:t>
      </w:r>
      <w:r>
        <w:rPr>
          <w:rFonts w:hint="eastAsia" w:ascii="微软雅黑" w:hAnsi="微软雅黑" w:eastAsia="微软雅黑" w:cs="微软雅黑"/>
          <w:color w:val="auto"/>
          <w:sz w:val="24"/>
          <w:highlight w:val="none"/>
        </w:rPr>
        <w:t>名称）：</w:t>
      </w:r>
    </w:p>
    <w:p w14:paraId="3D7E56CA">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的检查验证，符合《招标投标法》规定的供应商资格条件。我方对以上声明负全部法律责任。</w:t>
      </w:r>
    </w:p>
    <w:p w14:paraId="32D45043">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p>
    <w:p w14:paraId="1617DBC1">
      <w:pPr>
        <w:tabs>
          <w:tab w:val="left" w:pos="6300"/>
        </w:tabs>
        <w:snapToGrid w:val="0"/>
        <w:spacing w:line="500" w:lineRule="exact"/>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特此声明。</w:t>
      </w:r>
    </w:p>
    <w:p w14:paraId="2C56448B">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049062A4">
      <w:pPr>
        <w:tabs>
          <w:tab w:val="left" w:pos="6300"/>
        </w:tabs>
        <w:snapToGrid w:val="0"/>
        <w:spacing w:line="500" w:lineRule="exact"/>
        <w:rPr>
          <w:rFonts w:hint="eastAsia" w:ascii="微软雅黑" w:hAnsi="微软雅黑" w:eastAsia="微软雅黑" w:cs="微软雅黑"/>
          <w:color w:val="auto"/>
          <w:sz w:val="24"/>
          <w:highlight w:val="none"/>
        </w:rPr>
      </w:pPr>
    </w:p>
    <w:p w14:paraId="3224CE66">
      <w:pPr>
        <w:tabs>
          <w:tab w:val="left" w:pos="6300"/>
        </w:tabs>
        <w:snapToGrid w:val="0"/>
        <w:spacing w:line="500" w:lineRule="exact"/>
        <w:ind w:firstLine="480"/>
        <w:rPr>
          <w:rFonts w:hint="eastAsia" w:ascii="微软雅黑" w:hAnsi="微软雅黑" w:eastAsia="微软雅黑" w:cs="微软雅黑"/>
          <w:color w:val="auto"/>
          <w:sz w:val="24"/>
          <w:highlight w:val="none"/>
        </w:rPr>
      </w:pPr>
    </w:p>
    <w:p w14:paraId="490EE7F6">
      <w:pPr>
        <w:tabs>
          <w:tab w:val="left" w:pos="6300"/>
        </w:tabs>
        <w:snapToGrid w:val="0"/>
        <w:spacing w:line="500" w:lineRule="exact"/>
        <w:ind w:right="424"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（供应商公章）</w:t>
      </w:r>
    </w:p>
    <w:p w14:paraId="5BE59817">
      <w:pPr>
        <w:tabs>
          <w:tab w:val="left" w:pos="6300"/>
        </w:tabs>
        <w:snapToGrid w:val="0"/>
        <w:spacing w:line="500" w:lineRule="exact"/>
        <w:ind w:right="480" w:firstLine="480"/>
        <w:jc w:val="righ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12088E63">
      <w:pPr>
        <w:numPr>
          <w:ilvl w:val="0"/>
          <w:numId w:val="21"/>
        </w:numPr>
        <w:tabs>
          <w:tab w:val="left" w:pos="6300"/>
        </w:tabs>
        <w:snapToGrid w:val="0"/>
        <w:spacing w:line="5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highlight w:val="none"/>
        </w:rPr>
        <w:br w:type="page"/>
      </w:r>
    </w:p>
    <w:p w14:paraId="6D4B323F">
      <w:pPr>
        <w:pStyle w:val="5"/>
        <w:spacing w:line="360" w:lineRule="auto"/>
        <w:rPr>
          <w:rFonts w:hint="eastAsia" w:ascii="微软雅黑" w:hAnsi="微软雅黑" w:eastAsia="微软雅黑" w:cs="微软雅黑"/>
          <w:color w:val="auto"/>
          <w:sz w:val="24"/>
          <w:szCs w:val="24"/>
          <w:highlight w:val="none"/>
        </w:rPr>
      </w:pPr>
      <w:bookmarkStart w:id="488" w:name="_Toc47094798"/>
      <w:bookmarkStart w:id="489" w:name="_Toc29790"/>
      <w:bookmarkStart w:id="490" w:name="_Toc17564"/>
      <w:bookmarkStart w:id="491" w:name="_Toc31811"/>
      <w:bookmarkStart w:id="492" w:name="_Toc14422"/>
      <w:r>
        <w:rPr>
          <w:rFonts w:hint="eastAsia" w:ascii="微软雅黑" w:hAnsi="微软雅黑" w:eastAsia="微软雅黑" w:cs="微软雅黑"/>
          <w:color w:val="auto"/>
          <w:sz w:val="24"/>
          <w:szCs w:val="24"/>
          <w:highlight w:val="none"/>
        </w:rPr>
        <w:t>五、其他应提供的资料</w:t>
      </w:r>
      <w:bookmarkEnd w:id="488"/>
      <w:bookmarkEnd w:id="489"/>
      <w:bookmarkEnd w:id="490"/>
      <w:bookmarkEnd w:id="491"/>
      <w:bookmarkEnd w:id="492"/>
    </w:p>
    <w:p w14:paraId="78D38342">
      <w:pPr>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其他与项目有关的资料（自附）：供应商总体情况介绍、其他与本项目有关的资料等。</w:t>
      </w:r>
    </w:p>
    <w:p w14:paraId="655F7C3A">
      <w:pPr>
        <w:spacing w:line="360" w:lineRule="auto"/>
        <w:rPr>
          <w:rFonts w:hint="eastAsia" w:ascii="微软雅黑" w:hAnsi="微软雅黑" w:eastAsia="微软雅黑" w:cs="微软雅黑"/>
          <w:color w:val="auto"/>
          <w:sz w:val="24"/>
          <w:szCs w:val="24"/>
          <w:highlight w:val="none"/>
        </w:rPr>
      </w:pPr>
    </w:p>
    <w:p w14:paraId="1B2DA3A6">
      <w:pPr>
        <w:pStyle w:val="16"/>
        <w:ind w:firstLine="480"/>
        <w:rPr>
          <w:rFonts w:hint="eastAsia" w:ascii="微软雅黑" w:hAnsi="微软雅黑" w:eastAsia="微软雅黑" w:cs="微软雅黑"/>
          <w:color w:val="auto"/>
          <w:szCs w:val="24"/>
          <w:highlight w:val="none"/>
        </w:rPr>
      </w:pPr>
    </w:p>
    <w:p w14:paraId="11C9490D">
      <w:pPr>
        <w:pStyle w:val="16"/>
        <w:ind w:firstLine="480"/>
        <w:rPr>
          <w:rFonts w:hint="eastAsia" w:ascii="微软雅黑" w:hAnsi="微软雅黑" w:eastAsia="微软雅黑" w:cs="微软雅黑"/>
          <w:color w:val="auto"/>
          <w:szCs w:val="24"/>
          <w:highlight w:val="none"/>
        </w:rPr>
      </w:pPr>
    </w:p>
    <w:p w14:paraId="544ABED4">
      <w:pPr>
        <w:pStyle w:val="16"/>
        <w:ind w:firstLine="480"/>
        <w:rPr>
          <w:rFonts w:hint="eastAsia" w:ascii="微软雅黑" w:hAnsi="微软雅黑" w:eastAsia="微软雅黑" w:cs="微软雅黑"/>
          <w:color w:val="auto"/>
          <w:szCs w:val="24"/>
          <w:highlight w:val="none"/>
        </w:rPr>
      </w:pPr>
    </w:p>
    <w:p w14:paraId="06D5E416">
      <w:pPr>
        <w:pStyle w:val="16"/>
        <w:ind w:firstLine="480"/>
        <w:rPr>
          <w:rFonts w:hint="eastAsia" w:ascii="微软雅黑" w:hAnsi="微软雅黑" w:eastAsia="微软雅黑" w:cs="微软雅黑"/>
          <w:color w:val="auto"/>
          <w:szCs w:val="24"/>
          <w:highlight w:val="none"/>
        </w:rPr>
      </w:pPr>
    </w:p>
    <w:p w14:paraId="4398B4BB">
      <w:pPr>
        <w:pStyle w:val="16"/>
        <w:ind w:firstLine="480"/>
        <w:rPr>
          <w:rFonts w:hint="eastAsia" w:ascii="微软雅黑" w:hAnsi="微软雅黑" w:eastAsia="微软雅黑" w:cs="微软雅黑"/>
          <w:color w:val="auto"/>
          <w:szCs w:val="24"/>
          <w:highlight w:val="none"/>
        </w:rPr>
      </w:pPr>
    </w:p>
    <w:p w14:paraId="14FF97E1">
      <w:pPr>
        <w:pStyle w:val="16"/>
        <w:ind w:firstLine="480"/>
        <w:rPr>
          <w:rFonts w:hint="eastAsia" w:ascii="微软雅黑" w:hAnsi="微软雅黑" w:eastAsia="微软雅黑" w:cs="微软雅黑"/>
          <w:color w:val="auto"/>
          <w:szCs w:val="24"/>
          <w:highlight w:val="none"/>
        </w:rPr>
      </w:pPr>
    </w:p>
    <w:p w14:paraId="0DFEC337">
      <w:pPr>
        <w:pStyle w:val="16"/>
        <w:ind w:firstLine="480"/>
        <w:rPr>
          <w:rFonts w:hint="eastAsia" w:ascii="微软雅黑" w:hAnsi="微软雅黑" w:eastAsia="微软雅黑" w:cs="微软雅黑"/>
          <w:color w:val="auto"/>
          <w:szCs w:val="24"/>
          <w:highlight w:val="none"/>
        </w:rPr>
      </w:pPr>
    </w:p>
    <w:p w14:paraId="18CC0A6E">
      <w:pPr>
        <w:pStyle w:val="16"/>
        <w:ind w:firstLine="480"/>
        <w:rPr>
          <w:rFonts w:hint="eastAsia" w:ascii="微软雅黑" w:hAnsi="微软雅黑" w:eastAsia="微软雅黑" w:cs="微软雅黑"/>
          <w:color w:val="auto"/>
          <w:szCs w:val="24"/>
          <w:highlight w:val="none"/>
        </w:rPr>
      </w:pPr>
    </w:p>
    <w:p w14:paraId="74020953">
      <w:pPr>
        <w:pStyle w:val="16"/>
        <w:ind w:firstLine="480"/>
        <w:rPr>
          <w:rFonts w:hint="eastAsia" w:ascii="微软雅黑" w:hAnsi="微软雅黑" w:eastAsia="微软雅黑" w:cs="微软雅黑"/>
          <w:color w:val="auto"/>
          <w:szCs w:val="24"/>
          <w:highlight w:val="none"/>
        </w:rPr>
      </w:pPr>
    </w:p>
    <w:p w14:paraId="3BF665BB">
      <w:pPr>
        <w:spacing w:line="360" w:lineRule="auto"/>
        <w:jc w:val="center"/>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（结束）</w:t>
      </w:r>
    </w:p>
    <w:sectPr>
      <w:headerReference r:id="rId5"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 w:fontKey="{22CD694B-0E4D-4E9E-B1A0-4C6B167FAEF6}"/>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文鼎粗黑">
    <w:altName w:val="宋体"/>
    <w:panose1 w:val="00000000000000000000"/>
    <w:charset w:val="86"/>
    <w:family w:val="modern"/>
    <w:pitch w:val="default"/>
    <w:sig w:usb0="00000000" w:usb1="00000000" w:usb2="00000010" w:usb3="00000000" w:csb0="00040000" w:csb1="0000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2" w:fontKey="{9B5EA71D-2146-4EE6-9181-5EDC5043E209}"/>
  </w:font>
  <w:font w:name="方正黑体简体">
    <w:altName w:val="微软雅黑"/>
    <w:panose1 w:val="03000509000000000000"/>
    <w:charset w:val="86"/>
    <w:family w:val="auto"/>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embedRegular r:id="rId3" w:fontKey="{D9B81BC3-BD7C-44AB-8DD5-5E399249F28B}"/>
  </w:font>
  <w:font w:name="方正小标宋_GBK">
    <w:altName w:val="微软雅黑"/>
    <w:panose1 w:val="02000000000000000000"/>
    <w:charset w:val="86"/>
    <w:family w:val="script"/>
    <w:pitch w:val="default"/>
    <w:sig w:usb0="00000000" w:usb1="00000000" w:usb2="00082016" w:usb3="00000000" w:csb0="00040001" w:csb1="00000000"/>
    <w:embedRegular r:id="rId4" w:fontKey="{BCB36C65-8B83-4402-A519-67878DD1CCE1}"/>
  </w:font>
  <w:font w:name="方正黑体_GBK">
    <w:altName w:val="微软雅黑"/>
    <w:panose1 w:val="02010600010101010101"/>
    <w:charset w:val="86"/>
    <w:family w:val="script"/>
    <w:pitch w:val="default"/>
    <w:sig w:usb0="00000000" w:usb1="00000000" w:usb2="00000000" w:usb3="00000000" w:csb0="00040000" w:csb1="00000000"/>
    <w:embedRegular r:id="rId5" w:fontKey="{6BBF475E-4B4D-4D3B-9DBD-84D8436470EE}"/>
  </w:font>
  <w:font w:name="华文细黑">
    <w:altName w:val="微软雅黑"/>
    <w:panose1 w:val="02010600040101010101"/>
    <w:charset w:val="86"/>
    <w:family w:val="auto"/>
    <w:pitch w:val="default"/>
    <w:sig w:usb0="00000000" w:usb1="00000000" w:usb2="00000000" w:usb3="00000000" w:csb0="0004009F" w:csb1="DFD70000"/>
    <w:embedRegular r:id="rId6" w:fontKey="{D0F24734-CD53-4921-90DC-5244FBCDE5C7}"/>
  </w:font>
  <w:font w:name="Segoe UI">
    <w:panose1 w:val="020B0502040204020203"/>
    <w:charset w:val="00"/>
    <w:family w:val="swiss"/>
    <w:pitch w:val="default"/>
    <w:sig w:usb0="E4002EFF" w:usb1="C000E47F" w:usb2="00000009" w:usb3="00000000" w:csb0="200001FF" w:csb1="00000000"/>
    <w:embedRegular r:id="rId7" w:fontKey="{5C822271-60C0-4D67-85F9-7FA2C2E7DA8F}"/>
  </w:font>
  <w:font w:name="KSOF429D5CD3">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8FB5">
    <w:pPr>
      <w:pStyle w:val="36"/>
      <w:rPr>
        <w:rFonts w:hint="eastAsia"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C8E6F">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C8E6F">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6AF8F">
    <w:pPr>
      <w:pStyle w:val="37"/>
      <w:pBdr>
        <w:bottom w:val="none" w:color="auto" w:sz="0" w:space="1"/>
      </w:pBdr>
      <w:tabs>
        <w:tab w:val="clear" w:pos="4153"/>
        <w:tab w:val="clear" w:pos="8306"/>
      </w:tabs>
      <w:ind w:left="-280" w:leftChars="-100" w:right="-378" w:rightChars="-135"/>
      <w:rPr>
        <w:rFonts w:hint="eastAsia" w:ascii="微软雅黑" w:hAnsi="微软雅黑" w:eastAsia="微软雅黑" w:cs="微软雅黑"/>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D59D">
    <w:pPr>
      <w:pStyle w:val="37"/>
      <w:tabs>
        <w:tab w:val="right" w:pos="9540"/>
        <w:tab w:val="clear" w:pos="8306"/>
      </w:tabs>
      <w:ind w:right="-126" w:rightChars="-45" w:firstLine="420"/>
      <w:jc w:val="left"/>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C4808"/>
    <w:multiLevelType w:val="singleLevel"/>
    <w:tmpl w:val="BE1C4808"/>
    <w:lvl w:ilvl="0" w:tentative="0">
      <w:start w:val="7"/>
      <w:numFmt w:val="chineseCounting"/>
      <w:suff w:val="nothing"/>
      <w:lvlText w:val="（%1）"/>
      <w:lvlJc w:val="left"/>
      <w:rPr>
        <w:rFonts w:hint="eastAsia"/>
      </w:rPr>
    </w:lvl>
  </w:abstractNum>
  <w:abstractNum w:abstractNumId="1">
    <w:nsid w:val="E46B4644"/>
    <w:multiLevelType w:val="singleLevel"/>
    <w:tmpl w:val="E46B4644"/>
    <w:lvl w:ilvl="0" w:tentative="0">
      <w:start w:val="1"/>
      <w:numFmt w:val="decimal"/>
      <w:lvlText w:val="%1."/>
      <w:lvlJc w:val="left"/>
      <w:pPr>
        <w:ind w:left="425" w:hanging="425"/>
      </w:pPr>
      <w:rPr>
        <w:rFonts w:hint="default"/>
      </w:rPr>
    </w:lvl>
  </w:abstractNum>
  <w:abstractNum w:abstractNumId="2">
    <w:nsid w:val="00000009"/>
    <w:multiLevelType w:val="multilevel"/>
    <w:tmpl w:val="00000009"/>
    <w:lvl w:ilvl="0" w:tentative="0">
      <w:start w:val="1"/>
      <w:numFmt w:val="upperLetter"/>
      <w:pStyle w:val="100"/>
      <w:suff w:val="nothing"/>
      <w:lvlText w:val="附　录　%1"/>
      <w:lvlJc w:val="left"/>
      <w:pPr>
        <w:ind w:left="0" w:firstLine="0"/>
      </w:pPr>
      <w:rPr>
        <w:rFonts w:hint="eastAsia" w:ascii="黑体" w:hAnsi="Times New Roman" w:eastAsia="黑体"/>
        <w:b w:val="0"/>
        <w:i w:val="0"/>
        <w:sz w:val="21"/>
      </w:rPr>
    </w:lvl>
    <w:lvl w:ilvl="1" w:tentative="0">
      <w:start w:val="1"/>
      <w:numFmt w:val="decimal"/>
      <w:pStyle w:val="152"/>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3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72"/>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75"/>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1"/>
    <w:multiLevelType w:val="multilevel"/>
    <w:tmpl w:val="00000011"/>
    <w:lvl w:ilvl="0" w:tentative="0">
      <w:start w:val="1"/>
      <w:numFmt w:val="decimal"/>
      <w:pStyle w:val="18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97"/>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1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B38D5FE"/>
    <w:multiLevelType w:val="singleLevel"/>
    <w:tmpl w:val="0B38D5FE"/>
    <w:lvl w:ilvl="0" w:tentative="0">
      <w:start w:val="1"/>
      <w:numFmt w:val="chineseCounting"/>
      <w:suff w:val="nothing"/>
      <w:lvlText w:val="%1、"/>
      <w:lvlJc w:val="left"/>
      <w:rPr>
        <w:rFonts w:hint="eastAsia"/>
      </w:rPr>
    </w:lvl>
  </w:abstractNum>
  <w:abstractNum w:abstractNumId="14">
    <w:nsid w:val="2547FAB5"/>
    <w:multiLevelType w:val="singleLevel"/>
    <w:tmpl w:val="2547FAB5"/>
    <w:lvl w:ilvl="0" w:tentative="0">
      <w:start w:val="1"/>
      <w:numFmt w:val="chineseCounting"/>
      <w:suff w:val="nothing"/>
      <w:lvlText w:val="（%1）"/>
      <w:lvlJc w:val="left"/>
      <w:pPr>
        <w:ind w:left="-169" w:firstLine="420"/>
      </w:pPr>
      <w:rPr>
        <w:rFonts w:hint="eastAsia"/>
      </w:rPr>
    </w:lvl>
  </w:abstractNum>
  <w:abstractNum w:abstractNumId="15">
    <w:nsid w:val="2BE9DCE7"/>
    <w:multiLevelType w:val="singleLevel"/>
    <w:tmpl w:val="2BE9DCE7"/>
    <w:lvl w:ilvl="0" w:tentative="0">
      <w:start w:val="1"/>
      <w:numFmt w:val="chineseCounting"/>
      <w:suff w:val="nothing"/>
      <w:lvlText w:val="%1、"/>
      <w:lvlJc w:val="left"/>
      <w:rPr>
        <w:rFonts w:hint="eastAsia"/>
      </w:rPr>
    </w:lvl>
  </w:abstractNum>
  <w:abstractNum w:abstractNumId="16">
    <w:nsid w:val="32BFD148"/>
    <w:multiLevelType w:val="singleLevel"/>
    <w:tmpl w:val="32BFD148"/>
    <w:lvl w:ilvl="0" w:tentative="0">
      <w:start w:val="6"/>
      <w:numFmt w:val="chineseCounting"/>
      <w:suff w:val="space"/>
      <w:lvlText w:val="第%1篇"/>
      <w:lvlJc w:val="left"/>
      <w:rPr>
        <w:rFonts w:hint="eastAsia"/>
      </w:rPr>
    </w:lvl>
  </w:abstractNum>
  <w:abstractNum w:abstractNumId="17">
    <w:nsid w:val="5F9F03B8"/>
    <w:multiLevelType w:val="multilevel"/>
    <w:tmpl w:val="5F9F03B8"/>
    <w:lvl w:ilvl="0" w:tentative="0">
      <w:start w:val="3"/>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
    <w:nsid w:val="6AB0449A"/>
    <w:multiLevelType w:val="singleLevel"/>
    <w:tmpl w:val="6AB0449A"/>
    <w:lvl w:ilvl="0" w:tentative="0">
      <w:start w:val="2"/>
      <w:numFmt w:val="decimal"/>
      <w:suff w:val="nothing"/>
      <w:lvlText w:val="%1、"/>
      <w:lvlJc w:val="left"/>
    </w:lvl>
  </w:abstractNum>
  <w:abstractNum w:abstractNumId="19">
    <w:nsid w:val="71A8582A"/>
    <w:multiLevelType w:val="singleLevel"/>
    <w:tmpl w:val="71A8582A"/>
    <w:lvl w:ilvl="0" w:tentative="0">
      <w:start w:val="1"/>
      <w:numFmt w:val="decimal"/>
      <w:suff w:val="nothing"/>
      <w:lvlText w:val="%1、"/>
      <w:lvlJc w:val="left"/>
    </w:lvl>
  </w:abstractNum>
  <w:abstractNum w:abstractNumId="20">
    <w:nsid w:val="7F6A1E0E"/>
    <w:multiLevelType w:val="singleLevel"/>
    <w:tmpl w:val="7F6A1E0E"/>
    <w:lvl w:ilvl="0" w:tentative="0">
      <w:start w:val="1"/>
      <w:numFmt w:val="decimal"/>
      <w:suff w:val="nothing"/>
      <w:lvlText w:val="（%1）"/>
      <w:lvlJc w:val="left"/>
    </w:lvl>
  </w:abstractNum>
  <w:num w:numId="1">
    <w:abstractNumId w:val="9"/>
  </w:num>
  <w:num w:numId="2">
    <w:abstractNumId w:val="5"/>
  </w:num>
  <w:num w:numId="3">
    <w:abstractNumId w:val="10"/>
  </w:num>
  <w:num w:numId="4">
    <w:abstractNumId w:val="6"/>
  </w:num>
  <w:num w:numId="5">
    <w:abstractNumId w:val="2"/>
  </w:num>
  <w:num w:numId="6">
    <w:abstractNumId w:val="11"/>
  </w:num>
  <w:num w:numId="7">
    <w:abstractNumId w:val="12"/>
  </w:num>
  <w:num w:numId="8">
    <w:abstractNumId w:val="3"/>
  </w:num>
  <w:num w:numId="9">
    <w:abstractNumId w:val="4"/>
  </w:num>
  <w:num w:numId="10">
    <w:abstractNumId w:val="7"/>
  </w:num>
  <w:num w:numId="11">
    <w:abstractNumId w:val="8"/>
  </w:num>
  <w:num w:numId="12">
    <w:abstractNumId w:val="17"/>
  </w:num>
  <w:num w:numId="13">
    <w:abstractNumId w:val="13"/>
  </w:num>
  <w:num w:numId="14">
    <w:abstractNumId w:val="14"/>
  </w:num>
  <w:num w:numId="15">
    <w:abstractNumId w:val="19"/>
  </w:num>
  <w:num w:numId="16">
    <w:abstractNumId w:val="1"/>
  </w:num>
  <w:num w:numId="17">
    <w:abstractNumId w:val="18"/>
  </w:num>
  <w:num w:numId="18">
    <w:abstractNumId w:val="20"/>
  </w:num>
  <w:num w:numId="19">
    <w:abstractNumId w:val="16"/>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172A27"/>
    <w:rsid w:val="0000112E"/>
    <w:rsid w:val="000028EB"/>
    <w:rsid w:val="000040DE"/>
    <w:rsid w:val="000075E8"/>
    <w:rsid w:val="00011B4B"/>
    <w:rsid w:val="00015708"/>
    <w:rsid w:val="00016B79"/>
    <w:rsid w:val="00017816"/>
    <w:rsid w:val="000212DA"/>
    <w:rsid w:val="00027457"/>
    <w:rsid w:val="000353BF"/>
    <w:rsid w:val="0003632F"/>
    <w:rsid w:val="000371B5"/>
    <w:rsid w:val="000477BA"/>
    <w:rsid w:val="000477D8"/>
    <w:rsid w:val="0004789B"/>
    <w:rsid w:val="0005019B"/>
    <w:rsid w:val="00050303"/>
    <w:rsid w:val="000509B8"/>
    <w:rsid w:val="0005298B"/>
    <w:rsid w:val="00052D6F"/>
    <w:rsid w:val="00053032"/>
    <w:rsid w:val="0005417C"/>
    <w:rsid w:val="000547DB"/>
    <w:rsid w:val="00055A9D"/>
    <w:rsid w:val="00055C35"/>
    <w:rsid w:val="000576E1"/>
    <w:rsid w:val="00063981"/>
    <w:rsid w:val="00072809"/>
    <w:rsid w:val="0007633E"/>
    <w:rsid w:val="000811E5"/>
    <w:rsid w:val="0008420D"/>
    <w:rsid w:val="0008429E"/>
    <w:rsid w:val="000854BB"/>
    <w:rsid w:val="00090C5A"/>
    <w:rsid w:val="00091B1C"/>
    <w:rsid w:val="000A08A4"/>
    <w:rsid w:val="000A164E"/>
    <w:rsid w:val="000A54DD"/>
    <w:rsid w:val="000A731B"/>
    <w:rsid w:val="000A7A1B"/>
    <w:rsid w:val="000B11BD"/>
    <w:rsid w:val="000B30C0"/>
    <w:rsid w:val="000B3E62"/>
    <w:rsid w:val="000B42F4"/>
    <w:rsid w:val="000B5F7D"/>
    <w:rsid w:val="000B7377"/>
    <w:rsid w:val="000B7ED3"/>
    <w:rsid w:val="000B7F54"/>
    <w:rsid w:val="000C02C6"/>
    <w:rsid w:val="000C2203"/>
    <w:rsid w:val="000C2E08"/>
    <w:rsid w:val="000C30D6"/>
    <w:rsid w:val="000C621B"/>
    <w:rsid w:val="000C6A03"/>
    <w:rsid w:val="000C6B3C"/>
    <w:rsid w:val="000C6D2E"/>
    <w:rsid w:val="000D4EE8"/>
    <w:rsid w:val="000D65DD"/>
    <w:rsid w:val="000E01C9"/>
    <w:rsid w:val="000E1200"/>
    <w:rsid w:val="000E1345"/>
    <w:rsid w:val="000E3259"/>
    <w:rsid w:val="000E34D5"/>
    <w:rsid w:val="000E7FE1"/>
    <w:rsid w:val="000F3379"/>
    <w:rsid w:val="000F445F"/>
    <w:rsid w:val="000F4B23"/>
    <w:rsid w:val="000F7DBF"/>
    <w:rsid w:val="0010014A"/>
    <w:rsid w:val="00100639"/>
    <w:rsid w:val="0010540A"/>
    <w:rsid w:val="00105873"/>
    <w:rsid w:val="0010750E"/>
    <w:rsid w:val="001116A4"/>
    <w:rsid w:val="00111E71"/>
    <w:rsid w:val="00111FFE"/>
    <w:rsid w:val="00113E83"/>
    <w:rsid w:val="00115BC0"/>
    <w:rsid w:val="00116856"/>
    <w:rsid w:val="00120259"/>
    <w:rsid w:val="00125D0C"/>
    <w:rsid w:val="001266BF"/>
    <w:rsid w:val="00132BF6"/>
    <w:rsid w:val="00133D16"/>
    <w:rsid w:val="00134D29"/>
    <w:rsid w:val="00143114"/>
    <w:rsid w:val="00144004"/>
    <w:rsid w:val="0014507D"/>
    <w:rsid w:val="00147FB4"/>
    <w:rsid w:val="00150028"/>
    <w:rsid w:val="0015011C"/>
    <w:rsid w:val="00150429"/>
    <w:rsid w:val="001506E4"/>
    <w:rsid w:val="00154037"/>
    <w:rsid w:val="00155015"/>
    <w:rsid w:val="001572BD"/>
    <w:rsid w:val="00160EF6"/>
    <w:rsid w:val="001632C4"/>
    <w:rsid w:val="00163424"/>
    <w:rsid w:val="00170B84"/>
    <w:rsid w:val="00172A27"/>
    <w:rsid w:val="001778CA"/>
    <w:rsid w:val="00177975"/>
    <w:rsid w:val="00180ACB"/>
    <w:rsid w:val="0018271F"/>
    <w:rsid w:val="001833EE"/>
    <w:rsid w:val="00183A17"/>
    <w:rsid w:val="00186623"/>
    <w:rsid w:val="001879FD"/>
    <w:rsid w:val="0019218F"/>
    <w:rsid w:val="00193595"/>
    <w:rsid w:val="001A0E0B"/>
    <w:rsid w:val="001A6DCC"/>
    <w:rsid w:val="001B303E"/>
    <w:rsid w:val="001B3DBD"/>
    <w:rsid w:val="001B4377"/>
    <w:rsid w:val="001B473F"/>
    <w:rsid w:val="001B77D9"/>
    <w:rsid w:val="001B7C1A"/>
    <w:rsid w:val="001C12AF"/>
    <w:rsid w:val="001C17BE"/>
    <w:rsid w:val="001C2C8D"/>
    <w:rsid w:val="001C3D25"/>
    <w:rsid w:val="001C4D23"/>
    <w:rsid w:val="001D2321"/>
    <w:rsid w:val="001D2DCD"/>
    <w:rsid w:val="001D3045"/>
    <w:rsid w:val="001D5055"/>
    <w:rsid w:val="001D5741"/>
    <w:rsid w:val="001D630C"/>
    <w:rsid w:val="001D7AFF"/>
    <w:rsid w:val="001E201B"/>
    <w:rsid w:val="001E3A2E"/>
    <w:rsid w:val="001E453B"/>
    <w:rsid w:val="001E5CAC"/>
    <w:rsid w:val="001E725F"/>
    <w:rsid w:val="001F1AF7"/>
    <w:rsid w:val="001F1E63"/>
    <w:rsid w:val="001F1F41"/>
    <w:rsid w:val="001F4052"/>
    <w:rsid w:val="001F4964"/>
    <w:rsid w:val="001F7063"/>
    <w:rsid w:val="00202B04"/>
    <w:rsid w:val="00204936"/>
    <w:rsid w:val="0020592C"/>
    <w:rsid w:val="002100EE"/>
    <w:rsid w:val="00212515"/>
    <w:rsid w:val="00214638"/>
    <w:rsid w:val="0021704D"/>
    <w:rsid w:val="00222097"/>
    <w:rsid w:val="00222FEC"/>
    <w:rsid w:val="00226EBC"/>
    <w:rsid w:val="00227938"/>
    <w:rsid w:val="0023117C"/>
    <w:rsid w:val="002337EC"/>
    <w:rsid w:val="002348E0"/>
    <w:rsid w:val="002357D1"/>
    <w:rsid w:val="002357E0"/>
    <w:rsid w:val="00241FCE"/>
    <w:rsid w:val="00242121"/>
    <w:rsid w:val="00244928"/>
    <w:rsid w:val="00250B00"/>
    <w:rsid w:val="00250E69"/>
    <w:rsid w:val="00251FAB"/>
    <w:rsid w:val="00252C06"/>
    <w:rsid w:val="00255AD9"/>
    <w:rsid w:val="00261A69"/>
    <w:rsid w:val="002643C1"/>
    <w:rsid w:val="00265203"/>
    <w:rsid w:val="00271D47"/>
    <w:rsid w:val="002721EA"/>
    <w:rsid w:val="00280E8A"/>
    <w:rsid w:val="0028290D"/>
    <w:rsid w:val="00282C54"/>
    <w:rsid w:val="00283623"/>
    <w:rsid w:val="00285164"/>
    <w:rsid w:val="00287092"/>
    <w:rsid w:val="00290243"/>
    <w:rsid w:val="002942EC"/>
    <w:rsid w:val="002A1EAB"/>
    <w:rsid w:val="002A411F"/>
    <w:rsid w:val="002A4956"/>
    <w:rsid w:val="002A6710"/>
    <w:rsid w:val="002B5057"/>
    <w:rsid w:val="002B7904"/>
    <w:rsid w:val="002C1593"/>
    <w:rsid w:val="002C2507"/>
    <w:rsid w:val="002C2E6E"/>
    <w:rsid w:val="002C45CE"/>
    <w:rsid w:val="002C61E9"/>
    <w:rsid w:val="002D04B0"/>
    <w:rsid w:val="002D269B"/>
    <w:rsid w:val="002D3FED"/>
    <w:rsid w:val="002D7725"/>
    <w:rsid w:val="002E2A4B"/>
    <w:rsid w:val="002E38BB"/>
    <w:rsid w:val="002E3928"/>
    <w:rsid w:val="002E4758"/>
    <w:rsid w:val="002E6F8D"/>
    <w:rsid w:val="002F0E91"/>
    <w:rsid w:val="002F16E9"/>
    <w:rsid w:val="002F1E35"/>
    <w:rsid w:val="002F3DE3"/>
    <w:rsid w:val="002F50B6"/>
    <w:rsid w:val="002F632E"/>
    <w:rsid w:val="00302C6D"/>
    <w:rsid w:val="003032BF"/>
    <w:rsid w:val="00310AF9"/>
    <w:rsid w:val="00312C54"/>
    <w:rsid w:val="0031465E"/>
    <w:rsid w:val="00315742"/>
    <w:rsid w:val="003163B3"/>
    <w:rsid w:val="00316CE1"/>
    <w:rsid w:val="00320BC7"/>
    <w:rsid w:val="00322A7A"/>
    <w:rsid w:val="00323A21"/>
    <w:rsid w:val="00327002"/>
    <w:rsid w:val="00327C17"/>
    <w:rsid w:val="0033402F"/>
    <w:rsid w:val="00341DEB"/>
    <w:rsid w:val="0034349D"/>
    <w:rsid w:val="003434CB"/>
    <w:rsid w:val="003448FB"/>
    <w:rsid w:val="0034606B"/>
    <w:rsid w:val="00346A3D"/>
    <w:rsid w:val="00346E97"/>
    <w:rsid w:val="00350843"/>
    <w:rsid w:val="00350C20"/>
    <w:rsid w:val="003518E6"/>
    <w:rsid w:val="00354669"/>
    <w:rsid w:val="003548FA"/>
    <w:rsid w:val="00355A74"/>
    <w:rsid w:val="00361427"/>
    <w:rsid w:val="00362D5A"/>
    <w:rsid w:val="003632FB"/>
    <w:rsid w:val="0036458B"/>
    <w:rsid w:val="0036522F"/>
    <w:rsid w:val="00371D2F"/>
    <w:rsid w:val="00372141"/>
    <w:rsid w:val="0037557C"/>
    <w:rsid w:val="0038033A"/>
    <w:rsid w:val="0038238A"/>
    <w:rsid w:val="00384161"/>
    <w:rsid w:val="00386304"/>
    <w:rsid w:val="00386B19"/>
    <w:rsid w:val="00387610"/>
    <w:rsid w:val="00390FEA"/>
    <w:rsid w:val="0039114B"/>
    <w:rsid w:val="003947B0"/>
    <w:rsid w:val="00395C2F"/>
    <w:rsid w:val="003973D3"/>
    <w:rsid w:val="003A0892"/>
    <w:rsid w:val="003A2D5B"/>
    <w:rsid w:val="003A3B0B"/>
    <w:rsid w:val="003A449E"/>
    <w:rsid w:val="003A6B66"/>
    <w:rsid w:val="003A71F3"/>
    <w:rsid w:val="003B19F5"/>
    <w:rsid w:val="003B2ABF"/>
    <w:rsid w:val="003B31F8"/>
    <w:rsid w:val="003C0AB8"/>
    <w:rsid w:val="003C3844"/>
    <w:rsid w:val="003C4B53"/>
    <w:rsid w:val="003D056B"/>
    <w:rsid w:val="003D0E0A"/>
    <w:rsid w:val="003D3B22"/>
    <w:rsid w:val="003D3F09"/>
    <w:rsid w:val="003F1366"/>
    <w:rsid w:val="00402B32"/>
    <w:rsid w:val="004063DA"/>
    <w:rsid w:val="00410243"/>
    <w:rsid w:val="00410C93"/>
    <w:rsid w:val="00411B4A"/>
    <w:rsid w:val="00411B5C"/>
    <w:rsid w:val="0041485E"/>
    <w:rsid w:val="00416E58"/>
    <w:rsid w:val="00417E99"/>
    <w:rsid w:val="00420063"/>
    <w:rsid w:val="00420E06"/>
    <w:rsid w:val="0042338D"/>
    <w:rsid w:val="00427935"/>
    <w:rsid w:val="00430008"/>
    <w:rsid w:val="004363BE"/>
    <w:rsid w:val="004372AA"/>
    <w:rsid w:val="004409F6"/>
    <w:rsid w:val="0044695E"/>
    <w:rsid w:val="0045251D"/>
    <w:rsid w:val="004552DF"/>
    <w:rsid w:val="0046039C"/>
    <w:rsid w:val="00460DBE"/>
    <w:rsid w:val="00462878"/>
    <w:rsid w:val="004636FD"/>
    <w:rsid w:val="00465B7A"/>
    <w:rsid w:val="00465D34"/>
    <w:rsid w:val="00472285"/>
    <w:rsid w:val="00472AA2"/>
    <w:rsid w:val="00473EA5"/>
    <w:rsid w:val="004754BD"/>
    <w:rsid w:val="004762B3"/>
    <w:rsid w:val="00476B31"/>
    <w:rsid w:val="0048188E"/>
    <w:rsid w:val="00484CBB"/>
    <w:rsid w:val="004917B0"/>
    <w:rsid w:val="00492BEA"/>
    <w:rsid w:val="0049315B"/>
    <w:rsid w:val="004953EC"/>
    <w:rsid w:val="00495813"/>
    <w:rsid w:val="004962EA"/>
    <w:rsid w:val="004A0D29"/>
    <w:rsid w:val="004A0DE1"/>
    <w:rsid w:val="004A2410"/>
    <w:rsid w:val="004A27AC"/>
    <w:rsid w:val="004A4183"/>
    <w:rsid w:val="004B165D"/>
    <w:rsid w:val="004B176E"/>
    <w:rsid w:val="004B28C2"/>
    <w:rsid w:val="004B2C5D"/>
    <w:rsid w:val="004B39D8"/>
    <w:rsid w:val="004C1DD0"/>
    <w:rsid w:val="004C3C43"/>
    <w:rsid w:val="004C618A"/>
    <w:rsid w:val="004C64E4"/>
    <w:rsid w:val="004C7223"/>
    <w:rsid w:val="004D7BCE"/>
    <w:rsid w:val="004E156F"/>
    <w:rsid w:val="004E38D1"/>
    <w:rsid w:val="004E55DB"/>
    <w:rsid w:val="004F161C"/>
    <w:rsid w:val="004F2D57"/>
    <w:rsid w:val="004F497A"/>
    <w:rsid w:val="004F4F7F"/>
    <w:rsid w:val="004F6399"/>
    <w:rsid w:val="00501981"/>
    <w:rsid w:val="00502B2F"/>
    <w:rsid w:val="00510581"/>
    <w:rsid w:val="00512D00"/>
    <w:rsid w:val="0051390D"/>
    <w:rsid w:val="00514179"/>
    <w:rsid w:val="00524717"/>
    <w:rsid w:val="00524966"/>
    <w:rsid w:val="0052579F"/>
    <w:rsid w:val="00526D3C"/>
    <w:rsid w:val="00527C5A"/>
    <w:rsid w:val="00530836"/>
    <w:rsid w:val="0053473C"/>
    <w:rsid w:val="0054028A"/>
    <w:rsid w:val="005421CE"/>
    <w:rsid w:val="0054369F"/>
    <w:rsid w:val="00544BEA"/>
    <w:rsid w:val="005460D5"/>
    <w:rsid w:val="005519C9"/>
    <w:rsid w:val="00556D9F"/>
    <w:rsid w:val="00560570"/>
    <w:rsid w:val="005651B0"/>
    <w:rsid w:val="00566A85"/>
    <w:rsid w:val="00567D04"/>
    <w:rsid w:val="00573AE3"/>
    <w:rsid w:val="005810F4"/>
    <w:rsid w:val="005838D0"/>
    <w:rsid w:val="00584BFC"/>
    <w:rsid w:val="00586747"/>
    <w:rsid w:val="005902D9"/>
    <w:rsid w:val="0059196A"/>
    <w:rsid w:val="00596AB7"/>
    <w:rsid w:val="00597743"/>
    <w:rsid w:val="005A15D1"/>
    <w:rsid w:val="005A1EA7"/>
    <w:rsid w:val="005A5FAF"/>
    <w:rsid w:val="005A6938"/>
    <w:rsid w:val="005B0724"/>
    <w:rsid w:val="005B1E46"/>
    <w:rsid w:val="005B3D75"/>
    <w:rsid w:val="005B448D"/>
    <w:rsid w:val="005B4BB2"/>
    <w:rsid w:val="005B5133"/>
    <w:rsid w:val="005B575B"/>
    <w:rsid w:val="005B7C8B"/>
    <w:rsid w:val="005C1B86"/>
    <w:rsid w:val="005C39CC"/>
    <w:rsid w:val="005C42AC"/>
    <w:rsid w:val="005C4F84"/>
    <w:rsid w:val="005D37D0"/>
    <w:rsid w:val="005D703E"/>
    <w:rsid w:val="005E5525"/>
    <w:rsid w:val="005E7FAC"/>
    <w:rsid w:val="005F11C0"/>
    <w:rsid w:val="005F37E8"/>
    <w:rsid w:val="005F5E0B"/>
    <w:rsid w:val="00612FD9"/>
    <w:rsid w:val="00613410"/>
    <w:rsid w:val="00613E81"/>
    <w:rsid w:val="00615D80"/>
    <w:rsid w:val="00615E65"/>
    <w:rsid w:val="00617986"/>
    <w:rsid w:val="00627A5A"/>
    <w:rsid w:val="00630943"/>
    <w:rsid w:val="00636775"/>
    <w:rsid w:val="00637021"/>
    <w:rsid w:val="00641635"/>
    <w:rsid w:val="0064237A"/>
    <w:rsid w:val="00642926"/>
    <w:rsid w:val="0064583B"/>
    <w:rsid w:val="00647C5B"/>
    <w:rsid w:val="00650406"/>
    <w:rsid w:val="0065057A"/>
    <w:rsid w:val="0065293D"/>
    <w:rsid w:val="00654A48"/>
    <w:rsid w:val="0065651B"/>
    <w:rsid w:val="00657B2D"/>
    <w:rsid w:val="00657FAD"/>
    <w:rsid w:val="00660F5D"/>
    <w:rsid w:val="00664607"/>
    <w:rsid w:val="006656AE"/>
    <w:rsid w:val="0066580D"/>
    <w:rsid w:val="00670089"/>
    <w:rsid w:val="006701DF"/>
    <w:rsid w:val="00670F87"/>
    <w:rsid w:val="00680AE4"/>
    <w:rsid w:val="00684E51"/>
    <w:rsid w:val="006852D7"/>
    <w:rsid w:val="00690403"/>
    <w:rsid w:val="006945C4"/>
    <w:rsid w:val="006953ED"/>
    <w:rsid w:val="00697C14"/>
    <w:rsid w:val="006A100B"/>
    <w:rsid w:val="006A143A"/>
    <w:rsid w:val="006A3285"/>
    <w:rsid w:val="006A4336"/>
    <w:rsid w:val="006A55E4"/>
    <w:rsid w:val="006A69E9"/>
    <w:rsid w:val="006B1942"/>
    <w:rsid w:val="006B3903"/>
    <w:rsid w:val="006B5737"/>
    <w:rsid w:val="006B5CFD"/>
    <w:rsid w:val="006B72DE"/>
    <w:rsid w:val="006C023B"/>
    <w:rsid w:val="006C5FC1"/>
    <w:rsid w:val="006C6006"/>
    <w:rsid w:val="006D44E1"/>
    <w:rsid w:val="006D5DEB"/>
    <w:rsid w:val="006D6B52"/>
    <w:rsid w:val="006E21FA"/>
    <w:rsid w:val="006E2308"/>
    <w:rsid w:val="006E27E0"/>
    <w:rsid w:val="006E60A9"/>
    <w:rsid w:val="006E6479"/>
    <w:rsid w:val="006E798E"/>
    <w:rsid w:val="006F05A5"/>
    <w:rsid w:val="006F0FB7"/>
    <w:rsid w:val="006F21AC"/>
    <w:rsid w:val="006F2519"/>
    <w:rsid w:val="006F2D7A"/>
    <w:rsid w:val="006F3ABB"/>
    <w:rsid w:val="006F7DCF"/>
    <w:rsid w:val="00700B6E"/>
    <w:rsid w:val="00704E5D"/>
    <w:rsid w:val="00705739"/>
    <w:rsid w:val="007064F5"/>
    <w:rsid w:val="00706963"/>
    <w:rsid w:val="00706FB8"/>
    <w:rsid w:val="00710EAD"/>
    <w:rsid w:val="00711643"/>
    <w:rsid w:val="00715FB5"/>
    <w:rsid w:val="007171A6"/>
    <w:rsid w:val="00717918"/>
    <w:rsid w:val="0071799D"/>
    <w:rsid w:val="00725C47"/>
    <w:rsid w:val="00726088"/>
    <w:rsid w:val="00730B6A"/>
    <w:rsid w:val="00736D88"/>
    <w:rsid w:val="00736DD2"/>
    <w:rsid w:val="00737A25"/>
    <w:rsid w:val="007411DE"/>
    <w:rsid w:val="0074681C"/>
    <w:rsid w:val="00746EC2"/>
    <w:rsid w:val="00747837"/>
    <w:rsid w:val="0075180E"/>
    <w:rsid w:val="0075736A"/>
    <w:rsid w:val="007654E2"/>
    <w:rsid w:val="0076555E"/>
    <w:rsid w:val="00766274"/>
    <w:rsid w:val="007711E1"/>
    <w:rsid w:val="00771E46"/>
    <w:rsid w:val="00774087"/>
    <w:rsid w:val="007757DD"/>
    <w:rsid w:val="00781168"/>
    <w:rsid w:val="0078689C"/>
    <w:rsid w:val="00792B0D"/>
    <w:rsid w:val="007959AC"/>
    <w:rsid w:val="007A20E0"/>
    <w:rsid w:val="007A56AC"/>
    <w:rsid w:val="007B2204"/>
    <w:rsid w:val="007B32BE"/>
    <w:rsid w:val="007B4B60"/>
    <w:rsid w:val="007B4E4F"/>
    <w:rsid w:val="007B5713"/>
    <w:rsid w:val="007B7198"/>
    <w:rsid w:val="007C4793"/>
    <w:rsid w:val="007C523B"/>
    <w:rsid w:val="007D7E65"/>
    <w:rsid w:val="007E19E0"/>
    <w:rsid w:val="007E235D"/>
    <w:rsid w:val="007E7BDF"/>
    <w:rsid w:val="007F0A21"/>
    <w:rsid w:val="007F451F"/>
    <w:rsid w:val="008007B6"/>
    <w:rsid w:val="008041D4"/>
    <w:rsid w:val="00805933"/>
    <w:rsid w:val="00807D0E"/>
    <w:rsid w:val="0081156A"/>
    <w:rsid w:val="00811A53"/>
    <w:rsid w:val="00811D97"/>
    <w:rsid w:val="0081619C"/>
    <w:rsid w:val="00817FB4"/>
    <w:rsid w:val="00827398"/>
    <w:rsid w:val="00827A32"/>
    <w:rsid w:val="008412BE"/>
    <w:rsid w:val="00842974"/>
    <w:rsid w:val="00846FCC"/>
    <w:rsid w:val="0085014E"/>
    <w:rsid w:val="00851EF4"/>
    <w:rsid w:val="0085550A"/>
    <w:rsid w:val="00855C51"/>
    <w:rsid w:val="00856B77"/>
    <w:rsid w:val="00857766"/>
    <w:rsid w:val="00857E6A"/>
    <w:rsid w:val="008616EF"/>
    <w:rsid w:val="00861791"/>
    <w:rsid w:val="00863848"/>
    <w:rsid w:val="008639F2"/>
    <w:rsid w:val="00863C25"/>
    <w:rsid w:val="008641B7"/>
    <w:rsid w:val="00864DC1"/>
    <w:rsid w:val="0086763D"/>
    <w:rsid w:val="008705BC"/>
    <w:rsid w:val="00871009"/>
    <w:rsid w:val="00875A42"/>
    <w:rsid w:val="00875F04"/>
    <w:rsid w:val="00876373"/>
    <w:rsid w:val="00880A38"/>
    <w:rsid w:val="008850EB"/>
    <w:rsid w:val="008857CC"/>
    <w:rsid w:val="008863E6"/>
    <w:rsid w:val="008904A8"/>
    <w:rsid w:val="00891A45"/>
    <w:rsid w:val="008959FF"/>
    <w:rsid w:val="008A0C79"/>
    <w:rsid w:val="008A4BB5"/>
    <w:rsid w:val="008A68CE"/>
    <w:rsid w:val="008B2146"/>
    <w:rsid w:val="008B3351"/>
    <w:rsid w:val="008B4622"/>
    <w:rsid w:val="008C0637"/>
    <w:rsid w:val="008C10A7"/>
    <w:rsid w:val="008C1892"/>
    <w:rsid w:val="008C1D7E"/>
    <w:rsid w:val="008C1E1D"/>
    <w:rsid w:val="008C4665"/>
    <w:rsid w:val="008C510F"/>
    <w:rsid w:val="008D06BE"/>
    <w:rsid w:val="008D0FE0"/>
    <w:rsid w:val="008D1DC6"/>
    <w:rsid w:val="008D3659"/>
    <w:rsid w:val="008E0CF1"/>
    <w:rsid w:val="008E1474"/>
    <w:rsid w:val="008E262B"/>
    <w:rsid w:val="008E66B8"/>
    <w:rsid w:val="008F1988"/>
    <w:rsid w:val="008F43BA"/>
    <w:rsid w:val="008F5227"/>
    <w:rsid w:val="008F6252"/>
    <w:rsid w:val="009014E5"/>
    <w:rsid w:val="009023F3"/>
    <w:rsid w:val="00903540"/>
    <w:rsid w:val="0090383C"/>
    <w:rsid w:val="00912132"/>
    <w:rsid w:val="00912765"/>
    <w:rsid w:val="00915390"/>
    <w:rsid w:val="00915AFC"/>
    <w:rsid w:val="00917F59"/>
    <w:rsid w:val="009211CD"/>
    <w:rsid w:val="00921E62"/>
    <w:rsid w:val="00922FAD"/>
    <w:rsid w:val="00924F0A"/>
    <w:rsid w:val="0092579F"/>
    <w:rsid w:val="00926CB9"/>
    <w:rsid w:val="0092708B"/>
    <w:rsid w:val="0093049D"/>
    <w:rsid w:val="00930CFA"/>
    <w:rsid w:val="00931044"/>
    <w:rsid w:val="00933B34"/>
    <w:rsid w:val="00934E6D"/>
    <w:rsid w:val="00936838"/>
    <w:rsid w:val="00937713"/>
    <w:rsid w:val="00941A72"/>
    <w:rsid w:val="00944CC5"/>
    <w:rsid w:val="00946407"/>
    <w:rsid w:val="0094759E"/>
    <w:rsid w:val="009478AA"/>
    <w:rsid w:val="009519FB"/>
    <w:rsid w:val="00963A39"/>
    <w:rsid w:val="00965932"/>
    <w:rsid w:val="00966820"/>
    <w:rsid w:val="009702E8"/>
    <w:rsid w:val="00971600"/>
    <w:rsid w:val="00971E57"/>
    <w:rsid w:val="009723CF"/>
    <w:rsid w:val="00973717"/>
    <w:rsid w:val="00973EB6"/>
    <w:rsid w:val="00974A13"/>
    <w:rsid w:val="00980037"/>
    <w:rsid w:val="00983B43"/>
    <w:rsid w:val="00990AA9"/>
    <w:rsid w:val="00991B37"/>
    <w:rsid w:val="00993362"/>
    <w:rsid w:val="0099647C"/>
    <w:rsid w:val="0099752A"/>
    <w:rsid w:val="00997744"/>
    <w:rsid w:val="00997E58"/>
    <w:rsid w:val="009A7A6C"/>
    <w:rsid w:val="009B1B1E"/>
    <w:rsid w:val="009B2EDB"/>
    <w:rsid w:val="009B5443"/>
    <w:rsid w:val="009B6096"/>
    <w:rsid w:val="009C0879"/>
    <w:rsid w:val="009C3034"/>
    <w:rsid w:val="009C4DEB"/>
    <w:rsid w:val="009C6C1E"/>
    <w:rsid w:val="009D1A6B"/>
    <w:rsid w:val="009D3162"/>
    <w:rsid w:val="009D3181"/>
    <w:rsid w:val="009D6489"/>
    <w:rsid w:val="009E0C8F"/>
    <w:rsid w:val="009E1169"/>
    <w:rsid w:val="009E2F1C"/>
    <w:rsid w:val="009E348B"/>
    <w:rsid w:val="009E737D"/>
    <w:rsid w:val="009E79B1"/>
    <w:rsid w:val="009F28E3"/>
    <w:rsid w:val="009F5842"/>
    <w:rsid w:val="009F6803"/>
    <w:rsid w:val="00A01930"/>
    <w:rsid w:val="00A03977"/>
    <w:rsid w:val="00A12B4E"/>
    <w:rsid w:val="00A22213"/>
    <w:rsid w:val="00A2453D"/>
    <w:rsid w:val="00A25A21"/>
    <w:rsid w:val="00A26185"/>
    <w:rsid w:val="00A26FF7"/>
    <w:rsid w:val="00A27BD2"/>
    <w:rsid w:val="00A27BE2"/>
    <w:rsid w:val="00A30323"/>
    <w:rsid w:val="00A31077"/>
    <w:rsid w:val="00A3730B"/>
    <w:rsid w:val="00A37C81"/>
    <w:rsid w:val="00A41E4A"/>
    <w:rsid w:val="00A42CE3"/>
    <w:rsid w:val="00A445DC"/>
    <w:rsid w:val="00A44BEA"/>
    <w:rsid w:val="00A45D44"/>
    <w:rsid w:val="00A47655"/>
    <w:rsid w:val="00A47700"/>
    <w:rsid w:val="00A52D1B"/>
    <w:rsid w:val="00A55650"/>
    <w:rsid w:val="00A569E8"/>
    <w:rsid w:val="00A610EC"/>
    <w:rsid w:val="00A613D3"/>
    <w:rsid w:val="00A67920"/>
    <w:rsid w:val="00A67AE8"/>
    <w:rsid w:val="00A711C6"/>
    <w:rsid w:val="00A74559"/>
    <w:rsid w:val="00A756B7"/>
    <w:rsid w:val="00A75A98"/>
    <w:rsid w:val="00A75C90"/>
    <w:rsid w:val="00A76DA9"/>
    <w:rsid w:val="00A81327"/>
    <w:rsid w:val="00A82EF2"/>
    <w:rsid w:val="00A84863"/>
    <w:rsid w:val="00A932A2"/>
    <w:rsid w:val="00A95D95"/>
    <w:rsid w:val="00A977EC"/>
    <w:rsid w:val="00AA13DD"/>
    <w:rsid w:val="00AA2730"/>
    <w:rsid w:val="00AA3FD1"/>
    <w:rsid w:val="00AA57F3"/>
    <w:rsid w:val="00AB05AF"/>
    <w:rsid w:val="00AB11B3"/>
    <w:rsid w:val="00AB5ED3"/>
    <w:rsid w:val="00AB6B0C"/>
    <w:rsid w:val="00AB70CD"/>
    <w:rsid w:val="00AC4898"/>
    <w:rsid w:val="00AC48B3"/>
    <w:rsid w:val="00AC7AC9"/>
    <w:rsid w:val="00AC7D41"/>
    <w:rsid w:val="00AD09C0"/>
    <w:rsid w:val="00AD3D11"/>
    <w:rsid w:val="00AE1406"/>
    <w:rsid w:val="00AE1920"/>
    <w:rsid w:val="00AF01B3"/>
    <w:rsid w:val="00AF0F13"/>
    <w:rsid w:val="00AF1B68"/>
    <w:rsid w:val="00AF3A78"/>
    <w:rsid w:val="00AF46C7"/>
    <w:rsid w:val="00AF7992"/>
    <w:rsid w:val="00B00AB3"/>
    <w:rsid w:val="00B00E1B"/>
    <w:rsid w:val="00B05BAD"/>
    <w:rsid w:val="00B10333"/>
    <w:rsid w:val="00B10C5D"/>
    <w:rsid w:val="00B11A85"/>
    <w:rsid w:val="00B14C52"/>
    <w:rsid w:val="00B16BBB"/>
    <w:rsid w:val="00B17214"/>
    <w:rsid w:val="00B200AA"/>
    <w:rsid w:val="00B22702"/>
    <w:rsid w:val="00B30645"/>
    <w:rsid w:val="00B32B44"/>
    <w:rsid w:val="00B32BCD"/>
    <w:rsid w:val="00B422DA"/>
    <w:rsid w:val="00B4399C"/>
    <w:rsid w:val="00B44B87"/>
    <w:rsid w:val="00B478C3"/>
    <w:rsid w:val="00B5069F"/>
    <w:rsid w:val="00B52715"/>
    <w:rsid w:val="00B561E2"/>
    <w:rsid w:val="00B56779"/>
    <w:rsid w:val="00B567C1"/>
    <w:rsid w:val="00B56C8A"/>
    <w:rsid w:val="00B61348"/>
    <w:rsid w:val="00B6263F"/>
    <w:rsid w:val="00B62691"/>
    <w:rsid w:val="00B627B6"/>
    <w:rsid w:val="00B67114"/>
    <w:rsid w:val="00B6742D"/>
    <w:rsid w:val="00B70750"/>
    <w:rsid w:val="00B75449"/>
    <w:rsid w:val="00B77B01"/>
    <w:rsid w:val="00B806DC"/>
    <w:rsid w:val="00B80919"/>
    <w:rsid w:val="00B81FE4"/>
    <w:rsid w:val="00B82082"/>
    <w:rsid w:val="00B8292A"/>
    <w:rsid w:val="00B82ACC"/>
    <w:rsid w:val="00B84133"/>
    <w:rsid w:val="00B91AE4"/>
    <w:rsid w:val="00B91E6E"/>
    <w:rsid w:val="00BA527C"/>
    <w:rsid w:val="00BA64B4"/>
    <w:rsid w:val="00BA7E28"/>
    <w:rsid w:val="00BA7E3B"/>
    <w:rsid w:val="00BB170E"/>
    <w:rsid w:val="00BB1CFF"/>
    <w:rsid w:val="00BB527A"/>
    <w:rsid w:val="00BB5C4B"/>
    <w:rsid w:val="00BB6959"/>
    <w:rsid w:val="00BB7494"/>
    <w:rsid w:val="00BB7AE3"/>
    <w:rsid w:val="00BC2390"/>
    <w:rsid w:val="00BC7017"/>
    <w:rsid w:val="00BD71EC"/>
    <w:rsid w:val="00BD7A7A"/>
    <w:rsid w:val="00BE07A9"/>
    <w:rsid w:val="00BE20EA"/>
    <w:rsid w:val="00BE3215"/>
    <w:rsid w:val="00BE54F1"/>
    <w:rsid w:val="00BE67C9"/>
    <w:rsid w:val="00BE6918"/>
    <w:rsid w:val="00BF273B"/>
    <w:rsid w:val="00BF46A7"/>
    <w:rsid w:val="00BF5230"/>
    <w:rsid w:val="00BF747D"/>
    <w:rsid w:val="00C1090C"/>
    <w:rsid w:val="00C20BEE"/>
    <w:rsid w:val="00C210D8"/>
    <w:rsid w:val="00C21AE6"/>
    <w:rsid w:val="00C240C8"/>
    <w:rsid w:val="00C250E4"/>
    <w:rsid w:val="00C26513"/>
    <w:rsid w:val="00C279B3"/>
    <w:rsid w:val="00C27FA6"/>
    <w:rsid w:val="00C31433"/>
    <w:rsid w:val="00C324C9"/>
    <w:rsid w:val="00C328C9"/>
    <w:rsid w:val="00C346EB"/>
    <w:rsid w:val="00C347C0"/>
    <w:rsid w:val="00C372D4"/>
    <w:rsid w:val="00C37F72"/>
    <w:rsid w:val="00C420C1"/>
    <w:rsid w:val="00C45963"/>
    <w:rsid w:val="00C472B8"/>
    <w:rsid w:val="00C53124"/>
    <w:rsid w:val="00C53B2E"/>
    <w:rsid w:val="00C54018"/>
    <w:rsid w:val="00C56D7B"/>
    <w:rsid w:val="00C6160A"/>
    <w:rsid w:val="00C63BC6"/>
    <w:rsid w:val="00C65711"/>
    <w:rsid w:val="00C67DDB"/>
    <w:rsid w:val="00C76ECD"/>
    <w:rsid w:val="00C76FFC"/>
    <w:rsid w:val="00C7771A"/>
    <w:rsid w:val="00C77870"/>
    <w:rsid w:val="00C803FC"/>
    <w:rsid w:val="00C82019"/>
    <w:rsid w:val="00C84E04"/>
    <w:rsid w:val="00C84EB8"/>
    <w:rsid w:val="00C910BE"/>
    <w:rsid w:val="00C922BE"/>
    <w:rsid w:val="00C9232C"/>
    <w:rsid w:val="00C927A4"/>
    <w:rsid w:val="00C92F2D"/>
    <w:rsid w:val="00CA134E"/>
    <w:rsid w:val="00CA5844"/>
    <w:rsid w:val="00CA7415"/>
    <w:rsid w:val="00CB0693"/>
    <w:rsid w:val="00CB265C"/>
    <w:rsid w:val="00CB2703"/>
    <w:rsid w:val="00CB2F2D"/>
    <w:rsid w:val="00CB4540"/>
    <w:rsid w:val="00CB7A07"/>
    <w:rsid w:val="00CC165C"/>
    <w:rsid w:val="00CC59BB"/>
    <w:rsid w:val="00CC5CC8"/>
    <w:rsid w:val="00CC6D93"/>
    <w:rsid w:val="00CD165B"/>
    <w:rsid w:val="00CD3976"/>
    <w:rsid w:val="00CD57CC"/>
    <w:rsid w:val="00CD635D"/>
    <w:rsid w:val="00CD7CED"/>
    <w:rsid w:val="00CE04C7"/>
    <w:rsid w:val="00CE2ABC"/>
    <w:rsid w:val="00CE5AD7"/>
    <w:rsid w:val="00CE60B1"/>
    <w:rsid w:val="00CE7BF5"/>
    <w:rsid w:val="00CF156B"/>
    <w:rsid w:val="00CF15EF"/>
    <w:rsid w:val="00CF1E02"/>
    <w:rsid w:val="00CF2F3C"/>
    <w:rsid w:val="00CF37B1"/>
    <w:rsid w:val="00CF597A"/>
    <w:rsid w:val="00CF6BA6"/>
    <w:rsid w:val="00CF6D82"/>
    <w:rsid w:val="00CF72D3"/>
    <w:rsid w:val="00CF735D"/>
    <w:rsid w:val="00D00595"/>
    <w:rsid w:val="00D05BAA"/>
    <w:rsid w:val="00D10F8B"/>
    <w:rsid w:val="00D13B7A"/>
    <w:rsid w:val="00D203E7"/>
    <w:rsid w:val="00D22C4B"/>
    <w:rsid w:val="00D230C7"/>
    <w:rsid w:val="00D2340D"/>
    <w:rsid w:val="00D23E7D"/>
    <w:rsid w:val="00D2405F"/>
    <w:rsid w:val="00D24766"/>
    <w:rsid w:val="00D26C15"/>
    <w:rsid w:val="00D272D7"/>
    <w:rsid w:val="00D309EC"/>
    <w:rsid w:val="00D30C7F"/>
    <w:rsid w:val="00D325B6"/>
    <w:rsid w:val="00D33DD7"/>
    <w:rsid w:val="00D41BA9"/>
    <w:rsid w:val="00D45986"/>
    <w:rsid w:val="00D52376"/>
    <w:rsid w:val="00D52D0B"/>
    <w:rsid w:val="00D566E3"/>
    <w:rsid w:val="00D572DC"/>
    <w:rsid w:val="00D576B6"/>
    <w:rsid w:val="00D612C2"/>
    <w:rsid w:val="00D62F80"/>
    <w:rsid w:val="00D652F4"/>
    <w:rsid w:val="00D66DA9"/>
    <w:rsid w:val="00D706B3"/>
    <w:rsid w:val="00D70AD7"/>
    <w:rsid w:val="00D745E0"/>
    <w:rsid w:val="00D76AA3"/>
    <w:rsid w:val="00D80604"/>
    <w:rsid w:val="00D92ADD"/>
    <w:rsid w:val="00DA086B"/>
    <w:rsid w:val="00DA18C8"/>
    <w:rsid w:val="00DA1D7A"/>
    <w:rsid w:val="00DA3B3C"/>
    <w:rsid w:val="00DA5493"/>
    <w:rsid w:val="00DA6834"/>
    <w:rsid w:val="00DA7E05"/>
    <w:rsid w:val="00DB4794"/>
    <w:rsid w:val="00DB4DC7"/>
    <w:rsid w:val="00DB5C3E"/>
    <w:rsid w:val="00DB628E"/>
    <w:rsid w:val="00DC5E6F"/>
    <w:rsid w:val="00DD19E1"/>
    <w:rsid w:val="00DE1E39"/>
    <w:rsid w:val="00DE3353"/>
    <w:rsid w:val="00DE43BF"/>
    <w:rsid w:val="00DE647B"/>
    <w:rsid w:val="00DE6E57"/>
    <w:rsid w:val="00DE7E57"/>
    <w:rsid w:val="00DF47D6"/>
    <w:rsid w:val="00DF482A"/>
    <w:rsid w:val="00DF5425"/>
    <w:rsid w:val="00DF68EF"/>
    <w:rsid w:val="00DF782C"/>
    <w:rsid w:val="00E01B9B"/>
    <w:rsid w:val="00E030A0"/>
    <w:rsid w:val="00E0425A"/>
    <w:rsid w:val="00E075A1"/>
    <w:rsid w:val="00E117B8"/>
    <w:rsid w:val="00E124E3"/>
    <w:rsid w:val="00E14812"/>
    <w:rsid w:val="00E15554"/>
    <w:rsid w:val="00E15DDE"/>
    <w:rsid w:val="00E17C1A"/>
    <w:rsid w:val="00E203CD"/>
    <w:rsid w:val="00E20947"/>
    <w:rsid w:val="00E20AFA"/>
    <w:rsid w:val="00E21116"/>
    <w:rsid w:val="00E2339E"/>
    <w:rsid w:val="00E23A3A"/>
    <w:rsid w:val="00E23E23"/>
    <w:rsid w:val="00E270A9"/>
    <w:rsid w:val="00E3245B"/>
    <w:rsid w:val="00E32DCD"/>
    <w:rsid w:val="00E35C87"/>
    <w:rsid w:val="00E3707B"/>
    <w:rsid w:val="00E50685"/>
    <w:rsid w:val="00E54312"/>
    <w:rsid w:val="00E57F6B"/>
    <w:rsid w:val="00E64B3E"/>
    <w:rsid w:val="00E65844"/>
    <w:rsid w:val="00E663F4"/>
    <w:rsid w:val="00E70006"/>
    <w:rsid w:val="00E723CF"/>
    <w:rsid w:val="00E7342C"/>
    <w:rsid w:val="00E74B95"/>
    <w:rsid w:val="00E76363"/>
    <w:rsid w:val="00E845C5"/>
    <w:rsid w:val="00E84B64"/>
    <w:rsid w:val="00E855E7"/>
    <w:rsid w:val="00E86AC9"/>
    <w:rsid w:val="00E87CFE"/>
    <w:rsid w:val="00E91D81"/>
    <w:rsid w:val="00E92559"/>
    <w:rsid w:val="00E92BC2"/>
    <w:rsid w:val="00E93EDB"/>
    <w:rsid w:val="00E94267"/>
    <w:rsid w:val="00E94CA4"/>
    <w:rsid w:val="00E97202"/>
    <w:rsid w:val="00EA010E"/>
    <w:rsid w:val="00EA3693"/>
    <w:rsid w:val="00EA384A"/>
    <w:rsid w:val="00EB00B0"/>
    <w:rsid w:val="00EB1E33"/>
    <w:rsid w:val="00EB2181"/>
    <w:rsid w:val="00EB5869"/>
    <w:rsid w:val="00EC0881"/>
    <w:rsid w:val="00EC0892"/>
    <w:rsid w:val="00EC0BC3"/>
    <w:rsid w:val="00EC4665"/>
    <w:rsid w:val="00EC6CB3"/>
    <w:rsid w:val="00ED060F"/>
    <w:rsid w:val="00ED377D"/>
    <w:rsid w:val="00ED4D2B"/>
    <w:rsid w:val="00ED564E"/>
    <w:rsid w:val="00ED5E50"/>
    <w:rsid w:val="00ED7DBC"/>
    <w:rsid w:val="00ED7FA0"/>
    <w:rsid w:val="00EE3B5D"/>
    <w:rsid w:val="00EF1253"/>
    <w:rsid w:val="00EF2A4D"/>
    <w:rsid w:val="00EF305A"/>
    <w:rsid w:val="00EF3FC7"/>
    <w:rsid w:val="00EF4F54"/>
    <w:rsid w:val="00EF7003"/>
    <w:rsid w:val="00F0053B"/>
    <w:rsid w:val="00F019BE"/>
    <w:rsid w:val="00F115B7"/>
    <w:rsid w:val="00F16313"/>
    <w:rsid w:val="00F2025B"/>
    <w:rsid w:val="00F20FF1"/>
    <w:rsid w:val="00F21F4B"/>
    <w:rsid w:val="00F234C0"/>
    <w:rsid w:val="00F35457"/>
    <w:rsid w:val="00F3595B"/>
    <w:rsid w:val="00F36608"/>
    <w:rsid w:val="00F36D58"/>
    <w:rsid w:val="00F41170"/>
    <w:rsid w:val="00F426A6"/>
    <w:rsid w:val="00F429FD"/>
    <w:rsid w:val="00F43602"/>
    <w:rsid w:val="00F4623C"/>
    <w:rsid w:val="00F46E44"/>
    <w:rsid w:val="00F55278"/>
    <w:rsid w:val="00F56399"/>
    <w:rsid w:val="00F56A2E"/>
    <w:rsid w:val="00F57AE0"/>
    <w:rsid w:val="00F60188"/>
    <w:rsid w:val="00F60CD2"/>
    <w:rsid w:val="00F63FE3"/>
    <w:rsid w:val="00F73AC2"/>
    <w:rsid w:val="00F768C2"/>
    <w:rsid w:val="00F7750A"/>
    <w:rsid w:val="00F80006"/>
    <w:rsid w:val="00F80084"/>
    <w:rsid w:val="00F8166E"/>
    <w:rsid w:val="00F833E0"/>
    <w:rsid w:val="00F84048"/>
    <w:rsid w:val="00F87A29"/>
    <w:rsid w:val="00F87C90"/>
    <w:rsid w:val="00F95676"/>
    <w:rsid w:val="00F966EA"/>
    <w:rsid w:val="00FA4D21"/>
    <w:rsid w:val="00FA57DA"/>
    <w:rsid w:val="00FA5C8C"/>
    <w:rsid w:val="00FA6D7E"/>
    <w:rsid w:val="00FA77F5"/>
    <w:rsid w:val="00FB13BC"/>
    <w:rsid w:val="00FB1A28"/>
    <w:rsid w:val="00FB1B2D"/>
    <w:rsid w:val="00FB7C08"/>
    <w:rsid w:val="00FC58E1"/>
    <w:rsid w:val="00FC5A85"/>
    <w:rsid w:val="00FC7653"/>
    <w:rsid w:val="00FD0677"/>
    <w:rsid w:val="00FD159B"/>
    <w:rsid w:val="00FD2470"/>
    <w:rsid w:val="00FD42AF"/>
    <w:rsid w:val="00FD4503"/>
    <w:rsid w:val="00FD5120"/>
    <w:rsid w:val="00FD57C5"/>
    <w:rsid w:val="00FD5823"/>
    <w:rsid w:val="00FD702F"/>
    <w:rsid w:val="00FE1C27"/>
    <w:rsid w:val="00FE30F1"/>
    <w:rsid w:val="00FE4D95"/>
    <w:rsid w:val="00FE5C31"/>
    <w:rsid w:val="00FE6908"/>
    <w:rsid w:val="00FE7527"/>
    <w:rsid w:val="00FF01B8"/>
    <w:rsid w:val="00FF1B0E"/>
    <w:rsid w:val="00FF748B"/>
    <w:rsid w:val="0100281C"/>
    <w:rsid w:val="010D767C"/>
    <w:rsid w:val="011B1C79"/>
    <w:rsid w:val="012723F3"/>
    <w:rsid w:val="0132783D"/>
    <w:rsid w:val="01334F0B"/>
    <w:rsid w:val="013E71E9"/>
    <w:rsid w:val="014D4B17"/>
    <w:rsid w:val="015045B8"/>
    <w:rsid w:val="01504981"/>
    <w:rsid w:val="0159792A"/>
    <w:rsid w:val="016D7265"/>
    <w:rsid w:val="016D7DD1"/>
    <w:rsid w:val="01792284"/>
    <w:rsid w:val="017D61DA"/>
    <w:rsid w:val="01836134"/>
    <w:rsid w:val="01895494"/>
    <w:rsid w:val="018F6D2C"/>
    <w:rsid w:val="01C107D2"/>
    <w:rsid w:val="01D37272"/>
    <w:rsid w:val="01D63896"/>
    <w:rsid w:val="01DD5F46"/>
    <w:rsid w:val="01EA636A"/>
    <w:rsid w:val="01F14357"/>
    <w:rsid w:val="01F7028A"/>
    <w:rsid w:val="0217728B"/>
    <w:rsid w:val="021B4775"/>
    <w:rsid w:val="022C21A4"/>
    <w:rsid w:val="02590F98"/>
    <w:rsid w:val="025A0DC5"/>
    <w:rsid w:val="02661BC2"/>
    <w:rsid w:val="02722AD9"/>
    <w:rsid w:val="027258A5"/>
    <w:rsid w:val="02793DD4"/>
    <w:rsid w:val="02801118"/>
    <w:rsid w:val="02894DD9"/>
    <w:rsid w:val="02932389"/>
    <w:rsid w:val="02993EC1"/>
    <w:rsid w:val="02A15215"/>
    <w:rsid w:val="02A44DE3"/>
    <w:rsid w:val="02A84BD6"/>
    <w:rsid w:val="02B32C00"/>
    <w:rsid w:val="02B81E4D"/>
    <w:rsid w:val="02C7674C"/>
    <w:rsid w:val="02C90B1E"/>
    <w:rsid w:val="02C90CB7"/>
    <w:rsid w:val="02DE2CF9"/>
    <w:rsid w:val="02E42DB9"/>
    <w:rsid w:val="02ED0078"/>
    <w:rsid w:val="02EE6DB5"/>
    <w:rsid w:val="02F43497"/>
    <w:rsid w:val="02F61CBC"/>
    <w:rsid w:val="02F756C2"/>
    <w:rsid w:val="03037AC8"/>
    <w:rsid w:val="03135958"/>
    <w:rsid w:val="031F0BE5"/>
    <w:rsid w:val="03234A7E"/>
    <w:rsid w:val="03291A5C"/>
    <w:rsid w:val="033A3FB1"/>
    <w:rsid w:val="034040FC"/>
    <w:rsid w:val="0342198C"/>
    <w:rsid w:val="034F1899"/>
    <w:rsid w:val="035D1859"/>
    <w:rsid w:val="036775E2"/>
    <w:rsid w:val="03705BCA"/>
    <w:rsid w:val="037D67D2"/>
    <w:rsid w:val="0388388E"/>
    <w:rsid w:val="038A036A"/>
    <w:rsid w:val="03AE2F54"/>
    <w:rsid w:val="03B12839"/>
    <w:rsid w:val="03B57EAA"/>
    <w:rsid w:val="03B8194B"/>
    <w:rsid w:val="03B947F2"/>
    <w:rsid w:val="03BD42D2"/>
    <w:rsid w:val="03D110B4"/>
    <w:rsid w:val="03D177E1"/>
    <w:rsid w:val="03E70A05"/>
    <w:rsid w:val="03EB3509"/>
    <w:rsid w:val="03EF58CD"/>
    <w:rsid w:val="040666BE"/>
    <w:rsid w:val="040D1B6E"/>
    <w:rsid w:val="04162220"/>
    <w:rsid w:val="041F4B84"/>
    <w:rsid w:val="0420780F"/>
    <w:rsid w:val="042A3842"/>
    <w:rsid w:val="04335DA6"/>
    <w:rsid w:val="04525864"/>
    <w:rsid w:val="0459609F"/>
    <w:rsid w:val="045964CE"/>
    <w:rsid w:val="045A27C0"/>
    <w:rsid w:val="045B52FD"/>
    <w:rsid w:val="045D32FA"/>
    <w:rsid w:val="045F3A8D"/>
    <w:rsid w:val="04644D1A"/>
    <w:rsid w:val="04677FAF"/>
    <w:rsid w:val="04846E88"/>
    <w:rsid w:val="048738C2"/>
    <w:rsid w:val="048E7165"/>
    <w:rsid w:val="04A94931"/>
    <w:rsid w:val="04AD2373"/>
    <w:rsid w:val="04C03F31"/>
    <w:rsid w:val="04CC4CB2"/>
    <w:rsid w:val="04D8694E"/>
    <w:rsid w:val="04E220D4"/>
    <w:rsid w:val="04EF105C"/>
    <w:rsid w:val="04F33A71"/>
    <w:rsid w:val="04F76DD4"/>
    <w:rsid w:val="04FF7C5D"/>
    <w:rsid w:val="05092D32"/>
    <w:rsid w:val="05263687"/>
    <w:rsid w:val="052D444C"/>
    <w:rsid w:val="053662A1"/>
    <w:rsid w:val="056830DA"/>
    <w:rsid w:val="057175A3"/>
    <w:rsid w:val="05752968"/>
    <w:rsid w:val="05880F3B"/>
    <w:rsid w:val="059726A3"/>
    <w:rsid w:val="05A167D5"/>
    <w:rsid w:val="05B66017"/>
    <w:rsid w:val="05CF3DB5"/>
    <w:rsid w:val="05E17E07"/>
    <w:rsid w:val="05FF1838"/>
    <w:rsid w:val="06025A90"/>
    <w:rsid w:val="06110DFB"/>
    <w:rsid w:val="0618401F"/>
    <w:rsid w:val="06204F9E"/>
    <w:rsid w:val="06355214"/>
    <w:rsid w:val="06407354"/>
    <w:rsid w:val="06672E75"/>
    <w:rsid w:val="067958AB"/>
    <w:rsid w:val="067B1C86"/>
    <w:rsid w:val="068666C9"/>
    <w:rsid w:val="068C1838"/>
    <w:rsid w:val="06BB5028"/>
    <w:rsid w:val="06C40DCA"/>
    <w:rsid w:val="06C6780F"/>
    <w:rsid w:val="06C85989"/>
    <w:rsid w:val="06CD343A"/>
    <w:rsid w:val="06F943A0"/>
    <w:rsid w:val="06FE347C"/>
    <w:rsid w:val="06FF7F4A"/>
    <w:rsid w:val="0703567E"/>
    <w:rsid w:val="07097C34"/>
    <w:rsid w:val="071853AE"/>
    <w:rsid w:val="07313F51"/>
    <w:rsid w:val="07407E0E"/>
    <w:rsid w:val="074D10CC"/>
    <w:rsid w:val="07535260"/>
    <w:rsid w:val="07576CD8"/>
    <w:rsid w:val="077A1431"/>
    <w:rsid w:val="079035F7"/>
    <w:rsid w:val="079708E7"/>
    <w:rsid w:val="079F6F2A"/>
    <w:rsid w:val="07A43DB1"/>
    <w:rsid w:val="07A553CF"/>
    <w:rsid w:val="07A86D96"/>
    <w:rsid w:val="07AA0EFE"/>
    <w:rsid w:val="07C44941"/>
    <w:rsid w:val="07CE4A17"/>
    <w:rsid w:val="07CE7149"/>
    <w:rsid w:val="07D962E2"/>
    <w:rsid w:val="07DA7C53"/>
    <w:rsid w:val="07DD65F7"/>
    <w:rsid w:val="07F5433A"/>
    <w:rsid w:val="07FE1CDB"/>
    <w:rsid w:val="080E6316"/>
    <w:rsid w:val="08187672"/>
    <w:rsid w:val="083514EA"/>
    <w:rsid w:val="083B16D7"/>
    <w:rsid w:val="0848667D"/>
    <w:rsid w:val="085846A0"/>
    <w:rsid w:val="08751FBD"/>
    <w:rsid w:val="089D0466"/>
    <w:rsid w:val="089F79E9"/>
    <w:rsid w:val="08B65503"/>
    <w:rsid w:val="08C4114D"/>
    <w:rsid w:val="08C55238"/>
    <w:rsid w:val="08C6429C"/>
    <w:rsid w:val="08DB6A6D"/>
    <w:rsid w:val="08EF7A01"/>
    <w:rsid w:val="0904639A"/>
    <w:rsid w:val="090B777A"/>
    <w:rsid w:val="0918624A"/>
    <w:rsid w:val="091B5B83"/>
    <w:rsid w:val="092C0E5C"/>
    <w:rsid w:val="09422C9A"/>
    <w:rsid w:val="094D790A"/>
    <w:rsid w:val="094F275C"/>
    <w:rsid w:val="095E38C5"/>
    <w:rsid w:val="096A0B31"/>
    <w:rsid w:val="096A2148"/>
    <w:rsid w:val="096C1815"/>
    <w:rsid w:val="096E162E"/>
    <w:rsid w:val="0972671A"/>
    <w:rsid w:val="097E7DA5"/>
    <w:rsid w:val="09803D7A"/>
    <w:rsid w:val="0987506F"/>
    <w:rsid w:val="098E71BF"/>
    <w:rsid w:val="09901235"/>
    <w:rsid w:val="099472E7"/>
    <w:rsid w:val="09A83576"/>
    <w:rsid w:val="09B22E96"/>
    <w:rsid w:val="09B26559"/>
    <w:rsid w:val="09BA5D53"/>
    <w:rsid w:val="09C270E2"/>
    <w:rsid w:val="09C33728"/>
    <w:rsid w:val="09DC47EA"/>
    <w:rsid w:val="09E748DF"/>
    <w:rsid w:val="09F86A86"/>
    <w:rsid w:val="09FC1D01"/>
    <w:rsid w:val="09FD076D"/>
    <w:rsid w:val="0A006242"/>
    <w:rsid w:val="0A060280"/>
    <w:rsid w:val="0A075F84"/>
    <w:rsid w:val="0A082BB8"/>
    <w:rsid w:val="0A225868"/>
    <w:rsid w:val="0A4C4515"/>
    <w:rsid w:val="0A5E2458"/>
    <w:rsid w:val="0A61251E"/>
    <w:rsid w:val="0A792DA1"/>
    <w:rsid w:val="0A8C21A4"/>
    <w:rsid w:val="0A8C6724"/>
    <w:rsid w:val="0A977411"/>
    <w:rsid w:val="0AA92466"/>
    <w:rsid w:val="0AC27052"/>
    <w:rsid w:val="0AC56307"/>
    <w:rsid w:val="0AC7549A"/>
    <w:rsid w:val="0AE37C05"/>
    <w:rsid w:val="0AEB4BC1"/>
    <w:rsid w:val="0AED1FFF"/>
    <w:rsid w:val="0AEE22C5"/>
    <w:rsid w:val="0AF77E8D"/>
    <w:rsid w:val="0B0064EC"/>
    <w:rsid w:val="0B065C6C"/>
    <w:rsid w:val="0B0E6391"/>
    <w:rsid w:val="0B1272D8"/>
    <w:rsid w:val="0B1424C2"/>
    <w:rsid w:val="0B177AFB"/>
    <w:rsid w:val="0B1F7AC7"/>
    <w:rsid w:val="0B39657B"/>
    <w:rsid w:val="0B461220"/>
    <w:rsid w:val="0B492353"/>
    <w:rsid w:val="0B4C1AC9"/>
    <w:rsid w:val="0B57681E"/>
    <w:rsid w:val="0B691EA3"/>
    <w:rsid w:val="0B6A07AB"/>
    <w:rsid w:val="0B6B5465"/>
    <w:rsid w:val="0B8069F5"/>
    <w:rsid w:val="0B814E53"/>
    <w:rsid w:val="0B826CE0"/>
    <w:rsid w:val="0B862159"/>
    <w:rsid w:val="0B8A2AC9"/>
    <w:rsid w:val="0B8C5CDC"/>
    <w:rsid w:val="0B962468"/>
    <w:rsid w:val="0B9D740B"/>
    <w:rsid w:val="0BB87D71"/>
    <w:rsid w:val="0BD555C8"/>
    <w:rsid w:val="0BDC2EFD"/>
    <w:rsid w:val="0BE1416F"/>
    <w:rsid w:val="0BEE2489"/>
    <w:rsid w:val="0BF8410F"/>
    <w:rsid w:val="0BFA7A25"/>
    <w:rsid w:val="0C056E77"/>
    <w:rsid w:val="0C077DBF"/>
    <w:rsid w:val="0C1222DD"/>
    <w:rsid w:val="0C193AD3"/>
    <w:rsid w:val="0C1B6313"/>
    <w:rsid w:val="0C271224"/>
    <w:rsid w:val="0C312EBF"/>
    <w:rsid w:val="0C3409D1"/>
    <w:rsid w:val="0C50352B"/>
    <w:rsid w:val="0CA50467"/>
    <w:rsid w:val="0CAA3452"/>
    <w:rsid w:val="0CAD77DF"/>
    <w:rsid w:val="0CC54C7F"/>
    <w:rsid w:val="0CCA3020"/>
    <w:rsid w:val="0CFF53BF"/>
    <w:rsid w:val="0D0A1FE1"/>
    <w:rsid w:val="0D0A2A0F"/>
    <w:rsid w:val="0D0F5366"/>
    <w:rsid w:val="0D1C75B2"/>
    <w:rsid w:val="0D2963D8"/>
    <w:rsid w:val="0D2C757B"/>
    <w:rsid w:val="0D2F1D05"/>
    <w:rsid w:val="0D337086"/>
    <w:rsid w:val="0D3E5667"/>
    <w:rsid w:val="0D4265B5"/>
    <w:rsid w:val="0D6856AB"/>
    <w:rsid w:val="0D6F1E62"/>
    <w:rsid w:val="0D750E6C"/>
    <w:rsid w:val="0D7A2A5F"/>
    <w:rsid w:val="0D8315C3"/>
    <w:rsid w:val="0D95362E"/>
    <w:rsid w:val="0D9A0C44"/>
    <w:rsid w:val="0D9E0A77"/>
    <w:rsid w:val="0DA76AE3"/>
    <w:rsid w:val="0DAC29F2"/>
    <w:rsid w:val="0DAD776F"/>
    <w:rsid w:val="0DB77A48"/>
    <w:rsid w:val="0DC80C78"/>
    <w:rsid w:val="0DCA57E5"/>
    <w:rsid w:val="0DCC061D"/>
    <w:rsid w:val="0DCE0020"/>
    <w:rsid w:val="0DCF6614"/>
    <w:rsid w:val="0DD23B5A"/>
    <w:rsid w:val="0DD47061"/>
    <w:rsid w:val="0DE11555"/>
    <w:rsid w:val="0E0475E9"/>
    <w:rsid w:val="0E0D4D74"/>
    <w:rsid w:val="0E137FAF"/>
    <w:rsid w:val="0E166C35"/>
    <w:rsid w:val="0E1D35C1"/>
    <w:rsid w:val="0E253848"/>
    <w:rsid w:val="0E323206"/>
    <w:rsid w:val="0E423593"/>
    <w:rsid w:val="0E443D5A"/>
    <w:rsid w:val="0E4566B4"/>
    <w:rsid w:val="0E496C9A"/>
    <w:rsid w:val="0E533734"/>
    <w:rsid w:val="0E5B75AF"/>
    <w:rsid w:val="0E5C2A67"/>
    <w:rsid w:val="0E5C38F5"/>
    <w:rsid w:val="0E5D208C"/>
    <w:rsid w:val="0E6A2312"/>
    <w:rsid w:val="0E783D33"/>
    <w:rsid w:val="0E833DCE"/>
    <w:rsid w:val="0E863AC2"/>
    <w:rsid w:val="0E8849E6"/>
    <w:rsid w:val="0E8B6774"/>
    <w:rsid w:val="0E963983"/>
    <w:rsid w:val="0E972A24"/>
    <w:rsid w:val="0E980EBB"/>
    <w:rsid w:val="0E9C4820"/>
    <w:rsid w:val="0EAE5C87"/>
    <w:rsid w:val="0EB775D4"/>
    <w:rsid w:val="0EBB4FF0"/>
    <w:rsid w:val="0EC03618"/>
    <w:rsid w:val="0EC20BEA"/>
    <w:rsid w:val="0EC23F5B"/>
    <w:rsid w:val="0EDB3F6B"/>
    <w:rsid w:val="0EDF0927"/>
    <w:rsid w:val="0EE54141"/>
    <w:rsid w:val="0EE71770"/>
    <w:rsid w:val="0EF93425"/>
    <w:rsid w:val="0EFA1E3D"/>
    <w:rsid w:val="0EFC3018"/>
    <w:rsid w:val="0EFD7236"/>
    <w:rsid w:val="0F0033FE"/>
    <w:rsid w:val="0F102B00"/>
    <w:rsid w:val="0F1D4BC8"/>
    <w:rsid w:val="0F285F9E"/>
    <w:rsid w:val="0F2A6053"/>
    <w:rsid w:val="0F3D2270"/>
    <w:rsid w:val="0F3F5BEA"/>
    <w:rsid w:val="0F413F94"/>
    <w:rsid w:val="0F430FD4"/>
    <w:rsid w:val="0F5A0CFF"/>
    <w:rsid w:val="0F5D0D3B"/>
    <w:rsid w:val="0F630BDA"/>
    <w:rsid w:val="0F8D38E0"/>
    <w:rsid w:val="0F9B648B"/>
    <w:rsid w:val="0FA22032"/>
    <w:rsid w:val="0FA94FFE"/>
    <w:rsid w:val="0FAF2EB3"/>
    <w:rsid w:val="0FB545CB"/>
    <w:rsid w:val="0FC24AB0"/>
    <w:rsid w:val="0FD03043"/>
    <w:rsid w:val="0FD158FF"/>
    <w:rsid w:val="0FD41C91"/>
    <w:rsid w:val="0FE22A75"/>
    <w:rsid w:val="0FE95B56"/>
    <w:rsid w:val="0FF07479"/>
    <w:rsid w:val="0FFD4D1C"/>
    <w:rsid w:val="10000301"/>
    <w:rsid w:val="1004532A"/>
    <w:rsid w:val="100E00B6"/>
    <w:rsid w:val="10110D83"/>
    <w:rsid w:val="10115AD8"/>
    <w:rsid w:val="101E3A6A"/>
    <w:rsid w:val="1024272A"/>
    <w:rsid w:val="10276990"/>
    <w:rsid w:val="102802AF"/>
    <w:rsid w:val="102D16D0"/>
    <w:rsid w:val="103142DB"/>
    <w:rsid w:val="10344B52"/>
    <w:rsid w:val="1034544C"/>
    <w:rsid w:val="10357851"/>
    <w:rsid w:val="103804F1"/>
    <w:rsid w:val="103A01BE"/>
    <w:rsid w:val="103C4BC2"/>
    <w:rsid w:val="10430851"/>
    <w:rsid w:val="10430E79"/>
    <w:rsid w:val="104A7EA5"/>
    <w:rsid w:val="106065D9"/>
    <w:rsid w:val="10672559"/>
    <w:rsid w:val="106F6A60"/>
    <w:rsid w:val="10744527"/>
    <w:rsid w:val="10755870"/>
    <w:rsid w:val="10817B8B"/>
    <w:rsid w:val="1088601E"/>
    <w:rsid w:val="1098201D"/>
    <w:rsid w:val="10A30004"/>
    <w:rsid w:val="10A6317C"/>
    <w:rsid w:val="10B31AC8"/>
    <w:rsid w:val="10B512B8"/>
    <w:rsid w:val="10B65D95"/>
    <w:rsid w:val="10B826E5"/>
    <w:rsid w:val="10BD5BA8"/>
    <w:rsid w:val="10CB62AF"/>
    <w:rsid w:val="10CC1442"/>
    <w:rsid w:val="10ED552F"/>
    <w:rsid w:val="10FC2D15"/>
    <w:rsid w:val="10FF70DE"/>
    <w:rsid w:val="11010A52"/>
    <w:rsid w:val="110613D7"/>
    <w:rsid w:val="110B7B9F"/>
    <w:rsid w:val="111B6A6A"/>
    <w:rsid w:val="111C00CF"/>
    <w:rsid w:val="11241C6E"/>
    <w:rsid w:val="113329B2"/>
    <w:rsid w:val="113B73AB"/>
    <w:rsid w:val="11651816"/>
    <w:rsid w:val="116D5089"/>
    <w:rsid w:val="117A57CA"/>
    <w:rsid w:val="11A4519E"/>
    <w:rsid w:val="11AE1965"/>
    <w:rsid w:val="11B461B6"/>
    <w:rsid w:val="11B80336"/>
    <w:rsid w:val="11BD14E0"/>
    <w:rsid w:val="11CB44A3"/>
    <w:rsid w:val="11D108B7"/>
    <w:rsid w:val="11DD5001"/>
    <w:rsid w:val="11E53726"/>
    <w:rsid w:val="11F23DDD"/>
    <w:rsid w:val="11FB4046"/>
    <w:rsid w:val="120A5DA9"/>
    <w:rsid w:val="120C3472"/>
    <w:rsid w:val="121E5C37"/>
    <w:rsid w:val="122B1445"/>
    <w:rsid w:val="122B3A78"/>
    <w:rsid w:val="122E6A5A"/>
    <w:rsid w:val="123007D9"/>
    <w:rsid w:val="123065BD"/>
    <w:rsid w:val="12311611"/>
    <w:rsid w:val="123B11DA"/>
    <w:rsid w:val="124467EB"/>
    <w:rsid w:val="124C4BD7"/>
    <w:rsid w:val="12502219"/>
    <w:rsid w:val="12531EB0"/>
    <w:rsid w:val="125C5BF4"/>
    <w:rsid w:val="126F08F1"/>
    <w:rsid w:val="127E0B34"/>
    <w:rsid w:val="128E395D"/>
    <w:rsid w:val="129C6FED"/>
    <w:rsid w:val="12A23EAA"/>
    <w:rsid w:val="12A4590E"/>
    <w:rsid w:val="12B1593C"/>
    <w:rsid w:val="12D371AD"/>
    <w:rsid w:val="131A2B99"/>
    <w:rsid w:val="131E23A3"/>
    <w:rsid w:val="13205B53"/>
    <w:rsid w:val="132304F7"/>
    <w:rsid w:val="13271835"/>
    <w:rsid w:val="132A71AF"/>
    <w:rsid w:val="1331316C"/>
    <w:rsid w:val="133B4FB9"/>
    <w:rsid w:val="13470ED9"/>
    <w:rsid w:val="134A170E"/>
    <w:rsid w:val="134D2B8A"/>
    <w:rsid w:val="134E6B88"/>
    <w:rsid w:val="1350052E"/>
    <w:rsid w:val="13517FF7"/>
    <w:rsid w:val="13574DD0"/>
    <w:rsid w:val="13645F7C"/>
    <w:rsid w:val="13745AEF"/>
    <w:rsid w:val="137B065E"/>
    <w:rsid w:val="139F2A74"/>
    <w:rsid w:val="13A008CD"/>
    <w:rsid w:val="13A723E3"/>
    <w:rsid w:val="13A77344"/>
    <w:rsid w:val="13CF1F85"/>
    <w:rsid w:val="13CF59D6"/>
    <w:rsid w:val="13D8488F"/>
    <w:rsid w:val="13E01B58"/>
    <w:rsid w:val="13EC307D"/>
    <w:rsid w:val="13EE0DD1"/>
    <w:rsid w:val="140E57A8"/>
    <w:rsid w:val="141365C8"/>
    <w:rsid w:val="14447B5C"/>
    <w:rsid w:val="14456DE6"/>
    <w:rsid w:val="14551087"/>
    <w:rsid w:val="145675AF"/>
    <w:rsid w:val="145D29CB"/>
    <w:rsid w:val="145D2C16"/>
    <w:rsid w:val="1461498E"/>
    <w:rsid w:val="14673664"/>
    <w:rsid w:val="146A5355"/>
    <w:rsid w:val="147A5E14"/>
    <w:rsid w:val="148040ED"/>
    <w:rsid w:val="14805F30"/>
    <w:rsid w:val="14973355"/>
    <w:rsid w:val="14B24C5C"/>
    <w:rsid w:val="14C132E4"/>
    <w:rsid w:val="14D81E33"/>
    <w:rsid w:val="14E8558F"/>
    <w:rsid w:val="14F201F3"/>
    <w:rsid w:val="14F45F31"/>
    <w:rsid w:val="14F53B17"/>
    <w:rsid w:val="15081525"/>
    <w:rsid w:val="150A66AF"/>
    <w:rsid w:val="152239F8"/>
    <w:rsid w:val="153313C4"/>
    <w:rsid w:val="15461BF7"/>
    <w:rsid w:val="15494455"/>
    <w:rsid w:val="15641609"/>
    <w:rsid w:val="156A427D"/>
    <w:rsid w:val="158741A4"/>
    <w:rsid w:val="158F27F9"/>
    <w:rsid w:val="15B4486D"/>
    <w:rsid w:val="15BA62C3"/>
    <w:rsid w:val="15BC7CF8"/>
    <w:rsid w:val="15BE22B1"/>
    <w:rsid w:val="15D63E55"/>
    <w:rsid w:val="15D86B42"/>
    <w:rsid w:val="15D90BDF"/>
    <w:rsid w:val="15DD5ECA"/>
    <w:rsid w:val="15EF5C47"/>
    <w:rsid w:val="15F453FB"/>
    <w:rsid w:val="1600455E"/>
    <w:rsid w:val="16012E00"/>
    <w:rsid w:val="161F2668"/>
    <w:rsid w:val="16354F06"/>
    <w:rsid w:val="16387C49"/>
    <w:rsid w:val="163F4E6B"/>
    <w:rsid w:val="16475867"/>
    <w:rsid w:val="1649480C"/>
    <w:rsid w:val="1651451D"/>
    <w:rsid w:val="16587142"/>
    <w:rsid w:val="165A0089"/>
    <w:rsid w:val="16715BFE"/>
    <w:rsid w:val="16730284"/>
    <w:rsid w:val="167330E8"/>
    <w:rsid w:val="1676510F"/>
    <w:rsid w:val="16791B2B"/>
    <w:rsid w:val="167A366C"/>
    <w:rsid w:val="168C1346"/>
    <w:rsid w:val="16A9014A"/>
    <w:rsid w:val="16B84A32"/>
    <w:rsid w:val="16C62CF0"/>
    <w:rsid w:val="16C96C02"/>
    <w:rsid w:val="16D13A93"/>
    <w:rsid w:val="16E44ABF"/>
    <w:rsid w:val="16F00307"/>
    <w:rsid w:val="16F15FB1"/>
    <w:rsid w:val="16F75359"/>
    <w:rsid w:val="16F76EDA"/>
    <w:rsid w:val="1700124A"/>
    <w:rsid w:val="1709683E"/>
    <w:rsid w:val="170B0EAA"/>
    <w:rsid w:val="1716153F"/>
    <w:rsid w:val="171D7928"/>
    <w:rsid w:val="171E5F9A"/>
    <w:rsid w:val="171F0B4E"/>
    <w:rsid w:val="172D06CB"/>
    <w:rsid w:val="174B7841"/>
    <w:rsid w:val="174D4542"/>
    <w:rsid w:val="1751178D"/>
    <w:rsid w:val="17521185"/>
    <w:rsid w:val="17527376"/>
    <w:rsid w:val="17553155"/>
    <w:rsid w:val="17671865"/>
    <w:rsid w:val="177B5C92"/>
    <w:rsid w:val="17854713"/>
    <w:rsid w:val="17861330"/>
    <w:rsid w:val="17955362"/>
    <w:rsid w:val="17962426"/>
    <w:rsid w:val="179C20E1"/>
    <w:rsid w:val="179D11A9"/>
    <w:rsid w:val="17A141F7"/>
    <w:rsid w:val="17A72566"/>
    <w:rsid w:val="17B234F6"/>
    <w:rsid w:val="17D5054D"/>
    <w:rsid w:val="17E44B72"/>
    <w:rsid w:val="17E72CD8"/>
    <w:rsid w:val="17F31887"/>
    <w:rsid w:val="17F431B8"/>
    <w:rsid w:val="17F81389"/>
    <w:rsid w:val="17FB61FF"/>
    <w:rsid w:val="18027B12"/>
    <w:rsid w:val="180A5DFF"/>
    <w:rsid w:val="18174416"/>
    <w:rsid w:val="18326A17"/>
    <w:rsid w:val="18581E27"/>
    <w:rsid w:val="18583BD5"/>
    <w:rsid w:val="185A4F8B"/>
    <w:rsid w:val="18881F6D"/>
    <w:rsid w:val="189C1061"/>
    <w:rsid w:val="189F7AE4"/>
    <w:rsid w:val="18A64387"/>
    <w:rsid w:val="18AD10E5"/>
    <w:rsid w:val="18B455FA"/>
    <w:rsid w:val="18B65D3E"/>
    <w:rsid w:val="18C63644"/>
    <w:rsid w:val="18C821EE"/>
    <w:rsid w:val="18D2788B"/>
    <w:rsid w:val="18D73301"/>
    <w:rsid w:val="18DC6F08"/>
    <w:rsid w:val="18E057B6"/>
    <w:rsid w:val="18ED7A84"/>
    <w:rsid w:val="18EF01C7"/>
    <w:rsid w:val="18F12204"/>
    <w:rsid w:val="18F924A4"/>
    <w:rsid w:val="190068C7"/>
    <w:rsid w:val="190E120C"/>
    <w:rsid w:val="1920672D"/>
    <w:rsid w:val="192D2E87"/>
    <w:rsid w:val="194E5CC9"/>
    <w:rsid w:val="195B2869"/>
    <w:rsid w:val="19627DD0"/>
    <w:rsid w:val="196D36B1"/>
    <w:rsid w:val="197025FA"/>
    <w:rsid w:val="19726CE2"/>
    <w:rsid w:val="19793E03"/>
    <w:rsid w:val="197C0CF2"/>
    <w:rsid w:val="198468B8"/>
    <w:rsid w:val="1985668C"/>
    <w:rsid w:val="19856C4C"/>
    <w:rsid w:val="19875239"/>
    <w:rsid w:val="19956654"/>
    <w:rsid w:val="19AC61A1"/>
    <w:rsid w:val="19B25567"/>
    <w:rsid w:val="19B75B45"/>
    <w:rsid w:val="19D511CC"/>
    <w:rsid w:val="19E445B9"/>
    <w:rsid w:val="19ED131F"/>
    <w:rsid w:val="19FC3383"/>
    <w:rsid w:val="1A004BB4"/>
    <w:rsid w:val="1A0960B5"/>
    <w:rsid w:val="1A096D76"/>
    <w:rsid w:val="1A0F5EEA"/>
    <w:rsid w:val="1A176EE9"/>
    <w:rsid w:val="1A184211"/>
    <w:rsid w:val="1A1C478F"/>
    <w:rsid w:val="1A203259"/>
    <w:rsid w:val="1A2451E1"/>
    <w:rsid w:val="1A25776D"/>
    <w:rsid w:val="1A3B5478"/>
    <w:rsid w:val="1A4426FE"/>
    <w:rsid w:val="1A555ADC"/>
    <w:rsid w:val="1A5B03F7"/>
    <w:rsid w:val="1A5C58EA"/>
    <w:rsid w:val="1A747435"/>
    <w:rsid w:val="1A7948E0"/>
    <w:rsid w:val="1A7E60DC"/>
    <w:rsid w:val="1A7F0309"/>
    <w:rsid w:val="1A870D9C"/>
    <w:rsid w:val="1A8E4F93"/>
    <w:rsid w:val="1A953215"/>
    <w:rsid w:val="1A9D1E89"/>
    <w:rsid w:val="1AAB4BCB"/>
    <w:rsid w:val="1ABD0CE9"/>
    <w:rsid w:val="1AC26C91"/>
    <w:rsid w:val="1AD102CD"/>
    <w:rsid w:val="1AF2262C"/>
    <w:rsid w:val="1AF4282F"/>
    <w:rsid w:val="1B021D33"/>
    <w:rsid w:val="1B041DF3"/>
    <w:rsid w:val="1B0E23ED"/>
    <w:rsid w:val="1B3E60DA"/>
    <w:rsid w:val="1B4C6C32"/>
    <w:rsid w:val="1B5C0E37"/>
    <w:rsid w:val="1B5F1B58"/>
    <w:rsid w:val="1B64198F"/>
    <w:rsid w:val="1B7621BF"/>
    <w:rsid w:val="1B862EF8"/>
    <w:rsid w:val="1B8844BC"/>
    <w:rsid w:val="1B8E324C"/>
    <w:rsid w:val="1B9A5153"/>
    <w:rsid w:val="1B9D4639"/>
    <w:rsid w:val="1BB043CA"/>
    <w:rsid w:val="1BB16714"/>
    <w:rsid w:val="1BBA2257"/>
    <w:rsid w:val="1BD143CB"/>
    <w:rsid w:val="1BDA4082"/>
    <w:rsid w:val="1BDC3381"/>
    <w:rsid w:val="1BDD3C46"/>
    <w:rsid w:val="1BDE1625"/>
    <w:rsid w:val="1BE315D9"/>
    <w:rsid w:val="1BFC40C1"/>
    <w:rsid w:val="1BFD51C0"/>
    <w:rsid w:val="1BFD52CB"/>
    <w:rsid w:val="1C0801FA"/>
    <w:rsid w:val="1C102D1B"/>
    <w:rsid w:val="1C1B3D3B"/>
    <w:rsid w:val="1C2145D6"/>
    <w:rsid w:val="1C236DEF"/>
    <w:rsid w:val="1C2416A3"/>
    <w:rsid w:val="1C2506FF"/>
    <w:rsid w:val="1C2E5379"/>
    <w:rsid w:val="1C382851"/>
    <w:rsid w:val="1C395892"/>
    <w:rsid w:val="1C406E5A"/>
    <w:rsid w:val="1C410ABC"/>
    <w:rsid w:val="1C446125"/>
    <w:rsid w:val="1C4D6193"/>
    <w:rsid w:val="1C4E1577"/>
    <w:rsid w:val="1C635D7E"/>
    <w:rsid w:val="1C6632CB"/>
    <w:rsid w:val="1C6B61C2"/>
    <w:rsid w:val="1C731D10"/>
    <w:rsid w:val="1C8179D9"/>
    <w:rsid w:val="1C827935"/>
    <w:rsid w:val="1C8D2613"/>
    <w:rsid w:val="1C903426"/>
    <w:rsid w:val="1C99656B"/>
    <w:rsid w:val="1C9E7876"/>
    <w:rsid w:val="1CA8617A"/>
    <w:rsid w:val="1CA90268"/>
    <w:rsid w:val="1CB65AA2"/>
    <w:rsid w:val="1CBD6AD7"/>
    <w:rsid w:val="1CBF2C82"/>
    <w:rsid w:val="1CCF653B"/>
    <w:rsid w:val="1CE53E3A"/>
    <w:rsid w:val="1CE80822"/>
    <w:rsid w:val="1CF7217C"/>
    <w:rsid w:val="1D314D7C"/>
    <w:rsid w:val="1D385263"/>
    <w:rsid w:val="1D4110DC"/>
    <w:rsid w:val="1D4838C1"/>
    <w:rsid w:val="1D4A686E"/>
    <w:rsid w:val="1D4D7A81"/>
    <w:rsid w:val="1D855628"/>
    <w:rsid w:val="1D862542"/>
    <w:rsid w:val="1D935415"/>
    <w:rsid w:val="1DAA5EB2"/>
    <w:rsid w:val="1DB5761A"/>
    <w:rsid w:val="1DCF7908"/>
    <w:rsid w:val="1DD10155"/>
    <w:rsid w:val="1DFA65A3"/>
    <w:rsid w:val="1E1203B5"/>
    <w:rsid w:val="1E1C644B"/>
    <w:rsid w:val="1E226E68"/>
    <w:rsid w:val="1E247949"/>
    <w:rsid w:val="1E4F663B"/>
    <w:rsid w:val="1E654ED4"/>
    <w:rsid w:val="1E741412"/>
    <w:rsid w:val="1E753113"/>
    <w:rsid w:val="1E914D5B"/>
    <w:rsid w:val="1E916CEF"/>
    <w:rsid w:val="1EA04B8E"/>
    <w:rsid w:val="1EAD39FF"/>
    <w:rsid w:val="1EB53AE2"/>
    <w:rsid w:val="1ECE386C"/>
    <w:rsid w:val="1EDA063D"/>
    <w:rsid w:val="1EF07B54"/>
    <w:rsid w:val="1EF65ED1"/>
    <w:rsid w:val="1F0169DF"/>
    <w:rsid w:val="1F0914BD"/>
    <w:rsid w:val="1F10383E"/>
    <w:rsid w:val="1F1A7314"/>
    <w:rsid w:val="1F2760B0"/>
    <w:rsid w:val="1F316B42"/>
    <w:rsid w:val="1F3812FD"/>
    <w:rsid w:val="1F3B126A"/>
    <w:rsid w:val="1F5B1F39"/>
    <w:rsid w:val="1F6B5EB7"/>
    <w:rsid w:val="1F79116C"/>
    <w:rsid w:val="1F803150"/>
    <w:rsid w:val="1F933B6D"/>
    <w:rsid w:val="1F971487"/>
    <w:rsid w:val="1F9B0813"/>
    <w:rsid w:val="1F9E4DB4"/>
    <w:rsid w:val="1FA5406C"/>
    <w:rsid w:val="1FAB474C"/>
    <w:rsid w:val="1FAD2193"/>
    <w:rsid w:val="1FAE5E34"/>
    <w:rsid w:val="1FB010FC"/>
    <w:rsid w:val="1FD473A2"/>
    <w:rsid w:val="1FD75E6D"/>
    <w:rsid w:val="1FE952FA"/>
    <w:rsid w:val="200D6143"/>
    <w:rsid w:val="20155E88"/>
    <w:rsid w:val="201762B3"/>
    <w:rsid w:val="201C5838"/>
    <w:rsid w:val="201E0CFC"/>
    <w:rsid w:val="20365850"/>
    <w:rsid w:val="203C3DDD"/>
    <w:rsid w:val="2042173D"/>
    <w:rsid w:val="20472A0F"/>
    <w:rsid w:val="204C0C81"/>
    <w:rsid w:val="204D1354"/>
    <w:rsid w:val="20551D5D"/>
    <w:rsid w:val="206D3E0B"/>
    <w:rsid w:val="206D3F96"/>
    <w:rsid w:val="207A40F1"/>
    <w:rsid w:val="207F3FB6"/>
    <w:rsid w:val="208134A5"/>
    <w:rsid w:val="208143B7"/>
    <w:rsid w:val="20A25089"/>
    <w:rsid w:val="20B4447D"/>
    <w:rsid w:val="20BB2E64"/>
    <w:rsid w:val="20C00248"/>
    <w:rsid w:val="20C6413B"/>
    <w:rsid w:val="20D5021D"/>
    <w:rsid w:val="20D51778"/>
    <w:rsid w:val="20D77715"/>
    <w:rsid w:val="20DB4F95"/>
    <w:rsid w:val="20EA0C0A"/>
    <w:rsid w:val="20EA3839"/>
    <w:rsid w:val="20F16975"/>
    <w:rsid w:val="20F63B7C"/>
    <w:rsid w:val="20F70489"/>
    <w:rsid w:val="20F81FDE"/>
    <w:rsid w:val="21013108"/>
    <w:rsid w:val="21071D51"/>
    <w:rsid w:val="210C5D7F"/>
    <w:rsid w:val="211C3DAA"/>
    <w:rsid w:val="212671F1"/>
    <w:rsid w:val="212B539D"/>
    <w:rsid w:val="212E5902"/>
    <w:rsid w:val="21314DF3"/>
    <w:rsid w:val="21460B0C"/>
    <w:rsid w:val="215D509E"/>
    <w:rsid w:val="216A29E9"/>
    <w:rsid w:val="216B2E38"/>
    <w:rsid w:val="219A1264"/>
    <w:rsid w:val="21A809A5"/>
    <w:rsid w:val="21AA1EEC"/>
    <w:rsid w:val="21B26F3A"/>
    <w:rsid w:val="21BA10AC"/>
    <w:rsid w:val="21CA2E7B"/>
    <w:rsid w:val="21D267A7"/>
    <w:rsid w:val="21E35F41"/>
    <w:rsid w:val="21E97EBB"/>
    <w:rsid w:val="21EA12B6"/>
    <w:rsid w:val="21F63E62"/>
    <w:rsid w:val="21FF416D"/>
    <w:rsid w:val="2205509A"/>
    <w:rsid w:val="22161978"/>
    <w:rsid w:val="22163C90"/>
    <w:rsid w:val="221B3C31"/>
    <w:rsid w:val="222A51F7"/>
    <w:rsid w:val="222F2989"/>
    <w:rsid w:val="223D33AB"/>
    <w:rsid w:val="223D6797"/>
    <w:rsid w:val="22541E9B"/>
    <w:rsid w:val="22745421"/>
    <w:rsid w:val="227B3565"/>
    <w:rsid w:val="22886894"/>
    <w:rsid w:val="22900BBB"/>
    <w:rsid w:val="229C185A"/>
    <w:rsid w:val="22AB3844"/>
    <w:rsid w:val="22BC5C2F"/>
    <w:rsid w:val="22C434E6"/>
    <w:rsid w:val="22CA360C"/>
    <w:rsid w:val="22DB78DD"/>
    <w:rsid w:val="22E24C9F"/>
    <w:rsid w:val="230734DA"/>
    <w:rsid w:val="23097A09"/>
    <w:rsid w:val="230A4901"/>
    <w:rsid w:val="23186599"/>
    <w:rsid w:val="23363822"/>
    <w:rsid w:val="234D2CAB"/>
    <w:rsid w:val="234F4F9F"/>
    <w:rsid w:val="236004DD"/>
    <w:rsid w:val="23643277"/>
    <w:rsid w:val="236A5F21"/>
    <w:rsid w:val="237004F0"/>
    <w:rsid w:val="237C17D0"/>
    <w:rsid w:val="237C2E0C"/>
    <w:rsid w:val="23832D79"/>
    <w:rsid w:val="2393303A"/>
    <w:rsid w:val="23AC12A8"/>
    <w:rsid w:val="23C10043"/>
    <w:rsid w:val="23C33B62"/>
    <w:rsid w:val="23C92124"/>
    <w:rsid w:val="23CB668F"/>
    <w:rsid w:val="23D92665"/>
    <w:rsid w:val="23DB74E8"/>
    <w:rsid w:val="23EC49B8"/>
    <w:rsid w:val="24084036"/>
    <w:rsid w:val="241C24D2"/>
    <w:rsid w:val="24287E32"/>
    <w:rsid w:val="24356EDC"/>
    <w:rsid w:val="24446917"/>
    <w:rsid w:val="244C1963"/>
    <w:rsid w:val="244E07F7"/>
    <w:rsid w:val="24570568"/>
    <w:rsid w:val="247116E9"/>
    <w:rsid w:val="24770D8C"/>
    <w:rsid w:val="2478463F"/>
    <w:rsid w:val="24800324"/>
    <w:rsid w:val="248F01FE"/>
    <w:rsid w:val="249C50CF"/>
    <w:rsid w:val="24A240F2"/>
    <w:rsid w:val="24A3229B"/>
    <w:rsid w:val="24AF30A7"/>
    <w:rsid w:val="24BB54B4"/>
    <w:rsid w:val="24CB26EC"/>
    <w:rsid w:val="24CB276B"/>
    <w:rsid w:val="24D17130"/>
    <w:rsid w:val="24D3573A"/>
    <w:rsid w:val="24D42CDE"/>
    <w:rsid w:val="24E603D1"/>
    <w:rsid w:val="24E60EA1"/>
    <w:rsid w:val="24F84776"/>
    <w:rsid w:val="250018A8"/>
    <w:rsid w:val="25052BDB"/>
    <w:rsid w:val="250B1919"/>
    <w:rsid w:val="25140E84"/>
    <w:rsid w:val="251E2948"/>
    <w:rsid w:val="252C67D5"/>
    <w:rsid w:val="25335027"/>
    <w:rsid w:val="253402FE"/>
    <w:rsid w:val="25503CCA"/>
    <w:rsid w:val="255658F1"/>
    <w:rsid w:val="255816B9"/>
    <w:rsid w:val="25602FBE"/>
    <w:rsid w:val="25697F9B"/>
    <w:rsid w:val="2570253C"/>
    <w:rsid w:val="257313AA"/>
    <w:rsid w:val="257E032D"/>
    <w:rsid w:val="258120BD"/>
    <w:rsid w:val="258424AE"/>
    <w:rsid w:val="258831CB"/>
    <w:rsid w:val="259D10B5"/>
    <w:rsid w:val="259F6D3F"/>
    <w:rsid w:val="25A4045A"/>
    <w:rsid w:val="25AC4397"/>
    <w:rsid w:val="25AC73F0"/>
    <w:rsid w:val="25B5191A"/>
    <w:rsid w:val="25C91C70"/>
    <w:rsid w:val="25CD6031"/>
    <w:rsid w:val="25E27596"/>
    <w:rsid w:val="25E65168"/>
    <w:rsid w:val="25F25851"/>
    <w:rsid w:val="26015A19"/>
    <w:rsid w:val="26062902"/>
    <w:rsid w:val="260C19E4"/>
    <w:rsid w:val="26172776"/>
    <w:rsid w:val="261C6EDE"/>
    <w:rsid w:val="26245D8F"/>
    <w:rsid w:val="26415E76"/>
    <w:rsid w:val="264213C7"/>
    <w:rsid w:val="26461F5A"/>
    <w:rsid w:val="264B644D"/>
    <w:rsid w:val="2664268E"/>
    <w:rsid w:val="26675EF0"/>
    <w:rsid w:val="266766B2"/>
    <w:rsid w:val="26693856"/>
    <w:rsid w:val="268077C9"/>
    <w:rsid w:val="26A20792"/>
    <w:rsid w:val="26A44B7A"/>
    <w:rsid w:val="26B430B5"/>
    <w:rsid w:val="26BA6895"/>
    <w:rsid w:val="26C40A2A"/>
    <w:rsid w:val="26D11723"/>
    <w:rsid w:val="26D422DA"/>
    <w:rsid w:val="26E069E8"/>
    <w:rsid w:val="26E6622F"/>
    <w:rsid w:val="26F35DC8"/>
    <w:rsid w:val="26F44B25"/>
    <w:rsid w:val="26F74783"/>
    <w:rsid w:val="26FB2B1F"/>
    <w:rsid w:val="27032DC4"/>
    <w:rsid w:val="270D2A2D"/>
    <w:rsid w:val="271138CD"/>
    <w:rsid w:val="2712188B"/>
    <w:rsid w:val="271A6988"/>
    <w:rsid w:val="27250A61"/>
    <w:rsid w:val="272B740C"/>
    <w:rsid w:val="27384399"/>
    <w:rsid w:val="27531E6D"/>
    <w:rsid w:val="27661F4C"/>
    <w:rsid w:val="276A2576"/>
    <w:rsid w:val="277841B0"/>
    <w:rsid w:val="277F508E"/>
    <w:rsid w:val="27830923"/>
    <w:rsid w:val="27847502"/>
    <w:rsid w:val="279D7543"/>
    <w:rsid w:val="27A94DCE"/>
    <w:rsid w:val="27AC68C4"/>
    <w:rsid w:val="27AE5CFD"/>
    <w:rsid w:val="27BB5456"/>
    <w:rsid w:val="27C732F3"/>
    <w:rsid w:val="27C82DD9"/>
    <w:rsid w:val="27D04393"/>
    <w:rsid w:val="27D85FBE"/>
    <w:rsid w:val="27E60276"/>
    <w:rsid w:val="27EA0562"/>
    <w:rsid w:val="27F0727D"/>
    <w:rsid w:val="27FC57C8"/>
    <w:rsid w:val="28011B94"/>
    <w:rsid w:val="28064E1B"/>
    <w:rsid w:val="28074CD0"/>
    <w:rsid w:val="280D61D7"/>
    <w:rsid w:val="28370AE6"/>
    <w:rsid w:val="283F3339"/>
    <w:rsid w:val="284208D6"/>
    <w:rsid w:val="284F35CF"/>
    <w:rsid w:val="2857412D"/>
    <w:rsid w:val="285B0FBA"/>
    <w:rsid w:val="286C0DA0"/>
    <w:rsid w:val="286C17BB"/>
    <w:rsid w:val="28727189"/>
    <w:rsid w:val="28820CD0"/>
    <w:rsid w:val="28844465"/>
    <w:rsid w:val="288566F4"/>
    <w:rsid w:val="288928F8"/>
    <w:rsid w:val="289016FF"/>
    <w:rsid w:val="28955C65"/>
    <w:rsid w:val="28990FE8"/>
    <w:rsid w:val="28B14BC9"/>
    <w:rsid w:val="28B22E8D"/>
    <w:rsid w:val="28B23C3B"/>
    <w:rsid w:val="28B37B09"/>
    <w:rsid w:val="28B37BA6"/>
    <w:rsid w:val="28B60944"/>
    <w:rsid w:val="28BF2C03"/>
    <w:rsid w:val="28C40E35"/>
    <w:rsid w:val="28DC58FC"/>
    <w:rsid w:val="28E079FB"/>
    <w:rsid w:val="28EC4443"/>
    <w:rsid w:val="28FA7DA0"/>
    <w:rsid w:val="290E11B2"/>
    <w:rsid w:val="290F02E0"/>
    <w:rsid w:val="290F3536"/>
    <w:rsid w:val="291D5104"/>
    <w:rsid w:val="29243951"/>
    <w:rsid w:val="2925122E"/>
    <w:rsid w:val="292C3A8A"/>
    <w:rsid w:val="29341AF5"/>
    <w:rsid w:val="293730B7"/>
    <w:rsid w:val="293F1711"/>
    <w:rsid w:val="29511C5F"/>
    <w:rsid w:val="295F1134"/>
    <w:rsid w:val="296A66E0"/>
    <w:rsid w:val="296E2B57"/>
    <w:rsid w:val="297B40ED"/>
    <w:rsid w:val="29905390"/>
    <w:rsid w:val="2992577F"/>
    <w:rsid w:val="299E5AD3"/>
    <w:rsid w:val="299F1664"/>
    <w:rsid w:val="29A12E98"/>
    <w:rsid w:val="29B34965"/>
    <w:rsid w:val="29C81DEE"/>
    <w:rsid w:val="29CC6860"/>
    <w:rsid w:val="29CD5104"/>
    <w:rsid w:val="29D03AE9"/>
    <w:rsid w:val="29D35C3B"/>
    <w:rsid w:val="29E96443"/>
    <w:rsid w:val="29EA3801"/>
    <w:rsid w:val="2A0D3F44"/>
    <w:rsid w:val="2A0F77B2"/>
    <w:rsid w:val="2A13795C"/>
    <w:rsid w:val="2A2E1891"/>
    <w:rsid w:val="2A33308A"/>
    <w:rsid w:val="2A522B7B"/>
    <w:rsid w:val="2A554FF6"/>
    <w:rsid w:val="2A587332"/>
    <w:rsid w:val="2A5C071E"/>
    <w:rsid w:val="2A6B7798"/>
    <w:rsid w:val="2A7E3970"/>
    <w:rsid w:val="2A842639"/>
    <w:rsid w:val="2A957438"/>
    <w:rsid w:val="2AAF1D7B"/>
    <w:rsid w:val="2ABA0CE3"/>
    <w:rsid w:val="2ABC6BA4"/>
    <w:rsid w:val="2ACB2722"/>
    <w:rsid w:val="2AD3585E"/>
    <w:rsid w:val="2AD73A46"/>
    <w:rsid w:val="2AD9065F"/>
    <w:rsid w:val="2AE1609D"/>
    <w:rsid w:val="2AE934C2"/>
    <w:rsid w:val="2AF61758"/>
    <w:rsid w:val="2B076FF0"/>
    <w:rsid w:val="2B0E43B4"/>
    <w:rsid w:val="2B1420FC"/>
    <w:rsid w:val="2B1963D3"/>
    <w:rsid w:val="2B2A3E4E"/>
    <w:rsid w:val="2B2B24D3"/>
    <w:rsid w:val="2B392377"/>
    <w:rsid w:val="2B3C0A9A"/>
    <w:rsid w:val="2B46348F"/>
    <w:rsid w:val="2B4E1EAD"/>
    <w:rsid w:val="2B5C5333"/>
    <w:rsid w:val="2B6B30F4"/>
    <w:rsid w:val="2B6D70C3"/>
    <w:rsid w:val="2B723824"/>
    <w:rsid w:val="2B7B72AC"/>
    <w:rsid w:val="2B7D3C27"/>
    <w:rsid w:val="2B7D72A3"/>
    <w:rsid w:val="2B8124AF"/>
    <w:rsid w:val="2B812547"/>
    <w:rsid w:val="2B854247"/>
    <w:rsid w:val="2B9E6593"/>
    <w:rsid w:val="2BA453AC"/>
    <w:rsid w:val="2BB533C1"/>
    <w:rsid w:val="2BBE3630"/>
    <w:rsid w:val="2BC6121D"/>
    <w:rsid w:val="2BC6254C"/>
    <w:rsid w:val="2BCA04EF"/>
    <w:rsid w:val="2BE23A73"/>
    <w:rsid w:val="2BEB11B4"/>
    <w:rsid w:val="2BF75B25"/>
    <w:rsid w:val="2BFC4057"/>
    <w:rsid w:val="2BFD08C4"/>
    <w:rsid w:val="2BFE086A"/>
    <w:rsid w:val="2C003A50"/>
    <w:rsid w:val="2C0F5533"/>
    <w:rsid w:val="2C0F6098"/>
    <w:rsid w:val="2C1F1C18"/>
    <w:rsid w:val="2C22559E"/>
    <w:rsid w:val="2C2F43D6"/>
    <w:rsid w:val="2C395466"/>
    <w:rsid w:val="2C3D2F5D"/>
    <w:rsid w:val="2C5A4A61"/>
    <w:rsid w:val="2C717D50"/>
    <w:rsid w:val="2C74376C"/>
    <w:rsid w:val="2C7801D0"/>
    <w:rsid w:val="2C83302B"/>
    <w:rsid w:val="2C84529A"/>
    <w:rsid w:val="2C9A6113"/>
    <w:rsid w:val="2C9C243A"/>
    <w:rsid w:val="2CCC46FF"/>
    <w:rsid w:val="2CD943F3"/>
    <w:rsid w:val="2CF51284"/>
    <w:rsid w:val="2CFC5F8C"/>
    <w:rsid w:val="2CFE28F9"/>
    <w:rsid w:val="2D11306E"/>
    <w:rsid w:val="2D114DCF"/>
    <w:rsid w:val="2D242BB1"/>
    <w:rsid w:val="2D2439EA"/>
    <w:rsid w:val="2D2500D2"/>
    <w:rsid w:val="2D257DE8"/>
    <w:rsid w:val="2D3B050B"/>
    <w:rsid w:val="2D3F69CC"/>
    <w:rsid w:val="2D481BC1"/>
    <w:rsid w:val="2D48475C"/>
    <w:rsid w:val="2D4D1BCC"/>
    <w:rsid w:val="2D4F6EFD"/>
    <w:rsid w:val="2D545814"/>
    <w:rsid w:val="2D6F7A1B"/>
    <w:rsid w:val="2D7204DC"/>
    <w:rsid w:val="2D80741E"/>
    <w:rsid w:val="2D88079B"/>
    <w:rsid w:val="2D891D55"/>
    <w:rsid w:val="2D996688"/>
    <w:rsid w:val="2D9B47A9"/>
    <w:rsid w:val="2DA81799"/>
    <w:rsid w:val="2DAA1075"/>
    <w:rsid w:val="2DBA30ED"/>
    <w:rsid w:val="2DD17B9E"/>
    <w:rsid w:val="2DF05E5F"/>
    <w:rsid w:val="2DF84BF8"/>
    <w:rsid w:val="2E174224"/>
    <w:rsid w:val="2E20297E"/>
    <w:rsid w:val="2E361EAB"/>
    <w:rsid w:val="2E362CA1"/>
    <w:rsid w:val="2E386A1D"/>
    <w:rsid w:val="2E624245"/>
    <w:rsid w:val="2E6F1538"/>
    <w:rsid w:val="2E744998"/>
    <w:rsid w:val="2E7F3168"/>
    <w:rsid w:val="2E842CB0"/>
    <w:rsid w:val="2E934B35"/>
    <w:rsid w:val="2EAE6F07"/>
    <w:rsid w:val="2EBC39EE"/>
    <w:rsid w:val="2EBF6C5D"/>
    <w:rsid w:val="2ED533A3"/>
    <w:rsid w:val="2ED753FC"/>
    <w:rsid w:val="2EE93382"/>
    <w:rsid w:val="2EEA298A"/>
    <w:rsid w:val="2EEB6F3A"/>
    <w:rsid w:val="2EF328ED"/>
    <w:rsid w:val="2EF86A48"/>
    <w:rsid w:val="2EFC2AA4"/>
    <w:rsid w:val="2EFE7938"/>
    <w:rsid w:val="2EFF324B"/>
    <w:rsid w:val="2F0E76F0"/>
    <w:rsid w:val="2F120BE1"/>
    <w:rsid w:val="2F222891"/>
    <w:rsid w:val="2F260202"/>
    <w:rsid w:val="2F493F0A"/>
    <w:rsid w:val="2F495F2A"/>
    <w:rsid w:val="2F4F3A71"/>
    <w:rsid w:val="2F541613"/>
    <w:rsid w:val="2F5E167A"/>
    <w:rsid w:val="2F756311"/>
    <w:rsid w:val="2F792C68"/>
    <w:rsid w:val="2FB347A5"/>
    <w:rsid w:val="2FBE2214"/>
    <w:rsid w:val="2FD12AE3"/>
    <w:rsid w:val="2FD80315"/>
    <w:rsid w:val="2FE87896"/>
    <w:rsid w:val="2FEC1265"/>
    <w:rsid w:val="2FF0366D"/>
    <w:rsid w:val="2FF75939"/>
    <w:rsid w:val="2FF970BE"/>
    <w:rsid w:val="2FFD7C30"/>
    <w:rsid w:val="30182543"/>
    <w:rsid w:val="301D4C42"/>
    <w:rsid w:val="30201025"/>
    <w:rsid w:val="302419D6"/>
    <w:rsid w:val="302827D3"/>
    <w:rsid w:val="30311B0B"/>
    <w:rsid w:val="303932AE"/>
    <w:rsid w:val="303E67EE"/>
    <w:rsid w:val="304D2FE3"/>
    <w:rsid w:val="305922DF"/>
    <w:rsid w:val="305B3FDF"/>
    <w:rsid w:val="305F095F"/>
    <w:rsid w:val="30601978"/>
    <w:rsid w:val="30681B2A"/>
    <w:rsid w:val="308D5920"/>
    <w:rsid w:val="30A46EBD"/>
    <w:rsid w:val="30B86334"/>
    <w:rsid w:val="30BF4BFC"/>
    <w:rsid w:val="30BF5C92"/>
    <w:rsid w:val="30C93074"/>
    <w:rsid w:val="30D10088"/>
    <w:rsid w:val="30D25086"/>
    <w:rsid w:val="30D76AEB"/>
    <w:rsid w:val="30E93A58"/>
    <w:rsid w:val="30EB1633"/>
    <w:rsid w:val="30EF5146"/>
    <w:rsid w:val="31050134"/>
    <w:rsid w:val="310A1821"/>
    <w:rsid w:val="310C4A77"/>
    <w:rsid w:val="311741D6"/>
    <w:rsid w:val="311F10D6"/>
    <w:rsid w:val="311F24BE"/>
    <w:rsid w:val="311F69A8"/>
    <w:rsid w:val="31313A84"/>
    <w:rsid w:val="313C4E21"/>
    <w:rsid w:val="314632BB"/>
    <w:rsid w:val="3148126B"/>
    <w:rsid w:val="314A231E"/>
    <w:rsid w:val="314E32B9"/>
    <w:rsid w:val="315346D2"/>
    <w:rsid w:val="3157280D"/>
    <w:rsid w:val="315D67A3"/>
    <w:rsid w:val="316F76AD"/>
    <w:rsid w:val="317579FC"/>
    <w:rsid w:val="317902A9"/>
    <w:rsid w:val="317D6BDC"/>
    <w:rsid w:val="31956B3E"/>
    <w:rsid w:val="319638C6"/>
    <w:rsid w:val="31970732"/>
    <w:rsid w:val="31A43F7B"/>
    <w:rsid w:val="31B15FEC"/>
    <w:rsid w:val="31B402FA"/>
    <w:rsid w:val="31C81974"/>
    <w:rsid w:val="31D44E72"/>
    <w:rsid w:val="31E03CCA"/>
    <w:rsid w:val="31E27790"/>
    <w:rsid w:val="31F02423"/>
    <w:rsid w:val="31F664E1"/>
    <w:rsid w:val="32016640"/>
    <w:rsid w:val="32052E10"/>
    <w:rsid w:val="321150C9"/>
    <w:rsid w:val="32134D7B"/>
    <w:rsid w:val="32311AA4"/>
    <w:rsid w:val="32353110"/>
    <w:rsid w:val="32362E6E"/>
    <w:rsid w:val="323A37C3"/>
    <w:rsid w:val="323A55BB"/>
    <w:rsid w:val="3261786D"/>
    <w:rsid w:val="327221B9"/>
    <w:rsid w:val="327A179F"/>
    <w:rsid w:val="32847649"/>
    <w:rsid w:val="32867865"/>
    <w:rsid w:val="328D4EBA"/>
    <w:rsid w:val="3292535C"/>
    <w:rsid w:val="329C7B3E"/>
    <w:rsid w:val="32BA381F"/>
    <w:rsid w:val="32C04482"/>
    <w:rsid w:val="32C1089D"/>
    <w:rsid w:val="32CC0848"/>
    <w:rsid w:val="32CE6B16"/>
    <w:rsid w:val="32CF5CFB"/>
    <w:rsid w:val="32D768F9"/>
    <w:rsid w:val="32D80470"/>
    <w:rsid w:val="32D86FF1"/>
    <w:rsid w:val="32E17678"/>
    <w:rsid w:val="32E47C9F"/>
    <w:rsid w:val="32E95A74"/>
    <w:rsid w:val="32EC50D1"/>
    <w:rsid w:val="32F272EE"/>
    <w:rsid w:val="32F479DD"/>
    <w:rsid w:val="32FF63EB"/>
    <w:rsid w:val="3314130B"/>
    <w:rsid w:val="332307F9"/>
    <w:rsid w:val="33346832"/>
    <w:rsid w:val="3335354B"/>
    <w:rsid w:val="3338085C"/>
    <w:rsid w:val="333B5874"/>
    <w:rsid w:val="33433433"/>
    <w:rsid w:val="334C37C7"/>
    <w:rsid w:val="334D1144"/>
    <w:rsid w:val="336E7CDB"/>
    <w:rsid w:val="338E5DEF"/>
    <w:rsid w:val="339D315C"/>
    <w:rsid w:val="339F2AE6"/>
    <w:rsid w:val="33A645CF"/>
    <w:rsid w:val="33AD0505"/>
    <w:rsid w:val="33B33BDF"/>
    <w:rsid w:val="33B42B8C"/>
    <w:rsid w:val="33D75FC0"/>
    <w:rsid w:val="33E04D53"/>
    <w:rsid w:val="33E2774E"/>
    <w:rsid w:val="33EA6EBD"/>
    <w:rsid w:val="33ED1F20"/>
    <w:rsid w:val="33F26834"/>
    <w:rsid w:val="3409363C"/>
    <w:rsid w:val="340A328C"/>
    <w:rsid w:val="3416229A"/>
    <w:rsid w:val="341838A6"/>
    <w:rsid w:val="34204F4C"/>
    <w:rsid w:val="342B6C55"/>
    <w:rsid w:val="343B47A4"/>
    <w:rsid w:val="344067CA"/>
    <w:rsid w:val="34416F7C"/>
    <w:rsid w:val="34426687"/>
    <w:rsid w:val="3446015E"/>
    <w:rsid w:val="344F5E3E"/>
    <w:rsid w:val="3462394C"/>
    <w:rsid w:val="34674330"/>
    <w:rsid w:val="347B0DB3"/>
    <w:rsid w:val="348619F6"/>
    <w:rsid w:val="348B0D07"/>
    <w:rsid w:val="348B5E86"/>
    <w:rsid w:val="3491604D"/>
    <w:rsid w:val="34965481"/>
    <w:rsid w:val="34A2132C"/>
    <w:rsid w:val="34AD79C6"/>
    <w:rsid w:val="34B868E1"/>
    <w:rsid w:val="34BA2157"/>
    <w:rsid w:val="34C70909"/>
    <w:rsid w:val="34D16F8B"/>
    <w:rsid w:val="34D321B9"/>
    <w:rsid w:val="34D64AA7"/>
    <w:rsid w:val="34D83D60"/>
    <w:rsid w:val="34E750DA"/>
    <w:rsid w:val="34F67921"/>
    <w:rsid w:val="350325D0"/>
    <w:rsid w:val="35252644"/>
    <w:rsid w:val="35261B4D"/>
    <w:rsid w:val="352C7F5B"/>
    <w:rsid w:val="35324976"/>
    <w:rsid w:val="35421F46"/>
    <w:rsid w:val="354631E6"/>
    <w:rsid w:val="35474A00"/>
    <w:rsid w:val="355514A4"/>
    <w:rsid w:val="356133A7"/>
    <w:rsid w:val="35707279"/>
    <w:rsid w:val="357B3B1B"/>
    <w:rsid w:val="35903B55"/>
    <w:rsid w:val="359412D3"/>
    <w:rsid w:val="35A146C6"/>
    <w:rsid w:val="35B446E9"/>
    <w:rsid w:val="35BF6BEA"/>
    <w:rsid w:val="35D13379"/>
    <w:rsid w:val="35D429CB"/>
    <w:rsid w:val="35D72B1B"/>
    <w:rsid w:val="35E24DB2"/>
    <w:rsid w:val="35EB4C6E"/>
    <w:rsid w:val="35F45C39"/>
    <w:rsid w:val="36004B53"/>
    <w:rsid w:val="362F0EDA"/>
    <w:rsid w:val="363037C3"/>
    <w:rsid w:val="36416E8F"/>
    <w:rsid w:val="365F7FAF"/>
    <w:rsid w:val="36635313"/>
    <w:rsid w:val="36635C63"/>
    <w:rsid w:val="366F00BD"/>
    <w:rsid w:val="367C2E30"/>
    <w:rsid w:val="367D1CA4"/>
    <w:rsid w:val="367F4CA6"/>
    <w:rsid w:val="3695131D"/>
    <w:rsid w:val="36963DEF"/>
    <w:rsid w:val="369737B0"/>
    <w:rsid w:val="36995759"/>
    <w:rsid w:val="36AC228B"/>
    <w:rsid w:val="36B04C59"/>
    <w:rsid w:val="36BE665F"/>
    <w:rsid w:val="36C615CE"/>
    <w:rsid w:val="36EF5742"/>
    <w:rsid w:val="36F20B4D"/>
    <w:rsid w:val="36FA0A90"/>
    <w:rsid w:val="370B28E1"/>
    <w:rsid w:val="372525FF"/>
    <w:rsid w:val="372F0378"/>
    <w:rsid w:val="372F1B4E"/>
    <w:rsid w:val="37396A34"/>
    <w:rsid w:val="37474CA9"/>
    <w:rsid w:val="374E16EB"/>
    <w:rsid w:val="375079EC"/>
    <w:rsid w:val="375342C7"/>
    <w:rsid w:val="37565FF2"/>
    <w:rsid w:val="376223F0"/>
    <w:rsid w:val="376F3DA2"/>
    <w:rsid w:val="377D37BD"/>
    <w:rsid w:val="37836D98"/>
    <w:rsid w:val="378F5C5E"/>
    <w:rsid w:val="37AB1391"/>
    <w:rsid w:val="37BE79BC"/>
    <w:rsid w:val="37C10C47"/>
    <w:rsid w:val="37C375D6"/>
    <w:rsid w:val="37C47D68"/>
    <w:rsid w:val="37D4691B"/>
    <w:rsid w:val="37DC6DA7"/>
    <w:rsid w:val="37E64902"/>
    <w:rsid w:val="37EE0826"/>
    <w:rsid w:val="37EE0A92"/>
    <w:rsid w:val="37F11176"/>
    <w:rsid w:val="37F621FD"/>
    <w:rsid w:val="38044D88"/>
    <w:rsid w:val="38061BDA"/>
    <w:rsid w:val="381044CC"/>
    <w:rsid w:val="381366DF"/>
    <w:rsid w:val="38210309"/>
    <w:rsid w:val="38263E22"/>
    <w:rsid w:val="38286CC9"/>
    <w:rsid w:val="38290904"/>
    <w:rsid w:val="3830014D"/>
    <w:rsid w:val="38335ECE"/>
    <w:rsid w:val="383429A6"/>
    <w:rsid w:val="3849468E"/>
    <w:rsid w:val="384F4255"/>
    <w:rsid w:val="3851790B"/>
    <w:rsid w:val="386267CB"/>
    <w:rsid w:val="386F4220"/>
    <w:rsid w:val="387060D2"/>
    <w:rsid w:val="389102DA"/>
    <w:rsid w:val="389C24F8"/>
    <w:rsid w:val="389F232A"/>
    <w:rsid w:val="38C47680"/>
    <w:rsid w:val="38D26C34"/>
    <w:rsid w:val="38D37649"/>
    <w:rsid w:val="38F235C6"/>
    <w:rsid w:val="38F62E5D"/>
    <w:rsid w:val="38F641A1"/>
    <w:rsid w:val="390850EA"/>
    <w:rsid w:val="39152B52"/>
    <w:rsid w:val="391F4983"/>
    <w:rsid w:val="391F5671"/>
    <w:rsid w:val="39225B16"/>
    <w:rsid w:val="39226B49"/>
    <w:rsid w:val="39275DFB"/>
    <w:rsid w:val="39286304"/>
    <w:rsid w:val="393115C2"/>
    <w:rsid w:val="39407FD8"/>
    <w:rsid w:val="394E76CF"/>
    <w:rsid w:val="3958607A"/>
    <w:rsid w:val="395D0A0D"/>
    <w:rsid w:val="396627FA"/>
    <w:rsid w:val="3968580F"/>
    <w:rsid w:val="397F0102"/>
    <w:rsid w:val="39812B34"/>
    <w:rsid w:val="398B16FF"/>
    <w:rsid w:val="39B159CA"/>
    <w:rsid w:val="39B800F5"/>
    <w:rsid w:val="39BE53D6"/>
    <w:rsid w:val="39D56CB9"/>
    <w:rsid w:val="39D76904"/>
    <w:rsid w:val="39DB4F94"/>
    <w:rsid w:val="39E711EA"/>
    <w:rsid w:val="39E9620C"/>
    <w:rsid w:val="39EB3B81"/>
    <w:rsid w:val="39EE7A9E"/>
    <w:rsid w:val="39F149E8"/>
    <w:rsid w:val="39F41E74"/>
    <w:rsid w:val="39F54CA2"/>
    <w:rsid w:val="3A064531"/>
    <w:rsid w:val="3A0A1B23"/>
    <w:rsid w:val="3A0C7A10"/>
    <w:rsid w:val="3A0E7C4F"/>
    <w:rsid w:val="3A1473EF"/>
    <w:rsid w:val="3A1A0893"/>
    <w:rsid w:val="3A2B732D"/>
    <w:rsid w:val="3A3A5CD6"/>
    <w:rsid w:val="3A4B70E9"/>
    <w:rsid w:val="3A6B6DF4"/>
    <w:rsid w:val="3A7139DF"/>
    <w:rsid w:val="3A730F09"/>
    <w:rsid w:val="3A800457"/>
    <w:rsid w:val="3A826517"/>
    <w:rsid w:val="3A9374F9"/>
    <w:rsid w:val="3A997463"/>
    <w:rsid w:val="3A9D5BAC"/>
    <w:rsid w:val="3AA60AE3"/>
    <w:rsid w:val="3AAB720F"/>
    <w:rsid w:val="3AAD2388"/>
    <w:rsid w:val="3AB15DF4"/>
    <w:rsid w:val="3AB53EE2"/>
    <w:rsid w:val="3AB701EF"/>
    <w:rsid w:val="3AB84DFB"/>
    <w:rsid w:val="3ABC7EBD"/>
    <w:rsid w:val="3AC30EDE"/>
    <w:rsid w:val="3AD4390D"/>
    <w:rsid w:val="3ADC4D58"/>
    <w:rsid w:val="3ADF1B88"/>
    <w:rsid w:val="3AE84145"/>
    <w:rsid w:val="3AED5DC5"/>
    <w:rsid w:val="3AF07C00"/>
    <w:rsid w:val="3B003E5B"/>
    <w:rsid w:val="3B02109A"/>
    <w:rsid w:val="3B19419E"/>
    <w:rsid w:val="3B1A13AF"/>
    <w:rsid w:val="3B1C18CC"/>
    <w:rsid w:val="3B265952"/>
    <w:rsid w:val="3B276B65"/>
    <w:rsid w:val="3B2C0842"/>
    <w:rsid w:val="3B385475"/>
    <w:rsid w:val="3B415A12"/>
    <w:rsid w:val="3B5B07F2"/>
    <w:rsid w:val="3B5B46B0"/>
    <w:rsid w:val="3B6030BF"/>
    <w:rsid w:val="3B647824"/>
    <w:rsid w:val="3B652639"/>
    <w:rsid w:val="3B77415E"/>
    <w:rsid w:val="3B7F12F6"/>
    <w:rsid w:val="3B9B3B3D"/>
    <w:rsid w:val="3BA5394C"/>
    <w:rsid w:val="3BAC40A8"/>
    <w:rsid w:val="3BAE4749"/>
    <w:rsid w:val="3BB624CB"/>
    <w:rsid w:val="3BBB0CCE"/>
    <w:rsid w:val="3BC42118"/>
    <w:rsid w:val="3BD32C9B"/>
    <w:rsid w:val="3BD67FC5"/>
    <w:rsid w:val="3BE712C4"/>
    <w:rsid w:val="3BEE5B7C"/>
    <w:rsid w:val="3BFE3F91"/>
    <w:rsid w:val="3C0E1B2A"/>
    <w:rsid w:val="3C0F6496"/>
    <w:rsid w:val="3C221F5A"/>
    <w:rsid w:val="3C2346A6"/>
    <w:rsid w:val="3C2F6709"/>
    <w:rsid w:val="3C34421F"/>
    <w:rsid w:val="3C423589"/>
    <w:rsid w:val="3C484FEC"/>
    <w:rsid w:val="3C5671D9"/>
    <w:rsid w:val="3C5E3766"/>
    <w:rsid w:val="3C623D29"/>
    <w:rsid w:val="3C7254C1"/>
    <w:rsid w:val="3C752E14"/>
    <w:rsid w:val="3C776758"/>
    <w:rsid w:val="3C9608F4"/>
    <w:rsid w:val="3C986B1F"/>
    <w:rsid w:val="3C9E0CF8"/>
    <w:rsid w:val="3CA74BDD"/>
    <w:rsid w:val="3CA80B2A"/>
    <w:rsid w:val="3CBB2A96"/>
    <w:rsid w:val="3CBC6F3C"/>
    <w:rsid w:val="3CC64D8C"/>
    <w:rsid w:val="3CCE695F"/>
    <w:rsid w:val="3CD27922"/>
    <w:rsid w:val="3CE4280A"/>
    <w:rsid w:val="3CF83061"/>
    <w:rsid w:val="3CFC2C39"/>
    <w:rsid w:val="3D060539"/>
    <w:rsid w:val="3D0855A2"/>
    <w:rsid w:val="3D0F2205"/>
    <w:rsid w:val="3D257113"/>
    <w:rsid w:val="3D487C94"/>
    <w:rsid w:val="3D5C2D06"/>
    <w:rsid w:val="3D5E2339"/>
    <w:rsid w:val="3D784546"/>
    <w:rsid w:val="3D806A9B"/>
    <w:rsid w:val="3D856577"/>
    <w:rsid w:val="3D885FA9"/>
    <w:rsid w:val="3D8C1654"/>
    <w:rsid w:val="3D97792F"/>
    <w:rsid w:val="3DA2386D"/>
    <w:rsid w:val="3DAD1EEC"/>
    <w:rsid w:val="3DBF485F"/>
    <w:rsid w:val="3DC079A3"/>
    <w:rsid w:val="3DD1570D"/>
    <w:rsid w:val="3DE5760F"/>
    <w:rsid w:val="3DEC08A8"/>
    <w:rsid w:val="3DFF0E5D"/>
    <w:rsid w:val="3E283D84"/>
    <w:rsid w:val="3E3622B8"/>
    <w:rsid w:val="3E4E10B2"/>
    <w:rsid w:val="3E510B20"/>
    <w:rsid w:val="3E561730"/>
    <w:rsid w:val="3E5B5661"/>
    <w:rsid w:val="3E5F5509"/>
    <w:rsid w:val="3E610F8C"/>
    <w:rsid w:val="3E675386"/>
    <w:rsid w:val="3E6B5D7B"/>
    <w:rsid w:val="3E74624E"/>
    <w:rsid w:val="3E8527E8"/>
    <w:rsid w:val="3E903D46"/>
    <w:rsid w:val="3E952404"/>
    <w:rsid w:val="3EA053E9"/>
    <w:rsid w:val="3EA334DD"/>
    <w:rsid w:val="3EAB54D7"/>
    <w:rsid w:val="3EB72B54"/>
    <w:rsid w:val="3EBC47E4"/>
    <w:rsid w:val="3ED060A2"/>
    <w:rsid w:val="3ED5511F"/>
    <w:rsid w:val="3EE85404"/>
    <w:rsid w:val="3EEC7956"/>
    <w:rsid w:val="3EF765D5"/>
    <w:rsid w:val="3EF7710B"/>
    <w:rsid w:val="3EF87B99"/>
    <w:rsid w:val="3EFB14C6"/>
    <w:rsid w:val="3F067638"/>
    <w:rsid w:val="3F084677"/>
    <w:rsid w:val="3F0920F4"/>
    <w:rsid w:val="3F0C3E23"/>
    <w:rsid w:val="3F186A65"/>
    <w:rsid w:val="3F236FD5"/>
    <w:rsid w:val="3F3B54D1"/>
    <w:rsid w:val="3F4C78EC"/>
    <w:rsid w:val="3F5761BC"/>
    <w:rsid w:val="3F604F9A"/>
    <w:rsid w:val="3F7136BA"/>
    <w:rsid w:val="3F7C6868"/>
    <w:rsid w:val="3F8224CB"/>
    <w:rsid w:val="3F8409D2"/>
    <w:rsid w:val="3F8D4479"/>
    <w:rsid w:val="3F96537C"/>
    <w:rsid w:val="3F966EDD"/>
    <w:rsid w:val="3F970FDE"/>
    <w:rsid w:val="3F997BD3"/>
    <w:rsid w:val="3FA4608F"/>
    <w:rsid w:val="3FBA7232"/>
    <w:rsid w:val="3FC50AB9"/>
    <w:rsid w:val="3FD100D2"/>
    <w:rsid w:val="3FE03AB7"/>
    <w:rsid w:val="3FF33400"/>
    <w:rsid w:val="3FFF2FBA"/>
    <w:rsid w:val="3FFFCA38"/>
    <w:rsid w:val="4008248A"/>
    <w:rsid w:val="40151FE5"/>
    <w:rsid w:val="401B25AD"/>
    <w:rsid w:val="401F4AA1"/>
    <w:rsid w:val="40334BCE"/>
    <w:rsid w:val="403B3F6F"/>
    <w:rsid w:val="403C00CA"/>
    <w:rsid w:val="4046428C"/>
    <w:rsid w:val="404C0D0E"/>
    <w:rsid w:val="406D13F2"/>
    <w:rsid w:val="406D5519"/>
    <w:rsid w:val="407E26B1"/>
    <w:rsid w:val="40863438"/>
    <w:rsid w:val="408F243F"/>
    <w:rsid w:val="40985140"/>
    <w:rsid w:val="409A6EE8"/>
    <w:rsid w:val="40AC3868"/>
    <w:rsid w:val="40C8717C"/>
    <w:rsid w:val="40CE527F"/>
    <w:rsid w:val="40D45B3E"/>
    <w:rsid w:val="40DF1457"/>
    <w:rsid w:val="40E671FE"/>
    <w:rsid w:val="41002317"/>
    <w:rsid w:val="41030E35"/>
    <w:rsid w:val="41196BFD"/>
    <w:rsid w:val="41250249"/>
    <w:rsid w:val="412769CC"/>
    <w:rsid w:val="412C7F8F"/>
    <w:rsid w:val="41344748"/>
    <w:rsid w:val="4135004E"/>
    <w:rsid w:val="41363C01"/>
    <w:rsid w:val="413C193F"/>
    <w:rsid w:val="415374D0"/>
    <w:rsid w:val="41700675"/>
    <w:rsid w:val="4185620E"/>
    <w:rsid w:val="418D65CF"/>
    <w:rsid w:val="41AE12EE"/>
    <w:rsid w:val="41B4140F"/>
    <w:rsid w:val="41B65472"/>
    <w:rsid w:val="41B905D6"/>
    <w:rsid w:val="41BC4620"/>
    <w:rsid w:val="41C0209A"/>
    <w:rsid w:val="41C53D52"/>
    <w:rsid w:val="41C80A89"/>
    <w:rsid w:val="41CE7C0B"/>
    <w:rsid w:val="41D96BAE"/>
    <w:rsid w:val="41E72C0E"/>
    <w:rsid w:val="41E8090D"/>
    <w:rsid w:val="41EE61B3"/>
    <w:rsid w:val="41F74C6C"/>
    <w:rsid w:val="41FD27DD"/>
    <w:rsid w:val="420773A5"/>
    <w:rsid w:val="421137D3"/>
    <w:rsid w:val="42146974"/>
    <w:rsid w:val="42197A4E"/>
    <w:rsid w:val="424C45B4"/>
    <w:rsid w:val="424C4859"/>
    <w:rsid w:val="425214A5"/>
    <w:rsid w:val="425C1690"/>
    <w:rsid w:val="427415DE"/>
    <w:rsid w:val="42882752"/>
    <w:rsid w:val="428970C0"/>
    <w:rsid w:val="428B0222"/>
    <w:rsid w:val="42917084"/>
    <w:rsid w:val="42A065E5"/>
    <w:rsid w:val="42A9004C"/>
    <w:rsid w:val="42AC04F6"/>
    <w:rsid w:val="42BA147F"/>
    <w:rsid w:val="42C062B2"/>
    <w:rsid w:val="42CB5122"/>
    <w:rsid w:val="42EE0B0F"/>
    <w:rsid w:val="42EE32FC"/>
    <w:rsid w:val="42F24C23"/>
    <w:rsid w:val="43095949"/>
    <w:rsid w:val="43102C90"/>
    <w:rsid w:val="431B1F06"/>
    <w:rsid w:val="43213EBD"/>
    <w:rsid w:val="434D7041"/>
    <w:rsid w:val="436545E9"/>
    <w:rsid w:val="436D0D30"/>
    <w:rsid w:val="4371243F"/>
    <w:rsid w:val="437C1CBF"/>
    <w:rsid w:val="438258CE"/>
    <w:rsid w:val="43C00FC9"/>
    <w:rsid w:val="43D24BFD"/>
    <w:rsid w:val="43D84D01"/>
    <w:rsid w:val="43E514BC"/>
    <w:rsid w:val="43E91A02"/>
    <w:rsid w:val="44010064"/>
    <w:rsid w:val="442F4166"/>
    <w:rsid w:val="443B431D"/>
    <w:rsid w:val="443C23E7"/>
    <w:rsid w:val="445175A7"/>
    <w:rsid w:val="445B77D0"/>
    <w:rsid w:val="445D7C68"/>
    <w:rsid w:val="446D3343"/>
    <w:rsid w:val="44733D16"/>
    <w:rsid w:val="44984905"/>
    <w:rsid w:val="449E7402"/>
    <w:rsid w:val="44AB076B"/>
    <w:rsid w:val="44B87C9F"/>
    <w:rsid w:val="44C16CAB"/>
    <w:rsid w:val="44C35BC9"/>
    <w:rsid w:val="44E802C6"/>
    <w:rsid w:val="44EF327D"/>
    <w:rsid w:val="45060ED2"/>
    <w:rsid w:val="450E75B7"/>
    <w:rsid w:val="451D1297"/>
    <w:rsid w:val="452432EE"/>
    <w:rsid w:val="45252F0E"/>
    <w:rsid w:val="45287844"/>
    <w:rsid w:val="45300B85"/>
    <w:rsid w:val="4540527E"/>
    <w:rsid w:val="45527E74"/>
    <w:rsid w:val="455308E6"/>
    <w:rsid w:val="4555378E"/>
    <w:rsid w:val="455561E0"/>
    <w:rsid w:val="45584411"/>
    <w:rsid w:val="45594965"/>
    <w:rsid w:val="456735C0"/>
    <w:rsid w:val="456D2789"/>
    <w:rsid w:val="456D2D94"/>
    <w:rsid w:val="457C19E2"/>
    <w:rsid w:val="457E7A89"/>
    <w:rsid w:val="457F4834"/>
    <w:rsid w:val="45856C79"/>
    <w:rsid w:val="45911C91"/>
    <w:rsid w:val="45A3243E"/>
    <w:rsid w:val="45A86A88"/>
    <w:rsid w:val="45AA4C0F"/>
    <w:rsid w:val="45AE5B70"/>
    <w:rsid w:val="45AF7272"/>
    <w:rsid w:val="45B46107"/>
    <w:rsid w:val="45B50119"/>
    <w:rsid w:val="45B778DE"/>
    <w:rsid w:val="45B92231"/>
    <w:rsid w:val="45B9706C"/>
    <w:rsid w:val="45BE47AE"/>
    <w:rsid w:val="45C25217"/>
    <w:rsid w:val="45CC591B"/>
    <w:rsid w:val="45DE4DBC"/>
    <w:rsid w:val="45E726AC"/>
    <w:rsid w:val="45EA68EF"/>
    <w:rsid w:val="45EF3866"/>
    <w:rsid w:val="45F01B3C"/>
    <w:rsid w:val="45F2498B"/>
    <w:rsid w:val="45F435EA"/>
    <w:rsid w:val="45F776C2"/>
    <w:rsid w:val="45FC26BC"/>
    <w:rsid w:val="46194F8D"/>
    <w:rsid w:val="46206456"/>
    <w:rsid w:val="46252865"/>
    <w:rsid w:val="46532EEE"/>
    <w:rsid w:val="466379A0"/>
    <w:rsid w:val="46742F19"/>
    <w:rsid w:val="46795B73"/>
    <w:rsid w:val="46835F2C"/>
    <w:rsid w:val="469156ED"/>
    <w:rsid w:val="46965D88"/>
    <w:rsid w:val="46A064B9"/>
    <w:rsid w:val="46B37073"/>
    <w:rsid w:val="46B37479"/>
    <w:rsid w:val="46B92C5E"/>
    <w:rsid w:val="46BC277A"/>
    <w:rsid w:val="46C53CB1"/>
    <w:rsid w:val="46C634BE"/>
    <w:rsid w:val="46CC5F1A"/>
    <w:rsid w:val="46CD70C7"/>
    <w:rsid w:val="46D25639"/>
    <w:rsid w:val="46DF3C89"/>
    <w:rsid w:val="46E8029E"/>
    <w:rsid w:val="46F04554"/>
    <w:rsid w:val="46F25184"/>
    <w:rsid w:val="470A1F4E"/>
    <w:rsid w:val="470B65BB"/>
    <w:rsid w:val="470C2336"/>
    <w:rsid w:val="470D3D85"/>
    <w:rsid w:val="470F2269"/>
    <w:rsid w:val="47111879"/>
    <w:rsid w:val="47115291"/>
    <w:rsid w:val="471A0099"/>
    <w:rsid w:val="47330D5C"/>
    <w:rsid w:val="4736778D"/>
    <w:rsid w:val="47440719"/>
    <w:rsid w:val="47487A5F"/>
    <w:rsid w:val="4764623A"/>
    <w:rsid w:val="476E6CED"/>
    <w:rsid w:val="477144CB"/>
    <w:rsid w:val="47737835"/>
    <w:rsid w:val="477B1ABA"/>
    <w:rsid w:val="477B7317"/>
    <w:rsid w:val="4787561C"/>
    <w:rsid w:val="479101D2"/>
    <w:rsid w:val="47A3396B"/>
    <w:rsid w:val="47A8679C"/>
    <w:rsid w:val="47AA5131"/>
    <w:rsid w:val="47AF4EE8"/>
    <w:rsid w:val="47B6200F"/>
    <w:rsid w:val="47BE31A6"/>
    <w:rsid w:val="47CD3B64"/>
    <w:rsid w:val="47D35DB1"/>
    <w:rsid w:val="47FA303B"/>
    <w:rsid w:val="47FB783B"/>
    <w:rsid w:val="47FC782A"/>
    <w:rsid w:val="47FD75B1"/>
    <w:rsid w:val="48050DD4"/>
    <w:rsid w:val="480A1E0A"/>
    <w:rsid w:val="481E7563"/>
    <w:rsid w:val="483E684A"/>
    <w:rsid w:val="48467909"/>
    <w:rsid w:val="48522C79"/>
    <w:rsid w:val="48532744"/>
    <w:rsid w:val="48661D34"/>
    <w:rsid w:val="48767174"/>
    <w:rsid w:val="487D54A1"/>
    <w:rsid w:val="48926880"/>
    <w:rsid w:val="48944C19"/>
    <w:rsid w:val="489E6887"/>
    <w:rsid w:val="48A04E07"/>
    <w:rsid w:val="48A64F09"/>
    <w:rsid w:val="48B77474"/>
    <w:rsid w:val="48CE3E95"/>
    <w:rsid w:val="48E46C3C"/>
    <w:rsid w:val="48E944E1"/>
    <w:rsid w:val="48EA1F71"/>
    <w:rsid w:val="48F1177C"/>
    <w:rsid w:val="48F76030"/>
    <w:rsid w:val="49032001"/>
    <w:rsid w:val="490E2E80"/>
    <w:rsid w:val="491C5451"/>
    <w:rsid w:val="491C5DE6"/>
    <w:rsid w:val="491E1C32"/>
    <w:rsid w:val="49250CD1"/>
    <w:rsid w:val="495264A5"/>
    <w:rsid w:val="495E079C"/>
    <w:rsid w:val="496F3163"/>
    <w:rsid w:val="497847C6"/>
    <w:rsid w:val="497A16BC"/>
    <w:rsid w:val="498B7FB9"/>
    <w:rsid w:val="499D18CA"/>
    <w:rsid w:val="49A5110B"/>
    <w:rsid w:val="49A8454F"/>
    <w:rsid w:val="49A91BC0"/>
    <w:rsid w:val="49AC4C9B"/>
    <w:rsid w:val="49AF73A9"/>
    <w:rsid w:val="49B223D6"/>
    <w:rsid w:val="49E73BAD"/>
    <w:rsid w:val="49EA4BDD"/>
    <w:rsid w:val="4A0B7E4D"/>
    <w:rsid w:val="4A1115B3"/>
    <w:rsid w:val="4A181F56"/>
    <w:rsid w:val="4A195F96"/>
    <w:rsid w:val="4A1D6A64"/>
    <w:rsid w:val="4A2135CB"/>
    <w:rsid w:val="4A293372"/>
    <w:rsid w:val="4A2D06C2"/>
    <w:rsid w:val="4A3F61EB"/>
    <w:rsid w:val="4A457C70"/>
    <w:rsid w:val="4A60254F"/>
    <w:rsid w:val="4A690C8F"/>
    <w:rsid w:val="4A6D4A0F"/>
    <w:rsid w:val="4A8F5711"/>
    <w:rsid w:val="4A9858ED"/>
    <w:rsid w:val="4A9B5E30"/>
    <w:rsid w:val="4A9E1D36"/>
    <w:rsid w:val="4AA81BE0"/>
    <w:rsid w:val="4AAD20F6"/>
    <w:rsid w:val="4ABE090A"/>
    <w:rsid w:val="4ABF0059"/>
    <w:rsid w:val="4AC812BF"/>
    <w:rsid w:val="4AC81793"/>
    <w:rsid w:val="4ACC6808"/>
    <w:rsid w:val="4AEA314C"/>
    <w:rsid w:val="4AF3460B"/>
    <w:rsid w:val="4B126B9F"/>
    <w:rsid w:val="4B2649EC"/>
    <w:rsid w:val="4B312C21"/>
    <w:rsid w:val="4B34064F"/>
    <w:rsid w:val="4B344B01"/>
    <w:rsid w:val="4B394F62"/>
    <w:rsid w:val="4B44149B"/>
    <w:rsid w:val="4B461FA1"/>
    <w:rsid w:val="4B505E8B"/>
    <w:rsid w:val="4B7C0FC4"/>
    <w:rsid w:val="4B8B48EA"/>
    <w:rsid w:val="4B935E86"/>
    <w:rsid w:val="4B9B6DB2"/>
    <w:rsid w:val="4B9D454A"/>
    <w:rsid w:val="4BAF7C48"/>
    <w:rsid w:val="4BBA5F35"/>
    <w:rsid w:val="4BC42FEC"/>
    <w:rsid w:val="4BC46B51"/>
    <w:rsid w:val="4BC54FE8"/>
    <w:rsid w:val="4BCF1913"/>
    <w:rsid w:val="4BD74836"/>
    <w:rsid w:val="4BD80F46"/>
    <w:rsid w:val="4BDD6AEA"/>
    <w:rsid w:val="4BE833C9"/>
    <w:rsid w:val="4BEB2A84"/>
    <w:rsid w:val="4BF20EBF"/>
    <w:rsid w:val="4C05635B"/>
    <w:rsid w:val="4C110813"/>
    <w:rsid w:val="4C183BDA"/>
    <w:rsid w:val="4C271C44"/>
    <w:rsid w:val="4C2D188F"/>
    <w:rsid w:val="4C3149C4"/>
    <w:rsid w:val="4C3D27C9"/>
    <w:rsid w:val="4C4360F4"/>
    <w:rsid w:val="4C471CF9"/>
    <w:rsid w:val="4C497B37"/>
    <w:rsid w:val="4C541867"/>
    <w:rsid w:val="4C6644FE"/>
    <w:rsid w:val="4C6A3788"/>
    <w:rsid w:val="4C717BE6"/>
    <w:rsid w:val="4C771B75"/>
    <w:rsid w:val="4C80297D"/>
    <w:rsid w:val="4C9417C6"/>
    <w:rsid w:val="4C95087D"/>
    <w:rsid w:val="4C97105C"/>
    <w:rsid w:val="4C990151"/>
    <w:rsid w:val="4C9E7130"/>
    <w:rsid w:val="4CA25563"/>
    <w:rsid w:val="4CC66BA5"/>
    <w:rsid w:val="4CE20577"/>
    <w:rsid w:val="4CE36023"/>
    <w:rsid w:val="4CE37EE9"/>
    <w:rsid w:val="4CE8728E"/>
    <w:rsid w:val="4CEE64ED"/>
    <w:rsid w:val="4CFE5A61"/>
    <w:rsid w:val="4CFF5ED3"/>
    <w:rsid w:val="4D222F7F"/>
    <w:rsid w:val="4D413775"/>
    <w:rsid w:val="4D413D05"/>
    <w:rsid w:val="4D442987"/>
    <w:rsid w:val="4D517593"/>
    <w:rsid w:val="4D532C20"/>
    <w:rsid w:val="4D6E142B"/>
    <w:rsid w:val="4D73233C"/>
    <w:rsid w:val="4D740721"/>
    <w:rsid w:val="4D75743A"/>
    <w:rsid w:val="4D810262"/>
    <w:rsid w:val="4D810694"/>
    <w:rsid w:val="4D847BDE"/>
    <w:rsid w:val="4D885D04"/>
    <w:rsid w:val="4D8E0D02"/>
    <w:rsid w:val="4D9145CE"/>
    <w:rsid w:val="4D981DA3"/>
    <w:rsid w:val="4DB47968"/>
    <w:rsid w:val="4DB97644"/>
    <w:rsid w:val="4DBE2066"/>
    <w:rsid w:val="4DC078C6"/>
    <w:rsid w:val="4DCD36D9"/>
    <w:rsid w:val="4DCF2002"/>
    <w:rsid w:val="4DDB714B"/>
    <w:rsid w:val="4DE263B4"/>
    <w:rsid w:val="4DE3189D"/>
    <w:rsid w:val="4DF35FC2"/>
    <w:rsid w:val="4DFE6D44"/>
    <w:rsid w:val="4E013C25"/>
    <w:rsid w:val="4E02431F"/>
    <w:rsid w:val="4E067EC7"/>
    <w:rsid w:val="4E0914D7"/>
    <w:rsid w:val="4E174236"/>
    <w:rsid w:val="4E1B08FD"/>
    <w:rsid w:val="4E1F46AE"/>
    <w:rsid w:val="4E2D2CB0"/>
    <w:rsid w:val="4E2E3D4A"/>
    <w:rsid w:val="4E2F2F55"/>
    <w:rsid w:val="4E3171DD"/>
    <w:rsid w:val="4E363BFC"/>
    <w:rsid w:val="4E4166B5"/>
    <w:rsid w:val="4E425E1E"/>
    <w:rsid w:val="4E452DBC"/>
    <w:rsid w:val="4E460EA4"/>
    <w:rsid w:val="4E4D1F7D"/>
    <w:rsid w:val="4E5F4911"/>
    <w:rsid w:val="4E6C1DEA"/>
    <w:rsid w:val="4E766588"/>
    <w:rsid w:val="4E7B5D66"/>
    <w:rsid w:val="4E7C2785"/>
    <w:rsid w:val="4E7F769E"/>
    <w:rsid w:val="4E804743"/>
    <w:rsid w:val="4E824A5E"/>
    <w:rsid w:val="4E8619E1"/>
    <w:rsid w:val="4E8D7060"/>
    <w:rsid w:val="4E914FC2"/>
    <w:rsid w:val="4E9478CC"/>
    <w:rsid w:val="4E9C0017"/>
    <w:rsid w:val="4EA50606"/>
    <w:rsid w:val="4EAC5F97"/>
    <w:rsid w:val="4EAD19C4"/>
    <w:rsid w:val="4EB81245"/>
    <w:rsid w:val="4EB9387B"/>
    <w:rsid w:val="4ED937FE"/>
    <w:rsid w:val="4EE11040"/>
    <w:rsid w:val="4EEA53C2"/>
    <w:rsid w:val="4EEA7980"/>
    <w:rsid w:val="4EEF4B91"/>
    <w:rsid w:val="4EFF04C8"/>
    <w:rsid w:val="4F020299"/>
    <w:rsid w:val="4F1162B1"/>
    <w:rsid w:val="4F193009"/>
    <w:rsid w:val="4F1A55B1"/>
    <w:rsid w:val="4F216F0D"/>
    <w:rsid w:val="4F287F42"/>
    <w:rsid w:val="4F317E38"/>
    <w:rsid w:val="4F322E5A"/>
    <w:rsid w:val="4F340ACC"/>
    <w:rsid w:val="4F40679C"/>
    <w:rsid w:val="4F4100B6"/>
    <w:rsid w:val="4F425B41"/>
    <w:rsid w:val="4F5B7732"/>
    <w:rsid w:val="4F731D97"/>
    <w:rsid w:val="4F863CEA"/>
    <w:rsid w:val="4F9540B9"/>
    <w:rsid w:val="4F9F6734"/>
    <w:rsid w:val="4FA12817"/>
    <w:rsid w:val="4FAF6685"/>
    <w:rsid w:val="4FB8741A"/>
    <w:rsid w:val="4FC46188"/>
    <w:rsid w:val="4FD159FE"/>
    <w:rsid w:val="4FD25E95"/>
    <w:rsid w:val="4FDD3A7F"/>
    <w:rsid w:val="4FE01B69"/>
    <w:rsid w:val="4FE04F25"/>
    <w:rsid w:val="4FF84F5F"/>
    <w:rsid w:val="4FFB1042"/>
    <w:rsid w:val="4FFD2B5D"/>
    <w:rsid w:val="4FFE6835"/>
    <w:rsid w:val="501B5EF2"/>
    <w:rsid w:val="50292F4D"/>
    <w:rsid w:val="502C1B48"/>
    <w:rsid w:val="50491571"/>
    <w:rsid w:val="50534BEB"/>
    <w:rsid w:val="50611263"/>
    <w:rsid w:val="50615C9C"/>
    <w:rsid w:val="50624749"/>
    <w:rsid w:val="50624806"/>
    <w:rsid w:val="50697A27"/>
    <w:rsid w:val="506F24DD"/>
    <w:rsid w:val="50720485"/>
    <w:rsid w:val="508D2516"/>
    <w:rsid w:val="508D6964"/>
    <w:rsid w:val="509673EA"/>
    <w:rsid w:val="50AE6EB8"/>
    <w:rsid w:val="50DC516E"/>
    <w:rsid w:val="50E825A5"/>
    <w:rsid w:val="50ED2B10"/>
    <w:rsid w:val="50F641CA"/>
    <w:rsid w:val="510A38B1"/>
    <w:rsid w:val="511B521C"/>
    <w:rsid w:val="512902A8"/>
    <w:rsid w:val="512D6CA6"/>
    <w:rsid w:val="5135052B"/>
    <w:rsid w:val="51525993"/>
    <w:rsid w:val="51544338"/>
    <w:rsid w:val="515D3F33"/>
    <w:rsid w:val="51680D3A"/>
    <w:rsid w:val="516D4037"/>
    <w:rsid w:val="517729DD"/>
    <w:rsid w:val="517858CE"/>
    <w:rsid w:val="519805C3"/>
    <w:rsid w:val="519B7F47"/>
    <w:rsid w:val="51A1138F"/>
    <w:rsid w:val="51AC5C98"/>
    <w:rsid w:val="51AF4F35"/>
    <w:rsid w:val="51B35069"/>
    <w:rsid w:val="51BC5ACC"/>
    <w:rsid w:val="51C55D72"/>
    <w:rsid w:val="51C958BE"/>
    <w:rsid w:val="51CC08CF"/>
    <w:rsid w:val="51D204BE"/>
    <w:rsid w:val="51D9488C"/>
    <w:rsid w:val="51DB759A"/>
    <w:rsid w:val="51F45B52"/>
    <w:rsid w:val="52041E26"/>
    <w:rsid w:val="520527C7"/>
    <w:rsid w:val="520C5A77"/>
    <w:rsid w:val="520F3BC8"/>
    <w:rsid w:val="523522B6"/>
    <w:rsid w:val="5245738A"/>
    <w:rsid w:val="5269731C"/>
    <w:rsid w:val="526A4359"/>
    <w:rsid w:val="52711F3C"/>
    <w:rsid w:val="52724EB6"/>
    <w:rsid w:val="5272748D"/>
    <w:rsid w:val="52823F6A"/>
    <w:rsid w:val="528A406D"/>
    <w:rsid w:val="529979B3"/>
    <w:rsid w:val="529C2700"/>
    <w:rsid w:val="52B06007"/>
    <w:rsid w:val="52B4767F"/>
    <w:rsid w:val="52C02AD1"/>
    <w:rsid w:val="52CA0CE5"/>
    <w:rsid w:val="52D11CE2"/>
    <w:rsid w:val="52D92ACB"/>
    <w:rsid w:val="52E12DA6"/>
    <w:rsid w:val="52EA7F96"/>
    <w:rsid w:val="52F14C6F"/>
    <w:rsid w:val="530829F0"/>
    <w:rsid w:val="531A554E"/>
    <w:rsid w:val="534327B1"/>
    <w:rsid w:val="534B58E0"/>
    <w:rsid w:val="535C0ABD"/>
    <w:rsid w:val="53640CAC"/>
    <w:rsid w:val="53710FFA"/>
    <w:rsid w:val="53762D33"/>
    <w:rsid w:val="537D65C2"/>
    <w:rsid w:val="538552ED"/>
    <w:rsid w:val="538C2996"/>
    <w:rsid w:val="538D3D20"/>
    <w:rsid w:val="53A414A2"/>
    <w:rsid w:val="53BA5637"/>
    <w:rsid w:val="53BB3DEA"/>
    <w:rsid w:val="53BB61C7"/>
    <w:rsid w:val="53BD2965"/>
    <w:rsid w:val="53CB09D3"/>
    <w:rsid w:val="53D55F5F"/>
    <w:rsid w:val="53DF5EFD"/>
    <w:rsid w:val="53E27D52"/>
    <w:rsid w:val="53ED03CF"/>
    <w:rsid w:val="53F6133F"/>
    <w:rsid w:val="541E7C60"/>
    <w:rsid w:val="541F7C9F"/>
    <w:rsid w:val="5424616B"/>
    <w:rsid w:val="54265B5E"/>
    <w:rsid w:val="54330A77"/>
    <w:rsid w:val="54342C25"/>
    <w:rsid w:val="54363BCD"/>
    <w:rsid w:val="543B472A"/>
    <w:rsid w:val="543B7103"/>
    <w:rsid w:val="54465D45"/>
    <w:rsid w:val="54485F67"/>
    <w:rsid w:val="544C3023"/>
    <w:rsid w:val="545F21A9"/>
    <w:rsid w:val="5463667D"/>
    <w:rsid w:val="548337AD"/>
    <w:rsid w:val="5488350A"/>
    <w:rsid w:val="54AE6B07"/>
    <w:rsid w:val="54BB6FFA"/>
    <w:rsid w:val="54BD1FDF"/>
    <w:rsid w:val="54BF2DC9"/>
    <w:rsid w:val="54C33BA9"/>
    <w:rsid w:val="54C51A6B"/>
    <w:rsid w:val="54CE3180"/>
    <w:rsid w:val="54E51D72"/>
    <w:rsid w:val="54F71B19"/>
    <w:rsid w:val="55027C53"/>
    <w:rsid w:val="55072A4B"/>
    <w:rsid w:val="55173E54"/>
    <w:rsid w:val="552929F7"/>
    <w:rsid w:val="552C5495"/>
    <w:rsid w:val="55336B96"/>
    <w:rsid w:val="554259FB"/>
    <w:rsid w:val="555A7E5A"/>
    <w:rsid w:val="557C4CE4"/>
    <w:rsid w:val="557F08FB"/>
    <w:rsid w:val="55832775"/>
    <w:rsid w:val="55915C5C"/>
    <w:rsid w:val="559F0FA0"/>
    <w:rsid w:val="559F6647"/>
    <w:rsid w:val="55AB4D66"/>
    <w:rsid w:val="55B71F05"/>
    <w:rsid w:val="55B84BFE"/>
    <w:rsid w:val="55B860B5"/>
    <w:rsid w:val="55C73B6D"/>
    <w:rsid w:val="55D765D8"/>
    <w:rsid w:val="55E74F22"/>
    <w:rsid w:val="55ED4953"/>
    <w:rsid w:val="55F04FF6"/>
    <w:rsid w:val="55FD5C05"/>
    <w:rsid w:val="5633556B"/>
    <w:rsid w:val="563B4759"/>
    <w:rsid w:val="5649100F"/>
    <w:rsid w:val="565408CC"/>
    <w:rsid w:val="565B01D1"/>
    <w:rsid w:val="56604743"/>
    <w:rsid w:val="569B5175"/>
    <w:rsid w:val="56A63A6B"/>
    <w:rsid w:val="56A97394"/>
    <w:rsid w:val="56AF23B9"/>
    <w:rsid w:val="56BB5F3C"/>
    <w:rsid w:val="56BC2FA6"/>
    <w:rsid w:val="56BD608E"/>
    <w:rsid w:val="56CF79B5"/>
    <w:rsid w:val="56D701ED"/>
    <w:rsid w:val="56DB31FB"/>
    <w:rsid w:val="56E36888"/>
    <w:rsid w:val="56E6075F"/>
    <w:rsid w:val="56ED6A4F"/>
    <w:rsid w:val="56FB0B62"/>
    <w:rsid w:val="56FB38F8"/>
    <w:rsid w:val="572B7D76"/>
    <w:rsid w:val="57350276"/>
    <w:rsid w:val="57480204"/>
    <w:rsid w:val="574F1705"/>
    <w:rsid w:val="57521214"/>
    <w:rsid w:val="575346E6"/>
    <w:rsid w:val="57546437"/>
    <w:rsid w:val="575817A3"/>
    <w:rsid w:val="575C4647"/>
    <w:rsid w:val="57700C66"/>
    <w:rsid w:val="57710FE8"/>
    <w:rsid w:val="57881DA7"/>
    <w:rsid w:val="579652ED"/>
    <w:rsid w:val="57996E43"/>
    <w:rsid w:val="57BB11C0"/>
    <w:rsid w:val="57D74343"/>
    <w:rsid w:val="57E676EA"/>
    <w:rsid w:val="57F41F18"/>
    <w:rsid w:val="57FB365A"/>
    <w:rsid w:val="58216B9E"/>
    <w:rsid w:val="582270EA"/>
    <w:rsid w:val="583147A4"/>
    <w:rsid w:val="584611FC"/>
    <w:rsid w:val="584625B9"/>
    <w:rsid w:val="584A5FD6"/>
    <w:rsid w:val="585636CA"/>
    <w:rsid w:val="585E073D"/>
    <w:rsid w:val="586B2AA2"/>
    <w:rsid w:val="58750470"/>
    <w:rsid w:val="58783F4D"/>
    <w:rsid w:val="58870D6E"/>
    <w:rsid w:val="588D5330"/>
    <w:rsid w:val="589C17D5"/>
    <w:rsid w:val="589F3F28"/>
    <w:rsid w:val="58A5484D"/>
    <w:rsid w:val="58A82EAD"/>
    <w:rsid w:val="58B25CD4"/>
    <w:rsid w:val="58B6180A"/>
    <w:rsid w:val="58B70F82"/>
    <w:rsid w:val="58D36A81"/>
    <w:rsid w:val="58DA2A14"/>
    <w:rsid w:val="58E14760"/>
    <w:rsid w:val="58E47279"/>
    <w:rsid w:val="58F06547"/>
    <w:rsid w:val="58F36328"/>
    <w:rsid w:val="58F505A7"/>
    <w:rsid w:val="59220B64"/>
    <w:rsid w:val="59241213"/>
    <w:rsid w:val="5925099C"/>
    <w:rsid w:val="592C120A"/>
    <w:rsid w:val="593E5EF4"/>
    <w:rsid w:val="5944329C"/>
    <w:rsid w:val="5949196E"/>
    <w:rsid w:val="5959426B"/>
    <w:rsid w:val="595A2602"/>
    <w:rsid w:val="596976B8"/>
    <w:rsid w:val="596D62FA"/>
    <w:rsid w:val="5971576F"/>
    <w:rsid w:val="59791019"/>
    <w:rsid w:val="598067A1"/>
    <w:rsid w:val="598725D6"/>
    <w:rsid w:val="59A80A2C"/>
    <w:rsid w:val="59B039A6"/>
    <w:rsid w:val="59B62442"/>
    <w:rsid w:val="59DB7BE7"/>
    <w:rsid w:val="59E67BEF"/>
    <w:rsid w:val="5A044CD7"/>
    <w:rsid w:val="5A1E35BF"/>
    <w:rsid w:val="5A214555"/>
    <w:rsid w:val="5A237D01"/>
    <w:rsid w:val="5A3A31C3"/>
    <w:rsid w:val="5A3B0D0B"/>
    <w:rsid w:val="5A3B1862"/>
    <w:rsid w:val="5A3E7416"/>
    <w:rsid w:val="5A4548FE"/>
    <w:rsid w:val="5A466973"/>
    <w:rsid w:val="5A52173F"/>
    <w:rsid w:val="5A5A774C"/>
    <w:rsid w:val="5A5B79B4"/>
    <w:rsid w:val="5A5D2B2C"/>
    <w:rsid w:val="5A634F64"/>
    <w:rsid w:val="5A6A1854"/>
    <w:rsid w:val="5A771855"/>
    <w:rsid w:val="5A7B26EA"/>
    <w:rsid w:val="5A9C6BCC"/>
    <w:rsid w:val="5A9E4986"/>
    <w:rsid w:val="5AA35018"/>
    <w:rsid w:val="5AAC21B6"/>
    <w:rsid w:val="5AB42467"/>
    <w:rsid w:val="5AC95E45"/>
    <w:rsid w:val="5AD32B73"/>
    <w:rsid w:val="5ADF3707"/>
    <w:rsid w:val="5AE3680F"/>
    <w:rsid w:val="5B0077AE"/>
    <w:rsid w:val="5B1340E6"/>
    <w:rsid w:val="5B2630E4"/>
    <w:rsid w:val="5B295D1F"/>
    <w:rsid w:val="5B391A07"/>
    <w:rsid w:val="5B4D72F6"/>
    <w:rsid w:val="5B557C15"/>
    <w:rsid w:val="5B7130F1"/>
    <w:rsid w:val="5B7D1D66"/>
    <w:rsid w:val="5B8D6CBF"/>
    <w:rsid w:val="5B8F6493"/>
    <w:rsid w:val="5B9861E9"/>
    <w:rsid w:val="5B990374"/>
    <w:rsid w:val="5B9C4B16"/>
    <w:rsid w:val="5BC76551"/>
    <w:rsid w:val="5BD62414"/>
    <w:rsid w:val="5BDC11F0"/>
    <w:rsid w:val="5BED02C0"/>
    <w:rsid w:val="5BEF2162"/>
    <w:rsid w:val="5BF05CDF"/>
    <w:rsid w:val="5BFA16FB"/>
    <w:rsid w:val="5C545A2F"/>
    <w:rsid w:val="5C5E432F"/>
    <w:rsid w:val="5C761B75"/>
    <w:rsid w:val="5C7A210E"/>
    <w:rsid w:val="5C820272"/>
    <w:rsid w:val="5C83448F"/>
    <w:rsid w:val="5C8A064E"/>
    <w:rsid w:val="5CB33834"/>
    <w:rsid w:val="5CBC1860"/>
    <w:rsid w:val="5CBF40CA"/>
    <w:rsid w:val="5CC46C82"/>
    <w:rsid w:val="5CC951C9"/>
    <w:rsid w:val="5CD14EB6"/>
    <w:rsid w:val="5CDD730A"/>
    <w:rsid w:val="5CE22035"/>
    <w:rsid w:val="5D222DF7"/>
    <w:rsid w:val="5D36100B"/>
    <w:rsid w:val="5D385550"/>
    <w:rsid w:val="5D491040"/>
    <w:rsid w:val="5D552C05"/>
    <w:rsid w:val="5D8538F5"/>
    <w:rsid w:val="5D8D253F"/>
    <w:rsid w:val="5D9038E6"/>
    <w:rsid w:val="5DAF62A3"/>
    <w:rsid w:val="5DB70023"/>
    <w:rsid w:val="5DD76917"/>
    <w:rsid w:val="5DE05FAF"/>
    <w:rsid w:val="5DE27014"/>
    <w:rsid w:val="5DE42A79"/>
    <w:rsid w:val="5DE43D38"/>
    <w:rsid w:val="5DED40FD"/>
    <w:rsid w:val="5DEF45E6"/>
    <w:rsid w:val="5DF070C7"/>
    <w:rsid w:val="5DF6625D"/>
    <w:rsid w:val="5DFB78A1"/>
    <w:rsid w:val="5E042740"/>
    <w:rsid w:val="5E074541"/>
    <w:rsid w:val="5E131ECE"/>
    <w:rsid w:val="5E177F67"/>
    <w:rsid w:val="5E2824F8"/>
    <w:rsid w:val="5E312342"/>
    <w:rsid w:val="5E347CAA"/>
    <w:rsid w:val="5E3953DC"/>
    <w:rsid w:val="5E546526"/>
    <w:rsid w:val="5E622685"/>
    <w:rsid w:val="5E64014B"/>
    <w:rsid w:val="5E64125A"/>
    <w:rsid w:val="5E692BF8"/>
    <w:rsid w:val="5E6F461C"/>
    <w:rsid w:val="5E7E1181"/>
    <w:rsid w:val="5E8B1DC8"/>
    <w:rsid w:val="5E8E5AFF"/>
    <w:rsid w:val="5E8E66C2"/>
    <w:rsid w:val="5E983765"/>
    <w:rsid w:val="5E992D6E"/>
    <w:rsid w:val="5EA83F0C"/>
    <w:rsid w:val="5EB1580B"/>
    <w:rsid w:val="5EBF6C53"/>
    <w:rsid w:val="5ECE7F48"/>
    <w:rsid w:val="5ED656F0"/>
    <w:rsid w:val="5EDD765C"/>
    <w:rsid w:val="5EE132BE"/>
    <w:rsid w:val="5EE21FEF"/>
    <w:rsid w:val="5EE809FF"/>
    <w:rsid w:val="5EEB1B3A"/>
    <w:rsid w:val="5F0454EA"/>
    <w:rsid w:val="5F060738"/>
    <w:rsid w:val="5F1052C0"/>
    <w:rsid w:val="5F117322"/>
    <w:rsid w:val="5F175124"/>
    <w:rsid w:val="5F1C1314"/>
    <w:rsid w:val="5F324694"/>
    <w:rsid w:val="5F3308FB"/>
    <w:rsid w:val="5F3B5A4A"/>
    <w:rsid w:val="5F5101AF"/>
    <w:rsid w:val="5F603A43"/>
    <w:rsid w:val="5F654C59"/>
    <w:rsid w:val="5F681618"/>
    <w:rsid w:val="5F685995"/>
    <w:rsid w:val="5F6E0BB6"/>
    <w:rsid w:val="5F8715C5"/>
    <w:rsid w:val="5F950838"/>
    <w:rsid w:val="5FA00370"/>
    <w:rsid w:val="5FA23C0D"/>
    <w:rsid w:val="5FA97B31"/>
    <w:rsid w:val="5FAE30F2"/>
    <w:rsid w:val="5FBD68DE"/>
    <w:rsid w:val="5FC943B4"/>
    <w:rsid w:val="5FCF11F2"/>
    <w:rsid w:val="5FD02B65"/>
    <w:rsid w:val="5FEF131A"/>
    <w:rsid w:val="60014213"/>
    <w:rsid w:val="60061C8E"/>
    <w:rsid w:val="60066843"/>
    <w:rsid w:val="60070445"/>
    <w:rsid w:val="600B4656"/>
    <w:rsid w:val="600F7CBF"/>
    <w:rsid w:val="60145BE9"/>
    <w:rsid w:val="602E6BAE"/>
    <w:rsid w:val="6030036E"/>
    <w:rsid w:val="60321761"/>
    <w:rsid w:val="603F0B33"/>
    <w:rsid w:val="603F58EB"/>
    <w:rsid w:val="60405809"/>
    <w:rsid w:val="604F07E6"/>
    <w:rsid w:val="6050092C"/>
    <w:rsid w:val="6053679E"/>
    <w:rsid w:val="60615395"/>
    <w:rsid w:val="608B58E7"/>
    <w:rsid w:val="608E3EBE"/>
    <w:rsid w:val="609548B6"/>
    <w:rsid w:val="60AB1B22"/>
    <w:rsid w:val="60BE4E95"/>
    <w:rsid w:val="60C53FFF"/>
    <w:rsid w:val="60CE1419"/>
    <w:rsid w:val="60D23FB5"/>
    <w:rsid w:val="60DB5A3B"/>
    <w:rsid w:val="60E67FD5"/>
    <w:rsid w:val="60EA40C6"/>
    <w:rsid w:val="60EC092C"/>
    <w:rsid w:val="60FB2DC7"/>
    <w:rsid w:val="60FB3346"/>
    <w:rsid w:val="60FE387E"/>
    <w:rsid w:val="61077C47"/>
    <w:rsid w:val="610859DB"/>
    <w:rsid w:val="611A1414"/>
    <w:rsid w:val="61287D74"/>
    <w:rsid w:val="612E045B"/>
    <w:rsid w:val="612E4A80"/>
    <w:rsid w:val="612F7E5E"/>
    <w:rsid w:val="613555BA"/>
    <w:rsid w:val="61362008"/>
    <w:rsid w:val="614868F3"/>
    <w:rsid w:val="61527746"/>
    <w:rsid w:val="615B08EF"/>
    <w:rsid w:val="615B2AA4"/>
    <w:rsid w:val="61601744"/>
    <w:rsid w:val="616745B9"/>
    <w:rsid w:val="616A46AA"/>
    <w:rsid w:val="6178545B"/>
    <w:rsid w:val="617B06C3"/>
    <w:rsid w:val="6190296C"/>
    <w:rsid w:val="61994B35"/>
    <w:rsid w:val="619B25B8"/>
    <w:rsid w:val="619B3521"/>
    <w:rsid w:val="61A87821"/>
    <w:rsid w:val="61BB7859"/>
    <w:rsid w:val="61C34597"/>
    <w:rsid w:val="61CD47C2"/>
    <w:rsid w:val="61D11707"/>
    <w:rsid w:val="61D50805"/>
    <w:rsid w:val="61D867CE"/>
    <w:rsid w:val="61E934C9"/>
    <w:rsid w:val="61EE3FF7"/>
    <w:rsid w:val="62023AA5"/>
    <w:rsid w:val="62025657"/>
    <w:rsid w:val="6208352F"/>
    <w:rsid w:val="620B0D4D"/>
    <w:rsid w:val="621077DC"/>
    <w:rsid w:val="621D541D"/>
    <w:rsid w:val="621E0FB3"/>
    <w:rsid w:val="62295F11"/>
    <w:rsid w:val="622A0CE9"/>
    <w:rsid w:val="6237161D"/>
    <w:rsid w:val="62425BD4"/>
    <w:rsid w:val="625450AD"/>
    <w:rsid w:val="625469B4"/>
    <w:rsid w:val="625664E0"/>
    <w:rsid w:val="62623953"/>
    <w:rsid w:val="626537E0"/>
    <w:rsid w:val="62654AC1"/>
    <w:rsid w:val="62662018"/>
    <w:rsid w:val="626A15EF"/>
    <w:rsid w:val="627306D4"/>
    <w:rsid w:val="62805CDB"/>
    <w:rsid w:val="62832C3E"/>
    <w:rsid w:val="628E5862"/>
    <w:rsid w:val="62931B90"/>
    <w:rsid w:val="62970F08"/>
    <w:rsid w:val="629B237B"/>
    <w:rsid w:val="62A02B13"/>
    <w:rsid w:val="62B75221"/>
    <w:rsid w:val="62B81491"/>
    <w:rsid w:val="62B81781"/>
    <w:rsid w:val="62C57EC0"/>
    <w:rsid w:val="62C7276D"/>
    <w:rsid w:val="62D13FB8"/>
    <w:rsid w:val="62D34DD2"/>
    <w:rsid w:val="62D522DA"/>
    <w:rsid w:val="62E0403B"/>
    <w:rsid w:val="62E77D1A"/>
    <w:rsid w:val="62F33D61"/>
    <w:rsid w:val="62F41FFC"/>
    <w:rsid w:val="62F826CC"/>
    <w:rsid w:val="62FD35E5"/>
    <w:rsid w:val="62FF6C09"/>
    <w:rsid w:val="630A67C2"/>
    <w:rsid w:val="630F44ED"/>
    <w:rsid w:val="631810DE"/>
    <w:rsid w:val="631D413D"/>
    <w:rsid w:val="634A442A"/>
    <w:rsid w:val="635C14E4"/>
    <w:rsid w:val="636566DA"/>
    <w:rsid w:val="63691D6E"/>
    <w:rsid w:val="636C5F8B"/>
    <w:rsid w:val="637721C3"/>
    <w:rsid w:val="638B36A0"/>
    <w:rsid w:val="639A4752"/>
    <w:rsid w:val="63BD558F"/>
    <w:rsid w:val="63BE11FE"/>
    <w:rsid w:val="63CF256C"/>
    <w:rsid w:val="63CF276F"/>
    <w:rsid w:val="63D567C7"/>
    <w:rsid w:val="63EF4A2D"/>
    <w:rsid w:val="63F844A0"/>
    <w:rsid w:val="63FC093D"/>
    <w:rsid w:val="640257A0"/>
    <w:rsid w:val="640C526F"/>
    <w:rsid w:val="641D178B"/>
    <w:rsid w:val="6426218D"/>
    <w:rsid w:val="64273EFE"/>
    <w:rsid w:val="644167BF"/>
    <w:rsid w:val="644C4B55"/>
    <w:rsid w:val="644D4CA4"/>
    <w:rsid w:val="64710683"/>
    <w:rsid w:val="64855383"/>
    <w:rsid w:val="64987A19"/>
    <w:rsid w:val="649E7692"/>
    <w:rsid w:val="64A27ACE"/>
    <w:rsid w:val="64AC27F7"/>
    <w:rsid w:val="64AD4784"/>
    <w:rsid w:val="64AE53F7"/>
    <w:rsid w:val="64B1091C"/>
    <w:rsid w:val="64B97D5A"/>
    <w:rsid w:val="64BB6C47"/>
    <w:rsid w:val="64BE336A"/>
    <w:rsid w:val="64C61CB5"/>
    <w:rsid w:val="64CE1865"/>
    <w:rsid w:val="64CE1E95"/>
    <w:rsid w:val="64DD17D5"/>
    <w:rsid w:val="64DD253C"/>
    <w:rsid w:val="64E32C0D"/>
    <w:rsid w:val="64E34381"/>
    <w:rsid w:val="64EC7DBE"/>
    <w:rsid w:val="64F03F09"/>
    <w:rsid w:val="64F73B49"/>
    <w:rsid w:val="64F90154"/>
    <w:rsid w:val="64FE5FDC"/>
    <w:rsid w:val="65127BC9"/>
    <w:rsid w:val="65226F5B"/>
    <w:rsid w:val="653415BC"/>
    <w:rsid w:val="65380875"/>
    <w:rsid w:val="65494717"/>
    <w:rsid w:val="656777B1"/>
    <w:rsid w:val="65744BBB"/>
    <w:rsid w:val="65745756"/>
    <w:rsid w:val="657573D6"/>
    <w:rsid w:val="6579572F"/>
    <w:rsid w:val="657D1B52"/>
    <w:rsid w:val="657F44B1"/>
    <w:rsid w:val="65856998"/>
    <w:rsid w:val="65A05D6F"/>
    <w:rsid w:val="65A35E8E"/>
    <w:rsid w:val="65AA47C1"/>
    <w:rsid w:val="65BC65E7"/>
    <w:rsid w:val="65CC5645"/>
    <w:rsid w:val="65DD6469"/>
    <w:rsid w:val="65E74C15"/>
    <w:rsid w:val="65E96EF5"/>
    <w:rsid w:val="65EB0A1F"/>
    <w:rsid w:val="65F13345"/>
    <w:rsid w:val="65F51309"/>
    <w:rsid w:val="65FB22AF"/>
    <w:rsid w:val="66060C04"/>
    <w:rsid w:val="660F0098"/>
    <w:rsid w:val="66236B0A"/>
    <w:rsid w:val="66321A5D"/>
    <w:rsid w:val="665976DA"/>
    <w:rsid w:val="665978D6"/>
    <w:rsid w:val="66652D12"/>
    <w:rsid w:val="666F6D80"/>
    <w:rsid w:val="667245C3"/>
    <w:rsid w:val="667A103B"/>
    <w:rsid w:val="66853957"/>
    <w:rsid w:val="668D4017"/>
    <w:rsid w:val="669B6A87"/>
    <w:rsid w:val="669E65F5"/>
    <w:rsid w:val="66A5202F"/>
    <w:rsid w:val="66A81B0A"/>
    <w:rsid w:val="66B60E53"/>
    <w:rsid w:val="66DB7D5A"/>
    <w:rsid w:val="66E21BDB"/>
    <w:rsid w:val="66E9646E"/>
    <w:rsid w:val="66E96BD0"/>
    <w:rsid w:val="66F42FFF"/>
    <w:rsid w:val="66F437F4"/>
    <w:rsid w:val="66F754AA"/>
    <w:rsid w:val="67132309"/>
    <w:rsid w:val="671A71FC"/>
    <w:rsid w:val="672C28D6"/>
    <w:rsid w:val="6735169B"/>
    <w:rsid w:val="67414D32"/>
    <w:rsid w:val="67432E7D"/>
    <w:rsid w:val="674735A2"/>
    <w:rsid w:val="67601856"/>
    <w:rsid w:val="67630A4B"/>
    <w:rsid w:val="67631CA4"/>
    <w:rsid w:val="677129D0"/>
    <w:rsid w:val="677B7977"/>
    <w:rsid w:val="67862C1B"/>
    <w:rsid w:val="67A34B3C"/>
    <w:rsid w:val="67AD2A5C"/>
    <w:rsid w:val="67B41268"/>
    <w:rsid w:val="67B52DAC"/>
    <w:rsid w:val="67C10C5B"/>
    <w:rsid w:val="67C51289"/>
    <w:rsid w:val="67D30EB3"/>
    <w:rsid w:val="67D5211A"/>
    <w:rsid w:val="67DF7303"/>
    <w:rsid w:val="67E40DD3"/>
    <w:rsid w:val="67E4371F"/>
    <w:rsid w:val="67E81E4D"/>
    <w:rsid w:val="67E87AD0"/>
    <w:rsid w:val="67F43B4F"/>
    <w:rsid w:val="67F66C43"/>
    <w:rsid w:val="68156360"/>
    <w:rsid w:val="681D2B64"/>
    <w:rsid w:val="681E4C98"/>
    <w:rsid w:val="682B763F"/>
    <w:rsid w:val="6843548D"/>
    <w:rsid w:val="685B6E87"/>
    <w:rsid w:val="685D0876"/>
    <w:rsid w:val="68600D58"/>
    <w:rsid w:val="686058A9"/>
    <w:rsid w:val="68624B41"/>
    <w:rsid w:val="686E7D63"/>
    <w:rsid w:val="68711D67"/>
    <w:rsid w:val="68794A24"/>
    <w:rsid w:val="687B51E8"/>
    <w:rsid w:val="687D3B3C"/>
    <w:rsid w:val="687E0414"/>
    <w:rsid w:val="688558EE"/>
    <w:rsid w:val="688B3417"/>
    <w:rsid w:val="68911E74"/>
    <w:rsid w:val="68931F2B"/>
    <w:rsid w:val="689C4AF0"/>
    <w:rsid w:val="68A85E4C"/>
    <w:rsid w:val="68B1232C"/>
    <w:rsid w:val="68B254D2"/>
    <w:rsid w:val="68B37CC9"/>
    <w:rsid w:val="68BC13C0"/>
    <w:rsid w:val="68BE027D"/>
    <w:rsid w:val="68C201F7"/>
    <w:rsid w:val="68C54743"/>
    <w:rsid w:val="68D92F51"/>
    <w:rsid w:val="68E3351D"/>
    <w:rsid w:val="68F11E63"/>
    <w:rsid w:val="68F14C3B"/>
    <w:rsid w:val="68F410E4"/>
    <w:rsid w:val="690C02F8"/>
    <w:rsid w:val="691232A6"/>
    <w:rsid w:val="691952D1"/>
    <w:rsid w:val="691F2828"/>
    <w:rsid w:val="69277BAD"/>
    <w:rsid w:val="692B5965"/>
    <w:rsid w:val="69336C77"/>
    <w:rsid w:val="6936532B"/>
    <w:rsid w:val="693A4B8F"/>
    <w:rsid w:val="69484FDB"/>
    <w:rsid w:val="69496826"/>
    <w:rsid w:val="694A3591"/>
    <w:rsid w:val="69543034"/>
    <w:rsid w:val="6973347C"/>
    <w:rsid w:val="69793B84"/>
    <w:rsid w:val="699F1AEF"/>
    <w:rsid w:val="69A17E0A"/>
    <w:rsid w:val="69BD2E65"/>
    <w:rsid w:val="69C3298E"/>
    <w:rsid w:val="69C42F0D"/>
    <w:rsid w:val="69C97A5C"/>
    <w:rsid w:val="69CB6FE2"/>
    <w:rsid w:val="69CD637A"/>
    <w:rsid w:val="69D24000"/>
    <w:rsid w:val="69D879B0"/>
    <w:rsid w:val="69D90001"/>
    <w:rsid w:val="69DC2875"/>
    <w:rsid w:val="69ED17F8"/>
    <w:rsid w:val="6A0227A8"/>
    <w:rsid w:val="6A1A6A24"/>
    <w:rsid w:val="6A2F0733"/>
    <w:rsid w:val="6A3177EF"/>
    <w:rsid w:val="6A413A96"/>
    <w:rsid w:val="6A4A66F7"/>
    <w:rsid w:val="6A60151E"/>
    <w:rsid w:val="6A6205FB"/>
    <w:rsid w:val="6A7154D2"/>
    <w:rsid w:val="6A796C16"/>
    <w:rsid w:val="6A7D243E"/>
    <w:rsid w:val="6A8F588A"/>
    <w:rsid w:val="6A92753B"/>
    <w:rsid w:val="6A9E7A3D"/>
    <w:rsid w:val="6AA31959"/>
    <w:rsid w:val="6AAD2DD6"/>
    <w:rsid w:val="6AB27C07"/>
    <w:rsid w:val="6AB66BC9"/>
    <w:rsid w:val="6AB73D58"/>
    <w:rsid w:val="6AC07C98"/>
    <w:rsid w:val="6ACA0A05"/>
    <w:rsid w:val="6ACB5B05"/>
    <w:rsid w:val="6AD93E55"/>
    <w:rsid w:val="6AE334F1"/>
    <w:rsid w:val="6AE71156"/>
    <w:rsid w:val="6AE929BC"/>
    <w:rsid w:val="6AF0009F"/>
    <w:rsid w:val="6AF168ED"/>
    <w:rsid w:val="6AFF369B"/>
    <w:rsid w:val="6B0B15E0"/>
    <w:rsid w:val="6B104474"/>
    <w:rsid w:val="6B213900"/>
    <w:rsid w:val="6B25683C"/>
    <w:rsid w:val="6B2A079E"/>
    <w:rsid w:val="6B2E06BA"/>
    <w:rsid w:val="6B346CB9"/>
    <w:rsid w:val="6B367EB4"/>
    <w:rsid w:val="6B387E5E"/>
    <w:rsid w:val="6B3B4729"/>
    <w:rsid w:val="6B425E8A"/>
    <w:rsid w:val="6B461EDA"/>
    <w:rsid w:val="6B487507"/>
    <w:rsid w:val="6B601395"/>
    <w:rsid w:val="6B62315D"/>
    <w:rsid w:val="6B63088A"/>
    <w:rsid w:val="6B643F25"/>
    <w:rsid w:val="6B6C68F1"/>
    <w:rsid w:val="6B6F7816"/>
    <w:rsid w:val="6B702365"/>
    <w:rsid w:val="6B7E19CD"/>
    <w:rsid w:val="6B801646"/>
    <w:rsid w:val="6B814D9E"/>
    <w:rsid w:val="6B827BEC"/>
    <w:rsid w:val="6B8B4A16"/>
    <w:rsid w:val="6B8C6F93"/>
    <w:rsid w:val="6B8E684F"/>
    <w:rsid w:val="6B981494"/>
    <w:rsid w:val="6BA836A7"/>
    <w:rsid w:val="6BB676C4"/>
    <w:rsid w:val="6BBB3901"/>
    <w:rsid w:val="6BC801EA"/>
    <w:rsid w:val="6BDF6CC4"/>
    <w:rsid w:val="6BE7537A"/>
    <w:rsid w:val="6BF713A0"/>
    <w:rsid w:val="6C070B91"/>
    <w:rsid w:val="6C0B3EB2"/>
    <w:rsid w:val="6C1A0A77"/>
    <w:rsid w:val="6C1C4750"/>
    <w:rsid w:val="6C1F1E21"/>
    <w:rsid w:val="6C223FAC"/>
    <w:rsid w:val="6C2F5075"/>
    <w:rsid w:val="6C3513D9"/>
    <w:rsid w:val="6C445118"/>
    <w:rsid w:val="6C46271A"/>
    <w:rsid w:val="6C474EF9"/>
    <w:rsid w:val="6C4B4758"/>
    <w:rsid w:val="6C4C17F2"/>
    <w:rsid w:val="6C533564"/>
    <w:rsid w:val="6C573043"/>
    <w:rsid w:val="6C591A64"/>
    <w:rsid w:val="6C5F584C"/>
    <w:rsid w:val="6C6B6F68"/>
    <w:rsid w:val="6C6D497F"/>
    <w:rsid w:val="6C8658C3"/>
    <w:rsid w:val="6C8F160B"/>
    <w:rsid w:val="6CAA5DF6"/>
    <w:rsid w:val="6CAD6199"/>
    <w:rsid w:val="6CAF7728"/>
    <w:rsid w:val="6CB07B43"/>
    <w:rsid w:val="6CBA2382"/>
    <w:rsid w:val="6CBA5185"/>
    <w:rsid w:val="6CBD2E6E"/>
    <w:rsid w:val="6CC16782"/>
    <w:rsid w:val="6CD1329B"/>
    <w:rsid w:val="6CE67B1F"/>
    <w:rsid w:val="6CEF227C"/>
    <w:rsid w:val="6CEF622B"/>
    <w:rsid w:val="6D027DC8"/>
    <w:rsid w:val="6D08160C"/>
    <w:rsid w:val="6D1623CC"/>
    <w:rsid w:val="6D25240D"/>
    <w:rsid w:val="6D2D540F"/>
    <w:rsid w:val="6D351C89"/>
    <w:rsid w:val="6D410AFB"/>
    <w:rsid w:val="6D43796C"/>
    <w:rsid w:val="6D4C2232"/>
    <w:rsid w:val="6D594C53"/>
    <w:rsid w:val="6D5A2293"/>
    <w:rsid w:val="6D631B18"/>
    <w:rsid w:val="6D7323BF"/>
    <w:rsid w:val="6D7E54FF"/>
    <w:rsid w:val="6D8158D8"/>
    <w:rsid w:val="6D875787"/>
    <w:rsid w:val="6D8C1D7F"/>
    <w:rsid w:val="6DA619D6"/>
    <w:rsid w:val="6DAB6551"/>
    <w:rsid w:val="6DC1631B"/>
    <w:rsid w:val="6DD275E0"/>
    <w:rsid w:val="6DD9608C"/>
    <w:rsid w:val="6DE42EE4"/>
    <w:rsid w:val="6DE970EA"/>
    <w:rsid w:val="6DEF74ED"/>
    <w:rsid w:val="6DF32CA7"/>
    <w:rsid w:val="6DF5641E"/>
    <w:rsid w:val="6DF73A81"/>
    <w:rsid w:val="6E015F3D"/>
    <w:rsid w:val="6E0C373D"/>
    <w:rsid w:val="6E1578A4"/>
    <w:rsid w:val="6E3033A3"/>
    <w:rsid w:val="6E3B6A4F"/>
    <w:rsid w:val="6E3F386B"/>
    <w:rsid w:val="6E47182B"/>
    <w:rsid w:val="6E4E3360"/>
    <w:rsid w:val="6E512CD3"/>
    <w:rsid w:val="6E593AE4"/>
    <w:rsid w:val="6E6416A4"/>
    <w:rsid w:val="6E6B34A3"/>
    <w:rsid w:val="6E6B7E36"/>
    <w:rsid w:val="6E6D1362"/>
    <w:rsid w:val="6E6E4D61"/>
    <w:rsid w:val="6E7C4644"/>
    <w:rsid w:val="6E8020D3"/>
    <w:rsid w:val="6E813D91"/>
    <w:rsid w:val="6E895C81"/>
    <w:rsid w:val="6E8F42D3"/>
    <w:rsid w:val="6E8F54B4"/>
    <w:rsid w:val="6E994449"/>
    <w:rsid w:val="6EA63EC8"/>
    <w:rsid w:val="6EBC1098"/>
    <w:rsid w:val="6EC4377A"/>
    <w:rsid w:val="6ED35665"/>
    <w:rsid w:val="6EE83F08"/>
    <w:rsid w:val="6EEC6A5A"/>
    <w:rsid w:val="6F08315C"/>
    <w:rsid w:val="6F0D3ED0"/>
    <w:rsid w:val="6F236464"/>
    <w:rsid w:val="6F240E42"/>
    <w:rsid w:val="6F2822B5"/>
    <w:rsid w:val="6F2D27BE"/>
    <w:rsid w:val="6F3874AA"/>
    <w:rsid w:val="6F4418DA"/>
    <w:rsid w:val="6F4709FD"/>
    <w:rsid w:val="6F571084"/>
    <w:rsid w:val="6F5B2A24"/>
    <w:rsid w:val="6F5E2375"/>
    <w:rsid w:val="6F623646"/>
    <w:rsid w:val="6F685621"/>
    <w:rsid w:val="6F6A457A"/>
    <w:rsid w:val="6F8B594A"/>
    <w:rsid w:val="6F8C5863"/>
    <w:rsid w:val="6F9D176F"/>
    <w:rsid w:val="6F9E164D"/>
    <w:rsid w:val="6FAF361C"/>
    <w:rsid w:val="6FB52FCC"/>
    <w:rsid w:val="6FB652BB"/>
    <w:rsid w:val="6FB95BB9"/>
    <w:rsid w:val="6FBE3493"/>
    <w:rsid w:val="6FE17FF0"/>
    <w:rsid w:val="6FE7439B"/>
    <w:rsid w:val="6FE969BF"/>
    <w:rsid w:val="6FED7AA7"/>
    <w:rsid w:val="6FF57A3D"/>
    <w:rsid w:val="70002411"/>
    <w:rsid w:val="700E342C"/>
    <w:rsid w:val="700F0F64"/>
    <w:rsid w:val="701B4455"/>
    <w:rsid w:val="70217031"/>
    <w:rsid w:val="70243A7D"/>
    <w:rsid w:val="70267986"/>
    <w:rsid w:val="70340C9E"/>
    <w:rsid w:val="70395B51"/>
    <w:rsid w:val="703D730B"/>
    <w:rsid w:val="704679F6"/>
    <w:rsid w:val="704B2437"/>
    <w:rsid w:val="7054140D"/>
    <w:rsid w:val="7065090D"/>
    <w:rsid w:val="7067248C"/>
    <w:rsid w:val="70700C31"/>
    <w:rsid w:val="70757FF6"/>
    <w:rsid w:val="7081436D"/>
    <w:rsid w:val="70830B30"/>
    <w:rsid w:val="70843EF3"/>
    <w:rsid w:val="708E3D85"/>
    <w:rsid w:val="708F0AD1"/>
    <w:rsid w:val="709D2496"/>
    <w:rsid w:val="709D4824"/>
    <w:rsid w:val="70A97717"/>
    <w:rsid w:val="70AB32FA"/>
    <w:rsid w:val="70B328CC"/>
    <w:rsid w:val="70BC1F99"/>
    <w:rsid w:val="70C1525D"/>
    <w:rsid w:val="70CE1C35"/>
    <w:rsid w:val="70D23836"/>
    <w:rsid w:val="70D50A94"/>
    <w:rsid w:val="70DB7F45"/>
    <w:rsid w:val="70F71FB3"/>
    <w:rsid w:val="70FC0717"/>
    <w:rsid w:val="712317FC"/>
    <w:rsid w:val="7138122D"/>
    <w:rsid w:val="713E451B"/>
    <w:rsid w:val="71433036"/>
    <w:rsid w:val="714E0188"/>
    <w:rsid w:val="714F1788"/>
    <w:rsid w:val="715F4B4E"/>
    <w:rsid w:val="716330C5"/>
    <w:rsid w:val="716D38A1"/>
    <w:rsid w:val="71775FF0"/>
    <w:rsid w:val="717D664F"/>
    <w:rsid w:val="7184022A"/>
    <w:rsid w:val="718C698D"/>
    <w:rsid w:val="71924139"/>
    <w:rsid w:val="71B36606"/>
    <w:rsid w:val="71BC3FF7"/>
    <w:rsid w:val="71C04C20"/>
    <w:rsid w:val="71CA609A"/>
    <w:rsid w:val="71DC7E8D"/>
    <w:rsid w:val="71E566F8"/>
    <w:rsid w:val="71E87F09"/>
    <w:rsid w:val="71FB1615"/>
    <w:rsid w:val="71FC02A3"/>
    <w:rsid w:val="71FD64F5"/>
    <w:rsid w:val="72052CA7"/>
    <w:rsid w:val="72086C48"/>
    <w:rsid w:val="7209768E"/>
    <w:rsid w:val="720D5082"/>
    <w:rsid w:val="72146C9B"/>
    <w:rsid w:val="723C253D"/>
    <w:rsid w:val="723F4D5F"/>
    <w:rsid w:val="724E2614"/>
    <w:rsid w:val="724F355A"/>
    <w:rsid w:val="726437F6"/>
    <w:rsid w:val="7264404D"/>
    <w:rsid w:val="726B4173"/>
    <w:rsid w:val="726C2C48"/>
    <w:rsid w:val="726D3426"/>
    <w:rsid w:val="727068C2"/>
    <w:rsid w:val="727236FB"/>
    <w:rsid w:val="72741343"/>
    <w:rsid w:val="72747DC5"/>
    <w:rsid w:val="727B544A"/>
    <w:rsid w:val="72872DB0"/>
    <w:rsid w:val="729251C6"/>
    <w:rsid w:val="72A37174"/>
    <w:rsid w:val="72B1108D"/>
    <w:rsid w:val="72BB6E10"/>
    <w:rsid w:val="72C06107"/>
    <w:rsid w:val="72DA6732"/>
    <w:rsid w:val="72E04D55"/>
    <w:rsid w:val="72F43367"/>
    <w:rsid w:val="730B577C"/>
    <w:rsid w:val="7315140A"/>
    <w:rsid w:val="731625FC"/>
    <w:rsid w:val="731E3543"/>
    <w:rsid w:val="73201B95"/>
    <w:rsid w:val="7325317A"/>
    <w:rsid w:val="73406174"/>
    <w:rsid w:val="73423A7A"/>
    <w:rsid w:val="7348701D"/>
    <w:rsid w:val="734A28B7"/>
    <w:rsid w:val="7357105A"/>
    <w:rsid w:val="737A39F5"/>
    <w:rsid w:val="738B062C"/>
    <w:rsid w:val="73985622"/>
    <w:rsid w:val="739C4363"/>
    <w:rsid w:val="73A31545"/>
    <w:rsid w:val="73AC4A69"/>
    <w:rsid w:val="73AF6852"/>
    <w:rsid w:val="73B33721"/>
    <w:rsid w:val="73B53504"/>
    <w:rsid w:val="73CE2013"/>
    <w:rsid w:val="73D7393F"/>
    <w:rsid w:val="73DD0263"/>
    <w:rsid w:val="73DD75DF"/>
    <w:rsid w:val="73E85387"/>
    <w:rsid w:val="73F95B20"/>
    <w:rsid w:val="73FE1F9F"/>
    <w:rsid w:val="74087741"/>
    <w:rsid w:val="74165962"/>
    <w:rsid w:val="741D0C94"/>
    <w:rsid w:val="74213D66"/>
    <w:rsid w:val="74250CD9"/>
    <w:rsid w:val="742F414E"/>
    <w:rsid w:val="742F670E"/>
    <w:rsid w:val="7430191F"/>
    <w:rsid w:val="743F09E7"/>
    <w:rsid w:val="74410E24"/>
    <w:rsid w:val="74422B79"/>
    <w:rsid w:val="74467AF6"/>
    <w:rsid w:val="746834FA"/>
    <w:rsid w:val="74687CBF"/>
    <w:rsid w:val="746B0BAA"/>
    <w:rsid w:val="74742AF1"/>
    <w:rsid w:val="748528EB"/>
    <w:rsid w:val="74970208"/>
    <w:rsid w:val="749D633F"/>
    <w:rsid w:val="74A215D5"/>
    <w:rsid w:val="74A9060F"/>
    <w:rsid w:val="74A9506F"/>
    <w:rsid w:val="74AC57AA"/>
    <w:rsid w:val="74AC6B3A"/>
    <w:rsid w:val="74B97DE3"/>
    <w:rsid w:val="74C035F2"/>
    <w:rsid w:val="74C41CC3"/>
    <w:rsid w:val="74C4779E"/>
    <w:rsid w:val="74CE5A34"/>
    <w:rsid w:val="74E93D82"/>
    <w:rsid w:val="74F454AB"/>
    <w:rsid w:val="751838CC"/>
    <w:rsid w:val="752C514D"/>
    <w:rsid w:val="75377F70"/>
    <w:rsid w:val="754E6F5D"/>
    <w:rsid w:val="75534552"/>
    <w:rsid w:val="75554A77"/>
    <w:rsid w:val="75564379"/>
    <w:rsid w:val="755E4481"/>
    <w:rsid w:val="7564754F"/>
    <w:rsid w:val="75653F8F"/>
    <w:rsid w:val="757345ED"/>
    <w:rsid w:val="7585360D"/>
    <w:rsid w:val="75853C55"/>
    <w:rsid w:val="758A3D6D"/>
    <w:rsid w:val="75921F92"/>
    <w:rsid w:val="75C02053"/>
    <w:rsid w:val="75CB3545"/>
    <w:rsid w:val="75D0668E"/>
    <w:rsid w:val="75D91278"/>
    <w:rsid w:val="75D95DAA"/>
    <w:rsid w:val="75DD025A"/>
    <w:rsid w:val="75DE3386"/>
    <w:rsid w:val="75DE7589"/>
    <w:rsid w:val="75EB6AA1"/>
    <w:rsid w:val="75EF1DD9"/>
    <w:rsid w:val="75F5572D"/>
    <w:rsid w:val="762404D4"/>
    <w:rsid w:val="762E07DC"/>
    <w:rsid w:val="7633736D"/>
    <w:rsid w:val="76391AC6"/>
    <w:rsid w:val="76520E7E"/>
    <w:rsid w:val="76610E1E"/>
    <w:rsid w:val="766F287A"/>
    <w:rsid w:val="76701021"/>
    <w:rsid w:val="767D3C03"/>
    <w:rsid w:val="76827062"/>
    <w:rsid w:val="768A53A8"/>
    <w:rsid w:val="768B24F9"/>
    <w:rsid w:val="76944CA4"/>
    <w:rsid w:val="7696634D"/>
    <w:rsid w:val="76985AE2"/>
    <w:rsid w:val="769F7D98"/>
    <w:rsid w:val="76B175BC"/>
    <w:rsid w:val="76B6683F"/>
    <w:rsid w:val="76B97545"/>
    <w:rsid w:val="76C3433D"/>
    <w:rsid w:val="76C375E1"/>
    <w:rsid w:val="76C9651D"/>
    <w:rsid w:val="76D1711F"/>
    <w:rsid w:val="76D20CDE"/>
    <w:rsid w:val="76D731F7"/>
    <w:rsid w:val="76DA2E7B"/>
    <w:rsid w:val="76DE0552"/>
    <w:rsid w:val="76E039BC"/>
    <w:rsid w:val="77007465"/>
    <w:rsid w:val="77040D55"/>
    <w:rsid w:val="77104FD8"/>
    <w:rsid w:val="77111E40"/>
    <w:rsid w:val="77206FD3"/>
    <w:rsid w:val="772B5915"/>
    <w:rsid w:val="772C6A64"/>
    <w:rsid w:val="772D4B79"/>
    <w:rsid w:val="772E644B"/>
    <w:rsid w:val="772F6324"/>
    <w:rsid w:val="77440722"/>
    <w:rsid w:val="77495E85"/>
    <w:rsid w:val="775F1633"/>
    <w:rsid w:val="77647B3B"/>
    <w:rsid w:val="776C64FC"/>
    <w:rsid w:val="776D7803"/>
    <w:rsid w:val="776E6765"/>
    <w:rsid w:val="777031CF"/>
    <w:rsid w:val="77727514"/>
    <w:rsid w:val="7777673E"/>
    <w:rsid w:val="777B754B"/>
    <w:rsid w:val="77871F6E"/>
    <w:rsid w:val="77963C6B"/>
    <w:rsid w:val="77AC5563"/>
    <w:rsid w:val="77C74149"/>
    <w:rsid w:val="77CD3E6F"/>
    <w:rsid w:val="77DA5DCD"/>
    <w:rsid w:val="77DE7BD3"/>
    <w:rsid w:val="77E76D58"/>
    <w:rsid w:val="77F30E29"/>
    <w:rsid w:val="77F86763"/>
    <w:rsid w:val="78032F91"/>
    <w:rsid w:val="78391D4B"/>
    <w:rsid w:val="784976AB"/>
    <w:rsid w:val="784D3788"/>
    <w:rsid w:val="786D5A56"/>
    <w:rsid w:val="787C1C3D"/>
    <w:rsid w:val="788C60D5"/>
    <w:rsid w:val="788D4469"/>
    <w:rsid w:val="78922472"/>
    <w:rsid w:val="789575B1"/>
    <w:rsid w:val="78B66E08"/>
    <w:rsid w:val="78B91B66"/>
    <w:rsid w:val="78BB0D0F"/>
    <w:rsid w:val="78BD534B"/>
    <w:rsid w:val="78C626DF"/>
    <w:rsid w:val="78C90E4C"/>
    <w:rsid w:val="78D15E97"/>
    <w:rsid w:val="78E24696"/>
    <w:rsid w:val="78E67510"/>
    <w:rsid w:val="78F023DA"/>
    <w:rsid w:val="78F17D83"/>
    <w:rsid w:val="79033525"/>
    <w:rsid w:val="79094BEA"/>
    <w:rsid w:val="790D1906"/>
    <w:rsid w:val="791153EF"/>
    <w:rsid w:val="791B586C"/>
    <w:rsid w:val="792253EC"/>
    <w:rsid w:val="79294073"/>
    <w:rsid w:val="7930365E"/>
    <w:rsid w:val="793F2B12"/>
    <w:rsid w:val="794054AC"/>
    <w:rsid w:val="79411FC0"/>
    <w:rsid w:val="79416DAC"/>
    <w:rsid w:val="794351C7"/>
    <w:rsid w:val="795A6B7F"/>
    <w:rsid w:val="795E5A72"/>
    <w:rsid w:val="797144A4"/>
    <w:rsid w:val="797F7531"/>
    <w:rsid w:val="7994264C"/>
    <w:rsid w:val="79984EFC"/>
    <w:rsid w:val="79AE52D4"/>
    <w:rsid w:val="79BC4EA2"/>
    <w:rsid w:val="79C43E47"/>
    <w:rsid w:val="79C756FD"/>
    <w:rsid w:val="79CE3815"/>
    <w:rsid w:val="79D966BA"/>
    <w:rsid w:val="79E92D7D"/>
    <w:rsid w:val="79EA53F0"/>
    <w:rsid w:val="79EC36BB"/>
    <w:rsid w:val="79F82B71"/>
    <w:rsid w:val="79FB191F"/>
    <w:rsid w:val="7A0E424F"/>
    <w:rsid w:val="7A250A85"/>
    <w:rsid w:val="7A3958BB"/>
    <w:rsid w:val="7A4E712B"/>
    <w:rsid w:val="7A505630"/>
    <w:rsid w:val="7A57076C"/>
    <w:rsid w:val="7A5A538E"/>
    <w:rsid w:val="7A5A5BA8"/>
    <w:rsid w:val="7A5C5BD6"/>
    <w:rsid w:val="7A66163F"/>
    <w:rsid w:val="7A7408C7"/>
    <w:rsid w:val="7A827ECC"/>
    <w:rsid w:val="7A942E72"/>
    <w:rsid w:val="7A9A49D8"/>
    <w:rsid w:val="7AA17C39"/>
    <w:rsid w:val="7AB317CB"/>
    <w:rsid w:val="7AB651E7"/>
    <w:rsid w:val="7ADB314B"/>
    <w:rsid w:val="7AF24089"/>
    <w:rsid w:val="7AF5322D"/>
    <w:rsid w:val="7AFF6EE7"/>
    <w:rsid w:val="7B121152"/>
    <w:rsid w:val="7B1E4E86"/>
    <w:rsid w:val="7B253EBC"/>
    <w:rsid w:val="7B312413"/>
    <w:rsid w:val="7B4A6C88"/>
    <w:rsid w:val="7B6300D8"/>
    <w:rsid w:val="7B722E89"/>
    <w:rsid w:val="7B75534E"/>
    <w:rsid w:val="7B806ADF"/>
    <w:rsid w:val="7B8410DB"/>
    <w:rsid w:val="7B8657AD"/>
    <w:rsid w:val="7B89704B"/>
    <w:rsid w:val="7B8B2806"/>
    <w:rsid w:val="7B995D1E"/>
    <w:rsid w:val="7BA05FB3"/>
    <w:rsid w:val="7BA8292F"/>
    <w:rsid w:val="7BAA151D"/>
    <w:rsid w:val="7BB6059A"/>
    <w:rsid w:val="7BC167E5"/>
    <w:rsid w:val="7BCD0401"/>
    <w:rsid w:val="7BD14B15"/>
    <w:rsid w:val="7BD66691"/>
    <w:rsid w:val="7BE11714"/>
    <w:rsid w:val="7BEF28D0"/>
    <w:rsid w:val="7BF50744"/>
    <w:rsid w:val="7BFC00D7"/>
    <w:rsid w:val="7C001CD6"/>
    <w:rsid w:val="7C116FC2"/>
    <w:rsid w:val="7C1C704C"/>
    <w:rsid w:val="7C357219"/>
    <w:rsid w:val="7C3714E0"/>
    <w:rsid w:val="7C4C3564"/>
    <w:rsid w:val="7C4D6B6B"/>
    <w:rsid w:val="7C604061"/>
    <w:rsid w:val="7C64079E"/>
    <w:rsid w:val="7C8D4118"/>
    <w:rsid w:val="7C91213C"/>
    <w:rsid w:val="7C9B25CE"/>
    <w:rsid w:val="7C9D2A38"/>
    <w:rsid w:val="7CAA3794"/>
    <w:rsid w:val="7CB029CD"/>
    <w:rsid w:val="7CB542E7"/>
    <w:rsid w:val="7CBC55FB"/>
    <w:rsid w:val="7CC71EEB"/>
    <w:rsid w:val="7CCD4D16"/>
    <w:rsid w:val="7CCE3D6A"/>
    <w:rsid w:val="7CD930BD"/>
    <w:rsid w:val="7CEF740C"/>
    <w:rsid w:val="7CF11C3E"/>
    <w:rsid w:val="7CF152E5"/>
    <w:rsid w:val="7D184A39"/>
    <w:rsid w:val="7D2D7007"/>
    <w:rsid w:val="7D36464E"/>
    <w:rsid w:val="7D374D36"/>
    <w:rsid w:val="7D3A60A2"/>
    <w:rsid w:val="7D4615F6"/>
    <w:rsid w:val="7D651BFD"/>
    <w:rsid w:val="7D733A32"/>
    <w:rsid w:val="7D7C3DCB"/>
    <w:rsid w:val="7D9F3E29"/>
    <w:rsid w:val="7D9F7BF1"/>
    <w:rsid w:val="7DA56094"/>
    <w:rsid w:val="7DA64894"/>
    <w:rsid w:val="7DA97C07"/>
    <w:rsid w:val="7DAB0D8C"/>
    <w:rsid w:val="7DAB2992"/>
    <w:rsid w:val="7DB27F48"/>
    <w:rsid w:val="7DBB1A86"/>
    <w:rsid w:val="7DC9191C"/>
    <w:rsid w:val="7DD3022D"/>
    <w:rsid w:val="7DDA2D2B"/>
    <w:rsid w:val="7DE61F4E"/>
    <w:rsid w:val="7DE72B62"/>
    <w:rsid w:val="7DF67617"/>
    <w:rsid w:val="7DFD74E0"/>
    <w:rsid w:val="7E0620B6"/>
    <w:rsid w:val="7E072232"/>
    <w:rsid w:val="7E140500"/>
    <w:rsid w:val="7E2D5922"/>
    <w:rsid w:val="7E303FB6"/>
    <w:rsid w:val="7E313A4A"/>
    <w:rsid w:val="7E382007"/>
    <w:rsid w:val="7E393A63"/>
    <w:rsid w:val="7E3B120C"/>
    <w:rsid w:val="7E4070BC"/>
    <w:rsid w:val="7E417F15"/>
    <w:rsid w:val="7E45506D"/>
    <w:rsid w:val="7E4800B3"/>
    <w:rsid w:val="7E4A5D8B"/>
    <w:rsid w:val="7E560C13"/>
    <w:rsid w:val="7E64452C"/>
    <w:rsid w:val="7E644BF6"/>
    <w:rsid w:val="7E6572EE"/>
    <w:rsid w:val="7E712ECD"/>
    <w:rsid w:val="7E785DB5"/>
    <w:rsid w:val="7E791CAD"/>
    <w:rsid w:val="7E904A01"/>
    <w:rsid w:val="7E942AA5"/>
    <w:rsid w:val="7E9C052C"/>
    <w:rsid w:val="7E9F2E67"/>
    <w:rsid w:val="7EBA1B05"/>
    <w:rsid w:val="7EC24622"/>
    <w:rsid w:val="7ED24865"/>
    <w:rsid w:val="7ED37308"/>
    <w:rsid w:val="7EDB4998"/>
    <w:rsid w:val="7EDD0509"/>
    <w:rsid w:val="7EE177BF"/>
    <w:rsid w:val="7EFA526B"/>
    <w:rsid w:val="7EFF416C"/>
    <w:rsid w:val="7F0730DD"/>
    <w:rsid w:val="7F097E5D"/>
    <w:rsid w:val="7F0A5111"/>
    <w:rsid w:val="7F146B45"/>
    <w:rsid w:val="7F1F73AD"/>
    <w:rsid w:val="7F381330"/>
    <w:rsid w:val="7F5E765E"/>
    <w:rsid w:val="7F7562BD"/>
    <w:rsid w:val="7F8A7D3D"/>
    <w:rsid w:val="7FA357DC"/>
    <w:rsid w:val="7FA8530F"/>
    <w:rsid w:val="7FAA3445"/>
    <w:rsid w:val="7FAB6B6F"/>
    <w:rsid w:val="7FAE7BCD"/>
    <w:rsid w:val="7FB71B57"/>
    <w:rsid w:val="7FBB3107"/>
    <w:rsid w:val="7FC11792"/>
    <w:rsid w:val="7FE073C7"/>
    <w:rsid w:val="7FF538B1"/>
    <w:rsid w:val="8DFFE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qFormat="1" w:unhideWhenUsed="0" w:uiPriority="0" w:name="index 3"/>
    <w:lsdException w:uiPriority="0" w:name="index 4"/>
    <w:lsdException w:uiPriority="0" w:name="index 5"/>
    <w:lsdException w:uiPriority="0" w:name="index 6"/>
    <w:lsdException w:qFormat="1" w:unhideWhenUsed="0" w:uiPriority="0" w:semiHidden="0" w:name="index 7"/>
    <w:lsdException w:uiPriority="0" w:name="index 8"/>
    <w:lsdException w:uiPriority="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8"/>
      <w:lang w:val="en-US" w:eastAsia="zh-CN" w:bidi="ar-SA"/>
    </w:rPr>
  </w:style>
  <w:style w:type="paragraph" w:styleId="3">
    <w:name w:val="heading 1"/>
    <w:basedOn w:val="1"/>
    <w:next w:val="1"/>
    <w:link w:val="254"/>
    <w:autoRedefine/>
    <w:qFormat/>
    <w:uiPriority w:val="0"/>
    <w:pPr>
      <w:keepNext/>
      <w:snapToGrid w:val="0"/>
      <w:spacing w:line="360" w:lineRule="atLeast"/>
      <w:outlineLvl w:val="0"/>
    </w:pPr>
    <w:rPr>
      <w:rFonts w:ascii="宋体"/>
    </w:rPr>
  </w:style>
  <w:style w:type="paragraph" w:styleId="4">
    <w:name w:val="heading 2"/>
    <w:basedOn w:val="1"/>
    <w:next w:val="1"/>
    <w:link w:val="263"/>
    <w:autoRedefine/>
    <w:qFormat/>
    <w:uiPriority w:val="0"/>
    <w:pPr>
      <w:keepNext/>
      <w:keepLines/>
      <w:spacing w:line="413" w:lineRule="auto"/>
      <w:outlineLvl w:val="1"/>
    </w:pPr>
    <w:rPr>
      <w:rFonts w:ascii="Arial" w:hAnsi="Arial" w:eastAsia="黑体"/>
      <w:b/>
      <w:sz w:val="32"/>
    </w:rPr>
  </w:style>
  <w:style w:type="paragraph" w:styleId="5">
    <w:name w:val="heading 3"/>
    <w:basedOn w:val="1"/>
    <w:next w:val="1"/>
    <w:link w:val="208"/>
    <w:autoRedefine/>
    <w:qFormat/>
    <w:uiPriority w:val="0"/>
    <w:pPr>
      <w:keepNext/>
      <w:keepLines/>
      <w:spacing w:line="413" w:lineRule="auto"/>
      <w:outlineLvl w:val="2"/>
    </w:pPr>
    <w:rPr>
      <w:b/>
      <w:sz w:val="32"/>
    </w:rPr>
  </w:style>
  <w:style w:type="paragraph" w:styleId="6">
    <w:name w:val="heading 4"/>
    <w:basedOn w:val="1"/>
    <w:next w:val="1"/>
    <w:autoRedefine/>
    <w:qFormat/>
    <w:uiPriority w:val="0"/>
    <w:pPr>
      <w:keepNext/>
      <w:keepLines/>
      <w:spacing w:line="372" w:lineRule="auto"/>
      <w:outlineLvl w:val="3"/>
    </w:pPr>
    <w:rPr>
      <w:rFonts w:ascii="Arial" w:hAnsi="Arial" w:eastAsia="黑体"/>
      <w:b/>
    </w:rPr>
  </w:style>
  <w:style w:type="paragraph" w:styleId="7">
    <w:name w:val="heading 5"/>
    <w:basedOn w:val="1"/>
    <w:next w:val="1"/>
    <w:autoRedefine/>
    <w:qFormat/>
    <w:uiPriority w:val="0"/>
    <w:pPr>
      <w:keepNext/>
      <w:keepLines/>
      <w:tabs>
        <w:tab w:val="left" w:pos="2551"/>
      </w:tabs>
      <w:spacing w:line="372" w:lineRule="auto"/>
      <w:ind w:left="2551" w:hanging="850"/>
      <w:outlineLvl w:val="4"/>
    </w:pPr>
    <w:rPr>
      <w:b/>
    </w:rPr>
  </w:style>
  <w:style w:type="paragraph" w:styleId="8">
    <w:name w:val="heading 6"/>
    <w:basedOn w:val="1"/>
    <w:next w:val="1"/>
    <w:autoRedefine/>
    <w:qFormat/>
    <w:uiPriority w:val="0"/>
    <w:pPr>
      <w:keepNext/>
      <w:keepLines/>
      <w:tabs>
        <w:tab w:val="left" w:pos="1152"/>
      </w:tabs>
      <w:adjustRightInd w:val="0"/>
      <w:snapToGrid w:val="0"/>
      <w:spacing w:line="317" w:lineRule="auto"/>
      <w:ind w:left="1152" w:hanging="1152"/>
      <w:outlineLvl w:val="5"/>
    </w:pPr>
    <w:rPr>
      <w:rFonts w:ascii="Arial" w:hAnsi="Arial" w:eastAsia="黑体"/>
      <w:b/>
      <w:sz w:val="24"/>
    </w:rPr>
  </w:style>
  <w:style w:type="paragraph" w:styleId="9">
    <w:name w:val="heading 7"/>
    <w:basedOn w:val="1"/>
    <w:next w:val="1"/>
    <w:autoRedefine/>
    <w:qFormat/>
    <w:uiPriority w:val="0"/>
    <w:pPr>
      <w:keepNext/>
      <w:keepLines/>
      <w:tabs>
        <w:tab w:val="left" w:pos="1296"/>
      </w:tabs>
      <w:adjustRightInd w:val="0"/>
      <w:snapToGrid w:val="0"/>
      <w:spacing w:line="317" w:lineRule="auto"/>
      <w:ind w:left="1296" w:hanging="1296"/>
      <w:outlineLvl w:val="6"/>
    </w:pPr>
    <w:rPr>
      <w:rFonts w:ascii="Arial" w:hAnsi="Arial" w:eastAsia="黑体"/>
      <w:b/>
      <w:sz w:val="24"/>
    </w:rPr>
  </w:style>
  <w:style w:type="paragraph" w:styleId="10">
    <w:name w:val="heading 8"/>
    <w:basedOn w:val="1"/>
    <w:next w:val="1"/>
    <w:autoRedefine/>
    <w:qFormat/>
    <w:uiPriority w:val="0"/>
    <w:pPr>
      <w:keepNext/>
      <w:keepLines/>
      <w:tabs>
        <w:tab w:val="left" w:pos="1440"/>
      </w:tabs>
      <w:adjustRightInd w:val="0"/>
      <w:snapToGrid w:val="0"/>
      <w:spacing w:line="317" w:lineRule="auto"/>
      <w:ind w:left="1440" w:hanging="1440"/>
      <w:outlineLvl w:val="7"/>
    </w:pPr>
    <w:rPr>
      <w:rFonts w:ascii="Arial" w:hAnsi="Arial" w:eastAsia="黑体"/>
      <w:b/>
      <w:sz w:val="24"/>
    </w:rPr>
  </w:style>
  <w:style w:type="paragraph" w:styleId="11">
    <w:name w:val="heading 9"/>
    <w:basedOn w:val="1"/>
    <w:next w:val="1"/>
    <w:autoRedefine/>
    <w:qFormat/>
    <w:uiPriority w:val="0"/>
    <w:pPr>
      <w:keepNext/>
      <w:keepLines/>
      <w:tabs>
        <w:tab w:val="left" w:pos="1584"/>
      </w:tabs>
      <w:adjustRightInd w:val="0"/>
      <w:snapToGrid w:val="0"/>
      <w:spacing w:line="317" w:lineRule="auto"/>
      <w:ind w:left="1584" w:hanging="1584"/>
      <w:outlineLvl w:val="8"/>
    </w:pPr>
    <w:rPr>
      <w:rFonts w:ascii="Arial" w:hAnsi="Arial" w:eastAsia="黑体"/>
      <w:b/>
      <w:sz w:val="24"/>
    </w:rPr>
  </w:style>
  <w:style w:type="character" w:default="1" w:styleId="61">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rPr>
      <w:rFonts w:ascii="仿宋_GB2312" w:eastAsia="仿宋_GB2312"/>
      <w:sz w:val="32"/>
    </w:rPr>
  </w:style>
  <w:style w:type="paragraph" w:styleId="12">
    <w:name w:val="List 3"/>
    <w:basedOn w:val="1"/>
    <w:autoRedefine/>
    <w:qFormat/>
    <w:uiPriority w:val="0"/>
    <w:pPr>
      <w:adjustRightInd w:val="0"/>
      <w:snapToGrid w:val="0"/>
      <w:spacing w:line="360" w:lineRule="auto"/>
      <w:ind w:left="100" w:leftChars="400" w:hanging="200" w:hangingChars="200"/>
    </w:pPr>
    <w:rPr>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numPr>
        <w:ilvl w:val="0"/>
        <w:numId w:val="1"/>
      </w:numPr>
      <w:tabs>
        <w:tab w:val="left" w:pos="780"/>
        <w:tab w:val="clear" w:pos="425"/>
      </w:tabs>
      <w:spacing w:line="360" w:lineRule="auto"/>
    </w:pPr>
    <w:rPr>
      <w:sz w:val="24"/>
    </w:rPr>
  </w:style>
  <w:style w:type="paragraph" w:styleId="15">
    <w:name w:val="List Bullet 4"/>
    <w:basedOn w:val="1"/>
    <w:autoRedefine/>
    <w:qFormat/>
    <w:uiPriority w:val="0"/>
    <w:pPr>
      <w:widowControl/>
      <w:tabs>
        <w:tab w:val="left" w:pos="1134"/>
      </w:tabs>
      <w:adjustRightInd w:val="0"/>
      <w:snapToGrid w:val="0"/>
      <w:spacing w:line="280" w:lineRule="atLeast"/>
      <w:ind w:left="1418" w:hanging="284"/>
      <w:jc w:val="left"/>
    </w:pPr>
    <w:rPr>
      <w:rFonts w:ascii="宋体"/>
      <w:kern w:val="0"/>
      <w:sz w:val="22"/>
    </w:rPr>
  </w:style>
  <w:style w:type="paragraph" w:styleId="16">
    <w:name w:val="Normal Indent"/>
    <w:basedOn w:val="1"/>
    <w:autoRedefine/>
    <w:qFormat/>
    <w:uiPriority w:val="0"/>
    <w:pPr>
      <w:adjustRightInd w:val="0"/>
      <w:snapToGrid w:val="0"/>
      <w:spacing w:line="360" w:lineRule="auto"/>
      <w:ind w:firstLine="420"/>
    </w:pPr>
    <w:rPr>
      <w:sz w:val="24"/>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autoRedefine/>
    <w:qFormat/>
    <w:uiPriority w:val="0"/>
    <w:pPr>
      <w:shd w:val="clear" w:color="auto" w:fill="000080"/>
    </w:pPr>
  </w:style>
  <w:style w:type="paragraph" w:styleId="19">
    <w:name w:val="toa heading"/>
    <w:basedOn w:val="1"/>
    <w:next w:val="1"/>
    <w:autoRedefine/>
    <w:qFormat/>
    <w:uiPriority w:val="0"/>
    <w:rPr>
      <w:rFonts w:ascii="Arial" w:hAnsi="Arial"/>
      <w:sz w:val="24"/>
    </w:rPr>
  </w:style>
  <w:style w:type="paragraph" w:styleId="20">
    <w:name w:val="annotation text"/>
    <w:basedOn w:val="1"/>
    <w:link w:val="226"/>
    <w:autoRedefine/>
    <w:qFormat/>
    <w:uiPriority w:val="0"/>
    <w:pPr>
      <w:adjustRightInd w:val="0"/>
      <w:spacing w:line="360" w:lineRule="atLeast"/>
      <w:jc w:val="left"/>
      <w:textAlignment w:val="baseline"/>
    </w:pPr>
    <w:rPr>
      <w:kern w:val="0"/>
      <w:sz w:val="24"/>
    </w:rPr>
  </w:style>
  <w:style w:type="paragraph" w:styleId="21">
    <w:name w:val="Body Text 3"/>
    <w:basedOn w:val="1"/>
    <w:autoRedefine/>
    <w:qFormat/>
    <w:uiPriority w:val="0"/>
    <w:pPr>
      <w:adjustRightInd w:val="0"/>
      <w:snapToGrid w:val="0"/>
      <w:spacing w:line="360" w:lineRule="auto"/>
    </w:pPr>
    <w:rPr>
      <w:sz w:val="16"/>
    </w:rPr>
  </w:style>
  <w:style w:type="paragraph" w:styleId="22">
    <w:name w:val="List Bullet 3"/>
    <w:basedOn w:val="1"/>
    <w:autoRedefine/>
    <w:qFormat/>
    <w:uiPriority w:val="0"/>
    <w:pPr>
      <w:numPr>
        <w:ilvl w:val="0"/>
        <w:numId w:val="2"/>
      </w:numPr>
      <w:adjustRightInd w:val="0"/>
      <w:snapToGrid w:val="0"/>
      <w:spacing w:line="360" w:lineRule="auto"/>
    </w:pPr>
    <w:rPr>
      <w:sz w:val="24"/>
    </w:rPr>
  </w:style>
  <w:style w:type="paragraph" w:styleId="23">
    <w:name w:val="Body Text Indent"/>
    <w:basedOn w:val="1"/>
    <w:link w:val="21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5">
    <w:name w:val="List 2"/>
    <w:basedOn w:val="1"/>
    <w:autoRedefine/>
    <w:qFormat/>
    <w:uiPriority w:val="0"/>
    <w:pPr>
      <w:adjustRightInd w:val="0"/>
      <w:snapToGrid w:val="0"/>
      <w:spacing w:line="360" w:lineRule="auto"/>
      <w:ind w:left="100" w:leftChars="200" w:hanging="200" w:hangingChars="200"/>
    </w:pPr>
    <w:rPr>
      <w:sz w:val="24"/>
    </w:rPr>
  </w:style>
  <w:style w:type="paragraph" w:styleId="26">
    <w:name w:val="List Continue"/>
    <w:basedOn w:val="1"/>
    <w:autoRedefine/>
    <w:qFormat/>
    <w:uiPriority w:val="0"/>
    <w:pPr>
      <w:adjustRightInd w:val="0"/>
      <w:snapToGrid w:val="0"/>
      <w:spacing w:line="360" w:lineRule="auto"/>
      <w:ind w:left="420" w:leftChars="200"/>
    </w:pPr>
    <w:rPr>
      <w:sz w:val="24"/>
    </w:rPr>
  </w:style>
  <w:style w:type="paragraph" w:styleId="27">
    <w:name w:val="List Bullet 2"/>
    <w:basedOn w:val="1"/>
    <w:autoRedefine/>
    <w:qFormat/>
    <w:uiPriority w:val="0"/>
    <w:pPr>
      <w:numPr>
        <w:ilvl w:val="0"/>
        <w:numId w:val="3"/>
      </w:numPr>
      <w:adjustRightInd w:val="0"/>
      <w:snapToGrid w:val="0"/>
      <w:spacing w:line="360" w:lineRule="auto"/>
    </w:pPr>
    <w:rPr>
      <w:sz w:val="24"/>
    </w:rPr>
  </w:style>
  <w:style w:type="paragraph" w:styleId="28">
    <w:name w:val="toc 5"/>
    <w:basedOn w:val="1"/>
    <w:next w:val="1"/>
    <w:autoRedefine/>
    <w:qFormat/>
    <w:uiPriority w:val="0"/>
    <w:pPr>
      <w:ind w:left="1680" w:leftChars="800"/>
    </w:pPr>
  </w:style>
  <w:style w:type="paragraph" w:styleId="29">
    <w:name w:val="toc 3"/>
    <w:basedOn w:val="1"/>
    <w:next w:val="1"/>
    <w:autoRedefine/>
    <w:qFormat/>
    <w:uiPriority w:val="39"/>
    <w:pPr>
      <w:ind w:left="840" w:leftChars="400"/>
    </w:pPr>
  </w:style>
  <w:style w:type="paragraph" w:styleId="30">
    <w:name w:val="Plain Text"/>
    <w:basedOn w:val="1"/>
    <w:autoRedefine/>
    <w:qFormat/>
    <w:uiPriority w:val="0"/>
    <w:rPr>
      <w:rFonts w:ascii="宋体" w:hAnsi="Courier New"/>
      <w:sz w:val="21"/>
    </w:rPr>
  </w:style>
  <w:style w:type="paragraph" w:styleId="31">
    <w:name w:val="toc 8"/>
    <w:basedOn w:val="1"/>
    <w:next w:val="1"/>
    <w:autoRedefine/>
    <w:qFormat/>
    <w:uiPriority w:val="0"/>
    <w:pPr>
      <w:ind w:left="2940" w:leftChars="1400"/>
    </w:pPr>
  </w:style>
  <w:style w:type="paragraph" w:styleId="32">
    <w:name w:val="index 3"/>
    <w:basedOn w:val="1"/>
    <w:next w:val="1"/>
    <w:autoRedefine/>
    <w:semiHidden/>
    <w:qFormat/>
    <w:uiPriority w:val="0"/>
    <w:pPr>
      <w:ind w:left="600" w:hanging="200"/>
    </w:pPr>
  </w:style>
  <w:style w:type="paragraph" w:styleId="33">
    <w:name w:val="Date"/>
    <w:basedOn w:val="1"/>
    <w:next w:val="1"/>
    <w:link w:val="228"/>
    <w:autoRedefine/>
    <w:qFormat/>
    <w:uiPriority w:val="0"/>
  </w:style>
  <w:style w:type="paragraph" w:styleId="34">
    <w:name w:val="Body Text Indent 2"/>
    <w:basedOn w:val="1"/>
    <w:link w:val="221"/>
    <w:autoRedefine/>
    <w:qFormat/>
    <w:uiPriority w:val="0"/>
    <w:pPr>
      <w:snapToGrid w:val="0"/>
      <w:spacing w:line="560" w:lineRule="atLeast"/>
      <w:ind w:firstLine="540"/>
    </w:pPr>
  </w:style>
  <w:style w:type="paragraph" w:styleId="35">
    <w:name w:val="Balloon Text"/>
    <w:basedOn w:val="1"/>
    <w:link w:val="261"/>
    <w:autoRedefine/>
    <w:qFormat/>
    <w:uiPriority w:val="99"/>
    <w:rPr>
      <w:sz w:val="18"/>
    </w:rPr>
  </w:style>
  <w:style w:type="paragraph" w:styleId="36">
    <w:name w:val="footer"/>
    <w:basedOn w:val="1"/>
    <w:autoRedefine/>
    <w:qFormat/>
    <w:uiPriority w:val="0"/>
    <w:pPr>
      <w:tabs>
        <w:tab w:val="center" w:pos="4153"/>
        <w:tab w:val="right" w:pos="8306"/>
      </w:tabs>
      <w:snapToGrid w:val="0"/>
      <w:jc w:val="left"/>
    </w:pPr>
    <w:rPr>
      <w:sz w:val="18"/>
    </w:rPr>
  </w:style>
  <w:style w:type="paragraph" w:styleId="37">
    <w:name w:val="header"/>
    <w:basedOn w:val="1"/>
    <w:link w:val="259"/>
    <w:autoRedefine/>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autoRedefine/>
    <w:qFormat/>
    <w:uiPriority w:val="0"/>
    <w:pPr>
      <w:spacing w:line="180" w:lineRule="auto"/>
      <w:jc w:val="center"/>
    </w:pPr>
    <w:rPr>
      <w:sz w:val="30"/>
    </w:rPr>
  </w:style>
  <w:style w:type="paragraph" w:styleId="39">
    <w:name w:val="List Continue 4"/>
    <w:basedOn w:val="1"/>
    <w:autoRedefine/>
    <w:qFormat/>
    <w:uiPriority w:val="0"/>
    <w:pPr>
      <w:adjustRightInd w:val="0"/>
      <w:snapToGrid w:val="0"/>
      <w:spacing w:line="360" w:lineRule="auto"/>
      <w:ind w:left="1680" w:leftChars="800"/>
    </w:pPr>
    <w:rPr>
      <w:sz w:val="24"/>
    </w:rPr>
  </w:style>
  <w:style w:type="paragraph" w:styleId="40">
    <w:name w:val="toc 4"/>
    <w:basedOn w:val="1"/>
    <w:next w:val="1"/>
    <w:autoRedefine/>
    <w:qFormat/>
    <w:uiPriority w:val="0"/>
    <w:pPr>
      <w:ind w:left="1260" w:leftChars="600"/>
    </w:pPr>
  </w:style>
  <w:style w:type="paragraph" w:styleId="41">
    <w:name w:val="footnote text"/>
    <w:basedOn w:val="1"/>
    <w:link w:val="234"/>
    <w:autoRedefine/>
    <w:qFormat/>
    <w:uiPriority w:val="0"/>
    <w:pPr>
      <w:spacing w:line="360" w:lineRule="auto"/>
    </w:pPr>
    <w:rPr>
      <w:sz w:val="18"/>
    </w:rPr>
  </w:style>
  <w:style w:type="paragraph" w:styleId="42">
    <w:name w:val="toc 6"/>
    <w:basedOn w:val="1"/>
    <w:next w:val="1"/>
    <w:autoRedefine/>
    <w:qFormat/>
    <w:uiPriority w:val="0"/>
    <w:pPr>
      <w:ind w:left="2100" w:leftChars="1000"/>
    </w:pPr>
  </w:style>
  <w:style w:type="paragraph" w:styleId="43">
    <w:name w:val="List 5"/>
    <w:basedOn w:val="1"/>
    <w:autoRedefine/>
    <w:qFormat/>
    <w:uiPriority w:val="0"/>
    <w:pPr>
      <w:adjustRightInd w:val="0"/>
      <w:snapToGrid w:val="0"/>
      <w:spacing w:line="360" w:lineRule="auto"/>
      <w:ind w:left="100" w:leftChars="800" w:hanging="200" w:hangingChars="200"/>
    </w:pPr>
    <w:rPr>
      <w:sz w:val="24"/>
    </w:rPr>
  </w:style>
  <w:style w:type="paragraph" w:styleId="44">
    <w:name w:val="Body Text Indent 3"/>
    <w:basedOn w:val="1"/>
    <w:autoRedefine/>
    <w:qFormat/>
    <w:uiPriority w:val="0"/>
    <w:pPr>
      <w:spacing w:line="360" w:lineRule="auto"/>
      <w:ind w:firstLine="632"/>
    </w:pPr>
    <w:rPr>
      <w:rFonts w:ascii="黑体" w:eastAsia="黑体"/>
    </w:rPr>
  </w:style>
  <w:style w:type="paragraph" w:styleId="45">
    <w:name w:val="index 7"/>
    <w:basedOn w:val="1"/>
    <w:next w:val="1"/>
    <w:autoRedefine/>
    <w:qFormat/>
    <w:uiPriority w:val="0"/>
    <w:pPr>
      <w:ind w:left="2520"/>
    </w:pPr>
    <w:rPr>
      <w:rFonts w:ascii="Times New Roman" w:hAnsi="Times New Roman"/>
      <w:sz w:val="21"/>
      <w:szCs w:val="21"/>
    </w:rPr>
  </w:style>
  <w:style w:type="paragraph" w:styleId="46">
    <w:name w:val="table of figures"/>
    <w:basedOn w:val="1"/>
    <w:next w:val="1"/>
    <w:autoRedefine/>
    <w:qFormat/>
    <w:uiPriority w:val="0"/>
    <w:pPr>
      <w:tabs>
        <w:tab w:val="right" w:leader="dot" w:pos="8640"/>
      </w:tabs>
      <w:spacing w:line="360" w:lineRule="auto"/>
      <w:ind w:left="400" w:hanging="400"/>
    </w:pPr>
    <w:rPr>
      <w:sz w:val="24"/>
    </w:rPr>
  </w:style>
  <w:style w:type="paragraph" w:styleId="47">
    <w:name w:val="toc 2"/>
    <w:basedOn w:val="1"/>
    <w:next w:val="1"/>
    <w:autoRedefine/>
    <w:qFormat/>
    <w:uiPriority w:val="39"/>
    <w:pPr>
      <w:ind w:left="420" w:leftChars="200"/>
    </w:pPr>
  </w:style>
  <w:style w:type="paragraph" w:styleId="48">
    <w:name w:val="toc 9"/>
    <w:basedOn w:val="1"/>
    <w:next w:val="1"/>
    <w:autoRedefine/>
    <w:qFormat/>
    <w:uiPriority w:val="0"/>
    <w:pPr>
      <w:ind w:left="3360" w:leftChars="1600"/>
    </w:pPr>
  </w:style>
  <w:style w:type="paragraph" w:styleId="49">
    <w:name w:val="Body Text 2"/>
    <w:basedOn w:val="1"/>
    <w:autoRedefine/>
    <w:qFormat/>
    <w:uiPriority w:val="0"/>
    <w:pPr>
      <w:adjustRightInd w:val="0"/>
      <w:snapToGrid w:val="0"/>
      <w:spacing w:line="480" w:lineRule="auto"/>
    </w:pPr>
    <w:rPr>
      <w:sz w:val="24"/>
    </w:rPr>
  </w:style>
  <w:style w:type="paragraph" w:styleId="50">
    <w:name w:val="List 4"/>
    <w:basedOn w:val="1"/>
    <w:autoRedefine/>
    <w:qFormat/>
    <w:uiPriority w:val="0"/>
    <w:pPr>
      <w:adjustRightInd w:val="0"/>
      <w:snapToGrid w:val="0"/>
      <w:spacing w:line="360" w:lineRule="auto"/>
      <w:ind w:left="100" w:leftChars="600" w:hanging="200" w:hangingChars="200"/>
    </w:pPr>
    <w:rPr>
      <w:sz w:val="24"/>
    </w:rPr>
  </w:style>
  <w:style w:type="paragraph" w:styleId="51">
    <w:name w:val="List Continue 2"/>
    <w:basedOn w:val="1"/>
    <w:autoRedefine/>
    <w:qFormat/>
    <w:uiPriority w:val="0"/>
    <w:pPr>
      <w:adjustRightInd w:val="0"/>
      <w:snapToGrid w:val="0"/>
      <w:spacing w:line="360" w:lineRule="auto"/>
      <w:ind w:left="840" w:leftChars="400"/>
    </w:pPr>
    <w:rPr>
      <w:sz w:val="24"/>
    </w:rPr>
  </w:style>
  <w:style w:type="paragraph" w:styleId="52">
    <w:name w:val="Normal (Web)"/>
    <w:basedOn w:val="1"/>
    <w:autoRedefine/>
    <w:qFormat/>
    <w:uiPriority w:val="0"/>
    <w:pPr>
      <w:widowControl/>
      <w:spacing w:beforeAutospacing="1" w:afterAutospacing="1"/>
      <w:jc w:val="left"/>
    </w:pPr>
    <w:rPr>
      <w:rFonts w:ascii="宋体" w:hAnsi="宋体"/>
      <w:kern w:val="0"/>
      <w:sz w:val="24"/>
    </w:rPr>
  </w:style>
  <w:style w:type="paragraph" w:styleId="53">
    <w:name w:val="List Continue 3"/>
    <w:basedOn w:val="1"/>
    <w:autoRedefine/>
    <w:qFormat/>
    <w:uiPriority w:val="0"/>
    <w:pPr>
      <w:adjustRightInd w:val="0"/>
      <w:snapToGrid w:val="0"/>
      <w:spacing w:line="360" w:lineRule="auto"/>
      <w:ind w:left="1260" w:leftChars="600"/>
    </w:pPr>
    <w:rPr>
      <w:sz w:val="24"/>
    </w:rPr>
  </w:style>
  <w:style w:type="paragraph" w:styleId="54">
    <w:name w:val="index 1"/>
    <w:basedOn w:val="1"/>
    <w:next w:val="1"/>
    <w:autoRedefine/>
    <w:qFormat/>
    <w:uiPriority w:val="0"/>
    <w:pPr>
      <w:adjustRightInd w:val="0"/>
      <w:spacing w:line="240" w:lineRule="atLeast"/>
      <w:textAlignment w:val="baseline"/>
    </w:pPr>
    <w:rPr>
      <w:rFonts w:ascii="宋体"/>
      <w:kern w:val="0"/>
      <w:sz w:val="21"/>
    </w:rPr>
  </w:style>
  <w:style w:type="paragraph" w:styleId="55">
    <w:name w:val="Title"/>
    <w:basedOn w:val="1"/>
    <w:autoRedefine/>
    <w:qFormat/>
    <w:uiPriority w:val="0"/>
    <w:pPr>
      <w:widowControl/>
      <w:spacing w:line="360" w:lineRule="auto"/>
      <w:jc w:val="center"/>
    </w:pPr>
    <w:rPr>
      <w:rFonts w:ascii="Arial" w:hAnsi="Arial"/>
      <w:b/>
      <w:smallCaps/>
      <w:kern w:val="28"/>
      <w:sz w:val="36"/>
      <w:lang w:eastAsia="en-US"/>
    </w:rPr>
  </w:style>
  <w:style w:type="paragraph" w:styleId="56">
    <w:name w:val="annotation subject"/>
    <w:basedOn w:val="20"/>
    <w:next w:val="20"/>
    <w:link w:val="225"/>
    <w:autoRedefine/>
    <w:qFormat/>
    <w:uiPriority w:val="0"/>
    <w:pPr>
      <w:adjustRightInd/>
      <w:spacing w:line="240" w:lineRule="auto"/>
      <w:textAlignment w:val="auto"/>
    </w:pPr>
  </w:style>
  <w:style w:type="paragraph" w:styleId="57">
    <w:name w:val="Body Text First Indent"/>
    <w:basedOn w:val="2"/>
    <w:autoRedefine/>
    <w:qFormat/>
    <w:uiPriority w:val="0"/>
    <w:pPr>
      <w:spacing w:line="360" w:lineRule="auto"/>
      <w:ind w:firstLine="420"/>
    </w:pPr>
    <w:rPr>
      <w:rFonts w:ascii="宋体" w:hAnsi="宋体"/>
      <w:sz w:val="24"/>
    </w:rPr>
  </w:style>
  <w:style w:type="paragraph" w:styleId="58">
    <w:name w:val="Body Text First Indent 2"/>
    <w:basedOn w:val="23"/>
    <w:link w:val="213"/>
    <w:autoRedefine/>
    <w:qFormat/>
    <w:uiPriority w:val="0"/>
    <w:pPr>
      <w:spacing w:line="240" w:lineRule="auto"/>
      <w:ind w:left="420" w:leftChars="200" w:firstLine="420" w:firstLineChars="200"/>
    </w:pPr>
  </w:style>
  <w:style w:type="table" w:styleId="60">
    <w:name w:val="Table Grid"/>
    <w:basedOn w:val="59"/>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22"/>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paragraph" w:customStyle="1" w:styleId="69">
    <w:name w:val="无间隔1"/>
    <w:autoRedefine/>
    <w:qFormat/>
    <w:uiPriority w:val="1"/>
    <w:pPr>
      <w:jc w:val="both"/>
    </w:pPr>
    <w:rPr>
      <w:rFonts w:ascii="Times New Roman" w:hAnsi="Times New Roman" w:eastAsia="Times New Roman" w:cs="Times New Roman"/>
      <w:lang w:val="en-US" w:eastAsia="zh-CN" w:bidi="ar-SA"/>
    </w:rPr>
  </w:style>
  <w:style w:type="paragraph" w:styleId="70">
    <w:name w:val="Quote"/>
    <w:basedOn w:val="1"/>
    <w:next w:val="1"/>
    <w:autoRedefine/>
    <w:qFormat/>
    <w:uiPriority w:val="29"/>
    <w:pPr>
      <w:spacing w:beforeLines="50" w:afterLines="50" w:line="360" w:lineRule="auto"/>
    </w:pPr>
    <w:rPr>
      <w:i/>
      <w:iCs/>
      <w:color w:val="000000"/>
      <w:sz w:val="21"/>
      <w:szCs w:val="24"/>
      <w:lang w:val="zh-CN"/>
    </w:rPr>
  </w:style>
  <w:style w:type="paragraph" w:customStyle="1" w:styleId="71">
    <w:name w:val="Default"/>
    <w:autoRedefine/>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customStyle="1" w:styleId="72">
    <w:name w:val="Char2 Char Char Char Char Char Char"/>
    <w:basedOn w:val="1"/>
    <w:autoRedefine/>
    <w:qFormat/>
    <w:uiPriority w:val="0"/>
    <w:rPr>
      <w:rFonts w:ascii="仿宋_GB2312"/>
      <w:b/>
      <w:sz w:val="30"/>
    </w:rPr>
  </w:style>
  <w:style w:type="paragraph" w:customStyle="1" w:styleId="73">
    <w:name w:val="样式1"/>
    <w:basedOn w:val="6"/>
    <w:autoRedefine/>
    <w:qFormat/>
    <w:uiPriority w:val="0"/>
    <w:pPr>
      <w:tabs>
        <w:tab w:val="left" w:pos="720"/>
      </w:tabs>
      <w:spacing w:line="560" w:lineRule="atLeast"/>
      <w:ind w:left="420" w:hanging="420"/>
    </w:pPr>
  </w:style>
  <w:style w:type="paragraph" w:customStyle="1" w:styleId="74">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75">
    <w:name w:val="首行缩进"/>
    <w:basedOn w:val="1"/>
    <w:autoRedefine/>
    <w:qFormat/>
    <w:uiPriority w:val="0"/>
    <w:pPr>
      <w:numPr>
        <w:ilvl w:val="0"/>
        <w:numId w:val="4"/>
      </w:numPr>
      <w:spacing w:line="360" w:lineRule="auto"/>
    </w:pPr>
    <w:rPr>
      <w:rFonts w:eastAsia="仿宋_GB2312"/>
    </w:rPr>
  </w:style>
  <w:style w:type="paragraph" w:customStyle="1" w:styleId="76">
    <w:name w:val="xl53"/>
    <w:basedOn w:val="1"/>
    <w:autoRedefine/>
    <w:qFormat/>
    <w:uiPriority w:val="0"/>
    <w:pPr>
      <w:widowControl/>
      <w:pBdr>
        <w:left w:val="single" w:color="auto" w:sz="4" w:space="0"/>
        <w:bottom w:val="single" w:color="auto" w:sz="4" w:space="0"/>
      </w:pBdr>
      <w:spacing w:beforeAutospacing="1" w:afterAutospacing="1"/>
      <w:jc w:val="center"/>
      <w:textAlignment w:val="center"/>
    </w:pPr>
    <w:rPr>
      <w:rFonts w:ascii="宋体" w:hAnsi="宋体"/>
      <w:kern w:val="0"/>
      <w:sz w:val="24"/>
    </w:rPr>
  </w:style>
  <w:style w:type="paragraph" w:customStyle="1" w:styleId="77">
    <w:name w:val="关键词"/>
    <w:basedOn w:val="1"/>
    <w:next w:val="1"/>
    <w:autoRedefine/>
    <w:qFormat/>
    <w:uiPriority w:val="0"/>
    <w:pPr>
      <w:spacing w:line="360" w:lineRule="auto"/>
    </w:pPr>
    <w:rPr>
      <w:rFonts w:eastAsia="黑体"/>
      <w:sz w:val="20"/>
    </w:rPr>
  </w:style>
  <w:style w:type="paragraph" w:customStyle="1" w:styleId="78">
    <w:name w:val="首行缩进 1"/>
    <w:basedOn w:val="1"/>
    <w:autoRedefine/>
    <w:qFormat/>
    <w:uiPriority w:val="0"/>
    <w:pPr>
      <w:spacing w:line="360" w:lineRule="auto"/>
      <w:ind w:firstLine="200" w:firstLineChars="200"/>
    </w:pPr>
    <w:rPr>
      <w:sz w:val="24"/>
    </w:rPr>
  </w:style>
  <w:style w:type="paragraph" w:customStyle="1" w:styleId="79">
    <w:name w:val="Char1 Char Char Char"/>
    <w:basedOn w:val="1"/>
    <w:autoRedefine/>
    <w:qFormat/>
    <w:uiPriority w:val="0"/>
    <w:rPr>
      <w:rFonts w:ascii="Tahoma" w:hAnsi="Tahoma"/>
      <w:sz w:val="24"/>
    </w:rPr>
  </w:style>
  <w:style w:type="paragraph" w:customStyle="1" w:styleId="80">
    <w:name w:val="样式 正文缩进正文（首行缩进两字）表正文正文非缩进特点标题4段1 + 首行缩进:  2 字符"/>
    <w:basedOn w:val="16"/>
    <w:autoRedefine/>
    <w:qFormat/>
    <w:uiPriority w:val="0"/>
    <w:pPr>
      <w:ind w:firstLine="480" w:firstLineChars="200"/>
    </w:pPr>
  </w:style>
  <w:style w:type="paragraph" w:customStyle="1" w:styleId="81">
    <w:name w:val="Table Contents"/>
    <w:basedOn w:val="2"/>
    <w:autoRedefine/>
    <w:qFormat/>
    <w:uiPriority w:val="0"/>
    <w:pPr>
      <w:suppressAutoHyphens/>
      <w:jc w:val="left"/>
    </w:pPr>
    <w:rPr>
      <w:rFonts w:ascii="Times New Roman" w:eastAsia="Times New Roman"/>
      <w:kern w:val="0"/>
      <w:sz w:val="24"/>
    </w:rPr>
  </w:style>
  <w:style w:type="paragraph" w:customStyle="1" w:styleId="82">
    <w:name w:val="正文字缩2字"/>
    <w:basedOn w:val="1"/>
    <w:autoRedefine/>
    <w:qFormat/>
    <w:uiPriority w:val="0"/>
    <w:pPr>
      <w:spacing w:line="360" w:lineRule="auto"/>
      <w:ind w:left="200" w:leftChars="200" w:firstLine="200" w:firstLineChars="200"/>
    </w:pPr>
    <w:rPr>
      <w:sz w:val="24"/>
    </w:rPr>
  </w:style>
  <w:style w:type="paragraph" w:customStyle="1" w:styleId="83">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84">
    <w:name w:val="样式 标题 6第五层条 + 三号 段前: 0.5 行"/>
    <w:basedOn w:val="8"/>
    <w:autoRedefine/>
    <w:qFormat/>
    <w:uiPriority w:val="0"/>
    <w:pPr>
      <w:widowControl/>
      <w:adjustRightInd/>
      <w:snapToGrid/>
      <w:spacing w:beforeLines="50"/>
      <w:jc w:val="left"/>
    </w:pPr>
    <w:rPr>
      <w:snapToGrid w:val="0"/>
      <w:kern w:val="24"/>
      <w:sz w:val="28"/>
    </w:rPr>
  </w:style>
  <w:style w:type="paragraph" w:customStyle="1" w:styleId="85">
    <w:name w:val="摘要"/>
    <w:basedOn w:val="1"/>
    <w:next w:val="4"/>
    <w:autoRedefine/>
    <w:qFormat/>
    <w:uiPriority w:val="0"/>
    <w:pPr>
      <w:spacing w:line="360" w:lineRule="auto"/>
    </w:pPr>
    <w:rPr>
      <w:rFonts w:eastAsia="黑体"/>
      <w:sz w:val="20"/>
    </w:rPr>
  </w:style>
  <w:style w:type="paragraph" w:customStyle="1" w:styleId="86">
    <w:name w:val="图例"/>
    <w:basedOn w:val="1"/>
    <w:autoRedefine/>
    <w:qFormat/>
    <w:uiPriority w:val="0"/>
    <w:pPr>
      <w:spacing w:line="360" w:lineRule="auto"/>
      <w:jc w:val="center"/>
    </w:pPr>
    <w:rPr>
      <w:rFonts w:eastAsia="仿宋_GB2312"/>
      <w:b/>
      <w:sz w:val="24"/>
    </w:rPr>
  </w:style>
  <w:style w:type="paragraph" w:customStyle="1" w:styleId="87">
    <w:name w:val="样式1xz"/>
    <w:basedOn w:val="1"/>
    <w:autoRedefine/>
    <w:qFormat/>
    <w:uiPriority w:val="0"/>
    <w:pPr>
      <w:tabs>
        <w:tab w:val="left" w:pos="1050"/>
        <w:tab w:val="right" w:leader="dot" w:pos="8296"/>
      </w:tabs>
    </w:pPr>
    <w:rPr>
      <w:caps/>
      <w:spacing w:val="20"/>
      <w:sz w:val="24"/>
    </w:rPr>
  </w:style>
  <w:style w:type="paragraph" w:customStyle="1" w:styleId="88">
    <w:name w:val="Char Char Char Char Char"/>
    <w:basedOn w:val="1"/>
    <w:autoRedefine/>
    <w:qFormat/>
    <w:uiPriority w:val="0"/>
    <w:pPr>
      <w:tabs>
        <w:tab w:val="left" w:pos="425"/>
      </w:tabs>
      <w:ind w:left="1620" w:hanging="360"/>
    </w:pPr>
    <w:rPr>
      <w:rFonts w:ascii="Tahoma" w:hAnsi="Tahoma"/>
      <w:sz w:val="24"/>
    </w:rPr>
  </w:style>
  <w:style w:type="paragraph" w:customStyle="1" w:styleId="89">
    <w:name w:val="Char"/>
    <w:basedOn w:val="1"/>
    <w:autoRedefine/>
    <w:qFormat/>
    <w:uiPriority w:val="0"/>
    <w:pPr>
      <w:spacing w:line="240" w:lineRule="atLeast"/>
      <w:ind w:left="420" w:firstLine="420"/>
    </w:pPr>
    <w:rPr>
      <w:kern w:val="0"/>
      <w:sz w:val="21"/>
    </w:rPr>
  </w:style>
  <w:style w:type="paragraph" w:customStyle="1" w:styleId="90">
    <w:name w:val="Char Char1 Char"/>
    <w:basedOn w:val="1"/>
    <w:autoRedefine/>
    <w:qFormat/>
    <w:uiPriority w:val="0"/>
    <w:rPr>
      <w:rFonts w:ascii="Tahoma" w:hAnsi="Tahoma"/>
      <w:sz w:val="24"/>
      <w:szCs w:val="24"/>
    </w:rPr>
  </w:style>
  <w:style w:type="paragraph" w:customStyle="1" w:styleId="91">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92">
    <w:name w:val="表格内文字"/>
    <w:basedOn w:val="30"/>
    <w:autoRedefine/>
    <w:qFormat/>
    <w:uiPriority w:val="0"/>
    <w:pPr>
      <w:adjustRightInd w:val="0"/>
    </w:pPr>
    <w:rPr>
      <w:color w:val="000000"/>
      <w:lang w:val="en-GB"/>
    </w:rPr>
  </w:style>
  <w:style w:type="paragraph" w:customStyle="1" w:styleId="93">
    <w:name w:val="1.正文"/>
    <w:basedOn w:val="1"/>
    <w:autoRedefine/>
    <w:qFormat/>
    <w:uiPriority w:val="0"/>
    <w:pPr>
      <w:spacing w:line="360" w:lineRule="auto"/>
      <w:ind w:left="540" w:leftChars="225" w:firstLine="540" w:firstLineChars="225"/>
    </w:pPr>
    <w:rPr>
      <w:sz w:val="24"/>
    </w:rPr>
  </w:style>
  <w:style w:type="paragraph" w:customStyle="1" w:styleId="94">
    <w:name w:val="正文文本缩进 21"/>
    <w:basedOn w:val="1"/>
    <w:autoRedefine/>
    <w:qFormat/>
    <w:uiPriority w:val="0"/>
    <w:pPr>
      <w:adjustRightInd w:val="0"/>
      <w:ind w:firstLine="420"/>
      <w:textAlignment w:val="baseline"/>
    </w:pPr>
    <w:rPr>
      <w:sz w:val="24"/>
    </w:rPr>
  </w:style>
  <w:style w:type="paragraph" w:customStyle="1" w:styleId="95">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96">
    <w:name w:val="编号正文"/>
    <w:basedOn w:val="97"/>
    <w:autoRedefine/>
    <w:qFormat/>
    <w:uiPriority w:val="0"/>
    <w:pPr>
      <w:snapToGrid/>
      <w:spacing w:line="360" w:lineRule="auto"/>
      <w:ind w:left="1407" w:hanging="1047"/>
      <w:jc w:val="left"/>
    </w:pPr>
    <w:rPr>
      <w:rFonts w:eastAsia="仿宋_GB2312"/>
    </w:rPr>
  </w:style>
  <w:style w:type="paragraph" w:customStyle="1" w:styleId="97">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98">
    <w:name w:val="文本框样式1"/>
    <w:basedOn w:val="1"/>
    <w:autoRedefine/>
    <w:qFormat/>
    <w:uiPriority w:val="0"/>
    <w:pPr>
      <w:adjustRightInd w:val="0"/>
      <w:snapToGrid w:val="0"/>
      <w:spacing w:line="180" w:lineRule="exact"/>
      <w:jc w:val="center"/>
    </w:pPr>
    <w:rPr>
      <w:sz w:val="21"/>
    </w:rPr>
  </w:style>
  <w:style w:type="paragraph" w:customStyle="1" w:styleId="99">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00">
    <w:name w:val="Item Step in Table"/>
    <w:autoRedefin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01">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02">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103">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04">
    <w:name w:val="附录3"/>
    <w:basedOn w:val="1"/>
    <w:next w:val="1"/>
    <w:autoRedefine/>
    <w:qFormat/>
    <w:uiPriority w:val="0"/>
    <w:pPr>
      <w:tabs>
        <w:tab w:val="left" w:pos="851"/>
      </w:tabs>
      <w:ind w:left="425" w:hanging="425"/>
      <w:outlineLvl w:val="2"/>
    </w:pPr>
    <w:rPr>
      <w:rFonts w:eastAsia="黑体"/>
      <w:b/>
      <w:sz w:val="32"/>
    </w:rPr>
  </w:style>
  <w:style w:type="paragraph" w:customStyle="1" w:styleId="105">
    <w:name w:val="1"/>
    <w:basedOn w:val="1"/>
    <w:next w:val="30"/>
    <w:autoRedefine/>
    <w:qFormat/>
    <w:uiPriority w:val="0"/>
    <w:rPr>
      <w:rFonts w:ascii="宋体" w:hAnsi="Courier New"/>
      <w:sz w:val="21"/>
    </w:rPr>
  </w:style>
  <w:style w:type="paragraph" w:customStyle="1" w:styleId="106">
    <w:name w:val="xl40"/>
    <w:basedOn w:val="1"/>
    <w:autoRedefine/>
    <w:qFormat/>
    <w:uiPriority w:val="0"/>
    <w:pPr>
      <w:widowControl/>
      <w:pBdr>
        <w:left w:val="single" w:color="auto" w:sz="4" w:space="0"/>
        <w:right w:val="single" w:color="auto" w:sz="4" w:space="0"/>
      </w:pBdr>
      <w:spacing w:beforeAutospacing="1" w:afterAutospacing="1"/>
      <w:jc w:val="center"/>
    </w:pPr>
    <w:rPr>
      <w:rFonts w:ascii="宋体" w:hAnsi="宋体"/>
      <w:kern w:val="0"/>
      <w:sz w:val="24"/>
    </w:rPr>
  </w:style>
  <w:style w:type="paragraph" w:customStyle="1" w:styleId="107">
    <w:name w:val="段落正文"/>
    <w:basedOn w:val="1"/>
    <w:autoRedefine/>
    <w:qFormat/>
    <w:uiPriority w:val="0"/>
    <w:pPr>
      <w:spacing w:beforeLines="50" w:line="360" w:lineRule="auto"/>
      <w:ind w:firstLine="200" w:firstLineChars="200"/>
    </w:pPr>
    <w:rPr>
      <w:spacing w:val="2"/>
      <w:sz w:val="24"/>
    </w:rPr>
  </w:style>
  <w:style w:type="paragraph" w:customStyle="1" w:styleId="108">
    <w:name w:val="IN Step"/>
    <w:basedOn w:val="1"/>
    <w:autoRedefine/>
    <w:qFormat/>
    <w:uiPriority w:val="0"/>
    <w:pPr>
      <w:keepLines/>
      <w:widowControl/>
      <w:tabs>
        <w:tab w:val="left" w:pos="1134"/>
      </w:tabs>
      <w:spacing w:line="300" w:lineRule="auto"/>
      <w:ind w:left="1134" w:hanging="907"/>
      <w:outlineLvl w:val="8"/>
    </w:pPr>
    <w:rPr>
      <w:rFonts w:ascii="Arial" w:hAnsi="Arial"/>
      <w:kern w:val="0"/>
      <w:sz w:val="21"/>
    </w:rPr>
  </w:style>
  <w:style w:type="paragraph" w:customStyle="1" w:styleId="109">
    <w:name w:val="样式 标题 1章标题Heading 0Section HeadPIM 1H1h11st levell11H1..."/>
    <w:basedOn w:val="3"/>
    <w:autoRedefine/>
    <w:qFormat/>
    <w:uiPriority w:val="0"/>
    <w:pPr>
      <w:keepLines/>
      <w:pageBreakBefore/>
      <w:tabs>
        <w:tab w:val="left" w:pos="432"/>
      </w:tabs>
      <w:autoSpaceDE w:val="0"/>
      <w:autoSpaceDN w:val="0"/>
      <w:adjustRightInd w:val="0"/>
      <w:spacing w:line="578" w:lineRule="atLeast"/>
      <w:textAlignment w:val="bottom"/>
    </w:pPr>
    <w:rPr>
      <w:rFonts w:hAnsi="宋体" w:eastAsia="黑体"/>
      <w:b/>
      <w:kern w:val="44"/>
      <w:sz w:val="36"/>
    </w:rPr>
  </w:style>
  <w:style w:type="paragraph" w:customStyle="1" w:styleId="110">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111">
    <w:name w:val="内容标题"/>
    <w:basedOn w:val="18"/>
    <w:autoRedefine/>
    <w:qFormat/>
    <w:uiPriority w:val="0"/>
    <w:rPr>
      <w:rFonts w:ascii="Tahoma" w:hAnsi="Tahoma"/>
      <w:sz w:val="24"/>
    </w:rPr>
  </w:style>
  <w:style w:type="paragraph" w:customStyle="1" w:styleId="112">
    <w:name w:val="Char Char Char Char Char Char Char"/>
    <w:basedOn w:val="18"/>
    <w:autoRedefine/>
    <w:qFormat/>
    <w:uiPriority w:val="0"/>
    <w:rPr>
      <w:rFonts w:ascii="宋体" w:hAnsi="Tahoma"/>
    </w:rPr>
  </w:style>
  <w:style w:type="paragraph" w:customStyle="1" w:styleId="113">
    <w:name w:val="Title - Revision"/>
    <w:basedOn w:val="55"/>
    <w:autoRedefine/>
    <w:qFormat/>
    <w:uiPriority w:val="0"/>
  </w:style>
  <w:style w:type="paragraph" w:customStyle="1" w:styleId="114">
    <w:name w:val="操作步骤"/>
    <w:basedOn w:val="1"/>
    <w:autoRedefine/>
    <w:qFormat/>
    <w:uiPriority w:val="0"/>
    <w:pPr>
      <w:numPr>
        <w:ilvl w:val="0"/>
        <w:numId w:val="6"/>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15">
    <w:name w:val="简单回函地址"/>
    <w:basedOn w:val="1"/>
    <w:autoRedefine/>
    <w:qFormat/>
    <w:uiPriority w:val="0"/>
    <w:pPr>
      <w:adjustRightInd w:val="0"/>
      <w:snapToGrid w:val="0"/>
      <w:spacing w:line="360" w:lineRule="auto"/>
    </w:pPr>
    <w:rPr>
      <w:sz w:val="24"/>
    </w:rPr>
  </w:style>
  <w:style w:type="paragraph" w:customStyle="1" w:styleId="116">
    <w:name w:val="Table Text Char Char Char"/>
    <w:link w:val="220"/>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17">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18">
    <w:name w:val="司法正文"/>
    <w:autoRedefine/>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19">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20">
    <w:name w:val="文本1"/>
    <w:basedOn w:val="1"/>
    <w:autoRedefine/>
    <w:qFormat/>
    <w:uiPriority w:val="0"/>
    <w:pPr>
      <w:adjustRightInd w:val="0"/>
      <w:spacing w:line="312" w:lineRule="atLeast"/>
      <w:jc w:val="center"/>
      <w:textAlignment w:val="baseline"/>
    </w:pPr>
    <w:rPr>
      <w:kern w:val="0"/>
      <w:sz w:val="18"/>
    </w:rPr>
  </w:style>
  <w:style w:type="paragraph" w:customStyle="1" w:styleId="121">
    <w:name w:val="文字"/>
    <w:basedOn w:val="1"/>
    <w:link w:val="240"/>
    <w:autoRedefine/>
    <w:qFormat/>
    <w:uiPriority w:val="0"/>
    <w:pPr>
      <w:tabs>
        <w:tab w:val="left" w:pos="8520"/>
      </w:tabs>
      <w:spacing w:line="312" w:lineRule="auto"/>
      <w:ind w:right="-210" w:firstLine="556"/>
    </w:pPr>
    <w:rPr>
      <w:rFonts w:ascii="宋体"/>
    </w:rPr>
  </w:style>
  <w:style w:type="paragraph" w:customStyle="1" w:styleId="122">
    <w:name w:val="样式2"/>
    <w:basedOn w:val="6"/>
    <w:autoRedefine/>
    <w:qFormat/>
    <w:uiPriority w:val="0"/>
    <w:pPr>
      <w:numPr>
        <w:ilvl w:val="0"/>
        <w:numId w:val="7"/>
      </w:numPr>
      <w:spacing w:line="400" w:lineRule="exact"/>
      <w:jc w:val="center"/>
      <w:outlineLvl w:val="0"/>
    </w:pPr>
    <w:rPr>
      <w:b w:val="0"/>
      <w:sz w:val="44"/>
    </w:rPr>
  </w:style>
  <w:style w:type="paragraph" w:customStyle="1" w:styleId="123">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124">
    <w:name w:val="正文表格"/>
    <w:basedOn w:val="1"/>
    <w:autoRedefine/>
    <w:qFormat/>
    <w:uiPriority w:val="0"/>
    <w:pPr>
      <w:adjustRightInd w:val="0"/>
    </w:pPr>
    <w:rPr>
      <w:sz w:val="24"/>
    </w:rPr>
  </w:style>
  <w:style w:type="paragraph" w:customStyle="1" w:styleId="125">
    <w:name w:val="IN Feature"/>
    <w:next w:val="108"/>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26">
    <w:name w:val="Char1"/>
    <w:basedOn w:val="1"/>
    <w:autoRedefine/>
    <w:qFormat/>
    <w:uiPriority w:val="0"/>
    <w:rPr>
      <w:sz w:val="21"/>
    </w:rPr>
  </w:style>
  <w:style w:type="paragraph" w:customStyle="1" w:styleId="127">
    <w:name w:val="可研正文"/>
    <w:basedOn w:val="2"/>
    <w:autoRedefine/>
    <w:qFormat/>
    <w:uiPriority w:val="0"/>
    <w:pPr>
      <w:adjustRightInd w:val="0"/>
      <w:snapToGrid w:val="0"/>
      <w:spacing w:line="440" w:lineRule="exact"/>
      <w:ind w:firstLine="567"/>
    </w:pPr>
    <w:rPr>
      <w:sz w:val="28"/>
    </w:rPr>
  </w:style>
  <w:style w:type="paragraph" w:customStyle="1" w:styleId="128">
    <w:name w:val="标题3——2"/>
    <w:basedOn w:val="5"/>
    <w:next w:val="57"/>
    <w:autoRedefine/>
    <w:qFormat/>
    <w:uiPriority w:val="0"/>
    <w:pPr>
      <w:tabs>
        <w:tab w:val="left" w:pos="1280"/>
        <w:tab w:val="right" w:leader="dot" w:pos="8777"/>
      </w:tabs>
      <w:spacing w:beforeLines="100" w:line="240" w:lineRule="auto"/>
      <w:ind w:left="851" w:hanging="851"/>
      <w:outlineLvl w:val="9"/>
    </w:pPr>
    <w:rPr>
      <w:rFonts w:ascii="黑体" w:hAnsi="宋体" w:eastAsia="黑体"/>
      <w:sz w:val="30"/>
    </w:rPr>
  </w:style>
  <w:style w:type="paragraph" w:customStyle="1" w:styleId="129">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30">
    <w:name w:val="样式 正文首行缩进 2 + 首行缩进:  2 字符"/>
    <w:basedOn w:val="1"/>
    <w:autoRedefine/>
    <w:qFormat/>
    <w:uiPriority w:val="0"/>
    <w:pPr>
      <w:numPr>
        <w:ilvl w:val="0"/>
        <w:numId w:val="8"/>
      </w:numPr>
      <w:adjustRightInd w:val="0"/>
      <w:snapToGrid w:val="0"/>
      <w:spacing w:line="360" w:lineRule="auto"/>
    </w:pPr>
    <w:rPr>
      <w:rFonts w:ascii="Arial" w:hAnsi="Arial"/>
      <w:b/>
      <w:sz w:val="24"/>
    </w:rPr>
  </w:style>
  <w:style w:type="paragraph" w:customStyle="1" w:styleId="131">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32">
    <w:name w:val="没有缩进（为图形使用）"/>
    <w:basedOn w:val="1"/>
    <w:autoRedefine/>
    <w:qFormat/>
    <w:uiPriority w:val="0"/>
    <w:pPr>
      <w:spacing w:line="360" w:lineRule="auto"/>
    </w:pPr>
    <w:rPr>
      <w:sz w:val="24"/>
    </w:rPr>
  </w:style>
  <w:style w:type="paragraph" w:customStyle="1" w:styleId="133">
    <w:name w:val="Char Char Char"/>
    <w:basedOn w:val="1"/>
    <w:autoRedefine/>
    <w:qFormat/>
    <w:uiPriority w:val="0"/>
    <w:rPr>
      <w:rFonts w:ascii="Tahoma" w:hAnsi="Tahoma"/>
      <w:sz w:val="24"/>
    </w:rPr>
  </w:style>
  <w:style w:type="paragraph" w:customStyle="1" w:styleId="134">
    <w:name w:val="表文字"/>
    <w:autoRedefine/>
    <w:qFormat/>
    <w:uiPriority w:val="0"/>
    <w:rPr>
      <w:rFonts w:ascii="宋体" w:hAnsi="Calibri" w:eastAsia="宋体" w:cs="Times New Roman"/>
      <w:kern w:val="2"/>
      <w:lang w:val="en-US" w:eastAsia="zh-CN" w:bidi="ar-SA"/>
    </w:rPr>
  </w:style>
  <w:style w:type="paragraph" w:customStyle="1" w:styleId="135">
    <w:name w:val="Char Char Char1 Char Char Char Char Char Char Char Char Char Char Char Char Char"/>
    <w:basedOn w:val="1"/>
    <w:autoRedefine/>
    <w:qFormat/>
    <w:uiPriority w:val="0"/>
    <w:pPr>
      <w:widowControl/>
      <w:spacing w:line="240" w:lineRule="exact"/>
      <w:jc w:val="left"/>
    </w:pPr>
    <w:rPr>
      <w:rFonts w:ascii="Verdana" w:hAnsi="Verdana"/>
      <w:kern w:val="0"/>
      <w:sz w:val="18"/>
      <w:lang w:eastAsia="en-US"/>
    </w:rPr>
  </w:style>
  <w:style w:type="paragraph" w:customStyle="1" w:styleId="136">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line="288" w:lineRule="auto"/>
      <w:ind w:left="144" w:right="144"/>
      <w:jc w:val="center"/>
    </w:pPr>
    <w:rPr>
      <w:b/>
      <w:i/>
      <w:sz w:val="24"/>
    </w:rPr>
  </w:style>
  <w:style w:type="paragraph" w:customStyle="1" w:styleId="13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38">
    <w:name w:val="段 Char"/>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39">
    <w:name w:val="列表项目"/>
    <w:basedOn w:val="1"/>
    <w:autoRedefine/>
    <w:qFormat/>
    <w:uiPriority w:val="0"/>
    <w:pPr>
      <w:tabs>
        <w:tab w:val="left" w:pos="420"/>
      </w:tabs>
      <w:spacing w:line="288" w:lineRule="auto"/>
      <w:ind w:left="840" w:leftChars="200" w:hanging="420" w:hangingChars="200"/>
    </w:pPr>
    <w:rPr>
      <w:sz w:val="21"/>
    </w:rPr>
  </w:style>
  <w:style w:type="paragraph" w:customStyle="1" w:styleId="140">
    <w:name w:val="二级列表"/>
    <w:basedOn w:val="107"/>
    <w:next w:val="107"/>
    <w:autoRedefine/>
    <w:qFormat/>
    <w:uiPriority w:val="0"/>
    <w:pPr>
      <w:tabs>
        <w:tab w:val="left" w:pos="2120"/>
      </w:tabs>
      <w:ind w:firstLine="0" w:firstLineChars="0"/>
    </w:pPr>
    <w:rPr>
      <w:b/>
    </w:rPr>
  </w:style>
  <w:style w:type="paragraph" w:customStyle="1" w:styleId="141">
    <w:name w:val="Char Char14 Char Char"/>
    <w:basedOn w:val="1"/>
    <w:autoRedefine/>
    <w:qFormat/>
    <w:uiPriority w:val="0"/>
    <w:rPr>
      <w:sz w:val="21"/>
      <w:szCs w:val="24"/>
    </w:rPr>
  </w:style>
  <w:style w:type="paragraph" w:customStyle="1" w:styleId="142">
    <w:name w:val="正文格式"/>
    <w:basedOn w:val="1"/>
    <w:autoRedefine/>
    <w:qFormat/>
    <w:uiPriority w:val="0"/>
    <w:pPr>
      <w:widowControl/>
      <w:adjustRightInd w:val="0"/>
      <w:snapToGrid w:val="0"/>
      <w:spacing w:line="360" w:lineRule="auto"/>
      <w:ind w:firstLine="480" w:firstLineChars="200"/>
      <w:jc w:val="left"/>
      <w:textAlignment w:val="baseline"/>
    </w:pPr>
    <w:rPr>
      <w:rFonts w:ascii="宋体" w:hAnsi="宋体"/>
      <w:color w:val="000000"/>
      <w:kern w:val="0"/>
      <w:sz w:val="24"/>
    </w:rPr>
  </w:style>
  <w:style w:type="paragraph" w:customStyle="1" w:styleId="143">
    <w:name w:val="Char2"/>
    <w:basedOn w:val="1"/>
    <w:autoRedefine/>
    <w:qFormat/>
    <w:uiPriority w:val="0"/>
    <w:pPr>
      <w:spacing w:line="240" w:lineRule="atLeast"/>
      <w:ind w:left="420" w:firstLine="420"/>
    </w:pPr>
    <w:rPr>
      <w:kern w:val="0"/>
      <w:sz w:val="21"/>
    </w:rPr>
  </w:style>
  <w:style w:type="paragraph" w:customStyle="1" w:styleId="144">
    <w:name w:val="样式4"/>
    <w:basedOn w:val="6"/>
    <w:autoRedefine/>
    <w:qFormat/>
    <w:uiPriority w:val="0"/>
    <w:pPr>
      <w:adjustRightInd w:val="0"/>
      <w:snapToGrid w:val="0"/>
    </w:pPr>
  </w:style>
  <w:style w:type="paragraph" w:customStyle="1" w:styleId="145">
    <w:name w:val="标书正文:  0.74 厘米"/>
    <w:basedOn w:val="1"/>
    <w:autoRedefine/>
    <w:qFormat/>
    <w:uiPriority w:val="0"/>
    <w:pPr>
      <w:snapToGrid w:val="0"/>
      <w:spacing w:line="360" w:lineRule="auto"/>
      <w:ind w:firstLine="420"/>
    </w:pPr>
    <w:rPr>
      <w:sz w:val="24"/>
    </w:rPr>
  </w:style>
  <w:style w:type="paragraph" w:customStyle="1" w:styleId="146">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47">
    <w:name w:val="af"/>
    <w:basedOn w:val="1"/>
    <w:autoRedefine/>
    <w:qFormat/>
    <w:uiPriority w:val="0"/>
    <w:pPr>
      <w:widowControl/>
      <w:spacing w:line="300" w:lineRule="atLeast"/>
      <w:jc w:val="left"/>
    </w:pPr>
    <w:rPr>
      <w:rFonts w:ascii="宋体" w:hAnsi="宋体"/>
      <w:kern w:val="0"/>
      <w:sz w:val="18"/>
    </w:rPr>
  </w:style>
  <w:style w:type="paragraph" w:customStyle="1" w:styleId="148">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49">
    <w:name w:val="Char Char Char Char"/>
    <w:basedOn w:val="1"/>
    <w:autoRedefine/>
    <w:qFormat/>
    <w:uiPriority w:val="0"/>
    <w:pPr>
      <w:pageBreakBefore/>
      <w:widowControl/>
      <w:spacing w:line="240" w:lineRule="exact"/>
      <w:jc w:val="left"/>
    </w:pPr>
    <w:rPr>
      <w:rFonts w:ascii="Verdana" w:hAnsi="Verdana"/>
      <w:kern w:val="0"/>
      <w:sz w:val="20"/>
      <w:lang w:eastAsia="en-US"/>
    </w:rPr>
  </w:style>
  <w:style w:type="paragraph" w:customStyle="1" w:styleId="150">
    <w:name w:val="样式 样式 正文首行缩进 2 + 左  0 字符 + 首行缩进:  2.57 字符"/>
    <w:basedOn w:val="1"/>
    <w:next w:val="1"/>
    <w:autoRedefine/>
    <w:qFormat/>
    <w:uiPriority w:val="0"/>
    <w:pPr>
      <w:adjustRightInd w:val="0"/>
      <w:snapToGrid w:val="0"/>
      <w:ind w:firstLine="540" w:firstLineChars="257"/>
    </w:pPr>
    <w:rPr>
      <w:sz w:val="21"/>
    </w:rPr>
  </w:style>
  <w:style w:type="paragraph" w:customStyle="1" w:styleId="151">
    <w:name w:val="标准正文"/>
    <w:basedOn w:val="23"/>
    <w:autoRedefine/>
    <w:qFormat/>
    <w:uiPriority w:val="0"/>
    <w:pPr>
      <w:spacing w:line="360" w:lineRule="auto"/>
      <w:ind w:left="0" w:firstLine="482"/>
    </w:pPr>
    <w:rPr>
      <w:rFonts w:ascii="Arial" w:hAnsi="Arial"/>
      <w:sz w:val="24"/>
    </w:rPr>
  </w:style>
  <w:style w:type="paragraph" w:customStyle="1" w:styleId="152">
    <w:name w:val="章标题"/>
    <w:next w:val="1"/>
    <w:autoRedefine/>
    <w:qFormat/>
    <w:uiPriority w:val="0"/>
    <w:pPr>
      <w:numPr>
        <w:ilvl w:val="1"/>
        <w:numId w:val="5"/>
      </w:numPr>
      <w:spacing w:beforeLines="50" w:afterLines="50"/>
      <w:ind w:left="0"/>
      <w:jc w:val="both"/>
      <w:outlineLvl w:val="1"/>
    </w:pPr>
    <w:rPr>
      <w:rFonts w:ascii="黑体" w:hAnsi="Calibri" w:eastAsia="黑体" w:cs="Times New Roman"/>
      <w:sz w:val="24"/>
      <w:lang w:val="en-US" w:eastAsia="zh-CN" w:bidi="ar-SA"/>
    </w:rPr>
  </w:style>
  <w:style w:type="paragraph" w:customStyle="1" w:styleId="153">
    <w:name w:val="二级条标题"/>
    <w:basedOn w:val="154"/>
    <w:next w:val="131"/>
    <w:autoRedefine/>
    <w:qFormat/>
    <w:uiPriority w:val="0"/>
    <w:pPr>
      <w:ind w:left="840"/>
      <w:outlineLvl w:val="3"/>
    </w:pPr>
  </w:style>
  <w:style w:type="paragraph" w:customStyle="1" w:styleId="154">
    <w:name w:val="一级条标题"/>
    <w:basedOn w:val="152"/>
    <w:next w:val="131"/>
    <w:autoRedefine/>
    <w:qFormat/>
    <w:uiPriority w:val="0"/>
    <w:pPr>
      <w:numPr>
        <w:numId w:val="0"/>
      </w:numPr>
      <w:spacing w:beforeLines="0" w:afterLines="0"/>
      <w:ind w:left="525"/>
      <w:outlineLvl w:val="2"/>
    </w:pPr>
    <w:rPr>
      <w:sz w:val="21"/>
    </w:rPr>
  </w:style>
  <w:style w:type="paragraph" w:customStyle="1" w:styleId="155">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56">
    <w:name w:val="标题无"/>
    <w:basedOn w:val="1"/>
    <w:autoRedefine/>
    <w:qFormat/>
    <w:uiPriority w:val="0"/>
    <w:pPr>
      <w:spacing w:line="360" w:lineRule="auto"/>
    </w:pPr>
    <w:rPr>
      <w:sz w:val="24"/>
    </w:rPr>
  </w:style>
  <w:style w:type="paragraph" w:customStyle="1" w:styleId="157">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158">
    <w:name w:val="xl23"/>
    <w:basedOn w:val="1"/>
    <w:autoRedefine/>
    <w:qFormat/>
    <w:uiPriority w:val="0"/>
    <w:pPr>
      <w:widowControl/>
      <w:spacing w:beforeAutospacing="1" w:afterAutospacing="1" w:line="360" w:lineRule="auto"/>
      <w:textAlignment w:val="top"/>
    </w:pPr>
    <w:rPr>
      <w:kern w:val="0"/>
      <w:sz w:val="24"/>
    </w:rPr>
  </w:style>
  <w:style w:type="paragraph" w:customStyle="1" w:styleId="159">
    <w:name w:val="正文文本 21"/>
    <w:basedOn w:val="1"/>
    <w:autoRedefine/>
    <w:qFormat/>
    <w:uiPriority w:val="0"/>
    <w:pPr>
      <w:adjustRightInd w:val="0"/>
      <w:spacing w:line="360" w:lineRule="auto"/>
      <w:ind w:firstLine="480"/>
      <w:textAlignment w:val="baseline"/>
    </w:pPr>
    <w:rPr>
      <w:sz w:val="24"/>
    </w:rPr>
  </w:style>
  <w:style w:type="paragraph" w:customStyle="1" w:styleId="160">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61">
    <w:name w:val="表头文本"/>
    <w:autoRedefine/>
    <w:qFormat/>
    <w:uiPriority w:val="0"/>
    <w:pPr>
      <w:jc w:val="center"/>
    </w:pPr>
    <w:rPr>
      <w:rFonts w:ascii="Arial" w:hAnsi="Arial" w:eastAsia="宋体" w:cs="Times New Roman"/>
      <w:b/>
      <w:sz w:val="21"/>
      <w:lang w:val="en-US" w:eastAsia="zh-CN" w:bidi="ar-SA"/>
    </w:rPr>
  </w:style>
  <w:style w:type="paragraph" w:customStyle="1" w:styleId="162">
    <w:name w:val="Char1 Char Char Char1"/>
    <w:basedOn w:val="1"/>
    <w:autoRedefine/>
    <w:qFormat/>
    <w:uiPriority w:val="0"/>
    <w:rPr>
      <w:rFonts w:ascii="Tahoma" w:hAnsi="Tahoma"/>
      <w:sz w:val="30"/>
    </w:rPr>
  </w:style>
  <w:style w:type="paragraph" w:customStyle="1" w:styleId="163">
    <w:name w:val="Char Char Char Char Char Char Char1"/>
    <w:basedOn w:val="1"/>
    <w:autoRedefine/>
    <w:qFormat/>
    <w:uiPriority w:val="0"/>
    <w:rPr>
      <w:rFonts w:ascii="Tahoma" w:hAnsi="Tahoma"/>
      <w:sz w:val="24"/>
    </w:rPr>
  </w:style>
  <w:style w:type="paragraph" w:customStyle="1" w:styleId="164">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165">
    <w:name w:val="_Style 159"/>
    <w:autoRedefine/>
    <w:qFormat/>
    <w:uiPriority w:val="0"/>
    <w:rPr>
      <w:rFonts w:ascii="Calibri" w:hAnsi="Calibri" w:eastAsia="宋体" w:cs="Times New Roman"/>
      <w:kern w:val="2"/>
      <w:sz w:val="21"/>
      <w:lang w:val="en-US" w:eastAsia="zh-CN" w:bidi="ar-SA"/>
    </w:rPr>
  </w:style>
  <w:style w:type="paragraph" w:customStyle="1" w:styleId="166">
    <w:name w:val="样式 宋体 五号 行距: 单倍行距"/>
    <w:basedOn w:val="1"/>
    <w:autoRedefine/>
    <w:qFormat/>
    <w:uiPriority w:val="0"/>
    <w:pPr>
      <w:adjustRightInd w:val="0"/>
      <w:jc w:val="left"/>
    </w:pPr>
    <w:rPr>
      <w:rFonts w:ascii="宋体" w:hAnsi="宋体"/>
      <w:kern w:val="0"/>
      <w:sz w:val="21"/>
    </w:rPr>
  </w:style>
  <w:style w:type="paragraph" w:customStyle="1" w:styleId="167">
    <w:name w:val="Table Text"/>
    <w:link w:val="209"/>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68">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69">
    <w:name w:val="bt"/>
    <w:basedOn w:val="1"/>
    <w:next w:val="2"/>
    <w:autoRedefine/>
    <w:qFormat/>
    <w:uiPriority w:val="0"/>
    <w:pPr>
      <w:overflowPunct w:val="0"/>
      <w:autoSpaceDE w:val="0"/>
      <w:autoSpaceDN w:val="0"/>
      <w:adjustRightInd w:val="0"/>
      <w:snapToGrid w:val="0"/>
      <w:spacing w:line="240" w:lineRule="atLeast"/>
      <w:ind w:left="2880" w:hanging="360"/>
      <w:textAlignment w:val="baseline"/>
    </w:pPr>
    <w:rPr>
      <w:rFonts w:ascii="宋体"/>
      <w:kern w:val="0"/>
      <w:sz w:val="20"/>
    </w:rPr>
  </w:style>
  <w:style w:type="paragraph" w:customStyle="1" w:styleId="170">
    <w:name w:val="正文 + 三号"/>
    <w:basedOn w:val="1"/>
    <w:autoRedefine/>
    <w:qFormat/>
    <w:uiPriority w:val="0"/>
    <w:rPr>
      <w:sz w:val="21"/>
    </w:rPr>
  </w:style>
  <w:style w:type="paragraph" w:customStyle="1" w:styleId="171">
    <w:name w:val="默认段落字体 Para Char Char Char Char Char Char Char Char Char1 Char Char Char Char"/>
    <w:basedOn w:val="1"/>
    <w:autoRedefine/>
    <w:qFormat/>
    <w:uiPriority w:val="0"/>
    <w:rPr>
      <w:rFonts w:ascii="Tahoma" w:hAnsi="Tahoma"/>
      <w:sz w:val="24"/>
    </w:rPr>
  </w:style>
  <w:style w:type="paragraph" w:customStyle="1" w:styleId="172">
    <w:name w:val="表号"/>
    <w:basedOn w:val="1"/>
    <w:autoRedefine/>
    <w:qFormat/>
    <w:uiPriority w:val="0"/>
    <w:pPr>
      <w:numPr>
        <w:ilvl w:val="0"/>
        <w:numId w:val="9"/>
      </w:numPr>
      <w:tabs>
        <w:tab w:val="left" w:pos="648"/>
        <w:tab w:val="clear" w:pos="360"/>
      </w:tabs>
      <w:autoSpaceDE w:val="0"/>
      <w:autoSpaceDN w:val="0"/>
      <w:adjustRightInd w:val="0"/>
      <w:ind w:left="425" w:hanging="137"/>
      <w:jc w:val="center"/>
    </w:pPr>
    <w:rPr>
      <w:kern w:val="0"/>
      <w:sz w:val="21"/>
      <w:lang w:eastAsia="en-US"/>
    </w:rPr>
  </w:style>
  <w:style w:type="paragraph" w:customStyle="1" w:styleId="173">
    <w:name w:val="Title - Date"/>
    <w:basedOn w:val="55"/>
    <w:next w:val="1"/>
    <w:autoRedefine/>
    <w:qFormat/>
    <w:uiPriority w:val="0"/>
    <w:rPr>
      <w:sz w:val="28"/>
    </w:rPr>
  </w:style>
  <w:style w:type="paragraph" w:customStyle="1" w:styleId="174">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5">
    <w:name w:val="Char Char1 Char Char Char Char Char Char Char Char Char Char Char Char Char Char"/>
    <w:basedOn w:val="1"/>
    <w:autoRedefine/>
    <w:qFormat/>
    <w:uiPriority w:val="0"/>
    <w:pPr>
      <w:widowControl/>
      <w:spacing w:line="240" w:lineRule="exact"/>
      <w:jc w:val="left"/>
    </w:pPr>
    <w:rPr>
      <w:rFonts w:ascii="Verdana" w:hAnsi="Verdana"/>
      <w:kern w:val="0"/>
      <w:sz w:val="20"/>
      <w:lang w:eastAsia="en-US"/>
    </w:rPr>
  </w:style>
  <w:style w:type="paragraph" w:customStyle="1" w:styleId="176">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77">
    <w:name w:val="正文4"/>
    <w:basedOn w:val="1"/>
    <w:autoRedefine/>
    <w:qFormat/>
    <w:uiPriority w:val="0"/>
    <w:pPr>
      <w:tabs>
        <w:tab w:val="left" w:pos="1275"/>
      </w:tabs>
      <w:spacing w:line="360" w:lineRule="auto"/>
      <w:ind w:left="820" w:leftChars="400" w:hanging="705"/>
    </w:pPr>
    <w:rPr>
      <w:sz w:val="24"/>
    </w:rPr>
  </w:style>
  <w:style w:type="paragraph" w:customStyle="1" w:styleId="178">
    <w:name w:val="文章正文"/>
    <w:basedOn w:val="1"/>
    <w:autoRedefine/>
    <w:qFormat/>
    <w:uiPriority w:val="0"/>
    <w:pPr>
      <w:ind w:firstLine="560" w:firstLineChars="200"/>
    </w:pPr>
    <w:rPr>
      <w:rFonts w:ascii="仿宋_GB2312" w:hAnsi="宋体" w:eastAsia="仿宋_GB2312"/>
      <w:color w:val="000000"/>
    </w:rPr>
  </w:style>
  <w:style w:type="paragraph" w:customStyle="1" w:styleId="179">
    <w:name w:val="项目"/>
    <w:basedOn w:val="1"/>
    <w:autoRedefine/>
    <w:qFormat/>
    <w:uiPriority w:val="0"/>
    <w:pPr>
      <w:tabs>
        <w:tab w:val="left" w:pos="1280"/>
      </w:tabs>
      <w:spacing w:line="360" w:lineRule="auto"/>
      <w:ind w:left="-7" w:firstLine="567"/>
      <w:jc w:val="left"/>
      <w:textAlignment w:val="baseline"/>
    </w:pPr>
    <w:rPr>
      <w:rFonts w:ascii="宋体"/>
      <w:kern w:val="0"/>
      <w:sz w:val="24"/>
    </w:rPr>
  </w:style>
  <w:style w:type="paragraph" w:customStyle="1" w:styleId="180">
    <w:name w:val="默认段落字体 Para Char Char Char Char Char Char Char"/>
    <w:basedOn w:val="1"/>
    <w:autoRedefine/>
    <w:qFormat/>
    <w:uiPriority w:val="0"/>
    <w:rPr>
      <w:rFonts w:ascii="Tahoma" w:hAnsi="Tahoma"/>
      <w:sz w:val="24"/>
    </w:rPr>
  </w:style>
  <w:style w:type="paragraph" w:customStyle="1" w:styleId="181">
    <w:name w:val="样式 首行缩进:  0.74 厘米"/>
    <w:basedOn w:val="1"/>
    <w:autoRedefine/>
    <w:qFormat/>
    <w:uiPriority w:val="0"/>
    <w:pPr>
      <w:spacing w:line="360" w:lineRule="auto"/>
      <w:ind w:firstLine="420"/>
    </w:pPr>
    <w:rPr>
      <w:sz w:val="24"/>
    </w:rPr>
  </w:style>
  <w:style w:type="paragraph" w:customStyle="1" w:styleId="182">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83">
    <w:name w:val="Style Heading 3h3Heading 3 - oldLevel 3 HeadH3level_3PIM 3se..."/>
    <w:basedOn w:val="5"/>
    <w:autoRedefine/>
    <w:qFormat/>
    <w:uiPriority w:val="0"/>
    <w:pPr>
      <w:tabs>
        <w:tab w:val="left" w:pos="709"/>
        <w:tab w:val="left" w:pos="1620"/>
      </w:tabs>
      <w:ind w:left="1620" w:hanging="360"/>
    </w:pPr>
  </w:style>
  <w:style w:type="paragraph" w:customStyle="1" w:styleId="184">
    <w:name w:val="图标"/>
    <w:basedOn w:val="1"/>
    <w:next w:val="1"/>
    <w:autoRedefine/>
    <w:qFormat/>
    <w:uiPriority w:val="0"/>
    <w:pPr>
      <w:tabs>
        <w:tab w:val="left" w:pos="420"/>
        <w:tab w:val="left" w:pos="567"/>
        <w:tab w:val="left" w:pos="720"/>
      </w:tabs>
      <w:autoSpaceDE w:val="0"/>
      <w:autoSpaceDN w:val="0"/>
      <w:adjustRightInd w:val="0"/>
      <w:snapToGrid w:val="0"/>
      <w:spacing w:line="320" w:lineRule="atLeast"/>
      <w:ind w:left="420" w:hanging="420"/>
      <w:jc w:val="center"/>
      <w:textAlignment w:val="baseline"/>
    </w:pPr>
    <w:rPr>
      <w:rFonts w:eastAsia="仿宋_GB2312"/>
      <w:kern w:val="0"/>
      <w:sz w:val="24"/>
    </w:rPr>
  </w:style>
  <w:style w:type="paragraph" w:customStyle="1" w:styleId="185">
    <w:name w:val="正文1"/>
    <w:basedOn w:val="1"/>
    <w:autoRedefine/>
    <w:qFormat/>
    <w:uiPriority w:val="0"/>
    <w:pPr>
      <w:spacing w:line="300" w:lineRule="auto"/>
      <w:ind w:firstLine="200" w:firstLineChars="200"/>
    </w:pPr>
    <w:rPr>
      <w:sz w:val="24"/>
    </w:rPr>
  </w:style>
  <w:style w:type="paragraph" w:customStyle="1" w:styleId="186">
    <w:name w:val="Char Char1"/>
    <w:basedOn w:val="1"/>
    <w:autoRedefine/>
    <w:qFormat/>
    <w:uiPriority w:val="0"/>
    <w:pPr>
      <w:widowControl/>
      <w:spacing w:line="240" w:lineRule="exact"/>
      <w:jc w:val="left"/>
    </w:pPr>
    <w:rPr>
      <w:rFonts w:ascii="Verdana" w:hAnsi="Verdana"/>
      <w:kern w:val="0"/>
      <w:sz w:val="20"/>
      <w:lang w:eastAsia="en-US"/>
    </w:rPr>
  </w:style>
  <w:style w:type="paragraph" w:customStyle="1" w:styleId="187">
    <w:name w:val="样式 样式 首行缩进:  2 字符 + 首行缩进:  2 字符"/>
    <w:basedOn w:val="1"/>
    <w:autoRedefine/>
    <w:qFormat/>
    <w:uiPriority w:val="0"/>
    <w:pPr>
      <w:numPr>
        <w:ilvl w:val="0"/>
        <w:numId w:val="10"/>
      </w:numPr>
      <w:tabs>
        <w:tab w:val="clear" w:pos="1230"/>
      </w:tabs>
      <w:spacing w:line="360" w:lineRule="auto"/>
      <w:ind w:firstLine="480" w:firstLineChars="200"/>
    </w:pPr>
    <w:rPr>
      <w:sz w:val="24"/>
    </w:rPr>
  </w:style>
  <w:style w:type="paragraph" w:customStyle="1" w:styleId="188">
    <w:name w:val="00"/>
    <w:basedOn w:val="1"/>
    <w:autoRedefine/>
    <w:qFormat/>
    <w:uiPriority w:val="0"/>
    <w:pPr>
      <w:autoSpaceDE w:val="0"/>
      <w:autoSpaceDN w:val="0"/>
      <w:adjustRightInd w:val="0"/>
      <w:jc w:val="left"/>
    </w:pPr>
    <w:rPr>
      <w:rFonts w:ascii="黑体" w:eastAsia="黑体"/>
      <w:b/>
      <w:kern w:val="0"/>
      <w:sz w:val="20"/>
    </w:rPr>
  </w:style>
  <w:style w:type="paragraph" w:customStyle="1" w:styleId="189">
    <w:name w:val="Char Char Char Char Char Char1 Char"/>
    <w:basedOn w:val="1"/>
    <w:autoRedefine/>
    <w:qFormat/>
    <w:uiPriority w:val="0"/>
    <w:pPr>
      <w:widowControl/>
      <w:spacing w:line="240" w:lineRule="exact"/>
      <w:jc w:val="left"/>
    </w:pPr>
    <w:rPr>
      <w:rFonts w:ascii="Verdana" w:hAnsi="Verdana"/>
      <w:kern w:val="0"/>
      <w:sz w:val="21"/>
      <w:lang w:eastAsia="en-US"/>
    </w:rPr>
  </w:style>
  <w:style w:type="paragraph" w:customStyle="1" w:styleId="190">
    <w:name w:val="xl27"/>
    <w:basedOn w:val="1"/>
    <w:autoRedefine/>
    <w:qFormat/>
    <w:uiPriority w:val="0"/>
    <w:pPr>
      <w:widowControl/>
      <w:pBdr>
        <w:left w:val="single" w:color="auto" w:sz="8" w:space="0"/>
        <w:bottom w:val="single" w:color="auto" w:sz="4" w:space="0"/>
        <w:right w:val="single" w:color="auto" w:sz="4" w:space="0"/>
      </w:pBdr>
      <w:spacing w:beforeAutospacing="1" w:afterAutospacing="1"/>
      <w:jc w:val="center"/>
      <w:textAlignment w:val="center"/>
    </w:pPr>
    <w:rPr>
      <w:rFonts w:ascii="宋体" w:hAnsi="宋体"/>
      <w:kern w:val="0"/>
      <w:sz w:val="21"/>
    </w:rPr>
  </w:style>
  <w:style w:type="paragraph" w:customStyle="1" w:styleId="191">
    <w:name w:val="普通正文"/>
    <w:basedOn w:val="1"/>
    <w:autoRedefine/>
    <w:qFormat/>
    <w:uiPriority w:val="0"/>
    <w:pPr>
      <w:adjustRightInd w:val="0"/>
      <w:spacing w:line="360" w:lineRule="auto"/>
      <w:ind w:firstLine="480"/>
      <w:jc w:val="left"/>
      <w:textAlignment w:val="baseline"/>
    </w:pPr>
    <w:rPr>
      <w:rFonts w:ascii="Arial" w:hAnsi="Arial"/>
      <w:kern w:val="0"/>
      <w:sz w:val="24"/>
    </w:rPr>
  </w:style>
  <w:style w:type="paragraph" w:customStyle="1" w:styleId="192">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样式 行距: 1.5 倍行距1"/>
    <w:basedOn w:val="1"/>
    <w:autoRedefine/>
    <w:qFormat/>
    <w:uiPriority w:val="0"/>
    <w:pPr>
      <w:snapToGrid w:val="0"/>
    </w:pPr>
    <w:rPr>
      <w:sz w:val="21"/>
    </w:rPr>
  </w:style>
  <w:style w:type="paragraph" w:customStyle="1" w:styleId="194">
    <w:name w:val="样式3"/>
    <w:basedOn w:val="3"/>
    <w:next w:val="3"/>
    <w:autoRedefine/>
    <w:qFormat/>
    <w:uiPriority w:val="0"/>
    <w:pPr>
      <w:keepLines/>
      <w:adjustRightInd w:val="0"/>
      <w:spacing w:line="576" w:lineRule="auto"/>
    </w:pPr>
    <w:rPr>
      <w:rFonts w:ascii="Times New Roman" w:eastAsia="黑体"/>
      <w:b/>
      <w:kern w:val="44"/>
      <w:sz w:val="44"/>
    </w:rPr>
  </w:style>
  <w:style w:type="paragraph" w:customStyle="1" w:styleId="195">
    <w:name w:val="图片文字"/>
    <w:basedOn w:val="1"/>
    <w:autoRedefine/>
    <w:qFormat/>
    <w:uiPriority w:val="0"/>
    <w:pPr>
      <w:spacing w:line="240" w:lineRule="atLeast"/>
      <w:jc w:val="center"/>
    </w:pPr>
    <w:rPr>
      <w:sz w:val="21"/>
    </w:rPr>
  </w:style>
  <w:style w:type="paragraph" w:customStyle="1" w:styleId="196">
    <w:name w:val="Char Char Char Char Char Char Char Char Char Char Char Char Char Char Char Char"/>
    <w:basedOn w:val="1"/>
    <w:autoRedefine/>
    <w:qFormat/>
    <w:uiPriority w:val="0"/>
    <w:pPr>
      <w:tabs>
        <w:tab w:val="left" w:pos="360"/>
      </w:tabs>
    </w:pPr>
    <w:rPr>
      <w:sz w:val="24"/>
    </w:rPr>
  </w:style>
  <w:style w:type="paragraph" w:customStyle="1" w:styleId="197">
    <w:name w:val="Item List"/>
    <w:autoRedefine/>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198">
    <w:name w:val="标题2"/>
    <w:basedOn w:val="4"/>
    <w:autoRedefine/>
    <w:qFormat/>
    <w:uiPriority w:val="0"/>
    <w:pPr>
      <w:keepNext w:val="0"/>
      <w:keepLines w:val="0"/>
      <w:adjustRightInd w:val="0"/>
      <w:snapToGrid w:val="0"/>
      <w:spacing w:line="360" w:lineRule="auto"/>
      <w:ind w:firstLine="574" w:firstLineChars="196"/>
      <w:outlineLvl w:val="9"/>
    </w:pPr>
    <w:rPr>
      <w:rFonts w:ascii="宋体" w:hAnsi="宋体" w:eastAsia="宋体"/>
      <w:spacing w:val="6"/>
      <w:sz w:val="28"/>
      <w:u w:val="single"/>
    </w:rPr>
  </w:style>
  <w:style w:type="paragraph" w:customStyle="1" w:styleId="199">
    <w:name w:val="样式 标题 1 + 居中 段前: 6 磅 段后: 6 磅 行距: 1.5 倍行距"/>
    <w:basedOn w:val="3"/>
    <w:autoRedefine/>
    <w:qFormat/>
    <w:uiPriority w:val="0"/>
    <w:pPr>
      <w:keepLines/>
      <w:adjustRightInd w:val="0"/>
      <w:spacing w:line="360" w:lineRule="auto"/>
      <w:jc w:val="center"/>
    </w:pPr>
    <w:rPr>
      <w:rFonts w:ascii="Times New Roman"/>
      <w:b/>
      <w:kern w:val="44"/>
      <w:sz w:val="32"/>
    </w:rPr>
  </w:style>
  <w:style w:type="paragraph" w:customStyle="1" w:styleId="200">
    <w:name w:val="Char Char 字元 字元 字元 Char Char Char Char"/>
    <w:basedOn w:val="1"/>
    <w:autoRedefine/>
    <w:qFormat/>
    <w:uiPriority w:val="0"/>
    <w:pPr>
      <w:adjustRightInd w:val="0"/>
      <w:spacing w:line="360" w:lineRule="auto"/>
    </w:pPr>
    <w:rPr>
      <w:kern w:val="0"/>
      <w:sz w:val="24"/>
    </w:rPr>
  </w:style>
  <w:style w:type="paragraph" w:customStyle="1" w:styleId="201">
    <w:name w:val="tabletext"/>
    <w:basedOn w:val="1"/>
    <w:autoRedefine/>
    <w:qFormat/>
    <w:uiPriority w:val="0"/>
    <w:pPr>
      <w:widowControl/>
      <w:spacing w:beforeAutospacing="1" w:afterAutospacing="1"/>
      <w:jc w:val="left"/>
    </w:pPr>
    <w:rPr>
      <w:rFonts w:ascii="宋体" w:hAnsi="宋体" w:cs="宋体"/>
      <w:kern w:val="0"/>
      <w:sz w:val="24"/>
      <w:szCs w:val="24"/>
    </w:rPr>
  </w:style>
  <w:style w:type="paragraph" w:customStyle="1" w:styleId="202">
    <w:name w:val="Char Char Char Char Char Char Char Char Char Char Char Char Char"/>
    <w:basedOn w:val="1"/>
    <w:autoRedefine/>
    <w:qFormat/>
    <w:uiPriority w:val="0"/>
    <w:pPr>
      <w:widowControl/>
      <w:spacing w:line="240" w:lineRule="exact"/>
      <w:jc w:val="left"/>
    </w:pPr>
    <w:rPr>
      <w:rFonts w:ascii="Verdana" w:hAnsi="Verdana" w:eastAsia="仿宋_GB2312"/>
      <w:kern w:val="0"/>
      <w:sz w:val="24"/>
      <w:lang w:eastAsia="en-US"/>
    </w:rPr>
  </w:style>
  <w:style w:type="paragraph" w:customStyle="1" w:styleId="203">
    <w:name w:val="content"/>
    <w:basedOn w:val="1"/>
    <w:autoRedefine/>
    <w:qFormat/>
    <w:uiPriority w:val="0"/>
    <w:pPr>
      <w:widowControl/>
      <w:spacing w:beforeAutospacing="1" w:afterAutospacing="1" w:line="280" w:lineRule="atLeast"/>
      <w:ind w:firstLine="375"/>
      <w:jc w:val="left"/>
    </w:pPr>
    <w:rPr>
      <w:rFonts w:ascii="宋体" w:hAnsi="宋体"/>
      <w:color w:val="000000"/>
      <w:kern w:val="0"/>
      <w:sz w:val="18"/>
    </w:rPr>
  </w:style>
  <w:style w:type="paragraph" w:customStyle="1" w:styleId="204">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205">
    <w:name w:val="style1"/>
    <w:basedOn w:val="1"/>
    <w:autoRedefine/>
    <w:qFormat/>
    <w:uiPriority w:val="0"/>
    <w:pPr>
      <w:widowControl/>
      <w:spacing w:beforeAutospacing="1" w:afterAutospacing="1"/>
      <w:jc w:val="left"/>
    </w:pPr>
    <w:rPr>
      <w:rFonts w:ascii="宋体" w:hAnsi="宋体"/>
      <w:kern w:val="0"/>
      <w:sz w:val="21"/>
    </w:rPr>
  </w:style>
  <w:style w:type="character" w:customStyle="1" w:styleId="206">
    <w:name w:val="Char Char3"/>
    <w:autoRedefine/>
    <w:qFormat/>
    <w:uiPriority w:val="0"/>
    <w:rPr>
      <w:rFonts w:eastAsia="宋体"/>
      <w:kern w:val="2"/>
      <w:sz w:val="18"/>
      <w:lang w:val="en-US" w:eastAsia="zh-CN"/>
    </w:rPr>
  </w:style>
  <w:style w:type="character" w:customStyle="1" w:styleId="207">
    <w:name w:val="title_emph1"/>
    <w:autoRedefine/>
    <w:qFormat/>
    <w:uiPriority w:val="0"/>
    <w:rPr>
      <w:rFonts w:hint="default" w:ascii="Arial" w:hAnsi="Arial"/>
      <w:b/>
      <w:sz w:val="20"/>
    </w:rPr>
  </w:style>
  <w:style w:type="character" w:customStyle="1" w:styleId="208">
    <w:name w:val="标题 3 字符"/>
    <w:link w:val="5"/>
    <w:autoRedefine/>
    <w:qFormat/>
    <w:uiPriority w:val="0"/>
    <w:rPr>
      <w:rFonts w:eastAsia="宋体"/>
      <w:b/>
      <w:kern w:val="2"/>
      <w:sz w:val="32"/>
      <w:lang w:val="en-US" w:eastAsia="zh-CN"/>
    </w:rPr>
  </w:style>
  <w:style w:type="character" w:customStyle="1" w:styleId="209">
    <w:name w:val="Table Text Char"/>
    <w:link w:val="167"/>
    <w:autoRedefine/>
    <w:qFormat/>
    <w:uiPriority w:val="0"/>
    <w:rPr>
      <w:rFonts w:ascii="Arial" w:hAnsi="Arial"/>
      <w:kern w:val="2"/>
      <w:sz w:val="18"/>
      <w:lang w:val="en-US" w:eastAsia="zh-CN" w:bidi="ar-SA"/>
    </w:rPr>
  </w:style>
  <w:style w:type="character" w:customStyle="1" w:styleId="210">
    <w:name w:val="Char Char11"/>
    <w:autoRedefine/>
    <w:qFormat/>
    <w:uiPriority w:val="0"/>
    <w:rPr>
      <w:rFonts w:ascii="宋体"/>
      <w:kern w:val="2"/>
      <w:sz w:val="28"/>
    </w:rPr>
  </w:style>
  <w:style w:type="character" w:customStyle="1" w:styleId="211">
    <w:name w:val="top-det1"/>
    <w:autoRedefine/>
    <w:qFormat/>
    <w:uiPriority w:val="0"/>
    <w:rPr>
      <w:b/>
      <w:color w:val="000000"/>
    </w:rPr>
  </w:style>
  <w:style w:type="character" w:customStyle="1" w:styleId="212">
    <w:name w:val="font31"/>
    <w:autoRedefine/>
    <w:qFormat/>
    <w:uiPriority w:val="0"/>
    <w:rPr>
      <w:rFonts w:hint="default" w:ascii="Times New Roman" w:hAnsi="Times New Roman" w:cs="Times New Roman"/>
      <w:color w:val="000000"/>
      <w:sz w:val="20"/>
      <w:szCs w:val="20"/>
      <w:u w:val="none"/>
    </w:rPr>
  </w:style>
  <w:style w:type="character" w:customStyle="1" w:styleId="213">
    <w:name w:val="正文文本首行缩进 2 字符"/>
    <w:basedOn w:val="214"/>
    <w:link w:val="58"/>
    <w:autoRedefine/>
    <w:qFormat/>
    <w:uiPriority w:val="0"/>
    <w:rPr>
      <w:kern w:val="2"/>
      <w:sz w:val="44"/>
    </w:rPr>
  </w:style>
  <w:style w:type="character" w:customStyle="1" w:styleId="214">
    <w:name w:val="正文文本缩进 字符"/>
    <w:link w:val="23"/>
    <w:autoRedefine/>
    <w:qFormat/>
    <w:uiPriority w:val="0"/>
    <w:rPr>
      <w:kern w:val="2"/>
      <w:sz w:val="44"/>
    </w:rPr>
  </w:style>
  <w:style w:type="character" w:customStyle="1" w:styleId="215">
    <w:name w:val="Table Heading Char Char"/>
    <w:autoRedefine/>
    <w:qFormat/>
    <w:uiPriority w:val="0"/>
    <w:rPr>
      <w:rFonts w:ascii="Arial" w:hAnsi="Arial" w:eastAsia="黑体"/>
      <w:kern w:val="2"/>
      <w:sz w:val="18"/>
      <w:lang w:val="en-US" w:eastAsia="zh-CN"/>
    </w:rPr>
  </w:style>
  <w:style w:type="character" w:customStyle="1" w:styleId="216">
    <w:name w:val="样式 宋体"/>
    <w:autoRedefine/>
    <w:qFormat/>
    <w:uiPriority w:val="0"/>
    <w:rPr>
      <w:rFonts w:ascii="宋体" w:hAnsi="宋体" w:eastAsia="宋体"/>
      <w:sz w:val="28"/>
    </w:rPr>
  </w:style>
  <w:style w:type="character" w:customStyle="1" w:styleId="217">
    <w:name w:val="小 Char"/>
    <w:autoRedefine/>
    <w:qFormat/>
    <w:uiPriority w:val="0"/>
    <w:rPr>
      <w:rFonts w:ascii="宋体" w:hAnsi="Courier New" w:eastAsia="宋体"/>
      <w:kern w:val="2"/>
      <w:sz w:val="21"/>
      <w:lang w:val="en-US" w:eastAsia="zh-CN" w:bidi="ar-SA"/>
    </w:rPr>
  </w:style>
  <w:style w:type="character" w:customStyle="1" w:styleId="218">
    <w:name w:val="Char Char6"/>
    <w:autoRedefine/>
    <w:qFormat/>
    <w:uiPriority w:val="0"/>
    <w:rPr>
      <w:rFonts w:ascii="仿宋_GB2312" w:eastAsia="仿宋_GB2312"/>
      <w:kern w:val="2"/>
      <w:sz w:val="32"/>
    </w:rPr>
  </w:style>
  <w:style w:type="character" w:customStyle="1" w:styleId="219">
    <w:name w:val="标题 2 字符"/>
    <w:autoRedefine/>
    <w:qFormat/>
    <w:uiPriority w:val="0"/>
    <w:rPr>
      <w:rFonts w:ascii="Arial" w:hAnsi="Arial" w:eastAsia="黑体"/>
      <w:b/>
      <w:kern w:val="2"/>
      <w:sz w:val="32"/>
    </w:rPr>
  </w:style>
  <w:style w:type="character" w:customStyle="1" w:styleId="220">
    <w:name w:val="Table Text Char Char Char Char"/>
    <w:link w:val="116"/>
    <w:autoRedefine/>
    <w:qFormat/>
    <w:uiPriority w:val="0"/>
    <w:rPr>
      <w:rFonts w:ascii="Arial" w:hAnsi="Arial"/>
      <w:kern w:val="2"/>
      <w:sz w:val="18"/>
      <w:lang w:val="en-US" w:eastAsia="zh-CN" w:bidi="ar-SA"/>
    </w:rPr>
  </w:style>
  <w:style w:type="character" w:customStyle="1" w:styleId="221">
    <w:name w:val="正文文本缩进 2 字符"/>
    <w:link w:val="34"/>
    <w:autoRedefine/>
    <w:qFormat/>
    <w:uiPriority w:val="0"/>
    <w:rPr>
      <w:kern w:val="2"/>
      <w:sz w:val="28"/>
    </w:rPr>
  </w:style>
  <w:style w:type="character" w:customStyle="1" w:styleId="222">
    <w:name w:val="Char Char7"/>
    <w:autoRedefine/>
    <w:qFormat/>
    <w:uiPriority w:val="0"/>
    <w:rPr>
      <w:rFonts w:ascii="宋体" w:hAnsi="宋体" w:eastAsia="宋体"/>
      <w:kern w:val="2"/>
      <w:sz w:val="28"/>
    </w:rPr>
  </w:style>
  <w:style w:type="character" w:customStyle="1" w:styleId="223">
    <w:name w:val="font21"/>
    <w:basedOn w:val="61"/>
    <w:autoRedefine/>
    <w:qFormat/>
    <w:uiPriority w:val="0"/>
    <w:rPr>
      <w:rFonts w:hint="eastAsia" w:ascii="宋体" w:hAnsi="宋体" w:eastAsia="宋体" w:cs="宋体"/>
      <w:color w:val="000000"/>
      <w:sz w:val="20"/>
      <w:szCs w:val="20"/>
      <w:u w:val="none"/>
    </w:rPr>
  </w:style>
  <w:style w:type="character" w:customStyle="1" w:styleId="224">
    <w:name w:val="Char Char5"/>
    <w:autoRedefine/>
    <w:qFormat/>
    <w:uiPriority w:val="0"/>
    <w:rPr>
      <w:rFonts w:ascii="Arial" w:hAnsi="Arial" w:eastAsia="宋体"/>
      <w:b/>
      <w:smallCaps/>
      <w:kern w:val="28"/>
      <w:sz w:val="36"/>
      <w:lang w:val="en-US" w:eastAsia="en-US"/>
    </w:rPr>
  </w:style>
  <w:style w:type="character" w:customStyle="1" w:styleId="225">
    <w:name w:val="批注主题 字符"/>
    <w:basedOn w:val="226"/>
    <w:link w:val="56"/>
    <w:autoRedefine/>
    <w:qFormat/>
    <w:uiPriority w:val="0"/>
    <w:rPr>
      <w:sz w:val="24"/>
    </w:rPr>
  </w:style>
  <w:style w:type="character" w:customStyle="1" w:styleId="226">
    <w:name w:val="批注文字 字符"/>
    <w:link w:val="20"/>
    <w:autoRedefine/>
    <w:qFormat/>
    <w:uiPriority w:val="0"/>
    <w:rPr>
      <w:sz w:val="24"/>
    </w:rPr>
  </w:style>
  <w:style w:type="character" w:customStyle="1" w:styleId="227">
    <w:name w:val="未命名11"/>
    <w:autoRedefine/>
    <w:qFormat/>
    <w:uiPriority w:val="0"/>
    <w:rPr>
      <w:color w:val="77FFFF"/>
      <w:sz w:val="24"/>
    </w:rPr>
  </w:style>
  <w:style w:type="character" w:customStyle="1" w:styleId="228">
    <w:name w:val="日期 字符"/>
    <w:link w:val="33"/>
    <w:autoRedefine/>
    <w:qFormat/>
    <w:uiPriority w:val="0"/>
    <w:rPr>
      <w:kern w:val="2"/>
      <w:sz w:val="28"/>
    </w:rPr>
  </w:style>
  <w:style w:type="character" w:customStyle="1" w:styleId="229">
    <w:name w:val="正文 + 三号 Char"/>
    <w:autoRedefine/>
    <w:qFormat/>
    <w:uiPriority w:val="0"/>
    <w:rPr>
      <w:rFonts w:eastAsia="宋体"/>
      <w:kern w:val="2"/>
      <w:sz w:val="21"/>
      <w:lang w:val="en-US" w:eastAsia="zh-CN"/>
    </w:rPr>
  </w:style>
  <w:style w:type="character" w:customStyle="1" w:styleId="230">
    <w:name w:val="Char Char2"/>
    <w:autoRedefine/>
    <w:qFormat/>
    <w:uiPriority w:val="0"/>
    <w:rPr>
      <w:rFonts w:eastAsia="宋体"/>
      <w:kern w:val="2"/>
      <w:sz w:val="18"/>
      <w:lang w:val="en-US" w:eastAsia="zh-CN"/>
    </w:rPr>
  </w:style>
  <w:style w:type="character" w:customStyle="1" w:styleId="231">
    <w:name w:val="H2 Char"/>
    <w:autoRedefine/>
    <w:qFormat/>
    <w:uiPriority w:val="0"/>
    <w:rPr>
      <w:rFonts w:ascii="Arial" w:hAnsi="Arial" w:eastAsia="宋体"/>
      <w:kern w:val="2"/>
      <w:sz w:val="28"/>
      <w:lang w:val="en-US" w:eastAsia="zh-CN"/>
    </w:rPr>
  </w:style>
  <w:style w:type="character" w:customStyle="1" w:styleId="232">
    <w:name w:val="font1"/>
    <w:autoRedefine/>
    <w:qFormat/>
    <w:uiPriority w:val="0"/>
    <w:rPr>
      <w:color w:val="000000"/>
      <w:sz w:val="18"/>
    </w:rPr>
  </w:style>
  <w:style w:type="character" w:customStyle="1" w:styleId="233">
    <w:name w:val="v151"/>
    <w:autoRedefine/>
    <w:qFormat/>
    <w:uiPriority w:val="0"/>
    <w:rPr>
      <w:sz w:val="18"/>
    </w:rPr>
  </w:style>
  <w:style w:type="character" w:customStyle="1" w:styleId="234">
    <w:name w:val="脚注文本 字符"/>
    <w:link w:val="41"/>
    <w:autoRedefine/>
    <w:qFormat/>
    <w:uiPriority w:val="0"/>
    <w:rPr>
      <w:kern w:val="2"/>
      <w:sz w:val="18"/>
    </w:rPr>
  </w:style>
  <w:style w:type="character" w:customStyle="1" w:styleId="235">
    <w:name w:val="Char Char"/>
    <w:autoRedefine/>
    <w:qFormat/>
    <w:uiPriority w:val="0"/>
    <w:rPr>
      <w:rFonts w:ascii="宋体" w:hAnsi="宋体" w:eastAsia="宋体"/>
      <w:kern w:val="2"/>
      <w:sz w:val="24"/>
      <w:lang w:val="en-US" w:eastAsia="zh-CN" w:bidi="ar-SA"/>
    </w:rPr>
  </w:style>
  <w:style w:type="character" w:customStyle="1" w:styleId="236">
    <w:name w:val="crowed11"/>
    <w:autoRedefine/>
    <w:qFormat/>
    <w:uiPriority w:val="0"/>
    <w:rPr>
      <w:rFonts w:hint="default" w:ascii="_x000B__x000C_" w:hAnsi="_x000B__x000C_"/>
      <w:sz w:val="24"/>
    </w:rPr>
  </w:style>
  <w:style w:type="character" w:customStyle="1" w:styleId="237">
    <w:name w:val="标书正文:  0.74 厘米 Char1"/>
    <w:autoRedefine/>
    <w:qFormat/>
    <w:uiPriority w:val="0"/>
    <w:rPr>
      <w:rFonts w:eastAsia="宋体"/>
      <w:kern w:val="2"/>
      <w:sz w:val="24"/>
      <w:lang w:val="en-US" w:eastAsia="zh-CN"/>
    </w:rPr>
  </w:style>
  <w:style w:type="character" w:customStyle="1" w:styleId="238">
    <w:name w:val="Table Text Char1 Char"/>
    <w:autoRedefine/>
    <w:qFormat/>
    <w:uiPriority w:val="0"/>
    <w:rPr>
      <w:rFonts w:ascii="Arial" w:hAnsi="Arial"/>
      <w:kern w:val="2"/>
      <w:sz w:val="18"/>
      <w:lang w:val="en-US" w:eastAsia="zh-CN" w:bidi="ar-SA"/>
    </w:rPr>
  </w:style>
  <w:style w:type="character" w:customStyle="1" w:styleId="239">
    <w:name w:val="Char Char4"/>
    <w:autoRedefine/>
    <w:qFormat/>
    <w:uiPriority w:val="0"/>
    <w:rPr>
      <w:rFonts w:eastAsia="宋体"/>
      <w:b/>
      <w:kern w:val="2"/>
      <w:sz w:val="21"/>
      <w:lang w:val="en-US" w:eastAsia="zh-CN"/>
    </w:rPr>
  </w:style>
  <w:style w:type="character" w:customStyle="1" w:styleId="240">
    <w:name w:val="文字 Char"/>
    <w:link w:val="121"/>
    <w:autoRedefine/>
    <w:qFormat/>
    <w:uiPriority w:val="0"/>
    <w:rPr>
      <w:rFonts w:ascii="宋体"/>
      <w:kern w:val="2"/>
      <w:sz w:val="28"/>
    </w:rPr>
  </w:style>
  <w:style w:type="character" w:customStyle="1" w:styleId="241">
    <w:name w:val="content-white1"/>
    <w:autoRedefine/>
    <w:qFormat/>
    <w:uiPriority w:val="0"/>
    <w:rPr>
      <w:rFonts w:ascii="_x000B__x000C_" w:hAnsi="_x000B__x000C_"/>
      <w:color w:val="auto"/>
      <w:sz w:val="18"/>
      <w:u w:val="none"/>
    </w:rPr>
  </w:style>
  <w:style w:type="paragraph" w:customStyle="1" w:styleId="242">
    <w:name w:val="列出段落1"/>
    <w:basedOn w:val="1"/>
    <w:link w:val="252"/>
    <w:autoRedefine/>
    <w:unhideWhenUsed/>
    <w:qFormat/>
    <w:uiPriority w:val="34"/>
    <w:pPr>
      <w:ind w:firstLine="420" w:firstLineChars="200"/>
    </w:pPr>
  </w:style>
  <w:style w:type="paragraph" w:customStyle="1" w:styleId="243">
    <w:name w:val="Table Paragraph"/>
    <w:basedOn w:val="1"/>
    <w:autoRedefine/>
    <w:qFormat/>
    <w:uiPriority w:val="1"/>
    <w:pPr>
      <w:jc w:val="left"/>
    </w:pPr>
    <w:rPr>
      <w:kern w:val="0"/>
      <w:sz w:val="22"/>
      <w:szCs w:val="22"/>
      <w:lang w:eastAsia="en-US"/>
    </w:rPr>
  </w:style>
  <w:style w:type="character" w:customStyle="1" w:styleId="244">
    <w:name w:val="font41"/>
    <w:basedOn w:val="61"/>
    <w:autoRedefine/>
    <w:qFormat/>
    <w:uiPriority w:val="0"/>
    <w:rPr>
      <w:rFonts w:hint="eastAsia" w:ascii="宋体" w:hAnsi="宋体" w:eastAsia="宋体" w:cs="宋体"/>
      <w:b/>
      <w:color w:val="000000"/>
      <w:sz w:val="20"/>
      <w:szCs w:val="20"/>
      <w:u w:val="none"/>
    </w:rPr>
  </w:style>
  <w:style w:type="character" w:customStyle="1" w:styleId="245">
    <w:name w:val="font11"/>
    <w:basedOn w:val="61"/>
    <w:autoRedefine/>
    <w:qFormat/>
    <w:uiPriority w:val="0"/>
    <w:rPr>
      <w:rFonts w:hint="eastAsia" w:ascii="宋体" w:hAnsi="宋体" w:eastAsia="宋体" w:cs="宋体"/>
      <w:color w:val="000000"/>
      <w:sz w:val="20"/>
      <w:szCs w:val="20"/>
      <w:u w:val="none"/>
    </w:rPr>
  </w:style>
  <w:style w:type="character" w:customStyle="1" w:styleId="246">
    <w:name w:val="font61"/>
    <w:basedOn w:val="61"/>
    <w:autoRedefine/>
    <w:qFormat/>
    <w:uiPriority w:val="0"/>
    <w:rPr>
      <w:rFonts w:hint="default" w:ascii="Times New Roman" w:hAnsi="Times New Roman" w:cs="Times New Roman"/>
      <w:color w:val="000000"/>
      <w:sz w:val="20"/>
      <w:szCs w:val="20"/>
      <w:u w:val="none"/>
    </w:rPr>
  </w:style>
  <w:style w:type="character" w:customStyle="1" w:styleId="247">
    <w:name w:val="font81"/>
    <w:basedOn w:val="61"/>
    <w:autoRedefine/>
    <w:qFormat/>
    <w:uiPriority w:val="0"/>
    <w:rPr>
      <w:rFonts w:hint="default" w:ascii="Times New Roman" w:hAnsi="Times New Roman" w:cs="Times New Roman"/>
      <w:b/>
      <w:color w:val="000000"/>
      <w:sz w:val="20"/>
      <w:szCs w:val="20"/>
      <w:u w:val="none"/>
    </w:rPr>
  </w:style>
  <w:style w:type="character" w:customStyle="1" w:styleId="248">
    <w:name w:val="font71"/>
    <w:basedOn w:val="61"/>
    <w:autoRedefine/>
    <w:qFormat/>
    <w:uiPriority w:val="0"/>
    <w:rPr>
      <w:rFonts w:ascii="方正黑体简体" w:hAnsi="方正黑体简体" w:eastAsia="方正黑体简体" w:cs="方正黑体简体"/>
      <w:b/>
      <w:color w:val="000000"/>
      <w:sz w:val="20"/>
      <w:szCs w:val="20"/>
      <w:u w:val="none"/>
    </w:rPr>
  </w:style>
  <w:style w:type="paragraph" w:customStyle="1" w:styleId="249">
    <w:name w:val="修订1"/>
    <w:autoRedefine/>
    <w:hidden/>
    <w:semiHidden/>
    <w:qFormat/>
    <w:uiPriority w:val="99"/>
    <w:rPr>
      <w:rFonts w:ascii="Calibri" w:hAnsi="Calibri" w:eastAsia="宋体" w:cs="Times New Roman"/>
      <w:kern w:val="2"/>
      <w:sz w:val="28"/>
      <w:lang w:val="en-US" w:eastAsia="zh-CN" w:bidi="ar-SA"/>
    </w:rPr>
  </w:style>
  <w:style w:type="paragraph" w:customStyle="1" w:styleId="250">
    <w:name w:val="修订2"/>
    <w:autoRedefine/>
    <w:hidden/>
    <w:semiHidden/>
    <w:qFormat/>
    <w:uiPriority w:val="99"/>
    <w:rPr>
      <w:rFonts w:ascii="Calibri" w:hAnsi="Calibri" w:eastAsia="宋体" w:cs="Times New Roman"/>
      <w:kern w:val="2"/>
      <w:sz w:val="28"/>
      <w:lang w:val="en-US" w:eastAsia="zh-CN" w:bidi="ar-SA"/>
    </w:rPr>
  </w:style>
  <w:style w:type="paragraph" w:customStyle="1" w:styleId="251">
    <w:name w:val="样式 首行缩进:  0 字符"/>
    <w:basedOn w:val="1"/>
    <w:autoRedefine/>
    <w:qFormat/>
    <w:uiPriority w:val="0"/>
    <w:pPr>
      <w:spacing w:line="360" w:lineRule="auto"/>
      <w:ind w:firstLine="200" w:firstLineChars="200"/>
    </w:pPr>
    <w:rPr>
      <w:rFonts w:ascii="Arial" w:hAnsi="Arial" w:cs="宋体"/>
      <w:snapToGrid w:val="0"/>
      <w:spacing w:val="10"/>
      <w:kern w:val="0"/>
      <w:sz w:val="24"/>
      <w:szCs w:val="24"/>
    </w:rPr>
  </w:style>
  <w:style w:type="character" w:customStyle="1" w:styleId="252">
    <w:name w:val="列出段落 Char"/>
    <w:link w:val="242"/>
    <w:autoRedefine/>
    <w:qFormat/>
    <w:uiPriority w:val="34"/>
    <w:rPr>
      <w:rFonts w:ascii="Calibri" w:hAnsi="Calibri" w:eastAsia="宋体" w:cs="Times New Roman"/>
      <w:kern w:val="2"/>
      <w:sz w:val="28"/>
    </w:rPr>
  </w:style>
  <w:style w:type="table" w:customStyle="1" w:styleId="253">
    <w:name w:val="网格型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4">
    <w:name w:val="标题 1 字符"/>
    <w:link w:val="3"/>
    <w:autoRedefine/>
    <w:qFormat/>
    <w:uiPriority w:val="0"/>
    <w:rPr>
      <w:rFonts w:ascii="宋体"/>
    </w:rPr>
  </w:style>
  <w:style w:type="paragraph" w:customStyle="1" w:styleId="255">
    <w:name w:val="表样式"/>
    <w:basedOn w:val="1"/>
    <w:autoRedefine/>
    <w:qFormat/>
    <w:uiPriority w:val="0"/>
    <w:rPr>
      <w:rFonts w:ascii="Times New Roman" w:hAnsi="Times New Roman"/>
    </w:rPr>
  </w:style>
  <w:style w:type="paragraph" w:customStyle="1" w:styleId="256">
    <w:name w:val="正文 A"/>
    <w:autoRedefine/>
    <w:qFormat/>
    <w:uiPriority w:val="0"/>
    <w:pPr>
      <w:framePr w:wrap="around" w:vAnchor="margin" w:hAnchor="text" w:y="1"/>
      <w:widowControl w:val="0"/>
      <w:jc w:val="both"/>
    </w:pPr>
    <w:rPr>
      <w:rFonts w:ascii="Times New Roman" w:hAnsi="Times New Roman" w:eastAsia="Times New Roman" w:cs="Times New Roman"/>
      <w:color w:val="000000"/>
      <w:kern w:val="2"/>
      <w:sz w:val="28"/>
      <w:szCs w:val="28"/>
      <w:lang w:val="en-US" w:eastAsia="zh-CN" w:bidi="ar-SA"/>
    </w:rPr>
  </w:style>
  <w:style w:type="character" w:customStyle="1" w:styleId="257">
    <w:name w:val="font01"/>
    <w:basedOn w:val="61"/>
    <w:autoRedefine/>
    <w:qFormat/>
    <w:uiPriority w:val="0"/>
    <w:rPr>
      <w:rFonts w:hint="eastAsia" w:ascii="方正仿宋_GBK" w:hAnsi="方正仿宋_GBK" w:eastAsia="方正仿宋_GBK" w:cs="方正仿宋_GBK"/>
      <w:color w:val="000000"/>
      <w:sz w:val="24"/>
      <w:szCs w:val="24"/>
      <w:u w:val="none"/>
    </w:rPr>
  </w:style>
  <w:style w:type="character" w:customStyle="1" w:styleId="258">
    <w:name w:val="NormalCharacter"/>
    <w:autoRedefine/>
    <w:qFormat/>
    <w:uiPriority w:val="0"/>
  </w:style>
  <w:style w:type="character" w:customStyle="1" w:styleId="259">
    <w:name w:val="页眉 字符"/>
    <w:link w:val="37"/>
    <w:autoRedefine/>
    <w:qFormat/>
    <w:uiPriority w:val="0"/>
    <w:rPr>
      <w:rFonts w:ascii="Calibri" w:hAnsi="Calibri"/>
      <w:kern w:val="2"/>
      <w:sz w:val="18"/>
    </w:rPr>
  </w:style>
  <w:style w:type="table" w:customStyle="1" w:styleId="260">
    <w:name w:val="Table Normal"/>
    <w:autoRedefine/>
    <w:semiHidden/>
    <w:unhideWhenUsed/>
    <w:qFormat/>
    <w:uiPriority w:val="0"/>
    <w:rPr>
      <w:rFonts w:ascii="Arial" w:hAnsi="Arial" w:cs="Arial" w:eastAsiaTheme="minorEastAsia"/>
    </w:rPr>
    <w:tblPr>
      <w:tblCellMar>
        <w:top w:w="0" w:type="dxa"/>
        <w:left w:w="0" w:type="dxa"/>
        <w:bottom w:w="0" w:type="dxa"/>
        <w:right w:w="0" w:type="dxa"/>
      </w:tblCellMar>
    </w:tblPr>
  </w:style>
  <w:style w:type="character" w:customStyle="1" w:styleId="261">
    <w:name w:val="批注框文本 字符"/>
    <w:link w:val="35"/>
    <w:autoRedefine/>
    <w:qFormat/>
    <w:uiPriority w:val="99"/>
    <w:rPr>
      <w:rFonts w:ascii="Calibri" w:hAnsi="Calibri"/>
      <w:kern w:val="2"/>
      <w:sz w:val="18"/>
    </w:rPr>
  </w:style>
  <w:style w:type="paragraph" w:customStyle="1" w:styleId="262">
    <w:name w:val="正  文"/>
    <w:basedOn w:val="1"/>
    <w:autoRedefine/>
    <w:qFormat/>
    <w:uiPriority w:val="0"/>
    <w:pPr>
      <w:spacing w:line="360" w:lineRule="auto"/>
      <w:ind w:firstLine="200" w:firstLineChars="200"/>
    </w:pPr>
    <w:rPr>
      <w:rFonts w:ascii="宋体"/>
      <w:sz w:val="24"/>
      <w:szCs w:val="24"/>
    </w:rPr>
  </w:style>
  <w:style w:type="character" w:customStyle="1" w:styleId="263">
    <w:name w:val="标题 2 字符1"/>
    <w:link w:val="4"/>
    <w:autoRedefine/>
    <w:qFormat/>
    <w:uiPriority w:val="0"/>
    <w:rPr>
      <w:rFonts w:ascii="Arial" w:hAnsi="Arial" w:eastAsia="黑体"/>
      <w:b/>
      <w:kern w:val="2"/>
      <w:sz w:val="32"/>
    </w:rPr>
  </w:style>
  <w:style w:type="paragraph" w:customStyle="1" w:styleId="264">
    <w:name w:val="WPSOffice手动目录 1"/>
    <w:autoRedefine/>
    <w:qFormat/>
    <w:uiPriority w:val="0"/>
    <w:rPr>
      <w:rFonts w:ascii="Times New Roman" w:hAnsi="Times New Roman" w:eastAsia="宋体" w:cs="Times New Roman"/>
      <w:lang w:val="en-US" w:eastAsia="zh-CN" w:bidi="ar-SA"/>
    </w:rPr>
  </w:style>
  <w:style w:type="paragraph" w:customStyle="1" w:styleId="26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66">
    <w:name w:val="pf0"/>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43</Pages>
  <Words>19110</Words>
  <Characters>20023</Characters>
  <Lines>1022</Lines>
  <Paragraphs>959</Paragraphs>
  <TotalTime>610</TotalTime>
  <ScaleCrop>false</ScaleCrop>
  <LinksUpToDate>false</LinksUpToDate>
  <CharactersWithSpaces>21384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2025-08-13T02:27:00Z</dcterms:created>
  <dc:creator>罗成</dc:creator>
  <cp:lastModifiedBy>郭文佳</cp:lastModifiedBy>
  <cp:lastPrinted>2026-04-15T06:33:00Z</cp:lastPrinted>
  <dcterms:modified xsi:type="dcterms:W3CDTF">2026-04-17T04:14:38Z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E408AAC1417143E4958D652B976C8DE0_13</vt:lpwstr>
  </property>
  <property fmtid="{D5CDD505-2E9C-101B-9397-08002B2CF9AE}" pid="4" name="KSOTemplateDocerSaveRecord">
    <vt:lpwstr>eyJoZGlkIjoiNmI5ZjNhNmYxYzBmNzZlZjk2Y2E3NDk0Mzk5YTdmZTUiLCJ1c2VySWQiOiIxMTQ5MDIxNDEyIn0=</vt:lpwstr>
  </property>
</Properties>
</file>