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color w:val="auto"/>
          <w:sz w:val="44"/>
          <w:szCs w:val="44"/>
          <w:highlight w:val="none"/>
          <w:lang w:val="en-US"/>
        </w:rPr>
      </w:pPr>
      <w:bookmarkStart w:id="0" w:name="_Toc287620665"/>
      <w:r>
        <w:rPr>
          <w:rFonts w:hint="default" w:ascii="宋体" w:hAnsi="宋体" w:cs="宋体"/>
          <w:b/>
          <w:color w:val="auto"/>
          <w:sz w:val="44"/>
          <w:szCs w:val="44"/>
          <w:highlight w:val="none"/>
          <w:lang w:val="en-US"/>
        </w:rPr>
        <w:t xml:space="preserve"> </w:t>
      </w:r>
    </w:p>
    <w:p>
      <w:pPr>
        <w:autoSpaceDE w:val="0"/>
        <w:autoSpaceDN w:val="0"/>
        <w:adjustRightInd w:val="0"/>
        <w:snapToGrid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32"/>
          <w:szCs w:val="32"/>
          <w:highlight w:val="none"/>
          <w:u w:val="single"/>
        </w:rPr>
        <w:t>重庆市金迈实业有限公司职工宿舍区屋顶治漏项目</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施 工 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bCs w:val="0"/>
          <w:color w:val="auto"/>
          <w:w w:val="99"/>
          <w:kern w:val="0"/>
          <w:sz w:val="28"/>
          <w:szCs w:val="28"/>
          <w:highlight w:val="none"/>
        </w:rPr>
      </w:pPr>
      <w:r>
        <w:rPr>
          <w:rFonts w:hint="eastAsia" w:ascii="宋体" w:hAnsi="宋体" w:eastAsia="宋体" w:cs="宋体"/>
          <w:b/>
          <w:color w:val="auto"/>
          <w:w w:val="99"/>
          <w:kern w:val="0"/>
          <w:sz w:val="28"/>
          <w:szCs w:val="28"/>
          <w:highlight w:val="none"/>
        </w:rPr>
        <w:t>招　　</w:t>
      </w:r>
      <w:r>
        <w:rPr>
          <w:rFonts w:hint="eastAsia" w:ascii="宋体" w:hAnsi="宋体" w:eastAsia="宋体" w:cs="宋体"/>
          <w:b/>
          <w:bCs w:val="0"/>
          <w:color w:val="auto"/>
          <w:w w:val="99"/>
          <w:kern w:val="0"/>
          <w:sz w:val="28"/>
          <w:szCs w:val="28"/>
          <w:highlight w:val="none"/>
        </w:rPr>
        <w:t>标　 人：</w:t>
      </w:r>
      <w:r>
        <w:rPr>
          <w:rFonts w:hint="eastAsia" w:ascii="宋体" w:hAnsi="宋体" w:eastAsia="宋体" w:cs="宋体"/>
          <w:b/>
          <w:bCs w:val="0"/>
          <w:color w:val="auto"/>
          <w:kern w:val="0"/>
          <w:sz w:val="28"/>
          <w:szCs w:val="28"/>
          <w:highlight w:val="none"/>
          <w:u w:val="single"/>
          <w:lang w:val="en-US" w:eastAsia="zh-CN"/>
        </w:rPr>
        <w:t xml:space="preserve">重庆市金迈实业有限公司      </w:t>
      </w:r>
      <w:r>
        <w:rPr>
          <w:rFonts w:hint="eastAsia" w:ascii="宋体" w:hAnsi="宋体" w:eastAsia="宋体" w:cs="宋体"/>
          <w:b/>
          <w:bCs w:val="0"/>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bCs w:val="0"/>
          <w:color w:val="auto"/>
          <w:spacing w:val="8"/>
          <w:kern w:val="0"/>
          <w:sz w:val="28"/>
          <w:szCs w:val="28"/>
          <w:highlight w:val="none"/>
        </w:rPr>
        <w:t>招标代理机构：</w:t>
      </w:r>
      <w:r>
        <w:rPr>
          <w:rFonts w:hint="eastAsia" w:ascii="宋体" w:hAnsi="宋体" w:eastAsia="宋体" w:cs="宋体"/>
          <w:b/>
          <w:bCs w:val="0"/>
          <w:color w:val="auto"/>
          <w:kern w:val="0"/>
          <w:sz w:val="28"/>
          <w:szCs w:val="28"/>
          <w:highlight w:val="none"/>
          <w:u w:val="single"/>
        </w:rPr>
        <w:t>重庆港滨建设工程管理有限公司</w:t>
      </w:r>
      <w:r>
        <w:rPr>
          <w:rFonts w:hint="eastAsia" w:ascii="宋体" w:hAnsi="宋体" w:eastAsia="宋体" w:cs="宋体"/>
          <w:b/>
          <w:bCs w:val="0"/>
          <w:color w:val="auto"/>
          <w:w w:val="99"/>
          <w:kern w:val="0"/>
          <w:sz w:val="28"/>
          <w:szCs w:val="28"/>
          <w:highlight w:val="none"/>
        </w:rPr>
        <w:t>（盖单位法</w:t>
      </w:r>
      <w:r>
        <w:rPr>
          <w:rFonts w:hint="eastAsia" w:ascii="宋体" w:hAnsi="宋体" w:eastAsia="宋体" w:cs="宋体"/>
          <w:b/>
          <w:color w:val="auto"/>
          <w:w w:val="99"/>
          <w:kern w:val="0"/>
          <w:sz w:val="28"/>
          <w:szCs w:val="28"/>
          <w:highlight w:val="none"/>
        </w:rPr>
        <w:t>人章）</w:t>
      </w:r>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09218549"/>
      <w:bookmarkStart w:id="2" w:name="_Toc536797277"/>
      <w:bookmarkStart w:id="3" w:name="_Toc13210649"/>
      <w:bookmarkStart w:id="4" w:name="_Toc536796736"/>
      <w:bookmarkStart w:id="5" w:name="_Toc536621766"/>
      <w:r>
        <w:rPr>
          <w:rFonts w:hint="eastAsia" w:ascii="宋体" w:hAnsi="宋体" w:eastAsia="宋体" w:cs="宋体"/>
          <w:b/>
          <w:color w:val="auto"/>
          <w:spacing w:val="8"/>
          <w:kern w:val="0"/>
          <w:sz w:val="28"/>
          <w:szCs w:val="28"/>
          <w:highlight w:val="none"/>
          <w:u w:val="single"/>
          <w:lang w:val="en-US" w:eastAsia="zh-CN"/>
        </w:rPr>
        <w:t>2025</w:t>
      </w:r>
      <w:r>
        <w:rPr>
          <w:rFonts w:hint="eastAsia" w:ascii="宋体" w:hAnsi="宋体" w:eastAsia="宋体" w:cs="宋体"/>
          <w:b/>
          <w:color w:val="auto"/>
          <w:spacing w:val="8"/>
          <w:kern w:val="0"/>
          <w:sz w:val="28"/>
          <w:szCs w:val="28"/>
          <w:highlight w:val="none"/>
        </w:rPr>
        <w:t>年</w:t>
      </w:r>
      <w:r>
        <w:rPr>
          <w:rFonts w:hint="default" w:ascii="宋体" w:hAnsi="宋体" w:cs="宋体"/>
          <w:b/>
          <w:color w:val="auto"/>
          <w:spacing w:val="8"/>
          <w:kern w:val="0"/>
          <w:sz w:val="28"/>
          <w:szCs w:val="28"/>
          <w:highlight w:val="none"/>
          <w:u w:val="single"/>
          <w:lang w:val="en-US" w:eastAsia="zh-CN"/>
        </w:rPr>
        <w:t>5</w:t>
      </w:r>
      <w:r>
        <w:rPr>
          <w:rFonts w:hint="eastAsia" w:ascii="宋体" w:hAnsi="宋体" w:eastAsia="宋体" w:cs="宋体"/>
          <w:b/>
          <w:color w:val="auto"/>
          <w:spacing w:val="8"/>
          <w:kern w:val="0"/>
          <w:sz w:val="28"/>
          <w:szCs w:val="28"/>
          <w:highlight w:val="none"/>
        </w:rPr>
        <w:t>月</w:t>
      </w:r>
      <w:bookmarkEnd w:id="1"/>
      <w:bookmarkEnd w:id="2"/>
      <w:bookmarkEnd w:id="3"/>
      <w:bookmarkEnd w:id="4"/>
      <w:bookmarkEnd w:id="5"/>
    </w:p>
    <w:p>
      <w:pPr>
        <w:pStyle w:val="3"/>
        <w:spacing w:line="360" w:lineRule="auto"/>
        <w:jc w:val="center"/>
        <w:rPr>
          <w:rFonts w:hint="eastAsia" w:ascii="宋体" w:hAnsi="宋体" w:eastAsia="宋体" w:cs="宋体"/>
          <w:color w:val="auto"/>
          <w:w w:val="99"/>
          <w:kern w:val="0"/>
          <w:sz w:val="24"/>
          <w:highlight w:val="none"/>
        </w:rPr>
        <w:sectPr>
          <w:pgSz w:w="11907" w:h="16840"/>
          <w:pgMar w:top="1304" w:right="1134" w:bottom="1304" w:left="1304" w:header="851" w:footer="992" w:gutter="0"/>
          <w:pgNumType w:fmt="numberInDash" w:start="1"/>
          <w:cols w:space="720" w:num="1"/>
          <w:docGrid w:linePitch="312" w:charSpace="0"/>
        </w:sectPr>
      </w:pPr>
    </w:p>
    <w:p>
      <w:pPr>
        <w:pStyle w:val="120"/>
        <w:jc w:val="center"/>
        <w:rPr>
          <w:rFonts w:hint="eastAsia" w:ascii="宋体" w:hAnsi="宋体" w:eastAsia="宋体" w:cs="宋体"/>
          <w:color w:val="auto"/>
          <w:sz w:val="44"/>
          <w:szCs w:val="44"/>
          <w:highlight w:val="none"/>
        </w:rPr>
      </w:pPr>
      <w:bookmarkStart w:id="6" w:name="_Toc5767"/>
      <w:bookmarkStart w:id="7" w:name="_Toc28843"/>
      <w:r>
        <w:rPr>
          <w:rFonts w:hint="eastAsia" w:ascii="宋体" w:hAnsi="宋体" w:eastAsia="宋体" w:cs="宋体"/>
          <w:color w:val="auto"/>
          <w:sz w:val="44"/>
          <w:szCs w:val="44"/>
          <w:highlight w:val="none"/>
          <w:lang w:val="zh-CN"/>
        </w:rPr>
        <w:t>目 录</w:t>
      </w:r>
      <w:bookmarkEnd w:id="6"/>
      <w:bookmarkEnd w:id="7"/>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"_Toc57905810"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 一 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"_Toc57905811"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kern w:val="0"/>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"_Toc57905812"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1.  招标条件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"_Toc57905813"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2.  项目概况与招标范围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"_Toc57905814"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3.  投标人资格要求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"_Toc57905815"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4.  招标文件的获取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"_Toc57905816"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5.  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"_Toc57905817"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6.  发布公告的媒介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"_Toc57905818"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7.  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"_Toc57905828"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kern w:val="0"/>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"_Toc57905829"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"_Toc57905895"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第三章  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"_Toc57905896"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评标办法前附表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"_Toc57905897"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1.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"_Toc57905898"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2.  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_Toc57905898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"_Toc57905899"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i w:val="0"/>
          <w:snapToGrid w:val="0"/>
          <w:color w:val="auto"/>
          <w:sz w:val="24"/>
          <w:szCs w:val="24"/>
          <w:highlight w:val="none"/>
        </w:rPr>
        <w:t>2.1  初步评审标准</w:t>
      </w:r>
      <w:r>
        <w:rPr>
          <w:rFonts w:hint="eastAsia" w:ascii="宋体" w:hAnsi="宋体" w:eastAsia="宋体" w:cs="宋体"/>
          <w:i w:val="0"/>
          <w:color w:val="auto"/>
          <w:sz w:val="24"/>
          <w:szCs w:val="24"/>
          <w:highlight w:val="none"/>
        </w:rPr>
        <w:tab/>
      </w:r>
      <w:r>
        <w:rPr>
          <w:rFonts w:hint="eastAsia" w:ascii="宋体" w:hAnsi="宋体" w:eastAsia="宋体" w:cs="宋体"/>
          <w:i w:val="0"/>
          <w:color w:val="auto"/>
          <w:sz w:val="24"/>
          <w:szCs w:val="24"/>
          <w:highlight w:val="none"/>
        </w:rPr>
        <w:fldChar w:fldCharType="begin"/>
      </w:r>
      <w:r>
        <w:rPr>
          <w:rFonts w:hint="eastAsia" w:ascii="宋体" w:hAnsi="宋体" w:eastAsia="宋体" w:cs="宋体"/>
          <w:i w:val="0"/>
          <w:color w:val="auto"/>
          <w:sz w:val="24"/>
          <w:szCs w:val="24"/>
          <w:highlight w:val="none"/>
        </w:rPr>
        <w:instrText xml:space="preserve"> PAGEREF _Toc57905899 \h </w:instrText>
      </w:r>
      <w:r>
        <w:rPr>
          <w:rFonts w:hint="eastAsia" w:ascii="宋体" w:hAnsi="宋体" w:eastAsia="宋体" w:cs="宋体"/>
          <w:i w:val="0"/>
          <w:color w:val="auto"/>
          <w:sz w:val="24"/>
          <w:szCs w:val="24"/>
          <w:highlight w:val="none"/>
        </w:rPr>
        <w:fldChar w:fldCharType="separate"/>
      </w:r>
      <w:r>
        <w:rPr>
          <w:rFonts w:hint="eastAsia" w:ascii="宋体" w:hAnsi="宋体" w:eastAsia="宋体" w:cs="宋体"/>
          <w:i w:val="0"/>
          <w:color w:val="auto"/>
          <w:sz w:val="24"/>
          <w:szCs w:val="24"/>
          <w:highlight w:val="none"/>
        </w:rPr>
        <w:t>31</w:t>
      </w:r>
      <w:r>
        <w:rPr>
          <w:rFonts w:hint="eastAsia" w:ascii="宋体" w:hAnsi="宋体" w:eastAsia="宋体" w:cs="宋体"/>
          <w:i w:val="0"/>
          <w:color w:val="auto"/>
          <w:sz w:val="24"/>
          <w:szCs w:val="24"/>
          <w:highlight w:val="none"/>
        </w:rPr>
        <w:fldChar w:fldCharType="end"/>
      </w:r>
      <w:r>
        <w:rPr>
          <w:rFonts w:hint="eastAsia" w:ascii="宋体" w:hAnsi="宋体" w:eastAsia="宋体" w:cs="宋体"/>
          <w:i w:val="0"/>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"_Toc57905900"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i w:val="0"/>
          <w:snapToGrid w:val="0"/>
          <w:color w:val="auto"/>
          <w:sz w:val="24"/>
          <w:szCs w:val="24"/>
          <w:highlight w:val="none"/>
        </w:rPr>
        <w:t>2.2  分值构成与评分标准</w:t>
      </w:r>
      <w:r>
        <w:rPr>
          <w:rFonts w:hint="eastAsia" w:ascii="宋体" w:hAnsi="宋体" w:eastAsia="宋体" w:cs="宋体"/>
          <w:i w:val="0"/>
          <w:color w:val="auto"/>
          <w:sz w:val="24"/>
          <w:szCs w:val="24"/>
          <w:highlight w:val="none"/>
        </w:rPr>
        <w:tab/>
      </w:r>
      <w:r>
        <w:rPr>
          <w:rFonts w:hint="eastAsia" w:ascii="宋体" w:hAnsi="宋体" w:eastAsia="宋体" w:cs="宋体"/>
          <w:i w:val="0"/>
          <w:color w:val="auto"/>
          <w:sz w:val="24"/>
          <w:szCs w:val="24"/>
          <w:highlight w:val="none"/>
        </w:rPr>
        <w:fldChar w:fldCharType="begin"/>
      </w:r>
      <w:r>
        <w:rPr>
          <w:rFonts w:hint="eastAsia" w:ascii="宋体" w:hAnsi="宋体" w:eastAsia="宋体" w:cs="宋体"/>
          <w:i w:val="0"/>
          <w:color w:val="auto"/>
          <w:sz w:val="24"/>
          <w:szCs w:val="24"/>
          <w:highlight w:val="none"/>
        </w:rPr>
        <w:instrText xml:space="preserve"> PAGEREF _Toc57905900 \h </w:instrText>
      </w:r>
      <w:r>
        <w:rPr>
          <w:rFonts w:hint="eastAsia" w:ascii="宋体" w:hAnsi="宋体" w:eastAsia="宋体" w:cs="宋体"/>
          <w:i w:val="0"/>
          <w:color w:val="auto"/>
          <w:sz w:val="24"/>
          <w:szCs w:val="24"/>
          <w:highlight w:val="none"/>
        </w:rPr>
        <w:fldChar w:fldCharType="separate"/>
      </w:r>
      <w:r>
        <w:rPr>
          <w:rFonts w:hint="eastAsia" w:ascii="宋体" w:hAnsi="宋体" w:eastAsia="宋体" w:cs="宋体"/>
          <w:i w:val="0"/>
          <w:color w:val="auto"/>
          <w:sz w:val="24"/>
          <w:szCs w:val="24"/>
          <w:highlight w:val="none"/>
        </w:rPr>
        <w:t>31</w:t>
      </w:r>
      <w:r>
        <w:rPr>
          <w:rFonts w:hint="eastAsia" w:ascii="宋体" w:hAnsi="宋体" w:eastAsia="宋体" w:cs="宋体"/>
          <w:i w:val="0"/>
          <w:color w:val="auto"/>
          <w:sz w:val="24"/>
          <w:szCs w:val="24"/>
          <w:highlight w:val="none"/>
        </w:rPr>
        <w:fldChar w:fldCharType="end"/>
      </w:r>
      <w:r>
        <w:rPr>
          <w:rFonts w:hint="eastAsia" w:ascii="宋体" w:hAnsi="宋体" w:eastAsia="宋体" w:cs="宋体"/>
          <w:i w:val="0"/>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"_Toc57905901"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snapToGrid w:val="0"/>
          <w:color w:val="auto"/>
          <w:sz w:val="24"/>
          <w:szCs w:val="24"/>
          <w:highlight w:val="none"/>
        </w:rPr>
        <w:t>3.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"_Toc57905902"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i w:val="0"/>
          <w:snapToGrid w:val="0"/>
          <w:color w:val="auto"/>
          <w:sz w:val="24"/>
          <w:szCs w:val="24"/>
          <w:highlight w:val="none"/>
        </w:rPr>
        <w:t>3.1  初步评审</w:t>
      </w:r>
      <w:r>
        <w:rPr>
          <w:rFonts w:hint="eastAsia" w:ascii="宋体" w:hAnsi="宋体" w:eastAsia="宋体" w:cs="宋体"/>
          <w:i w:val="0"/>
          <w:color w:val="auto"/>
          <w:sz w:val="24"/>
          <w:szCs w:val="24"/>
          <w:highlight w:val="none"/>
        </w:rPr>
        <w:tab/>
      </w:r>
      <w:r>
        <w:rPr>
          <w:rFonts w:hint="eastAsia" w:ascii="宋体" w:hAnsi="宋体" w:eastAsia="宋体" w:cs="宋体"/>
          <w:i w:val="0"/>
          <w:color w:val="auto"/>
          <w:sz w:val="24"/>
          <w:szCs w:val="24"/>
          <w:highlight w:val="none"/>
        </w:rPr>
        <w:fldChar w:fldCharType="begin"/>
      </w:r>
      <w:r>
        <w:rPr>
          <w:rFonts w:hint="eastAsia" w:ascii="宋体" w:hAnsi="宋体" w:eastAsia="宋体" w:cs="宋体"/>
          <w:i w:val="0"/>
          <w:color w:val="auto"/>
          <w:sz w:val="24"/>
          <w:szCs w:val="24"/>
          <w:highlight w:val="none"/>
        </w:rPr>
        <w:instrText xml:space="preserve"> PAGEREF _Toc57905902 \h </w:instrText>
      </w:r>
      <w:r>
        <w:rPr>
          <w:rFonts w:hint="eastAsia" w:ascii="宋体" w:hAnsi="宋体" w:eastAsia="宋体" w:cs="宋体"/>
          <w:i w:val="0"/>
          <w:color w:val="auto"/>
          <w:sz w:val="24"/>
          <w:szCs w:val="24"/>
          <w:highlight w:val="none"/>
        </w:rPr>
        <w:fldChar w:fldCharType="separate"/>
      </w:r>
      <w:r>
        <w:rPr>
          <w:rFonts w:hint="eastAsia" w:ascii="宋体" w:hAnsi="宋体" w:eastAsia="宋体" w:cs="宋体"/>
          <w:i w:val="0"/>
          <w:color w:val="auto"/>
          <w:sz w:val="24"/>
          <w:szCs w:val="24"/>
          <w:highlight w:val="none"/>
        </w:rPr>
        <w:t>31</w:t>
      </w:r>
      <w:r>
        <w:rPr>
          <w:rFonts w:hint="eastAsia" w:ascii="宋体" w:hAnsi="宋体" w:eastAsia="宋体" w:cs="宋体"/>
          <w:i w:val="0"/>
          <w:color w:val="auto"/>
          <w:sz w:val="24"/>
          <w:szCs w:val="24"/>
          <w:highlight w:val="none"/>
        </w:rPr>
        <w:fldChar w:fldCharType="end"/>
      </w:r>
      <w:r>
        <w:rPr>
          <w:rFonts w:hint="eastAsia" w:ascii="宋体" w:hAnsi="宋体" w:eastAsia="宋体" w:cs="宋体"/>
          <w:i w:val="0"/>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"_Toc57905903"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i w:val="0"/>
          <w:snapToGrid w:val="0"/>
          <w:color w:val="auto"/>
          <w:sz w:val="24"/>
          <w:szCs w:val="24"/>
          <w:highlight w:val="none"/>
        </w:rPr>
        <w:t>3.2  详细评审</w:t>
      </w:r>
      <w:r>
        <w:rPr>
          <w:rFonts w:hint="eastAsia" w:ascii="宋体" w:hAnsi="宋体" w:eastAsia="宋体" w:cs="宋体"/>
          <w:i w:val="0"/>
          <w:color w:val="auto"/>
          <w:sz w:val="24"/>
          <w:szCs w:val="24"/>
          <w:highlight w:val="none"/>
        </w:rPr>
        <w:tab/>
      </w:r>
      <w:r>
        <w:rPr>
          <w:rFonts w:hint="eastAsia" w:ascii="宋体" w:hAnsi="宋体" w:eastAsia="宋体" w:cs="宋体"/>
          <w:i w:val="0"/>
          <w:color w:val="auto"/>
          <w:sz w:val="24"/>
          <w:szCs w:val="24"/>
          <w:highlight w:val="none"/>
        </w:rPr>
        <w:fldChar w:fldCharType="begin"/>
      </w:r>
      <w:r>
        <w:rPr>
          <w:rFonts w:hint="eastAsia" w:ascii="宋体" w:hAnsi="宋体" w:eastAsia="宋体" w:cs="宋体"/>
          <w:i w:val="0"/>
          <w:color w:val="auto"/>
          <w:sz w:val="24"/>
          <w:szCs w:val="24"/>
          <w:highlight w:val="none"/>
        </w:rPr>
        <w:instrText xml:space="preserve"> PAGEREF _Toc57905903 \h </w:instrText>
      </w:r>
      <w:r>
        <w:rPr>
          <w:rFonts w:hint="eastAsia" w:ascii="宋体" w:hAnsi="宋体" w:eastAsia="宋体" w:cs="宋体"/>
          <w:i w:val="0"/>
          <w:color w:val="auto"/>
          <w:sz w:val="24"/>
          <w:szCs w:val="24"/>
          <w:highlight w:val="none"/>
        </w:rPr>
        <w:fldChar w:fldCharType="separate"/>
      </w:r>
      <w:r>
        <w:rPr>
          <w:rFonts w:hint="eastAsia" w:ascii="宋体" w:hAnsi="宋体" w:eastAsia="宋体" w:cs="宋体"/>
          <w:i w:val="0"/>
          <w:color w:val="auto"/>
          <w:sz w:val="24"/>
          <w:szCs w:val="24"/>
          <w:highlight w:val="none"/>
        </w:rPr>
        <w:t>32</w:t>
      </w:r>
      <w:r>
        <w:rPr>
          <w:rFonts w:hint="eastAsia" w:ascii="宋体" w:hAnsi="宋体" w:eastAsia="宋体" w:cs="宋体"/>
          <w:i w:val="0"/>
          <w:color w:val="auto"/>
          <w:sz w:val="24"/>
          <w:szCs w:val="24"/>
          <w:highlight w:val="none"/>
        </w:rPr>
        <w:fldChar w:fldCharType="end"/>
      </w:r>
      <w:r>
        <w:rPr>
          <w:rFonts w:hint="eastAsia" w:ascii="宋体" w:hAnsi="宋体" w:eastAsia="宋体" w:cs="宋体"/>
          <w:i w:val="0"/>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"_Toc57905904"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i w:val="0"/>
          <w:snapToGrid w:val="0"/>
          <w:color w:val="auto"/>
          <w:sz w:val="24"/>
          <w:szCs w:val="24"/>
          <w:highlight w:val="none"/>
        </w:rPr>
        <w:t>3.3  投标文件的澄清和补正</w:t>
      </w:r>
      <w:r>
        <w:rPr>
          <w:rFonts w:hint="eastAsia" w:ascii="宋体" w:hAnsi="宋体" w:eastAsia="宋体" w:cs="宋体"/>
          <w:i w:val="0"/>
          <w:color w:val="auto"/>
          <w:sz w:val="24"/>
          <w:szCs w:val="24"/>
          <w:highlight w:val="none"/>
        </w:rPr>
        <w:tab/>
      </w:r>
      <w:r>
        <w:rPr>
          <w:rFonts w:hint="eastAsia" w:ascii="宋体" w:hAnsi="宋体" w:eastAsia="宋体" w:cs="宋体"/>
          <w:i w:val="0"/>
          <w:color w:val="auto"/>
          <w:sz w:val="24"/>
          <w:szCs w:val="24"/>
          <w:highlight w:val="none"/>
        </w:rPr>
        <w:fldChar w:fldCharType="begin"/>
      </w:r>
      <w:r>
        <w:rPr>
          <w:rFonts w:hint="eastAsia" w:ascii="宋体" w:hAnsi="宋体" w:eastAsia="宋体" w:cs="宋体"/>
          <w:i w:val="0"/>
          <w:color w:val="auto"/>
          <w:sz w:val="24"/>
          <w:szCs w:val="24"/>
          <w:highlight w:val="none"/>
        </w:rPr>
        <w:instrText xml:space="preserve"> PAGEREF _Toc57905904 \h </w:instrText>
      </w:r>
      <w:r>
        <w:rPr>
          <w:rFonts w:hint="eastAsia" w:ascii="宋体" w:hAnsi="宋体" w:eastAsia="宋体" w:cs="宋体"/>
          <w:i w:val="0"/>
          <w:color w:val="auto"/>
          <w:sz w:val="24"/>
          <w:szCs w:val="24"/>
          <w:highlight w:val="none"/>
        </w:rPr>
        <w:fldChar w:fldCharType="separate"/>
      </w:r>
      <w:r>
        <w:rPr>
          <w:rFonts w:hint="eastAsia" w:ascii="宋体" w:hAnsi="宋体" w:eastAsia="宋体" w:cs="宋体"/>
          <w:i w:val="0"/>
          <w:color w:val="auto"/>
          <w:sz w:val="24"/>
          <w:szCs w:val="24"/>
          <w:highlight w:val="none"/>
        </w:rPr>
        <w:t>32</w:t>
      </w:r>
      <w:r>
        <w:rPr>
          <w:rFonts w:hint="eastAsia" w:ascii="宋体" w:hAnsi="宋体" w:eastAsia="宋体" w:cs="宋体"/>
          <w:i w:val="0"/>
          <w:color w:val="auto"/>
          <w:sz w:val="24"/>
          <w:szCs w:val="24"/>
          <w:highlight w:val="none"/>
        </w:rPr>
        <w:fldChar w:fldCharType="end"/>
      </w:r>
      <w:r>
        <w:rPr>
          <w:rFonts w:hint="eastAsia" w:ascii="宋体" w:hAnsi="宋体" w:eastAsia="宋体" w:cs="宋体"/>
          <w:i w:val="0"/>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"_Toc57905905"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i w:val="0"/>
          <w:snapToGrid w:val="0"/>
          <w:color w:val="auto"/>
          <w:sz w:val="24"/>
          <w:szCs w:val="24"/>
          <w:highlight w:val="none"/>
        </w:rPr>
        <w:t>3.4  评标结果</w:t>
      </w:r>
      <w:r>
        <w:rPr>
          <w:rFonts w:hint="eastAsia" w:ascii="宋体" w:hAnsi="宋体" w:eastAsia="宋体" w:cs="宋体"/>
          <w:i w:val="0"/>
          <w:color w:val="auto"/>
          <w:sz w:val="24"/>
          <w:szCs w:val="24"/>
          <w:highlight w:val="none"/>
        </w:rPr>
        <w:tab/>
      </w:r>
      <w:r>
        <w:rPr>
          <w:rFonts w:hint="eastAsia" w:ascii="宋体" w:hAnsi="宋体" w:eastAsia="宋体" w:cs="宋体"/>
          <w:i w:val="0"/>
          <w:color w:val="auto"/>
          <w:sz w:val="24"/>
          <w:szCs w:val="24"/>
          <w:highlight w:val="none"/>
        </w:rPr>
        <w:fldChar w:fldCharType="begin"/>
      </w:r>
      <w:r>
        <w:rPr>
          <w:rFonts w:hint="eastAsia" w:ascii="宋体" w:hAnsi="宋体" w:eastAsia="宋体" w:cs="宋体"/>
          <w:i w:val="0"/>
          <w:color w:val="auto"/>
          <w:sz w:val="24"/>
          <w:szCs w:val="24"/>
          <w:highlight w:val="none"/>
        </w:rPr>
        <w:instrText xml:space="preserve"> PAGEREF _Toc57905905 \h </w:instrText>
      </w:r>
      <w:r>
        <w:rPr>
          <w:rFonts w:hint="eastAsia" w:ascii="宋体" w:hAnsi="宋体" w:eastAsia="宋体" w:cs="宋体"/>
          <w:i w:val="0"/>
          <w:color w:val="auto"/>
          <w:sz w:val="24"/>
          <w:szCs w:val="24"/>
          <w:highlight w:val="none"/>
        </w:rPr>
        <w:fldChar w:fldCharType="separate"/>
      </w:r>
      <w:r>
        <w:rPr>
          <w:rFonts w:hint="eastAsia" w:ascii="宋体" w:hAnsi="宋体" w:eastAsia="宋体" w:cs="宋体"/>
          <w:i w:val="0"/>
          <w:color w:val="auto"/>
          <w:sz w:val="24"/>
          <w:szCs w:val="24"/>
          <w:highlight w:val="none"/>
        </w:rPr>
        <w:t>32</w:t>
      </w:r>
      <w:r>
        <w:rPr>
          <w:rFonts w:hint="eastAsia" w:ascii="宋体" w:hAnsi="宋体" w:eastAsia="宋体" w:cs="宋体"/>
          <w:i w:val="0"/>
          <w:color w:val="auto"/>
          <w:sz w:val="24"/>
          <w:szCs w:val="24"/>
          <w:highlight w:val="none"/>
        </w:rPr>
        <w:fldChar w:fldCharType="end"/>
      </w:r>
      <w:r>
        <w:rPr>
          <w:rFonts w:hint="eastAsia" w:ascii="宋体" w:hAnsi="宋体" w:eastAsia="宋体" w:cs="宋体"/>
          <w:i w:val="0"/>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"_Toc57905906"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kern w:val="0"/>
          <w:sz w:val="24"/>
          <w:szCs w:val="24"/>
          <w:highlight w:val="none"/>
        </w:rPr>
        <w:t>第四章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"_Toc57905910"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第五章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"_Toc57905911"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 二 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"_Toc57905912"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第六章  图纸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"_Toc57905913"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 三 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"_Toc57905914"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第七章  技术标准和要求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"_Toc57905915"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 四 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tabs>
          <w:tab w:val="right" w:leader="dot" w:pos="9459"/>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"_Toc57905916"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第八章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"_Toc57905918"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lang w:val="en-US" w:eastAsia="zh-CN"/>
        </w:rPr>
        <w:t>一</w:t>
      </w:r>
      <w:r>
        <w:rPr>
          <w:rStyle w:val="55"/>
          <w:rFonts w:hint="eastAsia" w:ascii="宋体" w:hAnsi="宋体" w:eastAsia="宋体" w:cs="宋体"/>
          <w:color w:val="auto"/>
          <w:sz w:val="24"/>
          <w:szCs w:val="24"/>
          <w:highlight w:val="none"/>
        </w:rPr>
        <w:t>、投标函部分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"_Toc57905924"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lang w:val="en-US" w:eastAsia="zh-CN"/>
        </w:rPr>
        <w:t>二</w:t>
      </w:r>
      <w:r>
        <w:rPr>
          <w:rStyle w:val="55"/>
          <w:rFonts w:hint="eastAsia" w:ascii="宋体" w:hAnsi="宋体" w:eastAsia="宋体" w:cs="宋体"/>
          <w:color w:val="auto"/>
          <w:sz w:val="24"/>
          <w:szCs w:val="24"/>
          <w:highlight w:val="none"/>
        </w:rPr>
        <w:t>、经济部分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"_Toc57905926"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lang w:val="en-US" w:eastAsia="zh-CN"/>
        </w:rPr>
        <w:t>三</w:t>
      </w:r>
      <w:r>
        <w:rPr>
          <w:rStyle w:val="55"/>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8"/>
        <w:tabs>
          <w:tab w:val="right" w:leader="dot" w:pos="9459"/>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"_Toc57905928"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lang w:val="en-US" w:eastAsia="zh-CN"/>
        </w:rPr>
        <w:t>四</w:t>
      </w:r>
      <w:r>
        <w:rPr>
          <w:rStyle w:val="55"/>
          <w:rFonts w:hint="eastAsia" w:ascii="宋体" w:hAnsi="宋体" w:eastAsia="宋体" w:cs="宋体"/>
          <w:color w:val="auto"/>
          <w:sz w:val="24"/>
          <w:szCs w:val="24"/>
          <w:highlight w:val="none"/>
        </w:rPr>
        <w:t>、资格审查部分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_Toc57905928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3"/>
        <w:tabs>
          <w:tab w:val="right" w:leader="dot" w:pos="9459"/>
        </w:tabs>
        <w:rPr>
          <w:rFonts w:hint="eastAsia" w:ascii="宋体" w:hAnsi="宋体" w:eastAsia="宋体" w:cs="宋体"/>
          <w:i w:val="0"/>
          <w:iCs w:val="0"/>
          <w:color w:val="auto"/>
          <w:sz w:val="21"/>
          <w:szCs w:val="22"/>
          <w:highlight w:val="none"/>
        </w:rPr>
      </w:pPr>
    </w:p>
    <w:p>
      <w:pPr>
        <w:rPr>
          <w:rFonts w:hint="eastAsia" w:ascii="宋体" w:hAnsi="宋体" w:eastAsia="宋体" w:cs="宋体"/>
          <w:color w:val="auto"/>
          <w:highlight w:val="none"/>
        </w:rPr>
      </w:pPr>
      <w:r>
        <w:rPr>
          <w:rFonts w:hint="eastAsia" w:ascii="宋体" w:hAnsi="宋体" w:eastAsia="宋体" w:cs="宋体"/>
          <w:bCs/>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8" w:name="_Toc430530414"/>
    </w:p>
    <w:p>
      <w:pPr>
        <w:spacing w:line="20" w:lineRule="exact"/>
        <w:jc w:val="left"/>
        <w:rPr>
          <w:rFonts w:hint="eastAsia" w:ascii="宋体" w:hAnsi="宋体" w:eastAsia="宋体" w:cs="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9" w:name="_Toc57905810"/>
      <w:bookmarkStart w:id="10" w:name="_Toc9936"/>
      <w:bookmarkStart w:id="11" w:name="_Toc509218690"/>
      <w:r>
        <w:rPr>
          <w:rFonts w:hint="eastAsia" w:ascii="宋体" w:hAnsi="宋体" w:eastAsia="宋体" w:cs="宋体"/>
          <w:color w:val="auto"/>
          <w:sz w:val="52"/>
          <w:szCs w:val="52"/>
          <w:highlight w:val="none"/>
        </w:rPr>
        <w:t>第 一 卷</w:t>
      </w:r>
      <w:bookmarkEnd w:id="9"/>
      <w:bookmarkEnd w:id="10"/>
      <w:bookmarkEnd w:id="11"/>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2" w:name="_Toc430530415"/>
      <w:bookmarkStart w:id="13" w:name="_Toc287620666"/>
      <w:bookmarkStart w:id="14" w:name="_Toc277082535"/>
      <w:bookmarkStart w:id="15" w:name="_Toc287607727"/>
      <w:bookmarkStart w:id="16" w:name="_Toc509218691"/>
      <w:bookmarkStart w:id="17" w:name="_Toc57905811"/>
      <w:bookmarkStart w:id="18" w:name="_Toc224103298"/>
      <w:bookmarkStart w:id="19" w:name="_Toc12819"/>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w w:val="99"/>
          <w:kern w:val="0"/>
          <w:sz w:val="28"/>
          <w:szCs w:val="28"/>
          <w:highlight w:val="none"/>
          <w:u w:val="single"/>
        </w:rPr>
        <w:t>重庆市金迈实业有限公司职工宿舍区屋顶治漏项目</w:t>
      </w:r>
      <w:r>
        <w:rPr>
          <w:rFonts w:hint="eastAsia" w:ascii="宋体" w:hAnsi="宋体" w:eastAsia="宋体" w:cs="宋体"/>
          <w:snapToGrid w:val="0"/>
          <w:color w:val="auto"/>
          <w:w w:val="99"/>
          <w:kern w:val="0"/>
          <w:sz w:val="28"/>
          <w:szCs w:val="28"/>
          <w:highlight w:val="none"/>
        </w:rPr>
        <w:t>招标公告</w:t>
      </w:r>
    </w:p>
    <w:p>
      <w:pPr>
        <w:pStyle w:val="4"/>
        <w:spacing w:before="100" w:after="100" w:line="360" w:lineRule="auto"/>
        <w:rPr>
          <w:rFonts w:hint="eastAsia" w:ascii="宋体" w:hAnsi="宋体" w:eastAsia="宋体" w:cs="宋体"/>
          <w:snapToGrid w:val="0"/>
          <w:color w:val="auto"/>
          <w:sz w:val="28"/>
          <w:szCs w:val="28"/>
          <w:highlight w:val="none"/>
        </w:rPr>
      </w:pPr>
      <w:bookmarkStart w:id="20" w:name="_Toc430530416"/>
      <w:bookmarkStart w:id="21" w:name="_Toc509218692"/>
      <w:bookmarkStart w:id="22" w:name="_Toc287607728"/>
      <w:bookmarkStart w:id="23" w:name="_Toc277082536"/>
      <w:bookmarkStart w:id="24" w:name="_Toc224103299"/>
      <w:bookmarkStart w:id="25" w:name="_Toc287620667"/>
      <w:bookmarkStart w:id="26" w:name="_Toc57905812"/>
      <w:bookmarkStart w:id="27" w:name="_Toc200359238"/>
      <w:bookmarkStart w:id="28" w:name="_Toc27491"/>
      <w:bookmarkStart w:id="29" w:name="_Toc200359427"/>
      <w:r>
        <w:rPr>
          <w:rFonts w:hint="eastAsia" w:ascii="宋体" w:hAnsi="宋体" w:eastAsia="宋体" w:cs="宋体"/>
          <w:snapToGrid w:val="0"/>
          <w:color w:val="auto"/>
          <w:sz w:val="28"/>
          <w:szCs w:val="28"/>
          <w:highlight w:val="none"/>
        </w:rPr>
        <w:t>1.  招标条件</w:t>
      </w:r>
      <w:bookmarkEnd w:id="20"/>
      <w:bookmarkEnd w:id="21"/>
      <w:bookmarkEnd w:id="22"/>
      <w:bookmarkEnd w:id="23"/>
      <w:bookmarkEnd w:id="24"/>
      <w:bookmarkEnd w:id="25"/>
      <w:bookmarkEnd w:id="26"/>
      <w:bookmarkEnd w:id="27"/>
      <w:bookmarkEnd w:id="28"/>
      <w:bookmarkEnd w:id="29"/>
    </w:p>
    <w:p>
      <w:pPr>
        <w:tabs>
          <w:tab w:val="left" w:pos="3315"/>
          <w:tab w:val="left" w:pos="3390"/>
          <w:tab w:val="left" w:pos="6120"/>
          <w:tab w:val="left" w:pos="885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kern w:val="0"/>
          <w:szCs w:val="21"/>
          <w:highlight w:val="none"/>
          <w:u w:val="single"/>
        </w:rPr>
        <w:t>重庆市金迈实业有限公司职工宿舍区屋顶治漏项目</w:t>
      </w:r>
      <w:r>
        <w:rPr>
          <w:rFonts w:hint="eastAsia" w:ascii="宋体" w:hAnsi="宋体" w:eastAsia="宋体" w:cs="宋体"/>
          <w:snapToGrid w:val="0"/>
          <w:color w:val="auto"/>
          <w:kern w:val="0"/>
          <w:szCs w:val="21"/>
          <w:highlight w:val="none"/>
        </w:rPr>
        <w:t>建设资金来</w:t>
      </w:r>
      <w:r>
        <w:rPr>
          <w:rFonts w:hint="eastAsia" w:ascii="宋体" w:hAnsi="宋体" w:cs="宋体"/>
          <w:snapToGrid w:val="0"/>
          <w:color w:val="auto"/>
          <w:kern w:val="0"/>
          <w:szCs w:val="21"/>
          <w:highlight w:val="none"/>
          <w:u w:val="single"/>
          <w:lang w:val="en-US" w:eastAsia="zh-CN"/>
        </w:rPr>
        <w:t>源</w:t>
      </w:r>
      <w:r>
        <w:rPr>
          <w:rFonts w:hint="eastAsia" w:ascii="宋体" w:hAnsi="宋体" w:eastAsia="宋体" w:cs="宋体"/>
          <w:snapToGrid w:val="0"/>
          <w:color w:val="auto"/>
          <w:kern w:val="0"/>
          <w:szCs w:val="21"/>
          <w:highlight w:val="none"/>
          <w:lang w:val="en-US" w:eastAsia="zh-CN"/>
        </w:rPr>
        <w:t>为</w:t>
      </w:r>
      <w:r>
        <w:rPr>
          <w:rFonts w:hint="eastAsia" w:ascii="宋体" w:hAnsi="宋体" w:cs="宋体"/>
          <w:snapToGrid w:val="0"/>
          <w:color w:val="auto"/>
          <w:kern w:val="0"/>
          <w:szCs w:val="21"/>
          <w:highlight w:val="none"/>
          <w:u w:val="single"/>
          <w:lang w:val="en-US" w:eastAsia="zh-CN"/>
        </w:rPr>
        <w:t>企业</w:t>
      </w:r>
      <w:r>
        <w:rPr>
          <w:rFonts w:hint="eastAsia" w:ascii="宋体" w:hAnsi="宋体" w:eastAsia="宋体" w:cs="宋体"/>
          <w:snapToGrid w:val="0"/>
          <w:color w:val="auto"/>
          <w:kern w:val="0"/>
          <w:szCs w:val="21"/>
          <w:highlight w:val="none"/>
          <w:u w:val="single"/>
          <w:lang w:val="en-US" w:eastAsia="zh-CN"/>
        </w:rPr>
        <w:t>资金</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重庆市金迈实业有限公司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u w:val="single"/>
        </w:rPr>
        <w:t>该项目的施工</w:t>
      </w:r>
      <w:r>
        <w:rPr>
          <w:rFonts w:hint="eastAsia" w:ascii="宋体" w:hAnsi="宋体" w:eastAsia="宋体" w:cs="宋体"/>
          <w:snapToGrid w:val="0"/>
          <w:color w:val="auto"/>
          <w:kern w:val="0"/>
          <w:position w:val="-2"/>
          <w:szCs w:val="21"/>
          <w:highlight w:val="none"/>
        </w:rPr>
        <w:t>进行公开招标。</w:t>
      </w:r>
    </w:p>
    <w:p>
      <w:pPr>
        <w:pStyle w:val="4"/>
        <w:spacing w:before="100" w:after="100" w:line="360" w:lineRule="auto"/>
        <w:rPr>
          <w:rFonts w:hint="eastAsia" w:ascii="宋体" w:hAnsi="宋体" w:eastAsia="宋体" w:cs="宋体"/>
          <w:snapToGrid w:val="0"/>
          <w:color w:val="auto"/>
          <w:sz w:val="28"/>
          <w:szCs w:val="28"/>
          <w:highlight w:val="none"/>
        </w:rPr>
      </w:pPr>
      <w:bookmarkStart w:id="30" w:name="_Toc16344"/>
      <w:bookmarkStart w:id="31" w:name="_Toc430530417"/>
      <w:bookmarkStart w:id="32" w:name="_Toc277082537"/>
      <w:bookmarkStart w:id="33" w:name="_Toc287620668"/>
      <w:bookmarkStart w:id="34" w:name="_Toc57905813"/>
      <w:bookmarkStart w:id="35" w:name="_Toc200359239"/>
      <w:bookmarkStart w:id="36" w:name="_Toc200359428"/>
      <w:bookmarkStart w:id="37" w:name="_Toc287607729"/>
      <w:bookmarkStart w:id="38" w:name="_Toc509218693"/>
      <w:bookmarkStart w:id="39" w:name="_Toc224103300"/>
      <w:r>
        <w:rPr>
          <w:rFonts w:hint="eastAsia" w:ascii="宋体" w:hAnsi="宋体" w:eastAsia="宋体" w:cs="宋体"/>
          <w:snapToGrid w:val="0"/>
          <w:color w:val="auto"/>
          <w:sz w:val="28"/>
          <w:szCs w:val="28"/>
          <w:highlight w:val="none"/>
        </w:rPr>
        <w:t>2.  项目概况与招标范围</w:t>
      </w:r>
      <w:bookmarkEnd w:id="30"/>
      <w:bookmarkEnd w:id="31"/>
      <w:bookmarkEnd w:id="32"/>
      <w:bookmarkEnd w:id="33"/>
      <w:bookmarkEnd w:id="34"/>
      <w:bookmarkEnd w:id="35"/>
      <w:bookmarkEnd w:id="36"/>
      <w:bookmarkEnd w:id="37"/>
      <w:bookmarkEnd w:id="38"/>
      <w:bookmarkEnd w:id="39"/>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rPr>
        <w:t>重庆市金迈实业有限公司职工宿舍</w:t>
      </w:r>
      <w:r>
        <w:rPr>
          <w:rFonts w:hint="eastAsia" w:ascii="宋体" w:hAnsi="宋体" w:eastAsia="宋体" w:cs="宋体"/>
          <w:snapToGrid w:val="0"/>
          <w:color w:val="auto"/>
          <w:kern w:val="0"/>
          <w:szCs w:val="21"/>
          <w:highlight w:val="none"/>
          <w:u w:val="single"/>
          <w:lang w:eastAsia="zh-CN"/>
        </w:rPr>
        <w:t>区（</w:t>
      </w:r>
      <w:r>
        <w:rPr>
          <w:rFonts w:hint="eastAsia" w:ascii="宋体" w:hAnsi="宋体" w:eastAsia="宋体" w:cs="宋体"/>
          <w:snapToGrid w:val="0"/>
          <w:color w:val="auto"/>
          <w:kern w:val="0"/>
          <w:sz w:val="21"/>
          <w:szCs w:val="21"/>
          <w:highlight w:val="none"/>
          <w:u w:val="single"/>
        </w:rPr>
        <w:t>重庆市南川区水江镇宁江路17号</w:t>
      </w:r>
      <w:r>
        <w:rPr>
          <w:rFonts w:hint="eastAsia" w:ascii="宋体" w:hAnsi="宋体" w:eastAsia="宋体" w:cs="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 项目概况与建设规模：</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①拆除工程</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拆除职工宿舍区原屋顶架空隔热层约4380平方米，拆除原屋面刚性保护层和防水层约10600平方米。</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②屋面及防水工程</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1.屋面水泥砂浆找平层约7400平方米屋面；</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2.铺设改性沥青聚酯胎防水卷材约10600平方米(施工区域包括屋面、雨棚、天沟及女儿墙)；</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3.敷设聚氨酯涂膜防水约10600平方米(施工区域包括屋面、雨棚、天沟及女儿墙)；</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4.屋面铺设聚酯无纺布隔离层约7400平方米；</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5.屋面浇筑C20细石混凝土刚性保护层约7400平方米；</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6.安装不锈钢防雨盖；</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7.墙面抹灰层修补。</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eastAsia="宋体" w:cs="宋体"/>
          <w:snapToGrid w:val="0"/>
          <w:color w:val="auto"/>
          <w:kern w:val="0"/>
          <w:szCs w:val="21"/>
          <w:highlight w:val="none"/>
          <w:u w:val="single"/>
        </w:rPr>
        <w:t>2884335.07</w:t>
      </w:r>
      <w:r>
        <w:rPr>
          <w:rFonts w:hint="eastAsia" w:ascii="宋体" w:hAnsi="宋体" w:eastAsia="宋体" w:cs="宋体"/>
          <w:snapToGrid w:val="0"/>
          <w:color w:val="auto"/>
          <w:kern w:val="0"/>
          <w:szCs w:val="21"/>
          <w:highlight w:val="none"/>
          <w:u w:val="single"/>
          <w:lang w:val="en-US" w:eastAsia="zh-CN"/>
        </w:rPr>
        <w:t>元</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Cs w:val="21"/>
          <w:highlight w:val="none"/>
          <w:u w:val="single"/>
        </w:rPr>
        <w:t>招标人提供的施工图等所示范围的全部工程内容以及招标文件中补充的工程内容、答疑资料、澄清资料、其他补遗资料等相关内容，具体以本项目发布的施工图设计文件和工程量清单为准。</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2.5 工期要求：</w:t>
      </w:r>
      <w:r>
        <w:rPr>
          <w:rFonts w:hint="eastAsia" w:ascii="宋体" w:hAnsi="宋体" w:eastAsia="宋体" w:cs="宋体"/>
          <w:snapToGrid w:val="0"/>
          <w:color w:val="auto"/>
          <w:kern w:val="0"/>
          <w:szCs w:val="21"/>
          <w:highlight w:val="none"/>
          <w:u w:val="single"/>
          <w:lang w:val="en-US" w:eastAsia="zh-CN"/>
        </w:rPr>
        <w:t>270</w:t>
      </w:r>
      <w:r>
        <w:rPr>
          <w:rFonts w:hint="eastAsia" w:ascii="宋体" w:hAnsi="宋体" w:eastAsia="宋体" w:cs="宋体"/>
          <w:snapToGrid w:val="0"/>
          <w:color w:val="auto"/>
          <w:kern w:val="0"/>
          <w:szCs w:val="21"/>
          <w:highlight w:val="none"/>
          <w:u w:val="single"/>
        </w:rPr>
        <w:t>日历天</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缺陷责任期要求：</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p>
    <w:p>
      <w:pPr>
        <w:pStyle w:val="4"/>
        <w:spacing w:before="100" w:after="100" w:line="360" w:lineRule="auto"/>
        <w:rPr>
          <w:rFonts w:hint="eastAsia" w:ascii="宋体" w:hAnsi="宋体" w:eastAsia="宋体" w:cs="宋体"/>
          <w:snapToGrid w:val="0"/>
          <w:color w:val="auto"/>
          <w:sz w:val="28"/>
          <w:szCs w:val="28"/>
          <w:highlight w:val="none"/>
        </w:rPr>
      </w:pPr>
      <w:bookmarkStart w:id="40" w:name="_Toc19513"/>
      <w:bookmarkStart w:id="41" w:name="_Toc287607730"/>
      <w:bookmarkStart w:id="42" w:name="_Toc200359240"/>
      <w:bookmarkStart w:id="43" w:name="_Toc509218694"/>
      <w:bookmarkStart w:id="44" w:name="_Toc277082538"/>
      <w:bookmarkStart w:id="45" w:name="_Toc200359429"/>
      <w:bookmarkStart w:id="46" w:name="_Toc430530418"/>
      <w:bookmarkStart w:id="47" w:name="_Toc224103301"/>
      <w:bookmarkStart w:id="48" w:name="_Toc287620669"/>
      <w:bookmarkStart w:id="49" w:name="_Toc57905814"/>
      <w:r>
        <w:rPr>
          <w:rFonts w:hint="eastAsia" w:ascii="宋体" w:hAnsi="宋体" w:eastAsia="宋体" w:cs="宋体"/>
          <w:snapToGrid w:val="0"/>
          <w:color w:val="auto"/>
          <w:sz w:val="28"/>
          <w:szCs w:val="28"/>
          <w:highlight w:val="none"/>
        </w:rPr>
        <w:t>3.  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r>
        <w:rPr>
          <w:rFonts w:hint="eastAsia" w:ascii="宋体" w:hAnsi="宋体" w:eastAsia="宋体" w:cs="宋体"/>
          <w:snapToGrid w:val="0"/>
          <w:color w:val="auto"/>
          <w:kern w:val="0"/>
          <w:szCs w:val="21"/>
          <w:highlight w:val="none"/>
          <w:u w:val="single"/>
        </w:rPr>
        <w:t>建设行政主管部门颁发的</w:t>
      </w:r>
      <w:r>
        <w:rPr>
          <w:rFonts w:hint="eastAsia" w:ascii="宋体" w:hAnsi="宋体" w:eastAsia="宋体" w:cs="宋体"/>
          <w:snapToGrid w:val="0"/>
          <w:color w:val="auto"/>
          <w:kern w:val="0"/>
          <w:szCs w:val="21"/>
          <w:highlight w:val="none"/>
          <w:u w:val="single"/>
          <w:lang w:val="en-US" w:eastAsia="zh-CN"/>
        </w:rPr>
        <w:t>建筑</w:t>
      </w:r>
      <w:r>
        <w:rPr>
          <w:rFonts w:hint="eastAsia" w:ascii="宋体" w:hAnsi="宋体" w:eastAsia="宋体" w:cs="宋体"/>
          <w:snapToGrid w:val="0"/>
          <w:color w:val="auto"/>
          <w:kern w:val="0"/>
          <w:szCs w:val="21"/>
          <w:highlight w:val="none"/>
          <w:u w:val="single"/>
        </w:rPr>
        <w:t>工程施工总承包叁级及以上资质</w:t>
      </w:r>
      <w:r>
        <w:rPr>
          <w:rFonts w:hint="eastAsia" w:ascii="宋体" w:hAnsi="宋体" w:eastAsia="宋体" w:cs="宋体"/>
          <w:snapToGrid w:val="0"/>
          <w:color w:val="auto"/>
          <w:kern w:val="0"/>
          <w:szCs w:val="21"/>
          <w:highlight w:val="none"/>
        </w:rPr>
        <w:t>；</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lang w:val="en-US" w:eastAsia="zh-CN"/>
        </w:rPr>
        <w:t>无</w:t>
      </w:r>
      <w:r>
        <w:rPr>
          <w:rFonts w:hint="eastAsia" w:ascii="宋体" w:hAnsi="宋体" w:eastAsia="宋体" w:cs="宋体"/>
          <w:snapToGrid w:val="0"/>
          <w:color w:val="auto"/>
          <w:kern w:val="0"/>
          <w:szCs w:val="21"/>
          <w:highlight w:val="none"/>
        </w:rPr>
        <w:t>；</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4"/>
        <w:spacing w:before="100" w:after="100" w:line="360" w:lineRule="auto"/>
        <w:rPr>
          <w:rFonts w:hint="eastAsia" w:ascii="宋体" w:hAnsi="宋体" w:eastAsia="宋体" w:cs="宋体"/>
          <w:snapToGrid w:val="0"/>
          <w:color w:val="auto"/>
          <w:sz w:val="28"/>
          <w:szCs w:val="28"/>
          <w:highlight w:val="none"/>
        </w:rPr>
      </w:pPr>
      <w:bookmarkStart w:id="50" w:name="_Toc287620670"/>
      <w:bookmarkStart w:id="51" w:name="_Toc224103302"/>
      <w:bookmarkStart w:id="52" w:name="_Toc200359430"/>
      <w:bookmarkStart w:id="53" w:name="_Toc57905815"/>
      <w:bookmarkStart w:id="54" w:name="_Toc287607731"/>
      <w:bookmarkStart w:id="55" w:name="_Toc10508"/>
      <w:bookmarkStart w:id="56" w:name="_Toc509218695"/>
      <w:bookmarkStart w:id="57" w:name="_Toc200359241"/>
      <w:bookmarkStart w:id="58" w:name="_Toc277082539"/>
      <w:bookmarkStart w:id="59" w:name="_Toc430530419"/>
      <w:r>
        <w:rPr>
          <w:rFonts w:hint="eastAsia" w:ascii="宋体" w:hAnsi="宋体" w:eastAsia="宋体" w:cs="宋体"/>
          <w:snapToGrid w:val="0"/>
          <w:color w:val="auto"/>
          <w:sz w:val="28"/>
          <w:szCs w:val="28"/>
          <w:highlight w:val="none"/>
        </w:rPr>
        <w:t>4.  招标文件的获取</w:t>
      </w:r>
      <w:bookmarkEnd w:id="50"/>
      <w:bookmarkEnd w:id="51"/>
      <w:bookmarkEnd w:id="52"/>
      <w:bookmarkEnd w:id="53"/>
      <w:bookmarkEnd w:id="54"/>
      <w:bookmarkEnd w:id="55"/>
      <w:bookmarkEnd w:id="56"/>
      <w:bookmarkEnd w:id="57"/>
      <w:bookmarkEnd w:id="58"/>
      <w:bookmarkEnd w:id="59"/>
    </w:p>
    <w:p>
      <w:pPr>
        <w:shd w:val="clear" w:color="000000" w:fill="auto"/>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4.1  投标人</w:t>
      </w:r>
      <w:r>
        <w:rPr>
          <w:rFonts w:hint="eastAsia" w:ascii="宋体" w:hAnsi="宋体" w:eastAsia="宋体" w:cs="宋体"/>
          <w:snapToGrid w:val="0"/>
          <w:color w:val="auto"/>
          <w:kern w:val="0"/>
          <w:szCs w:val="21"/>
          <w:highlight w:val="none"/>
          <w:lang w:eastAsia="zh-CN"/>
        </w:rPr>
        <w:t>通过“行采家”平台（https://www.gec123.com）</w:t>
      </w:r>
      <w:r>
        <w:rPr>
          <w:rFonts w:hint="eastAsia" w:ascii="宋体" w:hAnsi="宋体" w:cs="宋体"/>
          <w:snapToGrid w:val="0"/>
          <w:color w:val="auto"/>
          <w:kern w:val="0"/>
          <w:szCs w:val="21"/>
          <w:highlight w:val="none"/>
          <w:u w:val="single"/>
          <w:lang w:val="en-US" w:eastAsia="zh-CN"/>
        </w:rPr>
        <w:t>获取招标文件</w:t>
      </w:r>
      <w:r>
        <w:rPr>
          <w:rFonts w:hint="eastAsia" w:ascii="宋体" w:hAnsi="宋体" w:eastAsia="宋体" w:cs="宋体"/>
          <w:snapToGrid w:val="0"/>
          <w:color w:val="auto"/>
          <w:kern w:val="0"/>
          <w:szCs w:val="21"/>
          <w:highlight w:val="none"/>
          <w:lang w:val="en-US" w:eastAsia="zh-CN"/>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凡有意参加投标者，请于</w:t>
      </w:r>
      <w:r>
        <w:rPr>
          <w:rFonts w:hint="default" w:ascii="宋体" w:hAnsi="宋体" w:cs="宋体"/>
          <w:snapToGrid w:val="0"/>
          <w:color w:val="auto"/>
          <w:kern w:val="0"/>
          <w:szCs w:val="21"/>
          <w:highlight w:val="none"/>
          <w:u w:val="single"/>
          <w:lang w:val="en-US"/>
        </w:rPr>
        <w:t>2025</w:t>
      </w:r>
      <w:r>
        <w:rPr>
          <w:rFonts w:hint="eastAsia" w:ascii="宋体" w:hAnsi="宋体" w:eastAsia="宋体" w:cs="宋体"/>
          <w:snapToGrid w:val="0"/>
          <w:color w:val="auto"/>
          <w:kern w:val="0"/>
          <w:szCs w:val="21"/>
          <w:highlight w:val="none"/>
        </w:rPr>
        <w:t>年</w:t>
      </w:r>
      <w:r>
        <w:rPr>
          <w:rFonts w:hint="default" w:ascii="宋体" w:hAnsi="宋体" w:cs="宋体"/>
          <w:strike w:val="0"/>
          <w:dstrike w:val="0"/>
          <w:snapToGrid w:val="0"/>
          <w:color w:val="auto"/>
          <w:kern w:val="0"/>
          <w:szCs w:val="21"/>
          <w:highlight w:val="none"/>
          <w:u w:val="single"/>
          <w:lang w:val="en-US"/>
        </w:rPr>
        <w:t xml:space="preserve"> 5</w:t>
      </w:r>
      <w:r>
        <w:rPr>
          <w:rFonts w:hint="default" w:ascii="宋体" w:hAnsi="宋体" w:cs="宋体"/>
          <w:snapToGrid w:val="0"/>
          <w:color w:val="auto"/>
          <w:kern w:val="0"/>
          <w:szCs w:val="21"/>
          <w:highlight w:val="none"/>
          <w:u w:val="single"/>
          <w:lang w:val="en-US"/>
        </w:rPr>
        <w:t xml:space="preserve"> </w:t>
      </w:r>
      <w:r>
        <w:rPr>
          <w:rFonts w:hint="eastAsia" w:ascii="宋体" w:hAnsi="宋体" w:eastAsia="宋体" w:cs="宋体"/>
          <w:snapToGrid w:val="0"/>
          <w:color w:val="auto"/>
          <w:kern w:val="0"/>
          <w:szCs w:val="21"/>
          <w:highlight w:val="none"/>
        </w:rPr>
        <w:t>月</w:t>
      </w:r>
      <w:r>
        <w:rPr>
          <w:rFonts w:hint="default" w:ascii="宋体" w:hAnsi="宋体" w:cs="宋体"/>
          <w:snapToGrid w:val="0"/>
          <w:color w:val="auto"/>
          <w:kern w:val="0"/>
          <w:szCs w:val="21"/>
          <w:highlight w:val="none"/>
          <w:u w:val="single"/>
          <w:lang w:val="en-US"/>
        </w:rPr>
        <w:t xml:space="preserve"> 7 </w:t>
      </w:r>
      <w:r>
        <w:rPr>
          <w:rFonts w:hint="eastAsia" w:ascii="宋体" w:hAnsi="宋体" w:eastAsia="宋体" w:cs="宋体"/>
          <w:snapToGrid w:val="0"/>
          <w:color w:val="auto"/>
          <w:kern w:val="0"/>
          <w:szCs w:val="21"/>
          <w:highlight w:val="none"/>
        </w:rPr>
        <w:t>日（北京时间，下同）起在</w:t>
      </w:r>
      <w:r>
        <w:rPr>
          <w:rFonts w:hint="eastAsia" w:ascii="宋体" w:hAnsi="宋体" w:eastAsia="宋体" w:cs="宋体"/>
          <w:snapToGrid w:val="0"/>
          <w:color w:val="auto"/>
          <w:kern w:val="0"/>
          <w:szCs w:val="21"/>
          <w:highlight w:val="none"/>
          <w:u w:val="single"/>
        </w:rPr>
        <w:t>“行采家”平台（https://www.gec123.com）</w:t>
      </w:r>
      <w:r>
        <w:rPr>
          <w:rFonts w:hint="eastAsia" w:ascii="宋体" w:hAnsi="宋体" w:eastAsia="宋体" w:cs="宋体"/>
          <w:snapToGrid w:val="0"/>
          <w:color w:val="auto"/>
          <w:kern w:val="0"/>
          <w:szCs w:val="21"/>
          <w:highlight w:val="none"/>
        </w:rPr>
        <w:t>下载招标文件、工程量清单、图纸、澄清、修改、补充通知、最高限价通知等全部内容。不管下载与否都视为潜在投标人全部知晓有关招投标过程和全部内容。</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 xml:space="preserve">4.3  </w:t>
      </w:r>
      <w:r>
        <w:rPr>
          <w:rFonts w:hint="eastAsia" w:ascii="宋体" w:hAnsi="宋体" w:cs="宋体"/>
          <w:snapToGrid w:val="0"/>
          <w:color w:val="auto"/>
          <w:kern w:val="0"/>
          <w:szCs w:val="21"/>
          <w:highlight w:val="none"/>
          <w:lang w:val="en-US" w:eastAsia="zh-CN"/>
        </w:rPr>
        <w:t>投标报名时间及要求：</w:t>
      </w:r>
      <w:r>
        <w:rPr>
          <w:rFonts w:hint="eastAsia" w:ascii="宋体" w:hAnsi="宋体" w:eastAsia="宋体" w:cs="宋体"/>
          <w:snapToGrid w:val="0"/>
          <w:color w:val="auto"/>
          <w:kern w:val="0"/>
          <w:szCs w:val="21"/>
          <w:highlight w:val="none"/>
          <w:lang w:val="en-US" w:eastAsia="zh-CN"/>
        </w:rPr>
        <w:t>潜在投标人请在</w:t>
      </w:r>
      <w:r>
        <w:rPr>
          <w:rFonts w:hint="default" w:ascii="宋体" w:hAnsi="宋体" w:cs="宋体"/>
          <w:snapToGrid w:val="0"/>
          <w:color w:val="auto"/>
          <w:kern w:val="0"/>
          <w:szCs w:val="21"/>
          <w:highlight w:val="none"/>
          <w:u w:val="single"/>
          <w:lang w:val="en-US"/>
        </w:rPr>
        <w:t>2025</w:t>
      </w:r>
      <w:r>
        <w:rPr>
          <w:rFonts w:hint="eastAsia" w:ascii="宋体" w:hAnsi="宋体" w:eastAsia="宋体" w:cs="宋体"/>
          <w:snapToGrid w:val="0"/>
          <w:color w:val="auto"/>
          <w:kern w:val="0"/>
          <w:szCs w:val="21"/>
          <w:highlight w:val="none"/>
        </w:rPr>
        <w:t>年</w:t>
      </w:r>
      <w:r>
        <w:rPr>
          <w:rFonts w:hint="default" w:ascii="宋体" w:hAnsi="宋体" w:cs="宋体"/>
          <w:snapToGrid w:val="0"/>
          <w:color w:val="auto"/>
          <w:kern w:val="0"/>
          <w:szCs w:val="21"/>
          <w:highlight w:val="none"/>
          <w:u w:val="single"/>
          <w:lang w:val="en-US"/>
        </w:rPr>
        <w:t xml:space="preserve"> 5 </w:t>
      </w:r>
      <w:r>
        <w:rPr>
          <w:rFonts w:hint="eastAsia" w:ascii="宋体" w:hAnsi="宋体" w:eastAsia="宋体" w:cs="宋体"/>
          <w:snapToGrid w:val="0"/>
          <w:color w:val="auto"/>
          <w:kern w:val="0"/>
          <w:szCs w:val="21"/>
          <w:highlight w:val="none"/>
        </w:rPr>
        <w:t>月</w:t>
      </w:r>
      <w:r>
        <w:rPr>
          <w:rFonts w:hint="default" w:ascii="宋体" w:hAnsi="宋体" w:cs="宋体"/>
          <w:snapToGrid w:val="0"/>
          <w:color w:val="auto"/>
          <w:kern w:val="0"/>
          <w:szCs w:val="21"/>
          <w:highlight w:val="none"/>
          <w:u w:val="single"/>
          <w:lang w:val="en-US"/>
        </w:rPr>
        <w:t xml:space="preserve"> 13 </w:t>
      </w:r>
      <w:r>
        <w:rPr>
          <w:rFonts w:hint="eastAsia" w:ascii="宋体" w:hAnsi="宋体" w:eastAsia="宋体" w:cs="宋体"/>
          <w:snapToGrid w:val="0"/>
          <w:color w:val="auto"/>
          <w:kern w:val="0"/>
          <w:szCs w:val="21"/>
          <w:highlight w:val="none"/>
        </w:rPr>
        <w:t>日时</w:t>
      </w:r>
      <w:r>
        <w:rPr>
          <w:rFonts w:hint="default" w:ascii="宋体" w:hAnsi="宋体" w:cs="宋体"/>
          <w:snapToGrid w:val="0"/>
          <w:color w:val="auto"/>
          <w:kern w:val="0"/>
          <w:szCs w:val="21"/>
          <w:highlight w:val="none"/>
          <w:u w:val="single"/>
          <w:lang w:val="en-US"/>
        </w:rPr>
        <w:t>17</w:t>
      </w:r>
      <w:r>
        <w:rPr>
          <w:rFonts w:hint="eastAsia" w:ascii="宋体" w:hAnsi="宋体" w:cs="宋体"/>
          <w:snapToGrid w:val="0"/>
          <w:color w:val="auto"/>
          <w:kern w:val="0"/>
          <w:szCs w:val="21"/>
          <w:highlight w:val="none"/>
          <w:u w:val="single"/>
          <w:lang w:val="en-US" w:eastAsia="zh-CN"/>
        </w:rPr>
        <w:t>：</w:t>
      </w:r>
      <w:r>
        <w:rPr>
          <w:rFonts w:hint="default" w:ascii="宋体" w:hAnsi="宋体" w:cs="宋体"/>
          <w:snapToGrid w:val="0"/>
          <w:color w:val="auto"/>
          <w:kern w:val="0"/>
          <w:szCs w:val="21"/>
          <w:highlight w:val="none"/>
          <w:u w:val="single"/>
          <w:lang w:val="en-US" w:eastAsia="zh-CN"/>
        </w:rPr>
        <w:t>00</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val="en-US" w:eastAsia="zh-CN"/>
        </w:rPr>
        <w:t>前将《</w:t>
      </w:r>
      <w:r>
        <w:rPr>
          <w:rFonts w:hint="eastAsia" w:ascii="宋体" w:hAnsi="宋体" w:cs="宋体"/>
          <w:snapToGrid w:val="0"/>
          <w:color w:val="auto"/>
          <w:kern w:val="0"/>
          <w:szCs w:val="21"/>
          <w:highlight w:val="none"/>
          <w:lang w:val="en-US" w:eastAsia="zh-CN"/>
        </w:rPr>
        <w:t>招标</w:t>
      </w:r>
      <w:r>
        <w:rPr>
          <w:rFonts w:hint="eastAsia" w:ascii="宋体" w:hAnsi="宋体" w:eastAsia="宋体" w:cs="宋体"/>
          <w:snapToGrid w:val="0"/>
          <w:color w:val="auto"/>
          <w:kern w:val="0"/>
          <w:szCs w:val="21"/>
          <w:highlight w:val="none"/>
          <w:lang w:val="en-US" w:eastAsia="zh-CN"/>
        </w:rPr>
        <w:t>文件发售登记表》（加盖供应商公章）后扫描成PDF格式发送至1583598@qq.com邮箱</w:t>
      </w:r>
      <w:r>
        <w:rPr>
          <w:rFonts w:hint="eastAsia" w:ascii="宋体" w:hAnsi="宋体" w:cs="宋体"/>
          <w:snapToGrid w:val="0"/>
          <w:color w:val="auto"/>
          <w:kern w:val="0"/>
          <w:szCs w:val="21"/>
          <w:highlight w:val="none"/>
          <w:lang w:val="en-US" w:eastAsia="zh-CN"/>
        </w:rPr>
        <w:t>并联系招标代理机构（张老师：</w:t>
      </w:r>
      <w:r>
        <w:rPr>
          <w:rFonts w:hint="eastAsia" w:ascii="宋体" w:hAnsi="宋体" w:eastAsia="宋体" w:cs="宋体"/>
          <w:snapToGrid w:val="0"/>
          <w:color w:val="auto"/>
          <w:kern w:val="0"/>
          <w:sz w:val="21"/>
          <w:szCs w:val="21"/>
          <w:highlight w:val="none"/>
          <w:u w:val="single"/>
          <w:lang w:val="en-US" w:eastAsia="zh-CN"/>
        </w:rPr>
        <w:t>15922767431</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cs="宋体"/>
          <w:snapToGrid w:val="0"/>
          <w:color w:val="auto"/>
          <w:kern w:val="0"/>
          <w:sz w:val="21"/>
          <w:szCs w:val="21"/>
          <w:highlight w:val="none"/>
          <w:u w:val="none"/>
          <w:lang w:eastAsia="zh-CN"/>
        </w:rPr>
        <w:t>）</w:t>
      </w:r>
      <w:r>
        <w:rPr>
          <w:rFonts w:hint="eastAsia" w:ascii="宋体" w:hAnsi="宋体" w:cs="宋体"/>
          <w:snapToGrid w:val="0"/>
          <w:color w:val="auto"/>
          <w:kern w:val="0"/>
          <w:szCs w:val="21"/>
          <w:highlight w:val="none"/>
          <w:lang w:val="en-US" w:eastAsia="zh-CN"/>
        </w:rPr>
        <w:t>缴纳招标文件费完成报名。只有在招标文件规定的报名时间内按要求完成报名的投标人，其投标文件才被接受</w:t>
      </w:r>
      <w:r>
        <w:rPr>
          <w:rFonts w:hint="eastAsia" w:ascii="宋体" w:hAnsi="宋体" w:eastAsia="宋体" w:cs="宋体"/>
          <w:snapToGrid w:val="0"/>
          <w:color w:val="auto"/>
          <w:kern w:val="0"/>
          <w:szCs w:val="21"/>
          <w:highlight w:val="none"/>
          <w:lang w:val="en-US" w:eastAsia="zh-CN"/>
        </w:rPr>
        <w:t>。招标文件费300.00元/份（售后不退）。</w:t>
      </w:r>
    </w:p>
    <w:p>
      <w:pPr>
        <w:shd w:val="clear" w:color="000000" w:fill="auto"/>
        <w:tabs>
          <w:tab w:val="left" w:pos="3000"/>
          <w:tab w:val="left" w:pos="3280"/>
          <w:tab w:val="left" w:pos="6120"/>
          <w:tab w:val="left" w:pos="7540"/>
          <w:tab w:val="left" w:pos="832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投标人可</w:t>
      </w:r>
      <w:r>
        <w:rPr>
          <w:rFonts w:hint="eastAsia" w:ascii="宋体" w:hAnsi="宋体" w:eastAsia="宋体" w:cs="宋体"/>
          <w:snapToGrid w:val="0"/>
          <w:color w:val="auto"/>
          <w:kern w:val="0"/>
          <w:szCs w:val="21"/>
          <w:highlight w:val="none"/>
          <w:lang w:val="en-US" w:eastAsia="zh-CN"/>
        </w:rPr>
        <w:t>通过报名邮箱</w:t>
      </w:r>
      <w:r>
        <w:rPr>
          <w:rFonts w:hint="eastAsia" w:ascii="宋体" w:hAnsi="宋体" w:eastAsia="宋体" w:cs="宋体"/>
          <w:snapToGrid w:val="0"/>
          <w:color w:val="auto"/>
          <w:kern w:val="0"/>
          <w:szCs w:val="21"/>
          <w:highlight w:val="none"/>
        </w:rPr>
        <w:t>提出疑问，提问时间从本公告发布至</w:t>
      </w:r>
      <w:r>
        <w:rPr>
          <w:rFonts w:hint="default" w:ascii="宋体" w:hAnsi="宋体" w:cs="宋体"/>
          <w:snapToGrid w:val="0"/>
          <w:color w:val="auto"/>
          <w:kern w:val="0"/>
          <w:szCs w:val="21"/>
          <w:highlight w:val="none"/>
          <w:u w:val="single"/>
          <w:lang w:val="en-US"/>
        </w:rPr>
        <w:t>2025</w:t>
      </w:r>
      <w:r>
        <w:rPr>
          <w:rFonts w:hint="eastAsia" w:ascii="宋体" w:hAnsi="宋体" w:eastAsia="宋体" w:cs="宋体"/>
          <w:snapToGrid w:val="0"/>
          <w:color w:val="auto"/>
          <w:kern w:val="0"/>
          <w:szCs w:val="21"/>
          <w:highlight w:val="none"/>
        </w:rPr>
        <w:t>年</w:t>
      </w:r>
      <w:r>
        <w:rPr>
          <w:rFonts w:hint="default" w:ascii="宋体" w:hAnsi="宋体" w:cs="宋体"/>
          <w:strike w:val="0"/>
          <w:dstrike w:val="0"/>
          <w:snapToGrid w:val="0"/>
          <w:color w:val="auto"/>
          <w:kern w:val="0"/>
          <w:szCs w:val="21"/>
          <w:highlight w:val="none"/>
          <w:u w:val="single"/>
          <w:lang w:val="en-US"/>
        </w:rPr>
        <w:t xml:space="preserve"> 5</w:t>
      </w:r>
      <w:r>
        <w:rPr>
          <w:rFonts w:hint="default" w:ascii="宋体" w:hAnsi="宋体" w:cs="宋体"/>
          <w:snapToGrid w:val="0"/>
          <w:color w:val="auto"/>
          <w:kern w:val="0"/>
          <w:szCs w:val="21"/>
          <w:highlight w:val="none"/>
          <w:u w:val="single"/>
          <w:lang w:val="en-US"/>
        </w:rPr>
        <w:t xml:space="preserve"> </w:t>
      </w:r>
      <w:r>
        <w:rPr>
          <w:rFonts w:hint="eastAsia" w:ascii="宋体" w:hAnsi="宋体" w:eastAsia="宋体" w:cs="宋体"/>
          <w:snapToGrid w:val="0"/>
          <w:color w:val="auto"/>
          <w:kern w:val="0"/>
          <w:szCs w:val="21"/>
          <w:highlight w:val="none"/>
        </w:rPr>
        <w:t>月</w:t>
      </w:r>
      <w:r>
        <w:rPr>
          <w:rFonts w:hint="default" w:ascii="宋体" w:hAnsi="宋体" w:cs="宋体"/>
          <w:snapToGrid w:val="0"/>
          <w:color w:val="auto"/>
          <w:kern w:val="0"/>
          <w:szCs w:val="21"/>
          <w:highlight w:val="none"/>
          <w:u w:val="single"/>
          <w:lang w:val="en-US"/>
        </w:rPr>
        <w:t xml:space="preserve"> 13 </w:t>
      </w:r>
      <w:r>
        <w:rPr>
          <w:rFonts w:hint="eastAsia" w:ascii="宋体" w:hAnsi="宋体" w:eastAsia="宋体" w:cs="宋体"/>
          <w:snapToGrid w:val="0"/>
          <w:color w:val="auto"/>
          <w:kern w:val="0"/>
          <w:szCs w:val="21"/>
          <w:highlight w:val="none"/>
        </w:rPr>
        <w:t>日</w:t>
      </w:r>
      <w:r>
        <w:rPr>
          <w:rFonts w:hint="default" w:ascii="宋体" w:hAnsi="宋体" w:cs="宋体"/>
          <w:snapToGrid w:val="0"/>
          <w:color w:val="auto"/>
          <w:kern w:val="0"/>
          <w:szCs w:val="21"/>
          <w:highlight w:val="none"/>
          <w:u w:val="single"/>
          <w:lang w:val="en-US"/>
        </w:rPr>
        <w:t xml:space="preserve"> </w:t>
      </w:r>
      <w:r>
        <w:rPr>
          <w:rFonts w:hint="default" w:ascii="宋体" w:hAnsi="宋体" w:cs="宋体"/>
          <w:color w:val="auto"/>
          <w:kern w:val="0"/>
          <w:szCs w:val="21"/>
          <w:highlight w:val="none"/>
          <w:u w:val="single"/>
          <w:lang w:val="en-US"/>
        </w:rPr>
        <w:t xml:space="preserve">17 </w:t>
      </w:r>
      <w:r>
        <w:rPr>
          <w:rFonts w:hint="eastAsia" w:ascii="宋体" w:hAnsi="宋体" w:eastAsia="宋体" w:cs="宋体"/>
          <w:color w:val="auto"/>
          <w:szCs w:val="21"/>
          <w:highlight w:val="none"/>
        </w:rPr>
        <w:t>时</w:t>
      </w:r>
      <w:r>
        <w:rPr>
          <w:rFonts w:hint="default" w:ascii="宋体" w:hAnsi="宋体" w:cs="宋体"/>
          <w:color w:val="auto"/>
          <w:szCs w:val="21"/>
          <w:highlight w:val="none"/>
          <w:u w:val="single"/>
          <w:lang w:val="en-US"/>
        </w:rPr>
        <w:t xml:space="preserve"> </w:t>
      </w:r>
      <w:r>
        <w:rPr>
          <w:rFonts w:hint="eastAsia" w:ascii="宋体" w:hAnsi="宋体" w:cs="宋体"/>
          <w:color w:val="auto"/>
          <w:kern w:val="0"/>
          <w:szCs w:val="21"/>
          <w:highlight w:val="none"/>
          <w:u w:val="single"/>
          <w:lang w:val="en-US" w:eastAsia="zh-CN"/>
        </w:rPr>
        <w:t>0</w:t>
      </w:r>
      <w:r>
        <w:rPr>
          <w:rFonts w:hint="default" w:ascii="宋体" w:hAnsi="宋体" w:cs="宋体"/>
          <w:color w:val="auto"/>
          <w:kern w:val="0"/>
          <w:szCs w:val="21"/>
          <w:highlight w:val="none"/>
          <w:u w:val="single"/>
          <w:lang w:val="en-US"/>
        </w:rPr>
        <w:t xml:space="preserve">0 </w:t>
      </w:r>
      <w:r>
        <w:rPr>
          <w:rFonts w:hint="eastAsia" w:ascii="宋体" w:hAnsi="宋体" w:eastAsia="宋体" w:cs="宋体"/>
          <w:color w:val="auto"/>
          <w:szCs w:val="21"/>
          <w:highlight w:val="none"/>
        </w:rPr>
        <w:t>分</w:t>
      </w:r>
      <w:r>
        <w:rPr>
          <w:rFonts w:hint="eastAsia" w:ascii="宋体" w:hAnsi="宋体" w:eastAsia="宋体" w:cs="宋体"/>
          <w:snapToGrid w:val="0"/>
          <w:color w:val="auto"/>
          <w:kern w:val="0"/>
          <w:szCs w:val="21"/>
          <w:highlight w:val="none"/>
        </w:rPr>
        <w:t>（北京时间）前</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招标人于</w:t>
      </w:r>
      <w:r>
        <w:rPr>
          <w:rFonts w:hint="default" w:ascii="宋体" w:hAnsi="宋体" w:cs="宋体"/>
          <w:snapToGrid w:val="0"/>
          <w:color w:val="auto"/>
          <w:kern w:val="0"/>
          <w:szCs w:val="21"/>
          <w:highlight w:val="none"/>
          <w:u w:val="single"/>
          <w:lang w:val="en-US"/>
        </w:rPr>
        <w:t>2025</w:t>
      </w:r>
      <w:r>
        <w:rPr>
          <w:rFonts w:hint="eastAsia" w:ascii="宋体" w:hAnsi="宋体" w:eastAsia="宋体" w:cs="宋体"/>
          <w:snapToGrid w:val="0"/>
          <w:color w:val="auto"/>
          <w:kern w:val="0"/>
          <w:szCs w:val="21"/>
          <w:highlight w:val="none"/>
        </w:rPr>
        <w:t>年</w:t>
      </w:r>
      <w:r>
        <w:rPr>
          <w:rFonts w:hint="default" w:ascii="宋体" w:hAnsi="宋体" w:cs="宋体"/>
          <w:strike w:val="0"/>
          <w:dstrike w:val="0"/>
          <w:snapToGrid w:val="0"/>
          <w:color w:val="auto"/>
          <w:kern w:val="0"/>
          <w:szCs w:val="21"/>
          <w:highlight w:val="none"/>
          <w:u w:val="single"/>
          <w:lang w:val="en-US"/>
        </w:rPr>
        <w:t xml:space="preserve"> 5</w:t>
      </w:r>
      <w:r>
        <w:rPr>
          <w:rFonts w:hint="default" w:ascii="宋体" w:hAnsi="宋体" w:cs="宋体"/>
          <w:snapToGrid w:val="0"/>
          <w:color w:val="auto"/>
          <w:kern w:val="0"/>
          <w:szCs w:val="21"/>
          <w:highlight w:val="none"/>
          <w:u w:val="single"/>
          <w:lang w:val="en-US"/>
        </w:rPr>
        <w:t xml:space="preserve"> </w:t>
      </w:r>
      <w:r>
        <w:rPr>
          <w:rFonts w:hint="eastAsia" w:ascii="宋体" w:hAnsi="宋体" w:eastAsia="宋体" w:cs="宋体"/>
          <w:snapToGrid w:val="0"/>
          <w:color w:val="auto"/>
          <w:kern w:val="0"/>
          <w:szCs w:val="21"/>
          <w:highlight w:val="none"/>
        </w:rPr>
        <w:t>月</w:t>
      </w:r>
      <w:r>
        <w:rPr>
          <w:rFonts w:hint="default" w:ascii="宋体" w:hAnsi="宋体" w:cs="宋体"/>
          <w:snapToGrid w:val="0"/>
          <w:color w:val="auto"/>
          <w:kern w:val="0"/>
          <w:szCs w:val="21"/>
          <w:highlight w:val="none"/>
          <w:u w:val="single"/>
          <w:lang w:val="en-US"/>
        </w:rPr>
        <w:t xml:space="preserve"> 15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18时00分前对所有投标人提出的问题进行回答，涉及修改招标文件的将在</w:t>
      </w:r>
      <w:r>
        <w:rPr>
          <w:rFonts w:hint="eastAsia" w:ascii="宋体" w:hAnsi="宋体" w:eastAsia="宋体" w:cs="宋体"/>
          <w:snapToGrid w:val="0"/>
          <w:color w:val="auto"/>
          <w:kern w:val="0"/>
          <w:szCs w:val="21"/>
          <w:highlight w:val="none"/>
          <w:lang w:val="en-US" w:eastAsia="zh-CN"/>
        </w:rPr>
        <w:fldChar w:fldCharType="begin"/>
      </w:r>
      <w:r>
        <w:rPr>
          <w:rFonts w:hint="eastAsia" w:ascii="宋体" w:hAnsi="宋体" w:eastAsia="宋体" w:cs="宋体"/>
          <w:snapToGrid w:val="0"/>
          <w:color w:val="auto"/>
          <w:kern w:val="0"/>
          <w:szCs w:val="21"/>
          <w:highlight w:val="none"/>
          <w:lang w:val="en-US" w:eastAsia="zh-CN"/>
        </w:rPr>
        <w:instrText xml:space="preserve"> HYPERLINK "http://www.cqdjszfw.com/" </w:instrText>
      </w:r>
      <w:r>
        <w:rPr>
          <w:rFonts w:hint="eastAsia" w:ascii="宋体" w:hAnsi="宋体" w:eastAsia="宋体" w:cs="宋体"/>
          <w:snapToGrid w:val="0"/>
          <w:color w:val="auto"/>
          <w:kern w:val="0"/>
          <w:szCs w:val="21"/>
          <w:highlight w:val="none"/>
          <w:lang w:val="en-US" w:eastAsia="zh-CN"/>
        </w:rPr>
        <w:fldChar w:fldCharType="separate"/>
      </w:r>
      <w:r>
        <w:rPr>
          <w:rFonts w:hint="eastAsia" w:ascii="宋体" w:hAnsi="宋体" w:eastAsia="宋体" w:cs="宋体"/>
          <w:snapToGrid w:val="0"/>
          <w:color w:val="auto"/>
          <w:kern w:val="0"/>
          <w:szCs w:val="21"/>
          <w:highlight w:val="none"/>
          <w:lang w:val="en-US" w:eastAsia="zh-CN"/>
        </w:rPr>
        <w:t>行采家(https://www.gec123.com/）</w:t>
      </w:r>
      <w:r>
        <w:rPr>
          <w:rFonts w:hint="eastAsia" w:ascii="宋体" w:hAnsi="宋体" w:eastAsia="宋体" w:cs="宋体"/>
          <w:snapToGrid w:val="0"/>
          <w:color w:val="auto"/>
          <w:kern w:val="0"/>
          <w:szCs w:val="21"/>
          <w:highlight w:val="none"/>
          <w:lang w:val="en-US" w:eastAsia="zh-CN"/>
        </w:rPr>
        <w:fldChar w:fldCharType="end"/>
      </w:r>
      <w:r>
        <w:rPr>
          <w:rFonts w:hint="eastAsia" w:ascii="宋体" w:hAnsi="宋体" w:eastAsia="宋体" w:cs="宋体"/>
          <w:snapToGrid w:val="0"/>
          <w:color w:val="auto"/>
          <w:kern w:val="0"/>
          <w:szCs w:val="21"/>
          <w:highlight w:val="none"/>
          <w:lang w:val="en-US" w:eastAsia="zh-CN"/>
        </w:rPr>
        <w:t>上发布，投标人在开标前因未及时查看相应答疑补遗文件，而产生的一切后果由投标人自负。</w:t>
      </w:r>
    </w:p>
    <w:p>
      <w:pPr>
        <w:pStyle w:val="4"/>
        <w:spacing w:before="100" w:after="100" w:line="360" w:lineRule="auto"/>
        <w:rPr>
          <w:rFonts w:hint="eastAsia" w:ascii="宋体" w:hAnsi="宋体" w:eastAsia="宋体" w:cs="宋体"/>
          <w:snapToGrid w:val="0"/>
          <w:color w:val="auto"/>
          <w:sz w:val="28"/>
          <w:szCs w:val="28"/>
          <w:highlight w:val="none"/>
        </w:rPr>
      </w:pPr>
      <w:bookmarkStart w:id="60" w:name="_Toc224103303"/>
      <w:bookmarkStart w:id="61" w:name="_Toc200359242"/>
      <w:bookmarkStart w:id="62" w:name="_Toc287607732"/>
      <w:bookmarkStart w:id="63" w:name="_Toc28449"/>
      <w:bookmarkStart w:id="64" w:name="_Toc509218696"/>
      <w:bookmarkStart w:id="65" w:name="_Toc277082540"/>
      <w:bookmarkStart w:id="66" w:name="_Toc430530420"/>
      <w:bookmarkStart w:id="67" w:name="_Toc287620671"/>
      <w:bookmarkStart w:id="68" w:name="_Toc57905816"/>
      <w:bookmarkStart w:id="69" w:name="_Toc200359431"/>
      <w:r>
        <w:rPr>
          <w:rFonts w:hint="eastAsia" w:ascii="宋体" w:hAnsi="宋体" w:eastAsia="宋体" w:cs="宋体"/>
          <w:snapToGrid w:val="0"/>
          <w:color w:val="auto"/>
          <w:sz w:val="28"/>
          <w:szCs w:val="28"/>
          <w:highlight w:val="none"/>
        </w:rPr>
        <w:t>5.  投标文件的递交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  投标文件递交的截止时间（投标截止时间，下同）为</w:t>
      </w:r>
      <w:r>
        <w:rPr>
          <w:rFonts w:hint="default" w:ascii="宋体" w:hAnsi="宋体" w:cs="宋体"/>
          <w:snapToGrid w:val="0"/>
          <w:color w:val="auto"/>
          <w:kern w:val="0"/>
          <w:szCs w:val="21"/>
          <w:highlight w:val="none"/>
          <w:u w:val="single"/>
          <w:lang w:val="en-US"/>
        </w:rPr>
        <w:t>2025</w:t>
      </w:r>
      <w:r>
        <w:rPr>
          <w:rFonts w:hint="eastAsia" w:ascii="宋体" w:hAnsi="宋体" w:eastAsia="宋体" w:cs="宋体"/>
          <w:snapToGrid w:val="0"/>
          <w:color w:val="auto"/>
          <w:kern w:val="0"/>
          <w:szCs w:val="21"/>
          <w:highlight w:val="none"/>
        </w:rPr>
        <w:t>年</w:t>
      </w:r>
      <w:r>
        <w:rPr>
          <w:rFonts w:hint="default" w:ascii="宋体" w:hAnsi="宋体" w:cs="宋体"/>
          <w:strike w:val="0"/>
          <w:dstrike w:val="0"/>
          <w:snapToGrid w:val="0"/>
          <w:color w:val="auto"/>
          <w:kern w:val="0"/>
          <w:szCs w:val="21"/>
          <w:highlight w:val="none"/>
          <w:u w:val="single"/>
          <w:lang w:val="en-US"/>
        </w:rPr>
        <w:t xml:space="preserve"> 6</w:t>
      </w:r>
      <w:r>
        <w:rPr>
          <w:rFonts w:hint="default" w:ascii="宋体" w:hAnsi="宋体" w:cs="宋体"/>
          <w:snapToGrid w:val="0"/>
          <w:color w:val="auto"/>
          <w:kern w:val="0"/>
          <w:szCs w:val="21"/>
          <w:highlight w:val="none"/>
          <w:u w:val="single"/>
          <w:lang w:val="en-US"/>
        </w:rPr>
        <w:t xml:space="preserve"> </w:t>
      </w:r>
      <w:r>
        <w:rPr>
          <w:rFonts w:hint="eastAsia" w:ascii="宋体" w:hAnsi="宋体" w:eastAsia="宋体" w:cs="宋体"/>
          <w:snapToGrid w:val="0"/>
          <w:color w:val="auto"/>
          <w:kern w:val="0"/>
          <w:szCs w:val="21"/>
          <w:highlight w:val="none"/>
        </w:rPr>
        <w:t>月</w:t>
      </w:r>
      <w:r>
        <w:rPr>
          <w:rFonts w:hint="default" w:ascii="宋体" w:hAnsi="宋体" w:cs="宋体"/>
          <w:snapToGrid w:val="0"/>
          <w:color w:val="auto"/>
          <w:kern w:val="0"/>
          <w:szCs w:val="21"/>
          <w:highlight w:val="none"/>
          <w:u w:val="single"/>
          <w:lang w:val="en-US"/>
        </w:rPr>
        <w:t xml:space="preserve"> 3 </w:t>
      </w:r>
      <w:r>
        <w:rPr>
          <w:rFonts w:hint="eastAsia" w:ascii="宋体" w:hAnsi="宋体" w:eastAsia="宋体" w:cs="宋体"/>
          <w:snapToGrid w:val="0"/>
          <w:color w:val="auto"/>
          <w:kern w:val="0"/>
          <w:szCs w:val="21"/>
          <w:highlight w:val="none"/>
        </w:rPr>
        <w:t>日</w:t>
      </w:r>
      <w:r>
        <w:rPr>
          <w:rFonts w:hint="default" w:ascii="宋体" w:hAnsi="宋体" w:cs="宋体"/>
          <w:snapToGrid w:val="0"/>
          <w:color w:val="auto"/>
          <w:kern w:val="0"/>
          <w:szCs w:val="21"/>
          <w:highlight w:val="none"/>
          <w:u w:val="single"/>
          <w:lang w:val="en-US"/>
        </w:rPr>
        <w:t xml:space="preserve"> 14</w:t>
      </w:r>
      <w:r>
        <w:rPr>
          <w:rFonts w:hint="default" w:ascii="宋体" w:hAnsi="宋体" w:cs="宋体"/>
          <w:color w:val="auto"/>
          <w:kern w:val="0"/>
          <w:szCs w:val="21"/>
          <w:highlight w:val="none"/>
          <w:u w:val="single"/>
          <w:lang w:val="en-US"/>
        </w:rPr>
        <w:t xml:space="preserve"> </w:t>
      </w:r>
      <w:r>
        <w:rPr>
          <w:rFonts w:hint="eastAsia" w:ascii="宋体" w:hAnsi="宋体" w:eastAsia="宋体" w:cs="宋体"/>
          <w:color w:val="auto"/>
          <w:szCs w:val="21"/>
          <w:highlight w:val="none"/>
        </w:rPr>
        <w:t>时</w:t>
      </w:r>
      <w:r>
        <w:rPr>
          <w:rFonts w:hint="default" w:ascii="宋体" w:hAnsi="宋体" w:cs="宋体"/>
          <w:color w:val="auto"/>
          <w:szCs w:val="21"/>
          <w:highlight w:val="none"/>
          <w:u w:val="single"/>
          <w:lang w:val="en-US"/>
        </w:rPr>
        <w:t xml:space="preserve"> </w:t>
      </w:r>
      <w:r>
        <w:rPr>
          <w:rFonts w:hint="eastAsia" w:ascii="宋体" w:hAnsi="宋体" w:cs="宋体"/>
          <w:color w:val="auto"/>
          <w:kern w:val="0"/>
          <w:szCs w:val="21"/>
          <w:highlight w:val="none"/>
          <w:u w:val="single"/>
          <w:lang w:val="en-US" w:eastAsia="zh-CN"/>
        </w:rPr>
        <w:t>3</w:t>
      </w:r>
      <w:r>
        <w:rPr>
          <w:rFonts w:hint="default" w:ascii="宋体" w:hAnsi="宋体" w:cs="宋体"/>
          <w:color w:val="auto"/>
          <w:kern w:val="0"/>
          <w:szCs w:val="21"/>
          <w:highlight w:val="none"/>
          <w:u w:val="single"/>
          <w:lang w:val="en-US"/>
        </w:rPr>
        <w:t xml:space="preserve">0 </w:t>
      </w:r>
      <w:r>
        <w:rPr>
          <w:rFonts w:hint="eastAsia" w:ascii="宋体" w:hAnsi="宋体" w:eastAsia="宋体" w:cs="宋体"/>
          <w:color w:val="auto"/>
          <w:szCs w:val="21"/>
          <w:highlight w:val="none"/>
        </w:rPr>
        <w:t>分</w:t>
      </w:r>
      <w:r>
        <w:rPr>
          <w:rFonts w:hint="eastAsia" w:ascii="宋体" w:hAnsi="宋体" w:eastAsia="宋体" w:cs="宋体"/>
          <w:snapToGrid w:val="0"/>
          <w:color w:val="auto"/>
          <w:kern w:val="0"/>
          <w:szCs w:val="21"/>
          <w:highlight w:val="none"/>
        </w:rPr>
        <w:t>，地点为</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重庆市大渡口区天安数码城二期一栋408</w:t>
      </w:r>
      <w:r>
        <w:rPr>
          <w:rFonts w:hint="eastAsia" w:ascii="宋体" w:hAnsi="宋体" w:eastAsia="宋体" w:cs="宋体"/>
          <w:color w:val="auto"/>
          <w:szCs w:val="21"/>
          <w:highlight w:val="none"/>
          <w:u w:val="single"/>
          <w:lang w:eastAsia="zh-CN"/>
        </w:rPr>
        <w:t>会议室</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  逾期送达的或者未送达指定地点的投标文件，招标人不予受理。</w:t>
      </w:r>
    </w:p>
    <w:p>
      <w:pPr>
        <w:pStyle w:val="4"/>
        <w:spacing w:before="100" w:after="100" w:line="240" w:lineRule="auto"/>
        <w:rPr>
          <w:rFonts w:hint="eastAsia"/>
          <w:color w:val="auto"/>
          <w:highlight w:val="none"/>
          <w:lang w:val="en-US" w:eastAsia="zh-CN"/>
        </w:rPr>
      </w:pPr>
      <w:r>
        <w:rPr>
          <w:rFonts w:hint="eastAsia" w:ascii="宋体" w:hAnsi="宋体" w:cs="宋体"/>
          <w:snapToGrid w:val="0"/>
          <w:color w:val="auto"/>
          <w:sz w:val="28"/>
          <w:szCs w:val="28"/>
          <w:highlight w:val="none"/>
          <w:lang w:val="en-US" w:eastAsia="zh-CN"/>
        </w:rPr>
        <w:t>6</w:t>
      </w:r>
      <w:r>
        <w:rPr>
          <w:rFonts w:hint="eastAsia" w:ascii="宋体" w:hAnsi="宋体" w:eastAsia="宋体" w:cs="宋体"/>
          <w:snapToGrid w:val="0"/>
          <w:color w:val="auto"/>
          <w:sz w:val="28"/>
          <w:szCs w:val="28"/>
          <w:highlight w:val="none"/>
        </w:rPr>
        <w:t>.  投标</w:t>
      </w:r>
      <w:r>
        <w:rPr>
          <w:rFonts w:hint="eastAsia" w:ascii="宋体" w:hAnsi="宋体" w:cs="宋体"/>
          <w:snapToGrid w:val="0"/>
          <w:color w:val="auto"/>
          <w:sz w:val="28"/>
          <w:szCs w:val="28"/>
          <w:highlight w:val="none"/>
          <w:lang w:eastAsia="zh-CN"/>
        </w:rPr>
        <w:t>人须满足以下要件，其投标文件才被接收</w:t>
      </w:r>
    </w:p>
    <w:p>
      <w:pPr>
        <w:shd w:val="clear" w:color="000000" w:fill="auto"/>
        <w:tabs>
          <w:tab w:val="left" w:pos="3000"/>
          <w:tab w:val="left" w:pos="3280"/>
          <w:tab w:val="left" w:pos="6120"/>
          <w:tab w:val="left" w:pos="7540"/>
          <w:tab w:val="left" w:pos="8320"/>
        </w:tabs>
        <w:autoSpaceDE w:val="0"/>
        <w:autoSpaceDN w:val="0"/>
        <w:adjustRightInd w:val="0"/>
        <w:snapToGrid w:val="0"/>
        <w:spacing w:line="240" w:lineRule="auto"/>
        <w:ind w:firstLine="210" w:firstLineChars="1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6.1</w:t>
      </w:r>
      <w:r>
        <w:rPr>
          <w:rFonts w:hint="eastAsia" w:ascii="宋体" w:hAnsi="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lang w:val="en-US" w:eastAsia="zh-CN"/>
        </w:rPr>
        <w:t>按招标文件要求</w:t>
      </w:r>
      <w:r>
        <w:rPr>
          <w:rFonts w:hint="eastAsia" w:ascii="宋体" w:hAnsi="宋体" w:cs="宋体"/>
          <w:snapToGrid w:val="0"/>
          <w:color w:val="auto"/>
          <w:kern w:val="0"/>
          <w:szCs w:val="21"/>
          <w:highlight w:val="none"/>
          <w:lang w:val="en-US" w:eastAsia="zh-CN"/>
        </w:rPr>
        <w:t>按时</w:t>
      </w:r>
      <w:r>
        <w:rPr>
          <w:rFonts w:hint="eastAsia" w:ascii="宋体" w:hAnsi="宋体" w:eastAsia="宋体" w:cs="宋体"/>
          <w:snapToGrid w:val="0"/>
          <w:color w:val="auto"/>
          <w:kern w:val="0"/>
          <w:szCs w:val="21"/>
          <w:highlight w:val="none"/>
          <w:lang w:val="en-US" w:eastAsia="zh-CN"/>
        </w:rPr>
        <w:t>报名并缴纳文件费</w:t>
      </w:r>
      <w:r>
        <w:rPr>
          <w:rFonts w:hint="eastAsia" w:ascii="宋体" w:hAnsi="宋体" w:cs="宋体"/>
          <w:snapToGrid w:val="0"/>
          <w:color w:val="auto"/>
          <w:kern w:val="0"/>
          <w:szCs w:val="21"/>
          <w:highlight w:val="none"/>
          <w:lang w:val="en-US" w:eastAsia="zh-CN"/>
        </w:rPr>
        <w:t>；</w:t>
      </w:r>
    </w:p>
    <w:p>
      <w:pPr>
        <w:shd w:val="clear" w:color="000000" w:fill="auto"/>
        <w:tabs>
          <w:tab w:val="left" w:pos="3000"/>
          <w:tab w:val="left" w:pos="3280"/>
          <w:tab w:val="left" w:pos="6120"/>
          <w:tab w:val="left" w:pos="7540"/>
          <w:tab w:val="left" w:pos="8320"/>
        </w:tabs>
        <w:autoSpaceDE w:val="0"/>
        <w:autoSpaceDN w:val="0"/>
        <w:adjustRightInd w:val="0"/>
        <w:snapToGrid w:val="0"/>
        <w:spacing w:line="240" w:lineRule="auto"/>
        <w:ind w:firstLine="210" w:firstLineChars="1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6.2</w:t>
      </w:r>
      <w:r>
        <w:rPr>
          <w:rFonts w:hint="eastAsia" w:ascii="宋体" w:hAnsi="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lang w:val="en-US" w:eastAsia="zh-CN"/>
        </w:rPr>
        <w:t>按招标文件要求</w:t>
      </w:r>
      <w:r>
        <w:rPr>
          <w:rFonts w:hint="eastAsia" w:ascii="宋体" w:hAnsi="宋体" w:cs="宋体"/>
          <w:snapToGrid w:val="0"/>
          <w:color w:val="auto"/>
          <w:kern w:val="0"/>
          <w:szCs w:val="21"/>
          <w:highlight w:val="none"/>
          <w:lang w:val="en-US" w:eastAsia="zh-CN"/>
        </w:rPr>
        <w:t>按时</w:t>
      </w:r>
      <w:r>
        <w:rPr>
          <w:rFonts w:hint="eastAsia" w:ascii="宋体" w:hAnsi="宋体" w:eastAsia="宋体" w:cs="宋体"/>
          <w:snapToGrid w:val="0"/>
          <w:color w:val="auto"/>
          <w:kern w:val="0"/>
          <w:szCs w:val="21"/>
          <w:highlight w:val="none"/>
          <w:lang w:val="en-US" w:eastAsia="zh-CN"/>
        </w:rPr>
        <w:t>递交投标文件</w:t>
      </w:r>
      <w:r>
        <w:rPr>
          <w:rFonts w:hint="eastAsia" w:ascii="宋体" w:hAnsi="宋体" w:cs="宋体"/>
          <w:snapToGrid w:val="0"/>
          <w:color w:val="auto"/>
          <w:kern w:val="0"/>
          <w:szCs w:val="21"/>
          <w:highlight w:val="none"/>
          <w:lang w:val="en-US" w:eastAsia="zh-CN"/>
        </w:rPr>
        <w:t>。</w:t>
      </w:r>
    </w:p>
    <w:p>
      <w:pPr>
        <w:shd w:val="clear" w:color="000000" w:fill="auto"/>
        <w:tabs>
          <w:tab w:val="left" w:pos="3000"/>
          <w:tab w:val="left" w:pos="3280"/>
          <w:tab w:val="left" w:pos="6120"/>
          <w:tab w:val="left" w:pos="7540"/>
          <w:tab w:val="left" w:pos="8320"/>
        </w:tabs>
        <w:autoSpaceDE w:val="0"/>
        <w:autoSpaceDN w:val="0"/>
        <w:adjustRightInd w:val="0"/>
        <w:snapToGrid w:val="0"/>
        <w:spacing w:line="240" w:lineRule="auto"/>
        <w:rPr>
          <w:rFonts w:hint="eastAsia" w:ascii="宋体" w:hAnsi="宋体" w:eastAsia="宋体" w:cs="宋体"/>
          <w:b/>
          <w:bCs/>
          <w:snapToGrid w:val="0"/>
          <w:color w:val="auto"/>
          <w:sz w:val="28"/>
          <w:szCs w:val="28"/>
          <w:highlight w:val="none"/>
        </w:rPr>
      </w:pPr>
      <w:bookmarkStart w:id="70" w:name="_Toc287620672"/>
      <w:bookmarkStart w:id="71" w:name="_Toc200359243"/>
      <w:bookmarkStart w:id="72" w:name="_Toc200359432"/>
      <w:bookmarkStart w:id="73" w:name="_Toc57905817"/>
      <w:bookmarkStart w:id="74" w:name="_Toc287607733"/>
      <w:bookmarkStart w:id="75" w:name="_Toc224103304"/>
      <w:bookmarkStart w:id="76" w:name="_Toc430530421"/>
      <w:bookmarkStart w:id="77" w:name="_Toc8166"/>
      <w:bookmarkStart w:id="78" w:name="_Toc509218697"/>
      <w:bookmarkStart w:id="79" w:name="_Toc277082541"/>
      <w:r>
        <w:rPr>
          <w:rFonts w:hint="eastAsia" w:ascii="宋体" w:hAnsi="宋体" w:cs="宋体"/>
          <w:b/>
          <w:bCs/>
          <w:snapToGrid w:val="0"/>
          <w:color w:val="auto"/>
          <w:sz w:val="28"/>
          <w:szCs w:val="28"/>
          <w:highlight w:val="none"/>
          <w:lang w:val="en-US" w:eastAsia="zh-CN"/>
        </w:rPr>
        <w:t>7</w:t>
      </w:r>
      <w:r>
        <w:rPr>
          <w:rFonts w:hint="eastAsia" w:ascii="宋体" w:hAnsi="宋体" w:eastAsia="宋体" w:cs="宋体"/>
          <w:b/>
          <w:bCs/>
          <w:snapToGrid w:val="0"/>
          <w:color w:val="auto"/>
          <w:sz w:val="28"/>
          <w:szCs w:val="28"/>
          <w:highlight w:val="none"/>
        </w:rPr>
        <w:t>.  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24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rPr>
        <w:t>“行采家”平台（https://www.gec123.com）</w:t>
      </w:r>
      <w:r>
        <w:rPr>
          <w:rFonts w:hint="eastAsia" w:ascii="宋体" w:hAnsi="宋体" w:eastAsia="宋体" w:cs="宋体"/>
          <w:snapToGrid w:val="0"/>
          <w:color w:val="auto"/>
          <w:kern w:val="0"/>
          <w:szCs w:val="21"/>
          <w:highlight w:val="none"/>
        </w:rPr>
        <w:t>上发布。</w:t>
      </w:r>
    </w:p>
    <w:p>
      <w:pPr>
        <w:pStyle w:val="4"/>
        <w:spacing w:before="100" w:after="100" w:line="360" w:lineRule="auto"/>
        <w:rPr>
          <w:rFonts w:hint="eastAsia" w:ascii="宋体" w:hAnsi="宋体" w:eastAsia="宋体" w:cs="宋体"/>
          <w:snapToGrid w:val="0"/>
          <w:color w:val="auto"/>
          <w:sz w:val="28"/>
          <w:szCs w:val="28"/>
          <w:highlight w:val="none"/>
        </w:rPr>
      </w:pPr>
      <w:bookmarkStart w:id="80" w:name="_Toc31352"/>
      <w:bookmarkStart w:id="81" w:name="_Toc14240"/>
      <w:bookmarkStart w:id="82" w:name="_Toc430530422"/>
      <w:bookmarkStart w:id="83" w:name="_Toc287607734"/>
      <w:bookmarkStart w:id="84" w:name="_Toc287620673"/>
      <w:bookmarkStart w:id="85" w:name="_Toc277082542"/>
      <w:bookmarkStart w:id="86" w:name="_Toc57905818"/>
      <w:bookmarkStart w:id="87" w:name="_Toc224103305"/>
      <w:bookmarkStart w:id="88" w:name="_Toc509218698"/>
      <w:r>
        <w:rPr>
          <w:rFonts w:hint="eastAsia" w:ascii="宋体" w:hAnsi="宋体" w:cs="宋体"/>
          <w:snapToGrid w:val="0"/>
          <w:color w:val="auto"/>
          <w:sz w:val="28"/>
          <w:szCs w:val="28"/>
          <w:highlight w:val="none"/>
          <w:lang w:val="en-US" w:eastAsia="zh-CN"/>
        </w:rPr>
        <w:t>8</w:t>
      </w:r>
      <w:r>
        <w:rPr>
          <w:rFonts w:hint="eastAsia" w:ascii="宋体" w:hAnsi="宋体" w:eastAsia="宋体" w:cs="宋体"/>
          <w:snapToGrid w:val="0"/>
          <w:color w:val="auto"/>
          <w:sz w:val="28"/>
          <w:szCs w:val="28"/>
          <w:highlight w:val="none"/>
        </w:rPr>
        <w:t xml:space="preserve">.  </w:t>
      </w:r>
      <w:bookmarkEnd w:id="80"/>
      <w:bookmarkEnd w:id="81"/>
      <w:bookmarkStart w:id="89" w:name="_Toc589"/>
      <w:r>
        <w:rPr>
          <w:rFonts w:hint="eastAsia" w:ascii="宋体" w:hAnsi="宋体" w:eastAsia="宋体" w:cs="宋体"/>
          <w:snapToGrid w:val="0"/>
          <w:color w:val="auto"/>
          <w:sz w:val="28"/>
          <w:szCs w:val="28"/>
          <w:highlight w:val="none"/>
        </w:rPr>
        <w:t>联系方式</w:t>
      </w:r>
      <w:bookmarkEnd w:id="82"/>
      <w:bookmarkEnd w:id="83"/>
      <w:bookmarkEnd w:id="84"/>
      <w:bookmarkEnd w:id="85"/>
      <w:bookmarkEnd w:id="86"/>
      <w:bookmarkEnd w:id="87"/>
      <w:bookmarkEnd w:id="88"/>
      <w:bookmarkEnd w:id="89"/>
      <w:bookmarkStart w:id="2265" w:name="_GoBack"/>
      <w:bookmarkEnd w:id="2265"/>
    </w:p>
    <w:p>
      <w:pPr>
        <w:snapToGrid w:val="0"/>
        <w:spacing w:line="360" w:lineRule="auto"/>
        <w:rPr>
          <w:rFonts w:hint="eastAsia" w:ascii="宋体" w:hAnsi="宋体" w:eastAsia="宋体" w:cs="宋体"/>
          <w:snapToGrid w:val="0"/>
          <w:color w:val="auto"/>
          <w:kern w:val="0"/>
          <w:sz w:val="21"/>
          <w:szCs w:val="21"/>
          <w:highlight w:val="none"/>
          <w:u w:val="single"/>
          <w:lang w:eastAsia="zh-CN"/>
        </w:rPr>
      </w:pPr>
      <w:r>
        <w:rPr>
          <w:rFonts w:hint="eastAsia" w:ascii="宋体" w:hAnsi="宋体" w:eastAsia="宋体" w:cs="宋体"/>
          <w:snapToGrid w:val="0"/>
          <w:color w:val="auto"/>
          <w:kern w:val="0"/>
          <w:szCs w:val="21"/>
          <w:highlight w:val="none"/>
        </w:rPr>
        <w:t>招</w:t>
      </w:r>
      <w:r>
        <w:rPr>
          <w:rFonts w:hint="eastAsia" w:ascii="宋体" w:hAnsi="宋体" w:eastAsia="宋体" w:cs="宋体"/>
          <w:snapToGrid w:val="0"/>
          <w:color w:val="auto"/>
          <w:kern w:val="0"/>
          <w:sz w:val="21"/>
          <w:szCs w:val="21"/>
          <w:highlight w:val="none"/>
        </w:rPr>
        <w:t xml:space="preserve"> 标 人：</w:t>
      </w:r>
      <w:r>
        <w:rPr>
          <w:rFonts w:hint="eastAsia" w:ascii="宋体" w:hAnsi="宋体" w:eastAsia="宋体" w:cs="宋体"/>
          <w:snapToGrid w:val="0"/>
          <w:color w:val="auto"/>
          <w:kern w:val="0"/>
          <w:sz w:val="21"/>
          <w:szCs w:val="21"/>
          <w:highlight w:val="none"/>
          <w:u w:val="single"/>
          <w:lang w:eastAsia="zh-CN"/>
        </w:rPr>
        <w:t>重庆市金迈实业有限公司</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none"/>
          <w:lang w:val="en-US" w:eastAsia="zh-CN"/>
        </w:rPr>
        <w:t xml:space="preserve">  </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招标代理机构：</w:t>
      </w:r>
      <w:r>
        <w:rPr>
          <w:rFonts w:hint="eastAsia" w:ascii="宋体" w:hAnsi="宋体" w:eastAsia="宋体" w:cs="宋体"/>
          <w:snapToGrid w:val="0"/>
          <w:color w:val="auto"/>
          <w:kern w:val="0"/>
          <w:sz w:val="21"/>
          <w:szCs w:val="21"/>
          <w:highlight w:val="none"/>
          <w:u w:val="single"/>
          <w:lang w:eastAsia="zh-CN"/>
        </w:rPr>
        <w:t xml:space="preserve">重庆港滨建设工程管理有限公司     </w:t>
      </w:r>
      <w:r>
        <w:rPr>
          <w:rFonts w:hint="eastAsia" w:ascii="宋体" w:hAnsi="宋体" w:eastAsia="宋体" w:cs="宋体"/>
          <w:snapToGrid w:val="0"/>
          <w:color w:val="auto"/>
          <w:kern w:val="0"/>
          <w:sz w:val="21"/>
          <w:szCs w:val="21"/>
          <w:highlight w:val="none"/>
          <w:u w:val="none"/>
          <w:lang w:eastAsia="zh-CN"/>
        </w:rPr>
        <w:t xml:space="preserve">   </w:t>
      </w:r>
      <w:r>
        <w:rPr>
          <w:rFonts w:hint="eastAsia" w:ascii="宋体" w:hAnsi="宋体" w:eastAsia="宋体" w:cs="宋体"/>
          <w:snapToGrid w:val="0"/>
          <w:color w:val="auto"/>
          <w:kern w:val="0"/>
          <w:sz w:val="21"/>
          <w:szCs w:val="21"/>
          <w:highlight w:val="none"/>
          <w:u w:val="single"/>
          <w:lang w:eastAsia="zh-CN"/>
        </w:rPr>
        <w:t xml:space="preserve">       </w:t>
      </w:r>
    </w:p>
    <w:p>
      <w:pPr>
        <w:tabs>
          <w:tab w:val="left" w:pos="5140"/>
          <w:tab w:val="left" w:pos="8420"/>
        </w:tabs>
        <w:autoSpaceDE w:val="0"/>
        <w:autoSpaceDN w:val="0"/>
        <w:adjustRightInd w:val="0"/>
        <w:snapToGrid w:val="0"/>
        <w:spacing w:line="36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重庆市南川区水江镇宁江路17号</w:t>
      </w:r>
      <w:r>
        <w:rPr>
          <w:rFonts w:hint="eastAsia" w:ascii="宋体" w:hAnsi="宋体" w:eastAsia="宋体" w:cs="宋体"/>
          <w:snapToGrid w:val="0"/>
          <w:color w:val="auto"/>
          <w:kern w:val="0"/>
          <w:sz w:val="21"/>
          <w:szCs w:val="21"/>
          <w:highlight w:val="none"/>
          <w:u w:val="none"/>
          <w:lang w:val="en-US" w:eastAsia="zh-CN"/>
        </w:rPr>
        <w:t xml:space="preserve"> </w:t>
      </w:r>
      <w:r>
        <w:rPr>
          <w:rFonts w:hint="eastAsia" w:ascii="宋体" w:hAnsi="宋体" w:eastAsia="宋体" w:cs="宋体"/>
          <w:snapToGrid w:val="0"/>
          <w:color w:val="auto"/>
          <w:kern w:val="0"/>
          <w:sz w:val="21"/>
          <w:szCs w:val="21"/>
          <w:highlight w:val="none"/>
          <w:u w:val="none"/>
        </w:rPr>
        <w:t xml:space="preserve"> </w:t>
      </w:r>
      <w:r>
        <w:rPr>
          <w:rFonts w:hint="eastAsia" w:ascii="宋体" w:hAnsi="宋体" w:eastAsia="宋体" w:cs="宋体"/>
          <w:snapToGrid w:val="0"/>
          <w:color w:val="auto"/>
          <w:kern w:val="0"/>
          <w:sz w:val="21"/>
          <w:szCs w:val="21"/>
          <w:highlight w:val="none"/>
        </w:rPr>
        <w:t xml:space="preserve"> 地    址：</w:t>
      </w:r>
      <w:r>
        <w:rPr>
          <w:rFonts w:hint="eastAsia" w:ascii="宋体" w:hAnsi="宋体" w:eastAsia="宋体" w:cs="宋体"/>
          <w:snapToGrid w:val="0"/>
          <w:color w:val="auto"/>
          <w:kern w:val="0"/>
          <w:sz w:val="21"/>
          <w:szCs w:val="21"/>
          <w:highlight w:val="none"/>
          <w:u w:val="single"/>
        </w:rPr>
        <w:t>重庆市大渡口区天安数码城二期一栋408室</w:t>
      </w:r>
      <w:r>
        <w:rPr>
          <w:rFonts w:hint="eastAsia" w:ascii="宋体" w:hAnsi="宋体" w:eastAsia="宋体" w:cs="宋体"/>
          <w:snapToGrid w:val="0"/>
          <w:color w:val="auto"/>
          <w:kern w:val="0"/>
          <w:position w:val="-3"/>
          <w:sz w:val="21"/>
          <w:szCs w:val="21"/>
          <w:highlight w:val="none"/>
          <w:u w:val="none"/>
        </w:rPr>
        <w:t xml:space="preserve">   </w:t>
      </w:r>
      <w:r>
        <w:rPr>
          <w:rFonts w:hint="eastAsia" w:ascii="宋体" w:hAnsi="宋体" w:eastAsia="宋体" w:cs="宋体"/>
          <w:snapToGrid w:val="0"/>
          <w:color w:val="auto"/>
          <w:kern w:val="0"/>
          <w:position w:val="-3"/>
          <w:sz w:val="21"/>
          <w:szCs w:val="21"/>
          <w:highlight w:val="none"/>
          <w:u w:val="single"/>
        </w:rPr>
        <w:t xml:space="preserve">                         </w:t>
      </w:r>
    </w:p>
    <w:p>
      <w:pPr>
        <w:tabs>
          <w:tab w:val="left" w:pos="5140"/>
          <w:tab w:val="left" w:pos="8420"/>
        </w:tabs>
        <w:autoSpaceDE w:val="0"/>
        <w:autoSpaceDN w:val="0"/>
        <w:adjustRightInd w:val="0"/>
        <w:snapToGrid w:val="0"/>
        <w:spacing w:line="36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kern w:val="0"/>
          <w:sz w:val="21"/>
          <w:szCs w:val="21"/>
          <w:highlight w:val="none"/>
          <w:u w:val="single"/>
          <w:lang w:eastAsia="zh-CN"/>
        </w:rPr>
        <w:t>朱老师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r>
        <w:rPr>
          <w:rFonts w:hint="eastAsia" w:ascii="宋体" w:hAnsi="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kern w:val="0"/>
          <w:sz w:val="21"/>
          <w:szCs w:val="21"/>
          <w:highlight w:val="none"/>
          <w:u w:val="single"/>
          <w:lang w:eastAsia="zh-CN"/>
        </w:rPr>
        <w:t>张老师</w:t>
      </w:r>
      <w:r>
        <w:rPr>
          <w:rFonts w:hint="eastAsia" w:ascii="宋体" w:hAnsi="宋体" w:eastAsia="宋体" w:cs="宋体"/>
          <w:snapToGrid w:val="0"/>
          <w:color w:val="auto"/>
          <w:kern w:val="0"/>
          <w:sz w:val="21"/>
          <w:szCs w:val="21"/>
          <w:highlight w:val="none"/>
          <w:u w:val="single"/>
        </w:rPr>
        <w:t xml:space="preserve">                               </w:t>
      </w:r>
    </w:p>
    <w:p>
      <w:pPr>
        <w:tabs>
          <w:tab w:val="left" w:pos="5140"/>
          <w:tab w:val="left" w:pos="842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1"/>
          <w:szCs w:val="21"/>
          <w:highlight w:val="none"/>
        </w:rPr>
        <w:t>电    话：</w:t>
      </w:r>
      <w:r>
        <w:rPr>
          <w:rFonts w:hint="eastAsia" w:ascii="宋体" w:hAnsi="宋体" w:cs="宋体"/>
          <w:color w:val="auto"/>
          <w:kern w:val="0"/>
          <w:szCs w:val="21"/>
          <w:highlight w:val="none"/>
          <w:u w:val="single"/>
          <w:lang w:val="en-US" w:eastAsia="zh-CN"/>
        </w:rPr>
        <w:t>023-</w:t>
      </w:r>
      <w:r>
        <w:rPr>
          <w:rFonts w:hint="eastAsia" w:ascii="宋体" w:hAnsi="宋体" w:cs="宋体"/>
          <w:snapToGrid w:val="0"/>
          <w:color w:val="auto"/>
          <w:kern w:val="0"/>
          <w:szCs w:val="21"/>
          <w:highlight w:val="none"/>
          <w:u w:val="single"/>
          <w:lang w:val="en-US" w:eastAsia="zh-CN"/>
        </w:rPr>
        <w:t>71620205</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none"/>
        </w:rPr>
        <w:t xml:space="preserve">  </w:t>
      </w:r>
      <w:r>
        <w:rPr>
          <w:rFonts w:hint="eastAsia" w:ascii="宋体" w:hAnsi="宋体" w:cs="宋体"/>
          <w:snapToGrid w:val="0"/>
          <w:color w:val="auto"/>
          <w:kern w:val="0"/>
          <w:sz w:val="21"/>
          <w:szCs w:val="21"/>
          <w:highlight w:val="none"/>
          <w:u w:val="none"/>
          <w:lang w:val="en-US" w:eastAsia="zh-CN"/>
        </w:rPr>
        <w:t xml:space="preserve"> </w:t>
      </w: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kern w:val="0"/>
          <w:sz w:val="21"/>
          <w:szCs w:val="21"/>
          <w:highlight w:val="none"/>
          <w:u w:val="single"/>
          <w:lang w:val="en-US" w:eastAsia="zh-CN"/>
        </w:rPr>
        <w:t>15922767431</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u w:val="none"/>
        </w:rPr>
      </w:pP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2025</w:t>
      </w:r>
      <w:r>
        <w:rPr>
          <w:rFonts w:hint="eastAsia" w:ascii="宋体" w:hAnsi="宋体" w:eastAsia="宋体" w:cs="宋体"/>
          <w:snapToGrid w:val="0"/>
          <w:color w:val="auto"/>
          <w:kern w:val="0"/>
          <w:szCs w:val="21"/>
          <w:highlight w:val="none"/>
          <w:u w:val="none"/>
        </w:rPr>
        <w:t xml:space="preserve"> 年 </w:t>
      </w:r>
      <w:r>
        <w:rPr>
          <w:rFonts w:hint="default" w:ascii="宋体" w:hAnsi="宋体" w:cs="宋体"/>
          <w:snapToGrid w:val="0"/>
          <w:color w:val="auto"/>
          <w:kern w:val="0"/>
          <w:szCs w:val="21"/>
          <w:highlight w:val="none"/>
          <w:u w:val="none"/>
          <w:lang w:val="en-US" w:eastAsia="zh-CN"/>
        </w:rPr>
        <w:t>5</w:t>
      </w:r>
      <w:r>
        <w:rPr>
          <w:rFonts w:hint="eastAsia" w:ascii="宋体" w:hAnsi="宋体" w:eastAsia="宋体" w:cs="宋体"/>
          <w:snapToGrid w:val="0"/>
          <w:color w:val="auto"/>
          <w:kern w:val="0"/>
          <w:szCs w:val="21"/>
          <w:highlight w:val="none"/>
          <w:u w:val="none"/>
        </w:rPr>
        <w:t xml:space="preserve"> 月 </w:t>
      </w:r>
      <w:r>
        <w:rPr>
          <w:rFonts w:hint="default" w:ascii="宋体" w:hAnsi="宋体" w:cs="宋体"/>
          <w:snapToGrid w:val="0"/>
          <w:color w:val="auto"/>
          <w:kern w:val="0"/>
          <w:szCs w:val="21"/>
          <w:highlight w:val="none"/>
          <w:u w:val="none"/>
          <w:lang w:val="en-US"/>
        </w:rPr>
        <w:t xml:space="preserve">7 </w:t>
      </w:r>
      <w:r>
        <w:rPr>
          <w:rFonts w:hint="eastAsia" w:ascii="宋体" w:hAnsi="宋体" w:eastAsia="宋体" w:cs="宋体"/>
          <w:snapToGrid w:val="0"/>
          <w:color w:val="auto"/>
          <w:kern w:val="0"/>
          <w:szCs w:val="21"/>
          <w:highlight w:val="none"/>
          <w:u w:val="none"/>
        </w:rPr>
        <w:t xml:space="preserve">日  </w:t>
      </w:r>
    </w:p>
    <w:p>
      <w:pPr>
        <w:pStyle w:val="3"/>
        <w:spacing w:before="0" w:after="0"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bookmarkStart w:id="90" w:name="_Toc430530423"/>
      <w:bookmarkStart w:id="91" w:name="_Toc224103306"/>
      <w:bookmarkStart w:id="92" w:name="_Toc287620674"/>
      <w:bookmarkStart w:id="93" w:name="_Toc287607735"/>
    </w:p>
    <w:bookmarkEnd w:id="90"/>
    <w:bookmarkEnd w:id="91"/>
    <w:bookmarkEnd w:id="92"/>
    <w:bookmarkEnd w:id="93"/>
    <w:p>
      <w:pPr>
        <w:pStyle w:val="3"/>
        <w:spacing w:line="360" w:lineRule="auto"/>
        <w:jc w:val="center"/>
        <w:rPr>
          <w:rFonts w:hint="eastAsia" w:ascii="宋体" w:hAnsi="宋体" w:eastAsia="宋体" w:cs="宋体"/>
          <w:bCs w:val="0"/>
          <w:snapToGrid w:val="0"/>
          <w:color w:val="auto"/>
          <w:kern w:val="0"/>
          <w:highlight w:val="none"/>
        </w:rPr>
      </w:pPr>
      <w:bookmarkStart w:id="94" w:name="_Toc430530432"/>
      <w:bookmarkStart w:id="95" w:name="_Toc287620683"/>
      <w:bookmarkStart w:id="96" w:name="_Toc57905828"/>
      <w:bookmarkStart w:id="97" w:name="_Toc287607744"/>
      <w:bookmarkStart w:id="98" w:name="_Toc32148"/>
      <w:bookmarkStart w:id="99" w:name="_Toc224103315"/>
      <w:r>
        <w:rPr>
          <w:rFonts w:hint="eastAsia" w:ascii="宋体" w:hAnsi="宋体" w:eastAsia="宋体" w:cs="宋体"/>
          <w:snapToGrid w:val="0"/>
          <w:color w:val="auto"/>
          <w:kern w:val="0"/>
          <w:highlight w:val="none"/>
        </w:rPr>
        <w:t>第二章  投标人须知</w:t>
      </w:r>
      <w:bookmarkEnd w:id="94"/>
      <w:bookmarkEnd w:id="95"/>
      <w:bookmarkEnd w:id="96"/>
      <w:bookmarkEnd w:id="97"/>
      <w:bookmarkEnd w:id="98"/>
      <w:bookmarkEnd w:id="99"/>
      <w:bookmarkStart w:id="100" w:name="_Toc430530433"/>
      <w:bookmarkStart w:id="101" w:name="_Toc287607745"/>
      <w:bookmarkStart w:id="102" w:name="_Toc277082551"/>
      <w:bookmarkStart w:id="103" w:name="_Toc287620684"/>
      <w:bookmarkStart w:id="104" w:name="_Toc224103316"/>
    </w:p>
    <w:p>
      <w:pPr>
        <w:pStyle w:val="4"/>
        <w:spacing w:before="100" w:after="100" w:line="360" w:lineRule="auto"/>
        <w:rPr>
          <w:rFonts w:hint="eastAsia" w:ascii="宋体" w:hAnsi="宋体" w:eastAsia="宋体" w:cs="宋体"/>
          <w:color w:val="auto"/>
          <w:highlight w:val="none"/>
        </w:rPr>
      </w:pPr>
      <w:bookmarkStart w:id="105" w:name="_Toc57905829"/>
      <w:bookmarkStart w:id="106" w:name="_Toc509218708"/>
      <w:bookmarkStart w:id="107" w:name="_Toc8005"/>
      <w:r>
        <w:rPr>
          <w:rFonts w:hint="eastAsia" w:ascii="宋体" w:hAnsi="宋体" w:eastAsia="宋体" w:cs="宋体"/>
          <w:color w:val="auto"/>
          <w:highlight w:val="none"/>
        </w:rPr>
        <w:t>投标人须知前附表</w:t>
      </w:r>
      <w:bookmarkEnd w:id="100"/>
      <w:bookmarkEnd w:id="101"/>
      <w:bookmarkEnd w:id="102"/>
      <w:bookmarkEnd w:id="103"/>
      <w:bookmarkEnd w:id="104"/>
      <w:bookmarkEnd w:id="105"/>
      <w:bookmarkEnd w:id="106"/>
      <w:bookmarkEnd w:id="10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47"/>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1644" w:type="dxa"/>
            <w:vAlign w:val="center"/>
          </w:tcPr>
          <w:p>
            <w:pPr>
              <w:snapToGri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490" w:type="dxa"/>
            <w:vAlign w:val="center"/>
          </w:tcPr>
          <w:p>
            <w:pPr>
              <w:snapToGri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6490" w:type="dxa"/>
            <w:vAlign w:val="center"/>
          </w:tcPr>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名称：</w:t>
            </w:r>
            <w:r>
              <w:rPr>
                <w:rFonts w:hint="eastAsia" w:ascii="宋体" w:hAnsi="宋体" w:eastAsia="宋体" w:cs="宋体"/>
                <w:color w:val="auto"/>
                <w:kern w:val="0"/>
                <w:szCs w:val="21"/>
                <w:highlight w:val="none"/>
                <w:u w:val="none"/>
                <w:lang w:eastAsia="zh-CN"/>
              </w:rPr>
              <w:t>重庆市金迈实业有限公司</w:t>
            </w:r>
          </w:p>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地址：重庆市南川区水江镇宁江路17号</w:t>
            </w:r>
          </w:p>
          <w:p>
            <w:pPr>
              <w:snapToGrid w:val="0"/>
              <w:spacing w:line="400" w:lineRule="exact"/>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rPr>
              <w:t>联系人：</w:t>
            </w:r>
            <w:r>
              <w:rPr>
                <w:rFonts w:hint="eastAsia" w:ascii="宋体" w:hAnsi="宋体" w:eastAsia="宋体" w:cs="宋体"/>
                <w:color w:val="auto"/>
                <w:kern w:val="0"/>
                <w:szCs w:val="21"/>
                <w:highlight w:val="none"/>
                <w:u w:val="none"/>
                <w:lang w:eastAsia="zh-CN"/>
              </w:rPr>
              <w:t>朱老师</w:t>
            </w:r>
          </w:p>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电话：</w:t>
            </w:r>
            <w:r>
              <w:rPr>
                <w:rFonts w:hint="eastAsia" w:ascii="宋体" w:hAnsi="宋体" w:cs="宋体"/>
                <w:color w:val="auto"/>
                <w:kern w:val="0"/>
                <w:szCs w:val="21"/>
                <w:highlight w:val="none"/>
                <w:u w:val="none"/>
                <w:lang w:val="en-US" w:eastAsia="zh-CN"/>
              </w:rPr>
              <w:t>023-</w:t>
            </w:r>
            <w:r>
              <w:rPr>
                <w:rFonts w:hint="eastAsia" w:ascii="宋体" w:hAnsi="宋体" w:cs="宋体"/>
                <w:snapToGrid w:val="0"/>
                <w:color w:val="auto"/>
                <w:kern w:val="0"/>
                <w:szCs w:val="21"/>
                <w:highlight w:val="none"/>
                <w:u w:val="none"/>
                <w:lang w:val="en-US" w:eastAsia="zh-CN"/>
              </w:rPr>
              <w:t>71620205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6490" w:type="dxa"/>
            <w:vAlign w:val="center"/>
          </w:tcPr>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名称：</w:t>
            </w:r>
            <w:r>
              <w:rPr>
                <w:rFonts w:hint="eastAsia" w:ascii="宋体" w:hAnsi="宋体" w:eastAsia="宋体" w:cs="宋体"/>
                <w:color w:val="auto"/>
                <w:kern w:val="0"/>
                <w:szCs w:val="21"/>
                <w:highlight w:val="none"/>
                <w:u w:val="none"/>
                <w:lang w:eastAsia="zh-CN"/>
              </w:rPr>
              <w:t>重庆港滨建设工程管理有限公司</w:t>
            </w:r>
          </w:p>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地址：重庆市大渡口区天安数码城二期一栋408室</w:t>
            </w:r>
          </w:p>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联系人：</w:t>
            </w:r>
            <w:r>
              <w:rPr>
                <w:rFonts w:hint="eastAsia" w:ascii="宋体" w:hAnsi="宋体" w:eastAsia="宋体" w:cs="宋体"/>
                <w:color w:val="auto"/>
                <w:kern w:val="0"/>
                <w:szCs w:val="21"/>
                <w:highlight w:val="none"/>
                <w:u w:val="none"/>
                <w:lang w:eastAsia="zh-CN"/>
              </w:rPr>
              <w:t>张老师</w:t>
            </w:r>
          </w:p>
          <w:p>
            <w:pPr>
              <w:snapToGrid w:val="0"/>
              <w:spacing w:line="400" w:lineRule="exact"/>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电话：</w:t>
            </w:r>
            <w:r>
              <w:rPr>
                <w:rFonts w:hint="eastAsia" w:ascii="宋体" w:hAnsi="宋体" w:eastAsia="宋体" w:cs="宋体"/>
                <w:color w:val="auto"/>
                <w:kern w:val="0"/>
                <w:szCs w:val="21"/>
                <w:highlight w:val="none"/>
                <w:u w:val="none"/>
                <w:lang w:val="en-US" w:eastAsia="zh-CN"/>
              </w:rPr>
              <w:t>15922767431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重庆市金迈实业有限公司职工宿舍区屋顶治漏项目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6490" w:type="dxa"/>
            <w:vAlign w:val="center"/>
          </w:tcPr>
          <w:p>
            <w:pPr>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u w:val="single"/>
              </w:rPr>
              <w:t>重庆市金迈实业有限公司职工宿舍</w:t>
            </w:r>
            <w:r>
              <w:rPr>
                <w:rFonts w:hint="eastAsia" w:ascii="宋体" w:hAnsi="宋体" w:eastAsia="宋体" w:cs="宋体"/>
                <w:snapToGrid w:val="0"/>
                <w:color w:val="auto"/>
                <w:kern w:val="0"/>
                <w:szCs w:val="21"/>
                <w:highlight w:val="none"/>
                <w:u w:val="single"/>
                <w:lang w:eastAsia="zh-CN"/>
              </w:rPr>
              <w:t>区（</w:t>
            </w:r>
            <w:r>
              <w:rPr>
                <w:rFonts w:hint="eastAsia" w:ascii="宋体" w:hAnsi="宋体" w:eastAsia="宋体" w:cs="宋体"/>
                <w:snapToGrid w:val="0"/>
                <w:color w:val="auto"/>
                <w:kern w:val="0"/>
                <w:sz w:val="21"/>
                <w:szCs w:val="21"/>
                <w:highlight w:val="none"/>
                <w:u w:val="single"/>
              </w:rPr>
              <w:t>重庆市南川区水江镇宁江路17号</w:t>
            </w:r>
            <w:r>
              <w:rPr>
                <w:rFonts w:hint="eastAsia" w:ascii="宋体" w:hAnsi="宋体" w:eastAsia="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1.1.6</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①拆除工程</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拆除职工宿舍区原屋顶架空隔热层约4380平方米，拆除原屋面刚性保护层和防水层约10600平方米。</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②屋面及防水工程</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1.屋面水泥砂浆找平层约7400平方米屋面；</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2.铺设改性沥青聚酯胎防水卷材约10600平方米(施工区域包括屋面、雨棚、天沟及女儿墙)；</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3.敷设聚氨酯涂膜防水约10600平方米(施工区域包括屋面、雨棚、天沟及女儿墙)；</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4.屋面铺设聚酯无纺布隔离层约7400平方米；</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5.屋面浇筑C20细石混凝土刚性保护层约7400平方米；</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6.安装不锈钢防雨盖；</w:t>
            </w:r>
          </w:p>
          <w:p>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i/>
                <w:snapToGrid w:val="0"/>
                <w:color w:val="auto"/>
                <w:kern w:val="0"/>
                <w:szCs w:val="21"/>
                <w:highlight w:val="none"/>
              </w:rPr>
            </w:pPr>
            <w:r>
              <w:rPr>
                <w:rFonts w:hint="eastAsia" w:ascii="宋体" w:hAnsi="宋体" w:eastAsia="宋体" w:cs="宋体"/>
                <w:snapToGrid w:val="0"/>
                <w:color w:val="auto"/>
                <w:kern w:val="0"/>
                <w:szCs w:val="21"/>
                <w:highlight w:val="none"/>
                <w:u w:val="single"/>
              </w:rPr>
              <w:t>7.墙面抹灰层修补。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snapToGrid w:val="0"/>
                <w:color w:val="auto"/>
                <w:kern w:val="0"/>
                <w:szCs w:val="21"/>
                <w:highlight w:val="none"/>
                <w:u w:val="single"/>
                <w:lang w:val="en-US" w:eastAsia="zh-CN"/>
              </w:rPr>
              <w:t>企业</w:t>
            </w:r>
            <w:r>
              <w:rPr>
                <w:rFonts w:hint="eastAsia" w:ascii="宋体" w:hAnsi="宋体" w:eastAsia="宋体" w:cs="宋体"/>
                <w:snapToGrid w:val="0"/>
                <w:color w:val="auto"/>
                <w:kern w:val="0"/>
                <w:szCs w:val="21"/>
                <w:highlight w:val="none"/>
                <w:u w:val="single"/>
                <w:lang w:val="en-US" w:eastAsia="zh-CN"/>
              </w:rPr>
              <w:t>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490" w:type="dxa"/>
            <w:vAlign w:val="center"/>
          </w:tcPr>
          <w:p>
            <w:pPr>
              <w:snapToGrid w:val="0"/>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u w:val="single"/>
              </w:rPr>
              <w:t>招标人提供的施工图等所示范围的全部工程内容以及招标文件中补充的工程内容、答疑资料、澄清资料、其他补遗资料等相关内容，具体以本项目发布的施工图设计文件和工程量清单为准。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p>
        </w:tc>
        <w:tc>
          <w:tcPr>
            <w:tcW w:w="6490" w:type="dxa"/>
            <w:vAlign w:val="center"/>
          </w:tcPr>
          <w:p>
            <w:pPr>
              <w:snapToGri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color w:val="auto"/>
                <w:kern w:val="0"/>
                <w:szCs w:val="21"/>
                <w:highlight w:val="none"/>
              </w:rPr>
              <w:t>工期：</w:t>
            </w:r>
            <w:r>
              <w:rPr>
                <w:rFonts w:hint="eastAsia" w:ascii="宋体" w:hAnsi="宋体" w:eastAsia="宋体" w:cs="宋体"/>
                <w:snapToGrid w:val="0"/>
                <w:color w:val="auto"/>
                <w:kern w:val="0"/>
                <w:szCs w:val="21"/>
                <w:highlight w:val="none"/>
                <w:u w:val="single"/>
                <w:lang w:val="en-US" w:eastAsia="zh-CN"/>
              </w:rPr>
              <w:t>270</w:t>
            </w:r>
            <w:r>
              <w:rPr>
                <w:rFonts w:hint="eastAsia" w:ascii="宋体" w:hAnsi="宋体" w:eastAsia="宋体" w:cs="宋体"/>
                <w:snapToGrid w:val="0"/>
                <w:color w:val="auto"/>
                <w:kern w:val="0"/>
                <w:szCs w:val="21"/>
                <w:highlight w:val="none"/>
                <w:u w:val="single"/>
              </w:rPr>
              <w:t>日历天</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符合强制性质量标准，</w:t>
            </w:r>
            <w:r>
              <w:rPr>
                <w:rFonts w:hint="eastAsia" w:ascii="宋体" w:hAnsi="宋体" w:eastAsia="宋体" w:cs="宋体"/>
                <w:color w:val="auto"/>
                <w:szCs w:val="21"/>
                <w:highlight w:val="none"/>
                <w:u w:val="single"/>
              </w:rPr>
              <w:t>符合国家和重庆市现行有关施工质量验收规范要求，并达到合格标准</w:t>
            </w:r>
            <w:r>
              <w:rPr>
                <w:rFonts w:hint="eastAsia" w:ascii="宋体" w:hAnsi="宋体" w:eastAsia="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24" w:hRule="atLeast"/>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both"/>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both"/>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both"/>
              <w:rPr>
                <w:rFonts w:hint="eastAsia" w:ascii="宋体" w:hAnsi="宋体" w:eastAsia="宋体" w:cs="宋体"/>
                <w:color w:val="auto"/>
                <w:kern w:val="0"/>
                <w:szCs w:val="21"/>
                <w:highlight w:val="none"/>
              </w:rPr>
            </w:pP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both"/>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bookmarkStart w:id="108" w:name="OLE_LINK1"/>
            <w:r>
              <w:rPr>
                <w:rFonts w:hint="eastAsia" w:ascii="宋体" w:hAnsi="宋体" w:eastAsia="宋体" w:cs="宋体"/>
                <w:color w:val="auto"/>
                <w:szCs w:val="21"/>
                <w:highlight w:val="none"/>
              </w:rPr>
              <w:t>本工程施工招标实行资格后审，投标人应</w:t>
            </w:r>
            <w:bookmarkStart w:id="109" w:name="一是"/>
            <w:bookmarkEnd w:id="109"/>
            <w:r>
              <w:rPr>
                <w:rFonts w:hint="eastAsia" w:ascii="宋体" w:hAnsi="宋体" w:eastAsia="宋体" w:cs="宋体"/>
                <w:color w:val="auto"/>
                <w:szCs w:val="21"/>
                <w:highlight w:val="none"/>
              </w:rPr>
              <w:t>具备以下资格条件：</w:t>
            </w:r>
          </w:p>
          <w:bookmarkEnd w:id="108"/>
          <w:p>
            <w:pPr>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（1）具备建设行政主管部门颁发的有效的</w:t>
            </w:r>
            <w:r>
              <w:rPr>
                <w:rFonts w:hint="eastAsia" w:ascii="宋体" w:hAnsi="宋体" w:eastAsia="宋体" w:cs="宋体"/>
                <w:color w:val="auto"/>
                <w:szCs w:val="21"/>
                <w:highlight w:val="none"/>
                <w:u w:val="single"/>
              </w:rPr>
              <w:t>建筑工程施工总承包叁级及以上</w:t>
            </w:r>
            <w:r>
              <w:rPr>
                <w:rFonts w:hint="eastAsia" w:ascii="宋体" w:hAnsi="宋体" w:eastAsia="宋体" w:cs="宋体"/>
                <w:color w:val="auto"/>
                <w:szCs w:val="21"/>
                <w:highlight w:val="none"/>
              </w:rPr>
              <w:t>资质。</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投标人须在投标文件资格审查部分提供有效的带二维码标识的资质证书复印件。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（2）具备有效的营业执照。</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投标人须在投标文件资格审查部分提供有效的带二维码标识的营业执照复印件。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（3）具备建设行政主管部门颁发的有效的安全生产许可证，企业主要负责人、拟担任该项目项目经理具备相应的由建设行政主管部门颁发的有效的安全生产考核合格证书。</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投标人须在投标文件资格审查部分提供有效的安全生产许可证及安全生产考核合格证书复印件。</w:t>
            </w:r>
          </w:p>
          <w:p>
            <w:pPr>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.投标截止日投标资格情况</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投标人自行承诺（格式见第八章投标文件格式）不得存在下列情形之一：</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投标人须在投标文件资格审查部分提供承诺。</w:t>
            </w:r>
          </w:p>
          <w:p>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.项目经理资格要求</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.1投标人拟派的项目经理必须已在投标人本单位注册并应具有</w:t>
            </w:r>
            <w:r>
              <w:rPr>
                <w:rFonts w:hint="eastAsia" w:ascii="宋体" w:hAnsi="宋体" w:eastAsia="宋体" w:cs="宋体"/>
                <w:color w:val="auto"/>
                <w:szCs w:val="21"/>
                <w:highlight w:val="none"/>
                <w:u w:val="single"/>
              </w:rPr>
              <w:t xml:space="preserve">    </w:t>
            </w:r>
            <w:r>
              <w:rPr>
                <w:rFonts w:hint="eastAsia" w:ascii="宋体" w:hAnsi="宋体" w:eastAsia="宋体" w:cs="宋体"/>
                <w:i w:val="0"/>
                <w:iCs/>
                <w:color w:val="auto"/>
                <w:szCs w:val="21"/>
                <w:highlight w:val="none"/>
                <w:u w:val="single"/>
                <w:lang w:val="en-US" w:eastAsia="zh-CN"/>
              </w:rPr>
              <w:t>建筑工程</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lang w:val="en-US" w:eastAsia="zh-CN"/>
              </w:rPr>
              <w:t>二</w:t>
            </w:r>
            <w:r>
              <w:rPr>
                <w:rFonts w:hint="eastAsia" w:ascii="宋体" w:hAnsi="宋体" w:eastAsia="宋体" w:cs="宋体"/>
                <w:color w:val="auto"/>
                <w:szCs w:val="21"/>
                <w:highlight w:val="none"/>
                <w:u w:val="single"/>
              </w:rPr>
              <w:t>级及以上</w:t>
            </w:r>
            <w:r>
              <w:rPr>
                <w:rFonts w:hint="eastAsia" w:ascii="宋体" w:hAnsi="宋体" w:eastAsia="宋体" w:cs="宋体"/>
                <w:color w:val="auto"/>
                <w:szCs w:val="21"/>
                <w:highlight w:val="none"/>
              </w:rPr>
              <w:t>注册建造师执业资格。</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.2项目经理承诺要求：投标人须承诺拟派项目经理按注册建造师的相关规定到岗履职和未被禁止参与投标。</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.2.2未被禁止参与投标承诺要求：承诺拟派项目经理未被重庆市</w:t>
            </w:r>
            <w:r>
              <w:rPr>
                <w:rFonts w:hint="eastAsia" w:ascii="宋体" w:hAnsi="宋体" w:eastAsia="宋体" w:cs="宋体"/>
                <w:color w:val="auto"/>
                <w:highlight w:val="none"/>
                <w:lang w:val="en-US" w:eastAsia="zh-CN"/>
              </w:rPr>
              <w:t>市级有关行业</w:t>
            </w:r>
            <w:r>
              <w:rPr>
                <w:rFonts w:hint="eastAsia" w:ascii="宋体" w:hAnsi="宋体" w:eastAsia="宋体" w:cs="宋体"/>
                <w:color w:val="auto"/>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.2.3项目经理的其它承诺要求：为保证投标人拟派的项目经理到本项目到岗履职，投标人还需承诺：</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若投标人拟派本项目的项目经理有在其他项目任职的情形的（或有在其他项目中标或拟中标的情形的），应在收到中标通知书后</w:t>
            </w:r>
            <w:r>
              <w:rPr>
                <w:rFonts w:hint="eastAsia" w:ascii="宋体" w:hAnsi="宋体" w:eastAsia="宋体" w:cs="宋体"/>
                <w:color w:val="auto"/>
                <w:highlight w:val="none"/>
                <w:u w:val="single"/>
              </w:rPr>
              <w:t>14</w:t>
            </w:r>
            <w:r>
              <w:rPr>
                <w:rFonts w:hint="eastAsia" w:ascii="宋体" w:hAnsi="宋体" w:eastAsia="宋体" w:cs="宋体"/>
                <w:color w:val="auto"/>
                <w:highlight w:val="none"/>
              </w:rPr>
              <w:t>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放弃在其他项目中标或拟中标的需提供：①经中标或拟中标的其他项目建设单位同意的放弃中标函。</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.2.4未提供上述承诺或承诺内容不符合要求的，由评标委员会作否决投标处理。</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.其他要求</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项目技术负责人：</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应具有</w:t>
            </w:r>
            <w:r>
              <w:rPr>
                <w:rFonts w:hint="eastAsia" w:ascii="宋体" w:hAnsi="宋体" w:eastAsia="宋体" w:cs="宋体"/>
                <w:color w:val="auto"/>
                <w:szCs w:val="21"/>
                <w:highlight w:val="none"/>
                <w:u w:val="single"/>
              </w:rPr>
              <w:t>工程类</w:t>
            </w:r>
            <w:r>
              <w:rPr>
                <w:rFonts w:hint="eastAsia" w:ascii="宋体" w:hAnsi="宋体" w:eastAsia="宋体" w:cs="宋体"/>
                <w:color w:val="auto"/>
                <w:szCs w:val="21"/>
                <w:highlight w:val="none"/>
                <w:u w:val="single"/>
                <w:lang w:val="en-US" w:eastAsia="zh-CN"/>
              </w:rPr>
              <w:t>中</w:t>
            </w:r>
            <w:r>
              <w:rPr>
                <w:rFonts w:hint="eastAsia" w:ascii="宋体" w:hAnsi="宋体" w:eastAsia="宋体" w:cs="宋体"/>
                <w:color w:val="auto"/>
                <w:szCs w:val="21"/>
                <w:highlight w:val="none"/>
                <w:u w:val="single"/>
              </w:rPr>
              <w:t>级及以上</w:t>
            </w:r>
            <w:r>
              <w:rPr>
                <w:rFonts w:hint="eastAsia" w:ascii="宋体" w:hAnsi="宋体" w:eastAsia="宋体" w:cs="宋体"/>
                <w:color w:val="auto"/>
                <w:szCs w:val="21"/>
                <w:highlight w:val="none"/>
              </w:rPr>
              <w:t>职称；</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主要管理人员：</w:t>
            </w:r>
          </w:p>
          <w:p>
            <w:pPr>
              <w:autoSpaceDE w:val="0"/>
              <w:autoSpaceDN w:val="0"/>
              <w:adjustRightIn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（3）委托代理人：</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委托代理人必须为投标人本单位人员。</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投标人须在投标文件资格审查部分提供投标人为该委托代理人缴纳的养老保险证明复印件。否则，将由评标委员会作否决投标处理。</w:t>
            </w:r>
          </w:p>
          <w:p>
            <w:pPr>
              <w:autoSpaceDE w:val="0"/>
              <w:autoSpaceDN w:val="0"/>
              <w:adjustRightInd w:val="0"/>
              <w:snapToGrid w:val="0"/>
              <w:spacing w:line="400" w:lineRule="exact"/>
              <w:ind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autoSpaceDE w:val="0"/>
              <w:autoSpaceDN w:val="0"/>
              <w:adjustRightInd w:val="0"/>
              <w:snapToGrid w:val="0"/>
              <w:spacing w:line="400" w:lineRule="exact"/>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（1）上述要求须提交的相关证明材料均为扫描件（原件或复印件的扫描件均可），扫描件须清晰可辨，</w:t>
            </w:r>
            <w:r>
              <w:rPr>
                <w:rFonts w:hint="eastAsia" w:ascii="宋体" w:hAnsi="宋体" w:eastAsia="宋体" w:cs="宋体"/>
                <w:color w:val="auto"/>
                <w:kern w:val="0"/>
                <w:szCs w:val="21"/>
                <w:highlight w:val="none"/>
              </w:rPr>
              <w:t>有一条不满足，则投标文件由评标委员会</w:t>
            </w:r>
            <w:r>
              <w:rPr>
                <w:rFonts w:hint="eastAsia" w:ascii="宋体" w:hAnsi="宋体" w:eastAsia="宋体" w:cs="宋体"/>
                <w:color w:val="auto"/>
                <w:szCs w:val="21"/>
                <w:highlight w:val="none"/>
              </w:rPr>
              <w:t>作否决投标处理</w:t>
            </w:r>
            <w:r>
              <w:rPr>
                <w:rFonts w:hint="eastAsia" w:ascii="宋体" w:hAnsi="宋体" w:eastAsia="宋体" w:cs="宋体"/>
                <w:color w:val="auto"/>
                <w:kern w:val="0"/>
                <w:szCs w:val="21"/>
                <w:highlight w:val="none"/>
              </w:rPr>
              <w:t>。</w:t>
            </w:r>
          </w:p>
          <w:p>
            <w:pPr>
              <w:autoSpaceDE w:val="0"/>
              <w:autoSpaceDN w:val="0"/>
              <w:adjustRightInd w:val="0"/>
              <w:snapToGrid w:val="0"/>
              <w:spacing w:line="400" w:lineRule="exact"/>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（2）投标人须自行承诺其提供的上述相关证明材料真实有效，不存在弄虚作假情形（格式见第八章投标文件格式）。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spacing w:line="400" w:lineRule="exact"/>
              <w:ind w:firstLine="420" w:firstLineChars="200"/>
              <w:rPr>
                <w:rFonts w:hint="eastAsia"/>
                <w:color w:val="auto"/>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项目经理、项目技术负责人和委托代理人的连续养老保险证明期限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lang w:val="en-US" w:eastAsia="zh-CN"/>
              </w:rPr>
              <w:t xml:space="preserve"> 2024</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10</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2025</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 xml:space="preserve">3 </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644" w:type="dxa"/>
            <w:vAlign w:val="center"/>
          </w:tcPr>
          <w:p>
            <w:pPr>
              <w:snapToGrid w:val="0"/>
              <w:spacing w:after="15" w:afterLines="5"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644" w:type="dxa"/>
            <w:tcBorders>
              <w:bottom w:val="single" w:color="auto" w:sz="4" w:space="0"/>
            </w:tcBorders>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snapToGrid w:val="0"/>
                <w:color w:val="auto"/>
                <w:kern w:val="0"/>
                <w:szCs w:val="21"/>
                <w:highlight w:val="none"/>
                <w:lang w:val="en-US" w:eastAsia="zh-CN"/>
              </w:rPr>
              <w:t>通过报名邮箱</w:t>
            </w:r>
            <w:r>
              <w:rPr>
                <w:rFonts w:hint="eastAsia" w:ascii="宋体" w:hAnsi="宋体" w:eastAsia="宋体" w:cs="宋体"/>
                <w:snapToGrid w:val="0"/>
                <w:color w:val="auto"/>
                <w:kern w:val="0"/>
                <w:szCs w:val="21"/>
                <w:highlight w:val="none"/>
              </w:rPr>
              <w:t>提出疑问</w:t>
            </w:r>
            <w:r>
              <w:rPr>
                <w:rFonts w:hint="eastAsia" w:ascii="宋体" w:hAnsi="宋体" w:eastAsia="宋体" w:cs="宋体"/>
                <w:snapToGrid w:val="0"/>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1644" w:type="dxa"/>
            <w:tcBorders>
              <w:top w:val="single" w:color="auto" w:sz="4" w:space="0"/>
            </w:tcBorders>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6490" w:type="dxa"/>
            <w:vAlign w:val="center"/>
          </w:tcPr>
          <w:p>
            <w:pPr>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lang w:eastAsia="zh-CN"/>
              </w:rPr>
              <w:t>“行采家”平台（https://www.gec123.com）</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hint="eastAsia" w:ascii="宋体" w:hAnsi="宋体" w:eastAsia="宋体" w:cs="宋体"/>
                <w:color w:val="auto"/>
                <w:kern w:val="0"/>
                <w:szCs w:val="21"/>
                <w:highlight w:val="none"/>
              </w:rPr>
            </w:pP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644" w:type="dxa"/>
            <w:vAlign w:val="center"/>
          </w:tcPr>
          <w:p>
            <w:pPr>
              <w:snapToGrid w:val="0"/>
              <w:spacing w:after="15" w:afterLines="5"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投标人对招标文件及澄清修改提出异议的截止时间</w:t>
            </w:r>
          </w:p>
        </w:tc>
        <w:tc>
          <w:tcPr>
            <w:tcW w:w="6490" w:type="dxa"/>
            <w:vAlign w:val="center"/>
          </w:tcPr>
          <w:p>
            <w:pPr>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对招标文件和澄清修改有异议的，应当在投标截止时间10日前，以书面形式通知招标人或招标代理机构。招标人应当自收到异议之日起3日内做出答复，答复内容可能影响投标文件编制的，将以修改的形式于投标截止时间15日前在</w:t>
            </w:r>
            <w:r>
              <w:rPr>
                <w:rFonts w:hint="eastAsia" w:ascii="宋体" w:hAnsi="宋体" w:eastAsia="宋体" w:cs="宋体"/>
                <w:snapToGrid w:val="0"/>
                <w:color w:val="auto"/>
                <w:kern w:val="0"/>
                <w:szCs w:val="21"/>
                <w:highlight w:val="none"/>
                <w:u w:val="single"/>
                <w:lang w:eastAsia="zh-CN"/>
              </w:rPr>
              <w:t>“行采家”平台（https://www.gec123.com）</w:t>
            </w:r>
            <w:r>
              <w:rPr>
                <w:rFonts w:hint="eastAsia" w:ascii="宋体" w:hAnsi="宋体" w:eastAsia="宋体" w:cs="宋体"/>
                <w:snapToGrid w:val="0"/>
                <w:color w:val="auto"/>
                <w:kern w:val="0"/>
                <w:szCs w:val="21"/>
                <w:highlight w:val="none"/>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644" w:type="dxa"/>
            <w:vAlign w:val="center"/>
          </w:tcPr>
          <w:p>
            <w:pPr>
              <w:snapToGrid w:val="0"/>
              <w:spacing w:after="31" w:afterLines="1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构成投标文件的其他材料</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tc>
        <w:tc>
          <w:tcPr>
            <w:tcW w:w="6490" w:type="dxa"/>
            <w:vAlign w:val="center"/>
          </w:tcPr>
          <w:p>
            <w:pPr>
              <w:pStyle w:val="18"/>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1.使用国有资金投资的建设工程发承包，必须采用工程量清单计价。工程量清单应采用综合单价计价。</w:t>
            </w:r>
          </w:p>
          <w:p>
            <w:pPr>
              <w:pStyle w:val="18"/>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hint="eastAsia" w:ascii="宋体" w:hAnsi="宋体" w:eastAsia="宋体" w:cs="宋体"/>
                <w:color w:val="auto"/>
                <w:szCs w:val="21"/>
                <w:highlight w:val="none"/>
              </w:rPr>
              <w:footnoteReference w:id="0"/>
            </w:r>
            <w:r>
              <w:rPr>
                <w:rFonts w:hint="eastAsia" w:ascii="宋体" w:hAnsi="宋体" w:eastAsia="宋体" w:cs="宋体"/>
                <w:color w:val="auto"/>
                <w:szCs w:val="21"/>
                <w:highlight w:val="none"/>
              </w:rPr>
              <w:t>为依据。</w:t>
            </w:r>
          </w:p>
          <w:p>
            <w:pPr>
              <w:tabs>
                <w:tab w:val="left" w:pos="546"/>
                <w:tab w:val="left" w:pos="711"/>
              </w:tabs>
              <w:snapToGrid w:val="0"/>
              <w:spacing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否决投标处理。</w:t>
            </w:r>
          </w:p>
          <w:p>
            <w:pPr>
              <w:tabs>
                <w:tab w:val="left" w:pos="546"/>
                <w:tab w:val="left" w:pos="711"/>
              </w:tabs>
              <w:snapToGrid w:val="0"/>
              <w:spacing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pPr>
              <w:tabs>
                <w:tab w:val="left" w:pos="546"/>
                <w:tab w:val="left" w:pos="711"/>
              </w:tabs>
              <w:snapToGrid w:val="0"/>
              <w:spacing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4.投标函中的总报价与已标价工程量清单总报价</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一致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工程量清单总报价与依据单价、工程数量、分部分项工程合价计算出的结果</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一致，由评标委员会作否决投标处理。</w:t>
            </w:r>
          </w:p>
          <w:p>
            <w:pPr>
              <w:pStyle w:val="18"/>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（1）在合同实施期间，单价和总价按专用合同条款第11条的规定可调整。</w:t>
            </w:r>
          </w:p>
          <w:p>
            <w:pPr>
              <w:pStyle w:val="18"/>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（2）增值税计税方法由招标人依据国家税法规定选择：</w:t>
            </w:r>
          </w:p>
          <w:p>
            <w:pPr>
              <w:pStyle w:val="18"/>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p>
            <w:pPr>
              <w:pStyle w:val="18"/>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6.如发现工程量清单中的数量与图纸中数量不一致，应于本须知第2.2.1项中规定的时间前书面通知招标人核查，除非招标人以修改的形式予以更正，否则，应以工程量清单中列出的数量为准。</w:t>
            </w:r>
          </w:p>
          <w:p>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7.招标人在工程量清单中所列出的暂列金额、暂估价等暂定金额，投标人不得修改，否则由评标委员会作否决投标处理。</w:t>
            </w:r>
          </w:p>
          <w:p>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8.本工程招标将设置投标总报价最高限价，投标总报价最高限价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single"/>
                <w:lang w:val="en-US" w:eastAsia="zh-CN"/>
              </w:rPr>
              <w:t>2884335.07元（大写：贰佰捌拾捌万肆仟叁佰叁拾伍元零柒分）</w:t>
            </w:r>
            <w:r>
              <w:rPr>
                <w:rFonts w:hint="eastAsia" w:ascii="宋体" w:hAnsi="宋体" w:eastAsia="宋体" w:cs="宋体"/>
                <w:color w:val="auto"/>
                <w:szCs w:val="21"/>
                <w:highlight w:val="none"/>
              </w:rPr>
              <w:t>，投标人的投标总报价不得超过投标总报价最高限价，否则由评标委员会作否决投标处理。</w:t>
            </w:r>
          </w:p>
          <w:p>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本工程招标将设置全部清单综合单价最高限价，全部清单综合单价最高限价</w:t>
            </w:r>
            <w:r>
              <w:rPr>
                <w:rFonts w:hint="eastAsia" w:ascii="宋体" w:hAnsi="宋体" w:eastAsia="宋体" w:cs="宋体"/>
                <w:color w:val="auto"/>
                <w:szCs w:val="21"/>
                <w:highlight w:val="none"/>
                <w:lang w:val="en-US" w:eastAsia="zh-CN"/>
              </w:rPr>
              <w:t>随本招标文件一同发布</w:t>
            </w:r>
            <w:r>
              <w:rPr>
                <w:rFonts w:hint="eastAsia" w:ascii="宋体" w:hAnsi="宋体" w:eastAsia="宋体" w:cs="宋体"/>
                <w:color w:val="auto"/>
                <w:szCs w:val="21"/>
                <w:highlight w:val="none"/>
              </w:rPr>
              <w:t>。</w:t>
            </w:r>
          </w:p>
          <w:p>
            <w:pPr>
              <w:pStyle w:val="18"/>
              <w:spacing w:after="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9.安全文明施工费：</w:t>
            </w:r>
          </w:p>
          <w:p>
            <w:pPr>
              <w:pStyle w:val="18"/>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根据《重庆城乡建设委员会关于印发&lt;重庆市建设工程安全文明施工费计取及使用管理规定&gt;的通知》（渝建发〔2014〕25号）规定，安全文明施工费由安全施工费、文明施工费、环境保护费及临时设施费组成。</w:t>
            </w:r>
          </w:p>
          <w:p>
            <w:pPr>
              <w:pStyle w:val="98"/>
              <w:spacing w:line="40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u w:val="single"/>
                <w:lang w:val="en-US" w:eastAsia="zh-CN"/>
              </w:rPr>
              <w:t>84686.72元（大写：捌万肆仟陆佰捌拾陆元柒角贰分）</w:t>
            </w:r>
            <w:r>
              <w:rPr>
                <w:rFonts w:hint="eastAsia" w:ascii="宋体" w:hAnsi="宋体" w:eastAsia="宋体" w:cs="宋体"/>
                <w:color w:val="auto"/>
                <w:sz w:val="21"/>
                <w:szCs w:val="21"/>
                <w:highlight w:val="none"/>
              </w:rPr>
              <w:t>。《投标函》中的安全文明施工费</w:t>
            </w:r>
            <w:r>
              <w:rPr>
                <w:rFonts w:hint="eastAsia" w:ascii="宋体" w:hAnsi="宋体" w:eastAsia="宋体" w:cs="宋体"/>
                <w:color w:val="auto"/>
                <w:sz w:val="21"/>
                <w:szCs w:val="21"/>
                <w:highlight w:val="none"/>
                <w:lang w:val="en-US" w:eastAsia="zh-CN"/>
              </w:rPr>
              <w:t>金额或工程量清单中安全文明施工费的汇总金额未</w:t>
            </w:r>
            <w:r>
              <w:rPr>
                <w:rFonts w:hint="eastAsia" w:ascii="宋体" w:hAnsi="宋体" w:eastAsia="宋体" w:cs="宋体"/>
                <w:color w:val="auto"/>
                <w:sz w:val="21"/>
                <w:szCs w:val="21"/>
                <w:highlight w:val="none"/>
              </w:rPr>
              <w:t>按照招标人给出的暂定金额填报</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，视为对招标文件不作实质性响应，其投标文件由评标委员会作否决投标处理。注：采用全费用清单计价的项目，安全文明施工费仅针对《投标函》中的安全文明施工费进行评审。</w:t>
            </w:r>
          </w:p>
          <w:p>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pStyle w:val="18"/>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eastAsia="宋体" w:cs="宋体"/>
                <w:color w:val="auto"/>
                <w:szCs w:val="21"/>
                <w:highlight w:val="none"/>
                <w:u w:val="single"/>
                <w:lang w:val="en-US" w:eastAsia="zh-CN"/>
              </w:rPr>
              <w:t>不调整。</w:t>
            </w:r>
          </w:p>
          <w:p>
            <w:pPr>
              <w:pStyle w:val="18"/>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12.本项目所采用技术、工艺和产品等必须执行重庆市住房和城乡建设委员会关于发布《重庆市建设领域禁止、限制使用落后技术通告（2019年版）（渝建发〔2019〕25号）的规定。</w:t>
            </w:r>
          </w:p>
          <w:p>
            <w:pPr>
              <w:pStyle w:val="18"/>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6490" w:type="dxa"/>
            <w:vAlign w:val="center"/>
          </w:tcPr>
          <w:p>
            <w:pPr>
              <w:snapToGrid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方式</w:t>
            </w:r>
            <w:r>
              <w:rPr>
                <w:rFonts w:hint="eastAsia" w:ascii="宋体" w:hAnsi="宋体" w:eastAsia="宋体" w:cs="宋体"/>
                <w:color w:val="auto"/>
                <w:highlight w:val="none"/>
                <w:lang w:eastAsia="zh-CN"/>
              </w:rPr>
              <w:t>一</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一、以转账支票或电汇形式交纳投标保证金</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eastAsia="宋体" w:cs="宋体"/>
                <w:color w:val="auto"/>
                <w:kern w:val="0"/>
                <w:szCs w:val="21"/>
                <w:highlight w:val="none"/>
              </w:rPr>
              <w:t>不满足上述要求的投标保证金无效。</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投标人自行考虑汇入时间风险，如同城汇入、异地汇入、跨行汇入的时间要求。</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2、以转账支票或电汇形式提交投标保证金的金额：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伍</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万元整（人民币）</w:t>
            </w:r>
          </w:p>
          <w:p>
            <w:pPr>
              <w:snapToGrid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3、投标保证金账户及账号：</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账户名称：重庆港滨建设工程管理有限公司</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税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号：91500104MA5YQBH82U</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账户名称：114460993002</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开户银行：中国银行股份有限公司重庆春晖路支行</w:t>
            </w:r>
          </w:p>
          <w:p>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4、投标人必须在付款凭证备注栏中注明是“</w:t>
            </w:r>
            <w:r>
              <w:rPr>
                <w:rFonts w:hint="eastAsia" w:ascii="宋体" w:hAnsi="宋体" w:eastAsia="宋体" w:cs="宋体"/>
                <w:color w:val="auto"/>
                <w:highlight w:val="none"/>
                <w:u w:val="single"/>
              </w:rPr>
              <w:t>重庆市金迈实业有限公司职工宿舍区屋顶治漏项目</w:t>
            </w:r>
            <w:r>
              <w:rPr>
                <w:rFonts w:hint="eastAsia" w:ascii="宋体" w:hAnsi="宋体" w:eastAsia="宋体" w:cs="宋体"/>
                <w:color w:val="auto"/>
                <w:highlight w:val="none"/>
              </w:rPr>
              <w:t>投标保证金”。项目名称可简写成：</w:t>
            </w:r>
            <w:r>
              <w:rPr>
                <w:rFonts w:hint="eastAsia" w:ascii="宋体" w:hAnsi="宋体" w:eastAsia="宋体" w:cs="宋体"/>
                <w:color w:val="auto"/>
                <w:highlight w:val="none"/>
                <w:u w:val="single"/>
              </w:rPr>
              <w:t>职工宿舍区屋顶治漏</w:t>
            </w:r>
            <w:r>
              <w:rPr>
                <w:rFonts w:hint="eastAsia" w:ascii="宋体" w:hAnsi="宋体" w:eastAsia="宋体" w:cs="宋体"/>
                <w:color w:val="auto"/>
                <w:highlight w:val="none"/>
              </w:rPr>
              <w:t>。</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5、投标保证金有效期与投标有效期一致。</w:t>
            </w:r>
          </w:p>
          <w:p>
            <w:pPr>
              <w:snapToGrid w:val="0"/>
              <w:spacing w:line="400" w:lineRule="exact"/>
              <w:ind w:firstLine="420" w:firstLineChars="200"/>
              <w:rPr>
                <w:rFonts w:hint="eastAsia" w:ascii="宋体" w:hAnsi="宋体" w:eastAsia="宋体" w:cs="宋体"/>
                <w:color w:val="auto"/>
                <w:highlight w:val="none"/>
                <w:u w:val="none"/>
              </w:rPr>
            </w:pPr>
            <w:r>
              <w:rPr>
                <w:rFonts w:hint="eastAsia" w:ascii="宋体" w:hAnsi="宋体" w:eastAsia="宋体" w:cs="宋体"/>
                <w:color w:val="auto"/>
                <w:highlight w:val="none"/>
                <w:u w:val="none"/>
              </w:rPr>
              <w:t>6、评标过程中由评标委员会根据投标人在投标文件中提供的企业基本账户开户证明文件核实其投标保证金是否由基本账户转入，未从基本账户转入的，由评标委员会作否决投标处理。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二、投标保证金的退还</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招标人应当在法定时间内确定中标人。在中标通知书发出后</w:t>
            </w:r>
            <w:r>
              <w:rPr>
                <w:rFonts w:hint="eastAsia" w:ascii="宋体" w:hAnsi="宋体" w:eastAsia="宋体" w:cs="宋体"/>
                <w:color w:val="auto"/>
                <w:highlight w:val="none"/>
                <w:lang w:val="en-US" w:eastAsia="zh-CN"/>
              </w:rPr>
              <w:t>5个工作日内</w:t>
            </w:r>
            <w:r>
              <w:rPr>
                <w:rFonts w:hint="eastAsia" w:ascii="宋体" w:hAnsi="宋体" w:eastAsia="宋体" w:cs="宋体"/>
                <w:color w:val="auto"/>
                <w:highlight w:val="none"/>
              </w:rPr>
              <w:t>，向除中标人和中标候选人以外的投标人，</w:t>
            </w:r>
            <w:r>
              <w:rPr>
                <w:rFonts w:hint="eastAsia" w:ascii="宋体" w:hAnsi="宋体" w:eastAsia="宋体" w:cs="宋体"/>
                <w:color w:val="auto"/>
                <w:highlight w:val="none"/>
                <w:lang w:eastAsia="zh-CN"/>
              </w:rPr>
              <w:t>无息</w:t>
            </w:r>
            <w:r>
              <w:rPr>
                <w:rFonts w:hint="eastAsia" w:ascii="宋体" w:hAnsi="宋体" w:eastAsia="宋体" w:cs="宋体"/>
                <w:color w:val="auto"/>
                <w:highlight w:val="none"/>
              </w:rPr>
              <w:t>退还投标保证金。</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招标人应当在法定时间内和中标人签订合同。</w:t>
            </w:r>
            <w:r>
              <w:rPr>
                <w:rFonts w:hint="eastAsia" w:ascii="宋体" w:hAnsi="宋体" w:eastAsia="宋体" w:cs="宋体"/>
                <w:color w:val="auto"/>
                <w:highlight w:val="none"/>
                <w:lang w:eastAsia="zh-CN"/>
              </w:rPr>
              <w:t>签订合同后</w:t>
            </w:r>
            <w:r>
              <w:rPr>
                <w:rFonts w:hint="eastAsia" w:ascii="宋体" w:hAnsi="宋体" w:eastAsia="宋体" w:cs="宋体"/>
                <w:color w:val="auto"/>
                <w:highlight w:val="none"/>
              </w:rPr>
              <w:t>，向中标人和中标候选人</w:t>
            </w:r>
            <w:r>
              <w:rPr>
                <w:rFonts w:hint="eastAsia" w:ascii="宋体" w:hAnsi="宋体" w:eastAsia="宋体" w:cs="宋体"/>
                <w:color w:val="auto"/>
                <w:highlight w:val="none"/>
                <w:lang w:eastAsia="zh-CN"/>
              </w:rPr>
              <w:t>无息</w:t>
            </w:r>
            <w:r>
              <w:rPr>
                <w:rFonts w:hint="eastAsia" w:ascii="宋体" w:hAnsi="宋体" w:eastAsia="宋体" w:cs="宋体"/>
                <w:color w:val="auto"/>
                <w:highlight w:val="none"/>
              </w:rPr>
              <w:t>退还投标保证金。</w:t>
            </w:r>
          </w:p>
          <w:p>
            <w:pPr>
              <w:snapToGrid w:val="0"/>
              <w:spacing w:line="400" w:lineRule="exact"/>
              <w:ind w:firstLine="420" w:firstLineChars="200"/>
              <w:rPr>
                <w:rFonts w:hint="eastAsia" w:ascii="宋体" w:hAnsi="宋体" w:eastAsia="宋体" w:cs="宋体"/>
                <w:bCs/>
                <w:color w:val="auto"/>
                <w:kern w:val="0"/>
                <w:szCs w:val="21"/>
                <w:highlight w:val="none"/>
              </w:rPr>
            </w:pPr>
          </w:p>
          <w:p>
            <w:pPr>
              <w:snapToGrid w:val="0"/>
              <w:spacing w:line="400" w:lineRule="exact"/>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方式</w:t>
            </w:r>
            <w:r>
              <w:rPr>
                <w:rFonts w:hint="eastAsia" w:ascii="宋体" w:hAnsi="宋体" w:eastAsia="宋体" w:cs="宋体"/>
                <w:bCs/>
                <w:color w:val="auto"/>
                <w:kern w:val="0"/>
                <w:szCs w:val="21"/>
                <w:highlight w:val="none"/>
                <w:lang w:eastAsia="zh-CN"/>
              </w:rPr>
              <w:t>二</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一、以纸质投标保函形式交纳投标保证金</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纸质投标保函交纳形式及要求：</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（1）缴纳形式：</w:t>
            </w:r>
            <w:r>
              <w:rPr>
                <w:rFonts w:hint="eastAsia" w:ascii="宋体" w:hAnsi="宋体" w:eastAsia="宋体" w:cs="宋体"/>
                <w:color w:val="auto"/>
                <w:kern w:val="0"/>
                <w:szCs w:val="21"/>
                <w:highlight w:val="none"/>
                <w:lang w:val="en-US" w:eastAsia="zh-CN"/>
              </w:rPr>
              <w:t>纸质投标保函</w:t>
            </w:r>
            <w:r>
              <w:rPr>
                <w:rFonts w:hint="eastAsia" w:ascii="宋体" w:hAnsi="宋体" w:eastAsia="宋体" w:cs="宋体"/>
                <w:color w:val="auto"/>
                <w:kern w:val="0"/>
                <w:szCs w:val="21"/>
                <w:highlight w:val="none"/>
              </w:rPr>
              <w:t>包括银行保函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保证保险和担保保函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其示范文本详见第八章投标文件格式。投标人提交的纸质投标保函应</w:t>
            </w:r>
            <w:r>
              <w:rPr>
                <w:rFonts w:hint="eastAsia" w:ascii="宋体" w:hAnsi="宋体" w:eastAsia="宋体" w:cs="宋体"/>
                <w:color w:val="auto"/>
                <w:kern w:val="0"/>
                <w:szCs w:val="21"/>
                <w:highlight w:val="none"/>
              </w:rPr>
              <w:t>严格执行</w:t>
            </w:r>
            <w:r>
              <w:rPr>
                <w:rFonts w:hint="eastAsia" w:ascii="宋体" w:hAnsi="宋体" w:eastAsia="宋体" w:cs="宋体"/>
                <w:color w:val="auto"/>
                <w:kern w:val="0"/>
                <w:szCs w:val="21"/>
                <w:highlight w:val="none"/>
                <w:lang w:val="en-US" w:eastAsia="zh-CN"/>
              </w:rPr>
              <w:t>其</w:t>
            </w:r>
            <w:r>
              <w:rPr>
                <w:rFonts w:hint="eastAsia" w:ascii="宋体" w:hAnsi="宋体" w:eastAsia="宋体" w:cs="宋体"/>
                <w:color w:val="auto"/>
                <w:kern w:val="0"/>
                <w:szCs w:val="21"/>
                <w:highlight w:val="none"/>
              </w:rPr>
              <w:t>示范文本，不得对示范文本中的实质性内容进行修改</w:t>
            </w:r>
            <w:r>
              <w:rPr>
                <w:rFonts w:hint="eastAsia" w:ascii="宋体" w:hAnsi="宋体" w:eastAsia="宋体" w:cs="宋体"/>
                <w:color w:val="auto"/>
                <w:kern w:val="0"/>
                <w:szCs w:val="21"/>
                <w:highlight w:val="none"/>
                <w:lang w:eastAsia="zh-CN"/>
              </w:rPr>
              <w:t>。</w:t>
            </w:r>
          </w:p>
          <w:p>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rPr>
              <w:t>2</w:t>
            </w:r>
            <w:r>
              <w:rPr>
                <w:rFonts w:hint="eastAsia" w:ascii="宋体" w:hAnsi="宋体" w:eastAsia="宋体" w:cs="宋体"/>
                <w:color w:val="auto"/>
                <w:kern w:val="0"/>
                <w:szCs w:val="21"/>
                <w:highlight w:val="none"/>
              </w:rPr>
              <w:t>）具体要求：</w:t>
            </w:r>
            <w:r>
              <w:rPr>
                <w:rFonts w:hint="eastAsia" w:ascii="宋体" w:hAnsi="宋体" w:eastAsia="宋体" w:cs="宋体"/>
                <w:color w:val="auto"/>
                <w:kern w:val="0"/>
                <w:szCs w:val="21"/>
                <w:highlight w:val="none"/>
                <w:lang w:val="en-US" w:eastAsia="zh-CN"/>
              </w:rPr>
              <w:t>纸质投标</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纸质投标</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应选择在渝依法设立总部或者设有分支机构的金融机构开具</w:t>
            </w:r>
            <w:r>
              <w:rPr>
                <w:rFonts w:hint="eastAsia" w:ascii="宋体" w:hAnsi="宋体" w:eastAsia="宋体" w:cs="宋体"/>
                <w:color w:val="auto"/>
                <w:kern w:val="0"/>
                <w:szCs w:val="21"/>
                <w:highlight w:val="none"/>
                <w:lang w:val="en-US" w:eastAsia="zh-CN"/>
              </w:rPr>
              <w:t>纸质投标</w:t>
            </w:r>
            <w:r>
              <w:rPr>
                <w:rFonts w:hint="eastAsia" w:ascii="宋体" w:hAnsi="宋体" w:eastAsia="宋体" w:cs="宋体"/>
                <w:color w:val="auto"/>
                <w:kern w:val="0"/>
                <w:szCs w:val="21"/>
                <w:highlight w:val="none"/>
              </w:rPr>
              <w:t>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投标人对所提交的纸质投标保函的真实性、合法性、有效性负责。</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若投标截止时间延期，则纸质投标保函递交的截止时间和投标截止时间保持一致。</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不满足上述要求的纸质投标保函无效。</w:t>
            </w:r>
          </w:p>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 xml:space="preserve">2. </w:t>
            </w:r>
            <w:r>
              <w:rPr>
                <w:rFonts w:hint="eastAsia" w:ascii="宋体" w:hAnsi="宋体" w:eastAsia="宋体" w:cs="宋体"/>
                <w:color w:val="auto"/>
                <w:highlight w:val="none"/>
              </w:rPr>
              <w:t>以纸质投标保函形式担保的投标保证金的金额</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万元整（人民币）</w:t>
            </w:r>
            <w:r>
              <w:rPr>
                <w:rFonts w:hint="eastAsia" w:ascii="宋体" w:hAnsi="宋体" w:eastAsia="宋体" w:cs="宋体"/>
                <w:color w:val="auto"/>
                <w:highlight w:val="none"/>
              </w:rPr>
              <w:t>。</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投标人须</w:t>
            </w:r>
            <w:r>
              <w:rPr>
                <w:rFonts w:hint="eastAsia" w:ascii="宋体" w:hAnsi="宋体" w:eastAsia="宋体" w:cs="宋体"/>
                <w:color w:val="auto"/>
                <w:highlight w:val="none"/>
              </w:rPr>
              <w:t>在</w:t>
            </w:r>
            <w:r>
              <w:rPr>
                <w:rFonts w:hint="eastAsia" w:ascii="宋体" w:hAnsi="宋体" w:eastAsia="宋体" w:cs="宋体"/>
                <w:color w:val="auto"/>
                <w:kern w:val="0"/>
                <w:szCs w:val="21"/>
                <w:highlight w:val="none"/>
              </w:rPr>
              <w:t>纸质投标保函</w:t>
            </w:r>
            <w:r>
              <w:rPr>
                <w:rFonts w:hint="eastAsia" w:ascii="宋体" w:hAnsi="宋体" w:eastAsia="宋体" w:cs="宋体"/>
                <w:color w:val="auto"/>
                <w:kern w:val="0"/>
                <w:szCs w:val="21"/>
                <w:highlight w:val="none"/>
                <w:lang w:val="en-US" w:eastAsia="zh-CN"/>
              </w:rPr>
              <w:t>中注明</w:t>
            </w:r>
            <w:r>
              <w:rPr>
                <w:rFonts w:hint="eastAsia" w:ascii="宋体" w:hAnsi="宋体" w:eastAsia="宋体" w:cs="宋体"/>
                <w:color w:val="auto"/>
                <w:kern w:val="0"/>
                <w:szCs w:val="21"/>
                <w:highlight w:val="none"/>
              </w:rPr>
              <w:t>在重庆市辖区范围内的核验</w:t>
            </w:r>
            <w:r>
              <w:rPr>
                <w:rFonts w:hint="eastAsia" w:ascii="宋体" w:hAnsi="宋体" w:eastAsia="宋体" w:cs="宋体"/>
                <w:color w:val="auto"/>
                <w:kern w:val="0"/>
                <w:szCs w:val="21"/>
                <w:highlight w:val="none"/>
                <w:lang w:val="en-US" w:eastAsia="zh-CN"/>
              </w:rPr>
              <w:t>地址和核验方式，并</w:t>
            </w:r>
            <w:r>
              <w:rPr>
                <w:rFonts w:hint="eastAsia" w:ascii="宋体" w:hAnsi="宋体" w:eastAsia="宋体" w:cs="宋体"/>
                <w:color w:val="auto"/>
                <w:kern w:val="0"/>
                <w:szCs w:val="21"/>
                <w:highlight w:val="none"/>
              </w:rPr>
              <w:t>确保其递交的纸质投标保函能在</w:t>
            </w:r>
            <w:r>
              <w:rPr>
                <w:rFonts w:hint="eastAsia" w:ascii="宋体" w:hAnsi="宋体" w:eastAsia="宋体" w:cs="宋体"/>
                <w:color w:val="auto"/>
                <w:kern w:val="0"/>
                <w:szCs w:val="21"/>
                <w:highlight w:val="none"/>
                <w:lang w:val="en-US" w:eastAsia="zh-CN"/>
              </w:rPr>
              <w:t>开立人在渝的总部或者分支机构进行</w:t>
            </w:r>
            <w:r>
              <w:rPr>
                <w:rFonts w:hint="eastAsia" w:ascii="宋体" w:hAnsi="宋体" w:eastAsia="宋体" w:cs="宋体"/>
                <w:color w:val="auto"/>
                <w:kern w:val="0"/>
                <w:szCs w:val="21"/>
                <w:highlight w:val="none"/>
              </w:rPr>
              <w:t>核验。</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在发出中标通知书前，招标人应当对投标人（至少中标候选人或中标人）</w:t>
            </w:r>
            <w:r>
              <w:rPr>
                <w:rFonts w:hint="eastAsia" w:ascii="宋体" w:hAnsi="宋体" w:eastAsia="宋体" w:cs="宋体"/>
                <w:color w:val="auto"/>
                <w:kern w:val="0"/>
                <w:szCs w:val="21"/>
                <w:highlight w:val="none"/>
                <w:lang w:val="en-US" w:eastAsia="zh-CN"/>
              </w:rPr>
              <w:t>递交</w:t>
            </w:r>
            <w:r>
              <w:rPr>
                <w:rFonts w:hint="eastAsia" w:ascii="宋体" w:hAnsi="宋体" w:eastAsia="宋体" w:cs="宋体"/>
                <w:color w:val="auto"/>
                <w:kern w:val="0"/>
                <w:szCs w:val="21"/>
                <w:highlight w:val="none"/>
              </w:rPr>
              <w:t>的纸质投标保函</w:t>
            </w:r>
            <w:r>
              <w:rPr>
                <w:rFonts w:hint="eastAsia" w:ascii="宋体" w:hAnsi="宋体" w:eastAsia="宋体" w:cs="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已取得中标候选人资格或中标资格的投标人，</w:t>
            </w:r>
            <w:r>
              <w:rPr>
                <w:rFonts w:hint="eastAsia" w:ascii="宋体" w:hAnsi="宋体" w:eastAsia="宋体" w:cs="宋体"/>
                <w:color w:val="auto"/>
                <w:szCs w:val="21"/>
                <w:highlight w:val="none"/>
                <w:lang w:val="en-US" w:eastAsia="zh-CN"/>
              </w:rPr>
              <w:t>按相关规定</w:t>
            </w:r>
            <w:r>
              <w:rPr>
                <w:rFonts w:hint="eastAsia" w:ascii="宋体" w:hAnsi="宋体" w:eastAsia="宋体" w:cs="宋体"/>
                <w:color w:val="auto"/>
                <w:szCs w:val="21"/>
                <w:highlight w:val="none"/>
              </w:rPr>
              <w:t>取消中标候选人资格或中标资格</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给招标人造成损失的，投标人依法承担赔偿责任。</w:t>
            </w:r>
            <w:r>
              <w:rPr>
                <w:rFonts w:hint="eastAsia" w:ascii="宋体" w:hAnsi="宋体" w:eastAsia="宋体" w:cs="宋体"/>
                <w:color w:val="auto"/>
                <w:kern w:val="0"/>
                <w:szCs w:val="21"/>
                <w:highlight w:val="none"/>
                <w:lang w:val="en-US" w:eastAsia="zh-CN"/>
              </w:rPr>
              <w:t>投标人提交的纸质投标</w:t>
            </w:r>
            <w:r>
              <w:rPr>
                <w:rFonts w:hint="eastAsia" w:ascii="宋体" w:hAnsi="宋体" w:eastAsia="宋体" w:cs="宋体"/>
                <w:color w:val="auto"/>
                <w:szCs w:val="21"/>
                <w:highlight w:val="none"/>
              </w:rPr>
              <w:t>保函涉及弄虚作假或其他违法违规</w:t>
            </w:r>
            <w:r>
              <w:rPr>
                <w:rFonts w:hint="eastAsia" w:ascii="宋体" w:hAnsi="宋体" w:eastAsia="宋体" w:cs="宋体"/>
                <w:color w:val="auto"/>
                <w:szCs w:val="21"/>
                <w:highlight w:val="none"/>
                <w:lang w:val="en-US" w:eastAsia="zh-CN"/>
              </w:rPr>
              <w:t>情形</w:t>
            </w:r>
            <w:r>
              <w:rPr>
                <w:rFonts w:hint="eastAsia" w:ascii="宋体" w:hAnsi="宋体" w:eastAsia="宋体" w:cs="宋体"/>
                <w:color w:val="auto"/>
                <w:szCs w:val="21"/>
                <w:highlight w:val="none"/>
              </w:rPr>
              <w:t>的，移送相关部门处理</w:t>
            </w:r>
            <w:r>
              <w:rPr>
                <w:rFonts w:hint="eastAsia" w:ascii="宋体" w:hAnsi="宋体" w:eastAsia="宋体" w:cs="宋体"/>
                <w:color w:val="auto"/>
                <w:kern w:val="0"/>
                <w:szCs w:val="21"/>
                <w:highlight w:val="none"/>
              </w:rPr>
              <w:t>。</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二、纸质投标保函的退还、注销</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招标人应当在法定时间内确定中标人，向中标人发出中标通知书，同时向除中标候选人以外的其他投标人退还纸质投标保函并书面通知相关</w:t>
            </w:r>
            <w:r>
              <w:rPr>
                <w:rFonts w:hint="eastAsia" w:ascii="宋体" w:hAnsi="宋体" w:eastAsia="宋体" w:cs="宋体"/>
                <w:color w:val="auto"/>
                <w:kern w:val="0"/>
                <w:szCs w:val="21"/>
                <w:highlight w:val="none"/>
                <w:lang w:val="en-US" w:eastAsia="zh-CN"/>
              </w:rPr>
              <w:t>金融机构</w:t>
            </w:r>
            <w:r>
              <w:rPr>
                <w:rFonts w:hint="eastAsia" w:ascii="宋体" w:hAnsi="宋体" w:eastAsia="宋体" w:cs="宋体"/>
                <w:color w:val="auto"/>
                <w:kern w:val="0"/>
                <w:szCs w:val="21"/>
                <w:highlight w:val="none"/>
              </w:rPr>
              <w:t>本项目准予提前注销纸质投标保函。具体注销事宜由投标人与</w:t>
            </w:r>
            <w:r>
              <w:rPr>
                <w:rFonts w:hint="eastAsia" w:ascii="宋体" w:hAnsi="宋体" w:eastAsia="宋体" w:cs="宋体"/>
                <w:color w:val="auto"/>
                <w:kern w:val="0"/>
                <w:szCs w:val="21"/>
                <w:highlight w:val="none"/>
                <w:lang w:val="en-US" w:eastAsia="zh-CN"/>
              </w:rPr>
              <w:t>金融机构</w:t>
            </w:r>
            <w:r>
              <w:rPr>
                <w:rFonts w:hint="eastAsia" w:ascii="宋体" w:hAnsi="宋体" w:eastAsia="宋体" w:cs="宋体"/>
                <w:color w:val="auto"/>
                <w:kern w:val="0"/>
                <w:szCs w:val="21"/>
                <w:highlight w:val="none"/>
              </w:rPr>
              <w:t>协商。</w:t>
            </w:r>
          </w:p>
          <w:p>
            <w:pPr>
              <w:snapToGrid w:val="0"/>
              <w:spacing w:line="400" w:lineRule="exact"/>
              <w:ind w:firstLine="420" w:firstLineChars="2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Cs w:val="21"/>
                <w:highlight w:val="none"/>
              </w:rPr>
              <w:t>招标人应在法定时间内和中标人签订合同，并同时书面通知相关</w:t>
            </w:r>
            <w:r>
              <w:rPr>
                <w:rFonts w:hint="eastAsia" w:ascii="宋体" w:hAnsi="宋体" w:eastAsia="宋体" w:cs="宋体"/>
                <w:color w:val="auto"/>
                <w:kern w:val="0"/>
                <w:szCs w:val="21"/>
                <w:highlight w:val="none"/>
                <w:lang w:val="en-US" w:eastAsia="zh-CN"/>
              </w:rPr>
              <w:t>金融机构</w:t>
            </w:r>
            <w:r>
              <w:rPr>
                <w:rFonts w:hint="eastAsia" w:ascii="宋体" w:hAnsi="宋体" w:eastAsia="宋体" w:cs="宋体"/>
                <w:color w:val="auto"/>
                <w:kern w:val="0"/>
                <w:szCs w:val="21"/>
                <w:highlight w:val="none"/>
              </w:rPr>
              <w:t>向中标人和其他中标候选人注销纸质投标保函。具体注销事宜由投标人与</w:t>
            </w:r>
            <w:r>
              <w:rPr>
                <w:rFonts w:hint="eastAsia" w:ascii="宋体" w:hAnsi="宋体" w:eastAsia="宋体" w:cs="宋体"/>
                <w:color w:val="auto"/>
                <w:kern w:val="0"/>
                <w:szCs w:val="21"/>
                <w:highlight w:val="none"/>
                <w:lang w:val="en-US" w:eastAsia="zh-CN"/>
              </w:rPr>
              <w:t>金融机构</w:t>
            </w:r>
            <w:r>
              <w:rPr>
                <w:rFonts w:hint="eastAsia" w:ascii="宋体" w:hAnsi="宋体" w:eastAsia="宋体" w:cs="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snapToGrid w:val="0"/>
              <w:spacing w:after="93" w:afterLines="3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644" w:type="dxa"/>
            <w:vAlign w:val="center"/>
          </w:tcPr>
          <w:p>
            <w:pPr>
              <w:snapToGrid w:val="0"/>
              <w:spacing w:after="93" w:afterLines="3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644" w:type="dxa"/>
            <w:vAlign w:val="center"/>
          </w:tcPr>
          <w:p>
            <w:pPr>
              <w:snapToGrid w:val="0"/>
              <w:spacing w:line="400" w:lineRule="exac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投标文件正本1份、副本2份，电子版形式（</w:t>
            </w:r>
            <w:r>
              <w:rPr>
                <w:rFonts w:hint="eastAsia" w:ascii="宋体" w:hAnsi="宋体" w:cs="宋体"/>
                <w:color w:val="auto"/>
                <w:kern w:val="0"/>
                <w:szCs w:val="21"/>
                <w:highlight w:val="none"/>
                <w:lang w:val="en-US" w:eastAsia="zh-CN"/>
              </w:rPr>
              <w:t>U</w:t>
            </w:r>
            <w:r>
              <w:rPr>
                <w:rFonts w:hint="eastAsia" w:ascii="宋体" w:hAnsi="宋体" w:eastAsia="宋体" w:cs="宋体"/>
                <w:color w:val="auto"/>
                <w:kern w:val="0"/>
                <w:szCs w:val="21"/>
                <w:highlight w:val="none"/>
              </w:rPr>
              <w:t>盘）1份，</w:t>
            </w:r>
            <w:r>
              <w:rPr>
                <w:rFonts w:hint="eastAsia" w:ascii="宋体" w:hAnsi="宋体" w:eastAsia="宋体" w:cs="宋体"/>
                <w:snapToGrid w:val="0"/>
                <w:color w:val="auto"/>
                <w:kern w:val="0"/>
                <w:szCs w:val="21"/>
                <w:highlight w:val="none"/>
              </w:rPr>
              <w:t>《技术方案》不分正副本</w:t>
            </w:r>
            <w:r>
              <w:rPr>
                <w:rFonts w:hint="eastAsia" w:ascii="宋体" w:hAnsi="宋体" w:eastAsia="宋体" w:cs="宋体"/>
                <w:color w:val="auto"/>
                <w:kern w:val="0"/>
                <w:szCs w:val="21"/>
                <w:highlight w:val="none"/>
              </w:rPr>
              <w:t>。当副本和正本不一致时，以正本为准。否则由评标委员会作否决投标处理。</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电子版形式（</w:t>
            </w:r>
            <w:r>
              <w:rPr>
                <w:rFonts w:hint="eastAsia" w:ascii="宋体" w:hAnsi="宋体" w:cs="宋体"/>
                <w:color w:val="auto"/>
                <w:kern w:val="0"/>
                <w:szCs w:val="21"/>
                <w:highlight w:val="none"/>
                <w:lang w:val="en-US" w:eastAsia="zh-CN"/>
              </w:rPr>
              <w:t>U</w:t>
            </w:r>
            <w:r>
              <w:rPr>
                <w:rFonts w:hint="eastAsia" w:ascii="宋体" w:hAnsi="宋体" w:eastAsia="宋体" w:cs="宋体"/>
                <w:color w:val="auto"/>
                <w:kern w:val="0"/>
                <w:szCs w:val="21"/>
                <w:highlight w:val="none"/>
              </w:rPr>
              <w:t>盘）中的经济部分：应包含经济部分全部excel格式预算表格，工程量清单综合单价分析表无须装订入投标文件纸质版中，但清单项目的综合单价分析表（excel格式）必须</w:t>
            </w:r>
            <w:r>
              <w:rPr>
                <w:rFonts w:hint="eastAsia" w:ascii="宋体" w:hAnsi="宋体" w:cs="宋体"/>
                <w:color w:val="auto"/>
                <w:kern w:val="0"/>
                <w:szCs w:val="21"/>
                <w:highlight w:val="none"/>
                <w:lang w:eastAsia="zh-CN"/>
              </w:rPr>
              <w:t>导</w:t>
            </w:r>
            <w:r>
              <w:rPr>
                <w:rFonts w:hint="eastAsia" w:ascii="宋体" w:hAnsi="宋体" w:eastAsia="宋体" w:cs="宋体"/>
                <w:color w:val="auto"/>
                <w:kern w:val="0"/>
                <w:szCs w:val="21"/>
                <w:highlight w:val="none"/>
              </w:rPr>
              <w:t>入</w:t>
            </w:r>
            <w:r>
              <w:rPr>
                <w:rFonts w:hint="eastAsia" w:ascii="宋体" w:hAnsi="宋体" w:cs="宋体"/>
                <w:color w:val="auto"/>
                <w:kern w:val="0"/>
                <w:szCs w:val="21"/>
                <w:highlight w:val="none"/>
                <w:lang w:val="en-US" w:eastAsia="zh-CN"/>
              </w:rPr>
              <w:t>U</w:t>
            </w:r>
            <w:r>
              <w:rPr>
                <w:rFonts w:hint="eastAsia" w:ascii="宋体" w:hAnsi="宋体" w:eastAsia="宋体" w:cs="宋体"/>
                <w:color w:val="auto"/>
                <w:kern w:val="0"/>
                <w:szCs w:val="21"/>
                <w:highlight w:val="none"/>
              </w:rPr>
              <w:t>盘中。</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注：在核发中标通知书时，中标人应另外补充一式</w:t>
            </w:r>
            <w:r>
              <w:rPr>
                <w:rFonts w:hint="eastAsia" w:ascii="宋体" w:hAnsi="宋体" w:eastAsia="宋体" w:cs="宋体"/>
                <w:color w:val="auto"/>
                <w:kern w:val="0"/>
                <w:szCs w:val="21"/>
                <w:highlight w:val="none"/>
                <w:u w:val="single"/>
              </w:rPr>
              <w:t xml:space="preserve"> 6 </w:t>
            </w:r>
            <w:r>
              <w:rPr>
                <w:rFonts w:hint="eastAsia" w:ascii="宋体" w:hAnsi="宋体" w:eastAsia="宋体" w:cs="宋体"/>
                <w:color w:val="auto"/>
                <w:kern w:val="0"/>
                <w:szCs w:val="21"/>
                <w:highlight w:val="none"/>
              </w:rPr>
              <w:t>份投标文件（除需增加的工程量清单综合单价分析表外，其他内容必须与投标时提交的投标文件相一致）。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装订要求</w:t>
            </w:r>
          </w:p>
        </w:tc>
        <w:tc>
          <w:tcPr>
            <w:tcW w:w="6490" w:type="dxa"/>
            <w:vAlign w:val="center"/>
          </w:tcPr>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1.本工程技术部分采用明标评审，应将投标函部分、经济部分、技术部分、资格审查部分各自分别装订成册，投标保函部分（如有）无需装订。</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（1）投标保函部分（如有）的装订要求</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应按照第八章规定格式排版，</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应编制目录，但不得将目录编制作为评审因素。</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（2）投标函部分的装订要求</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应按照第八章规定格式排版，</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应编制目录，但不得将目录编制作为评审因素。</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（3）经济部分的装订要求</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应按照第八章规定格式排版，</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应编制目录，但不得将目录编制作为评审因素。</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（4）技术部分（如有）的装订要求</w:t>
            </w:r>
          </w:p>
          <w:p>
            <w:pPr>
              <w:adjustRightInd w:val="0"/>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投标文件技术明标不设封面，应按照第八章规定格式排版，</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应编制目录，但不得将</w:t>
            </w:r>
            <w:r>
              <w:rPr>
                <w:rFonts w:hint="eastAsia" w:ascii="宋体" w:hAnsi="宋体" w:eastAsia="宋体" w:cs="宋体"/>
                <w:color w:val="auto"/>
                <w:szCs w:val="21"/>
                <w:highlight w:val="none"/>
                <w:lang w:val="en-US" w:eastAsia="zh-CN"/>
              </w:rPr>
              <w:t>封面设置、</w:t>
            </w:r>
            <w:r>
              <w:rPr>
                <w:rFonts w:hint="eastAsia" w:ascii="宋体" w:hAnsi="宋体" w:eastAsia="宋体" w:cs="宋体"/>
                <w:color w:val="auto"/>
                <w:szCs w:val="21"/>
                <w:highlight w:val="none"/>
              </w:rPr>
              <w:t>目录编制作为评审因素。</w:t>
            </w:r>
            <w:r>
              <w:rPr>
                <w:rFonts w:hint="eastAsia" w:ascii="宋体" w:hAnsi="宋体" w:eastAsia="宋体" w:cs="宋体"/>
                <w:color w:val="auto"/>
                <w:szCs w:val="21"/>
                <w:highlight w:val="none"/>
                <w:lang w:val="en-US" w:eastAsia="zh-CN"/>
              </w:rPr>
              <w:t>注：技术部分采用明标评审时，不因形式评审的问题（包括但不限于封面、页码、目录、字体、格式等）而被否决投标。</w:t>
            </w:r>
          </w:p>
          <w:p>
            <w:pPr>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（技术方案原则上不超过</w:t>
            </w:r>
            <w:r>
              <w:rPr>
                <w:rFonts w:hint="eastAsia" w:ascii="宋体" w:hAnsi="宋体" w:eastAsia="宋体" w:cs="宋体"/>
                <w:color w:val="auto"/>
                <w:szCs w:val="21"/>
                <w:highlight w:val="none"/>
                <w:u w:val="single"/>
                <w:lang w:val="en-US" w:eastAsia="zh-CN"/>
              </w:rPr>
              <w:t>200</w:t>
            </w:r>
            <w:r>
              <w:rPr>
                <w:rFonts w:hint="eastAsia" w:ascii="宋体" w:hAnsi="宋体" w:eastAsia="宋体" w:cs="宋体"/>
                <w:color w:val="auto"/>
                <w:szCs w:val="21"/>
                <w:highlight w:val="none"/>
              </w:rPr>
              <w:t>页，但不得将页数作为评审因素。）（5）</w:t>
            </w:r>
            <w:r>
              <w:rPr>
                <w:rFonts w:hint="eastAsia" w:ascii="宋体" w:hAnsi="宋体" w:eastAsia="宋体" w:cs="宋体"/>
                <w:color w:val="auto"/>
                <w:kern w:val="0"/>
                <w:szCs w:val="21"/>
                <w:highlight w:val="none"/>
              </w:rPr>
              <w:t>资格审查部分的装订要求</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应按照第八章规定格式排版，</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644" w:type="dxa"/>
            <w:vAlign w:val="center"/>
          </w:tcPr>
          <w:p>
            <w:pPr>
              <w:snapToGrid w:val="0"/>
              <w:spacing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投标文件的密封</w:t>
            </w:r>
          </w:p>
        </w:tc>
        <w:tc>
          <w:tcPr>
            <w:tcW w:w="6490"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投标文件袋使用“投标保函部分”袋（如有）、“投标函部分”袋、“经济部分”袋、“技术部分”袋（如有）、“资格审查部分”袋以及“投标文件”大袋。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投标函部分和电子版形式（</w:t>
            </w:r>
            <w:r>
              <w:rPr>
                <w:rFonts w:hint="eastAsia" w:ascii="宋体" w:hAnsi="宋体" w:cs="宋体"/>
                <w:color w:val="auto"/>
                <w:szCs w:val="21"/>
                <w:highlight w:val="none"/>
                <w:lang w:eastAsia="zh-CN"/>
              </w:rPr>
              <w:t>U盘</w:t>
            </w:r>
            <w:r>
              <w:rPr>
                <w:rFonts w:hint="eastAsia" w:ascii="宋体" w:hAnsi="宋体" w:eastAsia="宋体" w:cs="宋体"/>
                <w:color w:val="auto"/>
                <w:szCs w:val="21"/>
                <w:highlight w:val="none"/>
              </w:rPr>
              <w:t>）装入“投标函部分”袋中，密封并在袋上加盖投标人单位法人章。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经济部分装入“经济部分”袋中，密封并在袋上加盖投标人单</w:t>
            </w:r>
            <w:r>
              <w:rPr>
                <w:rFonts w:hint="eastAsia" w:ascii="宋体" w:hAnsi="宋体" w:eastAsia="宋体" w:cs="宋体"/>
                <w:color w:val="auto"/>
                <w:szCs w:val="21"/>
                <w:highlight w:val="none"/>
              </w:rPr>
              <w:t>位法人章。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.本次招标技术部分采用明标评审，技术部分装入“技术部分”袋中，密封并加盖投标人单位法人章。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资格审查部分装入“资格审查部分”袋中，密封并在袋上加盖投标人单位法人章。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投标函部分”、“经济部分”、“技术部分”（如有）、“资格审查部分”等小袋装入“投标文件”大袋中，密封并在大袋上加盖投标人单位法人章，同时“投标文件”大袋应按本表第4.1.2项的规定写明相应内容。一个大袋装不下的，可使用多个大袋分册封装。大袋未按要求密封的，招标人或代理机构应该拒收。</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注：“投标函部分”袋、“技术部分”袋（如有）、“经济部分”袋、“资格审查部分”袋只为方便投标文件分装，不作为判定密封合格与否的条件。但为了方便开标，请各投标人主动配合，按要求分装。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应在“投标文件”大袋封套上写明如下内容：</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（项目名称）</w:t>
            </w:r>
            <w:r>
              <w:rPr>
                <w:rFonts w:hint="eastAsia" w:ascii="宋体" w:hAnsi="宋体" w:eastAsia="宋体" w:cs="宋体"/>
                <w:color w:val="auto"/>
                <w:kern w:val="0"/>
                <w:szCs w:val="21"/>
                <w:highlight w:val="none"/>
              </w:rPr>
              <w:t>投标文件</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6490" w:type="dxa"/>
            <w:vAlign w:val="center"/>
          </w:tcPr>
          <w:p>
            <w:pPr>
              <w:snapToGrid w:val="0"/>
              <w:spacing w:line="400" w:lineRule="exact"/>
              <w:ind w:firstLine="420" w:firstLineChars="200"/>
              <w:rPr>
                <w:rFonts w:hint="eastAsia" w:ascii="宋体" w:hAnsi="宋体" w:eastAsia="宋体" w:cs="宋体"/>
                <w:bCs/>
                <w:i/>
                <w:color w:val="auto"/>
                <w:szCs w:val="21"/>
                <w:highlight w:val="none"/>
                <w:lang w:eastAsia="zh-CN"/>
              </w:rPr>
            </w:pPr>
            <w:r>
              <w:rPr>
                <w:rFonts w:hint="eastAsia" w:ascii="宋体" w:hAnsi="宋体" w:eastAsia="宋体" w:cs="宋体"/>
                <w:color w:val="auto"/>
                <w:szCs w:val="21"/>
                <w:highlight w:val="none"/>
              </w:rPr>
              <w:t>重庆市大渡口区天安数码城二期一栋408室</w:t>
            </w:r>
            <w:r>
              <w:rPr>
                <w:rFonts w:hint="eastAsia" w:ascii="宋体" w:hAnsi="宋体" w:eastAsia="宋体" w:cs="宋体"/>
                <w:color w:val="auto"/>
                <w:szCs w:val="21"/>
                <w:highlight w:val="none"/>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开标时间：同投标截止时间</w:t>
            </w:r>
          </w:p>
          <w:p>
            <w:pPr>
              <w:snapToGrid w:val="0"/>
              <w:spacing w:line="400" w:lineRule="exact"/>
              <w:ind w:firstLine="420" w:firstLineChars="200"/>
              <w:rPr>
                <w:rFonts w:hint="eastAsia" w:ascii="宋体" w:hAnsi="宋体" w:eastAsia="宋体" w:cs="宋体"/>
                <w:bCs/>
                <w:i/>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szCs w:val="21"/>
                <w:highlight w:val="none"/>
              </w:rPr>
              <w:t>重庆市大渡口区天安数码城二期一栋408室</w:t>
            </w:r>
            <w:r>
              <w:rPr>
                <w:rFonts w:hint="eastAsia" w:ascii="宋体" w:hAnsi="宋体" w:eastAsia="宋体" w:cs="宋体"/>
                <w:color w:val="auto"/>
                <w:szCs w:val="21"/>
                <w:highlight w:val="none"/>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644" w:type="dxa"/>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核验参加开标会议的投标人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宣布开标纪律。</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宣布开标人、唱标人、记录人、监标人等有关人员姓名。</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公布在投标截止时间前递交投标文件的投标人名称。</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投标文件的密封检查：投标人可对自己的投标文件封装情况进行检查，以确认其投标文件密封完好。</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公布最高限价，采用经评审最低投标价法的还需计算最高限价的85%数值，以便评标委员会评审。</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逐单位随机开启投标文件。开启投标文件大袋及投标函部分袋、经济部分袋、技术部分袋（如有）、资格审查部分袋；公布投标人名称、投标报价、质量要求、工期及其他内容并记录在案。</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开标记录表交由评标委员会评审。</w:t>
            </w:r>
          </w:p>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644" w:type="dxa"/>
            <w:vAlign w:val="center"/>
          </w:tcPr>
          <w:p>
            <w:pPr>
              <w:snapToGrid w:val="0"/>
              <w:spacing w:after="62"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w:t>
            </w:r>
          </w:p>
        </w:tc>
        <w:tc>
          <w:tcPr>
            <w:tcW w:w="1644" w:type="dxa"/>
            <w:vAlign w:val="center"/>
          </w:tcPr>
          <w:p>
            <w:pPr>
              <w:snapToGrid w:val="0"/>
              <w:spacing w:after="62"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中标公示</w:t>
            </w:r>
          </w:p>
        </w:tc>
        <w:tc>
          <w:tcPr>
            <w:tcW w:w="6490" w:type="dxa"/>
            <w:vAlign w:val="center"/>
          </w:tcPr>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招标人在收到评标报告后3日内将评标结果在</w:t>
            </w:r>
            <w:r>
              <w:rPr>
                <w:rFonts w:hint="eastAsia" w:ascii="宋体" w:hAnsi="宋体" w:eastAsia="宋体" w:cs="宋体"/>
                <w:color w:val="auto"/>
                <w:szCs w:val="21"/>
                <w:highlight w:val="none"/>
                <w:u w:val="single"/>
              </w:rPr>
              <w:t>“行采家”平台（https://www.gec123.com）</w:t>
            </w:r>
            <w:r>
              <w:rPr>
                <w:rFonts w:hint="eastAsia" w:ascii="宋体" w:hAnsi="宋体" w:eastAsia="宋体" w:cs="宋体"/>
                <w:color w:val="auto"/>
                <w:szCs w:val="21"/>
                <w:highlight w:val="none"/>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1、中标人是否提供履约担保：</w:t>
            </w:r>
            <w:r>
              <w:rPr>
                <w:rFonts w:hint="eastAsia" w:ascii="宋体" w:hAnsi="宋体" w:eastAsia="宋体" w:cs="宋体"/>
                <w:color w:val="auto"/>
                <w:kern w:val="0"/>
                <w:szCs w:val="21"/>
                <w:highlight w:val="none"/>
                <w:u w:val="single"/>
              </w:rPr>
              <w:t>提供</w:t>
            </w:r>
            <w:r>
              <w:rPr>
                <w:rFonts w:hint="eastAsia" w:ascii="宋体" w:hAnsi="宋体" w:eastAsia="宋体" w:cs="宋体"/>
                <w:color w:val="auto"/>
                <w:kern w:val="0"/>
                <w:szCs w:val="21"/>
                <w:highlight w:val="none"/>
              </w:rPr>
              <w:t>。</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中标合同金额的10%</w:t>
            </w:r>
            <w:r>
              <w:rPr>
                <w:rFonts w:hint="eastAsia" w:ascii="宋体" w:hAnsi="宋体" w:eastAsia="宋体" w:cs="宋体"/>
                <w:color w:val="auto"/>
                <w:kern w:val="0"/>
                <w:szCs w:val="21"/>
                <w:highlight w:val="none"/>
              </w:rPr>
              <w:t>；</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（3）履约担保的提交时间：见专用合同条款。</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（4）履约担保的期限：见专用合同条款。</w:t>
            </w:r>
          </w:p>
          <w:p>
            <w:pPr>
              <w:snapToGrid w:val="0"/>
              <w:spacing w:after="62" w:afterLines="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6490" w:type="dxa"/>
            <w:vAlign w:val="center"/>
          </w:tcPr>
          <w:p>
            <w:pPr>
              <w:snapToGrid w:val="0"/>
              <w:spacing w:after="62" w:afterLines="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6490" w:type="dxa"/>
            <w:vAlign w:val="center"/>
          </w:tcPr>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widowControl/>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widowControl/>
              <w:spacing w:after="62" w:afterLines="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widowControl/>
              <w:spacing w:after="62" w:afterLines="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1644" w:type="dxa"/>
            <w:vAlign w:val="center"/>
          </w:tcPr>
          <w:p>
            <w:pPr>
              <w:snapToGrid w:val="0"/>
              <w:spacing w:line="400" w:lineRule="exact"/>
              <w:jc w:val="center"/>
              <w:rPr>
                <w:rFonts w:hint="eastAsia" w:ascii="宋体" w:hAnsi="宋体" w:eastAsia="宋体" w:cs="宋体"/>
                <w:color w:val="auto"/>
                <w:highlight w:val="none"/>
              </w:rPr>
            </w:pPr>
            <w:bookmarkStart w:id="110" w:name="_Toc16930431"/>
            <w:bookmarkStart w:id="111" w:name="_Toc536628250"/>
            <w:bookmarkStart w:id="112" w:name="_Toc509218709"/>
            <w:bookmarkStart w:id="113" w:name="_Toc13210670"/>
            <w:bookmarkStart w:id="114" w:name="_Toc430530434"/>
            <w:r>
              <w:rPr>
                <w:rFonts w:hint="eastAsia" w:ascii="宋体" w:hAnsi="宋体" w:eastAsia="宋体" w:cs="宋体"/>
                <w:color w:val="auto"/>
                <w:kern w:val="0"/>
                <w:szCs w:val="21"/>
                <w:highlight w:val="none"/>
              </w:rPr>
              <w:t>重新招标和不再招标</w:t>
            </w:r>
            <w:bookmarkEnd w:id="110"/>
            <w:bookmarkEnd w:id="111"/>
            <w:bookmarkEnd w:id="112"/>
            <w:bookmarkEnd w:id="113"/>
            <w:bookmarkEnd w:id="114"/>
          </w:p>
        </w:tc>
        <w:tc>
          <w:tcPr>
            <w:tcW w:w="6490" w:type="dxa"/>
            <w:vAlign w:val="center"/>
          </w:tcPr>
          <w:p>
            <w:pPr>
              <w:autoSpaceDE w:val="0"/>
              <w:autoSpaceDN w:val="0"/>
              <w:adjustRightInd w:val="0"/>
              <w:snapToGrid w:val="0"/>
              <w:spacing w:after="62" w:afterLines="2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34" w:type="dxa"/>
            <w:gridSpan w:val="2"/>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支付担保</w:t>
            </w:r>
          </w:p>
        </w:tc>
        <w:tc>
          <w:tcPr>
            <w:tcW w:w="6490" w:type="dxa"/>
            <w:vAlign w:val="center"/>
          </w:tcPr>
          <w:p>
            <w:pPr>
              <w:snapToGrid w:val="0"/>
              <w:spacing w:after="124" w:afterLines="40"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项目经理答辩</w:t>
            </w:r>
          </w:p>
        </w:tc>
        <w:tc>
          <w:tcPr>
            <w:tcW w:w="6490" w:type="dxa"/>
            <w:vAlign w:val="center"/>
          </w:tcPr>
          <w:p>
            <w:pPr>
              <w:widowControl/>
              <w:spacing w:after="124" w:afterLines="4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项目经理答辩：无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10.3</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6490" w:type="dxa"/>
            <w:vAlign w:val="center"/>
          </w:tcPr>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异议或投诉的，应当先向招标人提出异议；招标人应当在规定时间内答复；对招标人的答复不满意，可向行政监督部门投诉。</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（1）异议或投诉人的名称、地址及有效联系方式；</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（2）被异议或投诉人的名称、地址及有效联系方式；</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行政监督部门依照《中华人民共和国招标投标法》、《中华人民共和国招标投标法实施条例》、《重庆市招标投标条例》、《工程建设项目招标投标活动投诉处理办法》（七部委令第11号（根据九部门2013年第23号令修正））、《重庆市招标投标活动投诉处理实施细则》（渝发改标〔2014〕1168号）等法律法规文件处理投诉。</w:t>
            </w:r>
          </w:p>
          <w:p>
            <w:pPr>
              <w:snapToGrid w:val="0"/>
              <w:spacing w:after="124" w:afterLines="4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widowControl/>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4.异议受理单位：重庆市金迈实业有限公司</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联系电话：023-71620205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10.4</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6490" w:type="dxa"/>
            <w:vAlign w:val="center"/>
          </w:tcPr>
          <w:p>
            <w:pPr>
              <w:widowControl/>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i/>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10.5</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建筑领域实施农民工工资专用账户相关要求</w:t>
            </w:r>
          </w:p>
        </w:tc>
        <w:tc>
          <w:tcPr>
            <w:tcW w:w="6490" w:type="dxa"/>
            <w:vAlign w:val="center"/>
          </w:tcPr>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在实施过程中，中标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及《重庆市建设工程造价管理总站关于建筑领域农民工工资专户管理网络系统正式运行有关事宜的通知》，实行农民工工资专用账户管理及银行代发制度，填报相应的网络管理系统。</w:t>
            </w:r>
          </w:p>
          <w:p>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6</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7</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6490" w:type="dxa"/>
            <w:vAlign w:val="center"/>
          </w:tcPr>
          <w:p>
            <w:pPr>
              <w:autoSpaceDE w:val="0"/>
              <w:autoSpaceDN w:val="0"/>
              <w:adjustRightInd w:val="0"/>
              <w:snapToGrid w:val="0"/>
              <w:spacing w:line="400" w:lineRule="exact"/>
              <w:ind w:firstLine="420"/>
              <w:rPr>
                <w:rFonts w:hint="eastAsia" w:ascii="宋体" w:hAnsi="宋体" w:eastAsia="宋体" w:cs="宋体"/>
                <w:i/>
                <w:color w:val="auto"/>
                <w:kern w:val="0"/>
                <w:szCs w:val="21"/>
                <w:highlight w:val="none"/>
                <w:lang w:val="en-US" w:eastAsia="zh-CN"/>
              </w:rPr>
            </w:pPr>
            <w:r>
              <w:rPr>
                <w:rFonts w:hint="eastAsia" w:ascii="宋体" w:hAnsi="宋体" w:eastAsia="宋体" w:cs="宋体"/>
                <w:i w:val="0"/>
                <w:iCs/>
                <w:color w:val="auto"/>
                <w:kern w:val="0"/>
                <w:szCs w:val="21"/>
                <w:highlight w:val="none"/>
                <w:lang w:val="en-US" w:eastAsia="zh-CN"/>
              </w:rPr>
              <w:t xml:space="preserve">中标后领取中标通知书书前，一次性向招标代理机构缴纳招标代理服务费。本项目招标代理服务费为12000.00元。 </w:t>
            </w:r>
          </w:p>
        </w:tc>
      </w:tr>
    </w:tbl>
    <w:p>
      <w:pPr>
        <w:pStyle w:val="4"/>
        <w:spacing w:before="0" w:after="0" w:line="360" w:lineRule="auto"/>
        <w:rPr>
          <w:rFonts w:ascii="宋体" w:hAnsi="宋体" w:eastAsia="宋体" w:cs="Times New Roman"/>
          <w:snapToGrid w:val="0"/>
          <w:color w:val="auto"/>
          <w:kern w:val="0"/>
          <w:sz w:val="32"/>
          <w:szCs w:val="32"/>
          <w:highlight w:val="none"/>
        </w:rPr>
      </w:pPr>
      <w:bookmarkStart w:id="115" w:name="_Toc57820560"/>
      <w:bookmarkStart w:id="116" w:name="_Toc509218710"/>
      <w:r>
        <w:rPr>
          <w:rFonts w:ascii="宋体" w:hAnsi="宋体" w:eastAsia="宋体" w:cs="Times New Roman"/>
          <w:snapToGrid w:val="0"/>
          <w:color w:val="auto"/>
          <w:kern w:val="0"/>
          <w:sz w:val="32"/>
          <w:szCs w:val="32"/>
          <w:highlight w:val="none"/>
        </w:rPr>
        <w:t>1.  总则</w:t>
      </w:r>
      <w:bookmarkEnd w:id="115"/>
      <w:bookmarkEnd w:id="116"/>
    </w:p>
    <w:p>
      <w:pPr>
        <w:autoSpaceDE w:val="0"/>
        <w:autoSpaceDN w:val="0"/>
        <w:adjustRightInd w:val="0"/>
        <w:snapToGrid w:val="0"/>
        <w:spacing w:line="360" w:lineRule="auto"/>
        <w:ind w:firstLine="420" w:firstLineChars="200"/>
        <w:rPr>
          <w:rFonts w:ascii="宋体" w:hAnsi="宋体" w:eastAsia="宋体" w:cs="Times New Roman"/>
          <w:snapToGrid w:val="0"/>
          <w:color w:val="auto"/>
          <w:kern w:val="0"/>
          <w:szCs w:val="21"/>
          <w:highlight w:val="none"/>
        </w:rPr>
      </w:pPr>
      <w:bookmarkStart w:id="117" w:name="_Toc224103318"/>
      <w:bookmarkStart w:id="118" w:name="_Toc509218711"/>
      <w:bookmarkStart w:id="119" w:name="_Toc287607747"/>
      <w:bookmarkStart w:id="120" w:name="_Toc57820561"/>
      <w:bookmarkStart w:id="121" w:name="_Toc277082553"/>
      <w:bookmarkStart w:id="122" w:name="_Toc200513127"/>
      <w:bookmarkStart w:id="123" w:name="_Toc430530436"/>
      <w:bookmarkStart w:id="124" w:name="_Toc287620686"/>
      <w:r>
        <w:rPr>
          <w:rFonts w:ascii="宋体" w:hAnsi="宋体" w:eastAsia="宋体" w:cs="Times New Roman"/>
          <w:snapToGrid w:val="0"/>
          <w:color w:val="auto"/>
          <w:kern w:val="0"/>
          <w:szCs w:val="21"/>
          <w:highlight w:val="none"/>
        </w:rPr>
        <w:t>1.1  项目概况</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eastAsia="宋体" w:cs="Times New Roman"/>
          <w:snapToGrid w:val="0"/>
          <w:color w:val="auto"/>
          <w:kern w:val="0"/>
          <w:szCs w:val="21"/>
          <w:highlight w:val="none"/>
        </w:rPr>
        <w:t>1.1.1  根据《</w:t>
      </w:r>
      <w:r>
        <w:rPr>
          <w:rFonts w:ascii="宋体" w:hAnsi="宋体"/>
          <w:snapToGrid w:val="0"/>
          <w:color w:val="auto"/>
          <w:kern w:val="0"/>
          <w:szCs w:val="21"/>
          <w:highlight w:val="none"/>
        </w:rPr>
        <w:t>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25" w:name="_Toc200513128"/>
      <w:bookmarkStart w:id="126" w:name="_Toc277082554"/>
      <w:bookmarkStart w:id="127" w:name="_Toc287620687"/>
      <w:bookmarkStart w:id="128" w:name="_Toc57820562"/>
      <w:bookmarkStart w:id="129" w:name="_Toc287607748"/>
      <w:bookmarkStart w:id="130" w:name="_Toc509218712"/>
      <w:bookmarkStart w:id="131" w:name="_Toc430530437"/>
      <w:bookmarkStart w:id="132" w:name="_Toc224103319"/>
      <w:r>
        <w:rPr>
          <w:rFonts w:ascii="宋体" w:hAnsi="宋体"/>
          <w:b w:val="0"/>
          <w:snapToGrid w:val="0"/>
          <w:color w:val="auto"/>
          <w:sz w:val="24"/>
          <w:szCs w:val="24"/>
          <w:highlight w:val="none"/>
        </w:rPr>
        <w:t>1.2  资金来源和落实情况</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33" w:name="_Toc287607749"/>
      <w:bookmarkStart w:id="134" w:name="_Toc509218713"/>
      <w:bookmarkStart w:id="135" w:name="_Toc287620688"/>
      <w:bookmarkStart w:id="136" w:name="_Toc200513129"/>
      <w:bookmarkStart w:id="137" w:name="_Toc57820563"/>
      <w:bookmarkStart w:id="138" w:name="_Toc430530438"/>
      <w:bookmarkStart w:id="139" w:name="_Toc277082555"/>
      <w:bookmarkStart w:id="140" w:name="_Toc224103320"/>
      <w:r>
        <w:rPr>
          <w:rFonts w:ascii="宋体" w:hAnsi="宋体"/>
          <w:b w:val="0"/>
          <w:snapToGrid w:val="0"/>
          <w:color w:val="auto"/>
          <w:sz w:val="24"/>
          <w:szCs w:val="24"/>
          <w:highlight w:val="none"/>
        </w:rPr>
        <w:t>1.3  招标范围、计划工期和质量要求</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41" w:name="_Toc200513131"/>
      <w:bookmarkStart w:id="142" w:name="_Toc287607751"/>
      <w:bookmarkStart w:id="143" w:name="_Toc430530440"/>
      <w:bookmarkStart w:id="144" w:name="_Toc224103322"/>
      <w:bookmarkStart w:id="145" w:name="_Toc509218715"/>
      <w:bookmarkStart w:id="146" w:name="_Toc57820565"/>
      <w:bookmarkStart w:id="147" w:name="_Toc277082557"/>
      <w:bookmarkStart w:id="148" w:name="_Toc287620690"/>
      <w:r>
        <w:rPr>
          <w:rFonts w:ascii="宋体" w:hAnsi="宋体"/>
          <w:b w:val="0"/>
          <w:snapToGrid w:val="0"/>
          <w:color w:val="auto"/>
          <w:sz w:val="24"/>
          <w:szCs w:val="24"/>
          <w:highlight w:val="none"/>
        </w:rPr>
        <w:t>1.4  投标人资格要求</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eastAsia="zh-CN"/>
        </w:rPr>
        <w:t>存在</w:t>
      </w:r>
      <w:r>
        <w:rPr>
          <w:rFonts w:ascii="宋体" w:hAnsi="宋体"/>
          <w:snapToGrid w:val="0"/>
          <w:color w:val="auto"/>
          <w:kern w:val="0"/>
          <w:szCs w:val="21"/>
          <w:highlight w:val="none"/>
        </w:rPr>
        <w:t>控股或参股的；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宋体" w:hAnsi="宋体" w:eastAsia="宋体"/>
          <w:color w:val="auto"/>
          <w:szCs w:val="21"/>
          <w:highlight w:val="none"/>
        </w:rPr>
        <w:t>被责令停产停业、暂扣或者吊销许可证、暂扣或者吊销执照</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宋体" w:hAnsi="宋体" w:eastAsia="宋体"/>
          <w:color w:val="auto"/>
          <w:szCs w:val="21"/>
          <w:highlight w:val="none"/>
        </w:rPr>
        <w:t>进入清算程序，或被宣告破产，或其他丧失履约能力的情形</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单位负责人为同一人或者存在控股、管理关系的不同单位，不得在同一标段中同时投标</w:t>
      </w:r>
      <w:r>
        <w:rPr>
          <w:rFonts w:ascii="宋体" w:hAnsi="宋体"/>
          <w:snapToGrid w:val="0"/>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149" w:name="_Toc277082558"/>
      <w:bookmarkStart w:id="150" w:name="_Toc57820566"/>
      <w:bookmarkStart w:id="151" w:name="_Toc509218716"/>
      <w:bookmarkStart w:id="152" w:name="_Toc430530441"/>
      <w:bookmarkStart w:id="153" w:name="_Toc224103323"/>
      <w:bookmarkStart w:id="154" w:name="_Toc287607752"/>
      <w:bookmarkStart w:id="155" w:name="_Toc200513132"/>
      <w:bookmarkStart w:id="156" w:name="_Toc287620691"/>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57" w:name="_Toc57820567"/>
      <w:bookmarkStart w:id="158" w:name="_Toc277082559"/>
      <w:bookmarkStart w:id="159" w:name="_Toc430530442"/>
      <w:bookmarkStart w:id="160" w:name="_Toc287607753"/>
      <w:bookmarkStart w:id="161" w:name="_Toc200513133"/>
      <w:bookmarkStart w:id="162" w:name="_Toc287620692"/>
      <w:bookmarkStart w:id="163" w:name="_Toc509218717"/>
      <w:bookmarkStart w:id="164" w:name="_Toc224103324"/>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b w:val="0"/>
          <w:snapToGrid w:val="0"/>
          <w:color w:val="auto"/>
          <w:sz w:val="24"/>
          <w:szCs w:val="24"/>
          <w:highlight w:val="none"/>
        </w:rPr>
      </w:pPr>
      <w:bookmarkStart w:id="165" w:name="_Toc287620693"/>
      <w:bookmarkStart w:id="166" w:name="_Toc287607754"/>
      <w:bookmarkStart w:id="167" w:name="_Toc430530443"/>
      <w:bookmarkStart w:id="168" w:name="_Toc200513134"/>
      <w:bookmarkStart w:id="169" w:name="_Toc57820568"/>
      <w:bookmarkStart w:id="170" w:name="_Toc224103325"/>
      <w:bookmarkStart w:id="171" w:name="_Toc509218718"/>
      <w:bookmarkStart w:id="172" w:name="_Toc277082560"/>
      <w:r>
        <w:rPr>
          <w:rFonts w:ascii="宋体" w:hAnsi="宋体"/>
          <w:b w:val="0"/>
          <w:snapToGrid w:val="0"/>
          <w:color w:val="auto"/>
          <w:sz w:val="24"/>
          <w:szCs w:val="24"/>
          <w:highlight w:val="none"/>
        </w:rPr>
        <w:t>1.7  语言文字</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pPr>
        <w:pStyle w:val="5"/>
        <w:snapToGrid w:val="0"/>
        <w:spacing w:before="0" w:after="0" w:line="360" w:lineRule="auto"/>
        <w:rPr>
          <w:rFonts w:ascii="宋体" w:hAnsi="宋体"/>
          <w:b w:val="0"/>
          <w:snapToGrid w:val="0"/>
          <w:color w:val="auto"/>
          <w:sz w:val="24"/>
          <w:szCs w:val="24"/>
          <w:highlight w:val="none"/>
        </w:rPr>
      </w:pPr>
      <w:bookmarkStart w:id="173" w:name="_Toc509218719"/>
      <w:bookmarkStart w:id="174" w:name="_Toc287620694"/>
      <w:bookmarkStart w:id="175" w:name="_Toc224103326"/>
      <w:bookmarkStart w:id="176" w:name="_Toc277082561"/>
      <w:bookmarkStart w:id="177" w:name="_Toc287607755"/>
      <w:bookmarkStart w:id="178" w:name="_Toc57820569"/>
      <w:bookmarkStart w:id="179" w:name="_Toc200513135"/>
      <w:bookmarkStart w:id="180" w:name="_Toc430530444"/>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81" w:name="_Toc224103327"/>
      <w:bookmarkStart w:id="182" w:name="_Toc277082562"/>
      <w:bookmarkStart w:id="183" w:name="_Toc509218720"/>
      <w:bookmarkStart w:id="184" w:name="_Toc57820570"/>
      <w:bookmarkStart w:id="185" w:name="_Toc200513136"/>
      <w:bookmarkStart w:id="186" w:name="_Toc430530445"/>
      <w:bookmarkStart w:id="187" w:name="_Toc287607756"/>
      <w:bookmarkStart w:id="188" w:name="_Toc287620695"/>
      <w:r>
        <w:rPr>
          <w:rFonts w:ascii="宋体" w:hAnsi="宋体"/>
          <w:b w:val="0"/>
          <w:snapToGrid w:val="0"/>
          <w:color w:val="auto"/>
          <w:sz w:val="24"/>
          <w:szCs w:val="24"/>
          <w:highlight w:val="none"/>
        </w:rPr>
        <w:t>1.9  踏勘现场</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b w:val="0"/>
          <w:snapToGrid w:val="0"/>
          <w:color w:val="auto"/>
          <w:sz w:val="24"/>
          <w:szCs w:val="24"/>
          <w:highlight w:val="none"/>
        </w:rPr>
      </w:pPr>
      <w:bookmarkStart w:id="189" w:name="_Toc287607757"/>
      <w:bookmarkStart w:id="190" w:name="_Toc430530446"/>
      <w:bookmarkStart w:id="191" w:name="_Toc224103328"/>
      <w:bookmarkStart w:id="192" w:name="_Toc287620696"/>
      <w:bookmarkStart w:id="193" w:name="_Toc57820571"/>
      <w:bookmarkStart w:id="194" w:name="_Toc509218721"/>
      <w:bookmarkStart w:id="195" w:name="_Toc200513137"/>
      <w:bookmarkStart w:id="196" w:name="_Toc277082563"/>
      <w:r>
        <w:rPr>
          <w:rFonts w:ascii="宋体" w:hAnsi="宋体"/>
          <w:b w:val="0"/>
          <w:snapToGrid w:val="0"/>
          <w:color w:val="auto"/>
          <w:sz w:val="24"/>
          <w:szCs w:val="24"/>
          <w:highlight w:val="none"/>
        </w:rPr>
        <w:t>1.10  投标预备会</w:t>
      </w:r>
      <w:bookmarkEnd w:id="189"/>
      <w:bookmarkEnd w:id="190"/>
      <w:bookmarkEnd w:id="191"/>
      <w:bookmarkEnd w:id="192"/>
      <w:bookmarkEnd w:id="193"/>
      <w:bookmarkEnd w:id="194"/>
      <w:bookmarkEnd w:id="195"/>
      <w:bookmarkEnd w:id="196"/>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pPr>
        <w:pStyle w:val="5"/>
        <w:snapToGrid w:val="0"/>
        <w:spacing w:before="0" w:after="0" w:line="360" w:lineRule="auto"/>
        <w:rPr>
          <w:rFonts w:ascii="宋体" w:hAnsi="宋体"/>
          <w:b w:val="0"/>
          <w:snapToGrid w:val="0"/>
          <w:color w:val="auto"/>
          <w:sz w:val="24"/>
          <w:szCs w:val="24"/>
          <w:highlight w:val="none"/>
        </w:rPr>
      </w:pPr>
      <w:bookmarkStart w:id="197" w:name="_Toc287607758"/>
      <w:bookmarkStart w:id="198" w:name="_Toc287620697"/>
      <w:bookmarkStart w:id="199" w:name="_Toc224103329"/>
      <w:bookmarkStart w:id="200" w:name="_Toc200513138"/>
      <w:bookmarkStart w:id="201" w:name="_Toc57820572"/>
      <w:bookmarkStart w:id="202" w:name="_Toc430530447"/>
      <w:bookmarkStart w:id="203" w:name="_Toc277082564"/>
      <w:bookmarkStart w:id="204" w:name="_Toc509218722"/>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p>
    <w:p>
      <w:pPr>
        <w:pStyle w:val="5"/>
        <w:snapToGrid w:val="0"/>
        <w:spacing w:before="0" w:after="0" w:line="360" w:lineRule="auto"/>
        <w:ind w:firstLine="480" w:firstLineChars="200"/>
        <w:rPr>
          <w:rFonts w:hint="eastAsia" w:ascii="宋体" w:hAnsi="宋体"/>
          <w:b w:val="0"/>
          <w:snapToGrid w:val="0"/>
          <w:color w:val="auto"/>
          <w:sz w:val="24"/>
          <w:szCs w:val="24"/>
          <w:highlight w:val="none"/>
          <w:lang w:eastAsia="zh-CN"/>
        </w:rPr>
      </w:pPr>
      <w:bookmarkStart w:id="205" w:name="_Toc430530448"/>
      <w:bookmarkStart w:id="206" w:name="_Toc277082565"/>
      <w:bookmarkStart w:id="207" w:name="_Toc287607759"/>
      <w:bookmarkStart w:id="208" w:name="_Toc57820573"/>
      <w:bookmarkStart w:id="209" w:name="_Toc224103330"/>
      <w:bookmarkStart w:id="210" w:name="_Toc287620698"/>
      <w:bookmarkStart w:id="211" w:name="_Toc200513139"/>
      <w:bookmarkStart w:id="212" w:name="_Toc509218723"/>
      <w:r>
        <w:rPr>
          <w:rFonts w:hint="eastAsia" w:ascii="宋体" w:hAnsi="宋体"/>
          <w:b w:val="0"/>
          <w:snapToGrid w:val="0"/>
          <w:color w:val="auto"/>
          <w:sz w:val="24"/>
          <w:szCs w:val="24"/>
          <w:highlight w:val="none"/>
          <w:lang w:eastAsia="zh-CN"/>
        </w:rPr>
        <w:t>不允许分包，</w:t>
      </w:r>
    </w:p>
    <w:p>
      <w:pPr>
        <w:pStyle w:val="5"/>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1.12  偏离</w:t>
      </w:r>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pPr>
        <w:pStyle w:val="4"/>
        <w:spacing w:before="0" w:after="0" w:line="360" w:lineRule="auto"/>
        <w:rPr>
          <w:rFonts w:ascii="宋体" w:hAnsi="宋体"/>
          <w:b w:val="0"/>
          <w:snapToGrid w:val="0"/>
          <w:color w:val="auto"/>
          <w:highlight w:val="none"/>
        </w:rPr>
      </w:pPr>
      <w:bookmarkStart w:id="213" w:name="_Toc57820574"/>
      <w:bookmarkStart w:id="214" w:name="_Toc224103331"/>
      <w:bookmarkStart w:id="215" w:name="_Toc200513140"/>
      <w:bookmarkStart w:id="216" w:name="_Toc287620699"/>
      <w:bookmarkStart w:id="217" w:name="_Toc509218724"/>
      <w:bookmarkStart w:id="218" w:name="_Toc287607760"/>
      <w:bookmarkStart w:id="219" w:name="_Toc277082566"/>
      <w:bookmarkStart w:id="220" w:name="_Toc430530449"/>
      <w:r>
        <w:rPr>
          <w:rFonts w:ascii="宋体" w:hAnsi="宋体"/>
          <w:b w:val="0"/>
          <w:snapToGrid w:val="0"/>
          <w:color w:val="auto"/>
          <w:highlight w:val="none"/>
        </w:rPr>
        <w:t>2.  招标文件</w:t>
      </w:r>
      <w:bookmarkEnd w:id="213"/>
      <w:bookmarkEnd w:id="214"/>
      <w:bookmarkEnd w:id="215"/>
      <w:bookmarkEnd w:id="216"/>
      <w:bookmarkEnd w:id="217"/>
      <w:bookmarkEnd w:id="218"/>
      <w:bookmarkEnd w:id="219"/>
      <w:bookmarkEnd w:id="220"/>
    </w:p>
    <w:p>
      <w:pPr>
        <w:pStyle w:val="5"/>
        <w:snapToGrid w:val="0"/>
        <w:spacing w:before="0" w:after="0" w:line="360" w:lineRule="auto"/>
        <w:rPr>
          <w:rFonts w:ascii="宋体" w:hAnsi="宋体"/>
          <w:b w:val="0"/>
          <w:snapToGrid w:val="0"/>
          <w:color w:val="auto"/>
          <w:sz w:val="24"/>
          <w:szCs w:val="24"/>
          <w:highlight w:val="none"/>
        </w:rPr>
      </w:pPr>
      <w:bookmarkStart w:id="221" w:name="_Toc509218725"/>
      <w:bookmarkStart w:id="222" w:name="_Toc287620700"/>
      <w:bookmarkStart w:id="223" w:name="_Toc200513141"/>
      <w:bookmarkStart w:id="224" w:name="_Toc224103332"/>
      <w:bookmarkStart w:id="225" w:name="_Toc277082567"/>
      <w:bookmarkStart w:id="226" w:name="_Toc57820575"/>
      <w:bookmarkStart w:id="227" w:name="_Toc430530450"/>
      <w:bookmarkStart w:id="228" w:name="_Toc287607761"/>
      <w:r>
        <w:rPr>
          <w:rFonts w:ascii="宋体" w:hAnsi="宋体"/>
          <w:b w:val="0"/>
          <w:snapToGrid w:val="0"/>
          <w:color w:val="auto"/>
          <w:sz w:val="24"/>
          <w:szCs w:val="24"/>
          <w:highlight w:val="none"/>
        </w:rPr>
        <w:t>2.1  招标文件的组成</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29" w:name="_Toc509218726"/>
      <w:bookmarkStart w:id="230" w:name="_Toc57820576"/>
      <w:bookmarkStart w:id="231" w:name="_Toc430530451"/>
      <w:r>
        <w:rPr>
          <w:rFonts w:ascii="宋体" w:hAnsi="宋体"/>
          <w:b w:val="0"/>
          <w:snapToGrid w:val="0"/>
          <w:color w:val="auto"/>
          <w:sz w:val="24"/>
          <w:szCs w:val="24"/>
          <w:highlight w:val="none"/>
        </w:rPr>
        <w:t>2.2  招标文件的澄清</w:t>
      </w:r>
      <w:bookmarkEnd w:id="229"/>
      <w:bookmarkEnd w:id="230"/>
      <w:bookmarkEnd w:id="23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w:t>
      </w:r>
      <w:r>
        <w:rPr>
          <w:rFonts w:hint="eastAsia" w:ascii="宋体" w:hAnsi="宋体" w:cs="宋体"/>
          <w:snapToGrid w:val="0"/>
          <w:color w:val="auto"/>
          <w:position w:val="-2"/>
          <w:szCs w:val="21"/>
          <w:highlight w:val="none"/>
        </w:rPr>
        <w:t>通过</w:t>
      </w:r>
      <w:r>
        <w:rPr>
          <w:rFonts w:hint="eastAsia" w:ascii="宋体" w:hAnsi="宋体" w:cs="宋体"/>
          <w:snapToGrid w:val="0"/>
          <w:color w:val="auto"/>
          <w:position w:val="-2"/>
          <w:szCs w:val="21"/>
          <w:highlight w:val="none"/>
          <w:lang w:eastAsia="zh-CN"/>
        </w:rPr>
        <w:t>书面形式向招标人</w:t>
      </w:r>
      <w:r>
        <w:rPr>
          <w:rFonts w:hint="eastAsia" w:ascii="宋体" w:hAnsi="宋体" w:cs="宋体"/>
          <w:snapToGrid w:val="0"/>
          <w:color w:val="auto"/>
          <w:position w:val="-2"/>
          <w:szCs w:val="21"/>
          <w:highlight w:val="none"/>
        </w:rPr>
        <w:t>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color w:val="auto"/>
          <w:sz w:val="24"/>
          <w:szCs w:val="24"/>
          <w:highlight w:val="none"/>
        </w:rPr>
      </w:pPr>
      <w:bookmarkStart w:id="232" w:name="_Toc200513143"/>
      <w:bookmarkStart w:id="233" w:name="_Toc57820577"/>
      <w:bookmarkStart w:id="234" w:name="_Toc287607763"/>
      <w:bookmarkStart w:id="235" w:name="_Toc509218727"/>
      <w:bookmarkStart w:id="236" w:name="_Toc277082569"/>
      <w:bookmarkStart w:id="237" w:name="_Toc287620702"/>
      <w:bookmarkStart w:id="238" w:name="_Toc430530452"/>
      <w:bookmarkStart w:id="239" w:name="_Toc224103334"/>
      <w:r>
        <w:rPr>
          <w:rFonts w:ascii="宋体" w:hAnsi="宋体"/>
          <w:b w:val="0"/>
          <w:snapToGrid w:val="0"/>
          <w:color w:val="auto"/>
          <w:sz w:val="24"/>
          <w:szCs w:val="24"/>
          <w:highlight w:val="none"/>
        </w:rPr>
        <w:t>2.3  招标文件的修改</w:t>
      </w:r>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rPr>
          <w:rFonts w:ascii="宋体" w:hAnsi="宋体"/>
          <w:snapToGrid w:val="0"/>
          <w:color w:val="auto"/>
          <w:highlight w:val="none"/>
        </w:rPr>
      </w:pPr>
      <w:bookmarkStart w:id="240" w:name="_Toc200513144"/>
      <w:bookmarkStart w:id="241" w:name="_Toc277082570"/>
      <w:bookmarkStart w:id="242" w:name="_Toc224103335"/>
      <w:bookmarkStart w:id="243" w:name="_Toc287620703"/>
      <w:bookmarkStart w:id="244" w:name="_Toc287607764"/>
      <w:r>
        <w:rPr>
          <w:rFonts w:ascii="宋体" w:hAnsi="宋体"/>
          <w:snapToGrid w:val="0"/>
          <w:color w:val="auto"/>
          <w:highlight w:val="none"/>
        </w:rPr>
        <w:t>按照本章第2.2款招标文件的澄清相关内容及方式执行。</w:t>
      </w:r>
    </w:p>
    <w:p>
      <w:pPr>
        <w:pStyle w:val="4"/>
        <w:spacing w:before="0" w:after="0" w:line="360" w:lineRule="auto"/>
        <w:rPr>
          <w:rFonts w:ascii="宋体" w:hAnsi="宋体"/>
          <w:b w:val="0"/>
          <w:snapToGrid w:val="0"/>
          <w:color w:val="auto"/>
          <w:highlight w:val="none"/>
        </w:rPr>
      </w:pPr>
      <w:bookmarkStart w:id="245" w:name="_Toc509218728"/>
      <w:bookmarkStart w:id="246" w:name="_Toc57820578"/>
      <w:bookmarkStart w:id="247" w:name="_Toc430530453"/>
      <w:r>
        <w:rPr>
          <w:rFonts w:ascii="宋体" w:hAnsi="宋体"/>
          <w:b w:val="0"/>
          <w:snapToGrid w:val="0"/>
          <w:color w:val="auto"/>
          <w:highlight w:val="none"/>
        </w:rPr>
        <w:t>3.  投标文件</w:t>
      </w:r>
      <w:bookmarkEnd w:id="240"/>
      <w:bookmarkEnd w:id="241"/>
      <w:bookmarkEnd w:id="242"/>
      <w:bookmarkEnd w:id="243"/>
      <w:bookmarkEnd w:id="244"/>
      <w:bookmarkEnd w:id="245"/>
      <w:bookmarkEnd w:id="246"/>
      <w:bookmarkEnd w:id="247"/>
    </w:p>
    <w:p>
      <w:pPr>
        <w:pStyle w:val="5"/>
        <w:snapToGrid w:val="0"/>
        <w:spacing w:before="0" w:after="0" w:line="360" w:lineRule="auto"/>
        <w:rPr>
          <w:rFonts w:ascii="宋体" w:hAnsi="宋体"/>
          <w:b w:val="0"/>
          <w:snapToGrid w:val="0"/>
          <w:color w:val="auto"/>
          <w:sz w:val="24"/>
          <w:szCs w:val="24"/>
          <w:highlight w:val="none"/>
        </w:rPr>
      </w:pPr>
      <w:bookmarkStart w:id="248" w:name="_Toc277082571"/>
      <w:bookmarkStart w:id="249" w:name="_Toc224103336"/>
      <w:bookmarkStart w:id="250" w:name="_Toc57820579"/>
      <w:bookmarkStart w:id="251" w:name="_Toc430530454"/>
      <w:bookmarkStart w:id="252" w:name="_Toc287620704"/>
      <w:bookmarkStart w:id="253" w:name="_Toc287607765"/>
      <w:bookmarkStart w:id="254" w:name="_Toc509218729"/>
      <w:bookmarkStart w:id="255" w:name="_Toc200513145"/>
      <w:r>
        <w:rPr>
          <w:rFonts w:ascii="宋体" w:hAnsi="宋体"/>
          <w:b w:val="0"/>
          <w:snapToGrid w:val="0"/>
          <w:color w:val="auto"/>
          <w:sz w:val="24"/>
          <w:szCs w:val="24"/>
          <w:highlight w:val="none"/>
        </w:rPr>
        <w:t>3.1  投标文件的组成</w:t>
      </w:r>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3.1.1.3技术部分</w:t>
      </w:r>
    </w:p>
    <w:p>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w:t>
      </w:r>
    </w:p>
    <w:p>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color w:val="auto"/>
          <w:sz w:val="24"/>
          <w:szCs w:val="24"/>
          <w:highlight w:val="none"/>
        </w:rPr>
      </w:pPr>
      <w:bookmarkStart w:id="256" w:name="_Toc430530455"/>
      <w:bookmarkStart w:id="257" w:name="_Toc277082572"/>
      <w:bookmarkStart w:id="258" w:name="_Toc57820580"/>
      <w:bookmarkStart w:id="259" w:name="_Toc200513146"/>
      <w:bookmarkStart w:id="260" w:name="_Toc509218730"/>
      <w:bookmarkStart w:id="261" w:name="_Toc287620705"/>
      <w:bookmarkStart w:id="262" w:name="_Toc224103337"/>
      <w:bookmarkStart w:id="263" w:name="_Toc287607766"/>
      <w:r>
        <w:rPr>
          <w:rFonts w:ascii="宋体" w:hAnsi="宋体"/>
          <w:b w:val="0"/>
          <w:snapToGrid w:val="0"/>
          <w:color w:val="auto"/>
          <w:sz w:val="24"/>
          <w:szCs w:val="24"/>
          <w:highlight w:val="none"/>
        </w:rPr>
        <w:t>3.2  投标报价</w:t>
      </w:r>
      <w:bookmarkEnd w:id="256"/>
      <w:bookmarkEnd w:id="257"/>
      <w:bookmarkEnd w:id="258"/>
      <w:bookmarkEnd w:id="259"/>
      <w:bookmarkEnd w:id="260"/>
      <w:bookmarkEnd w:id="261"/>
      <w:bookmarkEnd w:id="262"/>
      <w:bookmarkEnd w:id="26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color w:val="auto"/>
          <w:sz w:val="24"/>
          <w:szCs w:val="24"/>
          <w:highlight w:val="none"/>
        </w:rPr>
      </w:pPr>
      <w:bookmarkStart w:id="264" w:name="_Toc57820581"/>
      <w:bookmarkStart w:id="265" w:name="_Toc200513147"/>
      <w:bookmarkStart w:id="266" w:name="_Toc277082573"/>
      <w:bookmarkStart w:id="267" w:name="_Toc509218731"/>
      <w:bookmarkStart w:id="268" w:name="_Toc287607767"/>
      <w:bookmarkStart w:id="269" w:name="_Toc430530456"/>
      <w:bookmarkStart w:id="270" w:name="_Toc224103338"/>
      <w:bookmarkStart w:id="271" w:name="_Toc287620706"/>
      <w:r>
        <w:rPr>
          <w:rFonts w:ascii="宋体" w:hAnsi="宋体"/>
          <w:b w:val="0"/>
          <w:snapToGrid w:val="0"/>
          <w:color w:val="auto"/>
          <w:sz w:val="24"/>
          <w:szCs w:val="24"/>
          <w:highlight w:val="none"/>
        </w:rPr>
        <w:t>3.3  投标有效期</w:t>
      </w:r>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snapToGrid w:val="0"/>
        <w:spacing w:before="0" w:after="0" w:line="360" w:lineRule="auto"/>
        <w:rPr>
          <w:rFonts w:ascii="宋体" w:hAnsi="宋体"/>
          <w:b w:val="0"/>
          <w:snapToGrid w:val="0"/>
          <w:color w:val="auto"/>
          <w:sz w:val="24"/>
          <w:szCs w:val="24"/>
          <w:highlight w:val="none"/>
        </w:rPr>
      </w:pPr>
      <w:bookmarkStart w:id="272" w:name="_Toc287607768"/>
      <w:bookmarkStart w:id="273" w:name="_Toc224103339"/>
      <w:bookmarkStart w:id="274" w:name="_Toc200513148"/>
      <w:bookmarkStart w:id="275" w:name="_Toc509218732"/>
      <w:bookmarkStart w:id="276" w:name="_Toc287620707"/>
      <w:bookmarkStart w:id="277" w:name="_Toc430530457"/>
      <w:bookmarkStart w:id="278" w:name="_Toc277082574"/>
      <w:bookmarkStart w:id="279" w:name="_Toc57820582"/>
      <w:r>
        <w:rPr>
          <w:rFonts w:ascii="宋体" w:hAnsi="宋体"/>
          <w:b w:val="0"/>
          <w:snapToGrid w:val="0"/>
          <w:color w:val="auto"/>
          <w:sz w:val="24"/>
          <w:szCs w:val="24"/>
          <w:highlight w:val="none"/>
        </w:rPr>
        <w:t>3.4  投标</w:t>
      </w:r>
      <w:bookmarkEnd w:id="272"/>
      <w:bookmarkEnd w:id="273"/>
      <w:bookmarkEnd w:id="274"/>
      <w:bookmarkEnd w:id="275"/>
      <w:bookmarkEnd w:id="276"/>
      <w:bookmarkEnd w:id="277"/>
      <w:bookmarkEnd w:id="278"/>
      <w:r>
        <w:rPr>
          <w:rFonts w:hint="eastAsia" w:ascii="宋体" w:hAnsi="宋体"/>
          <w:b w:val="0"/>
          <w:snapToGrid w:val="0"/>
          <w:color w:val="auto"/>
          <w:sz w:val="24"/>
          <w:szCs w:val="24"/>
          <w:highlight w:val="none"/>
        </w:rPr>
        <w:t>保证金</w:t>
      </w:r>
      <w:bookmarkEnd w:id="27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280" w:name="_Toc287607770"/>
      <w:bookmarkStart w:id="281" w:name="_Toc287620709"/>
      <w:bookmarkStart w:id="282" w:name="_Toc224103341"/>
      <w:bookmarkStart w:id="283" w:name="_Toc200513150"/>
      <w:bookmarkStart w:id="284" w:name="_Toc277082576"/>
      <w:bookmarkStart w:id="285" w:name="_Toc509218734"/>
      <w:bookmarkStart w:id="286" w:name="_Toc430530459"/>
      <w:bookmarkStart w:id="287" w:name="_Toc57820584"/>
      <w:r>
        <w:rPr>
          <w:rFonts w:ascii="宋体" w:hAnsi="宋体"/>
          <w:b w:val="0"/>
          <w:snapToGrid w:val="0"/>
          <w:color w:val="auto"/>
          <w:sz w:val="24"/>
          <w:szCs w:val="24"/>
          <w:highlight w:val="none"/>
        </w:rPr>
        <w:t>3.5  资格审查资料</w:t>
      </w:r>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highlight w:val="none"/>
        </w:rPr>
      </w:pPr>
      <w:bookmarkStart w:id="288" w:name="_Toc200513151"/>
      <w:bookmarkStart w:id="289" w:name="_Toc287620710"/>
      <w:bookmarkStart w:id="290" w:name="_Toc57820585"/>
      <w:bookmarkStart w:id="291" w:name="_Toc287607771"/>
      <w:bookmarkStart w:id="292" w:name="_Toc224103342"/>
      <w:bookmarkStart w:id="293" w:name="_Toc277082577"/>
      <w:bookmarkStart w:id="294" w:name="_Toc509218735"/>
      <w:bookmarkStart w:id="295" w:name="_Toc430530460"/>
      <w:r>
        <w:rPr>
          <w:rFonts w:ascii="宋体" w:hAnsi="宋体"/>
          <w:b w:val="0"/>
          <w:snapToGrid w:val="0"/>
          <w:color w:val="auto"/>
          <w:sz w:val="24"/>
          <w:szCs w:val="24"/>
          <w:highlight w:val="none"/>
        </w:rPr>
        <w:t>3.6  备选投标方案</w:t>
      </w:r>
      <w:bookmarkEnd w:id="288"/>
      <w:bookmarkEnd w:id="289"/>
      <w:bookmarkEnd w:id="290"/>
      <w:bookmarkEnd w:id="291"/>
      <w:bookmarkEnd w:id="292"/>
      <w:bookmarkEnd w:id="293"/>
      <w:bookmarkEnd w:id="294"/>
      <w:bookmarkEnd w:id="29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b w:val="0"/>
          <w:snapToGrid w:val="0"/>
          <w:color w:val="auto"/>
          <w:sz w:val="24"/>
          <w:szCs w:val="24"/>
          <w:highlight w:val="none"/>
        </w:rPr>
      </w:pPr>
      <w:bookmarkStart w:id="296" w:name="_Toc200513152"/>
      <w:bookmarkStart w:id="297" w:name="_Toc224103343"/>
      <w:bookmarkStart w:id="298" w:name="_Toc57820586"/>
      <w:bookmarkStart w:id="299" w:name="_Toc430530461"/>
      <w:bookmarkStart w:id="300" w:name="_Toc509218736"/>
      <w:bookmarkStart w:id="301" w:name="_Toc277082578"/>
      <w:bookmarkStart w:id="302" w:name="_Toc287620711"/>
      <w:bookmarkStart w:id="303" w:name="_Toc287607772"/>
      <w:r>
        <w:rPr>
          <w:rFonts w:ascii="宋体" w:hAnsi="宋体"/>
          <w:b w:val="0"/>
          <w:snapToGrid w:val="0"/>
          <w:color w:val="auto"/>
          <w:sz w:val="24"/>
          <w:szCs w:val="24"/>
          <w:highlight w:val="none"/>
        </w:rPr>
        <w:t>3.7  投标文件的编制</w:t>
      </w:r>
      <w:bookmarkEnd w:id="296"/>
      <w:bookmarkEnd w:id="297"/>
      <w:bookmarkEnd w:id="298"/>
      <w:bookmarkEnd w:id="299"/>
      <w:bookmarkEnd w:id="300"/>
      <w:bookmarkEnd w:id="301"/>
      <w:bookmarkEnd w:id="302"/>
      <w:bookmarkEnd w:id="30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pStyle w:val="18"/>
        <w:spacing w:after="0" w:line="360" w:lineRule="auto"/>
        <w:ind w:firstLine="420" w:firstLineChars="200"/>
        <w:jc w:val="left"/>
        <w:rPr>
          <w:rFonts w:hint="eastAsia" w:ascii="宋体" w:hAnsi="宋体" w:eastAsia="宋体" w:cs="Times New Roman"/>
          <w:snapToGrid w:val="0"/>
          <w:color w:val="auto"/>
          <w:kern w:val="0"/>
          <w:sz w:val="21"/>
          <w:szCs w:val="21"/>
          <w:highlight w:val="none"/>
          <w:lang w:val="en-US" w:eastAsia="zh-CN" w:bidi="ar-SA"/>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w:t>
      </w:r>
      <w:r>
        <w:rPr>
          <w:rFonts w:hint="eastAsia" w:ascii="宋体" w:hAnsi="宋体" w:eastAsia="宋体" w:cs="Times New Roman"/>
          <w:snapToGrid w:val="0"/>
          <w:color w:val="auto"/>
          <w:kern w:val="0"/>
          <w:sz w:val="21"/>
          <w:szCs w:val="21"/>
          <w:highlight w:val="none"/>
          <w:lang w:val="en-US" w:eastAsia="zh-CN" w:bidi="ar-SA"/>
        </w:rPr>
        <w:t>份数：投标文件正本一份，副本份数见投标人须知前附表。正本和副本的封面上应清楚地标记“正本”或“副本”的字样，正本和副本封面均须加盖单位公章（鲜章）。当副本和正本不一致时，以正本为准。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要求见投标人须知前附表规定。</w:t>
      </w:r>
    </w:p>
    <w:p>
      <w:pPr>
        <w:pStyle w:val="4"/>
        <w:spacing w:before="0" w:after="0" w:line="360" w:lineRule="auto"/>
        <w:rPr>
          <w:rFonts w:ascii="宋体" w:hAnsi="宋体"/>
          <w:b w:val="0"/>
          <w:snapToGrid w:val="0"/>
          <w:color w:val="auto"/>
          <w:highlight w:val="none"/>
        </w:rPr>
      </w:pPr>
      <w:bookmarkStart w:id="304" w:name="_Toc287620712"/>
      <w:bookmarkStart w:id="305" w:name="_Toc224103344"/>
      <w:bookmarkStart w:id="306" w:name="_Toc57820587"/>
      <w:bookmarkStart w:id="307" w:name="_Toc277082579"/>
      <w:bookmarkStart w:id="308" w:name="_Toc430530462"/>
      <w:bookmarkStart w:id="309" w:name="_Toc287607773"/>
      <w:bookmarkStart w:id="310" w:name="_Toc200513153"/>
      <w:bookmarkStart w:id="311" w:name="_Toc509218737"/>
      <w:r>
        <w:rPr>
          <w:rFonts w:ascii="宋体" w:hAnsi="宋体"/>
          <w:b w:val="0"/>
          <w:snapToGrid w:val="0"/>
          <w:color w:val="auto"/>
          <w:highlight w:val="none"/>
        </w:rPr>
        <w:t>4.  投标</w:t>
      </w:r>
      <w:bookmarkEnd w:id="304"/>
      <w:bookmarkEnd w:id="305"/>
      <w:bookmarkEnd w:id="306"/>
      <w:bookmarkEnd w:id="307"/>
      <w:bookmarkEnd w:id="308"/>
      <w:bookmarkEnd w:id="309"/>
      <w:bookmarkEnd w:id="310"/>
      <w:bookmarkEnd w:id="311"/>
    </w:p>
    <w:p>
      <w:pPr>
        <w:pStyle w:val="5"/>
        <w:snapToGrid w:val="0"/>
        <w:spacing w:before="0" w:after="0" w:line="360" w:lineRule="auto"/>
        <w:rPr>
          <w:rFonts w:ascii="宋体" w:hAnsi="宋体"/>
          <w:b w:val="0"/>
          <w:snapToGrid w:val="0"/>
          <w:color w:val="auto"/>
          <w:sz w:val="24"/>
          <w:szCs w:val="24"/>
          <w:highlight w:val="none"/>
        </w:rPr>
      </w:pPr>
      <w:bookmarkStart w:id="312" w:name="_Toc224103345"/>
      <w:bookmarkStart w:id="313" w:name="_Toc509218738"/>
      <w:bookmarkStart w:id="314" w:name="_Toc277082580"/>
      <w:bookmarkStart w:id="315" w:name="_Toc200513154"/>
      <w:bookmarkStart w:id="316" w:name="_Toc287620713"/>
      <w:bookmarkStart w:id="317" w:name="_Toc57820588"/>
      <w:bookmarkStart w:id="318" w:name="_Toc430530463"/>
      <w:bookmarkStart w:id="319" w:name="_Toc287607774"/>
      <w:r>
        <w:rPr>
          <w:rFonts w:ascii="宋体" w:hAnsi="宋体"/>
          <w:b w:val="0"/>
          <w:snapToGrid w:val="0"/>
          <w:color w:val="auto"/>
          <w:sz w:val="24"/>
          <w:szCs w:val="24"/>
          <w:highlight w:val="none"/>
        </w:rPr>
        <w:t>4.1  投标文件的密封和标记</w:t>
      </w:r>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0" w:name="_Toc200513155"/>
      <w:r>
        <w:rPr>
          <w:rFonts w:ascii="宋体" w:hAnsi="宋体"/>
          <w:snapToGrid w:val="0"/>
          <w:color w:val="auto"/>
          <w:kern w:val="0"/>
          <w:szCs w:val="21"/>
          <w:highlight w:val="none"/>
        </w:rPr>
        <w:t>4.1.1  投标文件的密封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321" w:name="_Toc287607775"/>
      <w:bookmarkStart w:id="322" w:name="_Toc57820589"/>
      <w:bookmarkStart w:id="323" w:name="_Toc224103346"/>
      <w:bookmarkStart w:id="324" w:name="_Toc277082581"/>
      <w:bookmarkStart w:id="325" w:name="_Toc509218739"/>
      <w:bookmarkStart w:id="326" w:name="_Toc287620714"/>
      <w:bookmarkStart w:id="327" w:name="_Toc430530464"/>
      <w:r>
        <w:rPr>
          <w:rFonts w:ascii="宋体" w:hAnsi="宋体"/>
          <w:b w:val="0"/>
          <w:snapToGrid w:val="0"/>
          <w:color w:val="auto"/>
          <w:sz w:val="24"/>
          <w:szCs w:val="24"/>
          <w:highlight w:val="none"/>
        </w:rPr>
        <w:t>4.2  投标文件的递交</w:t>
      </w:r>
      <w:bookmarkEnd w:id="320"/>
      <w:bookmarkEnd w:id="321"/>
      <w:bookmarkEnd w:id="322"/>
      <w:bookmarkEnd w:id="323"/>
      <w:bookmarkEnd w:id="324"/>
      <w:bookmarkEnd w:id="325"/>
      <w:bookmarkEnd w:id="326"/>
      <w:bookmarkEnd w:id="32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逾期送达的或者未送达指定地点的投标文件，招标人不予受理。</w:t>
      </w:r>
    </w:p>
    <w:p>
      <w:pPr>
        <w:pStyle w:val="5"/>
        <w:snapToGrid w:val="0"/>
        <w:spacing w:before="0" w:after="0" w:line="360" w:lineRule="auto"/>
        <w:rPr>
          <w:rFonts w:ascii="宋体" w:hAnsi="宋体"/>
          <w:b w:val="0"/>
          <w:snapToGrid w:val="0"/>
          <w:color w:val="auto"/>
          <w:sz w:val="24"/>
          <w:szCs w:val="24"/>
          <w:highlight w:val="none"/>
        </w:rPr>
      </w:pPr>
      <w:bookmarkStart w:id="328" w:name="_Toc277082582"/>
      <w:bookmarkStart w:id="329" w:name="_Toc509218740"/>
      <w:bookmarkStart w:id="330" w:name="_Toc287607776"/>
      <w:bookmarkStart w:id="331" w:name="_Toc57820590"/>
      <w:bookmarkStart w:id="332" w:name="_Toc224103347"/>
      <w:bookmarkStart w:id="333" w:name="_Toc430530465"/>
      <w:bookmarkStart w:id="334" w:name="_Toc287620715"/>
      <w:bookmarkStart w:id="335" w:name="_Toc200513156"/>
      <w:r>
        <w:rPr>
          <w:rFonts w:ascii="宋体" w:hAnsi="宋体"/>
          <w:b w:val="0"/>
          <w:snapToGrid w:val="0"/>
          <w:color w:val="auto"/>
          <w:sz w:val="24"/>
          <w:szCs w:val="24"/>
          <w:highlight w:val="none"/>
        </w:rPr>
        <w:t>4.3  投标文件的修改与撤回</w:t>
      </w:r>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hint="eastAsia" w:ascii="宋体" w:hAnsi="宋体" w:eastAsia="宋体" w:cs="Times New Roman"/>
          <w:snapToGrid w:val="0"/>
          <w:color w:val="auto"/>
          <w:kern w:val="0"/>
          <w:szCs w:val="21"/>
          <w:highlight w:val="none"/>
        </w:rPr>
      </w:pPr>
      <w:r>
        <w:rPr>
          <w:rFonts w:ascii="宋体" w:hAnsi="宋体"/>
          <w:snapToGrid w:val="0"/>
          <w:color w:val="auto"/>
          <w:kern w:val="0"/>
          <w:szCs w:val="21"/>
          <w:highlight w:val="none"/>
        </w:rPr>
        <w:t>4</w:t>
      </w:r>
      <w:r>
        <w:rPr>
          <w:rFonts w:ascii="宋体" w:hAnsi="宋体" w:eastAsia="宋体" w:cs="Times New Roman"/>
          <w:snapToGrid w:val="0"/>
          <w:color w:val="auto"/>
          <w:kern w:val="0"/>
          <w:szCs w:val="21"/>
          <w:highlight w:val="none"/>
        </w:rPr>
        <w:t>.3.1  在投标人须知前附表第2.2.2项规定的投标截止时间前，投标人可以修改或撤回已递交的投标文件。</w:t>
      </w:r>
      <w:r>
        <w:rPr>
          <w:rFonts w:hint="eastAsia" w:ascii="宋体" w:hAnsi="宋体" w:eastAsia="宋体" w:cs="Times New Roman"/>
          <w:snapToGrid w:val="0"/>
          <w:color w:val="auto"/>
          <w:kern w:val="0"/>
          <w:szCs w:val="21"/>
          <w:highlight w:val="none"/>
        </w:rPr>
        <w:t>但应以书面形式通知招标人。</w:t>
      </w:r>
    </w:p>
    <w:p>
      <w:pPr>
        <w:autoSpaceDE w:val="0"/>
        <w:autoSpaceDN w:val="0"/>
        <w:adjustRightInd w:val="0"/>
        <w:snapToGrid w:val="0"/>
        <w:spacing w:line="360" w:lineRule="auto"/>
        <w:ind w:firstLine="420" w:firstLineChars="200"/>
        <w:rPr>
          <w:rFonts w:hint="eastAsia" w:ascii="宋体" w:hAnsi="宋体" w:eastAsia="宋体" w:cs="Times New Roman"/>
          <w:snapToGrid w:val="0"/>
          <w:color w:val="auto"/>
          <w:kern w:val="0"/>
          <w:szCs w:val="21"/>
          <w:highlight w:val="none"/>
          <w:lang w:eastAsia="zh-CN"/>
        </w:rPr>
      </w:pPr>
      <w:r>
        <w:rPr>
          <w:rFonts w:hint="eastAsia" w:ascii="宋体" w:hAnsi="宋体" w:eastAsia="宋体" w:cs="Times New Roman"/>
          <w:snapToGrid w:val="0"/>
          <w:color w:val="auto"/>
          <w:kern w:val="0"/>
          <w:szCs w:val="21"/>
          <w:highlight w:val="none"/>
        </w:rPr>
        <w:t>4.3.2  投标人修改或撤回已递交投标文件的书面通知应按照本章第3.7.3项的要求签字或盖章。招标人收到书面通知后，向投标人出具签收凭证。</w:t>
      </w:r>
      <w:r>
        <w:rPr>
          <w:rFonts w:hint="eastAsia" w:ascii="宋体" w:hAnsi="宋体" w:eastAsia="宋体" w:cs="Times New Roman"/>
          <w:snapToGrid w:val="0"/>
          <w:color w:val="auto"/>
          <w:kern w:val="0"/>
          <w:szCs w:val="21"/>
          <w:highlight w:val="none"/>
          <w:lang w:eastAsia="zh-CN"/>
        </w:rPr>
        <w:t>开标时间到后，不得再撤回已递交的投标文件。</w:t>
      </w:r>
    </w:p>
    <w:p>
      <w:pPr>
        <w:pStyle w:val="4"/>
        <w:spacing w:before="0" w:after="0" w:line="360" w:lineRule="auto"/>
        <w:rPr>
          <w:rFonts w:ascii="宋体" w:hAnsi="宋体"/>
          <w:b w:val="0"/>
          <w:snapToGrid w:val="0"/>
          <w:color w:val="auto"/>
          <w:highlight w:val="none"/>
        </w:rPr>
      </w:pPr>
      <w:bookmarkStart w:id="336" w:name="_Toc509218741"/>
      <w:bookmarkStart w:id="337" w:name="_Toc200513157"/>
      <w:bookmarkStart w:id="338" w:name="_Toc224103348"/>
      <w:bookmarkStart w:id="339" w:name="_Toc57820591"/>
      <w:bookmarkStart w:id="340" w:name="_Toc430530466"/>
      <w:bookmarkStart w:id="341" w:name="_Toc277082583"/>
      <w:bookmarkStart w:id="342" w:name="_Toc287607777"/>
      <w:bookmarkStart w:id="343" w:name="_Toc287620716"/>
      <w:r>
        <w:rPr>
          <w:rFonts w:ascii="宋体" w:hAnsi="宋体"/>
          <w:b w:val="0"/>
          <w:snapToGrid w:val="0"/>
          <w:color w:val="auto"/>
          <w:highlight w:val="none"/>
        </w:rPr>
        <w:t>5.  开标</w:t>
      </w:r>
      <w:bookmarkEnd w:id="336"/>
      <w:bookmarkEnd w:id="337"/>
      <w:bookmarkEnd w:id="338"/>
      <w:bookmarkEnd w:id="339"/>
      <w:bookmarkEnd w:id="340"/>
      <w:bookmarkEnd w:id="341"/>
      <w:bookmarkEnd w:id="342"/>
      <w:bookmarkEnd w:id="343"/>
    </w:p>
    <w:p>
      <w:pPr>
        <w:pStyle w:val="5"/>
        <w:snapToGrid w:val="0"/>
        <w:spacing w:before="0" w:after="0" w:line="360" w:lineRule="auto"/>
        <w:rPr>
          <w:rFonts w:ascii="宋体" w:hAnsi="宋体"/>
          <w:b w:val="0"/>
          <w:snapToGrid w:val="0"/>
          <w:color w:val="auto"/>
          <w:sz w:val="24"/>
          <w:szCs w:val="24"/>
          <w:highlight w:val="none"/>
        </w:rPr>
      </w:pPr>
      <w:bookmarkStart w:id="344" w:name="_Toc57820592"/>
      <w:bookmarkStart w:id="345" w:name="_Toc224103349"/>
      <w:bookmarkStart w:id="346" w:name="_Toc287620717"/>
      <w:bookmarkStart w:id="347" w:name="_Toc287607778"/>
      <w:bookmarkStart w:id="348" w:name="_Toc200513158"/>
      <w:bookmarkStart w:id="349" w:name="_Toc430530467"/>
      <w:bookmarkStart w:id="350" w:name="_Toc277082584"/>
      <w:bookmarkStart w:id="351" w:name="_Toc509218742"/>
      <w:r>
        <w:rPr>
          <w:rFonts w:ascii="宋体" w:hAnsi="宋体"/>
          <w:b w:val="0"/>
          <w:snapToGrid w:val="0"/>
          <w:color w:val="auto"/>
          <w:sz w:val="24"/>
          <w:szCs w:val="24"/>
          <w:highlight w:val="none"/>
        </w:rPr>
        <w:t>5.1  开标时间和地点</w:t>
      </w:r>
      <w:bookmarkEnd w:id="344"/>
      <w:bookmarkEnd w:id="345"/>
      <w:bookmarkEnd w:id="346"/>
      <w:bookmarkEnd w:id="347"/>
      <w:bookmarkEnd w:id="348"/>
      <w:bookmarkEnd w:id="349"/>
      <w:bookmarkEnd w:id="350"/>
      <w:bookmarkEnd w:id="35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5.1.2  投标人在投标人须知前附表第 5.1.2 项规定的解密时间内在线或到开标现场完成投标文件解密工作。</w:t>
      </w:r>
    </w:p>
    <w:p>
      <w:pPr>
        <w:pStyle w:val="5"/>
        <w:snapToGrid w:val="0"/>
        <w:spacing w:before="0" w:after="0" w:line="360" w:lineRule="auto"/>
        <w:rPr>
          <w:rFonts w:ascii="宋体" w:hAnsi="宋体"/>
          <w:b w:val="0"/>
          <w:snapToGrid w:val="0"/>
          <w:color w:val="auto"/>
          <w:sz w:val="24"/>
          <w:szCs w:val="24"/>
          <w:highlight w:val="none"/>
        </w:rPr>
      </w:pPr>
      <w:bookmarkStart w:id="352" w:name="_Toc509218743"/>
      <w:bookmarkStart w:id="353" w:name="_Toc287607779"/>
      <w:bookmarkStart w:id="354" w:name="_Toc287620718"/>
      <w:bookmarkStart w:id="355" w:name="_Toc430530468"/>
      <w:bookmarkStart w:id="356" w:name="_Toc57820593"/>
      <w:bookmarkStart w:id="357" w:name="_Toc277082585"/>
      <w:bookmarkStart w:id="358" w:name="_Toc200513159"/>
      <w:bookmarkStart w:id="359" w:name="_Toc224103350"/>
      <w:r>
        <w:rPr>
          <w:rFonts w:ascii="宋体" w:hAnsi="宋体"/>
          <w:b w:val="0"/>
          <w:snapToGrid w:val="0"/>
          <w:color w:val="auto"/>
          <w:sz w:val="24"/>
          <w:szCs w:val="24"/>
          <w:highlight w:val="none"/>
        </w:rPr>
        <w:t>5.2  开标程序</w:t>
      </w:r>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firstLine="420" w:firstLineChars="200"/>
        <w:rPr>
          <w:rFonts w:ascii="宋体" w:hAnsi="宋体"/>
          <w:color w:val="auto"/>
          <w:szCs w:val="21"/>
          <w:highlight w:val="none"/>
        </w:rPr>
      </w:pPr>
      <w:bookmarkStart w:id="360" w:name="_Toc287607780"/>
      <w:bookmarkStart w:id="361" w:name="_Toc224103351"/>
      <w:bookmarkStart w:id="362" w:name="_Toc277082586"/>
      <w:bookmarkStart w:id="363" w:name="_Toc287620719"/>
      <w:bookmarkStart w:id="364" w:name="_Toc200513160"/>
      <w:r>
        <w:rPr>
          <w:rFonts w:ascii="宋体" w:hAnsi="宋体"/>
          <w:color w:val="auto"/>
          <w:szCs w:val="21"/>
          <w:highlight w:val="none"/>
        </w:rPr>
        <w:t>详见投标人须知前附表第5.2款开标程序。</w:t>
      </w:r>
    </w:p>
    <w:p>
      <w:pPr>
        <w:pStyle w:val="5"/>
        <w:snapToGrid w:val="0"/>
        <w:spacing w:before="0" w:after="0" w:line="360" w:lineRule="auto"/>
        <w:rPr>
          <w:rFonts w:ascii="宋体" w:hAnsi="宋体"/>
          <w:b w:val="0"/>
          <w:snapToGrid w:val="0"/>
          <w:color w:val="auto"/>
          <w:sz w:val="24"/>
          <w:szCs w:val="24"/>
          <w:highlight w:val="none"/>
        </w:rPr>
      </w:pPr>
      <w:bookmarkStart w:id="365"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5"/>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w:t>
      </w:r>
      <w:r>
        <w:rPr>
          <w:rFonts w:hint="eastAsia" w:ascii="宋体" w:hAnsi="宋体"/>
          <w:color w:val="auto"/>
          <w:szCs w:val="21"/>
          <w:highlight w:val="none"/>
          <w:lang w:eastAsia="zh-CN"/>
        </w:rPr>
        <w:t>在</w:t>
      </w:r>
      <w:r>
        <w:rPr>
          <w:rFonts w:hint="eastAsia" w:ascii="宋体" w:hAnsi="宋体"/>
          <w:color w:val="auto"/>
          <w:szCs w:val="21"/>
          <w:highlight w:val="none"/>
        </w:rPr>
        <w:t>开标现场提出异议的，应出示法定代表人身份证明或附有法定代表人身份证明的授权委托书。招标人当场作出答复，并制作记录，有异议的投标人代表、招标人代表、主持人、记录人等有关人员在记录上签名确认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pPr>
        <w:pStyle w:val="4"/>
        <w:spacing w:before="0" w:after="0" w:line="360" w:lineRule="auto"/>
        <w:rPr>
          <w:rFonts w:ascii="宋体" w:hAnsi="宋体"/>
          <w:b w:val="0"/>
          <w:snapToGrid w:val="0"/>
          <w:color w:val="auto"/>
          <w:highlight w:val="none"/>
        </w:rPr>
      </w:pPr>
      <w:bookmarkStart w:id="366" w:name="_Toc430530469"/>
      <w:bookmarkStart w:id="367" w:name="_Toc509218744"/>
      <w:bookmarkStart w:id="368" w:name="_Toc57820595"/>
      <w:r>
        <w:rPr>
          <w:rFonts w:ascii="宋体" w:hAnsi="宋体"/>
          <w:b w:val="0"/>
          <w:snapToGrid w:val="0"/>
          <w:color w:val="auto"/>
          <w:highlight w:val="none"/>
        </w:rPr>
        <w:t>6.  评标</w:t>
      </w:r>
      <w:bookmarkEnd w:id="360"/>
      <w:bookmarkEnd w:id="361"/>
      <w:bookmarkEnd w:id="362"/>
      <w:bookmarkEnd w:id="363"/>
      <w:bookmarkEnd w:id="364"/>
      <w:bookmarkEnd w:id="366"/>
      <w:bookmarkEnd w:id="367"/>
      <w:bookmarkEnd w:id="368"/>
    </w:p>
    <w:p>
      <w:pPr>
        <w:pStyle w:val="5"/>
        <w:snapToGrid w:val="0"/>
        <w:spacing w:before="0" w:after="0" w:line="360" w:lineRule="auto"/>
        <w:rPr>
          <w:rFonts w:ascii="宋体" w:hAnsi="宋体"/>
          <w:b w:val="0"/>
          <w:snapToGrid w:val="0"/>
          <w:color w:val="auto"/>
          <w:sz w:val="24"/>
          <w:szCs w:val="24"/>
          <w:highlight w:val="none"/>
        </w:rPr>
      </w:pPr>
      <w:bookmarkStart w:id="369" w:name="_Toc277082587"/>
      <w:bookmarkStart w:id="370" w:name="_Toc287607781"/>
      <w:bookmarkStart w:id="371" w:name="_Toc224103352"/>
      <w:bookmarkStart w:id="372" w:name="_Toc57820596"/>
      <w:bookmarkStart w:id="373" w:name="_Toc287620720"/>
      <w:bookmarkStart w:id="374" w:name="_Toc509218745"/>
      <w:bookmarkStart w:id="375" w:name="_Toc430530470"/>
      <w:bookmarkStart w:id="376" w:name="_Toc200513161"/>
      <w:r>
        <w:rPr>
          <w:rFonts w:ascii="宋体" w:hAnsi="宋体"/>
          <w:b w:val="0"/>
          <w:snapToGrid w:val="0"/>
          <w:color w:val="auto"/>
          <w:sz w:val="24"/>
          <w:szCs w:val="24"/>
          <w:highlight w:val="none"/>
        </w:rPr>
        <w:t>6.1  评标委员会</w:t>
      </w:r>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pPr>
        <w:pStyle w:val="145"/>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377" w:name="_Toc277082588"/>
      <w:bookmarkStart w:id="378" w:name="_Toc509218746"/>
      <w:bookmarkStart w:id="379" w:name="_Toc287607782"/>
      <w:bookmarkStart w:id="380" w:name="_Toc287620721"/>
      <w:bookmarkStart w:id="381" w:name="_Toc224103353"/>
      <w:bookmarkStart w:id="382" w:name="_Toc430530471"/>
      <w:bookmarkStart w:id="383" w:name="_Toc57820597"/>
      <w:bookmarkStart w:id="384" w:name="_Toc200513162"/>
      <w:r>
        <w:rPr>
          <w:rFonts w:ascii="宋体" w:hAnsi="宋体"/>
          <w:b w:val="0"/>
          <w:snapToGrid w:val="0"/>
          <w:color w:val="auto"/>
          <w:sz w:val="24"/>
          <w:szCs w:val="24"/>
          <w:highlight w:val="none"/>
        </w:rPr>
        <w:t>6.2  评标原则</w:t>
      </w:r>
      <w:bookmarkEnd w:id="377"/>
      <w:bookmarkEnd w:id="378"/>
      <w:bookmarkEnd w:id="379"/>
      <w:bookmarkEnd w:id="380"/>
      <w:bookmarkEnd w:id="381"/>
      <w:bookmarkEnd w:id="382"/>
      <w:bookmarkEnd w:id="383"/>
      <w:bookmarkEnd w:id="38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385" w:name="_Toc277082589"/>
      <w:bookmarkStart w:id="386" w:name="_Toc287620722"/>
      <w:bookmarkStart w:id="387" w:name="_Toc287607783"/>
      <w:bookmarkStart w:id="388" w:name="_Toc430530472"/>
      <w:bookmarkStart w:id="389" w:name="_Toc509218747"/>
      <w:bookmarkStart w:id="390" w:name="_Toc224103354"/>
      <w:bookmarkStart w:id="391" w:name="_Toc57820598"/>
      <w:bookmarkStart w:id="392" w:name="_Toc200513163"/>
      <w:r>
        <w:rPr>
          <w:rFonts w:ascii="宋体" w:hAnsi="宋体"/>
          <w:b w:val="0"/>
          <w:snapToGrid w:val="0"/>
          <w:color w:val="auto"/>
          <w:sz w:val="24"/>
          <w:szCs w:val="24"/>
          <w:highlight w:val="none"/>
        </w:rPr>
        <w:t>6.3  评标</w:t>
      </w:r>
      <w:bookmarkEnd w:id="385"/>
      <w:bookmarkEnd w:id="386"/>
      <w:bookmarkEnd w:id="387"/>
      <w:bookmarkEnd w:id="388"/>
      <w:bookmarkEnd w:id="389"/>
      <w:bookmarkEnd w:id="390"/>
      <w:bookmarkEnd w:id="391"/>
      <w:bookmarkEnd w:id="39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color w:val="auto"/>
          <w:highlight w:val="none"/>
        </w:rPr>
      </w:pPr>
      <w:bookmarkStart w:id="393" w:name="_Toc430530473"/>
      <w:bookmarkStart w:id="394" w:name="_Toc200513164"/>
      <w:bookmarkStart w:id="395" w:name="_Toc509218748"/>
      <w:bookmarkStart w:id="396" w:name="_Toc57820599"/>
      <w:bookmarkStart w:id="397" w:name="_Toc287607784"/>
      <w:bookmarkStart w:id="398" w:name="_Toc287620723"/>
      <w:bookmarkStart w:id="399" w:name="_Toc277082590"/>
      <w:bookmarkStart w:id="400" w:name="_Toc224103355"/>
      <w:r>
        <w:rPr>
          <w:rFonts w:ascii="宋体" w:hAnsi="宋体"/>
          <w:b w:val="0"/>
          <w:snapToGrid w:val="0"/>
          <w:color w:val="auto"/>
          <w:highlight w:val="none"/>
        </w:rPr>
        <w:t>7.  合同授予</w:t>
      </w:r>
      <w:bookmarkEnd w:id="393"/>
      <w:bookmarkEnd w:id="394"/>
      <w:bookmarkEnd w:id="395"/>
      <w:bookmarkEnd w:id="396"/>
      <w:bookmarkEnd w:id="397"/>
      <w:bookmarkEnd w:id="398"/>
      <w:bookmarkEnd w:id="399"/>
      <w:bookmarkEnd w:id="400"/>
    </w:p>
    <w:p>
      <w:pPr>
        <w:pStyle w:val="5"/>
        <w:snapToGrid w:val="0"/>
        <w:spacing w:before="0" w:after="0" w:line="360" w:lineRule="auto"/>
        <w:rPr>
          <w:rFonts w:ascii="宋体" w:hAnsi="宋体"/>
          <w:b w:val="0"/>
          <w:snapToGrid w:val="0"/>
          <w:color w:val="auto"/>
          <w:sz w:val="24"/>
          <w:szCs w:val="24"/>
          <w:highlight w:val="none"/>
        </w:rPr>
      </w:pPr>
      <w:bookmarkStart w:id="401" w:name="_Toc287620724"/>
      <w:bookmarkStart w:id="402" w:name="_Toc200513165"/>
      <w:bookmarkStart w:id="403" w:name="_Toc224103356"/>
      <w:bookmarkStart w:id="404" w:name="_Toc430530474"/>
      <w:bookmarkStart w:id="405" w:name="_Toc277082591"/>
      <w:bookmarkStart w:id="406" w:name="_Toc287607785"/>
      <w:bookmarkStart w:id="407" w:name="_Toc57820600"/>
      <w:bookmarkStart w:id="408" w:name="_Toc509218749"/>
      <w:r>
        <w:rPr>
          <w:rFonts w:ascii="宋体" w:hAnsi="宋体"/>
          <w:b w:val="0"/>
          <w:snapToGrid w:val="0"/>
          <w:color w:val="auto"/>
          <w:sz w:val="24"/>
          <w:szCs w:val="24"/>
          <w:highlight w:val="none"/>
        </w:rPr>
        <w:t>7.1  定标方式</w:t>
      </w:r>
      <w:bookmarkEnd w:id="401"/>
      <w:bookmarkEnd w:id="402"/>
      <w:bookmarkEnd w:id="403"/>
      <w:bookmarkEnd w:id="404"/>
      <w:bookmarkEnd w:id="405"/>
      <w:bookmarkEnd w:id="406"/>
      <w:bookmarkEnd w:id="407"/>
      <w:bookmarkEnd w:id="408"/>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409" w:name="_Toc430530475"/>
      <w:bookmarkStart w:id="410" w:name="_Toc509218750"/>
      <w:bookmarkStart w:id="411" w:name="_Toc57820601"/>
      <w:r>
        <w:rPr>
          <w:rFonts w:ascii="宋体" w:hAnsi="宋体"/>
          <w:b w:val="0"/>
          <w:snapToGrid w:val="0"/>
          <w:color w:val="auto"/>
          <w:sz w:val="24"/>
          <w:szCs w:val="24"/>
          <w:highlight w:val="none"/>
        </w:rPr>
        <w:t>7.2  中标公示及中标通知</w:t>
      </w:r>
      <w:bookmarkEnd w:id="409"/>
      <w:bookmarkEnd w:id="410"/>
      <w:bookmarkEnd w:id="411"/>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b w:val="0"/>
          <w:snapToGrid w:val="0"/>
          <w:color w:val="auto"/>
          <w:sz w:val="24"/>
          <w:szCs w:val="24"/>
          <w:highlight w:val="none"/>
        </w:rPr>
      </w:pPr>
      <w:bookmarkStart w:id="412" w:name="_Toc287620726"/>
      <w:bookmarkStart w:id="413" w:name="_Toc224103358"/>
      <w:bookmarkStart w:id="414" w:name="_Toc57820602"/>
      <w:bookmarkStart w:id="415" w:name="_Toc509218751"/>
      <w:bookmarkStart w:id="416" w:name="_Toc430530476"/>
      <w:bookmarkStart w:id="417" w:name="_Toc287607787"/>
      <w:bookmarkStart w:id="418" w:name="_Toc200513167"/>
      <w:bookmarkStart w:id="419" w:name="_Toc277082593"/>
      <w:r>
        <w:rPr>
          <w:rFonts w:ascii="宋体" w:hAnsi="宋体"/>
          <w:b w:val="0"/>
          <w:snapToGrid w:val="0"/>
          <w:color w:val="auto"/>
          <w:sz w:val="24"/>
          <w:szCs w:val="24"/>
          <w:highlight w:val="none"/>
        </w:rPr>
        <w:t>7.3  履约担保</w:t>
      </w:r>
      <w:bookmarkEnd w:id="412"/>
      <w:bookmarkEnd w:id="413"/>
      <w:bookmarkEnd w:id="414"/>
      <w:bookmarkEnd w:id="415"/>
      <w:bookmarkEnd w:id="416"/>
      <w:bookmarkEnd w:id="417"/>
      <w:bookmarkEnd w:id="418"/>
      <w:bookmarkEnd w:id="41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20" w:name="_Toc277082594"/>
      <w:bookmarkStart w:id="421" w:name="_Toc287607788"/>
      <w:bookmarkStart w:id="422" w:name="_Toc57820603"/>
      <w:bookmarkStart w:id="423" w:name="_Toc287620727"/>
      <w:bookmarkStart w:id="424" w:name="_Toc509218752"/>
      <w:bookmarkStart w:id="425" w:name="_Toc430530477"/>
      <w:bookmarkStart w:id="426" w:name="_Toc224103359"/>
      <w:bookmarkStart w:id="427" w:name="_Toc200513168"/>
      <w:r>
        <w:rPr>
          <w:rFonts w:ascii="宋体" w:hAnsi="宋体"/>
          <w:b w:val="0"/>
          <w:snapToGrid w:val="0"/>
          <w:color w:val="auto"/>
          <w:sz w:val="24"/>
          <w:szCs w:val="24"/>
          <w:highlight w:val="none"/>
        </w:rPr>
        <w:t>7.4  签订合同</w:t>
      </w:r>
      <w:bookmarkEnd w:id="420"/>
      <w:bookmarkEnd w:id="421"/>
      <w:bookmarkEnd w:id="422"/>
      <w:bookmarkEnd w:id="423"/>
      <w:bookmarkEnd w:id="424"/>
      <w:bookmarkEnd w:id="425"/>
      <w:bookmarkEnd w:id="426"/>
      <w:bookmarkEnd w:id="427"/>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不与招标人签订合同，在签订合同时向招标人提出附加条件或者更改合同实质性内容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b w:val="0"/>
          <w:snapToGrid w:val="0"/>
          <w:color w:val="auto"/>
          <w:highlight w:val="none"/>
        </w:rPr>
      </w:pPr>
      <w:bookmarkStart w:id="428" w:name="_Toc57820604"/>
      <w:bookmarkStart w:id="429" w:name="_Toc200513169"/>
      <w:bookmarkStart w:id="430" w:name="_Toc287620728"/>
      <w:bookmarkStart w:id="431" w:name="_Toc430530478"/>
      <w:bookmarkStart w:id="432" w:name="_Toc287607789"/>
      <w:bookmarkStart w:id="433" w:name="_Toc277082595"/>
      <w:bookmarkStart w:id="434" w:name="_Toc509218753"/>
      <w:bookmarkStart w:id="435" w:name="_Toc224103360"/>
      <w:r>
        <w:rPr>
          <w:rFonts w:ascii="宋体" w:hAnsi="宋体"/>
          <w:b w:val="0"/>
          <w:snapToGrid w:val="0"/>
          <w:color w:val="auto"/>
          <w:highlight w:val="none"/>
        </w:rPr>
        <w:t>8.  重新招标和不再招标</w:t>
      </w:r>
      <w:bookmarkEnd w:id="428"/>
      <w:bookmarkEnd w:id="429"/>
      <w:bookmarkEnd w:id="430"/>
      <w:bookmarkEnd w:id="431"/>
      <w:bookmarkEnd w:id="432"/>
      <w:bookmarkEnd w:id="433"/>
      <w:bookmarkEnd w:id="434"/>
      <w:bookmarkEnd w:id="435"/>
    </w:p>
    <w:p>
      <w:pPr>
        <w:pStyle w:val="5"/>
        <w:snapToGrid w:val="0"/>
        <w:spacing w:before="0" w:after="0" w:line="360" w:lineRule="auto"/>
        <w:rPr>
          <w:rFonts w:ascii="宋体" w:hAnsi="宋体"/>
          <w:b w:val="0"/>
          <w:snapToGrid w:val="0"/>
          <w:color w:val="auto"/>
          <w:sz w:val="24"/>
          <w:szCs w:val="24"/>
          <w:highlight w:val="none"/>
        </w:rPr>
      </w:pPr>
      <w:bookmarkStart w:id="436" w:name="_Toc509218754"/>
      <w:bookmarkStart w:id="437" w:name="_Toc287620729"/>
      <w:bookmarkStart w:id="438" w:name="_Toc57820605"/>
      <w:bookmarkStart w:id="439" w:name="_Toc287607790"/>
      <w:bookmarkStart w:id="440" w:name="_Toc430530479"/>
      <w:bookmarkStart w:id="441" w:name="_Toc200513170"/>
      <w:bookmarkStart w:id="442" w:name="_Toc224103361"/>
      <w:bookmarkStart w:id="443" w:name="_Toc277082596"/>
      <w:r>
        <w:rPr>
          <w:rFonts w:ascii="宋体" w:hAnsi="宋体"/>
          <w:b w:val="0"/>
          <w:snapToGrid w:val="0"/>
          <w:color w:val="auto"/>
          <w:sz w:val="24"/>
          <w:szCs w:val="24"/>
          <w:highlight w:val="none"/>
        </w:rPr>
        <w:t>8.1  重新招标</w:t>
      </w:r>
      <w:bookmarkEnd w:id="436"/>
      <w:bookmarkEnd w:id="437"/>
      <w:bookmarkEnd w:id="438"/>
      <w:bookmarkEnd w:id="439"/>
      <w:bookmarkEnd w:id="440"/>
      <w:bookmarkEnd w:id="441"/>
      <w:bookmarkEnd w:id="442"/>
      <w:bookmarkEnd w:id="443"/>
      <w:r>
        <w:rPr>
          <w:rFonts w:hint="eastAsia" w:ascii="宋体" w:hAnsi="宋体"/>
          <w:b w:val="0"/>
          <w:snapToGrid w:val="0"/>
          <w:color w:val="auto"/>
          <w:sz w:val="24"/>
          <w:szCs w:val="24"/>
          <w:highlight w:val="none"/>
        </w:rPr>
        <w:t>的情形</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444" w:name="_Toc224103362"/>
      <w:bookmarkStart w:id="445" w:name="_Toc509218755"/>
      <w:bookmarkStart w:id="446" w:name="_Toc57820606"/>
      <w:bookmarkStart w:id="447" w:name="_Toc200513171"/>
      <w:bookmarkStart w:id="448" w:name="_Toc277082597"/>
      <w:bookmarkStart w:id="449" w:name="_Toc287607791"/>
      <w:bookmarkStart w:id="450" w:name="_Toc430530480"/>
      <w:bookmarkStart w:id="451"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44"/>
      <w:bookmarkEnd w:id="445"/>
      <w:bookmarkEnd w:id="446"/>
      <w:bookmarkEnd w:id="447"/>
      <w:bookmarkEnd w:id="448"/>
      <w:bookmarkEnd w:id="449"/>
      <w:bookmarkEnd w:id="450"/>
      <w:bookmarkEnd w:id="45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452" w:name="_Toc277082598"/>
      <w:bookmarkStart w:id="453" w:name="_Toc430530481"/>
      <w:bookmarkStart w:id="454" w:name="_Toc224103363"/>
      <w:bookmarkStart w:id="455" w:name="_Toc287607792"/>
      <w:bookmarkStart w:id="456" w:name="_Toc57820607"/>
      <w:bookmarkStart w:id="457" w:name="_Toc287620731"/>
      <w:bookmarkStart w:id="458" w:name="_Toc200513172"/>
      <w:bookmarkStart w:id="459" w:name="_Toc509218756"/>
      <w:r>
        <w:rPr>
          <w:rFonts w:ascii="宋体" w:hAnsi="宋体"/>
          <w:b w:val="0"/>
          <w:snapToGrid w:val="0"/>
          <w:color w:val="auto"/>
          <w:highlight w:val="none"/>
        </w:rPr>
        <w:t>9.  纪律和监督</w:t>
      </w:r>
      <w:bookmarkEnd w:id="452"/>
      <w:bookmarkEnd w:id="453"/>
      <w:bookmarkEnd w:id="454"/>
      <w:bookmarkEnd w:id="455"/>
      <w:bookmarkEnd w:id="456"/>
      <w:bookmarkEnd w:id="457"/>
      <w:bookmarkEnd w:id="458"/>
      <w:bookmarkEnd w:id="459"/>
    </w:p>
    <w:p>
      <w:pPr>
        <w:pStyle w:val="5"/>
        <w:snapToGrid w:val="0"/>
        <w:spacing w:before="0" w:after="0" w:line="360" w:lineRule="auto"/>
        <w:rPr>
          <w:rFonts w:ascii="宋体" w:hAnsi="宋体"/>
          <w:b w:val="0"/>
          <w:snapToGrid w:val="0"/>
          <w:color w:val="auto"/>
          <w:sz w:val="24"/>
          <w:szCs w:val="24"/>
          <w:highlight w:val="none"/>
        </w:rPr>
      </w:pPr>
      <w:bookmarkStart w:id="460" w:name="_Toc430530482"/>
      <w:bookmarkStart w:id="461" w:name="_Toc200513173"/>
      <w:bookmarkStart w:id="462" w:name="_Toc287607793"/>
      <w:bookmarkStart w:id="463" w:name="_Toc57820608"/>
      <w:bookmarkStart w:id="464" w:name="_Toc509218757"/>
      <w:bookmarkStart w:id="465" w:name="_Toc287620732"/>
      <w:bookmarkStart w:id="466" w:name="_Toc277082599"/>
      <w:bookmarkStart w:id="467" w:name="_Toc224103364"/>
      <w:r>
        <w:rPr>
          <w:rFonts w:ascii="宋体" w:hAnsi="宋体"/>
          <w:b w:val="0"/>
          <w:snapToGrid w:val="0"/>
          <w:color w:val="auto"/>
          <w:sz w:val="24"/>
          <w:szCs w:val="24"/>
          <w:highlight w:val="none"/>
        </w:rPr>
        <w:t>9.1  对招标人的纪律要求</w:t>
      </w:r>
      <w:bookmarkEnd w:id="460"/>
      <w:bookmarkEnd w:id="461"/>
      <w:bookmarkEnd w:id="462"/>
      <w:bookmarkEnd w:id="463"/>
      <w:bookmarkEnd w:id="464"/>
      <w:bookmarkEnd w:id="465"/>
      <w:bookmarkEnd w:id="466"/>
      <w:bookmarkEnd w:id="467"/>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highlight w:val="none"/>
        </w:rPr>
      </w:pPr>
      <w:bookmarkStart w:id="468" w:name="_Toc57820609"/>
      <w:bookmarkStart w:id="469" w:name="_Toc509218758"/>
      <w:bookmarkStart w:id="470" w:name="_Toc200513174"/>
      <w:bookmarkStart w:id="471" w:name="_Toc430530483"/>
      <w:bookmarkStart w:id="472" w:name="_Toc287620733"/>
      <w:bookmarkStart w:id="473" w:name="_Toc287607794"/>
      <w:bookmarkStart w:id="474" w:name="_Toc277082600"/>
      <w:bookmarkStart w:id="475" w:name="_Toc224103365"/>
      <w:r>
        <w:rPr>
          <w:rFonts w:ascii="宋体" w:hAnsi="宋体"/>
          <w:b w:val="0"/>
          <w:snapToGrid w:val="0"/>
          <w:color w:val="auto"/>
          <w:sz w:val="24"/>
          <w:szCs w:val="24"/>
          <w:highlight w:val="none"/>
        </w:rPr>
        <w:t>9.2  对投标人的纪律要求</w:t>
      </w:r>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476" w:name="_Toc430530484"/>
      <w:bookmarkStart w:id="477" w:name="_Toc224103366"/>
      <w:bookmarkStart w:id="478" w:name="_Toc287607795"/>
      <w:bookmarkStart w:id="479" w:name="_Toc57820610"/>
      <w:bookmarkStart w:id="480" w:name="_Toc509218759"/>
      <w:bookmarkStart w:id="481" w:name="_Toc200513175"/>
      <w:bookmarkStart w:id="482" w:name="_Toc287620734"/>
      <w:bookmarkStart w:id="483" w:name="_Toc277082601"/>
      <w:r>
        <w:rPr>
          <w:rFonts w:ascii="宋体" w:hAnsi="宋体"/>
          <w:b w:val="0"/>
          <w:snapToGrid w:val="0"/>
          <w:color w:val="auto"/>
          <w:sz w:val="24"/>
          <w:szCs w:val="24"/>
          <w:highlight w:val="none"/>
        </w:rPr>
        <w:t>9.3  对评标委员会成员的纪律要求</w:t>
      </w:r>
      <w:bookmarkEnd w:id="476"/>
      <w:bookmarkEnd w:id="477"/>
      <w:bookmarkEnd w:id="478"/>
      <w:bookmarkEnd w:id="479"/>
      <w:bookmarkEnd w:id="480"/>
      <w:bookmarkEnd w:id="481"/>
      <w:bookmarkEnd w:id="482"/>
      <w:bookmarkEnd w:id="48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highlight w:val="none"/>
        </w:rPr>
      </w:pPr>
      <w:bookmarkStart w:id="484" w:name="_Toc224103367"/>
      <w:bookmarkStart w:id="485" w:name="_Toc200513176"/>
      <w:bookmarkStart w:id="486" w:name="_Toc287620735"/>
      <w:bookmarkStart w:id="487" w:name="_Toc287607796"/>
      <w:bookmarkStart w:id="488" w:name="_Toc277082602"/>
      <w:bookmarkStart w:id="489" w:name="_Toc509218760"/>
      <w:bookmarkStart w:id="490" w:name="_Toc430530485"/>
      <w:bookmarkStart w:id="491" w:name="_Toc57820611"/>
      <w:r>
        <w:rPr>
          <w:rFonts w:ascii="宋体" w:hAnsi="宋体"/>
          <w:b w:val="0"/>
          <w:snapToGrid w:val="0"/>
          <w:color w:val="auto"/>
          <w:sz w:val="24"/>
          <w:szCs w:val="24"/>
          <w:highlight w:val="none"/>
        </w:rPr>
        <w:t>9.4  对与评标活动有关的工作人员的纪律要求</w:t>
      </w:r>
      <w:bookmarkEnd w:id="484"/>
      <w:bookmarkEnd w:id="485"/>
      <w:bookmarkEnd w:id="486"/>
      <w:bookmarkEnd w:id="487"/>
      <w:bookmarkEnd w:id="488"/>
      <w:bookmarkEnd w:id="489"/>
      <w:bookmarkEnd w:id="490"/>
      <w:bookmarkEnd w:id="49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492" w:name="_Toc430530486"/>
      <w:bookmarkStart w:id="493" w:name="_Toc509218761"/>
      <w:bookmarkStart w:id="494" w:name="_Toc224103368"/>
      <w:bookmarkStart w:id="495" w:name="_Toc200513177"/>
      <w:bookmarkStart w:id="496" w:name="_Toc287620736"/>
      <w:bookmarkStart w:id="497" w:name="_Toc277082603"/>
      <w:bookmarkStart w:id="498" w:name="_Toc287607797"/>
      <w:bookmarkStart w:id="499" w:name="_Toc57820612"/>
      <w:r>
        <w:rPr>
          <w:rFonts w:ascii="宋体" w:hAnsi="宋体"/>
          <w:b w:val="0"/>
          <w:snapToGrid w:val="0"/>
          <w:color w:val="auto"/>
          <w:sz w:val="24"/>
          <w:szCs w:val="24"/>
          <w:highlight w:val="none"/>
        </w:rPr>
        <w:t>9.5  投诉</w:t>
      </w:r>
      <w:bookmarkEnd w:id="492"/>
      <w:bookmarkEnd w:id="493"/>
      <w:bookmarkEnd w:id="494"/>
      <w:bookmarkEnd w:id="495"/>
      <w:bookmarkEnd w:id="496"/>
      <w:bookmarkEnd w:id="497"/>
      <w:bookmarkEnd w:id="498"/>
      <w:bookmarkEnd w:id="49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pPr>
        <w:pStyle w:val="4"/>
        <w:spacing w:before="0" w:after="0" w:line="360" w:lineRule="auto"/>
        <w:rPr>
          <w:rFonts w:ascii="宋体" w:hAnsi="宋体"/>
          <w:b w:val="0"/>
          <w:snapToGrid w:val="0"/>
          <w:color w:val="auto"/>
          <w:highlight w:val="none"/>
        </w:rPr>
      </w:pPr>
      <w:bookmarkStart w:id="500" w:name="_Toc200513178"/>
      <w:bookmarkStart w:id="501" w:name="_Toc224103369"/>
      <w:bookmarkStart w:id="502" w:name="_Toc277082604"/>
      <w:bookmarkStart w:id="503" w:name="_Toc287607798"/>
      <w:bookmarkStart w:id="504" w:name="_Toc509218762"/>
      <w:bookmarkStart w:id="505" w:name="_Toc287620737"/>
      <w:bookmarkStart w:id="506" w:name="_Toc57820613"/>
      <w:bookmarkStart w:id="507" w:name="_Toc430530487"/>
      <w:r>
        <w:rPr>
          <w:rFonts w:ascii="宋体" w:hAnsi="宋体"/>
          <w:b w:val="0"/>
          <w:snapToGrid w:val="0"/>
          <w:color w:val="auto"/>
          <w:highlight w:val="none"/>
        </w:rPr>
        <w:t>10. 需要补充的其他内容</w:t>
      </w:r>
      <w:bookmarkEnd w:id="500"/>
      <w:bookmarkEnd w:id="501"/>
      <w:bookmarkEnd w:id="502"/>
      <w:bookmarkEnd w:id="503"/>
      <w:bookmarkEnd w:id="504"/>
      <w:bookmarkEnd w:id="505"/>
      <w:bookmarkEnd w:id="506"/>
      <w:bookmarkEnd w:id="50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pPr>
        <w:rPr>
          <w:rFonts w:hint="eastAsia" w:ascii="宋体" w:hAnsi="宋体" w:eastAsia="宋体" w:cs="宋体"/>
          <w:b/>
          <w:snapToGrid w:val="0"/>
          <w:color w:val="auto"/>
          <w:kern w:val="0"/>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3757"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密封情况</w:t>
            </w:r>
          </w:p>
        </w:tc>
        <w:tc>
          <w:tcPr>
            <w:tcW w:w="1559" w:type="dxa"/>
            <w:tcBorders>
              <w:right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投标总报价</w:t>
            </w:r>
          </w:p>
        </w:tc>
        <w:tc>
          <w:tcPr>
            <w:tcW w:w="1560" w:type="dxa"/>
            <w:tcBorders>
              <w:left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安全文明施工费暂定金额</w:t>
            </w:r>
          </w:p>
        </w:tc>
        <w:tc>
          <w:tcPr>
            <w:tcW w:w="1275"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质量目标</w:t>
            </w:r>
          </w:p>
        </w:tc>
        <w:tc>
          <w:tcPr>
            <w:tcW w:w="993"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1285"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项目经理</w:t>
            </w:r>
          </w:p>
        </w:tc>
        <w:tc>
          <w:tcPr>
            <w:tcW w:w="947"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311"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最高限价的85%</w:t>
            </w:r>
          </w:p>
        </w:tc>
        <w:tc>
          <w:tcPr>
            <w:tcW w:w="10064" w:type="dxa"/>
            <w:gridSpan w:val="8"/>
            <w:tcBorders>
              <w:top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i/>
                <w:color w:val="auto"/>
                <w:kern w:val="0"/>
                <w:szCs w:val="21"/>
                <w:highlight w:val="none"/>
              </w:rPr>
              <w:t>[提示：经评审的最低投标价法适用]</w:t>
            </w: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w w:val="200"/>
          <w:kern w:val="0"/>
          <w:szCs w:val="21"/>
          <w:highlight w:val="none"/>
          <w:u w:val="singl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pPr>
        <w:autoSpaceDE w:val="0"/>
        <w:autoSpaceDN w:val="0"/>
        <w:adjustRightInd w:val="0"/>
        <w:snapToGrid w:val="0"/>
        <w:spacing w:before="62" w:beforeLines="20"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r>
        <w:rPr>
          <w:rFonts w:hint="eastAsia" w:ascii="宋体" w:hAnsi="宋体" w:eastAsia="宋体" w:cs="宋体"/>
          <w:b/>
          <w:snapToGrid w:val="0"/>
          <w:color w:val="auto"/>
          <w:kern w:val="0"/>
          <w:highlight w:val="none"/>
        </w:rPr>
        <w:t>附表二：纸质投标保函递交情况一览表（如有）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（项目名称）纸质投标保函递交情况一览表</w:t>
      </w:r>
    </w:p>
    <w:p>
      <w:pPr>
        <w:autoSpaceDE w:val="0"/>
        <w:autoSpaceDN w:val="0"/>
        <w:adjustRightInd w:val="0"/>
        <w:snapToGrid w:val="0"/>
        <w:spacing w:before="62" w:beforeLines="20" w:line="360" w:lineRule="auto"/>
        <w:ind w:firstLine="8610" w:firstLineChars="41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投标截止时间：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8"/>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4160" w:type="dxa"/>
            <w:vAlign w:val="top"/>
          </w:tcPr>
          <w:p>
            <w:pPr>
              <w:autoSpaceDE w:val="0"/>
              <w:autoSpaceDN w:val="0"/>
              <w:adjustRightInd w:val="0"/>
              <w:snapToGrid w:val="0"/>
              <w:spacing w:before="62" w:beforeLines="2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p>
        </w:tc>
        <w:tc>
          <w:tcPr>
            <w:tcW w:w="3088" w:type="dxa"/>
            <w:vAlign w:val="top"/>
          </w:tcPr>
          <w:p>
            <w:pPr>
              <w:autoSpaceDE w:val="0"/>
              <w:autoSpaceDN w:val="0"/>
              <w:adjustRightInd w:val="0"/>
              <w:snapToGrid w:val="0"/>
              <w:spacing w:before="62" w:beforeLines="2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金额（元）</w:t>
            </w:r>
          </w:p>
        </w:tc>
        <w:tc>
          <w:tcPr>
            <w:tcW w:w="2987" w:type="dxa"/>
            <w:vAlign w:val="top"/>
          </w:tcPr>
          <w:p>
            <w:pPr>
              <w:autoSpaceDE w:val="0"/>
              <w:autoSpaceDN w:val="0"/>
              <w:adjustRightInd w:val="0"/>
              <w:snapToGrid w:val="0"/>
              <w:spacing w:before="62" w:beforeLines="2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递交时间</w:t>
            </w:r>
          </w:p>
        </w:tc>
        <w:tc>
          <w:tcPr>
            <w:tcW w:w="3175" w:type="dxa"/>
            <w:vAlign w:val="top"/>
          </w:tcPr>
          <w:p>
            <w:pPr>
              <w:autoSpaceDE w:val="0"/>
              <w:autoSpaceDN w:val="0"/>
              <w:adjustRightInd w:val="0"/>
              <w:snapToGrid w:val="0"/>
              <w:spacing w:before="62" w:beforeLines="2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4160"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088"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2987"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c>
          <w:tcPr>
            <w:tcW w:w="3175" w:type="dxa"/>
            <w:vAlign w:val="top"/>
          </w:tcPr>
          <w:p>
            <w:pPr>
              <w:autoSpaceDE w:val="0"/>
              <w:autoSpaceDN w:val="0"/>
              <w:adjustRightInd w:val="0"/>
              <w:snapToGrid w:val="0"/>
              <w:spacing w:before="62" w:beforeLines="20" w:line="360" w:lineRule="auto"/>
              <w:rPr>
                <w:rFonts w:hint="eastAsia" w:ascii="宋体" w:hAnsi="宋体" w:eastAsia="宋体" w:cs="宋体"/>
                <w:color w:val="auto"/>
                <w:kern w:val="2"/>
                <w:sz w:val="21"/>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w w:val="200"/>
          <w:kern w:val="0"/>
          <w:szCs w:val="21"/>
          <w:highlight w:val="none"/>
          <w:u w:val="singl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pStyle w:val="18"/>
        <w:jc w:val="right"/>
        <w:rPr>
          <w:rFonts w:hint="eastAsia" w:ascii="宋体" w:hAnsi="宋体" w:eastAsia="宋体" w:cs="宋体"/>
          <w:color w:val="auto"/>
          <w:highlight w:val="none"/>
        </w:rPr>
      </w:pP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pPr>
        <w:autoSpaceDE w:val="0"/>
        <w:autoSpaceDN w:val="0"/>
        <w:adjustRightInd w:val="0"/>
        <w:snapToGrid w:val="0"/>
        <w:spacing w:before="62" w:beforeLines="20" w:line="360" w:lineRule="auto"/>
        <w:rPr>
          <w:rFonts w:hint="eastAsia" w:ascii="宋体" w:hAnsi="宋体" w:eastAsia="宋体" w:cs="宋体"/>
          <w:color w:val="auto"/>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附表三：问题澄清通知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（投标人名称）：</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时前递交至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（详细地址）或传真至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（传真号码）。采用传真方式的，应在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时前将原件递交至</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（详细地址）。</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附表四：问题的澄清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sectPr>
          <w:footerReference r:id="rId10" w:type="first"/>
          <w:footerReference r:id="rId9" w:type="default"/>
          <w:pgSz w:w="11906" w:h="16838"/>
          <w:pgMar w:top="1418" w:right="1555" w:bottom="1418" w:left="1531" w:header="851" w:footer="992" w:gutter="0"/>
          <w:pgNumType w:start="1"/>
          <w:cols w:space="720" w:num="1"/>
          <w:titlePg/>
          <w:docGrid w:type="lines" w:linePitch="312" w:charSpace="0"/>
        </w:sect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附表五：中标通知书</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重庆市建设工程中标通知书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（项目名称）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（其中含安全文明施工费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，工程质量达到国家施工验收规范标准。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日内到我单位签订承发包合同。在此之前按招标文件第二章“投标人须知”第7.3款规定向我方提交履约担保。</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特此通知。</w:t>
      </w: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 w:val="24"/>
          <w:highlight w:val="none"/>
        </w:rPr>
        <w:t>）</w:t>
      </w:r>
    </w:p>
    <w:p>
      <w:pPr>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（签名或盖章）</w:t>
      </w:r>
    </w:p>
    <w:p>
      <w:pPr>
        <w:spacing w:line="48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 w:val="24"/>
          <w:highlight w:val="none"/>
          <w:u w:val="single"/>
        </w:rPr>
        <w:t xml:space="preserve">                          </w:t>
      </w:r>
    </w:p>
    <w:p>
      <w:pPr>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 w:val="24"/>
          <w:highlight w:val="none"/>
          <w:u w:val="single"/>
        </w:rPr>
        <w:t xml:space="preserve">                        </w:t>
      </w:r>
    </w:p>
    <w:p>
      <w:pPr>
        <w:spacing w:line="480" w:lineRule="auto"/>
        <w:jc w:val="right"/>
        <w:rPr>
          <w:rFonts w:hint="eastAsia" w:ascii="宋体" w:hAnsi="宋体" w:eastAsia="宋体" w:cs="宋体"/>
          <w:color w:val="auto"/>
          <w:kern w:val="0"/>
          <w:sz w:val="24"/>
          <w:highlight w:val="none"/>
        </w:rPr>
      </w:pPr>
    </w:p>
    <w:p>
      <w:pPr>
        <w:spacing w:line="480" w:lineRule="auto"/>
        <w:jc w:val="right"/>
        <w:rPr>
          <w:rFonts w:hint="eastAsia" w:ascii="宋体" w:hAnsi="宋体" w:eastAsia="宋体" w:cs="宋体"/>
          <w:color w:val="auto"/>
          <w:kern w:val="0"/>
          <w:sz w:val="24"/>
          <w:highlight w:val="none"/>
        </w:rPr>
      </w:pPr>
    </w:p>
    <w:p>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color w:val="auto"/>
          <w:kern w:val="0"/>
          <w:sz w:val="24"/>
          <w:highlight w:val="none"/>
        </w:rPr>
        <w:br w:type="page"/>
      </w:r>
      <w:bookmarkStart w:id="508" w:name="招标文件03章02评标办法综合评估法"/>
      <w:bookmarkEnd w:id="508"/>
      <w:bookmarkStart w:id="509" w:name="招标文件03章02评标办法综合评估法00"/>
      <w:bookmarkEnd w:id="509"/>
      <w:bookmarkStart w:id="510" w:name="_Toc430530500"/>
      <w:bookmarkStart w:id="511" w:name="_Toc224103384"/>
      <w:bookmarkStart w:id="512" w:name="_Toc277082618"/>
      <w:bookmarkStart w:id="513" w:name="_Toc287620751"/>
      <w:bookmarkStart w:id="514" w:name="_Toc287607812"/>
      <w:bookmarkStart w:id="515" w:name="_Toc200513198"/>
    </w:p>
    <w:p>
      <w:pPr>
        <w:pStyle w:val="3"/>
        <w:spacing w:line="360" w:lineRule="auto"/>
        <w:ind w:firstLine="883" w:firstLineChars="200"/>
        <w:jc w:val="center"/>
        <w:rPr>
          <w:rFonts w:hint="eastAsia" w:ascii="宋体" w:hAnsi="宋体" w:eastAsia="宋体" w:cs="宋体"/>
          <w:color w:val="auto"/>
          <w:highlight w:val="none"/>
        </w:rPr>
      </w:pPr>
      <w:bookmarkStart w:id="516" w:name="_Toc509218774"/>
      <w:bookmarkStart w:id="517" w:name="_Toc57905895"/>
      <w:bookmarkStart w:id="518" w:name="_Toc6128"/>
      <w:r>
        <w:rPr>
          <w:rFonts w:hint="eastAsia" w:ascii="宋体" w:hAnsi="宋体" w:eastAsia="宋体" w:cs="宋体"/>
          <w:color w:val="auto"/>
          <w:highlight w:val="none"/>
        </w:rPr>
        <w:t>第三章  评标办法（综合评估法）</w:t>
      </w:r>
      <w:bookmarkEnd w:id="516"/>
      <w:bookmarkEnd w:id="517"/>
      <w:bookmarkEnd w:id="518"/>
      <w:bookmarkStart w:id="519" w:name="_Toc224103383"/>
      <w:bookmarkStart w:id="520" w:name="_Toc287620750"/>
      <w:bookmarkStart w:id="521" w:name="_Toc277082617"/>
      <w:bookmarkStart w:id="522" w:name="_Toc430530499"/>
      <w:bookmarkStart w:id="523" w:name="_Toc287607811"/>
    </w:p>
    <w:p>
      <w:pPr>
        <w:pStyle w:val="4"/>
        <w:spacing w:before="100" w:after="100" w:line="360" w:lineRule="auto"/>
        <w:rPr>
          <w:rFonts w:hint="eastAsia" w:ascii="宋体" w:hAnsi="宋体" w:eastAsia="宋体" w:cs="宋体"/>
          <w:color w:val="auto"/>
          <w:highlight w:val="none"/>
        </w:rPr>
      </w:pPr>
      <w:bookmarkStart w:id="524" w:name="_Toc57905896"/>
      <w:bookmarkStart w:id="525" w:name="_Toc14663"/>
      <w:bookmarkStart w:id="526" w:name="_Toc509218775"/>
      <w:r>
        <w:rPr>
          <w:rFonts w:hint="eastAsia" w:ascii="宋体" w:hAnsi="宋体" w:eastAsia="宋体" w:cs="宋体"/>
          <w:color w:val="auto"/>
          <w:highlight w:val="none"/>
        </w:rPr>
        <w:t>评标办法前附表</w:t>
      </w:r>
      <w:bookmarkEnd w:id="524"/>
      <w:bookmarkEnd w:id="525"/>
      <w:bookmarkEnd w:id="52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519"/>
    <w:bookmarkEnd w:id="520"/>
    <w:bookmarkEnd w:id="521"/>
    <w:bookmarkEnd w:id="522"/>
    <w:bookmarkEnd w:id="523"/>
    <w:tbl>
      <w:tblPr>
        <w:tblStyle w:val="47"/>
        <w:tblW w:w="9470"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1654"/>
        <w:gridCol w:w="58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gridSpan w:val="3"/>
            <w:vAlign w:val="center"/>
          </w:tcPr>
          <w:p>
            <w:pPr>
              <w:spacing w:line="400" w:lineRule="exact"/>
              <w:jc w:val="center"/>
              <w:rPr>
                <w:rFonts w:hint="eastAsia" w:ascii="宋体" w:hAnsi="宋体" w:eastAsia="宋体" w:cs="宋体"/>
                <w:b/>
                <w:color w:val="auto"/>
                <w:kern w:val="0"/>
                <w:highlight w:val="none"/>
              </w:rPr>
            </w:pPr>
            <w:bookmarkStart w:id="527" w:name="_Toc509218776"/>
            <w:r>
              <w:rPr>
                <w:rFonts w:hint="eastAsia" w:ascii="宋体" w:hAnsi="宋体" w:eastAsia="宋体" w:cs="宋体"/>
                <w:b/>
                <w:color w:val="auto"/>
                <w:kern w:val="0"/>
                <w:highlight w:val="none"/>
              </w:rPr>
              <w:t>条款号</w:t>
            </w:r>
          </w:p>
        </w:tc>
        <w:tc>
          <w:tcPr>
            <w:tcW w:w="2222" w:type="dxa"/>
            <w:gridSpan w:val="2"/>
            <w:vAlign w:val="center"/>
          </w:tcPr>
          <w:p>
            <w:pPr>
              <w:spacing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评审因素</w:t>
            </w:r>
          </w:p>
        </w:tc>
        <w:tc>
          <w:tcPr>
            <w:tcW w:w="5830" w:type="dxa"/>
            <w:vAlign w:val="center"/>
          </w:tcPr>
          <w:p>
            <w:pPr>
              <w:spacing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gridSpan w:val="3"/>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222" w:type="dxa"/>
            <w:gridSpan w:val="2"/>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评标办法</w:t>
            </w:r>
          </w:p>
        </w:tc>
        <w:tc>
          <w:tcPr>
            <w:tcW w:w="5830" w:type="dxa"/>
            <w:vAlign w:val="center"/>
          </w:tcPr>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本次评标采用综合评估法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定的评分标准进行打分，按得分由高到低顺序推荐中标候选人</w:t>
            </w:r>
            <w:r>
              <w:rPr>
                <w:rFonts w:hint="eastAsia" w:ascii="宋体" w:hAnsi="宋体" w:eastAsia="宋体" w:cs="宋体"/>
                <w:color w:val="auto"/>
                <w:spacing w:val="-31"/>
                <w:kern w:val="0"/>
                <w:szCs w:val="21"/>
                <w:highlight w:val="none"/>
              </w:rPr>
              <w:t>。</w:t>
            </w:r>
            <w:r>
              <w:rPr>
                <w:rFonts w:hint="eastAsia" w:ascii="宋体" w:hAnsi="宋体" w:eastAsia="宋体" w:cs="宋体"/>
                <w:color w:val="auto"/>
                <w:kern w:val="0"/>
                <w:szCs w:val="21"/>
                <w:highlight w:val="none"/>
              </w:rPr>
              <w:t>综合评分相等时</w:t>
            </w:r>
            <w:r>
              <w:rPr>
                <w:rFonts w:hint="eastAsia" w:ascii="宋体" w:hAnsi="宋体" w:eastAsia="宋体" w:cs="宋体"/>
                <w:color w:val="auto"/>
                <w:spacing w:val="-31"/>
                <w:kern w:val="0"/>
                <w:szCs w:val="21"/>
                <w:highlight w:val="none"/>
              </w:rPr>
              <w:t>，</w:t>
            </w:r>
            <w:r>
              <w:rPr>
                <w:rFonts w:hint="eastAsia" w:ascii="宋体" w:hAnsi="宋体" w:eastAsia="宋体" w:cs="宋体"/>
                <w:color w:val="auto"/>
                <w:kern w:val="0"/>
                <w:szCs w:val="21"/>
                <w:highlight w:val="none"/>
              </w:rPr>
              <w:t>以投标报价低的优先；投标报价相等的，由评标委员会按照</w:t>
            </w:r>
            <w:r>
              <w:rPr>
                <w:rFonts w:hint="eastAsia" w:ascii="宋体" w:hAnsi="宋体" w:eastAsia="宋体" w:cs="宋体"/>
                <w:color w:val="auto"/>
                <w:kern w:val="0"/>
                <w:szCs w:val="21"/>
                <w:highlight w:val="none"/>
                <w:u w:val="single"/>
                <w:lang w:val="en-US" w:eastAsia="zh-CN"/>
              </w:rPr>
              <w:t>投票表决</w:t>
            </w:r>
            <w:r>
              <w:rPr>
                <w:rFonts w:hint="eastAsia" w:ascii="宋体" w:hAnsi="宋体" w:eastAsia="宋体" w:cs="宋体"/>
                <w:color w:val="auto"/>
                <w:kern w:val="0"/>
                <w:szCs w:val="21"/>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restart"/>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2.1.1</w:t>
            </w:r>
          </w:p>
        </w:tc>
        <w:tc>
          <w:tcPr>
            <w:tcW w:w="567" w:type="dxa"/>
            <w:vMerge w:val="restart"/>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资格评审标准</w:t>
            </w:r>
          </w:p>
        </w:tc>
        <w:tc>
          <w:tcPr>
            <w:tcW w:w="2222" w:type="dxa"/>
            <w:gridSpan w:val="2"/>
            <w:tcBorders>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资质条件</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top"/>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营业执照</w:t>
            </w:r>
          </w:p>
        </w:tc>
        <w:tc>
          <w:tcPr>
            <w:tcW w:w="5830" w:type="dxa"/>
            <w:vAlign w:val="center"/>
          </w:tcPr>
          <w:p>
            <w:pPr>
              <w:autoSpaceDE w:val="0"/>
              <w:autoSpaceDN w:val="0"/>
              <w:adjustRightInd w:val="0"/>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tcBorders>
            <w:vAlign w:val="top"/>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安全生产条件</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top"/>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szCs w:val="21"/>
                <w:highlight w:val="none"/>
              </w:rPr>
              <w:t>投标截止日投标资格情况</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top"/>
          </w:tcPr>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highlight w:val="none"/>
              </w:rPr>
              <w:t>项目经理资格要求</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top"/>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其他要求</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restar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567" w:type="dxa"/>
            <w:vMerge w:val="restar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投标函签名盖章</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投标函格式规定签名、盖章的位置有法定代表人或其委托代理人签名（或盖章）、加盖单位法人章。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投标文件份数</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报价唯一</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第八章 投标文件格式要求法定代表人或其委托代理人签名（或盖章）的须齐全。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restar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2.1.3</w:t>
            </w:r>
          </w:p>
        </w:tc>
        <w:tc>
          <w:tcPr>
            <w:tcW w:w="567" w:type="dxa"/>
            <w:vMerge w:val="restar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szCs w:val="21"/>
                <w:highlight w:val="none"/>
              </w:rPr>
              <w:t>投标总报价必须与已标价工程量清单总报价一致。</w:t>
            </w:r>
          </w:p>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2.投标总报价不得高于招标人公布的投标总报价最高限价。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center"/>
          </w:tcPr>
          <w:p>
            <w:pPr>
              <w:spacing w:line="400" w:lineRule="exact"/>
              <w:jc w:val="center"/>
              <w:rPr>
                <w:rFonts w:hint="eastAsia" w:ascii="宋体" w:hAnsi="宋体" w:eastAsia="宋体" w:cs="宋体"/>
                <w:color w:val="auto"/>
                <w:kern w:val="0"/>
                <w:highlight w:val="none"/>
              </w:rPr>
            </w:pPr>
          </w:p>
        </w:tc>
        <w:tc>
          <w:tcPr>
            <w:tcW w:w="567" w:type="dxa"/>
            <w:vMerge w:val="continue"/>
            <w:textDirection w:val="tbRlV"/>
            <w:vAlign w:val="center"/>
          </w:tcPr>
          <w:p>
            <w:pPr>
              <w:spacing w:line="400" w:lineRule="exact"/>
              <w:jc w:val="center"/>
              <w:rPr>
                <w:rFonts w:hint="eastAsia" w:ascii="宋体" w:hAnsi="宋体" w:eastAsia="宋体" w:cs="宋体"/>
                <w:color w:val="auto"/>
                <w:kern w:val="0"/>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暂定金额</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暂列金额、暂估价、安全文明施工费等暂定金额必须按照招标文件给定的金额填报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center"/>
          </w:tcPr>
          <w:p>
            <w:pPr>
              <w:spacing w:line="400" w:lineRule="exact"/>
              <w:jc w:val="center"/>
              <w:rPr>
                <w:rFonts w:hint="eastAsia" w:ascii="宋体" w:hAnsi="宋体" w:eastAsia="宋体" w:cs="宋体"/>
                <w:color w:val="auto"/>
                <w:kern w:val="0"/>
                <w:highlight w:val="none"/>
              </w:rPr>
            </w:pPr>
          </w:p>
        </w:tc>
        <w:tc>
          <w:tcPr>
            <w:tcW w:w="567" w:type="dxa"/>
            <w:vMerge w:val="continue"/>
            <w:textDirection w:val="tbRlV"/>
            <w:vAlign w:val="center"/>
          </w:tcPr>
          <w:p>
            <w:pPr>
              <w:spacing w:line="400" w:lineRule="exact"/>
              <w:jc w:val="center"/>
              <w:rPr>
                <w:rFonts w:hint="eastAsia" w:ascii="宋体" w:hAnsi="宋体" w:eastAsia="宋体" w:cs="宋体"/>
                <w:color w:val="auto"/>
                <w:kern w:val="0"/>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830" w:type="dxa"/>
            <w:vAlign w:val="center"/>
          </w:tcPr>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jc w:val="center"/>
              <w:rPr>
                <w:rFonts w:hint="eastAsia" w:ascii="宋体" w:hAnsi="宋体" w:eastAsia="宋体" w:cs="宋体"/>
                <w:color w:val="auto"/>
                <w:highlight w:val="none"/>
              </w:rPr>
            </w:pPr>
          </w:p>
        </w:tc>
        <w:tc>
          <w:tcPr>
            <w:tcW w:w="567" w:type="dxa"/>
            <w:vMerge w:val="continue"/>
            <w:vAlign w:val="top"/>
          </w:tcPr>
          <w:p>
            <w:pPr>
              <w:spacing w:line="400" w:lineRule="exact"/>
              <w:jc w:val="center"/>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工期</w:t>
            </w:r>
          </w:p>
        </w:tc>
        <w:tc>
          <w:tcPr>
            <w:tcW w:w="5830" w:type="dxa"/>
            <w:vAlign w:val="center"/>
          </w:tcPr>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jc w:val="center"/>
              <w:rPr>
                <w:rFonts w:hint="eastAsia" w:ascii="宋体" w:hAnsi="宋体" w:eastAsia="宋体" w:cs="宋体"/>
                <w:color w:val="auto"/>
                <w:highlight w:val="none"/>
              </w:rPr>
            </w:pPr>
          </w:p>
        </w:tc>
        <w:tc>
          <w:tcPr>
            <w:tcW w:w="567" w:type="dxa"/>
            <w:vMerge w:val="continue"/>
            <w:vAlign w:val="top"/>
          </w:tcPr>
          <w:p>
            <w:pPr>
              <w:spacing w:line="400" w:lineRule="exact"/>
              <w:jc w:val="center"/>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工程质量</w:t>
            </w:r>
          </w:p>
        </w:tc>
        <w:tc>
          <w:tcPr>
            <w:tcW w:w="5830" w:type="dxa"/>
            <w:vAlign w:val="center"/>
          </w:tcPr>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jc w:val="center"/>
              <w:rPr>
                <w:rFonts w:hint="eastAsia" w:ascii="宋体" w:hAnsi="宋体" w:eastAsia="宋体" w:cs="宋体"/>
                <w:color w:val="auto"/>
                <w:highlight w:val="none"/>
              </w:rPr>
            </w:pPr>
          </w:p>
        </w:tc>
        <w:tc>
          <w:tcPr>
            <w:tcW w:w="567" w:type="dxa"/>
            <w:vMerge w:val="continue"/>
            <w:vAlign w:val="top"/>
          </w:tcPr>
          <w:p>
            <w:pPr>
              <w:spacing w:line="400" w:lineRule="exact"/>
              <w:jc w:val="center"/>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投标有效期</w:t>
            </w:r>
          </w:p>
        </w:tc>
        <w:tc>
          <w:tcPr>
            <w:tcW w:w="5830" w:type="dxa"/>
            <w:vAlign w:val="center"/>
          </w:tcPr>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jc w:val="center"/>
              <w:rPr>
                <w:rFonts w:hint="eastAsia" w:ascii="宋体" w:hAnsi="宋体" w:eastAsia="宋体" w:cs="宋体"/>
                <w:color w:val="auto"/>
                <w:highlight w:val="none"/>
              </w:rPr>
            </w:pPr>
          </w:p>
        </w:tc>
        <w:tc>
          <w:tcPr>
            <w:tcW w:w="567" w:type="dxa"/>
            <w:vMerge w:val="continue"/>
            <w:vAlign w:val="top"/>
          </w:tcPr>
          <w:p>
            <w:pPr>
              <w:spacing w:line="400" w:lineRule="exact"/>
              <w:jc w:val="center"/>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830" w:type="dxa"/>
            <w:vAlign w:val="center"/>
          </w:tcPr>
          <w:p>
            <w:pPr>
              <w:tabs>
                <w:tab w:val="left" w:pos="601"/>
                <w:tab w:val="left" w:pos="669"/>
              </w:tabs>
              <w:snapToGrid w:val="0"/>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jc w:val="center"/>
              <w:rPr>
                <w:rFonts w:hint="eastAsia" w:ascii="宋体" w:hAnsi="宋体" w:eastAsia="宋体" w:cs="宋体"/>
                <w:color w:val="auto"/>
                <w:highlight w:val="none"/>
              </w:rPr>
            </w:pPr>
          </w:p>
        </w:tc>
        <w:tc>
          <w:tcPr>
            <w:tcW w:w="567" w:type="dxa"/>
            <w:vMerge w:val="continue"/>
            <w:vAlign w:val="top"/>
          </w:tcPr>
          <w:p>
            <w:pPr>
              <w:spacing w:line="400" w:lineRule="exact"/>
              <w:jc w:val="center"/>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830" w:type="dxa"/>
            <w:vAlign w:val="center"/>
          </w:tcPr>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567" w:type="dxa"/>
            <w:vMerge w:val="continue"/>
            <w:vAlign w:val="center"/>
          </w:tcPr>
          <w:p>
            <w:pPr>
              <w:spacing w:line="400" w:lineRule="exact"/>
              <w:jc w:val="center"/>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已标价工程量清单</w:t>
            </w:r>
          </w:p>
        </w:tc>
        <w:tc>
          <w:tcPr>
            <w:tcW w:w="5830" w:type="dxa"/>
            <w:vAlign w:val="center"/>
          </w:tcPr>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投标人承诺满足以下内容：</w:t>
            </w:r>
          </w:p>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1.符合第五章“工程量清单”给出的范围及数量。</w:t>
            </w:r>
          </w:p>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2.招标文件中规定工程量清单不允许修改的内容不得修改。</w:t>
            </w:r>
          </w:p>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3.每项工程量清单综合单价报价不得高于对应工程量清单综合单价最高限价。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投标报价算术错误修正</w:t>
            </w:r>
          </w:p>
        </w:tc>
        <w:tc>
          <w:tcPr>
            <w:tcW w:w="5830" w:type="dxa"/>
            <w:vAlign w:val="center"/>
          </w:tcPr>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Merge w:val="continue"/>
            <w:vAlign w:val="top"/>
          </w:tcPr>
          <w:p>
            <w:pPr>
              <w:spacing w:line="400" w:lineRule="exact"/>
              <w:rPr>
                <w:rFonts w:hint="eastAsia" w:ascii="宋体" w:hAnsi="宋体" w:eastAsia="宋体" w:cs="宋体"/>
                <w:color w:val="auto"/>
                <w:highlight w:val="none"/>
              </w:rPr>
            </w:pPr>
          </w:p>
        </w:tc>
        <w:tc>
          <w:tcPr>
            <w:tcW w:w="567" w:type="dxa"/>
            <w:vMerge w:val="continue"/>
            <w:vAlign w:val="top"/>
          </w:tcPr>
          <w:p>
            <w:pPr>
              <w:spacing w:line="400" w:lineRule="exact"/>
              <w:rPr>
                <w:rFonts w:hint="eastAsia" w:ascii="宋体" w:hAnsi="宋体" w:eastAsia="宋体" w:cs="宋体"/>
                <w:color w:val="auto"/>
                <w:highlight w:val="none"/>
              </w:rPr>
            </w:pPr>
          </w:p>
        </w:tc>
        <w:tc>
          <w:tcPr>
            <w:tcW w:w="2222" w:type="dxa"/>
            <w:gridSpan w:val="2"/>
            <w:vAlign w:val="center"/>
          </w:tcPr>
          <w:p>
            <w:pPr>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830" w:type="dxa"/>
            <w:vAlign w:val="center"/>
          </w:tcPr>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spacing w:after="62" w:afterLines="2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8" w:type="dxa"/>
            <w:gridSpan w:val="3"/>
            <w:vAlign w:val="center"/>
          </w:tcPr>
          <w:p>
            <w:pPr>
              <w:spacing w:line="400" w:lineRule="exact"/>
              <w:ind w:firstLine="210" w:firstLineChars="1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2222" w:type="dxa"/>
            <w:gridSpan w:val="2"/>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分值构成 （总分100分）</w:t>
            </w:r>
          </w:p>
        </w:tc>
        <w:tc>
          <w:tcPr>
            <w:tcW w:w="5830" w:type="dxa"/>
            <w:vAlign w:val="center"/>
          </w:tcPr>
          <w:p>
            <w:pPr>
              <w:snapToGrid w:val="0"/>
              <w:spacing w:line="400" w:lineRule="exact"/>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技术部分</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u w:val="single"/>
                <w:lang w:val="en-US" w:eastAsia="zh-CN"/>
              </w:rPr>
              <w:t>2</w:t>
            </w:r>
            <w:r>
              <w:rPr>
                <w:rFonts w:hint="eastAsia" w:ascii="宋体" w:hAnsi="宋体" w:cs="宋体"/>
                <w:color w:val="auto"/>
                <w:kern w:val="0"/>
                <w:highlight w:val="none"/>
                <w:u w:val="single"/>
                <w:lang w:val="en-US" w:eastAsia="zh-CN"/>
              </w:rPr>
              <w:t>5</w:t>
            </w:r>
            <w:r>
              <w:rPr>
                <w:rFonts w:hint="eastAsia" w:ascii="宋体" w:hAnsi="宋体" w:eastAsia="宋体" w:cs="宋体"/>
                <w:color w:val="auto"/>
                <w:kern w:val="0"/>
                <w:highlight w:val="none"/>
                <w:lang w:val="en-US" w:eastAsia="zh-CN"/>
              </w:rPr>
              <w:t>分</w:t>
            </w:r>
          </w:p>
          <w:p>
            <w:pPr>
              <w:snapToGrid w:val="0"/>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商务部分</w:t>
            </w:r>
            <w:r>
              <w:rPr>
                <w:rFonts w:hint="eastAsia" w:ascii="宋体" w:hAnsi="宋体" w:eastAsia="宋体" w:cs="宋体"/>
                <w:color w:val="auto"/>
                <w:kern w:val="0"/>
                <w:highlight w:val="none"/>
                <w:lang w:eastAsia="zh-CN"/>
              </w:rPr>
              <w:t>：</w:t>
            </w:r>
            <w:r>
              <w:rPr>
                <w:rFonts w:hint="eastAsia" w:ascii="宋体" w:hAnsi="宋体" w:cs="宋体"/>
                <w:color w:val="auto"/>
                <w:kern w:val="0"/>
                <w:highlight w:val="none"/>
                <w:u w:val="single"/>
                <w:lang w:val="en-US" w:eastAsia="zh-CN"/>
              </w:rPr>
              <w:t xml:space="preserve"> 5</w:t>
            </w:r>
            <w:r>
              <w:rPr>
                <w:rFonts w:hint="eastAsia" w:ascii="宋体" w:hAnsi="宋体" w:eastAsia="宋体" w:cs="宋体"/>
                <w:color w:val="auto"/>
                <w:kern w:val="0"/>
                <w:highlight w:val="none"/>
              </w:rPr>
              <w:t>分；</w:t>
            </w:r>
          </w:p>
          <w:p>
            <w:pPr>
              <w:snapToGrid w:val="0"/>
              <w:spacing w:line="400" w:lineRule="exact"/>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.投标总报价</w:t>
            </w:r>
            <w:r>
              <w:rPr>
                <w:rFonts w:hint="eastAsia" w:ascii="宋体" w:hAnsi="宋体" w:eastAsia="宋体" w:cs="宋体"/>
                <w:color w:val="auto"/>
                <w:kern w:val="0"/>
                <w:highlight w:val="none"/>
                <w:lang w:eastAsia="zh-CN"/>
              </w:rPr>
              <w:t>：</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lang w:val="en-US" w:eastAsia="zh-CN"/>
              </w:rPr>
              <w:t>7</w:t>
            </w:r>
            <w:r>
              <w:rPr>
                <w:rFonts w:hint="eastAsia" w:ascii="宋体" w:hAnsi="宋体" w:cs="宋体"/>
                <w:color w:val="auto"/>
                <w:kern w:val="0"/>
                <w:highlight w:val="none"/>
                <w:u w:val="single"/>
                <w:lang w:val="en-US" w:eastAsia="zh-CN"/>
              </w:rPr>
              <w:t xml:space="preserve">0 </w:t>
            </w:r>
            <w:r>
              <w:rPr>
                <w:rFonts w:hint="eastAsia" w:ascii="宋体" w:hAnsi="宋体" w:eastAsia="宋体" w:cs="宋体"/>
                <w:color w:val="auto"/>
                <w:kern w:val="0"/>
                <w:highlight w:val="none"/>
              </w:rPr>
              <w:t>分</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restart"/>
            <w:tcBorders>
              <w:right w:val="single" w:color="auto" w:sz="4" w:space="0"/>
            </w:tcBorders>
            <w:vAlign w:val="center"/>
          </w:tcPr>
          <w:p>
            <w:pPr>
              <w:spacing w:line="40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2.2.2</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lang w:eastAsia="zh-CN"/>
              </w:rPr>
              <w:t>）</w:t>
            </w:r>
          </w:p>
        </w:tc>
        <w:tc>
          <w:tcPr>
            <w:tcW w:w="585" w:type="dxa"/>
            <w:gridSpan w:val="2"/>
            <w:vMerge w:val="restart"/>
            <w:tcBorders>
              <w:left w:val="single" w:color="auto" w:sz="4" w:space="0"/>
            </w:tcBorders>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568" w:type="dxa"/>
            <w:vMerge w:val="restart"/>
            <w:tcBorders>
              <w:righ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w:t>
            </w:r>
          </w:p>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术</w:t>
            </w:r>
          </w:p>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方</w:t>
            </w:r>
          </w:p>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案</w:t>
            </w:r>
          </w:p>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w:t>
            </w:r>
          </w:p>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审</w:t>
            </w: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内容完整性和编制水平</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   编制要点：</w:t>
            </w:r>
            <w:r>
              <w:rPr>
                <w:rFonts w:hint="eastAsia" w:ascii="宋体" w:hAnsi="宋体" w:eastAsia="宋体" w:cs="宋体"/>
                <w:color w:val="auto"/>
                <w:sz w:val="21"/>
                <w:szCs w:val="21"/>
                <w:highlight w:val="none"/>
                <w:u w:val="single"/>
              </w:rPr>
              <w:t>对项目总体认识全面深刻，论述完整清晰，语言简明、准确、规范、总体组织符合实际、总体设计符合规范，总体计划合理，综合措施科学。对本项目的理解；关键环节、重点难点分析；施工时的应急保障措施；对重点难点的解决措施。</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施工方案与技术措施</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   编制要点：</w:t>
            </w:r>
            <w:r>
              <w:rPr>
                <w:rFonts w:hint="eastAsia" w:ascii="宋体" w:hAnsi="宋体" w:eastAsia="宋体" w:cs="宋体"/>
                <w:color w:val="auto"/>
                <w:sz w:val="21"/>
                <w:szCs w:val="21"/>
                <w:highlight w:val="none"/>
                <w:u w:val="single"/>
              </w:rPr>
              <w:t>施工总体布置合理，有效排除干扰，各区域能交叉推进。所采用的施工方案和技术措施高效合理，详细，确保工程质量进行评审</w:t>
            </w:r>
            <w:r>
              <w:rPr>
                <w:rFonts w:hint="eastAsia" w:ascii="宋体" w:hAnsi="宋体" w:eastAsia="宋体" w:cs="宋体"/>
                <w:color w:val="auto"/>
                <w:sz w:val="21"/>
                <w:szCs w:val="21"/>
                <w:highlight w:val="none"/>
                <w:u w:val="single"/>
                <w:lang w:eastAsia="zh-CN"/>
              </w:rPr>
              <w:t>。</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质量管理体系与措施</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   编制要点：</w:t>
            </w:r>
            <w:r>
              <w:rPr>
                <w:rFonts w:hint="eastAsia" w:ascii="宋体" w:hAnsi="宋体" w:eastAsia="宋体" w:cs="宋体"/>
                <w:color w:val="auto"/>
                <w:sz w:val="21"/>
                <w:szCs w:val="21"/>
                <w:highlight w:val="none"/>
                <w:u w:val="single"/>
              </w:rPr>
              <w:t>有健全的质量管理体系、质量标明确、制定了质量管理监督工作程序和管理职能要素分配、对抓好工程质量，有严格的质量监督控制措施、质量管理总体思路清晰</w:t>
            </w:r>
            <w:r>
              <w:rPr>
                <w:rFonts w:hint="eastAsia" w:ascii="宋体" w:hAnsi="宋体" w:eastAsia="宋体" w:cs="宋体"/>
                <w:color w:val="auto"/>
                <w:sz w:val="21"/>
                <w:szCs w:val="21"/>
                <w:highlight w:val="none"/>
                <w:u w:val="single"/>
                <w:lang w:eastAsia="zh-CN"/>
              </w:rPr>
              <w:t>。</w:t>
            </w:r>
          </w:p>
          <w:p>
            <w:pPr>
              <w:pStyle w:val="2"/>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安全管理体系与措施</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   编制要点：</w:t>
            </w:r>
            <w:r>
              <w:rPr>
                <w:rFonts w:hint="eastAsia" w:ascii="宋体" w:hAnsi="宋体" w:eastAsia="宋体" w:cs="宋体"/>
                <w:color w:val="auto"/>
                <w:sz w:val="21"/>
                <w:szCs w:val="21"/>
                <w:highlight w:val="none"/>
                <w:u w:val="single"/>
              </w:rPr>
              <w:t>施工安全管理体系健全、措施可行。环境保护管理体系的方案措施先进、合理、可靠进行评审</w:t>
            </w:r>
            <w:r>
              <w:rPr>
                <w:rFonts w:hint="eastAsia" w:ascii="宋体" w:hAnsi="宋体" w:eastAsia="宋体" w:cs="宋体"/>
                <w:color w:val="auto"/>
                <w:sz w:val="21"/>
                <w:szCs w:val="21"/>
                <w:highlight w:val="none"/>
                <w:u w:val="single"/>
                <w:lang w:eastAsia="zh-CN"/>
              </w:rPr>
              <w:t>。</w:t>
            </w:r>
          </w:p>
          <w:p>
            <w:pPr>
              <w:pStyle w:val="2"/>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环境保护管理体系措施</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   编制要点：</w:t>
            </w:r>
            <w:r>
              <w:rPr>
                <w:rFonts w:hint="eastAsia" w:ascii="宋体" w:hAnsi="宋体" w:eastAsia="宋体" w:cs="宋体"/>
                <w:color w:val="auto"/>
                <w:sz w:val="21"/>
                <w:szCs w:val="21"/>
                <w:highlight w:val="none"/>
                <w:u w:val="single"/>
              </w:rPr>
              <w:t>有利于相应的环境保护组织机构，根据项目特征，制定相应预防控制措施，切合实际。环境保护管理体系措施按照重庆市相关规定与要求执行，文明施工和防止扰民措施得当，并有对针对本项目情况的具体方案。</w:t>
            </w:r>
          </w:p>
          <w:p>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工程进度计划与措施</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   编制要点：</w:t>
            </w:r>
            <w:r>
              <w:rPr>
                <w:rFonts w:hint="eastAsia" w:ascii="宋体" w:hAnsi="宋体" w:eastAsia="宋体" w:cs="宋体"/>
                <w:color w:val="auto"/>
                <w:sz w:val="21"/>
                <w:szCs w:val="21"/>
                <w:highlight w:val="none"/>
                <w:u w:val="single"/>
              </w:rPr>
              <w:t>施工总体进度计划合理、控制性项目安排得当，工程进度补救措施可行，能保证在规定的工期内完工进行评审</w:t>
            </w:r>
            <w:r>
              <w:rPr>
                <w:rFonts w:hint="eastAsia" w:ascii="宋体" w:hAnsi="宋体" w:eastAsia="宋体" w:cs="宋体"/>
                <w:color w:val="auto"/>
                <w:sz w:val="21"/>
                <w:szCs w:val="21"/>
                <w:highlight w:val="none"/>
                <w:u w:val="single"/>
                <w:lang w:eastAsia="zh-CN"/>
              </w:rPr>
              <w:t>。</w:t>
            </w:r>
          </w:p>
          <w:p>
            <w:pPr>
              <w:pStyle w:val="2"/>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资源配备计划与先进性</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编制要点：</w:t>
            </w:r>
            <w:r>
              <w:rPr>
                <w:rFonts w:hint="eastAsia" w:ascii="宋体" w:hAnsi="宋体" w:eastAsia="宋体" w:cs="宋体"/>
                <w:color w:val="auto"/>
                <w:sz w:val="21"/>
                <w:szCs w:val="21"/>
                <w:highlight w:val="none"/>
              </w:rPr>
              <w:t>资源配备是否根据招标项目实际情况，满足招标项目工期要求，是否具有先进性。</w:t>
            </w:r>
          </w:p>
          <w:p>
            <w:pPr>
              <w:snapToGrid w:val="0"/>
              <w:spacing w:line="400" w:lineRule="exact"/>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vMerge w:val="continue"/>
            <w:tcBorders>
              <w:righ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hint="eastAsia" w:ascii="宋体" w:hAnsi="宋体" w:eastAsia="宋体" w:cs="宋体"/>
                <w:color w:val="auto"/>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hint="eastAsia" w:ascii="宋体" w:hAnsi="宋体" w:eastAsia="宋体" w:cs="宋体"/>
                <w:color w:val="auto"/>
                <w:kern w:val="0"/>
                <w:highlight w:val="none"/>
              </w:rPr>
            </w:pPr>
          </w:p>
        </w:tc>
        <w:tc>
          <w:tcPr>
            <w:tcW w:w="1654" w:type="dxa"/>
            <w:tcBorders>
              <w:left w:val="single" w:color="auto" w:sz="4" w:space="0"/>
            </w:tcBorders>
            <w:vAlign w:val="center"/>
          </w:tcPr>
          <w:p>
            <w:pPr>
              <w:spacing w:line="360" w:lineRule="auto"/>
              <w:ind w:firstLine="210" w:firstLineChars="1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对原有设施设备保护措施</w:t>
            </w:r>
          </w:p>
        </w:tc>
        <w:tc>
          <w:tcPr>
            <w:tcW w:w="5830" w:type="dxa"/>
            <w:vAlign w:val="center"/>
          </w:tcPr>
          <w:p>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编制要点：施工期间对原有设施设备（包括但不限于消防系统、信息化系统）进行保护，现有的施工项目与原设施设备有冲突的，设置有效的施工方案。</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 3~4分，良1.5~3分（不含），一般：0~1.5分（不含）；</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833" w:type="dxa"/>
            <w:tcBorders>
              <w:right w:val="single" w:color="auto" w:sz="4" w:space="0"/>
            </w:tcBorders>
            <w:vAlign w:val="center"/>
          </w:tcPr>
          <w:p>
            <w:pPr>
              <w:snapToGrid w:val="0"/>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lang w:eastAsia="zh-CN"/>
              </w:rPr>
              <w:t>）</w:t>
            </w:r>
          </w:p>
        </w:tc>
        <w:tc>
          <w:tcPr>
            <w:tcW w:w="1153" w:type="dxa"/>
            <w:gridSpan w:val="3"/>
            <w:tcBorders>
              <w:left w:val="single" w:color="auto" w:sz="4" w:space="0"/>
              <w:right w:val="single" w:color="auto" w:sz="4" w:space="0"/>
            </w:tcBorders>
            <w:vAlign w:val="center"/>
          </w:tcPr>
          <w:p>
            <w:pPr>
              <w:snapToGrid w:val="0"/>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商务</w:t>
            </w:r>
            <w:r>
              <w:rPr>
                <w:rFonts w:hint="eastAsia" w:ascii="宋体" w:hAnsi="宋体" w:eastAsia="宋体" w:cs="宋体"/>
                <w:color w:val="auto"/>
                <w:kern w:val="0"/>
                <w:highlight w:val="none"/>
              </w:rPr>
              <w:t>部分评分标准</w:t>
            </w:r>
          </w:p>
        </w:tc>
        <w:tc>
          <w:tcPr>
            <w:tcW w:w="1654" w:type="dxa"/>
            <w:tcBorders>
              <w:left w:val="single" w:color="auto" w:sz="4" w:space="0"/>
            </w:tcBorders>
            <w:vAlign w:val="center"/>
          </w:tcPr>
          <w:p>
            <w:pPr>
              <w:snapToGrid w:val="0"/>
              <w:spacing w:line="40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业绩</w:t>
            </w:r>
          </w:p>
        </w:tc>
        <w:tc>
          <w:tcPr>
            <w:tcW w:w="5830" w:type="dxa"/>
            <w:vAlign w:val="center"/>
          </w:tcPr>
          <w:p>
            <w:pPr>
              <w:autoSpaceDE w:val="0"/>
              <w:autoSpaceDN w:val="0"/>
              <w:adjustRightInd w:val="0"/>
              <w:snapToGrid w:val="0"/>
              <w:spacing w:line="40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highlight w:val="none"/>
                <w:lang w:val="en-US" w:eastAsia="zh-CN"/>
              </w:rPr>
              <w:t>投标人</w:t>
            </w:r>
            <w:r>
              <w:rPr>
                <w:rFonts w:hint="eastAsia" w:ascii="宋体" w:hAnsi="宋体" w:eastAsia="宋体" w:cs="宋体"/>
                <w:color w:val="auto"/>
                <w:kern w:val="0"/>
                <w:highlight w:val="none"/>
              </w:rPr>
              <w:t>自202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年1月1日以来（以合同签订时间为准）至</w:t>
            </w:r>
            <w:r>
              <w:rPr>
                <w:rFonts w:hint="eastAsia" w:ascii="宋体" w:hAnsi="宋体" w:eastAsia="宋体" w:cs="宋体"/>
                <w:color w:val="auto"/>
                <w:szCs w:val="21"/>
                <w:highlight w:val="none"/>
              </w:rPr>
              <w:t>本项目开标截止前，具有</w:t>
            </w:r>
            <w:r>
              <w:rPr>
                <w:rFonts w:hint="eastAsia" w:ascii="宋体" w:hAnsi="宋体" w:eastAsia="宋体" w:cs="宋体"/>
                <w:color w:val="auto"/>
                <w:szCs w:val="21"/>
                <w:highlight w:val="none"/>
                <w:lang w:eastAsia="zh-CN"/>
              </w:rPr>
              <w:t>与本项目类似，包含但不限于屋顶防水处理等房屋工程类</w:t>
            </w:r>
            <w:r>
              <w:rPr>
                <w:rFonts w:hint="eastAsia" w:ascii="宋体" w:hAnsi="宋体" w:eastAsia="宋体" w:cs="宋体"/>
                <w:color w:val="auto"/>
                <w:szCs w:val="21"/>
                <w:highlight w:val="none"/>
              </w:rPr>
              <w:t>的业绩，提供一个得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分，本项最多得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分，未提供不得分。</w:t>
            </w:r>
          </w:p>
          <w:p>
            <w:pPr>
              <w:autoSpaceDE w:val="0"/>
              <w:autoSpaceDN w:val="0"/>
              <w:adjustRightInd w:val="0"/>
              <w:snapToGrid w:val="0"/>
              <w:spacing w:line="400" w:lineRule="exact"/>
              <w:ind w:left="0" w:leftChars="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提供该业绩的中标通知书（直接发包的项目可提供项目发包人出具的项目直接发包情况说明或证明文书代替）、合同协议书</w:t>
            </w:r>
            <w:r>
              <w:rPr>
                <w:rFonts w:hint="eastAsia" w:ascii="宋体" w:hAnsi="宋体" w:eastAsia="宋体" w:cs="宋体"/>
                <w:color w:val="auto"/>
                <w:szCs w:val="21"/>
                <w:highlight w:val="none"/>
                <w:lang w:eastAsia="zh-CN"/>
              </w:rPr>
              <w:t>。</w:t>
            </w:r>
          </w:p>
          <w:p>
            <w:pPr>
              <w:autoSpaceDE w:val="0"/>
              <w:autoSpaceDN w:val="0"/>
              <w:adjustRightInd w:val="0"/>
              <w:snapToGrid w:val="0"/>
              <w:spacing w:line="400" w:lineRule="exact"/>
              <w:ind w:left="0" w:leftChars="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注：投标人应对其提供的业绩证明材料的真实性负责</w:t>
            </w:r>
            <w:r>
              <w:rPr>
                <w:rFonts w:hint="eastAsia" w:ascii="宋体" w:hAnsi="宋体" w:eastAsia="宋体" w:cs="宋体"/>
                <w:color w:val="auto"/>
                <w:szCs w:val="21"/>
                <w:highlight w:val="none"/>
                <w:lang w:eastAsia="zh-CN"/>
              </w:rPr>
              <w:t>，</w:t>
            </w:r>
          </w:p>
          <w:p>
            <w:pPr>
              <w:autoSpaceDE w:val="0"/>
              <w:autoSpaceDN w:val="0"/>
              <w:adjustRightInd w:val="0"/>
              <w:snapToGrid w:val="0"/>
              <w:spacing w:line="400" w:lineRule="exact"/>
              <w:ind w:left="0" w:leftChars="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不满足上述业绩要求的业绩无效。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33" w:type="dxa"/>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153" w:type="dxa"/>
            <w:gridSpan w:val="3"/>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评标基准价计算方法</w:t>
            </w:r>
          </w:p>
        </w:tc>
        <w:tc>
          <w:tcPr>
            <w:tcW w:w="1654" w:type="dxa"/>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w:t>
            </w:r>
          </w:p>
        </w:tc>
        <w:tc>
          <w:tcPr>
            <w:tcW w:w="5830" w:type="dxa"/>
            <w:vAlign w:val="top"/>
          </w:tcPr>
          <w:p>
            <w:pPr>
              <w:snapToGrid w:val="0"/>
              <w:spacing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所有通过初步评审合格的投标人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评标基准价计算的最终结果取小数点后两位，第三位四舍五入。</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33" w:type="dxa"/>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807" w:type="dxa"/>
            <w:gridSpan w:val="4"/>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允许偏差率</w:t>
            </w:r>
          </w:p>
        </w:tc>
        <w:tc>
          <w:tcPr>
            <w:tcW w:w="5830" w:type="dxa"/>
            <w:vAlign w:val="center"/>
          </w:tcPr>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100％×（投标人报价一评标基准价）／评标基准价</w:t>
            </w:r>
          </w:p>
          <w:p>
            <w:pPr>
              <w:spacing w:line="400" w:lineRule="exact"/>
              <w:ind w:firstLine="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xml:space="preserve">  偏差率</w:t>
            </w:r>
            <w:r>
              <w:rPr>
                <w:rFonts w:hint="eastAsia" w:ascii="宋体" w:hAnsi="宋体" w:eastAsia="宋体" w:cs="宋体"/>
                <w:color w:val="auto"/>
                <w:kern w:val="0"/>
                <w:szCs w:val="21"/>
                <w:highlight w:val="none"/>
              </w:rPr>
              <w:t>计算的最终结果取小数点后两位，小数点后第三位“四舍五入”。</w:t>
            </w:r>
          </w:p>
          <w:p>
            <w:pPr>
              <w:pStyle w:val="2"/>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本项目投标总报价允许偏差范围为：</w:t>
            </w:r>
          </w:p>
          <w:p>
            <w:pPr>
              <w:pStyle w:val="2"/>
              <w:ind w:firstLine="420" w:firstLineChars="200"/>
              <w:rPr>
                <w:rFonts w:hint="eastAsia"/>
                <w:color w:val="auto"/>
                <w:highlight w:val="none"/>
                <w:lang w:eastAsia="zh-CN"/>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lang w:val="en-US" w:eastAsia="zh-CN" w:bidi="ar-SA"/>
              </w:rPr>
              <w:t>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1" w:type="dxa"/>
            <w:gridSpan w:val="2"/>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135" w:type="dxa"/>
            <w:gridSpan w:val="2"/>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84" w:type="dxa"/>
            <w:gridSpan w:val="2"/>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目</w:t>
            </w:r>
            <w:r>
              <w:rPr>
                <w:rFonts w:hint="eastAsia" w:ascii="宋体" w:hAnsi="宋体" w:eastAsia="宋体" w:cs="宋体"/>
                <w:color w:val="auto"/>
                <w:szCs w:val="21"/>
                <w:highlight w:val="none"/>
              </w:rPr>
              <w:t>及第3.2.1（1）目的规定对技术部分进行评审。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3.按本章评标办法前附表第 2.2.2（2）目及第 3.2.1（2）目的规定对商务部分进行评审。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.对初步评审合格的投标人按照本章第2.2.3项计算方法计算评标基准价，并按本附表第3.2.1（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）目规定的评分方法对投标总报价进行评分。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.对技术部分、</w:t>
            </w:r>
            <w:r>
              <w:rPr>
                <w:rFonts w:hint="eastAsia" w:ascii="宋体" w:hAnsi="宋体" w:eastAsia="宋体" w:cs="宋体"/>
                <w:color w:val="auto"/>
                <w:szCs w:val="21"/>
                <w:highlight w:val="none"/>
                <w:lang w:val="en-US" w:eastAsia="zh-CN"/>
              </w:rPr>
              <w:t>商务部分、</w:t>
            </w:r>
            <w:r>
              <w:rPr>
                <w:rFonts w:hint="eastAsia" w:ascii="宋体" w:hAnsi="宋体" w:eastAsia="宋体" w:cs="宋体"/>
                <w:color w:val="auto"/>
                <w:szCs w:val="21"/>
                <w:highlight w:val="none"/>
              </w:rPr>
              <w:t>投标总报价得分进行汇总，确定得分由高至低前三名投标人为中标候选人。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851" w:type="dxa"/>
            <w:gridSpan w:val="2"/>
            <w:vMerge w:val="restar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5" w:type="dxa"/>
            <w:gridSpan w:val="2"/>
            <w:vMerge w:val="restar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1654" w:type="dxa"/>
            <w:tcBorders>
              <w:bottom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内容完整性和编制水平</w:t>
            </w:r>
          </w:p>
        </w:tc>
        <w:tc>
          <w:tcPr>
            <w:tcW w:w="5830" w:type="dxa"/>
            <w:vMerge w:val="restart"/>
            <w:vAlign w:val="center"/>
          </w:tcPr>
          <w:p>
            <w:pPr>
              <w:pStyle w:val="18"/>
              <w:spacing w:after="0"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评标委员会按第2.2.2项各评审因素设定的分值评分，取算术平均值为该投标人技术方案得分。</w:t>
            </w:r>
          </w:p>
          <w:p>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施工方案与技术措施</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质量管理体系与措施</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安全管理体系与措施</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环境保护管理体系措施</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工程进度计划与措施</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资源配备计划与先进性</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jc w:val="center"/>
        </w:trPr>
        <w:tc>
          <w:tcPr>
            <w:tcW w:w="851" w:type="dxa"/>
            <w:gridSpan w:val="2"/>
            <w:vMerge w:val="continue"/>
            <w:vAlign w:val="center"/>
          </w:tcPr>
          <w:p>
            <w:pPr>
              <w:spacing w:line="400" w:lineRule="exact"/>
              <w:jc w:val="center"/>
              <w:rPr>
                <w:rFonts w:hint="eastAsia" w:ascii="宋体" w:hAnsi="宋体" w:eastAsia="宋体" w:cs="宋体"/>
                <w:color w:val="auto"/>
                <w:highlight w:val="none"/>
              </w:rPr>
            </w:pPr>
          </w:p>
        </w:tc>
        <w:tc>
          <w:tcPr>
            <w:tcW w:w="1135" w:type="dxa"/>
            <w:gridSpan w:val="2"/>
            <w:vMerge w:val="continue"/>
            <w:vAlign w:val="center"/>
          </w:tcPr>
          <w:p>
            <w:pPr>
              <w:spacing w:line="400" w:lineRule="exact"/>
              <w:jc w:val="center"/>
              <w:rPr>
                <w:rFonts w:hint="eastAsia" w:ascii="宋体" w:hAnsi="宋体" w:eastAsia="宋体" w:cs="宋体"/>
                <w:color w:val="auto"/>
                <w:highlight w:val="none"/>
              </w:rPr>
            </w:pPr>
          </w:p>
        </w:tc>
        <w:tc>
          <w:tcPr>
            <w:tcW w:w="1654"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对原有设施设备保护措施</w:t>
            </w:r>
          </w:p>
        </w:tc>
        <w:tc>
          <w:tcPr>
            <w:tcW w:w="5830"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jc w:val="center"/>
        </w:trPr>
        <w:tc>
          <w:tcPr>
            <w:tcW w:w="851" w:type="dxa"/>
            <w:gridSpan w:val="2"/>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tc>
        <w:tc>
          <w:tcPr>
            <w:tcW w:w="1135" w:type="dxa"/>
            <w:gridSpan w:val="2"/>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1654" w:type="dxa"/>
            <w:tcBorders>
              <w:top w:val="single" w:color="auto" w:sz="4" w:space="0"/>
            </w:tcBorders>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业绩</w:t>
            </w:r>
          </w:p>
        </w:tc>
        <w:tc>
          <w:tcPr>
            <w:tcW w:w="5830" w:type="dxa"/>
            <w:vAlign w:val="center"/>
          </w:tcPr>
          <w:p>
            <w:pPr>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highlight w:val="none"/>
              </w:rPr>
              <w:t>提供合同复印件并加盖供应商公章</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jc w:val="center"/>
        </w:trPr>
        <w:tc>
          <w:tcPr>
            <w:tcW w:w="851" w:type="dxa"/>
            <w:gridSpan w:val="2"/>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p>
        </w:tc>
        <w:tc>
          <w:tcPr>
            <w:tcW w:w="1135" w:type="dxa"/>
            <w:gridSpan w:val="2"/>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lang w:val="en-US" w:eastAsia="zh-CN"/>
              </w:rPr>
              <w:t>C</w:t>
            </w:r>
            <w:r>
              <w:rPr>
                <w:rFonts w:hint="eastAsia" w:ascii="宋体" w:hAnsi="宋体" w:eastAsia="宋体" w:cs="宋体"/>
                <w:color w:val="auto"/>
                <w:spacing w:val="-8"/>
                <w:highlight w:val="none"/>
              </w:rPr>
              <w:t>）</w:t>
            </w:r>
          </w:p>
        </w:tc>
        <w:tc>
          <w:tcPr>
            <w:tcW w:w="1654" w:type="dxa"/>
            <w:tcBorders>
              <w:top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投标总报价</w:t>
            </w:r>
          </w:p>
        </w:tc>
        <w:tc>
          <w:tcPr>
            <w:tcW w:w="5830" w:type="dxa"/>
            <w:vAlign w:val="center"/>
          </w:tcPr>
          <w:p>
            <w:pPr>
              <w:autoSpaceDE w:val="0"/>
              <w:autoSpaceDN w:val="0"/>
              <w:adjustRightInd w:val="0"/>
              <w:snapToGrid w:val="0"/>
              <w:spacing w:line="400" w:lineRule="exact"/>
              <w:ind w:left="0" w:leftChars="0"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本项目不设置允许偏差范围</w:t>
            </w:r>
            <w:r>
              <w:rPr>
                <w:rFonts w:hint="eastAsia" w:ascii="宋体" w:hAnsi="宋体" w:eastAsia="宋体" w:cs="宋体"/>
                <w:color w:val="auto"/>
                <w:kern w:val="0"/>
                <w:highlight w:val="none"/>
              </w:rPr>
              <w:t>；不设置允许偏差范围或</w:t>
            </w:r>
            <w:r>
              <w:rPr>
                <w:rFonts w:hint="eastAsia" w:ascii="宋体" w:hAnsi="宋体" w:eastAsia="宋体" w:cs="宋体"/>
                <w:color w:val="auto"/>
                <w:szCs w:val="21"/>
                <w:highlight w:val="none"/>
              </w:rPr>
              <w:t>投标总报价偏差在允许范围内的（含上、下限值），得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w:t>
            </w:r>
            <w:r>
              <w:rPr>
                <w:rFonts w:hint="eastAsia" w:ascii="宋体" w:hAnsi="宋体" w:eastAsia="宋体" w:cs="宋体"/>
                <w:color w:val="auto"/>
                <w:szCs w:val="21"/>
                <w:highlight w:val="none"/>
                <w:lang w:eastAsia="zh-CN"/>
              </w:rPr>
              <w:t>每增加1%扣</w:t>
            </w:r>
            <w:r>
              <w:rPr>
                <w:rFonts w:hint="eastAsia" w:ascii="宋体" w:hAnsi="宋体" w:cs="宋体"/>
                <w:color w:val="auto"/>
                <w:szCs w:val="21"/>
                <w:highlight w:val="none"/>
                <w:lang w:val="en-US" w:eastAsia="zh-CN"/>
              </w:rPr>
              <w:t>0.4</w:t>
            </w:r>
            <w:r>
              <w:rPr>
                <w:rFonts w:hint="eastAsia" w:ascii="宋体" w:hAnsi="宋体" w:eastAsia="宋体" w:cs="宋体"/>
                <w:color w:val="auto"/>
                <w:szCs w:val="21"/>
                <w:highlight w:val="none"/>
                <w:lang w:eastAsia="zh-CN"/>
              </w:rPr>
              <w:t>分，每减少1%扣</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分，扣完为止。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在偏差范围内，未参与评标基准价计算的投标报价，仍应参加计算相应分值。</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投标总报价得分最终结果取小数点后两位，第三位四舍五入。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86" w:type="dxa"/>
            <w:gridSpan w:val="4"/>
            <w:vAlign w:val="center"/>
          </w:tcPr>
          <w:p>
            <w:pPr>
              <w:spacing w:line="400" w:lineRule="exact"/>
              <w:ind w:firstLine="18" w:firstLineChars="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654" w:type="dxa"/>
            <w:vAlign w:val="center"/>
          </w:tcPr>
          <w:p>
            <w:pPr>
              <w:spacing w:line="400" w:lineRule="exact"/>
              <w:ind w:firstLine="18" w:firstLineChars="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5830" w:type="dxa"/>
            <w:vAlign w:val="center"/>
          </w:tcPr>
          <w:p>
            <w:pPr>
              <w:spacing w:line="400" w:lineRule="exact"/>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投标人得分=A+B</w:t>
            </w:r>
            <w:r>
              <w:rPr>
                <w:rFonts w:hint="eastAsia" w:ascii="宋体" w:hAnsi="宋体" w:eastAsia="宋体" w:cs="宋体"/>
                <w:color w:val="auto"/>
                <w:szCs w:val="21"/>
                <w:highlight w:val="none"/>
                <w:u w:val="none"/>
                <w:lang w:val="en-US" w:eastAsia="zh-CN"/>
              </w:rPr>
              <w:t>+C</w:t>
            </w:r>
          </w:p>
        </w:tc>
      </w:tr>
    </w:tbl>
    <w:p>
      <w:pPr>
        <w:pStyle w:val="4"/>
        <w:spacing w:before="0" w:after="0" w:line="360" w:lineRule="auto"/>
        <w:rPr>
          <w:rFonts w:hint="eastAsia" w:ascii="宋体" w:hAnsi="宋体" w:eastAsia="宋体" w:cs="宋体"/>
          <w:b w:val="0"/>
          <w:snapToGrid w:val="0"/>
          <w:color w:val="auto"/>
          <w:highlight w:val="none"/>
        </w:rPr>
      </w:pPr>
    </w:p>
    <w:p>
      <w:pPr>
        <w:pStyle w:val="4"/>
        <w:spacing w:before="0" w:after="0" w:line="360" w:lineRule="auto"/>
        <w:rPr>
          <w:rFonts w:hint="eastAsia" w:ascii="宋体" w:hAnsi="宋体" w:eastAsia="宋体" w:cs="宋体"/>
          <w:b w:val="0"/>
          <w:snapToGrid w:val="0"/>
          <w:color w:val="auto"/>
          <w:highlight w:val="none"/>
        </w:rPr>
      </w:pPr>
      <w:bookmarkStart w:id="528" w:name="_Toc2957"/>
      <w:bookmarkStart w:id="529" w:name="_Toc57905897"/>
    </w:p>
    <w:p>
      <w:pPr>
        <w:pStyle w:val="4"/>
        <w:spacing w:before="0" w:after="0" w:line="360" w:lineRule="auto"/>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p>
    <w:p>
      <w:pPr>
        <w:rPr>
          <w:rFonts w:hint="eastAsia" w:ascii="宋体" w:hAnsi="宋体" w:eastAsia="宋体" w:cs="宋体"/>
          <w:b w:val="0"/>
          <w:snapToGrid w:val="0"/>
          <w:color w:val="auto"/>
          <w:highlight w:val="none"/>
        </w:rPr>
      </w:pPr>
      <w:r>
        <w:rPr>
          <w:rFonts w:hint="eastAsia" w:ascii="宋体" w:hAnsi="宋体" w:eastAsia="宋体" w:cs="宋体"/>
          <w:b w:val="0"/>
          <w:snapToGrid w:val="0"/>
          <w:color w:val="auto"/>
          <w:highlight w:val="none"/>
        </w:rPr>
        <w:br w:type="page"/>
      </w:r>
    </w:p>
    <w:p>
      <w:pPr>
        <w:pStyle w:val="4"/>
        <w:spacing w:before="0" w:after="0" w:line="360" w:lineRule="auto"/>
        <w:rPr>
          <w:rFonts w:hint="eastAsia" w:ascii="宋体" w:hAnsi="宋体" w:eastAsia="宋体" w:cs="宋体"/>
          <w:b w:val="0"/>
          <w:snapToGrid w:val="0"/>
          <w:color w:val="auto"/>
          <w:highlight w:val="none"/>
        </w:rPr>
      </w:pPr>
      <w:r>
        <w:rPr>
          <w:rFonts w:hint="eastAsia" w:ascii="宋体" w:hAnsi="宋体" w:eastAsia="宋体" w:cs="宋体"/>
          <w:b w:val="0"/>
          <w:snapToGrid w:val="0"/>
          <w:color w:val="auto"/>
          <w:highlight w:val="none"/>
        </w:rPr>
        <w:t>1.  评标方法</w:t>
      </w:r>
      <w:bookmarkEnd w:id="510"/>
      <w:bookmarkEnd w:id="511"/>
      <w:bookmarkEnd w:id="512"/>
      <w:bookmarkEnd w:id="513"/>
      <w:bookmarkEnd w:id="514"/>
      <w:bookmarkEnd w:id="515"/>
      <w:bookmarkEnd w:id="527"/>
      <w:bookmarkEnd w:id="528"/>
      <w:bookmarkEnd w:id="52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本次评标采用综合评估法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定的评分标准进行打分，按得分由高到低顺序推荐中标候选人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b w:val="0"/>
          <w:snapToGrid w:val="0"/>
          <w:color w:val="auto"/>
          <w:highlight w:val="none"/>
        </w:rPr>
      </w:pPr>
      <w:bookmarkStart w:id="530" w:name="_Toc224103385"/>
      <w:bookmarkStart w:id="531" w:name="_Toc509218777"/>
      <w:bookmarkStart w:id="532" w:name="_Toc277082619"/>
      <w:bookmarkStart w:id="533" w:name="_Toc430530501"/>
      <w:bookmarkStart w:id="534" w:name="_Toc287620752"/>
      <w:bookmarkStart w:id="535" w:name="_Toc57905898"/>
      <w:bookmarkStart w:id="536" w:name="_Toc28040"/>
      <w:bookmarkStart w:id="537" w:name="_Toc200513199"/>
      <w:bookmarkStart w:id="538" w:name="_Toc287607813"/>
      <w:r>
        <w:rPr>
          <w:rFonts w:hint="eastAsia" w:ascii="宋体" w:hAnsi="宋体" w:eastAsia="宋体" w:cs="宋体"/>
          <w:b w:val="0"/>
          <w:snapToGrid w:val="0"/>
          <w:color w:val="auto"/>
          <w:highlight w:val="none"/>
        </w:rPr>
        <w:t>2.  评审标准</w:t>
      </w:r>
      <w:bookmarkEnd w:id="530"/>
      <w:bookmarkEnd w:id="531"/>
      <w:bookmarkEnd w:id="532"/>
      <w:bookmarkEnd w:id="533"/>
      <w:bookmarkEnd w:id="534"/>
      <w:bookmarkEnd w:id="535"/>
      <w:bookmarkEnd w:id="536"/>
      <w:bookmarkEnd w:id="537"/>
      <w:bookmarkEnd w:id="53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39" w:name="_Toc57905899"/>
      <w:bookmarkStart w:id="540" w:name="_Toc2588"/>
      <w:bookmarkStart w:id="541" w:name="_Toc509218778"/>
      <w:bookmarkStart w:id="542" w:name="_Toc277082620"/>
      <w:bookmarkStart w:id="543" w:name="_Toc287620753"/>
      <w:bookmarkStart w:id="544" w:name="_Toc287607814"/>
      <w:bookmarkStart w:id="545" w:name="_Toc224103386"/>
      <w:bookmarkStart w:id="546" w:name="_Toc430530502"/>
      <w:bookmarkStart w:id="547" w:name="_Toc200513200"/>
      <w:r>
        <w:rPr>
          <w:rFonts w:hint="eastAsia" w:ascii="宋体" w:hAnsi="宋体" w:eastAsia="宋体" w:cs="宋体"/>
          <w:b w:val="0"/>
          <w:snapToGrid w:val="0"/>
          <w:color w:val="auto"/>
          <w:sz w:val="24"/>
          <w:szCs w:val="24"/>
          <w:highlight w:val="none"/>
        </w:rPr>
        <w:t>2.1  初步评审标准</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资格评审标准：见评标办法前附表。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48" w:name="_Toc277082621"/>
      <w:bookmarkStart w:id="549" w:name="_Toc200513201"/>
      <w:bookmarkStart w:id="550" w:name="_Toc287607815"/>
      <w:bookmarkStart w:id="551" w:name="_Toc57905900"/>
      <w:bookmarkStart w:id="552" w:name="_Toc17923"/>
      <w:bookmarkStart w:id="553" w:name="_Toc509218779"/>
      <w:bookmarkStart w:id="554" w:name="_Toc430530503"/>
      <w:bookmarkStart w:id="555" w:name="_Toc224103387"/>
      <w:bookmarkStart w:id="556" w:name="_Toc287620754"/>
      <w:r>
        <w:rPr>
          <w:rFonts w:hint="eastAsia" w:ascii="宋体" w:hAnsi="宋体" w:eastAsia="宋体" w:cs="宋体"/>
          <w:b w:val="0"/>
          <w:snapToGrid w:val="0"/>
          <w:color w:val="auto"/>
          <w:sz w:val="24"/>
          <w:szCs w:val="24"/>
          <w:highlight w:val="none"/>
        </w:rPr>
        <w:t>2.2  分值构成与评分标准</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商务部分：</w:t>
      </w:r>
      <w:r>
        <w:rPr>
          <w:rFonts w:hint="eastAsia" w:ascii="宋体" w:hAnsi="宋体" w:eastAsia="宋体" w:cs="宋体"/>
          <w:color w:val="auto"/>
          <w:kern w:val="0"/>
          <w:szCs w:val="21"/>
          <w:highlight w:val="none"/>
        </w:rPr>
        <w:t>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lang w:val="en-US" w:eastAsia="zh-CN"/>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评分标准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投标报价的偏差率计算和允许偏差范围</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（1）投标报价的偏差率计算公式：见评标办法前附表；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（2）投标报价的允许偏差范围：见评标办法前附表。</w:t>
      </w:r>
    </w:p>
    <w:p>
      <w:pPr>
        <w:pStyle w:val="4"/>
        <w:spacing w:before="0" w:after="0" w:line="360" w:lineRule="auto"/>
        <w:rPr>
          <w:rFonts w:hint="eastAsia" w:ascii="宋体" w:hAnsi="宋体" w:eastAsia="宋体" w:cs="宋体"/>
          <w:b w:val="0"/>
          <w:snapToGrid w:val="0"/>
          <w:color w:val="auto"/>
          <w:highlight w:val="none"/>
        </w:rPr>
      </w:pPr>
      <w:bookmarkStart w:id="557" w:name="_Toc200513202"/>
      <w:bookmarkStart w:id="558" w:name="_Toc509218780"/>
      <w:bookmarkStart w:id="559" w:name="_Toc287607816"/>
      <w:bookmarkStart w:id="560" w:name="_Toc430530504"/>
      <w:bookmarkStart w:id="561" w:name="_Toc4568"/>
      <w:bookmarkStart w:id="562" w:name="_Toc224103388"/>
      <w:bookmarkStart w:id="563" w:name="_Toc287620755"/>
      <w:bookmarkStart w:id="564" w:name="_Toc277082622"/>
      <w:bookmarkStart w:id="565" w:name="_Toc57905901"/>
      <w:r>
        <w:rPr>
          <w:rFonts w:hint="eastAsia" w:ascii="宋体" w:hAnsi="宋体" w:eastAsia="宋体" w:cs="宋体"/>
          <w:b w:val="0"/>
          <w:snapToGrid w:val="0"/>
          <w:color w:val="auto"/>
          <w:highlight w:val="none"/>
        </w:rPr>
        <w:t>3.  评标程序</w:t>
      </w:r>
      <w:bookmarkEnd w:id="557"/>
      <w:bookmarkEnd w:id="558"/>
      <w:bookmarkEnd w:id="559"/>
      <w:bookmarkEnd w:id="560"/>
      <w:bookmarkEnd w:id="561"/>
      <w:bookmarkEnd w:id="562"/>
      <w:bookmarkEnd w:id="563"/>
      <w:bookmarkEnd w:id="564"/>
      <w:bookmarkEnd w:id="56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66" w:name="_Toc57905902"/>
      <w:bookmarkStart w:id="567" w:name="_Toc287620756"/>
      <w:bookmarkStart w:id="568" w:name="_Toc200513203"/>
      <w:bookmarkStart w:id="569" w:name="_Toc509218781"/>
      <w:bookmarkStart w:id="570" w:name="_Toc287607817"/>
      <w:bookmarkStart w:id="571" w:name="_Toc430530505"/>
      <w:bookmarkStart w:id="572" w:name="_Toc277082623"/>
      <w:bookmarkStart w:id="573" w:name="_Toc224103389"/>
      <w:bookmarkStart w:id="574" w:name="_Toc21102"/>
      <w:r>
        <w:rPr>
          <w:rFonts w:hint="eastAsia" w:ascii="宋体" w:hAnsi="宋体" w:eastAsia="宋体" w:cs="宋体"/>
          <w:b w:val="0"/>
          <w:snapToGrid w:val="0"/>
          <w:color w:val="auto"/>
          <w:sz w:val="24"/>
          <w:szCs w:val="24"/>
          <w:highlight w:val="none"/>
        </w:rPr>
        <w:t>3.1  初步评审</w:t>
      </w:r>
      <w:bookmarkEnd w:id="566"/>
      <w:bookmarkEnd w:id="567"/>
      <w:bookmarkEnd w:id="568"/>
      <w:bookmarkEnd w:id="569"/>
      <w:bookmarkEnd w:id="570"/>
      <w:bookmarkEnd w:id="571"/>
      <w:bookmarkEnd w:id="572"/>
      <w:bookmarkEnd w:id="573"/>
      <w:bookmarkEnd w:id="574"/>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本次投标有串通投标、弄虚作假等其他违反招投标相关法律、法规行为的</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投标报价有算术错误的，评标委员会按以下原则对投标报价进行修正，修正的价格经投标人书面确认后具有约束力，修正原则如下：</w:t>
      </w:r>
    </w:p>
    <w:p>
      <w:pPr>
        <w:autoSpaceDE w:val="0"/>
        <w:autoSpaceDN w:val="0"/>
        <w:adjustRightInd w:val="0"/>
        <w:snapToGrid w:val="0"/>
        <w:spacing w:line="360" w:lineRule="auto"/>
        <w:ind w:firstLine="532"/>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（1）投标文件中的大写金额与小写金额不一致的，以大写金</w:t>
      </w:r>
      <w:r>
        <w:rPr>
          <w:rFonts w:hint="eastAsia" w:ascii="宋体" w:hAnsi="宋体" w:eastAsia="宋体" w:cs="宋体"/>
          <w:color w:val="auto"/>
          <w:kern w:val="0"/>
          <w:szCs w:val="21"/>
          <w:highlight w:val="none"/>
        </w:rPr>
        <w:t>额为准；</w:t>
      </w:r>
    </w:p>
    <w:p>
      <w:pPr>
        <w:autoSpaceDE w:val="0"/>
        <w:autoSpaceDN w:val="0"/>
        <w:adjustRightInd w:val="0"/>
        <w:snapToGrid w:val="0"/>
        <w:spacing w:line="360" w:lineRule="auto"/>
        <w:ind w:firstLine="53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75" w:name="_Toc224103390"/>
      <w:bookmarkStart w:id="576" w:name="_Toc287620757"/>
      <w:bookmarkStart w:id="577" w:name="_Toc430530506"/>
      <w:bookmarkStart w:id="578" w:name="_Toc277082624"/>
      <w:bookmarkStart w:id="579" w:name="_Toc57905903"/>
      <w:bookmarkStart w:id="580" w:name="_Toc509218782"/>
      <w:bookmarkStart w:id="581" w:name="_Toc31837"/>
      <w:bookmarkStart w:id="582" w:name="_Toc287607818"/>
      <w:bookmarkStart w:id="583" w:name="_Toc200513204"/>
      <w:r>
        <w:rPr>
          <w:rFonts w:hint="eastAsia" w:ascii="宋体" w:hAnsi="宋体" w:eastAsia="宋体" w:cs="宋体"/>
          <w:b w:val="0"/>
          <w:snapToGrid w:val="0"/>
          <w:color w:val="auto"/>
          <w:sz w:val="24"/>
          <w:szCs w:val="24"/>
          <w:highlight w:val="none"/>
        </w:rPr>
        <w:t>3.2  详细评审</w:t>
      </w:r>
      <w:bookmarkEnd w:id="575"/>
      <w:bookmarkEnd w:id="576"/>
      <w:bookmarkEnd w:id="577"/>
      <w:bookmarkEnd w:id="578"/>
      <w:bookmarkEnd w:id="579"/>
      <w:bookmarkEnd w:id="580"/>
      <w:bookmarkEnd w:id="581"/>
      <w:bookmarkEnd w:id="582"/>
      <w:bookmarkEnd w:id="58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评标委员会按本章第2.2款规定的量化因素和分值进行打分，并计算出综合评估得分。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（1）按本章第3.2.1（1）目规定的评审因素和分值对技术方案计算出得分A</w:t>
      </w:r>
      <w:r>
        <w:rPr>
          <w:rFonts w:hint="eastAsia" w:ascii="宋体" w:hAnsi="宋体" w:eastAsia="宋体" w:cs="宋体"/>
          <w:color w:val="auto"/>
          <w:kern w:val="0"/>
          <w:szCs w:val="21"/>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按本章第 2.2.2（2）目及第 3.2.1（2）目的规定对商务部分进行评审。</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）按本章第3.2.1（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）目规定的评审因素和分值对投标总报价计算出得分B。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rPr>
        <w:t>。</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84" w:name="_Toc287607819"/>
      <w:bookmarkStart w:id="585" w:name="_Toc200513205"/>
      <w:bookmarkStart w:id="586" w:name="_Toc29615"/>
      <w:bookmarkStart w:id="587" w:name="_Toc430530507"/>
      <w:bookmarkStart w:id="588" w:name="_Toc509218783"/>
      <w:bookmarkStart w:id="589" w:name="_Toc277082625"/>
      <w:bookmarkStart w:id="590" w:name="_Toc287620758"/>
      <w:bookmarkStart w:id="591" w:name="_Toc224103391"/>
      <w:bookmarkStart w:id="592" w:name="_Toc57905904"/>
      <w:r>
        <w:rPr>
          <w:rFonts w:hint="eastAsia" w:ascii="宋体" w:hAnsi="宋体" w:eastAsia="宋体" w:cs="宋体"/>
          <w:b w:val="0"/>
          <w:snapToGrid w:val="0"/>
          <w:color w:val="auto"/>
          <w:sz w:val="24"/>
          <w:szCs w:val="24"/>
          <w:highlight w:val="none"/>
        </w:rPr>
        <w:t>3.3  投标文件的澄清和补正</w:t>
      </w:r>
      <w:bookmarkEnd w:id="584"/>
      <w:bookmarkEnd w:id="585"/>
      <w:bookmarkEnd w:id="586"/>
      <w:bookmarkEnd w:id="587"/>
      <w:bookmarkEnd w:id="588"/>
      <w:bookmarkEnd w:id="589"/>
      <w:bookmarkEnd w:id="590"/>
      <w:bookmarkEnd w:id="591"/>
      <w:bookmarkEnd w:id="592"/>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93" w:name="_Toc17868"/>
      <w:bookmarkStart w:id="594" w:name="_Toc430530508"/>
      <w:bookmarkStart w:id="595" w:name="_Toc287620759"/>
      <w:bookmarkStart w:id="596" w:name="_Toc277082626"/>
      <w:bookmarkStart w:id="597" w:name="_Toc287607820"/>
      <w:bookmarkStart w:id="598" w:name="_Toc57905905"/>
      <w:bookmarkStart w:id="599" w:name="_Toc224103392"/>
      <w:bookmarkStart w:id="600" w:name="_Toc509218784"/>
      <w:bookmarkStart w:id="601" w:name="_Toc200513206"/>
      <w:r>
        <w:rPr>
          <w:rFonts w:hint="eastAsia" w:ascii="宋体" w:hAnsi="宋体" w:eastAsia="宋体" w:cs="宋体"/>
          <w:b w:val="0"/>
          <w:snapToGrid w:val="0"/>
          <w:color w:val="auto"/>
          <w:sz w:val="24"/>
          <w:szCs w:val="24"/>
          <w:highlight w:val="none"/>
        </w:rPr>
        <w:t>3.4  评标结果</w:t>
      </w:r>
      <w:bookmarkEnd w:id="593"/>
      <w:bookmarkEnd w:id="594"/>
      <w:bookmarkEnd w:id="595"/>
      <w:bookmarkEnd w:id="596"/>
      <w:bookmarkEnd w:id="597"/>
      <w:bookmarkEnd w:id="598"/>
      <w:bookmarkEnd w:id="599"/>
      <w:bookmarkEnd w:id="600"/>
      <w:bookmarkEnd w:id="60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spacing w:line="360" w:lineRule="auto"/>
        <w:rPr>
          <w:rFonts w:hint="eastAsia" w:ascii="宋体" w:hAnsi="宋体" w:eastAsia="宋体" w:cs="宋体"/>
          <w:b/>
          <w:color w:val="auto"/>
          <w:szCs w:val="20"/>
          <w:highlight w:val="none"/>
        </w:rPr>
      </w:pPr>
      <w:r>
        <w:rPr>
          <w:rFonts w:hint="eastAsia" w:ascii="宋体" w:hAnsi="宋体" w:eastAsia="宋体" w:cs="宋体"/>
          <w:color w:val="auto"/>
          <w:kern w:val="0"/>
          <w:sz w:val="20"/>
          <w:szCs w:val="20"/>
          <w:highlight w:val="none"/>
        </w:rPr>
        <w:br w:type="page"/>
      </w:r>
    </w:p>
    <w:p>
      <w:pPr>
        <w:pStyle w:val="34"/>
        <w:spacing w:line="360" w:lineRule="auto"/>
        <w:rPr>
          <w:rFonts w:hint="eastAsia" w:ascii="宋体" w:hAnsi="宋体" w:eastAsia="宋体" w:cs="宋体"/>
          <w:b/>
          <w:color w:val="auto"/>
          <w:sz w:val="28"/>
          <w:szCs w:val="28"/>
          <w:highlight w:val="none"/>
          <w:u w:val="none"/>
          <w:lang w:eastAsia="zh-CN"/>
        </w:rPr>
      </w:pPr>
      <w:bookmarkStart w:id="602" w:name="招标文件04章合同条款及格式"/>
      <w:bookmarkEnd w:id="602"/>
      <w:bookmarkStart w:id="603" w:name="招标文件03章02评标办法综合评估法02附件02"/>
      <w:bookmarkEnd w:id="603"/>
      <w:bookmarkStart w:id="604" w:name="_Toc230410480"/>
      <w:bookmarkStart w:id="605" w:name="_Toc277082627"/>
      <w:r>
        <w:rPr>
          <w:rFonts w:hint="eastAsia" w:ascii="宋体" w:hAnsi="宋体" w:eastAsia="宋体" w:cs="宋体"/>
          <w:b/>
          <w:color w:val="auto"/>
          <w:sz w:val="28"/>
          <w:szCs w:val="28"/>
          <w:highlight w:val="none"/>
          <w:u w:val="none"/>
          <w:lang w:eastAsia="zh-CN"/>
        </w:rPr>
        <w:t>附件A：综合评估法否决投标情况一览表</w:t>
      </w:r>
      <w:bookmarkEnd w:id="604"/>
    </w:p>
    <w:bookmarkEnd w:id="605"/>
    <w:p>
      <w:pPr>
        <w:pStyle w:val="34"/>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47"/>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hint="eastAsia" w:ascii="宋体" w:hAnsi="宋体" w:eastAsia="宋体" w:cs="宋体"/>
                <w:color w:val="auto"/>
                <w:szCs w:val="21"/>
                <w:highlight w:val="none"/>
              </w:rPr>
            </w:pPr>
          </w:p>
        </w:tc>
        <w:tc>
          <w:tcPr>
            <w:tcW w:w="1899"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投标文件格式符合第二章“投标人须知”第3.7款的要求，否则由评标委员会作否决投标处理。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top"/>
          </w:tcPr>
          <w:p>
            <w:pPr>
              <w:autoSpaceDE w:val="0"/>
              <w:autoSpaceDN w:val="0"/>
              <w:adjustRightInd w:val="0"/>
              <w:snapToGrid w:val="0"/>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投标文件份数符合第二章“投标人须知”第3.7.4项的规定，</w:t>
            </w:r>
            <w:r>
              <w:rPr>
                <w:rFonts w:hint="eastAsia" w:ascii="宋体" w:hAnsi="宋体" w:eastAsia="宋体" w:cs="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top"/>
          </w:tcPr>
          <w:p>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kern w:val="0"/>
                <w:highlight w:val="none"/>
              </w:rPr>
              <w:t>第八章 投标文件格式要求法定代表人或其委托代理人签名（或盖章）的须齐全。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投标总报价必须与已标价工程量清单总报价一致，否则由评标委员会作否决投标处理。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投标人应按投标人须知前附表第3.4款的规定递交投标保证金，并作为其投标文件的组成部分，否则由评标委员会作否决投标处理。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投标人提供的关于已标价工程量清单的承诺符合招标文件的要求，否则由评标委员会作否决投标处理。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highlight w:val="none"/>
              </w:rPr>
            </w:pPr>
          </w:p>
        </w:tc>
        <w:tc>
          <w:tcPr>
            <w:tcW w:w="1899" w:type="dxa"/>
            <w:vMerge w:val="continue"/>
            <w:vAlign w:val="center"/>
          </w:tcPr>
          <w:p>
            <w:pPr>
              <w:spacing w:line="400" w:lineRule="exact"/>
              <w:jc w:val="center"/>
              <w:rPr>
                <w:rFonts w:hint="eastAsia" w:ascii="宋体" w:hAnsi="宋体" w:eastAsia="宋体" w:cs="宋体"/>
                <w:color w:val="auto"/>
                <w:szCs w:val="21"/>
                <w:highlight w:val="none"/>
              </w:rPr>
            </w:pPr>
          </w:p>
        </w:tc>
        <w:tc>
          <w:tcPr>
            <w:tcW w:w="6333"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投标人有以下情形之一的，其投标文件由评标委员会作否决投标处理：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color w:val="auto"/>
          <w:kern w:val="0"/>
          <w:highlight w:val="none"/>
        </w:rPr>
        <w:br w:type="page"/>
      </w:r>
    </w:p>
    <w:p>
      <w:pPr>
        <w:pStyle w:val="3"/>
        <w:spacing w:line="360" w:lineRule="auto"/>
        <w:jc w:val="center"/>
        <w:rPr>
          <w:rFonts w:hint="eastAsia" w:ascii="宋体" w:hAnsi="宋体" w:eastAsia="宋体" w:cs="宋体"/>
          <w:color w:val="auto"/>
          <w:kern w:val="0"/>
          <w:highlight w:val="none"/>
        </w:rPr>
      </w:pPr>
      <w:bookmarkStart w:id="606" w:name="_Toc430530509"/>
      <w:bookmarkStart w:id="607" w:name="_Toc57905906"/>
      <w:bookmarkStart w:id="608" w:name="_Toc509218785"/>
      <w:bookmarkStart w:id="609" w:name="_Toc8427"/>
      <w:r>
        <w:rPr>
          <w:rFonts w:hint="eastAsia" w:ascii="宋体" w:hAnsi="宋体" w:eastAsia="宋体" w:cs="宋体"/>
          <w:color w:val="auto"/>
          <w:kern w:val="0"/>
          <w:highlight w:val="none"/>
        </w:rPr>
        <w:t>第四章  合同条款及格式</w:t>
      </w:r>
      <w:bookmarkEnd w:id="606"/>
      <w:bookmarkEnd w:id="607"/>
      <w:bookmarkEnd w:id="608"/>
      <w:bookmarkEnd w:id="609"/>
    </w:p>
    <w:p>
      <w:pPr>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610" w:name="_Toc351203480"/>
      <w:bookmarkStart w:id="611" w:name="_Toc296890982"/>
      <w:bookmarkStart w:id="612" w:name="_Toc296503025"/>
    </w:p>
    <w:p>
      <w:pPr>
        <w:jc w:val="left"/>
        <w:rPr>
          <w:rFonts w:hint="eastAsia" w:ascii="宋体" w:hAnsi="宋体" w:eastAsia="宋体" w:cs="宋体"/>
          <w:bCs/>
          <w:color w:val="auto"/>
          <w:sz w:val="28"/>
          <w:szCs w:val="28"/>
          <w:highlight w:val="none"/>
        </w:rPr>
      </w:pPr>
      <w:bookmarkStart w:id="613" w:name="_Toc534185822"/>
      <w:bookmarkStart w:id="614" w:name="_Toc287607855"/>
      <w:bookmarkStart w:id="615" w:name="_Toc57905910"/>
      <w:bookmarkStart w:id="616" w:name="_Toc509218843"/>
      <w:bookmarkStart w:id="617" w:name="_Toc430530513"/>
      <w:bookmarkStart w:id="618" w:name="_Toc287620797"/>
      <w:bookmarkStart w:id="619" w:name="_Toc16194"/>
      <w:r>
        <w:rPr>
          <w:rFonts w:hint="eastAsia" w:ascii="宋体" w:hAnsi="宋体" w:eastAsia="宋体" w:cs="宋体"/>
          <w:bCs/>
          <w:color w:val="auto"/>
          <w:sz w:val="28"/>
          <w:szCs w:val="28"/>
          <w:highlight w:val="none"/>
        </w:rPr>
        <w:t>（GF—201</w:t>
      </w:r>
      <w:r>
        <w:rPr>
          <w:rFonts w:hint="eastAsia" w:ascii="宋体" w:hAnsi="宋体" w:eastAsia="宋体" w:cs="宋体"/>
          <w:bCs/>
          <w:color w:val="auto"/>
          <w:sz w:val="28"/>
          <w:szCs w:val="28"/>
          <w:highlight w:val="none"/>
          <w:lang w:val="en-US" w:eastAsia="zh-CN"/>
        </w:rPr>
        <w:t>7</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0201</w:t>
      </w:r>
      <w:r>
        <w:rPr>
          <w:rFonts w:hint="eastAsia" w:ascii="宋体" w:hAnsi="宋体" w:eastAsia="宋体" w:cs="宋体"/>
          <w:bCs/>
          <w:color w:val="auto"/>
          <w:sz w:val="28"/>
          <w:szCs w:val="28"/>
          <w:highlight w:val="none"/>
        </w:rPr>
        <w:t>）</w:t>
      </w: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建设工程施工合同</w:t>
      </w:r>
      <w:r>
        <w:rPr>
          <w:rFonts w:hint="eastAsia" w:ascii="宋体" w:hAnsi="宋体" w:eastAsia="宋体" w:cs="宋体"/>
          <w:b/>
          <w:color w:val="auto"/>
          <w:sz w:val="32"/>
          <w:szCs w:val="32"/>
          <w:highlight w:val="none"/>
        </w:rPr>
        <w:br w:type="textWrapping"/>
      </w:r>
      <w:r>
        <w:rPr>
          <w:rFonts w:hint="eastAsia" w:ascii="宋体" w:hAnsi="宋体" w:eastAsia="宋体" w:cs="宋体"/>
          <w:b/>
          <w:color w:val="auto"/>
          <w:sz w:val="32"/>
          <w:szCs w:val="32"/>
          <w:highlight w:val="none"/>
        </w:rPr>
        <w:t>（示范文本）</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ind w:right="2719" w:rightChars="1295"/>
        <w:jc w:val="right"/>
        <w:rPr>
          <w:rFonts w:hint="eastAsia" w:ascii="宋体" w:hAnsi="宋体" w:eastAsia="宋体" w:cs="宋体"/>
          <w:b/>
          <w:color w:val="auto"/>
          <w:sz w:val="32"/>
          <w:szCs w:val="32"/>
          <w:highlight w:val="none"/>
        </w:rPr>
      </w:pPr>
      <w:r>
        <w:rPr>
          <w:rFonts w:hint="eastAsia" w:ascii="宋体" w:hAnsi="宋体" w:eastAsia="宋体" w:cs="宋体"/>
          <w:color w:val="auto"/>
          <w:kern w:val="2"/>
          <w:sz w:val="32"/>
          <w:szCs w:val="32"/>
          <w:highlight w:val="none"/>
          <w:lang w:val="en-US" w:eastAsia="zh-CN" w:bidi="ar-SA"/>
        </w:rPr>
        <w:pict>
          <v:rect id="文本框 1" o:spid="_x0000_s1028" o:spt="1" style="position:absolute;left:0pt;margin-left:312.6pt;margin-top:9.45pt;height:36pt;width:57pt;z-index:251660288;mso-width-relative:page;mso-height-relative:page;" fillcolor="#FFFFFF" filled="f" o:preferrelative="t" stroked="t" coordsize="21600,21600">
            <v:path/>
            <v:fill on="f" color2="#FFFFFF" focussize="0,0"/>
            <v:stroke color="#FFFFFF" color2="#FFFFFF" miterlimit="2"/>
            <v:imagedata gain="65536f" blacklevel="0f" gamma="0" o:title=""/>
            <o:lock v:ext="edit" position="f" selection="f" grouping="f" rotation="f" cropping="f" text="f" aspectratio="f"/>
            <v:textbox>
              <w:txbxContent>
                <w:p>
                  <w:pPr>
                    <w:rPr>
                      <w:rFonts w:hint="eastAsia"/>
                      <w:b/>
                      <w:bCs/>
                      <w:sz w:val="32"/>
                    </w:rPr>
                  </w:pPr>
                  <w:r>
                    <w:rPr>
                      <w:rFonts w:hint="eastAsia"/>
                      <w:b/>
                      <w:bCs/>
                      <w:sz w:val="32"/>
                    </w:rPr>
                    <w:t>制定</w:t>
                  </w:r>
                </w:p>
              </w:txbxContent>
            </v:textbox>
          </v:rect>
        </w:pict>
      </w:r>
      <w:r>
        <w:rPr>
          <w:rFonts w:hint="eastAsia" w:ascii="宋体" w:hAnsi="宋体" w:eastAsia="宋体" w:cs="宋体"/>
          <w:b/>
          <w:color w:val="auto"/>
          <w:sz w:val="32"/>
          <w:szCs w:val="32"/>
          <w:highlight w:val="none"/>
        </w:rPr>
        <w:t>住房城乡建设部</w:t>
      </w:r>
    </w:p>
    <w:p>
      <w:pPr>
        <w:ind w:right="2719" w:rightChars="1295" w:firstLine="2750" w:firstLineChars="856"/>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国家工商行政管理总局</w:t>
      </w:r>
    </w:p>
    <w:p>
      <w:pPr>
        <w:rPr>
          <w:rFonts w:hint="eastAsia" w:ascii="宋体" w:hAnsi="宋体" w:eastAsia="宋体" w:cs="宋体"/>
          <w:b/>
          <w:color w:val="auto"/>
          <w:sz w:val="32"/>
          <w:szCs w:val="32"/>
          <w:highlight w:val="none"/>
        </w:rPr>
      </w:pPr>
    </w:p>
    <w:p>
      <w:pPr>
        <w:pStyle w:val="143"/>
        <w:widowControl w:val="0"/>
        <w:wordWrap/>
        <w:adjustRightInd/>
        <w:snapToGrid w:val="0"/>
        <w:spacing w:before="0" w:after="0"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 w:val="0"/>
          <w:color w:val="auto"/>
          <w:sz w:val="21"/>
          <w:szCs w:val="21"/>
          <w:highlight w:val="none"/>
        </w:rPr>
        <w:br w:type="page"/>
      </w:r>
      <w:r>
        <w:rPr>
          <w:rFonts w:hint="eastAsia" w:ascii="宋体" w:hAnsi="宋体" w:eastAsia="宋体" w:cs="宋体"/>
          <w:color w:val="auto"/>
          <w:sz w:val="21"/>
          <w:szCs w:val="21"/>
          <w:highlight w:val="none"/>
          <w:lang w:val="zh-CN"/>
        </w:rPr>
        <w:t>说  明</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w:t>
      </w:r>
      <w:r>
        <w:rPr>
          <w:rFonts w:hint="eastAsia" w:ascii="宋体" w:hAnsi="宋体" w:eastAsia="宋体" w:cs="宋体"/>
          <w:color w:val="auto"/>
          <w:sz w:val="21"/>
          <w:szCs w:val="21"/>
          <w:highlight w:val="none"/>
          <w:lang w:val="en-US" w:eastAsia="zh-CN"/>
        </w:rPr>
        <w:t>2013</w:t>
      </w:r>
      <w:r>
        <w:rPr>
          <w:rFonts w:hint="eastAsia" w:ascii="宋体" w:hAnsi="宋体" w:eastAsia="宋体" w:cs="宋体"/>
          <w:color w:val="auto"/>
          <w:sz w:val="21"/>
          <w:szCs w:val="21"/>
          <w:highlight w:val="none"/>
        </w:rPr>
        <w:t>-0201）进行了修订，制定了《建设工程施工合同（示范文本）》（GF-201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-0201）（以下简称《示范文本》）。为了便于合同当事人使用《示范文本》，现就有关问题说明如下：</w:t>
      </w:r>
    </w:p>
    <w:p>
      <w:pPr>
        <w:widowControl w:val="0"/>
        <w:wordWrap/>
        <w:adjustRightInd/>
        <w:snapToGrid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一、《示范文本》的组成</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《示范文本》由合同协议书、通用合同条款和专用合同条款三部分组成。</w:t>
      </w:r>
    </w:p>
    <w:p>
      <w:pPr>
        <w:widowControl w:val="0"/>
        <w:wordWrap/>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（一）合同协议书</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widowControl w:val="0"/>
        <w:wordWrap/>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（二）通用合同条款</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通用合同条款是合同当事人根据《中华人民共和国建筑法》、《中华人民共和国合同法》等法律法规的规定，就工程建设的实施及相关事项，对合同当事人的权利义务作出的原则性约定。</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widowControl w:val="0"/>
        <w:wordWrap/>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（三）专用合同条款</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widowControl w:val="0"/>
        <w:wordWrap/>
        <w:adjustRightInd/>
        <w:snapToGrid w:val="0"/>
        <w:spacing w:line="360" w:lineRule="auto"/>
        <w:ind w:right="25" w:rightChars="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专用合同条款的编号应与相应的通用合同条款的编号一致；</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合同当事人可以通过对专用合同条款的修改，满足具体建设工程的特殊要求，避免直接修改通用合同条款；</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在专用合同条款中有横道线的地方，合同当事人可针对相应的通用合同条款进行细化、完善、补充、修改或另行约定；如无细化、完善、补充、修改或另行约定，则填写“无”或划“/”。</w:t>
      </w:r>
    </w:p>
    <w:p>
      <w:pPr>
        <w:widowControl w:val="0"/>
        <w:wordWrap/>
        <w:adjustRightInd/>
        <w:snapToGrid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二、《示范文本》的性质和适用范围</w:t>
      </w:r>
    </w:p>
    <w:p>
      <w:pPr>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Start w:id="620" w:name="_Toc7902"/>
    </w:p>
    <w:p>
      <w:pPr>
        <w:pStyle w:val="5"/>
        <w:jc w:val="center"/>
        <w:outlineLvl w:val="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第一部分 合同协议书</w:t>
      </w:r>
      <w:bookmarkEnd w:id="620"/>
    </w:p>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根据《中华人民共和国合同法》、《中华人民共和国建筑法》及有关法律规定，遵循平等、自愿、公平和诚实信用的原则，双方就</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1" w:name="_Toc351203481"/>
      <w:bookmarkStart w:id="622" w:name="_Toc1651"/>
      <w:r>
        <w:rPr>
          <w:rFonts w:hint="eastAsia" w:ascii="宋体" w:hAnsi="宋体" w:eastAsia="宋体" w:cs="宋体"/>
          <w:b w:val="0"/>
          <w:color w:val="auto"/>
          <w:sz w:val="21"/>
          <w:szCs w:val="21"/>
          <w:highlight w:val="none"/>
        </w:rPr>
        <w:t>一、工程概况</w:t>
      </w:r>
      <w:bookmarkEnd w:id="621"/>
      <w:bookmarkEnd w:id="622"/>
    </w:p>
    <w:p>
      <w:pPr>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spacing w:before="120" w:after="120" w:line="360" w:lineRule="auto"/>
        <w:outlineLvl w:val="1"/>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623" w:name="_Toc16026"/>
      <w:bookmarkStart w:id="624" w:name="_Toc351203482"/>
      <w:r>
        <w:rPr>
          <w:rFonts w:hint="eastAsia" w:ascii="宋体" w:hAnsi="宋体" w:eastAsia="宋体" w:cs="宋体"/>
          <w:b w:val="0"/>
          <w:color w:val="auto"/>
          <w:sz w:val="21"/>
          <w:szCs w:val="21"/>
          <w:highlight w:val="none"/>
        </w:rPr>
        <w:t>二、合同工期</w:t>
      </w:r>
      <w:bookmarkEnd w:id="623"/>
      <w:bookmarkEnd w:id="624"/>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25" w:name="_Toc351203483"/>
      <w:bookmarkStart w:id="626" w:name="_Toc866"/>
      <w:r>
        <w:rPr>
          <w:rFonts w:hint="eastAsia" w:ascii="宋体" w:hAnsi="宋体" w:eastAsia="宋体" w:cs="宋体"/>
          <w:b w:val="0"/>
          <w:color w:val="auto"/>
          <w:sz w:val="21"/>
          <w:szCs w:val="21"/>
          <w:highlight w:val="none"/>
        </w:rPr>
        <w:t>三、质量标准</w:t>
      </w:r>
      <w:bookmarkEnd w:id="625"/>
      <w:bookmarkEnd w:id="626"/>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7" w:name="_Toc32639"/>
      <w:bookmarkStart w:id="628" w:name="_Toc351203484"/>
      <w:r>
        <w:rPr>
          <w:rFonts w:hint="eastAsia" w:ascii="宋体" w:hAnsi="宋体" w:eastAsia="宋体" w:cs="宋体"/>
          <w:b w:val="0"/>
          <w:color w:val="auto"/>
          <w:sz w:val="21"/>
          <w:szCs w:val="21"/>
          <w:highlight w:val="none"/>
        </w:rPr>
        <w:t>四、签约合同价与合同价格形式</w:t>
      </w:r>
      <w:bookmarkEnd w:id="627"/>
      <w:bookmarkEnd w:id="628"/>
      <w:r>
        <w:rPr>
          <w:rFonts w:hint="eastAsia" w:ascii="宋体" w:hAnsi="宋体" w:eastAsia="宋体" w:cs="宋体"/>
          <w:b w:val="0"/>
          <w:color w:val="auto"/>
          <w:sz w:val="21"/>
          <w:szCs w:val="21"/>
          <w:highlight w:val="none"/>
        </w:rPr>
        <w:tab/>
      </w:r>
    </w:p>
    <w:p>
      <w:pPr>
        <w:spacing w:line="360" w:lineRule="auto"/>
        <w:ind w:firstLine="420" w:firstLineChars="200"/>
        <w:outlineLvl w:val="2"/>
        <w:rPr>
          <w:rFonts w:hint="eastAsia" w:ascii="宋体" w:hAnsi="宋体" w:eastAsia="宋体" w:cs="宋体"/>
          <w:color w:val="auto"/>
          <w:sz w:val="21"/>
          <w:szCs w:val="21"/>
          <w:highlight w:val="none"/>
        </w:rPr>
      </w:pPr>
      <w:bookmarkStart w:id="629" w:name="_Toc13628"/>
      <w:r>
        <w:rPr>
          <w:rFonts w:hint="eastAsia" w:ascii="宋体" w:hAnsi="宋体" w:eastAsia="宋体" w:cs="宋体"/>
          <w:color w:val="auto"/>
          <w:sz w:val="21"/>
          <w:szCs w:val="21"/>
          <w:highlight w:val="none"/>
        </w:rPr>
        <w:t>1.签约合同价为：</w:t>
      </w:r>
      <w:bookmarkEnd w:id="629"/>
    </w:p>
    <w:p>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360" w:lineRule="auto"/>
        <w:ind w:firstLine="420" w:firstLineChars="200"/>
        <w:outlineLvl w:val="2"/>
        <w:rPr>
          <w:rFonts w:hint="eastAsia" w:ascii="宋体" w:hAnsi="宋体" w:eastAsia="宋体" w:cs="宋体"/>
          <w:color w:val="auto"/>
          <w:sz w:val="21"/>
          <w:szCs w:val="21"/>
          <w:highlight w:val="none"/>
        </w:rPr>
      </w:pPr>
      <w:bookmarkStart w:id="630" w:name="_Toc14709"/>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bookmarkEnd w:id="630"/>
    </w:p>
    <w:p>
      <w:pPr>
        <w:pStyle w:val="6"/>
        <w:spacing w:before="120" w:after="120" w:line="360" w:lineRule="auto"/>
        <w:outlineLvl w:val="1"/>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31" w:name="_Toc351203485"/>
      <w:bookmarkStart w:id="632" w:name="_Toc4458"/>
      <w:r>
        <w:rPr>
          <w:rFonts w:hint="eastAsia" w:ascii="宋体" w:hAnsi="宋体" w:eastAsia="宋体" w:cs="宋体"/>
          <w:b w:val="0"/>
          <w:color w:val="auto"/>
          <w:sz w:val="21"/>
          <w:szCs w:val="21"/>
          <w:highlight w:val="none"/>
        </w:rPr>
        <w:t>五、</w:t>
      </w:r>
      <w:bookmarkEnd w:id="631"/>
      <w:r>
        <w:rPr>
          <w:rFonts w:hint="eastAsia" w:ascii="宋体" w:hAnsi="宋体" w:eastAsia="宋体" w:cs="宋体"/>
          <w:b w:val="0"/>
          <w:color w:val="auto"/>
          <w:sz w:val="21"/>
          <w:szCs w:val="21"/>
          <w:highlight w:val="none"/>
        </w:rPr>
        <w:t>项目经理</w:t>
      </w:r>
      <w:bookmarkEnd w:id="63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33" w:name="_Toc7392"/>
      <w:bookmarkStart w:id="634" w:name="_Toc351203486"/>
      <w:r>
        <w:rPr>
          <w:rFonts w:hint="eastAsia" w:ascii="宋体" w:hAnsi="宋体" w:eastAsia="宋体" w:cs="宋体"/>
          <w:b w:val="0"/>
          <w:color w:val="auto"/>
          <w:sz w:val="21"/>
          <w:szCs w:val="21"/>
          <w:highlight w:val="none"/>
        </w:rPr>
        <w:t>六、合同文件构成</w:t>
      </w:r>
      <w:bookmarkEnd w:id="633"/>
      <w:bookmarkEnd w:id="634"/>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60" w:lineRule="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35" w:name="_Toc15600"/>
      <w:bookmarkStart w:id="636" w:name="_Toc351203487"/>
      <w:r>
        <w:rPr>
          <w:rFonts w:hint="eastAsia" w:ascii="宋体" w:hAnsi="宋体" w:eastAsia="宋体" w:cs="宋体"/>
          <w:b w:val="0"/>
          <w:color w:val="auto"/>
          <w:sz w:val="21"/>
          <w:szCs w:val="21"/>
          <w:highlight w:val="none"/>
        </w:rPr>
        <w:t>七、承诺</w:t>
      </w:r>
      <w:bookmarkEnd w:id="635"/>
      <w:bookmarkEnd w:id="636"/>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spacing w:line="360" w:lineRule="auto"/>
        <w:outlineLvl w:val="1"/>
        <w:rPr>
          <w:rFonts w:hint="eastAsia" w:ascii="宋体" w:hAnsi="宋体" w:eastAsia="宋体" w:cs="宋体"/>
          <w:bCs/>
          <w:color w:val="auto"/>
          <w:sz w:val="21"/>
          <w:szCs w:val="21"/>
          <w:highlight w:val="none"/>
        </w:rPr>
      </w:pPr>
      <w:bookmarkStart w:id="637" w:name="_Toc351203488"/>
      <w:r>
        <w:rPr>
          <w:rFonts w:hint="eastAsia" w:ascii="宋体" w:hAnsi="宋体" w:eastAsia="宋体" w:cs="宋体"/>
          <w:b/>
          <w:color w:val="auto"/>
          <w:sz w:val="21"/>
          <w:szCs w:val="21"/>
          <w:highlight w:val="none"/>
        </w:rPr>
        <w:t xml:space="preserve">    </w:t>
      </w:r>
      <w:bookmarkStart w:id="638" w:name="_Toc24599"/>
      <w:r>
        <w:rPr>
          <w:rFonts w:hint="eastAsia" w:ascii="宋体" w:hAnsi="宋体" w:eastAsia="宋体" w:cs="宋体"/>
          <w:b/>
          <w:color w:val="auto"/>
          <w:sz w:val="21"/>
          <w:szCs w:val="21"/>
          <w:highlight w:val="none"/>
        </w:rPr>
        <w:t>八、词语含义</w:t>
      </w:r>
      <w:bookmarkEnd w:id="637"/>
      <w:bookmarkEnd w:id="638"/>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39" w:name="_Toc19596"/>
      <w:bookmarkStart w:id="640" w:name="_Toc351203489"/>
      <w:r>
        <w:rPr>
          <w:rFonts w:hint="eastAsia" w:ascii="宋体" w:hAnsi="宋体" w:eastAsia="宋体" w:cs="宋体"/>
          <w:b w:val="0"/>
          <w:color w:val="auto"/>
          <w:sz w:val="21"/>
          <w:szCs w:val="21"/>
          <w:highlight w:val="none"/>
        </w:rPr>
        <w:t>九、签订时间</w:t>
      </w:r>
      <w:bookmarkEnd w:id="639"/>
      <w:bookmarkEnd w:id="640"/>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1" w:name="_Toc351203490"/>
      <w:bookmarkStart w:id="642" w:name="_Toc9630"/>
      <w:r>
        <w:rPr>
          <w:rFonts w:hint="eastAsia" w:ascii="宋体" w:hAnsi="宋体" w:eastAsia="宋体" w:cs="宋体"/>
          <w:b w:val="0"/>
          <w:color w:val="auto"/>
          <w:sz w:val="21"/>
          <w:szCs w:val="21"/>
          <w:highlight w:val="none"/>
        </w:rPr>
        <w:t>十、签订地点</w:t>
      </w:r>
      <w:bookmarkEnd w:id="641"/>
      <w:bookmarkEnd w:id="642"/>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3" w:name="_Toc351203491"/>
      <w:bookmarkStart w:id="644" w:name="_Toc7815"/>
      <w:r>
        <w:rPr>
          <w:rFonts w:hint="eastAsia" w:ascii="宋体" w:hAnsi="宋体" w:eastAsia="宋体" w:cs="宋体"/>
          <w:b w:val="0"/>
          <w:color w:val="auto"/>
          <w:sz w:val="21"/>
          <w:szCs w:val="21"/>
          <w:highlight w:val="none"/>
        </w:rPr>
        <w:t>十一、补充协议</w:t>
      </w:r>
      <w:bookmarkEnd w:id="643"/>
      <w:bookmarkEnd w:id="644"/>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5" w:name="_Toc351203492"/>
      <w:bookmarkStart w:id="646" w:name="_Toc18725"/>
      <w:r>
        <w:rPr>
          <w:rFonts w:hint="eastAsia" w:ascii="宋体" w:hAnsi="宋体" w:eastAsia="宋体" w:cs="宋体"/>
          <w:b w:val="0"/>
          <w:color w:val="auto"/>
          <w:sz w:val="21"/>
          <w:szCs w:val="21"/>
          <w:highlight w:val="none"/>
        </w:rPr>
        <w:t>十二、合同生效</w:t>
      </w:r>
      <w:bookmarkEnd w:id="645"/>
      <w:bookmarkEnd w:id="646"/>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6"/>
        <w:spacing w:before="120" w:after="120" w:line="360" w:lineRule="auto"/>
        <w:outlineLvl w:val="1"/>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7" w:name="_Toc25644"/>
      <w:bookmarkStart w:id="648" w:name="_Toc351203493"/>
      <w:r>
        <w:rPr>
          <w:rFonts w:hint="eastAsia" w:ascii="宋体" w:hAnsi="宋体" w:eastAsia="宋体" w:cs="宋体"/>
          <w:b w:val="0"/>
          <w:color w:val="auto"/>
          <w:sz w:val="21"/>
          <w:szCs w:val="21"/>
          <w:highlight w:val="none"/>
        </w:rPr>
        <w:t>十三、合同份数</w:t>
      </w:r>
      <w:bookmarkEnd w:id="647"/>
      <w:bookmarkEnd w:id="64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(公章)             承包人：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（签字）                    （签字）</w:t>
      </w:r>
    </w:p>
    <w:p>
      <w:pPr>
        <w:tabs>
          <w:tab w:val="left" w:pos="441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pPr>
        <w:pStyle w:val="5"/>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649" w:name="_Toc29089"/>
      <w:bookmarkStart w:id="650" w:name="_Toc351203494"/>
      <w:r>
        <w:rPr>
          <w:rFonts w:hint="eastAsia" w:ascii="宋体" w:hAnsi="宋体" w:eastAsia="宋体" w:cs="宋体"/>
          <w:color w:val="auto"/>
          <w:sz w:val="21"/>
          <w:szCs w:val="21"/>
          <w:highlight w:val="none"/>
        </w:rPr>
        <w:t>第二部分 通用合同条款</w:t>
      </w:r>
      <w:bookmarkEnd w:id="649"/>
      <w:bookmarkEnd w:id="650"/>
      <w:bookmarkStart w:id="651" w:name="_Toc337558727"/>
    </w:p>
    <w:p>
      <w:pPr>
        <w:pStyle w:val="6"/>
        <w:spacing w:before="120" w:after="120" w:line="360" w:lineRule="auto"/>
        <w:outlineLvl w:val="0"/>
        <w:rPr>
          <w:rFonts w:hint="eastAsia" w:ascii="宋体" w:hAnsi="宋体" w:eastAsia="宋体" w:cs="宋体"/>
          <w:b w:val="0"/>
          <w:color w:val="auto"/>
          <w:sz w:val="21"/>
          <w:szCs w:val="21"/>
          <w:highlight w:val="none"/>
        </w:rPr>
      </w:pPr>
      <w:bookmarkStart w:id="652" w:name="_Toc351203495"/>
      <w:bookmarkStart w:id="653" w:name="_Toc24597"/>
      <w:r>
        <w:rPr>
          <w:rFonts w:hint="eastAsia" w:ascii="宋体" w:hAnsi="宋体" w:eastAsia="宋体" w:cs="宋体"/>
          <w:b w:val="0"/>
          <w:color w:val="auto"/>
          <w:sz w:val="21"/>
          <w:szCs w:val="21"/>
          <w:highlight w:val="none"/>
        </w:rPr>
        <w:t>1.</w:t>
      </w:r>
      <w:bookmarkStart w:id="654" w:name="_Toc303538975"/>
      <w:bookmarkEnd w:id="654"/>
      <w:bookmarkStart w:id="655" w:name="_Toc303538976"/>
      <w:bookmarkEnd w:id="655"/>
      <w:bookmarkStart w:id="656" w:name="_Toc303538972"/>
      <w:bookmarkEnd w:id="656"/>
      <w:bookmarkStart w:id="657" w:name="_Toc303538973"/>
      <w:bookmarkEnd w:id="657"/>
      <w:bookmarkStart w:id="658" w:name="_Toc303538974"/>
      <w:bookmarkEnd w:id="658"/>
      <w:bookmarkStart w:id="659" w:name="_Toc296503027"/>
      <w:bookmarkStart w:id="660" w:name="_Toc296346528"/>
      <w:r>
        <w:rPr>
          <w:rFonts w:hint="eastAsia" w:ascii="宋体" w:hAnsi="宋体" w:eastAsia="宋体" w:cs="宋体"/>
          <w:b w:val="0"/>
          <w:color w:val="auto"/>
          <w:sz w:val="21"/>
          <w:szCs w:val="21"/>
          <w:highlight w:val="none"/>
        </w:rPr>
        <w:t xml:space="preserve"> 一般约定</w:t>
      </w:r>
      <w:bookmarkEnd w:id="651"/>
      <w:bookmarkEnd w:id="652"/>
      <w:bookmarkEnd w:id="653"/>
      <w:bookmarkEnd w:id="659"/>
      <w:bookmarkEnd w:id="660"/>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661" w:name="_Toc296346529"/>
      <w:bookmarkStart w:id="662" w:name="_Toc337558728"/>
      <w:bookmarkStart w:id="663" w:name="_Toc296503028"/>
      <w:bookmarkStart w:id="664" w:name="_Toc351203496"/>
      <w:bookmarkStart w:id="665" w:name="_Toc30962"/>
      <w:r>
        <w:rPr>
          <w:rFonts w:hint="eastAsia" w:ascii="宋体" w:hAnsi="宋体" w:eastAsia="宋体" w:cs="宋体"/>
          <w:b w:val="0"/>
          <w:color w:val="auto"/>
          <w:sz w:val="21"/>
          <w:szCs w:val="21"/>
          <w:highlight w:val="none"/>
        </w:rPr>
        <w:t>1.1词语定义</w:t>
      </w:r>
      <w:bookmarkEnd w:id="661"/>
      <w:bookmarkEnd w:id="662"/>
      <w:bookmarkEnd w:id="663"/>
      <w:r>
        <w:rPr>
          <w:rFonts w:hint="eastAsia" w:ascii="宋体" w:hAnsi="宋体" w:eastAsia="宋体" w:cs="宋体"/>
          <w:b w:val="0"/>
          <w:color w:val="auto"/>
          <w:sz w:val="21"/>
          <w:szCs w:val="21"/>
          <w:highlight w:val="none"/>
        </w:rPr>
        <w:t>与解释</w:t>
      </w:r>
      <w:bookmarkEnd w:id="664"/>
      <w:bookmarkEnd w:id="66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合同协议书、通用合同条款、专用合同条款中的下列词语具有本款所赋予的含义：</w:t>
      </w:r>
    </w:p>
    <w:p>
      <w:pPr>
        <w:autoSpaceDE w:val="0"/>
        <w:autoSpaceDN w:val="0"/>
        <w:adjustRightInd w:val="0"/>
        <w:spacing w:line="360" w:lineRule="auto"/>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666" w:name="_Toc18336"/>
      <w:r>
        <w:rPr>
          <w:rFonts w:hint="eastAsia" w:ascii="宋体" w:hAnsi="宋体" w:eastAsia="宋体" w:cs="宋体"/>
          <w:color w:val="auto"/>
          <w:kern w:val="0"/>
          <w:sz w:val="21"/>
          <w:szCs w:val="21"/>
          <w:highlight w:val="none"/>
        </w:rPr>
        <w:t>1.1.1 合同</w:t>
      </w:r>
      <w:bookmarkEnd w:id="666"/>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、通用合同条款、技术标准和要求、图纸、已标价工程量清单或预算书以及其他合同文件。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合同协议书：是指构成合同的由发包人和承包人共同签署的称为“合同协议书”的书面文件。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中标通知书：是指构成合同的由发包人通知承包人中标的书面文件。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投标函：是指构成合同的由承包人填写并签署的用于投标的称为“投标函”的文件。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 投标函附录：是指构成合同的附在投标函后的称为“投标函附录”的文件。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1.1.1.9 预算书：是指构成合同的由承包人按照发包人规定的格式和要求编制的工程预算文件。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667" w:name="_Toc32244"/>
      <w:r>
        <w:rPr>
          <w:rFonts w:hint="eastAsia" w:ascii="宋体" w:hAnsi="宋体" w:eastAsia="宋体" w:cs="宋体"/>
          <w:color w:val="auto"/>
          <w:kern w:val="0"/>
          <w:sz w:val="21"/>
          <w:szCs w:val="21"/>
          <w:highlight w:val="none"/>
        </w:rPr>
        <w:t>1.1.2 合同当事人及其他相关方</w:t>
      </w:r>
      <w:bookmarkEnd w:id="66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1.1.2.1 合同当事人：是指发包人和（或）承包人。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1.1.2.2 发包人：是指与承包人签订合同协议书的当事人及取得该当事人资格的合法继承人。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设计人：是指在专用合同条款中指明的，受发包人委托负责工程设计并具备相应工程设计资质的法人或其他组织。</w:t>
      </w:r>
    </w:p>
    <w:p>
      <w:pPr>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1.1.2.6 分包人：</w:t>
      </w:r>
      <w:bookmarkStart w:id="668" w:name="#go5"/>
      <w:bookmarkEnd w:id="668"/>
      <w:r>
        <w:rPr>
          <w:rFonts w:hint="eastAsia" w:ascii="宋体" w:hAnsi="宋体" w:eastAsia="宋体" w:cs="宋体"/>
          <w:color w:val="auto"/>
          <w:kern w:val="0"/>
          <w:sz w:val="21"/>
          <w:szCs w:val="21"/>
          <w:highlight w:val="none"/>
        </w:rPr>
        <w:t>是指按照法律规定和合同约定，分包部分工程或工作，并与承包人签订分包合同的具有相应资质的法人。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1.1.2.7 发包人代表：是指由发包人任命并派驻施工现场在发包人授权范围内行使发包人权利的人。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1.1.2.9 总监理工程师：是指由监理人任命并派驻施工现场进行工程监理的总负责人。</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69" w:name="_Toc26958"/>
      <w:r>
        <w:rPr>
          <w:rFonts w:hint="eastAsia" w:ascii="宋体" w:hAnsi="宋体" w:eastAsia="宋体" w:cs="宋体"/>
          <w:color w:val="auto"/>
          <w:kern w:val="0"/>
          <w:sz w:val="21"/>
          <w:szCs w:val="21"/>
          <w:highlight w:val="none"/>
        </w:rPr>
        <w:t>1.1.3 工程和设备</w:t>
      </w:r>
      <w:bookmarkEnd w:id="66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工程：是指与合同协议书中工程承包范围对应的永久工程和（或）临时工程。</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永久工程：是指按合同约定建造并移交给发包人的工程，包括工程设备。</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临时工程：是指为完成合同约定的永久工程所修建的各类临时性工程，不包括施工设备。</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1.1.3.4 单位工程：是指在合同协议书中指明的，具备独立施工条件并能形成独立使用功能的永久工程。</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1.1.3.5 工程设备：是指构成永久工程的机电设备、金属结构设备、仪器及其他类似的设备和装置。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1.1.3.6 施工设备：是指为完成合同约定的各项工作所需的设备、器具和其他物品，但不包括工程设备、临时工程和材料。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1.1.3.8临时设施：是指为完成合同约定的各项工作所服务的临时性生产和生活设施。</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永久占地：是指专用合同条款中指明为实施工程需永久占用的土地。</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临时占地：是指专用合同条款中指明为实施工程需要临时占用的土地。</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70" w:name="_Toc23539"/>
      <w:r>
        <w:rPr>
          <w:rFonts w:hint="eastAsia" w:ascii="宋体" w:hAnsi="宋体" w:eastAsia="宋体" w:cs="宋体"/>
          <w:color w:val="auto"/>
          <w:kern w:val="0"/>
          <w:sz w:val="21"/>
          <w:szCs w:val="21"/>
          <w:highlight w:val="none"/>
        </w:rPr>
        <w:t>1.1.4 日期和期限</w:t>
      </w:r>
      <w:bookmarkEnd w:id="67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6" w:firstLineChars="203"/>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1.1.4.3 工期：是指在合同协议书约定的承包人完成工程所需的期限，包括按照合同约定所作的期限变更。</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1.1.4.4 缺陷责任期：是指承包人按照合同约定承担缺陷修复义务，且发包人预留质量保证金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已缴纳履约保证金的除外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的期限，自工程实际竣工日期起计算。</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1.1.4.5 保修期：是指承包人按照合同约定对工程承担保修责任的期限，从工程竣工验收合格之日起计算。</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1.1.4.7 天：除特别指明外，均指日历天。合同中按天计算时间的，开始当天不计入，从次日开始计算，期限最后一天的截止时间为当天24:00时。</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71" w:name="_Toc1754"/>
      <w:r>
        <w:rPr>
          <w:rFonts w:hint="eastAsia" w:ascii="宋体" w:hAnsi="宋体" w:eastAsia="宋体" w:cs="宋体"/>
          <w:color w:val="auto"/>
          <w:kern w:val="0"/>
          <w:sz w:val="21"/>
          <w:szCs w:val="21"/>
          <w:highlight w:val="none"/>
        </w:rPr>
        <w:t>1.1.5 合同价格和费用</w:t>
      </w:r>
      <w:bookmarkEnd w:id="67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1.1.5.1 签约合同价：是指</w:t>
      </w:r>
      <w:r>
        <w:rPr>
          <w:rFonts w:hint="eastAsia" w:ascii="宋体" w:hAnsi="宋体" w:eastAsia="宋体" w:cs="宋体"/>
          <w:color w:val="auto"/>
          <w:sz w:val="21"/>
          <w:szCs w:val="21"/>
          <w:highlight w:val="none"/>
        </w:rPr>
        <w:t>发包人和承包人在合同协议书中确定的总金额，包括安全文明施工费、暂估价及暂列金额等。</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1.1.5.3 费用：是指为履行合同所发生的或将要发生的所有必需的开支，包括管理费和应分摊的其他费用，但不包括利润。</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1.1.5.7 质量保证金</w:t>
      </w:r>
      <w:bookmarkStart w:id="672" w:name="#go2"/>
      <w:bookmarkEnd w:id="672"/>
      <w:r>
        <w:rPr>
          <w:rFonts w:hint="eastAsia" w:ascii="宋体" w:hAnsi="宋体" w:eastAsia="宋体" w:cs="宋体"/>
          <w:color w:val="auto"/>
          <w:kern w:val="0"/>
          <w:sz w:val="21"/>
          <w:szCs w:val="21"/>
          <w:highlight w:val="none"/>
        </w:rPr>
        <w:t>：是指按照第15.3款〔质量保证金〕约定承包人用于保证其在缺陷责任期内履行缺陷修补义务的担保</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673" w:name="_Toc23251"/>
      <w:r>
        <w:rPr>
          <w:rFonts w:hint="eastAsia" w:ascii="宋体" w:hAnsi="宋体" w:eastAsia="宋体" w:cs="宋体"/>
          <w:color w:val="auto"/>
          <w:sz w:val="21"/>
          <w:szCs w:val="21"/>
          <w:highlight w:val="none"/>
        </w:rPr>
        <w:t>1.1.6 其他</w:t>
      </w:r>
      <w:bookmarkEnd w:id="67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1.1.6.1 书面形式：是指合同文件、信函、电报、传真等可以有形地表现所载内容的形式。</w:t>
      </w:r>
    </w:p>
    <w:p>
      <w:pPr>
        <w:pStyle w:val="7"/>
        <w:spacing w:before="120" w:after="120" w:line="360" w:lineRule="auto"/>
        <w:outlineLvl w:val="1"/>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674" w:name="_Toc351203497"/>
      <w:bookmarkStart w:id="675" w:name="_Toc296503029"/>
      <w:bookmarkStart w:id="676" w:name="_Toc2377"/>
      <w:bookmarkStart w:id="677" w:name="_Toc337558729"/>
      <w:bookmarkStart w:id="678" w:name="_Toc296346530"/>
      <w:r>
        <w:rPr>
          <w:rFonts w:hint="eastAsia" w:ascii="宋体" w:hAnsi="宋体" w:eastAsia="宋体" w:cs="宋体"/>
          <w:b w:val="0"/>
          <w:color w:val="auto"/>
          <w:sz w:val="21"/>
          <w:szCs w:val="21"/>
          <w:highlight w:val="none"/>
        </w:rPr>
        <w:t>1.2语言文字</w:t>
      </w:r>
      <w:bookmarkEnd w:id="674"/>
      <w:bookmarkEnd w:id="675"/>
      <w:bookmarkEnd w:id="676"/>
      <w:bookmarkEnd w:id="677"/>
      <w:bookmarkEnd w:id="67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合同以中国的汉语简体文字编写、解释和说明。合同当事人在专用合同条款中约定使用两种以上语言时，汉语为优先解释和说明合同的语言。</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679" w:name="_Toc296503030"/>
      <w:bookmarkStart w:id="680" w:name="_Toc296346531"/>
      <w:bookmarkStart w:id="681" w:name="_Toc17779"/>
      <w:bookmarkStart w:id="682" w:name="_Toc337558730"/>
      <w:bookmarkStart w:id="683" w:name="_Toc351203498"/>
      <w:r>
        <w:rPr>
          <w:rFonts w:hint="eastAsia" w:ascii="宋体" w:hAnsi="宋体" w:eastAsia="宋体" w:cs="宋体"/>
          <w:b w:val="0"/>
          <w:color w:val="auto"/>
          <w:sz w:val="21"/>
          <w:szCs w:val="21"/>
          <w:highlight w:val="none"/>
        </w:rPr>
        <w:t>1.3法律</w:t>
      </w:r>
      <w:bookmarkEnd w:id="679"/>
      <w:bookmarkEnd w:id="680"/>
      <w:bookmarkEnd w:id="681"/>
      <w:bookmarkEnd w:id="682"/>
      <w:bookmarkEnd w:id="68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合同当事人可以在专用合同条款中约定合同适用的其他规范性文件。</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684" w:name="_Toc351203499"/>
      <w:bookmarkStart w:id="685" w:name="_Toc9799"/>
      <w:r>
        <w:rPr>
          <w:rFonts w:hint="eastAsia" w:ascii="宋体" w:hAnsi="宋体" w:eastAsia="宋体" w:cs="宋体"/>
          <w:b w:val="0"/>
          <w:color w:val="auto"/>
          <w:sz w:val="21"/>
          <w:szCs w:val="21"/>
          <w:highlight w:val="none"/>
        </w:rPr>
        <w:t>1.4 标准和规范</w:t>
      </w:r>
      <w:bookmarkEnd w:id="684"/>
      <w:bookmarkEnd w:id="685"/>
    </w:p>
    <w:p>
      <w:pPr>
        <w:autoSpaceDE w:val="0"/>
        <w:autoSpaceDN w:val="0"/>
        <w:adjustRightInd w:val="0"/>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686" w:name="_Toc16390"/>
      <w:bookmarkStart w:id="687" w:name="_Toc351203500"/>
      <w:r>
        <w:rPr>
          <w:rFonts w:hint="eastAsia" w:ascii="宋体" w:hAnsi="宋体" w:eastAsia="宋体" w:cs="宋体"/>
          <w:b w:val="0"/>
          <w:color w:val="auto"/>
          <w:sz w:val="21"/>
          <w:szCs w:val="21"/>
          <w:highlight w:val="none"/>
        </w:rPr>
        <w:t>1</w:t>
      </w:r>
      <w:bookmarkStart w:id="688" w:name="_Toc296346532"/>
      <w:bookmarkStart w:id="689" w:name="_Toc337558731"/>
      <w:bookmarkStart w:id="690" w:name="_Toc296503031"/>
      <w:r>
        <w:rPr>
          <w:rFonts w:hint="eastAsia" w:ascii="宋体" w:hAnsi="宋体" w:eastAsia="宋体" w:cs="宋体"/>
          <w:b w:val="0"/>
          <w:color w:val="auto"/>
          <w:sz w:val="21"/>
          <w:szCs w:val="21"/>
          <w:highlight w:val="none"/>
        </w:rPr>
        <w:t>.5 合同文件的优先顺序</w:t>
      </w:r>
      <w:bookmarkEnd w:id="686"/>
      <w:bookmarkEnd w:id="687"/>
    </w:p>
    <w:bookmarkEnd w:id="688"/>
    <w:bookmarkEnd w:id="689"/>
    <w:bookmarkEnd w:id="69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（9）其他合同文件。</w:t>
      </w:r>
    </w:p>
    <w:p>
      <w:pPr>
        <w:spacing w:line="360" w:lineRule="auto"/>
        <w:ind w:firstLine="447" w:firstLineChars="2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pPr>
        <w:spacing w:line="360" w:lineRule="auto"/>
        <w:ind w:firstLine="447" w:firstLineChars="2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在合同订立及履行过程中形成的与合同有关的文件均构成合同文件组成部分，并根据其性质确定优先解释顺序。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691" w:name="_Toc351203501"/>
      <w:bookmarkStart w:id="692" w:name="_Toc2436"/>
      <w:r>
        <w:rPr>
          <w:rFonts w:hint="eastAsia" w:ascii="宋体" w:hAnsi="宋体" w:eastAsia="宋体" w:cs="宋体"/>
          <w:b w:val="0"/>
          <w:color w:val="auto"/>
          <w:sz w:val="21"/>
          <w:szCs w:val="21"/>
          <w:highlight w:val="none"/>
        </w:rPr>
        <w:t>1</w:t>
      </w:r>
      <w:bookmarkStart w:id="693" w:name="_Toc296503032"/>
      <w:bookmarkStart w:id="694" w:name="_Toc296346533"/>
      <w:bookmarkStart w:id="695" w:name="_Toc337558732"/>
      <w:r>
        <w:rPr>
          <w:rFonts w:hint="eastAsia" w:ascii="宋体" w:hAnsi="宋体" w:eastAsia="宋体" w:cs="宋体"/>
          <w:b w:val="0"/>
          <w:color w:val="auto"/>
          <w:sz w:val="21"/>
          <w:szCs w:val="21"/>
          <w:highlight w:val="none"/>
        </w:rPr>
        <w:t>.6图纸和承包人文件</w:t>
      </w:r>
      <w:bookmarkEnd w:id="691"/>
      <w:bookmarkEnd w:id="692"/>
    </w:p>
    <w:bookmarkEnd w:id="693"/>
    <w:bookmarkEnd w:id="694"/>
    <w:bookmarkEnd w:id="695"/>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96" w:name="_Toc18055"/>
      <w:r>
        <w:rPr>
          <w:rFonts w:hint="eastAsia" w:ascii="宋体" w:hAnsi="宋体" w:eastAsia="宋体" w:cs="宋体"/>
          <w:color w:val="auto"/>
          <w:kern w:val="0"/>
          <w:sz w:val="21"/>
          <w:szCs w:val="21"/>
          <w:highlight w:val="none"/>
        </w:rPr>
        <w:t>1.6.1 图纸的提供和交底</w:t>
      </w:r>
      <w:bookmarkEnd w:id="696"/>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因发包人未按合同约定提供图纸导致承包人费用增加和（或）工期延误的，按照第7.5.1项〔因发包人原因导致工期延误〕约定办理。</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97" w:name="_Toc27126"/>
      <w:r>
        <w:rPr>
          <w:rFonts w:hint="eastAsia" w:ascii="宋体" w:hAnsi="宋体" w:eastAsia="宋体" w:cs="宋体"/>
          <w:color w:val="auto"/>
          <w:kern w:val="0"/>
          <w:sz w:val="21"/>
          <w:szCs w:val="21"/>
          <w:highlight w:val="none"/>
        </w:rPr>
        <w:t>1.6.2 图纸的错误</w:t>
      </w:r>
      <w:bookmarkEnd w:id="697"/>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98" w:name="_Toc15214"/>
      <w:r>
        <w:rPr>
          <w:rFonts w:hint="eastAsia" w:ascii="宋体" w:hAnsi="宋体" w:eastAsia="宋体" w:cs="宋体"/>
          <w:color w:val="auto"/>
          <w:kern w:val="0"/>
          <w:sz w:val="21"/>
          <w:szCs w:val="21"/>
          <w:highlight w:val="none"/>
        </w:rPr>
        <w:t>1.6.3 图纸的修改和补充</w:t>
      </w:r>
      <w:bookmarkEnd w:id="698"/>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699" w:name="_Toc29225"/>
      <w:r>
        <w:rPr>
          <w:rFonts w:hint="eastAsia" w:ascii="宋体" w:hAnsi="宋体" w:eastAsia="宋体" w:cs="宋体"/>
          <w:color w:val="auto"/>
          <w:kern w:val="0"/>
          <w:sz w:val="21"/>
          <w:szCs w:val="21"/>
          <w:highlight w:val="none"/>
        </w:rPr>
        <w:t>1.6.4 承包人文件</w:t>
      </w:r>
      <w:bookmarkEnd w:id="69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00" w:name="_Toc28997"/>
      <w:r>
        <w:rPr>
          <w:rFonts w:hint="eastAsia" w:ascii="宋体" w:hAnsi="宋体" w:eastAsia="宋体" w:cs="宋体"/>
          <w:color w:val="auto"/>
          <w:kern w:val="0"/>
          <w:sz w:val="21"/>
          <w:szCs w:val="21"/>
          <w:highlight w:val="none"/>
        </w:rPr>
        <w:t>1.6.5 图纸和承包人文件的保管</w:t>
      </w:r>
      <w:bookmarkEnd w:id="70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除专用合同条款另有约定外，承包人应在施工现场另外保存一套完整的图纸和承包人文件，供发包人、监理人及有关人员进行工程检查时使用。</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01" w:name="_Toc23549"/>
      <w:bookmarkStart w:id="702" w:name="_Toc351203502"/>
      <w:r>
        <w:rPr>
          <w:rFonts w:hint="eastAsia" w:ascii="宋体" w:hAnsi="宋体" w:eastAsia="宋体" w:cs="宋体"/>
          <w:b w:val="0"/>
          <w:color w:val="auto"/>
          <w:sz w:val="21"/>
          <w:szCs w:val="21"/>
          <w:highlight w:val="none"/>
        </w:rPr>
        <w:t>1</w:t>
      </w:r>
      <w:bookmarkStart w:id="703" w:name="_Toc337558733"/>
      <w:bookmarkStart w:id="704" w:name="_Toc296503033"/>
      <w:bookmarkStart w:id="705" w:name="_Toc296346534"/>
      <w:r>
        <w:rPr>
          <w:rFonts w:hint="eastAsia" w:ascii="宋体" w:hAnsi="宋体" w:eastAsia="宋体" w:cs="宋体"/>
          <w:b w:val="0"/>
          <w:color w:val="auto"/>
          <w:sz w:val="21"/>
          <w:szCs w:val="21"/>
          <w:highlight w:val="none"/>
        </w:rPr>
        <w:t>.7联络</w:t>
      </w:r>
      <w:bookmarkEnd w:id="701"/>
      <w:bookmarkEnd w:id="702"/>
    </w:p>
    <w:bookmarkEnd w:id="703"/>
    <w:bookmarkEnd w:id="704"/>
    <w:bookmarkEnd w:id="70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 发包人和承包人应当及时签收另一方送达至送达地点和指定接收人的来往信函。拒不签收的，由此增加的费用和（或）延误的工期由拒绝接收一方承担。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06" w:name="_Toc351203503"/>
      <w:bookmarkStart w:id="707" w:name="_Toc11742"/>
      <w:r>
        <w:rPr>
          <w:rFonts w:hint="eastAsia" w:ascii="宋体" w:hAnsi="宋体" w:eastAsia="宋体" w:cs="宋体"/>
          <w:b w:val="0"/>
          <w:color w:val="auto"/>
          <w:sz w:val="21"/>
          <w:szCs w:val="21"/>
          <w:highlight w:val="none"/>
        </w:rPr>
        <w:t>1</w:t>
      </w:r>
      <w:bookmarkStart w:id="708" w:name="_Toc296346536"/>
      <w:bookmarkStart w:id="709" w:name="_Toc296503035"/>
      <w:bookmarkStart w:id="710" w:name="_Toc337558734"/>
      <w:r>
        <w:rPr>
          <w:rFonts w:hint="eastAsia" w:ascii="宋体" w:hAnsi="宋体" w:eastAsia="宋体" w:cs="宋体"/>
          <w:b w:val="0"/>
          <w:color w:val="auto"/>
          <w:sz w:val="21"/>
          <w:szCs w:val="21"/>
          <w:highlight w:val="none"/>
        </w:rPr>
        <w:t>.8严禁贿赂</w:t>
      </w:r>
      <w:bookmarkEnd w:id="706"/>
      <w:bookmarkEnd w:id="707"/>
    </w:p>
    <w:bookmarkEnd w:id="708"/>
    <w:bookmarkEnd w:id="709"/>
    <w:bookmarkEnd w:id="71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11" w:name="_Toc25487"/>
      <w:bookmarkStart w:id="712" w:name="_Toc351203504"/>
      <w:r>
        <w:rPr>
          <w:rFonts w:hint="eastAsia" w:ascii="宋体" w:hAnsi="宋体" w:eastAsia="宋体" w:cs="宋体"/>
          <w:b w:val="0"/>
          <w:color w:val="auto"/>
          <w:sz w:val="21"/>
          <w:szCs w:val="21"/>
          <w:highlight w:val="none"/>
        </w:rPr>
        <w:t>1</w:t>
      </w:r>
      <w:bookmarkStart w:id="713" w:name="_Toc337558735"/>
      <w:bookmarkStart w:id="714" w:name="_Toc296503036"/>
      <w:bookmarkStart w:id="715" w:name="_Toc296346537"/>
      <w:r>
        <w:rPr>
          <w:rFonts w:hint="eastAsia" w:ascii="宋体" w:hAnsi="宋体" w:eastAsia="宋体" w:cs="宋体"/>
          <w:b w:val="0"/>
          <w:color w:val="auto"/>
          <w:sz w:val="21"/>
          <w:szCs w:val="21"/>
          <w:highlight w:val="none"/>
        </w:rPr>
        <w:t>.9化石、文物</w:t>
      </w:r>
      <w:bookmarkEnd w:id="711"/>
      <w:bookmarkEnd w:id="712"/>
    </w:p>
    <w:bookmarkEnd w:id="713"/>
    <w:bookmarkEnd w:id="714"/>
    <w:bookmarkEnd w:id="71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承包人发现文物后不及时报告或隐瞒不报，致使文物丢失或损坏的，应赔偿损失，并承担相应的法律责任。</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16" w:name="_Toc23601"/>
      <w:bookmarkStart w:id="717" w:name="_Toc351203505"/>
      <w:r>
        <w:rPr>
          <w:rFonts w:hint="eastAsia" w:ascii="宋体" w:hAnsi="宋体" w:eastAsia="宋体" w:cs="宋体"/>
          <w:b w:val="0"/>
          <w:color w:val="auto"/>
          <w:sz w:val="21"/>
          <w:szCs w:val="21"/>
          <w:highlight w:val="none"/>
        </w:rPr>
        <w:t>1</w:t>
      </w:r>
      <w:bookmarkStart w:id="718" w:name="_Toc337558736"/>
      <w:r>
        <w:rPr>
          <w:rFonts w:hint="eastAsia" w:ascii="宋体" w:hAnsi="宋体" w:eastAsia="宋体" w:cs="宋体"/>
          <w:b w:val="0"/>
          <w:color w:val="auto"/>
          <w:sz w:val="21"/>
          <w:szCs w:val="21"/>
          <w:highlight w:val="none"/>
        </w:rPr>
        <w:t>.10交通运输</w:t>
      </w:r>
      <w:bookmarkEnd w:id="716"/>
      <w:bookmarkEnd w:id="717"/>
    </w:p>
    <w:bookmarkEnd w:id="718"/>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19" w:name="_Toc4633"/>
      <w:r>
        <w:rPr>
          <w:rFonts w:hint="eastAsia" w:ascii="宋体" w:hAnsi="宋体" w:eastAsia="宋体" w:cs="宋体"/>
          <w:color w:val="auto"/>
          <w:kern w:val="0"/>
          <w:sz w:val="21"/>
          <w:szCs w:val="21"/>
          <w:highlight w:val="none"/>
        </w:rPr>
        <w:t>1.10.1 出入现场的权利</w:t>
      </w:r>
      <w:bookmarkEnd w:id="71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20" w:name="_Toc2604"/>
      <w:r>
        <w:rPr>
          <w:rFonts w:hint="eastAsia" w:ascii="宋体" w:hAnsi="宋体" w:eastAsia="宋体" w:cs="宋体"/>
          <w:color w:val="auto"/>
          <w:kern w:val="0"/>
          <w:sz w:val="21"/>
          <w:szCs w:val="21"/>
          <w:highlight w:val="none"/>
        </w:rPr>
        <w:t>1.10.2 场外交通</w:t>
      </w:r>
      <w:bookmarkEnd w:id="72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21" w:name="_Toc10500"/>
      <w:r>
        <w:rPr>
          <w:rFonts w:hint="eastAsia" w:ascii="宋体" w:hAnsi="宋体" w:eastAsia="宋体" w:cs="宋体"/>
          <w:color w:val="auto"/>
          <w:kern w:val="0"/>
          <w:sz w:val="21"/>
          <w:szCs w:val="21"/>
          <w:highlight w:val="none"/>
        </w:rPr>
        <w:t>1.10.3场内交通</w:t>
      </w:r>
      <w:bookmarkEnd w:id="721"/>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场外交通和场内交通的边界由合同当事人在专用合同条款中约定。</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22" w:name="_Toc31224"/>
      <w:r>
        <w:rPr>
          <w:rFonts w:hint="eastAsia" w:ascii="宋体" w:hAnsi="宋体" w:eastAsia="宋体" w:cs="宋体"/>
          <w:color w:val="auto"/>
          <w:kern w:val="0"/>
          <w:sz w:val="21"/>
          <w:szCs w:val="21"/>
          <w:highlight w:val="none"/>
        </w:rPr>
        <w:t>1.10.4 超大件和超重件的运输</w:t>
      </w:r>
      <w:bookmarkEnd w:id="72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23" w:name="_Toc30356"/>
      <w:r>
        <w:rPr>
          <w:rFonts w:hint="eastAsia" w:ascii="宋体" w:hAnsi="宋体" w:eastAsia="宋体" w:cs="宋体"/>
          <w:color w:val="auto"/>
          <w:kern w:val="0"/>
          <w:sz w:val="21"/>
          <w:szCs w:val="21"/>
          <w:highlight w:val="none"/>
        </w:rPr>
        <w:t>1.10.5 道路和桥梁的损坏责任</w:t>
      </w:r>
      <w:bookmarkEnd w:id="72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因承包人运输造成施工场地内外公共道路和桥梁损坏的，由承包人承担修复损坏的全部费用和可能引起的赔偿。</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24" w:name="_Toc2695"/>
      <w:r>
        <w:rPr>
          <w:rFonts w:hint="eastAsia" w:ascii="宋体" w:hAnsi="宋体" w:eastAsia="宋体" w:cs="宋体"/>
          <w:color w:val="auto"/>
          <w:kern w:val="0"/>
          <w:sz w:val="21"/>
          <w:szCs w:val="21"/>
          <w:highlight w:val="none"/>
        </w:rPr>
        <w:t>1.10.6 水路和航空运输</w:t>
      </w:r>
      <w:bookmarkEnd w:id="724"/>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25" w:name="_Toc26826"/>
      <w:bookmarkStart w:id="726" w:name="_Toc351203506"/>
      <w:r>
        <w:rPr>
          <w:rFonts w:hint="eastAsia" w:ascii="宋体" w:hAnsi="宋体" w:eastAsia="宋体" w:cs="宋体"/>
          <w:b w:val="0"/>
          <w:color w:val="auto"/>
          <w:sz w:val="21"/>
          <w:szCs w:val="21"/>
          <w:highlight w:val="none"/>
        </w:rPr>
        <w:t>1</w:t>
      </w:r>
      <w:bookmarkStart w:id="727" w:name="_Toc337558737"/>
      <w:bookmarkStart w:id="728" w:name="_Toc296503037"/>
      <w:bookmarkStart w:id="729" w:name="_Toc296346538"/>
      <w:r>
        <w:rPr>
          <w:rFonts w:hint="eastAsia" w:ascii="宋体" w:hAnsi="宋体" w:eastAsia="宋体" w:cs="宋体"/>
          <w:b w:val="0"/>
          <w:color w:val="auto"/>
          <w:sz w:val="21"/>
          <w:szCs w:val="21"/>
          <w:highlight w:val="none"/>
        </w:rPr>
        <w:t>.11知识产权</w:t>
      </w:r>
      <w:bookmarkEnd w:id="725"/>
      <w:bookmarkEnd w:id="726"/>
      <w:r>
        <w:rPr>
          <w:rFonts w:hint="eastAsia" w:ascii="宋体" w:hAnsi="宋体" w:eastAsia="宋体" w:cs="宋体"/>
          <w:b w:val="0"/>
          <w:color w:val="auto"/>
          <w:sz w:val="21"/>
          <w:szCs w:val="21"/>
          <w:highlight w:val="none"/>
        </w:rPr>
        <w:t xml:space="preserve"> </w:t>
      </w:r>
      <w:bookmarkEnd w:id="727"/>
    </w:p>
    <w:bookmarkEnd w:id="728"/>
    <w:bookmarkEnd w:id="72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1.11.4 除专用合同条款另有约定外，承包人在合同签订前和签订时已确定采用的专利、专有技术、技术秘密的使用费已包含在签约合同价中。</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30" w:name="_Toc351203507"/>
      <w:bookmarkStart w:id="731" w:name="_Toc6497"/>
      <w:r>
        <w:rPr>
          <w:rFonts w:hint="eastAsia" w:ascii="宋体" w:hAnsi="宋体" w:eastAsia="宋体" w:cs="宋体"/>
          <w:b w:val="0"/>
          <w:color w:val="auto"/>
          <w:sz w:val="21"/>
          <w:szCs w:val="21"/>
          <w:highlight w:val="none"/>
        </w:rPr>
        <w:t>1</w:t>
      </w:r>
      <w:bookmarkStart w:id="732" w:name="_Toc337558738"/>
      <w:r>
        <w:rPr>
          <w:rFonts w:hint="eastAsia" w:ascii="宋体" w:hAnsi="宋体" w:eastAsia="宋体" w:cs="宋体"/>
          <w:b w:val="0"/>
          <w:color w:val="auto"/>
          <w:sz w:val="21"/>
          <w:szCs w:val="21"/>
          <w:highlight w:val="none"/>
        </w:rPr>
        <w:t>.12保密</w:t>
      </w:r>
      <w:bookmarkEnd w:id="730"/>
      <w:bookmarkEnd w:id="731"/>
    </w:p>
    <w:bookmarkEnd w:id="73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除法律规定或合同另有约定外，未经承包人同意，发包人不得将承包人提供的技术秘密及声明需要保密的资料信息等商业秘密泄露给第三方。</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33" w:name="_Toc351203508"/>
      <w:bookmarkStart w:id="734" w:name="_Toc6252"/>
      <w:r>
        <w:rPr>
          <w:rFonts w:hint="eastAsia" w:ascii="宋体" w:hAnsi="宋体" w:eastAsia="宋体" w:cs="宋体"/>
          <w:b w:val="0"/>
          <w:color w:val="auto"/>
          <w:sz w:val="21"/>
          <w:szCs w:val="21"/>
          <w:highlight w:val="none"/>
        </w:rPr>
        <w:t>1.13工程量清单错误的修正</w:t>
      </w:r>
      <w:bookmarkEnd w:id="733"/>
      <w:bookmarkEnd w:id="734"/>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（1）工程量清单存在缺项、漏项的；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（2）工程量清单偏差超出专用合同条款约定的工程量偏差范围的；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（3）未按照国家现行计量规范强制性规定计量的。</w:t>
      </w:r>
    </w:p>
    <w:p>
      <w:pPr>
        <w:pStyle w:val="6"/>
        <w:spacing w:before="120" w:after="120" w:line="360" w:lineRule="auto"/>
        <w:outlineLvl w:val="0"/>
        <w:rPr>
          <w:rFonts w:hint="eastAsia" w:ascii="宋体" w:hAnsi="宋体" w:eastAsia="宋体" w:cs="宋体"/>
          <w:b w:val="0"/>
          <w:color w:val="auto"/>
          <w:sz w:val="21"/>
          <w:szCs w:val="21"/>
          <w:highlight w:val="none"/>
        </w:rPr>
      </w:pPr>
      <w:bookmarkStart w:id="735" w:name="_Toc20490"/>
      <w:bookmarkStart w:id="736" w:name="_Toc351203509"/>
      <w:r>
        <w:rPr>
          <w:rFonts w:hint="eastAsia" w:ascii="宋体" w:hAnsi="宋体" w:eastAsia="宋体" w:cs="宋体"/>
          <w:b w:val="0"/>
          <w:color w:val="auto"/>
          <w:sz w:val="21"/>
          <w:szCs w:val="21"/>
          <w:highlight w:val="none"/>
        </w:rPr>
        <w:t>2</w:t>
      </w:r>
      <w:bookmarkStart w:id="737" w:name="_Toc296346539"/>
      <w:bookmarkStart w:id="738" w:name="_Toc337558739"/>
      <w:bookmarkStart w:id="739" w:name="_Toc296503038"/>
      <w:bookmarkStart w:id="740" w:name="OLE_LINK2"/>
      <w:r>
        <w:rPr>
          <w:rFonts w:hint="eastAsia" w:ascii="宋体" w:hAnsi="宋体" w:eastAsia="宋体" w:cs="宋体"/>
          <w:b w:val="0"/>
          <w:color w:val="auto"/>
          <w:sz w:val="21"/>
          <w:szCs w:val="21"/>
          <w:highlight w:val="none"/>
        </w:rPr>
        <w:t>. 发包人</w:t>
      </w:r>
      <w:bookmarkEnd w:id="735"/>
      <w:bookmarkEnd w:id="736"/>
    </w:p>
    <w:bookmarkEnd w:id="737"/>
    <w:bookmarkEnd w:id="738"/>
    <w:bookmarkEnd w:id="739"/>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41" w:name="_Toc5471"/>
      <w:bookmarkStart w:id="742" w:name="_Toc351203510"/>
      <w:r>
        <w:rPr>
          <w:rFonts w:hint="eastAsia" w:ascii="宋体" w:hAnsi="宋体" w:eastAsia="宋体" w:cs="宋体"/>
          <w:b w:val="0"/>
          <w:color w:val="auto"/>
          <w:sz w:val="21"/>
          <w:szCs w:val="21"/>
          <w:highlight w:val="none"/>
        </w:rPr>
        <w:t>2</w:t>
      </w:r>
      <w:bookmarkStart w:id="743" w:name="_Toc296346540"/>
      <w:bookmarkStart w:id="744" w:name="_Toc296503039"/>
      <w:bookmarkStart w:id="745" w:name="_Toc337558740"/>
      <w:r>
        <w:rPr>
          <w:rFonts w:hint="eastAsia" w:ascii="宋体" w:hAnsi="宋体" w:eastAsia="宋体" w:cs="宋体"/>
          <w:b w:val="0"/>
          <w:color w:val="auto"/>
          <w:sz w:val="21"/>
          <w:szCs w:val="21"/>
          <w:highlight w:val="none"/>
        </w:rPr>
        <w:t>.1 许可或批准</w:t>
      </w:r>
      <w:bookmarkEnd w:id="741"/>
      <w:bookmarkEnd w:id="74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因发包人原因未能及时办理完毕前述许可、批准或备案，由发包人承担由此增加的费用和（或）延误的工期，并支付承包人合理的利润。</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46" w:name="_Toc8576"/>
      <w:bookmarkStart w:id="747" w:name="_Toc351203511"/>
      <w:r>
        <w:rPr>
          <w:rFonts w:hint="eastAsia" w:ascii="宋体" w:hAnsi="宋体" w:eastAsia="宋体" w:cs="宋体"/>
          <w:b w:val="0"/>
          <w:color w:val="auto"/>
          <w:sz w:val="21"/>
          <w:szCs w:val="21"/>
          <w:highlight w:val="none"/>
        </w:rPr>
        <w:t>2.2 发包人代表</w:t>
      </w:r>
      <w:bookmarkEnd w:id="746"/>
      <w:bookmarkEnd w:id="74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发包人代表不能按照合同约定履行其职责及义务，并导致合同无法继续正常履行的，承包人可以要求发包人撤换发包人代表。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不属于法定必须监理的工程，监理人的职权可以由发包人代表或发包人指定的其他人员行使。</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48" w:name="_Toc351203512"/>
      <w:bookmarkStart w:id="749" w:name="_Toc18097"/>
      <w:r>
        <w:rPr>
          <w:rFonts w:hint="eastAsia" w:ascii="宋体" w:hAnsi="宋体" w:eastAsia="宋体" w:cs="宋体"/>
          <w:b w:val="0"/>
          <w:color w:val="auto"/>
          <w:sz w:val="21"/>
          <w:szCs w:val="21"/>
          <w:highlight w:val="none"/>
        </w:rPr>
        <w:t>2.3 发包人人员</w:t>
      </w:r>
      <w:bookmarkEnd w:id="748"/>
      <w:bookmarkEnd w:id="74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发包人人员包括发包人代表及其他由发包人派驻施工现场的人员。</w:t>
      </w:r>
      <w:bookmarkEnd w:id="743"/>
      <w:bookmarkEnd w:id="744"/>
      <w:bookmarkEnd w:id="745"/>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50" w:name="_Toc8338"/>
      <w:bookmarkStart w:id="751" w:name="_Toc351203513"/>
      <w:r>
        <w:rPr>
          <w:rFonts w:hint="eastAsia" w:ascii="宋体" w:hAnsi="宋体" w:eastAsia="宋体" w:cs="宋体"/>
          <w:b w:val="0"/>
          <w:color w:val="auto"/>
          <w:sz w:val="21"/>
          <w:szCs w:val="21"/>
          <w:highlight w:val="none"/>
        </w:rPr>
        <w:t>2</w:t>
      </w:r>
      <w:bookmarkStart w:id="752" w:name="_Toc337558741"/>
      <w:bookmarkStart w:id="753" w:name="_Toc296503040"/>
      <w:bookmarkStart w:id="754" w:name="_Toc296346541"/>
      <w:r>
        <w:rPr>
          <w:rFonts w:hint="eastAsia" w:ascii="宋体" w:hAnsi="宋体" w:eastAsia="宋体" w:cs="宋体"/>
          <w:b w:val="0"/>
          <w:color w:val="auto"/>
          <w:sz w:val="21"/>
          <w:szCs w:val="21"/>
          <w:highlight w:val="none"/>
        </w:rPr>
        <w:t>.4 施工现场、施工条件和基础资料的提供</w:t>
      </w:r>
      <w:bookmarkEnd w:id="750"/>
      <w:bookmarkEnd w:id="751"/>
      <w:r>
        <w:rPr>
          <w:rFonts w:hint="eastAsia" w:ascii="宋体" w:hAnsi="宋体" w:eastAsia="宋体" w:cs="宋体"/>
          <w:b w:val="0"/>
          <w:color w:val="auto"/>
          <w:sz w:val="21"/>
          <w:szCs w:val="21"/>
          <w:highlight w:val="none"/>
        </w:rPr>
        <w:t xml:space="preserve"> </w:t>
      </w:r>
      <w:bookmarkEnd w:id="752"/>
      <w:bookmarkEnd w:id="753"/>
      <w:bookmarkEnd w:id="754"/>
      <w:r>
        <w:rPr>
          <w:rFonts w:hint="eastAsia" w:ascii="宋体" w:hAnsi="宋体" w:eastAsia="宋体" w:cs="宋体"/>
          <w:b w:val="0"/>
          <w:color w:val="auto"/>
          <w:sz w:val="21"/>
          <w:szCs w:val="21"/>
          <w:highlight w:val="none"/>
        </w:rPr>
        <w:t xml:space="preserve"> </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55" w:name="_Toc1025"/>
      <w:r>
        <w:rPr>
          <w:rFonts w:hint="eastAsia" w:ascii="宋体" w:hAnsi="宋体" w:eastAsia="宋体" w:cs="宋体"/>
          <w:color w:val="auto"/>
          <w:kern w:val="0"/>
          <w:sz w:val="21"/>
          <w:szCs w:val="21"/>
          <w:highlight w:val="none"/>
        </w:rPr>
        <w:t>2.4.1 提供施工现场</w:t>
      </w:r>
      <w:bookmarkEnd w:id="75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w:t>
      </w:r>
      <w:bookmarkEnd w:id="740"/>
      <w:r>
        <w:rPr>
          <w:rFonts w:hint="eastAsia" w:ascii="宋体" w:hAnsi="宋体" w:eastAsia="宋体" w:cs="宋体"/>
          <w:color w:val="auto"/>
          <w:kern w:val="0"/>
          <w:sz w:val="21"/>
          <w:szCs w:val="21"/>
          <w:highlight w:val="none"/>
        </w:rPr>
        <w:t>专用合同条款另有约定外，发包人应最迟于开工日期7天前向承包人移交施工现场。</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56" w:name="_Toc24109"/>
      <w:r>
        <w:rPr>
          <w:rFonts w:hint="eastAsia" w:ascii="宋体" w:hAnsi="宋体" w:eastAsia="宋体" w:cs="宋体"/>
          <w:color w:val="auto"/>
          <w:kern w:val="0"/>
          <w:sz w:val="21"/>
          <w:szCs w:val="21"/>
          <w:highlight w:val="none"/>
        </w:rPr>
        <w:t>2.4.2 提供施工条件</w:t>
      </w:r>
      <w:bookmarkEnd w:id="756"/>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除专用合同条款另有约定外，发包人应负责提供施工所需要的条件，包括：</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（1）将施工用水、电力、通讯线路等施工所必需的条件接至施工现场内；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（2）保证向承包人提供正常施工所需要的进入施工现场的交通条件；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（3）协调处理施工现场周围地下管线和邻近建筑物、构筑物、古树名木的保护工作，并承担相关费用；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（4）按照专用合同条款约定应提供的其他设施和条件。</w:t>
      </w:r>
    </w:p>
    <w:p>
      <w:pPr>
        <w:autoSpaceDE w:val="0"/>
        <w:autoSpaceDN w:val="0"/>
        <w:adjustRightInd w:val="0"/>
        <w:spacing w:line="360" w:lineRule="auto"/>
        <w:ind w:firstLine="420" w:firstLineChars="200"/>
        <w:jc w:val="left"/>
        <w:outlineLvl w:val="2"/>
        <w:rPr>
          <w:rFonts w:hint="eastAsia" w:ascii="宋体" w:hAnsi="宋体" w:eastAsia="宋体" w:cs="宋体"/>
          <w:color w:val="auto"/>
          <w:sz w:val="21"/>
          <w:szCs w:val="21"/>
          <w:highlight w:val="none"/>
        </w:rPr>
      </w:pPr>
      <w:bookmarkStart w:id="757" w:name="_Toc31535"/>
      <w:r>
        <w:rPr>
          <w:rFonts w:hint="eastAsia" w:ascii="宋体" w:hAnsi="宋体" w:eastAsia="宋体" w:cs="宋体"/>
          <w:color w:val="auto"/>
          <w:kern w:val="0"/>
          <w:sz w:val="21"/>
          <w:szCs w:val="21"/>
          <w:highlight w:val="none"/>
        </w:rPr>
        <w:t>2.4.3 提供基础资料</w:t>
      </w:r>
      <w:bookmarkEnd w:id="75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758" w:name="_Toc14029"/>
      <w:r>
        <w:rPr>
          <w:rFonts w:hint="eastAsia" w:ascii="宋体" w:hAnsi="宋体" w:eastAsia="宋体" w:cs="宋体"/>
          <w:color w:val="auto"/>
          <w:kern w:val="0"/>
          <w:sz w:val="21"/>
          <w:szCs w:val="21"/>
          <w:highlight w:val="none"/>
        </w:rPr>
        <w:t>2.4.4 逾期提供的责任</w:t>
      </w:r>
      <w:bookmarkEnd w:id="758"/>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因发包人原因未能按合同约定及时向承包人提供施工现场、施工条件、基础资料的，由发包人承担由此增加的费用和（或）延误的工期。</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59" w:name="_Toc351203514"/>
      <w:bookmarkStart w:id="760" w:name="_Toc19570"/>
      <w:r>
        <w:rPr>
          <w:rFonts w:hint="eastAsia" w:ascii="宋体" w:hAnsi="宋体" w:eastAsia="宋体" w:cs="宋体"/>
          <w:b w:val="0"/>
          <w:color w:val="auto"/>
          <w:sz w:val="21"/>
          <w:szCs w:val="21"/>
          <w:highlight w:val="none"/>
        </w:rPr>
        <w:t>2</w:t>
      </w:r>
      <w:bookmarkStart w:id="761" w:name="_Toc296503042"/>
      <w:bookmarkStart w:id="762" w:name="_Toc296346543"/>
      <w:bookmarkStart w:id="763" w:name="_Toc337558745"/>
      <w:r>
        <w:rPr>
          <w:rFonts w:hint="eastAsia" w:ascii="宋体" w:hAnsi="宋体" w:eastAsia="宋体" w:cs="宋体"/>
          <w:b w:val="0"/>
          <w:color w:val="auto"/>
          <w:sz w:val="21"/>
          <w:szCs w:val="21"/>
          <w:highlight w:val="none"/>
        </w:rPr>
        <w:t>.5 资</w:t>
      </w:r>
      <w:bookmarkEnd w:id="761"/>
      <w:bookmarkEnd w:id="762"/>
      <w:bookmarkEnd w:id="763"/>
      <w:r>
        <w:rPr>
          <w:rFonts w:hint="eastAsia" w:ascii="宋体" w:hAnsi="宋体" w:eastAsia="宋体" w:cs="宋体"/>
          <w:b w:val="0"/>
          <w:color w:val="auto"/>
          <w:sz w:val="21"/>
          <w:szCs w:val="21"/>
          <w:highlight w:val="none"/>
        </w:rPr>
        <w:t>金来源证明及支付担保</w:t>
      </w:r>
      <w:bookmarkEnd w:id="759"/>
      <w:bookmarkEnd w:id="76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64" w:name="_Toc28852"/>
      <w:bookmarkStart w:id="765" w:name="_Toc351203515"/>
      <w:r>
        <w:rPr>
          <w:rFonts w:hint="eastAsia" w:ascii="宋体" w:hAnsi="宋体" w:eastAsia="宋体" w:cs="宋体"/>
          <w:b w:val="0"/>
          <w:color w:val="auto"/>
          <w:sz w:val="21"/>
          <w:szCs w:val="21"/>
          <w:highlight w:val="none"/>
        </w:rPr>
        <w:t>2.6 支付合同价款</w:t>
      </w:r>
      <w:bookmarkEnd w:id="764"/>
      <w:bookmarkEnd w:id="76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发包人应按合同约定向承包人及时支付合同价款。</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66" w:name="_Toc22605"/>
      <w:bookmarkStart w:id="767" w:name="_Toc351203516"/>
      <w:r>
        <w:rPr>
          <w:rFonts w:hint="eastAsia" w:ascii="宋体" w:hAnsi="宋体" w:eastAsia="宋体" w:cs="宋体"/>
          <w:b w:val="0"/>
          <w:color w:val="auto"/>
          <w:sz w:val="21"/>
          <w:szCs w:val="21"/>
          <w:highlight w:val="none"/>
        </w:rPr>
        <w:t>2.7 组织竣工验收</w:t>
      </w:r>
      <w:bookmarkEnd w:id="766"/>
      <w:bookmarkEnd w:id="76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发包人应按合同约定及时组织竣工验收。</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68" w:name="_Toc351203517"/>
      <w:bookmarkStart w:id="769" w:name="_Toc22676"/>
      <w:r>
        <w:rPr>
          <w:rFonts w:hint="eastAsia" w:ascii="宋体" w:hAnsi="宋体" w:eastAsia="宋体" w:cs="宋体"/>
          <w:b w:val="0"/>
          <w:color w:val="auto"/>
          <w:sz w:val="21"/>
          <w:szCs w:val="21"/>
          <w:highlight w:val="none"/>
        </w:rPr>
        <w:t>2.8 现场统一管理协议</w:t>
      </w:r>
      <w:bookmarkEnd w:id="768"/>
      <w:bookmarkEnd w:id="76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发包人应与承包人、由发包人直接发包的专业工程的承包人签订施工现场统一管理协议，明确各方的权利义务。施工现场统一管理协议作为专用合同条款的附件。</w:t>
      </w:r>
    </w:p>
    <w:p>
      <w:pPr>
        <w:pStyle w:val="6"/>
        <w:spacing w:before="120" w:after="120" w:line="360" w:lineRule="auto"/>
        <w:outlineLvl w:val="0"/>
        <w:rPr>
          <w:rFonts w:hint="eastAsia" w:ascii="宋体" w:hAnsi="宋体" w:eastAsia="宋体" w:cs="宋体"/>
          <w:b w:val="0"/>
          <w:color w:val="auto"/>
          <w:sz w:val="21"/>
          <w:szCs w:val="21"/>
          <w:highlight w:val="none"/>
        </w:rPr>
      </w:pPr>
      <w:bookmarkStart w:id="770" w:name="_Toc351203518"/>
      <w:bookmarkStart w:id="771" w:name="_Toc22009"/>
      <w:r>
        <w:rPr>
          <w:rFonts w:hint="eastAsia" w:ascii="宋体" w:hAnsi="宋体" w:eastAsia="宋体" w:cs="宋体"/>
          <w:b w:val="0"/>
          <w:color w:val="auto"/>
          <w:sz w:val="21"/>
          <w:szCs w:val="21"/>
          <w:highlight w:val="none"/>
        </w:rPr>
        <w:t>3</w:t>
      </w:r>
      <w:bookmarkStart w:id="772" w:name="_Toc296346546"/>
      <w:bookmarkStart w:id="773" w:name="_Toc296503045"/>
      <w:bookmarkStart w:id="774" w:name="_Toc337558746"/>
      <w:r>
        <w:rPr>
          <w:rFonts w:hint="eastAsia" w:ascii="宋体" w:hAnsi="宋体" w:eastAsia="宋体" w:cs="宋体"/>
          <w:b w:val="0"/>
          <w:color w:val="auto"/>
          <w:sz w:val="21"/>
          <w:szCs w:val="21"/>
          <w:highlight w:val="none"/>
        </w:rPr>
        <w:t>. 承包人</w:t>
      </w:r>
      <w:bookmarkEnd w:id="770"/>
      <w:bookmarkEnd w:id="771"/>
    </w:p>
    <w:bookmarkEnd w:id="772"/>
    <w:bookmarkEnd w:id="773"/>
    <w:bookmarkEnd w:id="774"/>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75" w:name="_Toc14542"/>
      <w:bookmarkStart w:id="776" w:name="_Toc351203519"/>
      <w:r>
        <w:rPr>
          <w:rFonts w:hint="eastAsia" w:ascii="宋体" w:hAnsi="宋体" w:eastAsia="宋体" w:cs="宋体"/>
          <w:b w:val="0"/>
          <w:color w:val="auto"/>
          <w:sz w:val="21"/>
          <w:szCs w:val="21"/>
          <w:highlight w:val="none"/>
        </w:rPr>
        <w:t>3</w:t>
      </w:r>
      <w:bookmarkStart w:id="777" w:name="_Toc296503046"/>
      <w:bookmarkStart w:id="778" w:name="_Toc296346547"/>
      <w:bookmarkStart w:id="779" w:name="_Toc337558747"/>
      <w:r>
        <w:rPr>
          <w:rFonts w:hint="eastAsia" w:ascii="宋体" w:hAnsi="宋体" w:eastAsia="宋体" w:cs="宋体"/>
          <w:b w:val="0"/>
          <w:color w:val="auto"/>
          <w:sz w:val="21"/>
          <w:szCs w:val="21"/>
          <w:highlight w:val="none"/>
        </w:rPr>
        <w:t>.1 承包人的一般义务</w:t>
      </w:r>
      <w:bookmarkEnd w:id="775"/>
      <w:bookmarkEnd w:id="776"/>
    </w:p>
    <w:bookmarkEnd w:id="777"/>
    <w:bookmarkEnd w:id="778"/>
    <w:bookmarkEnd w:id="77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承包人在履行合同过程中应遵守法律和工程建设标准规范，并履行以下义务：</w:t>
      </w:r>
    </w:p>
    <w:p>
      <w:pPr>
        <w:numPr>
          <w:ilvl w:val="0"/>
          <w:numId w:val="1"/>
        </w:num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办理法律规定应由承包人办理的许可和批准，并将办理结果书面报送发包人留存；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（2）按法律规定和合同约定完成工程，并在保修期内承担保修义务；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（6）按照第6.3款〔环境保护〕约定负责施工场地及其周边环境与生态的保护工作；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（10）应履行的其他义务。</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80" w:name="_Toc351203520"/>
      <w:bookmarkStart w:id="781" w:name="_Toc15925"/>
      <w:r>
        <w:rPr>
          <w:rFonts w:hint="eastAsia" w:ascii="宋体" w:hAnsi="宋体" w:eastAsia="宋体" w:cs="宋体"/>
          <w:b w:val="0"/>
          <w:color w:val="auto"/>
          <w:sz w:val="21"/>
          <w:szCs w:val="21"/>
          <w:highlight w:val="none"/>
        </w:rPr>
        <w:t>3</w:t>
      </w:r>
      <w:bookmarkStart w:id="782" w:name="_Toc296503047"/>
      <w:bookmarkStart w:id="783" w:name="_Toc296346548"/>
      <w:bookmarkStart w:id="784" w:name="_Toc337558748"/>
      <w:r>
        <w:rPr>
          <w:rFonts w:hint="eastAsia" w:ascii="宋体" w:hAnsi="宋体" w:eastAsia="宋体" w:cs="宋体"/>
          <w:b w:val="0"/>
          <w:color w:val="auto"/>
          <w:sz w:val="21"/>
          <w:szCs w:val="21"/>
          <w:highlight w:val="none"/>
        </w:rPr>
        <w:t xml:space="preserve">.2 </w:t>
      </w:r>
      <w:bookmarkEnd w:id="780"/>
      <w:r>
        <w:rPr>
          <w:rFonts w:hint="eastAsia" w:ascii="宋体" w:hAnsi="宋体" w:eastAsia="宋体" w:cs="宋体"/>
          <w:b w:val="0"/>
          <w:color w:val="auto"/>
          <w:sz w:val="21"/>
          <w:szCs w:val="21"/>
          <w:highlight w:val="none"/>
        </w:rPr>
        <w:t>项目经理</w:t>
      </w:r>
      <w:bookmarkEnd w:id="781"/>
    </w:p>
    <w:bookmarkEnd w:id="782"/>
    <w:bookmarkEnd w:id="783"/>
    <w:bookmarkEnd w:id="78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承包人违反上述约定的，应按照专用合同条款的约定，承担违约责任。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85" w:name="_Toc351203521"/>
      <w:bookmarkStart w:id="786" w:name="_Toc10107"/>
      <w:r>
        <w:rPr>
          <w:rFonts w:hint="eastAsia" w:ascii="宋体" w:hAnsi="宋体" w:eastAsia="宋体" w:cs="宋体"/>
          <w:b w:val="0"/>
          <w:color w:val="auto"/>
          <w:sz w:val="21"/>
          <w:szCs w:val="21"/>
          <w:highlight w:val="none"/>
        </w:rPr>
        <w:t>3</w:t>
      </w:r>
      <w:bookmarkStart w:id="787" w:name="_Toc296346549"/>
      <w:bookmarkStart w:id="788" w:name="_Toc296503048"/>
      <w:bookmarkStart w:id="789" w:name="_Toc337558749"/>
      <w:r>
        <w:rPr>
          <w:rFonts w:hint="eastAsia" w:ascii="宋体" w:hAnsi="宋体" w:eastAsia="宋体" w:cs="宋体"/>
          <w:b w:val="0"/>
          <w:color w:val="auto"/>
          <w:sz w:val="21"/>
          <w:szCs w:val="21"/>
          <w:highlight w:val="none"/>
        </w:rPr>
        <w:t xml:space="preserve">.3 </w:t>
      </w:r>
      <w:bookmarkEnd w:id="787"/>
      <w:bookmarkEnd w:id="788"/>
      <w:r>
        <w:rPr>
          <w:rFonts w:hint="eastAsia" w:ascii="宋体" w:hAnsi="宋体" w:eastAsia="宋体" w:cs="宋体"/>
          <w:b w:val="0"/>
          <w:color w:val="auto"/>
          <w:sz w:val="21"/>
          <w:szCs w:val="21"/>
          <w:highlight w:val="none"/>
        </w:rPr>
        <w:t>承包人人员</w:t>
      </w:r>
      <w:bookmarkEnd w:id="785"/>
      <w:bookmarkEnd w:id="786"/>
    </w:p>
    <w:bookmarkEnd w:id="78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特殊工种作业人员均应持有相应的资格证明，监理人可以随时检查。</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承包人擅自更换主要施工管理人员，或前述人员未经监理人或发包人同意擅自离开施工现场的，应按照专用合同条款约定承担违约责任。</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90" w:name="_Toc351203522"/>
      <w:bookmarkStart w:id="791" w:name="_Toc13737"/>
      <w:r>
        <w:rPr>
          <w:rFonts w:hint="eastAsia" w:ascii="宋体" w:hAnsi="宋体" w:eastAsia="宋体" w:cs="宋体"/>
          <w:b w:val="0"/>
          <w:color w:val="auto"/>
          <w:sz w:val="21"/>
          <w:szCs w:val="21"/>
          <w:highlight w:val="none"/>
        </w:rPr>
        <w:t>3</w:t>
      </w:r>
      <w:bookmarkStart w:id="792" w:name="_Toc296503050"/>
      <w:bookmarkStart w:id="793" w:name="_Toc337558750"/>
      <w:bookmarkStart w:id="794" w:name="_Toc296346551"/>
      <w:r>
        <w:rPr>
          <w:rFonts w:hint="eastAsia" w:ascii="宋体" w:hAnsi="宋体" w:eastAsia="宋体" w:cs="宋体"/>
          <w:b w:val="0"/>
          <w:color w:val="auto"/>
          <w:sz w:val="21"/>
          <w:szCs w:val="21"/>
          <w:highlight w:val="none"/>
        </w:rPr>
        <w:t>.4 承包人现场查勘</w:t>
      </w:r>
      <w:bookmarkEnd w:id="790"/>
      <w:bookmarkEnd w:id="791"/>
    </w:p>
    <w:bookmarkEnd w:id="792"/>
    <w:bookmarkEnd w:id="793"/>
    <w:bookmarkEnd w:id="794"/>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795" w:name="_Toc18896"/>
      <w:bookmarkStart w:id="796" w:name="_Toc351203523"/>
      <w:r>
        <w:rPr>
          <w:rFonts w:hint="eastAsia" w:ascii="宋体" w:hAnsi="宋体" w:eastAsia="宋体" w:cs="宋体"/>
          <w:b w:val="0"/>
          <w:color w:val="auto"/>
          <w:sz w:val="21"/>
          <w:szCs w:val="21"/>
          <w:highlight w:val="none"/>
        </w:rPr>
        <w:t>3</w:t>
      </w:r>
      <w:bookmarkStart w:id="797" w:name="_Toc296503051"/>
      <w:bookmarkStart w:id="798" w:name="_Toc337558751"/>
      <w:bookmarkStart w:id="799" w:name="_Toc296346552"/>
      <w:r>
        <w:rPr>
          <w:rFonts w:hint="eastAsia" w:ascii="宋体" w:hAnsi="宋体" w:eastAsia="宋体" w:cs="宋体"/>
          <w:b w:val="0"/>
          <w:color w:val="auto"/>
          <w:sz w:val="21"/>
          <w:szCs w:val="21"/>
          <w:highlight w:val="none"/>
        </w:rPr>
        <w:t>.5 分包</w:t>
      </w:r>
      <w:bookmarkEnd w:id="795"/>
      <w:bookmarkEnd w:id="796"/>
    </w:p>
    <w:bookmarkEnd w:id="797"/>
    <w:bookmarkEnd w:id="798"/>
    <w:bookmarkEnd w:id="799"/>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00" w:name="_Toc15157"/>
      <w:r>
        <w:rPr>
          <w:rFonts w:hint="eastAsia" w:ascii="宋体" w:hAnsi="宋体" w:eastAsia="宋体" w:cs="宋体"/>
          <w:color w:val="auto"/>
          <w:kern w:val="0"/>
          <w:sz w:val="21"/>
          <w:szCs w:val="21"/>
          <w:highlight w:val="none"/>
        </w:rPr>
        <w:t>3.5.1 分包的一般约定</w:t>
      </w:r>
      <w:bookmarkEnd w:id="80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承包人不得以劳务分包的名义转包或违法分包工程。</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01" w:name="_Toc24486"/>
      <w:r>
        <w:rPr>
          <w:rFonts w:hint="eastAsia" w:ascii="宋体" w:hAnsi="宋体" w:eastAsia="宋体" w:cs="宋体"/>
          <w:color w:val="auto"/>
          <w:kern w:val="0"/>
          <w:sz w:val="21"/>
          <w:szCs w:val="21"/>
          <w:highlight w:val="none"/>
        </w:rPr>
        <w:t>3.5.2 分包的确定</w:t>
      </w:r>
      <w:bookmarkEnd w:id="801"/>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02" w:name="_Toc16869"/>
      <w:r>
        <w:rPr>
          <w:rFonts w:hint="eastAsia" w:ascii="宋体" w:hAnsi="宋体" w:eastAsia="宋体" w:cs="宋体"/>
          <w:color w:val="auto"/>
          <w:kern w:val="0"/>
          <w:sz w:val="21"/>
          <w:szCs w:val="21"/>
          <w:highlight w:val="none"/>
        </w:rPr>
        <w:t>3.5.3 分包管理</w:t>
      </w:r>
      <w:bookmarkEnd w:id="80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03" w:name="_Toc16419"/>
      <w:r>
        <w:rPr>
          <w:rFonts w:hint="eastAsia" w:ascii="宋体" w:hAnsi="宋体" w:eastAsia="宋体" w:cs="宋体"/>
          <w:color w:val="auto"/>
          <w:kern w:val="0"/>
          <w:sz w:val="21"/>
          <w:szCs w:val="21"/>
          <w:highlight w:val="none"/>
        </w:rPr>
        <w:t>3.5.4 分包合同价款</w:t>
      </w:r>
      <w:bookmarkEnd w:id="80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（2）生效法律文书要求发包人向分包人支付分包合同价款的，发包人有权从应付承包人工程款中扣除该部分款项。</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04" w:name="_Toc23397"/>
      <w:r>
        <w:rPr>
          <w:rFonts w:hint="eastAsia" w:ascii="宋体" w:hAnsi="宋体" w:eastAsia="宋体" w:cs="宋体"/>
          <w:color w:val="auto"/>
          <w:kern w:val="0"/>
          <w:sz w:val="21"/>
          <w:szCs w:val="21"/>
          <w:highlight w:val="none"/>
        </w:rPr>
        <w:t>3.5.5 分包合同权益的转让</w:t>
      </w:r>
      <w:bookmarkEnd w:id="804"/>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05" w:name="_Toc351203524"/>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06" w:name="_Toc30942"/>
      <w:r>
        <w:rPr>
          <w:rFonts w:hint="eastAsia" w:ascii="宋体" w:hAnsi="宋体" w:eastAsia="宋体" w:cs="宋体"/>
          <w:b w:val="0"/>
          <w:color w:val="auto"/>
          <w:sz w:val="21"/>
          <w:szCs w:val="21"/>
          <w:highlight w:val="none"/>
        </w:rPr>
        <w:t>3.6 工程照管与成品、半成品保护</w:t>
      </w:r>
      <w:bookmarkEnd w:id="805"/>
      <w:bookmarkEnd w:id="806"/>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07" w:name="_Toc32548"/>
      <w:bookmarkStart w:id="808" w:name="_Toc351203525"/>
      <w:r>
        <w:rPr>
          <w:rFonts w:hint="eastAsia" w:ascii="宋体" w:hAnsi="宋体" w:eastAsia="宋体" w:cs="宋体"/>
          <w:b w:val="0"/>
          <w:color w:val="auto"/>
          <w:sz w:val="21"/>
          <w:szCs w:val="21"/>
          <w:highlight w:val="none"/>
        </w:rPr>
        <w:t>3</w:t>
      </w:r>
      <w:bookmarkStart w:id="809" w:name="_Toc296503052"/>
      <w:bookmarkStart w:id="810" w:name="_Toc337558752"/>
      <w:bookmarkStart w:id="811" w:name="_Toc296346553"/>
      <w:r>
        <w:rPr>
          <w:rFonts w:hint="eastAsia" w:ascii="宋体" w:hAnsi="宋体" w:eastAsia="宋体" w:cs="宋体"/>
          <w:b w:val="0"/>
          <w:color w:val="auto"/>
          <w:sz w:val="21"/>
          <w:szCs w:val="21"/>
          <w:highlight w:val="none"/>
        </w:rPr>
        <w:t>.7 履约担保</w:t>
      </w:r>
      <w:bookmarkEnd w:id="807"/>
      <w:bookmarkEnd w:id="808"/>
    </w:p>
    <w:bookmarkEnd w:id="809"/>
    <w:bookmarkEnd w:id="810"/>
    <w:bookmarkEnd w:id="81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因承包人原因导致工期延长的，继续提供履约担保所增加的费用由承包人承担；非因承包人原因导致工期延长的，继续提供履约担保所增加的费用由发包人承担。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12" w:name="_Toc2804"/>
      <w:bookmarkStart w:id="813" w:name="_Toc351203526"/>
      <w:r>
        <w:rPr>
          <w:rFonts w:hint="eastAsia" w:ascii="宋体" w:hAnsi="宋体" w:eastAsia="宋体" w:cs="宋体"/>
          <w:b w:val="0"/>
          <w:color w:val="auto"/>
          <w:sz w:val="21"/>
          <w:szCs w:val="21"/>
          <w:highlight w:val="none"/>
        </w:rPr>
        <w:t>3.8 联合体</w:t>
      </w:r>
      <w:bookmarkEnd w:id="812"/>
      <w:bookmarkEnd w:id="81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3.8.1 联合体各方应共同与发包人签订合同协议书。联合体各方应为履行合同向发包人承担连带责任。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 联合体牵头人负责与发包人和监理人联系，并接受指示，负责组织联合体各成员全面履行合同。</w:t>
      </w:r>
    </w:p>
    <w:p>
      <w:pPr>
        <w:pStyle w:val="6"/>
        <w:spacing w:before="120" w:after="120" w:line="360" w:lineRule="auto"/>
        <w:outlineLvl w:val="0"/>
        <w:rPr>
          <w:rFonts w:hint="eastAsia" w:ascii="宋体" w:hAnsi="宋体" w:eastAsia="宋体" w:cs="宋体"/>
          <w:b w:val="0"/>
          <w:color w:val="auto"/>
          <w:sz w:val="21"/>
          <w:szCs w:val="21"/>
          <w:highlight w:val="none"/>
        </w:rPr>
      </w:pPr>
      <w:bookmarkStart w:id="814" w:name="_Toc7051"/>
      <w:bookmarkStart w:id="815" w:name="_Toc351203527"/>
      <w:r>
        <w:rPr>
          <w:rFonts w:hint="eastAsia" w:ascii="宋体" w:hAnsi="宋体" w:eastAsia="宋体" w:cs="宋体"/>
          <w:b w:val="0"/>
          <w:color w:val="auto"/>
          <w:sz w:val="21"/>
          <w:szCs w:val="21"/>
          <w:highlight w:val="none"/>
        </w:rPr>
        <w:t>4</w:t>
      </w:r>
      <w:bookmarkStart w:id="816" w:name="_Toc296503053"/>
      <w:bookmarkStart w:id="817" w:name="_Toc296346554"/>
      <w:bookmarkStart w:id="818" w:name="_Toc337558753"/>
      <w:r>
        <w:rPr>
          <w:rFonts w:hint="eastAsia" w:ascii="宋体" w:hAnsi="宋体" w:eastAsia="宋体" w:cs="宋体"/>
          <w:b w:val="0"/>
          <w:color w:val="auto"/>
          <w:sz w:val="21"/>
          <w:szCs w:val="21"/>
          <w:highlight w:val="none"/>
        </w:rPr>
        <w:t>. 监</w:t>
      </w:r>
      <w:bookmarkEnd w:id="816"/>
      <w:bookmarkEnd w:id="817"/>
      <w:r>
        <w:rPr>
          <w:rFonts w:hint="eastAsia" w:ascii="宋体" w:hAnsi="宋体" w:eastAsia="宋体" w:cs="宋体"/>
          <w:b w:val="0"/>
          <w:color w:val="auto"/>
          <w:sz w:val="21"/>
          <w:szCs w:val="21"/>
          <w:highlight w:val="none"/>
        </w:rPr>
        <w:t>理人</w:t>
      </w:r>
      <w:bookmarkEnd w:id="814"/>
      <w:bookmarkEnd w:id="815"/>
    </w:p>
    <w:bookmarkEnd w:id="818"/>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19" w:name="_Toc24035"/>
      <w:bookmarkStart w:id="820" w:name="_Toc351203528"/>
      <w:r>
        <w:rPr>
          <w:rFonts w:hint="eastAsia" w:ascii="宋体" w:hAnsi="宋体" w:eastAsia="宋体" w:cs="宋体"/>
          <w:b w:val="0"/>
          <w:color w:val="auto"/>
          <w:sz w:val="21"/>
          <w:szCs w:val="21"/>
          <w:highlight w:val="none"/>
        </w:rPr>
        <w:t>4</w:t>
      </w:r>
      <w:bookmarkStart w:id="821" w:name="_Toc337558754"/>
      <w:bookmarkStart w:id="822" w:name="_Toc296346555"/>
      <w:bookmarkStart w:id="823" w:name="_Toc296503054"/>
      <w:r>
        <w:rPr>
          <w:rFonts w:hint="eastAsia" w:ascii="宋体" w:hAnsi="宋体" w:eastAsia="宋体" w:cs="宋体"/>
          <w:b w:val="0"/>
          <w:color w:val="auto"/>
          <w:sz w:val="21"/>
          <w:szCs w:val="21"/>
          <w:highlight w:val="none"/>
        </w:rPr>
        <w:t>.1监理人的一般规定</w:t>
      </w:r>
      <w:bookmarkEnd w:id="819"/>
      <w:bookmarkEnd w:id="820"/>
    </w:p>
    <w:bookmarkEnd w:id="821"/>
    <w:bookmarkEnd w:id="822"/>
    <w:bookmarkEnd w:id="82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除专用合同条款另有约定外，监理人在施工现场的办公场所、生活场所由承包人提供，所发生的费用由发包人承担。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24" w:name="_Toc351203529"/>
      <w:bookmarkStart w:id="825" w:name="_Toc18930"/>
      <w:r>
        <w:rPr>
          <w:rFonts w:hint="eastAsia" w:ascii="宋体" w:hAnsi="宋体" w:eastAsia="宋体" w:cs="宋体"/>
          <w:b w:val="0"/>
          <w:color w:val="auto"/>
          <w:sz w:val="21"/>
          <w:szCs w:val="21"/>
          <w:highlight w:val="none"/>
        </w:rPr>
        <w:t>4</w:t>
      </w:r>
      <w:bookmarkStart w:id="826" w:name="_Toc337558755"/>
      <w:r>
        <w:rPr>
          <w:rFonts w:hint="eastAsia" w:ascii="宋体" w:hAnsi="宋体" w:eastAsia="宋体" w:cs="宋体"/>
          <w:b w:val="0"/>
          <w:color w:val="auto"/>
          <w:sz w:val="21"/>
          <w:szCs w:val="21"/>
          <w:highlight w:val="none"/>
        </w:rPr>
        <w:t>.2监理人员</w:t>
      </w:r>
      <w:bookmarkEnd w:id="824"/>
      <w:bookmarkEnd w:id="825"/>
    </w:p>
    <w:bookmarkEnd w:id="82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27" w:name="_Toc351203530"/>
      <w:bookmarkStart w:id="828" w:name="_Toc32300"/>
      <w:r>
        <w:rPr>
          <w:rFonts w:hint="eastAsia" w:ascii="宋体" w:hAnsi="宋体" w:eastAsia="宋体" w:cs="宋体"/>
          <w:b w:val="0"/>
          <w:color w:val="auto"/>
          <w:sz w:val="21"/>
          <w:szCs w:val="21"/>
          <w:highlight w:val="none"/>
        </w:rPr>
        <w:t>4</w:t>
      </w:r>
      <w:bookmarkStart w:id="829" w:name="_Toc296503055"/>
      <w:bookmarkStart w:id="830" w:name="_Toc296346556"/>
      <w:bookmarkStart w:id="831" w:name="_Toc337558756"/>
      <w:r>
        <w:rPr>
          <w:rFonts w:hint="eastAsia" w:ascii="宋体" w:hAnsi="宋体" w:eastAsia="宋体" w:cs="宋体"/>
          <w:b w:val="0"/>
          <w:color w:val="auto"/>
          <w:sz w:val="21"/>
          <w:szCs w:val="21"/>
          <w:highlight w:val="none"/>
        </w:rPr>
        <w:t>.3</w:t>
      </w:r>
      <w:bookmarkEnd w:id="829"/>
      <w:bookmarkEnd w:id="830"/>
      <w:r>
        <w:rPr>
          <w:rFonts w:hint="eastAsia" w:ascii="宋体" w:hAnsi="宋体" w:eastAsia="宋体" w:cs="宋体"/>
          <w:b w:val="0"/>
          <w:color w:val="auto"/>
          <w:sz w:val="21"/>
          <w:szCs w:val="21"/>
          <w:highlight w:val="none"/>
        </w:rPr>
        <w:t>监理人的指</w:t>
      </w:r>
      <w:bookmarkEnd w:id="831"/>
      <w:r>
        <w:rPr>
          <w:rFonts w:hint="eastAsia" w:ascii="宋体" w:hAnsi="宋体" w:eastAsia="宋体" w:cs="宋体"/>
          <w:b w:val="0"/>
          <w:color w:val="auto"/>
          <w:sz w:val="21"/>
          <w:szCs w:val="21"/>
          <w:highlight w:val="none"/>
        </w:rPr>
        <w:t>示</w:t>
      </w:r>
      <w:bookmarkEnd w:id="827"/>
      <w:bookmarkEnd w:id="82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32" w:name="_Toc351203531"/>
      <w:bookmarkStart w:id="833" w:name="_Toc827"/>
      <w:r>
        <w:rPr>
          <w:rFonts w:hint="eastAsia" w:ascii="宋体" w:hAnsi="宋体" w:eastAsia="宋体" w:cs="宋体"/>
          <w:b w:val="0"/>
          <w:color w:val="auto"/>
          <w:sz w:val="21"/>
          <w:szCs w:val="21"/>
          <w:highlight w:val="none"/>
        </w:rPr>
        <w:t>4</w:t>
      </w:r>
      <w:bookmarkStart w:id="834" w:name="_Toc337558757"/>
      <w:bookmarkStart w:id="835" w:name="_Toc296346558"/>
      <w:bookmarkStart w:id="836" w:name="_Toc296503057"/>
      <w:r>
        <w:rPr>
          <w:rFonts w:hint="eastAsia" w:ascii="宋体" w:hAnsi="宋体" w:eastAsia="宋体" w:cs="宋体"/>
          <w:b w:val="0"/>
          <w:color w:val="auto"/>
          <w:sz w:val="21"/>
          <w:szCs w:val="21"/>
          <w:highlight w:val="none"/>
        </w:rPr>
        <w:t>.4 商定或确定</w:t>
      </w:r>
      <w:bookmarkEnd w:id="832"/>
      <w:bookmarkEnd w:id="833"/>
    </w:p>
    <w:bookmarkEnd w:id="834"/>
    <w:bookmarkEnd w:id="835"/>
    <w:bookmarkEnd w:id="83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60" w:lineRule="auto"/>
        <w:outlineLvl w:val="0"/>
        <w:rPr>
          <w:rFonts w:hint="eastAsia" w:ascii="宋体" w:hAnsi="宋体" w:eastAsia="宋体" w:cs="宋体"/>
          <w:b w:val="0"/>
          <w:color w:val="auto"/>
          <w:sz w:val="21"/>
          <w:szCs w:val="21"/>
          <w:highlight w:val="none"/>
        </w:rPr>
      </w:pPr>
      <w:bookmarkStart w:id="837" w:name="_Toc11780"/>
      <w:bookmarkStart w:id="838" w:name="_Toc351203532"/>
      <w:r>
        <w:rPr>
          <w:rFonts w:hint="eastAsia" w:ascii="宋体" w:hAnsi="宋体" w:eastAsia="宋体" w:cs="宋体"/>
          <w:b w:val="0"/>
          <w:color w:val="auto"/>
          <w:sz w:val="21"/>
          <w:szCs w:val="21"/>
          <w:highlight w:val="none"/>
        </w:rPr>
        <w:t>5</w:t>
      </w:r>
      <w:bookmarkStart w:id="839" w:name="_Toc337558758"/>
      <w:r>
        <w:rPr>
          <w:rFonts w:hint="eastAsia" w:ascii="宋体" w:hAnsi="宋体" w:eastAsia="宋体" w:cs="宋体"/>
          <w:b w:val="0"/>
          <w:color w:val="auto"/>
          <w:sz w:val="21"/>
          <w:szCs w:val="21"/>
          <w:highlight w:val="none"/>
        </w:rPr>
        <w:t>. 工程质量</w:t>
      </w:r>
      <w:bookmarkEnd w:id="837"/>
      <w:bookmarkEnd w:id="838"/>
    </w:p>
    <w:bookmarkEnd w:id="839"/>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40" w:name="_Toc351203533"/>
      <w:bookmarkStart w:id="841" w:name="_Toc25144"/>
      <w:r>
        <w:rPr>
          <w:rFonts w:hint="eastAsia" w:ascii="宋体" w:hAnsi="宋体" w:eastAsia="宋体" w:cs="宋体"/>
          <w:b w:val="0"/>
          <w:color w:val="auto"/>
          <w:sz w:val="21"/>
          <w:szCs w:val="21"/>
          <w:highlight w:val="none"/>
        </w:rPr>
        <w:t>5</w:t>
      </w:r>
      <w:bookmarkStart w:id="842" w:name="_Toc337558759"/>
      <w:r>
        <w:rPr>
          <w:rFonts w:hint="eastAsia" w:ascii="宋体" w:hAnsi="宋体" w:eastAsia="宋体" w:cs="宋体"/>
          <w:b w:val="0"/>
          <w:color w:val="auto"/>
          <w:sz w:val="21"/>
          <w:szCs w:val="21"/>
          <w:highlight w:val="none"/>
        </w:rPr>
        <w:t>.1质量要求</w:t>
      </w:r>
      <w:bookmarkEnd w:id="840"/>
      <w:bookmarkEnd w:id="841"/>
    </w:p>
    <w:bookmarkEnd w:id="84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43" w:name="_Toc16547"/>
      <w:bookmarkStart w:id="844" w:name="_Toc351203534"/>
      <w:r>
        <w:rPr>
          <w:rFonts w:hint="eastAsia" w:ascii="宋体" w:hAnsi="宋体" w:eastAsia="宋体" w:cs="宋体"/>
          <w:b w:val="0"/>
          <w:color w:val="auto"/>
          <w:sz w:val="21"/>
          <w:szCs w:val="21"/>
          <w:highlight w:val="none"/>
        </w:rPr>
        <w:t>5</w:t>
      </w:r>
      <w:bookmarkStart w:id="845" w:name="_Toc337558760"/>
      <w:r>
        <w:rPr>
          <w:rFonts w:hint="eastAsia" w:ascii="宋体" w:hAnsi="宋体" w:eastAsia="宋体" w:cs="宋体"/>
          <w:b w:val="0"/>
          <w:color w:val="auto"/>
          <w:sz w:val="21"/>
          <w:szCs w:val="21"/>
          <w:highlight w:val="none"/>
        </w:rPr>
        <w:t>.2质量保证措施</w:t>
      </w:r>
      <w:bookmarkEnd w:id="843"/>
      <w:bookmarkEnd w:id="844"/>
    </w:p>
    <w:bookmarkEnd w:id="845"/>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46" w:name="_Toc10819"/>
      <w:r>
        <w:rPr>
          <w:rFonts w:hint="eastAsia" w:ascii="宋体" w:hAnsi="宋体" w:eastAsia="宋体" w:cs="宋体"/>
          <w:color w:val="auto"/>
          <w:kern w:val="0"/>
          <w:sz w:val="21"/>
          <w:szCs w:val="21"/>
          <w:highlight w:val="none"/>
        </w:rPr>
        <w:t>5.2.1 发包人的质量管理</w:t>
      </w:r>
      <w:bookmarkEnd w:id="846"/>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发包人应按照法律规定及合同约定完成与工程质量有关的各项工作。</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47" w:name="_Toc15598"/>
      <w:r>
        <w:rPr>
          <w:rFonts w:hint="eastAsia" w:ascii="宋体" w:hAnsi="宋体" w:eastAsia="宋体" w:cs="宋体"/>
          <w:color w:val="auto"/>
          <w:kern w:val="0"/>
          <w:sz w:val="21"/>
          <w:szCs w:val="21"/>
          <w:highlight w:val="none"/>
        </w:rPr>
        <w:t>5.2.2 承包人的质量管理</w:t>
      </w:r>
      <w:bookmarkEnd w:id="84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48" w:name="_Toc15292"/>
      <w:r>
        <w:rPr>
          <w:rFonts w:hint="eastAsia" w:ascii="宋体" w:hAnsi="宋体" w:eastAsia="宋体" w:cs="宋体"/>
          <w:color w:val="auto"/>
          <w:kern w:val="0"/>
          <w:sz w:val="21"/>
          <w:szCs w:val="21"/>
          <w:highlight w:val="none"/>
        </w:rPr>
        <w:t>5.2.3 监理人的质量检查和检验</w:t>
      </w:r>
      <w:bookmarkEnd w:id="84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49" w:name="_Toc351203535"/>
      <w:bookmarkStart w:id="850" w:name="_Toc27280"/>
      <w:r>
        <w:rPr>
          <w:rFonts w:hint="eastAsia" w:ascii="宋体" w:hAnsi="宋体" w:eastAsia="宋体" w:cs="宋体"/>
          <w:b w:val="0"/>
          <w:color w:val="auto"/>
          <w:sz w:val="21"/>
          <w:szCs w:val="21"/>
          <w:highlight w:val="none"/>
        </w:rPr>
        <w:t>5</w:t>
      </w:r>
      <w:bookmarkStart w:id="851" w:name="_Toc337558761"/>
      <w:r>
        <w:rPr>
          <w:rFonts w:hint="eastAsia" w:ascii="宋体" w:hAnsi="宋体" w:eastAsia="宋体" w:cs="宋体"/>
          <w:b w:val="0"/>
          <w:color w:val="auto"/>
          <w:sz w:val="21"/>
          <w:szCs w:val="21"/>
          <w:highlight w:val="none"/>
        </w:rPr>
        <w:t>.3 隐蔽工程检查</w:t>
      </w:r>
      <w:bookmarkEnd w:id="849"/>
      <w:bookmarkEnd w:id="850"/>
    </w:p>
    <w:bookmarkEnd w:id="851"/>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52" w:name="_Toc11590"/>
      <w:r>
        <w:rPr>
          <w:rFonts w:hint="eastAsia" w:ascii="宋体" w:hAnsi="宋体" w:eastAsia="宋体" w:cs="宋体"/>
          <w:color w:val="auto"/>
          <w:kern w:val="0"/>
          <w:sz w:val="21"/>
          <w:szCs w:val="21"/>
          <w:highlight w:val="none"/>
        </w:rPr>
        <w:t>5.3.1承包人自检</w:t>
      </w:r>
      <w:bookmarkEnd w:id="85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承包人应当对工程隐蔽部位进行自检，并经自检确认是否具备覆盖条件。</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53" w:name="_Toc17602"/>
      <w:r>
        <w:rPr>
          <w:rFonts w:hint="eastAsia" w:ascii="宋体" w:hAnsi="宋体" w:eastAsia="宋体" w:cs="宋体"/>
          <w:color w:val="auto"/>
          <w:kern w:val="0"/>
          <w:sz w:val="21"/>
          <w:szCs w:val="21"/>
          <w:highlight w:val="none"/>
        </w:rPr>
        <w:t>5.3.2检查程序</w:t>
      </w:r>
      <w:bookmarkEnd w:id="85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54" w:name="_Toc14315"/>
      <w:r>
        <w:rPr>
          <w:rFonts w:hint="eastAsia" w:ascii="宋体" w:hAnsi="宋体" w:eastAsia="宋体" w:cs="宋体"/>
          <w:color w:val="auto"/>
          <w:kern w:val="0"/>
          <w:sz w:val="21"/>
          <w:szCs w:val="21"/>
          <w:highlight w:val="none"/>
        </w:rPr>
        <w:t>5.3.3 重新检查</w:t>
      </w:r>
      <w:bookmarkEnd w:id="854"/>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55" w:name="_Toc26693"/>
      <w:r>
        <w:rPr>
          <w:rFonts w:hint="eastAsia" w:ascii="宋体" w:hAnsi="宋体" w:eastAsia="宋体" w:cs="宋体"/>
          <w:color w:val="auto"/>
          <w:kern w:val="0"/>
          <w:sz w:val="21"/>
          <w:szCs w:val="21"/>
          <w:highlight w:val="none"/>
        </w:rPr>
        <w:t>5.3.4 承包人私自覆盖</w:t>
      </w:r>
      <w:bookmarkEnd w:id="85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56" w:name="_Toc351203536"/>
      <w:bookmarkStart w:id="857" w:name="_Toc21926"/>
      <w:r>
        <w:rPr>
          <w:rFonts w:hint="eastAsia" w:ascii="宋体" w:hAnsi="宋体" w:eastAsia="宋体" w:cs="宋体"/>
          <w:b w:val="0"/>
          <w:color w:val="auto"/>
          <w:sz w:val="21"/>
          <w:szCs w:val="21"/>
          <w:highlight w:val="none"/>
        </w:rPr>
        <w:t>5</w:t>
      </w:r>
      <w:bookmarkStart w:id="858" w:name="_Toc337558762"/>
      <w:r>
        <w:rPr>
          <w:rFonts w:hint="eastAsia" w:ascii="宋体" w:hAnsi="宋体" w:eastAsia="宋体" w:cs="宋体"/>
          <w:b w:val="0"/>
          <w:color w:val="auto"/>
          <w:sz w:val="21"/>
          <w:szCs w:val="21"/>
          <w:highlight w:val="none"/>
        </w:rPr>
        <w:t>.4不合格工程的处理</w:t>
      </w:r>
      <w:bookmarkEnd w:id="856"/>
      <w:bookmarkEnd w:id="857"/>
    </w:p>
    <w:bookmarkEnd w:id="858"/>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5.4.2 因发包人原因造成工程不合格的，由此增加的费用和（或）延误的工期由发包人承担，并支付承包人合理的利润。</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59" w:name="_Toc351203537"/>
      <w:bookmarkStart w:id="860" w:name="_Toc32362"/>
      <w:r>
        <w:rPr>
          <w:rFonts w:hint="eastAsia" w:ascii="宋体" w:hAnsi="宋体" w:eastAsia="宋体" w:cs="宋体"/>
          <w:b w:val="0"/>
          <w:color w:val="auto"/>
          <w:sz w:val="21"/>
          <w:szCs w:val="21"/>
          <w:highlight w:val="none"/>
        </w:rPr>
        <w:t>5.5 质量争议检测</w:t>
      </w:r>
      <w:bookmarkEnd w:id="859"/>
      <w:bookmarkEnd w:id="86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合同当事人均有责任的，由双方根据其责任分别承担。合同当事人无法达成一致的，按照第4.4款〔商定或确定〕执行。</w:t>
      </w:r>
    </w:p>
    <w:p>
      <w:pPr>
        <w:pStyle w:val="6"/>
        <w:spacing w:before="120" w:after="120" w:line="360" w:lineRule="auto"/>
        <w:outlineLvl w:val="0"/>
        <w:rPr>
          <w:rFonts w:hint="eastAsia" w:ascii="宋体" w:hAnsi="宋体" w:eastAsia="宋体" w:cs="宋体"/>
          <w:b w:val="0"/>
          <w:color w:val="auto"/>
          <w:sz w:val="21"/>
          <w:szCs w:val="21"/>
          <w:highlight w:val="none"/>
        </w:rPr>
      </w:pPr>
      <w:bookmarkStart w:id="861" w:name="_Toc351203538"/>
      <w:bookmarkStart w:id="862" w:name="_Toc11479"/>
      <w:r>
        <w:rPr>
          <w:rFonts w:hint="eastAsia" w:ascii="宋体" w:hAnsi="宋体" w:eastAsia="宋体" w:cs="宋体"/>
          <w:b w:val="0"/>
          <w:color w:val="auto"/>
          <w:sz w:val="21"/>
          <w:szCs w:val="21"/>
          <w:highlight w:val="none"/>
        </w:rPr>
        <w:t>6</w:t>
      </w:r>
      <w:bookmarkStart w:id="863" w:name="_Toc337558763"/>
      <w:r>
        <w:rPr>
          <w:rFonts w:hint="eastAsia" w:ascii="宋体" w:hAnsi="宋体" w:eastAsia="宋体" w:cs="宋体"/>
          <w:b w:val="0"/>
          <w:color w:val="auto"/>
          <w:sz w:val="21"/>
          <w:szCs w:val="21"/>
          <w:highlight w:val="none"/>
        </w:rPr>
        <w:t>. 安全文明施工与环境保护</w:t>
      </w:r>
      <w:bookmarkEnd w:id="861"/>
      <w:bookmarkEnd w:id="862"/>
    </w:p>
    <w:bookmarkEnd w:id="863"/>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64" w:name="_Toc351203539"/>
      <w:bookmarkStart w:id="865" w:name="_Toc29977"/>
      <w:r>
        <w:rPr>
          <w:rFonts w:hint="eastAsia" w:ascii="宋体" w:hAnsi="宋体" w:eastAsia="宋体" w:cs="宋体"/>
          <w:b w:val="0"/>
          <w:color w:val="auto"/>
          <w:sz w:val="21"/>
          <w:szCs w:val="21"/>
          <w:highlight w:val="none"/>
        </w:rPr>
        <w:t>6</w:t>
      </w:r>
      <w:bookmarkStart w:id="866" w:name="_Toc337558764"/>
      <w:r>
        <w:rPr>
          <w:rFonts w:hint="eastAsia" w:ascii="宋体" w:hAnsi="宋体" w:eastAsia="宋体" w:cs="宋体"/>
          <w:b w:val="0"/>
          <w:color w:val="auto"/>
          <w:sz w:val="21"/>
          <w:szCs w:val="21"/>
          <w:highlight w:val="none"/>
        </w:rPr>
        <w:t>.1安全文明施工</w:t>
      </w:r>
      <w:bookmarkEnd w:id="864"/>
      <w:bookmarkEnd w:id="865"/>
    </w:p>
    <w:bookmarkEnd w:id="866"/>
    <w:p>
      <w:pPr>
        <w:spacing w:line="360" w:lineRule="auto"/>
        <w:ind w:firstLine="420" w:firstLineChars="200"/>
        <w:outlineLvl w:val="2"/>
        <w:rPr>
          <w:rFonts w:hint="eastAsia" w:ascii="宋体" w:hAnsi="宋体" w:eastAsia="宋体" w:cs="宋体"/>
          <w:color w:val="auto"/>
          <w:sz w:val="21"/>
          <w:szCs w:val="21"/>
          <w:highlight w:val="none"/>
        </w:rPr>
      </w:pPr>
      <w:bookmarkStart w:id="867" w:name="_Toc30887"/>
      <w:r>
        <w:rPr>
          <w:rFonts w:hint="eastAsia" w:ascii="宋体" w:hAnsi="宋体" w:eastAsia="宋体" w:cs="宋体"/>
          <w:color w:val="auto"/>
          <w:sz w:val="21"/>
          <w:szCs w:val="21"/>
          <w:highlight w:val="none"/>
        </w:rPr>
        <w:t>6.1.1安全生产要求</w:t>
      </w:r>
      <w:bookmarkEnd w:id="86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1"/>
          <w:szCs w:val="21"/>
          <w:highlight w:val="none"/>
        </w:rPr>
        <w:t>政府有关行政管理部门</w:t>
      </w:r>
      <w:r>
        <w:rPr>
          <w:rFonts w:hint="eastAsia" w:ascii="宋体" w:hAnsi="宋体" w:eastAsia="宋体" w:cs="宋体"/>
          <w:color w:val="auto"/>
          <w:sz w:val="21"/>
          <w:szCs w:val="21"/>
          <w:highlight w:val="none"/>
        </w:rPr>
        <w:t>采取应急措施。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因安全生产需要暂停施工的，按照第7.8款〔暂停施工〕的约定执行。</w:t>
      </w:r>
    </w:p>
    <w:p>
      <w:pPr>
        <w:spacing w:line="360" w:lineRule="auto"/>
        <w:ind w:firstLine="420" w:firstLineChars="200"/>
        <w:outlineLvl w:val="2"/>
        <w:rPr>
          <w:rFonts w:hint="eastAsia" w:ascii="宋体" w:hAnsi="宋体" w:eastAsia="宋体" w:cs="宋体"/>
          <w:color w:val="auto"/>
          <w:sz w:val="21"/>
          <w:szCs w:val="21"/>
          <w:highlight w:val="none"/>
        </w:rPr>
      </w:pPr>
      <w:bookmarkStart w:id="868" w:name="_Toc5164"/>
      <w:r>
        <w:rPr>
          <w:rFonts w:hint="eastAsia" w:ascii="宋体" w:hAnsi="宋体" w:eastAsia="宋体" w:cs="宋体"/>
          <w:color w:val="auto"/>
          <w:sz w:val="21"/>
          <w:szCs w:val="21"/>
          <w:highlight w:val="none"/>
        </w:rPr>
        <w:t>6.1.2 安全生产保证措施</w:t>
      </w:r>
      <w:bookmarkEnd w:id="86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p>
    <w:p>
      <w:pPr>
        <w:spacing w:line="360" w:lineRule="auto"/>
        <w:ind w:firstLine="420" w:firstLineChars="200"/>
        <w:outlineLvl w:val="2"/>
        <w:rPr>
          <w:rFonts w:hint="eastAsia" w:ascii="宋体" w:hAnsi="宋体" w:eastAsia="宋体" w:cs="宋体"/>
          <w:color w:val="auto"/>
          <w:sz w:val="21"/>
          <w:szCs w:val="21"/>
          <w:highlight w:val="none"/>
        </w:rPr>
      </w:pPr>
      <w:bookmarkStart w:id="869" w:name="_Toc23932"/>
      <w:r>
        <w:rPr>
          <w:rFonts w:hint="eastAsia" w:ascii="宋体" w:hAnsi="宋体" w:eastAsia="宋体" w:cs="宋体"/>
          <w:color w:val="auto"/>
          <w:sz w:val="21"/>
          <w:szCs w:val="21"/>
          <w:highlight w:val="none"/>
        </w:rPr>
        <w:t>6.1.3特别安全生产事项</w:t>
      </w:r>
      <w:bookmarkEnd w:id="86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outlineLvl w:val="2"/>
        <w:rPr>
          <w:rFonts w:hint="eastAsia" w:ascii="宋体" w:hAnsi="宋体" w:eastAsia="宋体" w:cs="宋体"/>
          <w:color w:val="auto"/>
          <w:sz w:val="21"/>
          <w:szCs w:val="21"/>
          <w:highlight w:val="none"/>
        </w:rPr>
      </w:pPr>
      <w:bookmarkStart w:id="870" w:name="_Toc17061"/>
      <w:r>
        <w:rPr>
          <w:rFonts w:hint="eastAsia" w:ascii="宋体" w:hAnsi="宋体" w:eastAsia="宋体" w:cs="宋体"/>
          <w:color w:val="auto"/>
          <w:sz w:val="21"/>
          <w:szCs w:val="21"/>
          <w:highlight w:val="none"/>
        </w:rPr>
        <w:t>6.1.4 治安保卫</w:t>
      </w:r>
      <w:bookmarkEnd w:id="87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outlineLvl w:val="2"/>
        <w:rPr>
          <w:rFonts w:hint="eastAsia" w:ascii="宋体" w:hAnsi="宋体" w:eastAsia="宋体" w:cs="宋体"/>
          <w:color w:val="auto"/>
          <w:kern w:val="0"/>
          <w:sz w:val="21"/>
          <w:szCs w:val="21"/>
          <w:highlight w:val="none"/>
        </w:rPr>
      </w:pPr>
      <w:bookmarkStart w:id="871" w:name="_Toc20946"/>
      <w:r>
        <w:rPr>
          <w:rFonts w:hint="eastAsia" w:ascii="宋体" w:hAnsi="宋体" w:eastAsia="宋体" w:cs="宋体"/>
          <w:color w:val="auto"/>
          <w:sz w:val="21"/>
          <w:szCs w:val="21"/>
          <w:highlight w:val="none"/>
        </w:rPr>
        <w:t>6.1.5 文明施工</w:t>
      </w:r>
      <w:bookmarkEnd w:id="871"/>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outlineLvl w:val="2"/>
        <w:rPr>
          <w:rFonts w:hint="eastAsia" w:ascii="宋体" w:hAnsi="宋体" w:eastAsia="宋体" w:cs="宋体"/>
          <w:color w:val="auto"/>
          <w:sz w:val="21"/>
          <w:szCs w:val="21"/>
          <w:highlight w:val="none"/>
        </w:rPr>
      </w:pPr>
      <w:bookmarkStart w:id="872" w:name="_Toc8831"/>
      <w:r>
        <w:rPr>
          <w:rFonts w:hint="eastAsia" w:ascii="宋体" w:hAnsi="宋体" w:eastAsia="宋体" w:cs="宋体"/>
          <w:color w:val="auto"/>
          <w:sz w:val="21"/>
          <w:szCs w:val="21"/>
          <w:highlight w:val="none"/>
        </w:rPr>
        <w:t>6.1.6 安全文明施工费</w:t>
      </w:r>
      <w:bookmarkEnd w:id="87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73" w:name="_Toc18247"/>
      <w:r>
        <w:rPr>
          <w:rFonts w:hint="eastAsia" w:ascii="宋体" w:hAnsi="宋体" w:eastAsia="宋体" w:cs="宋体"/>
          <w:color w:val="auto"/>
          <w:kern w:val="0"/>
          <w:sz w:val="21"/>
          <w:szCs w:val="21"/>
          <w:highlight w:val="none"/>
        </w:rPr>
        <w:t>6.1.7 紧急情况处理</w:t>
      </w:r>
      <w:bookmarkEnd w:id="87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74" w:name="_Toc8243"/>
      <w:r>
        <w:rPr>
          <w:rFonts w:hint="eastAsia" w:ascii="宋体" w:hAnsi="宋体" w:eastAsia="宋体" w:cs="宋体"/>
          <w:color w:val="auto"/>
          <w:kern w:val="0"/>
          <w:sz w:val="21"/>
          <w:szCs w:val="21"/>
          <w:highlight w:val="none"/>
        </w:rPr>
        <w:t>6.1.8 事故处理</w:t>
      </w:r>
      <w:bookmarkEnd w:id="874"/>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75" w:name="_Toc23704"/>
      <w:r>
        <w:rPr>
          <w:rFonts w:hint="eastAsia" w:ascii="宋体" w:hAnsi="宋体" w:eastAsia="宋体" w:cs="宋体"/>
          <w:color w:val="auto"/>
          <w:kern w:val="0"/>
          <w:sz w:val="21"/>
          <w:szCs w:val="21"/>
          <w:highlight w:val="none"/>
        </w:rPr>
        <w:t>6.1.9 安全生产责任</w:t>
      </w:r>
      <w:bookmarkEnd w:id="875"/>
    </w:p>
    <w:p>
      <w:pPr>
        <w:autoSpaceDE w:val="0"/>
        <w:autoSpaceDN w:val="0"/>
        <w:adjustRightInd w:val="0"/>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6.1.9.1 发包人的安全责任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发包人应负责赔偿以下各种情况造成的损失：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（1）工程或工程的任何部分对土地的占用所造成的第三者财产损失；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（2）由于发包人原因在施工场地及其毗邻地带造成的第三者人身伤亡和财产损失；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（3）由于发包人原因对承包人、监理人造成的人员人身伤亡和财产损失；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（4）由于发包人原因造成的发包人自身人员的人身伤害以及财产损失。</w:t>
      </w:r>
    </w:p>
    <w:p>
      <w:pPr>
        <w:autoSpaceDE w:val="0"/>
        <w:autoSpaceDN w:val="0"/>
        <w:adjustRightInd w:val="0"/>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6.1.9.2 承包人的安全责任</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由于承包人原因在施工场地内及其毗邻地带造成的发包人、监理人以及第三者人员伤亡和财产损失，由承包人负责赔偿。</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76" w:name="_Toc15134"/>
      <w:bookmarkStart w:id="877" w:name="_Toc351203540"/>
      <w:r>
        <w:rPr>
          <w:rFonts w:hint="eastAsia" w:ascii="宋体" w:hAnsi="宋体" w:eastAsia="宋体" w:cs="宋体"/>
          <w:b w:val="0"/>
          <w:color w:val="auto"/>
          <w:sz w:val="21"/>
          <w:szCs w:val="21"/>
          <w:highlight w:val="none"/>
        </w:rPr>
        <w:t>6</w:t>
      </w:r>
      <w:bookmarkStart w:id="878" w:name="_Toc337558765"/>
      <w:r>
        <w:rPr>
          <w:rFonts w:hint="eastAsia" w:ascii="宋体" w:hAnsi="宋体" w:eastAsia="宋体" w:cs="宋体"/>
          <w:b w:val="0"/>
          <w:color w:val="auto"/>
          <w:sz w:val="21"/>
          <w:szCs w:val="21"/>
          <w:highlight w:val="none"/>
        </w:rPr>
        <w:t>.2 职业健康</w:t>
      </w:r>
      <w:bookmarkEnd w:id="876"/>
      <w:bookmarkEnd w:id="877"/>
    </w:p>
    <w:bookmarkEnd w:id="878"/>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79" w:name="_Toc26841"/>
      <w:r>
        <w:rPr>
          <w:rFonts w:hint="eastAsia" w:ascii="宋体" w:hAnsi="宋体" w:eastAsia="宋体" w:cs="宋体"/>
          <w:color w:val="auto"/>
          <w:kern w:val="0"/>
          <w:sz w:val="21"/>
          <w:szCs w:val="21"/>
          <w:highlight w:val="none"/>
        </w:rPr>
        <w:t>6.2.1 劳动保护</w:t>
      </w:r>
      <w:bookmarkEnd w:id="87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80" w:name="_Toc13939"/>
      <w:r>
        <w:rPr>
          <w:rFonts w:hint="eastAsia" w:ascii="宋体" w:hAnsi="宋体" w:eastAsia="宋体" w:cs="宋体"/>
          <w:color w:val="auto"/>
          <w:kern w:val="0"/>
          <w:sz w:val="21"/>
          <w:szCs w:val="21"/>
          <w:highlight w:val="none"/>
        </w:rPr>
        <w:t>6.2.2 生活条件</w:t>
      </w:r>
      <w:bookmarkEnd w:id="88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81" w:name="_Toc28984"/>
      <w:bookmarkStart w:id="882" w:name="_Toc351203541"/>
      <w:r>
        <w:rPr>
          <w:rFonts w:hint="eastAsia" w:ascii="宋体" w:hAnsi="宋体" w:eastAsia="宋体" w:cs="宋体"/>
          <w:b w:val="0"/>
          <w:color w:val="auto"/>
          <w:sz w:val="21"/>
          <w:szCs w:val="21"/>
          <w:highlight w:val="none"/>
        </w:rPr>
        <w:t>6</w:t>
      </w:r>
      <w:bookmarkStart w:id="883" w:name="_Toc337558766"/>
      <w:r>
        <w:rPr>
          <w:rFonts w:hint="eastAsia" w:ascii="宋体" w:hAnsi="宋体" w:eastAsia="宋体" w:cs="宋体"/>
          <w:b w:val="0"/>
          <w:color w:val="auto"/>
          <w:sz w:val="21"/>
          <w:szCs w:val="21"/>
          <w:highlight w:val="none"/>
        </w:rPr>
        <w:t>.3 环境保护</w:t>
      </w:r>
      <w:bookmarkEnd w:id="881"/>
      <w:bookmarkEnd w:id="882"/>
    </w:p>
    <w:bookmarkEnd w:id="88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承包人应当承担因其原因引起的环境污染侵权损害赔偿责任，因上述环境污染引起纠纷而导致暂停施工的，由此增加的费用和（或）延误的工期由承包人承担。</w:t>
      </w:r>
    </w:p>
    <w:p>
      <w:pPr>
        <w:pStyle w:val="6"/>
        <w:spacing w:before="120" w:after="120" w:line="360" w:lineRule="auto"/>
        <w:outlineLvl w:val="0"/>
        <w:rPr>
          <w:rFonts w:hint="eastAsia" w:ascii="宋体" w:hAnsi="宋体" w:eastAsia="宋体" w:cs="宋体"/>
          <w:b w:val="0"/>
          <w:color w:val="auto"/>
          <w:sz w:val="21"/>
          <w:szCs w:val="21"/>
          <w:highlight w:val="none"/>
        </w:rPr>
      </w:pPr>
      <w:bookmarkStart w:id="884" w:name="_Toc7772"/>
      <w:bookmarkStart w:id="885" w:name="_Toc351203542"/>
      <w:r>
        <w:rPr>
          <w:rFonts w:hint="eastAsia" w:ascii="宋体" w:hAnsi="宋体" w:eastAsia="宋体" w:cs="宋体"/>
          <w:b w:val="0"/>
          <w:color w:val="auto"/>
          <w:sz w:val="21"/>
          <w:szCs w:val="21"/>
          <w:highlight w:val="none"/>
        </w:rPr>
        <w:t>7</w:t>
      </w:r>
      <w:bookmarkStart w:id="886" w:name="_Toc337558767"/>
      <w:r>
        <w:rPr>
          <w:rFonts w:hint="eastAsia" w:ascii="宋体" w:hAnsi="宋体" w:eastAsia="宋体" w:cs="宋体"/>
          <w:b w:val="0"/>
          <w:color w:val="auto"/>
          <w:sz w:val="21"/>
          <w:szCs w:val="21"/>
          <w:highlight w:val="none"/>
        </w:rPr>
        <w:t>. 工期和进度</w:t>
      </w:r>
      <w:bookmarkEnd w:id="884"/>
      <w:bookmarkEnd w:id="885"/>
    </w:p>
    <w:bookmarkEnd w:id="886"/>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87" w:name="_Toc26120"/>
      <w:bookmarkStart w:id="888" w:name="_Toc351203543"/>
      <w:r>
        <w:rPr>
          <w:rFonts w:hint="eastAsia" w:ascii="宋体" w:hAnsi="宋体" w:eastAsia="宋体" w:cs="宋体"/>
          <w:b w:val="0"/>
          <w:color w:val="auto"/>
          <w:sz w:val="21"/>
          <w:szCs w:val="21"/>
          <w:highlight w:val="none"/>
        </w:rPr>
        <w:t>7</w:t>
      </w:r>
      <w:bookmarkStart w:id="889" w:name="_Toc337558768"/>
      <w:bookmarkStart w:id="890" w:name="_Toc296503066"/>
      <w:bookmarkStart w:id="891" w:name="_Toc296346567"/>
      <w:r>
        <w:rPr>
          <w:rFonts w:hint="eastAsia" w:ascii="宋体" w:hAnsi="宋体" w:eastAsia="宋体" w:cs="宋体"/>
          <w:b w:val="0"/>
          <w:color w:val="auto"/>
          <w:sz w:val="21"/>
          <w:szCs w:val="21"/>
          <w:highlight w:val="none"/>
        </w:rPr>
        <w:t>.1施工组织设计</w:t>
      </w:r>
      <w:bookmarkEnd w:id="887"/>
      <w:bookmarkEnd w:id="888"/>
    </w:p>
    <w:bookmarkEnd w:id="889"/>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92" w:name="_Toc11120"/>
      <w:r>
        <w:rPr>
          <w:rFonts w:hint="eastAsia" w:ascii="宋体" w:hAnsi="宋体" w:eastAsia="宋体" w:cs="宋体"/>
          <w:color w:val="auto"/>
          <w:sz w:val="21"/>
          <w:szCs w:val="21"/>
          <w:highlight w:val="none"/>
        </w:rPr>
        <w:t xml:space="preserve">7.1.1 </w:t>
      </w:r>
      <w:r>
        <w:rPr>
          <w:rFonts w:hint="eastAsia" w:ascii="宋体" w:hAnsi="宋体" w:eastAsia="宋体" w:cs="宋体"/>
          <w:color w:val="auto"/>
          <w:kern w:val="0"/>
          <w:sz w:val="21"/>
          <w:szCs w:val="21"/>
          <w:highlight w:val="none"/>
        </w:rPr>
        <w:t>施工组织设计的内容</w:t>
      </w:r>
      <w:bookmarkEnd w:id="89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（1）施工方案；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（3）施工进度计划和保证措施；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（9）合同当事人约定的其他内容。</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93" w:name="_Toc10467"/>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bookmarkEnd w:id="89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施工进度计划的编制和修改按照第7.2款〔施工进度计划〕执行。</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94" w:name="_Toc351203544"/>
      <w:bookmarkStart w:id="895" w:name="_Toc7863"/>
      <w:r>
        <w:rPr>
          <w:rFonts w:hint="eastAsia" w:ascii="宋体" w:hAnsi="宋体" w:eastAsia="宋体" w:cs="宋体"/>
          <w:b w:val="0"/>
          <w:color w:val="auto"/>
          <w:sz w:val="21"/>
          <w:szCs w:val="21"/>
          <w:highlight w:val="none"/>
        </w:rPr>
        <w:t>7</w:t>
      </w:r>
      <w:bookmarkStart w:id="896" w:name="_Toc337558769"/>
      <w:r>
        <w:rPr>
          <w:rFonts w:hint="eastAsia" w:ascii="宋体" w:hAnsi="宋体" w:eastAsia="宋体" w:cs="宋体"/>
          <w:b w:val="0"/>
          <w:color w:val="auto"/>
          <w:sz w:val="21"/>
          <w:szCs w:val="21"/>
          <w:highlight w:val="none"/>
        </w:rPr>
        <w:t>.2 施工进度计划</w:t>
      </w:r>
      <w:bookmarkEnd w:id="894"/>
      <w:bookmarkEnd w:id="895"/>
    </w:p>
    <w:bookmarkEnd w:id="896"/>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97" w:name="_Toc11558"/>
      <w:r>
        <w:rPr>
          <w:rFonts w:hint="eastAsia" w:ascii="宋体" w:hAnsi="宋体" w:eastAsia="宋体" w:cs="宋体"/>
          <w:color w:val="auto"/>
          <w:kern w:val="0"/>
          <w:sz w:val="21"/>
          <w:szCs w:val="21"/>
          <w:highlight w:val="none"/>
        </w:rPr>
        <w:t>7.2.1 施工进度计划的编制</w:t>
      </w:r>
      <w:bookmarkEnd w:id="89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898" w:name="_Toc17091"/>
      <w:r>
        <w:rPr>
          <w:rFonts w:hint="eastAsia" w:ascii="宋体" w:hAnsi="宋体" w:eastAsia="宋体" w:cs="宋体"/>
          <w:color w:val="auto"/>
          <w:sz w:val="21"/>
          <w:szCs w:val="21"/>
          <w:highlight w:val="none"/>
        </w:rPr>
        <w:t>7.2.2 施工进度计划的修订</w:t>
      </w:r>
      <w:bookmarkEnd w:id="89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899" w:name="_Toc351203545"/>
      <w:bookmarkStart w:id="900" w:name="_Toc19741"/>
      <w:r>
        <w:rPr>
          <w:rFonts w:hint="eastAsia" w:ascii="宋体" w:hAnsi="宋体" w:eastAsia="宋体" w:cs="宋体"/>
          <w:b w:val="0"/>
          <w:color w:val="auto"/>
          <w:sz w:val="21"/>
          <w:szCs w:val="21"/>
          <w:highlight w:val="none"/>
        </w:rPr>
        <w:t>7</w:t>
      </w:r>
      <w:bookmarkStart w:id="901" w:name="_Toc337558770"/>
      <w:r>
        <w:rPr>
          <w:rFonts w:hint="eastAsia" w:ascii="宋体" w:hAnsi="宋体" w:eastAsia="宋体" w:cs="宋体"/>
          <w:b w:val="0"/>
          <w:color w:val="auto"/>
          <w:sz w:val="21"/>
          <w:szCs w:val="21"/>
          <w:highlight w:val="none"/>
        </w:rPr>
        <w:t>.3 开工</w:t>
      </w:r>
      <w:bookmarkEnd w:id="899"/>
      <w:bookmarkEnd w:id="900"/>
    </w:p>
    <w:p>
      <w:pPr>
        <w:spacing w:line="360" w:lineRule="auto"/>
        <w:ind w:firstLine="420" w:firstLineChars="200"/>
        <w:outlineLvl w:val="2"/>
        <w:rPr>
          <w:rFonts w:hint="eastAsia" w:ascii="宋体" w:hAnsi="宋体" w:eastAsia="宋体" w:cs="宋体"/>
          <w:color w:val="auto"/>
          <w:sz w:val="21"/>
          <w:szCs w:val="21"/>
          <w:highlight w:val="none"/>
        </w:rPr>
      </w:pPr>
      <w:bookmarkStart w:id="902" w:name="_Toc25263"/>
      <w:r>
        <w:rPr>
          <w:rFonts w:hint="eastAsia" w:ascii="宋体" w:hAnsi="宋体" w:eastAsia="宋体" w:cs="宋体"/>
          <w:color w:val="auto"/>
          <w:kern w:val="0"/>
          <w:sz w:val="21"/>
          <w:szCs w:val="21"/>
          <w:highlight w:val="none"/>
        </w:rPr>
        <w:t>7.3.1 开工准备</w:t>
      </w:r>
      <w:bookmarkEnd w:id="90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除专用合同条款另有约定外，合同当事人应按约定完成开工准备工作。</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03" w:name="_Toc390"/>
      <w:r>
        <w:rPr>
          <w:rFonts w:hint="eastAsia" w:ascii="宋体" w:hAnsi="宋体" w:eastAsia="宋体" w:cs="宋体"/>
          <w:color w:val="auto"/>
          <w:kern w:val="0"/>
          <w:sz w:val="21"/>
          <w:szCs w:val="21"/>
          <w:highlight w:val="none"/>
        </w:rPr>
        <w:t>7.3.2 开工通知</w:t>
      </w:r>
      <w:bookmarkEnd w:id="903"/>
    </w:p>
    <w:bookmarkEnd w:id="90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04" w:name="_Toc19974"/>
      <w:bookmarkStart w:id="905" w:name="_Toc351203546"/>
      <w:r>
        <w:rPr>
          <w:rFonts w:hint="eastAsia" w:ascii="宋体" w:hAnsi="宋体" w:eastAsia="宋体" w:cs="宋体"/>
          <w:b w:val="0"/>
          <w:color w:val="auto"/>
          <w:sz w:val="21"/>
          <w:szCs w:val="21"/>
          <w:highlight w:val="none"/>
        </w:rPr>
        <w:t>7.4测量放线</w:t>
      </w:r>
      <w:bookmarkEnd w:id="904"/>
      <w:bookmarkEnd w:id="90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施工过程中对施工现场内水准点等测量标志物的保护工作由承包人负责。</w:t>
      </w:r>
      <w:bookmarkStart w:id="906" w:name="_Toc351203547"/>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07" w:name="_Toc22118"/>
      <w:r>
        <w:rPr>
          <w:rFonts w:hint="eastAsia" w:ascii="宋体" w:hAnsi="宋体" w:eastAsia="宋体" w:cs="宋体"/>
          <w:b w:val="0"/>
          <w:color w:val="auto"/>
          <w:sz w:val="21"/>
          <w:szCs w:val="21"/>
          <w:highlight w:val="none"/>
        </w:rPr>
        <w:t>7</w:t>
      </w:r>
      <w:bookmarkEnd w:id="890"/>
      <w:bookmarkEnd w:id="891"/>
      <w:bookmarkStart w:id="908" w:name="_Toc337558772"/>
      <w:bookmarkStart w:id="909" w:name="_Toc296346574"/>
      <w:bookmarkStart w:id="910" w:name="_Toc296503073"/>
      <w:r>
        <w:rPr>
          <w:rFonts w:hint="eastAsia" w:ascii="宋体" w:hAnsi="宋体" w:eastAsia="宋体" w:cs="宋体"/>
          <w:b w:val="0"/>
          <w:color w:val="auto"/>
          <w:sz w:val="21"/>
          <w:szCs w:val="21"/>
          <w:highlight w:val="none"/>
        </w:rPr>
        <w:t>.5 工期延误</w:t>
      </w:r>
      <w:bookmarkEnd w:id="906"/>
      <w:bookmarkEnd w:id="907"/>
    </w:p>
    <w:bookmarkEnd w:id="908"/>
    <w:bookmarkEnd w:id="909"/>
    <w:bookmarkEnd w:id="910"/>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11" w:name="_Toc30937"/>
      <w:r>
        <w:rPr>
          <w:rFonts w:hint="eastAsia" w:ascii="宋体" w:hAnsi="宋体" w:eastAsia="宋体" w:cs="宋体"/>
          <w:color w:val="auto"/>
          <w:kern w:val="0"/>
          <w:sz w:val="21"/>
          <w:szCs w:val="21"/>
          <w:highlight w:val="none"/>
        </w:rPr>
        <w:t>7.5.1 因发包人原因导致工期延误</w:t>
      </w:r>
      <w:bookmarkEnd w:id="911"/>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（1）发包人未能按合同约定提供图纸或所提供图纸不符合合同约定的；</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（2）发包人未能按合同约定提供施工现场、施工条件、基础资料、许可、批准等开工条件的；</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（3）发包人提供的测量基准点、基准线和水准点及其书面资料存在错误或疏漏的；</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（4）发包人未能在计划开工日期之日起7天内同意下达开工通知的；</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（5）发包人未能按合同约定日期支付工程预付款、进度款或竣工结算款的；</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（6）监理人未按合同约定发出指示、批准等文件的；</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（7）专用合同条款中约定的其他情形。</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20" w:firstLineChars="200"/>
        <w:jc w:val="left"/>
        <w:outlineLvl w:val="2"/>
        <w:rPr>
          <w:rFonts w:hint="eastAsia" w:ascii="宋体" w:hAnsi="宋体" w:eastAsia="宋体" w:cs="宋体"/>
          <w:color w:val="auto"/>
          <w:sz w:val="21"/>
          <w:szCs w:val="21"/>
          <w:highlight w:val="none"/>
        </w:rPr>
      </w:pPr>
      <w:bookmarkStart w:id="912" w:name="_Toc3901"/>
      <w:r>
        <w:rPr>
          <w:rFonts w:hint="eastAsia" w:ascii="宋体" w:hAnsi="宋体" w:eastAsia="宋体" w:cs="宋体"/>
          <w:color w:val="auto"/>
          <w:kern w:val="0"/>
          <w:sz w:val="21"/>
          <w:szCs w:val="21"/>
          <w:highlight w:val="none"/>
        </w:rPr>
        <w:t>7.5.2 因承包人原因导致工期延误</w:t>
      </w:r>
      <w:bookmarkEnd w:id="91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bookmarkStart w:id="913" w:name="_Toc296346577"/>
      <w:bookmarkStart w:id="914" w:name="_Toc296503076"/>
      <w:r>
        <w:rPr>
          <w:rFonts w:hint="eastAsia" w:ascii="宋体" w:hAnsi="宋体" w:eastAsia="宋体" w:cs="宋体"/>
          <w:color w:val="auto"/>
          <w:kern w:val="0"/>
          <w:sz w:val="21"/>
          <w:szCs w:val="21"/>
          <w:highlight w:val="none"/>
        </w:rPr>
        <w:t>因</w:t>
      </w:r>
      <w:bookmarkEnd w:id="913"/>
      <w:bookmarkEnd w:id="914"/>
      <w:r>
        <w:rPr>
          <w:rFonts w:hint="eastAsia" w:ascii="宋体" w:hAnsi="宋体" w:eastAsia="宋体" w:cs="宋体"/>
          <w:color w:val="auto"/>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15" w:name="_Toc396"/>
      <w:bookmarkStart w:id="916" w:name="_Toc351203548"/>
      <w:r>
        <w:rPr>
          <w:rFonts w:hint="eastAsia" w:ascii="宋体" w:hAnsi="宋体" w:eastAsia="宋体" w:cs="宋体"/>
          <w:b w:val="0"/>
          <w:color w:val="auto"/>
          <w:sz w:val="21"/>
          <w:szCs w:val="21"/>
          <w:highlight w:val="none"/>
        </w:rPr>
        <w:t>7</w:t>
      </w:r>
      <w:bookmarkStart w:id="917" w:name="_Toc337558773"/>
      <w:bookmarkStart w:id="918" w:name="_Toc296346575"/>
      <w:bookmarkStart w:id="919" w:name="_Toc296503074"/>
      <w:bookmarkStart w:id="920" w:name="_Toc296346578"/>
      <w:bookmarkStart w:id="921" w:name="_Toc296503077"/>
      <w:r>
        <w:rPr>
          <w:rFonts w:hint="eastAsia" w:ascii="宋体" w:hAnsi="宋体" w:eastAsia="宋体" w:cs="宋体"/>
          <w:b w:val="0"/>
          <w:color w:val="auto"/>
          <w:sz w:val="21"/>
          <w:szCs w:val="21"/>
          <w:highlight w:val="none"/>
        </w:rPr>
        <w:t>.6 不利物质条件</w:t>
      </w:r>
      <w:bookmarkEnd w:id="915"/>
      <w:bookmarkEnd w:id="916"/>
    </w:p>
    <w:bookmarkEnd w:id="917"/>
    <w:bookmarkEnd w:id="918"/>
    <w:bookmarkEnd w:id="91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22" w:name="_Toc351203549"/>
      <w:bookmarkStart w:id="923" w:name="_Toc15898"/>
      <w:r>
        <w:rPr>
          <w:rFonts w:hint="eastAsia" w:ascii="宋体" w:hAnsi="宋体" w:eastAsia="宋体" w:cs="宋体"/>
          <w:b w:val="0"/>
          <w:color w:val="auto"/>
          <w:sz w:val="21"/>
          <w:szCs w:val="21"/>
          <w:highlight w:val="none"/>
        </w:rPr>
        <w:t>7</w:t>
      </w:r>
      <w:bookmarkStart w:id="924" w:name="_Toc296503075"/>
      <w:bookmarkStart w:id="925" w:name="_Toc296346576"/>
      <w:bookmarkStart w:id="926" w:name="_Toc337558774"/>
      <w:r>
        <w:rPr>
          <w:rFonts w:hint="eastAsia" w:ascii="宋体" w:hAnsi="宋体" w:eastAsia="宋体" w:cs="宋体"/>
          <w:b w:val="0"/>
          <w:color w:val="auto"/>
          <w:sz w:val="21"/>
          <w:szCs w:val="21"/>
          <w:highlight w:val="none"/>
        </w:rPr>
        <w:t>.7 异常恶劣的气候条件</w:t>
      </w:r>
      <w:bookmarkEnd w:id="922"/>
      <w:bookmarkEnd w:id="923"/>
    </w:p>
    <w:bookmarkEnd w:id="924"/>
    <w:bookmarkEnd w:id="925"/>
    <w:bookmarkEnd w:id="92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27" w:name="_Toc351203550"/>
    </w:p>
    <w:p>
      <w:pPr>
        <w:autoSpaceDE w:val="0"/>
        <w:autoSpaceDN w:val="0"/>
        <w:adjustRightInd w:val="0"/>
        <w:spacing w:line="360" w:lineRule="auto"/>
        <w:ind w:firstLine="420" w:firstLineChars="200"/>
        <w:jc w:val="left"/>
        <w:outlineLvl w:val="1"/>
        <w:rPr>
          <w:rFonts w:hint="eastAsia" w:ascii="宋体" w:hAnsi="宋体" w:eastAsia="宋体" w:cs="宋体"/>
          <w:bCs/>
          <w:color w:val="auto"/>
          <w:sz w:val="21"/>
          <w:szCs w:val="21"/>
          <w:highlight w:val="none"/>
        </w:rPr>
      </w:pPr>
      <w:bookmarkStart w:id="928" w:name="_Toc29231"/>
      <w:r>
        <w:rPr>
          <w:rFonts w:hint="eastAsia" w:ascii="宋体" w:hAnsi="宋体" w:eastAsia="宋体" w:cs="宋体"/>
          <w:bCs/>
          <w:color w:val="auto"/>
          <w:sz w:val="21"/>
          <w:szCs w:val="21"/>
          <w:highlight w:val="none"/>
        </w:rPr>
        <w:t>7</w:t>
      </w:r>
      <w:bookmarkStart w:id="929" w:name="_Toc337558775"/>
      <w:r>
        <w:rPr>
          <w:rFonts w:hint="eastAsia" w:ascii="宋体" w:hAnsi="宋体" w:eastAsia="宋体" w:cs="宋体"/>
          <w:bCs/>
          <w:color w:val="auto"/>
          <w:sz w:val="21"/>
          <w:szCs w:val="21"/>
          <w:highlight w:val="none"/>
        </w:rPr>
        <w:t>.8 暂停施工</w:t>
      </w:r>
      <w:bookmarkEnd w:id="927"/>
      <w:bookmarkEnd w:id="928"/>
    </w:p>
    <w:bookmarkEnd w:id="920"/>
    <w:bookmarkEnd w:id="921"/>
    <w:bookmarkEnd w:id="929"/>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0" w:name="_Toc27686"/>
      <w:r>
        <w:rPr>
          <w:rFonts w:hint="eastAsia" w:ascii="宋体" w:hAnsi="宋体" w:eastAsia="宋体" w:cs="宋体"/>
          <w:color w:val="auto"/>
          <w:kern w:val="0"/>
          <w:sz w:val="21"/>
          <w:szCs w:val="21"/>
          <w:highlight w:val="none"/>
        </w:rPr>
        <w:t>7.8.1发包人原因引起的暂停施工</w:t>
      </w:r>
      <w:bookmarkEnd w:id="93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因发包人原因引起的暂停施工，发包人应承担由此增加的费用和（或）延误的工期，并支付承包人合理的利润。</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1" w:name="_Toc335"/>
      <w:r>
        <w:rPr>
          <w:rFonts w:hint="eastAsia" w:ascii="宋体" w:hAnsi="宋体" w:eastAsia="宋体" w:cs="宋体"/>
          <w:color w:val="auto"/>
          <w:kern w:val="0"/>
          <w:sz w:val="21"/>
          <w:szCs w:val="21"/>
          <w:highlight w:val="none"/>
        </w:rPr>
        <w:t>7.8.2 承包人原因引起的暂停施工</w:t>
      </w:r>
      <w:bookmarkEnd w:id="931"/>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2" w:name="_Toc10134"/>
      <w:r>
        <w:rPr>
          <w:rFonts w:hint="eastAsia" w:ascii="宋体" w:hAnsi="宋体" w:eastAsia="宋体" w:cs="宋体"/>
          <w:color w:val="auto"/>
          <w:kern w:val="0"/>
          <w:sz w:val="21"/>
          <w:szCs w:val="21"/>
          <w:highlight w:val="none"/>
        </w:rPr>
        <w:t>7.8.3 指示暂停施工</w:t>
      </w:r>
      <w:bookmarkEnd w:id="93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监理人认为有必要时，并经发包人批准后，可向承包人作出暂停施工的指示，承包人应按监理人指示暂停施工。</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3" w:name="_Toc30378"/>
      <w:r>
        <w:rPr>
          <w:rFonts w:hint="eastAsia" w:ascii="宋体" w:hAnsi="宋体" w:eastAsia="宋体" w:cs="宋体"/>
          <w:color w:val="auto"/>
          <w:kern w:val="0"/>
          <w:sz w:val="21"/>
          <w:szCs w:val="21"/>
          <w:highlight w:val="none"/>
        </w:rPr>
        <w:t>7.8.4 紧急情况下的暂停施工</w:t>
      </w:r>
      <w:bookmarkEnd w:id="93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4" w:name="_Toc10793"/>
      <w:r>
        <w:rPr>
          <w:rFonts w:hint="eastAsia" w:ascii="宋体" w:hAnsi="宋体" w:eastAsia="宋体" w:cs="宋体"/>
          <w:color w:val="auto"/>
          <w:kern w:val="0"/>
          <w:sz w:val="21"/>
          <w:szCs w:val="21"/>
          <w:highlight w:val="none"/>
        </w:rPr>
        <w:t>7.8.5 暂停施工后的复工</w:t>
      </w:r>
      <w:bookmarkEnd w:id="934"/>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5" w:name="_Toc14890"/>
      <w:r>
        <w:rPr>
          <w:rFonts w:hint="eastAsia" w:ascii="宋体" w:hAnsi="宋体" w:eastAsia="宋体" w:cs="宋体"/>
          <w:color w:val="auto"/>
          <w:kern w:val="0"/>
          <w:sz w:val="21"/>
          <w:szCs w:val="21"/>
          <w:highlight w:val="none"/>
        </w:rPr>
        <w:t>7.8.6 暂停施工持续56天以上</w:t>
      </w:r>
      <w:bookmarkEnd w:id="935"/>
    </w:p>
    <w:p>
      <w:pPr>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leftChars="0" w:firstLine="409" w:firstLineChars="195"/>
        <w:jc w:val="left"/>
        <w:outlineLvl w:val="2"/>
        <w:rPr>
          <w:rFonts w:hint="eastAsia" w:ascii="宋体" w:hAnsi="宋体" w:eastAsia="宋体" w:cs="宋体"/>
          <w:color w:val="auto"/>
          <w:kern w:val="0"/>
          <w:sz w:val="21"/>
          <w:szCs w:val="21"/>
          <w:highlight w:val="none"/>
        </w:rPr>
      </w:pPr>
      <w:bookmarkStart w:id="936" w:name="_Toc9372"/>
      <w:r>
        <w:rPr>
          <w:rFonts w:hint="eastAsia" w:ascii="宋体" w:hAnsi="宋体" w:eastAsia="宋体" w:cs="宋体"/>
          <w:color w:val="auto"/>
          <w:kern w:val="0"/>
          <w:sz w:val="21"/>
          <w:szCs w:val="21"/>
          <w:highlight w:val="none"/>
        </w:rPr>
        <w:t>7.8.7 暂停施工期间的工程照管</w:t>
      </w:r>
      <w:bookmarkEnd w:id="936"/>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37" w:name="_Toc2067"/>
      <w:r>
        <w:rPr>
          <w:rFonts w:hint="eastAsia" w:ascii="宋体" w:hAnsi="宋体" w:eastAsia="宋体" w:cs="宋体"/>
          <w:color w:val="auto"/>
          <w:kern w:val="0"/>
          <w:sz w:val="21"/>
          <w:szCs w:val="21"/>
          <w:highlight w:val="none"/>
        </w:rPr>
        <w:t>7.8.8 暂停施工的措施</w:t>
      </w:r>
      <w:bookmarkEnd w:id="937"/>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38" w:name="_Toc351203551"/>
      <w:bookmarkStart w:id="939" w:name="_Toc24252"/>
      <w:r>
        <w:rPr>
          <w:rFonts w:hint="eastAsia" w:ascii="宋体" w:hAnsi="宋体" w:eastAsia="宋体" w:cs="宋体"/>
          <w:b w:val="0"/>
          <w:color w:val="auto"/>
          <w:sz w:val="21"/>
          <w:szCs w:val="21"/>
          <w:highlight w:val="none"/>
        </w:rPr>
        <w:t>7.9提前竣工</w:t>
      </w:r>
      <w:bookmarkEnd w:id="938"/>
      <w:bookmarkEnd w:id="93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发包人要求承包人提前竣工，或承包人提出提前竣工的建议能够给发包人带来效益的，合同当事人可以在专用合同条款中约定提前竣工的奖励。</w:t>
      </w:r>
    </w:p>
    <w:p>
      <w:pPr>
        <w:pStyle w:val="6"/>
        <w:spacing w:before="120" w:after="120" w:line="360" w:lineRule="auto"/>
        <w:outlineLvl w:val="0"/>
        <w:rPr>
          <w:rFonts w:hint="eastAsia" w:ascii="宋体" w:hAnsi="宋体" w:eastAsia="宋体" w:cs="宋体"/>
          <w:b w:val="0"/>
          <w:color w:val="auto"/>
          <w:sz w:val="21"/>
          <w:szCs w:val="21"/>
          <w:highlight w:val="none"/>
        </w:rPr>
      </w:pPr>
      <w:bookmarkStart w:id="940" w:name="_Toc23369"/>
      <w:bookmarkStart w:id="941" w:name="_Toc351203552"/>
      <w:r>
        <w:rPr>
          <w:rFonts w:hint="eastAsia" w:ascii="宋体" w:hAnsi="宋体" w:eastAsia="宋体" w:cs="宋体"/>
          <w:b w:val="0"/>
          <w:color w:val="auto"/>
          <w:sz w:val="21"/>
          <w:szCs w:val="21"/>
          <w:highlight w:val="none"/>
        </w:rPr>
        <w:t>8</w:t>
      </w:r>
      <w:bookmarkStart w:id="942" w:name="_Toc296503058"/>
      <w:bookmarkStart w:id="943" w:name="_Toc296346559"/>
      <w:bookmarkStart w:id="944" w:name="_Toc337558776"/>
      <w:r>
        <w:rPr>
          <w:rFonts w:hint="eastAsia" w:ascii="宋体" w:hAnsi="宋体" w:eastAsia="宋体" w:cs="宋体"/>
          <w:b w:val="0"/>
          <w:color w:val="auto"/>
          <w:sz w:val="21"/>
          <w:szCs w:val="21"/>
          <w:highlight w:val="none"/>
        </w:rPr>
        <w:t>. 材料与设备</w:t>
      </w:r>
      <w:bookmarkEnd w:id="940"/>
      <w:bookmarkEnd w:id="941"/>
    </w:p>
    <w:bookmarkEnd w:id="942"/>
    <w:bookmarkEnd w:id="943"/>
    <w:bookmarkEnd w:id="944"/>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45" w:name="_Toc6393"/>
      <w:bookmarkStart w:id="946" w:name="_Toc351203553"/>
      <w:r>
        <w:rPr>
          <w:rFonts w:hint="eastAsia" w:ascii="宋体" w:hAnsi="宋体" w:eastAsia="宋体" w:cs="宋体"/>
          <w:b w:val="0"/>
          <w:color w:val="auto"/>
          <w:sz w:val="21"/>
          <w:szCs w:val="21"/>
          <w:highlight w:val="none"/>
        </w:rPr>
        <w:t>8</w:t>
      </w:r>
      <w:bookmarkStart w:id="947" w:name="_Toc337558777"/>
      <w:bookmarkStart w:id="948" w:name="_Toc296346560"/>
      <w:bookmarkStart w:id="949" w:name="_Toc296503059"/>
      <w:bookmarkStart w:id="950" w:name="_Toc468936960"/>
      <w:r>
        <w:rPr>
          <w:rFonts w:hint="eastAsia" w:ascii="宋体" w:hAnsi="宋体" w:eastAsia="宋体" w:cs="宋体"/>
          <w:b w:val="0"/>
          <w:color w:val="auto"/>
          <w:sz w:val="21"/>
          <w:szCs w:val="21"/>
          <w:highlight w:val="none"/>
        </w:rPr>
        <w:t>.1发包人供应材料与工程设备</w:t>
      </w:r>
      <w:bookmarkEnd w:id="945"/>
      <w:bookmarkEnd w:id="946"/>
    </w:p>
    <w:bookmarkEnd w:id="947"/>
    <w:bookmarkEnd w:id="948"/>
    <w:bookmarkEnd w:id="94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60" w:lineRule="auto"/>
        <w:ind w:firstLine="420" w:firstLineChars="200"/>
        <w:outlineLvl w:val="1"/>
        <w:rPr>
          <w:rFonts w:hint="eastAsia" w:ascii="宋体" w:hAnsi="宋体" w:eastAsia="宋体" w:cs="宋体"/>
          <w:color w:val="auto"/>
          <w:sz w:val="21"/>
          <w:szCs w:val="21"/>
          <w:highlight w:val="none"/>
        </w:rPr>
      </w:pPr>
      <w:bookmarkStart w:id="951" w:name="_Toc351203554"/>
      <w:bookmarkStart w:id="952" w:name="_Toc26390"/>
      <w:r>
        <w:rPr>
          <w:rFonts w:hint="eastAsia" w:ascii="宋体" w:hAnsi="宋体" w:eastAsia="宋体" w:cs="宋体"/>
          <w:b w:val="0"/>
          <w:color w:val="auto"/>
          <w:sz w:val="21"/>
          <w:szCs w:val="21"/>
          <w:highlight w:val="none"/>
        </w:rPr>
        <w:t>8</w:t>
      </w:r>
      <w:bookmarkStart w:id="953" w:name="_Toc296346561"/>
      <w:bookmarkStart w:id="954" w:name="_Toc296503060"/>
      <w:bookmarkStart w:id="955" w:name="_Toc337558778"/>
      <w:r>
        <w:rPr>
          <w:rFonts w:hint="eastAsia" w:ascii="宋体" w:hAnsi="宋体" w:eastAsia="宋体" w:cs="宋体"/>
          <w:b w:val="0"/>
          <w:color w:val="auto"/>
          <w:sz w:val="21"/>
          <w:szCs w:val="21"/>
          <w:highlight w:val="none"/>
        </w:rPr>
        <w:t>.2承包人采购材料与工程设备</w:t>
      </w:r>
      <w:bookmarkEnd w:id="951"/>
      <w:bookmarkEnd w:id="952"/>
    </w:p>
    <w:bookmarkEnd w:id="953"/>
    <w:bookmarkEnd w:id="954"/>
    <w:bookmarkEnd w:id="95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56" w:name="_Toc17321"/>
      <w:bookmarkStart w:id="957" w:name="_Toc351203555"/>
      <w:r>
        <w:rPr>
          <w:rFonts w:hint="eastAsia" w:ascii="宋体" w:hAnsi="宋体" w:eastAsia="宋体" w:cs="宋体"/>
          <w:b w:val="0"/>
          <w:color w:val="auto"/>
          <w:sz w:val="21"/>
          <w:szCs w:val="21"/>
          <w:highlight w:val="none"/>
        </w:rPr>
        <w:t>8</w:t>
      </w:r>
      <w:bookmarkStart w:id="958" w:name="_Toc337558779"/>
      <w:bookmarkStart w:id="959" w:name="_Toc296503061"/>
      <w:bookmarkStart w:id="960" w:name="_Toc296346562"/>
      <w:r>
        <w:rPr>
          <w:rFonts w:hint="eastAsia" w:ascii="宋体" w:hAnsi="宋体" w:eastAsia="宋体" w:cs="宋体"/>
          <w:b w:val="0"/>
          <w:color w:val="auto"/>
          <w:sz w:val="21"/>
          <w:szCs w:val="21"/>
          <w:highlight w:val="none"/>
        </w:rPr>
        <w:t>.3材料与工程设备的接收与拒收</w:t>
      </w:r>
      <w:bookmarkEnd w:id="956"/>
      <w:bookmarkEnd w:id="957"/>
    </w:p>
    <w:bookmarkEnd w:id="958"/>
    <w:bookmarkEnd w:id="959"/>
    <w:bookmarkEnd w:id="96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8.3.2 承包人采购的材料和工程设备，应保证产品质量合格，承包人应在材料和工程设备到货前24小时通知监理人检验。承</w:t>
      </w:r>
      <w:bookmarkStart w:id="961" w:name="_Toc250655469"/>
      <w:r>
        <w:rPr>
          <w:rFonts w:hint="eastAsia" w:ascii="宋体" w:hAnsi="宋体" w:eastAsia="宋体" w:cs="宋体"/>
          <w:color w:val="auto"/>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961"/>
    <w:p>
      <w:pPr>
        <w:autoSpaceDE w:val="0"/>
        <w:autoSpaceDN w:val="0"/>
        <w:adjustRightInd w:val="0"/>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62" w:name="_Toc989"/>
      <w:bookmarkStart w:id="963" w:name="_Toc351203556"/>
      <w:r>
        <w:rPr>
          <w:rFonts w:hint="eastAsia" w:ascii="宋体" w:hAnsi="宋体" w:eastAsia="宋体" w:cs="宋体"/>
          <w:b w:val="0"/>
          <w:color w:val="auto"/>
          <w:sz w:val="21"/>
          <w:szCs w:val="21"/>
          <w:highlight w:val="none"/>
        </w:rPr>
        <w:t>8</w:t>
      </w:r>
      <w:bookmarkStart w:id="964" w:name="_Toc337558780"/>
      <w:bookmarkStart w:id="965" w:name="_Toc296346563"/>
      <w:bookmarkStart w:id="966" w:name="_Toc296503062"/>
      <w:r>
        <w:rPr>
          <w:rFonts w:hint="eastAsia" w:ascii="宋体" w:hAnsi="宋体" w:eastAsia="宋体" w:cs="宋体"/>
          <w:b w:val="0"/>
          <w:color w:val="auto"/>
          <w:sz w:val="21"/>
          <w:szCs w:val="21"/>
          <w:highlight w:val="none"/>
        </w:rPr>
        <w:t>.4材料与工程设备的保管与使用</w:t>
      </w:r>
      <w:bookmarkEnd w:id="962"/>
      <w:bookmarkEnd w:id="963"/>
    </w:p>
    <w:bookmarkEnd w:id="964"/>
    <w:bookmarkEnd w:id="965"/>
    <w:bookmarkEnd w:id="966"/>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67" w:name="_Toc356"/>
      <w:r>
        <w:rPr>
          <w:rFonts w:hint="eastAsia" w:ascii="宋体" w:hAnsi="宋体" w:eastAsia="宋体" w:cs="宋体"/>
          <w:color w:val="auto"/>
          <w:kern w:val="0"/>
          <w:sz w:val="21"/>
          <w:szCs w:val="21"/>
          <w:highlight w:val="none"/>
        </w:rPr>
        <w:t>8.4.1 发包人供应</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bookmarkEnd w:id="96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68" w:name="_Toc20120"/>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bookmarkEnd w:id="96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69" w:name="_Toc21778"/>
      <w:bookmarkStart w:id="970" w:name="_Toc351203557"/>
      <w:r>
        <w:rPr>
          <w:rFonts w:hint="eastAsia" w:ascii="宋体" w:hAnsi="宋体" w:eastAsia="宋体" w:cs="宋体"/>
          <w:b w:val="0"/>
          <w:color w:val="auto"/>
          <w:sz w:val="21"/>
          <w:szCs w:val="21"/>
          <w:highlight w:val="none"/>
        </w:rPr>
        <w:t>8.5禁止使用不合格的材料和工程设备</w:t>
      </w:r>
      <w:bookmarkEnd w:id="969"/>
      <w:bookmarkEnd w:id="97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71" w:name="_Toc351203558"/>
      <w:bookmarkStart w:id="972" w:name="_Toc30996"/>
      <w:r>
        <w:rPr>
          <w:rFonts w:hint="eastAsia" w:ascii="宋体" w:hAnsi="宋体" w:eastAsia="宋体" w:cs="宋体"/>
          <w:b w:val="0"/>
          <w:color w:val="auto"/>
          <w:sz w:val="21"/>
          <w:szCs w:val="21"/>
          <w:highlight w:val="none"/>
        </w:rPr>
        <w:t>8.6 样品</w:t>
      </w:r>
      <w:bookmarkEnd w:id="971"/>
      <w:bookmarkEnd w:id="972"/>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73" w:name="_Toc8618"/>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bookmarkEnd w:id="97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74" w:name="_Toc31050"/>
      <w:r>
        <w:rPr>
          <w:rFonts w:hint="eastAsia" w:ascii="宋体" w:hAnsi="宋体" w:eastAsia="宋体" w:cs="宋体"/>
          <w:color w:val="auto"/>
          <w:kern w:val="0"/>
          <w:sz w:val="21"/>
          <w:szCs w:val="21"/>
          <w:highlight w:val="none"/>
        </w:rPr>
        <w:t>8.6.2 样品的保管</w:t>
      </w:r>
      <w:bookmarkEnd w:id="974"/>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经批准的样品应由监理人负责封存于现场，承包人应在现场为保存样品提供适当和固定的场所并保持适当和良好的存储环境条件。</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75" w:name="_Toc4275"/>
      <w:bookmarkStart w:id="976" w:name="_Toc351203559"/>
      <w:r>
        <w:rPr>
          <w:rFonts w:hint="eastAsia" w:ascii="宋体" w:hAnsi="宋体" w:eastAsia="宋体" w:cs="宋体"/>
          <w:b w:val="0"/>
          <w:color w:val="auto"/>
          <w:sz w:val="21"/>
          <w:szCs w:val="21"/>
          <w:highlight w:val="none"/>
        </w:rPr>
        <w:t>8.7材料与工程设备的替代</w:t>
      </w:r>
      <w:bookmarkEnd w:id="975"/>
      <w:bookmarkEnd w:id="976"/>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8.7.1 出现下列情况需要使用替代材料和工程设备的，承包人应按照第8.7.2项约定的程序执行：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（1）基准日期后生效的法律规定禁止使用的；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（2）发包人要求使用替代品的；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（3）因其他原因必须使用替代品的。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8.7.2 承包人应在使用替代材料和工程设备28天前书面通知监理人，并附下列文件：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（1）被替代的材料和工程设备的名称、数量、规格、型号、品牌、性能、价格及其他相关资料；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（2）替代品的名称、数量、规格、型号、品牌、性能、价格及其他相关资料；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（3）替代品与被替代产品之间的差异以及使用替代品可能对工程产生的影响；</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（4）替代品与被替代产品的价格差异；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（5）使用替代品的理由和原因说明；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（6）监理人要求的其他文件。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77" w:name="_Toc351203560"/>
      <w:bookmarkStart w:id="978" w:name="_Toc30792"/>
      <w:r>
        <w:rPr>
          <w:rFonts w:hint="eastAsia" w:ascii="宋体" w:hAnsi="宋体" w:eastAsia="宋体" w:cs="宋体"/>
          <w:b w:val="0"/>
          <w:color w:val="auto"/>
          <w:sz w:val="21"/>
          <w:szCs w:val="21"/>
          <w:highlight w:val="none"/>
        </w:rPr>
        <w:t>8.8施工设备和临时设施</w:t>
      </w:r>
      <w:bookmarkEnd w:id="977"/>
      <w:bookmarkEnd w:id="978"/>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79" w:name="_Toc24072"/>
      <w:r>
        <w:rPr>
          <w:rFonts w:hint="eastAsia" w:ascii="宋体" w:hAnsi="宋体" w:eastAsia="宋体" w:cs="宋体"/>
          <w:color w:val="auto"/>
          <w:kern w:val="0"/>
          <w:sz w:val="21"/>
          <w:szCs w:val="21"/>
          <w:highlight w:val="none"/>
        </w:rPr>
        <w:t>8.8.1 承包人提供的施工设备和临时设施</w:t>
      </w:r>
      <w:bookmarkEnd w:id="97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80" w:name="_Toc9598"/>
      <w:r>
        <w:rPr>
          <w:rFonts w:hint="eastAsia" w:ascii="宋体" w:hAnsi="宋体" w:eastAsia="宋体" w:cs="宋体"/>
          <w:color w:val="auto"/>
          <w:kern w:val="0"/>
          <w:sz w:val="21"/>
          <w:szCs w:val="21"/>
          <w:highlight w:val="none"/>
        </w:rPr>
        <w:t>8.8.2发包人提供的施工设备和临时设施</w:t>
      </w:r>
      <w:bookmarkEnd w:id="98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发包人提供的施工设备或临时设施在专用合同条款中约定。</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981" w:name="_Toc14952"/>
      <w:r>
        <w:rPr>
          <w:rFonts w:hint="eastAsia" w:ascii="宋体" w:hAnsi="宋体" w:eastAsia="宋体" w:cs="宋体"/>
          <w:color w:val="auto"/>
          <w:kern w:val="0"/>
          <w:sz w:val="21"/>
          <w:szCs w:val="21"/>
          <w:highlight w:val="none"/>
        </w:rPr>
        <w:t>8.8.3要求承包人增加或更换施工设备</w:t>
      </w:r>
      <w:bookmarkEnd w:id="981"/>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82" w:name="_Toc351203561"/>
      <w:bookmarkStart w:id="983" w:name="_Toc31095"/>
      <w:r>
        <w:rPr>
          <w:rFonts w:hint="eastAsia" w:ascii="宋体" w:hAnsi="宋体" w:eastAsia="宋体" w:cs="宋体"/>
          <w:b w:val="0"/>
          <w:color w:val="auto"/>
          <w:sz w:val="21"/>
          <w:szCs w:val="21"/>
          <w:highlight w:val="none"/>
        </w:rPr>
        <w:t>8</w:t>
      </w:r>
      <w:bookmarkStart w:id="984" w:name="_Toc296503063"/>
      <w:bookmarkStart w:id="985" w:name="_Toc337558781"/>
      <w:bookmarkStart w:id="986" w:name="_Toc296346564"/>
      <w:r>
        <w:rPr>
          <w:rFonts w:hint="eastAsia" w:ascii="宋体" w:hAnsi="宋体" w:eastAsia="宋体" w:cs="宋体"/>
          <w:b w:val="0"/>
          <w:color w:val="auto"/>
          <w:sz w:val="21"/>
          <w:szCs w:val="21"/>
          <w:highlight w:val="none"/>
        </w:rPr>
        <w:t>.9材料与设备专用</w:t>
      </w:r>
      <w:bookmarkEnd w:id="982"/>
      <w:r>
        <w:rPr>
          <w:rFonts w:hint="eastAsia" w:ascii="宋体" w:hAnsi="宋体" w:eastAsia="宋体" w:cs="宋体"/>
          <w:b w:val="0"/>
          <w:color w:val="auto"/>
          <w:sz w:val="21"/>
          <w:szCs w:val="21"/>
          <w:highlight w:val="none"/>
        </w:rPr>
        <w:t>要求</w:t>
      </w:r>
      <w:bookmarkEnd w:id="983"/>
    </w:p>
    <w:bookmarkEnd w:id="984"/>
    <w:bookmarkEnd w:id="985"/>
    <w:bookmarkEnd w:id="986"/>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50"/>
      <w:r>
        <w:rPr>
          <w:rFonts w:hint="eastAsia" w:ascii="宋体" w:hAnsi="宋体" w:eastAsia="宋体" w:cs="宋体"/>
          <w:color w:val="auto"/>
          <w:kern w:val="0"/>
          <w:sz w:val="21"/>
          <w:szCs w:val="21"/>
          <w:highlight w:val="none"/>
        </w:rPr>
        <w:t>经发包人批准，承包人可以根据施工进度计划撤走闲置的施工设备和其他物品。</w:t>
      </w:r>
    </w:p>
    <w:p>
      <w:pPr>
        <w:pStyle w:val="6"/>
        <w:spacing w:before="120" w:after="120" w:line="360" w:lineRule="auto"/>
        <w:outlineLvl w:val="0"/>
        <w:rPr>
          <w:rFonts w:hint="eastAsia" w:ascii="宋体" w:hAnsi="宋体" w:eastAsia="宋体" w:cs="宋体"/>
          <w:b w:val="0"/>
          <w:color w:val="auto"/>
          <w:sz w:val="21"/>
          <w:szCs w:val="21"/>
          <w:highlight w:val="none"/>
        </w:rPr>
      </w:pPr>
      <w:bookmarkStart w:id="987" w:name="_Toc17368"/>
      <w:bookmarkStart w:id="988" w:name="_Toc351203562"/>
      <w:r>
        <w:rPr>
          <w:rFonts w:hint="eastAsia" w:ascii="宋体" w:hAnsi="宋体" w:eastAsia="宋体" w:cs="宋体"/>
          <w:b w:val="0"/>
          <w:color w:val="auto"/>
          <w:sz w:val="21"/>
          <w:szCs w:val="21"/>
          <w:highlight w:val="none"/>
        </w:rPr>
        <w:t>9</w:t>
      </w:r>
      <w:bookmarkStart w:id="989" w:name="_Toc337558782"/>
      <w:bookmarkStart w:id="990" w:name="_Toc296346584"/>
      <w:bookmarkStart w:id="991" w:name="_Toc296503083"/>
      <w:r>
        <w:rPr>
          <w:rFonts w:hint="eastAsia" w:ascii="宋体" w:hAnsi="宋体" w:eastAsia="宋体" w:cs="宋体"/>
          <w:b w:val="0"/>
          <w:color w:val="auto"/>
          <w:sz w:val="21"/>
          <w:szCs w:val="21"/>
          <w:highlight w:val="none"/>
        </w:rPr>
        <w:t>. 试验与检验</w:t>
      </w:r>
      <w:bookmarkEnd w:id="987"/>
      <w:bookmarkEnd w:id="988"/>
    </w:p>
    <w:bookmarkEnd w:id="989"/>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92" w:name="_Toc351203563"/>
      <w:bookmarkStart w:id="993" w:name="_Toc2874"/>
      <w:r>
        <w:rPr>
          <w:rFonts w:hint="eastAsia" w:ascii="宋体" w:hAnsi="宋体" w:eastAsia="宋体" w:cs="宋体"/>
          <w:b w:val="0"/>
          <w:color w:val="auto"/>
          <w:sz w:val="21"/>
          <w:szCs w:val="21"/>
          <w:highlight w:val="none"/>
        </w:rPr>
        <w:t>9</w:t>
      </w:r>
      <w:bookmarkStart w:id="994" w:name="_Toc337558783"/>
      <w:r>
        <w:rPr>
          <w:rFonts w:hint="eastAsia" w:ascii="宋体" w:hAnsi="宋体" w:eastAsia="宋体" w:cs="宋体"/>
          <w:b w:val="0"/>
          <w:color w:val="auto"/>
          <w:sz w:val="21"/>
          <w:szCs w:val="21"/>
          <w:highlight w:val="none"/>
        </w:rPr>
        <w:t>.1试验设备与试验人员</w:t>
      </w:r>
      <w:bookmarkEnd w:id="992"/>
      <w:bookmarkEnd w:id="993"/>
    </w:p>
    <w:bookmarkEnd w:id="994"/>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承包人应按专用合同条款的约定提供试验设备、取样装置、试验场所和试验条件，并向监理人提交相应进场计划表。</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95" w:name="_Toc18927"/>
      <w:bookmarkStart w:id="996" w:name="_Toc351203564"/>
      <w:r>
        <w:rPr>
          <w:rFonts w:hint="eastAsia" w:ascii="宋体" w:hAnsi="宋体" w:eastAsia="宋体" w:cs="宋体"/>
          <w:b w:val="0"/>
          <w:color w:val="auto"/>
          <w:sz w:val="21"/>
          <w:szCs w:val="21"/>
          <w:highlight w:val="none"/>
        </w:rPr>
        <w:t>9</w:t>
      </w:r>
      <w:bookmarkStart w:id="997" w:name="_Toc337558784"/>
      <w:r>
        <w:rPr>
          <w:rFonts w:hint="eastAsia" w:ascii="宋体" w:hAnsi="宋体" w:eastAsia="宋体" w:cs="宋体"/>
          <w:b w:val="0"/>
          <w:color w:val="auto"/>
          <w:sz w:val="21"/>
          <w:szCs w:val="21"/>
          <w:highlight w:val="none"/>
        </w:rPr>
        <w:t>.2取样</w:t>
      </w:r>
      <w:bookmarkEnd w:id="995"/>
      <w:bookmarkEnd w:id="996"/>
    </w:p>
    <w:bookmarkEnd w:id="997"/>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试验属于自检性质的，承包人可以单独取样。试验属于监理人抽检性质的，可由监理人取样，也可由承包人的试验人员在监理人的监督下取样。</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998" w:name="_Toc30195"/>
      <w:bookmarkStart w:id="999" w:name="_Toc351203565"/>
      <w:r>
        <w:rPr>
          <w:rFonts w:hint="eastAsia" w:ascii="宋体" w:hAnsi="宋体" w:eastAsia="宋体" w:cs="宋体"/>
          <w:b w:val="0"/>
          <w:color w:val="auto"/>
          <w:sz w:val="21"/>
          <w:szCs w:val="21"/>
          <w:highlight w:val="none"/>
        </w:rPr>
        <w:t>9</w:t>
      </w:r>
      <w:bookmarkStart w:id="1000" w:name="_Toc337558785"/>
      <w:r>
        <w:rPr>
          <w:rFonts w:hint="eastAsia" w:ascii="宋体" w:hAnsi="宋体" w:eastAsia="宋体" w:cs="宋体"/>
          <w:b w:val="0"/>
          <w:color w:val="auto"/>
          <w:sz w:val="21"/>
          <w:szCs w:val="21"/>
          <w:highlight w:val="none"/>
        </w:rPr>
        <w:t>.3材料、工程设备和工程的试验和检验</w:t>
      </w:r>
      <w:bookmarkEnd w:id="998"/>
      <w:bookmarkEnd w:id="999"/>
    </w:p>
    <w:bookmarkEnd w:id="1000"/>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01" w:name="_Toc1393"/>
      <w:bookmarkStart w:id="1002" w:name="_Toc351203566"/>
      <w:r>
        <w:rPr>
          <w:rFonts w:hint="eastAsia" w:ascii="宋体" w:hAnsi="宋体" w:eastAsia="宋体" w:cs="宋体"/>
          <w:b w:val="0"/>
          <w:color w:val="auto"/>
          <w:sz w:val="21"/>
          <w:szCs w:val="21"/>
          <w:highlight w:val="none"/>
        </w:rPr>
        <w:t>9</w:t>
      </w:r>
      <w:bookmarkStart w:id="1003" w:name="_Toc337558786"/>
      <w:r>
        <w:rPr>
          <w:rFonts w:hint="eastAsia" w:ascii="宋体" w:hAnsi="宋体" w:eastAsia="宋体" w:cs="宋体"/>
          <w:b w:val="0"/>
          <w:color w:val="auto"/>
          <w:sz w:val="21"/>
          <w:szCs w:val="21"/>
          <w:highlight w:val="none"/>
        </w:rPr>
        <w:t>.4现场工艺试验</w:t>
      </w:r>
      <w:bookmarkEnd w:id="1001"/>
      <w:bookmarkEnd w:id="1002"/>
    </w:p>
    <w:bookmarkEnd w:id="1003"/>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60" w:lineRule="auto"/>
        <w:outlineLvl w:val="0"/>
        <w:rPr>
          <w:rFonts w:hint="eastAsia" w:ascii="宋体" w:hAnsi="宋体" w:eastAsia="宋体" w:cs="宋体"/>
          <w:b w:val="0"/>
          <w:color w:val="auto"/>
          <w:sz w:val="21"/>
          <w:szCs w:val="21"/>
          <w:highlight w:val="none"/>
        </w:rPr>
      </w:pPr>
      <w:bookmarkStart w:id="1004" w:name="_Toc30859"/>
      <w:bookmarkStart w:id="1005" w:name="_Toc351203567"/>
      <w:r>
        <w:rPr>
          <w:rFonts w:hint="eastAsia" w:ascii="宋体" w:hAnsi="宋体" w:eastAsia="宋体" w:cs="宋体"/>
          <w:b w:val="0"/>
          <w:color w:val="auto"/>
          <w:sz w:val="21"/>
          <w:szCs w:val="21"/>
          <w:highlight w:val="none"/>
        </w:rPr>
        <w:t>1</w:t>
      </w:r>
      <w:bookmarkStart w:id="1006" w:name="_Toc337558787"/>
      <w:r>
        <w:rPr>
          <w:rFonts w:hint="eastAsia" w:ascii="宋体" w:hAnsi="宋体" w:eastAsia="宋体" w:cs="宋体"/>
          <w:b w:val="0"/>
          <w:color w:val="auto"/>
          <w:sz w:val="21"/>
          <w:szCs w:val="21"/>
          <w:highlight w:val="none"/>
        </w:rPr>
        <w:t>0. 变更</w:t>
      </w:r>
      <w:bookmarkEnd w:id="990"/>
      <w:bookmarkEnd w:id="991"/>
      <w:bookmarkEnd w:id="1004"/>
      <w:bookmarkEnd w:id="1005"/>
    </w:p>
    <w:bookmarkEnd w:id="1006"/>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07" w:name="_Toc351203568"/>
      <w:bookmarkStart w:id="1008" w:name="_Toc26094"/>
      <w:r>
        <w:rPr>
          <w:rFonts w:hint="eastAsia" w:ascii="宋体" w:hAnsi="宋体" w:eastAsia="宋体" w:cs="宋体"/>
          <w:b w:val="0"/>
          <w:color w:val="auto"/>
          <w:sz w:val="21"/>
          <w:szCs w:val="21"/>
          <w:highlight w:val="none"/>
        </w:rPr>
        <w:t>1</w:t>
      </w:r>
      <w:bookmarkStart w:id="1009" w:name="_Toc296503084"/>
      <w:bookmarkStart w:id="1010" w:name="_Toc337558788"/>
      <w:bookmarkStart w:id="1011" w:name="_Toc296346585"/>
      <w:r>
        <w:rPr>
          <w:rFonts w:hint="eastAsia" w:ascii="宋体" w:hAnsi="宋体" w:eastAsia="宋体" w:cs="宋体"/>
          <w:b w:val="0"/>
          <w:color w:val="auto"/>
          <w:sz w:val="21"/>
          <w:szCs w:val="21"/>
          <w:highlight w:val="none"/>
        </w:rPr>
        <w:t>0.1变更的范围</w:t>
      </w:r>
      <w:bookmarkEnd w:id="1007"/>
      <w:bookmarkEnd w:id="1008"/>
    </w:p>
    <w:bookmarkEnd w:id="1009"/>
    <w:bookmarkEnd w:id="1010"/>
    <w:bookmarkEnd w:id="101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除专用合同条款另有约定外，合同履行过程中发生以下情形的，应按照本条约定进行变更：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（1）增加或减少合同中任何工作，或追加额外的工作；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（2）取消合同中任何工作，但转由他人实施的工作除外；</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（3）改变合同中任何工作的质量标准或其他特性；</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（4）改变工程的基线、标高、位置和尺寸；</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（5）改变工程的时间安排或实施顺序。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12" w:name="_Toc1882"/>
      <w:bookmarkStart w:id="1013" w:name="_Toc351203569"/>
      <w:r>
        <w:rPr>
          <w:rFonts w:hint="eastAsia" w:ascii="宋体" w:hAnsi="宋体" w:eastAsia="宋体" w:cs="宋体"/>
          <w:b w:val="0"/>
          <w:color w:val="auto"/>
          <w:sz w:val="21"/>
          <w:szCs w:val="21"/>
          <w:highlight w:val="none"/>
        </w:rPr>
        <w:t>1</w:t>
      </w:r>
      <w:bookmarkStart w:id="1014" w:name="_Toc337558789"/>
      <w:bookmarkStart w:id="1015" w:name="_Toc296346586"/>
      <w:bookmarkStart w:id="1016" w:name="_Toc296503085"/>
      <w:r>
        <w:rPr>
          <w:rFonts w:hint="eastAsia" w:ascii="宋体" w:hAnsi="宋体" w:eastAsia="宋体" w:cs="宋体"/>
          <w:b w:val="0"/>
          <w:color w:val="auto"/>
          <w:sz w:val="21"/>
          <w:szCs w:val="21"/>
          <w:highlight w:val="none"/>
        </w:rPr>
        <w:t>0.2变更权</w:t>
      </w:r>
      <w:bookmarkEnd w:id="1012"/>
      <w:bookmarkEnd w:id="1013"/>
    </w:p>
    <w:bookmarkEnd w:id="1014"/>
    <w:bookmarkEnd w:id="1015"/>
    <w:bookmarkEnd w:id="101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涉及设计变更的，应由设计人提供变更后的图纸和说明。如变更超过原设计标准或批准的建设规模时，发包人应及时办理规划、设计变更等审批手续。</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17" w:name="_Toc27976"/>
      <w:bookmarkStart w:id="1018" w:name="_Toc351203570"/>
      <w:r>
        <w:rPr>
          <w:rFonts w:hint="eastAsia" w:ascii="宋体" w:hAnsi="宋体" w:eastAsia="宋体" w:cs="宋体"/>
          <w:b w:val="0"/>
          <w:color w:val="auto"/>
          <w:sz w:val="21"/>
          <w:szCs w:val="21"/>
          <w:highlight w:val="none"/>
        </w:rPr>
        <w:t>1</w:t>
      </w:r>
      <w:bookmarkStart w:id="1019" w:name="_Toc337558790"/>
      <w:bookmarkStart w:id="1020" w:name="_Toc296346587"/>
      <w:bookmarkStart w:id="1021" w:name="_Toc296503086"/>
      <w:r>
        <w:rPr>
          <w:rFonts w:hint="eastAsia" w:ascii="宋体" w:hAnsi="宋体" w:eastAsia="宋体" w:cs="宋体"/>
          <w:b w:val="0"/>
          <w:color w:val="auto"/>
          <w:sz w:val="21"/>
          <w:szCs w:val="21"/>
          <w:highlight w:val="none"/>
        </w:rPr>
        <w:t>0.3变更程序</w:t>
      </w:r>
      <w:bookmarkEnd w:id="1017"/>
      <w:bookmarkEnd w:id="1018"/>
    </w:p>
    <w:bookmarkEnd w:id="1019"/>
    <w:bookmarkEnd w:id="1020"/>
    <w:bookmarkEnd w:id="1021"/>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22" w:name="_Toc2076"/>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.3.1 发包人提出变更</w:t>
      </w:r>
      <w:bookmarkEnd w:id="102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23" w:name="_Toc4152"/>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.3.2 监理人提出变更建议</w:t>
      </w:r>
      <w:bookmarkEnd w:id="102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jc w:val="left"/>
        <w:outlineLvl w:val="2"/>
        <w:rPr>
          <w:rFonts w:hint="eastAsia" w:ascii="宋体" w:hAnsi="宋体" w:eastAsia="宋体" w:cs="宋体"/>
          <w:color w:val="auto"/>
          <w:sz w:val="21"/>
          <w:szCs w:val="21"/>
          <w:highlight w:val="none"/>
        </w:rPr>
      </w:pPr>
      <w:bookmarkStart w:id="1024" w:name="_Toc29385"/>
      <w:r>
        <w:rPr>
          <w:rFonts w:hint="eastAsia" w:ascii="宋体" w:hAnsi="宋体" w:eastAsia="宋体" w:cs="宋体"/>
          <w:color w:val="auto"/>
          <w:sz w:val="21"/>
          <w:szCs w:val="21"/>
          <w:highlight w:val="none"/>
        </w:rPr>
        <w:t>10.3.3 变更执行</w:t>
      </w:r>
      <w:bookmarkEnd w:id="1024"/>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25" w:name="_Toc351203571"/>
      <w:bookmarkStart w:id="1026" w:name="_Toc3163"/>
      <w:r>
        <w:rPr>
          <w:rFonts w:hint="eastAsia" w:ascii="宋体" w:hAnsi="宋体" w:eastAsia="宋体" w:cs="宋体"/>
          <w:b w:val="0"/>
          <w:color w:val="auto"/>
          <w:sz w:val="21"/>
          <w:szCs w:val="21"/>
          <w:highlight w:val="none"/>
        </w:rPr>
        <w:t>1</w:t>
      </w:r>
      <w:bookmarkStart w:id="1027" w:name="_Toc296346588"/>
      <w:bookmarkStart w:id="1028" w:name="_Toc337558791"/>
      <w:bookmarkStart w:id="1029" w:name="_Toc296503087"/>
      <w:r>
        <w:rPr>
          <w:rFonts w:hint="eastAsia" w:ascii="宋体" w:hAnsi="宋体" w:eastAsia="宋体" w:cs="宋体"/>
          <w:b w:val="0"/>
          <w:color w:val="auto"/>
          <w:sz w:val="21"/>
          <w:szCs w:val="21"/>
          <w:highlight w:val="none"/>
        </w:rPr>
        <w:t>0.4变更估价</w:t>
      </w:r>
      <w:bookmarkEnd w:id="1025"/>
      <w:bookmarkEnd w:id="1026"/>
    </w:p>
    <w:bookmarkEnd w:id="1027"/>
    <w:bookmarkEnd w:id="1028"/>
    <w:bookmarkEnd w:id="1029"/>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30" w:name="_Toc9735"/>
      <w:r>
        <w:rPr>
          <w:rFonts w:hint="eastAsia" w:ascii="宋体" w:hAnsi="宋体" w:eastAsia="宋体" w:cs="宋体"/>
          <w:color w:val="auto"/>
          <w:kern w:val="0"/>
          <w:sz w:val="21"/>
          <w:szCs w:val="21"/>
          <w:highlight w:val="none"/>
        </w:rPr>
        <w:t>10.4.1 变更估价原则</w:t>
      </w:r>
      <w:bookmarkEnd w:id="103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除专用合同条款另有约定外，变更估价按照本款约定处理：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（1）已标价工程量清单或预算书有相同项目的，按照相同项目单价认定；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（2）已标价工程量清单或预算书中无相同项目，但有类似项目的，参照类似项目的单价认定；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31" w:name="_Toc26444"/>
      <w:r>
        <w:rPr>
          <w:rFonts w:hint="eastAsia" w:ascii="宋体" w:hAnsi="宋体" w:eastAsia="宋体" w:cs="宋体"/>
          <w:color w:val="auto"/>
          <w:kern w:val="0"/>
          <w:sz w:val="21"/>
          <w:szCs w:val="21"/>
          <w:highlight w:val="none"/>
        </w:rPr>
        <w:t>10.4.2 变更估价程序</w:t>
      </w:r>
      <w:bookmarkEnd w:id="1031"/>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因变更引起的价格调整应计入最近一期的进度款中支付。</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32" w:name="_Toc351203572"/>
      <w:bookmarkStart w:id="1033" w:name="_Toc29773"/>
      <w:r>
        <w:rPr>
          <w:rFonts w:hint="eastAsia" w:ascii="宋体" w:hAnsi="宋体" w:eastAsia="宋体" w:cs="宋体"/>
          <w:b w:val="0"/>
          <w:color w:val="auto"/>
          <w:sz w:val="21"/>
          <w:szCs w:val="21"/>
          <w:highlight w:val="none"/>
        </w:rPr>
        <w:t>1</w:t>
      </w:r>
      <w:bookmarkStart w:id="1034" w:name="_Toc296503094"/>
      <w:bookmarkStart w:id="1035" w:name="_Toc296346595"/>
      <w:bookmarkStart w:id="1036" w:name="_Toc337558792"/>
      <w:r>
        <w:rPr>
          <w:rFonts w:hint="eastAsia" w:ascii="宋体" w:hAnsi="宋体" w:eastAsia="宋体" w:cs="宋体"/>
          <w:b w:val="0"/>
          <w:color w:val="auto"/>
          <w:sz w:val="21"/>
          <w:szCs w:val="21"/>
          <w:highlight w:val="none"/>
        </w:rPr>
        <w:t>0.5承包人的合理化建议</w:t>
      </w:r>
      <w:bookmarkEnd w:id="1032"/>
      <w:bookmarkEnd w:id="1033"/>
    </w:p>
    <w:bookmarkEnd w:id="1034"/>
    <w:bookmarkEnd w:id="1035"/>
    <w:bookmarkEnd w:id="103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合理化建议降低了合同价格或者提高了工程经济效益的，发包人可对承包人给予奖励，奖励的方法和金额在专用合同条款中约定。</w:t>
      </w:r>
    </w:p>
    <w:p>
      <w:pPr>
        <w:pStyle w:val="7"/>
        <w:spacing w:before="120" w:after="120" w:line="360" w:lineRule="auto"/>
        <w:ind w:firstLine="420" w:firstLineChars="200"/>
        <w:outlineLvl w:val="1"/>
        <w:rPr>
          <w:rFonts w:hint="eastAsia" w:ascii="宋体" w:hAnsi="宋体" w:eastAsia="宋体" w:cs="宋体"/>
          <w:color w:val="auto"/>
          <w:sz w:val="21"/>
          <w:szCs w:val="21"/>
          <w:highlight w:val="none"/>
        </w:rPr>
      </w:pPr>
      <w:bookmarkStart w:id="1037" w:name="_Toc351203573"/>
      <w:bookmarkStart w:id="1038" w:name="_Toc10191"/>
      <w:r>
        <w:rPr>
          <w:rFonts w:hint="eastAsia" w:ascii="宋体" w:hAnsi="宋体" w:eastAsia="宋体" w:cs="宋体"/>
          <w:b w:val="0"/>
          <w:color w:val="auto"/>
          <w:sz w:val="21"/>
          <w:szCs w:val="21"/>
          <w:highlight w:val="none"/>
        </w:rPr>
        <w:t>1</w:t>
      </w:r>
      <w:bookmarkStart w:id="1039" w:name="_Toc337558793"/>
      <w:r>
        <w:rPr>
          <w:rFonts w:hint="eastAsia" w:ascii="宋体" w:hAnsi="宋体" w:eastAsia="宋体" w:cs="宋体"/>
          <w:b w:val="0"/>
          <w:color w:val="auto"/>
          <w:sz w:val="21"/>
          <w:szCs w:val="21"/>
          <w:highlight w:val="none"/>
        </w:rPr>
        <w:t>0.6变更引起的工期调整</w:t>
      </w:r>
      <w:bookmarkEnd w:id="1037"/>
      <w:bookmarkEnd w:id="1038"/>
      <w:r>
        <w:rPr>
          <w:rFonts w:hint="eastAsia" w:ascii="宋体" w:hAnsi="宋体" w:eastAsia="宋体" w:cs="宋体"/>
          <w:b w:val="0"/>
          <w:color w:val="auto"/>
          <w:sz w:val="21"/>
          <w:szCs w:val="21"/>
          <w:highlight w:val="none"/>
        </w:rPr>
        <w:t xml:space="preserve"> </w:t>
      </w:r>
      <w:bookmarkEnd w:id="1039"/>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因变更引起工期变化的，合同当事人均可要求调整合同工期，由合同当事人按照第4.4款〔商定或确定〕并参考工程所在地的工期定额标准确定增减工期天数。</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40" w:name="_Toc22251"/>
      <w:bookmarkStart w:id="1041" w:name="_Toc351203574"/>
      <w:r>
        <w:rPr>
          <w:rFonts w:hint="eastAsia" w:ascii="宋体" w:hAnsi="宋体" w:eastAsia="宋体" w:cs="宋体"/>
          <w:b w:val="0"/>
          <w:color w:val="auto"/>
          <w:sz w:val="21"/>
          <w:szCs w:val="21"/>
          <w:highlight w:val="none"/>
        </w:rPr>
        <w:t>10.7暂估价</w:t>
      </w:r>
      <w:bookmarkEnd w:id="1040"/>
      <w:bookmarkEnd w:id="1041"/>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暂估价专业分包工程、服务、材料和工程设备的明细由合同当事人在专用合同条款中约定。</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10.7.1</w:t>
      </w:r>
      <w:r>
        <w:rPr>
          <w:rFonts w:hint="eastAsia" w:ascii="宋体" w:hAnsi="宋体" w:eastAsia="宋体" w:cs="宋体"/>
          <w:color w:val="auto"/>
          <w:kern w:val="0"/>
          <w:sz w:val="21"/>
          <w:szCs w:val="21"/>
          <w:highlight w:val="none"/>
        </w:rPr>
        <w:t xml:space="preserve"> 依法必须招标的暂估价项目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对于依法必须招标的暂估价项目，采取以下第1种方式确定。合同当事人也可以在专用合同条款中选择其他招标方式。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第1种方式：对于依法必须招标的暂估价项目，由承包人招标，对该暂估价项目的确认和批准按照以下约定执行：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10.7.2</w:t>
      </w:r>
      <w:r>
        <w:rPr>
          <w:rFonts w:hint="eastAsia" w:ascii="宋体" w:hAnsi="宋体" w:eastAsia="宋体" w:cs="宋体"/>
          <w:color w:val="auto"/>
          <w:kern w:val="0"/>
          <w:sz w:val="21"/>
          <w:szCs w:val="21"/>
          <w:highlight w:val="none"/>
        </w:rPr>
        <w:t>不属于依法必须招标的暂估价项目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除专用合同条款另有约定外，对于不属于依法必须招标的暂估价项目，采取以下第1种方式确定： </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第1种方式：对于不属于依法必须招标的暂估价项目，按本项约定确认和批准：</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（3）承包人应当在签订暂估价合同后7天内，将暂估价合同副本报送发包人留存。</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第2种方式：承包人按照第10.7.1项〔依法必须招标的暂估价项目〕约定的第1种方式确定暂估价项目。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42" w:name="_Toc8479"/>
      <w:bookmarkStart w:id="1043" w:name="_Toc351203575"/>
      <w:r>
        <w:rPr>
          <w:rFonts w:hint="eastAsia" w:ascii="宋体" w:hAnsi="宋体" w:eastAsia="宋体" w:cs="宋体"/>
          <w:b w:val="0"/>
          <w:color w:val="auto"/>
          <w:sz w:val="21"/>
          <w:szCs w:val="21"/>
          <w:highlight w:val="none"/>
        </w:rPr>
        <w:t>1</w:t>
      </w:r>
      <w:bookmarkStart w:id="1044" w:name="_Toc337558794"/>
      <w:bookmarkStart w:id="1045" w:name="_Toc296346591"/>
      <w:bookmarkStart w:id="1046" w:name="_Toc296503090"/>
      <w:bookmarkStart w:id="1047" w:name="_Toc322522561"/>
      <w:r>
        <w:rPr>
          <w:rFonts w:hint="eastAsia" w:ascii="宋体" w:hAnsi="宋体" w:eastAsia="宋体" w:cs="宋体"/>
          <w:b w:val="0"/>
          <w:color w:val="auto"/>
          <w:sz w:val="21"/>
          <w:szCs w:val="21"/>
          <w:highlight w:val="none"/>
        </w:rPr>
        <w:t>0.8暂列金额</w:t>
      </w:r>
      <w:bookmarkEnd w:id="1042"/>
      <w:bookmarkEnd w:id="1043"/>
    </w:p>
    <w:bookmarkEnd w:id="104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暂列金额应按照发包人的要求使用，发包人的要求应通过监理人发出。合同当事人可以在专用合同条款中协商确定有关事项。</w:t>
      </w:r>
    </w:p>
    <w:bookmarkEnd w:id="1045"/>
    <w:bookmarkEnd w:id="1046"/>
    <w:bookmarkEnd w:id="1047"/>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48" w:name="_Toc24218"/>
      <w:bookmarkStart w:id="1049" w:name="_Toc351203576"/>
      <w:r>
        <w:rPr>
          <w:rFonts w:hint="eastAsia" w:ascii="宋体" w:hAnsi="宋体" w:eastAsia="宋体" w:cs="宋体"/>
          <w:b w:val="0"/>
          <w:color w:val="auto"/>
          <w:sz w:val="21"/>
          <w:szCs w:val="21"/>
          <w:highlight w:val="none"/>
        </w:rPr>
        <w:t>1</w:t>
      </w:r>
      <w:bookmarkStart w:id="1050" w:name="_Toc296346592"/>
      <w:bookmarkStart w:id="1051" w:name="_Toc296503091"/>
      <w:bookmarkStart w:id="1052" w:name="_Toc337558796"/>
      <w:r>
        <w:rPr>
          <w:rFonts w:hint="eastAsia" w:ascii="宋体" w:hAnsi="宋体" w:eastAsia="宋体" w:cs="宋体"/>
          <w:b w:val="0"/>
          <w:color w:val="auto"/>
          <w:sz w:val="21"/>
          <w:szCs w:val="21"/>
          <w:highlight w:val="none"/>
        </w:rPr>
        <w:t>0.9计日工</w:t>
      </w:r>
      <w:bookmarkEnd w:id="1048"/>
      <w:bookmarkEnd w:id="1049"/>
      <w:r>
        <w:rPr>
          <w:rFonts w:hint="eastAsia" w:ascii="宋体" w:hAnsi="宋体" w:eastAsia="宋体" w:cs="宋体"/>
          <w:b w:val="0"/>
          <w:color w:val="auto"/>
          <w:sz w:val="21"/>
          <w:szCs w:val="21"/>
          <w:highlight w:val="none"/>
        </w:rPr>
        <w:t xml:space="preserve"> </w:t>
      </w:r>
      <w:bookmarkEnd w:id="1050"/>
      <w:bookmarkEnd w:id="1051"/>
      <w:bookmarkEnd w:id="105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采用计日工计价的任何一项工作，承包人应在该项工作实施过程中，每天提交以下报表和有关凭证报送监理人审查：</w:t>
      </w:r>
    </w:p>
    <w:p>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（1）工作名称、内容和数量；</w:t>
      </w:r>
    </w:p>
    <w:p>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（2）投入该工作的所有人员的姓名、专业、工种、级别和耗用工时；</w:t>
      </w:r>
    </w:p>
    <w:p>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（3）投入该工作的材料类别和数量；</w:t>
      </w:r>
    </w:p>
    <w:p>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（4）投入该工作的施工设备型号、台数和耗用台时；</w:t>
      </w:r>
    </w:p>
    <w:p>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（5）其他有关资料和凭证。</w:t>
      </w:r>
    </w:p>
    <w:p>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计日工由承包人汇总后，列入最近一期进度付款申请单，由监理人审查并经发包人批准后列入进度付款。</w:t>
      </w:r>
    </w:p>
    <w:p>
      <w:pPr>
        <w:pStyle w:val="6"/>
        <w:spacing w:before="120" w:after="120" w:line="360" w:lineRule="auto"/>
        <w:outlineLvl w:val="0"/>
        <w:rPr>
          <w:rFonts w:hint="eastAsia" w:ascii="宋体" w:hAnsi="宋体" w:eastAsia="宋体" w:cs="宋体"/>
          <w:b w:val="0"/>
          <w:color w:val="auto"/>
          <w:sz w:val="21"/>
          <w:szCs w:val="21"/>
          <w:highlight w:val="none"/>
        </w:rPr>
      </w:pPr>
      <w:bookmarkStart w:id="1053" w:name="_Toc10711"/>
      <w:bookmarkStart w:id="1054" w:name="_Toc351203577"/>
      <w:r>
        <w:rPr>
          <w:rFonts w:hint="eastAsia" w:ascii="宋体" w:hAnsi="宋体" w:eastAsia="宋体" w:cs="宋体"/>
          <w:b w:val="0"/>
          <w:color w:val="auto"/>
          <w:sz w:val="21"/>
          <w:szCs w:val="21"/>
          <w:highlight w:val="none"/>
        </w:rPr>
        <w:t>11. 价格调整</w:t>
      </w:r>
      <w:bookmarkEnd w:id="1053"/>
      <w:bookmarkEnd w:id="1054"/>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55" w:name="_Toc30015"/>
      <w:bookmarkStart w:id="1056" w:name="_Toc351203578"/>
      <w:bookmarkStart w:id="1057" w:name="_Toc296346593"/>
      <w:bookmarkStart w:id="1058" w:name="_Toc296503092"/>
      <w:bookmarkStart w:id="1059" w:name="_Toc337558797"/>
      <w:r>
        <w:rPr>
          <w:rFonts w:hint="eastAsia" w:ascii="宋体" w:hAnsi="宋体" w:eastAsia="宋体" w:cs="宋体"/>
          <w:b w:val="0"/>
          <w:color w:val="auto"/>
          <w:sz w:val="21"/>
          <w:szCs w:val="21"/>
          <w:highlight w:val="none"/>
        </w:rPr>
        <w:t>11.1市场价格波动引起的调整</w:t>
      </w:r>
      <w:bookmarkEnd w:id="1055"/>
      <w:bookmarkEnd w:id="1056"/>
    </w:p>
    <w:bookmarkEnd w:id="1057"/>
    <w:bookmarkEnd w:id="1058"/>
    <w:bookmarkEnd w:id="1059"/>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tabs>
          <w:tab w:val="left" w:pos="0"/>
          <w:tab w:val="left" w:pos="360"/>
          <w:tab w:val="left" w:pos="540"/>
        </w:tabs>
        <w:spacing w:line="360" w:lineRule="auto"/>
        <w:ind w:firstLine="420" w:firstLineChars="200"/>
        <w:outlineLvl w:val="2"/>
        <w:rPr>
          <w:rFonts w:hint="eastAsia" w:ascii="宋体" w:hAnsi="宋体" w:eastAsia="宋体" w:cs="宋体"/>
          <w:color w:val="auto"/>
          <w:sz w:val="21"/>
          <w:szCs w:val="21"/>
          <w:highlight w:val="none"/>
        </w:rPr>
      </w:pPr>
      <w:bookmarkStart w:id="1060" w:name="_Toc8987"/>
      <w:r>
        <w:rPr>
          <w:rFonts w:hint="eastAsia" w:ascii="宋体" w:hAnsi="宋体" w:eastAsia="宋体" w:cs="宋体"/>
          <w:color w:val="auto"/>
          <w:sz w:val="21"/>
          <w:szCs w:val="21"/>
          <w:highlight w:val="none"/>
        </w:rPr>
        <w:t>（1）价格调整公式</w:t>
      </w:r>
      <w:bookmarkEnd w:id="1060"/>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position w:val="-30"/>
          <w:sz w:val="21"/>
          <w:szCs w:val="21"/>
          <w:highlight w:val="none"/>
          <w:lang w:val="en-US" w:eastAsia="zh-CN" w:bidi="ar-SA"/>
        </w:rPr>
        <w:object>
          <v:shape id="_x0000_i1025" o:spt="75" type="#_x0000_t75" style="height:43.9pt;width:359.85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 ShapeID="_x0000_i1025" DrawAspect="Content" ObjectID="_1468075725" r:id="rId14">
            <o:LockedField>false</o:LockedField>
          </o:OLEObject>
        </w:object>
      </w:r>
    </w:p>
    <w:p>
      <w:pPr>
        <w:tabs>
          <w:tab w:val="left" w:pos="0"/>
          <w:tab w:val="left" w:pos="360"/>
          <w:tab w:val="left" w:pos="540"/>
        </w:tabs>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公式中：ΔP——需调整的价格差额；</w:t>
      </w:r>
    </w:p>
    <w:p>
      <w:pPr>
        <w:tabs>
          <w:tab w:val="left" w:pos="0"/>
          <w:tab w:val="left" w:pos="360"/>
          <w:tab w:val="left" w:pos="540"/>
        </w:tabs>
        <w:spacing w:line="360" w:lineRule="auto"/>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kern w:val="2"/>
          <w:position w:val="-6"/>
          <w:sz w:val="21"/>
          <w:szCs w:val="21"/>
          <w:highlight w:val="none"/>
          <w:lang w:val="en-US" w:eastAsia="zh-CN" w:bidi="ar-SA"/>
        </w:rPr>
        <w:object>
          <v:shape id="_x0000_i1026" o:spt="75" type="#_x0000_t75" style="height:17.95pt;width:17.95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 ShapeID="_x0000_i1026" DrawAspect="Content" ObjectID="_1468075726" r:id="rId16">
            <o:LockedField>false</o:LockedField>
          </o:OLEObject>
        </w:object>
      </w:r>
      <w:r>
        <w:rPr>
          <w:rFonts w:hint="eastAsia" w:ascii="宋体" w:hAnsi="宋体" w:eastAsia="宋体" w:cs="宋体"/>
          <w:color w:val="auto"/>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A——定值权重（即不调部分的权重）；</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position w:val="-10"/>
          <w:sz w:val="21"/>
          <w:szCs w:val="21"/>
          <w:highlight w:val="none"/>
          <w:lang w:val="en-US" w:eastAsia="zh-CN" w:bidi="ar-SA"/>
        </w:rPr>
        <w:object>
          <v:shape id="_x0000_i1027" o:spt="75" type="#_x0000_t75" style="height:21.05pt;width:101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7" DrawAspect="Content" ObjectID="_1468075727" r:id="rId18">
            <o:LockedField>false</o:LockedField>
          </o:OLEObject>
        </w:object>
      </w:r>
      <w:r>
        <w:rPr>
          <w:rFonts w:hint="eastAsia" w:ascii="宋体" w:hAnsi="宋体" w:eastAsia="宋体" w:cs="宋体"/>
          <w:color w:val="auto"/>
          <w:sz w:val="21"/>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position w:val="-10"/>
          <w:sz w:val="21"/>
          <w:szCs w:val="21"/>
          <w:highlight w:val="none"/>
          <w:lang w:val="en-US" w:eastAsia="zh-CN" w:bidi="ar-SA"/>
        </w:rPr>
        <w:object>
          <v:shape id="_x0000_i1028" o:spt="75" type="#_x0000_t75" style="height:20.6pt;width:102.0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28" DrawAspect="Content" ObjectID="_1468075728" r:id="rId20">
            <o:LockedField>false</o:LockedField>
          </o:OLEObject>
        </w:object>
      </w:r>
      <w:r>
        <w:rPr>
          <w:rFonts w:hint="eastAsia" w:ascii="宋体" w:hAnsi="宋体" w:eastAsia="宋体" w:cs="宋体"/>
          <w:color w:val="auto"/>
          <w:sz w:val="21"/>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position w:val="-10"/>
          <w:sz w:val="21"/>
          <w:szCs w:val="21"/>
          <w:highlight w:val="none"/>
          <w:lang w:val="en-US" w:eastAsia="zh-CN" w:bidi="ar-SA"/>
        </w:rPr>
        <w:object>
          <v:shape id="_x0000_i1029" o:spt="75" type="#_x0000_t75" style="height:20.2pt;width:108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 ShapeID="_x0000_i1029" DrawAspect="Content" ObjectID="_1468075729" r:id="rId22">
            <o:LockedField>false</o:LockedField>
          </o:OLEObject>
        </w:object>
      </w:r>
      <w:r>
        <w:rPr>
          <w:rFonts w:hint="eastAsia" w:ascii="宋体" w:hAnsi="宋体" w:eastAsia="宋体" w:cs="宋体"/>
          <w:color w:val="auto"/>
          <w:sz w:val="21"/>
          <w:szCs w:val="21"/>
          <w:highlight w:val="none"/>
        </w:rPr>
        <w:t>——各可调因子的基本价格指数，指基准日期的各可调因子的价格指数。</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outlineLvl w:val="2"/>
        <w:rPr>
          <w:rFonts w:hint="eastAsia" w:ascii="宋体" w:hAnsi="宋体" w:eastAsia="宋体" w:cs="宋体"/>
          <w:color w:val="auto"/>
          <w:sz w:val="21"/>
          <w:szCs w:val="21"/>
          <w:highlight w:val="none"/>
        </w:rPr>
      </w:pPr>
      <w:bookmarkStart w:id="1061" w:name="_Toc25344"/>
      <w:r>
        <w:rPr>
          <w:rFonts w:hint="eastAsia" w:ascii="宋体" w:hAnsi="宋体" w:eastAsia="宋体" w:cs="宋体"/>
          <w:color w:val="auto"/>
          <w:sz w:val="21"/>
          <w:szCs w:val="21"/>
          <w:highlight w:val="none"/>
        </w:rPr>
        <w:t>（2）暂时确定调整差额</w:t>
      </w:r>
      <w:bookmarkEnd w:id="1061"/>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outlineLvl w:val="2"/>
        <w:rPr>
          <w:rFonts w:hint="eastAsia" w:ascii="宋体" w:hAnsi="宋体" w:eastAsia="宋体" w:cs="宋体"/>
          <w:color w:val="auto"/>
          <w:sz w:val="21"/>
          <w:szCs w:val="21"/>
          <w:highlight w:val="none"/>
        </w:rPr>
      </w:pPr>
      <w:bookmarkStart w:id="1062" w:name="_Toc6617"/>
      <w:r>
        <w:rPr>
          <w:rFonts w:hint="eastAsia" w:ascii="宋体" w:hAnsi="宋体" w:eastAsia="宋体" w:cs="宋体"/>
          <w:color w:val="auto"/>
          <w:sz w:val="21"/>
          <w:szCs w:val="21"/>
          <w:highlight w:val="none"/>
        </w:rPr>
        <w:t>（3）权重的调整</w:t>
      </w:r>
      <w:bookmarkEnd w:id="1062"/>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因变更导致合同约定的权重不合理时，按照第4.4款〔商定或确定〕执行。</w:t>
      </w:r>
    </w:p>
    <w:p>
      <w:pPr>
        <w:tabs>
          <w:tab w:val="left" w:pos="0"/>
          <w:tab w:val="left" w:pos="360"/>
          <w:tab w:val="left" w:pos="540"/>
        </w:tabs>
        <w:spacing w:line="360" w:lineRule="auto"/>
        <w:ind w:firstLine="420" w:firstLineChars="200"/>
        <w:outlineLvl w:val="2"/>
        <w:rPr>
          <w:rFonts w:hint="eastAsia" w:ascii="宋体" w:hAnsi="宋体" w:eastAsia="宋体" w:cs="宋体"/>
          <w:color w:val="auto"/>
          <w:sz w:val="21"/>
          <w:szCs w:val="21"/>
          <w:highlight w:val="none"/>
        </w:rPr>
      </w:pPr>
      <w:bookmarkStart w:id="1063" w:name="_Toc22758"/>
      <w:r>
        <w:rPr>
          <w:rFonts w:hint="eastAsia" w:ascii="宋体" w:hAnsi="宋体" w:eastAsia="宋体" w:cs="宋体"/>
          <w:color w:val="auto"/>
          <w:sz w:val="21"/>
          <w:szCs w:val="21"/>
          <w:highlight w:val="none"/>
        </w:rPr>
        <w:t>（4）因承包人原因工期延误后的价格调整</w:t>
      </w:r>
      <w:bookmarkEnd w:id="1063"/>
    </w:p>
    <w:p>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（2）材料、工程设备价格变化的价款调整按照发包人提供的基准价格，按以下风险范围规定执行: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hint="eastAsia" w:ascii="宋体" w:hAnsi="宋体" w:eastAsia="宋体" w:cs="宋体"/>
          <w:color w:val="auto"/>
          <w:sz w:val="21"/>
          <w:szCs w:val="21"/>
          <w:highlight w:val="none"/>
        </w:rPr>
      </w:pPr>
      <w:bookmarkStart w:id="1064" w:name="OLE_LINK3"/>
      <w:r>
        <w:rPr>
          <w:rFonts w:hint="eastAsia" w:ascii="宋体" w:hAnsi="宋体" w:eastAsia="宋体" w:cs="宋体"/>
          <w:color w:val="auto"/>
          <w:sz w:val="21"/>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第3种方式：专用合同条款约定的其他方式。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65" w:name="_Toc23399"/>
      <w:bookmarkStart w:id="1066" w:name="_Toc351203579"/>
      <w:bookmarkStart w:id="1067" w:name="_Toc296346594"/>
      <w:bookmarkStart w:id="1068" w:name="_Toc296503093"/>
      <w:bookmarkStart w:id="1069" w:name="_Toc337558798"/>
      <w:r>
        <w:rPr>
          <w:rFonts w:hint="eastAsia" w:ascii="宋体" w:hAnsi="宋体" w:eastAsia="宋体" w:cs="宋体"/>
          <w:b w:val="0"/>
          <w:color w:val="auto"/>
          <w:sz w:val="21"/>
          <w:szCs w:val="21"/>
          <w:highlight w:val="none"/>
        </w:rPr>
        <w:t>11.2法律变化引起的调整</w:t>
      </w:r>
      <w:bookmarkEnd w:id="1065"/>
      <w:bookmarkEnd w:id="1066"/>
    </w:p>
    <w:bookmarkEnd w:id="1067"/>
    <w:bookmarkEnd w:id="1068"/>
    <w:bookmarkEnd w:id="1069"/>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因法律变化引起的合同价格和工期调整，合同当事人无法达成一致的，由总监理工程师按第4.4款〔商定或确定〕的约定处理。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因承包人原因造成工期延误，在工期延误期间出现法律变化的，由此增加的费用和（或）延误的工期由承包人承担。</w:t>
      </w:r>
    </w:p>
    <w:p>
      <w:pPr>
        <w:pStyle w:val="6"/>
        <w:spacing w:before="120" w:after="120" w:line="360" w:lineRule="auto"/>
        <w:outlineLvl w:val="0"/>
        <w:rPr>
          <w:rFonts w:hint="eastAsia" w:ascii="宋体" w:hAnsi="宋体" w:eastAsia="宋体" w:cs="宋体"/>
          <w:b w:val="0"/>
          <w:color w:val="auto"/>
          <w:sz w:val="21"/>
          <w:szCs w:val="21"/>
          <w:highlight w:val="none"/>
        </w:rPr>
      </w:pPr>
      <w:bookmarkStart w:id="1070" w:name="_Toc351203580"/>
      <w:bookmarkStart w:id="1071" w:name="_Toc5530"/>
      <w:bookmarkStart w:id="1072" w:name="_Toc337558799"/>
      <w:bookmarkStart w:id="1073" w:name="_Toc296503096"/>
      <w:bookmarkStart w:id="1074" w:name="_Toc296346597"/>
      <w:r>
        <w:rPr>
          <w:rFonts w:hint="eastAsia" w:ascii="宋体" w:hAnsi="宋体" w:eastAsia="宋体" w:cs="宋体"/>
          <w:b w:val="0"/>
          <w:color w:val="auto"/>
          <w:sz w:val="21"/>
          <w:szCs w:val="21"/>
          <w:highlight w:val="none"/>
        </w:rPr>
        <w:t>12. 合同价格、计量与支付</w:t>
      </w:r>
      <w:bookmarkEnd w:id="1070"/>
      <w:bookmarkEnd w:id="1071"/>
    </w:p>
    <w:bookmarkEnd w:id="1072"/>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75" w:name="_Toc24524"/>
      <w:bookmarkStart w:id="1076" w:name="_Toc351203581"/>
      <w:bookmarkStart w:id="1077" w:name="_Toc337558800"/>
      <w:r>
        <w:rPr>
          <w:rFonts w:hint="eastAsia" w:ascii="宋体" w:hAnsi="宋体" w:eastAsia="宋体" w:cs="宋体"/>
          <w:b w:val="0"/>
          <w:color w:val="auto"/>
          <w:sz w:val="21"/>
          <w:szCs w:val="21"/>
          <w:highlight w:val="none"/>
        </w:rPr>
        <w:t>12.1 合同价</w:t>
      </w:r>
      <w:bookmarkEnd w:id="1073"/>
      <w:bookmarkEnd w:id="1074"/>
      <w:r>
        <w:rPr>
          <w:rFonts w:hint="eastAsia" w:ascii="宋体" w:hAnsi="宋体" w:eastAsia="宋体" w:cs="宋体"/>
          <w:b w:val="0"/>
          <w:color w:val="auto"/>
          <w:sz w:val="21"/>
          <w:szCs w:val="21"/>
          <w:highlight w:val="none"/>
        </w:rPr>
        <w:t>格形式</w:t>
      </w:r>
      <w:bookmarkEnd w:id="1075"/>
      <w:bookmarkEnd w:id="1076"/>
    </w:p>
    <w:bookmarkEnd w:id="107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发包人和承包人应在合同协议书中选择下列一种合同价格形式： </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78" w:name="_Toc7427"/>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单价合同</w:t>
      </w:r>
      <w:bookmarkEnd w:id="107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1"/>
          <w:szCs w:val="21"/>
          <w:highlight w:val="none"/>
        </w:rPr>
        <w:t>在约定的范围内合同单价不作调整</w:t>
      </w:r>
      <w:r>
        <w:rPr>
          <w:rFonts w:hint="eastAsia" w:ascii="宋体" w:hAnsi="宋体" w:eastAsia="宋体" w:cs="宋体"/>
          <w:color w:val="auto"/>
          <w:kern w:val="0"/>
          <w:sz w:val="21"/>
          <w:szCs w:val="21"/>
          <w:highlight w:val="none"/>
        </w:rPr>
        <w:t>。合同当事人应在专用合同条款中约定综合单价包含的风险范围和风险费用的计算方法</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79" w:name="_Toc16233"/>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总价合同</w:t>
      </w:r>
      <w:bookmarkEnd w:id="107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1"/>
          <w:szCs w:val="21"/>
          <w:highlight w:val="none"/>
        </w:rPr>
        <w:t>在约定的范围内合同总价不作调整</w:t>
      </w:r>
      <w:r>
        <w:rPr>
          <w:rFonts w:hint="eastAsia" w:ascii="宋体" w:hAnsi="宋体" w:eastAsia="宋体" w:cs="宋体"/>
          <w:color w:val="auto"/>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80" w:name="_Toc457"/>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其它价格形式</w:t>
      </w:r>
      <w:bookmarkEnd w:id="108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合同当事人可在专用合同条款中约定其他合同价格形式。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81" w:name="_Toc296346598"/>
      <w:bookmarkStart w:id="1082" w:name="_Toc296503097"/>
      <w:bookmarkStart w:id="1083" w:name="_Toc22245"/>
      <w:bookmarkStart w:id="1084" w:name="_Toc351203582"/>
      <w:bookmarkStart w:id="1085" w:name="_Toc337558801"/>
      <w:r>
        <w:rPr>
          <w:rFonts w:hint="eastAsia" w:ascii="宋体" w:hAnsi="宋体" w:eastAsia="宋体" w:cs="宋体"/>
          <w:b w:val="0"/>
          <w:color w:val="auto"/>
          <w:sz w:val="21"/>
          <w:szCs w:val="21"/>
          <w:highlight w:val="none"/>
        </w:rPr>
        <w:t>12.2预</w:t>
      </w:r>
      <w:bookmarkEnd w:id="1081"/>
      <w:bookmarkEnd w:id="1082"/>
      <w:bookmarkStart w:id="1086" w:name="_Toc296346601"/>
      <w:bookmarkStart w:id="1087" w:name="_Toc296503100"/>
      <w:r>
        <w:rPr>
          <w:rFonts w:hint="eastAsia" w:ascii="宋体" w:hAnsi="宋体" w:eastAsia="宋体" w:cs="宋体"/>
          <w:b w:val="0"/>
          <w:color w:val="auto"/>
          <w:sz w:val="21"/>
          <w:szCs w:val="21"/>
          <w:highlight w:val="none"/>
        </w:rPr>
        <w:t>付款</w:t>
      </w:r>
      <w:bookmarkEnd w:id="1083"/>
      <w:bookmarkEnd w:id="1084"/>
      <w:r>
        <w:rPr>
          <w:rFonts w:hint="eastAsia" w:cs="宋体"/>
          <w:b w:val="0"/>
          <w:color w:val="auto"/>
          <w:sz w:val="21"/>
          <w:szCs w:val="21"/>
          <w:highlight w:val="none"/>
          <w:lang w:eastAsia="zh-CN"/>
        </w:rPr>
        <w:t>（本项目不涉及预付款支付）</w:t>
      </w:r>
    </w:p>
    <w:bookmarkEnd w:id="1064"/>
    <w:bookmarkEnd w:id="1085"/>
    <w:bookmarkEnd w:id="1086"/>
    <w:bookmarkEnd w:id="1087"/>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88" w:name="_Toc25312"/>
      <w:bookmarkStart w:id="1089" w:name="_Toc351203583"/>
      <w:bookmarkStart w:id="1090" w:name="_Toc337558802"/>
      <w:r>
        <w:rPr>
          <w:rFonts w:hint="eastAsia" w:ascii="宋体" w:hAnsi="宋体" w:eastAsia="宋体" w:cs="宋体"/>
          <w:b w:val="0"/>
          <w:color w:val="auto"/>
          <w:sz w:val="21"/>
          <w:szCs w:val="21"/>
          <w:highlight w:val="none"/>
        </w:rPr>
        <w:t>12.3计量</w:t>
      </w:r>
      <w:bookmarkEnd w:id="1088"/>
      <w:bookmarkEnd w:id="1089"/>
    </w:p>
    <w:bookmarkEnd w:id="1090"/>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除专用合同条款另有约定外，工程量的计量按月进行。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除专用合同条款另有约定外，单价合同的计量按照本项约定执行：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除专用合同条款另有约定外，按月计量支付的总价合同，按照本项约定执行：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合同当事人可在专用合同条款中约定其他价格形式合同的计量方式和程序。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091" w:name="_Toc296346602"/>
      <w:bookmarkStart w:id="1092" w:name="_Toc296503101"/>
      <w:bookmarkStart w:id="1093" w:name="_Toc351203584"/>
      <w:bookmarkStart w:id="1094" w:name="_Toc29554"/>
      <w:bookmarkStart w:id="1095" w:name="_Toc337558803"/>
      <w:r>
        <w:rPr>
          <w:rFonts w:hint="eastAsia" w:ascii="宋体" w:hAnsi="宋体" w:eastAsia="宋体" w:cs="宋体"/>
          <w:b w:val="0"/>
          <w:color w:val="auto"/>
          <w:sz w:val="21"/>
          <w:szCs w:val="21"/>
          <w:highlight w:val="none"/>
        </w:rPr>
        <w:t>12.4工程进度款支</w:t>
      </w:r>
      <w:bookmarkEnd w:id="1091"/>
      <w:bookmarkEnd w:id="1092"/>
      <w:r>
        <w:rPr>
          <w:rFonts w:hint="eastAsia" w:ascii="宋体" w:hAnsi="宋体" w:eastAsia="宋体" w:cs="宋体"/>
          <w:b w:val="0"/>
          <w:color w:val="auto"/>
          <w:sz w:val="21"/>
          <w:szCs w:val="21"/>
          <w:highlight w:val="none"/>
        </w:rPr>
        <w:t>付</w:t>
      </w:r>
      <w:bookmarkEnd w:id="1093"/>
      <w:bookmarkEnd w:id="1094"/>
    </w:p>
    <w:bookmarkEnd w:id="1095"/>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96" w:name="_Toc23080"/>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.1 付款周期</w:t>
      </w:r>
      <w:bookmarkEnd w:id="1096"/>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除专用合同条款另有约定外，付款周期应按照第12.3.2项〔计量周期〕的约定与计量周期保持一致。</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97" w:name="_Toc24632"/>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.2 进度付款申请单的编制</w:t>
      </w:r>
      <w:bookmarkEnd w:id="109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除专用合同条款另有约定外，进度付款申请单应包括下列内容：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（2）根据第10条〔变更〕应增加和扣减的变更金额；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（3）根据第12.2款〔预付款〕约定应支付的预付款和扣减的返还预付款；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（4）根据第15.3款〔质量保证金〕约定应扣减的质量保证金；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（5）根据第19条〔索赔〕应增加和扣减的索赔金额；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（6）对已签发的进度款支付证书中出现错误的修正，应在本次进度付款中支付或扣除的金额；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（7）根据合同约定应增加和扣减的其他金额。</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98" w:name="_Toc21793"/>
      <w:r>
        <w:rPr>
          <w:rFonts w:hint="eastAsia" w:ascii="宋体" w:hAnsi="宋体" w:eastAsia="宋体" w:cs="宋体"/>
          <w:color w:val="auto"/>
          <w:kern w:val="0"/>
          <w:sz w:val="21"/>
          <w:szCs w:val="21"/>
          <w:highlight w:val="none"/>
        </w:rPr>
        <w:t>12.4.3 进度付款申请单的提交</w:t>
      </w:r>
      <w:bookmarkEnd w:id="1098"/>
    </w:p>
    <w:p>
      <w:pPr>
        <w:autoSpaceDE w:val="0"/>
        <w:autoSpaceDN w:val="0"/>
        <w:adjustRightInd w:val="0"/>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（3）其他价格形式合同的进度付款申请单的提交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合同当事人可在专用合同条款中约定其他价格形式合同的进度付款申请单的编制和提交程序。</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099" w:name="_Toc6"/>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.4 进度款审核和支付</w:t>
      </w:r>
      <w:bookmarkEnd w:id="109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00" w:name="_Toc17835"/>
      <w:r>
        <w:rPr>
          <w:rFonts w:hint="eastAsia" w:ascii="宋体" w:hAnsi="宋体" w:eastAsia="宋体" w:cs="宋体"/>
          <w:color w:val="auto"/>
          <w:kern w:val="0"/>
          <w:sz w:val="21"/>
          <w:szCs w:val="21"/>
          <w:highlight w:val="none"/>
        </w:rPr>
        <w:t>12.4.5 进度付款的修正</w:t>
      </w:r>
      <w:bookmarkEnd w:id="110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01" w:name="_Toc14385"/>
      <w:r>
        <w:rPr>
          <w:rFonts w:hint="eastAsia" w:ascii="宋体" w:hAnsi="宋体" w:eastAsia="宋体" w:cs="宋体"/>
          <w:color w:val="auto"/>
          <w:kern w:val="0"/>
          <w:sz w:val="21"/>
          <w:szCs w:val="21"/>
          <w:highlight w:val="none"/>
        </w:rPr>
        <w:t>12.4.6 支付分解表</w:t>
      </w:r>
      <w:bookmarkEnd w:id="1101"/>
    </w:p>
    <w:p>
      <w:pPr>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支付分解表的编制要求</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（1）支付分解表中所列的每期付款金额，应为第12.4.2项〔进度付款申请单的编制〕第（1）目的估算金额；</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（2）实际进度与施工进度计划不一致的，合同当事人可按照第4.4款〔商定或确定〕修改支付分解表；</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（3）不采用支付分解表的，承包人应向发包人和监理人提交按季度编制的支付估算分解表，用于支付参考。</w:t>
      </w:r>
    </w:p>
    <w:p>
      <w:pPr>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总价合同支付分解表的编制与审批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单价合同的总价项目支付分解表的编制与审批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02" w:name="_Toc351203585"/>
      <w:bookmarkStart w:id="1103" w:name="_Toc4841"/>
      <w:r>
        <w:rPr>
          <w:rFonts w:hint="eastAsia" w:ascii="宋体" w:hAnsi="宋体" w:eastAsia="宋体" w:cs="宋体"/>
          <w:b w:val="0"/>
          <w:color w:val="auto"/>
          <w:sz w:val="21"/>
          <w:szCs w:val="21"/>
          <w:highlight w:val="none"/>
        </w:rPr>
        <w:t>12.5支付账户</w:t>
      </w:r>
      <w:bookmarkEnd w:id="1102"/>
      <w:bookmarkEnd w:id="110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发包人应将合同价款支付至合同协议书中约定的承包人账户。</w:t>
      </w:r>
    </w:p>
    <w:p>
      <w:pPr>
        <w:pStyle w:val="6"/>
        <w:spacing w:before="120" w:after="120" w:line="360" w:lineRule="auto"/>
        <w:outlineLvl w:val="0"/>
        <w:rPr>
          <w:rFonts w:hint="eastAsia" w:ascii="宋体" w:hAnsi="宋体" w:eastAsia="宋体" w:cs="宋体"/>
          <w:b w:val="0"/>
          <w:color w:val="auto"/>
          <w:sz w:val="21"/>
          <w:szCs w:val="21"/>
          <w:highlight w:val="none"/>
        </w:rPr>
      </w:pPr>
      <w:bookmarkStart w:id="1104" w:name="_Toc351203586"/>
      <w:bookmarkStart w:id="1105" w:name="_Toc13782"/>
      <w:bookmarkStart w:id="1106" w:name="_Toc296346607"/>
      <w:bookmarkStart w:id="1107" w:name="_Toc337558804"/>
      <w:bookmarkStart w:id="1108" w:name="_Toc296503106"/>
      <w:bookmarkStart w:id="1109" w:name="_Toc322522574"/>
      <w:r>
        <w:rPr>
          <w:rFonts w:hint="eastAsia" w:ascii="宋体" w:hAnsi="宋体" w:eastAsia="宋体" w:cs="宋体"/>
          <w:b w:val="0"/>
          <w:color w:val="auto"/>
          <w:sz w:val="21"/>
          <w:szCs w:val="21"/>
          <w:highlight w:val="none"/>
        </w:rPr>
        <w:t>13. 验收和工程试车</w:t>
      </w:r>
      <w:bookmarkEnd w:id="1104"/>
      <w:bookmarkEnd w:id="1105"/>
    </w:p>
    <w:bookmarkEnd w:id="1106"/>
    <w:bookmarkEnd w:id="1107"/>
    <w:bookmarkEnd w:id="1108"/>
    <w:bookmarkEnd w:id="1109"/>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10" w:name="_Toc351203587"/>
      <w:bookmarkStart w:id="1111" w:name="_Toc5638"/>
      <w:bookmarkStart w:id="1112" w:name="_Toc337558805"/>
      <w:bookmarkStart w:id="1113" w:name="_Toc296503110"/>
      <w:bookmarkStart w:id="1114" w:name="_Toc296346611"/>
      <w:r>
        <w:rPr>
          <w:rFonts w:hint="eastAsia" w:ascii="宋体" w:hAnsi="宋体" w:eastAsia="宋体" w:cs="宋体"/>
          <w:b w:val="0"/>
          <w:color w:val="auto"/>
          <w:sz w:val="21"/>
          <w:szCs w:val="21"/>
          <w:highlight w:val="none"/>
        </w:rPr>
        <w:t>13.1分部分项工程验收</w:t>
      </w:r>
      <w:bookmarkEnd w:id="1110"/>
      <w:bookmarkEnd w:id="1111"/>
    </w:p>
    <w:bookmarkEnd w:id="1112"/>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分部分项工程质量应符合国家有关工程施工验收规范、标准及合同约定，承包人应按照施工组织设计的要求完成分部分项工程施工。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1"/>
          <w:szCs w:val="21"/>
          <w:highlight w:val="none"/>
        </w:rPr>
        <w:t>分部分项工程未经验收的，不得进入下一道工序施工。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分部分项工程的验收资料应当作为竣工资料的组成部分。</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15" w:name="_Toc13311"/>
      <w:bookmarkStart w:id="1116" w:name="_Toc351203588"/>
      <w:bookmarkStart w:id="1117" w:name="_Toc337558806"/>
      <w:r>
        <w:rPr>
          <w:rFonts w:hint="eastAsia" w:ascii="宋体" w:hAnsi="宋体" w:eastAsia="宋体" w:cs="宋体"/>
          <w:b w:val="0"/>
          <w:color w:val="auto"/>
          <w:sz w:val="21"/>
          <w:szCs w:val="21"/>
          <w:highlight w:val="none"/>
        </w:rPr>
        <w:t>13.2竣工验收</w:t>
      </w:r>
      <w:bookmarkEnd w:id="1115"/>
      <w:bookmarkEnd w:id="1116"/>
    </w:p>
    <w:bookmarkEnd w:id="1113"/>
    <w:bookmarkEnd w:id="1114"/>
    <w:bookmarkEnd w:id="1117"/>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18" w:name="_Toc4647"/>
      <w:r>
        <w:rPr>
          <w:rFonts w:hint="eastAsia" w:ascii="宋体" w:hAnsi="宋体" w:eastAsia="宋体" w:cs="宋体"/>
          <w:color w:val="auto"/>
          <w:kern w:val="0"/>
          <w:sz w:val="21"/>
          <w:szCs w:val="21"/>
          <w:highlight w:val="none"/>
        </w:rPr>
        <w:t>13.2.1竣工验收条件</w:t>
      </w:r>
      <w:bookmarkEnd w:id="1118"/>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工程具备以下条件的，承包人可以申请竣工验收：</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（2）已按合同约定编制了甩项工作和缺陷修补工作清单以及相应的施工计划；</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（3）已按合同约定的内容和份数备齐竣工资料。</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19" w:name="_Toc13411"/>
      <w:r>
        <w:rPr>
          <w:rFonts w:hint="eastAsia" w:ascii="宋体" w:hAnsi="宋体" w:eastAsia="宋体" w:cs="宋体"/>
          <w:color w:val="auto"/>
          <w:kern w:val="0"/>
          <w:sz w:val="21"/>
          <w:szCs w:val="21"/>
          <w:highlight w:val="none"/>
        </w:rPr>
        <w:t>13.2.2竣工验收程序</w:t>
      </w:r>
      <w:bookmarkEnd w:id="111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除专用合同条款另有约定外，承包人申请竣工验收的，应当按照以下程序进行：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20" w:name="_Toc10440"/>
      <w:r>
        <w:rPr>
          <w:rFonts w:hint="eastAsia" w:ascii="宋体" w:hAnsi="宋体" w:eastAsia="宋体" w:cs="宋体"/>
          <w:color w:val="auto"/>
          <w:kern w:val="0"/>
          <w:sz w:val="21"/>
          <w:szCs w:val="21"/>
          <w:highlight w:val="none"/>
        </w:rPr>
        <w:t>13.2.3竣工日期</w:t>
      </w:r>
      <w:bookmarkEnd w:id="112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121" w:name="#go14"/>
      <w:bookmarkEnd w:id="1121"/>
      <w:r>
        <w:rPr>
          <w:rFonts w:hint="eastAsia" w:ascii="宋体" w:hAnsi="宋体" w:eastAsia="宋体" w:cs="宋体"/>
          <w:color w:val="auto"/>
          <w:kern w:val="0"/>
          <w:sz w:val="21"/>
          <w:szCs w:val="21"/>
          <w:highlight w:val="none"/>
        </w:rPr>
        <w:t>收申请报告的日期为实际竣工日期；工程未经竣工验收，发包人擅自使用的，以转移占有工程之日为实际竣工日期。</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22" w:name="_Toc18112"/>
      <w:r>
        <w:rPr>
          <w:rFonts w:hint="eastAsia" w:ascii="宋体" w:hAnsi="宋体" w:eastAsia="宋体" w:cs="宋体"/>
          <w:color w:val="auto"/>
          <w:kern w:val="0"/>
          <w:sz w:val="21"/>
          <w:szCs w:val="21"/>
          <w:highlight w:val="none"/>
        </w:rPr>
        <w:t>13.2.4 拒绝接收全部或部分工程</w:t>
      </w:r>
      <w:bookmarkEnd w:id="112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23" w:name="_Toc5650"/>
      <w:r>
        <w:rPr>
          <w:rFonts w:hint="eastAsia" w:ascii="宋体" w:hAnsi="宋体" w:eastAsia="宋体" w:cs="宋体"/>
          <w:color w:val="auto"/>
          <w:kern w:val="0"/>
          <w:sz w:val="21"/>
          <w:szCs w:val="21"/>
          <w:highlight w:val="none"/>
        </w:rPr>
        <w:t>13.2.5 移交、接收全部与部分工程</w:t>
      </w:r>
      <w:bookmarkEnd w:id="112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除专用合同条款另有约定外，合同当事人应当在颁发工程接收证书后7天内完成工程的移交。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24" w:name="_Toc7257"/>
      <w:bookmarkStart w:id="1125" w:name="_Toc351203589"/>
      <w:bookmarkStart w:id="1126" w:name="_Toc296346612"/>
      <w:bookmarkStart w:id="1127" w:name="_Toc337558807"/>
      <w:bookmarkStart w:id="1128" w:name="_Toc296503111"/>
      <w:r>
        <w:rPr>
          <w:rFonts w:hint="eastAsia" w:ascii="宋体" w:hAnsi="宋体" w:eastAsia="宋体" w:cs="宋体"/>
          <w:b w:val="0"/>
          <w:color w:val="auto"/>
          <w:sz w:val="21"/>
          <w:szCs w:val="21"/>
          <w:highlight w:val="none"/>
        </w:rPr>
        <w:t>13.3工程试车</w:t>
      </w:r>
      <w:bookmarkEnd w:id="1124"/>
      <w:bookmarkEnd w:id="1125"/>
    </w:p>
    <w:bookmarkEnd w:id="1126"/>
    <w:bookmarkEnd w:id="1127"/>
    <w:bookmarkEnd w:id="1128"/>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29" w:name="_Toc7418"/>
      <w:r>
        <w:rPr>
          <w:rFonts w:hint="eastAsia" w:ascii="宋体" w:hAnsi="宋体" w:eastAsia="宋体" w:cs="宋体"/>
          <w:color w:val="auto"/>
          <w:kern w:val="0"/>
          <w:sz w:val="21"/>
          <w:szCs w:val="21"/>
          <w:highlight w:val="none"/>
        </w:rPr>
        <w:t>13.3.1试车程序</w:t>
      </w:r>
      <w:bookmarkEnd w:id="112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30" w:name="_Toc20520"/>
      <w:r>
        <w:rPr>
          <w:rFonts w:hint="eastAsia" w:ascii="宋体" w:hAnsi="宋体" w:eastAsia="宋体" w:cs="宋体"/>
          <w:color w:val="auto"/>
          <w:kern w:val="0"/>
          <w:sz w:val="21"/>
          <w:szCs w:val="21"/>
          <w:highlight w:val="none"/>
        </w:rPr>
        <w:t>13.3.2 试车中的责任</w:t>
      </w:r>
      <w:bookmarkEnd w:id="113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31" w:name="_Toc2332"/>
      <w:r>
        <w:rPr>
          <w:rFonts w:hint="eastAsia" w:ascii="宋体" w:hAnsi="宋体" w:eastAsia="宋体" w:cs="宋体"/>
          <w:color w:val="auto"/>
          <w:kern w:val="0"/>
          <w:sz w:val="21"/>
          <w:szCs w:val="21"/>
          <w:highlight w:val="none"/>
        </w:rPr>
        <w:t>13.3.3 投料试车</w:t>
      </w:r>
      <w:bookmarkEnd w:id="1131"/>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60" w:lineRule="auto"/>
        <w:outlineLvl w:val="1"/>
        <w:rPr>
          <w:rFonts w:hint="eastAsia" w:ascii="宋体" w:hAnsi="宋体" w:eastAsia="宋体" w:cs="宋体"/>
          <w:b w:val="0"/>
          <w:color w:val="auto"/>
          <w:sz w:val="21"/>
          <w:szCs w:val="21"/>
          <w:highlight w:val="none"/>
        </w:rPr>
      </w:pPr>
      <w:bookmarkStart w:id="1132" w:name="_Toc337558808"/>
      <w:r>
        <w:rPr>
          <w:rFonts w:hint="eastAsia" w:ascii="宋体" w:hAnsi="宋体" w:eastAsia="宋体" w:cs="宋体"/>
          <w:b w:val="0"/>
          <w:color w:val="auto"/>
          <w:sz w:val="21"/>
          <w:szCs w:val="21"/>
          <w:highlight w:val="none"/>
        </w:rPr>
        <w:t xml:space="preserve">    </w:t>
      </w:r>
      <w:bookmarkStart w:id="1133" w:name="_Toc20919"/>
      <w:bookmarkStart w:id="1134" w:name="_Toc351203590"/>
      <w:r>
        <w:rPr>
          <w:rFonts w:hint="eastAsia" w:ascii="宋体" w:hAnsi="宋体" w:eastAsia="宋体" w:cs="宋体"/>
          <w:b w:val="0"/>
          <w:color w:val="auto"/>
          <w:sz w:val="21"/>
          <w:szCs w:val="21"/>
          <w:highlight w:val="none"/>
        </w:rPr>
        <w:t>13.4提前交付单位工程的验收</w:t>
      </w:r>
      <w:bookmarkEnd w:id="1133"/>
      <w:bookmarkEnd w:id="1134"/>
    </w:p>
    <w:bookmarkEnd w:id="1132"/>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35" w:name="_Toc351203591"/>
      <w:bookmarkStart w:id="1136" w:name="_Toc7346"/>
      <w:r>
        <w:rPr>
          <w:rFonts w:hint="eastAsia" w:ascii="宋体" w:hAnsi="宋体" w:eastAsia="宋体" w:cs="宋体"/>
          <w:b w:val="0"/>
          <w:color w:val="auto"/>
          <w:sz w:val="21"/>
          <w:szCs w:val="21"/>
          <w:highlight w:val="none"/>
        </w:rPr>
        <w:t>13.5 施工期运行</w:t>
      </w:r>
      <w:bookmarkEnd w:id="1135"/>
      <w:bookmarkEnd w:id="1136"/>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13.5.2 在施工期运行中发现工程或工程设备损坏或存在缺陷的，由承包人按第15.2款〔缺陷责任期〕约定进行修复。</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37" w:name="_Toc296346613"/>
      <w:bookmarkStart w:id="1138" w:name="_Toc296503112"/>
      <w:bookmarkStart w:id="1139" w:name="_Toc4041"/>
      <w:bookmarkStart w:id="1140" w:name="_Toc351203592"/>
      <w:bookmarkStart w:id="1141" w:name="_Toc337558809"/>
      <w:r>
        <w:rPr>
          <w:rFonts w:hint="eastAsia" w:ascii="宋体" w:hAnsi="宋体" w:eastAsia="宋体" w:cs="宋体"/>
          <w:b w:val="0"/>
          <w:color w:val="auto"/>
          <w:sz w:val="21"/>
          <w:szCs w:val="21"/>
          <w:highlight w:val="none"/>
        </w:rPr>
        <w:t>13.6 竣工退</w:t>
      </w:r>
      <w:bookmarkEnd w:id="1137"/>
      <w:bookmarkEnd w:id="1138"/>
      <w:r>
        <w:rPr>
          <w:rFonts w:hint="eastAsia" w:ascii="宋体" w:hAnsi="宋体" w:eastAsia="宋体" w:cs="宋体"/>
          <w:b w:val="0"/>
          <w:color w:val="auto"/>
          <w:sz w:val="21"/>
          <w:szCs w:val="21"/>
          <w:highlight w:val="none"/>
        </w:rPr>
        <w:t>场</w:t>
      </w:r>
      <w:bookmarkEnd w:id="1139"/>
      <w:bookmarkEnd w:id="1140"/>
    </w:p>
    <w:bookmarkEnd w:id="1141"/>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42" w:name="_Toc13089"/>
      <w:r>
        <w:rPr>
          <w:rFonts w:hint="eastAsia" w:ascii="宋体" w:hAnsi="宋体" w:eastAsia="宋体" w:cs="宋体"/>
          <w:color w:val="auto"/>
          <w:kern w:val="0"/>
          <w:sz w:val="21"/>
          <w:szCs w:val="21"/>
          <w:highlight w:val="none"/>
        </w:rPr>
        <w:t>13.6.1 竣工退场</w:t>
      </w:r>
      <w:bookmarkEnd w:id="114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颁发工程接收证书后，承包人应按以下要求对施工现场进行清理：</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（1）施工现场内残留的垃圾已全部清除出场；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（2）临时工程已拆除，场地已进行清理、平整或复原；</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（3）按合同约定应撤离的人员、承包人施工设备和剩余的材料，包括废弃的施工设备和材料，已按计划撤离施工现场；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（4）施工现场周边及其附近道路、河道的施工堆积物，已全部清理；</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（5）施工现场其他场地清理工作已全部完成。</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43" w:name="_Toc10545"/>
      <w:r>
        <w:rPr>
          <w:rFonts w:hint="eastAsia" w:ascii="宋体" w:hAnsi="宋体" w:eastAsia="宋体" w:cs="宋体"/>
          <w:color w:val="auto"/>
          <w:kern w:val="0"/>
          <w:sz w:val="21"/>
          <w:szCs w:val="21"/>
          <w:highlight w:val="none"/>
        </w:rPr>
        <w:t>13.6.2 地表还原</w:t>
      </w:r>
      <w:bookmarkEnd w:id="1143"/>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bookmarkStart w:id="1144" w:name="_Toc337558810"/>
      <w:bookmarkStart w:id="1145" w:name="_Toc351203593"/>
      <w:bookmarkStart w:id="1146" w:name="_Toc25829"/>
      <w:bookmarkStart w:id="1147" w:name="_Toc296503113"/>
      <w:bookmarkStart w:id="1148" w:name="_Toc296346614"/>
    </w:p>
    <w:p>
      <w:pPr>
        <w:numPr>
          <w:ilvl w:val="0"/>
          <w:numId w:val="2"/>
        </w:numPr>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竣工结算</w:t>
      </w:r>
      <w:bookmarkEnd w:id="1144"/>
      <w:bookmarkEnd w:id="1145"/>
      <w:bookmarkEnd w:id="1146"/>
      <w:bookmarkStart w:id="1149" w:name="_Toc23953"/>
      <w:bookmarkStart w:id="1150" w:name="_Toc351203594"/>
      <w:bookmarkStart w:id="1151" w:name="_Toc337558811"/>
    </w:p>
    <w:p>
      <w:pPr>
        <w:numPr>
          <w:ilvl w:val="0"/>
          <w:numId w:val="0"/>
        </w:numPr>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14.1 竣工结算申请</w:t>
      </w:r>
      <w:bookmarkEnd w:id="1149"/>
      <w:bookmarkEnd w:id="1150"/>
    </w:p>
    <w:bookmarkEnd w:id="1151"/>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除专用合同条款另有约定外，</w:t>
      </w:r>
      <w:r>
        <w:rPr>
          <w:rFonts w:hint="eastAsia" w:ascii="宋体" w:hAnsi="宋体" w:eastAsia="宋体" w:cs="宋体"/>
          <w:color w:val="auto"/>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除专用合同条款另有约定外，竣工结算申请单应包括以下内容：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（2）发包人已支付承包人的款项；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（3）应扣留的质量保证金。已缴纳履约保证金的或提供其他工程质量担保方式的除外； </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（4）发包人应支付承包人的合同价款。</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52" w:name="_Toc351203595"/>
      <w:bookmarkStart w:id="1153" w:name="_Toc8165"/>
      <w:bookmarkStart w:id="1154" w:name="_Toc337558812"/>
      <w:r>
        <w:rPr>
          <w:rFonts w:hint="eastAsia" w:ascii="宋体" w:hAnsi="宋体" w:eastAsia="宋体" w:cs="宋体"/>
          <w:b w:val="0"/>
          <w:color w:val="auto"/>
          <w:sz w:val="21"/>
          <w:szCs w:val="21"/>
          <w:highlight w:val="none"/>
        </w:rPr>
        <w:t>14.2 竣工结算审核</w:t>
      </w:r>
      <w:bookmarkEnd w:id="1152"/>
      <w:bookmarkEnd w:id="1153"/>
    </w:p>
    <w:bookmarkEnd w:id="115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1"/>
          <w:szCs w:val="21"/>
          <w:highlight w:val="none"/>
        </w:rPr>
        <w:t>发包人对竣工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申请单有异议的，有权要求承包人进行修正和提供补充资料，承包人应提交修正后的竣工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55" w:name="_Toc1235"/>
      <w:bookmarkStart w:id="1156" w:name="_Toc351203596"/>
      <w:bookmarkStart w:id="1157" w:name="_Toc337558813"/>
      <w:r>
        <w:rPr>
          <w:rFonts w:hint="eastAsia" w:ascii="宋体" w:hAnsi="宋体" w:eastAsia="宋体" w:cs="宋体"/>
          <w:b w:val="0"/>
          <w:color w:val="auto"/>
          <w:sz w:val="21"/>
          <w:szCs w:val="21"/>
          <w:highlight w:val="none"/>
        </w:rPr>
        <w:t>14.3 甩项竣工协议</w:t>
      </w:r>
      <w:bookmarkEnd w:id="1155"/>
      <w:bookmarkEnd w:id="1156"/>
    </w:p>
    <w:bookmarkEnd w:id="1157"/>
    <w:p>
      <w:pPr>
        <w:autoSpaceDE w:val="0"/>
        <w:autoSpaceDN w:val="0"/>
        <w:adjustRightInd w:val="0"/>
        <w:spacing w:line="360" w:lineRule="auto"/>
        <w:ind w:firstLine="411" w:firstLineChars="196"/>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58" w:name="_Toc351203597"/>
      <w:bookmarkStart w:id="1159" w:name="_Toc32637"/>
      <w:bookmarkStart w:id="1160" w:name="_Toc337558814"/>
      <w:r>
        <w:rPr>
          <w:rFonts w:hint="eastAsia" w:ascii="宋体" w:hAnsi="宋体" w:eastAsia="宋体" w:cs="宋体"/>
          <w:b w:val="0"/>
          <w:color w:val="auto"/>
          <w:sz w:val="21"/>
          <w:szCs w:val="21"/>
          <w:highlight w:val="none"/>
        </w:rPr>
        <w:t>14.4 最终结清</w:t>
      </w:r>
      <w:bookmarkEnd w:id="1158"/>
      <w:bookmarkEnd w:id="1159"/>
    </w:p>
    <w:bookmarkEnd w:id="1160"/>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61" w:name="_Toc19348"/>
      <w:r>
        <w:rPr>
          <w:rFonts w:hint="eastAsia" w:ascii="宋体" w:hAnsi="宋体" w:eastAsia="宋体" w:cs="宋体"/>
          <w:color w:val="auto"/>
          <w:kern w:val="0"/>
          <w:sz w:val="21"/>
          <w:szCs w:val="21"/>
          <w:highlight w:val="none"/>
        </w:rPr>
        <w:t>14.4.1 最终结清申请单</w:t>
      </w:r>
      <w:bookmarkEnd w:id="1161"/>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w:t>
      </w:r>
      <w:r>
        <w:rPr>
          <w:rFonts w:hint="eastAsia" w:ascii="宋体" w:hAnsi="宋体" w:eastAsia="宋体" w:cs="宋体"/>
          <w:color w:val="auto"/>
          <w:kern w:val="0"/>
          <w:sz w:val="21"/>
          <w:szCs w:val="21"/>
          <w:highlight w:val="none"/>
        </w:rPr>
        <w:t>最终结清申请单</w:t>
      </w:r>
      <w:r>
        <w:rPr>
          <w:rFonts w:hint="eastAsia" w:ascii="宋体" w:hAnsi="宋体" w:eastAsia="宋体" w:cs="宋体"/>
          <w:color w:val="auto"/>
          <w:sz w:val="21"/>
          <w:szCs w:val="21"/>
          <w:highlight w:val="none"/>
        </w:rPr>
        <w:t>应列明质量保证金、应扣除的质量保证金、缺陷责任期内发生的增减费用。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62" w:name="_Toc18877"/>
      <w:r>
        <w:rPr>
          <w:rFonts w:hint="eastAsia" w:ascii="宋体" w:hAnsi="宋体" w:eastAsia="宋体" w:cs="宋体"/>
          <w:color w:val="auto"/>
          <w:kern w:val="0"/>
          <w:sz w:val="21"/>
          <w:szCs w:val="21"/>
          <w:highlight w:val="none"/>
        </w:rPr>
        <w:t>14.4.2 最终结清证书和支付</w:t>
      </w:r>
      <w:bookmarkEnd w:id="116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（3）承包人对发包人颁发的最终结清证书有异议的，按第20条〔争议解决〕的约定办理。</w:t>
      </w:r>
    </w:p>
    <w:p>
      <w:pPr>
        <w:pStyle w:val="6"/>
        <w:spacing w:before="120" w:after="120" w:line="360" w:lineRule="auto"/>
        <w:outlineLvl w:val="0"/>
        <w:rPr>
          <w:rFonts w:hint="eastAsia" w:ascii="宋体" w:hAnsi="宋体" w:eastAsia="宋体" w:cs="宋体"/>
          <w:b w:val="0"/>
          <w:color w:val="auto"/>
          <w:sz w:val="21"/>
          <w:szCs w:val="21"/>
          <w:highlight w:val="none"/>
        </w:rPr>
      </w:pPr>
      <w:bookmarkStart w:id="1163" w:name="_Toc9190"/>
      <w:bookmarkStart w:id="1164" w:name="_Toc351203598"/>
      <w:bookmarkStart w:id="1165" w:name="_Toc337558815"/>
      <w:r>
        <w:rPr>
          <w:rFonts w:hint="eastAsia" w:ascii="宋体" w:hAnsi="宋体" w:eastAsia="宋体" w:cs="宋体"/>
          <w:b w:val="0"/>
          <w:color w:val="auto"/>
          <w:sz w:val="21"/>
          <w:szCs w:val="21"/>
          <w:highlight w:val="none"/>
        </w:rPr>
        <w:t>15. 缺陷责任与保修</w:t>
      </w:r>
      <w:bookmarkEnd w:id="1163"/>
      <w:bookmarkEnd w:id="1164"/>
    </w:p>
    <w:bookmarkEnd w:id="1147"/>
    <w:bookmarkEnd w:id="1148"/>
    <w:bookmarkEnd w:id="1165"/>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66" w:name="_Toc351203599"/>
      <w:bookmarkStart w:id="1167" w:name="_Toc25515"/>
      <w:bookmarkStart w:id="1168" w:name="_Toc337558816"/>
      <w:bookmarkStart w:id="1169" w:name="_Toc296346615"/>
      <w:bookmarkStart w:id="1170" w:name="_Toc296503114"/>
      <w:r>
        <w:rPr>
          <w:rFonts w:hint="eastAsia" w:ascii="宋体" w:hAnsi="宋体" w:eastAsia="宋体" w:cs="宋体"/>
          <w:b w:val="0"/>
          <w:color w:val="auto"/>
          <w:sz w:val="21"/>
          <w:szCs w:val="21"/>
          <w:highlight w:val="none"/>
        </w:rPr>
        <w:t>15.1 工程保修的原则</w:t>
      </w:r>
      <w:bookmarkEnd w:id="1166"/>
      <w:bookmarkEnd w:id="1167"/>
    </w:p>
    <w:bookmarkEnd w:id="116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71" w:name="_Toc5387"/>
      <w:bookmarkStart w:id="1172" w:name="_Toc351203600"/>
      <w:bookmarkStart w:id="1173" w:name="_Toc337558817"/>
      <w:r>
        <w:rPr>
          <w:rFonts w:hint="eastAsia" w:ascii="宋体" w:hAnsi="宋体" w:eastAsia="宋体" w:cs="宋体"/>
          <w:b w:val="0"/>
          <w:color w:val="auto"/>
          <w:sz w:val="21"/>
          <w:szCs w:val="21"/>
          <w:highlight w:val="none"/>
        </w:rPr>
        <w:t>15.2 缺陷责任期</w:t>
      </w:r>
      <w:bookmarkEnd w:id="1169"/>
      <w:bookmarkEnd w:id="1170"/>
      <w:bookmarkEnd w:id="1171"/>
      <w:bookmarkEnd w:id="1172"/>
    </w:p>
    <w:bookmarkEnd w:id="117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auto"/>
          <w:sz w:val="21"/>
          <w:szCs w:val="21"/>
          <w:highlight w:val="none"/>
        </w:rPr>
        <w:t>包人延长缺陷责任期，</w:t>
      </w:r>
      <w:r>
        <w:rPr>
          <w:rFonts w:hint="eastAsia" w:ascii="宋体" w:hAnsi="宋体" w:eastAsia="宋体" w:cs="宋体"/>
          <w:color w:val="auto"/>
          <w:kern w:val="0"/>
          <w:sz w:val="21"/>
          <w:szCs w:val="21"/>
          <w:highlight w:val="none"/>
        </w:rPr>
        <w:t>并应在原缺陷责任期届满前发出延长通知</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rPr>
        <w:t>但缺陷责任期</w:t>
      </w:r>
      <w:r>
        <w:rPr>
          <w:rFonts w:hint="eastAsia" w:ascii="宋体" w:hAnsi="宋体" w:eastAsia="宋体" w:cs="宋体"/>
          <w:bCs/>
          <w:color w:val="auto"/>
          <w:sz w:val="21"/>
          <w:szCs w:val="21"/>
          <w:highlight w:val="none"/>
          <w:lang w:eastAsia="zh-CN"/>
        </w:rPr>
        <w:t>（含延长部分）</w:t>
      </w:r>
      <w:r>
        <w:rPr>
          <w:rFonts w:hint="eastAsia" w:ascii="宋体" w:hAnsi="宋体" w:eastAsia="宋体" w:cs="宋体"/>
          <w:bCs/>
          <w:color w:val="auto"/>
          <w:sz w:val="21"/>
          <w:szCs w:val="21"/>
          <w:highlight w:val="none"/>
        </w:rPr>
        <w:t>最长</w:t>
      </w:r>
      <w:r>
        <w:rPr>
          <w:rFonts w:hint="eastAsia" w:ascii="宋体" w:hAnsi="宋体" w:eastAsia="宋体" w:cs="宋体"/>
          <w:color w:val="auto"/>
          <w:kern w:val="0"/>
          <w:sz w:val="21"/>
          <w:szCs w:val="21"/>
          <w:highlight w:val="none"/>
        </w:rPr>
        <w:t>不能超过24个月。</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由他人原因造成的缺陷，发包人负责组织维修，承包人不承担费用，且发包人不得从保证金中扣除费用。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74" w:name="_Toc23692"/>
      <w:bookmarkStart w:id="1175" w:name="_Toc351203601"/>
      <w:bookmarkStart w:id="1176" w:name="_Toc337558818"/>
      <w:bookmarkStart w:id="1177" w:name="_Toc296346616"/>
      <w:bookmarkStart w:id="1178" w:name="_Toc296503115"/>
      <w:r>
        <w:rPr>
          <w:rFonts w:hint="eastAsia" w:ascii="宋体" w:hAnsi="宋体" w:eastAsia="宋体" w:cs="宋体"/>
          <w:b w:val="0"/>
          <w:color w:val="auto"/>
          <w:sz w:val="21"/>
          <w:szCs w:val="21"/>
          <w:highlight w:val="none"/>
        </w:rPr>
        <w:t>15.3 质量保证金</w:t>
      </w:r>
      <w:bookmarkEnd w:id="1174"/>
      <w:bookmarkEnd w:id="1175"/>
    </w:p>
    <w:bookmarkEnd w:id="117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经合同当事人协商一致扣留质量保证金的，应在专用合同条款中予以明确。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在工程项目竣工前，承包人已经提供履约担保的，发包人不得同时预留工程质量保证金。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承包人提供质量保证金有以下三种方式：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（1）质量保证金保函；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（2）相应比例的工程款；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除专用合同条款另有约定外，质量保证金原则上采用上述第（1）种方式。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15.3.2 质量保证金的扣留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质量保证金的扣留有以下三种方式：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w:t>
      </w:r>
      <w:bookmarkStart w:id="1179" w:name="#go6"/>
      <w:bookmarkEnd w:id="1179"/>
      <w:r>
        <w:rPr>
          <w:rFonts w:hint="eastAsia" w:ascii="宋体" w:hAnsi="宋体" w:eastAsia="宋体" w:cs="宋体"/>
          <w:color w:val="auto"/>
          <w:kern w:val="0"/>
          <w:sz w:val="21"/>
          <w:szCs w:val="21"/>
          <w:highlight w:val="none"/>
        </w:rPr>
        <w:t>程竣工结算时一次性扣留质量保证金；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（3）双方约定的其他扣留方式。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除专用合同条款另有约定外，质量保证金的扣留原则上采用上述第（1）种方式。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w:t>
      </w:r>
      <w:bookmarkStart w:id="1180" w:name="#go4"/>
      <w:bookmarkEnd w:id="1180"/>
      <w:r>
        <w:rPr>
          <w:rFonts w:hint="eastAsia" w:ascii="宋体" w:hAnsi="宋体" w:eastAsia="宋体" w:cs="宋体"/>
          <w:color w:val="auto"/>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发包人在退还质量保证金的同时按照中国人民银行发布的同期同类贷款基准利率支付利息。</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15.3.3 </w:t>
      </w:r>
      <w:r>
        <w:rPr>
          <w:rFonts w:hint="eastAsia" w:ascii="宋体" w:hAnsi="宋体" w:eastAsia="宋体" w:cs="宋体"/>
          <w:color w:val="auto"/>
          <w:sz w:val="21"/>
          <w:szCs w:val="21"/>
          <w:highlight w:val="none"/>
        </w:rPr>
        <w:t>质量保证金</w:t>
      </w:r>
      <w:r>
        <w:rPr>
          <w:rFonts w:hint="eastAsia" w:ascii="宋体" w:hAnsi="宋体" w:eastAsia="宋体" w:cs="宋体"/>
          <w:color w:val="auto"/>
          <w:kern w:val="0"/>
          <w:sz w:val="21"/>
          <w:szCs w:val="21"/>
          <w:highlight w:val="none"/>
        </w:rPr>
        <w:t>的退还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缺陷责任期内，承包人认真履行合同约定的责任，到期后，承包人可向发包人申请返还保证金。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发包人和承包人对保证金预留、返还以及工程维修质量、费用有争议的，按本合同第20条约定的争议和纠纷解决程序处理。</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81" w:name="_Toc351203602"/>
      <w:bookmarkStart w:id="1182" w:name="_Toc10775"/>
      <w:bookmarkStart w:id="1183" w:name="_Toc337558819"/>
      <w:r>
        <w:rPr>
          <w:rFonts w:hint="eastAsia" w:ascii="宋体" w:hAnsi="宋体" w:eastAsia="宋体" w:cs="宋体"/>
          <w:b w:val="0"/>
          <w:color w:val="auto"/>
          <w:sz w:val="21"/>
          <w:szCs w:val="21"/>
          <w:highlight w:val="none"/>
        </w:rPr>
        <w:t>15.4 保修</w:t>
      </w:r>
      <w:bookmarkEnd w:id="1181"/>
      <w:bookmarkEnd w:id="1182"/>
    </w:p>
    <w:bookmarkEnd w:id="1177"/>
    <w:bookmarkEnd w:id="1178"/>
    <w:bookmarkEnd w:id="1183"/>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84" w:name="_Toc28799"/>
      <w:r>
        <w:rPr>
          <w:rFonts w:hint="eastAsia" w:ascii="宋体" w:hAnsi="宋体" w:eastAsia="宋体" w:cs="宋体"/>
          <w:color w:val="auto"/>
          <w:kern w:val="0"/>
          <w:sz w:val="21"/>
          <w:szCs w:val="21"/>
          <w:highlight w:val="none"/>
        </w:rPr>
        <w:t>15.4.1保修责任</w:t>
      </w:r>
      <w:bookmarkEnd w:id="1184"/>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发包人未经竣工验收擅自使用工程的，保修期自</w:t>
      </w:r>
      <w:r>
        <w:rPr>
          <w:rFonts w:hint="eastAsia" w:ascii="宋体" w:hAnsi="宋体" w:eastAsia="宋体" w:cs="宋体"/>
          <w:color w:val="auto"/>
          <w:kern w:val="0"/>
          <w:sz w:val="21"/>
          <w:szCs w:val="21"/>
          <w:highlight w:val="none"/>
        </w:rPr>
        <w:t>转移占有之日起算</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85" w:name="_Toc32413"/>
      <w:r>
        <w:rPr>
          <w:rFonts w:hint="eastAsia" w:ascii="宋体" w:hAnsi="宋体" w:eastAsia="宋体" w:cs="宋体"/>
          <w:color w:val="auto"/>
          <w:kern w:val="0"/>
          <w:sz w:val="21"/>
          <w:szCs w:val="21"/>
          <w:highlight w:val="none"/>
        </w:rPr>
        <w:t>15.4.2 修复费用</w:t>
      </w:r>
      <w:bookmarkEnd w:id="118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保修期内，修复的费用按照以下约定处理：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86" w:name="_Toc9457"/>
      <w:r>
        <w:rPr>
          <w:rFonts w:hint="eastAsia" w:ascii="宋体" w:hAnsi="宋体" w:eastAsia="宋体" w:cs="宋体"/>
          <w:color w:val="auto"/>
          <w:kern w:val="0"/>
          <w:sz w:val="21"/>
          <w:szCs w:val="21"/>
          <w:highlight w:val="none"/>
        </w:rPr>
        <w:t>15.4.3 修复通知</w:t>
      </w:r>
      <w:bookmarkEnd w:id="1186"/>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87" w:name="_Toc8662"/>
      <w:r>
        <w:rPr>
          <w:rFonts w:hint="eastAsia" w:ascii="宋体" w:hAnsi="宋体" w:eastAsia="宋体" w:cs="宋体"/>
          <w:color w:val="auto"/>
          <w:kern w:val="0"/>
          <w:sz w:val="21"/>
          <w:szCs w:val="21"/>
          <w:highlight w:val="none"/>
        </w:rPr>
        <w:t>15.4.4 未能修复</w:t>
      </w:r>
      <w:bookmarkEnd w:id="1187"/>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88" w:name="_Toc30134"/>
      <w:r>
        <w:rPr>
          <w:rFonts w:hint="eastAsia" w:ascii="宋体" w:hAnsi="宋体" w:eastAsia="宋体" w:cs="宋体"/>
          <w:color w:val="auto"/>
          <w:kern w:val="0"/>
          <w:sz w:val="21"/>
          <w:szCs w:val="21"/>
          <w:highlight w:val="none"/>
        </w:rPr>
        <w:t>15.4.5 承包人出入权</w:t>
      </w:r>
      <w:bookmarkEnd w:id="1188"/>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60" w:lineRule="auto"/>
        <w:outlineLvl w:val="0"/>
        <w:rPr>
          <w:rFonts w:hint="eastAsia" w:ascii="宋体" w:hAnsi="宋体" w:eastAsia="宋体" w:cs="宋体"/>
          <w:b w:val="0"/>
          <w:color w:val="auto"/>
          <w:sz w:val="21"/>
          <w:szCs w:val="21"/>
          <w:highlight w:val="none"/>
        </w:rPr>
      </w:pPr>
      <w:bookmarkStart w:id="1189" w:name="_Toc3038"/>
      <w:bookmarkStart w:id="1190" w:name="_Toc351203603"/>
      <w:bookmarkStart w:id="1191" w:name="_Toc337558820"/>
      <w:r>
        <w:rPr>
          <w:rFonts w:hint="eastAsia" w:ascii="宋体" w:hAnsi="宋体" w:eastAsia="宋体" w:cs="宋体"/>
          <w:b w:val="0"/>
          <w:color w:val="auto"/>
          <w:sz w:val="21"/>
          <w:szCs w:val="21"/>
          <w:highlight w:val="none"/>
        </w:rPr>
        <w:t>16. 违约</w:t>
      </w:r>
      <w:bookmarkEnd w:id="1189"/>
      <w:bookmarkEnd w:id="1190"/>
    </w:p>
    <w:bookmarkEnd w:id="1191"/>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192" w:name="_Toc296346630"/>
      <w:bookmarkStart w:id="1193" w:name="_Toc296503129"/>
      <w:bookmarkStart w:id="1194" w:name="_Toc32703"/>
      <w:bookmarkStart w:id="1195" w:name="_Toc351203604"/>
      <w:bookmarkStart w:id="1196" w:name="_Toc337558821"/>
      <w:r>
        <w:rPr>
          <w:rFonts w:hint="eastAsia" w:ascii="宋体" w:hAnsi="宋体" w:eastAsia="宋体" w:cs="宋体"/>
          <w:b w:val="0"/>
          <w:color w:val="auto"/>
          <w:sz w:val="21"/>
          <w:szCs w:val="21"/>
          <w:highlight w:val="none"/>
        </w:rPr>
        <w:t>16.1 发</w:t>
      </w:r>
      <w:bookmarkEnd w:id="1192"/>
      <w:bookmarkEnd w:id="1193"/>
      <w:r>
        <w:rPr>
          <w:rFonts w:hint="eastAsia" w:ascii="宋体" w:hAnsi="宋体" w:eastAsia="宋体" w:cs="宋体"/>
          <w:b w:val="0"/>
          <w:color w:val="auto"/>
          <w:sz w:val="21"/>
          <w:szCs w:val="21"/>
          <w:highlight w:val="none"/>
        </w:rPr>
        <w:t>包人违约</w:t>
      </w:r>
      <w:bookmarkEnd w:id="1194"/>
      <w:bookmarkEnd w:id="1195"/>
    </w:p>
    <w:bookmarkEnd w:id="1196"/>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97" w:name="_Toc32253"/>
      <w:r>
        <w:rPr>
          <w:rFonts w:hint="eastAsia" w:ascii="宋体" w:hAnsi="宋体" w:eastAsia="宋体" w:cs="宋体"/>
          <w:color w:val="auto"/>
          <w:kern w:val="0"/>
          <w:sz w:val="21"/>
          <w:szCs w:val="21"/>
          <w:highlight w:val="none"/>
        </w:rPr>
        <w:t>16.1.1 发包人违约的情形</w:t>
      </w:r>
      <w:bookmarkEnd w:id="119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在合同履行过程中发生的下列情形，属于发包人违约：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（7）发包人明确表示或者以其行为表明不履行合同主要义务的；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（8）发包人未能按照合同约定履行其他义务的。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98" w:name="_Toc16083"/>
      <w:r>
        <w:rPr>
          <w:rFonts w:hint="eastAsia" w:ascii="宋体" w:hAnsi="宋体" w:eastAsia="宋体" w:cs="宋体"/>
          <w:color w:val="auto"/>
          <w:kern w:val="0"/>
          <w:sz w:val="21"/>
          <w:szCs w:val="21"/>
          <w:highlight w:val="none"/>
        </w:rPr>
        <w:t>16.1.2 发包人违约的责任</w:t>
      </w:r>
      <w:bookmarkEnd w:id="119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199" w:name="_Toc11798"/>
      <w:r>
        <w:rPr>
          <w:rFonts w:hint="eastAsia" w:ascii="宋体" w:hAnsi="宋体" w:eastAsia="宋体" w:cs="宋体"/>
          <w:color w:val="auto"/>
          <w:kern w:val="0"/>
          <w:sz w:val="21"/>
          <w:szCs w:val="21"/>
          <w:highlight w:val="none"/>
        </w:rPr>
        <w:t>16.1.3 因发包人违约解除合同</w:t>
      </w:r>
      <w:bookmarkEnd w:id="119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20" w:firstLineChars="200"/>
        <w:jc w:val="left"/>
        <w:outlineLvl w:val="2"/>
        <w:rPr>
          <w:rFonts w:hint="eastAsia" w:ascii="宋体" w:hAnsi="宋体" w:eastAsia="宋体" w:cs="宋体"/>
          <w:color w:val="auto"/>
          <w:sz w:val="21"/>
          <w:szCs w:val="21"/>
          <w:highlight w:val="none"/>
        </w:rPr>
      </w:pPr>
      <w:bookmarkStart w:id="1200" w:name="_Toc23982"/>
      <w:r>
        <w:rPr>
          <w:rFonts w:hint="eastAsia" w:ascii="宋体" w:hAnsi="宋体" w:eastAsia="宋体" w:cs="宋体"/>
          <w:color w:val="auto"/>
          <w:kern w:val="0"/>
          <w:sz w:val="21"/>
          <w:szCs w:val="21"/>
          <w:highlight w:val="none"/>
        </w:rPr>
        <w:t>16.1.4 因发包人违约解除合同后的付款</w:t>
      </w:r>
      <w:bookmarkEnd w:id="120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承包人按照本款约定解除合同的，发包人应在解除合同后28天内支付下列款项，并解除履约担保：</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（1）合同解除前所完成工作的价款；</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（2）承包人为工程施工订购并已付款的材料、工程设备和其他物品的价款；</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（3）承包人撤离施工现场以及遣散承包人人员的款项；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（4）按照合同约定在合同解除前应支付的违约金；</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（5）按照合同约定应当支付给承包人的其他款项；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（6）按照合同约定应退还的质量保证金；</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（7）因解除合同给承包人造成的损失。</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合同当事人未能就解除合同后的结清达成一致的，按照第20条〔争议解决〕的约定处理。</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01" w:name="_Toc351203605"/>
      <w:bookmarkStart w:id="1202" w:name="_Toc24242"/>
      <w:bookmarkStart w:id="1203" w:name="_Toc337558822"/>
      <w:bookmarkStart w:id="1204" w:name="_Toc296503131"/>
      <w:bookmarkStart w:id="1205" w:name="_Toc296346632"/>
      <w:r>
        <w:rPr>
          <w:rFonts w:hint="eastAsia" w:ascii="宋体" w:hAnsi="宋体" w:eastAsia="宋体" w:cs="宋体"/>
          <w:b w:val="0"/>
          <w:color w:val="auto"/>
          <w:sz w:val="21"/>
          <w:szCs w:val="21"/>
          <w:highlight w:val="none"/>
        </w:rPr>
        <w:t>16.2 承包人违约</w:t>
      </w:r>
      <w:bookmarkEnd w:id="1201"/>
      <w:bookmarkEnd w:id="1202"/>
    </w:p>
    <w:bookmarkEnd w:id="1203"/>
    <w:bookmarkEnd w:id="1204"/>
    <w:bookmarkEnd w:id="1205"/>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206" w:name="_Toc21617"/>
      <w:r>
        <w:rPr>
          <w:rFonts w:hint="eastAsia" w:ascii="宋体" w:hAnsi="宋体" w:eastAsia="宋体" w:cs="宋体"/>
          <w:color w:val="auto"/>
          <w:kern w:val="0"/>
          <w:sz w:val="21"/>
          <w:szCs w:val="21"/>
          <w:highlight w:val="none"/>
        </w:rPr>
        <w:t>16.2.1 承包人违约的情形</w:t>
      </w:r>
      <w:bookmarkEnd w:id="1206"/>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在合同履行过程中发生的下列情形，属于承包人违约：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（1）承包人违反合同约定进行转包或违法分包的；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（2）承包人违反合同约定采购和使用不合格的材料和工程设备的；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（3）因承包人原因导致工程质量不符合合同要求的；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（5）承包人未能按施工进度计划及时完成合同约定的工作，造成工期延误的；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（7）承包人明确表示或者以其行为表明不履行合同主要义务的；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（8）承包人未能按照合同约定履行其他义务的。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207" w:name="_Toc20547"/>
      <w:r>
        <w:rPr>
          <w:rFonts w:hint="eastAsia" w:ascii="宋体" w:hAnsi="宋体" w:eastAsia="宋体" w:cs="宋体"/>
          <w:color w:val="auto"/>
          <w:kern w:val="0"/>
          <w:sz w:val="21"/>
          <w:szCs w:val="21"/>
          <w:highlight w:val="none"/>
        </w:rPr>
        <w:t>16.2.2 承包人违约的责任</w:t>
      </w:r>
      <w:bookmarkEnd w:id="120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208" w:name="_Toc12112"/>
      <w:r>
        <w:rPr>
          <w:rFonts w:hint="eastAsia" w:ascii="宋体" w:hAnsi="宋体" w:eastAsia="宋体" w:cs="宋体"/>
          <w:color w:val="auto"/>
          <w:kern w:val="0"/>
          <w:sz w:val="21"/>
          <w:szCs w:val="21"/>
          <w:highlight w:val="none"/>
        </w:rPr>
        <w:t>16.2.3 因承包人违约解除合同</w:t>
      </w:r>
      <w:bookmarkEnd w:id="120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209" w:name="_Toc7566"/>
      <w:r>
        <w:rPr>
          <w:rFonts w:hint="eastAsia" w:ascii="宋体" w:hAnsi="宋体" w:eastAsia="宋体" w:cs="宋体"/>
          <w:color w:val="auto"/>
          <w:kern w:val="0"/>
          <w:sz w:val="21"/>
          <w:szCs w:val="21"/>
          <w:highlight w:val="none"/>
        </w:rPr>
        <w:t>16.2.4因承包人违约解除合同后的处理</w:t>
      </w:r>
      <w:bookmarkEnd w:id="120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因承包人原因导致合同解除的，则合同当事人应在合同解除后28天内完成估价、付款和清算，并按以下约定执行：</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（5）发包人和承包人应在合同解除后进行清算，出具最终结清付款证书，结清全部款项。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210" w:name="_Toc26583"/>
      <w:r>
        <w:rPr>
          <w:rFonts w:hint="eastAsia" w:ascii="宋体" w:hAnsi="宋体" w:eastAsia="宋体" w:cs="宋体"/>
          <w:color w:val="auto"/>
          <w:kern w:val="0"/>
          <w:sz w:val="21"/>
          <w:szCs w:val="21"/>
          <w:highlight w:val="none"/>
        </w:rPr>
        <w:t>16.2.5采购合同权益转让</w:t>
      </w:r>
      <w:bookmarkEnd w:id="121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11" w:name="_Toc25697"/>
      <w:bookmarkStart w:id="1212" w:name="_Toc351203606"/>
      <w:r>
        <w:rPr>
          <w:rFonts w:hint="eastAsia" w:ascii="宋体" w:hAnsi="宋体" w:eastAsia="宋体" w:cs="宋体"/>
          <w:b w:val="0"/>
          <w:color w:val="auto"/>
          <w:sz w:val="21"/>
          <w:szCs w:val="21"/>
          <w:highlight w:val="none"/>
        </w:rPr>
        <w:t>16.3 第三人造成的违约</w:t>
      </w:r>
      <w:bookmarkEnd w:id="1211"/>
      <w:bookmarkEnd w:id="121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6"/>
        <w:spacing w:before="120" w:after="120" w:line="360" w:lineRule="auto"/>
        <w:outlineLvl w:val="0"/>
        <w:rPr>
          <w:rFonts w:hint="eastAsia" w:ascii="宋体" w:hAnsi="宋体" w:eastAsia="宋体" w:cs="宋体"/>
          <w:b w:val="0"/>
          <w:color w:val="auto"/>
          <w:sz w:val="21"/>
          <w:szCs w:val="21"/>
          <w:highlight w:val="none"/>
        </w:rPr>
      </w:pPr>
      <w:bookmarkStart w:id="1213" w:name="_Toc351203607"/>
      <w:bookmarkStart w:id="1214" w:name="_Toc19782"/>
      <w:bookmarkStart w:id="1215" w:name="_Toc337558823"/>
      <w:bookmarkStart w:id="1216" w:name="_Toc296503116"/>
      <w:bookmarkStart w:id="1217" w:name="_Toc296346617"/>
      <w:r>
        <w:rPr>
          <w:rFonts w:hint="eastAsia" w:ascii="宋体" w:hAnsi="宋体" w:eastAsia="宋体" w:cs="宋体"/>
          <w:b w:val="0"/>
          <w:color w:val="auto"/>
          <w:sz w:val="21"/>
          <w:szCs w:val="21"/>
          <w:highlight w:val="none"/>
        </w:rPr>
        <w:t>17. 不可抗力</w:t>
      </w:r>
      <w:bookmarkEnd w:id="1213"/>
      <w:bookmarkEnd w:id="1214"/>
      <w:r>
        <w:rPr>
          <w:rFonts w:hint="eastAsia" w:ascii="宋体" w:hAnsi="宋体" w:eastAsia="宋体" w:cs="宋体"/>
          <w:b w:val="0"/>
          <w:color w:val="auto"/>
          <w:sz w:val="21"/>
          <w:szCs w:val="21"/>
          <w:highlight w:val="none"/>
        </w:rPr>
        <w:t xml:space="preserve"> </w:t>
      </w:r>
      <w:bookmarkEnd w:id="1215"/>
      <w:bookmarkEnd w:id="1216"/>
      <w:bookmarkEnd w:id="1217"/>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18" w:name="_Toc25855"/>
      <w:bookmarkStart w:id="1219" w:name="_Toc351203608"/>
      <w:bookmarkStart w:id="1220" w:name="_Toc296503117"/>
      <w:bookmarkStart w:id="1221" w:name="_Toc296346618"/>
      <w:bookmarkStart w:id="1222" w:name="_Toc337558824"/>
      <w:r>
        <w:rPr>
          <w:rFonts w:hint="eastAsia" w:ascii="宋体" w:hAnsi="宋体" w:eastAsia="宋体" w:cs="宋体"/>
          <w:b w:val="0"/>
          <w:color w:val="auto"/>
          <w:sz w:val="21"/>
          <w:szCs w:val="21"/>
          <w:highlight w:val="none"/>
        </w:rPr>
        <w:t>17.1 不可抗力的确认</w:t>
      </w:r>
      <w:bookmarkEnd w:id="1218"/>
      <w:bookmarkEnd w:id="1219"/>
    </w:p>
    <w:bookmarkEnd w:id="1220"/>
    <w:bookmarkEnd w:id="1221"/>
    <w:bookmarkEnd w:id="122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23" w:name="_Toc7373"/>
      <w:bookmarkStart w:id="1224" w:name="_Toc351203609"/>
      <w:bookmarkStart w:id="1225" w:name="_Toc296503118"/>
      <w:bookmarkStart w:id="1226" w:name="_Toc337558825"/>
      <w:bookmarkStart w:id="1227" w:name="_Toc296346619"/>
      <w:r>
        <w:rPr>
          <w:rFonts w:hint="eastAsia" w:ascii="宋体" w:hAnsi="宋体" w:eastAsia="宋体" w:cs="宋体"/>
          <w:b w:val="0"/>
          <w:color w:val="auto"/>
          <w:sz w:val="21"/>
          <w:szCs w:val="21"/>
          <w:highlight w:val="none"/>
        </w:rPr>
        <w:t>17.2 不可抗力的通知</w:t>
      </w:r>
      <w:bookmarkEnd w:id="1223"/>
      <w:bookmarkEnd w:id="1224"/>
    </w:p>
    <w:bookmarkEnd w:id="1225"/>
    <w:bookmarkEnd w:id="1226"/>
    <w:bookmarkEnd w:id="122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28" w:name="_Toc21992"/>
      <w:bookmarkStart w:id="1229" w:name="_Toc351203610"/>
      <w:bookmarkStart w:id="1230" w:name="_Toc296503119"/>
      <w:bookmarkStart w:id="1231" w:name="_Toc337558826"/>
      <w:bookmarkStart w:id="1232" w:name="_Toc296346620"/>
      <w:r>
        <w:rPr>
          <w:rFonts w:hint="eastAsia" w:ascii="宋体" w:hAnsi="宋体" w:eastAsia="宋体" w:cs="宋体"/>
          <w:b w:val="0"/>
          <w:color w:val="auto"/>
          <w:sz w:val="21"/>
          <w:szCs w:val="21"/>
          <w:highlight w:val="none"/>
        </w:rPr>
        <w:t>17.3 不可抗力后果的承担</w:t>
      </w:r>
      <w:bookmarkEnd w:id="1228"/>
      <w:bookmarkEnd w:id="1229"/>
    </w:p>
    <w:bookmarkEnd w:id="1230"/>
    <w:bookmarkEnd w:id="1231"/>
    <w:bookmarkEnd w:id="123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（2）承包人施工设备的损坏由承包人承担；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（3）发包人和承包人承担各自人员伤亡和财产的损失；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（5）因不可抗力引起或将引起工期延误，发包人要求赶工的，由此增加的赶工费用由发包人承担；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（6）承包人在停工期间按照发包人要求照管、清理和修复工程的费用由发包人承担。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因合同一方迟延履行合同义务，在迟延履行期间遭遇不可抗力的，不免除其违约责任。</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33" w:name="_Toc351203611"/>
      <w:bookmarkStart w:id="1234" w:name="_Toc12467"/>
      <w:bookmarkStart w:id="1235" w:name="_Toc337558827"/>
      <w:r>
        <w:rPr>
          <w:rFonts w:hint="eastAsia" w:ascii="宋体" w:hAnsi="宋体" w:eastAsia="宋体" w:cs="宋体"/>
          <w:b w:val="0"/>
          <w:color w:val="auto"/>
          <w:sz w:val="21"/>
          <w:szCs w:val="21"/>
          <w:highlight w:val="none"/>
        </w:rPr>
        <w:t>17.4 因不可抗力解除合同</w:t>
      </w:r>
      <w:bookmarkEnd w:id="1233"/>
      <w:bookmarkEnd w:id="1234"/>
    </w:p>
    <w:bookmarkEnd w:id="1235"/>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（1）合同解除前承包人已完成工作的价款；</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（2）承包人为工程订购的并已交付给承包人，或承包人有责任接受交付的材料、工程设备和其他物品的价款；</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（3）发包人要求承包人退货或解除订货合同而产生的费用，或因不能退货或解除合同而产生的损失；</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（4）承包人撤离施工现场以及遣散承包人人员的费用；</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（5）按照合同约定在合同解除前应支付给承包人的其他款项；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（6）扣减承包人按照合同约定应向发包人支付的款项；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（7）双方商定或确定的其他款项。</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除专用合同条款另有约定外，合同解除后，发包人应在商定或确定上述款项后28天内完成上述款项的支付。</w:t>
      </w:r>
    </w:p>
    <w:p>
      <w:pPr>
        <w:pStyle w:val="6"/>
        <w:spacing w:before="120" w:after="120" w:line="360" w:lineRule="auto"/>
        <w:outlineLvl w:val="0"/>
        <w:rPr>
          <w:rFonts w:hint="eastAsia" w:ascii="宋体" w:hAnsi="宋体" w:eastAsia="宋体" w:cs="宋体"/>
          <w:b w:val="0"/>
          <w:color w:val="auto"/>
          <w:sz w:val="21"/>
          <w:szCs w:val="21"/>
          <w:highlight w:val="none"/>
        </w:rPr>
      </w:pPr>
      <w:bookmarkStart w:id="1236" w:name="_Toc351203612"/>
      <w:bookmarkStart w:id="1237" w:name="_Toc22250"/>
      <w:bookmarkStart w:id="1238" w:name="_Toc296346621"/>
      <w:bookmarkStart w:id="1239" w:name="_Toc337558828"/>
      <w:bookmarkStart w:id="1240" w:name="_Toc296503120"/>
      <w:r>
        <w:rPr>
          <w:rFonts w:hint="eastAsia" w:ascii="宋体" w:hAnsi="宋体" w:eastAsia="宋体" w:cs="宋体"/>
          <w:b w:val="0"/>
          <w:color w:val="auto"/>
          <w:sz w:val="21"/>
          <w:szCs w:val="21"/>
          <w:highlight w:val="none"/>
        </w:rPr>
        <w:t>18. 保险</w:t>
      </w:r>
      <w:bookmarkEnd w:id="1236"/>
      <w:bookmarkEnd w:id="1237"/>
    </w:p>
    <w:bookmarkEnd w:id="1238"/>
    <w:bookmarkEnd w:id="1239"/>
    <w:bookmarkEnd w:id="1240"/>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41" w:name="_Toc9646"/>
      <w:bookmarkStart w:id="1242" w:name="_Toc351203613"/>
      <w:bookmarkStart w:id="1243" w:name="_Toc296346622"/>
      <w:bookmarkStart w:id="1244" w:name="_Toc296503121"/>
      <w:bookmarkStart w:id="1245" w:name="_Toc337558829"/>
      <w:r>
        <w:rPr>
          <w:rFonts w:hint="eastAsia" w:ascii="宋体" w:hAnsi="宋体" w:eastAsia="宋体" w:cs="宋体"/>
          <w:b w:val="0"/>
          <w:color w:val="auto"/>
          <w:sz w:val="21"/>
          <w:szCs w:val="21"/>
          <w:highlight w:val="none"/>
        </w:rPr>
        <w:t>18.1 工程保险</w:t>
      </w:r>
      <w:bookmarkEnd w:id="1241"/>
      <w:bookmarkEnd w:id="1242"/>
    </w:p>
    <w:bookmarkEnd w:id="1243"/>
    <w:bookmarkEnd w:id="1244"/>
    <w:bookmarkEnd w:id="124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除专用合同条款另有约定外，发包人应投保建筑工程一切险或安装工程一切险；发包人委托承包人投保的，因投保产生的保险费和其他相关费用由发包人承担。</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46" w:name="_Toc351203614"/>
      <w:bookmarkStart w:id="1247" w:name="_Toc1431"/>
      <w:bookmarkStart w:id="1248" w:name="_Toc337558830"/>
      <w:bookmarkStart w:id="1249" w:name="_Toc296346623"/>
      <w:bookmarkStart w:id="1250" w:name="_Toc296503122"/>
      <w:r>
        <w:rPr>
          <w:rFonts w:hint="eastAsia" w:ascii="宋体" w:hAnsi="宋体" w:eastAsia="宋体" w:cs="宋体"/>
          <w:b w:val="0"/>
          <w:color w:val="auto"/>
          <w:sz w:val="21"/>
          <w:szCs w:val="21"/>
          <w:highlight w:val="none"/>
        </w:rPr>
        <w:t>18.2 工伤保险</w:t>
      </w:r>
      <w:bookmarkEnd w:id="1246"/>
      <w:bookmarkEnd w:id="1247"/>
    </w:p>
    <w:bookmarkEnd w:id="1248"/>
    <w:bookmarkEnd w:id="1249"/>
    <w:bookmarkEnd w:id="125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51" w:name="_Toc351203615"/>
      <w:bookmarkStart w:id="1252" w:name="_Toc4081"/>
      <w:bookmarkStart w:id="1253" w:name="_Toc296503125"/>
      <w:bookmarkStart w:id="1254" w:name="_Toc296346626"/>
      <w:bookmarkStart w:id="1255" w:name="_Toc337558831"/>
      <w:r>
        <w:rPr>
          <w:rFonts w:hint="eastAsia" w:ascii="宋体" w:hAnsi="宋体" w:eastAsia="宋体" w:cs="宋体"/>
          <w:b w:val="0"/>
          <w:color w:val="auto"/>
          <w:sz w:val="21"/>
          <w:szCs w:val="21"/>
          <w:highlight w:val="none"/>
        </w:rPr>
        <w:t>18.3其他保险</w:t>
      </w:r>
      <w:bookmarkEnd w:id="1251"/>
      <w:bookmarkEnd w:id="1252"/>
    </w:p>
    <w:bookmarkEnd w:id="1253"/>
    <w:bookmarkEnd w:id="1254"/>
    <w:bookmarkEnd w:id="1255"/>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除专用合同条款另有约定外，承包人应为其施工设备等办理财产保险。</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56" w:name="_Toc1685"/>
      <w:bookmarkStart w:id="1257" w:name="_Toc351203616"/>
      <w:r>
        <w:rPr>
          <w:rFonts w:hint="eastAsia" w:ascii="宋体" w:hAnsi="宋体" w:eastAsia="宋体" w:cs="宋体"/>
          <w:b w:val="0"/>
          <w:color w:val="auto"/>
          <w:sz w:val="21"/>
          <w:szCs w:val="21"/>
          <w:highlight w:val="none"/>
        </w:rPr>
        <w:t>18.4持续保险</w:t>
      </w:r>
      <w:bookmarkEnd w:id="1256"/>
      <w:bookmarkEnd w:id="125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合同当事人应与保险人保持联系，使保险人能够随时了解工程实施中的变动，并确保按保险合同条款要求持续保险。</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58" w:name="_Toc351203617"/>
      <w:bookmarkStart w:id="1259" w:name="_Toc26047"/>
      <w:bookmarkStart w:id="1260" w:name="_Toc296503126"/>
      <w:bookmarkStart w:id="1261" w:name="_Toc296346627"/>
      <w:bookmarkStart w:id="1262" w:name="_Toc337558832"/>
      <w:r>
        <w:rPr>
          <w:rFonts w:hint="eastAsia" w:ascii="宋体" w:hAnsi="宋体" w:eastAsia="宋体" w:cs="宋体"/>
          <w:b w:val="0"/>
          <w:color w:val="auto"/>
          <w:sz w:val="21"/>
          <w:szCs w:val="21"/>
          <w:highlight w:val="none"/>
        </w:rPr>
        <w:t>18.5 保险凭证</w:t>
      </w:r>
      <w:bookmarkEnd w:id="1258"/>
      <w:bookmarkEnd w:id="1259"/>
    </w:p>
    <w:bookmarkEnd w:id="1260"/>
    <w:bookmarkEnd w:id="1261"/>
    <w:bookmarkEnd w:id="1262"/>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合同当事人应及时向另一方当事人提交其已投保的各项保险的凭证和保险单复印件。</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63" w:name="_Toc351203618"/>
      <w:bookmarkStart w:id="1264" w:name="_Toc12912"/>
      <w:bookmarkStart w:id="1265" w:name="_Toc337558833"/>
      <w:bookmarkStart w:id="1266" w:name="_Toc296503127"/>
      <w:bookmarkStart w:id="1267" w:name="_Toc296346628"/>
      <w:r>
        <w:rPr>
          <w:rFonts w:hint="eastAsia" w:ascii="宋体" w:hAnsi="宋体" w:eastAsia="宋体" w:cs="宋体"/>
          <w:b w:val="0"/>
          <w:color w:val="auto"/>
          <w:sz w:val="21"/>
          <w:szCs w:val="21"/>
          <w:highlight w:val="none"/>
        </w:rPr>
        <w:t>18.6 未按约定投保的补救</w:t>
      </w:r>
      <w:bookmarkEnd w:id="1263"/>
      <w:bookmarkEnd w:id="1264"/>
    </w:p>
    <w:bookmarkEnd w:id="1265"/>
    <w:bookmarkEnd w:id="1266"/>
    <w:bookmarkEnd w:id="1267"/>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68" w:name="_Toc13187"/>
      <w:bookmarkStart w:id="1269" w:name="_Toc351203619"/>
      <w:bookmarkStart w:id="1270" w:name="_Toc337558834"/>
      <w:r>
        <w:rPr>
          <w:rFonts w:hint="eastAsia" w:ascii="宋体" w:hAnsi="宋体" w:eastAsia="宋体" w:cs="宋体"/>
          <w:b w:val="0"/>
          <w:color w:val="auto"/>
          <w:sz w:val="21"/>
          <w:szCs w:val="21"/>
          <w:highlight w:val="none"/>
        </w:rPr>
        <w:t>18.7 通知义务</w:t>
      </w:r>
      <w:bookmarkEnd w:id="1268"/>
      <w:bookmarkEnd w:id="1269"/>
    </w:p>
    <w:bookmarkEnd w:id="1270"/>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保险事故发生时，投保人应按照保险合同规定的条件和期限及时向保险人报告。发包人和承包人应当在知道保险事故发生后及时通知对方。</w:t>
      </w:r>
    </w:p>
    <w:p>
      <w:pPr>
        <w:pStyle w:val="6"/>
        <w:spacing w:before="120" w:after="120" w:line="360" w:lineRule="auto"/>
        <w:outlineLvl w:val="0"/>
        <w:rPr>
          <w:rFonts w:hint="eastAsia" w:ascii="宋体" w:hAnsi="宋体" w:eastAsia="宋体" w:cs="宋体"/>
          <w:b w:val="0"/>
          <w:color w:val="auto"/>
          <w:sz w:val="21"/>
          <w:szCs w:val="21"/>
          <w:highlight w:val="none"/>
        </w:rPr>
      </w:pPr>
      <w:bookmarkStart w:id="1271" w:name="_Toc18885"/>
      <w:bookmarkStart w:id="1272" w:name="_Toc351203620"/>
      <w:bookmarkStart w:id="1273" w:name="_Toc296346641"/>
      <w:bookmarkStart w:id="1274" w:name="_Toc337558835"/>
      <w:bookmarkStart w:id="1275" w:name="_Toc296503140"/>
      <w:r>
        <w:rPr>
          <w:rFonts w:hint="eastAsia" w:ascii="宋体" w:hAnsi="宋体" w:eastAsia="宋体" w:cs="宋体"/>
          <w:b w:val="0"/>
          <w:color w:val="auto"/>
          <w:sz w:val="21"/>
          <w:szCs w:val="21"/>
          <w:highlight w:val="none"/>
        </w:rPr>
        <w:t>19. 索赔</w:t>
      </w:r>
      <w:bookmarkEnd w:id="1271"/>
      <w:bookmarkEnd w:id="1272"/>
    </w:p>
    <w:bookmarkEnd w:id="1273"/>
    <w:bookmarkEnd w:id="1274"/>
    <w:bookmarkEnd w:id="1275"/>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76" w:name="_Toc3519"/>
      <w:bookmarkStart w:id="1277" w:name="_Toc351203621"/>
      <w:bookmarkStart w:id="1278" w:name="_Toc296503141"/>
      <w:bookmarkStart w:id="1279" w:name="_Toc337558836"/>
      <w:bookmarkStart w:id="1280" w:name="_Toc296346642"/>
      <w:r>
        <w:rPr>
          <w:rFonts w:hint="eastAsia" w:ascii="宋体" w:hAnsi="宋体" w:eastAsia="宋体" w:cs="宋体"/>
          <w:b w:val="0"/>
          <w:color w:val="auto"/>
          <w:sz w:val="21"/>
          <w:szCs w:val="21"/>
          <w:highlight w:val="none"/>
        </w:rPr>
        <w:t>19.1承包人的索赔</w:t>
      </w:r>
      <w:bookmarkEnd w:id="1276"/>
      <w:bookmarkEnd w:id="1277"/>
    </w:p>
    <w:bookmarkEnd w:id="1278"/>
    <w:bookmarkEnd w:id="1279"/>
    <w:bookmarkEnd w:id="128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根据合同约定，承包人认为有权得到追加付款和（或）延长工期的，应按以下程序向发包人提出索赔：</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（4）在索赔事件影响结束后28天内，承包人应向监理人递交最终索赔报告，说明最终要求索赔的追加付款金额和（或）延长的工期，并附必要的记录和证明材料。</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81" w:name="_Toc351203622"/>
      <w:bookmarkStart w:id="1282" w:name="_Toc29700"/>
      <w:bookmarkStart w:id="1283" w:name="_Toc337558837"/>
      <w:bookmarkStart w:id="1284" w:name="_Toc296346643"/>
      <w:bookmarkStart w:id="1285" w:name="_Toc296503142"/>
      <w:r>
        <w:rPr>
          <w:rFonts w:hint="eastAsia" w:ascii="宋体" w:hAnsi="宋体" w:eastAsia="宋体" w:cs="宋体"/>
          <w:b w:val="0"/>
          <w:color w:val="auto"/>
          <w:sz w:val="21"/>
          <w:szCs w:val="21"/>
          <w:highlight w:val="none"/>
        </w:rPr>
        <w:t>19.2 对承包人索赔的处理</w:t>
      </w:r>
      <w:bookmarkEnd w:id="1281"/>
      <w:bookmarkEnd w:id="1282"/>
    </w:p>
    <w:bookmarkEnd w:id="1283"/>
    <w:bookmarkEnd w:id="1284"/>
    <w:bookmarkEnd w:id="128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对承包人索赔的处理如下：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（3）承包人接受索赔处理结果的，索赔款项在当期进度款中进行支付；承包人不接受索赔处理结果的，按照第20条〔争议解决〕约定处理。</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86" w:name="_Toc351203623"/>
      <w:bookmarkStart w:id="1287" w:name="_Toc5963"/>
      <w:bookmarkStart w:id="1288" w:name="_Toc337558838"/>
      <w:bookmarkStart w:id="1289" w:name="_Toc296346644"/>
      <w:bookmarkStart w:id="1290" w:name="_Toc296503143"/>
      <w:r>
        <w:rPr>
          <w:rFonts w:hint="eastAsia" w:ascii="宋体" w:hAnsi="宋体" w:eastAsia="宋体" w:cs="宋体"/>
          <w:b w:val="0"/>
          <w:color w:val="auto"/>
          <w:sz w:val="21"/>
          <w:szCs w:val="21"/>
          <w:highlight w:val="none"/>
        </w:rPr>
        <w:t>19.3发包人的索赔</w:t>
      </w:r>
      <w:bookmarkEnd w:id="1286"/>
      <w:bookmarkEnd w:id="1287"/>
    </w:p>
    <w:bookmarkEnd w:id="1288"/>
    <w:bookmarkEnd w:id="1289"/>
    <w:bookmarkEnd w:id="129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91" w:name="_Toc9507"/>
      <w:bookmarkStart w:id="1292" w:name="_Toc351203624"/>
      <w:bookmarkStart w:id="1293" w:name="_Toc296503144"/>
      <w:bookmarkStart w:id="1294" w:name="_Toc337558839"/>
      <w:bookmarkStart w:id="1295" w:name="_Toc296346645"/>
      <w:r>
        <w:rPr>
          <w:rFonts w:hint="eastAsia" w:ascii="宋体" w:hAnsi="宋体" w:eastAsia="宋体" w:cs="宋体"/>
          <w:b w:val="0"/>
          <w:color w:val="auto"/>
          <w:sz w:val="21"/>
          <w:szCs w:val="21"/>
          <w:highlight w:val="none"/>
        </w:rPr>
        <w:t>19.4 对发包人索赔的处理</w:t>
      </w:r>
      <w:bookmarkEnd w:id="1291"/>
      <w:bookmarkEnd w:id="1292"/>
    </w:p>
    <w:bookmarkEnd w:id="1293"/>
    <w:bookmarkEnd w:id="1294"/>
    <w:bookmarkEnd w:id="129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296" w:name="_Toc351203625"/>
      <w:bookmarkStart w:id="1297" w:name="_Toc26303"/>
      <w:r>
        <w:rPr>
          <w:rFonts w:hint="eastAsia" w:ascii="宋体" w:hAnsi="宋体" w:eastAsia="宋体" w:cs="宋体"/>
          <w:b w:val="0"/>
          <w:color w:val="auto"/>
          <w:sz w:val="21"/>
          <w:szCs w:val="21"/>
          <w:highlight w:val="none"/>
        </w:rPr>
        <w:t>19.5 提出索赔的期限</w:t>
      </w:r>
      <w:bookmarkEnd w:id="1296"/>
      <w:bookmarkEnd w:id="1297"/>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（1）承包人按第14.2款〔竣工结算审核〕约定接收竣工付款证书后，应被视为已无权再提出在工程接收证书颁发前所发生的任何索赔。</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（2）承包人按第14.4款〔最终结清〕提交的最终结清申请单中，只限于提出工程接收证书颁发后发生的索赔。提出索赔的期限自接受最终结清证书时终止。</w:t>
      </w:r>
    </w:p>
    <w:p>
      <w:pPr>
        <w:pStyle w:val="6"/>
        <w:spacing w:before="120" w:after="120" w:line="360" w:lineRule="auto"/>
        <w:outlineLvl w:val="0"/>
        <w:rPr>
          <w:rFonts w:hint="eastAsia" w:ascii="宋体" w:hAnsi="宋体" w:eastAsia="宋体" w:cs="宋体"/>
          <w:b w:val="0"/>
          <w:color w:val="auto"/>
          <w:sz w:val="21"/>
          <w:szCs w:val="21"/>
          <w:highlight w:val="none"/>
        </w:rPr>
      </w:pPr>
      <w:bookmarkStart w:id="1298" w:name="_Toc351203626"/>
      <w:bookmarkStart w:id="1299" w:name="_Toc10736"/>
      <w:r>
        <w:rPr>
          <w:rFonts w:hint="eastAsia" w:ascii="宋体" w:hAnsi="宋体" w:eastAsia="宋体" w:cs="宋体"/>
          <w:b w:val="0"/>
          <w:color w:val="auto"/>
          <w:sz w:val="21"/>
          <w:szCs w:val="21"/>
          <w:highlight w:val="none"/>
        </w:rPr>
        <w:t>20</w:t>
      </w:r>
      <w:bookmarkStart w:id="1300" w:name="_Toc296503146"/>
      <w:bookmarkStart w:id="1301" w:name="_Toc337558840"/>
      <w:bookmarkStart w:id="1302" w:name="_Toc296346647"/>
      <w:r>
        <w:rPr>
          <w:rFonts w:hint="eastAsia" w:ascii="宋体" w:hAnsi="宋体" w:eastAsia="宋体" w:cs="宋体"/>
          <w:b w:val="0"/>
          <w:color w:val="auto"/>
          <w:sz w:val="21"/>
          <w:szCs w:val="21"/>
          <w:highlight w:val="none"/>
        </w:rPr>
        <w:t>. 争议解决</w:t>
      </w:r>
      <w:bookmarkEnd w:id="1298"/>
      <w:bookmarkEnd w:id="1299"/>
    </w:p>
    <w:bookmarkEnd w:id="1300"/>
    <w:bookmarkEnd w:id="1301"/>
    <w:bookmarkEnd w:id="1302"/>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303" w:name="_Toc351203627"/>
      <w:bookmarkStart w:id="1304" w:name="_Toc11261"/>
      <w:bookmarkStart w:id="1305" w:name="_Toc296503147"/>
      <w:bookmarkStart w:id="1306" w:name="_Toc337558841"/>
      <w:bookmarkStart w:id="1307" w:name="_Toc296346648"/>
      <w:r>
        <w:rPr>
          <w:rFonts w:hint="eastAsia" w:ascii="宋体" w:hAnsi="宋体" w:eastAsia="宋体" w:cs="宋体"/>
          <w:b w:val="0"/>
          <w:color w:val="auto"/>
          <w:sz w:val="21"/>
          <w:szCs w:val="21"/>
          <w:highlight w:val="none"/>
        </w:rPr>
        <w:t>20.1和解</w:t>
      </w:r>
      <w:bookmarkEnd w:id="1303"/>
      <w:bookmarkEnd w:id="1304"/>
    </w:p>
    <w:bookmarkEnd w:id="1305"/>
    <w:bookmarkEnd w:id="1306"/>
    <w:bookmarkEnd w:id="130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合同当事人可以就争议自行和解，自行和解达成协议的经双方签字并盖章后作为合同补充文件，双方均应遵照执行。</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308" w:name="_Toc351203628"/>
      <w:bookmarkStart w:id="1309" w:name="_Toc22500"/>
      <w:r>
        <w:rPr>
          <w:rFonts w:hint="eastAsia" w:ascii="宋体" w:hAnsi="宋体" w:eastAsia="宋体" w:cs="宋体"/>
          <w:b w:val="0"/>
          <w:color w:val="auto"/>
          <w:sz w:val="21"/>
          <w:szCs w:val="21"/>
          <w:highlight w:val="none"/>
        </w:rPr>
        <w:t>20</w:t>
      </w:r>
      <w:bookmarkStart w:id="1310" w:name="_Toc296346649"/>
      <w:bookmarkStart w:id="1311" w:name="_Toc337558842"/>
      <w:bookmarkStart w:id="1312" w:name="_Toc296503148"/>
      <w:r>
        <w:rPr>
          <w:rFonts w:hint="eastAsia" w:ascii="宋体" w:hAnsi="宋体" w:eastAsia="宋体" w:cs="宋体"/>
          <w:b w:val="0"/>
          <w:color w:val="auto"/>
          <w:sz w:val="21"/>
          <w:szCs w:val="21"/>
          <w:highlight w:val="none"/>
        </w:rPr>
        <w:t>.2调解</w:t>
      </w:r>
      <w:bookmarkEnd w:id="1308"/>
      <w:bookmarkEnd w:id="1309"/>
    </w:p>
    <w:bookmarkEnd w:id="1310"/>
    <w:bookmarkEnd w:id="1311"/>
    <w:bookmarkEnd w:id="131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合同当事人可以就争议请求建设行政主管部门、行业协会或其他第三方进行调解，调解达成协议的，经双方签字并盖章后作为合同补充文件，双方均应遵照执行。</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313" w:name="_Toc351203629"/>
      <w:bookmarkStart w:id="1314" w:name="_Toc16180"/>
      <w:bookmarkStart w:id="1315" w:name="_Toc296503149"/>
      <w:bookmarkStart w:id="1316" w:name="_Toc296346650"/>
      <w:bookmarkStart w:id="1317" w:name="_Toc337558843"/>
      <w:r>
        <w:rPr>
          <w:rFonts w:hint="eastAsia" w:ascii="宋体" w:hAnsi="宋体" w:eastAsia="宋体" w:cs="宋体"/>
          <w:b w:val="0"/>
          <w:color w:val="auto"/>
          <w:sz w:val="21"/>
          <w:szCs w:val="21"/>
          <w:highlight w:val="none"/>
        </w:rPr>
        <w:t>20.3争议评审</w:t>
      </w:r>
      <w:bookmarkEnd w:id="1313"/>
      <w:bookmarkEnd w:id="1314"/>
    </w:p>
    <w:bookmarkEnd w:id="1315"/>
    <w:bookmarkEnd w:id="1316"/>
    <w:bookmarkEnd w:id="131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合同当事人在专用合同条款中约定采取争议评审方式解决争议以及评审规则，并按下列约定执行： </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318" w:name="_Toc1192"/>
      <w:r>
        <w:rPr>
          <w:rFonts w:hint="eastAsia" w:ascii="宋体" w:hAnsi="宋体" w:eastAsia="宋体" w:cs="宋体"/>
          <w:color w:val="auto"/>
          <w:kern w:val="0"/>
          <w:sz w:val="21"/>
          <w:szCs w:val="21"/>
          <w:highlight w:val="none"/>
        </w:rPr>
        <w:t>20.3.1 争议评审小组的确定</w:t>
      </w:r>
      <w:bookmarkEnd w:id="131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除专用合同条款另有约定外，评审员报酬由发包人和承包人各承担一半。</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319" w:name="_Toc19668"/>
      <w:r>
        <w:rPr>
          <w:rFonts w:hint="eastAsia" w:ascii="宋体" w:hAnsi="宋体" w:eastAsia="宋体" w:cs="宋体"/>
          <w:color w:val="auto"/>
          <w:kern w:val="0"/>
          <w:sz w:val="21"/>
          <w:szCs w:val="21"/>
          <w:highlight w:val="none"/>
        </w:rPr>
        <w:t>20.3.2 争议评审小组的决定</w:t>
      </w:r>
      <w:bookmarkEnd w:id="131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320" w:name="_Toc19113"/>
      <w:r>
        <w:rPr>
          <w:rFonts w:hint="eastAsia" w:ascii="宋体" w:hAnsi="宋体" w:eastAsia="宋体" w:cs="宋体"/>
          <w:color w:val="auto"/>
          <w:kern w:val="0"/>
          <w:sz w:val="21"/>
          <w:szCs w:val="21"/>
          <w:highlight w:val="none"/>
        </w:rPr>
        <w:t>20.3.3 争议评审小组决定的效力</w:t>
      </w:r>
      <w:bookmarkEnd w:id="132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争议评审小组作出的书面决定经合同当事人签字确认后，对双方具有约束力，双方应遵照执行。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任何一方当事人不接受争议评审小组决定或不履行争议评审小组决定的，双方可选择采用其他争议解决方式。</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321" w:name="_Toc11851"/>
      <w:bookmarkStart w:id="1322" w:name="_Toc351203630"/>
      <w:bookmarkStart w:id="1323" w:name="_Toc296503150"/>
      <w:bookmarkStart w:id="1324" w:name="_Toc337558844"/>
      <w:bookmarkStart w:id="1325" w:name="_Toc296346651"/>
      <w:r>
        <w:rPr>
          <w:rFonts w:hint="eastAsia" w:ascii="宋体" w:hAnsi="宋体" w:eastAsia="宋体" w:cs="宋体"/>
          <w:b w:val="0"/>
          <w:color w:val="auto"/>
          <w:sz w:val="21"/>
          <w:szCs w:val="21"/>
          <w:highlight w:val="none"/>
        </w:rPr>
        <w:t>20.4仲裁或诉讼</w:t>
      </w:r>
      <w:bookmarkEnd w:id="1321"/>
      <w:bookmarkEnd w:id="1322"/>
    </w:p>
    <w:bookmarkEnd w:id="1323"/>
    <w:bookmarkEnd w:id="1324"/>
    <w:bookmarkEnd w:id="132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（1）向约定的仲裁委员会申请仲裁；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（2）向有管辖权的人民法院起诉。</w:t>
      </w:r>
    </w:p>
    <w:p>
      <w:pPr>
        <w:pStyle w:val="7"/>
        <w:spacing w:before="120" w:after="120" w:line="360" w:lineRule="auto"/>
        <w:ind w:firstLine="420" w:firstLineChars="200"/>
        <w:outlineLvl w:val="1"/>
        <w:rPr>
          <w:rFonts w:hint="eastAsia" w:ascii="宋体" w:hAnsi="宋体" w:eastAsia="宋体" w:cs="宋体"/>
          <w:b w:val="0"/>
          <w:color w:val="auto"/>
          <w:sz w:val="21"/>
          <w:szCs w:val="21"/>
          <w:highlight w:val="none"/>
        </w:rPr>
      </w:pPr>
      <w:bookmarkStart w:id="1326" w:name="_Toc2931"/>
      <w:bookmarkStart w:id="1327" w:name="_Toc351203631"/>
      <w:bookmarkStart w:id="1328" w:name="_Toc337558845"/>
      <w:bookmarkStart w:id="1329" w:name="_Toc296346653"/>
      <w:bookmarkStart w:id="1330" w:name="_Toc296503152"/>
      <w:r>
        <w:rPr>
          <w:rFonts w:hint="eastAsia" w:ascii="宋体" w:hAnsi="宋体" w:eastAsia="宋体" w:cs="宋体"/>
          <w:b w:val="0"/>
          <w:color w:val="auto"/>
          <w:sz w:val="21"/>
          <w:szCs w:val="21"/>
          <w:highlight w:val="none"/>
        </w:rPr>
        <w:t>20.5争议解决条款效力</w:t>
      </w:r>
      <w:bookmarkEnd w:id="1326"/>
      <w:bookmarkEnd w:id="1327"/>
    </w:p>
    <w:bookmarkEnd w:id="1328"/>
    <w:bookmarkEnd w:id="1329"/>
    <w:bookmarkEnd w:id="133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合同有关争议解决的条款独立存在，合同的变更、解除、终止、无效或者被撤销均不影响其效力。 </w:t>
      </w:r>
    </w:p>
    <w:p>
      <w:pPr>
        <w:pStyle w:val="5"/>
        <w:jc w:val="center"/>
        <w:outlineLvl w:val="0"/>
        <w:rPr>
          <w:rFonts w:hint="eastAsia" w:ascii="宋体" w:hAnsi="宋体" w:eastAsia="宋体" w:cs="宋体"/>
          <w:color w:val="auto"/>
          <w:sz w:val="21"/>
          <w:szCs w:val="21"/>
          <w:highlight w:val="none"/>
        </w:rPr>
      </w:pPr>
      <w:bookmarkStart w:id="1331" w:name="_Toc351203632"/>
      <w:r>
        <w:rPr>
          <w:rFonts w:hint="eastAsia" w:ascii="宋体" w:hAnsi="宋体" w:eastAsia="宋体" w:cs="宋体"/>
          <w:color w:val="auto"/>
          <w:sz w:val="21"/>
          <w:szCs w:val="21"/>
          <w:highlight w:val="none"/>
        </w:rPr>
        <w:br w:type="page"/>
      </w:r>
      <w:bookmarkStart w:id="1332" w:name="_Toc15748"/>
      <w:r>
        <w:rPr>
          <w:rFonts w:hint="eastAsia" w:ascii="宋体" w:hAnsi="宋体" w:eastAsia="宋体" w:cs="宋体"/>
          <w:color w:val="auto"/>
          <w:sz w:val="21"/>
          <w:szCs w:val="21"/>
          <w:highlight w:val="none"/>
        </w:rPr>
        <w:t>第三部分 专用合同条款</w:t>
      </w:r>
      <w:bookmarkEnd w:id="1331"/>
      <w:bookmarkEnd w:id="1332"/>
    </w:p>
    <w:p>
      <w:pPr>
        <w:pStyle w:val="6"/>
        <w:spacing w:before="120" w:after="120" w:line="360" w:lineRule="auto"/>
        <w:outlineLvl w:val="0"/>
        <w:rPr>
          <w:rFonts w:hint="eastAsia" w:ascii="宋体" w:hAnsi="宋体" w:eastAsia="宋体" w:cs="宋体"/>
          <w:b w:val="0"/>
          <w:color w:val="auto"/>
          <w:sz w:val="21"/>
          <w:szCs w:val="21"/>
          <w:highlight w:val="none"/>
        </w:rPr>
      </w:pPr>
      <w:bookmarkStart w:id="1333" w:name="_Toc26020"/>
      <w:bookmarkStart w:id="1334" w:name="_Toc351203633"/>
      <w:r>
        <w:rPr>
          <w:rFonts w:hint="eastAsia" w:ascii="宋体" w:hAnsi="宋体" w:eastAsia="宋体" w:cs="宋体"/>
          <w:b w:val="0"/>
          <w:color w:val="auto"/>
          <w:sz w:val="21"/>
          <w:szCs w:val="21"/>
          <w:highlight w:val="none"/>
        </w:rPr>
        <w:t>1</w:t>
      </w:r>
      <w:bookmarkStart w:id="1335" w:name="_Toc297120456"/>
      <w:bookmarkStart w:id="1336" w:name="_Toc296891196"/>
      <w:bookmarkStart w:id="1337" w:name="_Toc296503156"/>
      <w:bookmarkStart w:id="1338" w:name="_Toc292559361"/>
      <w:bookmarkStart w:id="1339" w:name="_Toc292559866"/>
      <w:bookmarkStart w:id="1340" w:name="_Toc297048342"/>
      <w:bookmarkStart w:id="1341" w:name="_Toc296346657"/>
      <w:bookmarkStart w:id="1342" w:name="_Toc296944495"/>
      <w:bookmarkStart w:id="1343" w:name="_Toc296347155"/>
      <w:bookmarkStart w:id="1344" w:name="_Toc296890984"/>
      <w:r>
        <w:rPr>
          <w:rFonts w:hint="eastAsia" w:ascii="宋体" w:hAnsi="宋体" w:eastAsia="宋体" w:cs="宋体"/>
          <w:b w:val="0"/>
          <w:color w:val="auto"/>
          <w:sz w:val="21"/>
          <w:szCs w:val="21"/>
          <w:highlight w:val="none"/>
        </w:rPr>
        <w:t>. 一般约定</w:t>
      </w:r>
      <w:bookmarkEnd w:id="1333"/>
      <w:bookmarkEnd w:id="1334"/>
    </w:p>
    <w:bookmarkEnd w:id="1335"/>
    <w:bookmarkEnd w:id="1336"/>
    <w:bookmarkEnd w:id="1337"/>
    <w:bookmarkEnd w:id="1338"/>
    <w:bookmarkEnd w:id="1339"/>
    <w:bookmarkEnd w:id="1340"/>
    <w:bookmarkEnd w:id="1341"/>
    <w:bookmarkEnd w:id="1342"/>
    <w:bookmarkEnd w:id="1343"/>
    <w:bookmarkEnd w:id="1344"/>
    <w:p>
      <w:pPr>
        <w:spacing w:after="120" w:line="360" w:lineRule="auto"/>
        <w:ind w:firstLine="420" w:firstLineChars="200"/>
        <w:outlineLvl w:val="1"/>
        <w:rPr>
          <w:rFonts w:hint="eastAsia" w:ascii="宋体" w:hAnsi="宋体" w:eastAsia="宋体" w:cs="宋体"/>
          <w:color w:val="auto"/>
          <w:sz w:val="21"/>
          <w:szCs w:val="21"/>
          <w:highlight w:val="none"/>
        </w:rPr>
      </w:pPr>
      <w:bookmarkStart w:id="1345" w:name="_Toc8572"/>
      <w:r>
        <w:rPr>
          <w:rFonts w:hint="eastAsia" w:ascii="宋体" w:hAnsi="宋体" w:eastAsia="宋体" w:cs="宋体"/>
          <w:color w:val="auto"/>
          <w:sz w:val="21"/>
          <w:szCs w:val="21"/>
          <w:highlight w:val="none"/>
        </w:rPr>
        <w:t>1.1 词语定义</w:t>
      </w:r>
      <w:bookmarkEnd w:id="1345"/>
    </w:p>
    <w:p>
      <w:pPr>
        <w:spacing w:line="360" w:lineRule="auto"/>
        <w:ind w:firstLine="420" w:firstLineChars="200"/>
        <w:outlineLvl w:val="2"/>
        <w:rPr>
          <w:rFonts w:hint="eastAsia" w:ascii="宋体" w:hAnsi="宋体" w:eastAsia="宋体" w:cs="宋体"/>
          <w:color w:val="auto"/>
          <w:kern w:val="0"/>
          <w:sz w:val="21"/>
          <w:szCs w:val="21"/>
          <w:highlight w:val="none"/>
        </w:rPr>
      </w:pPr>
      <w:bookmarkStart w:id="1346" w:name="_Toc17335"/>
      <w:r>
        <w:rPr>
          <w:rFonts w:hint="eastAsia" w:ascii="宋体" w:hAnsi="宋体" w:eastAsia="宋体" w:cs="宋体"/>
          <w:color w:val="auto"/>
          <w:kern w:val="0"/>
          <w:sz w:val="21"/>
          <w:szCs w:val="21"/>
          <w:highlight w:val="none"/>
        </w:rPr>
        <w:t>1.1.1合同</w:t>
      </w:r>
      <w:bookmarkEnd w:id="1346"/>
    </w:p>
    <w:p>
      <w:pPr>
        <w:spacing w:line="360" w:lineRule="auto"/>
        <w:ind w:left="1155" w:leftChars="200" w:hanging="735" w:hangingChars="3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347" w:name="_Toc17519"/>
      <w:r>
        <w:rPr>
          <w:rFonts w:hint="eastAsia" w:ascii="宋体" w:hAnsi="宋体" w:eastAsia="宋体" w:cs="宋体"/>
          <w:color w:val="auto"/>
          <w:sz w:val="21"/>
          <w:szCs w:val="21"/>
          <w:highlight w:val="none"/>
        </w:rPr>
        <w:t>1.1.2 合同当事人及其他相关方</w:t>
      </w:r>
      <w:bookmarkEnd w:id="1347"/>
    </w:p>
    <w:p>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348" w:name="_Toc4605"/>
      <w:r>
        <w:rPr>
          <w:rFonts w:hint="eastAsia" w:ascii="宋体" w:hAnsi="宋体" w:eastAsia="宋体" w:cs="宋体"/>
          <w:color w:val="auto"/>
          <w:sz w:val="21"/>
          <w:szCs w:val="21"/>
          <w:highlight w:val="none"/>
        </w:rPr>
        <w:t>1.1.3 工程和设备</w:t>
      </w:r>
      <w:bookmarkEnd w:id="134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49" w:name="_Toc26722"/>
      <w:r>
        <w:rPr>
          <w:rFonts w:hint="eastAsia" w:ascii="宋体" w:hAnsi="宋体" w:eastAsia="宋体" w:cs="宋体"/>
          <w:color w:val="auto"/>
          <w:sz w:val="21"/>
          <w:szCs w:val="21"/>
          <w:highlight w:val="none"/>
        </w:rPr>
        <w:t>1.3法律</w:t>
      </w:r>
      <w:bookmarkEnd w:id="1349"/>
      <w:r>
        <w:rPr>
          <w:rFonts w:hint="eastAsia" w:ascii="宋体" w:hAnsi="宋体" w:eastAsia="宋体" w:cs="宋体"/>
          <w:color w:val="auto"/>
          <w:sz w:val="21"/>
          <w:szCs w:val="21"/>
          <w:highlight w:val="none"/>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50" w:name="_Toc23927"/>
      <w:r>
        <w:rPr>
          <w:rFonts w:hint="eastAsia" w:ascii="宋体" w:hAnsi="宋体" w:eastAsia="宋体" w:cs="宋体"/>
          <w:color w:val="auto"/>
          <w:sz w:val="21"/>
          <w:szCs w:val="21"/>
          <w:highlight w:val="none"/>
        </w:rPr>
        <w:t>1.4 标准和规范</w:t>
      </w:r>
      <w:bookmarkEnd w:id="135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51" w:name="_Toc13595"/>
      <w:r>
        <w:rPr>
          <w:rFonts w:hint="eastAsia" w:ascii="宋体" w:hAnsi="宋体" w:eastAsia="宋体" w:cs="宋体"/>
          <w:color w:val="auto"/>
          <w:sz w:val="21"/>
          <w:szCs w:val="21"/>
          <w:highlight w:val="none"/>
        </w:rPr>
        <w:t>1.5 合同文件的优先顺序</w:t>
      </w:r>
      <w:bookmarkEnd w:id="135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52" w:name="_Toc27252"/>
      <w:r>
        <w:rPr>
          <w:rFonts w:hint="eastAsia" w:ascii="宋体" w:hAnsi="宋体" w:eastAsia="宋体" w:cs="宋体"/>
          <w:color w:val="auto"/>
          <w:sz w:val="21"/>
          <w:szCs w:val="21"/>
          <w:highlight w:val="none"/>
        </w:rPr>
        <w:t>1.6 图纸和承包人文件</w:t>
      </w:r>
      <w:bookmarkEnd w:id="1352"/>
      <w:r>
        <w:rPr>
          <w:rFonts w:hint="eastAsia" w:ascii="宋体" w:hAnsi="宋体" w:eastAsia="宋体" w:cs="宋体"/>
          <w:color w:val="auto"/>
          <w:sz w:val="21"/>
          <w:szCs w:val="21"/>
          <w:highlight w:val="none"/>
        </w:rPr>
        <w:tab/>
      </w:r>
    </w:p>
    <w:p>
      <w:pPr>
        <w:spacing w:line="360" w:lineRule="auto"/>
        <w:ind w:firstLine="420" w:firstLineChars="200"/>
        <w:outlineLvl w:val="2"/>
        <w:rPr>
          <w:rFonts w:hint="eastAsia" w:ascii="宋体" w:hAnsi="宋体" w:eastAsia="宋体" w:cs="宋体"/>
          <w:color w:val="auto"/>
          <w:sz w:val="21"/>
          <w:szCs w:val="21"/>
          <w:highlight w:val="none"/>
        </w:rPr>
      </w:pPr>
      <w:bookmarkStart w:id="1353" w:name="_Toc13002"/>
      <w:r>
        <w:rPr>
          <w:rFonts w:hint="eastAsia" w:ascii="宋体" w:hAnsi="宋体" w:eastAsia="宋体" w:cs="宋体"/>
          <w:color w:val="auto"/>
          <w:sz w:val="21"/>
          <w:szCs w:val="21"/>
          <w:highlight w:val="none"/>
        </w:rPr>
        <w:t>1.6.1 图纸的提供</w:t>
      </w:r>
      <w:bookmarkEnd w:id="135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354" w:name="_Toc2330"/>
      <w:r>
        <w:rPr>
          <w:rFonts w:hint="eastAsia" w:ascii="宋体" w:hAnsi="宋体" w:eastAsia="宋体" w:cs="宋体"/>
          <w:color w:val="auto"/>
          <w:sz w:val="21"/>
          <w:szCs w:val="21"/>
          <w:highlight w:val="none"/>
        </w:rPr>
        <w:t>1.6.4 承包人文件</w:t>
      </w:r>
      <w:bookmarkEnd w:id="1354"/>
    </w:p>
    <w:p>
      <w:pPr>
        <w:spacing w:line="360" w:lineRule="auto"/>
        <w:ind w:left="596" w:leftChars="284"/>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          </w:t>
      </w:r>
    </w:p>
    <w:p>
      <w:pPr>
        <w:spacing w:line="36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355" w:name="_Toc32484"/>
      <w:r>
        <w:rPr>
          <w:rFonts w:hint="eastAsia" w:ascii="宋体" w:hAnsi="宋体" w:eastAsia="宋体" w:cs="宋体"/>
          <w:color w:val="auto"/>
          <w:sz w:val="21"/>
          <w:szCs w:val="21"/>
          <w:highlight w:val="none"/>
        </w:rPr>
        <w:t>1.6.5 现场图纸准备</w:t>
      </w:r>
      <w:bookmarkEnd w:id="135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56" w:name="_Toc24391"/>
      <w:r>
        <w:rPr>
          <w:rFonts w:hint="eastAsia" w:ascii="宋体" w:hAnsi="宋体" w:eastAsia="宋体" w:cs="宋体"/>
          <w:color w:val="auto"/>
          <w:sz w:val="21"/>
          <w:szCs w:val="21"/>
          <w:highlight w:val="none"/>
        </w:rPr>
        <w:t>1.7 联络</w:t>
      </w:r>
      <w:bookmarkEnd w:id="1356"/>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57" w:name="_Toc13578"/>
      <w:r>
        <w:rPr>
          <w:rFonts w:hint="eastAsia" w:ascii="宋体" w:hAnsi="宋体" w:eastAsia="宋体" w:cs="宋体"/>
          <w:color w:val="auto"/>
          <w:sz w:val="21"/>
          <w:szCs w:val="21"/>
          <w:highlight w:val="none"/>
        </w:rPr>
        <w:t>1.10 交通运输</w:t>
      </w:r>
      <w:bookmarkEnd w:id="1357"/>
    </w:p>
    <w:p>
      <w:pPr>
        <w:spacing w:line="360" w:lineRule="auto"/>
        <w:ind w:firstLine="420" w:firstLineChars="200"/>
        <w:outlineLvl w:val="2"/>
        <w:rPr>
          <w:rFonts w:hint="eastAsia" w:ascii="宋体" w:hAnsi="宋体" w:eastAsia="宋体" w:cs="宋体"/>
          <w:color w:val="auto"/>
          <w:sz w:val="21"/>
          <w:szCs w:val="21"/>
          <w:highlight w:val="none"/>
        </w:rPr>
      </w:pPr>
      <w:bookmarkStart w:id="1358" w:name="_Toc23150"/>
      <w:r>
        <w:rPr>
          <w:rFonts w:hint="eastAsia" w:ascii="宋体" w:hAnsi="宋体" w:eastAsia="宋体" w:cs="宋体"/>
          <w:color w:val="auto"/>
          <w:sz w:val="21"/>
          <w:szCs w:val="21"/>
          <w:highlight w:val="none"/>
        </w:rPr>
        <w:t>1</w:t>
      </w:r>
      <w:bookmarkStart w:id="1359" w:name="_Toc303539100"/>
      <w:bookmarkStart w:id="1360" w:name="_Toc312677986"/>
      <w:bookmarkStart w:id="1361" w:name="_Toc300934943"/>
      <w:bookmarkStart w:id="1362" w:name="_Toc304295521"/>
      <w:bookmarkStart w:id="1363" w:name="_Toc318581155"/>
      <w:r>
        <w:rPr>
          <w:rFonts w:hint="eastAsia" w:ascii="宋体" w:hAnsi="宋体" w:eastAsia="宋体" w:cs="宋体"/>
          <w:color w:val="auto"/>
          <w:sz w:val="21"/>
          <w:szCs w:val="21"/>
          <w:highlight w:val="none"/>
        </w:rPr>
        <w:t>.10.1 出入现场的权利</w:t>
      </w:r>
      <w:bookmarkEnd w:id="135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bookmarkEnd w:id="1359"/>
    <w:bookmarkEnd w:id="1360"/>
    <w:bookmarkEnd w:id="1361"/>
    <w:bookmarkEnd w:id="1362"/>
    <w:bookmarkEnd w:id="1363"/>
    <w:p>
      <w:pPr>
        <w:spacing w:line="360" w:lineRule="auto"/>
        <w:ind w:firstLine="420" w:firstLineChars="200"/>
        <w:jc w:val="left"/>
        <w:outlineLvl w:val="2"/>
        <w:rPr>
          <w:rFonts w:hint="eastAsia" w:ascii="宋体" w:hAnsi="宋体" w:eastAsia="宋体" w:cs="宋体"/>
          <w:color w:val="auto"/>
          <w:sz w:val="21"/>
          <w:szCs w:val="21"/>
          <w:highlight w:val="none"/>
        </w:rPr>
      </w:pPr>
      <w:bookmarkStart w:id="1364" w:name="_Toc5102"/>
      <w:r>
        <w:rPr>
          <w:rFonts w:hint="eastAsia" w:ascii="宋体" w:hAnsi="宋体" w:eastAsia="宋体" w:cs="宋体"/>
          <w:color w:val="auto"/>
          <w:sz w:val="21"/>
          <w:szCs w:val="21"/>
          <w:highlight w:val="none"/>
        </w:rPr>
        <w:t>1</w:t>
      </w:r>
      <w:bookmarkStart w:id="1365" w:name="_Toc300934944"/>
      <w:bookmarkStart w:id="1366" w:name="_Toc304295522"/>
      <w:bookmarkStart w:id="1367" w:name="_Toc318581156"/>
      <w:bookmarkStart w:id="1368" w:name="_Toc312677987"/>
      <w:bookmarkStart w:id="1369" w:name="_Toc303539101"/>
      <w:r>
        <w:rPr>
          <w:rFonts w:hint="eastAsia" w:ascii="宋体" w:hAnsi="宋体" w:eastAsia="宋体" w:cs="宋体"/>
          <w:color w:val="auto"/>
          <w:sz w:val="21"/>
          <w:szCs w:val="21"/>
          <w:highlight w:val="none"/>
        </w:rPr>
        <w:t>.10.3 场内交通</w:t>
      </w:r>
      <w:bookmarkEnd w:id="1364"/>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bookmarkEnd w:id="1365"/>
      <w:bookmarkEnd w:id="1366"/>
      <w:bookmarkEnd w:id="1367"/>
      <w:bookmarkEnd w:id="1368"/>
      <w:bookmarkEnd w:id="1369"/>
      <w:r>
        <w:rPr>
          <w:rFonts w:hint="eastAsia" w:ascii="宋体" w:hAnsi="宋体" w:eastAsia="宋体" w:cs="宋体"/>
          <w:color w:val="auto"/>
          <w:sz w:val="21"/>
          <w:szCs w:val="21"/>
          <w:highlight w:val="none"/>
        </w:rPr>
        <w:t xml:space="preserve">  </w:t>
      </w:r>
      <w:bookmarkStart w:id="1370" w:name="_Toc318581157"/>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371" w:name="_Toc20822"/>
      <w:r>
        <w:rPr>
          <w:rFonts w:hint="eastAsia" w:ascii="宋体" w:hAnsi="宋体" w:eastAsia="宋体" w:cs="宋体"/>
          <w:color w:val="auto"/>
          <w:sz w:val="21"/>
          <w:szCs w:val="21"/>
          <w:highlight w:val="none"/>
        </w:rPr>
        <w:t>1.10.4超大件和超重件的运输</w:t>
      </w:r>
      <w:bookmarkEnd w:id="137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bookmarkEnd w:id="1370"/>
    <w:p>
      <w:pPr>
        <w:spacing w:after="120" w:line="360" w:lineRule="auto"/>
        <w:ind w:firstLine="420" w:firstLineChars="200"/>
        <w:outlineLvl w:val="1"/>
        <w:rPr>
          <w:rFonts w:hint="eastAsia" w:ascii="宋体" w:hAnsi="宋体" w:eastAsia="宋体" w:cs="宋体"/>
          <w:color w:val="auto"/>
          <w:sz w:val="21"/>
          <w:szCs w:val="21"/>
          <w:highlight w:val="none"/>
        </w:rPr>
      </w:pPr>
      <w:bookmarkStart w:id="1372" w:name="_Toc26260"/>
      <w:r>
        <w:rPr>
          <w:rFonts w:hint="eastAsia" w:ascii="宋体" w:hAnsi="宋体" w:eastAsia="宋体" w:cs="宋体"/>
          <w:color w:val="auto"/>
          <w:sz w:val="21"/>
          <w:szCs w:val="21"/>
          <w:highlight w:val="none"/>
        </w:rPr>
        <w:t>1.11 知识产权</w:t>
      </w:r>
      <w:bookmarkEnd w:id="137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73" w:name="_Toc23788"/>
      <w:r>
        <w:rPr>
          <w:rFonts w:hint="eastAsia" w:ascii="宋体" w:hAnsi="宋体" w:eastAsia="宋体" w:cs="宋体"/>
          <w:color w:val="auto"/>
          <w:sz w:val="21"/>
          <w:szCs w:val="21"/>
          <w:highlight w:val="none"/>
        </w:rPr>
        <w:t>1.13工程量清单错误的修正</w:t>
      </w:r>
      <w:bookmarkEnd w:id="137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374" w:name="_Toc351203634"/>
      <w:bookmarkStart w:id="1375" w:name="_Toc15454"/>
      <w:r>
        <w:rPr>
          <w:rFonts w:hint="eastAsia" w:ascii="宋体" w:hAnsi="宋体" w:eastAsia="宋体" w:cs="宋体"/>
          <w:b w:val="0"/>
          <w:color w:val="auto"/>
          <w:sz w:val="21"/>
          <w:szCs w:val="21"/>
          <w:highlight w:val="none"/>
        </w:rPr>
        <w:t>2</w:t>
      </w:r>
      <w:bookmarkStart w:id="1376" w:name="_Toc296944496"/>
      <w:bookmarkStart w:id="1377" w:name="_Toc296503157"/>
      <w:bookmarkStart w:id="1378" w:name="_Toc296890985"/>
      <w:bookmarkStart w:id="1379" w:name="_Toc296891197"/>
      <w:bookmarkStart w:id="1380" w:name="_Toc297120457"/>
      <w:bookmarkStart w:id="1381" w:name="_Toc292559362"/>
      <w:bookmarkStart w:id="1382" w:name="_Toc296347156"/>
      <w:bookmarkStart w:id="1383" w:name="_Toc297048343"/>
      <w:bookmarkStart w:id="1384" w:name="_Toc292559867"/>
      <w:bookmarkStart w:id="1385" w:name="_Toc296346658"/>
      <w:r>
        <w:rPr>
          <w:rFonts w:hint="eastAsia" w:ascii="宋体" w:hAnsi="宋体" w:eastAsia="宋体" w:cs="宋体"/>
          <w:b w:val="0"/>
          <w:color w:val="auto"/>
          <w:sz w:val="21"/>
          <w:szCs w:val="21"/>
          <w:highlight w:val="none"/>
        </w:rPr>
        <w:t>. 发包人</w:t>
      </w:r>
      <w:bookmarkEnd w:id="1374"/>
      <w:bookmarkEnd w:id="1375"/>
    </w:p>
    <w:bookmarkEnd w:id="1376"/>
    <w:bookmarkEnd w:id="1377"/>
    <w:bookmarkEnd w:id="1378"/>
    <w:bookmarkEnd w:id="1379"/>
    <w:bookmarkEnd w:id="1380"/>
    <w:bookmarkEnd w:id="1381"/>
    <w:bookmarkEnd w:id="1382"/>
    <w:bookmarkEnd w:id="1383"/>
    <w:bookmarkEnd w:id="1384"/>
    <w:bookmarkEnd w:id="1385"/>
    <w:p>
      <w:pPr>
        <w:spacing w:after="120" w:line="360" w:lineRule="auto"/>
        <w:ind w:firstLine="420" w:firstLineChars="200"/>
        <w:outlineLvl w:val="1"/>
        <w:rPr>
          <w:rFonts w:hint="eastAsia" w:ascii="宋体" w:hAnsi="宋体" w:eastAsia="宋体" w:cs="宋体"/>
          <w:color w:val="auto"/>
          <w:sz w:val="21"/>
          <w:szCs w:val="21"/>
          <w:highlight w:val="none"/>
        </w:rPr>
      </w:pPr>
      <w:bookmarkStart w:id="1386" w:name="_Toc26757"/>
      <w:r>
        <w:rPr>
          <w:rFonts w:hint="eastAsia" w:ascii="宋体" w:hAnsi="宋体" w:eastAsia="宋体" w:cs="宋体"/>
          <w:color w:val="auto"/>
          <w:sz w:val="21"/>
          <w:szCs w:val="21"/>
          <w:highlight w:val="none"/>
        </w:rPr>
        <w:t>2.2 发包人代表</w:t>
      </w:r>
      <w:bookmarkEnd w:id="138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87" w:name="_Toc3786"/>
      <w:r>
        <w:rPr>
          <w:rFonts w:hint="eastAsia" w:ascii="宋体" w:hAnsi="宋体" w:eastAsia="宋体" w:cs="宋体"/>
          <w:color w:val="auto"/>
          <w:sz w:val="21"/>
          <w:szCs w:val="21"/>
          <w:highlight w:val="none"/>
        </w:rPr>
        <w:t>2.4 施工现场、施工条件和基础资料的提供</w:t>
      </w:r>
      <w:bookmarkEnd w:id="1387"/>
    </w:p>
    <w:p>
      <w:pPr>
        <w:spacing w:line="360" w:lineRule="auto"/>
        <w:ind w:firstLine="420" w:firstLineChars="200"/>
        <w:outlineLvl w:val="2"/>
        <w:rPr>
          <w:rFonts w:hint="eastAsia" w:ascii="宋体" w:hAnsi="宋体" w:eastAsia="宋体" w:cs="宋体"/>
          <w:color w:val="auto"/>
          <w:sz w:val="21"/>
          <w:szCs w:val="21"/>
          <w:highlight w:val="none"/>
        </w:rPr>
      </w:pPr>
      <w:bookmarkStart w:id="1388" w:name="_Toc15678"/>
      <w:r>
        <w:rPr>
          <w:rFonts w:hint="eastAsia" w:ascii="宋体" w:hAnsi="宋体" w:eastAsia="宋体" w:cs="宋体"/>
          <w:color w:val="auto"/>
          <w:sz w:val="21"/>
          <w:szCs w:val="21"/>
          <w:highlight w:val="none"/>
        </w:rPr>
        <w:t>2.4.1 提供施工现场</w:t>
      </w:r>
      <w:bookmarkEnd w:id="138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389" w:name="_Toc10698"/>
      <w:r>
        <w:rPr>
          <w:rFonts w:hint="eastAsia" w:ascii="宋体" w:hAnsi="宋体" w:eastAsia="宋体" w:cs="宋体"/>
          <w:color w:val="auto"/>
          <w:sz w:val="21"/>
          <w:szCs w:val="21"/>
          <w:highlight w:val="none"/>
        </w:rPr>
        <w:t>2.4.2 提供施工条件</w:t>
      </w:r>
      <w:bookmarkEnd w:id="1389"/>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390" w:name="_Toc10594"/>
      <w:r>
        <w:rPr>
          <w:rFonts w:hint="eastAsia" w:ascii="宋体" w:hAnsi="宋体" w:eastAsia="宋体" w:cs="宋体"/>
          <w:color w:val="auto"/>
          <w:sz w:val="21"/>
          <w:szCs w:val="21"/>
          <w:highlight w:val="none"/>
        </w:rPr>
        <w:t>2.5 资金来源证明及支付担保</w:t>
      </w:r>
      <w:bookmarkEnd w:id="139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391" w:name="_Toc5140"/>
      <w:bookmarkStart w:id="1392" w:name="_Toc351203635"/>
      <w:r>
        <w:rPr>
          <w:rFonts w:hint="eastAsia" w:ascii="宋体" w:hAnsi="宋体" w:eastAsia="宋体" w:cs="宋体"/>
          <w:b w:val="0"/>
          <w:color w:val="auto"/>
          <w:sz w:val="21"/>
          <w:szCs w:val="21"/>
          <w:highlight w:val="none"/>
        </w:rPr>
        <w:t>3</w:t>
      </w:r>
      <w:bookmarkStart w:id="1393" w:name="_Toc297048344"/>
      <w:bookmarkStart w:id="1394" w:name="_Toc296503158"/>
      <w:bookmarkStart w:id="1395" w:name="_Toc297120458"/>
      <w:bookmarkStart w:id="1396" w:name="_Toc292559363"/>
      <w:bookmarkStart w:id="1397" w:name="_Toc296890986"/>
      <w:bookmarkStart w:id="1398" w:name="_Toc296347157"/>
      <w:bookmarkStart w:id="1399" w:name="_Toc296944497"/>
      <w:bookmarkStart w:id="1400" w:name="_Toc292559868"/>
      <w:bookmarkStart w:id="1401" w:name="_Toc296891198"/>
      <w:bookmarkStart w:id="1402" w:name="_Toc296346659"/>
      <w:r>
        <w:rPr>
          <w:rFonts w:hint="eastAsia" w:ascii="宋体" w:hAnsi="宋体" w:eastAsia="宋体" w:cs="宋体"/>
          <w:b w:val="0"/>
          <w:color w:val="auto"/>
          <w:sz w:val="21"/>
          <w:szCs w:val="21"/>
          <w:highlight w:val="none"/>
        </w:rPr>
        <w:t>. 承包人</w:t>
      </w:r>
      <w:bookmarkEnd w:id="1391"/>
      <w:bookmarkEnd w:id="1392"/>
    </w:p>
    <w:bookmarkEnd w:id="1393"/>
    <w:bookmarkEnd w:id="1394"/>
    <w:bookmarkEnd w:id="1395"/>
    <w:bookmarkEnd w:id="1396"/>
    <w:bookmarkEnd w:id="1397"/>
    <w:bookmarkEnd w:id="1398"/>
    <w:bookmarkEnd w:id="1399"/>
    <w:bookmarkEnd w:id="1400"/>
    <w:bookmarkEnd w:id="1401"/>
    <w:bookmarkEnd w:id="1402"/>
    <w:p>
      <w:pPr>
        <w:spacing w:after="120" w:line="360" w:lineRule="auto"/>
        <w:ind w:firstLine="420" w:firstLineChars="200"/>
        <w:outlineLvl w:val="1"/>
        <w:rPr>
          <w:rFonts w:hint="eastAsia" w:ascii="宋体" w:hAnsi="宋体" w:eastAsia="宋体" w:cs="宋体"/>
          <w:color w:val="auto"/>
          <w:sz w:val="21"/>
          <w:szCs w:val="21"/>
          <w:highlight w:val="none"/>
        </w:rPr>
      </w:pPr>
      <w:bookmarkStart w:id="1403" w:name="_Toc11262"/>
      <w:r>
        <w:rPr>
          <w:rFonts w:hint="eastAsia" w:ascii="宋体" w:hAnsi="宋体" w:eastAsia="宋体" w:cs="宋体"/>
          <w:color w:val="auto"/>
          <w:sz w:val="21"/>
          <w:szCs w:val="21"/>
          <w:highlight w:val="none"/>
        </w:rPr>
        <w:t>3.1 承包人的一般义务</w:t>
      </w:r>
      <w:bookmarkEnd w:id="1403"/>
    </w:p>
    <w:p>
      <w:pPr>
        <w:spacing w:line="360" w:lineRule="auto"/>
        <w:ind w:firstLine="420" w:firstLineChars="200"/>
        <w:jc w:val="left"/>
        <w:rPr>
          <w:rFonts w:hint="eastAsia" w:ascii="宋体" w:hAnsi="宋体" w:eastAsia="宋体" w:cs="宋体"/>
          <w:color w:val="auto"/>
          <w:sz w:val="21"/>
          <w:szCs w:val="21"/>
          <w:highlight w:val="none"/>
        </w:rPr>
      </w:pPr>
      <w:bookmarkStart w:id="1404" w:name="_Toc24301"/>
      <w:r>
        <w:rPr>
          <w:rFonts w:hint="eastAsia" w:ascii="宋体" w:hAnsi="宋体" w:eastAsia="宋体" w:cs="宋体"/>
          <w:color w:val="auto"/>
          <w:sz w:val="21"/>
          <w:szCs w:val="21"/>
          <w:highlight w:val="none"/>
        </w:rPr>
        <w:t>承包人提交的竣工资料的内容：</w:t>
      </w:r>
      <w:bookmarkEnd w:id="1404"/>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405" w:name="_Toc3592"/>
      <w:r>
        <w:rPr>
          <w:rFonts w:hint="eastAsia" w:ascii="宋体" w:hAnsi="宋体" w:eastAsia="宋体" w:cs="宋体"/>
          <w:color w:val="auto"/>
          <w:kern w:val="0"/>
          <w:sz w:val="21"/>
          <w:szCs w:val="21"/>
          <w:highlight w:val="none"/>
        </w:rPr>
        <w:t>承包人应履行的其他义务：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405"/>
    </w:p>
    <w:p>
      <w:pPr>
        <w:spacing w:after="120" w:line="360" w:lineRule="auto"/>
        <w:ind w:firstLine="420" w:firstLineChars="200"/>
        <w:outlineLvl w:val="1"/>
        <w:rPr>
          <w:rFonts w:hint="eastAsia" w:ascii="宋体" w:hAnsi="宋体" w:eastAsia="宋体" w:cs="宋体"/>
          <w:color w:val="auto"/>
          <w:sz w:val="21"/>
          <w:szCs w:val="21"/>
          <w:highlight w:val="none"/>
        </w:rPr>
      </w:pPr>
      <w:bookmarkStart w:id="1406" w:name="_Toc16688"/>
      <w:r>
        <w:rPr>
          <w:rFonts w:hint="eastAsia" w:ascii="宋体" w:hAnsi="宋体" w:eastAsia="宋体" w:cs="宋体"/>
          <w:color w:val="auto"/>
          <w:sz w:val="21"/>
          <w:szCs w:val="21"/>
          <w:highlight w:val="none"/>
        </w:rPr>
        <w:t>3.2 项目经理</w:t>
      </w:r>
      <w:bookmarkEnd w:id="1406"/>
    </w:p>
    <w:p>
      <w:pPr>
        <w:spacing w:line="360" w:lineRule="auto"/>
        <w:ind w:firstLine="420" w:firstLineChars="200"/>
        <w:outlineLvl w:val="2"/>
        <w:rPr>
          <w:rFonts w:hint="eastAsia" w:ascii="宋体" w:hAnsi="宋体" w:eastAsia="宋体" w:cs="宋体"/>
          <w:color w:val="auto"/>
          <w:sz w:val="21"/>
          <w:szCs w:val="21"/>
          <w:highlight w:val="none"/>
        </w:rPr>
      </w:pPr>
      <w:bookmarkStart w:id="1407" w:name="_Toc24001"/>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bookmarkEnd w:id="140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bookmarkStart w:id="1408" w:name="_Toc16288"/>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 xml:space="preserve">     </w:t>
      </w:r>
      <w:bookmarkEnd w:id="140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409" w:name="_Toc9795"/>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bookmarkEnd w:id="1409"/>
    </w:p>
    <w:p>
      <w:pPr>
        <w:spacing w:after="120" w:line="360" w:lineRule="auto"/>
        <w:ind w:firstLine="420" w:firstLineChars="200"/>
        <w:outlineLvl w:val="1"/>
        <w:rPr>
          <w:rFonts w:hint="eastAsia" w:ascii="宋体" w:hAnsi="宋体" w:eastAsia="宋体" w:cs="宋体"/>
          <w:color w:val="auto"/>
          <w:sz w:val="21"/>
          <w:szCs w:val="21"/>
          <w:highlight w:val="none"/>
        </w:rPr>
      </w:pPr>
      <w:bookmarkStart w:id="1410" w:name="_Toc29898"/>
      <w:r>
        <w:rPr>
          <w:rFonts w:hint="eastAsia" w:ascii="宋体" w:hAnsi="宋体" w:eastAsia="宋体" w:cs="宋体"/>
          <w:color w:val="auto"/>
          <w:sz w:val="21"/>
          <w:szCs w:val="21"/>
          <w:highlight w:val="none"/>
        </w:rPr>
        <w:t>3.3 承包人人员</w:t>
      </w:r>
      <w:bookmarkEnd w:id="141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411" w:name="_Toc19540"/>
      <w:r>
        <w:rPr>
          <w:rFonts w:hint="eastAsia" w:ascii="宋体" w:hAnsi="宋体" w:eastAsia="宋体" w:cs="宋体"/>
          <w:color w:val="auto"/>
          <w:sz w:val="21"/>
          <w:szCs w:val="21"/>
          <w:highlight w:val="none"/>
        </w:rPr>
        <w:t>3</w:t>
      </w:r>
      <w:bookmarkStart w:id="1412" w:name="_Toc297048345"/>
      <w:bookmarkStart w:id="1413" w:name="_Toc297216151"/>
      <w:bookmarkStart w:id="1414" w:name="_Toc303539102"/>
      <w:bookmarkStart w:id="1415" w:name="_Toc312677988"/>
      <w:bookmarkStart w:id="1416" w:name="_Toc296890987"/>
      <w:bookmarkStart w:id="1417" w:name="_Toc296944498"/>
      <w:bookmarkStart w:id="1418" w:name="_Toc296891199"/>
      <w:bookmarkStart w:id="1419" w:name="_Toc296503159"/>
      <w:bookmarkStart w:id="1420" w:name="_Toc292559364"/>
      <w:bookmarkStart w:id="1421" w:name="_Toc300934945"/>
      <w:bookmarkStart w:id="1422" w:name="_Toc297123492"/>
      <w:bookmarkStart w:id="1423" w:name="_Toc292559869"/>
      <w:bookmarkStart w:id="1424" w:name="_Toc297120459"/>
      <w:bookmarkStart w:id="1425" w:name="_Toc296347158"/>
      <w:bookmarkStart w:id="1426" w:name="_Toc304295523"/>
      <w:bookmarkStart w:id="1427" w:name="_Toc296346660"/>
      <w:r>
        <w:rPr>
          <w:rFonts w:hint="eastAsia" w:ascii="宋体" w:hAnsi="宋体" w:eastAsia="宋体" w:cs="宋体"/>
          <w:color w:val="auto"/>
          <w:sz w:val="21"/>
          <w:szCs w:val="21"/>
          <w:highlight w:val="none"/>
        </w:rPr>
        <w:t>.5 分包</w:t>
      </w:r>
      <w:bookmarkEnd w:id="1411"/>
    </w:p>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Pr>
        <w:spacing w:line="360" w:lineRule="auto"/>
        <w:ind w:firstLine="420" w:firstLineChars="200"/>
        <w:outlineLvl w:val="2"/>
        <w:rPr>
          <w:rFonts w:hint="eastAsia" w:ascii="宋体" w:hAnsi="宋体" w:eastAsia="宋体" w:cs="宋体"/>
          <w:color w:val="auto"/>
          <w:sz w:val="21"/>
          <w:szCs w:val="21"/>
          <w:highlight w:val="none"/>
        </w:rPr>
      </w:pPr>
      <w:bookmarkStart w:id="1428" w:name="_Toc23814"/>
      <w:r>
        <w:rPr>
          <w:rFonts w:hint="eastAsia" w:ascii="宋体" w:hAnsi="宋体" w:eastAsia="宋体" w:cs="宋体"/>
          <w:color w:val="auto"/>
          <w:sz w:val="21"/>
          <w:szCs w:val="21"/>
          <w:highlight w:val="none"/>
        </w:rPr>
        <w:t>3</w:t>
      </w:r>
      <w:bookmarkStart w:id="1429" w:name="_Toc292559365"/>
      <w:bookmarkStart w:id="1430" w:name="_Toc303539103"/>
      <w:bookmarkStart w:id="1431" w:name="_Toc297123493"/>
      <w:bookmarkStart w:id="1432" w:name="_Toc297048346"/>
      <w:bookmarkStart w:id="1433" w:name="_Toc292559870"/>
      <w:bookmarkStart w:id="1434" w:name="_Toc304295524"/>
      <w:bookmarkStart w:id="1435" w:name="_Toc297216152"/>
      <w:bookmarkStart w:id="1436" w:name="_Toc296891200"/>
      <w:bookmarkStart w:id="1437" w:name="_Toc296347159"/>
      <w:bookmarkStart w:id="1438" w:name="_Toc296890988"/>
      <w:bookmarkStart w:id="1439" w:name="_Toc296503160"/>
      <w:bookmarkStart w:id="1440" w:name="_Toc296944499"/>
      <w:bookmarkStart w:id="1441" w:name="_Toc297120460"/>
      <w:bookmarkStart w:id="1442" w:name="_Toc296346661"/>
      <w:bookmarkStart w:id="1443" w:name="_Toc300934946"/>
      <w:bookmarkStart w:id="1444" w:name="_Toc318581158"/>
      <w:bookmarkStart w:id="1445" w:name="_Toc312677989"/>
      <w:r>
        <w:rPr>
          <w:rFonts w:hint="eastAsia" w:ascii="宋体" w:hAnsi="宋体" w:eastAsia="宋体" w:cs="宋体"/>
          <w:color w:val="auto"/>
          <w:sz w:val="21"/>
          <w:szCs w:val="21"/>
          <w:highlight w:val="none"/>
        </w:rPr>
        <w:t>.5.1 分包的一般约定</w:t>
      </w:r>
      <w:bookmarkEnd w:id="142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Start w:id="1446" w:name="_Toc296944500"/>
      <w:bookmarkStart w:id="1447" w:name="_Toc296346662"/>
      <w:bookmarkStart w:id="1448" w:name="_Toc297216153"/>
      <w:bookmarkStart w:id="1449" w:name="_Toc297123494"/>
      <w:bookmarkStart w:id="1450" w:name="_Toc300934947"/>
      <w:bookmarkStart w:id="1451" w:name="_Toc296347160"/>
      <w:bookmarkStart w:id="1452" w:name="_Toc303539104"/>
      <w:bookmarkStart w:id="1453" w:name="_Toc297120461"/>
      <w:bookmarkStart w:id="1454" w:name="_Toc297048347"/>
      <w:bookmarkStart w:id="1455" w:name="_Toc304295525"/>
      <w:bookmarkStart w:id="1456" w:name="_Toc296891201"/>
      <w:bookmarkStart w:id="1457" w:name="_Toc296890989"/>
      <w:bookmarkStart w:id="1458" w:name="_Toc296503161"/>
    </w:p>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Pr>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459" w:name="_Toc756"/>
      <w:r>
        <w:rPr>
          <w:rFonts w:hint="eastAsia" w:ascii="宋体" w:hAnsi="宋体" w:eastAsia="宋体" w:cs="宋体"/>
          <w:color w:val="auto"/>
          <w:sz w:val="21"/>
          <w:szCs w:val="21"/>
          <w:highlight w:val="none"/>
        </w:rPr>
        <w:t>3</w:t>
      </w:r>
      <w:bookmarkStart w:id="1460" w:name="_Toc318581159"/>
      <w:bookmarkStart w:id="1461" w:name="_Toc312677990"/>
      <w:r>
        <w:rPr>
          <w:rFonts w:hint="eastAsia" w:ascii="宋体" w:hAnsi="宋体" w:eastAsia="宋体" w:cs="宋体"/>
          <w:color w:val="auto"/>
          <w:sz w:val="21"/>
          <w:szCs w:val="21"/>
          <w:highlight w:val="none"/>
        </w:rPr>
        <w:t>.5.2分包的确定</w:t>
      </w:r>
      <w:bookmarkEnd w:id="1459"/>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outlineLvl w:val="2"/>
        <w:rPr>
          <w:rFonts w:hint="eastAsia" w:ascii="宋体" w:hAnsi="宋体" w:eastAsia="宋体" w:cs="宋体"/>
          <w:color w:val="auto"/>
          <w:sz w:val="21"/>
          <w:szCs w:val="21"/>
          <w:highlight w:val="none"/>
        </w:rPr>
      </w:pPr>
      <w:bookmarkStart w:id="1462" w:name="_Toc28493"/>
      <w:r>
        <w:rPr>
          <w:rFonts w:hint="eastAsia" w:ascii="宋体" w:hAnsi="宋体" w:eastAsia="宋体" w:cs="宋体"/>
          <w:color w:val="auto"/>
          <w:sz w:val="21"/>
          <w:szCs w:val="21"/>
          <w:highlight w:val="none"/>
        </w:rPr>
        <w:t>3.5.4 分包合同价款</w:t>
      </w:r>
      <w:bookmarkEnd w:id="146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460"/>
    <w:bookmarkEnd w:id="1461"/>
    <w:p>
      <w:pPr>
        <w:spacing w:after="120" w:line="360" w:lineRule="auto"/>
        <w:ind w:firstLine="420" w:firstLineChars="200"/>
        <w:outlineLvl w:val="1"/>
        <w:rPr>
          <w:rFonts w:hint="eastAsia" w:ascii="宋体" w:hAnsi="宋体" w:eastAsia="宋体" w:cs="宋体"/>
          <w:color w:val="auto"/>
          <w:sz w:val="21"/>
          <w:szCs w:val="21"/>
          <w:highlight w:val="none"/>
        </w:rPr>
      </w:pPr>
      <w:bookmarkStart w:id="1463" w:name="_Toc7493"/>
      <w:r>
        <w:rPr>
          <w:rFonts w:hint="eastAsia" w:ascii="宋体" w:hAnsi="宋体" w:eastAsia="宋体" w:cs="宋体"/>
          <w:color w:val="auto"/>
          <w:sz w:val="21"/>
          <w:szCs w:val="21"/>
          <w:highlight w:val="none"/>
        </w:rPr>
        <w:t>3.6 工程照管与成品、半成品保护</w:t>
      </w:r>
      <w:bookmarkEnd w:id="1463"/>
    </w:p>
    <w:p>
      <w:pPr>
        <w:spacing w:before="120" w:after="120"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464" w:name="_Toc20998"/>
      <w:r>
        <w:rPr>
          <w:rFonts w:hint="eastAsia" w:ascii="宋体" w:hAnsi="宋体" w:eastAsia="宋体" w:cs="宋体"/>
          <w:color w:val="auto"/>
          <w:sz w:val="21"/>
          <w:szCs w:val="21"/>
          <w:highlight w:val="none"/>
        </w:rPr>
        <w:t>3.7 履约担保</w:t>
      </w:r>
      <w:bookmarkEnd w:id="1464"/>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465" w:name="_Toc28855"/>
      <w:bookmarkStart w:id="1466" w:name="_Toc351203636"/>
      <w:r>
        <w:rPr>
          <w:rFonts w:hint="eastAsia" w:ascii="宋体" w:hAnsi="宋体" w:eastAsia="宋体" w:cs="宋体"/>
          <w:b w:val="0"/>
          <w:color w:val="auto"/>
          <w:sz w:val="21"/>
          <w:szCs w:val="21"/>
          <w:highlight w:val="none"/>
        </w:rPr>
        <w:t>4</w:t>
      </w:r>
      <w:bookmarkStart w:id="1467" w:name="_Toc296891202"/>
      <w:bookmarkStart w:id="1468" w:name="_Toc292559871"/>
      <w:bookmarkStart w:id="1469" w:name="_Toc297120462"/>
      <w:bookmarkStart w:id="1470" w:name="_Toc297048348"/>
      <w:bookmarkStart w:id="1471" w:name="_Toc292559366"/>
      <w:bookmarkStart w:id="1472" w:name="_Toc296944501"/>
      <w:bookmarkStart w:id="1473" w:name="_Toc296347161"/>
      <w:bookmarkStart w:id="1474" w:name="_Toc267251413"/>
      <w:bookmarkStart w:id="1475" w:name="_Toc296890990"/>
      <w:bookmarkStart w:id="1476" w:name="_Toc296503162"/>
      <w:bookmarkStart w:id="1477" w:name="_Toc296346663"/>
      <w:r>
        <w:rPr>
          <w:rFonts w:hint="eastAsia" w:ascii="宋体" w:hAnsi="宋体" w:eastAsia="宋体" w:cs="宋体"/>
          <w:b w:val="0"/>
          <w:color w:val="auto"/>
          <w:sz w:val="21"/>
          <w:szCs w:val="21"/>
          <w:highlight w:val="none"/>
        </w:rPr>
        <w:t>. 监</w:t>
      </w:r>
      <w:bookmarkEnd w:id="1467"/>
      <w:bookmarkEnd w:id="1468"/>
      <w:bookmarkEnd w:id="1469"/>
      <w:bookmarkEnd w:id="1470"/>
      <w:bookmarkEnd w:id="1471"/>
      <w:bookmarkEnd w:id="1472"/>
      <w:bookmarkEnd w:id="1473"/>
      <w:bookmarkEnd w:id="1474"/>
      <w:bookmarkEnd w:id="1475"/>
      <w:bookmarkEnd w:id="1476"/>
      <w:bookmarkEnd w:id="1477"/>
      <w:r>
        <w:rPr>
          <w:rFonts w:hint="eastAsia" w:ascii="宋体" w:hAnsi="宋体" w:eastAsia="宋体" w:cs="宋体"/>
          <w:b w:val="0"/>
          <w:color w:val="auto"/>
          <w:sz w:val="21"/>
          <w:szCs w:val="21"/>
          <w:highlight w:val="none"/>
        </w:rPr>
        <w:t>理人</w:t>
      </w:r>
      <w:bookmarkEnd w:id="1465"/>
      <w:bookmarkEnd w:id="1466"/>
    </w:p>
    <w:p>
      <w:pPr>
        <w:spacing w:after="120" w:line="360" w:lineRule="auto"/>
        <w:ind w:firstLine="420" w:firstLineChars="200"/>
        <w:outlineLvl w:val="1"/>
        <w:rPr>
          <w:rFonts w:hint="eastAsia" w:ascii="宋体" w:hAnsi="宋体" w:eastAsia="宋体" w:cs="宋体"/>
          <w:color w:val="auto"/>
          <w:sz w:val="21"/>
          <w:szCs w:val="21"/>
          <w:highlight w:val="none"/>
        </w:rPr>
      </w:pPr>
      <w:bookmarkStart w:id="1478" w:name="_Toc13048"/>
      <w:r>
        <w:rPr>
          <w:rFonts w:hint="eastAsia" w:ascii="宋体" w:hAnsi="宋体" w:eastAsia="宋体" w:cs="宋体"/>
          <w:color w:val="auto"/>
          <w:sz w:val="21"/>
          <w:szCs w:val="21"/>
          <w:highlight w:val="none"/>
        </w:rPr>
        <w:t>4.1监理人的一般规定</w:t>
      </w:r>
      <w:bookmarkEnd w:id="147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479" w:name="_Toc20901"/>
      <w:r>
        <w:rPr>
          <w:rFonts w:hint="eastAsia" w:ascii="宋体" w:hAnsi="宋体" w:eastAsia="宋体" w:cs="宋体"/>
          <w:color w:val="auto"/>
          <w:sz w:val="21"/>
          <w:szCs w:val="21"/>
          <w:highlight w:val="none"/>
        </w:rPr>
        <w:t>4.2 监理人员</w:t>
      </w:r>
      <w:bookmarkEnd w:id="147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480" w:name="_Toc17406"/>
      <w:r>
        <w:rPr>
          <w:rFonts w:hint="eastAsia" w:ascii="宋体" w:hAnsi="宋体" w:eastAsia="宋体" w:cs="宋体"/>
          <w:color w:val="auto"/>
          <w:sz w:val="21"/>
          <w:szCs w:val="21"/>
          <w:highlight w:val="none"/>
        </w:rPr>
        <w:t>4.4 商定或确定</w:t>
      </w:r>
      <w:bookmarkEnd w:id="1480"/>
    </w:p>
    <w:p>
      <w:pPr>
        <w:spacing w:line="360" w:lineRule="auto"/>
        <w:ind w:firstLine="420" w:firstLineChars="200"/>
        <w:rPr>
          <w:rFonts w:hint="eastAsia" w:ascii="宋体" w:hAnsi="宋体" w:eastAsia="宋体" w:cs="宋体"/>
          <w:color w:val="auto"/>
          <w:sz w:val="21"/>
          <w:szCs w:val="21"/>
          <w:highlight w:val="none"/>
        </w:rPr>
      </w:pPr>
      <w:bookmarkStart w:id="1481"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482" w:name="_Toc351203637"/>
      <w:bookmarkStart w:id="1483" w:name="_Toc17860"/>
      <w:r>
        <w:rPr>
          <w:rFonts w:hint="eastAsia" w:ascii="宋体" w:hAnsi="宋体" w:eastAsia="宋体" w:cs="宋体"/>
          <w:b w:val="0"/>
          <w:color w:val="auto"/>
          <w:sz w:val="21"/>
          <w:szCs w:val="21"/>
          <w:highlight w:val="none"/>
        </w:rPr>
        <w:t>5</w:t>
      </w:r>
      <w:bookmarkEnd w:id="1481"/>
      <w:bookmarkStart w:id="1484" w:name="_Toc297120463"/>
      <w:bookmarkStart w:id="1485" w:name="_Toc292559872"/>
      <w:bookmarkStart w:id="1486" w:name="_Toc296503163"/>
      <w:bookmarkStart w:id="1487" w:name="_Toc292559367"/>
      <w:bookmarkStart w:id="1488" w:name="_Toc296346664"/>
      <w:bookmarkStart w:id="1489" w:name="_Toc297048349"/>
      <w:bookmarkStart w:id="1490" w:name="_Toc296891203"/>
      <w:bookmarkStart w:id="1491" w:name="_Toc296944502"/>
      <w:bookmarkStart w:id="1492" w:name="_Toc296347162"/>
      <w:bookmarkStart w:id="1493" w:name="_Toc296890991"/>
      <w:r>
        <w:rPr>
          <w:rFonts w:hint="eastAsia" w:ascii="宋体" w:hAnsi="宋体" w:eastAsia="宋体" w:cs="宋体"/>
          <w:b w:val="0"/>
          <w:color w:val="auto"/>
          <w:sz w:val="21"/>
          <w:szCs w:val="21"/>
          <w:highlight w:val="none"/>
        </w:rPr>
        <w:t>. 工程质量</w:t>
      </w:r>
      <w:bookmarkEnd w:id="1482"/>
      <w:bookmarkEnd w:id="1483"/>
    </w:p>
    <w:p>
      <w:pPr>
        <w:spacing w:after="120" w:line="360" w:lineRule="auto"/>
        <w:ind w:firstLine="420" w:firstLineChars="200"/>
        <w:outlineLvl w:val="1"/>
        <w:rPr>
          <w:rFonts w:hint="eastAsia" w:ascii="宋体" w:hAnsi="宋体" w:eastAsia="宋体" w:cs="宋体"/>
          <w:color w:val="auto"/>
          <w:sz w:val="21"/>
          <w:szCs w:val="21"/>
          <w:highlight w:val="none"/>
        </w:rPr>
      </w:pPr>
      <w:bookmarkStart w:id="1494" w:name="_Toc10804"/>
      <w:r>
        <w:rPr>
          <w:rFonts w:hint="eastAsia" w:ascii="宋体" w:hAnsi="宋体" w:eastAsia="宋体" w:cs="宋体"/>
          <w:color w:val="auto"/>
          <w:sz w:val="21"/>
          <w:szCs w:val="21"/>
          <w:highlight w:val="none"/>
        </w:rPr>
        <w:t>5.1 质量要求</w:t>
      </w:r>
      <w:bookmarkEnd w:id="1494"/>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495" w:name="_Toc312677997"/>
      <w:bookmarkStart w:id="1496" w:name="_Toc304295527"/>
      <w:bookmarkStart w:id="1497" w:name="_Toc303539106"/>
      <w:bookmarkStart w:id="1498" w:name="_Toc297216155"/>
      <w:bookmarkStart w:id="1499" w:name="_Toc318581164"/>
      <w:bookmarkStart w:id="1500" w:name="_Toc300934949"/>
      <w:bookmarkStart w:id="1501" w:name="_Toc297123496"/>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502" w:name="_Toc8973"/>
      <w:r>
        <w:rPr>
          <w:rFonts w:hint="eastAsia" w:ascii="宋体" w:hAnsi="宋体" w:eastAsia="宋体" w:cs="宋体"/>
          <w:color w:val="auto"/>
          <w:sz w:val="21"/>
          <w:szCs w:val="21"/>
          <w:highlight w:val="none"/>
        </w:rPr>
        <w:t>5.3 隐蔽工程检查</w:t>
      </w:r>
      <w:bookmarkEnd w:id="1502"/>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Style w:val="6"/>
        <w:spacing w:before="120" w:after="120" w:line="360" w:lineRule="auto"/>
        <w:outlineLvl w:val="0"/>
        <w:rPr>
          <w:rFonts w:hint="eastAsia" w:ascii="宋体" w:hAnsi="宋体" w:eastAsia="宋体" w:cs="宋体"/>
          <w:b w:val="0"/>
          <w:color w:val="auto"/>
          <w:sz w:val="21"/>
          <w:szCs w:val="21"/>
          <w:highlight w:val="none"/>
        </w:rPr>
      </w:pPr>
      <w:bookmarkStart w:id="1503" w:name="_Toc351203638"/>
      <w:bookmarkStart w:id="1504" w:name="_Toc23477"/>
      <w:r>
        <w:rPr>
          <w:rFonts w:hint="eastAsia" w:ascii="宋体" w:hAnsi="宋体" w:eastAsia="宋体" w:cs="宋体"/>
          <w:b w:val="0"/>
          <w:color w:val="auto"/>
          <w:sz w:val="21"/>
          <w:szCs w:val="21"/>
          <w:highlight w:val="none"/>
        </w:rPr>
        <w:t>6. 安全文明施工与环境保护</w:t>
      </w:r>
      <w:bookmarkEnd w:id="1503"/>
      <w:bookmarkEnd w:id="1504"/>
    </w:p>
    <w:p>
      <w:pPr>
        <w:spacing w:after="120" w:line="360" w:lineRule="auto"/>
        <w:ind w:firstLine="420" w:firstLineChars="200"/>
        <w:outlineLvl w:val="1"/>
        <w:rPr>
          <w:rFonts w:hint="eastAsia" w:ascii="宋体" w:hAnsi="宋体" w:eastAsia="宋体" w:cs="宋体"/>
          <w:color w:val="auto"/>
          <w:sz w:val="21"/>
          <w:szCs w:val="21"/>
          <w:highlight w:val="none"/>
        </w:rPr>
      </w:pPr>
      <w:bookmarkStart w:id="1505" w:name="_Toc18195"/>
      <w:r>
        <w:rPr>
          <w:rFonts w:hint="eastAsia" w:ascii="宋体" w:hAnsi="宋体" w:eastAsia="宋体" w:cs="宋体"/>
          <w:color w:val="auto"/>
          <w:sz w:val="21"/>
          <w:szCs w:val="21"/>
          <w:highlight w:val="none"/>
        </w:rPr>
        <w:t>6.1安全文明施工</w:t>
      </w:r>
      <w:bookmarkEnd w:id="1505"/>
    </w:p>
    <w:p>
      <w:pPr>
        <w:spacing w:line="360" w:lineRule="auto"/>
        <w:ind w:firstLine="420" w:firstLineChars="200"/>
        <w:jc w:val="left"/>
        <w:rPr>
          <w:rFonts w:hint="eastAsia" w:ascii="宋体" w:hAnsi="宋体" w:eastAsia="宋体" w:cs="宋体"/>
          <w:color w:val="auto"/>
          <w:sz w:val="21"/>
          <w:szCs w:val="21"/>
          <w:highlight w:val="none"/>
        </w:rPr>
      </w:pPr>
      <w:bookmarkStart w:id="1506" w:name="_Toc2085"/>
      <w:r>
        <w:rPr>
          <w:rFonts w:hint="eastAsia" w:ascii="宋体" w:hAnsi="宋体" w:eastAsia="宋体" w:cs="宋体"/>
          <w:color w:val="auto"/>
          <w:sz w:val="21"/>
          <w:szCs w:val="21"/>
          <w:highlight w:val="none"/>
        </w:rPr>
        <w:t>6.1.1 项目安全生产的达标目标及相应事项的约定：</w:t>
      </w:r>
      <w:bookmarkEnd w:id="1506"/>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bookmarkStart w:id="1507" w:name="_Toc12767"/>
      <w:r>
        <w:rPr>
          <w:rFonts w:hint="eastAsia" w:ascii="宋体" w:hAnsi="宋体" w:eastAsia="宋体" w:cs="宋体"/>
          <w:color w:val="auto"/>
          <w:sz w:val="21"/>
          <w:szCs w:val="21"/>
          <w:highlight w:val="none"/>
        </w:rPr>
        <w:t>6.1.4 关于治安保卫的特别约定：</w:t>
      </w:r>
      <w:bookmarkEnd w:id="150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508" w:name="_Toc19090"/>
      <w:r>
        <w:rPr>
          <w:rFonts w:hint="eastAsia" w:ascii="宋体" w:hAnsi="宋体" w:eastAsia="宋体" w:cs="宋体"/>
          <w:color w:val="auto"/>
          <w:sz w:val="21"/>
          <w:szCs w:val="21"/>
          <w:highlight w:val="none"/>
        </w:rPr>
        <w:t>6.1.5 文明施工</w:t>
      </w:r>
      <w:bookmarkEnd w:id="150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bookmarkStart w:id="1509" w:name="_Toc26820"/>
      <w:r>
        <w:rPr>
          <w:rFonts w:hint="eastAsia" w:ascii="宋体" w:hAnsi="宋体" w:eastAsia="宋体" w:cs="宋体"/>
          <w:color w:val="auto"/>
          <w:sz w:val="21"/>
          <w:szCs w:val="21"/>
          <w:highlight w:val="none"/>
        </w:rPr>
        <w:t>6.1.6 关于安全文明施工费支付比例和支付期限的约定：</w:t>
      </w:r>
      <w:bookmarkEnd w:id="1509"/>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495"/>
    <w:bookmarkEnd w:id="1496"/>
    <w:bookmarkEnd w:id="1497"/>
    <w:bookmarkEnd w:id="1498"/>
    <w:bookmarkEnd w:id="1499"/>
    <w:bookmarkEnd w:id="1500"/>
    <w:bookmarkEnd w:id="1501"/>
    <w:p>
      <w:pPr>
        <w:pStyle w:val="6"/>
        <w:spacing w:before="120" w:after="120" w:line="360" w:lineRule="auto"/>
        <w:outlineLvl w:val="0"/>
        <w:rPr>
          <w:rFonts w:hint="eastAsia" w:ascii="宋体" w:hAnsi="宋体" w:eastAsia="宋体" w:cs="宋体"/>
          <w:b w:val="0"/>
          <w:color w:val="auto"/>
          <w:sz w:val="21"/>
          <w:szCs w:val="21"/>
          <w:highlight w:val="none"/>
        </w:rPr>
      </w:pPr>
      <w:bookmarkStart w:id="1510" w:name="_Toc351203639"/>
      <w:bookmarkStart w:id="1511" w:name="_Toc6015"/>
      <w:r>
        <w:rPr>
          <w:rFonts w:hint="eastAsia" w:ascii="宋体" w:hAnsi="宋体" w:eastAsia="宋体" w:cs="宋体"/>
          <w:b w:val="0"/>
          <w:color w:val="auto"/>
          <w:sz w:val="21"/>
          <w:szCs w:val="21"/>
          <w:highlight w:val="none"/>
        </w:rPr>
        <w:t>7. 工期和进度</w:t>
      </w:r>
      <w:bookmarkEnd w:id="1510"/>
      <w:bookmarkEnd w:id="1511"/>
    </w:p>
    <w:p>
      <w:pPr>
        <w:spacing w:after="120" w:line="360" w:lineRule="auto"/>
        <w:ind w:firstLine="420" w:firstLineChars="200"/>
        <w:outlineLvl w:val="1"/>
        <w:rPr>
          <w:rFonts w:hint="eastAsia" w:ascii="宋体" w:hAnsi="宋体" w:eastAsia="宋体" w:cs="宋体"/>
          <w:color w:val="auto"/>
          <w:sz w:val="21"/>
          <w:szCs w:val="21"/>
          <w:highlight w:val="none"/>
        </w:rPr>
      </w:pPr>
      <w:bookmarkStart w:id="1512" w:name="_Toc26830"/>
      <w:r>
        <w:rPr>
          <w:rFonts w:hint="eastAsia" w:ascii="宋体" w:hAnsi="宋体" w:eastAsia="宋体" w:cs="宋体"/>
          <w:color w:val="auto"/>
          <w:sz w:val="21"/>
          <w:szCs w:val="21"/>
          <w:highlight w:val="none"/>
        </w:rPr>
        <w:t>7.1 施工组织设计</w:t>
      </w:r>
      <w:bookmarkEnd w:id="151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513" w:name="_Toc12300"/>
      <w:r>
        <w:rPr>
          <w:rFonts w:hint="eastAsia" w:ascii="宋体" w:hAnsi="宋体" w:eastAsia="宋体" w:cs="宋体"/>
          <w:color w:val="auto"/>
          <w:sz w:val="21"/>
          <w:szCs w:val="21"/>
          <w:highlight w:val="none"/>
        </w:rPr>
        <w:t>7</w:t>
      </w:r>
      <w:bookmarkStart w:id="1514" w:name="_Toc312678005"/>
      <w:bookmarkStart w:id="1515" w:name="_Toc297123514"/>
      <w:bookmarkStart w:id="1516" w:name="_Toc297216173"/>
      <w:bookmarkStart w:id="1517" w:name="_Toc304295541"/>
      <w:bookmarkStart w:id="1518" w:name="_Toc300934966"/>
      <w:bookmarkStart w:id="1519" w:name="_Toc312677479"/>
      <w:bookmarkStart w:id="1520" w:name="_Toc303539123"/>
      <w:r>
        <w:rPr>
          <w:rFonts w:hint="eastAsia" w:ascii="宋体" w:hAnsi="宋体" w:eastAsia="宋体" w:cs="宋体"/>
          <w:color w:val="auto"/>
          <w:sz w:val="21"/>
          <w:szCs w:val="21"/>
          <w:highlight w:val="none"/>
        </w:rPr>
        <w:t>.2 施工进度计划</w:t>
      </w:r>
      <w:bookmarkEnd w:id="151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521" w:name="_Toc28093"/>
      <w:r>
        <w:rPr>
          <w:rFonts w:hint="eastAsia" w:ascii="宋体" w:hAnsi="宋体" w:eastAsia="宋体" w:cs="宋体"/>
          <w:color w:val="auto"/>
          <w:sz w:val="21"/>
          <w:szCs w:val="21"/>
          <w:highlight w:val="none"/>
        </w:rPr>
        <w:t>7.3 开工</w:t>
      </w:r>
      <w:bookmarkEnd w:id="1521"/>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522" w:name="_Toc27547"/>
      <w:r>
        <w:rPr>
          <w:rFonts w:hint="eastAsia" w:ascii="宋体" w:hAnsi="宋体" w:eastAsia="宋体" w:cs="宋体"/>
          <w:color w:val="auto"/>
          <w:sz w:val="21"/>
          <w:szCs w:val="21"/>
          <w:highlight w:val="none"/>
        </w:rPr>
        <w:t>7.3.1 开工准备</w:t>
      </w:r>
      <w:bookmarkEnd w:id="1522"/>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523" w:name="_Toc14753"/>
      <w:r>
        <w:rPr>
          <w:rFonts w:hint="eastAsia" w:ascii="宋体" w:hAnsi="宋体" w:eastAsia="宋体" w:cs="宋体"/>
          <w:color w:val="auto"/>
          <w:sz w:val="21"/>
          <w:szCs w:val="21"/>
          <w:highlight w:val="none"/>
        </w:rPr>
        <w:t>7.3.2开工通知</w:t>
      </w:r>
      <w:bookmarkEnd w:id="152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1514"/>
    <w:bookmarkEnd w:id="1515"/>
    <w:bookmarkEnd w:id="1516"/>
    <w:bookmarkEnd w:id="1517"/>
    <w:bookmarkEnd w:id="1518"/>
    <w:bookmarkEnd w:id="1519"/>
    <w:bookmarkEnd w:id="1520"/>
    <w:p>
      <w:pPr>
        <w:spacing w:after="120" w:line="360" w:lineRule="auto"/>
        <w:ind w:firstLine="420" w:firstLineChars="200"/>
        <w:outlineLvl w:val="1"/>
        <w:rPr>
          <w:rFonts w:hint="eastAsia" w:ascii="宋体" w:hAnsi="宋体" w:eastAsia="宋体" w:cs="宋体"/>
          <w:color w:val="auto"/>
          <w:sz w:val="21"/>
          <w:szCs w:val="21"/>
          <w:highlight w:val="none"/>
        </w:rPr>
      </w:pPr>
      <w:bookmarkStart w:id="1524" w:name="_Toc29538"/>
      <w:r>
        <w:rPr>
          <w:rFonts w:hint="eastAsia" w:ascii="宋体" w:hAnsi="宋体" w:eastAsia="宋体" w:cs="宋体"/>
          <w:color w:val="auto"/>
          <w:sz w:val="21"/>
          <w:szCs w:val="21"/>
          <w:highlight w:val="none"/>
        </w:rPr>
        <w:t>7.4 测量放线</w:t>
      </w:r>
      <w:bookmarkEnd w:id="1524"/>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525" w:name="_Toc10901"/>
      <w:r>
        <w:rPr>
          <w:rFonts w:hint="eastAsia" w:ascii="宋体" w:hAnsi="宋体" w:eastAsia="宋体" w:cs="宋体"/>
          <w:color w:val="auto"/>
          <w:sz w:val="21"/>
          <w:szCs w:val="21"/>
          <w:highlight w:val="none"/>
        </w:rPr>
        <w:t>7</w:t>
      </w:r>
      <w:bookmarkStart w:id="1526" w:name="_Toc300934968"/>
      <w:bookmarkStart w:id="1527" w:name="_Toc312678010"/>
      <w:bookmarkStart w:id="1528" w:name="_Toc297216175"/>
      <w:bookmarkStart w:id="1529" w:name="_Toc303539125"/>
      <w:bookmarkStart w:id="1530" w:name="_Toc312677484"/>
      <w:bookmarkStart w:id="1531" w:name="_Toc304295546"/>
      <w:bookmarkStart w:id="1532" w:name="_Toc297123516"/>
      <w:r>
        <w:rPr>
          <w:rFonts w:hint="eastAsia" w:ascii="宋体" w:hAnsi="宋体" w:eastAsia="宋体" w:cs="宋体"/>
          <w:color w:val="auto"/>
          <w:sz w:val="21"/>
          <w:szCs w:val="21"/>
          <w:highlight w:val="none"/>
        </w:rPr>
        <w:t>.5 工期延误</w:t>
      </w:r>
      <w:bookmarkEnd w:id="1525"/>
    </w:p>
    <w:bookmarkEnd w:id="1526"/>
    <w:bookmarkEnd w:id="1527"/>
    <w:bookmarkEnd w:id="1528"/>
    <w:bookmarkEnd w:id="1529"/>
    <w:bookmarkEnd w:id="1530"/>
    <w:bookmarkEnd w:id="1531"/>
    <w:bookmarkEnd w:id="1532"/>
    <w:p>
      <w:pPr>
        <w:spacing w:line="360" w:lineRule="auto"/>
        <w:ind w:firstLine="420" w:firstLineChars="200"/>
        <w:jc w:val="left"/>
        <w:outlineLvl w:val="2"/>
        <w:rPr>
          <w:rFonts w:hint="eastAsia" w:ascii="宋体" w:hAnsi="宋体" w:eastAsia="宋体" w:cs="宋体"/>
          <w:color w:val="auto"/>
          <w:sz w:val="21"/>
          <w:szCs w:val="21"/>
          <w:highlight w:val="none"/>
        </w:rPr>
      </w:pPr>
      <w:bookmarkStart w:id="1533" w:name="_Toc10186"/>
      <w:r>
        <w:rPr>
          <w:rFonts w:hint="eastAsia" w:ascii="宋体" w:hAnsi="宋体" w:eastAsia="宋体" w:cs="宋体"/>
          <w:color w:val="auto"/>
          <w:sz w:val="21"/>
          <w:szCs w:val="21"/>
          <w:highlight w:val="none"/>
        </w:rPr>
        <w:t>7.5.1 因发包人原因导致工期延误</w:t>
      </w:r>
      <w:bookmarkEnd w:id="153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因发包人原因导致工期延误的其他情形：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534" w:name="_Toc5939"/>
      <w:r>
        <w:rPr>
          <w:rFonts w:hint="eastAsia" w:ascii="宋体" w:hAnsi="宋体" w:eastAsia="宋体" w:cs="宋体"/>
          <w:color w:val="auto"/>
          <w:sz w:val="21"/>
          <w:szCs w:val="21"/>
          <w:highlight w:val="none"/>
        </w:rPr>
        <w:t>7</w:t>
      </w:r>
      <w:bookmarkStart w:id="1535" w:name="_Toc318581169"/>
      <w:bookmarkStart w:id="1536" w:name="_Toc312677486"/>
      <w:bookmarkStart w:id="1537" w:name="_Toc312678012"/>
      <w:bookmarkStart w:id="1538" w:name="_Toc304295548"/>
      <w:bookmarkStart w:id="1539" w:name="_Toc297216177"/>
      <w:bookmarkStart w:id="1540" w:name="_Toc303539127"/>
      <w:bookmarkStart w:id="1541" w:name="_Toc300934970"/>
      <w:bookmarkStart w:id="1542" w:name="_Toc297123518"/>
      <w:r>
        <w:rPr>
          <w:rFonts w:hint="eastAsia" w:ascii="宋体" w:hAnsi="宋体" w:eastAsia="宋体" w:cs="宋体"/>
          <w:color w:val="auto"/>
          <w:sz w:val="21"/>
          <w:szCs w:val="21"/>
          <w:highlight w:val="none"/>
        </w:rPr>
        <w:t>.5.2 因承包人原因导致工期延误</w:t>
      </w:r>
      <w:bookmarkEnd w:id="1534"/>
    </w:p>
    <w:bookmarkEnd w:id="1535"/>
    <w:bookmarkEnd w:id="1536"/>
    <w:bookmarkEnd w:id="1537"/>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1543" w:name="_Toc312677487"/>
      <w:bookmarkStart w:id="1544" w:name="_Toc312678013"/>
      <w:bookmarkStart w:id="1545"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538"/>
      <w:bookmarkEnd w:id="1539"/>
      <w:bookmarkEnd w:id="1540"/>
      <w:bookmarkEnd w:id="1541"/>
      <w:bookmarkEnd w:id="1542"/>
      <w:bookmarkEnd w:id="1543"/>
      <w:bookmarkEnd w:id="1544"/>
    </w:p>
    <w:bookmarkEnd w:id="1545"/>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1546" w:name="_Toc318581171"/>
      <w:bookmarkStart w:id="1547"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546"/>
    <w:bookmarkEnd w:id="1547"/>
    <w:p>
      <w:pPr>
        <w:spacing w:after="120" w:line="360" w:lineRule="auto"/>
        <w:ind w:firstLine="420" w:firstLineChars="200"/>
        <w:outlineLvl w:val="1"/>
        <w:rPr>
          <w:rFonts w:hint="eastAsia" w:ascii="宋体" w:hAnsi="宋体" w:eastAsia="宋体" w:cs="宋体"/>
          <w:color w:val="auto"/>
          <w:sz w:val="21"/>
          <w:szCs w:val="21"/>
          <w:highlight w:val="none"/>
        </w:rPr>
      </w:pPr>
      <w:bookmarkStart w:id="1548" w:name="_Toc25996"/>
      <w:r>
        <w:rPr>
          <w:rFonts w:hint="eastAsia" w:ascii="宋体" w:hAnsi="宋体" w:eastAsia="宋体" w:cs="宋体"/>
          <w:color w:val="auto"/>
          <w:sz w:val="21"/>
          <w:szCs w:val="21"/>
          <w:highlight w:val="none"/>
        </w:rPr>
        <w:t>7</w:t>
      </w:r>
      <w:bookmarkStart w:id="1549" w:name="_Toc297123519"/>
      <w:bookmarkStart w:id="1550" w:name="_Toc297216178"/>
      <w:bookmarkStart w:id="1551" w:name="_Toc304295549"/>
      <w:bookmarkStart w:id="1552" w:name="_Toc300934971"/>
      <w:bookmarkStart w:id="1553" w:name="_Toc312678015"/>
      <w:bookmarkStart w:id="1554" w:name="_Toc303539128"/>
      <w:r>
        <w:rPr>
          <w:rFonts w:hint="eastAsia" w:ascii="宋体" w:hAnsi="宋体" w:eastAsia="宋体" w:cs="宋体"/>
          <w:color w:val="auto"/>
          <w:sz w:val="21"/>
          <w:szCs w:val="21"/>
          <w:highlight w:val="none"/>
        </w:rPr>
        <w:t>.6 不</w:t>
      </w:r>
      <w:bookmarkEnd w:id="1549"/>
      <w:bookmarkEnd w:id="1550"/>
      <w:bookmarkEnd w:id="1551"/>
      <w:bookmarkEnd w:id="1552"/>
      <w:bookmarkEnd w:id="1553"/>
      <w:bookmarkEnd w:id="1554"/>
      <w:r>
        <w:rPr>
          <w:rFonts w:hint="eastAsia" w:ascii="宋体" w:hAnsi="宋体" w:eastAsia="宋体" w:cs="宋体"/>
          <w:color w:val="auto"/>
          <w:sz w:val="21"/>
          <w:szCs w:val="21"/>
          <w:highlight w:val="none"/>
        </w:rPr>
        <w:t>利物质条件</w:t>
      </w:r>
      <w:bookmarkEnd w:id="1548"/>
    </w:p>
    <w:p>
      <w:pPr>
        <w:spacing w:line="360" w:lineRule="auto"/>
        <w:ind w:firstLine="420" w:firstLineChars="200"/>
        <w:jc w:val="left"/>
        <w:rPr>
          <w:rFonts w:hint="eastAsia" w:ascii="宋体" w:hAnsi="宋体" w:eastAsia="宋体" w:cs="宋体"/>
          <w:color w:val="auto"/>
          <w:sz w:val="21"/>
          <w:szCs w:val="21"/>
          <w:highlight w:val="none"/>
        </w:rPr>
      </w:pPr>
      <w:bookmarkStart w:id="1555" w:name="_Toc318581172"/>
      <w:bookmarkStart w:id="1556" w:name="_Toc300934972"/>
      <w:bookmarkStart w:id="1557" w:name="_Toc312678016"/>
      <w:bookmarkStart w:id="1558" w:name="_Toc297216179"/>
      <w:bookmarkStart w:id="1559" w:name="_Toc304295550"/>
      <w:bookmarkStart w:id="1560" w:name="_Toc297123520"/>
      <w:bookmarkStart w:id="1561" w:name="_Toc303539129"/>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555"/>
    <w:bookmarkEnd w:id="1556"/>
    <w:bookmarkEnd w:id="1557"/>
    <w:bookmarkEnd w:id="1558"/>
    <w:bookmarkEnd w:id="1559"/>
    <w:bookmarkEnd w:id="1560"/>
    <w:bookmarkEnd w:id="1561"/>
    <w:p>
      <w:pPr>
        <w:spacing w:after="120" w:line="360" w:lineRule="auto"/>
        <w:ind w:firstLine="420" w:firstLineChars="200"/>
        <w:outlineLvl w:val="1"/>
        <w:rPr>
          <w:rFonts w:hint="eastAsia" w:ascii="宋体" w:hAnsi="宋体" w:eastAsia="宋体" w:cs="宋体"/>
          <w:color w:val="auto"/>
          <w:sz w:val="21"/>
          <w:szCs w:val="21"/>
          <w:highlight w:val="none"/>
        </w:rPr>
      </w:pPr>
      <w:bookmarkStart w:id="1562" w:name="_Toc28593"/>
      <w:r>
        <w:rPr>
          <w:rFonts w:hint="eastAsia" w:ascii="宋体" w:hAnsi="宋体" w:eastAsia="宋体" w:cs="宋体"/>
          <w:color w:val="auto"/>
          <w:sz w:val="21"/>
          <w:szCs w:val="21"/>
          <w:highlight w:val="none"/>
        </w:rPr>
        <w:t>7</w:t>
      </w:r>
      <w:bookmarkStart w:id="1563" w:name="_Toc303539130"/>
      <w:bookmarkStart w:id="1564" w:name="_Toc297123521"/>
      <w:bookmarkStart w:id="1565" w:name="_Toc300934973"/>
      <w:bookmarkStart w:id="1566" w:name="_Toc312678017"/>
      <w:bookmarkStart w:id="1567" w:name="_Toc297216180"/>
      <w:bookmarkStart w:id="1568" w:name="_Toc304295551"/>
      <w:r>
        <w:rPr>
          <w:rFonts w:hint="eastAsia" w:ascii="宋体" w:hAnsi="宋体" w:eastAsia="宋体" w:cs="宋体"/>
          <w:color w:val="auto"/>
          <w:sz w:val="21"/>
          <w:szCs w:val="21"/>
          <w:highlight w:val="none"/>
        </w:rPr>
        <w:t>.7异常恶劣的气候条件</w:t>
      </w:r>
      <w:bookmarkEnd w:id="1562"/>
    </w:p>
    <w:bookmarkEnd w:id="1563"/>
    <w:bookmarkEnd w:id="1564"/>
    <w:bookmarkEnd w:id="1565"/>
    <w:bookmarkEnd w:id="1566"/>
    <w:bookmarkEnd w:id="1567"/>
    <w:bookmarkEnd w:id="1568"/>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569" w:name="_Toc20713"/>
      <w:r>
        <w:rPr>
          <w:rFonts w:hint="eastAsia" w:ascii="宋体" w:hAnsi="宋体" w:eastAsia="宋体" w:cs="宋体"/>
          <w:color w:val="auto"/>
          <w:sz w:val="21"/>
          <w:szCs w:val="21"/>
          <w:highlight w:val="none"/>
        </w:rPr>
        <w:t>7.9 提前竣工的奖励</w:t>
      </w:r>
      <w:bookmarkEnd w:id="156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570" w:name="_Toc351203640"/>
      <w:bookmarkStart w:id="1571" w:name="_Toc20671"/>
      <w:r>
        <w:rPr>
          <w:rFonts w:hint="eastAsia" w:ascii="宋体" w:hAnsi="宋体" w:eastAsia="宋体" w:cs="宋体"/>
          <w:b w:val="0"/>
          <w:color w:val="auto"/>
          <w:sz w:val="21"/>
          <w:szCs w:val="21"/>
          <w:highlight w:val="none"/>
        </w:rPr>
        <w:t>8. 材料与设备</w:t>
      </w:r>
      <w:bookmarkEnd w:id="1570"/>
      <w:bookmarkEnd w:id="1571"/>
    </w:p>
    <w:bookmarkEnd w:id="1484"/>
    <w:bookmarkEnd w:id="1485"/>
    <w:bookmarkEnd w:id="1486"/>
    <w:bookmarkEnd w:id="1487"/>
    <w:bookmarkEnd w:id="1488"/>
    <w:bookmarkEnd w:id="1489"/>
    <w:bookmarkEnd w:id="1490"/>
    <w:bookmarkEnd w:id="1491"/>
    <w:bookmarkEnd w:id="1492"/>
    <w:bookmarkEnd w:id="1493"/>
    <w:p>
      <w:pPr>
        <w:spacing w:after="120" w:line="360" w:lineRule="auto"/>
        <w:ind w:firstLine="420" w:firstLineChars="200"/>
        <w:outlineLvl w:val="1"/>
        <w:rPr>
          <w:rFonts w:hint="eastAsia" w:ascii="宋体" w:hAnsi="宋体" w:eastAsia="宋体" w:cs="宋体"/>
          <w:color w:val="auto"/>
          <w:sz w:val="21"/>
          <w:szCs w:val="21"/>
          <w:highlight w:val="none"/>
        </w:rPr>
      </w:pPr>
      <w:bookmarkStart w:id="1572" w:name="_Toc16241"/>
      <w:r>
        <w:rPr>
          <w:rFonts w:hint="eastAsia" w:ascii="宋体" w:hAnsi="宋体" w:eastAsia="宋体" w:cs="宋体"/>
          <w:color w:val="auto"/>
          <w:sz w:val="21"/>
          <w:szCs w:val="21"/>
          <w:highlight w:val="none"/>
        </w:rPr>
        <w:t>8</w:t>
      </w:r>
      <w:bookmarkStart w:id="1573" w:name="_Toc312677493"/>
      <w:bookmarkStart w:id="1574" w:name="_Toc300934979"/>
      <w:bookmarkStart w:id="1575" w:name="_Toc297123527"/>
      <w:bookmarkStart w:id="1576" w:name="_Toc296890995"/>
      <w:bookmarkStart w:id="1577" w:name="_Toc292559877"/>
      <w:bookmarkStart w:id="1578" w:name="_Toc296891207"/>
      <w:bookmarkStart w:id="1579" w:name="_Toc297216186"/>
      <w:bookmarkStart w:id="1580" w:name="_Toc296503167"/>
      <w:bookmarkStart w:id="1581" w:name="_Toc296347166"/>
      <w:bookmarkStart w:id="1582" w:name="_Toc312678019"/>
      <w:bookmarkStart w:id="1583" w:name="_Toc296944506"/>
      <w:bookmarkStart w:id="1584" w:name="_Toc303539136"/>
      <w:bookmarkStart w:id="1585" w:name="_Toc292559372"/>
      <w:bookmarkStart w:id="1586" w:name="_Toc297120467"/>
      <w:bookmarkStart w:id="1587" w:name="_Toc304295556"/>
      <w:bookmarkStart w:id="1588" w:name="_Toc296346668"/>
      <w:bookmarkStart w:id="1589" w:name="_Toc280868654"/>
      <w:bookmarkStart w:id="1590" w:name="_Toc297048353"/>
      <w:bookmarkStart w:id="1591" w:name="_Toc280868656"/>
      <w:bookmarkStart w:id="1592" w:name="_Toc267251424"/>
      <w:bookmarkStart w:id="1593" w:name="_Toc280868655"/>
      <w:r>
        <w:rPr>
          <w:rFonts w:hint="eastAsia" w:ascii="宋体" w:hAnsi="宋体" w:eastAsia="宋体" w:cs="宋体"/>
          <w:color w:val="auto"/>
          <w:sz w:val="21"/>
          <w:szCs w:val="21"/>
          <w:highlight w:val="none"/>
        </w:rPr>
        <w:t>.4材料与工程设备的保管与使用</w:t>
      </w:r>
      <w:bookmarkEnd w:id="1572"/>
    </w:p>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1594" w:name="_Toc292559373"/>
      <w:bookmarkStart w:id="1595" w:name="_Toc292559878"/>
      <w:bookmarkStart w:id="1596" w:name="_Toc297216187"/>
      <w:bookmarkStart w:id="1597" w:name="_Toc318581173"/>
      <w:bookmarkStart w:id="1598" w:name="_Toc296346669"/>
      <w:bookmarkStart w:id="1599" w:name="_Toc303539137"/>
      <w:bookmarkStart w:id="1600" w:name="_Toc297123528"/>
      <w:bookmarkStart w:id="1601" w:name="_Toc296944507"/>
      <w:bookmarkStart w:id="1602" w:name="_Toc297048354"/>
      <w:bookmarkStart w:id="1603" w:name="_Toc296890996"/>
      <w:bookmarkStart w:id="1604" w:name="_Toc297120468"/>
      <w:bookmarkStart w:id="1605" w:name="_Toc312677494"/>
      <w:bookmarkStart w:id="1606" w:name="_Toc304295557"/>
      <w:bookmarkStart w:id="1607" w:name="_Toc296347167"/>
      <w:bookmarkStart w:id="1608" w:name="_Toc296503168"/>
      <w:bookmarkStart w:id="1609" w:name="_Toc312678020"/>
      <w:bookmarkStart w:id="1610" w:name="_Toc300934980"/>
      <w:bookmarkStart w:id="1611" w:name="_Toc296891208"/>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594"/>
      <w:bookmarkEnd w:id="1595"/>
    </w:p>
    <w:p>
      <w:pPr>
        <w:spacing w:after="120" w:line="360" w:lineRule="auto"/>
        <w:ind w:firstLine="420" w:firstLineChars="200"/>
        <w:outlineLvl w:val="1"/>
        <w:rPr>
          <w:rFonts w:hint="eastAsia" w:ascii="宋体" w:hAnsi="宋体" w:eastAsia="宋体" w:cs="宋体"/>
          <w:color w:val="auto"/>
          <w:sz w:val="21"/>
          <w:szCs w:val="21"/>
          <w:highlight w:val="none"/>
        </w:rPr>
      </w:pPr>
      <w:bookmarkStart w:id="1612" w:name="_Toc24236"/>
      <w:r>
        <w:rPr>
          <w:rFonts w:hint="eastAsia" w:ascii="宋体" w:hAnsi="宋体" w:eastAsia="宋体" w:cs="宋体"/>
          <w:color w:val="auto"/>
          <w:sz w:val="21"/>
          <w:szCs w:val="21"/>
          <w:highlight w:val="none"/>
        </w:rPr>
        <w:t>8.6 样品</w:t>
      </w:r>
      <w:bookmarkEnd w:id="161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613" w:name="_Toc23861"/>
      <w:r>
        <w:rPr>
          <w:rFonts w:hint="eastAsia" w:ascii="宋体" w:hAnsi="宋体" w:eastAsia="宋体" w:cs="宋体"/>
          <w:color w:val="auto"/>
          <w:sz w:val="21"/>
          <w:szCs w:val="21"/>
          <w:highlight w:val="none"/>
        </w:rPr>
        <w:t>8.8 施工设备和临时设施</w:t>
      </w:r>
      <w:bookmarkEnd w:id="1613"/>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Pr>
        <w:pStyle w:val="6"/>
        <w:spacing w:before="120" w:after="120" w:line="360" w:lineRule="auto"/>
        <w:outlineLvl w:val="0"/>
        <w:rPr>
          <w:rFonts w:hint="eastAsia" w:ascii="宋体" w:hAnsi="宋体" w:eastAsia="宋体" w:cs="宋体"/>
          <w:b w:val="0"/>
          <w:color w:val="auto"/>
          <w:sz w:val="21"/>
          <w:szCs w:val="21"/>
          <w:highlight w:val="none"/>
        </w:rPr>
      </w:pPr>
      <w:bookmarkStart w:id="1614" w:name="_Toc351203641"/>
      <w:bookmarkStart w:id="1615" w:name="_Toc12890"/>
      <w:r>
        <w:rPr>
          <w:rFonts w:hint="eastAsia" w:ascii="宋体" w:hAnsi="宋体" w:eastAsia="宋体" w:cs="宋体"/>
          <w:b w:val="0"/>
          <w:color w:val="auto"/>
          <w:sz w:val="21"/>
          <w:szCs w:val="21"/>
          <w:highlight w:val="none"/>
        </w:rPr>
        <w:t>9</w:t>
      </w:r>
      <w:bookmarkEnd w:id="1591"/>
      <w:bookmarkEnd w:id="1592"/>
      <w:bookmarkEnd w:id="1593"/>
      <w:bookmarkStart w:id="1616" w:name="_Toc297216192"/>
      <w:bookmarkStart w:id="1617" w:name="_Toc304295559"/>
      <w:bookmarkStart w:id="1618" w:name="_Toc312678021"/>
      <w:bookmarkStart w:id="1619" w:name="_Toc297123533"/>
      <w:bookmarkStart w:id="1620" w:name="_Toc303539139"/>
      <w:bookmarkStart w:id="1621" w:name="_Toc312677495"/>
      <w:bookmarkStart w:id="1622" w:name="_Toc300934982"/>
      <w:bookmarkStart w:id="1623" w:name="_Toc297048359"/>
      <w:bookmarkStart w:id="1624" w:name="_Toc292559883"/>
      <w:bookmarkStart w:id="1625" w:name="_Toc292559378"/>
      <w:bookmarkStart w:id="1626" w:name="_Toc296891001"/>
      <w:bookmarkStart w:id="1627" w:name="_Toc296891213"/>
      <w:bookmarkStart w:id="1628" w:name="_Toc296944512"/>
      <w:bookmarkStart w:id="1629" w:name="_Toc296347172"/>
      <w:bookmarkStart w:id="1630" w:name="_Toc297120473"/>
      <w:bookmarkStart w:id="1631" w:name="_Toc267251427"/>
      <w:bookmarkStart w:id="1632" w:name="_Toc296346674"/>
      <w:bookmarkStart w:id="1633" w:name="_Toc267251428"/>
      <w:bookmarkStart w:id="1634" w:name="_Toc296503173"/>
      <w:r>
        <w:rPr>
          <w:rFonts w:hint="eastAsia" w:ascii="宋体" w:hAnsi="宋体" w:eastAsia="宋体" w:cs="宋体"/>
          <w:b w:val="0"/>
          <w:color w:val="auto"/>
          <w:sz w:val="21"/>
          <w:szCs w:val="21"/>
          <w:highlight w:val="none"/>
        </w:rPr>
        <w:t>. 试验与检验</w:t>
      </w:r>
      <w:bookmarkEnd w:id="1614"/>
      <w:bookmarkEnd w:id="1615"/>
    </w:p>
    <w:bookmarkEnd w:id="1616"/>
    <w:bookmarkEnd w:id="1617"/>
    <w:bookmarkEnd w:id="1618"/>
    <w:bookmarkEnd w:id="1619"/>
    <w:bookmarkEnd w:id="1620"/>
    <w:bookmarkEnd w:id="1621"/>
    <w:bookmarkEnd w:id="1622"/>
    <w:p>
      <w:pPr>
        <w:spacing w:after="120" w:line="360" w:lineRule="auto"/>
        <w:ind w:firstLine="420" w:firstLineChars="200"/>
        <w:outlineLvl w:val="1"/>
        <w:rPr>
          <w:rFonts w:hint="eastAsia" w:ascii="宋体" w:hAnsi="宋体" w:eastAsia="宋体" w:cs="宋体"/>
          <w:color w:val="auto"/>
          <w:sz w:val="21"/>
          <w:szCs w:val="21"/>
          <w:highlight w:val="none"/>
        </w:rPr>
      </w:pPr>
      <w:bookmarkStart w:id="1635" w:name="_Toc20570"/>
      <w:r>
        <w:rPr>
          <w:rFonts w:hint="eastAsia" w:ascii="宋体" w:hAnsi="宋体" w:eastAsia="宋体" w:cs="宋体"/>
          <w:color w:val="auto"/>
          <w:sz w:val="21"/>
          <w:szCs w:val="21"/>
          <w:highlight w:val="none"/>
        </w:rPr>
        <w:t>9</w:t>
      </w:r>
      <w:bookmarkStart w:id="1636" w:name="_Toc297123534"/>
      <w:bookmarkStart w:id="1637" w:name="_Toc312678022"/>
      <w:bookmarkStart w:id="1638" w:name="_Toc297216193"/>
      <w:bookmarkStart w:id="1639" w:name="_Toc312677496"/>
      <w:bookmarkStart w:id="1640" w:name="_Toc304295560"/>
      <w:bookmarkStart w:id="1641" w:name="_Toc303539140"/>
      <w:bookmarkStart w:id="1642" w:name="_Toc300934983"/>
      <w:r>
        <w:rPr>
          <w:rFonts w:hint="eastAsia" w:ascii="宋体" w:hAnsi="宋体" w:eastAsia="宋体" w:cs="宋体"/>
          <w:color w:val="auto"/>
          <w:sz w:val="21"/>
          <w:szCs w:val="21"/>
          <w:highlight w:val="none"/>
        </w:rPr>
        <w:t>.1试验设备与试验人员</w:t>
      </w:r>
      <w:bookmarkEnd w:id="1635"/>
    </w:p>
    <w:bookmarkEnd w:id="1636"/>
    <w:bookmarkEnd w:id="1637"/>
    <w:bookmarkEnd w:id="1638"/>
    <w:bookmarkEnd w:id="1639"/>
    <w:bookmarkEnd w:id="1640"/>
    <w:bookmarkEnd w:id="1641"/>
    <w:bookmarkEnd w:id="1642"/>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1643" w:name="_Toc297123535"/>
      <w:bookmarkStart w:id="1644" w:name="_Toc303539141"/>
      <w:bookmarkStart w:id="1645" w:name="_Toc300934984"/>
      <w:bookmarkStart w:id="1646" w:name="_Toc312678023"/>
      <w:bookmarkStart w:id="1647" w:name="_Toc297216194"/>
      <w:bookmarkStart w:id="1648" w:name="_Toc312677497"/>
      <w:bookmarkStart w:id="1649" w:name="_Toc304295561"/>
      <w:bookmarkStart w:id="1650" w:name="_Toc318581174"/>
      <w:r>
        <w:rPr>
          <w:rFonts w:hint="eastAsia" w:ascii="宋体" w:hAnsi="宋体" w:eastAsia="宋体" w:cs="宋体"/>
          <w:color w:val="auto"/>
          <w:sz w:val="21"/>
          <w:szCs w:val="21"/>
          <w:highlight w:val="none"/>
        </w:rPr>
        <w:t>.1.2 试验设备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1643"/>
      <w:bookmarkEnd w:id="1644"/>
      <w:bookmarkEnd w:id="1645"/>
      <w:bookmarkEnd w:id="1646"/>
      <w:bookmarkEnd w:id="1647"/>
      <w:bookmarkEnd w:id="1648"/>
      <w:bookmarkEnd w:id="1649"/>
      <w:bookmarkStart w:id="1651" w:name="_Toc312678024"/>
      <w:bookmarkStart w:id="1652" w:name="_Toc297123536"/>
      <w:bookmarkStart w:id="1653" w:name="_Toc300934985"/>
      <w:bookmarkStart w:id="1654" w:name="_Toc303539142"/>
      <w:bookmarkStart w:id="1655" w:name="_Toc304295562"/>
      <w:bookmarkStart w:id="1656" w:name="_Toc312677498"/>
      <w:bookmarkStart w:id="1657" w:name="_Toc297216195"/>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658" w:name="_Toc12028"/>
      <w:r>
        <w:rPr>
          <w:rFonts w:hint="eastAsia" w:ascii="宋体" w:hAnsi="宋体" w:eastAsia="宋体" w:cs="宋体"/>
          <w:color w:val="auto"/>
          <w:sz w:val="21"/>
          <w:szCs w:val="21"/>
          <w:highlight w:val="none"/>
        </w:rPr>
        <w:t>9.4 现场工艺试验</w:t>
      </w:r>
      <w:bookmarkEnd w:id="1658"/>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650"/>
    <w:bookmarkEnd w:id="1651"/>
    <w:bookmarkEnd w:id="1652"/>
    <w:bookmarkEnd w:id="1653"/>
    <w:bookmarkEnd w:id="1654"/>
    <w:bookmarkEnd w:id="1655"/>
    <w:bookmarkEnd w:id="1656"/>
    <w:bookmarkEnd w:id="1657"/>
    <w:p>
      <w:pPr>
        <w:pStyle w:val="6"/>
        <w:spacing w:before="120" w:after="120" w:line="360" w:lineRule="auto"/>
        <w:outlineLvl w:val="0"/>
        <w:rPr>
          <w:rFonts w:hint="eastAsia" w:ascii="宋体" w:hAnsi="宋体" w:eastAsia="宋体" w:cs="宋体"/>
          <w:b w:val="0"/>
          <w:color w:val="auto"/>
          <w:sz w:val="21"/>
          <w:szCs w:val="21"/>
          <w:highlight w:val="none"/>
        </w:rPr>
      </w:pPr>
      <w:bookmarkStart w:id="1659" w:name="_Toc351203642"/>
      <w:bookmarkStart w:id="1660" w:name="_Toc30305"/>
      <w:r>
        <w:rPr>
          <w:rFonts w:hint="eastAsia" w:ascii="宋体" w:hAnsi="宋体" w:eastAsia="宋体" w:cs="宋体"/>
          <w:b w:val="0"/>
          <w:color w:val="auto"/>
          <w:sz w:val="21"/>
          <w:szCs w:val="21"/>
          <w:highlight w:val="none"/>
        </w:rPr>
        <w:t>1</w:t>
      </w:r>
      <w:bookmarkEnd w:id="1623"/>
      <w:bookmarkEnd w:id="1624"/>
      <w:bookmarkEnd w:id="1625"/>
      <w:bookmarkEnd w:id="1626"/>
      <w:bookmarkEnd w:id="1627"/>
      <w:bookmarkEnd w:id="1628"/>
      <w:bookmarkEnd w:id="1629"/>
      <w:bookmarkEnd w:id="1630"/>
      <w:bookmarkEnd w:id="1631"/>
      <w:bookmarkEnd w:id="1632"/>
      <w:bookmarkEnd w:id="1633"/>
      <w:bookmarkEnd w:id="1634"/>
      <w:bookmarkStart w:id="1661" w:name="_Toc292559398"/>
      <w:bookmarkStart w:id="1662" w:name="_Toc303539146"/>
      <w:bookmarkStart w:id="1663" w:name="_Toc296891021"/>
      <w:bookmarkStart w:id="1664" w:name="_Toc297120493"/>
      <w:bookmarkStart w:id="1665" w:name="_Toc297216199"/>
      <w:bookmarkStart w:id="1666" w:name="_Toc296503193"/>
      <w:bookmarkStart w:id="1667" w:name="_Toc297123540"/>
      <w:bookmarkStart w:id="1668" w:name="_Toc296944532"/>
      <w:bookmarkStart w:id="1669" w:name="_Toc297048379"/>
      <w:bookmarkStart w:id="1670" w:name="_Toc296346694"/>
      <w:bookmarkStart w:id="1671" w:name="_Toc296891233"/>
      <w:bookmarkStart w:id="1672" w:name="_Toc292559903"/>
      <w:bookmarkStart w:id="1673" w:name="_Toc296347192"/>
      <w:bookmarkStart w:id="1674" w:name="_Toc300934989"/>
      <w:bookmarkStart w:id="1675" w:name="_Toc304295566"/>
      <w:bookmarkStart w:id="1676" w:name="_Toc312678025"/>
      <w:bookmarkStart w:id="1677" w:name="_Toc312677499"/>
      <w:bookmarkStart w:id="1678" w:name="_Toc267251439"/>
      <w:bookmarkStart w:id="1679" w:name="_Toc267251435"/>
      <w:bookmarkStart w:id="1680" w:name="_Toc267251441"/>
      <w:bookmarkStart w:id="1681" w:name="_Toc267251433"/>
      <w:bookmarkStart w:id="1682" w:name="_Toc267251437"/>
      <w:bookmarkStart w:id="1683" w:name="_Toc267251440"/>
      <w:bookmarkStart w:id="1684" w:name="_Toc267251442"/>
      <w:r>
        <w:rPr>
          <w:rFonts w:hint="eastAsia" w:ascii="宋体" w:hAnsi="宋体" w:eastAsia="宋体" w:cs="宋体"/>
          <w:b w:val="0"/>
          <w:color w:val="auto"/>
          <w:sz w:val="21"/>
          <w:szCs w:val="21"/>
          <w:highlight w:val="none"/>
        </w:rPr>
        <w:t>0. 变更</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bookmarkEnd w:id="1676"/>
    <w:bookmarkEnd w:id="1677"/>
    <w:p>
      <w:pPr>
        <w:spacing w:after="120" w:line="360" w:lineRule="auto"/>
        <w:ind w:firstLine="420" w:firstLineChars="200"/>
        <w:outlineLvl w:val="1"/>
        <w:rPr>
          <w:rFonts w:hint="eastAsia" w:ascii="宋体" w:hAnsi="宋体" w:eastAsia="宋体" w:cs="宋体"/>
          <w:color w:val="auto"/>
          <w:sz w:val="21"/>
          <w:szCs w:val="21"/>
          <w:highlight w:val="none"/>
        </w:rPr>
      </w:pPr>
      <w:bookmarkStart w:id="1685" w:name="_Toc3777"/>
      <w:r>
        <w:rPr>
          <w:rFonts w:hint="eastAsia" w:ascii="宋体" w:hAnsi="宋体" w:eastAsia="宋体" w:cs="宋体"/>
          <w:color w:val="auto"/>
          <w:sz w:val="21"/>
          <w:szCs w:val="21"/>
          <w:highlight w:val="none"/>
        </w:rPr>
        <w:t>1</w:t>
      </w:r>
      <w:bookmarkStart w:id="1686" w:name="_Toc296891022"/>
      <w:bookmarkStart w:id="1687" w:name="_Toc297048380"/>
      <w:bookmarkStart w:id="1688" w:name="_Toc297216200"/>
      <w:bookmarkStart w:id="1689" w:name="_Toc312677500"/>
      <w:bookmarkStart w:id="1690" w:name="_Toc303539147"/>
      <w:bookmarkStart w:id="1691" w:name="_Toc296347193"/>
      <w:bookmarkStart w:id="1692" w:name="_Toc296891234"/>
      <w:bookmarkStart w:id="1693" w:name="_Toc296944533"/>
      <w:bookmarkStart w:id="1694" w:name="_Toc292559399"/>
      <w:bookmarkStart w:id="1695" w:name="_Toc292559904"/>
      <w:bookmarkStart w:id="1696" w:name="_Toc297123541"/>
      <w:bookmarkStart w:id="1697" w:name="_Toc296346695"/>
      <w:bookmarkStart w:id="1698" w:name="_Toc296503194"/>
      <w:bookmarkStart w:id="1699" w:name="_Toc304295567"/>
      <w:bookmarkStart w:id="1700" w:name="_Toc297120494"/>
      <w:bookmarkStart w:id="1701" w:name="_Toc312678026"/>
      <w:bookmarkStart w:id="1702" w:name="_Toc300934990"/>
      <w:r>
        <w:rPr>
          <w:rFonts w:hint="eastAsia" w:ascii="宋体" w:hAnsi="宋体" w:eastAsia="宋体" w:cs="宋体"/>
          <w:color w:val="auto"/>
          <w:sz w:val="21"/>
          <w:szCs w:val="21"/>
          <w:highlight w:val="none"/>
        </w:rPr>
        <w:t>0.1变更的范围</w:t>
      </w:r>
      <w:bookmarkEnd w:id="168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703" w:name="_Toc28839"/>
      <w:r>
        <w:rPr>
          <w:rFonts w:hint="eastAsia" w:ascii="宋体" w:hAnsi="宋体" w:eastAsia="宋体" w:cs="宋体"/>
          <w:color w:val="auto"/>
          <w:sz w:val="21"/>
          <w:szCs w:val="21"/>
          <w:highlight w:val="none"/>
        </w:rPr>
        <w:t>10.4 变更估价</w:t>
      </w:r>
      <w:bookmarkEnd w:id="170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704" w:name="_Toc9683"/>
      <w:r>
        <w:rPr>
          <w:rFonts w:hint="eastAsia" w:ascii="宋体" w:hAnsi="宋体" w:eastAsia="宋体" w:cs="宋体"/>
          <w:color w:val="auto"/>
          <w:sz w:val="21"/>
          <w:szCs w:val="21"/>
          <w:highlight w:val="none"/>
        </w:rPr>
        <w:t>1</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Start w:id="1705" w:name="_Toc296347196"/>
      <w:bookmarkStart w:id="1706" w:name="_Toc296891025"/>
      <w:bookmarkStart w:id="1707" w:name="_Toc296891237"/>
      <w:bookmarkStart w:id="1708" w:name="_Toc297123544"/>
      <w:bookmarkStart w:id="1709" w:name="_Toc292559907"/>
      <w:bookmarkStart w:id="1710" w:name="_Toc296503197"/>
      <w:bookmarkStart w:id="1711" w:name="_Toc297216203"/>
      <w:bookmarkStart w:id="1712" w:name="_Toc296944536"/>
      <w:bookmarkStart w:id="1713" w:name="_Toc303539150"/>
      <w:bookmarkStart w:id="1714" w:name="_Toc292559402"/>
      <w:bookmarkStart w:id="1715" w:name="_Toc296346698"/>
      <w:bookmarkStart w:id="1716" w:name="_Toc297048383"/>
      <w:bookmarkStart w:id="1717" w:name="_Toc297120497"/>
      <w:bookmarkStart w:id="1718" w:name="_Toc300934993"/>
      <w:bookmarkStart w:id="1719" w:name="_Toc312678029"/>
      <w:bookmarkStart w:id="1720" w:name="_Toc312677503"/>
      <w:bookmarkStart w:id="1721" w:name="_Toc304295570"/>
      <w:r>
        <w:rPr>
          <w:rFonts w:hint="eastAsia" w:ascii="宋体" w:hAnsi="宋体" w:eastAsia="宋体" w:cs="宋体"/>
          <w:color w:val="auto"/>
          <w:sz w:val="21"/>
          <w:szCs w:val="21"/>
          <w:highlight w:val="none"/>
        </w:rPr>
        <w:t>0.5承</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Start w:id="1722" w:name="_Toc296346704"/>
      <w:bookmarkStart w:id="1723" w:name="_Toc296347202"/>
      <w:bookmarkStart w:id="1724" w:name="_Toc292559408"/>
      <w:bookmarkStart w:id="1725" w:name="_Toc296503203"/>
      <w:bookmarkStart w:id="1726" w:name="_Toc303539151"/>
      <w:bookmarkStart w:id="1727" w:name="_Toc297120503"/>
      <w:bookmarkStart w:id="1728" w:name="_Toc297123545"/>
      <w:bookmarkStart w:id="1729" w:name="_Toc300934994"/>
      <w:bookmarkStart w:id="1730" w:name="_Toc296891243"/>
      <w:bookmarkStart w:id="1731" w:name="_Toc297216204"/>
      <w:bookmarkStart w:id="1732" w:name="_Toc296891031"/>
      <w:bookmarkStart w:id="1733" w:name="_Toc297048389"/>
      <w:bookmarkStart w:id="1734" w:name="_Toc292559913"/>
      <w:bookmarkStart w:id="1735" w:name="_Toc296944542"/>
      <w:r>
        <w:rPr>
          <w:rFonts w:hint="eastAsia" w:ascii="宋体" w:hAnsi="宋体" w:eastAsia="宋体" w:cs="宋体"/>
          <w:color w:val="auto"/>
          <w:sz w:val="21"/>
          <w:szCs w:val="21"/>
          <w:highlight w:val="none"/>
        </w:rPr>
        <w:t>包人的合理化建议</w:t>
      </w:r>
      <w:bookmarkEnd w:id="1704"/>
    </w:p>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1736" w:name="_Toc312677504"/>
      <w:bookmarkStart w:id="1737" w:name="_Toc318581175"/>
      <w:bookmarkStart w:id="1738" w:name="_Toc296503204"/>
      <w:bookmarkStart w:id="1739" w:name="_Toc303539152"/>
      <w:bookmarkStart w:id="1740" w:name="_Toc296891032"/>
      <w:bookmarkStart w:id="1741" w:name="_Toc292559914"/>
      <w:bookmarkStart w:id="1742" w:name="_Toc297120504"/>
      <w:bookmarkStart w:id="1743" w:name="_Toc296346705"/>
      <w:bookmarkStart w:id="1744" w:name="_Toc297216205"/>
      <w:bookmarkStart w:id="1745" w:name="_Toc296944543"/>
      <w:bookmarkStart w:id="1746" w:name="_Toc296891244"/>
      <w:bookmarkStart w:id="1747" w:name="_Toc292559409"/>
      <w:bookmarkStart w:id="1748" w:name="_Toc304295571"/>
      <w:bookmarkStart w:id="1749" w:name="_Toc297048390"/>
      <w:bookmarkStart w:id="1750" w:name="_Toc300934995"/>
      <w:bookmarkStart w:id="1751" w:name="_Toc312678030"/>
      <w:bookmarkStart w:id="1752" w:name="_Toc297123546"/>
      <w:bookmarkStart w:id="1753" w:name="_Toc296347203"/>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Pr>
        <w:spacing w:after="120" w:line="360" w:lineRule="auto"/>
        <w:ind w:firstLine="420" w:firstLineChars="200"/>
        <w:outlineLvl w:val="1"/>
        <w:rPr>
          <w:rFonts w:hint="eastAsia" w:ascii="宋体" w:hAnsi="宋体" w:eastAsia="宋体" w:cs="宋体"/>
          <w:color w:val="auto"/>
          <w:sz w:val="21"/>
          <w:szCs w:val="21"/>
          <w:highlight w:val="none"/>
        </w:rPr>
      </w:pPr>
      <w:bookmarkStart w:id="1754" w:name="_Toc8678"/>
      <w:r>
        <w:rPr>
          <w:rFonts w:hint="eastAsia" w:ascii="宋体" w:hAnsi="宋体" w:eastAsia="宋体" w:cs="宋体"/>
          <w:color w:val="auto"/>
          <w:sz w:val="21"/>
          <w:szCs w:val="21"/>
          <w:highlight w:val="none"/>
        </w:rPr>
        <w:t>1</w:t>
      </w:r>
      <w:bookmarkStart w:id="1755" w:name="_Toc312678033"/>
      <w:bookmarkStart w:id="1756" w:name="_Toc296503199"/>
      <w:bookmarkStart w:id="1757" w:name="_Toc296891027"/>
      <w:bookmarkStart w:id="1758" w:name="_Toc300934997"/>
      <w:bookmarkStart w:id="1759" w:name="_Toc312677507"/>
      <w:bookmarkStart w:id="1760" w:name="_Toc296347198"/>
      <w:bookmarkStart w:id="1761" w:name="_Toc297123548"/>
      <w:bookmarkStart w:id="1762" w:name="_Toc292559404"/>
      <w:bookmarkStart w:id="1763" w:name="_Toc297048385"/>
      <w:bookmarkStart w:id="1764" w:name="_Toc296944538"/>
      <w:bookmarkStart w:id="1765" w:name="_Toc297120499"/>
      <w:bookmarkStart w:id="1766" w:name="_Toc292559909"/>
      <w:bookmarkStart w:id="1767" w:name="_Toc296346700"/>
      <w:bookmarkStart w:id="1768" w:name="_Toc297216207"/>
      <w:bookmarkStart w:id="1769" w:name="_Toc303539154"/>
      <w:bookmarkStart w:id="1770" w:name="_Toc304295574"/>
      <w:bookmarkStart w:id="1771" w:name="_Toc296891239"/>
      <w:r>
        <w:rPr>
          <w:rFonts w:hint="eastAsia" w:ascii="宋体" w:hAnsi="宋体" w:eastAsia="宋体" w:cs="宋体"/>
          <w:color w:val="auto"/>
          <w:sz w:val="21"/>
          <w:szCs w:val="21"/>
          <w:highlight w:val="none"/>
        </w:rPr>
        <w:t>0.7 暂估价</w:t>
      </w:r>
      <w:bookmarkEnd w:id="1754"/>
    </w:p>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1772" w:name="_Toc312678034"/>
      <w:bookmarkStart w:id="1773" w:name="_Toc312677508"/>
      <w:bookmarkStart w:id="1774" w:name="_Toc318581176"/>
      <w:r>
        <w:rPr>
          <w:rFonts w:hint="eastAsia" w:ascii="宋体" w:hAnsi="宋体" w:eastAsia="宋体" w:cs="宋体"/>
          <w:color w:val="auto"/>
          <w:kern w:val="0"/>
          <w:sz w:val="21"/>
          <w:szCs w:val="21"/>
          <w:highlight w:val="none"/>
        </w:rPr>
        <w:t>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bookmarkEnd w:id="1772"/>
    <w:bookmarkEnd w:id="1773"/>
    <w:bookmarkEnd w:id="1774"/>
    <w:p>
      <w:pPr>
        <w:spacing w:line="360" w:lineRule="auto"/>
        <w:ind w:firstLine="420" w:firstLineChars="200"/>
        <w:jc w:val="left"/>
        <w:outlineLvl w:val="2"/>
        <w:rPr>
          <w:rFonts w:hint="eastAsia" w:ascii="宋体" w:hAnsi="宋体" w:eastAsia="宋体" w:cs="宋体"/>
          <w:color w:val="auto"/>
          <w:sz w:val="21"/>
          <w:szCs w:val="21"/>
          <w:highlight w:val="none"/>
        </w:rPr>
      </w:pPr>
      <w:bookmarkStart w:id="1775" w:name="_Toc5717"/>
      <w:r>
        <w:rPr>
          <w:rFonts w:hint="eastAsia" w:ascii="宋体" w:hAnsi="宋体" w:eastAsia="宋体" w:cs="宋体"/>
          <w:color w:val="auto"/>
          <w:sz w:val="21"/>
          <w:szCs w:val="21"/>
          <w:highlight w:val="none"/>
        </w:rPr>
        <w:t>1</w:t>
      </w:r>
      <w:bookmarkStart w:id="1776" w:name="_Toc312677509"/>
      <w:bookmarkStart w:id="1777" w:name="_Toc318581177"/>
      <w:bookmarkStart w:id="1778" w:name="_Toc312678035"/>
      <w:r>
        <w:rPr>
          <w:rFonts w:hint="eastAsia" w:ascii="宋体" w:hAnsi="宋体" w:eastAsia="宋体" w:cs="宋体"/>
          <w:color w:val="auto"/>
          <w:sz w:val="21"/>
          <w:szCs w:val="21"/>
          <w:highlight w:val="none"/>
        </w:rPr>
        <w:t>0.7.1 依法必须招标的暂估价项目</w:t>
      </w:r>
      <w:bookmarkEnd w:id="1775"/>
    </w:p>
    <w:bookmarkEnd w:id="1776"/>
    <w:bookmarkEnd w:id="1777"/>
    <w:bookmarkEnd w:id="1778"/>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779" w:name="_Toc3265"/>
      <w:r>
        <w:rPr>
          <w:rFonts w:hint="eastAsia" w:ascii="宋体" w:hAnsi="宋体" w:eastAsia="宋体" w:cs="宋体"/>
          <w:color w:val="auto"/>
          <w:sz w:val="21"/>
          <w:szCs w:val="21"/>
          <w:highlight w:val="none"/>
        </w:rPr>
        <w:t>10.7.2 不属于依法必须招标的暂估价项目</w:t>
      </w:r>
      <w:bookmarkEnd w:id="177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种方式确定。</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780" w:name="_Toc17732"/>
      <w:r>
        <w:rPr>
          <w:rFonts w:hint="eastAsia" w:ascii="宋体" w:hAnsi="宋体" w:eastAsia="宋体" w:cs="宋体"/>
          <w:color w:val="auto"/>
          <w:sz w:val="21"/>
          <w:szCs w:val="21"/>
          <w:highlight w:val="none"/>
        </w:rPr>
        <w:t>10.8 暂列金额</w:t>
      </w:r>
      <w:bookmarkEnd w:id="178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781" w:name="_Toc351203643"/>
      <w:bookmarkStart w:id="1782" w:name="_Toc17307"/>
      <w:r>
        <w:rPr>
          <w:rFonts w:hint="eastAsia" w:ascii="宋体" w:hAnsi="宋体" w:eastAsia="宋体" w:cs="宋体"/>
          <w:b w:val="0"/>
          <w:color w:val="auto"/>
          <w:sz w:val="21"/>
          <w:szCs w:val="21"/>
          <w:highlight w:val="none"/>
        </w:rPr>
        <w:t>11. 价格调整</w:t>
      </w:r>
      <w:bookmarkEnd w:id="1781"/>
      <w:bookmarkEnd w:id="1782"/>
    </w:p>
    <w:p>
      <w:pPr>
        <w:spacing w:after="120" w:line="360" w:lineRule="auto"/>
        <w:ind w:firstLine="420" w:firstLineChars="200"/>
        <w:outlineLvl w:val="1"/>
        <w:rPr>
          <w:rFonts w:hint="eastAsia" w:ascii="宋体" w:hAnsi="宋体" w:eastAsia="宋体" w:cs="宋体"/>
          <w:color w:val="auto"/>
          <w:sz w:val="21"/>
          <w:szCs w:val="21"/>
          <w:highlight w:val="none"/>
        </w:rPr>
      </w:pPr>
      <w:bookmarkStart w:id="1783" w:name="_Toc8036"/>
      <w:bookmarkStart w:id="1784" w:name="_Toc303539157"/>
      <w:bookmarkStart w:id="1785" w:name="_Toc296944540"/>
      <w:bookmarkStart w:id="1786" w:name="_Toc296891241"/>
      <w:bookmarkStart w:id="1787" w:name="_Toc292559911"/>
      <w:bookmarkStart w:id="1788" w:name="_Toc297123550"/>
      <w:bookmarkStart w:id="1789" w:name="_Toc297120501"/>
      <w:bookmarkStart w:id="1790" w:name="_Toc300935000"/>
      <w:bookmarkStart w:id="1791" w:name="_Toc312678039"/>
      <w:bookmarkStart w:id="1792" w:name="_Toc296346702"/>
      <w:bookmarkStart w:id="1793" w:name="_Toc296503201"/>
      <w:bookmarkStart w:id="1794" w:name="_Toc296347200"/>
      <w:bookmarkStart w:id="1795" w:name="_Toc297216209"/>
      <w:bookmarkStart w:id="1796" w:name="_Toc292559406"/>
      <w:bookmarkStart w:id="1797" w:name="_Toc304295577"/>
      <w:bookmarkStart w:id="1798" w:name="_Toc296891029"/>
      <w:bookmarkStart w:id="1799" w:name="_Toc297048387"/>
      <w:r>
        <w:rPr>
          <w:rFonts w:hint="eastAsia" w:ascii="宋体" w:hAnsi="宋体" w:eastAsia="宋体" w:cs="宋体"/>
          <w:color w:val="auto"/>
          <w:sz w:val="21"/>
          <w:szCs w:val="21"/>
          <w:highlight w:val="none"/>
        </w:rPr>
        <w:t>11.1 市场价格波动引起的调整</w:t>
      </w:r>
      <w:bookmarkEnd w:id="1783"/>
    </w:p>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pPr>
        <w:spacing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678"/>
    <w:bookmarkEnd w:id="1679"/>
    <w:bookmarkEnd w:id="1680"/>
    <w:bookmarkEnd w:id="1681"/>
    <w:bookmarkEnd w:id="1682"/>
    <w:bookmarkEnd w:id="1683"/>
    <w:p>
      <w:pPr>
        <w:pStyle w:val="6"/>
        <w:spacing w:before="120" w:after="120" w:line="360" w:lineRule="auto"/>
        <w:outlineLvl w:val="0"/>
        <w:rPr>
          <w:rFonts w:hint="eastAsia" w:ascii="宋体" w:hAnsi="宋体" w:eastAsia="宋体" w:cs="宋体"/>
          <w:b w:val="0"/>
          <w:color w:val="auto"/>
          <w:sz w:val="21"/>
          <w:szCs w:val="21"/>
          <w:highlight w:val="none"/>
        </w:rPr>
      </w:pPr>
      <w:bookmarkStart w:id="1800" w:name="_Toc296891245"/>
      <w:bookmarkStart w:id="1801" w:name="_Toc297120505"/>
      <w:bookmarkStart w:id="1802" w:name="_Toc292559915"/>
      <w:bookmarkStart w:id="1803" w:name="_Toc296347204"/>
      <w:bookmarkStart w:id="1804" w:name="_Toc292559410"/>
      <w:bookmarkStart w:id="1805" w:name="_Toc297048391"/>
      <w:bookmarkStart w:id="1806" w:name="_Toc296891033"/>
      <w:bookmarkStart w:id="1807" w:name="_Toc296346706"/>
      <w:bookmarkStart w:id="1808" w:name="_Toc296944544"/>
      <w:bookmarkStart w:id="1809" w:name="_Toc296503205"/>
      <w:bookmarkStart w:id="1810" w:name="_Toc23631"/>
      <w:bookmarkStart w:id="1811" w:name="_Toc351203644"/>
      <w:bookmarkStart w:id="1812" w:name="_Toc300935002"/>
      <w:bookmarkStart w:id="1813" w:name="_Toc297123552"/>
      <w:bookmarkStart w:id="1814" w:name="_Toc304295579"/>
      <w:bookmarkStart w:id="1815" w:name="_Toc297216211"/>
      <w:bookmarkStart w:id="1816" w:name="_Toc312678040"/>
      <w:bookmarkStart w:id="1817" w:name="_Toc303539159"/>
      <w:r>
        <w:rPr>
          <w:rFonts w:hint="eastAsia" w:ascii="宋体" w:hAnsi="宋体" w:eastAsia="宋体" w:cs="宋体"/>
          <w:b w:val="0"/>
          <w:color w:val="auto"/>
          <w:sz w:val="21"/>
          <w:szCs w:val="21"/>
          <w:highlight w:val="none"/>
        </w:rPr>
        <w:t xml:space="preserve">12. </w:t>
      </w:r>
      <w:bookmarkEnd w:id="1800"/>
      <w:bookmarkEnd w:id="1801"/>
      <w:bookmarkEnd w:id="1802"/>
      <w:bookmarkEnd w:id="1803"/>
      <w:bookmarkEnd w:id="1804"/>
      <w:bookmarkEnd w:id="1805"/>
      <w:bookmarkEnd w:id="1806"/>
      <w:bookmarkEnd w:id="1807"/>
      <w:bookmarkEnd w:id="1808"/>
      <w:bookmarkEnd w:id="1809"/>
      <w:r>
        <w:rPr>
          <w:rFonts w:hint="eastAsia" w:ascii="宋体" w:hAnsi="宋体" w:eastAsia="宋体" w:cs="宋体"/>
          <w:b w:val="0"/>
          <w:color w:val="auto"/>
          <w:sz w:val="21"/>
          <w:szCs w:val="21"/>
          <w:highlight w:val="none"/>
        </w:rPr>
        <w:t>合同价格、计量与支付</w:t>
      </w:r>
      <w:bookmarkEnd w:id="1810"/>
      <w:bookmarkEnd w:id="1811"/>
    </w:p>
    <w:bookmarkEnd w:id="1812"/>
    <w:bookmarkEnd w:id="1813"/>
    <w:bookmarkEnd w:id="1814"/>
    <w:bookmarkEnd w:id="1815"/>
    <w:bookmarkEnd w:id="1816"/>
    <w:bookmarkEnd w:id="1817"/>
    <w:p>
      <w:pPr>
        <w:spacing w:after="120" w:line="360" w:lineRule="auto"/>
        <w:ind w:firstLine="420" w:firstLineChars="200"/>
        <w:outlineLvl w:val="1"/>
        <w:rPr>
          <w:rFonts w:hint="eastAsia" w:ascii="宋体" w:hAnsi="宋体" w:eastAsia="宋体" w:cs="宋体"/>
          <w:color w:val="auto"/>
          <w:sz w:val="21"/>
          <w:szCs w:val="21"/>
          <w:highlight w:val="none"/>
        </w:rPr>
      </w:pPr>
      <w:bookmarkStart w:id="1818" w:name="_Toc267251461"/>
      <w:bookmarkStart w:id="1819" w:name="_Toc292559916"/>
      <w:bookmarkStart w:id="1820" w:name="_Toc292559411"/>
      <w:bookmarkStart w:id="1821" w:name="_Toc296944545"/>
      <w:bookmarkStart w:id="1822" w:name="_Toc296891034"/>
      <w:bookmarkStart w:id="1823" w:name="_Toc296346707"/>
      <w:bookmarkStart w:id="1824" w:name="_Toc297048392"/>
      <w:bookmarkStart w:id="1825" w:name="_Toc296347205"/>
      <w:bookmarkStart w:id="1826" w:name="_Toc297120506"/>
      <w:bookmarkStart w:id="1827" w:name="_Toc296503206"/>
      <w:bookmarkStart w:id="1828" w:name="_Toc296891246"/>
      <w:bookmarkStart w:id="1829" w:name="_Toc30375"/>
      <w:bookmarkStart w:id="1830" w:name="_Toc303539160"/>
      <w:bookmarkStart w:id="1831" w:name="_Toc312678041"/>
      <w:bookmarkStart w:id="1832" w:name="_Toc297123553"/>
      <w:bookmarkStart w:id="1833" w:name="_Toc304295580"/>
      <w:bookmarkStart w:id="1834" w:name="_Toc300935003"/>
      <w:bookmarkStart w:id="1835" w:name="_Toc297216212"/>
      <w:r>
        <w:rPr>
          <w:rFonts w:hint="eastAsia" w:ascii="宋体" w:hAnsi="宋体" w:eastAsia="宋体" w:cs="宋体"/>
          <w:color w:val="auto"/>
          <w:sz w:val="21"/>
          <w:szCs w:val="21"/>
          <w:highlight w:val="none"/>
        </w:rPr>
        <w:t>12.1 合</w:t>
      </w:r>
      <w:bookmarkEnd w:id="1818"/>
      <w:bookmarkEnd w:id="1819"/>
      <w:bookmarkEnd w:id="1820"/>
      <w:r>
        <w:rPr>
          <w:rFonts w:hint="eastAsia" w:ascii="宋体" w:hAnsi="宋体" w:eastAsia="宋体" w:cs="宋体"/>
          <w:color w:val="auto"/>
          <w:sz w:val="21"/>
          <w:szCs w:val="21"/>
          <w:highlight w:val="none"/>
        </w:rPr>
        <w:t>同价</w:t>
      </w:r>
      <w:bookmarkEnd w:id="1821"/>
      <w:bookmarkEnd w:id="1822"/>
      <w:bookmarkEnd w:id="1823"/>
      <w:bookmarkEnd w:id="1824"/>
      <w:bookmarkEnd w:id="1825"/>
      <w:bookmarkEnd w:id="1826"/>
      <w:bookmarkEnd w:id="1827"/>
      <w:bookmarkEnd w:id="1828"/>
      <w:r>
        <w:rPr>
          <w:rFonts w:hint="eastAsia" w:ascii="宋体" w:hAnsi="宋体" w:eastAsia="宋体" w:cs="宋体"/>
          <w:color w:val="auto"/>
          <w:sz w:val="21"/>
          <w:szCs w:val="21"/>
          <w:highlight w:val="none"/>
        </w:rPr>
        <w:t>格形式</w:t>
      </w:r>
      <w:bookmarkEnd w:id="1829"/>
    </w:p>
    <w:bookmarkEnd w:id="1830"/>
    <w:bookmarkEnd w:id="1831"/>
    <w:bookmarkEnd w:id="1832"/>
    <w:bookmarkEnd w:id="1833"/>
    <w:bookmarkEnd w:id="1834"/>
    <w:bookmarkEnd w:id="1835"/>
    <w:p>
      <w:pPr>
        <w:spacing w:line="360" w:lineRule="auto"/>
        <w:ind w:firstLine="420" w:firstLineChars="200"/>
        <w:jc w:val="left"/>
        <w:outlineLvl w:val="2"/>
        <w:rPr>
          <w:rFonts w:hint="eastAsia" w:ascii="宋体" w:hAnsi="宋体" w:eastAsia="宋体" w:cs="宋体"/>
          <w:color w:val="auto"/>
          <w:sz w:val="21"/>
          <w:szCs w:val="21"/>
          <w:highlight w:val="none"/>
        </w:rPr>
      </w:pPr>
      <w:bookmarkStart w:id="1836" w:name="_Toc11909"/>
      <w:r>
        <w:rPr>
          <w:rFonts w:hint="eastAsia" w:ascii="宋体" w:hAnsi="宋体" w:eastAsia="宋体" w:cs="宋体"/>
          <w:color w:val="auto"/>
          <w:sz w:val="21"/>
          <w:szCs w:val="21"/>
          <w:highlight w:val="none"/>
        </w:rPr>
        <w:t>1、单价合同。</w:t>
      </w:r>
      <w:bookmarkEnd w:id="1836"/>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837" w:name="_Toc17322"/>
      <w:r>
        <w:rPr>
          <w:rFonts w:hint="eastAsia" w:ascii="宋体" w:hAnsi="宋体" w:eastAsia="宋体" w:cs="宋体"/>
          <w:color w:val="auto"/>
          <w:sz w:val="21"/>
          <w:szCs w:val="21"/>
          <w:highlight w:val="none"/>
        </w:rPr>
        <w:t>2、总价合同。</w:t>
      </w:r>
      <w:bookmarkEnd w:id="183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bookmarkStart w:id="1838" w:name="_Toc6573"/>
      <w:r>
        <w:rPr>
          <w:rFonts w:hint="eastAsia" w:ascii="宋体" w:hAnsi="宋体" w:eastAsia="宋体" w:cs="宋体"/>
          <w:color w:val="auto"/>
          <w:sz w:val="21"/>
          <w:szCs w:val="21"/>
          <w:highlight w:val="none"/>
        </w:rPr>
        <w:t>3、其他价格方式：</w:t>
      </w:r>
      <w:bookmarkEnd w:id="183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839" w:name="_Toc13374"/>
      <w:bookmarkStart w:id="1840" w:name="_Toc304295581"/>
      <w:bookmarkStart w:id="1841" w:name="_Toc312678042"/>
      <w:bookmarkStart w:id="1842" w:name="_Toc300935004"/>
      <w:bookmarkStart w:id="1843" w:name="_Toc303539161"/>
      <w:bookmarkStart w:id="1844" w:name="_Toc297123554"/>
      <w:bookmarkStart w:id="1845" w:name="_Toc297216213"/>
      <w:bookmarkStart w:id="1846" w:name="_Toc292559917"/>
      <w:bookmarkStart w:id="1847" w:name="_Toc296891035"/>
      <w:bookmarkStart w:id="1848" w:name="_Toc297048393"/>
      <w:bookmarkStart w:id="1849" w:name="_Toc296944546"/>
      <w:bookmarkStart w:id="1850" w:name="_Toc296503207"/>
      <w:bookmarkStart w:id="1851" w:name="_Toc297120507"/>
      <w:bookmarkStart w:id="1852" w:name="_Toc296891247"/>
      <w:bookmarkStart w:id="1853" w:name="_Toc292559412"/>
      <w:bookmarkStart w:id="1854" w:name="_Toc296346708"/>
      <w:bookmarkStart w:id="1855" w:name="_Toc296347206"/>
      <w:r>
        <w:rPr>
          <w:rFonts w:hint="eastAsia" w:ascii="宋体" w:hAnsi="宋体" w:eastAsia="宋体" w:cs="宋体"/>
          <w:color w:val="auto"/>
          <w:sz w:val="21"/>
          <w:szCs w:val="21"/>
          <w:highlight w:val="none"/>
        </w:rPr>
        <w:t>12.2 预付款</w:t>
      </w:r>
      <w:bookmarkEnd w:id="1839"/>
    </w:p>
    <w:bookmarkEnd w:id="1840"/>
    <w:bookmarkEnd w:id="1841"/>
    <w:bookmarkEnd w:id="1842"/>
    <w:bookmarkEnd w:id="1843"/>
    <w:bookmarkEnd w:id="1844"/>
    <w:bookmarkEnd w:id="1845"/>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single"/>
          <w:lang w:eastAsia="zh-CN"/>
        </w:rPr>
        <w:t>无</w:t>
      </w:r>
      <w:r>
        <w:rPr>
          <w:rFonts w:hint="eastAsia" w:ascii="宋体" w:hAnsi="宋体" w:cs="宋体"/>
          <w:color w:val="auto"/>
          <w:sz w:val="21"/>
          <w:szCs w:val="21"/>
          <w:highlight w:val="none"/>
          <w:lang w:eastAsia="zh-CN"/>
        </w:rPr>
        <w:t>。</w:t>
      </w:r>
    </w:p>
    <w:bookmarkEnd w:id="1846"/>
    <w:bookmarkEnd w:id="1847"/>
    <w:bookmarkEnd w:id="1848"/>
    <w:bookmarkEnd w:id="1849"/>
    <w:bookmarkEnd w:id="1850"/>
    <w:bookmarkEnd w:id="1851"/>
    <w:bookmarkEnd w:id="1852"/>
    <w:bookmarkEnd w:id="1853"/>
    <w:bookmarkEnd w:id="1854"/>
    <w:bookmarkEnd w:id="1855"/>
    <w:p>
      <w:pPr>
        <w:spacing w:after="120" w:line="360" w:lineRule="auto"/>
        <w:ind w:firstLine="420" w:firstLineChars="200"/>
        <w:outlineLvl w:val="1"/>
        <w:rPr>
          <w:rFonts w:hint="eastAsia" w:ascii="宋体" w:hAnsi="宋体" w:eastAsia="宋体" w:cs="宋体"/>
          <w:color w:val="auto"/>
          <w:sz w:val="21"/>
          <w:szCs w:val="21"/>
          <w:highlight w:val="none"/>
        </w:rPr>
      </w:pPr>
      <w:bookmarkStart w:id="1856" w:name="_Toc19865"/>
      <w:r>
        <w:rPr>
          <w:rFonts w:hint="eastAsia" w:ascii="宋体" w:hAnsi="宋体" w:eastAsia="宋体" w:cs="宋体"/>
          <w:color w:val="auto"/>
          <w:sz w:val="21"/>
          <w:szCs w:val="21"/>
          <w:highlight w:val="none"/>
        </w:rPr>
        <w:t>12.3 计量</w:t>
      </w:r>
      <w:bookmarkEnd w:id="1856"/>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857" w:name="_Toc30233"/>
      <w:r>
        <w:rPr>
          <w:rFonts w:hint="eastAsia" w:ascii="宋体" w:hAnsi="宋体" w:eastAsia="宋体" w:cs="宋体"/>
          <w:color w:val="auto"/>
          <w:sz w:val="21"/>
          <w:szCs w:val="21"/>
          <w:highlight w:val="none"/>
        </w:rPr>
        <w:t>12.4 工程进度款支付</w:t>
      </w:r>
      <w:bookmarkEnd w:id="1857"/>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858" w:name="_Toc190"/>
      <w:bookmarkStart w:id="1859" w:name="_Toc296944550"/>
      <w:bookmarkStart w:id="1860" w:name="_Toc292559416"/>
      <w:bookmarkStart w:id="1861" w:name="_Toc300935006"/>
      <w:bookmarkStart w:id="1862" w:name="_Toc297120511"/>
      <w:bookmarkStart w:id="1863" w:name="_Toc296347210"/>
      <w:bookmarkStart w:id="1864" w:name="_Toc297216215"/>
      <w:bookmarkStart w:id="1865" w:name="_Toc296891039"/>
      <w:bookmarkStart w:id="1866" w:name="_Toc297048397"/>
      <w:bookmarkStart w:id="1867" w:name="_Toc303539163"/>
      <w:bookmarkStart w:id="1868" w:name="_Toc292559921"/>
      <w:bookmarkStart w:id="1869" w:name="_Toc297123556"/>
      <w:bookmarkStart w:id="1870" w:name="_Toc296891251"/>
      <w:bookmarkStart w:id="1871" w:name="_Toc296503211"/>
      <w:bookmarkStart w:id="1872" w:name="_Toc296346712"/>
      <w:r>
        <w:rPr>
          <w:rFonts w:hint="eastAsia" w:ascii="宋体" w:hAnsi="宋体" w:eastAsia="宋体" w:cs="宋体"/>
          <w:color w:val="auto"/>
          <w:sz w:val="21"/>
          <w:szCs w:val="21"/>
          <w:highlight w:val="none"/>
        </w:rPr>
        <w:t>12.4.1 付款周期</w:t>
      </w:r>
      <w:bookmarkEnd w:id="1858"/>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u w:val="single"/>
        </w:rPr>
        <w:t>①承包人在所计量工程质量合格、技术资料齐全前提下，完成合同约定工程量的30%，支付至已完成工程量的70%；完成合同约定工程量的60%，支付至已完成工程量的70%；完成合同约定工程量的90%，支付至已完成工程量的80%，承包人向发包人现场代表送交工程量报表，经监理人审核，同时并报发包人审批后支付。</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③工程竣工验收合格后，承包人在提供农民工工资银行支付凭证齐全的前提下，发包人向承包人支付至合同价的90%；承包人向发包人送交完整的工程竣工图和工程结算资料，并经发包人委托的机构结算审核且签字认可作为竣工结算金额。承包人向发包人缴纳竣工结算金额3%的工程质量保证金，发包人支付到竣工结算金额的100%。发包人支付前应当收到农民工工资银行支付凭证及农民工工资已经全部结清的书面说明</w:t>
      </w:r>
      <w:r>
        <w:rPr>
          <w:rFonts w:hint="eastAsia" w:ascii="宋体" w:hAnsi="宋体" w:eastAsia="宋体" w:cs="宋体"/>
          <w:color w:val="auto"/>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873" w:name="_Toc31700"/>
      <w:r>
        <w:rPr>
          <w:rFonts w:hint="eastAsia" w:ascii="宋体" w:hAnsi="宋体" w:eastAsia="宋体" w:cs="宋体"/>
          <w:color w:val="auto"/>
          <w:sz w:val="21"/>
          <w:szCs w:val="21"/>
          <w:highlight w:val="none"/>
        </w:rPr>
        <w:t>12.4.2 进度付款申请单的编制</w:t>
      </w:r>
      <w:bookmarkEnd w:id="1873"/>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874" w:name="_Toc816"/>
      <w:r>
        <w:rPr>
          <w:rFonts w:hint="eastAsia" w:ascii="宋体" w:hAnsi="宋体" w:eastAsia="宋体" w:cs="宋体"/>
          <w:color w:val="auto"/>
          <w:sz w:val="21"/>
          <w:szCs w:val="21"/>
          <w:highlight w:val="none"/>
        </w:rPr>
        <w:t>1</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Pr>
          <w:rFonts w:hint="eastAsia" w:ascii="宋体" w:hAnsi="宋体" w:eastAsia="宋体" w:cs="宋体"/>
          <w:color w:val="auto"/>
          <w:sz w:val="21"/>
          <w:szCs w:val="21"/>
          <w:highlight w:val="none"/>
        </w:rPr>
        <w:t>2.4.3 进度付款申请单的提交</w:t>
      </w:r>
      <w:bookmarkEnd w:id="1874"/>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875" w:name="_Toc26166"/>
      <w:r>
        <w:rPr>
          <w:rFonts w:hint="eastAsia" w:ascii="宋体" w:hAnsi="宋体" w:eastAsia="宋体" w:cs="宋体"/>
          <w:color w:val="auto"/>
          <w:sz w:val="21"/>
          <w:szCs w:val="21"/>
          <w:highlight w:val="none"/>
        </w:rPr>
        <w:t>12.4.4 进度款审核和支付</w:t>
      </w:r>
      <w:bookmarkEnd w:id="1875"/>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w:t>
      </w:r>
    </w:p>
    <w:p>
      <w:pPr>
        <w:spacing w:line="360" w:lineRule="auto"/>
        <w:ind w:firstLine="525" w:firstLineChars="250"/>
        <w:jc w:val="left"/>
        <w:outlineLvl w:val="2"/>
        <w:rPr>
          <w:rFonts w:hint="eastAsia" w:ascii="宋体" w:hAnsi="宋体" w:eastAsia="宋体" w:cs="宋体"/>
          <w:color w:val="auto"/>
          <w:sz w:val="21"/>
          <w:szCs w:val="21"/>
          <w:highlight w:val="none"/>
        </w:rPr>
      </w:pPr>
      <w:bookmarkStart w:id="1876" w:name="_Toc26880"/>
      <w:r>
        <w:rPr>
          <w:rFonts w:hint="eastAsia" w:ascii="宋体" w:hAnsi="宋体" w:eastAsia="宋体" w:cs="宋体"/>
          <w:color w:val="auto"/>
          <w:sz w:val="21"/>
          <w:szCs w:val="21"/>
          <w:highlight w:val="none"/>
        </w:rPr>
        <w:t>12.4.6 支付分解表的编制</w:t>
      </w:r>
      <w:bookmarkEnd w:id="1876"/>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bookmarkEnd w:id="1684"/>
    <w:p>
      <w:pPr>
        <w:pStyle w:val="6"/>
        <w:spacing w:before="120" w:after="120" w:line="360" w:lineRule="auto"/>
        <w:outlineLvl w:val="0"/>
        <w:rPr>
          <w:rFonts w:hint="eastAsia" w:ascii="宋体" w:hAnsi="宋体" w:eastAsia="宋体" w:cs="宋体"/>
          <w:b w:val="0"/>
          <w:color w:val="auto"/>
          <w:sz w:val="21"/>
          <w:szCs w:val="21"/>
          <w:highlight w:val="none"/>
        </w:rPr>
      </w:pPr>
      <w:bookmarkStart w:id="1877" w:name="_Toc22400"/>
      <w:bookmarkStart w:id="1878" w:name="_Toc351203645"/>
      <w:bookmarkStart w:id="1879" w:name="_Toc296347218"/>
      <w:bookmarkStart w:id="1880" w:name="_Toc292559424"/>
      <w:bookmarkStart w:id="1881" w:name="_Toc296891259"/>
      <w:bookmarkStart w:id="1882" w:name="_Toc300935015"/>
      <w:bookmarkStart w:id="1883" w:name="_Toc296503219"/>
      <w:bookmarkStart w:id="1884" w:name="_Toc296944558"/>
      <w:bookmarkStart w:id="1885" w:name="_Toc312678053"/>
      <w:bookmarkStart w:id="1886" w:name="_Toc303539172"/>
      <w:bookmarkStart w:id="1887" w:name="_Toc297048405"/>
      <w:bookmarkStart w:id="1888" w:name="_Toc297120519"/>
      <w:bookmarkStart w:id="1889" w:name="_Toc297123564"/>
      <w:bookmarkStart w:id="1890" w:name="_Toc292559929"/>
      <w:bookmarkStart w:id="1891" w:name="_Toc296346720"/>
      <w:bookmarkStart w:id="1892" w:name="_Toc297216223"/>
      <w:bookmarkStart w:id="1893" w:name="_Toc296891047"/>
      <w:bookmarkStart w:id="1894" w:name="_Toc304295593"/>
      <w:r>
        <w:rPr>
          <w:rFonts w:hint="eastAsia" w:ascii="宋体" w:hAnsi="宋体" w:eastAsia="宋体" w:cs="宋体"/>
          <w:b w:val="0"/>
          <w:color w:val="auto"/>
          <w:sz w:val="21"/>
          <w:szCs w:val="21"/>
          <w:highlight w:val="none"/>
        </w:rPr>
        <w:t>13. 验收和工程试车</w:t>
      </w:r>
      <w:bookmarkEnd w:id="1877"/>
      <w:bookmarkEnd w:id="1878"/>
    </w:p>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Pr>
        <w:spacing w:after="120" w:line="360" w:lineRule="auto"/>
        <w:ind w:firstLine="420" w:firstLineChars="200"/>
        <w:outlineLvl w:val="1"/>
        <w:rPr>
          <w:rFonts w:hint="eastAsia" w:ascii="宋体" w:hAnsi="宋体" w:eastAsia="宋体" w:cs="宋体"/>
          <w:color w:val="auto"/>
          <w:sz w:val="21"/>
          <w:szCs w:val="21"/>
          <w:highlight w:val="none"/>
        </w:rPr>
      </w:pPr>
      <w:bookmarkStart w:id="1895" w:name="_Toc30746"/>
      <w:r>
        <w:rPr>
          <w:rFonts w:hint="eastAsia" w:ascii="宋体" w:hAnsi="宋体" w:eastAsia="宋体" w:cs="宋体"/>
          <w:color w:val="auto"/>
          <w:sz w:val="21"/>
          <w:szCs w:val="21"/>
          <w:highlight w:val="none"/>
        </w:rPr>
        <w:t>13.1 分部分项工程验收</w:t>
      </w:r>
      <w:bookmarkEnd w:id="189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896" w:name="_Toc8173"/>
      <w:bookmarkStart w:id="1897" w:name="_Toc296503223"/>
      <w:bookmarkStart w:id="1898" w:name="_Toc297216224"/>
      <w:bookmarkStart w:id="1899" w:name="_Toc296891263"/>
      <w:bookmarkStart w:id="1900" w:name="_Toc296891051"/>
      <w:bookmarkStart w:id="1901" w:name="_Toc312678056"/>
      <w:bookmarkStart w:id="1902" w:name="_Toc296944562"/>
      <w:bookmarkStart w:id="1903" w:name="_Toc297123565"/>
      <w:bookmarkStart w:id="1904" w:name="_Toc297048409"/>
      <w:bookmarkStart w:id="1905" w:name="_Toc292559933"/>
      <w:bookmarkStart w:id="1906" w:name="_Toc292559428"/>
      <w:bookmarkStart w:id="1907" w:name="_Toc296347222"/>
      <w:bookmarkStart w:id="1908" w:name="_Toc297120523"/>
      <w:bookmarkStart w:id="1909" w:name="_Toc303539173"/>
      <w:bookmarkStart w:id="1910" w:name="_Toc296346724"/>
      <w:bookmarkStart w:id="1911" w:name="_Toc304295596"/>
      <w:bookmarkStart w:id="1912" w:name="_Toc300935016"/>
      <w:bookmarkStart w:id="1913" w:name="_Toc267251470"/>
      <w:bookmarkStart w:id="1914" w:name="_Toc267251476"/>
      <w:bookmarkStart w:id="1915" w:name="_Toc267251472"/>
      <w:bookmarkStart w:id="1916" w:name="_Toc267251471"/>
      <w:bookmarkStart w:id="1917" w:name="_Toc267251475"/>
      <w:bookmarkStart w:id="1918" w:name="_Toc267251474"/>
      <w:bookmarkStart w:id="1919" w:name="_Toc267251473"/>
      <w:r>
        <w:rPr>
          <w:rFonts w:hint="eastAsia" w:ascii="宋体" w:hAnsi="宋体" w:eastAsia="宋体" w:cs="宋体"/>
          <w:color w:val="auto"/>
          <w:sz w:val="21"/>
          <w:szCs w:val="21"/>
          <w:highlight w:val="none"/>
        </w:rPr>
        <w:t>13.2 竣工验收</w:t>
      </w:r>
      <w:bookmarkEnd w:id="1896"/>
    </w:p>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Pr>
        <w:spacing w:line="360" w:lineRule="auto"/>
        <w:ind w:firstLine="420" w:firstLineChars="200"/>
        <w:jc w:val="left"/>
        <w:outlineLvl w:val="2"/>
        <w:rPr>
          <w:rFonts w:hint="eastAsia" w:ascii="宋体" w:hAnsi="宋体" w:eastAsia="宋体" w:cs="宋体"/>
          <w:color w:val="auto"/>
          <w:sz w:val="21"/>
          <w:szCs w:val="21"/>
          <w:highlight w:val="none"/>
        </w:rPr>
      </w:pPr>
      <w:bookmarkStart w:id="1920" w:name="_Toc25027"/>
      <w:bookmarkStart w:id="1921" w:name="_Toc280868704"/>
      <w:bookmarkStart w:id="1922" w:name="_Toc280868705"/>
      <w:bookmarkStart w:id="1923" w:name="_Toc280868706"/>
      <w:bookmarkStart w:id="1924" w:name="_Toc280868707"/>
      <w:bookmarkStart w:id="1925" w:name="_Toc280868708"/>
      <w:bookmarkStart w:id="1926" w:name="_Toc280868709"/>
      <w:r>
        <w:rPr>
          <w:rFonts w:hint="eastAsia" w:ascii="宋体" w:hAnsi="宋体" w:eastAsia="宋体" w:cs="宋体"/>
          <w:color w:val="auto"/>
          <w:sz w:val="21"/>
          <w:szCs w:val="21"/>
          <w:highlight w:val="none"/>
        </w:rPr>
        <w:t>13.2.2竣工验收程序</w:t>
      </w:r>
      <w:bookmarkEnd w:id="1920"/>
    </w:p>
    <w:bookmarkEnd w:id="1921"/>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p>
    <w:bookmarkEnd w:id="1922"/>
    <w:p>
      <w:pPr>
        <w:spacing w:line="360" w:lineRule="auto"/>
        <w:ind w:firstLine="420" w:firstLineChars="200"/>
        <w:jc w:val="left"/>
        <w:outlineLvl w:val="2"/>
        <w:rPr>
          <w:rFonts w:hint="eastAsia" w:ascii="宋体" w:hAnsi="宋体" w:eastAsia="宋体" w:cs="宋体"/>
          <w:color w:val="auto"/>
          <w:sz w:val="21"/>
          <w:szCs w:val="21"/>
          <w:highlight w:val="none"/>
        </w:rPr>
      </w:pPr>
      <w:bookmarkStart w:id="1927" w:name="_Toc11711"/>
      <w:r>
        <w:rPr>
          <w:rFonts w:hint="eastAsia" w:ascii="宋体" w:hAnsi="宋体" w:eastAsia="宋体" w:cs="宋体"/>
          <w:color w:val="auto"/>
          <w:sz w:val="21"/>
          <w:szCs w:val="21"/>
          <w:highlight w:val="none"/>
        </w:rPr>
        <w:t>13.2.5移交、接收全部与部分工程</w:t>
      </w:r>
      <w:bookmarkEnd w:id="1927"/>
    </w:p>
    <w:bookmarkEnd w:id="1923"/>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924"/>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28" w:name="_Toc7425"/>
      <w:r>
        <w:rPr>
          <w:rFonts w:hint="eastAsia" w:ascii="宋体" w:hAnsi="宋体" w:eastAsia="宋体" w:cs="宋体"/>
          <w:color w:val="auto"/>
          <w:sz w:val="21"/>
          <w:szCs w:val="21"/>
          <w:highlight w:val="none"/>
        </w:rPr>
        <w:t>13.3 工程试车</w:t>
      </w:r>
      <w:bookmarkEnd w:id="1928"/>
    </w:p>
    <w:bookmarkEnd w:id="1925"/>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929" w:name="_Toc32395"/>
      <w:r>
        <w:rPr>
          <w:rFonts w:hint="eastAsia" w:ascii="宋体" w:hAnsi="宋体" w:eastAsia="宋体" w:cs="宋体"/>
          <w:color w:val="auto"/>
          <w:kern w:val="0"/>
          <w:sz w:val="21"/>
          <w:szCs w:val="21"/>
          <w:highlight w:val="none"/>
        </w:rPr>
        <w:t>13.3.1 试车程序</w:t>
      </w:r>
      <w:bookmarkEnd w:id="1929"/>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930" w:name="_Toc4396"/>
      <w:r>
        <w:rPr>
          <w:rFonts w:hint="eastAsia" w:ascii="宋体" w:hAnsi="宋体" w:eastAsia="宋体" w:cs="宋体"/>
          <w:color w:val="auto"/>
          <w:kern w:val="0"/>
          <w:sz w:val="21"/>
          <w:szCs w:val="21"/>
          <w:highlight w:val="none"/>
        </w:rPr>
        <w:t>13.3.3 投料试车</w:t>
      </w:r>
      <w:bookmarkEnd w:id="1930"/>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31" w:name="_Toc9205"/>
      <w:r>
        <w:rPr>
          <w:rFonts w:hint="eastAsia" w:ascii="宋体" w:hAnsi="宋体" w:eastAsia="宋体" w:cs="宋体"/>
          <w:color w:val="auto"/>
          <w:sz w:val="21"/>
          <w:szCs w:val="21"/>
          <w:highlight w:val="none"/>
        </w:rPr>
        <w:t>13.6 竣工退场</w:t>
      </w:r>
      <w:bookmarkEnd w:id="1931"/>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932" w:name="_Toc31303"/>
      <w:bookmarkStart w:id="1933" w:name="_Toc351203646"/>
      <w:r>
        <w:rPr>
          <w:rFonts w:hint="eastAsia" w:ascii="宋体" w:hAnsi="宋体" w:eastAsia="宋体" w:cs="宋体"/>
          <w:b w:val="0"/>
          <w:color w:val="auto"/>
          <w:sz w:val="21"/>
          <w:szCs w:val="21"/>
          <w:highlight w:val="none"/>
        </w:rPr>
        <w:t>14. 竣工结算</w:t>
      </w:r>
      <w:bookmarkEnd w:id="1932"/>
      <w:bookmarkEnd w:id="1933"/>
    </w:p>
    <w:p>
      <w:pPr>
        <w:spacing w:after="120" w:line="360" w:lineRule="auto"/>
        <w:ind w:firstLine="420" w:firstLineChars="200"/>
        <w:outlineLvl w:val="1"/>
        <w:rPr>
          <w:rFonts w:hint="eastAsia" w:ascii="宋体" w:hAnsi="宋体" w:eastAsia="宋体" w:cs="宋体"/>
          <w:color w:val="auto"/>
          <w:sz w:val="21"/>
          <w:szCs w:val="21"/>
          <w:highlight w:val="none"/>
        </w:rPr>
      </w:pPr>
      <w:bookmarkStart w:id="1934" w:name="_Toc16190"/>
      <w:r>
        <w:rPr>
          <w:rFonts w:hint="eastAsia" w:ascii="宋体" w:hAnsi="宋体" w:eastAsia="宋体" w:cs="宋体"/>
          <w:color w:val="auto"/>
          <w:sz w:val="21"/>
          <w:szCs w:val="21"/>
          <w:highlight w:val="none"/>
        </w:rPr>
        <w:t>14.1 竣工结算申请</w:t>
      </w:r>
      <w:bookmarkEnd w:id="1934"/>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竣工结算价：</w:t>
      </w:r>
      <w:r>
        <w:rPr>
          <w:rFonts w:hint="eastAsia" w:ascii="宋体" w:hAnsi="宋体" w:eastAsia="宋体" w:cs="宋体"/>
          <w:color w:val="auto"/>
          <w:sz w:val="21"/>
          <w:szCs w:val="21"/>
          <w:highlight w:val="none"/>
          <w:u w:val="single"/>
        </w:rPr>
        <w:t>以发包人会同跟审单位、监理人、承包人根据有效资料共同确的定竣工结算金额作为合同竣工结算价，如发包人与承包人就最终结算价无法达成一致意见，双方同意以发包人委托的工程造价咨询服务单位出具的造价结论为准。承包人上报的结算工程量要求准确，不得高估冒算，根据工程结算审核结果，若审减金额超过报审金额的5%，则由承包人承担全部基本审计费和审减金额效益费。竣工结算金额不得超过合同金额的110%，若超过合同金额的110%则以合同金额的110%作为竣工结算金额。如果竣工结算金额低于110%的据实结算。</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35" w:name="_Toc31944"/>
      <w:r>
        <w:rPr>
          <w:rFonts w:hint="eastAsia" w:ascii="宋体" w:hAnsi="宋体" w:eastAsia="宋体" w:cs="宋体"/>
          <w:color w:val="auto"/>
          <w:sz w:val="21"/>
          <w:szCs w:val="21"/>
          <w:highlight w:val="none"/>
        </w:rPr>
        <w:t>14.2 竣工结算审核</w:t>
      </w:r>
      <w:bookmarkEnd w:id="1935"/>
    </w:p>
    <w:p>
      <w:pPr>
        <w:spacing w:after="120" w:line="360" w:lineRule="auto"/>
        <w:ind w:firstLine="420" w:firstLineChars="200"/>
        <w:outlineLvl w:val="1"/>
        <w:rPr>
          <w:rFonts w:hint="eastAsia" w:ascii="宋体" w:hAnsi="宋体" w:eastAsia="宋体" w:cs="宋体"/>
          <w:color w:val="auto"/>
          <w:sz w:val="21"/>
          <w:szCs w:val="21"/>
          <w:highlight w:val="none"/>
          <w:u w:val="single"/>
        </w:rPr>
      </w:pPr>
      <w:bookmarkStart w:id="1936" w:name="_Toc12879"/>
      <w:r>
        <w:rPr>
          <w:rFonts w:hint="eastAsia" w:ascii="宋体" w:hAnsi="宋体" w:eastAsia="宋体" w:cs="宋体"/>
          <w:color w:val="auto"/>
          <w:sz w:val="21"/>
          <w:szCs w:val="21"/>
          <w:highlight w:val="none"/>
          <w:u w:val="single"/>
        </w:rPr>
        <w:t>监理人审核竣工付款申请单的期限：不超过   7  日。</w:t>
      </w:r>
    </w:p>
    <w:p>
      <w:pPr>
        <w:spacing w:after="120" w:line="360" w:lineRule="auto"/>
        <w:ind w:firstLine="420" w:firstLineChars="200"/>
        <w:outlineLvl w:val="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发包人审核竣工付款申请单的期限：不超过   7  日。</w:t>
      </w:r>
    </w:p>
    <w:p>
      <w:pPr>
        <w:spacing w:after="120" w:line="360" w:lineRule="auto"/>
        <w:ind w:firstLine="420" w:firstLineChars="200"/>
        <w:outlineLvl w:val="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发包人完成竣工付款的期限：完成竣工付款申请单审核后 15 天内。</w:t>
      </w:r>
    </w:p>
    <w:p>
      <w:pPr>
        <w:spacing w:after="120" w:line="360" w:lineRule="auto"/>
        <w:ind w:firstLine="420" w:firstLineChars="200"/>
        <w:outlineLvl w:val="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关于竣工付款证书异议部分复核的方式和程序： 按照第20条〔争议解决〕约定处理。</w:t>
      </w:r>
    </w:p>
    <w:p>
      <w:pPr>
        <w:spacing w:after="120" w:line="360" w:lineRule="auto"/>
        <w:ind w:firstLine="420" w:firstLineChars="200"/>
        <w:outlineLvl w:val="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根据上级部门要求按照相关规定对本项目进行工程结算审计的，</w:t>
      </w:r>
    </w:p>
    <w:p>
      <w:pPr>
        <w:spacing w:after="120" w:line="360" w:lineRule="auto"/>
        <w:ind w:firstLine="420" w:firstLineChars="200"/>
        <w:outlineLvl w:val="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竣工结算金额不得超过合同金额的110%，若超过合同金额如最终审计结算金额与竣工结算金额有差异，应以最终审计结算金额为准，中标人承诺无条件向采购人退还超付部分金额。</w:t>
      </w:r>
    </w:p>
    <w:p>
      <w:pPr>
        <w:spacing w:after="120"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bookmarkEnd w:id="1936"/>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937" w:name="_Toc19704"/>
      <w:r>
        <w:rPr>
          <w:rFonts w:hint="eastAsia" w:ascii="宋体" w:hAnsi="宋体" w:eastAsia="宋体" w:cs="宋体"/>
          <w:color w:val="auto"/>
          <w:kern w:val="0"/>
          <w:sz w:val="21"/>
          <w:szCs w:val="21"/>
          <w:highlight w:val="none"/>
        </w:rPr>
        <w:t>14.4.1 最终结清申请单</w:t>
      </w:r>
      <w:bookmarkEnd w:id="1937"/>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938" w:name="_Toc31281"/>
      <w:r>
        <w:rPr>
          <w:rFonts w:hint="eastAsia" w:ascii="宋体" w:hAnsi="宋体" w:eastAsia="宋体" w:cs="宋体"/>
          <w:color w:val="auto"/>
          <w:sz w:val="21"/>
          <w:szCs w:val="21"/>
          <w:highlight w:val="none"/>
        </w:rPr>
        <w:t>14.4.2 最终结清证书和支付</w:t>
      </w:r>
      <w:bookmarkEnd w:id="193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913"/>
    <w:bookmarkEnd w:id="1914"/>
    <w:bookmarkEnd w:id="1915"/>
    <w:bookmarkEnd w:id="1916"/>
    <w:bookmarkEnd w:id="1917"/>
    <w:bookmarkEnd w:id="1918"/>
    <w:bookmarkEnd w:id="1919"/>
    <w:bookmarkEnd w:id="1926"/>
    <w:p>
      <w:pPr>
        <w:pStyle w:val="6"/>
        <w:spacing w:before="120" w:after="120" w:line="360" w:lineRule="auto"/>
        <w:outlineLvl w:val="0"/>
        <w:rPr>
          <w:rFonts w:hint="eastAsia" w:ascii="宋体" w:hAnsi="宋体" w:eastAsia="宋体" w:cs="宋体"/>
          <w:b w:val="0"/>
          <w:color w:val="auto"/>
          <w:sz w:val="21"/>
          <w:szCs w:val="21"/>
          <w:highlight w:val="none"/>
        </w:rPr>
      </w:pPr>
      <w:bookmarkStart w:id="1939" w:name="_Toc11805"/>
      <w:bookmarkStart w:id="1940" w:name="_Toc351203647"/>
      <w:bookmarkStart w:id="1941" w:name="_Toc267251483"/>
      <w:bookmarkStart w:id="1942" w:name="_Toc267251482"/>
      <w:bookmarkStart w:id="1943" w:name="_Toc267251484"/>
      <w:bookmarkStart w:id="1944" w:name="_Toc267251485"/>
      <w:bookmarkStart w:id="1945" w:name="_Toc267251489"/>
      <w:bookmarkStart w:id="1946" w:name="_Toc267251486"/>
      <w:bookmarkStart w:id="1947" w:name="_Toc267251488"/>
      <w:bookmarkStart w:id="1948" w:name="_Toc267251490"/>
      <w:bookmarkStart w:id="1949" w:name="_Toc267251495"/>
      <w:bookmarkStart w:id="1950" w:name="_Toc267251498"/>
      <w:bookmarkStart w:id="1951" w:name="_Toc267251502"/>
      <w:bookmarkStart w:id="1952" w:name="_Toc267251496"/>
      <w:bookmarkStart w:id="1953" w:name="_Toc267251499"/>
      <w:bookmarkStart w:id="1954" w:name="_Toc267251493"/>
      <w:bookmarkStart w:id="1955" w:name="_Toc267251503"/>
      <w:bookmarkStart w:id="1956" w:name="_Toc267251497"/>
      <w:bookmarkStart w:id="1957" w:name="_Toc267251494"/>
      <w:bookmarkStart w:id="1958" w:name="_Toc267251492"/>
      <w:bookmarkStart w:id="1959" w:name="_Toc267251501"/>
      <w:bookmarkStart w:id="1960" w:name="_Toc267251491"/>
      <w:bookmarkStart w:id="1961" w:name="_Toc267251504"/>
      <w:bookmarkStart w:id="1962" w:name="_Toc267251506"/>
      <w:bookmarkStart w:id="1963" w:name="_Toc267251507"/>
      <w:bookmarkStart w:id="1964" w:name="_Toc267251508"/>
      <w:bookmarkStart w:id="1965" w:name="_Toc267251509"/>
      <w:bookmarkStart w:id="1966" w:name="_Toc267251514"/>
      <w:bookmarkStart w:id="1967" w:name="_Toc267251510"/>
      <w:bookmarkStart w:id="1968" w:name="_Toc267251513"/>
      <w:bookmarkStart w:id="1969" w:name="_Toc267251511"/>
      <w:bookmarkStart w:id="1970" w:name="_Toc267251515"/>
      <w:r>
        <w:rPr>
          <w:rFonts w:hint="eastAsia" w:ascii="宋体" w:hAnsi="宋体" w:eastAsia="宋体" w:cs="宋体"/>
          <w:b w:val="0"/>
          <w:color w:val="auto"/>
          <w:sz w:val="21"/>
          <w:szCs w:val="21"/>
          <w:highlight w:val="none"/>
        </w:rPr>
        <w:t>15. 缺陷责任期与保修</w:t>
      </w:r>
      <w:bookmarkEnd w:id="1939"/>
      <w:bookmarkEnd w:id="1940"/>
    </w:p>
    <w:p>
      <w:pPr>
        <w:spacing w:after="120" w:line="360" w:lineRule="auto"/>
        <w:ind w:firstLine="420" w:firstLineChars="200"/>
        <w:outlineLvl w:val="1"/>
        <w:rPr>
          <w:rFonts w:hint="eastAsia" w:ascii="宋体" w:hAnsi="宋体" w:eastAsia="宋体" w:cs="宋体"/>
          <w:color w:val="auto"/>
          <w:sz w:val="21"/>
          <w:szCs w:val="21"/>
          <w:highlight w:val="none"/>
        </w:rPr>
      </w:pPr>
      <w:bookmarkStart w:id="1971" w:name="_Toc1540"/>
      <w:r>
        <w:rPr>
          <w:rFonts w:hint="eastAsia" w:ascii="宋体" w:hAnsi="宋体" w:eastAsia="宋体" w:cs="宋体"/>
          <w:color w:val="auto"/>
          <w:sz w:val="21"/>
          <w:szCs w:val="21"/>
          <w:highlight w:val="none"/>
        </w:rPr>
        <w:t>15.2缺陷责任期</w:t>
      </w:r>
      <w:bookmarkEnd w:id="1941"/>
      <w:bookmarkEnd w:id="1971"/>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72" w:name="_Toc28669"/>
      <w:r>
        <w:rPr>
          <w:rFonts w:hint="eastAsia" w:ascii="宋体" w:hAnsi="宋体" w:eastAsia="宋体" w:cs="宋体"/>
          <w:color w:val="auto"/>
          <w:sz w:val="21"/>
          <w:szCs w:val="21"/>
          <w:highlight w:val="none"/>
        </w:rPr>
        <w:t>15.3 质量保证金</w:t>
      </w:r>
      <w:bookmarkEnd w:id="1972"/>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973" w:name="_Toc14071"/>
      <w:r>
        <w:rPr>
          <w:rFonts w:hint="eastAsia" w:ascii="宋体" w:hAnsi="宋体" w:eastAsia="宋体" w:cs="宋体"/>
          <w:color w:val="auto"/>
          <w:sz w:val="21"/>
          <w:szCs w:val="21"/>
          <w:highlight w:val="none"/>
        </w:rPr>
        <w:t>15.3.1 承包人提供质量保证金的方式</w:t>
      </w:r>
      <w:bookmarkEnd w:id="197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974" w:name="_Toc1413"/>
      <w:r>
        <w:rPr>
          <w:rFonts w:hint="eastAsia" w:ascii="宋体" w:hAnsi="宋体" w:eastAsia="宋体" w:cs="宋体"/>
          <w:color w:val="auto"/>
          <w:sz w:val="21"/>
          <w:szCs w:val="21"/>
          <w:highlight w:val="none"/>
        </w:rPr>
        <w:t>15.3.2 质量保证金的扣留</w:t>
      </w:r>
      <w:bookmarkEnd w:id="1974"/>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bookmarkEnd w:id="1942"/>
    <w:bookmarkEnd w:id="1943"/>
    <w:p>
      <w:pPr>
        <w:spacing w:after="120" w:line="360" w:lineRule="auto"/>
        <w:ind w:firstLine="420" w:firstLineChars="200"/>
        <w:outlineLvl w:val="1"/>
        <w:rPr>
          <w:rFonts w:hint="eastAsia" w:ascii="宋体" w:hAnsi="宋体" w:eastAsia="宋体" w:cs="宋体"/>
          <w:color w:val="auto"/>
          <w:sz w:val="21"/>
          <w:szCs w:val="21"/>
          <w:highlight w:val="none"/>
        </w:rPr>
      </w:pPr>
      <w:bookmarkStart w:id="1975" w:name="_Toc22746"/>
      <w:r>
        <w:rPr>
          <w:rFonts w:hint="eastAsia" w:ascii="宋体" w:hAnsi="宋体" w:eastAsia="宋体" w:cs="宋体"/>
          <w:color w:val="auto"/>
          <w:sz w:val="21"/>
          <w:szCs w:val="21"/>
          <w:highlight w:val="none"/>
        </w:rPr>
        <w:t>15.4保修</w:t>
      </w:r>
      <w:bookmarkEnd w:id="1975"/>
    </w:p>
    <w:bookmarkEnd w:id="1944"/>
    <w:p>
      <w:pPr>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bookmarkEnd w:id="1945"/>
    <w:bookmarkEnd w:id="1946"/>
    <w:bookmarkEnd w:id="1947"/>
    <w:bookmarkEnd w:id="1948"/>
    <w:p>
      <w:pPr>
        <w:pStyle w:val="6"/>
        <w:spacing w:before="120" w:after="120" w:line="360" w:lineRule="auto"/>
        <w:outlineLvl w:val="0"/>
        <w:rPr>
          <w:rFonts w:hint="eastAsia" w:ascii="宋体" w:hAnsi="宋体" w:eastAsia="宋体" w:cs="宋体"/>
          <w:b w:val="0"/>
          <w:color w:val="auto"/>
          <w:sz w:val="21"/>
          <w:szCs w:val="21"/>
          <w:highlight w:val="none"/>
        </w:rPr>
      </w:pPr>
      <w:bookmarkStart w:id="1976" w:name="_Toc351203648"/>
      <w:bookmarkStart w:id="1977" w:name="_Toc26003"/>
      <w:bookmarkStart w:id="1978" w:name="_Toc280868717"/>
      <w:bookmarkStart w:id="1979" w:name="_Toc280868718"/>
      <w:r>
        <w:rPr>
          <w:rFonts w:hint="eastAsia" w:ascii="宋体" w:hAnsi="宋体" w:eastAsia="宋体" w:cs="宋体"/>
          <w:b w:val="0"/>
          <w:color w:val="auto"/>
          <w:sz w:val="21"/>
          <w:szCs w:val="21"/>
          <w:highlight w:val="none"/>
        </w:rPr>
        <w:t>16. 违约</w:t>
      </w:r>
      <w:bookmarkEnd w:id="1976"/>
      <w:bookmarkEnd w:id="1977"/>
    </w:p>
    <w:p>
      <w:pPr>
        <w:spacing w:after="120" w:line="360" w:lineRule="auto"/>
        <w:ind w:firstLine="420" w:firstLineChars="200"/>
        <w:outlineLvl w:val="1"/>
        <w:rPr>
          <w:rFonts w:hint="eastAsia" w:ascii="宋体" w:hAnsi="宋体" w:eastAsia="宋体" w:cs="宋体"/>
          <w:color w:val="auto"/>
          <w:sz w:val="21"/>
          <w:szCs w:val="21"/>
          <w:highlight w:val="none"/>
        </w:rPr>
      </w:pPr>
      <w:bookmarkStart w:id="1980" w:name="_Toc8237"/>
      <w:r>
        <w:rPr>
          <w:rFonts w:hint="eastAsia" w:ascii="宋体" w:hAnsi="宋体" w:eastAsia="宋体" w:cs="宋体"/>
          <w:color w:val="auto"/>
          <w:sz w:val="21"/>
          <w:szCs w:val="21"/>
          <w:highlight w:val="none"/>
        </w:rPr>
        <w:t>16.1 发包人违约</w:t>
      </w:r>
      <w:bookmarkEnd w:id="1980"/>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981" w:name="_Toc12092"/>
      <w:r>
        <w:rPr>
          <w:rFonts w:hint="eastAsia" w:ascii="宋体" w:hAnsi="宋体" w:eastAsia="宋体" w:cs="宋体"/>
          <w:color w:val="auto"/>
          <w:sz w:val="21"/>
          <w:szCs w:val="21"/>
          <w:highlight w:val="none"/>
        </w:rPr>
        <w:t>16.1.1发包人违约的情形</w:t>
      </w:r>
      <w:bookmarkEnd w:id="1981"/>
    </w:p>
    <w:p>
      <w:pPr>
        <w:spacing w:line="360" w:lineRule="auto"/>
        <w:ind w:left="1050" w:leftChars="200" w:hanging="630" w:hanging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left="1050" w:leftChars="0" w:hanging="1050" w:hangingChars="5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1982" w:name="_Toc25067"/>
      <w:r>
        <w:rPr>
          <w:rFonts w:hint="eastAsia" w:ascii="宋体" w:hAnsi="宋体" w:eastAsia="宋体" w:cs="宋体"/>
          <w:color w:val="auto"/>
          <w:kern w:val="0"/>
          <w:sz w:val="21"/>
          <w:szCs w:val="21"/>
          <w:highlight w:val="none"/>
        </w:rPr>
        <w:t>16.1.2 发包人违约的责任</w:t>
      </w:r>
      <w:bookmarkEnd w:id="1982"/>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983" w:name="_Toc5372"/>
      <w:r>
        <w:rPr>
          <w:rFonts w:hint="eastAsia" w:ascii="宋体" w:hAnsi="宋体" w:eastAsia="宋体" w:cs="宋体"/>
          <w:color w:val="auto"/>
          <w:sz w:val="21"/>
          <w:szCs w:val="21"/>
          <w:highlight w:val="none"/>
        </w:rPr>
        <w:t>16.1.3 因发包人违约解除合同</w:t>
      </w:r>
      <w:bookmarkEnd w:id="198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84" w:name="_Toc6747"/>
      <w:r>
        <w:rPr>
          <w:rFonts w:hint="eastAsia" w:ascii="宋体" w:hAnsi="宋体" w:eastAsia="宋体" w:cs="宋体"/>
          <w:color w:val="auto"/>
          <w:sz w:val="21"/>
          <w:szCs w:val="21"/>
          <w:highlight w:val="none"/>
        </w:rPr>
        <w:t>16.2 承包人违约</w:t>
      </w:r>
      <w:bookmarkEnd w:id="1984"/>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985" w:name="_Toc28343"/>
      <w:r>
        <w:rPr>
          <w:rFonts w:hint="eastAsia" w:ascii="宋体" w:hAnsi="宋体" w:eastAsia="宋体" w:cs="宋体"/>
          <w:color w:val="auto"/>
          <w:kern w:val="0"/>
          <w:sz w:val="21"/>
          <w:szCs w:val="21"/>
          <w:highlight w:val="none"/>
        </w:rPr>
        <w:t>16.2.1 承包人违约的情形</w:t>
      </w:r>
      <w:bookmarkEnd w:id="1985"/>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1986" w:name="_Toc4212"/>
      <w:r>
        <w:rPr>
          <w:rFonts w:hint="eastAsia" w:ascii="宋体" w:hAnsi="宋体" w:eastAsia="宋体" w:cs="宋体"/>
          <w:color w:val="auto"/>
          <w:kern w:val="0"/>
          <w:sz w:val="21"/>
          <w:szCs w:val="21"/>
          <w:highlight w:val="none"/>
        </w:rPr>
        <w:t>16.2.2承包人违约的责任</w:t>
      </w:r>
      <w:bookmarkEnd w:id="1986"/>
    </w:p>
    <w:p>
      <w:pPr>
        <w:spacing w:line="360" w:lineRule="auto"/>
        <w:ind w:left="1050" w:leftChars="200" w:hanging="630" w:hangingChars="3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1987" w:name="_Toc16924"/>
      <w:r>
        <w:rPr>
          <w:rFonts w:hint="eastAsia" w:ascii="宋体" w:hAnsi="宋体" w:eastAsia="宋体" w:cs="宋体"/>
          <w:color w:val="auto"/>
          <w:sz w:val="21"/>
          <w:szCs w:val="21"/>
          <w:highlight w:val="none"/>
        </w:rPr>
        <w:t>16.2.3 因承包人违约解除合同</w:t>
      </w:r>
      <w:bookmarkEnd w:id="1987"/>
    </w:p>
    <w:p>
      <w:pPr>
        <w:spacing w:before="120" w:after="12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before="120" w:after="12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spacing w:before="120" w:after="120" w:line="360" w:lineRule="auto"/>
        <w:outlineLvl w:val="0"/>
        <w:rPr>
          <w:rFonts w:hint="eastAsia" w:ascii="宋体" w:hAnsi="宋体" w:eastAsia="宋体" w:cs="宋体"/>
          <w:b w:val="0"/>
          <w:color w:val="auto"/>
          <w:sz w:val="21"/>
          <w:szCs w:val="21"/>
          <w:highlight w:val="none"/>
        </w:rPr>
      </w:pPr>
      <w:bookmarkStart w:id="1988" w:name="_Toc13367"/>
      <w:bookmarkStart w:id="1989" w:name="_Toc351203649"/>
      <w:r>
        <w:rPr>
          <w:rFonts w:hint="eastAsia" w:ascii="宋体" w:hAnsi="宋体" w:eastAsia="宋体" w:cs="宋体"/>
          <w:b w:val="0"/>
          <w:color w:val="auto"/>
          <w:sz w:val="21"/>
          <w:szCs w:val="21"/>
          <w:highlight w:val="none"/>
        </w:rPr>
        <w:t>17. 不可抗力</w:t>
      </w:r>
      <w:bookmarkEnd w:id="1988"/>
      <w:bookmarkEnd w:id="1989"/>
      <w:r>
        <w:rPr>
          <w:rFonts w:hint="eastAsia" w:ascii="宋体" w:hAnsi="宋体" w:eastAsia="宋体" w:cs="宋体"/>
          <w:b w:val="0"/>
          <w:color w:val="auto"/>
          <w:sz w:val="21"/>
          <w:szCs w:val="21"/>
          <w:highlight w:val="none"/>
        </w:rPr>
        <w:t xml:space="preserve"> </w:t>
      </w:r>
      <w:bookmarkEnd w:id="1978"/>
    </w:p>
    <w:p>
      <w:pPr>
        <w:spacing w:after="120" w:line="360" w:lineRule="auto"/>
        <w:ind w:firstLine="420" w:firstLineChars="200"/>
        <w:outlineLvl w:val="1"/>
        <w:rPr>
          <w:rFonts w:hint="eastAsia" w:ascii="宋体" w:hAnsi="宋体" w:eastAsia="宋体" w:cs="宋体"/>
          <w:color w:val="auto"/>
          <w:sz w:val="21"/>
          <w:szCs w:val="21"/>
          <w:highlight w:val="none"/>
        </w:rPr>
      </w:pPr>
      <w:bookmarkStart w:id="1990" w:name="_Toc6944"/>
      <w:r>
        <w:rPr>
          <w:rFonts w:hint="eastAsia" w:ascii="宋体" w:hAnsi="宋体" w:eastAsia="宋体" w:cs="宋体"/>
          <w:color w:val="auto"/>
          <w:sz w:val="21"/>
          <w:szCs w:val="21"/>
          <w:highlight w:val="none"/>
        </w:rPr>
        <w:t>17.1 不可抗力的确认</w:t>
      </w:r>
      <w:bookmarkEnd w:id="1990"/>
    </w:p>
    <w:p>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91" w:name="_Toc30567"/>
      <w:r>
        <w:rPr>
          <w:rFonts w:hint="eastAsia" w:ascii="宋体" w:hAnsi="宋体" w:eastAsia="宋体" w:cs="宋体"/>
          <w:color w:val="auto"/>
          <w:sz w:val="21"/>
          <w:szCs w:val="21"/>
          <w:highlight w:val="none"/>
        </w:rPr>
        <w:t>17.4 因不可抗力解除合同</w:t>
      </w:r>
      <w:bookmarkEnd w:id="199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pPr>
        <w:pStyle w:val="6"/>
        <w:spacing w:before="120" w:after="120" w:line="360" w:lineRule="auto"/>
        <w:outlineLvl w:val="0"/>
        <w:rPr>
          <w:rFonts w:hint="eastAsia" w:ascii="宋体" w:hAnsi="宋体" w:eastAsia="宋体" w:cs="宋体"/>
          <w:b w:val="0"/>
          <w:color w:val="auto"/>
          <w:sz w:val="21"/>
          <w:szCs w:val="21"/>
          <w:highlight w:val="none"/>
        </w:rPr>
      </w:pPr>
      <w:bookmarkStart w:id="1992" w:name="_Toc5503"/>
      <w:bookmarkStart w:id="1993" w:name="_Toc351203650"/>
      <w:r>
        <w:rPr>
          <w:rFonts w:hint="eastAsia" w:ascii="宋体" w:hAnsi="宋体" w:eastAsia="宋体" w:cs="宋体"/>
          <w:b w:val="0"/>
          <w:color w:val="auto"/>
          <w:sz w:val="21"/>
          <w:szCs w:val="21"/>
          <w:highlight w:val="none"/>
        </w:rPr>
        <w:t>18. 保险</w:t>
      </w:r>
      <w:bookmarkEnd w:id="1992"/>
      <w:bookmarkEnd w:id="1993"/>
    </w:p>
    <w:bookmarkEnd w:id="1979"/>
    <w:p>
      <w:pPr>
        <w:spacing w:after="120" w:line="360" w:lineRule="auto"/>
        <w:ind w:firstLine="420" w:firstLineChars="200"/>
        <w:outlineLvl w:val="1"/>
        <w:rPr>
          <w:rFonts w:hint="eastAsia" w:ascii="宋体" w:hAnsi="宋体" w:eastAsia="宋体" w:cs="宋体"/>
          <w:color w:val="auto"/>
          <w:sz w:val="21"/>
          <w:szCs w:val="21"/>
          <w:highlight w:val="none"/>
        </w:rPr>
      </w:pPr>
      <w:bookmarkStart w:id="1994" w:name="_Toc12447"/>
      <w:r>
        <w:rPr>
          <w:rFonts w:hint="eastAsia" w:ascii="宋体" w:hAnsi="宋体" w:eastAsia="宋体" w:cs="宋体"/>
          <w:color w:val="auto"/>
          <w:sz w:val="21"/>
          <w:szCs w:val="21"/>
          <w:highlight w:val="none"/>
        </w:rPr>
        <w:t>18.1 工程保险</w:t>
      </w:r>
      <w:bookmarkEnd w:id="1994"/>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95" w:name="_Toc5243"/>
      <w:r>
        <w:rPr>
          <w:rFonts w:hint="eastAsia" w:ascii="宋体" w:hAnsi="宋体" w:eastAsia="宋体" w:cs="宋体"/>
          <w:color w:val="auto"/>
          <w:sz w:val="21"/>
          <w:szCs w:val="21"/>
          <w:highlight w:val="none"/>
        </w:rPr>
        <w:t>18.3 其他保险</w:t>
      </w:r>
      <w:bookmarkEnd w:id="1995"/>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1996" w:name="_Toc18657"/>
      <w:r>
        <w:rPr>
          <w:rFonts w:hint="eastAsia" w:ascii="宋体" w:hAnsi="宋体" w:eastAsia="宋体" w:cs="宋体"/>
          <w:color w:val="auto"/>
          <w:sz w:val="21"/>
          <w:szCs w:val="21"/>
          <w:highlight w:val="none"/>
        </w:rPr>
        <w:t>18.7 通知义务</w:t>
      </w:r>
      <w:bookmarkEnd w:id="1996"/>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949"/>
    <w:bookmarkEnd w:id="1950"/>
    <w:bookmarkEnd w:id="1951"/>
    <w:bookmarkEnd w:id="1952"/>
    <w:bookmarkEnd w:id="1953"/>
    <w:bookmarkEnd w:id="1954"/>
    <w:bookmarkEnd w:id="1955"/>
    <w:bookmarkEnd w:id="1956"/>
    <w:bookmarkEnd w:id="1957"/>
    <w:bookmarkEnd w:id="1958"/>
    <w:bookmarkEnd w:id="1959"/>
    <w:bookmarkEnd w:id="1960"/>
    <w:p>
      <w:pPr>
        <w:pStyle w:val="6"/>
        <w:spacing w:before="120" w:after="120" w:line="360" w:lineRule="auto"/>
        <w:outlineLvl w:val="0"/>
        <w:rPr>
          <w:rFonts w:hint="eastAsia" w:ascii="宋体" w:hAnsi="宋体" w:eastAsia="宋体" w:cs="宋体"/>
          <w:b w:val="0"/>
          <w:color w:val="auto"/>
          <w:sz w:val="21"/>
          <w:szCs w:val="21"/>
          <w:highlight w:val="none"/>
        </w:rPr>
      </w:pPr>
      <w:bookmarkStart w:id="1997" w:name="_Toc351203651"/>
      <w:bookmarkStart w:id="1998" w:name="_Toc19628"/>
      <w:r>
        <w:rPr>
          <w:rFonts w:hint="eastAsia" w:ascii="宋体" w:hAnsi="宋体" w:eastAsia="宋体" w:cs="宋体"/>
          <w:b w:val="0"/>
          <w:color w:val="auto"/>
          <w:sz w:val="21"/>
          <w:szCs w:val="21"/>
          <w:highlight w:val="none"/>
        </w:rPr>
        <w:t>20. 争议解决</w:t>
      </w:r>
      <w:bookmarkEnd w:id="1997"/>
      <w:bookmarkEnd w:id="1998"/>
    </w:p>
    <w:bookmarkEnd w:id="1961"/>
    <w:bookmarkEnd w:id="1962"/>
    <w:p>
      <w:pPr>
        <w:spacing w:after="120" w:line="360" w:lineRule="auto"/>
        <w:ind w:firstLine="420" w:firstLineChars="200"/>
        <w:outlineLvl w:val="1"/>
        <w:rPr>
          <w:rFonts w:hint="eastAsia" w:ascii="宋体" w:hAnsi="宋体" w:eastAsia="宋体" w:cs="宋体"/>
          <w:color w:val="auto"/>
          <w:sz w:val="21"/>
          <w:szCs w:val="21"/>
          <w:highlight w:val="none"/>
        </w:rPr>
      </w:pPr>
      <w:bookmarkStart w:id="1999" w:name="_Toc23426"/>
      <w:r>
        <w:rPr>
          <w:rFonts w:hint="eastAsia" w:ascii="宋体" w:hAnsi="宋体" w:eastAsia="宋体" w:cs="宋体"/>
          <w:color w:val="auto"/>
          <w:sz w:val="21"/>
          <w:szCs w:val="21"/>
          <w:highlight w:val="none"/>
        </w:rPr>
        <w:t>20.3 争</w:t>
      </w:r>
      <w:bookmarkEnd w:id="1963"/>
      <w:r>
        <w:rPr>
          <w:rFonts w:hint="eastAsia" w:ascii="宋体" w:hAnsi="宋体" w:eastAsia="宋体" w:cs="宋体"/>
          <w:color w:val="auto"/>
          <w:sz w:val="21"/>
          <w:szCs w:val="21"/>
          <w:highlight w:val="none"/>
        </w:rPr>
        <w:t>议评审</w:t>
      </w:r>
      <w:bookmarkEnd w:id="199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jc w:val="left"/>
        <w:outlineLvl w:val="2"/>
        <w:rPr>
          <w:rFonts w:hint="eastAsia" w:ascii="宋体" w:hAnsi="宋体" w:eastAsia="宋体" w:cs="宋体"/>
          <w:color w:val="auto"/>
          <w:sz w:val="21"/>
          <w:szCs w:val="21"/>
          <w:highlight w:val="none"/>
        </w:rPr>
      </w:pPr>
      <w:bookmarkStart w:id="2000" w:name="_Toc10442"/>
      <w:r>
        <w:rPr>
          <w:rFonts w:hint="eastAsia" w:ascii="宋体" w:hAnsi="宋体" w:eastAsia="宋体" w:cs="宋体"/>
          <w:color w:val="auto"/>
          <w:sz w:val="21"/>
          <w:szCs w:val="21"/>
          <w:highlight w:val="none"/>
        </w:rPr>
        <w:t>20.3.1 争议评审小组的确定</w:t>
      </w:r>
      <w:bookmarkEnd w:id="2000"/>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adjustRightInd w:val="0"/>
        <w:spacing w:line="360" w:lineRule="auto"/>
        <w:ind w:firstLine="420" w:firstLineChars="200"/>
        <w:jc w:val="left"/>
        <w:outlineLvl w:val="2"/>
        <w:rPr>
          <w:rFonts w:hint="eastAsia" w:ascii="宋体" w:hAnsi="宋体" w:eastAsia="宋体" w:cs="宋体"/>
          <w:color w:val="auto"/>
          <w:kern w:val="0"/>
          <w:sz w:val="21"/>
          <w:szCs w:val="21"/>
          <w:highlight w:val="none"/>
        </w:rPr>
      </w:pPr>
      <w:bookmarkStart w:id="2001" w:name="_Toc14918"/>
      <w:r>
        <w:rPr>
          <w:rFonts w:hint="eastAsia" w:ascii="宋体" w:hAnsi="宋体" w:eastAsia="宋体" w:cs="宋体"/>
          <w:color w:val="auto"/>
          <w:kern w:val="0"/>
          <w:sz w:val="21"/>
          <w:szCs w:val="21"/>
          <w:highlight w:val="none"/>
        </w:rPr>
        <w:t>20.3.2 争议评审小组的决定</w:t>
      </w:r>
      <w:bookmarkEnd w:id="200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120" w:line="360" w:lineRule="auto"/>
        <w:ind w:firstLine="420" w:firstLineChars="200"/>
        <w:outlineLvl w:val="1"/>
        <w:rPr>
          <w:rFonts w:hint="eastAsia" w:ascii="宋体" w:hAnsi="宋体" w:eastAsia="宋体" w:cs="宋体"/>
          <w:color w:val="auto"/>
          <w:sz w:val="21"/>
          <w:szCs w:val="21"/>
          <w:highlight w:val="none"/>
        </w:rPr>
      </w:pPr>
      <w:bookmarkStart w:id="2002" w:name="_Toc9675"/>
      <w:r>
        <w:rPr>
          <w:rFonts w:hint="eastAsia" w:ascii="宋体" w:hAnsi="宋体" w:eastAsia="宋体" w:cs="宋体"/>
          <w:color w:val="auto"/>
          <w:sz w:val="21"/>
          <w:szCs w:val="21"/>
          <w:highlight w:val="none"/>
        </w:rPr>
        <w:t>20.4仲裁或诉讼</w:t>
      </w:r>
      <w:bookmarkEnd w:id="1964"/>
      <w:bookmarkEnd w:id="2002"/>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bookmarkEnd w:id="1965"/>
      <w:bookmarkEnd w:id="1966"/>
      <w:bookmarkEnd w:id="1967"/>
      <w:bookmarkEnd w:id="1968"/>
      <w:bookmarkEnd w:id="1969"/>
      <w:bookmarkEnd w:id="1970"/>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bookmarkStart w:id="2003" w:name="_Toc351203652"/>
      <w:r>
        <w:rPr>
          <w:rFonts w:hint="eastAsia" w:ascii="宋体" w:hAnsi="宋体" w:eastAsia="宋体" w:cs="宋体"/>
          <w:b/>
          <w:color w:val="auto"/>
          <w:sz w:val="21"/>
          <w:szCs w:val="21"/>
          <w:highlight w:val="none"/>
        </w:rPr>
        <w:t>附件</w:t>
      </w:r>
      <w:bookmarkEnd w:id="2003"/>
    </w:p>
    <w:p>
      <w:pPr>
        <w:spacing w:line="360" w:lineRule="auto"/>
        <w:jc w:val="left"/>
        <w:outlineLvl w:val="0"/>
        <w:rPr>
          <w:rFonts w:hint="eastAsia" w:ascii="宋体" w:hAnsi="宋体" w:eastAsia="宋体" w:cs="宋体"/>
          <w:color w:val="auto"/>
          <w:sz w:val="21"/>
          <w:szCs w:val="21"/>
          <w:highlight w:val="none"/>
        </w:rPr>
      </w:pPr>
      <w:bookmarkStart w:id="2004" w:name="_Toc8065"/>
      <w:r>
        <w:rPr>
          <w:rFonts w:hint="eastAsia" w:ascii="宋体" w:hAnsi="宋体" w:eastAsia="宋体" w:cs="宋体"/>
          <w:color w:val="auto"/>
          <w:sz w:val="21"/>
          <w:szCs w:val="21"/>
          <w:highlight w:val="none"/>
        </w:rPr>
        <w:t>协议书附件：</w:t>
      </w:r>
      <w:bookmarkEnd w:id="2004"/>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pPr>
        <w:spacing w:line="360" w:lineRule="auto"/>
        <w:jc w:val="left"/>
        <w:rPr>
          <w:rFonts w:hint="eastAsia" w:ascii="宋体" w:hAnsi="宋体" w:eastAsia="宋体" w:cs="宋体"/>
          <w:color w:val="auto"/>
          <w:sz w:val="21"/>
          <w:szCs w:val="21"/>
          <w:highlight w:val="none"/>
        </w:rPr>
        <w:sectPr>
          <w:footerReference r:id="rId12" w:type="first"/>
          <w:footerReference r:id="rId11" w:type="default"/>
          <w:pgSz w:w="11906" w:h="16838"/>
          <w:pgMar w:top="1418" w:right="1555" w:bottom="1418" w:left="1531" w:header="851" w:footer="992" w:gutter="0"/>
          <w:pgNumType w:fmt="decimal" w:start="25"/>
          <w:cols w:space="720" w:num="1"/>
          <w:titlePg/>
          <w:docGrid w:type="lines" w:linePitch="312" w:charSpace="0"/>
        </w:sectPr>
      </w:pPr>
      <w:r>
        <w:rPr>
          <w:rFonts w:hint="eastAsia" w:ascii="宋体" w:hAnsi="宋体" w:eastAsia="宋体" w:cs="宋体"/>
          <w:color w:val="auto"/>
          <w:sz w:val="21"/>
          <w:szCs w:val="21"/>
          <w:highlight w:val="none"/>
        </w:rPr>
        <w:t>附件11：暂估价一览表</w:t>
      </w:r>
    </w:p>
    <w:p>
      <w:pPr>
        <w:spacing w:before="156" w:beforeLines="50" w:after="156" w:afterLines="50" w:line="440" w:lineRule="exact"/>
        <w:jc w:val="left"/>
        <w:outlineLvl w:val="0"/>
        <w:rPr>
          <w:rFonts w:hint="eastAsia" w:ascii="宋体" w:hAnsi="宋体" w:eastAsia="宋体" w:cs="宋体"/>
          <w:color w:val="auto"/>
          <w:sz w:val="21"/>
          <w:szCs w:val="21"/>
          <w:highlight w:val="none"/>
        </w:rPr>
      </w:pPr>
      <w:bookmarkStart w:id="2005" w:name="_Toc26882"/>
      <w:r>
        <w:rPr>
          <w:rFonts w:hint="eastAsia" w:ascii="宋体" w:hAnsi="宋体" w:eastAsia="宋体" w:cs="宋体"/>
          <w:color w:val="auto"/>
          <w:sz w:val="21"/>
          <w:szCs w:val="21"/>
          <w:highlight w:val="none"/>
        </w:rPr>
        <w:t>附件1：</w:t>
      </w:r>
      <w:bookmarkEnd w:id="2005"/>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4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41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8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41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56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212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outlineLvl w:val="0"/>
        <w:rPr>
          <w:rFonts w:hint="eastAsia" w:ascii="宋体" w:hAnsi="宋体" w:eastAsia="宋体" w:cs="宋体"/>
          <w:color w:val="auto"/>
          <w:sz w:val="21"/>
          <w:szCs w:val="21"/>
          <w:highlight w:val="none"/>
        </w:rPr>
      </w:pPr>
      <w:bookmarkStart w:id="2006" w:name="_Toc26179"/>
      <w:r>
        <w:rPr>
          <w:rFonts w:hint="eastAsia" w:ascii="宋体" w:hAnsi="宋体" w:eastAsia="宋体" w:cs="宋体"/>
          <w:color w:val="auto"/>
          <w:sz w:val="21"/>
          <w:szCs w:val="21"/>
          <w:highlight w:val="none"/>
        </w:rPr>
        <w:t>附</w:t>
      </w:r>
      <w:bookmarkStart w:id="2007" w:name="_Toc267261692"/>
      <w:bookmarkStart w:id="2008" w:name="_Toc296944564"/>
      <w:bookmarkStart w:id="2009" w:name="_Toc296891265"/>
      <w:bookmarkStart w:id="2010" w:name="_Toc296503225"/>
      <w:bookmarkStart w:id="2011" w:name="_Toc296891053"/>
      <w:bookmarkStart w:id="2012" w:name="_Toc296347224"/>
      <w:bookmarkStart w:id="2013" w:name="_Toc296346726"/>
      <w:r>
        <w:rPr>
          <w:rFonts w:hint="eastAsia" w:ascii="宋体" w:hAnsi="宋体" w:eastAsia="宋体" w:cs="宋体"/>
          <w:color w:val="auto"/>
          <w:sz w:val="21"/>
          <w:szCs w:val="21"/>
          <w:highlight w:val="none"/>
        </w:rPr>
        <w:t>件2：</w:t>
      </w:r>
      <w:bookmarkEnd w:id="2006"/>
    </w:p>
    <w:bookmarkEnd w:id="2007"/>
    <w:bookmarkEnd w:id="2008"/>
    <w:bookmarkEnd w:id="2009"/>
    <w:bookmarkEnd w:id="2010"/>
    <w:bookmarkEnd w:id="2011"/>
    <w:bookmarkEnd w:id="2012"/>
    <w:bookmarkEnd w:id="2013"/>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47"/>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276"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pPr>
              <w:pStyle w:val="18"/>
              <w:keepNext/>
              <w:spacing w:after="0" w:line="440" w:lineRule="exact"/>
              <w:ind w:left="0" w:leftChars="0" w:right="63"/>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94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85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992"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85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992"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4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4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9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int="eastAsia" w:ascii="宋体" w:hAnsi="宋体" w:eastAsia="宋体" w:cs="宋体"/>
                <w:color w:val="auto"/>
                <w:sz w:val="21"/>
                <w:szCs w:val="21"/>
                <w:highlight w:val="none"/>
              </w:rPr>
            </w:pPr>
          </w:p>
        </w:tc>
        <w:tc>
          <w:tcPr>
            <w:tcW w:w="1276" w:type="dxa"/>
            <w:vAlign w:val="center"/>
          </w:tcPr>
          <w:p>
            <w:pPr>
              <w:jc w:val="center"/>
              <w:rPr>
                <w:rFonts w:hint="eastAsia" w:ascii="宋体" w:hAnsi="宋体" w:eastAsia="宋体" w:cs="宋体"/>
                <w:color w:val="auto"/>
                <w:sz w:val="21"/>
                <w:szCs w:val="21"/>
                <w:highlight w:val="none"/>
              </w:rPr>
            </w:pPr>
          </w:p>
        </w:tc>
        <w:tc>
          <w:tcPr>
            <w:tcW w:w="1418" w:type="dxa"/>
            <w:vAlign w:val="center"/>
          </w:tcPr>
          <w:p>
            <w:pPr>
              <w:jc w:val="center"/>
              <w:rPr>
                <w:rFonts w:hint="eastAsia" w:ascii="宋体" w:hAnsi="宋体" w:eastAsia="宋体" w:cs="宋体"/>
                <w:color w:val="auto"/>
                <w:sz w:val="21"/>
                <w:szCs w:val="21"/>
                <w:highlight w:val="none"/>
              </w:rPr>
            </w:pPr>
          </w:p>
        </w:tc>
        <w:tc>
          <w:tcPr>
            <w:tcW w:w="940"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044"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c>
          <w:tcPr>
            <w:tcW w:w="851" w:type="dxa"/>
            <w:vAlign w:val="center"/>
          </w:tcPr>
          <w:p>
            <w:pPr>
              <w:jc w:val="center"/>
              <w:rPr>
                <w:rFonts w:hint="eastAsia" w:ascii="宋体" w:hAnsi="宋体" w:eastAsia="宋体" w:cs="宋体"/>
                <w:color w:val="auto"/>
                <w:sz w:val="21"/>
                <w:szCs w:val="21"/>
                <w:highlight w:val="none"/>
              </w:rPr>
            </w:pPr>
          </w:p>
        </w:tc>
        <w:tc>
          <w:tcPr>
            <w:tcW w:w="1487" w:type="dxa"/>
            <w:vAlign w:val="center"/>
          </w:tcPr>
          <w:p>
            <w:pPr>
              <w:jc w:val="center"/>
              <w:rPr>
                <w:rFonts w:hint="eastAsia" w:ascii="宋体" w:hAnsi="宋体" w:eastAsia="宋体" w:cs="宋体"/>
                <w:color w:val="auto"/>
                <w:sz w:val="21"/>
                <w:szCs w:val="21"/>
                <w:highlight w:val="none"/>
              </w:rPr>
            </w:pPr>
          </w:p>
        </w:tc>
        <w:tc>
          <w:tcPr>
            <w:tcW w:w="992" w:type="dxa"/>
            <w:vAlign w:val="center"/>
          </w:tcPr>
          <w:p>
            <w:pPr>
              <w:jc w:val="cente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bookmarkStart w:id="2014" w:name="_Toc10273"/>
      <w:r>
        <w:rPr>
          <w:rFonts w:hint="eastAsia" w:ascii="宋体" w:hAnsi="宋体" w:eastAsia="宋体" w:cs="宋体"/>
          <w:color w:val="auto"/>
          <w:sz w:val="21"/>
          <w:szCs w:val="21"/>
          <w:highlight w:val="none"/>
        </w:rPr>
        <w:br w:type="page"/>
      </w:r>
    </w:p>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2015" w:name="_Toc296347225"/>
      <w:bookmarkStart w:id="2016" w:name="_Toc296944565"/>
      <w:bookmarkStart w:id="2017" w:name="_Toc296503226"/>
      <w:bookmarkStart w:id="2018" w:name="_Toc296891266"/>
      <w:bookmarkStart w:id="2019" w:name="_Toc296346727"/>
      <w:bookmarkStart w:id="2020" w:name="_Toc296891054"/>
      <w:bookmarkStart w:id="2021" w:name="_Toc267261693"/>
      <w:r>
        <w:rPr>
          <w:rFonts w:hint="eastAsia" w:ascii="宋体" w:hAnsi="宋体" w:eastAsia="宋体" w:cs="宋体"/>
          <w:color w:val="auto"/>
          <w:sz w:val="21"/>
          <w:szCs w:val="21"/>
          <w:highlight w:val="none"/>
        </w:rPr>
        <w:t>件3：</w:t>
      </w:r>
      <w:bookmarkEnd w:id="2014"/>
      <w:bookmarkEnd w:id="2015"/>
      <w:bookmarkEnd w:id="2016"/>
      <w:bookmarkEnd w:id="2017"/>
      <w:bookmarkEnd w:id="2018"/>
      <w:bookmarkEnd w:id="2019"/>
      <w:bookmarkEnd w:id="2020"/>
      <w:bookmarkEnd w:id="2021"/>
      <w:r>
        <w:rPr>
          <w:rFonts w:hint="eastAsia" w:ascii="宋体" w:hAnsi="宋体" w:eastAsia="宋体" w:cs="宋体"/>
          <w:color w:val="auto"/>
          <w:sz w:val="21"/>
          <w:szCs w:val="21"/>
          <w:highlight w:val="none"/>
        </w:rPr>
        <w:t xml:space="preserve">    </w:t>
      </w: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二、质量保修期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     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四、质量保修责任</w:t>
      </w:r>
    </w:p>
    <w:p>
      <w:pPr>
        <w:spacing w:line="36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spacing w:line="36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五、保修费用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bookmarkStart w:id="2022" w:name="_Toc8404"/>
      <w:r>
        <w:rPr>
          <w:rFonts w:hint="eastAsia" w:ascii="宋体" w:hAnsi="宋体" w:eastAsia="宋体" w:cs="宋体"/>
          <w:color w:val="auto"/>
          <w:sz w:val="21"/>
          <w:szCs w:val="21"/>
          <w:highlight w:val="none"/>
        </w:rPr>
        <w:t>附件4：</w:t>
      </w:r>
      <w:bookmarkEnd w:id="2022"/>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tbl>
      <w:tblPr>
        <w:tblStyle w:val="47"/>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276"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667" w:type="dxa"/>
            <w:tcBorders>
              <w:top w:val="single" w:color="auto" w:sz="12" w:space="0"/>
              <w:bottom w:val="double" w:color="auto" w:sz="6"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43"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667"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rPr>
                <w:rFonts w:hint="eastAsia" w:ascii="宋体" w:hAnsi="宋体" w:eastAsia="宋体" w:cs="宋体"/>
                <w:color w:val="auto"/>
                <w:sz w:val="21"/>
                <w:szCs w:val="21"/>
                <w:highlight w:val="none"/>
              </w:rPr>
            </w:pPr>
          </w:p>
        </w:tc>
        <w:tc>
          <w:tcPr>
            <w:tcW w:w="1276"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243" w:type="dxa"/>
            <w:vAlign w:val="top"/>
          </w:tcPr>
          <w:p>
            <w:pPr>
              <w:rPr>
                <w:rFonts w:hint="eastAsia" w:ascii="宋体" w:hAnsi="宋体" w:eastAsia="宋体" w:cs="宋体"/>
                <w:color w:val="auto"/>
                <w:sz w:val="21"/>
                <w:szCs w:val="21"/>
                <w:highlight w:val="none"/>
              </w:rPr>
            </w:pPr>
          </w:p>
        </w:tc>
        <w:tc>
          <w:tcPr>
            <w:tcW w:w="1450" w:type="dxa"/>
            <w:vAlign w:val="top"/>
          </w:tcPr>
          <w:p>
            <w:pPr>
              <w:rPr>
                <w:rFonts w:hint="eastAsia" w:ascii="宋体" w:hAnsi="宋体" w:eastAsia="宋体" w:cs="宋体"/>
                <w:color w:val="auto"/>
                <w:sz w:val="21"/>
                <w:szCs w:val="21"/>
                <w:highlight w:val="none"/>
              </w:rPr>
            </w:pPr>
          </w:p>
        </w:tc>
        <w:tc>
          <w:tcPr>
            <w:tcW w:w="1667" w:type="dxa"/>
            <w:vAlign w:val="top"/>
          </w:tcPr>
          <w:p>
            <w:pP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1"/>
          <w:szCs w:val="21"/>
          <w:highlight w:val="none"/>
        </w:rPr>
      </w:pPr>
    </w:p>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023" w:name="_Toc31301"/>
      <w:r>
        <w:rPr>
          <w:rFonts w:hint="eastAsia" w:ascii="宋体" w:hAnsi="宋体" w:eastAsia="宋体" w:cs="宋体"/>
          <w:color w:val="auto"/>
          <w:sz w:val="21"/>
          <w:szCs w:val="21"/>
          <w:highlight w:val="none"/>
        </w:rPr>
        <w:t>附</w:t>
      </w:r>
      <w:bookmarkStart w:id="2024" w:name="_Toc296944566"/>
      <w:bookmarkStart w:id="2025" w:name="_Toc296503227"/>
      <w:bookmarkStart w:id="2026" w:name="_Toc296346728"/>
      <w:bookmarkStart w:id="2027" w:name="_Toc296891267"/>
      <w:bookmarkStart w:id="2028" w:name="_Toc267261698"/>
      <w:bookmarkStart w:id="2029" w:name="_Toc296347226"/>
      <w:bookmarkStart w:id="2030" w:name="_Toc296891055"/>
      <w:r>
        <w:rPr>
          <w:rFonts w:hint="eastAsia" w:ascii="宋体" w:hAnsi="宋体" w:eastAsia="宋体" w:cs="宋体"/>
          <w:color w:val="auto"/>
          <w:sz w:val="21"/>
          <w:szCs w:val="21"/>
          <w:highlight w:val="none"/>
        </w:rPr>
        <w:t>件5：</w:t>
      </w:r>
      <w:bookmarkEnd w:id="2023"/>
    </w:p>
    <w:bookmarkEnd w:id="2024"/>
    <w:bookmarkEnd w:id="2025"/>
    <w:bookmarkEnd w:id="2026"/>
    <w:bookmarkEnd w:id="2027"/>
    <w:bookmarkEnd w:id="2028"/>
    <w:bookmarkEnd w:id="2029"/>
    <w:bookmarkEnd w:id="2030"/>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4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102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48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1020"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92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5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8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020"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921"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rPr>
                <w:rFonts w:hint="eastAsia" w:ascii="宋体" w:hAnsi="宋体" w:eastAsia="宋体" w:cs="宋体"/>
                <w:color w:val="auto"/>
                <w:sz w:val="21"/>
                <w:szCs w:val="21"/>
                <w:highlight w:val="none"/>
              </w:rPr>
            </w:pPr>
          </w:p>
        </w:tc>
        <w:tc>
          <w:tcPr>
            <w:tcW w:w="1418" w:type="dxa"/>
            <w:vAlign w:val="top"/>
          </w:tcPr>
          <w:p>
            <w:pPr>
              <w:rPr>
                <w:rFonts w:hint="eastAsia" w:ascii="宋体" w:hAnsi="宋体" w:eastAsia="宋体" w:cs="宋体"/>
                <w:color w:val="auto"/>
                <w:sz w:val="21"/>
                <w:szCs w:val="21"/>
                <w:highlight w:val="none"/>
              </w:rPr>
            </w:pPr>
          </w:p>
        </w:tc>
        <w:tc>
          <w:tcPr>
            <w:tcW w:w="850" w:type="dxa"/>
            <w:vAlign w:val="top"/>
          </w:tcPr>
          <w:p>
            <w:pPr>
              <w:rPr>
                <w:rFonts w:hint="eastAsia" w:ascii="宋体" w:hAnsi="宋体" w:eastAsia="宋体" w:cs="宋体"/>
                <w:color w:val="auto"/>
                <w:sz w:val="21"/>
                <w:szCs w:val="21"/>
                <w:highlight w:val="none"/>
              </w:rPr>
            </w:pPr>
          </w:p>
        </w:tc>
        <w:tc>
          <w:tcPr>
            <w:tcW w:w="1058" w:type="dxa"/>
            <w:vAlign w:val="top"/>
          </w:tcPr>
          <w:p>
            <w:pPr>
              <w:rPr>
                <w:rFonts w:hint="eastAsia" w:ascii="宋体" w:hAnsi="宋体" w:eastAsia="宋体" w:cs="宋体"/>
                <w:color w:val="auto"/>
                <w:sz w:val="21"/>
                <w:szCs w:val="21"/>
                <w:highlight w:val="none"/>
              </w:rPr>
            </w:pPr>
          </w:p>
        </w:tc>
        <w:tc>
          <w:tcPr>
            <w:tcW w:w="8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1480" w:type="dxa"/>
            <w:vAlign w:val="top"/>
          </w:tcPr>
          <w:p>
            <w:pPr>
              <w:rPr>
                <w:rFonts w:hint="eastAsia" w:ascii="宋体" w:hAnsi="宋体" w:eastAsia="宋体" w:cs="宋体"/>
                <w:color w:val="auto"/>
                <w:sz w:val="21"/>
                <w:szCs w:val="21"/>
                <w:highlight w:val="none"/>
              </w:rPr>
            </w:pPr>
          </w:p>
        </w:tc>
        <w:tc>
          <w:tcPr>
            <w:tcW w:w="1020" w:type="dxa"/>
            <w:vAlign w:val="top"/>
          </w:tcPr>
          <w:p>
            <w:pPr>
              <w:rPr>
                <w:rFonts w:hint="eastAsia" w:ascii="宋体" w:hAnsi="宋体" w:eastAsia="宋体" w:cs="宋体"/>
                <w:color w:val="auto"/>
                <w:sz w:val="21"/>
                <w:szCs w:val="21"/>
                <w:highlight w:val="none"/>
              </w:rPr>
            </w:pPr>
          </w:p>
        </w:tc>
        <w:tc>
          <w:tcPr>
            <w:tcW w:w="921" w:type="dxa"/>
            <w:vAlign w:val="top"/>
          </w:tcPr>
          <w:p>
            <w:pP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color w:val="auto"/>
          <w:sz w:val="21"/>
          <w:szCs w:val="21"/>
          <w:highlight w:val="none"/>
        </w:rPr>
      </w:pPr>
    </w:p>
    <w:p>
      <w:pPr>
        <w:spacing w:line="440" w:lineRule="exact"/>
        <w:outlineLvl w:val="0"/>
        <w:rPr>
          <w:rFonts w:hint="eastAsia" w:ascii="宋体" w:hAnsi="宋体" w:eastAsia="宋体" w:cs="宋体"/>
          <w:color w:val="auto"/>
          <w:sz w:val="21"/>
          <w:szCs w:val="21"/>
          <w:highlight w:val="none"/>
        </w:rPr>
      </w:pPr>
      <w:bookmarkStart w:id="2031" w:name="_Toc26628"/>
      <w:r>
        <w:rPr>
          <w:rFonts w:hint="eastAsia" w:ascii="宋体" w:hAnsi="宋体" w:eastAsia="宋体" w:cs="宋体"/>
          <w:color w:val="auto"/>
          <w:sz w:val="21"/>
          <w:szCs w:val="21"/>
          <w:highlight w:val="none"/>
        </w:rPr>
        <w:t>附</w:t>
      </w:r>
      <w:bookmarkStart w:id="2032" w:name="_Toc296944567"/>
      <w:bookmarkStart w:id="2033" w:name="_Toc267261699"/>
      <w:bookmarkStart w:id="2034" w:name="_Toc296891268"/>
      <w:bookmarkStart w:id="2035" w:name="_Toc296503228"/>
      <w:bookmarkStart w:id="2036" w:name="_Toc296347227"/>
      <w:bookmarkStart w:id="2037" w:name="_Toc296891056"/>
      <w:bookmarkStart w:id="2038" w:name="_Toc296346729"/>
      <w:r>
        <w:rPr>
          <w:rFonts w:hint="eastAsia" w:ascii="宋体" w:hAnsi="宋体" w:eastAsia="宋体" w:cs="宋体"/>
          <w:color w:val="auto"/>
          <w:sz w:val="21"/>
          <w:szCs w:val="21"/>
          <w:highlight w:val="none"/>
        </w:rPr>
        <w:t>件6：</w:t>
      </w:r>
      <w:bookmarkEnd w:id="2031"/>
    </w:p>
    <w:bookmarkEnd w:id="2032"/>
    <w:bookmarkEnd w:id="2033"/>
    <w:bookmarkEnd w:id="2034"/>
    <w:bookmarkEnd w:id="2035"/>
    <w:bookmarkEnd w:id="2036"/>
    <w:bookmarkEnd w:id="2037"/>
    <w:bookmarkEnd w:id="2038"/>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4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4252"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039" w:name="_Toc8828"/>
      <w:r>
        <w:rPr>
          <w:rFonts w:hint="eastAsia" w:ascii="宋体" w:hAnsi="宋体" w:eastAsia="宋体" w:cs="宋体"/>
          <w:color w:val="auto"/>
          <w:sz w:val="21"/>
          <w:szCs w:val="21"/>
          <w:highlight w:val="none"/>
        </w:rPr>
        <w:t>附</w:t>
      </w:r>
      <w:bookmarkStart w:id="2040" w:name="_Toc296503229"/>
      <w:bookmarkStart w:id="2041" w:name="_Toc296891269"/>
      <w:bookmarkStart w:id="2042" w:name="_Toc296891057"/>
      <w:bookmarkStart w:id="2043" w:name="_Toc296944568"/>
      <w:bookmarkStart w:id="2044" w:name="_Toc296346730"/>
      <w:bookmarkStart w:id="2045" w:name="_Toc296347228"/>
      <w:r>
        <w:rPr>
          <w:rFonts w:hint="eastAsia" w:ascii="宋体" w:hAnsi="宋体" w:eastAsia="宋体" w:cs="宋体"/>
          <w:color w:val="auto"/>
          <w:sz w:val="21"/>
          <w:szCs w:val="21"/>
          <w:highlight w:val="none"/>
        </w:rPr>
        <w:t>件7：</w:t>
      </w:r>
      <w:bookmarkEnd w:id="2039"/>
    </w:p>
    <w:bookmarkEnd w:id="2040"/>
    <w:bookmarkEnd w:id="2041"/>
    <w:bookmarkEnd w:id="2042"/>
    <w:bookmarkEnd w:id="2043"/>
    <w:bookmarkEnd w:id="2044"/>
    <w:bookmarkEnd w:id="2045"/>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4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4252" w:type="dxa"/>
            <w:tcBorders>
              <w:top w:val="single" w:color="auto" w:sz="12" w:space="0"/>
              <w:bottom w:val="doub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top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nil"/>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252" w:type="dxa"/>
            <w:tcBorders>
              <w:bottom w:val="single" w:color="auto" w:sz="12" w:space="0"/>
            </w:tcBorders>
            <w:vAlign w:val="center"/>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046" w:name="_Toc21030"/>
      <w:bookmarkStart w:id="2047" w:name="_Toc267261701"/>
      <w:r>
        <w:rPr>
          <w:rFonts w:hint="eastAsia" w:ascii="宋体" w:hAnsi="宋体" w:eastAsia="宋体" w:cs="宋体"/>
          <w:color w:val="auto"/>
          <w:sz w:val="21"/>
          <w:szCs w:val="21"/>
          <w:highlight w:val="none"/>
        </w:rPr>
        <w:t>附</w:t>
      </w:r>
      <w:bookmarkStart w:id="2048" w:name="_Toc296891059"/>
      <w:bookmarkStart w:id="2049" w:name="_Toc296503231"/>
      <w:bookmarkStart w:id="2050" w:name="_Toc296346732"/>
      <w:bookmarkStart w:id="2051" w:name="_Toc296347230"/>
      <w:bookmarkStart w:id="2052" w:name="_Toc296944570"/>
      <w:bookmarkStart w:id="2053" w:name="_Toc296891271"/>
      <w:r>
        <w:rPr>
          <w:rFonts w:hint="eastAsia" w:ascii="宋体" w:hAnsi="宋体" w:eastAsia="宋体" w:cs="宋体"/>
          <w:color w:val="auto"/>
          <w:sz w:val="21"/>
          <w:szCs w:val="21"/>
          <w:highlight w:val="none"/>
        </w:rPr>
        <w:t>件8：</w:t>
      </w:r>
      <w:bookmarkEnd w:id="2046"/>
    </w:p>
    <w:bookmarkEnd w:id="2047"/>
    <w:bookmarkEnd w:id="2048"/>
    <w:bookmarkEnd w:id="2049"/>
    <w:bookmarkEnd w:id="2050"/>
    <w:bookmarkEnd w:id="2051"/>
    <w:bookmarkEnd w:id="2052"/>
    <w:bookmarkEnd w:id="2053"/>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pPr>
        <w:spacing w:line="440" w:lineRule="exact"/>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u w:val="single"/>
        </w:rPr>
      </w:pPr>
    </w:p>
    <w:p>
      <w:pPr>
        <w:spacing w:line="360" w:lineRule="auto"/>
        <w:ind w:left="1899"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ind w:left="1899" w:hanging="1329" w:hangingChars="633"/>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bookmarkStart w:id="2054" w:name="_Toc10084"/>
      <w:r>
        <w:rPr>
          <w:rFonts w:hint="eastAsia" w:ascii="宋体" w:hAnsi="宋体" w:eastAsia="宋体" w:cs="宋体"/>
          <w:color w:val="auto"/>
          <w:sz w:val="21"/>
          <w:szCs w:val="21"/>
          <w:highlight w:val="none"/>
        </w:rPr>
        <w:br w:type="page"/>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2055" w:name="_Toc296891272"/>
      <w:bookmarkStart w:id="2056" w:name="_Toc296891060"/>
      <w:bookmarkStart w:id="2057" w:name="_Toc296347231"/>
      <w:bookmarkStart w:id="2058" w:name="_Toc296944571"/>
      <w:bookmarkStart w:id="2059" w:name="_Toc296346733"/>
      <w:bookmarkStart w:id="2060" w:name="_Toc296503232"/>
      <w:bookmarkStart w:id="2061" w:name="_Toc267261702"/>
      <w:r>
        <w:rPr>
          <w:rFonts w:hint="eastAsia" w:ascii="宋体" w:hAnsi="宋体" w:eastAsia="宋体" w:cs="宋体"/>
          <w:color w:val="auto"/>
          <w:sz w:val="21"/>
          <w:szCs w:val="21"/>
          <w:highlight w:val="none"/>
        </w:rPr>
        <w:t>件9 ：</w:t>
      </w:r>
      <w:bookmarkEnd w:id="2054"/>
    </w:p>
    <w:bookmarkEnd w:id="2055"/>
    <w:bookmarkEnd w:id="2056"/>
    <w:bookmarkEnd w:id="2057"/>
    <w:bookmarkEnd w:id="2058"/>
    <w:bookmarkEnd w:id="2059"/>
    <w:bookmarkEnd w:id="2060"/>
    <w:bookmarkEnd w:id="2061"/>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pPr>
        <w:spacing w:line="360" w:lineRule="auto"/>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360" w:lineRule="auto"/>
        <w:rPr>
          <w:rFonts w:hint="eastAsia" w:ascii="宋体" w:hAnsi="宋体" w:eastAsia="宋体" w:cs="宋体"/>
          <w:color w:val="auto"/>
          <w:sz w:val="21"/>
          <w:szCs w:val="21"/>
          <w:highlight w:val="none"/>
          <w:u w:val="singl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bookmarkStart w:id="2062" w:name="_Toc13992"/>
      <w:r>
        <w:rPr>
          <w:rFonts w:hint="eastAsia" w:ascii="宋体" w:hAnsi="宋体" w:eastAsia="宋体" w:cs="宋体"/>
          <w:color w:val="auto"/>
          <w:sz w:val="21"/>
          <w:szCs w:val="21"/>
          <w:highlight w:val="none"/>
        </w:rPr>
        <w:t>附</w:t>
      </w:r>
      <w:bookmarkStart w:id="2063" w:name="_Toc296944572"/>
      <w:bookmarkStart w:id="2064" w:name="_Toc296503233"/>
      <w:bookmarkStart w:id="2065" w:name="_Toc296891273"/>
      <w:bookmarkStart w:id="2066" w:name="_Toc296347232"/>
      <w:bookmarkStart w:id="2067" w:name="_Toc296891061"/>
      <w:bookmarkStart w:id="2068" w:name="_Toc296346734"/>
      <w:r>
        <w:rPr>
          <w:rFonts w:hint="eastAsia" w:ascii="宋体" w:hAnsi="宋体" w:eastAsia="宋体" w:cs="宋体"/>
          <w:color w:val="auto"/>
          <w:sz w:val="21"/>
          <w:szCs w:val="21"/>
          <w:highlight w:val="none"/>
        </w:rPr>
        <w:t>件10:</w:t>
      </w:r>
      <w:bookmarkEnd w:id="2062"/>
      <w:r>
        <w:rPr>
          <w:rFonts w:hint="eastAsia" w:ascii="宋体" w:hAnsi="宋体" w:eastAsia="宋体" w:cs="宋体"/>
          <w:color w:val="auto"/>
          <w:sz w:val="21"/>
          <w:szCs w:val="21"/>
          <w:highlight w:val="none"/>
        </w:rPr>
        <w:t xml:space="preserve">  </w:t>
      </w:r>
    </w:p>
    <w:bookmarkEnd w:id="2063"/>
    <w:bookmarkEnd w:id="2064"/>
    <w:bookmarkEnd w:id="2065"/>
    <w:bookmarkEnd w:id="2066"/>
    <w:bookmarkEnd w:id="2067"/>
    <w:bookmarkEnd w:id="2068"/>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一、保证的范围及保证金额</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三、承担保证责任的形式</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四、代偿的安排</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五、保证责任的解除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六、免责条款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七、争议解决</w:t>
      </w:r>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八、保函的生效</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069" w:name="_Toc26834"/>
      <w:r>
        <w:rPr>
          <w:rFonts w:hint="eastAsia" w:ascii="宋体" w:hAnsi="宋体" w:eastAsia="宋体" w:cs="宋体"/>
          <w:color w:val="auto"/>
          <w:sz w:val="21"/>
          <w:szCs w:val="21"/>
          <w:highlight w:val="none"/>
        </w:rPr>
        <w:t>附件11：</w:t>
      </w:r>
      <w:bookmarkEnd w:id="2069"/>
    </w:p>
    <w:p>
      <w:pPr>
        <w:spacing w:before="156" w:beforeLines="50" w:after="156" w:afterLines="50"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11-1：材料暂估价表</w:t>
      </w:r>
    </w:p>
    <w:tbl>
      <w:tblPr>
        <w:tblStyle w:val="4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851"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774"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352"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1418"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合价（元）</w:t>
            </w:r>
          </w:p>
        </w:tc>
        <w:tc>
          <w:tcPr>
            <w:tcW w:w="1701"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before="156" w:beforeLines="50" w:after="156" w:afterLines="50" w:line="440" w:lineRule="exact"/>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4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851"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774"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352"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1418"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合价（元）</w:t>
            </w:r>
          </w:p>
        </w:tc>
        <w:tc>
          <w:tcPr>
            <w:tcW w:w="1701"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701"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color w:val="auto"/>
          <w:sz w:val="21"/>
          <w:szCs w:val="21"/>
          <w:highlight w:val="none"/>
        </w:rPr>
      </w:pPr>
    </w:p>
    <w:p>
      <w:pPr>
        <w:spacing w:before="156" w:beforeLines="50" w:after="156"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11-3：专业工程暂估价表</w:t>
      </w:r>
    </w:p>
    <w:tbl>
      <w:tblPr>
        <w:tblStyle w:val="47"/>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专业工程名称</w:t>
            </w:r>
          </w:p>
        </w:tc>
        <w:tc>
          <w:tcPr>
            <w:tcW w:w="4678"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工程内容</w:t>
            </w:r>
          </w:p>
        </w:tc>
        <w:tc>
          <w:tcPr>
            <w:tcW w:w="1276" w:type="dxa"/>
            <w:tcBorders>
              <w:top w:val="single" w:color="auto" w:sz="12" w:space="0"/>
              <w:bottom w:val="doub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double" w:color="auto" w:sz="6" w:space="0"/>
              <w:bottom w:val="single" w:color="auto" w:sz="6" w:space="0"/>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tcBorders>
              <w:top w:val="nil"/>
            </w:tcBorders>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678"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276" w:type="dxa"/>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vAlign w:val="top"/>
          </w:tcPr>
          <w:p>
            <w:pPr>
              <w:pStyle w:val="1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小计：</w:t>
            </w:r>
          </w:p>
        </w:tc>
      </w:tr>
    </w:tbl>
    <w:p>
      <w:pPr>
        <w:rPr>
          <w:rFonts w:hint="eastAsia" w:ascii="宋体" w:hAnsi="宋体" w:eastAsia="宋体" w:cs="宋体"/>
          <w:color w:val="auto"/>
          <w:sz w:val="21"/>
          <w:szCs w:val="21"/>
          <w:highlight w:val="none"/>
        </w:rPr>
      </w:pPr>
    </w:p>
    <w:p>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第五章  工程量清单</w:t>
      </w:r>
      <w:bookmarkEnd w:id="613"/>
      <w:bookmarkEnd w:id="614"/>
      <w:bookmarkEnd w:id="615"/>
      <w:bookmarkEnd w:id="616"/>
      <w:bookmarkEnd w:id="617"/>
      <w:bookmarkEnd w:id="618"/>
      <w:bookmarkEnd w:id="619"/>
      <w:bookmarkStart w:id="2070" w:name="招标文件05章工程量清单01"/>
      <w:bookmarkEnd w:id="2070"/>
      <w:bookmarkStart w:id="2071" w:name="_Toc287607856"/>
      <w:bookmarkStart w:id="2072" w:name="_Toc287620798"/>
      <w:bookmarkStart w:id="2073" w:name="_Toc224103477"/>
      <w:bookmarkStart w:id="2074" w:name="_Toc430530514"/>
      <w:bookmarkStart w:id="2075" w:name="_Toc277082638"/>
    </w:p>
    <w:bookmarkEnd w:id="2071"/>
    <w:bookmarkEnd w:id="2072"/>
    <w:bookmarkEnd w:id="2073"/>
    <w:bookmarkEnd w:id="2074"/>
    <w:bookmarkEnd w:id="2075"/>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在</w:t>
      </w:r>
      <w:r>
        <w:rPr>
          <w:rFonts w:hint="eastAsia" w:ascii="宋体" w:hAnsi="宋体" w:eastAsia="宋体" w:cs="宋体"/>
          <w:color w:val="auto"/>
          <w:szCs w:val="20"/>
          <w:highlight w:val="none"/>
          <w:u w:val="single"/>
          <w:lang w:eastAsia="zh-CN"/>
        </w:rPr>
        <w:t>“行采家”平台（https://www.gec123.com）</w:t>
      </w:r>
      <w:r>
        <w:rPr>
          <w:rFonts w:hint="eastAsia" w:ascii="宋体" w:hAnsi="宋体" w:eastAsia="宋体" w:cs="宋体"/>
          <w:color w:val="auto"/>
          <w:szCs w:val="20"/>
          <w:highlight w:val="none"/>
        </w:rPr>
        <w:t>下载。</w:t>
      </w:r>
    </w:p>
    <w:p>
      <w:pPr>
        <w:ind w:right="561"/>
        <w:rPr>
          <w:rFonts w:hint="eastAsia" w:ascii="宋体" w:hAnsi="宋体" w:eastAsia="宋体" w:cs="宋体"/>
          <w:color w:val="auto"/>
          <w:szCs w:val="21"/>
          <w:highlight w:val="none"/>
        </w:rPr>
      </w:pPr>
      <w:r>
        <w:rPr>
          <w:rFonts w:hint="eastAsia" w:ascii="宋体" w:hAnsi="宋体" w:eastAsia="宋体" w:cs="宋体"/>
          <w:color w:val="auto"/>
          <w:sz w:val="24"/>
          <w:highlight w:val="none"/>
        </w:rPr>
        <w:br w:type="page"/>
      </w:r>
    </w:p>
    <w:p>
      <w:pPr>
        <w:pStyle w:val="3"/>
        <w:spacing w:before="0" w:after="0" w:line="360" w:lineRule="auto"/>
        <w:jc w:val="center"/>
        <w:rPr>
          <w:rFonts w:hint="eastAsia" w:ascii="宋体" w:hAnsi="宋体" w:eastAsia="宋体" w:cs="宋体"/>
          <w:color w:val="auto"/>
          <w:sz w:val="52"/>
          <w:szCs w:val="52"/>
          <w:highlight w:val="none"/>
        </w:rPr>
      </w:pPr>
      <w:bookmarkStart w:id="2076" w:name="_Toc509218844"/>
      <w:bookmarkStart w:id="2077" w:name="_Toc534185823"/>
      <w:bookmarkStart w:id="2078" w:name="_Toc13474"/>
      <w:bookmarkStart w:id="2079" w:name="_Toc57905911"/>
      <w:r>
        <w:rPr>
          <w:rFonts w:hint="eastAsia" w:ascii="宋体" w:hAnsi="宋体" w:eastAsia="宋体" w:cs="宋体"/>
          <w:color w:val="auto"/>
          <w:sz w:val="52"/>
          <w:szCs w:val="52"/>
          <w:highlight w:val="none"/>
        </w:rPr>
        <w:t>第 二 卷</w:t>
      </w:r>
      <w:bookmarkEnd w:id="2076"/>
      <w:bookmarkEnd w:id="2077"/>
      <w:bookmarkEnd w:id="2078"/>
      <w:bookmarkEnd w:id="2079"/>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pPr>
      <w:bookmarkStart w:id="2080" w:name="招标文件06章图纸"/>
      <w:bookmarkEnd w:id="2080"/>
      <w:bookmarkStart w:id="2081" w:name="_Toc430530519"/>
      <w:bookmarkStart w:id="2082" w:name="_Toc509218846"/>
      <w:bookmarkStart w:id="2083" w:name="_Toc57905912"/>
      <w:bookmarkStart w:id="2084" w:name="_Toc287620803"/>
      <w:bookmarkStart w:id="2085" w:name="_Toc534185825"/>
      <w:bookmarkStart w:id="2086" w:name="_Toc22154"/>
      <w:bookmarkStart w:id="2087" w:name="_Toc287607861"/>
      <w:r>
        <w:rPr>
          <w:rFonts w:hint="eastAsia" w:ascii="宋体" w:hAnsi="宋体" w:eastAsia="宋体" w:cs="宋体"/>
          <w:color w:val="auto"/>
          <w:highlight w:val="none"/>
        </w:rPr>
        <w:t>第六章  图纸</w:t>
      </w:r>
      <w:bookmarkEnd w:id="2081"/>
      <w:bookmarkEnd w:id="2082"/>
      <w:bookmarkEnd w:id="2083"/>
      <w:bookmarkEnd w:id="2084"/>
      <w:bookmarkEnd w:id="2085"/>
      <w:bookmarkEnd w:id="2086"/>
      <w:bookmarkEnd w:id="2087"/>
    </w:p>
    <w:p>
      <w:pPr>
        <w:spacing w:line="360" w:lineRule="auto"/>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w:t>
      </w:r>
      <w:r>
        <w:rPr>
          <w:rFonts w:hint="eastAsia" w:ascii="宋体" w:hAnsi="宋体" w:eastAsia="宋体" w:cs="宋体"/>
          <w:color w:val="auto"/>
          <w:szCs w:val="20"/>
          <w:highlight w:val="none"/>
          <w:u w:val="single"/>
          <w:lang w:eastAsia="zh-CN"/>
        </w:rPr>
        <w:t>“行采家”平台（https://www.gec123.com）</w:t>
      </w:r>
      <w:r>
        <w:rPr>
          <w:rFonts w:hint="eastAsia" w:ascii="宋体" w:hAnsi="宋体" w:eastAsia="宋体" w:cs="宋体"/>
          <w:color w:val="auto"/>
          <w:szCs w:val="20"/>
          <w:highlight w:val="none"/>
        </w:rPr>
        <w:t>下载。</w:t>
      </w:r>
    </w:p>
    <w:p>
      <w:pPr>
        <w:spacing w:line="360" w:lineRule="auto"/>
        <w:rPr>
          <w:rFonts w:hint="eastAsia" w:ascii="宋体" w:hAnsi="宋体" w:eastAsia="宋体" w:cs="宋体"/>
          <w:color w:val="auto"/>
          <w:szCs w:val="20"/>
          <w:highlight w:val="none"/>
        </w:rPr>
      </w:pPr>
      <w:bookmarkStart w:id="2088" w:name="招标文件06章图纸01"/>
      <w:bookmarkEnd w:id="2088"/>
      <w:bookmarkStart w:id="2089" w:name="_Toc430530520"/>
      <w:bookmarkStart w:id="2090" w:name="_Toc287620804"/>
    </w:p>
    <w:bookmarkEnd w:id="2089"/>
    <w:bookmarkEnd w:id="2090"/>
    <w:p>
      <w:pPr>
        <w:spacing w:line="360" w:lineRule="auto"/>
        <w:rPr>
          <w:rFonts w:hint="eastAsia" w:ascii="宋体" w:hAnsi="宋体" w:eastAsia="宋体" w:cs="宋体"/>
          <w:color w:val="auto"/>
          <w:highlight w:val="none"/>
        </w:rPr>
      </w:pPr>
      <w:r>
        <w:rPr>
          <w:rFonts w:hint="eastAsia" w:ascii="宋体" w:hAnsi="宋体" w:eastAsia="宋体" w:cs="宋体"/>
          <w:color w:val="auto"/>
          <w:szCs w:val="20"/>
          <w:highlight w:val="none"/>
        </w:rPr>
        <w:br w:type="page"/>
      </w:r>
    </w:p>
    <w:p>
      <w:pPr>
        <w:pStyle w:val="3"/>
        <w:spacing w:before="0" w:after="0" w:line="360" w:lineRule="auto"/>
        <w:jc w:val="center"/>
        <w:rPr>
          <w:rFonts w:hint="eastAsia" w:ascii="宋体" w:hAnsi="宋体" w:eastAsia="宋体" w:cs="宋体"/>
          <w:color w:val="auto"/>
          <w:sz w:val="52"/>
          <w:szCs w:val="52"/>
          <w:highlight w:val="none"/>
        </w:rPr>
      </w:pPr>
      <w:bookmarkStart w:id="2091" w:name="_Toc57905913"/>
      <w:bookmarkStart w:id="2092" w:name="_Toc8804"/>
      <w:r>
        <w:rPr>
          <w:rFonts w:hint="eastAsia" w:ascii="宋体" w:hAnsi="宋体" w:eastAsia="宋体" w:cs="宋体"/>
          <w:color w:val="auto"/>
          <w:sz w:val="52"/>
          <w:szCs w:val="52"/>
          <w:highlight w:val="none"/>
        </w:rPr>
        <w:t>第 三 卷</w:t>
      </w:r>
      <w:bookmarkEnd w:id="2091"/>
      <w:bookmarkEnd w:id="2092"/>
      <w:bookmarkStart w:id="2093" w:name="_Toc509218847"/>
      <w:bookmarkStart w:id="2094" w:name="_Toc536797121"/>
      <w:bookmarkStart w:id="2095" w:name="_Toc534185826"/>
      <w:bookmarkStart w:id="2096" w:name="_Toc536620100"/>
      <w:bookmarkStart w:id="2097" w:name="_Toc13210772"/>
      <w:bookmarkStart w:id="2098" w:name="_Toc13211206"/>
      <w:bookmarkStart w:id="2099" w:name="_Toc536797390"/>
      <w:bookmarkStart w:id="2100" w:name="_Toc536797255"/>
      <w:bookmarkStart w:id="2101" w:name="_Toc13211764"/>
      <w:bookmarkStart w:id="2102" w:name="_Toc536628344"/>
      <w:bookmarkStart w:id="2103" w:name="_Toc536796986"/>
      <w:bookmarkStart w:id="2104" w:name="_Toc536619968"/>
      <w:bookmarkStart w:id="2105" w:name="_Toc536796850"/>
      <w:bookmarkStart w:id="2106" w:name="_Toc536621880"/>
    </w:p>
    <w:bookmarkEnd w:id="2093"/>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pPr>
        <w:pStyle w:val="3"/>
        <w:spacing w:line="360" w:lineRule="auto"/>
        <w:jc w:val="center"/>
        <w:rPr>
          <w:rFonts w:hint="eastAsia" w:ascii="宋体" w:hAnsi="宋体" w:eastAsia="宋体" w:cs="宋体"/>
          <w:color w:val="auto"/>
          <w:highlight w:val="none"/>
        </w:rPr>
      </w:pPr>
      <w:bookmarkStart w:id="2107" w:name="招标文件07章技术标准和要求"/>
      <w:bookmarkEnd w:id="2107"/>
      <w:bookmarkStart w:id="2108" w:name="_Toc17170"/>
      <w:bookmarkStart w:id="2109" w:name="_Toc57905914"/>
      <w:r>
        <w:rPr>
          <w:rFonts w:hint="eastAsia" w:ascii="宋体" w:hAnsi="宋体" w:eastAsia="宋体" w:cs="宋体"/>
          <w:color w:val="auto"/>
          <w:highlight w:val="none"/>
        </w:rPr>
        <w:t>第七章  技术标准和要求</w:t>
      </w:r>
      <w:bookmarkEnd w:id="2108"/>
      <w:bookmarkEnd w:id="2109"/>
      <w:bookmarkStart w:id="2110" w:name="招标文件07章技术标准和要求01"/>
      <w:bookmarkEnd w:id="2110"/>
      <w:bookmarkStart w:id="2111" w:name="_Toc430530524"/>
      <w:bookmarkStart w:id="2112" w:name="_Toc287620808"/>
    </w:p>
    <w:bookmarkEnd w:id="2111"/>
    <w:bookmarkEnd w:id="2112"/>
    <w:p>
      <w:pPr>
        <w:spacing w:line="360" w:lineRule="auto"/>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本工程按现行国家、行业和地方规范、标准和规程执行（详见施工图纸）。</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0" w:line="360" w:lineRule="auto"/>
        <w:jc w:val="center"/>
        <w:rPr>
          <w:rFonts w:hint="eastAsia" w:ascii="宋体" w:hAnsi="宋体" w:eastAsia="宋体" w:cs="宋体"/>
          <w:color w:val="auto"/>
          <w:sz w:val="52"/>
          <w:szCs w:val="52"/>
          <w:highlight w:val="none"/>
        </w:rPr>
      </w:pPr>
      <w:bookmarkStart w:id="2113" w:name="_Toc509218849"/>
      <w:bookmarkStart w:id="2114" w:name="_Toc534185827"/>
      <w:bookmarkStart w:id="2115" w:name="_Toc57905915"/>
      <w:bookmarkStart w:id="2116" w:name="_Toc18822"/>
      <w:r>
        <w:rPr>
          <w:rFonts w:hint="eastAsia" w:ascii="宋体" w:hAnsi="宋体" w:eastAsia="宋体" w:cs="宋体"/>
          <w:color w:val="auto"/>
          <w:sz w:val="52"/>
          <w:szCs w:val="52"/>
          <w:highlight w:val="none"/>
        </w:rPr>
        <w:t>第 四 卷</w:t>
      </w:r>
      <w:bookmarkEnd w:id="2113"/>
      <w:bookmarkEnd w:id="2114"/>
      <w:bookmarkEnd w:id="2115"/>
      <w:bookmarkEnd w:id="2116"/>
      <w:bookmarkStart w:id="2117" w:name="_Toc536621883"/>
      <w:bookmarkStart w:id="2118" w:name="_Toc536797258"/>
      <w:bookmarkStart w:id="2119" w:name="_Toc13210775"/>
      <w:bookmarkStart w:id="2120" w:name="_Toc536797393"/>
      <w:bookmarkStart w:id="2121" w:name="_Toc536628347"/>
      <w:bookmarkStart w:id="2122" w:name="_Toc536620102"/>
      <w:bookmarkStart w:id="2123" w:name="_Toc536796989"/>
      <w:bookmarkStart w:id="2124" w:name="_Toc13211209"/>
      <w:bookmarkStart w:id="2125" w:name="_Toc13211767"/>
      <w:bookmarkStart w:id="2126" w:name="_Toc536619970"/>
      <w:bookmarkStart w:id="2127" w:name="_Toc509218850"/>
      <w:bookmarkStart w:id="2128" w:name="_Toc536797124"/>
      <w:bookmarkStart w:id="2129" w:name="_Toc536796853"/>
      <w:bookmarkStart w:id="2130" w:name="_Toc534185828"/>
    </w:p>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31" w:name="招标文件08章投标文件格式"/>
      <w:bookmarkEnd w:id="2131"/>
      <w:bookmarkStart w:id="2132" w:name="_Toc287620812"/>
      <w:bookmarkStart w:id="2133" w:name="_Toc287607865"/>
    </w:p>
    <w:p>
      <w:pPr>
        <w:pStyle w:val="3"/>
        <w:spacing w:line="360" w:lineRule="auto"/>
        <w:jc w:val="center"/>
        <w:rPr>
          <w:rFonts w:hint="eastAsia" w:ascii="宋体" w:hAnsi="宋体" w:eastAsia="宋体" w:cs="宋体"/>
          <w:color w:val="auto"/>
          <w:highlight w:val="none"/>
        </w:rPr>
      </w:pPr>
      <w:bookmarkStart w:id="2134" w:name="_Toc57905916"/>
      <w:bookmarkStart w:id="2135" w:name="_Toc509218852"/>
      <w:bookmarkStart w:id="2136" w:name="_Toc23843"/>
      <w:bookmarkStart w:id="2137" w:name="_Toc430530528"/>
      <w:bookmarkStart w:id="2138" w:name="_Toc534185829"/>
      <w:r>
        <w:rPr>
          <w:rFonts w:hint="eastAsia" w:ascii="宋体" w:hAnsi="宋体" w:eastAsia="宋体" w:cs="宋体"/>
          <w:color w:val="auto"/>
          <w:highlight w:val="none"/>
        </w:rPr>
        <w:t>第八章  投标文件格式</w:t>
      </w:r>
      <w:bookmarkEnd w:id="2132"/>
      <w:bookmarkEnd w:id="2133"/>
      <w:bookmarkEnd w:id="2134"/>
      <w:bookmarkEnd w:id="2135"/>
      <w:bookmarkEnd w:id="2136"/>
      <w:bookmarkEnd w:id="2137"/>
      <w:bookmarkEnd w:id="2138"/>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kern w:val="2"/>
          <w:sz w:val="21"/>
          <w:szCs w:val="24"/>
          <w:highlight w:val="none"/>
          <w:lang w:val="en-US" w:eastAsia="zh-CN" w:bidi="ar-SA"/>
        </w:rPr>
        <w:pict>
          <v:rect id="矩形 118" o:spid="_x0000_s1034" o:spt="1" style="position:absolute;left:0pt;margin-left:186.25pt;margin-top:666.6pt;height:54.6pt;width:63.6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hint="eastAsia" w:ascii="宋体" w:hAnsi="宋体" w:eastAsia="宋体" w:cs="宋体"/>
          <w:color w:val="auto"/>
          <w:szCs w:val="20"/>
          <w:highlight w:val="none"/>
        </w:rPr>
        <w:br w:type="page"/>
      </w:r>
      <w:bookmarkStart w:id="2139" w:name="_Toc224103493"/>
      <w:r>
        <w:rPr>
          <w:rFonts w:hint="eastAsia" w:ascii="宋体" w:hAnsi="宋体" w:eastAsia="宋体" w:cs="宋体"/>
          <w:color w:val="auto"/>
          <w:sz w:val="36"/>
          <w:szCs w:val="36"/>
          <w:highlight w:val="none"/>
        </w:rPr>
        <w:t>目  录</w:t>
      </w:r>
      <w:bookmarkEnd w:id="2139"/>
    </w:p>
    <w:p>
      <w:pPr>
        <w:spacing w:line="360" w:lineRule="auto"/>
        <w:jc w:val="center"/>
        <w:rPr>
          <w:rFonts w:hint="eastAsia" w:ascii="宋体" w:hAnsi="宋体" w:eastAsia="宋体" w:cs="宋体"/>
          <w:color w:val="auto"/>
          <w:szCs w:val="20"/>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、经济部分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、技术部分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拟投入本标段的主要施工设备表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拟配备本标段的试验和检测仪器设备表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、资格审查部分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）承诺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）其他资料</w:t>
      </w:r>
    </w:p>
    <w:p>
      <w:pPr>
        <w:autoSpaceDE w:val="0"/>
        <w:autoSpaceDN w:val="0"/>
        <w:adjustRightInd w:val="0"/>
        <w:spacing w:line="276" w:lineRule="auto"/>
        <w:ind w:right="-23"/>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bookmarkStart w:id="2140" w:name="_Toc224103494"/>
      <w:bookmarkStart w:id="2141" w:name="_Toc430530529"/>
      <w:bookmarkStart w:id="2142" w:name="_Toc287607866"/>
      <w:bookmarkStart w:id="2143" w:name="_Toc277082642"/>
      <w:bookmarkStart w:id="2144" w:name="_Toc287620813"/>
    </w:p>
    <w:p>
      <w:pPr>
        <w:pStyle w:val="4"/>
        <w:spacing w:line="360" w:lineRule="auto"/>
        <w:jc w:val="center"/>
        <w:rPr>
          <w:rFonts w:hint="eastAsia" w:ascii="宋体" w:hAnsi="宋体" w:eastAsia="宋体" w:cs="宋体"/>
          <w:b w:val="0"/>
          <w:bCs w:val="0"/>
          <w:color w:val="auto"/>
          <w:sz w:val="44"/>
          <w:szCs w:val="44"/>
          <w:highlight w:val="none"/>
        </w:rPr>
      </w:pPr>
      <w:bookmarkStart w:id="2145" w:name="_Toc57905918"/>
      <w:bookmarkStart w:id="2146" w:name="_Toc19476"/>
      <w:r>
        <w:rPr>
          <w:rFonts w:hint="eastAsia" w:ascii="宋体" w:hAnsi="宋体" w:eastAsia="宋体" w:cs="宋体"/>
          <w:b w:val="0"/>
          <w:bCs w:val="0"/>
          <w:color w:val="auto"/>
          <w:sz w:val="44"/>
          <w:szCs w:val="44"/>
          <w:highlight w:val="none"/>
          <w:lang w:val="en-US" w:eastAsia="zh-CN"/>
        </w:rPr>
        <w:t>一</w:t>
      </w:r>
      <w:r>
        <w:rPr>
          <w:rFonts w:hint="eastAsia" w:ascii="宋体" w:hAnsi="宋体" w:eastAsia="宋体" w:cs="宋体"/>
          <w:b w:val="0"/>
          <w:bCs w:val="0"/>
          <w:color w:val="auto"/>
          <w:sz w:val="44"/>
          <w:szCs w:val="44"/>
          <w:highlight w:val="none"/>
        </w:rPr>
        <w:t>、投标函部分</w:t>
      </w:r>
      <w:bookmarkEnd w:id="2140"/>
      <w:bookmarkEnd w:id="2141"/>
      <w:bookmarkEnd w:id="2142"/>
      <w:bookmarkEnd w:id="2143"/>
      <w:bookmarkEnd w:id="2144"/>
      <w:bookmarkEnd w:id="2145"/>
      <w:bookmarkEnd w:id="2146"/>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投标函部分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autoSpaceDE w:val="0"/>
        <w:autoSpaceDN w:val="0"/>
        <w:adjustRightInd w:val="0"/>
        <w:snapToGrid w:val="0"/>
        <w:spacing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r>
        <w:rPr>
          <w:rFonts w:hint="eastAsia" w:ascii="宋体" w:hAnsi="宋体" w:eastAsia="宋体" w:cs="宋体"/>
          <w:color w:val="auto"/>
          <w:kern w:val="0"/>
          <w:sz w:val="24"/>
          <w:szCs w:val="21"/>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autoSpaceDE w:val="0"/>
        <w:autoSpaceDN w:val="0"/>
        <w:adjustRightInd w:val="0"/>
        <w:snapToGrid w:val="0"/>
        <w:spacing w:line="360" w:lineRule="auto"/>
        <w:jc w:val="left"/>
        <w:rPr>
          <w:rFonts w:hint="eastAsia" w:ascii="宋体" w:hAnsi="宋体" w:eastAsia="宋体" w:cs="宋体"/>
          <w:color w:val="auto"/>
          <w:w w:val="99"/>
          <w:kern w:val="0"/>
          <w:sz w:val="28"/>
          <w:szCs w:val="28"/>
          <w:highlight w:val="none"/>
        </w:rPr>
      </w:pPr>
    </w:p>
    <w:p>
      <w:pPr>
        <w:pStyle w:val="5"/>
        <w:spacing w:before="0" w:after="0" w:line="400" w:lineRule="exact"/>
        <w:jc w:val="center"/>
        <w:rPr>
          <w:rFonts w:hint="eastAsia" w:ascii="宋体" w:hAnsi="宋体" w:eastAsia="宋体" w:cs="宋体"/>
          <w:b w:val="0"/>
          <w:color w:val="auto"/>
          <w:highlight w:val="none"/>
        </w:rPr>
      </w:pPr>
      <w:bookmarkStart w:id="2147" w:name="_Toc430530530"/>
      <w:bookmarkStart w:id="2148" w:name="_Toc287607867"/>
      <w:bookmarkStart w:id="2149" w:name="_Toc509218854"/>
      <w:bookmarkStart w:id="2150" w:name="_Toc224103495"/>
      <w:bookmarkStart w:id="2151" w:name="_Toc534185831"/>
      <w:bookmarkStart w:id="2152" w:name="_Toc277082643"/>
      <w:bookmarkStart w:id="2153" w:name="_Toc287620814"/>
      <w:r>
        <w:rPr>
          <w:rFonts w:hint="eastAsia" w:ascii="宋体" w:hAnsi="宋体" w:eastAsia="宋体" w:cs="宋体"/>
          <w:color w:val="auto"/>
          <w:highlight w:val="none"/>
        </w:rPr>
        <w:br w:type="page"/>
      </w:r>
      <w:bookmarkStart w:id="2154" w:name="_Toc26071"/>
      <w:bookmarkStart w:id="2155" w:name="_Toc57905919"/>
      <w:r>
        <w:rPr>
          <w:rFonts w:hint="eastAsia" w:ascii="宋体" w:hAnsi="宋体" w:eastAsia="宋体" w:cs="宋体"/>
          <w:color w:val="auto"/>
          <w:highlight w:val="none"/>
        </w:rPr>
        <w:t>（一）投标函</w:t>
      </w:r>
      <w:bookmarkEnd w:id="2147"/>
      <w:bookmarkEnd w:id="2148"/>
      <w:bookmarkEnd w:id="2149"/>
      <w:bookmarkEnd w:id="2150"/>
      <w:bookmarkEnd w:id="2151"/>
      <w:bookmarkEnd w:id="2152"/>
      <w:bookmarkEnd w:id="2153"/>
      <w:bookmarkEnd w:id="2154"/>
      <w:bookmarkEnd w:id="2155"/>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招标文件的全部内容，愿意以人民币（大写）</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）的投标总报价进行报价，其中</w:t>
      </w:r>
      <w:r>
        <w:rPr>
          <w:rFonts w:hint="eastAsia" w:ascii="宋体" w:hAnsi="宋体" w:eastAsia="宋体" w:cs="宋体"/>
          <w:snapToGrid w:val="0"/>
          <w:color w:val="auto"/>
          <w:kern w:val="0"/>
          <w:highlight w:val="none"/>
        </w:rPr>
        <w:t>安全文明施工费暂定金额为人民币</w:t>
      </w:r>
      <w:r>
        <w:rPr>
          <w:rFonts w:hint="eastAsia" w:ascii="宋体" w:hAnsi="宋体" w:eastAsia="宋体" w:cs="宋体"/>
          <w:snapToGrid w:val="0"/>
          <w:color w:val="auto"/>
          <w:kern w:val="0"/>
          <w:szCs w:val="21"/>
          <w:highlight w:val="none"/>
        </w:rPr>
        <w:t>（大写）</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，身份证号码为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，身份证号码为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。工期达到招标文件的要求， 缺陷责任期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，按合同约定实施和完成承包工程，修补工程中的任何缺陷，工程质量达到招标文件的要求。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6.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p>
    <w:p>
      <w:pPr>
        <w:tabs>
          <w:tab w:val="left" w:pos="8300"/>
        </w:tabs>
        <w:autoSpaceDE w:val="0"/>
        <w:autoSpaceDN w:val="0"/>
        <w:adjustRightInd w:val="0"/>
        <w:spacing w:line="400" w:lineRule="exact"/>
        <w:ind w:firstLine="400" w:firstLineChars="200"/>
        <w:jc w:val="right"/>
        <w:rPr>
          <w:rFonts w:hint="eastAsia" w:ascii="宋体" w:hAnsi="宋体" w:eastAsia="宋体" w:cs="宋体"/>
          <w:snapToGrid w:val="0"/>
          <w:color w:val="auto"/>
          <w:kern w:val="0"/>
          <w:sz w:val="20"/>
          <w:szCs w:val="20"/>
          <w:highlight w:val="none"/>
        </w:rPr>
      </w:pPr>
    </w:p>
    <w:p>
      <w:pPr>
        <w:pStyle w:val="5"/>
        <w:jc w:val="center"/>
        <w:rPr>
          <w:rFonts w:hint="eastAsia" w:ascii="宋体" w:hAnsi="宋体" w:eastAsia="宋体" w:cs="宋体"/>
          <w:snapToGrid w:val="0"/>
          <w:color w:val="auto"/>
          <w:kern w:val="0"/>
          <w:szCs w:val="21"/>
          <w:highlight w:val="none"/>
        </w:rPr>
      </w:pPr>
      <w:bookmarkStart w:id="2156" w:name="_Toc224103496"/>
      <w:bookmarkStart w:id="2157" w:name="_Toc277082644"/>
      <w:bookmarkStart w:id="2158" w:name="_Toc287620815"/>
      <w:bookmarkStart w:id="2159" w:name="_Toc287607868"/>
      <w:bookmarkStart w:id="2160" w:name="_Toc430530531"/>
      <w:r>
        <w:rPr>
          <w:rFonts w:hint="eastAsia" w:ascii="宋体" w:hAnsi="宋体" w:eastAsia="宋体" w:cs="宋体"/>
          <w:color w:val="auto"/>
          <w:sz w:val="28"/>
          <w:highlight w:val="none"/>
        </w:rPr>
        <w:br w:type="page"/>
      </w:r>
      <w:bookmarkStart w:id="2161" w:name="_Toc509218855"/>
      <w:bookmarkStart w:id="2162" w:name="_Toc57905920"/>
      <w:bookmarkStart w:id="2163" w:name="_Toc534185832"/>
      <w:bookmarkStart w:id="2164" w:name="_Toc30967"/>
      <w:r>
        <w:rPr>
          <w:rFonts w:hint="eastAsia" w:ascii="宋体" w:hAnsi="宋体" w:eastAsia="宋体" w:cs="宋体"/>
          <w:color w:val="auto"/>
          <w:highlight w:val="none"/>
        </w:rPr>
        <w:t>（二）投标函附录</w:t>
      </w:r>
      <w:bookmarkEnd w:id="2156"/>
      <w:bookmarkEnd w:id="2157"/>
      <w:bookmarkEnd w:id="2158"/>
      <w:bookmarkEnd w:id="2159"/>
      <w:bookmarkEnd w:id="2160"/>
      <w:bookmarkEnd w:id="2161"/>
      <w:bookmarkEnd w:id="2162"/>
      <w:bookmarkEnd w:id="2163"/>
      <w:bookmarkEnd w:id="2164"/>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58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条款名称</w:t>
            </w:r>
          </w:p>
        </w:tc>
        <w:tc>
          <w:tcPr>
            <w:tcW w:w="2388"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合同条款号</w:t>
            </w:r>
          </w:p>
        </w:tc>
        <w:tc>
          <w:tcPr>
            <w:tcW w:w="2987"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约定内容</w:t>
            </w:r>
          </w:p>
        </w:tc>
        <w:tc>
          <w:tcPr>
            <w:tcW w:w="79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58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w:t>
            </w:r>
          </w:p>
        </w:tc>
        <w:tc>
          <w:tcPr>
            <w:tcW w:w="2987" w:type="dxa"/>
            <w:vAlign w:val="center"/>
          </w:tcPr>
          <w:p>
            <w:pPr>
              <w:tabs>
                <w:tab w:val="left" w:pos="1560"/>
              </w:tabs>
              <w:autoSpaceDE w:val="0"/>
              <w:autoSpaceDN w:val="0"/>
              <w:adjustRightInd w:val="0"/>
              <w:ind w:firstLine="630" w:firstLineChars="300"/>
              <w:jc w:val="center"/>
              <w:rPr>
                <w:rFonts w:hint="eastAsia" w:ascii="宋体" w:hAnsi="宋体" w:eastAsia="宋体" w:cs="宋体"/>
                <w:snapToGrid w:val="0"/>
                <w:color w:val="auto"/>
                <w:kern w:val="0"/>
                <w:szCs w:val="21"/>
                <w:highlight w:val="none"/>
              </w:rPr>
            </w:pPr>
          </w:p>
        </w:tc>
        <w:tc>
          <w:tcPr>
            <w:tcW w:w="79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258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分包</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w:t>
            </w:r>
          </w:p>
        </w:tc>
        <w:tc>
          <w:tcPr>
            <w:tcW w:w="2987"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c>
          <w:tcPr>
            <w:tcW w:w="79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258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工程质量</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w:t>
            </w:r>
          </w:p>
        </w:tc>
        <w:tc>
          <w:tcPr>
            <w:tcW w:w="2987"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c>
          <w:tcPr>
            <w:tcW w:w="79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79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792" w:type="dxa"/>
            <w:vAlign w:val="center"/>
          </w:tcPr>
          <w:p>
            <w:pPr>
              <w:autoSpaceDE w:val="0"/>
              <w:autoSpaceDN w:val="0"/>
              <w:adjustRightInd w:val="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w w:val="99"/>
          <w:highlight w:val="none"/>
        </w:rPr>
      </w:pPr>
    </w:p>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auto"/>
          <w:kern w:val="0"/>
          <w:szCs w:val="21"/>
          <w:highlight w:val="none"/>
        </w:rPr>
      </w:pPr>
    </w:p>
    <w:p>
      <w:pPr>
        <w:pStyle w:val="5"/>
        <w:jc w:val="center"/>
        <w:rPr>
          <w:rFonts w:hint="eastAsia" w:ascii="宋体" w:hAnsi="宋体" w:eastAsia="宋体" w:cs="宋体"/>
          <w:b w:val="0"/>
          <w:snapToGrid w:val="0"/>
          <w:color w:val="auto"/>
          <w:kern w:val="0"/>
          <w:sz w:val="30"/>
          <w:szCs w:val="30"/>
          <w:highlight w:val="none"/>
        </w:rPr>
      </w:pPr>
      <w:r>
        <w:rPr>
          <w:rFonts w:hint="eastAsia" w:ascii="宋体" w:hAnsi="宋体" w:eastAsia="宋体" w:cs="宋体"/>
          <w:snapToGrid w:val="0"/>
          <w:color w:val="auto"/>
          <w:highlight w:val="none"/>
        </w:rPr>
        <w:br w:type="page"/>
      </w:r>
      <w:bookmarkStart w:id="2165" w:name="_Toc430530532"/>
      <w:bookmarkStart w:id="2166" w:name="_Toc8650"/>
      <w:bookmarkStart w:id="2167" w:name="_Toc57905921"/>
      <w:bookmarkStart w:id="2168" w:name="_Toc287607869"/>
      <w:bookmarkStart w:id="2169" w:name="_Toc277082645"/>
      <w:bookmarkStart w:id="2170" w:name="_Toc287620816"/>
      <w:bookmarkStart w:id="2171" w:name="_Toc224103497"/>
      <w:r>
        <w:rPr>
          <w:rFonts w:hint="eastAsia" w:ascii="宋体" w:hAnsi="宋体" w:eastAsia="宋体" w:cs="宋体"/>
          <w:color w:val="auto"/>
          <w:sz w:val="30"/>
          <w:szCs w:val="30"/>
          <w:highlight w:val="none"/>
        </w:rPr>
        <w:t>（三）法定代表人身份证明或附有法定代表人身份证明的授权委托书</w:t>
      </w:r>
      <w:bookmarkEnd w:id="2165"/>
      <w:bookmarkEnd w:id="2166"/>
      <w:bookmarkEnd w:id="2167"/>
      <w:bookmarkEnd w:id="2168"/>
      <w:bookmarkEnd w:id="2169"/>
      <w:bookmarkEnd w:id="2170"/>
      <w:bookmarkEnd w:id="2171"/>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附：法定代表人身份证明复印件（双面）</w:t>
      </w: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授权委托书需按上述格式填写完整，不可缺少内容。在此基础上增加内容的不影响其有效性。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highlight w:val="none"/>
        </w:rPr>
      </w:pPr>
      <w:bookmarkStart w:id="2172" w:name="_Toc224103500"/>
      <w:bookmarkStart w:id="2173" w:name="_Toc287620819"/>
      <w:bookmarkStart w:id="2174" w:name="_Toc287607872"/>
      <w:bookmarkStart w:id="2175" w:name="_Toc430530534"/>
    </w:p>
    <w:p>
      <w:pPr>
        <w:pStyle w:val="4"/>
        <w:spacing w:line="360" w:lineRule="auto"/>
        <w:jc w:val="center"/>
        <w:rPr>
          <w:rFonts w:hint="eastAsia" w:ascii="宋体" w:hAnsi="宋体" w:eastAsia="宋体" w:cs="宋体"/>
          <w:b w:val="0"/>
          <w:bCs w:val="0"/>
          <w:color w:val="auto"/>
          <w:sz w:val="44"/>
          <w:szCs w:val="44"/>
          <w:highlight w:val="none"/>
        </w:rPr>
      </w:pPr>
      <w:bookmarkStart w:id="2176" w:name="_Toc23891"/>
      <w:bookmarkStart w:id="2177" w:name="_Toc57905924"/>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、经济部分</w:t>
      </w:r>
      <w:bookmarkEnd w:id="2172"/>
      <w:bookmarkEnd w:id="2173"/>
      <w:bookmarkEnd w:id="2174"/>
      <w:bookmarkEnd w:id="2175"/>
      <w:bookmarkEnd w:id="2176"/>
      <w:bookmarkEnd w:id="2177"/>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经济部分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[提示：目录由投标人自行编制]</w:t>
      </w:r>
    </w:p>
    <w:p>
      <w:pPr>
        <w:autoSpaceDE w:val="0"/>
        <w:autoSpaceDN w:val="0"/>
        <w:adjustRightInd w:val="0"/>
        <w:snapToGrid w:val="0"/>
        <w:spacing w:line="360" w:lineRule="auto"/>
        <w:jc w:val="left"/>
        <w:rPr>
          <w:rFonts w:hint="eastAsia" w:ascii="宋体" w:hAnsi="宋体" w:eastAsia="宋体" w:cs="宋体"/>
          <w:color w:val="auto"/>
          <w:w w:val="99"/>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r>
        <w:rPr>
          <w:rFonts w:hint="eastAsia" w:ascii="宋体" w:hAnsi="宋体" w:eastAsia="宋体" w:cs="宋体"/>
          <w:color w:val="auto"/>
          <w:highlight w:val="none"/>
        </w:rPr>
        <w:br w:type="page"/>
      </w:r>
      <w:bookmarkStart w:id="2178" w:name="_Toc287620820"/>
      <w:bookmarkStart w:id="2179" w:name="_Toc287607873"/>
      <w:bookmarkStart w:id="2180" w:name="_Toc430530535"/>
      <w:bookmarkStart w:id="2181" w:name="_Toc224103501"/>
      <w:bookmarkStart w:id="2182" w:name="_Toc277082648"/>
    </w:p>
    <w:p>
      <w:pPr>
        <w:pStyle w:val="5"/>
        <w:jc w:val="center"/>
        <w:rPr>
          <w:rFonts w:hint="eastAsia" w:ascii="宋体" w:hAnsi="宋体" w:eastAsia="宋体" w:cs="宋体"/>
          <w:color w:val="auto"/>
          <w:highlight w:val="none"/>
        </w:rPr>
      </w:pPr>
      <w:bookmarkStart w:id="2183" w:name="_Toc57905925"/>
      <w:bookmarkStart w:id="2184" w:name="_Toc28475"/>
      <w:r>
        <w:rPr>
          <w:rFonts w:hint="eastAsia" w:ascii="宋体" w:hAnsi="宋体" w:eastAsia="宋体" w:cs="宋体"/>
          <w:color w:val="auto"/>
          <w:highlight w:val="none"/>
        </w:rPr>
        <w:t>（一）已标价工程量清单</w:t>
      </w:r>
      <w:bookmarkEnd w:id="2178"/>
      <w:bookmarkEnd w:id="2179"/>
      <w:bookmarkEnd w:id="2180"/>
      <w:bookmarkEnd w:id="2181"/>
      <w:bookmarkEnd w:id="2182"/>
      <w:bookmarkEnd w:id="2183"/>
      <w:bookmarkEnd w:id="2184"/>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bookmarkStart w:id="2185" w:name="_Toc430530536"/>
      <w:bookmarkStart w:id="2186" w:name="_Toc224103502"/>
      <w:bookmarkStart w:id="2187" w:name="_Toc287607874"/>
      <w:bookmarkStart w:id="2188" w:name="_Toc287620821"/>
      <w:r>
        <w:rPr>
          <w:rFonts w:hint="eastAsia" w:ascii="宋体" w:hAnsi="宋体" w:eastAsia="宋体" w:cs="宋体"/>
          <w:color w:val="auto"/>
          <w:highlight w:val="none"/>
        </w:rPr>
        <w:br w:type="page"/>
      </w:r>
    </w:p>
    <w:p>
      <w:pPr>
        <w:pStyle w:val="4"/>
        <w:spacing w:line="360" w:lineRule="auto"/>
        <w:jc w:val="center"/>
        <w:rPr>
          <w:rFonts w:hint="eastAsia" w:ascii="宋体" w:hAnsi="宋体" w:eastAsia="宋体" w:cs="宋体"/>
          <w:b w:val="0"/>
          <w:bCs w:val="0"/>
          <w:color w:val="auto"/>
          <w:sz w:val="44"/>
          <w:szCs w:val="44"/>
          <w:highlight w:val="none"/>
        </w:rPr>
      </w:pPr>
      <w:bookmarkStart w:id="2189" w:name="_Toc29644"/>
      <w:bookmarkStart w:id="2190" w:name="_Toc57905926"/>
      <w:r>
        <w:rPr>
          <w:rFonts w:hint="eastAsia" w:ascii="宋体" w:hAnsi="宋体" w:eastAsia="宋体" w:cs="宋体"/>
          <w:b w:val="0"/>
          <w:bCs w:val="0"/>
          <w:color w:val="auto"/>
          <w:sz w:val="44"/>
          <w:szCs w:val="44"/>
          <w:highlight w:val="none"/>
          <w:lang w:val="en-US" w:eastAsia="zh-CN"/>
        </w:rPr>
        <w:t>三</w:t>
      </w:r>
      <w:r>
        <w:rPr>
          <w:rFonts w:hint="eastAsia" w:ascii="宋体" w:hAnsi="宋体" w:eastAsia="宋体" w:cs="宋体"/>
          <w:b w:val="0"/>
          <w:bCs w:val="0"/>
          <w:color w:val="auto"/>
          <w:sz w:val="44"/>
          <w:szCs w:val="44"/>
          <w:highlight w:val="none"/>
        </w:rPr>
        <w:t>、技术部分</w:t>
      </w:r>
      <w:bookmarkEnd w:id="2185"/>
      <w:bookmarkEnd w:id="2186"/>
      <w:bookmarkEnd w:id="2189"/>
      <w:bookmarkEnd w:id="2190"/>
    </w:p>
    <w:bookmarkEnd w:id="2187"/>
    <w:bookmarkEnd w:id="2188"/>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[提示：目录由投标人自行编制]</w:t>
      </w:r>
    </w:p>
    <w:p>
      <w:pPr>
        <w:autoSpaceDE w:val="0"/>
        <w:autoSpaceDN w:val="0"/>
        <w:adjustRightInd w:val="0"/>
        <w:snapToGrid w:val="0"/>
        <w:spacing w:line="360" w:lineRule="auto"/>
        <w:jc w:val="left"/>
        <w:rPr>
          <w:rFonts w:hint="eastAsia" w:ascii="宋体" w:hAnsi="宋体" w:eastAsia="宋体" w:cs="宋体"/>
          <w:color w:val="auto"/>
          <w:w w:val="99"/>
          <w:kern w:val="0"/>
          <w:sz w:val="28"/>
          <w:szCs w:val="28"/>
          <w:highlight w:val="none"/>
        </w:rPr>
      </w:pPr>
    </w:p>
    <w:p>
      <w:pPr>
        <w:autoSpaceDE w:val="0"/>
        <w:autoSpaceDN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2191" w:name="_Toc299"/>
      <w:bookmarkStart w:id="2192" w:name="_Toc57905927"/>
      <w:r>
        <w:rPr>
          <w:rStyle w:val="197"/>
          <w:rFonts w:hint="eastAsia" w:ascii="宋体" w:hAnsi="宋体" w:eastAsia="宋体" w:cs="宋体"/>
          <w:color w:val="auto"/>
          <w:highlight w:val="none"/>
        </w:rPr>
        <w:t>（一）技术方案</w:t>
      </w:r>
      <w:bookmarkEnd w:id="2191"/>
      <w:bookmarkEnd w:id="2192"/>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18"/>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[提示：投标人应根据招标文件的要求编制技术方案]</w:t>
      </w:r>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投标人编制技术方案的要求：编制时应采用文字并结合图表形式说明施工方法；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BIM、CIM、智慧工地建设管理方案及措施（如有）；</w:t>
      </w:r>
      <w:r>
        <w:rPr>
          <w:rFonts w:hint="eastAsia" w:ascii="宋体" w:hAnsi="宋体" w:eastAsia="宋体" w:cs="宋体"/>
          <w:color w:val="auto"/>
          <w:kern w:val="0"/>
          <w:highlight w:val="none"/>
        </w:rPr>
        <w:t>危大工程清单安全管理措施</w:t>
      </w:r>
      <w:r>
        <w:rPr>
          <w:rFonts w:hint="eastAsia" w:ascii="宋体" w:hAnsi="宋体" w:eastAsia="宋体" w:cs="宋体"/>
          <w:color w:val="auto"/>
          <w:highlight w:val="none"/>
        </w:rPr>
        <w:t>（如有）等</w:t>
      </w:r>
      <w:r>
        <w:rPr>
          <w:rFonts w:hint="eastAsia" w:ascii="宋体" w:hAnsi="宋体" w:eastAsia="宋体" w:cs="宋体"/>
          <w:color w:val="auto"/>
          <w:kern w:val="0"/>
          <w:szCs w:val="21"/>
          <w:highlight w:val="none"/>
        </w:rPr>
        <w:t>。</w:t>
      </w:r>
    </w:p>
    <w:p>
      <w:pPr>
        <w:tabs>
          <w:tab w:val="left" w:pos="735"/>
          <w:tab w:val="left" w:pos="840"/>
          <w:tab w:val="left" w:pos="1050"/>
          <w:tab w:val="left" w:pos="1700"/>
        </w:tabs>
        <w:autoSpaceDE w:val="0"/>
        <w:autoSpaceDN w:val="0"/>
        <w:adjustRightInd w:val="0"/>
        <w:snapToGrid w:val="0"/>
        <w:spacing w:line="360" w:lineRule="auto"/>
        <w:ind w:left="-2"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附表一  拟投入本标段的主要施工设备表</w:t>
      </w: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附表二  拟配备本标段的试验和检测仪器设备表</w:t>
      </w: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附表三  劳动力计划表</w:t>
      </w: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附表四  计划开、竣工日期和施工进度网络图</w:t>
      </w: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附表五  施工总平面图</w:t>
      </w:r>
    </w:p>
    <w:p>
      <w:pPr>
        <w:tabs>
          <w:tab w:val="left" w:pos="1700"/>
        </w:tabs>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附表六  临时用地表</w:t>
      </w: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jc w:val="center"/>
        <w:rPr>
          <w:rFonts w:hint="eastAsia" w:ascii="宋体" w:hAnsi="宋体" w:eastAsia="宋体" w:cs="宋体"/>
          <w:color w:val="auto"/>
          <w:sz w:val="32"/>
          <w:szCs w:val="32"/>
          <w:highlight w:val="none"/>
        </w:rPr>
      </w:pPr>
      <w:bookmarkStart w:id="2193" w:name="_Toc224103504"/>
      <w:bookmarkStart w:id="2194" w:name="_Toc287607876"/>
      <w:bookmarkStart w:id="2195" w:name="_Toc287620823"/>
      <w:bookmarkStart w:id="2196" w:name="_Toc430530539"/>
      <w:bookmarkStart w:id="2197" w:name="_Toc277082650"/>
      <w:bookmarkStart w:id="2198" w:name="_Toc224103507"/>
      <w:bookmarkStart w:id="2199" w:name="_Toc277082653"/>
      <w:bookmarkStart w:id="2200" w:name="_Toc287607879"/>
      <w:bookmarkStart w:id="2201" w:name="_Toc287620826"/>
      <w:r>
        <w:rPr>
          <w:rFonts w:hint="eastAsia" w:ascii="宋体" w:hAnsi="宋体" w:eastAsia="宋体" w:cs="宋体"/>
          <w:color w:val="auto"/>
          <w:highlight w:val="none"/>
        </w:rPr>
        <w:br w:type="page"/>
      </w:r>
      <w:bookmarkStart w:id="2202" w:name="_Toc534185834"/>
      <w:bookmarkStart w:id="2203" w:name="_Toc509218857"/>
      <w:r>
        <w:rPr>
          <w:rFonts w:hint="eastAsia" w:ascii="宋体" w:hAnsi="宋体" w:eastAsia="宋体" w:cs="宋体"/>
          <w:color w:val="auto"/>
          <w:sz w:val="32"/>
          <w:szCs w:val="32"/>
          <w:highlight w:val="none"/>
        </w:rPr>
        <w:t>附表一：拟投入本标段的主要施工设备表</w:t>
      </w:r>
      <w:bookmarkEnd w:id="2193"/>
      <w:bookmarkEnd w:id="2194"/>
      <w:bookmarkEnd w:id="2195"/>
      <w:bookmarkEnd w:id="2196"/>
      <w:bookmarkEnd w:id="2197"/>
      <w:bookmarkEnd w:id="2202"/>
      <w:bookmarkEnd w:id="2203"/>
    </w:p>
    <w:tbl>
      <w:tblPr>
        <w:tblStyle w:val="47"/>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序号</w:t>
            </w: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设备名称</w:t>
            </w:r>
          </w:p>
        </w:tc>
        <w:tc>
          <w:tcPr>
            <w:tcW w:w="824"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型号</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规格</w:t>
            </w: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数量</w:t>
            </w: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国别 产地</w:t>
            </w:r>
          </w:p>
        </w:tc>
        <w:tc>
          <w:tcPr>
            <w:tcW w:w="799"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年份</w:t>
            </w:r>
          </w:p>
        </w:tc>
        <w:tc>
          <w:tcPr>
            <w:tcW w:w="131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额定功率</w:t>
            </w:r>
          </w:p>
          <w:p>
            <w:pPr>
              <w:autoSpaceDE w:val="0"/>
              <w:autoSpaceDN w:val="0"/>
              <w:adjustRightInd w:val="0"/>
              <w:snapToGrid w:val="0"/>
              <w:jc w:val="center"/>
              <w:rPr>
                <w:rFonts w:hint="eastAsia" w:ascii="宋体" w:hAnsi="宋体" w:eastAsia="宋体" w:cs="宋体"/>
                <w:color w:val="auto"/>
                <w:kern w:val="0"/>
                <w:sz w:val="10"/>
                <w:szCs w:val="10"/>
                <w:highlight w:val="none"/>
              </w:rPr>
            </w:pP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（KW）</w:t>
            </w:r>
          </w:p>
        </w:tc>
        <w:tc>
          <w:tcPr>
            <w:tcW w:w="947"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能力</w:t>
            </w:r>
          </w:p>
        </w:tc>
        <w:tc>
          <w:tcPr>
            <w:tcW w:w="1141"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用于施</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工部位</w:t>
            </w: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76"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82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07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28"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9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312"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9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114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c>
          <w:tcPr>
            <w:tcW w:w="749"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p>
        </w:tc>
      </w:tr>
    </w:tbl>
    <w:p>
      <w:pPr>
        <w:autoSpaceDE w:val="0"/>
        <w:autoSpaceDN w:val="0"/>
        <w:adjustRightInd w:val="0"/>
        <w:snapToGrid w:val="0"/>
        <w:spacing w:line="20" w:lineRule="exact"/>
        <w:jc w:val="left"/>
        <w:rPr>
          <w:rFonts w:hint="eastAsia" w:ascii="宋体" w:hAnsi="宋体" w:eastAsia="宋体" w:cs="宋体"/>
          <w:color w:val="auto"/>
          <w:kern w:val="0"/>
          <w:highlight w:val="none"/>
        </w:rPr>
      </w:pPr>
    </w:p>
    <w:p>
      <w:pPr>
        <w:jc w:val="center"/>
        <w:rPr>
          <w:rFonts w:hint="eastAsia" w:ascii="宋体" w:hAnsi="宋体" w:eastAsia="宋体" w:cs="宋体"/>
          <w:color w:val="auto"/>
          <w:kern w:val="0"/>
          <w:sz w:val="20"/>
          <w:szCs w:val="20"/>
          <w:highlight w:val="none"/>
        </w:rPr>
      </w:pPr>
      <w:bookmarkStart w:id="2204" w:name="_Toc224103505"/>
      <w:bookmarkStart w:id="2205" w:name="_Toc287607877"/>
      <w:bookmarkStart w:id="2206" w:name="_Toc430530540"/>
      <w:bookmarkStart w:id="2207" w:name="_Toc287620824"/>
      <w:bookmarkStart w:id="2208" w:name="_Toc277082651"/>
      <w:r>
        <w:rPr>
          <w:rFonts w:hint="eastAsia" w:ascii="宋体" w:hAnsi="宋体" w:eastAsia="宋体" w:cs="宋体"/>
          <w:color w:val="auto"/>
          <w:sz w:val="28"/>
          <w:highlight w:val="none"/>
        </w:rPr>
        <w:br w:type="page"/>
      </w:r>
      <w:bookmarkStart w:id="2209" w:name="_Toc509218858"/>
      <w:bookmarkStart w:id="2210" w:name="_Toc534185835"/>
      <w:r>
        <w:rPr>
          <w:rFonts w:hint="eastAsia" w:ascii="宋体" w:hAnsi="宋体" w:eastAsia="宋体" w:cs="宋体"/>
          <w:color w:val="auto"/>
          <w:sz w:val="32"/>
          <w:szCs w:val="32"/>
          <w:highlight w:val="none"/>
        </w:rPr>
        <w:t>附表二：拟配备本标段的试验和检测仪器设备表</w:t>
      </w:r>
      <w:bookmarkEnd w:id="2204"/>
      <w:bookmarkEnd w:id="2205"/>
      <w:bookmarkEnd w:id="2206"/>
      <w:bookmarkEnd w:id="2207"/>
      <w:bookmarkEnd w:id="2208"/>
      <w:bookmarkEnd w:id="2209"/>
      <w:bookmarkEnd w:id="2210"/>
    </w:p>
    <w:tbl>
      <w:tblPr>
        <w:tblStyle w:val="47"/>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序号</w:t>
            </w:r>
          </w:p>
        </w:tc>
        <w:tc>
          <w:tcPr>
            <w:tcW w:w="1219"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仪器设备</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名　　称</w:t>
            </w:r>
          </w:p>
        </w:tc>
        <w:tc>
          <w:tcPr>
            <w:tcW w:w="85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型号</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规格</w:t>
            </w:r>
          </w:p>
        </w:tc>
        <w:tc>
          <w:tcPr>
            <w:tcW w:w="111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数量</w:t>
            </w:r>
          </w:p>
        </w:tc>
        <w:tc>
          <w:tcPr>
            <w:tcW w:w="754"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国别</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产地</w:t>
            </w:r>
          </w:p>
        </w:tc>
        <w:tc>
          <w:tcPr>
            <w:tcW w:w="827"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w:t>
            </w:r>
          </w:p>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年份</w:t>
            </w:r>
          </w:p>
        </w:tc>
        <w:tc>
          <w:tcPr>
            <w:tcW w:w="1359"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已使用</w:t>
            </w:r>
          </w:p>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台时数</w:t>
            </w:r>
          </w:p>
        </w:tc>
        <w:tc>
          <w:tcPr>
            <w:tcW w:w="1855"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用途</w:t>
            </w:r>
          </w:p>
        </w:tc>
        <w:tc>
          <w:tcPr>
            <w:tcW w:w="770"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exact"/>
        </w:trPr>
        <w:tc>
          <w:tcPr>
            <w:tcW w:w="74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21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52"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1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5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82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359"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855"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770"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bl>
    <w:p>
      <w:pPr>
        <w:spacing w:line="20" w:lineRule="exact"/>
        <w:rPr>
          <w:rFonts w:hint="eastAsia" w:ascii="宋体" w:hAnsi="宋体" w:eastAsia="宋体" w:cs="宋体"/>
          <w:color w:val="auto"/>
          <w:highlight w:val="none"/>
        </w:rPr>
      </w:pPr>
    </w:p>
    <w:p>
      <w:pPr>
        <w:jc w:val="center"/>
        <w:rPr>
          <w:rFonts w:hint="eastAsia" w:ascii="宋体" w:hAnsi="宋体" w:eastAsia="宋体" w:cs="宋体"/>
          <w:b/>
          <w:color w:val="auto"/>
          <w:highlight w:val="none"/>
        </w:rPr>
      </w:pPr>
      <w:bookmarkStart w:id="2211" w:name="_Toc430530541"/>
      <w:bookmarkStart w:id="2212" w:name="_Toc224103506"/>
      <w:bookmarkStart w:id="2213" w:name="_Toc277082652"/>
      <w:bookmarkStart w:id="2214" w:name="_Toc287620825"/>
      <w:bookmarkStart w:id="2215" w:name="_Toc287607878"/>
      <w:r>
        <w:rPr>
          <w:rFonts w:hint="eastAsia" w:ascii="宋体" w:hAnsi="宋体" w:eastAsia="宋体" w:cs="宋体"/>
          <w:color w:val="auto"/>
          <w:sz w:val="28"/>
          <w:highlight w:val="none"/>
        </w:rPr>
        <w:br w:type="page"/>
      </w:r>
      <w:bookmarkStart w:id="2216" w:name="_Toc534185836"/>
      <w:bookmarkStart w:id="2217" w:name="_Toc509218859"/>
      <w:r>
        <w:rPr>
          <w:rFonts w:hint="eastAsia" w:ascii="宋体" w:hAnsi="宋体" w:eastAsia="宋体" w:cs="宋体"/>
          <w:color w:val="auto"/>
          <w:sz w:val="32"/>
          <w:szCs w:val="32"/>
          <w:highlight w:val="none"/>
        </w:rPr>
        <w:t>附表三：劳动力计划表</w:t>
      </w:r>
      <w:bookmarkEnd w:id="2211"/>
      <w:bookmarkEnd w:id="2212"/>
      <w:bookmarkEnd w:id="2213"/>
      <w:bookmarkEnd w:id="2214"/>
      <w:bookmarkEnd w:id="2215"/>
      <w:bookmarkEnd w:id="2216"/>
      <w:bookmarkEnd w:id="2217"/>
    </w:p>
    <w:p>
      <w:pPr>
        <w:autoSpaceDE w:val="0"/>
        <w:autoSpaceDN w:val="0"/>
        <w:adjustRightInd w:val="0"/>
        <w:snapToGrid w:val="0"/>
        <w:spacing w:line="360" w:lineRule="auto"/>
        <w:ind w:right="21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单位：人</w:t>
      </w:r>
    </w:p>
    <w:tbl>
      <w:tblPr>
        <w:tblStyle w:val="47"/>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工种</w:t>
            </w:r>
          </w:p>
        </w:tc>
        <w:tc>
          <w:tcPr>
            <w:tcW w:w="8574" w:type="dxa"/>
            <w:gridSpan w:val="7"/>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Merge w:val="continue"/>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92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45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8"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6"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1187"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bl>
    <w:p>
      <w:pPr>
        <w:autoSpaceDE w:val="0"/>
        <w:autoSpaceDN w:val="0"/>
        <w:adjustRightInd w:val="0"/>
        <w:snapToGrid w:val="0"/>
        <w:spacing w:line="20" w:lineRule="exact"/>
        <w:jc w:val="left"/>
        <w:rPr>
          <w:rFonts w:hint="eastAsia" w:ascii="宋体" w:hAnsi="宋体" w:eastAsia="宋体" w:cs="宋体"/>
          <w:color w:val="auto"/>
          <w:kern w:val="0"/>
          <w:highlight w:val="none"/>
        </w:rPr>
      </w:pPr>
    </w:p>
    <w:p>
      <w:pPr>
        <w:jc w:val="center"/>
        <w:rPr>
          <w:rFonts w:hint="eastAsia" w:ascii="宋体" w:hAnsi="宋体" w:eastAsia="宋体" w:cs="宋体"/>
          <w:b/>
          <w:color w:val="auto"/>
          <w:highlight w:val="none"/>
        </w:rPr>
      </w:pPr>
      <w:bookmarkStart w:id="2218" w:name="_Toc430530542"/>
      <w:r>
        <w:rPr>
          <w:rFonts w:hint="eastAsia" w:ascii="宋体" w:hAnsi="宋体" w:eastAsia="宋体" w:cs="宋体"/>
          <w:color w:val="auto"/>
          <w:sz w:val="28"/>
          <w:highlight w:val="none"/>
        </w:rPr>
        <w:br w:type="page"/>
      </w:r>
      <w:bookmarkStart w:id="2219" w:name="_Toc509218860"/>
      <w:bookmarkStart w:id="2220" w:name="_Toc534185837"/>
      <w:r>
        <w:rPr>
          <w:rFonts w:hint="eastAsia" w:ascii="宋体" w:hAnsi="宋体" w:eastAsia="宋体" w:cs="宋体"/>
          <w:color w:val="auto"/>
          <w:sz w:val="32"/>
          <w:szCs w:val="32"/>
          <w:highlight w:val="none"/>
        </w:rPr>
        <w:t>附表四：计划开、竣工日期和施工进度网络图</w:t>
      </w:r>
      <w:bookmarkEnd w:id="2198"/>
      <w:bookmarkEnd w:id="2199"/>
      <w:bookmarkEnd w:id="2200"/>
      <w:bookmarkEnd w:id="2201"/>
      <w:bookmarkEnd w:id="2218"/>
      <w:bookmarkEnd w:id="2219"/>
      <w:bookmarkEnd w:id="2220"/>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pacing w:val="1"/>
          <w:kern w:val="0"/>
          <w:szCs w:val="21"/>
          <w:highlight w:val="none"/>
        </w:rPr>
        <w:t>投标人</w:t>
      </w:r>
      <w:r>
        <w:rPr>
          <w:rFonts w:hint="eastAsia" w:ascii="宋体" w:hAnsi="宋体" w:eastAsia="宋体" w:cs="宋体"/>
          <w:color w:val="auto"/>
          <w:spacing w:val="2"/>
          <w:kern w:val="0"/>
          <w:szCs w:val="21"/>
          <w:highlight w:val="none"/>
        </w:rPr>
        <w:t>应</w:t>
      </w:r>
      <w:r>
        <w:rPr>
          <w:rFonts w:hint="eastAsia" w:ascii="宋体" w:hAnsi="宋体" w:eastAsia="宋体" w:cs="宋体"/>
          <w:color w:val="auto"/>
          <w:spacing w:val="1"/>
          <w:kern w:val="0"/>
          <w:szCs w:val="21"/>
          <w:highlight w:val="none"/>
        </w:rPr>
        <w:t>递交</w:t>
      </w:r>
      <w:r>
        <w:rPr>
          <w:rFonts w:hint="eastAsia" w:ascii="宋体" w:hAnsi="宋体" w:eastAsia="宋体" w:cs="宋体"/>
          <w:color w:val="auto"/>
          <w:spacing w:val="2"/>
          <w:kern w:val="0"/>
          <w:szCs w:val="21"/>
          <w:highlight w:val="none"/>
        </w:rPr>
        <w:t>施</w:t>
      </w:r>
      <w:r>
        <w:rPr>
          <w:rFonts w:hint="eastAsia" w:ascii="宋体" w:hAnsi="宋体" w:eastAsia="宋体" w:cs="宋体"/>
          <w:color w:val="auto"/>
          <w:spacing w:val="1"/>
          <w:kern w:val="0"/>
          <w:szCs w:val="21"/>
          <w:highlight w:val="none"/>
        </w:rPr>
        <w:t>工</w:t>
      </w:r>
      <w:r>
        <w:rPr>
          <w:rFonts w:hint="eastAsia" w:ascii="宋体" w:hAnsi="宋体" w:eastAsia="宋体" w:cs="宋体"/>
          <w:color w:val="auto"/>
          <w:spacing w:val="2"/>
          <w:kern w:val="0"/>
          <w:szCs w:val="21"/>
          <w:highlight w:val="none"/>
        </w:rPr>
        <w:t>进</w:t>
      </w:r>
      <w:r>
        <w:rPr>
          <w:rFonts w:hint="eastAsia" w:ascii="宋体" w:hAnsi="宋体" w:eastAsia="宋体" w:cs="宋体"/>
          <w:color w:val="auto"/>
          <w:spacing w:val="1"/>
          <w:kern w:val="0"/>
          <w:szCs w:val="21"/>
          <w:highlight w:val="none"/>
        </w:rPr>
        <w:t>度网</w:t>
      </w:r>
      <w:r>
        <w:rPr>
          <w:rFonts w:hint="eastAsia" w:ascii="宋体" w:hAnsi="宋体" w:eastAsia="宋体" w:cs="宋体"/>
          <w:color w:val="auto"/>
          <w:spacing w:val="2"/>
          <w:kern w:val="0"/>
          <w:szCs w:val="21"/>
          <w:highlight w:val="none"/>
        </w:rPr>
        <w:t>络</w:t>
      </w:r>
      <w:r>
        <w:rPr>
          <w:rFonts w:hint="eastAsia" w:ascii="宋体" w:hAnsi="宋体" w:eastAsia="宋体" w:cs="宋体"/>
          <w:color w:val="auto"/>
          <w:spacing w:val="1"/>
          <w:kern w:val="0"/>
          <w:szCs w:val="21"/>
          <w:highlight w:val="none"/>
        </w:rPr>
        <w:t>图</w:t>
      </w:r>
      <w:r>
        <w:rPr>
          <w:rFonts w:hint="eastAsia" w:ascii="宋体" w:hAnsi="宋体" w:eastAsia="宋体" w:cs="宋体"/>
          <w:color w:val="auto"/>
          <w:spacing w:val="2"/>
          <w:kern w:val="0"/>
          <w:szCs w:val="21"/>
          <w:highlight w:val="none"/>
        </w:rPr>
        <w:t>或</w:t>
      </w:r>
      <w:r>
        <w:rPr>
          <w:rFonts w:hint="eastAsia" w:ascii="宋体" w:hAnsi="宋体" w:eastAsia="宋体" w:cs="宋体"/>
          <w:color w:val="auto"/>
          <w:spacing w:val="1"/>
          <w:kern w:val="0"/>
          <w:szCs w:val="21"/>
          <w:highlight w:val="none"/>
        </w:rPr>
        <w:t>施工</w:t>
      </w:r>
      <w:r>
        <w:rPr>
          <w:rFonts w:hint="eastAsia" w:ascii="宋体" w:hAnsi="宋体" w:eastAsia="宋体" w:cs="宋体"/>
          <w:color w:val="auto"/>
          <w:spacing w:val="2"/>
          <w:kern w:val="0"/>
          <w:szCs w:val="21"/>
          <w:highlight w:val="none"/>
        </w:rPr>
        <w:t>进</w:t>
      </w:r>
      <w:r>
        <w:rPr>
          <w:rFonts w:hint="eastAsia" w:ascii="宋体" w:hAnsi="宋体" w:eastAsia="宋体" w:cs="宋体"/>
          <w:color w:val="auto"/>
          <w:spacing w:val="1"/>
          <w:kern w:val="0"/>
          <w:szCs w:val="21"/>
          <w:highlight w:val="none"/>
        </w:rPr>
        <w:t>度</w:t>
      </w:r>
      <w:r>
        <w:rPr>
          <w:rFonts w:hint="eastAsia" w:ascii="宋体" w:hAnsi="宋体" w:eastAsia="宋体" w:cs="宋体"/>
          <w:color w:val="auto"/>
          <w:spacing w:val="2"/>
          <w:kern w:val="0"/>
          <w:szCs w:val="21"/>
          <w:highlight w:val="none"/>
        </w:rPr>
        <w:t>表</w:t>
      </w:r>
      <w:r>
        <w:rPr>
          <w:rFonts w:hint="eastAsia" w:ascii="宋体" w:hAnsi="宋体" w:eastAsia="宋体" w:cs="宋体"/>
          <w:color w:val="auto"/>
          <w:spacing w:val="1"/>
          <w:kern w:val="0"/>
          <w:szCs w:val="21"/>
          <w:highlight w:val="none"/>
        </w:rPr>
        <w:t>，说</w:t>
      </w:r>
      <w:r>
        <w:rPr>
          <w:rFonts w:hint="eastAsia" w:ascii="宋体" w:hAnsi="宋体" w:eastAsia="宋体" w:cs="宋体"/>
          <w:color w:val="auto"/>
          <w:spacing w:val="2"/>
          <w:kern w:val="0"/>
          <w:szCs w:val="21"/>
          <w:highlight w:val="none"/>
        </w:rPr>
        <w:t>明</w:t>
      </w:r>
      <w:r>
        <w:rPr>
          <w:rFonts w:hint="eastAsia" w:ascii="宋体" w:hAnsi="宋体" w:eastAsia="宋体" w:cs="宋体"/>
          <w:color w:val="auto"/>
          <w:spacing w:val="1"/>
          <w:kern w:val="0"/>
          <w:szCs w:val="21"/>
          <w:highlight w:val="none"/>
        </w:rPr>
        <w:t>按</w:t>
      </w:r>
      <w:r>
        <w:rPr>
          <w:rFonts w:hint="eastAsia" w:ascii="宋体" w:hAnsi="宋体" w:eastAsia="宋体" w:cs="宋体"/>
          <w:color w:val="auto"/>
          <w:spacing w:val="2"/>
          <w:kern w:val="0"/>
          <w:szCs w:val="21"/>
          <w:highlight w:val="none"/>
        </w:rPr>
        <w:t>招</w:t>
      </w:r>
      <w:r>
        <w:rPr>
          <w:rFonts w:hint="eastAsia" w:ascii="宋体" w:hAnsi="宋体" w:eastAsia="宋体" w:cs="宋体"/>
          <w:color w:val="auto"/>
          <w:spacing w:val="1"/>
          <w:kern w:val="0"/>
          <w:szCs w:val="21"/>
          <w:highlight w:val="none"/>
        </w:rPr>
        <w:t>标文</w:t>
      </w:r>
      <w:r>
        <w:rPr>
          <w:rFonts w:hint="eastAsia" w:ascii="宋体" w:hAnsi="宋体" w:eastAsia="宋体" w:cs="宋体"/>
          <w:color w:val="auto"/>
          <w:spacing w:val="2"/>
          <w:kern w:val="0"/>
          <w:szCs w:val="21"/>
          <w:highlight w:val="none"/>
        </w:rPr>
        <w:t>件</w:t>
      </w:r>
      <w:r>
        <w:rPr>
          <w:rFonts w:hint="eastAsia" w:ascii="宋体" w:hAnsi="宋体" w:eastAsia="宋体" w:cs="宋体"/>
          <w:color w:val="auto"/>
          <w:spacing w:val="1"/>
          <w:kern w:val="0"/>
          <w:szCs w:val="21"/>
          <w:highlight w:val="none"/>
        </w:rPr>
        <w:t>要</w:t>
      </w:r>
      <w:r>
        <w:rPr>
          <w:rFonts w:hint="eastAsia" w:ascii="宋体" w:hAnsi="宋体" w:eastAsia="宋体" w:cs="宋体"/>
          <w:color w:val="auto"/>
          <w:spacing w:val="2"/>
          <w:kern w:val="0"/>
          <w:szCs w:val="21"/>
          <w:highlight w:val="none"/>
        </w:rPr>
        <w:t>求</w:t>
      </w:r>
      <w:r>
        <w:rPr>
          <w:rFonts w:hint="eastAsia" w:ascii="宋体" w:hAnsi="宋体" w:eastAsia="宋体" w:cs="宋体"/>
          <w:color w:val="auto"/>
          <w:spacing w:val="1"/>
          <w:kern w:val="0"/>
          <w:szCs w:val="21"/>
          <w:highlight w:val="none"/>
        </w:rPr>
        <w:t>的计</w:t>
      </w:r>
      <w:r>
        <w:rPr>
          <w:rFonts w:hint="eastAsia" w:ascii="宋体" w:hAnsi="宋体" w:eastAsia="宋体" w:cs="宋体"/>
          <w:color w:val="auto"/>
          <w:spacing w:val="2"/>
          <w:kern w:val="0"/>
          <w:szCs w:val="21"/>
          <w:highlight w:val="none"/>
        </w:rPr>
        <w:t>划</w:t>
      </w:r>
      <w:r>
        <w:rPr>
          <w:rFonts w:hint="eastAsia" w:ascii="宋体" w:hAnsi="宋体" w:eastAsia="宋体" w:cs="宋体"/>
          <w:color w:val="auto"/>
          <w:spacing w:val="1"/>
          <w:kern w:val="0"/>
          <w:szCs w:val="21"/>
          <w:highlight w:val="none"/>
        </w:rPr>
        <w:t>工</w:t>
      </w:r>
      <w:r>
        <w:rPr>
          <w:rFonts w:hint="eastAsia" w:ascii="宋体" w:hAnsi="宋体" w:eastAsia="宋体" w:cs="宋体"/>
          <w:color w:val="auto"/>
          <w:spacing w:val="4"/>
          <w:kern w:val="0"/>
          <w:szCs w:val="21"/>
          <w:highlight w:val="none"/>
        </w:rPr>
        <w:t>期</w:t>
      </w:r>
      <w:r>
        <w:rPr>
          <w:rFonts w:hint="eastAsia" w:ascii="宋体" w:hAnsi="宋体" w:eastAsia="宋体" w:cs="宋体"/>
          <w:color w:val="auto"/>
          <w:spacing w:val="2"/>
          <w:kern w:val="0"/>
          <w:szCs w:val="21"/>
          <w:highlight w:val="none"/>
        </w:rPr>
        <w:t>进</w:t>
      </w:r>
      <w:r>
        <w:rPr>
          <w:rFonts w:hint="eastAsia" w:ascii="宋体" w:hAnsi="宋体" w:eastAsia="宋体" w:cs="宋体"/>
          <w:color w:val="auto"/>
          <w:spacing w:val="1"/>
          <w:kern w:val="0"/>
          <w:szCs w:val="21"/>
          <w:highlight w:val="none"/>
        </w:rPr>
        <w:t>行</w:t>
      </w:r>
      <w:r>
        <w:rPr>
          <w:rFonts w:hint="eastAsia" w:ascii="宋体" w:hAnsi="宋体" w:eastAsia="宋体" w:cs="宋体"/>
          <w:color w:val="auto"/>
          <w:kern w:val="0"/>
          <w:szCs w:val="21"/>
          <w:highlight w:val="none"/>
        </w:rPr>
        <w:t>施工的各个关键日期。</w:t>
      </w:r>
    </w:p>
    <w:p>
      <w:pPr>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2.施工进</w:t>
      </w:r>
      <w:r>
        <w:rPr>
          <w:rFonts w:hint="eastAsia" w:ascii="宋体" w:hAnsi="宋体" w:eastAsia="宋体" w:cs="宋体"/>
          <w:color w:val="auto"/>
          <w:spacing w:val="-1"/>
          <w:kern w:val="0"/>
          <w:szCs w:val="21"/>
          <w:highlight w:val="none"/>
        </w:rPr>
        <w:t>度</w:t>
      </w:r>
      <w:r>
        <w:rPr>
          <w:rFonts w:hint="eastAsia" w:ascii="宋体" w:hAnsi="宋体" w:eastAsia="宋体" w:cs="宋体"/>
          <w:color w:val="auto"/>
          <w:kern w:val="0"/>
          <w:szCs w:val="21"/>
          <w:highlight w:val="none"/>
        </w:rPr>
        <w:t>表可采用网络图（或横道图）表示。</w:t>
      </w: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jc w:val="center"/>
        <w:rPr>
          <w:rFonts w:hint="eastAsia" w:ascii="宋体" w:hAnsi="宋体" w:eastAsia="宋体" w:cs="宋体"/>
          <w:color w:val="auto"/>
          <w:sz w:val="28"/>
          <w:highlight w:val="none"/>
        </w:rPr>
      </w:pPr>
      <w:bookmarkStart w:id="2221" w:name="_Toc224103508"/>
      <w:bookmarkStart w:id="2222" w:name="_Toc430530543"/>
      <w:bookmarkStart w:id="2223" w:name="_Toc287620827"/>
      <w:bookmarkStart w:id="2224" w:name="_Toc287607880"/>
      <w:bookmarkStart w:id="2225" w:name="_Toc277082654"/>
      <w:r>
        <w:rPr>
          <w:rFonts w:hint="eastAsia" w:ascii="宋体" w:hAnsi="宋体" w:eastAsia="宋体" w:cs="宋体"/>
          <w:color w:val="auto"/>
          <w:sz w:val="28"/>
          <w:highlight w:val="none"/>
        </w:rPr>
        <w:br w:type="page"/>
      </w:r>
      <w:bookmarkStart w:id="2226" w:name="_Toc534185838"/>
      <w:bookmarkStart w:id="2227" w:name="_Toc509218861"/>
      <w:r>
        <w:rPr>
          <w:rFonts w:hint="eastAsia" w:ascii="宋体" w:hAnsi="宋体" w:eastAsia="宋体" w:cs="宋体"/>
          <w:color w:val="auto"/>
          <w:sz w:val="32"/>
          <w:szCs w:val="32"/>
          <w:highlight w:val="none"/>
        </w:rPr>
        <w:t>附表五：施工总平面图</w:t>
      </w:r>
      <w:bookmarkEnd w:id="2221"/>
      <w:bookmarkEnd w:id="2222"/>
      <w:bookmarkEnd w:id="2223"/>
      <w:bookmarkEnd w:id="2224"/>
      <w:bookmarkEnd w:id="2225"/>
      <w:bookmarkEnd w:id="2226"/>
      <w:bookmarkEnd w:id="2227"/>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投标人应递交一份施工总平面图</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绘出现场临时设施布置图表并附文字说明</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说明临时 设施</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加工车间</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现场办公</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设备及仓储</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供电</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供水</w:t>
      </w:r>
      <w:r>
        <w:rPr>
          <w:rFonts w:hint="eastAsia" w:ascii="宋体" w:hAnsi="宋体" w:eastAsia="宋体" w:cs="宋体"/>
          <w:color w:val="auto"/>
          <w:spacing w:val="-10"/>
          <w:kern w:val="0"/>
          <w:szCs w:val="21"/>
          <w:highlight w:val="none"/>
        </w:rPr>
        <w:t>、</w:t>
      </w:r>
      <w:r>
        <w:rPr>
          <w:rFonts w:hint="eastAsia" w:ascii="宋体" w:hAnsi="宋体" w:eastAsia="宋体" w:cs="宋体"/>
          <w:color w:val="auto"/>
          <w:kern w:val="0"/>
          <w:szCs w:val="21"/>
          <w:highlight w:val="none"/>
        </w:rPr>
        <w:t>卫生</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生活</w:t>
      </w:r>
      <w:r>
        <w:rPr>
          <w:rFonts w:hint="eastAsia" w:ascii="宋体" w:hAnsi="宋体" w:eastAsia="宋体" w:cs="宋体"/>
          <w:color w:val="auto"/>
          <w:spacing w:val="-11"/>
          <w:kern w:val="0"/>
          <w:szCs w:val="21"/>
          <w:highlight w:val="none"/>
        </w:rPr>
        <w:t>、</w:t>
      </w:r>
      <w:r>
        <w:rPr>
          <w:rFonts w:hint="eastAsia" w:ascii="宋体" w:hAnsi="宋体" w:eastAsia="宋体" w:cs="宋体"/>
          <w:color w:val="auto"/>
          <w:kern w:val="0"/>
          <w:szCs w:val="21"/>
          <w:highlight w:val="none"/>
        </w:rPr>
        <w:t>道路</w:t>
      </w:r>
      <w:r>
        <w:rPr>
          <w:rFonts w:hint="eastAsia" w:ascii="宋体" w:hAnsi="宋体" w:eastAsia="宋体" w:cs="宋体"/>
          <w:color w:val="auto"/>
          <w:spacing w:val="-11"/>
          <w:kern w:val="0"/>
          <w:szCs w:val="21"/>
          <w:highlight w:val="none"/>
        </w:rPr>
        <w:t>、</w:t>
      </w:r>
      <w:r>
        <w:rPr>
          <w:rFonts w:hint="eastAsia" w:ascii="宋体" w:hAnsi="宋体" w:eastAsia="宋体" w:cs="宋体"/>
          <w:color w:val="auto"/>
          <w:spacing w:val="1"/>
          <w:kern w:val="0"/>
          <w:szCs w:val="21"/>
          <w:highlight w:val="none"/>
        </w:rPr>
        <w:t>消</w:t>
      </w:r>
      <w:r>
        <w:rPr>
          <w:rFonts w:hint="eastAsia" w:ascii="宋体" w:hAnsi="宋体" w:eastAsia="宋体" w:cs="宋体"/>
          <w:color w:val="auto"/>
          <w:kern w:val="0"/>
          <w:szCs w:val="21"/>
          <w:highlight w:val="none"/>
        </w:rPr>
        <w:t>防等设施的情况和布置。</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jc w:val="center"/>
        <w:rPr>
          <w:rFonts w:hint="eastAsia" w:ascii="宋体" w:hAnsi="宋体" w:eastAsia="宋体" w:cs="宋体"/>
          <w:color w:val="auto"/>
          <w:sz w:val="32"/>
          <w:szCs w:val="32"/>
          <w:highlight w:val="none"/>
        </w:rPr>
      </w:pPr>
      <w:bookmarkStart w:id="2228" w:name="_Toc277082655"/>
      <w:bookmarkStart w:id="2229" w:name="_Toc509218862"/>
      <w:bookmarkStart w:id="2230" w:name="_Toc224103509"/>
      <w:bookmarkStart w:id="2231" w:name="_Toc287607881"/>
      <w:bookmarkStart w:id="2232" w:name="_Toc534185839"/>
      <w:bookmarkStart w:id="2233" w:name="_Toc430530544"/>
      <w:bookmarkStart w:id="2234" w:name="_Toc287620828"/>
      <w:r>
        <w:rPr>
          <w:rFonts w:hint="eastAsia" w:ascii="宋体" w:hAnsi="宋体" w:eastAsia="宋体" w:cs="宋体"/>
          <w:color w:val="auto"/>
          <w:sz w:val="32"/>
          <w:szCs w:val="32"/>
          <w:highlight w:val="none"/>
        </w:rPr>
        <w:t>附表六：临时用地表</w:t>
      </w:r>
      <w:bookmarkEnd w:id="2228"/>
      <w:bookmarkEnd w:id="2229"/>
      <w:bookmarkEnd w:id="2230"/>
      <w:bookmarkEnd w:id="2231"/>
      <w:bookmarkEnd w:id="2232"/>
      <w:bookmarkEnd w:id="2233"/>
      <w:bookmarkEnd w:id="2234"/>
    </w:p>
    <w:tbl>
      <w:tblPr>
        <w:tblStyle w:val="47"/>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用 途</w:t>
            </w:r>
          </w:p>
        </w:tc>
        <w:tc>
          <w:tcPr>
            <w:tcW w:w="2381"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面 积（平</w:t>
            </w:r>
            <w:r>
              <w:rPr>
                <w:rFonts w:hint="eastAsia" w:ascii="宋体" w:hAnsi="宋体" w:eastAsia="宋体" w:cs="宋体"/>
                <w:color w:val="auto"/>
                <w:spacing w:val="-1"/>
                <w:kern w:val="0"/>
                <w:szCs w:val="21"/>
                <w:highlight w:val="none"/>
              </w:rPr>
              <w:t>方</w:t>
            </w:r>
            <w:r>
              <w:rPr>
                <w:rFonts w:hint="eastAsia" w:ascii="宋体" w:hAnsi="宋体" w:eastAsia="宋体" w:cs="宋体"/>
                <w:color w:val="auto"/>
                <w:kern w:val="0"/>
                <w:szCs w:val="21"/>
                <w:highlight w:val="none"/>
              </w:rPr>
              <w:t>米）</w:t>
            </w:r>
          </w:p>
        </w:tc>
        <w:tc>
          <w:tcPr>
            <w:tcW w:w="2383"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位 置</w:t>
            </w:r>
          </w:p>
        </w:tc>
        <w:tc>
          <w:tcPr>
            <w:tcW w:w="2384" w:type="dxa"/>
            <w:vAlign w:val="center"/>
          </w:tcPr>
          <w:p>
            <w:pPr>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9" w:hRule="exact"/>
        </w:trPr>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1"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3"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c>
          <w:tcPr>
            <w:tcW w:w="2384" w:type="dxa"/>
            <w:vAlign w:val="top"/>
          </w:tcPr>
          <w:p>
            <w:pPr>
              <w:autoSpaceDE w:val="0"/>
              <w:autoSpaceDN w:val="0"/>
              <w:adjustRightInd w:val="0"/>
              <w:snapToGrid w:val="0"/>
              <w:jc w:val="left"/>
              <w:rPr>
                <w:rFonts w:hint="eastAsia" w:ascii="宋体" w:hAnsi="宋体" w:eastAsia="宋体" w:cs="宋体"/>
                <w:color w:val="auto"/>
                <w:kern w:val="0"/>
                <w:sz w:val="24"/>
                <w:highlight w:val="none"/>
              </w:rPr>
            </w:pPr>
          </w:p>
        </w:tc>
      </w:tr>
    </w:tbl>
    <w:p>
      <w:pPr>
        <w:autoSpaceDE w:val="0"/>
        <w:autoSpaceDN w:val="0"/>
        <w:adjustRightInd w:val="0"/>
        <w:snapToGrid w:val="0"/>
        <w:spacing w:line="20" w:lineRule="exact"/>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4"/>
        <w:spacing w:line="360" w:lineRule="auto"/>
        <w:jc w:val="center"/>
        <w:rPr>
          <w:rFonts w:hint="eastAsia" w:ascii="宋体" w:hAnsi="宋体" w:eastAsia="宋体" w:cs="宋体"/>
          <w:b w:val="0"/>
          <w:bCs w:val="0"/>
          <w:color w:val="auto"/>
          <w:sz w:val="44"/>
          <w:szCs w:val="44"/>
          <w:highlight w:val="none"/>
        </w:rPr>
      </w:pPr>
      <w:bookmarkStart w:id="2235" w:name="_Toc287620829"/>
      <w:bookmarkStart w:id="2236" w:name="_Toc224103510"/>
      <w:bookmarkStart w:id="2237" w:name="_Toc287607882"/>
      <w:bookmarkStart w:id="2238" w:name="_Toc277082656"/>
      <w:bookmarkStart w:id="2239" w:name="_Toc430530545"/>
      <w:bookmarkStart w:id="2240" w:name="_Toc57905928"/>
      <w:bookmarkStart w:id="2241" w:name="_Toc27141"/>
      <w:r>
        <w:rPr>
          <w:rFonts w:hint="eastAsia" w:ascii="宋体" w:hAnsi="宋体" w:eastAsia="宋体" w:cs="宋体"/>
          <w:b w:val="0"/>
          <w:bCs w:val="0"/>
          <w:color w:val="auto"/>
          <w:sz w:val="44"/>
          <w:szCs w:val="44"/>
          <w:highlight w:val="none"/>
          <w:lang w:val="en-US" w:eastAsia="zh-CN"/>
        </w:rPr>
        <w:t>四</w:t>
      </w:r>
      <w:r>
        <w:rPr>
          <w:rFonts w:hint="eastAsia" w:ascii="宋体" w:hAnsi="宋体" w:eastAsia="宋体" w:cs="宋体"/>
          <w:b w:val="0"/>
          <w:bCs w:val="0"/>
          <w:color w:val="auto"/>
          <w:sz w:val="44"/>
          <w:szCs w:val="44"/>
          <w:highlight w:val="none"/>
        </w:rPr>
        <w:t>、</w:t>
      </w:r>
      <w:bookmarkEnd w:id="2235"/>
      <w:bookmarkEnd w:id="2236"/>
      <w:bookmarkEnd w:id="2237"/>
      <w:bookmarkEnd w:id="2238"/>
      <w:bookmarkEnd w:id="2239"/>
      <w:r>
        <w:rPr>
          <w:rFonts w:hint="eastAsia" w:ascii="宋体" w:hAnsi="宋体" w:eastAsia="宋体" w:cs="宋体"/>
          <w:b w:val="0"/>
          <w:bCs w:val="0"/>
          <w:color w:val="auto"/>
          <w:sz w:val="44"/>
          <w:szCs w:val="44"/>
          <w:highlight w:val="none"/>
        </w:rPr>
        <w:t>资格审查部分</w:t>
      </w:r>
      <w:bookmarkEnd w:id="2240"/>
      <w:bookmarkEnd w:id="2241"/>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资格审查部分</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djustRightInd w:val="0"/>
        <w:snapToGrid w:val="0"/>
        <w:spacing w:line="264" w:lineRule="auto"/>
        <w:rPr>
          <w:rFonts w:hint="eastAsia" w:ascii="宋体" w:hAnsi="宋体" w:eastAsia="宋体" w:cs="宋体"/>
          <w:color w:val="auto"/>
          <w:szCs w:val="21"/>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）投标人基本情况表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）项目管理机构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）其他资料</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pStyle w:val="5"/>
        <w:jc w:val="center"/>
        <w:rPr>
          <w:rFonts w:hint="eastAsia" w:ascii="宋体" w:hAnsi="宋体" w:eastAsia="宋体" w:cs="宋体"/>
          <w:snapToGrid w:val="0"/>
          <w:color w:val="auto"/>
          <w:kern w:val="0"/>
          <w:sz w:val="30"/>
          <w:szCs w:val="30"/>
          <w:highlight w:val="none"/>
        </w:rPr>
      </w:pPr>
      <w:r>
        <w:rPr>
          <w:rFonts w:hint="eastAsia" w:ascii="宋体" w:hAnsi="宋体" w:eastAsia="宋体" w:cs="宋体"/>
          <w:color w:val="auto"/>
          <w:highlight w:val="none"/>
        </w:rPr>
        <w:br w:type="page"/>
      </w:r>
      <w:bookmarkStart w:id="2242" w:name="_Toc57905929"/>
      <w:bookmarkStart w:id="2243" w:name="_Toc5633"/>
      <w:bookmarkStart w:id="2244" w:name="_Toc287620830"/>
      <w:bookmarkStart w:id="2245" w:name="_Toc430530546"/>
      <w:bookmarkStart w:id="2246" w:name="_Toc224103511"/>
      <w:bookmarkStart w:id="2247" w:name="_Toc277082657"/>
      <w:bookmarkStart w:id="2248" w:name="_Toc287607883"/>
      <w:r>
        <w:rPr>
          <w:rFonts w:hint="eastAsia" w:ascii="宋体" w:hAnsi="宋体" w:eastAsia="宋体" w:cs="宋体"/>
          <w:color w:val="auto"/>
          <w:sz w:val="30"/>
          <w:szCs w:val="30"/>
          <w:highlight w:val="none"/>
        </w:rPr>
        <w:t>（一）法定代表人身份证明或附有法定代表人身份证明的授权委托书</w:t>
      </w:r>
      <w:bookmarkEnd w:id="2242"/>
      <w:bookmarkEnd w:id="2243"/>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附：法定代表人身份证明复印件（双面）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810" w:firstLineChars="3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bookmarkEnd w:id="2244"/>
      <w:bookmarkEnd w:id="2245"/>
      <w:bookmarkEnd w:id="2246"/>
      <w:bookmarkEnd w:id="2247"/>
      <w:bookmarkEnd w:id="2248"/>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授权委托书需按上述格式填写完整，不可缺少内容。在此基础上增加内容的不影响其有效性。</w:t>
      </w:r>
    </w:p>
    <w:p>
      <w:pPr>
        <w:spacing w:line="20" w:lineRule="exact"/>
        <w:jc w:val="center"/>
        <w:rPr>
          <w:rFonts w:hint="eastAsia" w:ascii="宋体" w:hAnsi="宋体" w:eastAsia="宋体" w:cs="宋体"/>
          <w:color w:val="auto"/>
          <w:szCs w:val="21"/>
          <w:highlight w:val="none"/>
        </w:rPr>
      </w:pPr>
      <w:bookmarkStart w:id="2249" w:name="_Toc277082659"/>
      <w:bookmarkStart w:id="2250" w:name="_Toc287607887"/>
    </w:p>
    <w:p>
      <w:pPr>
        <w:pStyle w:val="5"/>
        <w:spacing w:before="0" w:after="0" w:line="24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251" w:name="_Toc57905931"/>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2251"/>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9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9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9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5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25"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967"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5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25"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5616" w:type="dxa"/>
            <w:gridSpan w:val="7"/>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04" w:type="dxa"/>
            <w:vMerge w:val="restart"/>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bl>
    <w:p>
      <w:pPr>
        <w:spacing w:line="360" w:lineRule="auto"/>
        <w:jc w:val="center"/>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br w:type="page"/>
      </w:r>
      <w:bookmarkStart w:id="2252" w:name="_Toc509218863"/>
      <w:bookmarkStart w:id="2253" w:name="_Toc57905932"/>
      <w:bookmarkStart w:id="2254" w:name="_Toc534185840"/>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rPr>
        <w:t>）项目管理机构</w:t>
      </w:r>
      <w:bookmarkEnd w:id="2252"/>
      <w:bookmarkEnd w:id="2253"/>
      <w:bookmarkEnd w:id="2254"/>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47"/>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Merge w:val="continue"/>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Merge w:val="continue"/>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项目技术负责人</w:t>
            </w: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34"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1167"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8"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77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2723"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c>
          <w:tcPr>
            <w:tcW w:w="896" w:type="dxa"/>
            <w:vAlign w:val="top"/>
          </w:tcPr>
          <w:p>
            <w:pPr>
              <w:autoSpaceDE w:val="0"/>
              <w:autoSpaceDN w:val="0"/>
              <w:adjustRightInd w:val="0"/>
              <w:snapToGrid w:val="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备注：本表仅填项目经理、项目技术负责人相关信息</w:t>
      </w: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项目经理及项目技术负责人简历表</w:t>
      </w:r>
      <w:bookmarkEnd w:id="2249"/>
      <w:bookmarkEnd w:id="2250"/>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02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346"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252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020"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346" w:type="dxa"/>
            <w:gridSpan w:val="3"/>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2255" w:name="_Toc224103515"/>
    </w:p>
    <w:bookmarkEnd w:id="2255"/>
    <w:p>
      <w:pPr>
        <w:pStyle w:val="5"/>
        <w:spacing w:before="0" w:after="0" w:line="360" w:lineRule="auto"/>
        <w:jc w:val="center"/>
        <w:rPr>
          <w:rFonts w:hint="eastAsia" w:ascii="宋体" w:hAnsi="宋体" w:eastAsia="宋体" w:cs="宋体"/>
          <w:b w:val="0"/>
          <w:color w:val="auto"/>
          <w:highlight w:val="none"/>
        </w:rPr>
      </w:pPr>
      <w:bookmarkStart w:id="2256" w:name="_Toc430530552"/>
      <w:bookmarkStart w:id="2257" w:name="_Toc287607893"/>
      <w:bookmarkStart w:id="2258" w:name="_Toc287620839"/>
      <w:bookmarkStart w:id="2259" w:name="_Toc224103520"/>
      <w:bookmarkStart w:id="2260" w:name="_Toc277082663"/>
      <w:bookmarkStart w:id="2261" w:name="_Toc57905935"/>
      <w:bookmarkStart w:id="2262" w:name="_Toc534185843"/>
      <w:bookmarkStart w:id="2263" w:name="_Toc509218866"/>
      <w:r>
        <w:rPr>
          <w:rFonts w:hint="eastAsia" w:ascii="宋体" w:hAnsi="宋体" w:eastAsia="宋体" w:cs="宋体"/>
          <w:b w:val="0"/>
          <w:color w:val="auto"/>
          <w:highlight w:val="none"/>
        </w:rPr>
        <w:t>（</w:t>
      </w:r>
      <w:r>
        <w:rPr>
          <w:rFonts w:hint="eastAsia" w:ascii="宋体" w:hAnsi="宋体" w:eastAsia="宋体" w:cs="宋体"/>
          <w:b w:val="0"/>
          <w:color w:val="auto"/>
          <w:highlight w:val="none"/>
          <w:lang w:val="en-US" w:eastAsia="zh-CN"/>
        </w:rPr>
        <w:t>四</w:t>
      </w:r>
      <w:r>
        <w:rPr>
          <w:rFonts w:hint="eastAsia" w:ascii="宋体" w:hAnsi="宋体" w:eastAsia="宋体" w:cs="宋体"/>
          <w:b w:val="0"/>
          <w:color w:val="auto"/>
          <w:highlight w:val="none"/>
        </w:rPr>
        <w:t>）</w:t>
      </w:r>
      <w:bookmarkEnd w:id="2256"/>
      <w:bookmarkEnd w:id="2257"/>
      <w:bookmarkEnd w:id="2258"/>
      <w:bookmarkEnd w:id="2259"/>
      <w:bookmarkEnd w:id="2260"/>
      <w:r>
        <w:rPr>
          <w:rFonts w:hint="eastAsia" w:ascii="宋体" w:hAnsi="宋体" w:eastAsia="宋体" w:cs="宋体"/>
          <w:b w:val="0"/>
          <w:color w:val="auto"/>
          <w:highlight w:val="none"/>
        </w:rPr>
        <w:t>承诺</w:t>
      </w:r>
      <w:bookmarkEnd w:id="2261"/>
    </w:p>
    <w:p>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的投标，自愿作出以下承诺：</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1、我公司投标截止日投标资格情况不存在下列情形之一：</w:t>
      </w:r>
    </w:p>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（3）被列入《重庆市工程建设领域招标投标信用管理暂行办法》规定的黑名单且在记分有效期内；</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（5）被重庆市住房和城乡建设主管部门暂停在渝承揽新业务且在暂停期内。</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2、我公司拟派的项目经理按注册建造师的相关规定到岗履职和未被禁止参与投标。</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2.3为保证我公司拟派的项目经理到本项目到岗履职，我公司还承诺：</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rPr>
        <w:t xml:space="preserve"> 14 </w:t>
      </w:r>
      <w:r>
        <w:rPr>
          <w:rFonts w:hint="eastAsia" w:ascii="宋体" w:hAnsi="宋体" w:eastAsia="宋体" w:cs="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若我公司拟派项目经理放弃在其他项目中标或拟中标的将提供：①经中标或拟中标的其他项目建设单位同意的放弃中标函。</w:t>
      </w:r>
    </w:p>
    <w:p>
      <w:pPr>
        <w:numPr>
          <w:ilvl w:val="0"/>
          <w:numId w:val="3"/>
        </w:num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pPr>
        <w:numPr>
          <w:ilvl w:val="0"/>
          <w:numId w:val="3"/>
        </w:num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招标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6、我公司不存在第二章 投标人须知第 1.4.3 项规定的任何一种情形。</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7、我公司的投标文件符合第二章 投标人须知第 1.3.1 项的规定。</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8、我公司的投标文件符合第四章 合同条款及格式规定，投标文件中没有招标人不能接受的条件。</w:t>
      </w:r>
    </w:p>
    <w:p>
      <w:pPr>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9、我公司的投标文件符合第七章 技术标准和要求（如有）。</w:t>
      </w:r>
    </w:p>
    <w:p>
      <w:pPr>
        <w:tabs>
          <w:tab w:val="left" w:pos="4200"/>
          <w:tab w:val="left" w:pos="4620"/>
        </w:tabs>
        <w:autoSpaceDE w:val="0"/>
        <w:autoSpaceDN w:val="0"/>
        <w:adjustRightInd w:val="0"/>
        <w:snapToGrid w:val="0"/>
        <w:spacing w:line="360" w:lineRule="auto"/>
        <w:jc w:val="left"/>
        <w:rPr>
          <w:rFonts w:hint="eastAsia" w:ascii="宋体" w:hAnsi="宋体" w:eastAsia="宋体" w:cs="宋体"/>
          <w:color w:val="auto"/>
          <w:kern w:val="0"/>
          <w:szCs w:val="21"/>
          <w:highlight w:val="none"/>
        </w:rPr>
      </w:pPr>
    </w:p>
    <w:bookmarkEnd w:id="2262"/>
    <w:bookmarkEnd w:id="2263"/>
    <w:p>
      <w:pPr>
        <w:tabs>
          <w:tab w:val="left" w:pos="4200"/>
          <w:tab w:val="left" w:pos="462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tabs>
          <w:tab w:val="left" w:pos="6300"/>
        </w:tabs>
        <w:autoSpaceDE w:val="0"/>
        <w:autoSpaceDN w:val="0"/>
        <w:adjustRightInd w:val="0"/>
        <w:snapToGrid w:val="0"/>
        <w:ind w:firstLine="420" w:firstLineChars="200"/>
        <w:jc w:val="right"/>
        <w:rPr>
          <w:rFonts w:hint="eastAsia" w:ascii="宋体" w:hAnsi="宋体" w:eastAsia="宋体" w:cs="宋体"/>
          <w:b/>
          <w:color w:val="auto"/>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line="360" w:lineRule="auto"/>
        <w:jc w:val="center"/>
        <w:rPr>
          <w:rFonts w:hint="eastAsia" w:ascii="宋体" w:hAnsi="宋体" w:eastAsia="宋体" w:cs="宋体"/>
          <w:b/>
          <w:color w:val="auto"/>
          <w:highlight w:val="none"/>
        </w:rPr>
      </w:pPr>
      <w:bookmarkStart w:id="2264" w:name="_Toc57905936"/>
      <w:r>
        <w:rPr>
          <w:rFonts w:hint="eastAsia" w:ascii="宋体" w:hAnsi="宋体" w:eastAsia="宋体" w:cs="宋体"/>
          <w:b w:val="0"/>
          <w:color w:val="auto"/>
          <w:highlight w:val="none"/>
        </w:rPr>
        <w:t>（</w:t>
      </w:r>
      <w:r>
        <w:rPr>
          <w:rFonts w:hint="eastAsia" w:ascii="宋体" w:hAnsi="宋体" w:eastAsia="宋体" w:cs="宋体"/>
          <w:b w:val="0"/>
          <w:color w:val="auto"/>
          <w:highlight w:val="none"/>
          <w:lang w:val="en-US" w:eastAsia="zh-CN"/>
        </w:rPr>
        <w:t>五</w:t>
      </w:r>
      <w:r>
        <w:rPr>
          <w:rFonts w:hint="eastAsia" w:ascii="宋体" w:hAnsi="宋体" w:eastAsia="宋体" w:cs="宋体"/>
          <w:b w:val="0"/>
          <w:color w:val="auto"/>
          <w:highlight w:val="none"/>
        </w:rPr>
        <w:t>）其他资料</w:t>
      </w:r>
      <w:bookmarkEnd w:id="610"/>
      <w:bookmarkEnd w:id="611"/>
      <w:bookmarkEnd w:id="612"/>
      <w:bookmarkEnd w:id="2264"/>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- 3 -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63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lang w:val="en-US" w:eastAsia="zh-CN"/>
      </w:rPr>
    </w:pPr>
    <w:r>
      <w:rPr>
        <w:rFonts w:hint="eastAsia"/>
        <w:lang w:val="en-US" w:eastAsia="zh-CN"/>
      </w:rPr>
      <w:t>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5895"/>
        <w:tab w:val="clear" w:pos="4153"/>
      </w:tabs>
      <w:rPr>
        <w:rFonts w:hint="eastAsia" w:ascii="Times New Roman" w:hAnsi="Times New Roman" w:eastAsia="仿宋_GB2312"/>
        <w:sz w:val="24"/>
        <w:lang w:eastAsia="zh-CN"/>
      </w:rPr>
    </w:pPr>
    <w:r>
      <w:rPr>
        <w:rFonts w:hint="eastAsia" w:eastAsia="仿宋_GB2312"/>
        <w:sz w:val="24"/>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lang w:val="en-US" w:eastAsia="zh-CN"/>
      </w:rPr>
    </w:pPr>
    <w:r>
      <w:rPr>
        <w:rFonts w:hint="eastAsia"/>
        <w:lang w:val="en-US" w:eastAsia="zh-CN"/>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5895"/>
        <w:tab w:val="clear" w:pos="4153"/>
      </w:tabs>
      <w:rPr>
        <w:rFonts w:hint="eastAsia" w:ascii="Times New Roman" w:hAnsi="Times New Roman" w:eastAsia="仿宋_GB2312"/>
        <w:sz w:val="24"/>
        <w:lang w:eastAsia="zh-CN"/>
      </w:rPr>
    </w:pPr>
    <w:r>
      <w:rPr>
        <w:rFonts w:ascii="Times New Roman" w:hAnsi="Times New Roman" w:eastAsia="宋体" w:cs="Times New Roman"/>
        <w:kern w:val="2"/>
        <w:sz w:val="24"/>
        <w:szCs w:val="18"/>
        <w:lang w:val="en-US" w:eastAsia="zh-CN" w:bidi="ar-SA"/>
      </w:rPr>
      <w:pict>
        <v:rect id="文本框 7"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0"/>
                </w:pPr>
                <w:r>
                  <w:fldChar w:fldCharType="begin"/>
                </w:r>
                <w:r>
                  <w:instrText xml:space="preserve"> PAGE  \* MERGEFORMAT </w:instrText>
                </w:r>
                <w:r>
                  <w:fldChar w:fldCharType="separate"/>
                </w:r>
                <w:r>
                  <w:t>- 2 -</w:t>
                </w:r>
                <w:r>
                  <w:fldChar w:fldCharType="end"/>
                </w:r>
              </w:p>
            </w:txbxContent>
          </v:textbox>
        </v:rect>
      </w:pict>
    </w:r>
    <w:r>
      <w:rPr>
        <w:rFonts w:hint="eastAsia" w:eastAsia="仿宋_GB2312"/>
        <w:sz w:val="24"/>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lang w:val="en-US" w:eastAsia="zh-CN"/>
      </w:rPr>
    </w:pPr>
    <w:r>
      <w:rPr>
        <w:rFonts w:ascii="Times New Roman" w:hAnsi="Times New Roman" w:eastAsia="宋体" w:cs="Times New Roman"/>
        <w:kern w:val="2"/>
        <w:sz w:val="21"/>
        <w:szCs w:val="24"/>
        <w:lang w:val="en-US" w:eastAsia="zh-CN" w:bidi="ar-SA"/>
      </w:rPr>
      <w:pict>
        <v:rect id="文本框 8"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0"/>
                </w:pPr>
                <w:r>
                  <w:fldChar w:fldCharType="begin"/>
                </w:r>
                <w:r>
                  <w:instrText xml:space="preserve"> PAGE  \* MERGEFORMAT </w:instrText>
                </w:r>
                <w:r>
                  <w:fldChar w:fldCharType="separate"/>
                </w:r>
                <w:r>
                  <w:t>- 1 -</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5"/>
        <w:ind w:firstLine="360" w:firstLineChars="200"/>
        <w:rPr>
          <w:rFonts w:ascii="Times New Roman" w:hAnsi="Times New Roman" w:cs="Times New Roman"/>
          <w:lang w:eastAsia="zh-CN"/>
        </w:rPr>
      </w:pPr>
      <w:r>
        <w:rPr>
          <w:rStyle w:val="57"/>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FB488"/>
    <w:multiLevelType w:val="singleLevel"/>
    <w:tmpl w:val="E4EFB488"/>
    <w:lvl w:ilvl="0" w:tentative="0">
      <w:start w:val="14"/>
      <w:numFmt w:val="decimal"/>
      <w:suff w:val="space"/>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5F471D00"/>
    <w:multiLevelType w:val="singleLevel"/>
    <w:tmpl w:val="5F471D00"/>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2D1"/>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0A5"/>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138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0130"/>
    <w:rsid w:val="029E16D8"/>
    <w:rsid w:val="02D3433D"/>
    <w:rsid w:val="02E7478A"/>
    <w:rsid w:val="03454DED"/>
    <w:rsid w:val="03C545D6"/>
    <w:rsid w:val="05AB059E"/>
    <w:rsid w:val="05DC71B6"/>
    <w:rsid w:val="06665122"/>
    <w:rsid w:val="06C43DE0"/>
    <w:rsid w:val="06C64491"/>
    <w:rsid w:val="077305E3"/>
    <w:rsid w:val="09701AE0"/>
    <w:rsid w:val="0BB622A7"/>
    <w:rsid w:val="0C3E42BE"/>
    <w:rsid w:val="0D4806BF"/>
    <w:rsid w:val="0E024D74"/>
    <w:rsid w:val="0E211CBD"/>
    <w:rsid w:val="0F2F57F3"/>
    <w:rsid w:val="0F3A491B"/>
    <w:rsid w:val="102B5AE8"/>
    <w:rsid w:val="10611A0A"/>
    <w:rsid w:val="10AC5059"/>
    <w:rsid w:val="127A292F"/>
    <w:rsid w:val="1282121E"/>
    <w:rsid w:val="136C4E31"/>
    <w:rsid w:val="152F2422"/>
    <w:rsid w:val="15581B10"/>
    <w:rsid w:val="15D30435"/>
    <w:rsid w:val="15F873A5"/>
    <w:rsid w:val="160B677D"/>
    <w:rsid w:val="16E1457B"/>
    <w:rsid w:val="17E75995"/>
    <w:rsid w:val="19450E59"/>
    <w:rsid w:val="1A3D4C07"/>
    <w:rsid w:val="1A766C05"/>
    <w:rsid w:val="1B5A4D98"/>
    <w:rsid w:val="1BA96B88"/>
    <w:rsid w:val="1C6A496F"/>
    <w:rsid w:val="1DD063A3"/>
    <w:rsid w:val="1E5866DD"/>
    <w:rsid w:val="1EFA416B"/>
    <w:rsid w:val="1F125176"/>
    <w:rsid w:val="1FA935B6"/>
    <w:rsid w:val="20BA340F"/>
    <w:rsid w:val="216F7993"/>
    <w:rsid w:val="21825E03"/>
    <w:rsid w:val="21B330B7"/>
    <w:rsid w:val="21BB220E"/>
    <w:rsid w:val="221D5633"/>
    <w:rsid w:val="223C3D79"/>
    <w:rsid w:val="23F33F49"/>
    <w:rsid w:val="26C171CB"/>
    <w:rsid w:val="2805374C"/>
    <w:rsid w:val="28054429"/>
    <w:rsid w:val="280E4776"/>
    <w:rsid w:val="285A1251"/>
    <w:rsid w:val="28FD2E19"/>
    <w:rsid w:val="2A925449"/>
    <w:rsid w:val="2ADE448E"/>
    <w:rsid w:val="2BD902EC"/>
    <w:rsid w:val="2E386092"/>
    <w:rsid w:val="2EE737A0"/>
    <w:rsid w:val="2EF21CAB"/>
    <w:rsid w:val="2F3841ED"/>
    <w:rsid w:val="2F4B6465"/>
    <w:rsid w:val="301517A6"/>
    <w:rsid w:val="30B1408E"/>
    <w:rsid w:val="30CE71F9"/>
    <w:rsid w:val="30EF67E5"/>
    <w:rsid w:val="31F4722E"/>
    <w:rsid w:val="328D7DE2"/>
    <w:rsid w:val="32BA571C"/>
    <w:rsid w:val="32EE6C13"/>
    <w:rsid w:val="33E54E00"/>
    <w:rsid w:val="3418572A"/>
    <w:rsid w:val="35DB1C68"/>
    <w:rsid w:val="36123EBE"/>
    <w:rsid w:val="36F4767F"/>
    <w:rsid w:val="375A48EC"/>
    <w:rsid w:val="377738FE"/>
    <w:rsid w:val="378418A7"/>
    <w:rsid w:val="383C102E"/>
    <w:rsid w:val="387D642F"/>
    <w:rsid w:val="38D84B04"/>
    <w:rsid w:val="3A310809"/>
    <w:rsid w:val="3A7645E5"/>
    <w:rsid w:val="3A921FB2"/>
    <w:rsid w:val="3AC705C2"/>
    <w:rsid w:val="3B3339E2"/>
    <w:rsid w:val="3B405CB2"/>
    <w:rsid w:val="3E3D561D"/>
    <w:rsid w:val="3ED16F9F"/>
    <w:rsid w:val="3ED95EA9"/>
    <w:rsid w:val="3F94702A"/>
    <w:rsid w:val="3FE06D3B"/>
    <w:rsid w:val="3FE2521F"/>
    <w:rsid w:val="40070A70"/>
    <w:rsid w:val="40D309FB"/>
    <w:rsid w:val="41D71CA1"/>
    <w:rsid w:val="4233454F"/>
    <w:rsid w:val="42A77BCB"/>
    <w:rsid w:val="43527DA5"/>
    <w:rsid w:val="45093CD4"/>
    <w:rsid w:val="48826C2D"/>
    <w:rsid w:val="4A4D7CF5"/>
    <w:rsid w:val="4AF83480"/>
    <w:rsid w:val="4B85051F"/>
    <w:rsid w:val="4BD81AEE"/>
    <w:rsid w:val="4C806421"/>
    <w:rsid w:val="4CA0475B"/>
    <w:rsid w:val="4CDF4A30"/>
    <w:rsid w:val="4D0E1A0D"/>
    <w:rsid w:val="4DAD1D99"/>
    <w:rsid w:val="4E774DAA"/>
    <w:rsid w:val="4EF13B48"/>
    <w:rsid w:val="4F1B5F1A"/>
    <w:rsid w:val="4FB76013"/>
    <w:rsid w:val="50EB36A6"/>
    <w:rsid w:val="51A2572F"/>
    <w:rsid w:val="51B13A59"/>
    <w:rsid w:val="546B6E19"/>
    <w:rsid w:val="5485514F"/>
    <w:rsid w:val="548D558B"/>
    <w:rsid w:val="549A6C2B"/>
    <w:rsid w:val="55B26AE5"/>
    <w:rsid w:val="55C53EA6"/>
    <w:rsid w:val="565B7FD3"/>
    <w:rsid w:val="590C29FE"/>
    <w:rsid w:val="595E3632"/>
    <w:rsid w:val="598D6F49"/>
    <w:rsid w:val="59A537CB"/>
    <w:rsid w:val="59F26FCA"/>
    <w:rsid w:val="5A2B7E5E"/>
    <w:rsid w:val="5AFC7E15"/>
    <w:rsid w:val="5B650D9F"/>
    <w:rsid w:val="5B7C4A30"/>
    <w:rsid w:val="5C6E6AF1"/>
    <w:rsid w:val="5D4D387D"/>
    <w:rsid w:val="5F144DEA"/>
    <w:rsid w:val="5F7E3018"/>
    <w:rsid w:val="60F1388E"/>
    <w:rsid w:val="61A77079"/>
    <w:rsid w:val="638279B4"/>
    <w:rsid w:val="65454382"/>
    <w:rsid w:val="655D7FBE"/>
    <w:rsid w:val="65FF1E91"/>
    <w:rsid w:val="68336A02"/>
    <w:rsid w:val="68BB4E93"/>
    <w:rsid w:val="6ABD617F"/>
    <w:rsid w:val="6AC25622"/>
    <w:rsid w:val="6AEC3960"/>
    <w:rsid w:val="6B57195A"/>
    <w:rsid w:val="6B8320C0"/>
    <w:rsid w:val="6B9E15A0"/>
    <w:rsid w:val="6BD154CC"/>
    <w:rsid w:val="6C485081"/>
    <w:rsid w:val="6CC92D08"/>
    <w:rsid w:val="6E071562"/>
    <w:rsid w:val="6F083740"/>
    <w:rsid w:val="708D0DB5"/>
    <w:rsid w:val="70C31D6B"/>
    <w:rsid w:val="70F74CDB"/>
    <w:rsid w:val="71297032"/>
    <w:rsid w:val="71904B0C"/>
    <w:rsid w:val="7233601F"/>
    <w:rsid w:val="74533F62"/>
    <w:rsid w:val="74891E24"/>
    <w:rsid w:val="75E105A5"/>
    <w:rsid w:val="776F0CF3"/>
    <w:rsid w:val="781D060D"/>
    <w:rsid w:val="78DB67FF"/>
    <w:rsid w:val="7A735C17"/>
    <w:rsid w:val="7A887546"/>
    <w:rsid w:val="7CF312BE"/>
    <w:rsid w:val="7D9120E2"/>
    <w:rsid w:val="7DD549B9"/>
    <w:rsid w:val="7E695D73"/>
    <w:rsid w:val="7E695E0F"/>
    <w:rsid w:val="7F2D5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7"/>
    <w:qFormat/>
    <w:uiPriority w:val="0"/>
    <w:pPr>
      <w:keepNext/>
      <w:keepLines/>
      <w:spacing w:before="260" w:after="260" w:line="416" w:lineRule="auto"/>
      <w:outlineLvl w:val="2"/>
    </w:pPr>
    <w:rPr>
      <w:b/>
      <w:bCs/>
      <w:sz w:val="32"/>
      <w:szCs w:val="32"/>
    </w:rPr>
  </w:style>
  <w:style w:type="paragraph" w:styleId="6">
    <w:name w:val="heading 4"/>
    <w:basedOn w:val="1"/>
    <w:next w:val="1"/>
    <w:link w:val="183"/>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9"/>
    <w:qFormat/>
    <w:uiPriority w:val="0"/>
    <w:pPr>
      <w:keepNext/>
      <w:keepLines/>
      <w:ind w:firstLine="200" w:firstLineChars="200"/>
      <w:outlineLvl w:val="5"/>
    </w:pPr>
    <w:rPr>
      <w:rFonts w:hAnsi="Arial"/>
    </w:rPr>
  </w:style>
  <w:style w:type="paragraph" w:styleId="10">
    <w:name w:val="heading 7"/>
    <w:basedOn w:val="1"/>
    <w:next w:val="1"/>
    <w:link w:val="27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71"/>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8"/>
    <w:qFormat/>
    <w:uiPriority w:val="0"/>
    <w:pPr>
      <w:shd w:val="clear" w:color="auto" w:fill="000080"/>
    </w:pPr>
  </w:style>
  <w:style w:type="paragraph" w:styleId="16">
    <w:name w:val="annotation text"/>
    <w:basedOn w:val="1"/>
    <w:link w:val="293"/>
    <w:qFormat/>
    <w:uiPriority w:val="99"/>
    <w:pPr>
      <w:jc w:val="left"/>
    </w:pPr>
  </w:style>
  <w:style w:type="paragraph" w:styleId="17">
    <w:name w:val="Body Text 3"/>
    <w:basedOn w:val="1"/>
    <w:link w:val="312"/>
    <w:qFormat/>
    <w:uiPriority w:val="0"/>
    <w:pPr>
      <w:spacing w:after="120"/>
    </w:pPr>
    <w:rPr>
      <w:sz w:val="16"/>
      <w:szCs w:val="16"/>
    </w:rPr>
  </w:style>
  <w:style w:type="paragraph" w:styleId="18">
    <w:name w:val="Body Text"/>
    <w:basedOn w:val="1"/>
    <w:next w:val="1"/>
    <w:link w:val="218"/>
    <w:qFormat/>
    <w:uiPriority w:val="0"/>
    <w:pPr>
      <w:spacing w:after="120"/>
    </w:pPr>
  </w:style>
  <w:style w:type="paragraph" w:styleId="19">
    <w:name w:val="Body Text Indent"/>
    <w:basedOn w:val="1"/>
    <w:link w:val="273"/>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spacing w:before="0" w:after="0" w:line="240" w:lineRule="auto"/>
      <w:ind w:left="420"/>
      <w:jc w:val="left"/>
      <w:outlineLvl w:val="9"/>
    </w:pPr>
    <w:rPr>
      <w:b w:val="0"/>
      <w:bCs w:val="0"/>
      <w:i/>
      <w:iCs/>
      <w:sz w:val="20"/>
      <w:szCs w:val="20"/>
    </w:rPr>
  </w:style>
  <w:style w:type="paragraph" w:styleId="24">
    <w:name w:val="Plain Text"/>
    <w:basedOn w:val="1"/>
    <w:link w:val="308"/>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1"/>
    <w:qFormat/>
    <w:uiPriority w:val="0"/>
    <w:pPr>
      <w:ind w:left="100" w:leftChars="2500"/>
    </w:pPr>
  </w:style>
  <w:style w:type="paragraph" w:styleId="27">
    <w:name w:val="Body Text Indent 2"/>
    <w:basedOn w:val="1"/>
    <w:link w:val="275"/>
    <w:qFormat/>
    <w:uiPriority w:val="0"/>
    <w:pPr>
      <w:widowControl/>
      <w:spacing w:line="480" w:lineRule="auto"/>
      <w:ind w:firstLine="560"/>
      <w:jc w:val="left"/>
    </w:pPr>
    <w:rPr>
      <w:kern w:val="0"/>
      <w:sz w:val="28"/>
    </w:rPr>
  </w:style>
  <w:style w:type="paragraph" w:styleId="28">
    <w:name w:val="endnote text"/>
    <w:basedOn w:val="1"/>
    <w:link w:val="185"/>
    <w:qFormat/>
    <w:uiPriority w:val="0"/>
    <w:pPr>
      <w:widowControl/>
      <w:snapToGrid w:val="0"/>
      <w:jc w:val="left"/>
    </w:pPr>
    <w:rPr>
      <w:rFonts w:ascii="Arial" w:hAnsi="Arial" w:cs="Arial"/>
      <w:kern w:val="0"/>
      <w:sz w:val="20"/>
      <w:lang w:eastAsia="en-US"/>
    </w:rPr>
  </w:style>
  <w:style w:type="paragraph" w:styleId="29">
    <w:name w:val="Balloon Text"/>
    <w:basedOn w:val="1"/>
    <w:link w:val="212"/>
    <w:qFormat/>
    <w:uiPriority w:val="0"/>
    <w:rPr>
      <w:sz w:val="18"/>
      <w:szCs w:val="18"/>
    </w:rPr>
  </w:style>
  <w:style w:type="paragraph" w:styleId="30">
    <w:name w:val="footer"/>
    <w:basedOn w:val="1"/>
    <w:link w:val="200"/>
    <w:qFormat/>
    <w:uiPriority w:val="0"/>
    <w:pPr>
      <w:tabs>
        <w:tab w:val="center" w:pos="4153"/>
        <w:tab w:val="right" w:pos="8306"/>
      </w:tabs>
      <w:snapToGrid w:val="0"/>
      <w:jc w:val="left"/>
    </w:pPr>
    <w:rPr>
      <w:sz w:val="18"/>
      <w:szCs w:val="18"/>
    </w:rPr>
  </w:style>
  <w:style w:type="paragraph" w:styleId="31">
    <w:name w:val="header"/>
    <w:basedOn w:val="1"/>
    <w:link w:val="24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line="240" w:lineRule="auto"/>
      <w:jc w:val="left"/>
      <w:outlineLvl w:val="9"/>
    </w:pPr>
    <w:rPr>
      <w:caps/>
      <w:kern w:val="2"/>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5"/>
    <w:qFormat/>
    <w:uiPriority w:val="0"/>
    <w:pPr>
      <w:widowControl/>
      <w:jc w:val="center"/>
    </w:pPr>
    <w:rPr>
      <w:kern w:val="0"/>
      <w:sz w:val="20"/>
      <w:u w:val="single"/>
      <w:lang w:eastAsia="en-US"/>
    </w:rPr>
  </w:style>
  <w:style w:type="paragraph" w:styleId="35">
    <w:name w:val="footnote text"/>
    <w:basedOn w:val="1"/>
    <w:link w:val="220"/>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72"/>
    <w:qFormat/>
    <w:uiPriority w:val="0"/>
    <w:pPr>
      <w:spacing w:line="360" w:lineRule="auto"/>
      <w:ind w:firstLine="280" w:firstLineChars="100"/>
    </w:pPr>
    <w:rPr>
      <w:rFonts w:ascii="宋体" w:hAnsi="宋体"/>
      <w:sz w:val="28"/>
      <w:szCs w:val="28"/>
    </w:rPr>
  </w:style>
  <w:style w:type="paragraph" w:styleId="38">
    <w:name w:val="toc 2"/>
    <w:basedOn w:val="1"/>
    <w:next w:val="1"/>
    <w:qFormat/>
    <w:uiPriority w:val="39"/>
    <w:pPr>
      <w:spacing w:before="0" w:after="0" w:line="240" w:lineRule="auto"/>
      <w:ind w:left="210"/>
      <w:jc w:val="left"/>
      <w:outlineLvl w:val="9"/>
    </w:pPr>
    <w:rPr>
      <w:rFonts w:ascii="Times New Roman" w:hAnsi="Times New Roman"/>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8"/>
    <w:qFormat/>
    <w:uiPriority w:val="0"/>
    <w:rPr>
      <w:i/>
      <w:iCs/>
      <w:sz w:val="26"/>
    </w:rPr>
  </w:style>
  <w:style w:type="paragraph" w:styleId="41">
    <w:name w:val="HTML Preformatted"/>
    <w:basedOn w:val="1"/>
    <w:link w:val="17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5"/>
    <w:qFormat/>
    <w:uiPriority w:val="0"/>
    <w:pPr>
      <w:widowControl/>
      <w:jc w:val="center"/>
    </w:pPr>
    <w:rPr>
      <w:kern w:val="0"/>
      <w:sz w:val="20"/>
      <w:u w:val="single"/>
      <w:lang w:eastAsia="en-US"/>
    </w:rPr>
  </w:style>
  <w:style w:type="paragraph" w:styleId="45">
    <w:name w:val="annotation subject"/>
    <w:basedOn w:val="16"/>
    <w:next w:val="16"/>
    <w:link w:val="267"/>
    <w:qFormat/>
    <w:uiPriority w:val="0"/>
    <w:rPr>
      <w:b/>
      <w:bCs/>
    </w:rPr>
  </w:style>
  <w:style w:type="paragraph" w:styleId="46">
    <w:name w:val="Body Text First Indent"/>
    <w:basedOn w:val="18"/>
    <w:qFormat/>
    <w:uiPriority w:val="99"/>
    <w:pPr>
      <w:autoSpaceDE w:val="0"/>
      <w:autoSpaceDN w:val="0"/>
      <w:adjustRightInd w:val="0"/>
      <w:spacing w:line="275" w:lineRule="atLeast"/>
      <w:ind w:firstLine="420"/>
      <w:jc w:val="left"/>
      <w:textAlignment w:val="baseline"/>
    </w:pPr>
    <w:rPr>
      <w:rFonts w:ascii="宋体" w:hAnsi="宋体" w:eastAsia="楷体_GB2312" w:cs="宋体"/>
      <w:kern w:val="0"/>
      <w:sz w:val="24"/>
      <w:lang w:val="zh-CN"/>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qFormat/>
    <w:uiPriority w:val="99"/>
    <w:pPr>
      <w:ind w:firstLine="420" w:firstLineChars="200"/>
    </w:pPr>
    <w:rPr>
      <w:sz w:val="28"/>
      <w:szCs w:val="28"/>
    </w:rPr>
  </w:style>
  <w:style w:type="paragraph" w:customStyle="1" w:styleId="60">
    <w:name w:val="表格标题"/>
    <w:basedOn w:val="61"/>
    <w:qFormat/>
    <w:uiPriority w:val="0"/>
  </w:style>
  <w:style w:type="paragraph" w:customStyle="1" w:styleId="61">
    <w:name w:val="表格内容"/>
    <w:basedOn w:val="1"/>
    <w:qFormat/>
    <w:uiPriority w:val="0"/>
    <w:pPr>
      <w:suppressLineNumbers/>
      <w:suppressAutoHyphens/>
    </w:pPr>
  </w:style>
  <w:style w:type="paragraph" w:customStyle="1" w:styleId="6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qFormat/>
    <w:uiPriority w:val="0"/>
    <w:pPr>
      <w:spacing w:line="600" w:lineRule="exact"/>
      <w:ind w:firstLine="567"/>
    </w:pPr>
    <w:rPr>
      <w:rFonts w:ascii="Calibri" w:hAnsi="Calibri"/>
      <w:sz w:val="28"/>
    </w:rPr>
  </w:style>
  <w:style w:type="paragraph" w:customStyle="1" w:styleId="66">
    <w:name w:val="列出段落11"/>
    <w:basedOn w:val="1"/>
    <w:qFormat/>
    <w:uiPriority w:val="0"/>
    <w:pPr>
      <w:ind w:firstLine="420" w:firstLineChars="200"/>
    </w:pPr>
    <w:rPr>
      <w:sz w:val="28"/>
      <w:szCs w:val="28"/>
    </w:rPr>
  </w:style>
  <w:style w:type="paragraph" w:customStyle="1" w:styleId="6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qFormat/>
    <w:uiPriority w:val="0"/>
  </w:style>
  <w:style w:type="paragraph" w:customStyle="1" w:styleId="69">
    <w:name w:val="WW-表格内容"/>
    <w:basedOn w:val="1"/>
    <w:qFormat/>
    <w:uiPriority w:val="0"/>
    <w:pPr>
      <w:suppressLineNumbers/>
      <w:suppressAutoHyphens/>
    </w:pPr>
  </w:style>
  <w:style w:type="paragraph" w:customStyle="1" w:styleId="70">
    <w:name w:val="引用2"/>
    <w:basedOn w:val="1"/>
    <w:next w:val="1"/>
    <w:link w:val="304"/>
    <w:qFormat/>
    <w:uiPriority w:val="0"/>
    <w:rPr>
      <w:i/>
      <w:iCs/>
      <w:color w:val="000000"/>
    </w:rPr>
  </w:style>
  <w:style w:type="paragraph" w:customStyle="1" w:styleId="71">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qFormat/>
    <w:uiPriority w:val="0"/>
    <w:pPr>
      <w:spacing w:line="360" w:lineRule="auto"/>
      <w:ind w:firstLine="200" w:firstLineChars="200"/>
    </w:pPr>
    <w:rPr>
      <w:rFonts w:ascii="Tahoma" w:hAnsi="Tahoma"/>
      <w:sz w:val="24"/>
    </w:rPr>
  </w:style>
  <w:style w:type="paragraph" w:customStyle="1" w:styleId="7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qFormat/>
    <w:uiPriority w:val="0"/>
    <w:pPr>
      <w:widowControl/>
    </w:pPr>
    <w:rPr>
      <w:rFonts w:ascii="Calibri" w:hAnsi="Calibri" w:cs="宋体"/>
      <w:kern w:val="0"/>
      <w:szCs w:val="21"/>
    </w:rPr>
  </w:style>
  <w:style w:type="paragraph" w:customStyle="1" w:styleId="77">
    <w:name w:val="列出段落1"/>
    <w:basedOn w:val="1"/>
    <w:qFormat/>
    <w:uiPriority w:val="0"/>
    <w:pPr>
      <w:ind w:firstLine="420" w:firstLineChars="200"/>
    </w:pPr>
    <w:rPr>
      <w:sz w:val="28"/>
      <w:szCs w:val="28"/>
    </w:rPr>
  </w:style>
  <w:style w:type="paragraph" w:customStyle="1" w:styleId="78">
    <w:name w:val="样式1"/>
    <w:basedOn w:val="1"/>
    <w:next w:val="6"/>
    <w:qFormat/>
    <w:uiPriority w:val="0"/>
    <w:pPr>
      <w:spacing w:line="360" w:lineRule="auto"/>
      <w:ind w:firstLine="420" w:firstLineChars="200"/>
    </w:pPr>
    <w:rPr>
      <w:rFonts w:ascii="宋体" w:hAnsi="宋体"/>
      <w:szCs w:val="21"/>
    </w:rPr>
  </w:style>
  <w:style w:type="paragraph" w:customStyle="1" w:styleId="7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qFormat/>
    <w:uiPriority w:val="0"/>
    <w:pPr>
      <w:spacing w:line="360" w:lineRule="auto"/>
      <w:ind w:firstLine="200" w:firstLineChars="200"/>
    </w:pPr>
    <w:rPr>
      <w:rFonts w:ascii="Tahoma" w:hAnsi="Tahoma"/>
      <w:sz w:val="24"/>
    </w:rPr>
  </w:style>
  <w:style w:type="paragraph" w:customStyle="1" w:styleId="8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4"/>
    <w:qFormat/>
    <w:uiPriority w:val="29"/>
    <w:rPr>
      <w:i/>
      <w:iCs/>
      <w:color w:val="000000"/>
      <w:szCs w:val="20"/>
    </w:rPr>
  </w:style>
  <w:style w:type="paragraph" w:customStyle="1" w:styleId="83">
    <w:name w:val="表格文字"/>
    <w:basedOn w:val="1"/>
    <w:qFormat/>
    <w:uiPriority w:val="0"/>
    <w:pPr>
      <w:adjustRightInd w:val="0"/>
      <w:spacing w:line="420" w:lineRule="atLeast"/>
      <w:jc w:val="left"/>
      <w:textAlignment w:val="baseline"/>
    </w:pPr>
    <w:rPr>
      <w:kern w:val="0"/>
      <w:szCs w:val="20"/>
    </w:rPr>
  </w:style>
  <w:style w:type="paragraph" w:customStyle="1" w:styleId="84">
    <w:name w:val="_Style 96"/>
    <w:semiHidden/>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qFormat/>
    <w:uiPriority w:val="0"/>
    <w:pPr>
      <w:spacing w:line="360" w:lineRule="auto"/>
      <w:ind w:firstLine="200" w:firstLineChars="200"/>
    </w:pPr>
    <w:rPr>
      <w:rFonts w:ascii="宋体" w:hAnsi="Calibri"/>
      <w:sz w:val="24"/>
    </w:rPr>
  </w:style>
  <w:style w:type="paragraph" w:customStyle="1" w:styleId="88">
    <w:name w:val="标题4"/>
    <w:basedOn w:val="4"/>
    <w:next w:val="21"/>
    <w:link w:val="247"/>
    <w:qFormat/>
    <w:uiPriority w:val="0"/>
    <w:pPr>
      <w:spacing w:line="413" w:lineRule="auto"/>
    </w:pPr>
    <w:rPr>
      <w:rFonts w:ascii="Arial" w:hAnsi="Arial"/>
      <w:kern w:val="0"/>
      <w:sz w:val="24"/>
    </w:rPr>
  </w:style>
  <w:style w:type="paragraph" w:customStyle="1" w:styleId="8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qFormat/>
    <w:uiPriority w:val="0"/>
    <w:pPr>
      <w:widowControl/>
      <w:spacing w:after="120"/>
    </w:pPr>
    <w:rPr>
      <w:kern w:val="0"/>
      <w:szCs w:val="21"/>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3">
    <w:name w:val="_Style 124"/>
    <w:basedOn w:val="1"/>
    <w:next w:val="1"/>
    <w:link w:val="201"/>
    <w:qFormat/>
    <w:uiPriority w:val="0"/>
    <w:rPr>
      <w:i/>
      <w:iCs/>
      <w:color w:val="000000"/>
      <w:szCs w:val="22"/>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qFormat/>
    <w:uiPriority w:val="0"/>
    <w:pPr>
      <w:widowControl/>
      <w:spacing w:line="360" w:lineRule="atLeast"/>
      <w:ind w:firstLine="420"/>
    </w:pPr>
    <w:rPr>
      <w:rFonts w:ascii="宋体" w:hAnsi="宋体" w:cs="宋体"/>
      <w:kern w:val="0"/>
      <w:sz w:val="24"/>
    </w:r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明显引用1"/>
    <w:basedOn w:val="1"/>
    <w:next w:val="1"/>
    <w:link w:val="302"/>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qFormat/>
    <w:uiPriority w:val="0"/>
    <w:pPr>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unhideWhenUsed/>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9"/>
    <w:qFormat/>
    <w:uiPriority w:val="0"/>
    <w:pPr>
      <w:spacing w:line="413" w:lineRule="auto"/>
    </w:pPr>
    <w:rPr>
      <w:rFonts w:ascii="Arial" w:hAnsi="Arial"/>
      <w:kern w:val="0"/>
      <w:sz w:val="24"/>
    </w:rPr>
  </w:style>
  <w:style w:type="paragraph" w:customStyle="1" w:styleId="11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301"/>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qFormat/>
    <w:uiPriority w:val="0"/>
    <w:rPr>
      <w:rFonts w:ascii="Calibri" w:hAnsi="Calibri"/>
    </w:rPr>
  </w:style>
  <w:style w:type="paragraph" w:customStyle="1" w:styleId="122">
    <w:name w:val="_Style 87"/>
    <w:basedOn w:val="1"/>
    <w:qFormat/>
    <w:uiPriority w:val="99"/>
    <w:pPr>
      <w:ind w:firstLine="420" w:firstLineChars="200"/>
    </w:pPr>
    <w:rPr>
      <w:rFonts w:ascii="Calibri" w:hAnsi="Calibri"/>
      <w:sz w:val="28"/>
      <w:szCs w:val="28"/>
    </w:rPr>
  </w:style>
  <w:style w:type="paragraph" w:customStyle="1" w:styleId="123">
    <w:name w:val="自定样式1"/>
    <w:basedOn w:val="1"/>
    <w:qFormat/>
    <w:uiPriority w:val="0"/>
    <w:pPr>
      <w:suppressAutoHyphens/>
      <w:jc w:val="center"/>
    </w:pPr>
    <w:rPr>
      <w:rFonts w:ascii="宋体" w:hAnsi="宋体"/>
      <w:color w:val="000000"/>
      <w:sz w:val="18"/>
    </w:rPr>
  </w:style>
  <w:style w:type="paragraph" w:customStyle="1" w:styleId="12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qFormat/>
    <w:uiPriority w:val="0"/>
  </w:style>
  <w:style w:type="paragraph" w:customStyle="1" w:styleId="126">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qFormat/>
    <w:uiPriority w:val="34"/>
    <w:pPr>
      <w:ind w:firstLine="420" w:firstLineChars="200"/>
    </w:pPr>
    <w:rPr>
      <w:rFonts w:ascii="Calibri" w:hAnsi="Calibri"/>
    </w:rPr>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qFormat/>
    <w:uiPriority w:val="0"/>
    <w:pPr>
      <w:spacing w:line="0" w:lineRule="atLeast"/>
    </w:pPr>
    <w:rPr>
      <w:rFonts w:ascii="Calibri" w:hAnsi="Calibri"/>
      <w:b/>
      <w:snapToGrid w:val="0"/>
      <w:szCs w:val="20"/>
    </w:rPr>
  </w:style>
  <w:style w:type="paragraph" w:customStyle="1" w:styleId="13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qFormat/>
    <w:uiPriority w:val="0"/>
  </w:style>
  <w:style w:type="paragraph" w:customStyle="1" w:styleId="13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6">
    <w:name w:val="_Style 86"/>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qFormat/>
    <w:uiPriority w:val="0"/>
  </w:style>
  <w:style w:type="paragraph" w:customStyle="1" w:styleId="13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2">
    <w:name w:val="List Paragraph"/>
    <w:basedOn w:val="1"/>
    <w:qFormat/>
    <w:uiPriority w:val="99"/>
    <w:pPr>
      <w:ind w:firstLine="420" w:firstLineChars="200"/>
    </w:pPr>
    <w:rPr>
      <w:sz w:val="28"/>
      <w:szCs w:val="28"/>
    </w:rPr>
  </w:style>
  <w:style w:type="paragraph" w:customStyle="1" w:styleId="143">
    <w:name w:val="_Style 6"/>
    <w:basedOn w:val="3"/>
    <w:next w:val="1"/>
    <w:qFormat/>
    <w:uiPriority w:val="0"/>
    <w:pPr>
      <w:outlineLvl w:val="9"/>
    </w:pPr>
  </w:style>
  <w:style w:type="paragraph" w:customStyle="1" w:styleId="14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145">
    <w:name w:val="Normal_47"/>
    <w:qFormat/>
    <w:uiPriority w:val="0"/>
    <w:pPr>
      <w:spacing w:before="120" w:after="240"/>
      <w:jc w:val="both"/>
    </w:pPr>
    <w:rPr>
      <w:rFonts w:ascii="Calibri" w:hAnsi="Calibri" w:eastAsia="Calibri" w:cs="Times New Roman"/>
      <w:sz w:val="22"/>
      <w:szCs w:val="22"/>
      <w:lang w:val="en-US" w:eastAsia="en-US" w:bidi="ar-SA"/>
    </w:rPr>
  </w:style>
  <w:style w:type="character" w:customStyle="1" w:styleId="146">
    <w:name w:val="正文文本 Char2"/>
    <w:qFormat/>
    <w:uiPriority w:val="99"/>
    <w:rPr>
      <w:kern w:val="2"/>
      <w:sz w:val="21"/>
      <w:szCs w:val="24"/>
    </w:rPr>
  </w:style>
  <w:style w:type="character" w:customStyle="1" w:styleId="147">
    <w:name w:val="尾注文本 Char1"/>
    <w:qFormat/>
    <w:uiPriority w:val="0"/>
    <w:rPr>
      <w:rFonts w:ascii="Arial" w:hAnsi="Arial" w:cs="Arial"/>
      <w:szCs w:val="24"/>
      <w:lang w:eastAsia="en-US"/>
    </w:rPr>
  </w:style>
  <w:style w:type="character" w:customStyle="1" w:styleId="148">
    <w:name w:val="脚注文本 Char"/>
    <w:qFormat/>
    <w:uiPriority w:val="0"/>
    <w:rPr>
      <w:rFonts w:ascii="Arial" w:hAnsi="Arial" w:eastAsia="宋体" w:cs="Arial"/>
      <w:sz w:val="18"/>
      <w:szCs w:val="18"/>
      <w:lang w:eastAsia="en-US"/>
    </w:rPr>
  </w:style>
  <w:style w:type="character" w:customStyle="1" w:styleId="149">
    <w:name w:val="Char Char17"/>
    <w:qFormat/>
    <w:uiPriority w:val="0"/>
    <w:rPr>
      <w:kern w:val="2"/>
      <w:sz w:val="26"/>
      <w:szCs w:val="24"/>
    </w:rPr>
  </w:style>
  <w:style w:type="character" w:customStyle="1" w:styleId="150">
    <w:name w:val="副标题 Char1"/>
    <w:qFormat/>
    <w:uiPriority w:val="0"/>
    <w:rPr>
      <w:szCs w:val="24"/>
      <w:u w:val="single"/>
      <w:lang w:eastAsia="en-US"/>
    </w:rPr>
  </w:style>
  <w:style w:type="character" w:customStyle="1" w:styleId="151">
    <w:name w:val="标题 Char1"/>
    <w:qFormat/>
    <w:uiPriority w:val="10"/>
    <w:rPr>
      <w:szCs w:val="24"/>
      <w:u w:val="single"/>
      <w:lang w:eastAsia="en-US"/>
    </w:rPr>
  </w:style>
  <w:style w:type="character" w:customStyle="1" w:styleId="152">
    <w:name w:val="Char Char24"/>
    <w:qFormat/>
    <w:uiPriority w:val="0"/>
    <w:rPr>
      <w:b/>
      <w:bCs/>
      <w:kern w:val="44"/>
      <w:sz w:val="44"/>
      <w:szCs w:val="44"/>
    </w:rPr>
  </w:style>
  <w:style w:type="character" w:customStyle="1" w:styleId="153">
    <w:name w:val="批注主题 Char"/>
    <w:qFormat/>
    <w:uiPriority w:val="0"/>
    <w:rPr>
      <w:rFonts w:ascii="宋体" w:hAnsi="宋体" w:eastAsia="宋体"/>
      <w:kern w:val="2"/>
      <w:sz w:val="24"/>
      <w:szCs w:val="28"/>
      <w:lang w:val="en-US" w:eastAsia="zh-CN" w:bidi="ar-SA"/>
    </w:rPr>
  </w:style>
  <w:style w:type="character" w:customStyle="1" w:styleId="154">
    <w:name w:val="引用 Char1"/>
    <w:link w:val="82"/>
    <w:qFormat/>
    <w:uiPriority w:val="29"/>
    <w:rPr>
      <w:i/>
      <w:iCs/>
      <w:color w:val="000000"/>
      <w:kern w:val="2"/>
      <w:sz w:val="21"/>
    </w:rPr>
  </w:style>
  <w:style w:type="character" w:customStyle="1" w:styleId="155">
    <w:name w:val="Char Char23"/>
    <w:qFormat/>
    <w:uiPriority w:val="0"/>
    <w:rPr>
      <w:rFonts w:ascii="Cambria" w:hAnsi="Cambria" w:eastAsia="宋体" w:cs="Times New Roman"/>
      <w:b/>
      <w:bCs/>
      <w:kern w:val="2"/>
      <w:sz w:val="32"/>
      <w:szCs w:val="32"/>
    </w:rPr>
  </w:style>
  <w:style w:type="character" w:customStyle="1" w:styleId="156">
    <w:name w:val="ITTHEADER2 Char"/>
    <w:qFormat/>
    <w:uiPriority w:val="0"/>
    <w:rPr>
      <w:rFonts w:ascii="仿宋_GB2312" w:eastAsia="仿宋_GB2312" w:cs="MingLiU"/>
      <w:b/>
      <w:spacing w:val="1"/>
      <w:w w:val="99"/>
      <w:sz w:val="28"/>
      <w:szCs w:val="32"/>
      <w:lang w:val="en-US" w:eastAsia="zh-CN" w:bidi="ar-SA"/>
    </w:rPr>
  </w:style>
  <w:style w:type="character" w:customStyle="1" w:styleId="157">
    <w:name w:val="标题 9 Char1"/>
    <w:qFormat/>
    <w:uiPriority w:val="0"/>
    <w:rPr>
      <w:rFonts w:ascii="Times New Roman" w:hAnsi="Times New Roman" w:eastAsia="仿宋_GB2312" w:cs="Times New Roman"/>
      <w:sz w:val="30"/>
      <w:szCs w:val="20"/>
    </w:rPr>
  </w:style>
  <w:style w:type="character" w:customStyle="1" w:styleId="158">
    <w:name w:val="正文文本 Char1"/>
    <w:qFormat/>
    <w:uiPriority w:val="0"/>
    <w:rPr>
      <w:kern w:val="2"/>
      <w:sz w:val="21"/>
      <w:szCs w:val="22"/>
    </w:rPr>
  </w:style>
  <w:style w:type="character" w:customStyle="1" w:styleId="159">
    <w:name w:val="引用 Char2"/>
    <w:qFormat/>
    <w:uiPriority w:val="99"/>
    <w:rPr>
      <w:i/>
      <w:iCs/>
      <w:color w:val="000000"/>
      <w:kern w:val="2"/>
      <w:sz w:val="21"/>
      <w:szCs w:val="24"/>
    </w:rPr>
  </w:style>
  <w:style w:type="character" w:customStyle="1" w:styleId="160">
    <w:name w:val="正文文本 Char3"/>
    <w:semiHidden/>
    <w:qFormat/>
    <w:uiPriority w:val="99"/>
    <w:rPr>
      <w:rFonts w:ascii="Calibri" w:hAnsi="Calibri" w:eastAsia="宋体" w:cs="Times New Roman"/>
      <w:szCs w:val="24"/>
    </w:rPr>
  </w:style>
  <w:style w:type="character" w:customStyle="1" w:styleId="161">
    <w:name w:val="日期 字符"/>
    <w:link w:val="26"/>
    <w:qFormat/>
    <w:uiPriority w:val="0"/>
    <w:rPr>
      <w:rFonts w:eastAsia="宋体"/>
      <w:kern w:val="2"/>
      <w:sz w:val="21"/>
      <w:szCs w:val="24"/>
      <w:lang w:val="en-US" w:eastAsia="zh-CN" w:bidi="ar-SA"/>
    </w:rPr>
  </w:style>
  <w:style w:type="character" w:customStyle="1" w:styleId="162">
    <w:name w:val="标题 2 Char"/>
    <w:qFormat/>
    <w:uiPriority w:val="0"/>
    <w:rPr>
      <w:rFonts w:ascii="仿宋_GB2312" w:hAnsi="Calibri" w:eastAsia="仿宋_GB2312" w:cs="Times New Roman"/>
      <w:b/>
      <w:spacing w:val="1"/>
      <w:w w:val="99"/>
      <w:kern w:val="0"/>
      <w:sz w:val="28"/>
      <w:szCs w:val="32"/>
    </w:rPr>
  </w:style>
  <w:style w:type="character" w:customStyle="1" w:styleId="163">
    <w:name w:val="标题 7 Char"/>
    <w:qFormat/>
    <w:uiPriority w:val="0"/>
    <w:rPr>
      <w:rFonts w:ascii="Calibri" w:hAnsi="Calibri" w:eastAsia="宋体" w:cs="Times New Roman"/>
      <w:b/>
      <w:bCs/>
      <w:sz w:val="24"/>
      <w:szCs w:val="24"/>
    </w:rPr>
  </w:style>
  <w:style w:type="character" w:customStyle="1" w:styleId="164">
    <w:name w:val="批注框文本 Char1"/>
    <w:qFormat/>
    <w:uiPriority w:val="0"/>
    <w:rPr>
      <w:kern w:val="2"/>
      <w:sz w:val="18"/>
      <w:szCs w:val="18"/>
    </w:rPr>
  </w:style>
  <w:style w:type="character" w:customStyle="1" w:styleId="165">
    <w:name w:val="日期 Char1"/>
    <w:qFormat/>
    <w:uiPriority w:val="0"/>
    <w:rPr>
      <w:kern w:val="2"/>
      <w:sz w:val="21"/>
      <w:szCs w:val="22"/>
    </w:rPr>
  </w:style>
  <w:style w:type="character" w:customStyle="1" w:styleId="166">
    <w:name w:val="_Style 171"/>
    <w:qFormat/>
    <w:uiPriority w:val="0"/>
    <w:rPr>
      <w:b/>
      <w:bCs/>
      <w:i/>
      <w:iCs/>
      <w:color w:val="4F81BD"/>
    </w:rPr>
  </w:style>
  <w:style w:type="character" w:customStyle="1" w:styleId="167">
    <w:name w:val="Char Char22"/>
    <w:qFormat/>
    <w:uiPriority w:val="0"/>
    <w:rPr>
      <w:b/>
      <w:bCs/>
      <w:kern w:val="2"/>
      <w:sz w:val="32"/>
      <w:szCs w:val="32"/>
    </w:rPr>
  </w:style>
  <w:style w:type="character" w:customStyle="1" w:styleId="168">
    <w:name w:val="标题 6 Char1"/>
    <w:qFormat/>
    <w:uiPriority w:val="0"/>
    <w:rPr>
      <w:rFonts w:ascii="Times New Roman" w:hAnsi="Arial" w:eastAsia="仿宋_GB2312" w:cs="Times New Roman"/>
      <w:sz w:val="30"/>
      <w:szCs w:val="20"/>
    </w:rPr>
  </w:style>
  <w:style w:type="character" w:customStyle="1" w:styleId="169">
    <w:name w:val="标题5 Char Char"/>
    <w:link w:val="117"/>
    <w:qFormat/>
    <w:uiPriority w:val="0"/>
    <w:rPr>
      <w:rFonts w:ascii="Arial" w:hAnsi="Arial"/>
      <w:b/>
      <w:bCs/>
      <w:sz w:val="24"/>
      <w:szCs w:val="32"/>
      <w:lang w:bidi="ar-SA"/>
    </w:rPr>
  </w:style>
  <w:style w:type="character" w:customStyle="1" w:styleId="170">
    <w:name w:val="正文文本缩进 Char1"/>
    <w:qFormat/>
    <w:uiPriority w:val="0"/>
    <w:rPr>
      <w:kern w:val="2"/>
      <w:sz w:val="21"/>
      <w:szCs w:val="24"/>
    </w:rPr>
  </w:style>
  <w:style w:type="character" w:customStyle="1" w:styleId="171">
    <w:name w:val="标题 4 Char1"/>
    <w:qFormat/>
    <w:uiPriority w:val="0"/>
    <w:rPr>
      <w:rFonts w:ascii="宋体" w:hAnsi="宋体" w:eastAsia="宋体" w:cs="宋体"/>
      <w:b/>
      <w:bCs/>
      <w:sz w:val="24"/>
      <w:szCs w:val="24"/>
    </w:rPr>
  </w:style>
  <w:style w:type="character" w:customStyle="1" w:styleId="172">
    <w:name w:val="尾注文本 Char"/>
    <w:qFormat/>
    <w:uiPriority w:val="0"/>
    <w:rPr>
      <w:kern w:val="2"/>
      <w:sz w:val="21"/>
      <w:szCs w:val="24"/>
    </w:rPr>
  </w:style>
  <w:style w:type="character" w:customStyle="1" w:styleId="173">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4">
    <w:name w:val="尾注文本 Char2"/>
    <w:semiHidden/>
    <w:qFormat/>
    <w:uiPriority w:val="99"/>
    <w:rPr>
      <w:rFonts w:ascii="Calibri" w:hAnsi="Calibri" w:eastAsia="宋体" w:cs="Times New Roman"/>
      <w:szCs w:val="24"/>
    </w:rPr>
  </w:style>
  <w:style w:type="character" w:customStyle="1" w:styleId="175">
    <w:name w:val="明显强调1"/>
    <w:qFormat/>
    <w:uiPriority w:val="0"/>
    <w:rPr>
      <w:b/>
      <w:bCs/>
      <w:i/>
      <w:iCs/>
      <w:color w:val="4F81BD"/>
    </w:rPr>
  </w:style>
  <w:style w:type="character" w:customStyle="1" w:styleId="176">
    <w:name w:val="正文文本 Char"/>
    <w:qFormat/>
    <w:uiPriority w:val="0"/>
    <w:rPr>
      <w:sz w:val="26"/>
      <w:szCs w:val="24"/>
    </w:rPr>
  </w:style>
  <w:style w:type="character" w:customStyle="1" w:styleId="177">
    <w:name w:val="脚注文本 Char2"/>
    <w:semiHidden/>
    <w:qFormat/>
    <w:uiPriority w:val="99"/>
    <w:rPr>
      <w:rFonts w:ascii="Calibri" w:hAnsi="Calibri" w:eastAsia="宋体" w:cs="Times New Roman"/>
      <w:sz w:val="18"/>
      <w:szCs w:val="18"/>
    </w:rPr>
  </w:style>
  <w:style w:type="character" w:customStyle="1" w:styleId="178">
    <w:name w:val="正文文本 2 Char1"/>
    <w:semiHidden/>
    <w:qFormat/>
    <w:uiPriority w:val="99"/>
    <w:rPr>
      <w:rFonts w:ascii="Calibri" w:hAnsi="Calibri" w:eastAsia="宋体" w:cs="Times New Roman"/>
      <w:szCs w:val="24"/>
    </w:rPr>
  </w:style>
  <w:style w:type="character" w:customStyle="1" w:styleId="179">
    <w:name w:val="_Style 248"/>
    <w:qFormat/>
    <w:uiPriority w:val="0"/>
    <w:rPr>
      <w:b/>
      <w:bCs/>
      <w:smallCaps/>
      <w:spacing w:val="5"/>
    </w:rPr>
  </w:style>
  <w:style w:type="character" w:customStyle="1" w:styleId="180">
    <w:name w:val="明显引用 Char3"/>
    <w:qFormat/>
    <w:uiPriority w:val="30"/>
    <w:rPr>
      <w:rFonts w:ascii="Calibri" w:hAnsi="Calibri" w:eastAsia="宋体" w:cs="Times New Roman"/>
      <w:b/>
      <w:bCs/>
      <w:i/>
      <w:iCs/>
      <w:color w:val="4F81BD"/>
      <w:szCs w:val="24"/>
    </w:rPr>
  </w:style>
  <w:style w:type="character" w:customStyle="1" w:styleId="181">
    <w:name w:val="_Style 254"/>
    <w:qFormat/>
    <w:uiPriority w:val="0"/>
    <w:rPr>
      <w:b/>
      <w:bCs/>
      <w:smallCaps/>
      <w:color w:val="C0504D"/>
      <w:spacing w:val="5"/>
      <w:u w:val="single"/>
    </w:rPr>
  </w:style>
  <w:style w:type="character" w:customStyle="1" w:styleId="182">
    <w:name w:val="正文文本缩进 Char2"/>
    <w:semiHidden/>
    <w:qFormat/>
    <w:uiPriority w:val="99"/>
    <w:rPr>
      <w:rFonts w:ascii="Calibri" w:hAnsi="Calibri" w:eastAsia="宋体" w:cs="Times New Roman"/>
      <w:szCs w:val="24"/>
    </w:rPr>
  </w:style>
  <w:style w:type="character" w:customStyle="1" w:styleId="183">
    <w:name w:val="标题 4 字符"/>
    <w:link w:val="6"/>
    <w:qFormat/>
    <w:uiPriority w:val="0"/>
    <w:rPr>
      <w:rFonts w:ascii="宋体" w:hAnsi="宋体" w:eastAsia="宋体" w:cs="宋体"/>
      <w:b/>
      <w:bCs/>
      <w:sz w:val="24"/>
      <w:szCs w:val="24"/>
      <w:lang w:val="en-US" w:eastAsia="zh-CN" w:bidi="ar-SA"/>
    </w:rPr>
  </w:style>
  <w:style w:type="character" w:customStyle="1" w:styleId="184">
    <w:name w:val="正文文本缩进 3 Char"/>
    <w:qFormat/>
    <w:uiPriority w:val="0"/>
    <w:rPr>
      <w:kern w:val="2"/>
      <w:sz w:val="16"/>
      <w:szCs w:val="16"/>
    </w:rPr>
  </w:style>
  <w:style w:type="character" w:customStyle="1" w:styleId="185">
    <w:name w:val="尾注文本 字符"/>
    <w:link w:val="28"/>
    <w:qFormat/>
    <w:uiPriority w:val="0"/>
    <w:rPr>
      <w:rFonts w:ascii="Arial" w:hAnsi="Arial" w:eastAsia="宋体" w:cs="Arial"/>
      <w:szCs w:val="24"/>
      <w:lang w:val="en-US" w:eastAsia="en-US" w:bidi="ar-SA"/>
    </w:rPr>
  </w:style>
  <w:style w:type="character" w:customStyle="1" w:styleId="186">
    <w:name w:val="引用 Char3"/>
    <w:qFormat/>
    <w:uiPriority w:val="29"/>
    <w:rPr>
      <w:rFonts w:ascii="Calibri" w:hAnsi="Calibri" w:eastAsia="宋体" w:cs="Times New Roman"/>
      <w:i/>
      <w:iCs/>
      <w:color w:val="000000"/>
      <w:szCs w:val="24"/>
    </w:rPr>
  </w:style>
  <w:style w:type="character" w:customStyle="1" w:styleId="187">
    <w:name w:val="Char Char32"/>
    <w:qFormat/>
    <w:uiPriority w:val="0"/>
    <w:rPr>
      <w:rFonts w:ascii="仿宋_GB2312" w:eastAsia="仿宋_GB2312" w:cs="MingLiU"/>
      <w:b/>
      <w:spacing w:val="1"/>
      <w:w w:val="99"/>
      <w:sz w:val="28"/>
      <w:szCs w:val="32"/>
    </w:rPr>
  </w:style>
  <w:style w:type="character" w:customStyle="1" w:styleId="188">
    <w:name w:val="日期 Char"/>
    <w:qFormat/>
    <w:uiPriority w:val="0"/>
    <w:rPr>
      <w:rFonts w:eastAsia="宋体"/>
      <w:szCs w:val="24"/>
    </w:rPr>
  </w:style>
  <w:style w:type="character" w:customStyle="1" w:styleId="189">
    <w:name w:val="页脚 Char"/>
    <w:qFormat/>
    <w:uiPriority w:val="0"/>
    <w:rPr>
      <w:sz w:val="18"/>
      <w:szCs w:val="18"/>
    </w:rPr>
  </w:style>
  <w:style w:type="character" w:customStyle="1" w:styleId="190">
    <w:name w:val="style121"/>
    <w:qFormat/>
    <w:uiPriority w:val="0"/>
    <w:rPr>
      <w:rFonts w:hint="eastAsia" w:ascii="宋体" w:hAnsi="宋体" w:eastAsia="宋体"/>
      <w:sz w:val="18"/>
      <w:szCs w:val="18"/>
    </w:rPr>
  </w:style>
  <w:style w:type="character" w:customStyle="1" w:styleId="191">
    <w:name w:val="ss16"/>
    <w:qFormat/>
    <w:uiPriority w:val="0"/>
    <w:rPr>
      <w:rFonts w:hint="eastAsia" w:ascii="宋体" w:hAnsi="宋体" w:eastAsia="宋体"/>
      <w:color w:val="000000"/>
      <w:sz w:val="9"/>
      <w:szCs w:val="9"/>
    </w:rPr>
  </w:style>
  <w:style w:type="character" w:customStyle="1" w:styleId="192">
    <w:name w:val="textcontents"/>
    <w:qFormat/>
    <w:uiPriority w:val="0"/>
    <w:rPr>
      <w:rFonts w:cs="Times New Roman"/>
    </w:rPr>
  </w:style>
  <w:style w:type="character" w:customStyle="1" w:styleId="193">
    <w:name w:val="14t1"/>
    <w:qFormat/>
    <w:uiPriority w:val="0"/>
    <w:rPr>
      <w:rFonts w:hint="eastAsia" w:ascii="宋体" w:hAnsi="宋体" w:eastAsia="宋体"/>
      <w:sz w:val="11"/>
      <w:szCs w:val="11"/>
    </w:rPr>
  </w:style>
  <w:style w:type="character" w:customStyle="1" w:styleId="194">
    <w:name w:val="不明显参考1"/>
    <w:qFormat/>
    <w:uiPriority w:val="0"/>
    <w:rPr>
      <w:smallCaps/>
      <w:color w:val="C0504D"/>
      <w:u w:val="single"/>
    </w:rPr>
  </w:style>
  <w:style w:type="character" w:customStyle="1" w:styleId="195">
    <w:name w:val="unnamed1"/>
    <w:basedOn w:val="49"/>
    <w:qFormat/>
    <w:uiPriority w:val="0"/>
  </w:style>
  <w:style w:type="character" w:customStyle="1" w:styleId="196">
    <w:name w:val="批注主题 Char3"/>
    <w:semiHidden/>
    <w:qFormat/>
    <w:uiPriority w:val="99"/>
    <w:rPr>
      <w:rFonts w:ascii="Calibri" w:hAnsi="Calibri" w:eastAsia="宋体" w:cs="Times New Roman"/>
      <w:b/>
      <w:bCs/>
      <w:szCs w:val="24"/>
    </w:rPr>
  </w:style>
  <w:style w:type="character" w:customStyle="1" w:styleId="197">
    <w:name w:val="标题 3 字符"/>
    <w:link w:val="5"/>
    <w:qFormat/>
    <w:uiPriority w:val="0"/>
    <w:rPr>
      <w:rFonts w:eastAsia="宋体"/>
      <w:b/>
      <w:bCs/>
      <w:kern w:val="2"/>
      <w:sz w:val="32"/>
      <w:szCs w:val="32"/>
      <w:lang w:val="en-US" w:eastAsia="zh-CN" w:bidi="ar-SA"/>
    </w:rPr>
  </w:style>
  <w:style w:type="character" w:customStyle="1" w:styleId="198">
    <w:name w:val="标题 2 字符"/>
    <w:link w:val="4"/>
    <w:qFormat/>
    <w:uiPriority w:val="0"/>
    <w:rPr>
      <w:rFonts w:ascii="Cambria" w:hAnsi="Cambria" w:eastAsia="宋体"/>
      <w:b/>
      <w:bCs/>
      <w:kern w:val="2"/>
      <w:sz w:val="32"/>
      <w:szCs w:val="32"/>
      <w:lang w:val="en-US" w:eastAsia="zh-CN" w:bidi="ar-SA"/>
    </w:rPr>
  </w:style>
  <w:style w:type="character" w:customStyle="1" w:styleId="199">
    <w:name w:val="标题 6 字符"/>
    <w:link w:val="8"/>
    <w:qFormat/>
    <w:uiPriority w:val="0"/>
    <w:rPr>
      <w:rFonts w:hAnsi="Arial" w:eastAsia="仿宋_GB2312"/>
      <w:sz w:val="30"/>
      <w:lang w:val="en-US" w:eastAsia="zh-CN" w:bidi="ar-SA"/>
    </w:rPr>
  </w:style>
  <w:style w:type="character" w:customStyle="1" w:styleId="200">
    <w:name w:val="页脚 字符"/>
    <w:link w:val="30"/>
    <w:qFormat/>
    <w:uiPriority w:val="0"/>
    <w:rPr>
      <w:rFonts w:eastAsia="宋体"/>
      <w:kern w:val="2"/>
      <w:sz w:val="18"/>
      <w:szCs w:val="18"/>
      <w:lang w:val="en-US" w:eastAsia="zh-CN" w:bidi="ar-SA"/>
    </w:rPr>
  </w:style>
  <w:style w:type="character" w:customStyle="1" w:styleId="201">
    <w:name w:val="引用 Char4"/>
    <w:link w:val="103"/>
    <w:qFormat/>
    <w:uiPriority w:val="0"/>
    <w:rPr>
      <w:i/>
      <w:iCs/>
      <w:color w:val="000000"/>
      <w:kern w:val="2"/>
      <w:sz w:val="21"/>
      <w:szCs w:val="22"/>
      <w:lang w:bidi="ar-SA"/>
    </w:rPr>
  </w:style>
  <w:style w:type="character" w:customStyle="1" w:styleId="202">
    <w:name w:val="标题 9 字符"/>
    <w:link w:val="12"/>
    <w:qFormat/>
    <w:uiPriority w:val="0"/>
    <w:rPr>
      <w:rFonts w:eastAsia="仿宋_GB2312"/>
      <w:sz w:val="30"/>
      <w:lang w:val="en-US" w:eastAsia="zh-CN" w:bidi="ar-SA"/>
    </w:rPr>
  </w:style>
  <w:style w:type="character" w:customStyle="1" w:styleId="203">
    <w:name w:val="标题 3 Char"/>
    <w:qFormat/>
    <w:uiPriority w:val="0"/>
    <w:rPr>
      <w:rFonts w:ascii="仿宋_GB2312" w:hAnsi="Calibri" w:eastAsia="仿宋_GB2312" w:cs="Times New Roman"/>
      <w:b/>
      <w:kern w:val="0"/>
      <w:sz w:val="24"/>
      <w:szCs w:val="28"/>
    </w:rPr>
  </w:style>
  <w:style w:type="character" w:customStyle="1" w:styleId="204">
    <w:name w:val="批注文字 Char2"/>
    <w:qFormat/>
    <w:uiPriority w:val="0"/>
    <w:rPr>
      <w:rFonts w:ascii="Calibri" w:hAnsi="Calibri" w:eastAsia="宋体" w:cs="Times New Roman"/>
      <w:szCs w:val="24"/>
    </w:rPr>
  </w:style>
  <w:style w:type="character" w:customStyle="1" w:styleId="205">
    <w:name w:val="normaltext1"/>
    <w:qFormat/>
    <w:uiPriority w:val="0"/>
    <w:rPr>
      <w:rFonts w:hint="default" w:ascii="ˎ̥" w:hAnsi="ˎ̥"/>
      <w:sz w:val="9"/>
      <w:szCs w:val="9"/>
    </w:rPr>
  </w:style>
  <w:style w:type="character" w:customStyle="1" w:styleId="206">
    <w:name w:val="ca-141"/>
    <w:qFormat/>
    <w:uiPriority w:val="0"/>
    <w:rPr>
      <w:rFonts w:hint="eastAsia" w:ascii="仿宋_GB2312" w:eastAsia="仿宋_GB2312"/>
      <w:sz w:val="21"/>
      <w:szCs w:val="21"/>
    </w:rPr>
  </w:style>
  <w:style w:type="character" w:customStyle="1" w:styleId="207">
    <w:name w:val="main_tdbg_7601"/>
    <w:qFormat/>
    <w:uiPriority w:val="0"/>
    <w:rPr>
      <w:sz w:val="14"/>
      <w:szCs w:val="14"/>
    </w:rPr>
  </w:style>
  <w:style w:type="character" w:customStyle="1" w:styleId="208">
    <w:name w:val="文档结构图 字符"/>
    <w:link w:val="15"/>
    <w:qFormat/>
    <w:uiPriority w:val="0"/>
    <w:rPr>
      <w:rFonts w:eastAsia="宋体"/>
      <w:kern w:val="2"/>
      <w:sz w:val="21"/>
      <w:szCs w:val="24"/>
      <w:lang w:val="en-US" w:eastAsia="zh-CN" w:bidi="ar-SA"/>
    </w:rPr>
  </w:style>
  <w:style w:type="character" w:customStyle="1" w:styleId="209">
    <w:name w:val="批注框文本 Char3"/>
    <w:semiHidden/>
    <w:qFormat/>
    <w:uiPriority w:val="99"/>
    <w:rPr>
      <w:rFonts w:ascii="Calibri" w:hAnsi="Calibri" w:eastAsia="宋体" w:cs="Times New Roman"/>
      <w:sz w:val="18"/>
      <w:szCs w:val="18"/>
    </w:rPr>
  </w:style>
  <w:style w:type="character" w:customStyle="1" w:styleId="210">
    <w:name w:val="Char Char9"/>
    <w:qFormat/>
    <w:locked/>
    <w:uiPriority w:val="0"/>
    <w:rPr>
      <w:rFonts w:ascii="仿宋_GB2312" w:eastAsia="仿宋_GB2312" w:cs="MingLiU"/>
      <w:b/>
      <w:sz w:val="24"/>
      <w:szCs w:val="28"/>
      <w:lang w:val="en-US" w:eastAsia="zh-CN" w:bidi="ar-SA"/>
    </w:rPr>
  </w:style>
  <w:style w:type="character" w:customStyle="1" w:styleId="211">
    <w:name w:val="title11"/>
    <w:qFormat/>
    <w:uiPriority w:val="0"/>
    <w:rPr>
      <w:b/>
      <w:bCs/>
      <w:color w:val="FFFFFF"/>
      <w:sz w:val="11"/>
      <w:szCs w:val="11"/>
    </w:rPr>
  </w:style>
  <w:style w:type="character" w:customStyle="1" w:styleId="212">
    <w:name w:val="批注框文本 字符"/>
    <w:link w:val="29"/>
    <w:qFormat/>
    <w:uiPriority w:val="0"/>
    <w:rPr>
      <w:rFonts w:eastAsia="宋体"/>
      <w:kern w:val="2"/>
      <w:sz w:val="18"/>
      <w:szCs w:val="18"/>
      <w:lang w:val="en-US" w:eastAsia="zh-CN" w:bidi="ar-SA"/>
    </w:rPr>
  </w:style>
  <w:style w:type="character" w:customStyle="1" w:styleId="213">
    <w:name w:val="标题 8 Char1"/>
    <w:qFormat/>
    <w:uiPriority w:val="0"/>
    <w:rPr>
      <w:rFonts w:ascii="Times New Roman" w:hAnsi="Arial" w:eastAsia="仿宋_GB2312" w:cs="Times New Roman"/>
      <w:sz w:val="30"/>
      <w:szCs w:val="20"/>
    </w:rPr>
  </w:style>
  <w:style w:type="character" w:customStyle="1" w:styleId="214">
    <w:name w:val="标题 Char2"/>
    <w:qFormat/>
    <w:uiPriority w:val="10"/>
    <w:rPr>
      <w:rFonts w:ascii="Cambria" w:hAnsi="Cambria" w:eastAsia="宋体" w:cs="Times New Roman"/>
      <w:b/>
      <w:bCs/>
      <w:sz w:val="32"/>
      <w:szCs w:val="32"/>
    </w:rPr>
  </w:style>
  <w:style w:type="character" w:customStyle="1" w:styleId="215">
    <w:name w:val="标题 字符"/>
    <w:link w:val="44"/>
    <w:qFormat/>
    <w:uiPriority w:val="0"/>
    <w:rPr>
      <w:rFonts w:eastAsia="宋体"/>
      <w:szCs w:val="24"/>
      <w:u w:val="single"/>
      <w:lang w:val="en-US" w:eastAsia="en-US" w:bidi="ar-SA"/>
    </w:rPr>
  </w:style>
  <w:style w:type="character" w:customStyle="1" w:styleId="216">
    <w:name w:val="批注主题 Char1"/>
    <w:qFormat/>
    <w:uiPriority w:val="0"/>
    <w:rPr>
      <w:b/>
      <w:bCs/>
      <w:kern w:val="2"/>
      <w:sz w:val="21"/>
      <w:szCs w:val="22"/>
    </w:rPr>
  </w:style>
  <w:style w:type="character" w:customStyle="1" w:styleId="217">
    <w:name w:val="副标题 Char"/>
    <w:qFormat/>
    <w:uiPriority w:val="0"/>
    <w:rPr>
      <w:rFonts w:ascii="Cambria" w:hAnsi="Cambria" w:eastAsia="宋体" w:cs="Times New Roman"/>
      <w:b/>
      <w:bCs/>
      <w:kern w:val="28"/>
      <w:sz w:val="32"/>
      <w:szCs w:val="32"/>
    </w:rPr>
  </w:style>
  <w:style w:type="character" w:customStyle="1" w:styleId="218">
    <w:name w:val="正文文本 字符"/>
    <w:link w:val="18"/>
    <w:qFormat/>
    <w:uiPriority w:val="0"/>
    <w:rPr>
      <w:rFonts w:eastAsia="宋体"/>
      <w:kern w:val="2"/>
      <w:sz w:val="21"/>
      <w:szCs w:val="24"/>
      <w:lang w:val="en-US" w:eastAsia="zh-CN" w:bidi="ar-SA"/>
    </w:rPr>
  </w:style>
  <w:style w:type="character" w:customStyle="1" w:styleId="219">
    <w:name w:val="纯文本 Char1"/>
    <w:qFormat/>
    <w:uiPriority w:val="0"/>
    <w:rPr>
      <w:rFonts w:ascii="宋体" w:hAnsi="Courier New" w:cs="Courier New"/>
      <w:kern w:val="2"/>
      <w:sz w:val="21"/>
      <w:szCs w:val="21"/>
    </w:rPr>
  </w:style>
  <w:style w:type="character" w:customStyle="1" w:styleId="220">
    <w:name w:val="脚注文本 字符"/>
    <w:link w:val="35"/>
    <w:qFormat/>
    <w:uiPriority w:val="0"/>
    <w:rPr>
      <w:rFonts w:ascii="Arial" w:hAnsi="Arial" w:eastAsia="宋体" w:cs="Arial"/>
      <w:sz w:val="18"/>
      <w:szCs w:val="18"/>
      <w:lang w:val="en-US" w:eastAsia="en-US" w:bidi="ar-SA"/>
    </w:rPr>
  </w:style>
  <w:style w:type="character" w:customStyle="1" w:styleId="221">
    <w:name w:val="标题 2 Char1"/>
    <w:qFormat/>
    <w:uiPriority w:val="0"/>
    <w:rPr>
      <w:rFonts w:ascii="Cambria" w:hAnsi="Cambria" w:eastAsia="宋体" w:cs="Times New Roman"/>
      <w:b/>
      <w:bCs/>
      <w:kern w:val="2"/>
      <w:sz w:val="32"/>
      <w:szCs w:val="32"/>
    </w:rPr>
  </w:style>
  <w:style w:type="character" w:customStyle="1" w:styleId="222">
    <w:name w:val="脚注文本 Char1"/>
    <w:qFormat/>
    <w:uiPriority w:val="0"/>
    <w:rPr>
      <w:rFonts w:ascii="Arial" w:hAnsi="Arial" w:cs="Arial"/>
      <w:sz w:val="18"/>
      <w:szCs w:val="18"/>
      <w:lang w:eastAsia="en-US"/>
    </w:rPr>
  </w:style>
  <w:style w:type="character" w:customStyle="1" w:styleId="223">
    <w:name w:val="HTML 预设格式 Char2"/>
    <w:semiHidden/>
    <w:qFormat/>
    <w:uiPriority w:val="99"/>
    <w:rPr>
      <w:rFonts w:ascii="Courier New" w:hAnsi="Courier New" w:eastAsia="宋体" w:cs="Courier New"/>
      <w:sz w:val="20"/>
      <w:szCs w:val="20"/>
    </w:rPr>
  </w:style>
  <w:style w:type="character" w:customStyle="1" w:styleId="224">
    <w:name w:val="标题 8 Char"/>
    <w:qFormat/>
    <w:uiPriority w:val="0"/>
    <w:rPr>
      <w:rFonts w:ascii="Arial" w:hAnsi="Arial" w:eastAsia="黑体" w:cs="Times New Roman"/>
      <w:sz w:val="24"/>
      <w:szCs w:val="24"/>
    </w:rPr>
  </w:style>
  <w:style w:type="character" w:customStyle="1" w:styleId="225">
    <w:name w:val="s3"/>
    <w:qFormat/>
    <w:uiPriority w:val="0"/>
  </w:style>
  <w:style w:type="character" w:customStyle="1" w:styleId="226">
    <w:name w:val="标题 4 Char"/>
    <w:qFormat/>
    <w:uiPriority w:val="0"/>
    <w:rPr>
      <w:rFonts w:ascii="仿宋_GB2312" w:hAnsi="Calibri" w:eastAsia="仿宋_GB2312" w:cs="Times New Roman"/>
      <w:b/>
      <w:kern w:val="0"/>
      <w:sz w:val="24"/>
      <w:szCs w:val="28"/>
    </w:rPr>
  </w:style>
  <w:style w:type="character" w:customStyle="1" w:styleId="227">
    <w:name w:val="正文文本缩进 2 Char"/>
    <w:qFormat/>
    <w:uiPriority w:val="0"/>
    <w:rPr>
      <w:kern w:val="2"/>
      <w:sz w:val="21"/>
      <w:szCs w:val="24"/>
    </w:rPr>
  </w:style>
  <w:style w:type="character" w:customStyle="1" w:styleId="228">
    <w:name w:val="style21"/>
    <w:qFormat/>
    <w:uiPriority w:val="0"/>
    <w:rPr>
      <w:b/>
      <w:bCs/>
      <w:sz w:val="28"/>
      <w:szCs w:val="28"/>
    </w:rPr>
  </w:style>
  <w:style w:type="character" w:customStyle="1" w:styleId="229">
    <w:name w:val="正文文本缩进 2 Char2"/>
    <w:semiHidden/>
    <w:qFormat/>
    <w:uiPriority w:val="99"/>
    <w:rPr>
      <w:rFonts w:ascii="Calibri" w:hAnsi="Calibri" w:eastAsia="宋体" w:cs="Times New Roman"/>
      <w:szCs w:val="24"/>
    </w:rPr>
  </w:style>
  <w:style w:type="character" w:customStyle="1" w:styleId="230">
    <w:name w:val="ht1"/>
    <w:qFormat/>
    <w:uiPriority w:val="0"/>
    <w:rPr>
      <w:rFonts w:ascii="黑体" w:eastAsia="黑体"/>
      <w:b/>
      <w:bCs/>
    </w:rPr>
  </w:style>
  <w:style w:type="character" w:customStyle="1" w:styleId="231">
    <w:name w:val="文档结构图 Char3"/>
    <w:semiHidden/>
    <w:qFormat/>
    <w:uiPriority w:val="99"/>
    <w:rPr>
      <w:rFonts w:ascii="宋体" w:hAnsi="Calibri" w:eastAsia="宋体" w:cs="Times New Roman"/>
      <w:sz w:val="18"/>
      <w:szCs w:val="18"/>
    </w:rPr>
  </w:style>
  <w:style w:type="character" w:customStyle="1" w:styleId="232">
    <w:name w:val="书籍标题1"/>
    <w:qFormat/>
    <w:uiPriority w:val="0"/>
    <w:rPr>
      <w:b/>
      <w:bCs/>
      <w:smallCaps/>
      <w:spacing w:val="5"/>
    </w:rPr>
  </w:style>
  <w:style w:type="character" w:customStyle="1" w:styleId="233">
    <w:name w:val="标题 7 Char1"/>
    <w:qFormat/>
    <w:uiPriority w:val="0"/>
    <w:rPr>
      <w:rFonts w:ascii="Times New Roman" w:hAnsi="Times New Roman" w:eastAsia="仿宋_GB2312" w:cs="Times New Roman"/>
      <w:sz w:val="30"/>
      <w:szCs w:val="20"/>
    </w:rPr>
  </w:style>
  <w:style w:type="character" w:customStyle="1" w:styleId="234">
    <w:name w:val="明显引用 Char2"/>
    <w:qFormat/>
    <w:uiPriority w:val="99"/>
    <w:rPr>
      <w:b/>
      <w:bCs/>
      <w:i/>
      <w:iCs/>
      <w:color w:val="4F81BD"/>
      <w:kern w:val="2"/>
      <w:sz w:val="21"/>
      <w:szCs w:val="24"/>
    </w:rPr>
  </w:style>
  <w:style w:type="character" w:customStyle="1" w:styleId="235">
    <w:name w:val="不明显强调1"/>
    <w:qFormat/>
    <w:uiPriority w:val="0"/>
    <w:rPr>
      <w:i/>
      <w:iCs/>
      <w:color w:val="808080"/>
    </w:rPr>
  </w:style>
  <w:style w:type="character" w:customStyle="1" w:styleId="236">
    <w:name w:val="普通文字 Char Char2"/>
    <w:qFormat/>
    <w:uiPriority w:val="0"/>
    <w:rPr>
      <w:rFonts w:ascii="宋体" w:hAnsi="Courier New"/>
      <w:kern w:val="2"/>
      <w:sz w:val="28"/>
      <w:szCs w:val="28"/>
    </w:rPr>
  </w:style>
  <w:style w:type="character" w:customStyle="1" w:styleId="237">
    <w:name w:val="标题 6 Char"/>
    <w:qFormat/>
    <w:uiPriority w:val="0"/>
    <w:rPr>
      <w:rFonts w:ascii="Arial" w:hAnsi="Arial" w:eastAsia="黑体" w:cs="Times New Roman"/>
      <w:b/>
      <w:bCs/>
      <w:sz w:val="24"/>
      <w:szCs w:val="24"/>
    </w:rPr>
  </w:style>
  <w:style w:type="character" w:customStyle="1" w:styleId="238">
    <w:name w:val="l1"/>
    <w:basedOn w:val="49"/>
    <w:qFormat/>
    <w:uiPriority w:val="0"/>
  </w:style>
  <w:style w:type="character" w:customStyle="1" w:styleId="239">
    <w:name w:val="未处理的提及"/>
    <w:unhideWhenUsed/>
    <w:qFormat/>
    <w:uiPriority w:val="99"/>
    <w:rPr>
      <w:color w:val="808080"/>
      <w:shd w:val="clear" w:color="auto" w:fill="E6E6E6"/>
    </w:rPr>
  </w:style>
  <w:style w:type="character" w:customStyle="1" w:styleId="240">
    <w:name w:val="页眉 字符"/>
    <w:link w:val="31"/>
    <w:qFormat/>
    <w:uiPriority w:val="0"/>
    <w:rPr>
      <w:rFonts w:eastAsia="宋体"/>
      <w:kern w:val="2"/>
      <w:sz w:val="18"/>
      <w:szCs w:val="18"/>
      <w:lang w:val="en-US" w:eastAsia="zh-CN" w:bidi="ar-SA"/>
    </w:rPr>
  </w:style>
  <w:style w:type="character" w:customStyle="1" w:styleId="241">
    <w:name w:val="Char Char35"/>
    <w:qFormat/>
    <w:uiPriority w:val="0"/>
    <w:rPr>
      <w:rFonts w:ascii="仿宋_GB2312" w:eastAsia="仿宋_GB2312" w:cs="MingLiU"/>
      <w:b/>
      <w:sz w:val="24"/>
      <w:szCs w:val="28"/>
    </w:rPr>
  </w:style>
  <w:style w:type="character" w:customStyle="1" w:styleId="242">
    <w:name w:val="Char Char11"/>
    <w:qFormat/>
    <w:locked/>
    <w:uiPriority w:val="0"/>
    <w:rPr>
      <w:rFonts w:eastAsia="黑体"/>
      <w:kern w:val="2"/>
      <w:sz w:val="44"/>
      <w:szCs w:val="44"/>
      <w:lang w:val="en-US" w:eastAsia="zh-CN" w:bidi="ar-SA"/>
    </w:rPr>
  </w:style>
  <w:style w:type="character" w:customStyle="1" w:styleId="243">
    <w:name w:val="style31"/>
    <w:qFormat/>
    <w:uiPriority w:val="0"/>
    <w:rPr>
      <w:sz w:val="10"/>
      <w:szCs w:val="10"/>
    </w:rPr>
  </w:style>
  <w:style w:type="character" w:customStyle="1" w:styleId="244">
    <w:name w:val="0d1471"/>
    <w:qFormat/>
    <w:uiPriority w:val="0"/>
    <w:rPr>
      <w:color w:val="000000"/>
      <w:sz w:val="11"/>
      <w:szCs w:val="11"/>
      <w:u w:val="none"/>
    </w:rPr>
  </w:style>
  <w:style w:type="character" w:customStyle="1" w:styleId="245">
    <w:name w:val="标题 9 Char"/>
    <w:qFormat/>
    <w:uiPriority w:val="0"/>
    <w:rPr>
      <w:rFonts w:ascii="Arial" w:hAnsi="Arial" w:eastAsia="黑体" w:cs="Times New Roman"/>
      <w:szCs w:val="21"/>
    </w:rPr>
  </w:style>
  <w:style w:type="character" w:customStyle="1" w:styleId="246">
    <w:name w:val="标题 3 Char1"/>
    <w:qFormat/>
    <w:uiPriority w:val="0"/>
    <w:rPr>
      <w:rFonts w:ascii="Times New Roman" w:hAnsi="Times New Roman" w:eastAsia="宋体" w:cs="Times New Roman"/>
      <w:b/>
      <w:bCs/>
      <w:kern w:val="2"/>
      <w:sz w:val="32"/>
      <w:szCs w:val="32"/>
    </w:rPr>
  </w:style>
  <w:style w:type="character" w:customStyle="1" w:styleId="247">
    <w:name w:val="标题4 Char Char"/>
    <w:link w:val="88"/>
    <w:qFormat/>
    <w:uiPriority w:val="0"/>
    <w:rPr>
      <w:rFonts w:ascii="Arial" w:hAnsi="Arial"/>
      <w:b/>
      <w:bCs/>
      <w:sz w:val="24"/>
      <w:szCs w:val="32"/>
      <w:lang w:bidi="ar-SA"/>
    </w:rPr>
  </w:style>
  <w:style w:type="character" w:customStyle="1" w:styleId="248">
    <w:name w:val="标题 5 Char1"/>
    <w:qFormat/>
    <w:uiPriority w:val="0"/>
    <w:rPr>
      <w:rFonts w:ascii="宋体" w:hAnsi="宋体" w:eastAsia="宋体" w:cs="宋体"/>
      <w:b/>
      <w:bCs/>
      <w:sz w:val="20"/>
      <w:szCs w:val="20"/>
    </w:rPr>
  </w:style>
  <w:style w:type="character" w:customStyle="1" w:styleId="249">
    <w:name w:val="正文文本缩进 3 Char1"/>
    <w:qFormat/>
    <w:uiPriority w:val="0"/>
    <w:rPr>
      <w:rFonts w:ascii="宋体" w:hAnsi="宋体"/>
      <w:kern w:val="2"/>
      <w:sz w:val="28"/>
      <w:szCs w:val="28"/>
    </w:rPr>
  </w:style>
  <w:style w:type="character" w:customStyle="1" w:styleId="250">
    <w:name w:val="Char Char33"/>
    <w:qFormat/>
    <w:uiPriority w:val="0"/>
    <w:rPr>
      <w:rFonts w:ascii="仿宋_GB2312" w:eastAsia="仿宋_GB2312" w:cs="MingLiU"/>
      <w:b/>
      <w:sz w:val="24"/>
      <w:szCs w:val="28"/>
    </w:rPr>
  </w:style>
  <w:style w:type="character" w:customStyle="1" w:styleId="251">
    <w:name w:val="批注文字 Char1"/>
    <w:qFormat/>
    <w:uiPriority w:val="99"/>
    <w:rPr>
      <w:rFonts w:ascii="Times New Roman" w:hAnsi="Times New Roman" w:eastAsia="宋体" w:cs="Times New Roman"/>
      <w:szCs w:val="24"/>
    </w:rPr>
  </w:style>
  <w:style w:type="character" w:customStyle="1" w:styleId="252">
    <w:name w:val="正文文本 3 Char1"/>
    <w:qFormat/>
    <w:uiPriority w:val="0"/>
    <w:rPr>
      <w:kern w:val="2"/>
      <w:sz w:val="16"/>
      <w:szCs w:val="16"/>
    </w:rPr>
  </w:style>
  <w:style w:type="character" w:customStyle="1" w:styleId="253">
    <w:name w:val="页眉 Char"/>
    <w:qFormat/>
    <w:uiPriority w:val="0"/>
    <w:rPr>
      <w:sz w:val="18"/>
      <w:szCs w:val="18"/>
    </w:rPr>
  </w:style>
  <w:style w:type="character" w:customStyle="1" w:styleId="254">
    <w:name w:val="明显引用 Char"/>
    <w:qFormat/>
    <w:uiPriority w:val="0"/>
    <w:rPr>
      <w:rFonts w:ascii="Times New Roman" w:hAnsi="Times New Roman" w:eastAsia="宋体" w:cs="Times New Roman"/>
      <w:b/>
      <w:bCs/>
      <w:i/>
      <w:iCs/>
      <w:color w:val="4F81BD"/>
      <w:kern w:val="2"/>
      <w:sz w:val="21"/>
      <w:szCs w:val="24"/>
    </w:rPr>
  </w:style>
  <w:style w:type="character" w:customStyle="1" w:styleId="255">
    <w:name w:val="color_red1"/>
    <w:qFormat/>
    <w:uiPriority w:val="0"/>
    <w:rPr>
      <w:color w:val="FA0004"/>
    </w:rPr>
  </w:style>
  <w:style w:type="character" w:customStyle="1" w:styleId="256">
    <w:name w:val="批注主题 Char2"/>
    <w:qFormat/>
    <w:uiPriority w:val="99"/>
    <w:rPr>
      <w:b/>
      <w:bCs/>
      <w:kern w:val="2"/>
      <w:sz w:val="21"/>
      <w:szCs w:val="24"/>
    </w:rPr>
  </w:style>
  <w:style w:type="character" w:customStyle="1" w:styleId="257">
    <w:name w:val="Char Char34"/>
    <w:qFormat/>
    <w:uiPriority w:val="0"/>
    <w:rPr>
      <w:rFonts w:ascii="仿宋_GB2312" w:eastAsia="仿宋_GB2312" w:cs="MingLiU"/>
      <w:b/>
      <w:spacing w:val="1"/>
      <w:w w:val="99"/>
      <w:sz w:val="28"/>
      <w:szCs w:val="32"/>
    </w:rPr>
  </w:style>
  <w:style w:type="character" w:customStyle="1" w:styleId="258">
    <w:name w:val="标题 1 Char"/>
    <w:qFormat/>
    <w:uiPriority w:val="0"/>
    <w:rPr>
      <w:rFonts w:ascii="Times New Roman" w:hAnsi="Times New Roman" w:eastAsia="宋体" w:cs="Times New Roman"/>
      <w:b/>
      <w:bCs/>
      <w:kern w:val="44"/>
      <w:sz w:val="44"/>
      <w:szCs w:val="44"/>
    </w:rPr>
  </w:style>
  <w:style w:type="character" w:customStyle="1" w:styleId="259">
    <w:name w:val="docpro"/>
    <w:basedOn w:val="49"/>
    <w:qFormat/>
    <w:uiPriority w:val="0"/>
  </w:style>
  <w:style w:type="character" w:customStyle="1" w:styleId="260">
    <w:name w:val="正文文本 3 Char"/>
    <w:qFormat/>
    <w:uiPriority w:val="0"/>
    <w:rPr>
      <w:kern w:val="2"/>
      <w:sz w:val="16"/>
      <w:szCs w:val="16"/>
    </w:rPr>
  </w:style>
  <w:style w:type="character" w:customStyle="1" w:styleId="261">
    <w:name w:val="标题 5 Char"/>
    <w:qFormat/>
    <w:uiPriority w:val="0"/>
    <w:rPr>
      <w:rFonts w:ascii="Calibri" w:hAnsi="Calibri" w:eastAsia="宋体" w:cs="Times New Roman"/>
      <w:b/>
      <w:bCs/>
      <w:sz w:val="28"/>
      <w:szCs w:val="28"/>
    </w:rPr>
  </w:style>
  <w:style w:type="character" w:customStyle="1" w:styleId="262">
    <w:name w:val="style161"/>
    <w:qFormat/>
    <w:uiPriority w:val="0"/>
    <w:rPr>
      <w:b/>
      <w:bCs/>
      <w:color w:val="333333"/>
    </w:rPr>
  </w:style>
  <w:style w:type="character" w:customStyle="1" w:styleId="263">
    <w:name w:val="文档结构图 Char2"/>
    <w:qFormat/>
    <w:uiPriority w:val="99"/>
    <w:rPr>
      <w:kern w:val="2"/>
      <w:sz w:val="21"/>
      <w:szCs w:val="24"/>
      <w:shd w:val="clear" w:color="auto" w:fill="000080"/>
    </w:rPr>
  </w:style>
  <w:style w:type="character" w:customStyle="1" w:styleId="264">
    <w:name w:val="页脚 Char1"/>
    <w:semiHidden/>
    <w:qFormat/>
    <w:uiPriority w:val="99"/>
    <w:rPr>
      <w:kern w:val="2"/>
      <w:sz w:val="18"/>
      <w:szCs w:val="18"/>
    </w:rPr>
  </w:style>
  <w:style w:type="character" w:customStyle="1" w:styleId="265">
    <w:name w:val="日期 Char2"/>
    <w:qFormat/>
    <w:uiPriority w:val="99"/>
    <w:rPr>
      <w:kern w:val="2"/>
      <w:sz w:val="21"/>
      <w:szCs w:val="24"/>
    </w:rPr>
  </w:style>
  <w:style w:type="character" w:customStyle="1" w:styleId="266">
    <w:name w:val="HTML 预设格式 Char"/>
    <w:qFormat/>
    <w:uiPriority w:val="0"/>
    <w:rPr>
      <w:rFonts w:ascii="宋体" w:hAnsi="宋体" w:eastAsia="宋体" w:cs="宋体"/>
      <w:color w:val="000000"/>
      <w:sz w:val="24"/>
      <w:szCs w:val="24"/>
    </w:rPr>
  </w:style>
  <w:style w:type="character" w:customStyle="1" w:styleId="267">
    <w:name w:val="批注主题 字符"/>
    <w:link w:val="45"/>
    <w:qFormat/>
    <w:uiPriority w:val="0"/>
    <w:rPr>
      <w:rFonts w:eastAsia="宋体"/>
      <w:b/>
      <w:bCs/>
      <w:kern w:val="2"/>
      <w:sz w:val="21"/>
      <w:szCs w:val="24"/>
      <w:lang w:val="en-US" w:eastAsia="zh-CN" w:bidi="ar-SA"/>
    </w:rPr>
  </w:style>
  <w:style w:type="character" w:customStyle="1" w:styleId="268">
    <w:name w:val="正文文本 2 字符"/>
    <w:link w:val="40"/>
    <w:qFormat/>
    <w:uiPriority w:val="0"/>
    <w:rPr>
      <w:i/>
      <w:iCs/>
      <w:kern w:val="2"/>
      <w:sz w:val="26"/>
      <w:szCs w:val="24"/>
    </w:rPr>
  </w:style>
  <w:style w:type="character" w:customStyle="1" w:styleId="269">
    <w:name w:val="批注框文本 Char"/>
    <w:qFormat/>
    <w:uiPriority w:val="0"/>
    <w:rPr>
      <w:sz w:val="18"/>
      <w:szCs w:val="18"/>
    </w:rPr>
  </w:style>
  <w:style w:type="character" w:customStyle="1" w:styleId="270">
    <w:name w:val="文档结构图 Char"/>
    <w:qFormat/>
    <w:uiPriority w:val="0"/>
    <w:rPr>
      <w:rFonts w:ascii="宋体"/>
      <w:kern w:val="2"/>
      <w:sz w:val="18"/>
      <w:szCs w:val="18"/>
    </w:rPr>
  </w:style>
  <w:style w:type="character" w:customStyle="1" w:styleId="271">
    <w:name w:val="标题 8 字符"/>
    <w:link w:val="11"/>
    <w:qFormat/>
    <w:uiPriority w:val="0"/>
    <w:rPr>
      <w:rFonts w:hAnsi="Arial" w:eastAsia="仿宋_GB2312"/>
      <w:sz w:val="30"/>
      <w:lang w:val="en-US" w:eastAsia="zh-CN" w:bidi="ar-SA"/>
    </w:rPr>
  </w:style>
  <w:style w:type="character" w:customStyle="1" w:styleId="272">
    <w:name w:val="正文文本缩进 3 字符"/>
    <w:link w:val="37"/>
    <w:qFormat/>
    <w:uiPriority w:val="0"/>
    <w:rPr>
      <w:rFonts w:ascii="宋体" w:hAnsi="宋体" w:eastAsia="宋体"/>
      <w:kern w:val="2"/>
      <w:sz w:val="28"/>
      <w:szCs w:val="28"/>
      <w:lang w:val="en-US" w:eastAsia="zh-CN" w:bidi="ar-SA"/>
    </w:rPr>
  </w:style>
  <w:style w:type="character" w:customStyle="1" w:styleId="273">
    <w:name w:val="正文文本缩进 字符"/>
    <w:link w:val="19"/>
    <w:qFormat/>
    <w:uiPriority w:val="0"/>
    <w:rPr>
      <w:rFonts w:eastAsia="宋体"/>
      <w:kern w:val="2"/>
      <w:sz w:val="21"/>
      <w:szCs w:val="24"/>
      <w:lang w:val="en-US" w:eastAsia="zh-CN" w:bidi="ar-SA"/>
    </w:rPr>
  </w:style>
  <w:style w:type="character" w:customStyle="1" w:styleId="274">
    <w:name w:val="_Style 196"/>
    <w:qFormat/>
    <w:uiPriority w:val="0"/>
    <w:rPr>
      <w:i/>
      <w:iCs/>
      <w:color w:val="808080"/>
    </w:rPr>
  </w:style>
  <w:style w:type="character" w:customStyle="1" w:styleId="275">
    <w:name w:val="正文文本缩进 2 字符"/>
    <w:link w:val="27"/>
    <w:qFormat/>
    <w:uiPriority w:val="0"/>
    <w:rPr>
      <w:rFonts w:eastAsia="宋体"/>
      <w:sz w:val="28"/>
      <w:szCs w:val="24"/>
      <w:lang w:val="en-US" w:eastAsia="zh-CN" w:bidi="ar-SA"/>
    </w:rPr>
  </w:style>
  <w:style w:type="character" w:customStyle="1" w:styleId="276">
    <w:name w:val="标题 7 字符"/>
    <w:link w:val="10"/>
    <w:qFormat/>
    <w:uiPriority w:val="0"/>
    <w:rPr>
      <w:rFonts w:eastAsia="仿宋_GB2312"/>
      <w:sz w:val="30"/>
      <w:lang w:val="en-US" w:eastAsia="zh-CN" w:bidi="ar-SA"/>
    </w:rPr>
  </w:style>
  <w:style w:type="character" w:customStyle="1" w:styleId="277">
    <w:name w:val="Char Char13"/>
    <w:qFormat/>
    <w:uiPriority w:val="0"/>
    <w:rPr>
      <w:kern w:val="2"/>
      <w:sz w:val="18"/>
      <w:szCs w:val="18"/>
    </w:rPr>
  </w:style>
  <w:style w:type="character" w:customStyle="1" w:styleId="278">
    <w:name w:val="正文文本缩进 2 Char1"/>
    <w:qFormat/>
    <w:uiPriority w:val="0"/>
    <w:rPr>
      <w:sz w:val="28"/>
      <w:szCs w:val="24"/>
    </w:rPr>
  </w:style>
  <w:style w:type="character" w:customStyle="1" w:styleId="279">
    <w:name w:val="Char Char21"/>
    <w:qFormat/>
    <w:uiPriority w:val="0"/>
    <w:rPr>
      <w:rFonts w:ascii="宋体" w:hAnsi="宋体" w:cs="宋体"/>
      <w:b/>
      <w:bCs/>
      <w:sz w:val="24"/>
      <w:szCs w:val="24"/>
    </w:rPr>
  </w:style>
  <w:style w:type="character" w:customStyle="1" w:styleId="280">
    <w:name w:val="文档结构图 Char1"/>
    <w:qFormat/>
    <w:uiPriority w:val="0"/>
    <w:rPr>
      <w:rFonts w:ascii="宋体"/>
      <w:kern w:val="2"/>
      <w:sz w:val="18"/>
      <w:szCs w:val="18"/>
    </w:rPr>
  </w:style>
  <w:style w:type="character" w:customStyle="1" w:styleId="281">
    <w:name w:val="标题 Char"/>
    <w:qFormat/>
    <w:uiPriority w:val="0"/>
    <w:rPr>
      <w:rFonts w:ascii="Cambria" w:hAnsi="Cambria" w:eastAsia="宋体" w:cs="Times New Roman"/>
      <w:b/>
      <w:bCs/>
      <w:kern w:val="2"/>
      <w:sz w:val="32"/>
      <w:szCs w:val="32"/>
    </w:rPr>
  </w:style>
  <w:style w:type="character" w:customStyle="1" w:styleId="282">
    <w:name w:val="_Style 275"/>
    <w:qFormat/>
    <w:uiPriority w:val="0"/>
    <w:rPr>
      <w:smallCaps/>
      <w:color w:val="C0504D"/>
      <w:u w:val="single"/>
    </w:rPr>
  </w:style>
  <w:style w:type="character" w:customStyle="1" w:styleId="283">
    <w:name w:val="Char Char12"/>
    <w:qFormat/>
    <w:uiPriority w:val="0"/>
    <w:rPr>
      <w:rFonts w:eastAsia="黑体"/>
      <w:kern w:val="2"/>
      <w:sz w:val="44"/>
      <w:szCs w:val="44"/>
      <w:lang w:val="en-US" w:eastAsia="zh-CN" w:bidi="ar-SA"/>
    </w:rPr>
  </w:style>
  <w:style w:type="character" w:customStyle="1" w:styleId="284">
    <w:name w:val="明显参考1"/>
    <w:qFormat/>
    <w:uiPriority w:val="0"/>
    <w:rPr>
      <w:b/>
      <w:bCs/>
      <w:smallCaps/>
      <w:color w:val="C0504D"/>
      <w:spacing w:val="5"/>
      <w:u w:val="single"/>
    </w:rPr>
  </w:style>
  <w:style w:type="character" w:customStyle="1" w:styleId="285">
    <w:name w:val="Char Char36"/>
    <w:qFormat/>
    <w:uiPriority w:val="0"/>
    <w:rPr>
      <w:rFonts w:ascii="仿宋_GB2312" w:eastAsia="仿宋_GB2312" w:cs="MingLiU"/>
      <w:b/>
      <w:sz w:val="24"/>
      <w:szCs w:val="28"/>
    </w:rPr>
  </w:style>
  <w:style w:type="character" w:customStyle="1" w:styleId="286">
    <w:name w:val="批注框文本 Char2"/>
    <w:qFormat/>
    <w:uiPriority w:val="99"/>
    <w:rPr>
      <w:kern w:val="2"/>
      <w:sz w:val="18"/>
      <w:szCs w:val="18"/>
    </w:rPr>
  </w:style>
  <w:style w:type="character" w:customStyle="1" w:styleId="287">
    <w:name w:val="subhead1"/>
    <w:qFormat/>
    <w:uiPriority w:val="0"/>
    <w:rPr>
      <w:rFonts w:hint="default" w:ascii="Tahoma" w:hAnsi="Tahoma" w:cs="Tahoma"/>
      <w:color w:val="000000"/>
      <w:sz w:val="18"/>
      <w:szCs w:val="18"/>
      <w:u w:val="none"/>
      <w:shd w:val="clear" w:color="auto" w:fill="FFFFFF"/>
    </w:rPr>
  </w:style>
  <w:style w:type="character" w:customStyle="1" w:styleId="288">
    <w:name w:val="正文文本缩进 3 Char2"/>
    <w:semiHidden/>
    <w:qFormat/>
    <w:uiPriority w:val="99"/>
    <w:rPr>
      <w:rFonts w:ascii="Calibri" w:hAnsi="Calibri" w:eastAsia="宋体" w:cs="Times New Roman"/>
      <w:sz w:val="16"/>
      <w:szCs w:val="16"/>
    </w:rPr>
  </w:style>
  <w:style w:type="character" w:customStyle="1" w:styleId="289">
    <w:name w:val="纯文本 Char"/>
    <w:qFormat/>
    <w:uiPriority w:val="0"/>
    <w:rPr>
      <w:rFonts w:ascii="宋体" w:hAnsi="Courier New"/>
      <w:sz w:val="28"/>
      <w:szCs w:val="28"/>
    </w:rPr>
  </w:style>
  <w:style w:type="character" w:customStyle="1" w:styleId="290">
    <w:name w:val="纯文本 Char2"/>
    <w:semiHidden/>
    <w:qFormat/>
    <w:uiPriority w:val="99"/>
    <w:rPr>
      <w:rFonts w:ascii="宋体" w:hAnsi="Courier New" w:eastAsia="宋体" w:cs="Courier New"/>
      <w:szCs w:val="21"/>
    </w:rPr>
  </w:style>
  <w:style w:type="character" w:customStyle="1" w:styleId="291">
    <w:name w:val="页眉 Char1"/>
    <w:semiHidden/>
    <w:qFormat/>
    <w:uiPriority w:val="99"/>
    <w:rPr>
      <w:kern w:val="2"/>
      <w:sz w:val="18"/>
      <w:szCs w:val="18"/>
    </w:rPr>
  </w:style>
  <w:style w:type="character" w:customStyle="1" w:styleId="292">
    <w:name w:val="Char Char14"/>
    <w:qFormat/>
    <w:uiPriority w:val="0"/>
    <w:rPr>
      <w:kern w:val="2"/>
      <w:sz w:val="18"/>
      <w:szCs w:val="18"/>
    </w:rPr>
  </w:style>
  <w:style w:type="character" w:customStyle="1" w:styleId="293">
    <w:name w:val="批注文字 字符"/>
    <w:link w:val="16"/>
    <w:qFormat/>
    <w:uiPriority w:val="99"/>
    <w:rPr>
      <w:rFonts w:eastAsia="宋体"/>
      <w:kern w:val="2"/>
      <w:sz w:val="21"/>
      <w:szCs w:val="24"/>
      <w:lang w:val="en-US" w:eastAsia="zh-CN" w:bidi="ar-SA"/>
    </w:rPr>
  </w:style>
  <w:style w:type="character" w:customStyle="1" w:styleId="294">
    <w:name w:val="批注文字 Char Char"/>
    <w:qFormat/>
    <w:uiPriority w:val="0"/>
    <w:rPr>
      <w:rFonts w:ascii="宋体" w:hAnsi="Times New Roman" w:eastAsia="宋体" w:cs="Times New Roman"/>
      <w:sz w:val="28"/>
      <w:szCs w:val="20"/>
    </w:rPr>
  </w:style>
  <w:style w:type="character" w:customStyle="1" w:styleId="295">
    <w:name w:val="标题 1 Char1"/>
    <w:qFormat/>
    <w:uiPriority w:val="0"/>
    <w:rPr>
      <w:rFonts w:ascii="Times New Roman" w:hAnsi="Times New Roman" w:eastAsia="宋体" w:cs="Times New Roman"/>
      <w:b/>
      <w:bCs/>
      <w:kern w:val="44"/>
      <w:sz w:val="44"/>
      <w:szCs w:val="44"/>
    </w:rPr>
  </w:style>
  <w:style w:type="character" w:customStyle="1" w:styleId="296">
    <w:name w:val="标题 5 字符"/>
    <w:link w:val="7"/>
    <w:qFormat/>
    <w:uiPriority w:val="0"/>
    <w:rPr>
      <w:rFonts w:ascii="宋体" w:hAnsi="宋体" w:eastAsia="宋体" w:cs="宋体"/>
      <w:b/>
      <w:bCs/>
      <w:lang w:val="en-US" w:eastAsia="zh-CN" w:bidi="ar-SA"/>
    </w:rPr>
  </w:style>
  <w:style w:type="character" w:customStyle="1" w:styleId="297">
    <w:name w:val="手改 Char Char"/>
    <w:qFormat/>
    <w:uiPriority w:val="0"/>
    <w:rPr>
      <w:kern w:val="2"/>
      <w:sz w:val="21"/>
      <w:szCs w:val="24"/>
    </w:rPr>
  </w:style>
  <w:style w:type="character" w:customStyle="1" w:styleId="298">
    <w:name w:val="标题 1 字符"/>
    <w:link w:val="3"/>
    <w:qFormat/>
    <w:uiPriority w:val="0"/>
    <w:rPr>
      <w:rFonts w:eastAsia="宋体"/>
      <w:b/>
      <w:bCs/>
      <w:kern w:val="44"/>
      <w:sz w:val="44"/>
      <w:szCs w:val="44"/>
      <w:lang w:val="en-US" w:eastAsia="zh-CN" w:bidi="ar-SA"/>
    </w:rPr>
  </w:style>
  <w:style w:type="character" w:customStyle="1" w:styleId="299">
    <w:name w:val="intel3"/>
    <w:basedOn w:val="49"/>
    <w:qFormat/>
    <w:uiPriority w:val="0"/>
  </w:style>
  <w:style w:type="character" w:customStyle="1" w:styleId="300">
    <w:name w:val="副标题 Char2"/>
    <w:qFormat/>
    <w:uiPriority w:val="11"/>
    <w:rPr>
      <w:rFonts w:ascii="Cambria" w:hAnsi="Cambria" w:eastAsia="宋体" w:cs="Times New Roman"/>
      <w:b/>
      <w:bCs/>
      <w:kern w:val="28"/>
      <w:sz w:val="32"/>
      <w:szCs w:val="32"/>
    </w:rPr>
  </w:style>
  <w:style w:type="character" w:customStyle="1" w:styleId="301">
    <w:name w:val="明显引用 Char4"/>
    <w:link w:val="119"/>
    <w:qFormat/>
    <w:uiPriority w:val="0"/>
    <w:rPr>
      <w:b/>
      <w:bCs/>
      <w:i/>
      <w:iCs/>
      <w:color w:val="4F81BD"/>
      <w:kern w:val="2"/>
      <w:sz w:val="21"/>
      <w:szCs w:val="22"/>
      <w:lang w:bidi="ar-SA"/>
    </w:rPr>
  </w:style>
  <w:style w:type="character" w:customStyle="1" w:styleId="302">
    <w:name w:val="明显引用 Char1"/>
    <w:link w:val="112"/>
    <w:qFormat/>
    <w:uiPriority w:val="30"/>
    <w:rPr>
      <w:b/>
      <w:bCs/>
      <w:i/>
      <w:iCs/>
      <w:color w:val="4F81BD"/>
      <w:kern w:val="2"/>
      <w:sz w:val="21"/>
    </w:rPr>
  </w:style>
  <w:style w:type="character" w:customStyle="1" w:styleId="303">
    <w:name w:val="HTML 预设格式 Char1"/>
    <w:qFormat/>
    <w:uiPriority w:val="0"/>
    <w:rPr>
      <w:rFonts w:ascii="宋体" w:hAnsi="宋体" w:cs="宋体"/>
      <w:color w:val="000000"/>
      <w:sz w:val="24"/>
      <w:szCs w:val="24"/>
    </w:rPr>
  </w:style>
  <w:style w:type="character" w:customStyle="1" w:styleId="304">
    <w:name w:val="引用 Char"/>
    <w:link w:val="70"/>
    <w:qFormat/>
    <w:uiPriority w:val="0"/>
    <w:rPr>
      <w:rFonts w:ascii="Times New Roman" w:hAnsi="Times New Roman" w:eastAsia="宋体" w:cs="Times New Roman"/>
      <w:i/>
      <w:iCs/>
      <w:color w:val="000000"/>
      <w:kern w:val="2"/>
      <w:sz w:val="21"/>
      <w:szCs w:val="24"/>
    </w:rPr>
  </w:style>
  <w:style w:type="character" w:customStyle="1" w:styleId="305">
    <w:name w:val="副标题 字符"/>
    <w:link w:val="34"/>
    <w:qFormat/>
    <w:uiPriority w:val="0"/>
    <w:rPr>
      <w:rFonts w:eastAsia="宋体"/>
      <w:szCs w:val="24"/>
      <w:u w:val="single"/>
      <w:lang w:val="en-US" w:eastAsia="en-US" w:bidi="ar-SA"/>
    </w:rPr>
  </w:style>
  <w:style w:type="character" w:customStyle="1" w:styleId="306">
    <w:name w:val="ITTHEADER1 Char"/>
    <w:qFormat/>
    <w:uiPriority w:val="0"/>
    <w:rPr>
      <w:rFonts w:eastAsia="黑体"/>
      <w:kern w:val="2"/>
      <w:sz w:val="44"/>
      <w:szCs w:val="44"/>
      <w:lang w:val="en-US" w:eastAsia="zh-CN" w:bidi="ar-SA"/>
    </w:rPr>
  </w:style>
  <w:style w:type="character" w:customStyle="1" w:styleId="307">
    <w:name w:val="日期 Char3"/>
    <w:semiHidden/>
    <w:qFormat/>
    <w:uiPriority w:val="99"/>
    <w:rPr>
      <w:rFonts w:ascii="Calibri" w:hAnsi="Calibri" w:eastAsia="宋体" w:cs="Times New Roman"/>
      <w:szCs w:val="24"/>
    </w:rPr>
  </w:style>
  <w:style w:type="character" w:customStyle="1" w:styleId="308">
    <w:name w:val="纯文本 字符"/>
    <w:link w:val="24"/>
    <w:qFormat/>
    <w:uiPriority w:val="0"/>
    <w:rPr>
      <w:rFonts w:ascii="宋体" w:hAnsi="Courier New" w:eastAsia="宋体" w:cs="Courier New"/>
      <w:kern w:val="2"/>
      <w:sz w:val="21"/>
      <w:szCs w:val="21"/>
      <w:lang w:val="en-US" w:eastAsia="zh-CN" w:bidi="ar-SA"/>
    </w:rPr>
  </w:style>
  <w:style w:type="character" w:customStyle="1" w:styleId="309">
    <w:name w:val="批注文字 Char"/>
    <w:qFormat/>
    <w:uiPriority w:val="0"/>
    <w:rPr>
      <w:rFonts w:ascii="Times New Roman" w:hAnsi="Times New Roman" w:eastAsia="宋体" w:cs="Times New Roman"/>
      <w:kern w:val="2"/>
      <w:sz w:val="21"/>
      <w:szCs w:val="24"/>
    </w:rPr>
  </w:style>
  <w:style w:type="character" w:customStyle="1" w:styleId="310">
    <w:name w:val="Section Char"/>
    <w:qFormat/>
    <w:uiPriority w:val="0"/>
    <w:rPr>
      <w:rFonts w:ascii="仿宋_GB2312" w:eastAsia="仿宋_GB2312" w:cs="MingLiU"/>
      <w:b/>
      <w:sz w:val="24"/>
      <w:szCs w:val="28"/>
      <w:lang w:val="en-US" w:eastAsia="zh-CN" w:bidi="ar-SA"/>
    </w:rPr>
  </w:style>
  <w:style w:type="character" w:customStyle="1" w:styleId="311">
    <w:name w:val="正文文本 3 Char2"/>
    <w:semiHidden/>
    <w:qFormat/>
    <w:uiPriority w:val="99"/>
    <w:rPr>
      <w:rFonts w:ascii="Calibri" w:hAnsi="Calibri" w:eastAsia="宋体" w:cs="Times New Roman"/>
      <w:sz w:val="16"/>
      <w:szCs w:val="16"/>
    </w:rPr>
  </w:style>
  <w:style w:type="character" w:customStyle="1" w:styleId="312">
    <w:name w:val="正文文本 3 字符"/>
    <w:link w:val="17"/>
    <w:qFormat/>
    <w:uiPriority w:val="0"/>
    <w:rPr>
      <w:rFonts w:eastAsia="宋体"/>
      <w:kern w:val="2"/>
      <w:sz w:val="16"/>
      <w:szCs w:val="16"/>
      <w:lang w:val="en-US" w:eastAsia="zh-CN" w:bidi="ar-SA"/>
    </w:rPr>
  </w:style>
  <w:style w:type="character" w:customStyle="1" w:styleId="313">
    <w:name w:val="普通文字 Char Char1"/>
    <w:qFormat/>
    <w:uiPriority w:val="0"/>
    <w:rPr>
      <w:rFonts w:ascii="宋体" w:hAnsi="Courier New"/>
      <w:kern w:val="2"/>
      <w:sz w:val="28"/>
      <w:szCs w:val="28"/>
    </w:rPr>
  </w:style>
  <w:style w:type="character" w:customStyle="1" w:styleId="314">
    <w:name w:val="正文文本缩进 Char"/>
    <w:qFormat/>
    <w:uiPriority w:val="0"/>
    <w:rPr>
      <w:rFonts w:ascii="黑体" w:hAnsi="宋体" w:eastAsia="黑体"/>
      <w:color w:val="000000"/>
      <w:sz w:val="28"/>
      <w:szCs w:val="32"/>
    </w:rPr>
  </w:style>
  <w:style w:type="character" w:customStyle="1" w:styleId="315">
    <w:name w:val="font161"/>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28"/>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183</Pages>
  <Words>19871</Words>
  <Characters>21230</Characters>
  <Lines>1320</Lines>
  <Paragraphs>371</Paragraphs>
  <TotalTime>1</TotalTime>
  <ScaleCrop>false</ScaleCrop>
  <LinksUpToDate>false</LinksUpToDate>
  <CharactersWithSpaces>22244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2019-12-29T13:15:00Z</dcterms:created>
  <dc:creator>USER</dc:creator>
  <cp:lastModifiedBy>user</cp:lastModifiedBy>
  <cp:lastPrinted>2020-08-27T03:13:00Z</cp:lastPrinted>
  <dcterms:modified xsi:type="dcterms:W3CDTF">2025-05-07T06:48:31Z</dcterms:modified>
  <dc:title>第一卷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eyJoZGlkIjoiOThkNmUzYjlkN2ExOTVhMzNlNzNiOGRjN2Y1ZmVhZDYiLCJ1c2VySWQiOiIxMDE3MzM3NDE2In0=</vt:lpwstr>
  </property>
  <property fmtid="{D5CDD505-2E9C-101B-9397-08002B2CF9AE}" pid="4" name="ICV">
    <vt:lpwstr>9CAE9CA5FC4C442F84C6C8991BD074FD_13</vt:lpwstr>
  </property>
</Properties>
</file>