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B7534B">
      <w:pPr>
        <w:spacing w:line="1600" w:lineRule="exact"/>
        <w:jc w:val="center"/>
        <w:outlineLvl w:val="0"/>
        <w:rPr>
          <w:rFonts w:hint="eastAsia" w:ascii="宋体" w:hAnsi="宋体" w:cs="宋体"/>
          <w:color w:val="auto"/>
          <w:sz w:val="130"/>
          <w:szCs w:val="130"/>
        </w:rPr>
      </w:pPr>
    </w:p>
    <w:p w14:paraId="576B1261">
      <w:pPr>
        <w:spacing w:line="1600" w:lineRule="exact"/>
        <w:jc w:val="both"/>
        <w:outlineLvl w:val="0"/>
        <w:rPr>
          <w:rFonts w:hint="eastAsia" w:ascii="宋体" w:hAnsi="宋体" w:cs="宋体"/>
          <w:color w:val="auto"/>
          <w:sz w:val="130"/>
          <w:szCs w:val="130"/>
        </w:rPr>
      </w:pPr>
      <w:r>
        <w:rPr>
          <w:rFonts w:hint="eastAsia" w:ascii="宋体" w:hAnsi="宋体" w:cs="宋体"/>
          <w:color w:val="auto"/>
          <w:sz w:val="130"/>
          <w:szCs w:val="130"/>
        </w:rPr>
        <w:t>竞争性谈判文件</w:t>
      </w:r>
    </w:p>
    <w:p w14:paraId="5B257A20">
      <w:pPr>
        <w:spacing w:line="700" w:lineRule="exact"/>
        <w:rPr>
          <w:rFonts w:hint="eastAsia" w:ascii="宋体" w:hAnsi="宋体" w:cs="宋体"/>
          <w:color w:val="auto"/>
          <w:sz w:val="32"/>
        </w:rPr>
      </w:pPr>
    </w:p>
    <w:p w14:paraId="5997C861">
      <w:pPr>
        <w:pStyle w:val="150"/>
        <w:ind w:firstLine="480"/>
        <w:rPr>
          <w:rFonts w:hint="eastAsia" w:ascii="宋体" w:hAnsi="宋体" w:cs="宋体"/>
          <w:color w:val="auto"/>
        </w:rPr>
      </w:pPr>
    </w:p>
    <w:p w14:paraId="7774E32E">
      <w:pPr>
        <w:pStyle w:val="150"/>
        <w:ind w:firstLine="480"/>
        <w:rPr>
          <w:rFonts w:hint="eastAsia" w:ascii="宋体" w:hAnsi="宋体" w:cs="宋体"/>
          <w:color w:val="auto"/>
        </w:rPr>
      </w:pPr>
    </w:p>
    <w:p w14:paraId="5A0CA598">
      <w:pPr>
        <w:pStyle w:val="150"/>
        <w:ind w:firstLine="480"/>
        <w:rPr>
          <w:rFonts w:hint="eastAsia" w:ascii="宋体" w:hAnsi="宋体" w:cs="宋体"/>
          <w:color w:val="auto"/>
        </w:rPr>
      </w:pPr>
    </w:p>
    <w:p w14:paraId="3BEE855E">
      <w:pPr>
        <w:spacing w:line="700" w:lineRule="exact"/>
        <w:jc w:val="center"/>
        <w:rPr>
          <w:rFonts w:hint="eastAsia" w:ascii="宋体" w:hAnsi="宋体" w:cs="宋体"/>
          <w:color w:val="auto"/>
          <w:sz w:val="32"/>
        </w:rPr>
      </w:pPr>
    </w:p>
    <w:p w14:paraId="682785C1">
      <w:pPr>
        <w:spacing w:line="500" w:lineRule="exact"/>
        <w:ind w:firstLine="1080" w:firstLineChars="300"/>
        <w:outlineLvl w:val="0"/>
        <w:rPr>
          <w:rFonts w:hint="default" w:ascii="宋体" w:hAnsi="宋体" w:eastAsia="宋体" w:cs="宋体"/>
          <w:color w:val="auto"/>
          <w:sz w:val="36"/>
          <w:szCs w:val="36"/>
          <w:lang w:val="en-US" w:eastAsia="zh-CN"/>
        </w:rPr>
      </w:pPr>
      <w:r>
        <w:rPr>
          <w:rFonts w:hint="eastAsia" w:ascii="宋体" w:hAnsi="宋体" w:cs="宋体"/>
          <w:color w:val="auto"/>
          <w:sz w:val="36"/>
          <w:szCs w:val="36"/>
        </w:rPr>
        <w:t>项   目   号：</w:t>
      </w:r>
      <w:r>
        <w:rPr>
          <w:rFonts w:hint="eastAsia" w:ascii="宋体" w:hAnsi="宋体" w:cs="宋体"/>
          <w:color w:val="auto"/>
          <w:sz w:val="36"/>
          <w:szCs w:val="36"/>
          <w:lang w:val="en-US" w:eastAsia="zh-CN"/>
        </w:rPr>
        <w:t>ZN25C0054</w:t>
      </w:r>
    </w:p>
    <w:p w14:paraId="7C8EC8B6">
      <w:pPr>
        <w:spacing w:line="500" w:lineRule="exact"/>
        <w:ind w:left="3595" w:leftChars="384" w:hanging="2520" w:hangingChars="700"/>
        <w:outlineLvl w:val="0"/>
        <w:rPr>
          <w:rFonts w:hint="eastAsia" w:ascii="宋体" w:hAnsi="宋体" w:eastAsia="宋体" w:cs="宋体"/>
          <w:color w:val="auto"/>
          <w:sz w:val="36"/>
          <w:szCs w:val="36"/>
          <w:lang w:eastAsia="zh-CN"/>
        </w:rPr>
      </w:pPr>
      <w:r>
        <w:rPr>
          <w:rFonts w:hint="eastAsia" w:ascii="宋体" w:hAnsi="宋体" w:cs="宋体"/>
          <w:color w:val="auto"/>
          <w:sz w:val="36"/>
          <w:szCs w:val="36"/>
        </w:rPr>
        <w:t>谈判项目名称：</w:t>
      </w:r>
      <w:r>
        <w:rPr>
          <w:rFonts w:hint="eastAsia" w:ascii="宋体" w:hAnsi="宋体" w:cs="宋体"/>
          <w:color w:val="auto"/>
          <w:sz w:val="36"/>
          <w:szCs w:val="36"/>
          <w:lang w:eastAsia="zh-CN"/>
        </w:rPr>
        <w:t>重庆市第十一人民医院自动售货机布机项目</w:t>
      </w:r>
    </w:p>
    <w:p w14:paraId="1A859DF4">
      <w:pPr>
        <w:spacing w:line="500" w:lineRule="exact"/>
        <w:ind w:firstLine="1084" w:firstLineChars="300"/>
        <w:outlineLvl w:val="0"/>
        <w:rPr>
          <w:rFonts w:hint="eastAsia" w:ascii="宋体" w:hAnsi="宋体" w:cs="宋体"/>
          <w:b/>
          <w:color w:val="auto"/>
          <w:sz w:val="36"/>
          <w:szCs w:val="36"/>
        </w:rPr>
      </w:pPr>
    </w:p>
    <w:p w14:paraId="500D781C">
      <w:pPr>
        <w:pStyle w:val="22"/>
        <w:rPr>
          <w:rFonts w:hint="eastAsia" w:ascii="宋体" w:hAnsi="宋体" w:eastAsia="宋体" w:cs="宋体"/>
          <w:b/>
          <w:color w:val="auto"/>
          <w:sz w:val="36"/>
          <w:szCs w:val="36"/>
        </w:rPr>
      </w:pPr>
    </w:p>
    <w:p w14:paraId="670D9EEB">
      <w:pPr>
        <w:rPr>
          <w:rFonts w:hint="eastAsia" w:ascii="宋体" w:hAnsi="宋体" w:eastAsia="宋体" w:cs="宋体"/>
          <w:b/>
          <w:color w:val="auto"/>
          <w:sz w:val="36"/>
          <w:szCs w:val="36"/>
        </w:rPr>
      </w:pPr>
    </w:p>
    <w:p w14:paraId="0CFC00EC">
      <w:pPr>
        <w:pStyle w:val="39"/>
        <w:rPr>
          <w:rFonts w:hint="eastAsia"/>
        </w:rPr>
      </w:pPr>
    </w:p>
    <w:p w14:paraId="017303C2">
      <w:pPr>
        <w:rPr>
          <w:rFonts w:hint="eastAsia"/>
        </w:rPr>
      </w:pPr>
    </w:p>
    <w:p w14:paraId="25F99645">
      <w:pPr>
        <w:pStyle w:val="27"/>
        <w:rPr>
          <w:rFonts w:hint="eastAsia"/>
        </w:rPr>
      </w:pPr>
    </w:p>
    <w:p w14:paraId="07C0A65A">
      <w:pPr>
        <w:pStyle w:val="23"/>
        <w:ind w:left="0"/>
        <w:rPr>
          <w:rFonts w:hint="eastAsia" w:ascii="宋体" w:hAnsi="宋体" w:cs="宋体"/>
          <w:b/>
          <w:color w:val="auto"/>
          <w:sz w:val="36"/>
          <w:szCs w:val="36"/>
        </w:rPr>
      </w:pPr>
    </w:p>
    <w:p w14:paraId="23A32637">
      <w:pPr>
        <w:spacing w:line="500" w:lineRule="exact"/>
        <w:jc w:val="center"/>
        <w:outlineLvl w:val="0"/>
        <w:rPr>
          <w:rFonts w:hint="eastAsia" w:ascii="宋体" w:hAnsi="宋体" w:cs="宋体"/>
          <w:color w:val="auto"/>
          <w:sz w:val="36"/>
          <w:szCs w:val="36"/>
        </w:rPr>
      </w:pPr>
      <w:r>
        <w:rPr>
          <w:rFonts w:hint="eastAsia" w:ascii="宋体" w:hAnsi="宋体" w:cs="宋体"/>
          <w:color w:val="auto"/>
          <w:sz w:val="36"/>
          <w:szCs w:val="36"/>
        </w:rPr>
        <w:t>采购人：</w:t>
      </w:r>
      <w:r>
        <w:rPr>
          <w:rFonts w:hint="eastAsia" w:ascii="宋体" w:hAnsi="宋体" w:cs="宋体"/>
          <w:color w:val="auto"/>
          <w:sz w:val="36"/>
          <w:szCs w:val="36"/>
          <w:lang w:eastAsia="zh-CN"/>
        </w:rPr>
        <w:t>重庆市第十一人民医院（重庆市优抚医院）</w:t>
      </w:r>
    </w:p>
    <w:p w14:paraId="466B7177">
      <w:pPr>
        <w:spacing w:line="500" w:lineRule="exact"/>
        <w:jc w:val="center"/>
        <w:outlineLvl w:val="0"/>
        <w:rPr>
          <w:rFonts w:hint="eastAsia" w:ascii="宋体" w:hAnsi="宋体" w:eastAsia="宋体" w:cs="宋体"/>
          <w:color w:val="auto"/>
          <w:sz w:val="36"/>
          <w:szCs w:val="36"/>
          <w:lang w:eastAsia="zh-CN"/>
        </w:rPr>
      </w:pPr>
      <w:r>
        <w:rPr>
          <w:rFonts w:hint="eastAsia" w:ascii="宋体" w:hAnsi="宋体" w:cs="宋体"/>
          <w:color w:val="auto"/>
          <w:sz w:val="36"/>
          <w:szCs w:val="36"/>
        </w:rPr>
        <w:t>采购代理机构：</w:t>
      </w:r>
      <w:r>
        <w:rPr>
          <w:rFonts w:hint="eastAsia" w:ascii="宋体" w:hAnsi="宋体" w:cs="宋体"/>
          <w:color w:val="auto"/>
          <w:sz w:val="36"/>
          <w:szCs w:val="36"/>
          <w:lang w:eastAsia="zh-CN"/>
        </w:rPr>
        <w:t>重庆智南项目管理有限公司</w:t>
      </w:r>
    </w:p>
    <w:p w14:paraId="10C82BCE">
      <w:pPr>
        <w:spacing w:line="500" w:lineRule="exact"/>
        <w:outlineLvl w:val="0"/>
        <w:rPr>
          <w:rFonts w:hint="eastAsia" w:ascii="宋体" w:hAnsi="宋体" w:cs="宋体"/>
          <w:color w:val="auto"/>
          <w:sz w:val="36"/>
          <w:szCs w:val="36"/>
        </w:rPr>
      </w:pPr>
    </w:p>
    <w:p w14:paraId="3059DE6B">
      <w:pPr>
        <w:pStyle w:val="22"/>
        <w:rPr>
          <w:rFonts w:hint="eastAsia" w:ascii="宋体" w:hAnsi="宋体" w:eastAsia="宋体" w:cs="宋体"/>
          <w:color w:val="auto"/>
          <w:sz w:val="36"/>
          <w:szCs w:val="36"/>
        </w:rPr>
      </w:pPr>
    </w:p>
    <w:p w14:paraId="7576B28E">
      <w:pPr>
        <w:rPr>
          <w:rFonts w:hint="eastAsia" w:ascii="宋体" w:hAnsi="宋体"/>
          <w:color w:val="auto"/>
        </w:rPr>
      </w:pPr>
    </w:p>
    <w:p w14:paraId="079DFC6C">
      <w:pPr>
        <w:jc w:val="center"/>
        <w:outlineLvl w:val="0"/>
        <w:rPr>
          <w:rFonts w:hint="eastAsia" w:ascii="宋体" w:hAnsi="宋体" w:cs="宋体"/>
          <w:color w:val="auto"/>
          <w:sz w:val="36"/>
          <w:szCs w:val="36"/>
        </w:rPr>
      </w:pPr>
      <w:r>
        <w:rPr>
          <w:rFonts w:hint="eastAsia" w:ascii="宋体" w:hAnsi="宋体" w:cs="宋体"/>
          <w:color w:val="auto"/>
          <w:sz w:val="36"/>
          <w:szCs w:val="36"/>
        </w:rPr>
        <w:t>二〇二</w:t>
      </w:r>
      <w:r>
        <w:rPr>
          <w:rFonts w:hint="eastAsia" w:ascii="宋体" w:hAnsi="宋体" w:cs="宋体"/>
          <w:color w:val="auto"/>
          <w:sz w:val="36"/>
          <w:szCs w:val="36"/>
          <w:lang w:eastAsia="zh-CN"/>
        </w:rPr>
        <w:t>五</w:t>
      </w:r>
      <w:r>
        <w:rPr>
          <w:rFonts w:hint="eastAsia" w:ascii="宋体" w:hAnsi="宋体" w:cs="宋体"/>
          <w:color w:val="auto"/>
          <w:sz w:val="36"/>
          <w:szCs w:val="36"/>
        </w:rPr>
        <w:t>年</w:t>
      </w:r>
      <w:r>
        <w:rPr>
          <w:rFonts w:hint="eastAsia" w:ascii="宋体" w:hAnsi="宋体" w:cs="宋体"/>
          <w:color w:val="auto"/>
          <w:sz w:val="36"/>
          <w:szCs w:val="36"/>
          <w:lang w:eastAsia="zh-CN"/>
        </w:rPr>
        <w:t>十</w:t>
      </w:r>
      <w:r>
        <w:rPr>
          <w:rFonts w:hint="eastAsia" w:ascii="宋体" w:hAnsi="宋体" w:cs="宋体"/>
          <w:color w:val="auto"/>
          <w:sz w:val="36"/>
          <w:szCs w:val="36"/>
        </w:rPr>
        <w:t>月</w:t>
      </w:r>
    </w:p>
    <w:p w14:paraId="1ACE82FA">
      <w:pPr>
        <w:spacing w:line="480" w:lineRule="exact"/>
        <w:outlineLvl w:val="0"/>
        <w:rPr>
          <w:rFonts w:hint="eastAsia" w:ascii="宋体" w:hAnsi="宋体" w:cs="宋体"/>
          <w:color w:val="auto"/>
          <w:sz w:val="44"/>
          <w:szCs w:val="28"/>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680" w:footer="992" w:gutter="0"/>
          <w:pgNumType w:fmt="numberInDash" w:start="1"/>
          <w:cols w:space="720" w:num="1"/>
          <w:titlePg/>
          <w:docGrid w:linePitch="381" w:charSpace="-5735"/>
        </w:sectPr>
      </w:pPr>
    </w:p>
    <w:p w14:paraId="36249822">
      <w:pPr>
        <w:spacing w:line="480" w:lineRule="exact"/>
        <w:jc w:val="center"/>
        <w:outlineLvl w:val="0"/>
        <w:rPr>
          <w:rFonts w:hint="eastAsia" w:ascii="宋体" w:hAnsi="宋体" w:cs="宋体"/>
          <w:color w:val="auto"/>
          <w:sz w:val="44"/>
          <w:szCs w:val="28"/>
        </w:rPr>
      </w:pPr>
      <w:r>
        <w:rPr>
          <w:rFonts w:hint="eastAsia" w:ascii="宋体" w:hAnsi="宋体" w:cs="宋体"/>
          <w:color w:val="auto"/>
          <w:sz w:val="44"/>
          <w:szCs w:val="28"/>
        </w:rPr>
        <w:t>目   录</w:t>
      </w:r>
    </w:p>
    <w:p w14:paraId="4E606E44">
      <w:pPr>
        <w:pStyle w:val="48"/>
        <w:tabs>
          <w:tab w:val="right" w:leader="dot" w:pos="9412"/>
        </w:tabs>
      </w:pP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TOC \o "1-3" \h \z </w:instrText>
      </w:r>
      <w:r>
        <w:rPr>
          <w:rFonts w:hint="eastAsia" w:ascii="宋体" w:hAnsi="宋体" w:cs="宋体"/>
          <w:color w:val="auto"/>
          <w:sz w:val="21"/>
          <w:szCs w:val="21"/>
        </w:rPr>
        <w:fldChar w:fldCharType="separate"/>
      </w:r>
      <w:r>
        <w:rPr>
          <w:rFonts w:hint="eastAsia" w:ascii="宋体" w:hAnsi="宋体" w:cs="宋体"/>
          <w:color w:val="auto"/>
          <w:szCs w:val="21"/>
        </w:rPr>
        <w:fldChar w:fldCharType="begin"/>
      </w:r>
      <w:r>
        <w:rPr>
          <w:rFonts w:hint="eastAsia" w:ascii="宋体" w:hAnsi="宋体" w:cs="宋体"/>
          <w:szCs w:val="21"/>
        </w:rPr>
        <w:instrText xml:space="preserve"> HYPERLINK \l _Toc29180 </w:instrText>
      </w:r>
      <w:r>
        <w:rPr>
          <w:rFonts w:hint="eastAsia" w:ascii="宋体" w:hAnsi="宋体" w:cs="宋体"/>
          <w:szCs w:val="21"/>
        </w:rPr>
        <w:fldChar w:fldCharType="separate"/>
      </w:r>
      <w:r>
        <w:rPr>
          <w:rFonts w:hint="eastAsia" w:ascii="宋体" w:hAnsi="宋体" w:eastAsia="宋体" w:cs="宋体"/>
          <w:szCs w:val="30"/>
        </w:rPr>
        <w:t>第一篇  竞争性谈判邀请书</w:t>
      </w:r>
      <w:r>
        <w:tab/>
      </w:r>
      <w:r>
        <w:fldChar w:fldCharType="begin"/>
      </w:r>
      <w:r>
        <w:instrText xml:space="preserve"> PAGEREF _Toc29180 \h </w:instrText>
      </w:r>
      <w:r>
        <w:fldChar w:fldCharType="separate"/>
      </w:r>
      <w:r>
        <w:t>- 3 -</w:t>
      </w:r>
      <w:r>
        <w:fldChar w:fldCharType="end"/>
      </w:r>
      <w:r>
        <w:rPr>
          <w:rFonts w:hint="eastAsia" w:ascii="宋体" w:hAnsi="宋体" w:cs="宋体"/>
          <w:color w:val="auto"/>
          <w:szCs w:val="21"/>
        </w:rPr>
        <w:fldChar w:fldCharType="end"/>
      </w:r>
    </w:p>
    <w:p w14:paraId="654ADEAB">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_Toc15146 </w:instrText>
      </w:r>
      <w:r>
        <w:rPr>
          <w:rFonts w:hint="eastAsia" w:ascii="宋体" w:hAnsi="宋体" w:cs="宋体"/>
          <w:szCs w:val="21"/>
        </w:rPr>
        <w:fldChar w:fldCharType="separate"/>
      </w:r>
      <w:r>
        <w:rPr>
          <w:rFonts w:hint="eastAsia" w:ascii="宋体" w:hAnsi="宋体" w:eastAsia="宋体" w:cs="宋体"/>
        </w:rPr>
        <w:t>一、竞争性谈判内容</w:t>
      </w:r>
      <w:r>
        <w:tab/>
      </w:r>
      <w:r>
        <w:fldChar w:fldCharType="begin"/>
      </w:r>
      <w:r>
        <w:instrText xml:space="preserve"> PAGEREF _Toc15146 \h </w:instrText>
      </w:r>
      <w:r>
        <w:fldChar w:fldCharType="separate"/>
      </w:r>
      <w:r>
        <w:t>- 3 -</w:t>
      </w:r>
      <w:r>
        <w:fldChar w:fldCharType="end"/>
      </w:r>
      <w:r>
        <w:rPr>
          <w:rFonts w:hint="eastAsia" w:ascii="宋体" w:hAnsi="宋体" w:cs="宋体"/>
          <w:color w:val="auto"/>
          <w:szCs w:val="21"/>
        </w:rPr>
        <w:fldChar w:fldCharType="end"/>
      </w:r>
    </w:p>
    <w:p w14:paraId="322FA0BA">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_Toc7391 </w:instrText>
      </w:r>
      <w:r>
        <w:rPr>
          <w:rFonts w:hint="eastAsia" w:ascii="宋体" w:hAnsi="宋体" w:cs="宋体"/>
          <w:szCs w:val="21"/>
        </w:rPr>
        <w:fldChar w:fldCharType="separate"/>
      </w:r>
      <w:r>
        <w:rPr>
          <w:rFonts w:hint="eastAsia" w:ascii="宋体" w:hAnsi="宋体" w:eastAsia="宋体" w:cs="宋体"/>
        </w:rPr>
        <w:t>二、资金来源</w:t>
      </w:r>
      <w:r>
        <w:tab/>
      </w:r>
      <w:r>
        <w:fldChar w:fldCharType="begin"/>
      </w:r>
      <w:r>
        <w:instrText xml:space="preserve"> PAGEREF _Toc7391 \h </w:instrText>
      </w:r>
      <w:r>
        <w:fldChar w:fldCharType="separate"/>
      </w:r>
      <w:r>
        <w:t>- 3 -</w:t>
      </w:r>
      <w:r>
        <w:fldChar w:fldCharType="end"/>
      </w:r>
      <w:r>
        <w:rPr>
          <w:rFonts w:hint="eastAsia" w:ascii="宋体" w:hAnsi="宋体" w:cs="宋体"/>
          <w:color w:val="auto"/>
          <w:szCs w:val="21"/>
        </w:rPr>
        <w:fldChar w:fldCharType="end"/>
      </w:r>
    </w:p>
    <w:p w14:paraId="1F41396D">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_Toc24430 </w:instrText>
      </w:r>
      <w:r>
        <w:rPr>
          <w:rFonts w:hint="eastAsia" w:ascii="宋体" w:hAnsi="宋体" w:cs="宋体"/>
          <w:szCs w:val="21"/>
        </w:rPr>
        <w:fldChar w:fldCharType="separate"/>
      </w:r>
      <w:r>
        <w:rPr>
          <w:rFonts w:hint="eastAsia" w:ascii="宋体" w:hAnsi="宋体" w:eastAsia="宋体" w:cs="宋体"/>
        </w:rPr>
        <w:t>三、供应商资格条件</w:t>
      </w:r>
      <w:r>
        <w:tab/>
      </w:r>
      <w:r>
        <w:fldChar w:fldCharType="begin"/>
      </w:r>
      <w:r>
        <w:instrText xml:space="preserve"> PAGEREF _Toc24430 \h </w:instrText>
      </w:r>
      <w:r>
        <w:fldChar w:fldCharType="separate"/>
      </w:r>
      <w:r>
        <w:t>- 3 -</w:t>
      </w:r>
      <w:r>
        <w:fldChar w:fldCharType="end"/>
      </w:r>
      <w:r>
        <w:rPr>
          <w:rFonts w:hint="eastAsia" w:ascii="宋体" w:hAnsi="宋体" w:cs="宋体"/>
          <w:color w:val="auto"/>
          <w:szCs w:val="21"/>
        </w:rPr>
        <w:fldChar w:fldCharType="end"/>
      </w:r>
    </w:p>
    <w:p w14:paraId="3B9A756B">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_Toc17005 </w:instrText>
      </w:r>
      <w:r>
        <w:rPr>
          <w:rFonts w:hint="eastAsia" w:ascii="宋体" w:hAnsi="宋体" w:cs="宋体"/>
          <w:szCs w:val="21"/>
        </w:rPr>
        <w:fldChar w:fldCharType="separate"/>
      </w:r>
      <w:r>
        <w:rPr>
          <w:rFonts w:hint="eastAsia" w:ascii="宋体" w:hAnsi="宋体" w:eastAsia="宋体" w:cs="宋体"/>
        </w:rPr>
        <w:t>四、谈判有关说明</w:t>
      </w:r>
      <w:r>
        <w:tab/>
      </w:r>
      <w:r>
        <w:fldChar w:fldCharType="begin"/>
      </w:r>
      <w:r>
        <w:instrText xml:space="preserve"> PAGEREF _Toc17005 \h </w:instrText>
      </w:r>
      <w:r>
        <w:fldChar w:fldCharType="separate"/>
      </w:r>
      <w:r>
        <w:t>- 3 -</w:t>
      </w:r>
      <w:r>
        <w:fldChar w:fldCharType="end"/>
      </w:r>
      <w:r>
        <w:rPr>
          <w:rFonts w:hint="eastAsia" w:ascii="宋体" w:hAnsi="宋体" w:cs="宋体"/>
          <w:color w:val="auto"/>
          <w:szCs w:val="21"/>
        </w:rPr>
        <w:fldChar w:fldCharType="end"/>
      </w:r>
    </w:p>
    <w:p w14:paraId="5D5EC702">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_Toc13409 </w:instrText>
      </w:r>
      <w:r>
        <w:rPr>
          <w:rFonts w:hint="eastAsia" w:ascii="宋体" w:hAnsi="宋体" w:cs="宋体"/>
          <w:szCs w:val="21"/>
        </w:rPr>
        <w:fldChar w:fldCharType="separate"/>
      </w:r>
      <w:r>
        <w:rPr>
          <w:rFonts w:hint="eastAsia" w:ascii="宋体" w:hAnsi="宋体" w:eastAsia="宋体" w:cs="宋体"/>
        </w:rPr>
        <w:t>五、谈判保证金</w:t>
      </w:r>
      <w:r>
        <w:tab/>
      </w:r>
      <w:r>
        <w:fldChar w:fldCharType="begin"/>
      </w:r>
      <w:r>
        <w:instrText xml:space="preserve"> PAGEREF _Toc13409 \h </w:instrText>
      </w:r>
      <w:r>
        <w:fldChar w:fldCharType="separate"/>
      </w:r>
      <w:r>
        <w:t>- 4 -</w:t>
      </w:r>
      <w:r>
        <w:fldChar w:fldCharType="end"/>
      </w:r>
      <w:r>
        <w:rPr>
          <w:rFonts w:hint="eastAsia" w:ascii="宋体" w:hAnsi="宋体" w:cs="宋体"/>
          <w:color w:val="auto"/>
          <w:szCs w:val="21"/>
        </w:rPr>
        <w:fldChar w:fldCharType="end"/>
      </w:r>
    </w:p>
    <w:p w14:paraId="7C9F1841">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_Toc31965 </w:instrText>
      </w:r>
      <w:r>
        <w:rPr>
          <w:rFonts w:hint="eastAsia" w:ascii="宋体" w:hAnsi="宋体" w:cs="宋体"/>
          <w:szCs w:val="21"/>
        </w:rPr>
        <w:fldChar w:fldCharType="separate"/>
      </w:r>
      <w:r>
        <w:rPr>
          <w:rFonts w:hint="eastAsia" w:ascii="宋体" w:hAnsi="宋体" w:eastAsia="宋体" w:cs="宋体"/>
        </w:rPr>
        <w:t>六、其它有关规定</w:t>
      </w:r>
      <w:r>
        <w:tab/>
      </w:r>
      <w:r>
        <w:fldChar w:fldCharType="begin"/>
      </w:r>
      <w:r>
        <w:instrText xml:space="preserve"> PAGEREF _Toc31965 \h </w:instrText>
      </w:r>
      <w:r>
        <w:fldChar w:fldCharType="separate"/>
      </w:r>
      <w:r>
        <w:t>- 4 -</w:t>
      </w:r>
      <w:r>
        <w:fldChar w:fldCharType="end"/>
      </w:r>
      <w:r>
        <w:rPr>
          <w:rFonts w:hint="eastAsia" w:ascii="宋体" w:hAnsi="宋体" w:cs="宋体"/>
          <w:color w:val="auto"/>
          <w:szCs w:val="21"/>
        </w:rPr>
        <w:fldChar w:fldCharType="end"/>
      </w:r>
    </w:p>
    <w:p w14:paraId="4E3B20CE">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_Toc15052 </w:instrText>
      </w:r>
      <w:r>
        <w:rPr>
          <w:rFonts w:hint="eastAsia" w:ascii="宋体" w:hAnsi="宋体" w:cs="宋体"/>
          <w:szCs w:val="21"/>
        </w:rPr>
        <w:fldChar w:fldCharType="separate"/>
      </w:r>
      <w:r>
        <w:rPr>
          <w:rFonts w:hint="eastAsia" w:ascii="宋体" w:hAnsi="宋体" w:eastAsia="宋体" w:cs="宋体"/>
        </w:rPr>
        <w:t>七、联系方式</w:t>
      </w:r>
      <w:r>
        <w:tab/>
      </w:r>
      <w:r>
        <w:fldChar w:fldCharType="begin"/>
      </w:r>
      <w:r>
        <w:instrText xml:space="preserve"> PAGEREF _Toc15052 \h </w:instrText>
      </w:r>
      <w:r>
        <w:fldChar w:fldCharType="separate"/>
      </w:r>
      <w:r>
        <w:t>- 4 -</w:t>
      </w:r>
      <w:r>
        <w:fldChar w:fldCharType="end"/>
      </w:r>
      <w:r>
        <w:rPr>
          <w:rFonts w:hint="eastAsia" w:ascii="宋体" w:hAnsi="宋体" w:cs="宋体"/>
          <w:color w:val="auto"/>
          <w:szCs w:val="21"/>
        </w:rPr>
        <w:fldChar w:fldCharType="end"/>
      </w:r>
    </w:p>
    <w:p w14:paraId="18902227">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_Toc9095 </w:instrText>
      </w:r>
      <w:r>
        <w:rPr>
          <w:rFonts w:hint="eastAsia" w:ascii="宋体" w:hAnsi="宋体" w:cs="宋体"/>
          <w:szCs w:val="21"/>
        </w:rPr>
        <w:fldChar w:fldCharType="separate"/>
      </w:r>
      <w:r>
        <w:rPr>
          <w:rFonts w:hint="eastAsia" w:ascii="宋体" w:hAnsi="宋体" w:eastAsia="宋体" w:cs="宋体"/>
          <w:szCs w:val="30"/>
        </w:rPr>
        <w:t>第二篇  谈判项目技术（质量）需求</w:t>
      </w:r>
      <w:r>
        <w:tab/>
      </w:r>
      <w:r>
        <w:fldChar w:fldCharType="begin"/>
      </w:r>
      <w:r>
        <w:instrText xml:space="preserve"> PAGEREF _Toc9095 \h </w:instrText>
      </w:r>
      <w:r>
        <w:fldChar w:fldCharType="separate"/>
      </w:r>
      <w:r>
        <w:t>- 6 -</w:t>
      </w:r>
      <w:r>
        <w:fldChar w:fldCharType="end"/>
      </w:r>
      <w:r>
        <w:rPr>
          <w:rFonts w:hint="eastAsia" w:ascii="宋体" w:hAnsi="宋体" w:cs="宋体"/>
          <w:color w:val="auto"/>
          <w:szCs w:val="21"/>
        </w:rPr>
        <w:fldChar w:fldCharType="end"/>
      </w:r>
    </w:p>
    <w:p w14:paraId="46407255">
      <w:pPr>
        <w:pStyle w:val="30"/>
        <w:tabs>
          <w:tab w:val="right" w:leader="dot" w:pos="9412"/>
        </w:tabs>
        <w:ind w:left="0" w:leftChars="0"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_Toc1964 </w:instrText>
      </w:r>
      <w:r>
        <w:rPr>
          <w:rFonts w:hint="eastAsia" w:ascii="宋体" w:hAnsi="宋体" w:cs="宋体"/>
          <w:szCs w:val="21"/>
        </w:rPr>
        <w:fldChar w:fldCharType="separate"/>
      </w:r>
      <w:r>
        <w:rPr>
          <w:rFonts w:hint="eastAsia" w:ascii="宋体" w:hAnsi="宋体" w:eastAsia="宋体" w:cs="宋体"/>
          <w:szCs w:val="24"/>
        </w:rPr>
        <w:t>一、项目基本情况</w:t>
      </w:r>
      <w:r>
        <w:tab/>
      </w:r>
      <w:r>
        <w:fldChar w:fldCharType="begin"/>
      </w:r>
      <w:r>
        <w:instrText xml:space="preserve"> PAGEREF _Toc1964 \h </w:instrText>
      </w:r>
      <w:r>
        <w:fldChar w:fldCharType="separate"/>
      </w:r>
      <w:r>
        <w:t>- 6 -</w:t>
      </w:r>
      <w:r>
        <w:fldChar w:fldCharType="end"/>
      </w:r>
      <w:r>
        <w:rPr>
          <w:rFonts w:hint="eastAsia" w:ascii="宋体" w:hAnsi="宋体" w:cs="宋体"/>
          <w:color w:val="auto"/>
          <w:szCs w:val="21"/>
        </w:rPr>
        <w:fldChar w:fldCharType="end"/>
      </w:r>
    </w:p>
    <w:p w14:paraId="2AEDDDC0">
      <w:pPr>
        <w:pStyle w:val="30"/>
        <w:tabs>
          <w:tab w:val="right" w:leader="dot" w:pos="9412"/>
        </w:tabs>
        <w:ind w:left="0" w:leftChars="0"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_Toc11885 </w:instrText>
      </w:r>
      <w:r>
        <w:rPr>
          <w:rFonts w:hint="eastAsia" w:ascii="宋体" w:hAnsi="宋体" w:cs="宋体"/>
          <w:szCs w:val="21"/>
        </w:rPr>
        <w:fldChar w:fldCharType="separate"/>
      </w:r>
      <w:r>
        <w:rPr>
          <w:rFonts w:hint="eastAsia" w:ascii="宋体" w:hAnsi="宋体" w:cs="宋体"/>
          <w:szCs w:val="24"/>
          <w:lang w:val="en-US" w:eastAsia="zh-CN"/>
        </w:rPr>
        <w:t>二</w:t>
      </w:r>
      <w:r>
        <w:rPr>
          <w:rFonts w:hint="eastAsia" w:ascii="宋体" w:hAnsi="宋体" w:eastAsia="宋体" w:cs="宋体"/>
          <w:szCs w:val="24"/>
        </w:rPr>
        <w:t>、</w:t>
      </w:r>
      <w:r>
        <w:rPr>
          <w:rFonts w:hint="eastAsia" w:ascii="宋体" w:hAnsi="宋体" w:cs="宋体"/>
          <w:szCs w:val="24"/>
          <w:lang w:val="en-US" w:eastAsia="zh-CN"/>
        </w:rPr>
        <w:t>项目服务内容及要求</w:t>
      </w:r>
      <w:r>
        <w:tab/>
      </w:r>
      <w:r>
        <w:fldChar w:fldCharType="begin"/>
      </w:r>
      <w:r>
        <w:instrText xml:space="preserve"> PAGEREF _Toc11885 \h </w:instrText>
      </w:r>
      <w:r>
        <w:fldChar w:fldCharType="separate"/>
      </w:r>
      <w:r>
        <w:t>- 6 -</w:t>
      </w:r>
      <w:r>
        <w:fldChar w:fldCharType="end"/>
      </w:r>
      <w:r>
        <w:rPr>
          <w:rFonts w:hint="eastAsia" w:ascii="宋体" w:hAnsi="宋体" w:cs="宋体"/>
          <w:color w:val="auto"/>
          <w:szCs w:val="21"/>
        </w:rPr>
        <w:fldChar w:fldCharType="end"/>
      </w:r>
    </w:p>
    <w:p w14:paraId="477C8C1A">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_Toc30221 </w:instrText>
      </w:r>
      <w:r>
        <w:rPr>
          <w:rFonts w:hint="eastAsia" w:ascii="宋体" w:hAnsi="宋体" w:cs="宋体"/>
          <w:szCs w:val="21"/>
        </w:rPr>
        <w:fldChar w:fldCharType="separate"/>
      </w:r>
      <w:r>
        <w:rPr>
          <w:rFonts w:hint="eastAsia" w:ascii="宋体" w:hAnsi="宋体" w:eastAsia="宋体" w:cs="宋体"/>
          <w:szCs w:val="30"/>
        </w:rPr>
        <w:t>第三篇  谈判项目商务需求</w:t>
      </w:r>
      <w:r>
        <w:tab/>
      </w:r>
      <w:r>
        <w:fldChar w:fldCharType="begin"/>
      </w:r>
      <w:r>
        <w:instrText xml:space="preserve"> PAGEREF _Toc30221 \h </w:instrText>
      </w:r>
      <w:r>
        <w:fldChar w:fldCharType="separate"/>
      </w:r>
      <w:r>
        <w:t>- 8 -</w:t>
      </w:r>
      <w:r>
        <w:fldChar w:fldCharType="end"/>
      </w:r>
      <w:r>
        <w:rPr>
          <w:rFonts w:hint="eastAsia" w:ascii="宋体" w:hAnsi="宋体" w:cs="宋体"/>
          <w:color w:val="auto"/>
          <w:szCs w:val="21"/>
        </w:rPr>
        <w:fldChar w:fldCharType="end"/>
      </w:r>
    </w:p>
    <w:p w14:paraId="23277CF1">
      <w:pPr>
        <w:pStyle w:val="30"/>
        <w:tabs>
          <w:tab w:val="right" w:leader="dot" w:pos="9412"/>
        </w:tabs>
        <w:ind w:left="0" w:leftChars="0"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_Toc26795 </w:instrText>
      </w:r>
      <w:r>
        <w:rPr>
          <w:rFonts w:hint="eastAsia" w:ascii="宋体" w:hAnsi="宋体" w:cs="宋体"/>
          <w:szCs w:val="21"/>
        </w:rPr>
        <w:fldChar w:fldCharType="separate"/>
      </w:r>
      <w:r>
        <w:rPr>
          <w:rFonts w:hint="eastAsia" w:ascii="宋体" w:hAnsi="宋体" w:eastAsia="宋体" w:cs="宋体"/>
          <w:szCs w:val="24"/>
          <w:highlight w:val="none"/>
        </w:rPr>
        <w:t>一、</w:t>
      </w:r>
      <w:r>
        <w:rPr>
          <w:rFonts w:hint="eastAsia" w:ascii="宋体" w:hAnsi="宋体" w:cs="宋体"/>
          <w:szCs w:val="24"/>
          <w:highlight w:val="none"/>
          <w:lang w:eastAsia="zh-CN"/>
        </w:rPr>
        <w:t>服务</w:t>
      </w:r>
      <w:r>
        <w:rPr>
          <w:rFonts w:hint="eastAsia" w:ascii="宋体" w:hAnsi="宋体" w:eastAsia="宋体" w:cs="宋体"/>
          <w:szCs w:val="24"/>
          <w:highlight w:val="none"/>
        </w:rPr>
        <w:t>时间、地点及验收方式</w:t>
      </w:r>
      <w:r>
        <w:tab/>
      </w:r>
      <w:r>
        <w:fldChar w:fldCharType="begin"/>
      </w:r>
      <w:r>
        <w:instrText xml:space="preserve"> PAGEREF _Toc26795 \h </w:instrText>
      </w:r>
      <w:r>
        <w:fldChar w:fldCharType="separate"/>
      </w:r>
      <w:r>
        <w:t>- 8 -</w:t>
      </w:r>
      <w:r>
        <w:fldChar w:fldCharType="end"/>
      </w:r>
      <w:r>
        <w:rPr>
          <w:rFonts w:hint="eastAsia" w:ascii="宋体" w:hAnsi="宋体" w:cs="宋体"/>
          <w:color w:val="auto"/>
          <w:szCs w:val="21"/>
        </w:rPr>
        <w:fldChar w:fldCharType="end"/>
      </w:r>
    </w:p>
    <w:p w14:paraId="6E117361">
      <w:pPr>
        <w:pStyle w:val="30"/>
        <w:tabs>
          <w:tab w:val="right" w:leader="dot" w:pos="9412"/>
        </w:tabs>
        <w:ind w:left="0" w:leftChars="0"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_Toc5821 </w:instrText>
      </w:r>
      <w:r>
        <w:rPr>
          <w:rFonts w:hint="eastAsia" w:ascii="宋体" w:hAnsi="宋体" w:cs="宋体"/>
          <w:szCs w:val="21"/>
        </w:rPr>
        <w:fldChar w:fldCharType="separate"/>
      </w:r>
      <w:r>
        <w:rPr>
          <w:rFonts w:hint="eastAsia" w:ascii="宋体" w:hAnsi="宋体" w:eastAsia="宋体" w:cs="宋体"/>
          <w:szCs w:val="24"/>
          <w:highlight w:val="none"/>
        </w:rPr>
        <w:t>二、报价要求</w:t>
      </w:r>
      <w:r>
        <w:tab/>
      </w:r>
      <w:r>
        <w:fldChar w:fldCharType="begin"/>
      </w:r>
      <w:r>
        <w:instrText xml:space="preserve"> PAGEREF _Toc5821 \h </w:instrText>
      </w:r>
      <w:r>
        <w:fldChar w:fldCharType="separate"/>
      </w:r>
      <w:r>
        <w:t>- 8 -</w:t>
      </w:r>
      <w:r>
        <w:fldChar w:fldCharType="end"/>
      </w:r>
      <w:r>
        <w:rPr>
          <w:rFonts w:hint="eastAsia" w:ascii="宋体" w:hAnsi="宋体" w:cs="宋体"/>
          <w:color w:val="auto"/>
          <w:szCs w:val="21"/>
        </w:rPr>
        <w:fldChar w:fldCharType="end"/>
      </w:r>
    </w:p>
    <w:p w14:paraId="38484E34">
      <w:pPr>
        <w:pStyle w:val="30"/>
        <w:tabs>
          <w:tab w:val="right" w:leader="dot" w:pos="9412"/>
        </w:tabs>
        <w:ind w:left="0" w:leftChars="0"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_Toc8567 </w:instrText>
      </w:r>
      <w:r>
        <w:rPr>
          <w:rFonts w:hint="eastAsia" w:ascii="宋体" w:hAnsi="宋体" w:cs="宋体"/>
          <w:szCs w:val="21"/>
        </w:rPr>
        <w:fldChar w:fldCharType="separate"/>
      </w:r>
      <w:r>
        <w:rPr>
          <w:rFonts w:hint="eastAsia" w:ascii="宋体" w:hAnsi="宋体" w:eastAsia="宋体" w:cs="宋体"/>
          <w:szCs w:val="24"/>
          <w:lang w:eastAsia="zh-CN"/>
        </w:rPr>
        <w:t>三、</w:t>
      </w:r>
      <w:r>
        <w:rPr>
          <w:rFonts w:hint="eastAsia" w:ascii="宋体" w:hAnsi="宋体" w:eastAsia="宋体" w:cs="宋体"/>
          <w:szCs w:val="24"/>
        </w:rPr>
        <w:t>询定价及结算</w:t>
      </w:r>
      <w:r>
        <w:tab/>
      </w:r>
      <w:r>
        <w:fldChar w:fldCharType="begin"/>
      </w:r>
      <w:r>
        <w:instrText xml:space="preserve"> PAGEREF _Toc8567 \h </w:instrText>
      </w:r>
      <w:r>
        <w:fldChar w:fldCharType="separate"/>
      </w:r>
      <w:r>
        <w:t>- 8 -</w:t>
      </w:r>
      <w:r>
        <w:fldChar w:fldCharType="end"/>
      </w:r>
      <w:r>
        <w:rPr>
          <w:rFonts w:hint="eastAsia" w:ascii="宋体" w:hAnsi="宋体" w:cs="宋体"/>
          <w:color w:val="auto"/>
          <w:szCs w:val="21"/>
        </w:rPr>
        <w:fldChar w:fldCharType="end"/>
      </w:r>
    </w:p>
    <w:p w14:paraId="2ED298EC">
      <w:pPr>
        <w:pStyle w:val="30"/>
        <w:tabs>
          <w:tab w:val="right" w:leader="dot" w:pos="9412"/>
        </w:tabs>
        <w:ind w:left="0" w:leftChars="0"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_Toc18725 </w:instrText>
      </w:r>
      <w:r>
        <w:rPr>
          <w:rFonts w:hint="eastAsia" w:ascii="宋体" w:hAnsi="宋体" w:cs="宋体"/>
          <w:szCs w:val="21"/>
        </w:rPr>
        <w:fldChar w:fldCharType="separate"/>
      </w:r>
      <w:r>
        <w:rPr>
          <w:rFonts w:hint="eastAsia" w:ascii="宋体" w:hAnsi="宋体" w:eastAsia="宋体" w:cs="宋体"/>
          <w:szCs w:val="24"/>
          <w:lang w:eastAsia="zh-CN"/>
        </w:rPr>
        <w:t>四、</w:t>
      </w:r>
      <w:r>
        <w:rPr>
          <w:rFonts w:hint="eastAsia" w:ascii="宋体" w:hAnsi="宋体" w:eastAsia="宋体" w:cs="宋体"/>
          <w:szCs w:val="24"/>
        </w:rPr>
        <w:t>质量保证及售后服务</w:t>
      </w:r>
      <w:r>
        <w:tab/>
      </w:r>
      <w:r>
        <w:fldChar w:fldCharType="begin"/>
      </w:r>
      <w:r>
        <w:instrText xml:space="preserve"> PAGEREF _Toc18725 \h </w:instrText>
      </w:r>
      <w:r>
        <w:fldChar w:fldCharType="separate"/>
      </w:r>
      <w:r>
        <w:t>- 9 -</w:t>
      </w:r>
      <w:r>
        <w:fldChar w:fldCharType="end"/>
      </w:r>
      <w:r>
        <w:rPr>
          <w:rFonts w:hint="eastAsia" w:ascii="宋体" w:hAnsi="宋体" w:cs="宋体"/>
          <w:color w:val="auto"/>
          <w:szCs w:val="21"/>
        </w:rPr>
        <w:fldChar w:fldCharType="end"/>
      </w:r>
    </w:p>
    <w:p w14:paraId="77CE9072">
      <w:pPr>
        <w:pStyle w:val="30"/>
        <w:tabs>
          <w:tab w:val="right" w:leader="dot" w:pos="9412"/>
        </w:tabs>
        <w:ind w:left="0" w:leftChars="0"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_Toc9852 </w:instrText>
      </w:r>
      <w:r>
        <w:rPr>
          <w:rFonts w:hint="eastAsia" w:ascii="宋体" w:hAnsi="宋体" w:cs="宋体"/>
          <w:szCs w:val="21"/>
        </w:rPr>
        <w:fldChar w:fldCharType="separate"/>
      </w:r>
      <w:r>
        <w:rPr>
          <w:rFonts w:hint="eastAsia" w:ascii="宋体" w:hAnsi="宋体" w:eastAsia="宋体" w:cs="宋体"/>
          <w:szCs w:val="24"/>
          <w:lang w:eastAsia="zh-CN"/>
        </w:rPr>
        <w:t>五、</w:t>
      </w:r>
      <w:r>
        <w:rPr>
          <w:rFonts w:hint="eastAsia" w:ascii="宋体" w:hAnsi="宋体" w:eastAsia="宋体" w:cs="宋体"/>
          <w:szCs w:val="24"/>
        </w:rPr>
        <w:t>付款方式</w:t>
      </w:r>
      <w:r>
        <w:tab/>
      </w:r>
      <w:r>
        <w:fldChar w:fldCharType="begin"/>
      </w:r>
      <w:r>
        <w:instrText xml:space="preserve"> PAGEREF _Toc9852 \h </w:instrText>
      </w:r>
      <w:r>
        <w:fldChar w:fldCharType="separate"/>
      </w:r>
      <w:r>
        <w:t>- 9 -</w:t>
      </w:r>
      <w:r>
        <w:fldChar w:fldCharType="end"/>
      </w:r>
      <w:r>
        <w:rPr>
          <w:rFonts w:hint="eastAsia" w:ascii="宋体" w:hAnsi="宋体" w:cs="宋体"/>
          <w:color w:val="auto"/>
          <w:szCs w:val="21"/>
        </w:rPr>
        <w:fldChar w:fldCharType="end"/>
      </w:r>
    </w:p>
    <w:p w14:paraId="1F92A97C">
      <w:pPr>
        <w:pStyle w:val="30"/>
        <w:tabs>
          <w:tab w:val="right" w:leader="dot" w:pos="9412"/>
        </w:tabs>
        <w:ind w:left="0" w:leftChars="0"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_Toc19844 </w:instrText>
      </w:r>
      <w:r>
        <w:rPr>
          <w:rFonts w:hint="eastAsia" w:ascii="宋体" w:hAnsi="宋体" w:cs="宋体"/>
          <w:szCs w:val="21"/>
        </w:rPr>
        <w:fldChar w:fldCharType="separate"/>
      </w:r>
      <w:r>
        <w:rPr>
          <w:rFonts w:hint="eastAsia" w:ascii="宋体" w:hAnsi="宋体" w:eastAsia="宋体" w:cs="宋体"/>
          <w:szCs w:val="24"/>
          <w:lang w:eastAsia="zh-CN"/>
        </w:rPr>
        <w:t>六、</w:t>
      </w:r>
      <w:r>
        <w:rPr>
          <w:rFonts w:hint="eastAsia" w:ascii="宋体" w:hAnsi="宋体" w:eastAsia="宋体" w:cs="宋体"/>
          <w:szCs w:val="24"/>
        </w:rPr>
        <w:t>知识产权</w:t>
      </w:r>
      <w:r>
        <w:tab/>
      </w:r>
      <w:r>
        <w:fldChar w:fldCharType="begin"/>
      </w:r>
      <w:r>
        <w:instrText xml:space="preserve"> PAGEREF _Toc19844 \h </w:instrText>
      </w:r>
      <w:r>
        <w:fldChar w:fldCharType="separate"/>
      </w:r>
      <w:r>
        <w:t>- 10 -</w:t>
      </w:r>
      <w:r>
        <w:fldChar w:fldCharType="end"/>
      </w:r>
      <w:r>
        <w:rPr>
          <w:rFonts w:hint="eastAsia" w:ascii="宋体" w:hAnsi="宋体" w:cs="宋体"/>
          <w:color w:val="auto"/>
          <w:szCs w:val="21"/>
        </w:rPr>
        <w:fldChar w:fldCharType="end"/>
      </w:r>
    </w:p>
    <w:p w14:paraId="5FD75D73">
      <w:pPr>
        <w:pStyle w:val="30"/>
        <w:tabs>
          <w:tab w:val="right" w:leader="dot" w:pos="9412"/>
        </w:tabs>
        <w:ind w:left="0" w:leftChars="0" w:firstLine="560" w:firstLineChars="200"/>
      </w:pPr>
      <w:r>
        <w:rPr>
          <w:rFonts w:hint="eastAsia" w:ascii="宋体" w:hAnsi="宋体" w:cs="宋体"/>
          <w:color w:val="auto"/>
          <w:szCs w:val="21"/>
        </w:rPr>
        <w:fldChar w:fldCharType="begin"/>
      </w:r>
      <w:r>
        <w:rPr>
          <w:rFonts w:hint="eastAsia" w:ascii="宋体" w:hAnsi="宋体" w:cs="宋体"/>
          <w:szCs w:val="21"/>
        </w:rPr>
        <w:instrText xml:space="preserve"> HYPERLINK \l _Toc9912 </w:instrText>
      </w:r>
      <w:r>
        <w:rPr>
          <w:rFonts w:hint="eastAsia" w:ascii="宋体" w:hAnsi="宋体" w:cs="宋体"/>
          <w:szCs w:val="21"/>
        </w:rPr>
        <w:fldChar w:fldCharType="separate"/>
      </w:r>
      <w:r>
        <w:rPr>
          <w:rFonts w:hint="eastAsia" w:ascii="宋体" w:hAnsi="宋体" w:eastAsia="宋体" w:cs="宋体"/>
          <w:szCs w:val="24"/>
          <w:lang w:eastAsia="zh-CN"/>
        </w:rPr>
        <w:t>七、</w:t>
      </w:r>
      <w:r>
        <w:rPr>
          <w:rFonts w:hint="eastAsia" w:ascii="宋体" w:hAnsi="宋体" w:eastAsia="宋体" w:cs="宋体"/>
          <w:szCs w:val="24"/>
        </w:rPr>
        <w:t>其他</w:t>
      </w:r>
      <w:r>
        <w:tab/>
      </w:r>
      <w:r>
        <w:fldChar w:fldCharType="begin"/>
      </w:r>
      <w:r>
        <w:instrText xml:space="preserve"> PAGEREF _Toc9912 \h </w:instrText>
      </w:r>
      <w:r>
        <w:fldChar w:fldCharType="separate"/>
      </w:r>
      <w:r>
        <w:t>- 10 -</w:t>
      </w:r>
      <w:r>
        <w:fldChar w:fldCharType="end"/>
      </w:r>
      <w:r>
        <w:rPr>
          <w:rFonts w:hint="eastAsia" w:ascii="宋体" w:hAnsi="宋体" w:cs="宋体"/>
          <w:color w:val="auto"/>
          <w:szCs w:val="21"/>
        </w:rPr>
        <w:fldChar w:fldCharType="end"/>
      </w:r>
    </w:p>
    <w:p w14:paraId="3F5D8C01">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_Toc19945 </w:instrText>
      </w:r>
      <w:r>
        <w:rPr>
          <w:rFonts w:hint="eastAsia" w:ascii="宋体" w:hAnsi="宋体" w:cs="宋体"/>
          <w:szCs w:val="21"/>
        </w:rPr>
        <w:fldChar w:fldCharType="separate"/>
      </w:r>
      <w:r>
        <w:rPr>
          <w:rFonts w:hint="eastAsia" w:ascii="宋体" w:hAnsi="宋体" w:eastAsia="宋体" w:cs="宋体"/>
          <w:szCs w:val="30"/>
        </w:rPr>
        <w:t>第四篇  采购程序、评定成交的标准、无效谈判及采购终止</w:t>
      </w:r>
      <w:r>
        <w:tab/>
      </w:r>
      <w:r>
        <w:fldChar w:fldCharType="begin"/>
      </w:r>
      <w:r>
        <w:instrText xml:space="preserve"> PAGEREF _Toc19945 \h </w:instrText>
      </w:r>
      <w:r>
        <w:fldChar w:fldCharType="separate"/>
      </w:r>
      <w:r>
        <w:t>- 11 -</w:t>
      </w:r>
      <w:r>
        <w:fldChar w:fldCharType="end"/>
      </w:r>
      <w:r>
        <w:rPr>
          <w:rFonts w:hint="eastAsia" w:ascii="宋体" w:hAnsi="宋体" w:cs="宋体"/>
          <w:color w:val="auto"/>
          <w:szCs w:val="21"/>
        </w:rPr>
        <w:fldChar w:fldCharType="end"/>
      </w:r>
    </w:p>
    <w:p w14:paraId="505B33C1">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_Toc9950 </w:instrText>
      </w:r>
      <w:r>
        <w:rPr>
          <w:rFonts w:hint="eastAsia" w:ascii="宋体" w:hAnsi="宋体" w:cs="宋体"/>
          <w:szCs w:val="21"/>
        </w:rPr>
        <w:fldChar w:fldCharType="separate"/>
      </w:r>
      <w:r>
        <w:rPr>
          <w:rFonts w:hint="eastAsia" w:ascii="宋体" w:hAnsi="宋体" w:eastAsia="宋体" w:cs="宋体"/>
        </w:rPr>
        <w:t>一、采购程序</w:t>
      </w:r>
      <w:r>
        <w:tab/>
      </w:r>
      <w:r>
        <w:fldChar w:fldCharType="begin"/>
      </w:r>
      <w:r>
        <w:instrText xml:space="preserve"> PAGEREF _Toc9950 \h </w:instrText>
      </w:r>
      <w:r>
        <w:fldChar w:fldCharType="separate"/>
      </w:r>
      <w:r>
        <w:t>- 11 -</w:t>
      </w:r>
      <w:r>
        <w:fldChar w:fldCharType="end"/>
      </w:r>
      <w:r>
        <w:rPr>
          <w:rFonts w:hint="eastAsia" w:ascii="宋体" w:hAnsi="宋体" w:cs="宋体"/>
          <w:color w:val="auto"/>
          <w:szCs w:val="21"/>
        </w:rPr>
        <w:fldChar w:fldCharType="end"/>
      </w:r>
    </w:p>
    <w:p w14:paraId="5FFDFBCE">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_Toc15250 </w:instrText>
      </w:r>
      <w:r>
        <w:rPr>
          <w:rFonts w:hint="eastAsia" w:ascii="宋体" w:hAnsi="宋体" w:cs="宋体"/>
          <w:szCs w:val="21"/>
        </w:rPr>
        <w:fldChar w:fldCharType="separate"/>
      </w:r>
      <w:r>
        <w:rPr>
          <w:rFonts w:hint="eastAsia" w:ascii="宋体" w:hAnsi="宋体" w:eastAsia="宋体" w:cs="宋体"/>
        </w:rPr>
        <w:t>二、评定成交的标准</w:t>
      </w:r>
      <w:r>
        <w:tab/>
      </w:r>
      <w:r>
        <w:fldChar w:fldCharType="begin"/>
      </w:r>
      <w:r>
        <w:instrText xml:space="preserve"> PAGEREF _Toc15250 \h </w:instrText>
      </w:r>
      <w:r>
        <w:fldChar w:fldCharType="separate"/>
      </w:r>
      <w:r>
        <w:t>- 13 -</w:t>
      </w:r>
      <w:r>
        <w:fldChar w:fldCharType="end"/>
      </w:r>
      <w:r>
        <w:rPr>
          <w:rFonts w:hint="eastAsia" w:ascii="宋体" w:hAnsi="宋体" w:cs="宋体"/>
          <w:color w:val="auto"/>
          <w:szCs w:val="21"/>
        </w:rPr>
        <w:fldChar w:fldCharType="end"/>
      </w:r>
    </w:p>
    <w:p w14:paraId="26D17B16">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_Toc15657 </w:instrText>
      </w:r>
      <w:r>
        <w:rPr>
          <w:rFonts w:hint="eastAsia" w:ascii="宋体" w:hAnsi="宋体" w:cs="宋体"/>
          <w:szCs w:val="21"/>
        </w:rPr>
        <w:fldChar w:fldCharType="separate"/>
      </w:r>
      <w:r>
        <w:rPr>
          <w:rFonts w:hint="eastAsia" w:ascii="宋体" w:hAnsi="宋体" w:eastAsia="宋体" w:cs="宋体"/>
        </w:rPr>
        <w:t>三、无效谈判</w:t>
      </w:r>
      <w:r>
        <w:tab/>
      </w:r>
      <w:r>
        <w:fldChar w:fldCharType="begin"/>
      </w:r>
      <w:r>
        <w:instrText xml:space="preserve"> PAGEREF _Toc15657 \h </w:instrText>
      </w:r>
      <w:r>
        <w:fldChar w:fldCharType="separate"/>
      </w:r>
      <w:r>
        <w:t>- 13 -</w:t>
      </w:r>
      <w:r>
        <w:fldChar w:fldCharType="end"/>
      </w:r>
      <w:r>
        <w:rPr>
          <w:rFonts w:hint="eastAsia" w:ascii="宋体" w:hAnsi="宋体" w:cs="宋体"/>
          <w:color w:val="auto"/>
          <w:szCs w:val="21"/>
        </w:rPr>
        <w:fldChar w:fldCharType="end"/>
      </w:r>
    </w:p>
    <w:p w14:paraId="0D976E73">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_Toc24064 </w:instrText>
      </w:r>
      <w:r>
        <w:rPr>
          <w:rFonts w:hint="eastAsia" w:ascii="宋体" w:hAnsi="宋体" w:cs="宋体"/>
          <w:szCs w:val="21"/>
        </w:rPr>
        <w:fldChar w:fldCharType="separate"/>
      </w:r>
      <w:r>
        <w:rPr>
          <w:rFonts w:hint="eastAsia" w:ascii="宋体" w:hAnsi="宋体" w:eastAsia="宋体" w:cs="宋体"/>
        </w:rPr>
        <w:t>四、采购终止</w:t>
      </w:r>
      <w:r>
        <w:tab/>
      </w:r>
      <w:r>
        <w:fldChar w:fldCharType="begin"/>
      </w:r>
      <w:r>
        <w:instrText xml:space="preserve"> PAGEREF _Toc24064 \h </w:instrText>
      </w:r>
      <w:r>
        <w:fldChar w:fldCharType="separate"/>
      </w:r>
      <w:r>
        <w:t>- 14 -</w:t>
      </w:r>
      <w:r>
        <w:fldChar w:fldCharType="end"/>
      </w:r>
      <w:r>
        <w:rPr>
          <w:rFonts w:hint="eastAsia" w:ascii="宋体" w:hAnsi="宋体" w:cs="宋体"/>
          <w:color w:val="auto"/>
          <w:szCs w:val="21"/>
        </w:rPr>
        <w:fldChar w:fldCharType="end"/>
      </w:r>
    </w:p>
    <w:p w14:paraId="1D619E08">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_Toc7319 </w:instrText>
      </w:r>
      <w:r>
        <w:rPr>
          <w:rFonts w:hint="eastAsia" w:ascii="宋体" w:hAnsi="宋体" w:cs="宋体"/>
          <w:szCs w:val="21"/>
        </w:rPr>
        <w:fldChar w:fldCharType="separate"/>
      </w:r>
      <w:r>
        <w:rPr>
          <w:rFonts w:hint="eastAsia" w:ascii="宋体" w:hAnsi="宋体" w:eastAsia="宋体" w:cs="宋体"/>
          <w:szCs w:val="30"/>
        </w:rPr>
        <w:t>第五篇  供应商须知</w:t>
      </w:r>
      <w:r>
        <w:tab/>
      </w:r>
      <w:r>
        <w:fldChar w:fldCharType="begin"/>
      </w:r>
      <w:r>
        <w:instrText xml:space="preserve"> PAGEREF _Toc7319 \h </w:instrText>
      </w:r>
      <w:r>
        <w:fldChar w:fldCharType="separate"/>
      </w:r>
      <w:r>
        <w:t>- 15 -</w:t>
      </w:r>
      <w:r>
        <w:fldChar w:fldCharType="end"/>
      </w:r>
      <w:r>
        <w:rPr>
          <w:rFonts w:hint="eastAsia" w:ascii="宋体" w:hAnsi="宋体" w:cs="宋体"/>
          <w:color w:val="auto"/>
          <w:szCs w:val="21"/>
        </w:rPr>
        <w:fldChar w:fldCharType="end"/>
      </w:r>
    </w:p>
    <w:p w14:paraId="42475319">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_Toc1963 </w:instrText>
      </w:r>
      <w:r>
        <w:rPr>
          <w:rFonts w:hint="eastAsia" w:ascii="宋体" w:hAnsi="宋体" w:cs="宋体"/>
          <w:szCs w:val="21"/>
        </w:rPr>
        <w:fldChar w:fldCharType="separate"/>
      </w:r>
      <w:r>
        <w:rPr>
          <w:rFonts w:hint="eastAsia" w:ascii="宋体" w:hAnsi="宋体" w:eastAsia="宋体" w:cs="宋体"/>
        </w:rPr>
        <w:t>一、谈判费用</w:t>
      </w:r>
      <w:r>
        <w:tab/>
      </w:r>
      <w:r>
        <w:fldChar w:fldCharType="begin"/>
      </w:r>
      <w:r>
        <w:instrText xml:space="preserve"> PAGEREF _Toc1963 \h </w:instrText>
      </w:r>
      <w:r>
        <w:fldChar w:fldCharType="separate"/>
      </w:r>
      <w:r>
        <w:t>- 15 -</w:t>
      </w:r>
      <w:r>
        <w:fldChar w:fldCharType="end"/>
      </w:r>
      <w:r>
        <w:rPr>
          <w:rFonts w:hint="eastAsia" w:ascii="宋体" w:hAnsi="宋体" w:cs="宋体"/>
          <w:color w:val="auto"/>
          <w:szCs w:val="21"/>
        </w:rPr>
        <w:fldChar w:fldCharType="end"/>
      </w:r>
    </w:p>
    <w:p w14:paraId="0B961D2E">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_Toc29523 </w:instrText>
      </w:r>
      <w:r>
        <w:rPr>
          <w:rFonts w:hint="eastAsia" w:ascii="宋体" w:hAnsi="宋体" w:cs="宋体"/>
          <w:szCs w:val="21"/>
        </w:rPr>
        <w:fldChar w:fldCharType="separate"/>
      </w:r>
      <w:r>
        <w:rPr>
          <w:rFonts w:hint="eastAsia" w:ascii="宋体" w:hAnsi="宋体" w:eastAsia="宋体" w:cs="宋体"/>
        </w:rPr>
        <w:t>二、竞争性谈判文件</w:t>
      </w:r>
      <w:r>
        <w:tab/>
      </w:r>
      <w:r>
        <w:fldChar w:fldCharType="begin"/>
      </w:r>
      <w:r>
        <w:instrText xml:space="preserve"> PAGEREF _Toc29523 \h </w:instrText>
      </w:r>
      <w:r>
        <w:fldChar w:fldCharType="separate"/>
      </w:r>
      <w:r>
        <w:t>- 15 -</w:t>
      </w:r>
      <w:r>
        <w:fldChar w:fldCharType="end"/>
      </w:r>
      <w:r>
        <w:rPr>
          <w:rFonts w:hint="eastAsia" w:ascii="宋体" w:hAnsi="宋体" w:cs="宋体"/>
          <w:color w:val="auto"/>
          <w:szCs w:val="21"/>
        </w:rPr>
        <w:fldChar w:fldCharType="end"/>
      </w:r>
    </w:p>
    <w:p w14:paraId="5C511B7B">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_Toc1377 </w:instrText>
      </w:r>
      <w:r>
        <w:rPr>
          <w:rFonts w:hint="eastAsia" w:ascii="宋体" w:hAnsi="宋体" w:cs="宋体"/>
          <w:szCs w:val="21"/>
        </w:rPr>
        <w:fldChar w:fldCharType="separate"/>
      </w:r>
      <w:r>
        <w:rPr>
          <w:rFonts w:hint="eastAsia" w:ascii="宋体" w:hAnsi="宋体" w:eastAsia="宋体" w:cs="宋体"/>
        </w:rPr>
        <w:t>三、谈判要求</w:t>
      </w:r>
      <w:r>
        <w:tab/>
      </w:r>
      <w:r>
        <w:fldChar w:fldCharType="begin"/>
      </w:r>
      <w:r>
        <w:instrText xml:space="preserve"> PAGEREF _Toc1377 \h </w:instrText>
      </w:r>
      <w:r>
        <w:fldChar w:fldCharType="separate"/>
      </w:r>
      <w:r>
        <w:t>- 15 -</w:t>
      </w:r>
      <w:r>
        <w:fldChar w:fldCharType="end"/>
      </w:r>
      <w:r>
        <w:rPr>
          <w:rFonts w:hint="eastAsia" w:ascii="宋体" w:hAnsi="宋体" w:cs="宋体"/>
          <w:color w:val="auto"/>
          <w:szCs w:val="21"/>
        </w:rPr>
        <w:fldChar w:fldCharType="end"/>
      </w:r>
    </w:p>
    <w:p w14:paraId="13328E60">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_Toc32020 </w:instrText>
      </w:r>
      <w:r>
        <w:rPr>
          <w:rFonts w:hint="eastAsia" w:ascii="宋体" w:hAnsi="宋体" w:cs="宋体"/>
          <w:szCs w:val="21"/>
        </w:rPr>
        <w:fldChar w:fldCharType="separate"/>
      </w:r>
      <w:r>
        <w:rPr>
          <w:rFonts w:hint="eastAsia" w:ascii="宋体" w:hAnsi="宋体" w:eastAsia="宋体" w:cs="宋体"/>
        </w:rPr>
        <w:t>四、成交供应商的确定和变更</w:t>
      </w:r>
      <w:r>
        <w:tab/>
      </w:r>
      <w:r>
        <w:fldChar w:fldCharType="begin"/>
      </w:r>
      <w:r>
        <w:instrText xml:space="preserve"> PAGEREF _Toc32020 \h </w:instrText>
      </w:r>
      <w:r>
        <w:fldChar w:fldCharType="separate"/>
      </w:r>
      <w:r>
        <w:t>- 16 -</w:t>
      </w:r>
      <w:r>
        <w:fldChar w:fldCharType="end"/>
      </w:r>
      <w:r>
        <w:rPr>
          <w:rFonts w:hint="eastAsia" w:ascii="宋体" w:hAnsi="宋体" w:cs="宋体"/>
          <w:color w:val="auto"/>
          <w:szCs w:val="21"/>
        </w:rPr>
        <w:fldChar w:fldCharType="end"/>
      </w:r>
    </w:p>
    <w:p w14:paraId="1902D08D">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_Toc17813 </w:instrText>
      </w:r>
      <w:r>
        <w:rPr>
          <w:rFonts w:hint="eastAsia" w:ascii="宋体" w:hAnsi="宋体" w:cs="宋体"/>
          <w:szCs w:val="21"/>
        </w:rPr>
        <w:fldChar w:fldCharType="separate"/>
      </w:r>
      <w:r>
        <w:rPr>
          <w:rFonts w:hint="eastAsia" w:ascii="宋体" w:hAnsi="宋体" w:eastAsia="宋体" w:cs="宋体"/>
        </w:rPr>
        <w:t>五、成交通知</w:t>
      </w:r>
      <w:r>
        <w:tab/>
      </w:r>
      <w:r>
        <w:fldChar w:fldCharType="begin"/>
      </w:r>
      <w:r>
        <w:instrText xml:space="preserve"> PAGEREF _Toc17813 \h </w:instrText>
      </w:r>
      <w:r>
        <w:fldChar w:fldCharType="separate"/>
      </w:r>
      <w:r>
        <w:t>- 16 -</w:t>
      </w:r>
      <w:r>
        <w:fldChar w:fldCharType="end"/>
      </w:r>
      <w:r>
        <w:rPr>
          <w:rFonts w:hint="eastAsia" w:ascii="宋体" w:hAnsi="宋体" w:cs="宋体"/>
          <w:color w:val="auto"/>
          <w:szCs w:val="21"/>
        </w:rPr>
        <w:fldChar w:fldCharType="end"/>
      </w:r>
    </w:p>
    <w:p w14:paraId="5F142208">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_Toc29107 </w:instrText>
      </w:r>
      <w:r>
        <w:rPr>
          <w:rFonts w:hint="eastAsia" w:ascii="宋体" w:hAnsi="宋体" w:cs="宋体"/>
          <w:szCs w:val="21"/>
        </w:rPr>
        <w:fldChar w:fldCharType="separate"/>
      </w:r>
      <w:r>
        <w:rPr>
          <w:rFonts w:hint="eastAsia" w:ascii="宋体" w:hAnsi="宋体" w:eastAsia="宋体" w:cs="宋体"/>
        </w:rPr>
        <w:t>六、关于质疑和投诉</w:t>
      </w:r>
      <w:r>
        <w:tab/>
      </w:r>
      <w:r>
        <w:fldChar w:fldCharType="begin"/>
      </w:r>
      <w:r>
        <w:instrText xml:space="preserve"> PAGEREF _Toc29107 \h </w:instrText>
      </w:r>
      <w:r>
        <w:fldChar w:fldCharType="separate"/>
      </w:r>
      <w:r>
        <w:t>- 17 -</w:t>
      </w:r>
      <w:r>
        <w:fldChar w:fldCharType="end"/>
      </w:r>
      <w:r>
        <w:rPr>
          <w:rFonts w:hint="eastAsia" w:ascii="宋体" w:hAnsi="宋体" w:cs="宋体"/>
          <w:color w:val="auto"/>
          <w:szCs w:val="21"/>
        </w:rPr>
        <w:fldChar w:fldCharType="end"/>
      </w:r>
    </w:p>
    <w:p w14:paraId="1A28F2B9">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_Toc24360 </w:instrText>
      </w:r>
      <w:r>
        <w:rPr>
          <w:rFonts w:hint="eastAsia" w:ascii="宋体" w:hAnsi="宋体" w:cs="宋体"/>
          <w:szCs w:val="21"/>
        </w:rPr>
        <w:fldChar w:fldCharType="separate"/>
      </w:r>
      <w:r>
        <w:rPr>
          <w:rFonts w:hint="eastAsia" w:ascii="宋体" w:hAnsi="宋体" w:eastAsia="宋体" w:cs="宋体"/>
        </w:rPr>
        <w:t>七、签订合同</w:t>
      </w:r>
      <w:r>
        <w:tab/>
      </w:r>
      <w:r>
        <w:fldChar w:fldCharType="begin"/>
      </w:r>
      <w:r>
        <w:instrText xml:space="preserve"> PAGEREF _Toc24360 \h </w:instrText>
      </w:r>
      <w:r>
        <w:fldChar w:fldCharType="separate"/>
      </w:r>
      <w:r>
        <w:t>- 18 -</w:t>
      </w:r>
      <w:r>
        <w:fldChar w:fldCharType="end"/>
      </w:r>
      <w:r>
        <w:rPr>
          <w:rFonts w:hint="eastAsia" w:ascii="宋体" w:hAnsi="宋体" w:cs="宋体"/>
          <w:color w:val="auto"/>
          <w:szCs w:val="21"/>
        </w:rPr>
        <w:fldChar w:fldCharType="end"/>
      </w:r>
    </w:p>
    <w:p w14:paraId="462E9B8C">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_Toc31056 </w:instrText>
      </w:r>
      <w:r>
        <w:rPr>
          <w:rFonts w:hint="eastAsia" w:ascii="宋体" w:hAnsi="宋体" w:cs="宋体"/>
          <w:szCs w:val="21"/>
        </w:rPr>
        <w:fldChar w:fldCharType="separate"/>
      </w:r>
      <w:r>
        <w:rPr>
          <w:rFonts w:hint="eastAsia" w:ascii="宋体" w:hAnsi="宋体" w:eastAsia="宋体" w:cs="宋体"/>
        </w:rPr>
        <w:t>八、项目验收</w:t>
      </w:r>
      <w:r>
        <w:tab/>
      </w:r>
      <w:r>
        <w:fldChar w:fldCharType="begin"/>
      </w:r>
      <w:r>
        <w:instrText xml:space="preserve"> PAGEREF _Toc31056 \h </w:instrText>
      </w:r>
      <w:r>
        <w:fldChar w:fldCharType="separate"/>
      </w:r>
      <w:r>
        <w:t>- 18 -</w:t>
      </w:r>
      <w:r>
        <w:fldChar w:fldCharType="end"/>
      </w:r>
      <w:r>
        <w:rPr>
          <w:rFonts w:hint="eastAsia" w:ascii="宋体" w:hAnsi="宋体" w:cs="宋体"/>
          <w:color w:val="auto"/>
          <w:szCs w:val="21"/>
        </w:rPr>
        <w:fldChar w:fldCharType="end"/>
      </w:r>
    </w:p>
    <w:p w14:paraId="4B3E2067">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_Toc7024 </w:instrText>
      </w:r>
      <w:r>
        <w:rPr>
          <w:rFonts w:hint="eastAsia" w:ascii="宋体" w:hAnsi="宋体" w:cs="宋体"/>
          <w:szCs w:val="21"/>
        </w:rPr>
        <w:fldChar w:fldCharType="separate"/>
      </w:r>
      <w:r>
        <w:rPr>
          <w:rFonts w:hint="eastAsia" w:ascii="宋体" w:hAnsi="宋体" w:eastAsia="宋体" w:cs="宋体"/>
        </w:rPr>
        <w:t>九、采购代理服务费</w:t>
      </w:r>
      <w:r>
        <w:tab/>
      </w:r>
      <w:r>
        <w:fldChar w:fldCharType="begin"/>
      </w:r>
      <w:r>
        <w:instrText xml:space="preserve"> PAGEREF _Toc7024 \h </w:instrText>
      </w:r>
      <w:r>
        <w:fldChar w:fldCharType="separate"/>
      </w:r>
      <w:r>
        <w:t>- 18 -</w:t>
      </w:r>
      <w:r>
        <w:fldChar w:fldCharType="end"/>
      </w:r>
      <w:r>
        <w:rPr>
          <w:rFonts w:hint="eastAsia" w:ascii="宋体" w:hAnsi="宋体" w:cs="宋体"/>
          <w:color w:val="auto"/>
          <w:szCs w:val="21"/>
        </w:rPr>
        <w:fldChar w:fldCharType="end"/>
      </w:r>
    </w:p>
    <w:p w14:paraId="285C4359">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_Toc23226 </w:instrText>
      </w:r>
      <w:r>
        <w:rPr>
          <w:rFonts w:hint="eastAsia" w:ascii="宋体" w:hAnsi="宋体" w:cs="宋体"/>
          <w:szCs w:val="21"/>
        </w:rPr>
        <w:fldChar w:fldCharType="separate"/>
      </w:r>
      <w:r>
        <w:rPr>
          <w:rFonts w:hint="eastAsia" w:ascii="宋体" w:hAnsi="宋体" w:eastAsia="宋体" w:cs="宋体"/>
          <w:bCs/>
          <w:szCs w:val="30"/>
        </w:rPr>
        <w:t>第六篇  合同草案条款及格式合同</w:t>
      </w:r>
      <w:r>
        <w:tab/>
      </w:r>
      <w:r>
        <w:fldChar w:fldCharType="begin"/>
      </w:r>
      <w:r>
        <w:instrText xml:space="preserve"> PAGEREF _Toc23226 \h </w:instrText>
      </w:r>
      <w:r>
        <w:fldChar w:fldCharType="separate"/>
      </w:r>
      <w:r>
        <w:t>- 19 -</w:t>
      </w:r>
      <w:r>
        <w:fldChar w:fldCharType="end"/>
      </w:r>
      <w:r>
        <w:rPr>
          <w:rFonts w:hint="eastAsia" w:ascii="宋体" w:hAnsi="宋体" w:cs="宋体"/>
          <w:color w:val="auto"/>
          <w:szCs w:val="21"/>
        </w:rPr>
        <w:fldChar w:fldCharType="end"/>
      </w:r>
    </w:p>
    <w:p w14:paraId="57786833">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_Toc1420 </w:instrText>
      </w:r>
      <w:r>
        <w:rPr>
          <w:rFonts w:hint="eastAsia" w:ascii="宋体" w:hAnsi="宋体" w:cs="宋体"/>
          <w:szCs w:val="21"/>
        </w:rPr>
        <w:fldChar w:fldCharType="separate"/>
      </w:r>
      <w:r>
        <w:rPr>
          <w:rFonts w:hint="eastAsia" w:ascii="宋体" w:hAnsi="宋体" w:eastAsia="宋体" w:cs="宋体"/>
          <w:szCs w:val="30"/>
        </w:rPr>
        <w:t>第七篇  响应文件格式要求</w:t>
      </w:r>
      <w:r>
        <w:tab/>
      </w:r>
      <w:r>
        <w:fldChar w:fldCharType="begin"/>
      </w:r>
      <w:r>
        <w:instrText xml:space="preserve"> PAGEREF _Toc1420 \h </w:instrText>
      </w:r>
      <w:r>
        <w:fldChar w:fldCharType="separate"/>
      </w:r>
      <w:r>
        <w:t>- 21 -</w:t>
      </w:r>
      <w:r>
        <w:fldChar w:fldCharType="end"/>
      </w:r>
      <w:r>
        <w:rPr>
          <w:rFonts w:hint="eastAsia" w:ascii="宋体" w:hAnsi="宋体" w:cs="宋体"/>
          <w:color w:val="auto"/>
          <w:szCs w:val="21"/>
        </w:rPr>
        <w:fldChar w:fldCharType="end"/>
      </w:r>
    </w:p>
    <w:p w14:paraId="60BA3AE0">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_Toc32247 </w:instrText>
      </w:r>
      <w:r>
        <w:rPr>
          <w:rFonts w:hint="eastAsia" w:ascii="宋体" w:hAnsi="宋体" w:cs="宋体"/>
          <w:szCs w:val="21"/>
        </w:rPr>
        <w:fldChar w:fldCharType="separate"/>
      </w:r>
      <w:r>
        <w:rPr>
          <w:rFonts w:hint="eastAsia" w:ascii="宋体" w:hAnsi="宋体" w:eastAsia="宋体" w:cs="宋体"/>
        </w:rPr>
        <w:t>一、经济部分</w:t>
      </w:r>
      <w:r>
        <w:tab/>
      </w:r>
      <w:r>
        <w:fldChar w:fldCharType="begin"/>
      </w:r>
      <w:r>
        <w:instrText xml:space="preserve"> PAGEREF _Toc32247 \h </w:instrText>
      </w:r>
      <w:r>
        <w:fldChar w:fldCharType="separate"/>
      </w:r>
      <w:r>
        <w:t>- 22 -</w:t>
      </w:r>
      <w:r>
        <w:fldChar w:fldCharType="end"/>
      </w:r>
      <w:r>
        <w:rPr>
          <w:rFonts w:hint="eastAsia" w:ascii="宋体" w:hAnsi="宋体" w:cs="宋体"/>
          <w:color w:val="auto"/>
          <w:szCs w:val="21"/>
        </w:rPr>
        <w:fldChar w:fldCharType="end"/>
      </w:r>
    </w:p>
    <w:p w14:paraId="0AA25F35">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_Toc20806 </w:instrText>
      </w:r>
      <w:r>
        <w:rPr>
          <w:rFonts w:hint="eastAsia" w:ascii="宋体" w:hAnsi="宋体" w:cs="宋体"/>
          <w:szCs w:val="21"/>
        </w:rPr>
        <w:fldChar w:fldCharType="separate"/>
      </w:r>
      <w:r>
        <w:rPr>
          <w:rFonts w:hint="eastAsia" w:ascii="宋体" w:hAnsi="宋体" w:eastAsia="宋体" w:cs="宋体"/>
        </w:rPr>
        <w:t>二、技术（质量）部分</w:t>
      </w:r>
      <w:r>
        <w:tab/>
      </w:r>
      <w:r>
        <w:fldChar w:fldCharType="begin"/>
      </w:r>
      <w:r>
        <w:instrText xml:space="preserve"> PAGEREF _Toc20806 \h </w:instrText>
      </w:r>
      <w:r>
        <w:fldChar w:fldCharType="separate"/>
      </w:r>
      <w:r>
        <w:t>- 23 -</w:t>
      </w:r>
      <w:r>
        <w:fldChar w:fldCharType="end"/>
      </w:r>
      <w:r>
        <w:rPr>
          <w:rFonts w:hint="eastAsia" w:ascii="宋体" w:hAnsi="宋体" w:cs="宋体"/>
          <w:color w:val="auto"/>
          <w:szCs w:val="21"/>
        </w:rPr>
        <w:fldChar w:fldCharType="end"/>
      </w:r>
    </w:p>
    <w:p w14:paraId="66823555">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_Toc27672 </w:instrText>
      </w:r>
      <w:r>
        <w:rPr>
          <w:rFonts w:hint="eastAsia" w:ascii="宋体" w:hAnsi="宋体" w:cs="宋体"/>
          <w:szCs w:val="21"/>
        </w:rPr>
        <w:fldChar w:fldCharType="separate"/>
      </w:r>
      <w:r>
        <w:rPr>
          <w:rFonts w:hint="eastAsia" w:ascii="宋体" w:hAnsi="宋体" w:eastAsia="宋体" w:cs="宋体"/>
        </w:rPr>
        <w:t>三、商务部分</w:t>
      </w:r>
      <w:r>
        <w:tab/>
      </w:r>
      <w:r>
        <w:fldChar w:fldCharType="begin"/>
      </w:r>
      <w:r>
        <w:instrText xml:space="preserve"> PAGEREF _Toc27672 \h </w:instrText>
      </w:r>
      <w:r>
        <w:fldChar w:fldCharType="separate"/>
      </w:r>
      <w:r>
        <w:t>- 25 -</w:t>
      </w:r>
      <w:r>
        <w:fldChar w:fldCharType="end"/>
      </w:r>
      <w:r>
        <w:rPr>
          <w:rFonts w:hint="eastAsia" w:ascii="宋体" w:hAnsi="宋体" w:cs="宋体"/>
          <w:color w:val="auto"/>
          <w:szCs w:val="21"/>
        </w:rPr>
        <w:fldChar w:fldCharType="end"/>
      </w:r>
    </w:p>
    <w:p w14:paraId="29633C8B">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_Toc15889 </w:instrText>
      </w:r>
      <w:r>
        <w:rPr>
          <w:rFonts w:hint="eastAsia" w:ascii="宋体" w:hAnsi="宋体" w:cs="宋体"/>
          <w:szCs w:val="21"/>
        </w:rPr>
        <w:fldChar w:fldCharType="separate"/>
      </w:r>
      <w:r>
        <w:rPr>
          <w:rFonts w:hint="eastAsia" w:ascii="宋体" w:hAnsi="宋体" w:eastAsia="宋体" w:cs="宋体"/>
        </w:rPr>
        <w:t>四、资格条件及其他</w:t>
      </w:r>
      <w:r>
        <w:tab/>
      </w:r>
      <w:r>
        <w:fldChar w:fldCharType="begin"/>
      </w:r>
      <w:r>
        <w:instrText xml:space="preserve"> PAGEREF _Toc15889 \h </w:instrText>
      </w:r>
      <w:r>
        <w:fldChar w:fldCharType="separate"/>
      </w:r>
      <w:r>
        <w:t>- 27 -</w:t>
      </w:r>
      <w:r>
        <w:fldChar w:fldCharType="end"/>
      </w:r>
      <w:r>
        <w:rPr>
          <w:rFonts w:hint="eastAsia" w:ascii="宋体" w:hAnsi="宋体" w:cs="宋体"/>
          <w:color w:val="auto"/>
          <w:szCs w:val="21"/>
        </w:rPr>
        <w:fldChar w:fldCharType="end"/>
      </w:r>
    </w:p>
    <w:p w14:paraId="558DDC1D">
      <w:pPr>
        <w:pStyle w:val="48"/>
        <w:tabs>
          <w:tab w:val="right" w:leader="dot" w:pos="9412"/>
        </w:tabs>
      </w:pPr>
      <w:r>
        <w:rPr>
          <w:rFonts w:hint="eastAsia" w:ascii="宋体" w:hAnsi="宋体" w:cs="宋体"/>
          <w:color w:val="auto"/>
          <w:szCs w:val="21"/>
        </w:rPr>
        <w:fldChar w:fldCharType="begin"/>
      </w:r>
      <w:r>
        <w:rPr>
          <w:rFonts w:hint="eastAsia" w:ascii="宋体" w:hAnsi="宋体" w:cs="宋体"/>
          <w:szCs w:val="21"/>
        </w:rPr>
        <w:instrText xml:space="preserve"> HYPERLINK \l _Toc32458 </w:instrText>
      </w:r>
      <w:r>
        <w:rPr>
          <w:rFonts w:hint="eastAsia" w:ascii="宋体" w:hAnsi="宋体" w:cs="宋体"/>
          <w:szCs w:val="21"/>
        </w:rPr>
        <w:fldChar w:fldCharType="separate"/>
      </w:r>
      <w:r>
        <w:rPr>
          <w:rFonts w:hint="eastAsia" w:ascii="宋体" w:hAnsi="宋体" w:eastAsia="宋体" w:cs="宋体"/>
        </w:rPr>
        <w:t>五、其他资料</w:t>
      </w:r>
      <w:r>
        <w:tab/>
      </w:r>
      <w:r>
        <w:fldChar w:fldCharType="begin"/>
      </w:r>
      <w:r>
        <w:instrText xml:space="preserve"> PAGEREF _Toc32458 \h </w:instrText>
      </w:r>
      <w:r>
        <w:fldChar w:fldCharType="separate"/>
      </w:r>
      <w:r>
        <w:t>- 32 -</w:t>
      </w:r>
      <w:r>
        <w:fldChar w:fldCharType="end"/>
      </w:r>
      <w:r>
        <w:rPr>
          <w:rFonts w:hint="eastAsia" w:ascii="宋体" w:hAnsi="宋体" w:cs="宋体"/>
          <w:color w:val="auto"/>
          <w:szCs w:val="21"/>
        </w:rPr>
        <w:fldChar w:fldCharType="end"/>
      </w:r>
    </w:p>
    <w:p w14:paraId="3FF15166">
      <w:pPr>
        <w:pStyle w:val="48"/>
        <w:tabs>
          <w:tab w:val="right" w:leader="dot" w:pos="9402"/>
        </w:tabs>
        <w:spacing w:line="480" w:lineRule="exact"/>
        <w:ind w:left="560"/>
        <w:rPr>
          <w:rFonts w:hint="eastAsia" w:ascii="宋体" w:hAnsi="宋体" w:cs="宋体"/>
          <w:color w:val="auto"/>
          <w:sz w:val="18"/>
          <w:szCs w:val="22"/>
        </w:rPr>
        <w:sectPr>
          <w:pgSz w:w="11907" w:h="16840"/>
          <w:pgMar w:top="1134" w:right="1191" w:bottom="1134" w:left="1304" w:header="680" w:footer="992" w:gutter="0"/>
          <w:pgNumType w:fmt="numberInDash" w:start="1"/>
          <w:cols w:space="720" w:num="1"/>
          <w:docGrid w:linePitch="381" w:charSpace="-5735"/>
        </w:sectPr>
      </w:pPr>
      <w:r>
        <w:rPr>
          <w:rFonts w:hint="eastAsia" w:ascii="宋体" w:hAnsi="宋体" w:cs="宋体"/>
          <w:color w:val="auto"/>
          <w:szCs w:val="21"/>
        </w:rPr>
        <w:fldChar w:fldCharType="end"/>
      </w:r>
      <w:bookmarkStart w:id="0" w:name="_Toc12789052"/>
      <w:bookmarkStart w:id="1" w:name="_Toc24173"/>
      <w:bookmarkStart w:id="2" w:name="_Toc65660329"/>
      <w:bookmarkStart w:id="3" w:name="_Toc11641050"/>
      <w:bookmarkStart w:id="4" w:name="_Toc15726"/>
    </w:p>
    <w:p w14:paraId="3CA0DCBF">
      <w:pPr>
        <w:pStyle w:val="4"/>
        <w:spacing w:before="0" w:after="0" w:line="360" w:lineRule="auto"/>
        <w:jc w:val="center"/>
        <w:rPr>
          <w:rFonts w:hint="eastAsia" w:ascii="宋体" w:hAnsi="宋体" w:eastAsia="宋体" w:cs="宋体"/>
          <w:color w:val="auto"/>
          <w:sz w:val="36"/>
          <w:szCs w:val="30"/>
        </w:rPr>
      </w:pPr>
      <w:bookmarkStart w:id="5" w:name="_Toc29180"/>
      <w:r>
        <w:rPr>
          <w:rFonts w:hint="eastAsia" w:ascii="宋体" w:hAnsi="宋体" w:eastAsia="宋体" w:cs="宋体"/>
          <w:color w:val="auto"/>
          <w:sz w:val="36"/>
          <w:szCs w:val="30"/>
        </w:rPr>
        <w:t>第一篇  竞争性谈判邀请书</w:t>
      </w:r>
      <w:bookmarkEnd w:id="0"/>
      <w:bookmarkEnd w:id="1"/>
      <w:bookmarkEnd w:id="2"/>
      <w:bookmarkEnd w:id="3"/>
      <w:bookmarkEnd w:id="4"/>
      <w:bookmarkEnd w:id="5"/>
    </w:p>
    <w:p w14:paraId="67B8DC8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eastAsia="zh-CN"/>
        </w:rPr>
        <w:t>重庆智南项目管理有限公司</w:t>
      </w:r>
      <w:r>
        <w:rPr>
          <w:rFonts w:hint="eastAsia" w:ascii="宋体" w:hAnsi="宋体" w:cs="宋体"/>
          <w:color w:val="auto"/>
          <w:sz w:val="24"/>
          <w:szCs w:val="24"/>
        </w:rPr>
        <w:t>（以下简称：采购代理机构）接受</w:t>
      </w:r>
      <w:r>
        <w:rPr>
          <w:rFonts w:hint="eastAsia" w:ascii="宋体" w:hAnsi="宋体" w:cs="宋体"/>
          <w:color w:val="auto"/>
          <w:sz w:val="24"/>
          <w:szCs w:val="24"/>
          <w:lang w:eastAsia="zh-CN"/>
        </w:rPr>
        <w:t>重庆市第十一人民医院（重庆市优抚医院）</w:t>
      </w:r>
      <w:r>
        <w:rPr>
          <w:rFonts w:hint="eastAsia" w:ascii="宋体" w:hAnsi="宋体" w:cs="宋体"/>
          <w:color w:val="auto"/>
          <w:sz w:val="24"/>
          <w:szCs w:val="24"/>
        </w:rPr>
        <w:t>（以下简称：采购人）的委托，对</w:t>
      </w:r>
      <w:r>
        <w:rPr>
          <w:rFonts w:hint="eastAsia" w:ascii="宋体" w:hAnsi="宋体" w:cs="宋体"/>
          <w:color w:val="auto"/>
          <w:sz w:val="24"/>
          <w:szCs w:val="24"/>
          <w:lang w:eastAsia="zh-CN"/>
        </w:rPr>
        <w:t>重庆市第十一人民医院自动售货机布机项目</w:t>
      </w:r>
      <w:r>
        <w:rPr>
          <w:rFonts w:hint="eastAsia" w:ascii="宋体" w:hAnsi="宋体" w:cs="宋体"/>
          <w:color w:val="auto"/>
          <w:sz w:val="24"/>
          <w:szCs w:val="24"/>
        </w:rPr>
        <w:t>进行竞争性谈判采购。欢迎有资格的供应商前来参加谈判。</w:t>
      </w:r>
    </w:p>
    <w:p w14:paraId="13D35475">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6" w:name="_Toc65660330"/>
      <w:bookmarkStart w:id="7" w:name="_Toc15146"/>
      <w:bookmarkStart w:id="8" w:name="_Toc317775175"/>
      <w:bookmarkStart w:id="9" w:name="_Toc7758"/>
      <w:bookmarkStart w:id="10" w:name="_Toc313893526"/>
      <w:bookmarkStart w:id="11" w:name="_Toc18246"/>
      <w:r>
        <w:rPr>
          <w:rFonts w:hint="eastAsia" w:ascii="宋体" w:hAnsi="宋体" w:eastAsia="宋体" w:cs="宋体"/>
          <w:color w:val="auto"/>
          <w:sz w:val="24"/>
        </w:rPr>
        <w:t>一、竞争性谈判内容</w:t>
      </w:r>
      <w:bookmarkEnd w:id="6"/>
      <w:bookmarkEnd w:id="7"/>
      <w:bookmarkEnd w:id="8"/>
      <w:bookmarkEnd w:id="9"/>
      <w:bookmarkEnd w:id="10"/>
      <w:bookmarkEnd w:id="11"/>
    </w:p>
    <w:tbl>
      <w:tblPr>
        <w:tblStyle w:val="60"/>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813"/>
        <w:gridCol w:w="1572"/>
        <w:gridCol w:w="1635"/>
        <w:gridCol w:w="1633"/>
        <w:gridCol w:w="1120"/>
      </w:tblGrid>
      <w:tr w14:paraId="39A3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34" w:type="dxa"/>
            <w:tcBorders>
              <w:top w:val="single" w:color="auto" w:sz="4" w:space="0"/>
              <w:left w:val="single" w:color="auto" w:sz="4" w:space="0"/>
              <w:right w:val="single" w:color="auto" w:sz="4" w:space="0"/>
            </w:tcBorders>
            <w:vAlign w:val="center"/>
          </w:tcPr>
          <w:p w14:paraId="4564A0F8">
            <w:pPr>
              <w:widowControl/>
              <w:spacing w:line="360" w:lineRule="auto"/>
              <w:jc w:val="center"/>
              <w:rPr>
                <w:rFonts w:hint="eastAsia" w:ascii="宋体" w:hAnsi="宋体" w:eastAsia="宋体" w:cs="宋体"/>
                <w:b/>
                <w:bCs/>
                <w:color w:val="auto"/>
                <w:kern w:val="0"/>
                <w:sz w:val="24"/>
                <w:szCs w:val="24"/>
              </w:rPr>
            </w:pPr>
            <w:bookmarkStart w:id="12" w:name="_Toc27028"/>
            <w:bookmarkStart w:id="13" w:name="_Toc3256"/>
            <w:bookmarkStart w:id="14" w:name="_Toc65660331"/>
            <w:bookmarkStart w:id="15" w:name="_Toc373860293"/>
            <w:bookmarkStart w:id="16" w:name="_Toc317775178"/>
            <w:r>
              <w:rPr>
                <w:rFonts w:hint="eastAsia" w:ascii="宋体" w:hAnsi="宋体" w:eastAsia="宋体" w:cs="宋体"/>
                <w:b/>
                <w:bCs/>
                <w:color w:val="auto"/>
                <w:kern w:val="0"/>
                <w:sz w:val="24"/>
                <w:szCs w:val="24"/>
              </w:rPr>
              <w:t>序号</w:t>
            </w:r>
          </w:p>
        </w:tc>
        <w:tc>
          <w:tcPr>
            <w:tcW w:w="2813" w:type="dxa"/>
            <w:tcBorders>
              <w:top w:val="single" w:color="auto" w:sz="4" w:space="0"/>
              <w:left w:val="single" w:color="auto" w:sz="4" w:space="0"/>
              <w:right w:val="single" w:color="auto" w:sz="4" w:space="0"/>
            </w:tcBorders>
            <w:vAlign w:val="center"/>
          </w:tcPr>
          <w:p w14:paraId="7ED633B9">
            <w:pPr>
              <w:widowControl/>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名称</w:t>
            </w:r>
          </w:p>
        </w:tc>
        <w:tc>
          <w:tcPr>
            <w:tcW w:w="1572" w:type="dxa"/>
            <w:tcBorders>
              <w:top w:val="single" w:color="auto" w:sz="4" w:space="0"/>
              <w:left w:val="single" w:color="auto" w:sz="4" w:space="0"/>
              <w:right w:val="single" w:color="auto" w:sz="4" w:space="0"/>
            </w:tcBorders>
            <w:vAlign w:val="center"/>
          </w:tcPr>
          <w:p w14:paraId="7CB9C0CB">
            <w:pPr>
              <w:spacing w:line="240" w:lineRule="auto"/>
              <w:jc w:val="center"/>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eastAsia="zh-CN"/>
              </w:rPr>
              <w:t>预估销售</w:t>
            </w:r>
            <w:r>
              <w:rPr>
                <w:rFonts w:hint="eastAsia" w:ascii="宋体" w:hAnsi="宋体" w:eastAsia="宋体" w:cs="宋体"/>
                <w:b/>
                <w:bCs/>
                <w:color w:val="auto"/>
                <w:kern w:val="0"/>
                <w:sz w:val="24"/>
                <w:szCs w:val="24"/>
              </w:rPr>
              <w:t>额（万元</w:t>
            </w:r>
            <w:r>
              <w:rPr>
                <w:rFonts w:hint="eastAsia" w:ascii="宋体" w:hAnsi="宋体" w:cs="宋体"/>
                <w:b/>
                <w:bCs/>
                <w:color w:val="auto"/>
                <w:kern w:val="0"/>
                <w:sz w:val="24"/>
                <w:szCs w:val="24"/>
                <w:lang w:val="en-US" w:eastAsia="zh-CN"/>
              </w:rPr>
              <w:t>/年</w:t>
            </w:r>
            <w:r>
              <w:rPr>
                <w:rFonts w:hint="eastAsia" w:ascii="宋体" w:hAnsi="宋体" w:eastAsia="宋体" w:cs="宋体"/>
                <w:b/>
                <w:bCs/>
                <w:color w:val="auto"/>
                <w:kern w:val="0"/>
                <w:sz w:val="24"/>
                <w:szCs w:val="24"/>
              </w:rPr>
              <w:t>）</w:t>
            </w:r>
          </w:p>
        </w:tc>
        <w:tc>
          <w:tcPr>
            <w:tcW w:w="1635" w:type="dxa"/>
            <w:tcBorders>
              <w:top w:val="single" w:color="auto" w:sz="4" w:space="0"/>
              <w:left w:val="single" w:color="auto" w:sz="4" w:space="0"/>
              <w:right w:val="single" w:color="auto" w:sz="4" w:space="0"/>
            </w:tcBorders>
            <w:vAlign w:val="center"/>
          </w:tcPr>
          <w:p w14:paraId="3B50A92F">
            <w:pPr>
              <w:spacing w:line="240" w:lineRule="auto"/>
              <w:jc w:val="center"/>
              <w:rPr>
                <w:rFonts w:hint="default"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eastAsia="zh-CN"/>
              </w:rPr>
              <w:t>最低销售额返点</w:t>
            </w:r>
            <w:r>
              <w:rPr>
                <w:rFonts w:hint="eastAsia" w:ascii="宋体" w:hAnsi="宋体" w:eastAsia="宋体" w:cs="宋体"/>
                <w:b/>
                <w:bCs/>
                <w:color w:val="auto"/>
                <w:kern w:val="0"/>
                <w:sz w:val="24"/>
                <w:szCs w:val="24"/>
              </w:rPr>
              <w:t>（</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rPr>
              <w:t>）</w:t>
            </w:r>
          </w:p>
        </w:tc>
        <w:tc>
          <w:tcPr>
            <w:tcW w:w="1633" w:type="dxa"/>
            <w:tcBorders>
              <w:top w:val="single" w:color="auto" w:sz="4" w:space="0"/>
              <w:left w:val="single" w:color="auto" w:sz="4" w:space="0"/>
              <w:right w:val="single" w:color="auto" w:sz="4" w:space="0"/>
            </w:tcBorders>
            <w:vAlign w:val="center"/>
          </w:tcPr>
          <w:p w14:paraId="47B08977">
            <w:pPr>
              <w:spacing w:line="240" w:lineRule="auto"/>
              <w:jc w:val="center"/>
              <w:rPr>
                <w:rFonts w:hint="eastAsia" w:ascii="宋体" w:hAnsi="宋体" w:cs="宋体"/>
                <w:b/>
                <w:bCs/>
                <w:color w:val="auto"/>
                <w:kern w:val="0"/>
                <w:sz w:val="24"/>
                <w:szCs w:val="24"/>
                <w:lang w:val="en-US" w:eastAsia="zh-CN"/>
              </w:rPr>
            </w:pPr>
            <w:r>
              <w:rPr>
                <w:rFonts w:hint="eastAsia" w:ascii="宋体" w:hAnsi="宋体" w:cs="宋体"/>
                <w:b/>
                <w:bCs/>
                <w:color w:val="auto"/>
                <w:kern w:val="0"/>
                <w:sz w:val="24"/>
                <w:szCs w:val="24"/>
                <w:lang w:val="en-US" w:eastAsia="zh-CN"/>
              </w:rPr>
              <w:t>保证金</w:t>
            </w:r>
          </w:p>
          <w:p w14:paraId="60E082C3">
            <w:pPr>
              <w:spacing w:line="240" w:lineRule="auto"/>
              <w:jc w:val="center"/>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（万元）</w:t>
            </w:r>
          </w:p>
        </w:tc>
        <w:tc>
          <w:tcPr>
            <w:tcW w:w="1120" w:type="dxa"/>
            <w:tcBorders>
              <w:top w:val="single" w:color="auto" w:sz="4" w:space="0"/>
              <w:left w:val="single" w:color="auto" w:sz="4" w:space="0"/>
              <w:right w:val="single" w:color="auto" w:sz="4" w:space="0"/>
            </w:tcBorders>
            <w:vAlign w:val="center"/>
          </w:tcPr>
          <w:p w14:paraId="3492F0C1">
            <w:pPr>
              <w:spacing w:line="24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成交供应商数量（名）</w:t>
            </w:r>
          </w:p>
        </w:tc>
      </w:tr>
      <w:tr w14:paraId="152F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A632A16">
            <w:pPr>
              <w:spacing w:line="360" w:lineRule="auto"/>
              <w:jc w:val="center"/>
              <w:rPr>
                <w:rFonts w:hint="eastAsia" w:ascii="宋体" w:hAnsi="宋体" w:eastAsia="宋体" w:cs="宋体"/>
                <w:color w:val="auto"/>
                <w:sz w:val="24"/>
                <w:szCs w:val="24"/>
              </w:rPr>
            </w:pPr>
            <w:bookmarkStart w:id="17" w:name="_Hlk344477914"/>
            <w:r>
              <w:rPr>
                <w:rFonts w:hint="eastAsia" w:ascii="宋体" w:hAnsi="宋体" w:eastAsia="宋体" w:cs="宋体"/>
                <w:color w:val="auto"/>
                <w:sz w:val="24"/>
                <w:szCs w:val="24"/>
              </w:rPr>
              <w:t>1</w:t>
            </w:r>
          </w:p>
        </w:tc>
        <w:tc>
          <w:tcPr>
            <w:tcW w:w="2813" w:type="dxa"/>
            <w:tcBorders>
              <w:top w:val="single" w:color="auto" w:sz="4" w:space="0"/>
              <w:left w:val="single" w:color="auto" w:sz="4" w:space="0"/>
              <w:bottom w:val="single" w:color="auto" w:sz="4" w:space="0"/>
              <w:right w:val="single" w:color="auto" w:sz="4" w:space="0"/>
            </w:tcBorders>
            <w:vAlign w:val="center"/>
          </w:tcPr>
          <w:p w14:paraId="316EEC87">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重庆市第十一人民医院自动售货机布机项目</w:t>
            </w:r>
          </w:p>
        </w:tc>
        <w:tc>
          <w:tcPr>
            <w:tcW w:w="1572" w:type="dxa"/>
            <w:tcBorders>
              <w:top w:val="single" w:color="auto" w:sz="4" w:space="0"/>
              <w:left w:val="single" w:color="auto" w:sz="4" w:space="0"/>
              <w:bottom w:val="single" w:color="auto" w:sz="4" w:space="0"/>
              <w:right w:val="single" w:color="auto" w:sz="4" w:space="0"/>
            </w:tcBorders>
            <w:vAlign w:val="center"/>
          </w:tcPr>
          <w:p w14:paraId="202BDAF9">
            <w:pPr>
              <w:spacing w:line="360" w:lineRule="auto"/>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15</w:t>
            </w:r>
          </w:p>
        </w:tc>
        <w:tc>
          <w:tcPr>
            <w:tcW w:w="1635" w:type="dxa"/>
            <w:tcBorders>
              <w:top w:val="single" w:color="auto" w:sz="4" w:space="0"/>
              <w:left w:val="single" w:color="auto" w:sz="4" w:space="0"/>
              <w:bottom w:val="single" w:color="auto" w:sz="4" w:space="0"/>
              <w:right w:val="single" w:color="auto" w:sz="4" w:space="0"/>
            </w:tcBorders>
            <w:vAlign w:val="center"/>
          </w:tcPr>
          <w:p w14:paraId="4237FBE2">
            <w:pP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12</w:t>
            </w:r>
          </w:p>
        </w:tc>
        <w:tc>
          <w:tcPr>
            <w:tcW w:w="1633" w:type="dxa"/>
            <w:tcBorders>
              <w:top w:val="single" w:color="auto" w:sz="4" w:space="0"/>
              <w:left w:val="single" w:color="auto" w:sz="4" w:space="0"/>
              <w:bottom w:val="single" w:color="auto" w:sz="4" w:space="0"/>
              <w:right w:val="single" w:color="auto" w:sz="4" w:space="0"/>
            </w:tcBorders>
            <w:vAlign w:val="center"/>
          </w:tcPr>
          <w:p w14:paraId="7D1DCCBC">
            <w:pPr>
              <w:spacing w:line="400" w:lineRule="exact"/>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0.3</w:t>
            </w:r>
          </w:p>
        </w:tc>
        <w:tc>
          <w:tcPr>
            <w:tcW w:w="1120" w:type="dxa"/>
            <w:tcBorders>
              <w:top w:val="single" w:color="auto" w:sz="4" w:space="0"/>
              <w:left w:val="single" w:color="auto" w:sz="4" w:space="0"/>
              <w:bottom w:val="single" w:color="auto" w:sz="4" w:space="0"/>
              <w:right w:val="single" w:color="auto" w:sz="4" w:space="0"/>
            </w:tcBorders>
            <w:vAlign w:val="center"/>
          </w:tcPr>
          <w:p w14:paraId="7C9B9633">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r>
      <w:tr w14:paraId="64C3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507" w:type="dxa"/>
            <w:gridSpan w:val="6"/>
            <w:tcBorders>
              <w:top w:val="single" w:color="auto" w:sz="4" w:space="0"/>
              <w:left w:val="single" w:color="auto" w:sz="4" w:space="0"/>
              <w:bottom w:val="single" w:color="auto" w:sz="4" w:space="0"/>
              <w:right w:val="single" w:color="auto" w:sz="4" w:space="0"/>
            </w:tcBorders>
            <w:vAlign w:val="center"/>
          </w:tcPr>
          <w:p w14:paraId="1D844D9E">
            <w:pPr>
              <w:numPr>
                <w:ilvl w:val="0"/>
                <w:numId w:val="0"/>
              </w:numPr>
              <w:spacing w:line="24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7EB3AF84">
            <w:pPr>
              <w:numPr>
                <w:ilvl w:val="0"/>
                <w:numId w:val="0"/>
              </w:numPr>
              <w:spacing w:line="240" w:lineRule="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1.自动售货机年销售额预估金额为15万元，该预估金额仅作参考，如年销售额不足15万元，采购人不作任何补偿，最终销售额以实际营业收入为准。</w:t>
            </w:r>
          </w:p>
          <w:p w14:paraId="3367E9BC">
            <w:pPr>
              <w:numPr>
                <w:ilvl w:val="0"/>
                <w:numId w:val="0"/>
              </w:numPr>
              <w:spacing w:line="240" w:lineRule="auto"/>
              <w:rPr>
                <w:rFonts w:hint="default" w:ascii="宋体" w:hAnsi="宋体" w:cs="宋体"/>
                <w:color w:val="auto"/>
                <w:sz w:val="24"/>
                <w:szCs w:val="24"/>
                <w:lang w:val="en-US" w:eastAsia="zh-CN"/>
              </w:rPr>
            </w:pPr>
            <w:r>
              <w:rPr>
                <w:rFonts w:hint="eastAsia" w:asciiTheme="minorEastAsia" w:hAnsiTheme="minorEastAsia" w:eastAsiaTheme="minorEastAsia" w:cstheme="minorEastAsia"/>
                <w:b/>
                <w:bCs/>
                <w:color w:val="auto"/>
                <w:sz w:val="24"/>
                <w:szCs w:val="24"/>
                <w:highlight w:val="none"/>
                <w:lang w:val="en-US" w:eastAsia="zh-CN"/>
              </w:rPr>
              <w:t>2.供应商根据</w:t>
            </w:r>
            <w:r>
              <w:rPr>
                <w:rFonts w:hint="eastAsia" w:ascii="宋体" w:hAnsi="宋体" w:cs="宋体"/>
                <w:b/>
                <w:bCs/>
                <w:color w:val="auto"/>
                <w:kern w:val="0"/>
                <w:sz w:val="24"/>
                <w:szCs w:val="24"/>
                <w:lang w:eastAsia="zh-CN"/>
              </w:rPr>
              <w:t>预估销售</w:t>
            </w:r>
            <w:r>
              <w:rPr>
                <w:rFonts w:hint="eastAsia" w:ascii="宋体" w:hAnsi="宋体" w:eastAsia="宋体" w:cs="宋体"/>
                <w:b/>
                <w:bCs/>
                <w:color w:val="auto"/>
                <w:kern w:val="0"/>
                <w:sz w:val="24"/>
                <w:szCs w:val="24"/>
              </w:rPr>
              <w:t>额</w:t>
            </w:r>
            <w:r>
              <w:rPr>
                <w:rFonts w:hint="eastAsia" w:asciiTheme="minorEastAsia" w:hAnsiTheme="minorEastAsia" w:eastAsiaTheme="minorEastAsia" w:cstheme="minorEastAsia"/>
                <w:b/>
                <w:bCs/>
                <w:color w:val="auto"/>
                <w:sz w:val="24"/>
                <w:szCs w:val="24"/>
                <w:highlight w:val="none"/>
                <w:lang w:val="en-US" w:eastAsia="zh-CN"/>
              </w:rPr>
              <w:t>及实际情况报销售额返点比例，销售额返点比例不得少于12%，销售额返点比例少于12%的按响应无效处理。</w:t>
            </w:r>
          </w:p>
        </w:tc>
      </w:tr>
      <w:bookmarkEnd w:id="12"/>
      <w:bookmarkEnd w:id="13"/>
      <w:bookmarkEnd w:id="14"/>
      <w:bookmarkEnd w:id="17"/>
    </w:tbl>
    <w:p w14:paraId="13DE2D4F">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8" w:name="_Toc65660332"/>
      <w:bookmarkStart w:id="19" w:name="_Toc64731996"/>
      <w:bookmarkStart w:id="20" w:name="_Toc18548"/>
      <w:bookmarkStart w:id="21" w:name="_Toc13541"/>
      <w:bookmarkStart w:id="22" w:name="_Toc24430"/>
      <w:r>
        <w:rPr>
          <w:rFonts w:hint="eastAsia" w:ascii="宋体" w:hAnsi="宋体" w:eastAsia="宋体" w:cs="宋体"/>
          <w:color w:val="auto"/>
          <w:sz w:val="24"/>
          <w:lang w:eastAsia="zh-CN"/>
        </w:rPr>
        <w:t>二</w:t>
      </w:r>
      <w:r>
        <w:rPr>
          <w:rFonts w:hint="eastAsia" w:ascii="宋体" w:hAnsi="宋体" w:eastAsia="宋体" w:cs="宋体"/>
          <w:color w:val="auto"/>
          <w:sz w:val="24"/>
        </w:rPr>
        <w:t>、供应商资格条件</w:t>
      </w:r>
      <w:bookmarkEnd w:id="18"/>
      <w:bookmarkEnd w:id="19"/>
      <w:bookmarkEnd w:id="20"/>
      <w:bookmarkEnd w:id="21"/>
      <w:bookmarkEnd w:id="22"/>
    </w:p>
    <w:p w14:paraId="10BF4B2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（一）满足《中华人民共和国政府采购法》第二十二条规定。</w:t>
      </w:r>
    </w:p>
    <w:p w14:paraId="5F1DA5CC">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w:t>
      </w:r>
      <w:r>
        <w:rPr>
          <w:rFonts w:hint="eastAsia" w:ascii="宋体" w:hAnsi="宋体" w:cs="宋体"/>
          <w:color w:val="auto"/>
          <w:sz w:val="24"/>
          <w:szCs w:val="24"/>
          <w:lang w:eastAsia="zh-CN"/>
        </w:rPr>
        <w:t>二</w:t>
      </w:r>
      <w:r>
        <w:rPr>
          <w:rFonts w:hint="eastAsia" w:ascii="宋体" w:hAnsi="宋体" w:cs="宋体"/>
          <w:color w:val="auto"/>
          <w:sz w:val="24"/>
          <w:szCs w:val="24"/>
        </w:rPr>
        <w:t>）本项目的特定资格要求：</w:t>
      </w:r>
      <w:r>
        <w:rPr>
          <w:rFonts w:hint="eastAsia" w:ascii="宋体" w:hAnsi="宋体" w:cs="宋体"/>
          <w:color w:val="auto"/>
          <w:sz w:val="24"/>
          <w:szCs w:val="24"/>
          <w:lang w:eastAsia="zh-CN"/>
        </w:rPr>
        <w:t>无。</w:t>
      </w:r>
    </w:p>
    <w:p w14:paraId="496B10EB">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23" w:name="_Toc11908"/>
      <w:bookmarkStart w:id="24" w:name="_Toc65660333"/>
      <w:bookmarkStart w:id="25" w:name="_Toc17005"/>
      <w:bookmarkStart w:id="26" w:name="_Toc1386"/>
      <w:r>
        <w:rPr>
          <w:rFonts w:hint="eastAsia" w:ascii="宋体" w:hAnsi="宋体" w:eastAsia="宋体" w:cs="宋体"/>
          <w:color w:val="auto"/>
          <w:sz w:val="24"/>
          <w:lang w:eastAsia="zh-CN"/>
        </w:rPr>
        <w:t>三</w:t>
      </w:r>
      <w:r>
        <w:rPr>
          <w:rFonts w:hint="eastAsia" w:ascii="宋体" w:hAnsi="宋体" w:eastAsia="宋体" w:cs="宋体"/>
          <w:color w:val="auto"/>
          <w:sz w:val="24"/>
        </w:rPr>
        <w:t>、谈判有关说明</w:t>
      </w:r>
      <w:bookmarkEnd w:id="15"/>
      <w:bookmarkEnd w:id="23"/>
      <w:bookmarkEnd w:id="24"/>
      <w:bookmarkEnd w:id="25"/>
      <w:bookmarkEnd w:id="26"/>
    </w:p>
    <w:p w14:paraId="356CF07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（一）凡有意参加谈判的供应商，请在“行采家”（ https://www.gec123.com/）网上下载或到采购代理机构处领取本项目竞争性谈判文件以及图纸、澄清等谈判前公布的所有项目资料，无论供应商下载、领取与否，均视为已知晓所有谈判实质性要求内容。</w:t>
      </w:r>
    </w:p>
    <w:p w14:paraId="164E0B9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（二）竞争性谈判公告期限：自采购公告发布之日（202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27</w:t>
      </w:r>
      <w:r>
        <w:rPr>
          <w:rFonts w:hint="eastAsia" w:ascii="宋体" w:hAnsi="宋体" w:cs="宋体"/>
          <w:color w:val="auto"/>
          <w:sz w:val="24"/>
          <w:szCs w:val="24"/>
        </w:rPr>
        <w:t>日）起三个工作日。</w:t>
      </w:r>
    </w:p>
    <w:p w14:paraId="6E4A174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（三）获取竞争性谈判文件期限：</w:t>
      </w:r>
    </w:p>
    <w:p w14:paraId="5681D28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1.竞争性谈判文件提供期限：202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27</w:t>
      </w:r>
      <w:r>
        <w:rPr>
          <w:rFonts w:hint="eastAsia" w:ascii="宋体" w:hAnsi="宋体" w:cs="宋体"/>
          <w:color w:val="auto"/>
          <w:sz w:val="24"/>
          <w:szCs w:val="24"/>
        </w:rPr>
        <w:t>日至202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cs="宋体"/>
          <w:color w:val="auto"/>
          <w:sz w:val="24"/>
          <w:szCs w:val="24"/>
        </w:rPr>
        <w:t>月</w:t>
      </w:r>
      <w:r>
        <w:rPr>
          <w:rFonts w:hint="eastAsia" w:ascii="宋体" w:hAnsi="宋体" w:cs="宋体"/>
          <w:color w:val="auto"/>
          <w:sz w:val="24"/>
          <w:szCs w:val="24"/>
          <w:lang w:val="en-US" w:eastAsia="zh-CN"/>
        </w:rPr>
        <w:t>30</w:t>
      </w:r>
      <w:r>
        <w:rPr>
          <w:rFonts w:hint="eastAsia" w:ascii="宋体" w:hAnsi="宋体" w:cs="宋体"/>
          <w:color w:val="auto"/>
          <w:sz w:val="24"/>
          <w:szCs w:val="24"/>
        </w:rPr>
        <w:t>日。</w:t>
      </w:r>
    </w:p>
    <w:p w14:paraId="7031711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2.报名方式：供应商将《</w:t>
      </w:r>
      <w:r>
        <w:rPr>
          <w:rFonts w:hint="eastAsia" w:ascii="宋体" w:hAnsi="宋体" w:cs="宋体"/>
          <w:color w:val="auto"/>
          <w:sz w:val="24"/>
          <w:szCs w:val="24"/>
          <w:lang w:eastAsia="zh-CN"/>
        </w:rPr>
        <w:t>重庆智南项目管理有限公司报名</w:t>
      </w:r>
      <w:r>
        <w:rPr>
          <w:rFonts w:hint="eastAsia" w:ascii="宋体" w:hAnsi="宋体" w:cs="宋体"/>
          <w:color w:val="auto"/>
          <w:sz w:val="24"/>
          <w:szCs w:val="24"/>
        </w:rPr>
        <w:t>表》（加盖供应商公章）扫描后发送至</w:t>
      </w:r>
      <w:r>
        <w:rPr>
          <w:rFonts w:hint="eastAsia" w:ascii="宋体" w:hAnsi="宋体" w:cs="宋体"/>
          <w:color w:val="auto"/>
          <w:sz w:val="24"/>
          <w:szCs w:val="24"/>
          <w:lang w:val="en-US" w:eastAsia="zh-CN"/>
        </w:rPr>
        <w:t>2622508143</w:t>
      </w:r>
      <w:r>
        <w:rPr>
          <w:rFonts w:hint="eastAsia" w:ascii="宋体" w:hAnsi="宋体" w:cs="宋体"/>
          <w:color w:val="auto"/>
          <w:sz w:val="24"/>
          <w:szCs w:val="24"/>
        </w:rPr>
        <w:t>@qq.com （邮箱）。</w:t>
      </w:r>
    </w:p>
    <w:p w14:paraId="62B2D31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3.竞争性谈判文件售价：人民币</w:t>
      </w:r>
      <w:r>
        <w:rPr>
          <w:rFonts w:hint="eastAsia" w:ascii="宋体" w:hAnsi="宋体" w:cs="宋体"/>
          <w:color w:val="auto"/>
          <w:sz w:val="24"/>
          <w:szCs w:val="24"/>
          <w:lang w:val="en-US" w:eastAsia="zh-CN"/>
        </w:rPr>
        <w:t>300.00</w:t>
      </w:r>
      <w:r>
        <w:rPr>
          <w:rFonts w:hint="eastAsia" w:ascii="宋体" w:hAnsi="宋体" w:cs="宋体"/>
          <w:color w:val="auto"/>
          <w:sz w:val="24"/>
          <w:szCs w:val="24"/>
        </w:rPr>
        <w:t>元/份。</w:t>
      </w:r>
    </w:p>
    <w:p w14:paraId="7C457C8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（四）谈判地点：</w:t>
      </w:r>
      <w:r>
        <w:rPr>
          <w:rFonts w:hint="eastAsia" w:ascii="宋体" w:hAnsi="宋体" w:cs="宋体"/>
          <w:color w:val="auto"/>
          <w:sz w:val="24"/>
          <w:szCs w:val="24"/>
          <w:lang w:eastAsia="zh-CN"/>
        </w:rPr>
        <w:t>重庆市第十一人民医院（重庆市优抚医院）</w:t>
      </w:r>
      <w:r>
        <w:rPr>
          <w:rFonts w:hint="eastAsia" w:ascii="宋体" w:hAnsi="宋体" w:cs="宋体"/>
          <w:color w:val="auto"/>
          <w:sz w:val="24"/>
          <w:szCs w:val="24"/>
          <w:lang w:val="en-US" w:eastAsia="zh-CN"/>
        </w:rPr>
        <w:t>B区12楼</w:t>
      </w:r>
      <w:r>
        <w:rPr>
          <w:rFonts w:hint="eastAsia" w:ascii="宋体" w:hAnsi="宋体" w:cs="宋体"/>
          <w:color w:val="auto"/>
          <w:sz w:val="24"/>
          <w:szCs w:val="24"/>
          <w:lang w:eastAsia="zh-CN"/>
        </w:rPr>
        <w:t>会议室（</w:t>
      </w:r>
      <w:r>
        <w:rPr>
          <w:rFonts w:hint="eastAsia" w:ascii="宋体" w:hAnsi="宋体" w:cs="宋体"/>
          <w:color w:val="auto"/>
          <w:sz w:val="24"/>
          <w:szCs w:val="24"/>
        </w:rPr>
        <w:t>重庆市沙坪坝区覃家岗街道梨高路1号</w:t>
      </w:r>
      <w:r>
        <w:rPr>
          <w:rFonts w:hint="eastAsia" w:ascii="宋体" w:hAnsi="宋体" w:cs="宋体"/>
          <w:color w:val="auto"/>
          <w:sz w:val="24"/>
          <w:szCs w:val="24"/>
          <w:lang w:eastAsia="zh-CN"/>
        </w:rPr>
        <w:t>）</w:t>
      </w:r>
      <w:r>
        <w:rPr>
          <w:rFonts w:hint="eastAsia" w:ascii="宋体" w:hAnsi="宋体" w:cs="宋体"/>
          <w:color w:val="auto"/>
          <w:sz w:val="24"/>
          <w:szCs w:val="24"/>
        </w:rPr>
        <w:t>。</w:t>
      </w:r>
    </w:p>
    <w:p w14:paraId="45FB926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（五）提交响应文件开始时间：202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4</w:t>
      </w:r>
      <w:r>
        <w:rPr>
          <w:rFonts w:hint="eastAsia" w:ascii="宋体" w:hAnsi="宋体" w:cs="宋体"/>
          <w:color w:val="auto"/>
          <w:sz w:val="24"/>
          <w:szCs w:val="24"/>
        </w:rPr>
        <w:t>日北京时间1</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en-US" w:eastAsia="zh-CN"/>
        </w:rPr>
        <w:t>3</w:t>
      </w:r>
      <w:r>
        <w:rPr>
          <w:rFonts w:hint="eastAsia" w:ascii="宋体" w:hAnsi="宋体" w:cs="宋体"/>
          <w:color w:val="auto"/>
          <w:sz w:val="24"/>
          <w:szCs w:val="24"/>
        </w:rPr>
        <w:t>0。</w:t>
      </w:r>
    </w:p>
    <w:p w14:paraId="38D5303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（六）提交响应文件截止时间：202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4</w:t>
      </w:r>
      <w:r>
        <w:rPr>
          <w:rFonts w:hint="eastAsia" w:ascii="宋体" w:hAnsi="宋体" w:cs="宋体"/>
          <w:color w:val="auto"/>
          <w:sz w:val="24"/>
          <w:szCs w:val="24"/>
        </w:rPr>
        <w:t>日北京时间1</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p w14:paraId="565C84E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（七）谈判开始时间：202</w:t>
      </w:r>
      <w:r>
        <w:rPr>
          <w:rFonts w:hint="eastAsia" w:ascii="宋体" w:hAnsi="宋体" w:cs="宋体"/>
          <w:color w:val="auto"/>
          <w:sz w:val="24"/>
          <w:szCs w:val="24"/>
          <w:lang w:val="en-US" w:eastAsia="zh-CN"/>
        </w:rPr>
        <w:t>5</w:t>
      </w:r>
      <w:r>
        <w:rPr>
          <w:rFonts w:hint="eastAsia" w:ascii="宋体" w:hAnsi="宋体" w:cs="宋体"/>
          <w:color w:val="auto"/>
          <w:sz w:val="24"/>
          <w:szCs w:val="24"/>
        </w:rPr>
        <w:t>年</w:t>
      </w:r>
      <w:r>
        <w:rPr>
          <w:rFonts w:hint="eastAsia" w:ascii="宋体" w:hAnsi="宋体" w:cs="宋体"/>
          <w:color w:val="auto"/>
          <w:sz w:val="24"/>
          <w:szCs w:val="24"/>
          <w:lang w:val="en-US" w:eastAsia="zh-CN"/>
        </w:rPr>
        <w:t>11</w:t>
      </w:r>
      <w:r>
        <w:rPr>
          <w:rFonts w:hint="eastAsia" w:ascii="宋体" w:hAnsi="宋体" w:cs="宋体"/>
          <w:color w:val="auto"/>
          <w:sz w:val="24"/>
          <w:szCs w:val="24"/>
        </w:rPr>
        <w:t>月</w:t>
      </w:r>
      <w:r>
        <w:rPr>
          <w:rFonts w:hint="eastAsia" w:ascii="宋体" w:hAnsi="宋体" w:cs="宋体"/>
          <w:color w:val="auto"/>
          <w:sz w:val="24"/>
          <w:szCs w:val="24"/>
          <w:lang w:val="en-US" w:eastAsia="zh-CN"/>
        </w:rPr>
        <w:t>4</w:t>
      </w:r>
      <w:r>
        <w:rPr>
          <w:rFonts w:hint="eastAsia" w:ascii="宋体" w:hAnsi="宋体" w:cs="宋体"/>
          <w:color w:val="auto"/>
          <w:sz w:val="24"/>
          <w:szCs w:val="24"/>
        </w:rPr>
        <w:t>日北京时</w:t>
      </w:r>
      <w:bookmarkStart w:id="203" w:name="_GoBack"/>
      <w:bookmarkEnd w:id="203"/>
      <w:r>
        <w:rPr>
          <w:rFonts w:hint="eastAsia" w:ascii="宋体" w:hAnsi="宋体" w:cs="宋体"/>
          <w:color w:val="auto"/>
          <w:sz w:val="24"/>
          <w:szCs w:val="24"/>
        </w:rPr>
        <w:t>间1</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en-US" w:eastAsia="zh-CN"/>
        </w:rPr>
        <w:t>0</w:t>
      </w:r>
      <w:r>
        <w:rPr>
          <w:rFonts w:hint="eastAsia" w:ascii="宋体" w:hAnsi="宋体" w:cs="宋体"/>
          <w:color w:val="auto"/>
          <w:sz w:val="24"/>
          <w:szCs w:val="24"/>
        </w:rPr>
        <w:t>0。</w:t>
      </w:r>
    </w:p>
    <w:bookmarkEnd w:id="16"/>
    <w:p w14:paraId="1847C558">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27" w:name="_Toc525047161"/>
      <w:bookmarkStart w:id="28" w:name="_Toc521053053"/>
      <w:bookmarkStart w:id="29" w:name="_Toc65660334"/>
      <w:bookmarkStart w:id="30" w:name="_Toc11956"/>
      <w:bookmarkStart w:id="31" w:name="_Toc373860294"/>
      <w:bookmarkStart w:id="32" w:name="_Toc6178"/>
      <w:bookmarkStart w:id="33" w:name="_Toc13409"/>
      <w:r>
        <w:rPr>
          <w:rFonts w:hint="eastAsia" w:ascii="宋体" w:hAnsi="宋体" w:eastAsia="宋体" w:cs="宋体"/>
          <w:color w:val="auto"/>
          <w:sz w:val="24"/>
          <w:lang w:eastAsia="zh-CN"/>
        </w:rPr>
        <w:t>四</w:t>
      </w:r>
      <w:r>
        <w:rPr>
          <w:rFonts w:hint="eastAsia" w:ascii="宋体" w:hAnsi="宋体" w:eastAsia="宋体" w:cs="宋体"/>
          <w:color w:val="auto"/>
          <w:sz w:val="24"/>
        </w:rPr>
        <w:t>、谈判保证金</w:t>
      </w:r>
      <w:bookmarkEnd w:id="27"/>
      <w:bookmarkEnd w:id="28"/>
      <w:bookmarkEnd w:id="29"/>
      <w:bookmarkEnd w:id="30"/>
      <w:bookmarkEnd w:id="31"/>
      <w:bookmarkEnd w:id="32"/>
      <w:bookmarkEnd w:id="33"/>
    </w:p>
    <w:p w14:paraId="2326D770">
      <w:pPr>
        <w:snapToGrid w:val="0"/>
        <w:spacing w:line="400" w:lineRule="exact"/>
        <w:ind w:firstLine="480" w:firstLineChars="200"/>
        <w:outlineLvl w:val="2"/>
        <w:rPr>
          <w:rFonts w:hint="eastAsia" w:ascii="宋体" w:hAnsi="宋体" w:cs="宋体"/>
          <w:color w:val="auto"/>
          <w:sz w:val="24"/>
          <w:szCs w:val="24"/>
        </w:rPr>
      </w:pPr>
      <w:r>
        <w:rPr>
          <w:rFonts w:hint="eastAsia" w:ascii="宋体" w:hAnsi="宋体" w:cs="宋体"/>
          <w:color w:val="auto"/>
          <w:sz w:val="24"/>
          <w:szCs w:val="24"/>
        </w:rPr>
        <w:t>（一）谈判保证金递交</w:t>
      </w:r>
    </w:p>
    <w:p w14:paraId="040A8B6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1.供应商应足额交纳谈判保证金（谈判保证金金额详见本篇“一、竞争性谈判内容”），并汇至以下账户，谈判保证金的到账截止时间同提交响应文件截止时间。</w:t>
      </w:r>
    </w:p>
    <w:p w14:paraId="7A5C79AC">
      <w:pPr>
        <w:spacing w:line="400" w:lineRule="exact"/>
        <w:ind w:firstLine="480" w:firstLineChars="200"/>
        <w:rPr>
          <w:rFonts w:hint="eastAsia" w:ascii="宋体" w:hAnsi="宋体" w:cs="宋体"/>
          <w:color w:val="auto"/>
          <w:sz w:val="24"/>
          <w:szCs w:val="24"/>
        </w:rPr>
      </w:pPr>
      <w:bookmarkStart w:id="34" w:name="_Toc479668114"/>
      <w:bookmarkStart w:id="35" w:name="_Toc521053054"/>
      <w:bookmarkStart w:id="36" w:name="_Toc2945"/>
      <w:bookmarkStart w:id="37" w:name="_Toc4355"/>
      <w:bookmarkStart w:id="38" w:name="_Toc525047162"/>
      <w:bookmarkStart w:id="39" w:name="_Toc65660335"/>
      <w:r>
        <w:rPr>
          <w:rFonts w:hint="eastAsia" w:ascii="宋体" w:hAnsi="宋体" w:cs="宋体"/>
          <w:color w:val="auto"/>
          <w:sz w:val="24"/>
          <w:szCs w:val="24"/>
        </w:rPr>
        <w:t>谈判保证金账户：</w:t>
      </w:r>
    </w:p>
    <w:p w14:paraId="43DD9B8D">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户  名：</w:t>
      </w:r>
      <w:r>
        <w:rPr>
          <w:rFonts w:hint="eastAsia" w:ascii="宋体" w:hAnsi="宋体" w:cs="宋体"/>
          <w:color w:val="auto"/>
          <w:sz w:val="24"/>
          <w:szCs w:val="24"/>
          <w:lang w:eastAsia="zh-CN"/>
        </w:rPr>
        <w:t>重庆智南项目管理有限公司</w:t>
      </w:r>
    </w:p>
    <w:p w14:paraId="1B09C6A3">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开户行：</w:t>
      </w:r>
      <w:r>
        <w:rPr>
          <w:rFonts w:hint="eastAsia" w:ascii="宋体" w:hAnsi="宋体" w:cs="宋体"/>
          <w:color w:val="auto"/>
          <w:sz w:val="24"/>
          <w:szCs w:val="24"/>
          <w:lang w:eastAsia="zh-CN"/>
        </w:rPr>
        <w:t>中国建设银行股份有限公司重庆两江分行</w:t>
      </w:r>
    </w:p>
    <w:p w14:paraId="45690B93">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账  号：</w:t>
      </w:r>
      <w:r>
        <w:rPr>
          <w:rFonts w:hint="eastAsia" w:ascii="宋体" w:hAnsi="宋体" w:cs="宋体"/>
          <w:color w:val="auto"/>
          <w:sz w:val="24"/>
          <w:szCs w:val="24"/>
          <w:lang w:eastAsia="zh-CN"/>
        </w:rPr>
        <w:t>50050104360000003306</w:t>
      </w:r>
    </w:p>
    <w:p w14:paraId="1E8E14A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2.各供应商在银行转账（电汇）时，须充分考虑银行转账（电汇）的时间差风险，如同城转账、异地转账或汇款、跨行转账或电汇的时间要求。</w:t>
      </w:r>
    </w:p>
    <w:p w14:paraId="051B961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（二）谈判保证金退还方式</w:t>
      </w:r>
    </w:p>
    <w:p w14:paraId="63346AC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1.未成交供应商的谈判保证金，在成交通知书发放后，采购代理机构在五个工作日内按供应商来款账户信息退还。</w:t>
      </w:r>
    </w:p>
    <w:p w14:paraId="27226AB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2.成交供应商的谈判保证金，在成交供应商与采购人签订合同后，采购代理机构在五个工作日内按供应商来款账户信息退还。</w:t>
      </w:r>
    </w:p>
    <w:bookmarkEnd w:id="34"/>
    <w:bookmarkEnd w:id="35"/>
    <w:bookmarkEnd w:id="36"/>
    <w:bookmarkEnd w:id="37"/>
    <w:bookmarkEnd w:id="38"/>
    <w:bookmarkEnd w:id="39"/>
    <w:p w14:paraId="62D9FD3D">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40" w:name="_Toc6563"/>
      <w:bookmarkStart w:id="41" w:name="_Toc65660336"/>
      <w:bookmarkStart w:id="42" w:name="_Toc31965"/>
      <w:bookmarkStart w:id="43" w:name="_Toc16269"/>
      <w:bookmarkStart w:id="44" w:name="_Toc525047163"/>
      <w:bookmarkStart w:id="45" w:name="_Toc521053055"/>
      <w:r>
        <w:rPr>
          <w:rFonts w:hint="eastAsia" w:ascii="宋体" w:hAnsi="宋体" w:eastAsia="宋体" w:cs="宋体"/>
          <w:color w:val="auto"/>
          <w:sz w:val="24"/>
          <w:lang w:eastAsia="zh-CN"/>
        </w:rPr>
        <w:t>五</w:t>
      </w:r>
      <w:r>
        <w:rPr>
          <w:rFonts w:hint="eastAsia" w:ascii="宋体" w:hAnsi="宋体" w:eastAsia="宋体" w:cs="宋体"/>
          <w:color w:val="auto"/>
          <w:sz w:val="24"/>
        </w:rPr>
        <w:t>、其它有关规定</w:t>
      </w:r>
      <w:bookmarkEnd w:id="40"/>
      <w:bookmarkEnd w:id="41"/>
      <w:bookmarkEnd w:id="42"/>
      <w:bookmarkEnd w:id="43"/>
      <w:bookmarkEnd w:id="44"/>
      <w:bookmarkEnd w:id="45"/>
    </w:p>
    <w:p w14:paraId="668C50A7">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（一）单位负责人为同一人或者存在直接控股、管理关系的不同供应商，不得参加同一合同项（包）下的采购活动，否则均为无效谈判。</w:t>
      </w:r>
    </w:p>
    <w:p w14:paraId="5B9DD8F4">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3450D706">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本项目的澄清文件（如果有）一律在“行采家”（https://www.gec123.com/）上发布，请各供应商注意下载或到采购代理机构处领取；无论供应商下载或领取与否，均视同供应商已知晓本项目澄清文件（如果有）的内容。</w:t>
      </w:r>
    </w:p>
    <w:p w14:paraId="6728D785">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18492137">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（五）谈判费用：无论谈判结果如何，供应商参与本项目谈判的所有费用均应由供应商自行承担。</w:t>
      </w:r>
    </w:p>
    <w:p w14:paraId="7FF69CBC">
      <w:pPr>
        <w:snapToGrid w:val="0"/>
        <w:spacing w:line="400" w:lineRule="exact"/>
        <w:ind w:firstLine="361" w:firstLineChars="150"/>
        <w:rPr>
          <w:rFonts w:hint="eastAsia" w:ascii="宋体" w:hAnsi="宋体" w:cs="宋体"/>
          <w:b/>
          <w:bCs/>
          <w:color w:val="auto"/>
          <w:sz w:val="24"/>
          <w:szCs w:val="24"/>
        </w:rPr>
      </w:pPr>
      <w:r>
        <w:rPr>
          <w:rFonts w:hint="eastAsia" w:ascii="宋体" w:hAnsi="宋体" w:cs="宋体"/>
          <w:b/>
          <w:bCs/>
          <w:color w:val="auto"/>
          <w:sz w:val="24"/>
          <w:szCs w:val="24"/>
        </w:rPr>
        <w:t>（六）本项目不接受联合体参与谈判，否则按无效响应处理。</w:t>
      </w:r>
    </w:p>
    <w:p w14:paraId="5F6053A9">
      <w:pPr>
        <w:snapToGrid w:val="0"/>
        <w:spacing w:line="400" w:lineRule="exact"/>
        <w:ind w:firstLine="361" w:firstLineChars="150"/>
        <w:rPr>
          <w:rFonts w:hint="eastAsia" w:ascii="宋体" w:hAnsi="宋体" w:cs="宋体"/>
          <w:color w:val="auto"/>
          <w:sz w:val="24"/>
          <w:szCs w:val="24"/>
        </w:rPr>
      </w:pPr>
      <w:r>
        <w:rPr>
          <w:rFonts w:hint="eastAsia" w:ascii="宋体" w:hAnsi="宋体" w:cs="宋体"/>
          <w:b/>
          <w:bCs/>
          <w:color w:val="auto"/>
          <w:sz w:val="24"/>
          <w:szCs w:val="24"/>
        </w:rPr>
        <w:t>（七）本项目不接受合同分包，否则按无效响应处理。</w:t>
      </w:r>
    </w:p>
    <w:p w14:paraId="19FAFC69">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66B0043">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46" w:name="_Toc10415"/>
      <w:bookmarkStart w:id="47" w:name="_Toc525047164"/>
      <w:bookmarkStart w:id="48" w:name="_Toc65660337"/>
      <w:bookmarkStart w:id="49" w:name="_Toc1733"/>
      <w:bookmarkStart w:id="50" w:name="_Toc521053056"/>
      <w:bookmarkStart w:id="51" w:name="_Toc15052"/>
      <w:r>
        <w:rPr>
          <w:rFonts w:hint="eastAsia" w:ascii="宋体" w:hAnsi="宋体" w:eastAsia="宋体" w:cs="宋体"/>
          <w:color w:val="auto"/>
          <w:sz w:val="24"/>
          <w:lang w:eastAsia="zh-CN"/>
        </w:rPr>
        <w:t>六</w:t>
      </w:r>
      <w:r>
        <w:rPr>
          <w:rFonts w:hint="eastAsia" w:ascii="宋体" w:hAnsi="宋体" w:eastAsia="宋体" w:cs="宋体"/>
          <w:color w:val="auto"/>
          <w:sz w:val="24"/>
        </w:rPr>
        <w:t>、联系方式</w:t>
      </w:r>
      <w:bookmarkEnd w:id="46"/>
      <w:bookmarkEnd w:id="47"/>
      <w:bookmarkEnd w:id="48"/>
      <w:bookmarkEnd w:id="49"/>
      <w:bookmarkEnd w:id="50"/>
      <w:bookmarkEnd w:id="51"/>
    </w:p>
    <w:p w14:paraId="06F17989">
      <w:pPr>
        <w:snapToGrid w:val="0"/>
        <w:spacing w:line="400" w:lineRule="exact"/>
        <w:ind w:firstLine="480" w:firstLineChars="200"/>
        <w:outlineLvl w:val="2"/>
        <w:rPr>
          <w:rFonts w:hint="eastAsia" w:ascii="宋体" w:hAnsi="宋体" w:eastAsia="宋体" w:cs="宋体"/>
          <w:color w:val="auto"/>
          <w:sz w:val="24"/>
          <w:szCs w:val="24"/>
          <w:lang w:eastAsia="zh-CN"/>
        </w:rPr>
      </w:pPr>
      <w:r>
        <w:rPr>
          <w:rFonts w:hint="eastAsia" w:ascii="宋体" w:hAnsi="宋体" w:cs="宋体"/>
          <w:color w:val="auto"/>
          <w:sz w:val="24"/>
          <w:szCs w:val="24"/>
        </w:rPr>
        <w:t>（一）</w:t>
      </w:r>
      <w:bookmarkStart w:id="52" w:name="_Hlk70416418"/>
      <w:r>
        <w:rPr>
          <w:rFonts w:hint="eastAsia" w:ascii="宋体" w:hAnsi="宋体" w:cs="宋体"/>
          <w:color w:val="auto"/>
          <w:sz w:val="24"/>
          <w:szCs w:val="24"/>
        </w:rPr>
        <w:t>采购人：</w:t>
      </w:r>
      <w:bookmarkEnd w:id="52"/>
      <w:bookmarkStart w:id="53" w:name="_Toc9519"/>
      <w:r>
        <w:rPr>
          <w:rFonts w:hint="eastAsia" w:ascii="宋体" w:hAnsi="宋体" w:cs="宋体"/>
          <w:color w:val="auto"/>
          <w:sz w:val="24"/>
          <w:szCs w:val="24"/>
          <w:lang w:eastAsia="zh-CN"/>
        </w:rPr>
        <w:t>重庆市第十一人民医院（重庆市优抚医院）</w:t>
      </w:r>
    </w:p>
    <w:bookmarkEnd w:id="53"/>
    <w:p w14:paraId="0C6FAD56">
      <w:pPr>
        <w:snapToGrid w:val="0"/>
        <w:spacing w:line="400" w:lineRule="exact"/>
        <w:ind w:firstLine="480" w:firstLineChars="200"/>
        <w:outlineLvl w:val="2"/>
        <w:rPr>
          <w:rFonts w:hint="default" w:ascii="宋体" w:hAnsi="宋体" w:eastAsia="宋体" w:cs="宋体"/>
          <w:color w:val="auto"/>
          <w:sz w:val="24"/>
          <w:szCs w:val="24"/>
          <w:lang w:val="en-US" w:eastAsia="zh-CN"/>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向思锦</w:t>
      </w:r>
    </w:p>
    <w:p w14:paraId="3BF6E4A4">
      <w:pPr>
        <w:snapToGrid w:val="0"/>
        <w:spacing w:line="400" w:lineRule="exact"/>
        <w:ind w:firstLine="480" w:firstLineChars="200"/>
        <w:outlineLvl w:val="2"/>
        <w:rPr>
          <w:rFonts w:hint="default" w:ascii="宋体" w:hAnsi="宋体" w:eastAsia="宋体" w:cs="宋体"/>
          <w:color w:val="auto"/>
          <w:sz w:val="24"/>
          <w:szCs w:val="24"/>
          <w:lang w:val="en-US" w:eastAsia="zh-CN"/>
        </w:rPr>
      </w:pPr>
      <w:r>
        <w:rPr>
          <w:rFonts w:hint="eastAsia" w:ascii="宋体" w:hAnsi="宋体" w:cs="宋体"/>
          <w:color w:val="auto"/>
          <w:sz w:val="24"/>
          <w:szCs w:val="24"/>
        </w:rPr>
        <w:t>联系电话：</w:t>
      </w:r>
      <w:r>
        <w:rPr>
          <w:rFonts w:hint="eastAsia" w:ascii="宋体" w:hAnsi="宋体" w:cs="宋体"/>
          <w:color w:val="auto"/>
          <w:sz w:val="24"/>
          <w:szCs w:val="24"/>
          <w:lang w:val="en-US" w:eastAsia="zh-CN"/>
        </w:rPr>
        <w:t>023-65349314</w:t>
      </w:r>
    </w:p>
    <w:p w14:paraId="6DAB1A6F">
      <w:pPr>
        <w:snapToGrid w:val="0"/>
        <w:spacing w:line="400" w:lineRule="exact"/>
        <w:ind w:firstLine="480" w:firstLineChars="200"/>
        <w:outlineLvl w:val="2"/>
        <w:rPr>
          <w:rFonts w:hint="eastAsia" w:ascii="宋体" w:hAnsi="宋体" w:cs="宋体"/>
          <w:color w:val="auto"/>
          <w:sz w:val="24"/>
          <w:szCs w:val="24"/>
          <w:lang w:val="en-US" w:eastAsia="zh-CN"/>
        </w:rPr>
      </w:pPr>
      <w:r>
        <w:rPr>
          <w:rFonts w:hint="eastAsia" w:ascii="宋体" w:hAnsi="宋体" w:cs="宋体"/>
          <w:color w:val="auto"/>
          <w:sz w:val="24"/>
          <w:szCs w:val="24"/>
        </w:rPr>
        <w:t>地  址：重庆市沙坪坝区覃家岗街道梨高路1号</w:t>
      </w:r>
    </w:p>
    <w:p w14:paraId="38FE787A">
      <w:pPr>
        <w:snapToGrid w:val="0"/>
        <w:spacing w:line="400" w:lineRule="exact"/>
        <w:ind w:firstLine="480" w:firstLineChars="200"/>
        <w:outlineLvl w:val="2"/>
        <w:rPr>
          <w:rFonts w:hint="eastAsia" w:ascii="宋体" w:hAnsi="宋体" w:eastAsia="宋体" w:cs="宋体"/>
          <w:color w:val="auto"/>
          <w:sz w:val="24"/>
          <w:szCs w:val="24"/>
          <w:lang w:eastAsia="zh-CN"/>
        </w:rPr>
      </w:pPr>
      <w:r>
        <w:rPr>
          <w:rFonts w:hint="eastAsia" w:ascii="宋体" w:hAnsi="宋体" w:cs="宋体"/>
          <w:color w:val="auto"/>
          <w:sz w:val="24"/>
          <w:szCs w:val="24"/>
        </w:rPr>
        <w:t>（二）采购代理机构：</w:t>
      </w:r>
      <w:r>
        <w:rPr>
          <w:rFonts w:hint="eastAsia" w:ascii="宋体" w:hAnsi="宋体" w:cs="宋体"/>
          <w:color w:val="auto"/>
          <w:sz w:val="24"/>
          <w:szCs w:val="24"/>
          <w:lang w:eastAsia="zh-CN"/>
        </w:rPr>
        <w:t>重庆智南项目管理有限公司</w:t>
      </w:r>
    </w:p>
    <w:p w14:paraId="54E768D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eastAsia="zh-CN"/>
        </w:rPr>
        <w:t>康莉</w:t>
      </w:r>
      <w:r>
        <w:rPr>
          <w:rFonts w:hint="eastAsia" w:ascii="宋体" w:hAnsi="宋体" w:cs="宋体"/>
          <w:color w:val="auto"/>
          <w:sz w:val="24"/>
          <w:szCs w:val="24"/>
        </w:rPr>
        <w:t xml:space="preserve">     </w:t>
      </w:r>
    </w:p>
    <w:p w14:paraId="499209F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电  话：023-63206045  </w:t>
      </w:r>
    </w:p>
    <w:p w14:paraId="7466242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址：重庆市渝北区星光大道82号天王星D1-2栋7楼</w:t>
      </w:r>
    </w:p>
    <w:p w14:paraId="49F65A72">
      <w:pPr>
        <w:snapToGrid w:val="0"/>
        <w:spacing w:line="380" w:lineRule="exact"/>
        <w:rPr>
          <w:rFonts w:hint="eastAsia" w:ascii="宋体" w:hAnsi="宋体" w:cs="宋体"/>
          <w:color w:val="auto"/>
          <w:sz w:val="24"/>
          <w:szCs w:val="24"/>
        </w:rPr>
        <w:sectPr>
          <w:pgSz w:w="11907" w:h="16840"/>
          <w:pgMar w:top="1134" w:right="1418" w:bottom="1134" w:left="1418" w:header="680" w:footer="992" w:gutter="0"/>
          <w:pgNumType w:fmt="numberInDash"/>
          <w:cols w:space="720" w:num="1"/>
          <w:docGrid w:linePitch="312" w:charSpace="0"/>
        </w:sectPr>
      </w:pPr>
    </w:p>
    <w:p w14:paraId="77AA13B8">
      <w:pPr>
        <w:pStyle w:val="4"/>
        <w:spacing w:before="0" w:after="0" w:line="360" w:lineRule="auto"/>
        <w:jc w:val="center"/>
        <w:rPr>
          <w:rFonts w:hint="eastAsia" w:ascii="宋体" w:hAnsi="宋体" w:eastAsia="宋体" w:cs="宋体"/>
          <w:b w:val="0"/>
          <w:color w:val="auto"/>
          <w:sz w:val="36"/>
          <w:szCs w:val="30"/>
        </w:rPr>
      </w:pPr>
      <w:bookmarkStart w:id="54" w:name="_Toc65660338"/>
      <w:bookmarkStart w:id="55" w:name="_Toc14516"/>
      <w:bookmarkStart w:id="56" w:name="_Toc1292"/>
      <w:bookmarkStart w:id="57" w:name="_Toc9095"/>
      <w:bookmarkStart w:id="58" w:name="_Toc102227313"/>
      <w:r>
        <w:rPr>
          <w:rFonts w:hint="eastAsia" w:ascii="宋体" w:hAnsi="宋体" w:eastAsia="宋体" w:cs="宋体"/>
          <w:b w:val="0"/>
          <w:color w:val="auto"/>
          <w:sz w:val="36"/>
          <w:szCs w:val="30"/>
        </w:rPr>
        <w:t>第二篇  谈判项目技术（质量）需求</w:t>
      </w:r>
      <w:bookmarkEnd w:id="54"/>
      <w:bookmarkEnd w:id="55"/>
      <w:bookmarkEnd w:id="56"/>
      <w:bookmarkEnd w:id="57"/>
    </w:p>
    <w:p w14:paraId="3C84CD0C">
      <w:pPr>
        <w:pStyle w:val="4"/>
        <w:adjustRightInd w:val="0"/>
        <w:snapToGrid w:val="0"/>
        <w:spacing w:before="0" w:after="0" w:line="400" w:lineRule="exact"/>
        <w:rPr>
          <w:rFonts w:hint="eastAsia" w:ascii="宋体" w:hAnsi="宋体" w:eastAsia="宋体" w:cs="宋体"/>
          <w:color w:val="auto"/>
          <w:sz w:val="24"/>
          <w:lang w:val="en-US" w:eastAsia="zh-CN"/>
        </w:rPr>
      </w:pPr>
      <w:bookmarkStart w:id="59" w:name="_Toc22047738"/>
      <w:bookmarkStart w:id="60" w:name="_Toc5266"/>
      <w:bookmarkStart w:id="61" w:name="_Toc1964"/>
      <w:bookmarkStart w:id="62" w:name="_Toc15492"/>
      <w:bookmarkStart w:id="63" w:name="_Toc65660341"/>
      <w:bookmarkStart w:id="64" w:name="_Toc13356"/>
      <w:r>
        <w:rPr>
          <w:rFonts w:hint="eastAsia" w:ascii="宋体" w:hAnsi="宋体" w:eastAsia="宋体" w:cs="宋体"/>
          <w:color w:val="auto"/>
          <w:sz w:val="24"/>
          <w:lang w:val="en-US" w:eastAsia="zh-CN"/>
        </w:rPr>
        <w:t>一、</w:t>
      </w:r>
      <w:bookmarkEnd w:id="59"/>
      <w:r>
        <w:rPr>
          <w:rFonts w:hint="eastAsia" w:ascii="宋体" w:hAnsi="宋体" w:eastAsia="宋体" w:cs="宋体"/>
          <w:color w:val="auto"/>
          <w:sz w:val="24"/>
          <w:lang w:val="en-US" w:eastAsia="zh-CN"/>
        </w:rPr>
        <w:t>项目基本情况</w:t>
      </w:r>
      <w:bookmarkEnd w:id="60"/>
      <w:bookmarkEnd w:id="61"/>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3544"/>
        <w:gridCol w:w="1418"/>
        <w:gridCol w:w="3299"/>
      </w:tblGrid>
      <w:tr w14:paraId="4564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17" w:type="dxa"/>
            <w:noWrap/>
            <w:vAlign w:val="center"/>
          </w:tcPr>
          <w:p w14:paraId="47EF912B">
            <w:pPr>
              <w:jc w:val="center"/>
              <w:rPr>
                <w:rFonts w:hint="eastAsia" w:ascii="宋体" w:hAnsi="宋体" w:eastAsia="宋体" w:cs="宋体"/>
                <w:b/>
                <w:sz w:val="24"/>
                <w:szCs w:val="24"/>
              </w:rPr>
            </w:pPr>
            <w:bookmarkStart w:id="65" w:name="_Toc7274"/>
            <w:r>
              <w:rPr>
                <w:rFonts w:hint="eastAsia" w:ascii="宋体" w:hAnsi="宋体" w:eastAsia="宋体" w:cs="宋体"/>
                <w:b/>
                <w:sz w:val="24"/>
                <w:szCs w:val="24"/>
              </w:rPr>
              <w:t>序号</w:t>
            </w:r>
          </w:p>
        </w:tc>
        <w:tc>
          <w:tcPr>
            <w:tcW w:w="3544" w:type="dxa"/>
            <w:noWrap/>
            <w:vAlign w:val="center"/>
          </w:tcPr>
          <w:p w14:paraId="3A136C44">
            <w:pPr>
              <w:jc w:val="center"/>
              <w:rPr>
                <w:rFonts w:hint="eastAsia" w:ascii="宋体" w:hAnsi="宋体" w:eastAsia="宋体" w:cs="宋体"/>
                <w:b/>
                <w:sz w:val="24"/>
                <w:szCs w:val="24"/>
              </w:rPr>
            </w:pPr>
            <w:r>
              <w:rPr>
                <w:rFonts w:hint="eastAsia" w:ascii="宋体" w:hAnsi="宋体" w:eastAsia="宋体" w:cs="宋体"/>
                <w:b/>
                <w:sz w:val="24"/>
                <w:szCs w:val="24"/>
                <w:lang w:eastAsia="zh-CN"/>
              </w:rPr>
              <w:t>项目</w:t>
            </w:r>
            <w:r>
              <w:rPr>
                <w:rFonts w:hint="eastAsia" w:ascii="宋体" w:hAnsi="宋体" w:eastAsia="宋体" w:cs="宋体"/>
                <w:b/>
                <w:sz w:val="24"/>
                <w:szCs w:val="24"/>
              </w:rPr>
              <w:t>名称</w:t>
            </w:r>
          </w:p>
        </w:tc>
        <w:tc>
          <w:tcPr>
            <w:tcW w:w="1418" w:type="dxa"/>
            <w:noWrap/>
            <w:vAlign w:val="center"/>
          </w:tcPr>
          <w:p w14:paraId="3A35CDC0">
            <w:pPr>
              <w:jc w:val="center"/>
              <w:rPr>
                <w:rFonts w:hint="eastAsia" w:ascii="宋体" w:hAnsi="宋体" w:eastAsia="宋体" w:cs="宋体"/>
                <w:b/>
                <w:sz w:val="24"/>
                <w:szCs w:val="24"/>
              </w:rPr>
            </w:pPr>
            <w:r>
              <w:rPr>
                <w:rFonts w:hint="eastAsia" w:ascii="宋体" w:hAnsi="宋体" w:eastAsia="宋体" w:cs="宋体"/>
                <w:b/>
                <w:sz w:val="24"/>
                <w:szCs w:val="24"/>
              </w:rPr>
              <w:t>数量/单位</w:t>
            </w:r>
          </w:p>
        </w:tc>
        <w:tc>
          <w:tcPr>
            <w:tcW w:w="3299" w:type="dxa"/>
            <w:noWrap/>
            <w:vAlign w:val="center"/>
          </w:tcPr>
          <w:p w14:paraId="226A3F76">
            <w:pPr>
              <w:jc w:val="center"/>
              <w:rPr>
                <w:rFonts w:hint="eastAsia" w:ascii="宋体" w:hAnsi="宋体" w:eastAsia="宋体" w:cs="宋体"/>
                <w:b/>
                <w:sz w:val="24"/>
                <w:szCs w:val="24"/>
              </w:rPr>
            </w:pPr>
            <w:r>
              <w:rPr>
                <w:rFonts w:hint="eastAsia" w:ascii="宋体" w:hAnsi="宋体" w:eastAsia="宋体" w:cs="宋体"/>
                <w:b/>
                <w:sz w:val="24"/>
                <w:szCs w:val="24"/>
              </w:rPr>
              <w:t>备注</w:t>
            </w:r>
          </w:p>
        </w:tc>
      </w:tr>
      <w:tr w14:paraId="696D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17" w:type="dxa"/>
            <w:noWrap/>
            <w:vAlign w:val="center"/>
          </w:tcPr>
          <w:p w14:paraId="0480FA55">
            <w:pPr>
              <w:pStyle w:val="23"/>
              <w:spacing w:line="240" w:lineRule="auto"/>
              <w:ind w:left="0"/>
              <w:jc w:val="center"/>
              <w:outlineLvl w:val="0"/>
              <w:rPr>
                <w:rFonts w:hint="eastAsia" w:ascii="宋体" w:hAnsi="宋体" w:eastAsia="宋体" w:cs="宋体"/>
                <w:sz w:val="24"/>
                <w:szCs w:val="24"/>
              </w:rPr>
            </w:pPr>
            <w:r>
              <w:rPr>
                <w:rFonts w:hint="eastAsia" w:ascii="宋体" w:hAnsi="宋体" w:eastAsia="宋体" w:cs="宋体"/>
                <w:sz w:val="24"/>
                <w:szCs w:val="24"/>
              </w:rPr>
              <w:t>1</w:t>
            </w:r>
          </w:p>
        </w:tc>
        <w:tc>
          <w:tcPr>
            <w:tcW w:w="3544" w:type="dxa"/>
            <w:noWrap/>
            <w:vAlign w:val="center"/>
          </w:tcPr>
          <w:p w14:paraId="2AD32291">
            <w:pPr>
              <w:jc w:val="center"/>
              <w:rPr>
                <w:rFonts w:hint="eastAsia" w:ascii="宋体" w:hAnsi="宋体" w:eastAsia="宋体" w:cs="宋体"/>
                <w:sz w:val="24"/>
                <w:szCs w:val="24"/>
                <w:lang w:eastAsia="zh-CN"/>
              </w:rPr>
            </w:pPr>
            <w:r>
              <w:rPr>
                <w:rFonts w:hint="eastAsia" w:ascii="宋体" w:hAnsi="宋体" w:cs="宋体"/>
                <w:color w:val="000000"/>
                <w:sz w:val="24"/>
                <w:szCs w:val="24"/>
                <w:lang w:eastAsia="zh-CN"/>
              </w:rPr>
              <w:t>重庆市第十一人民医院自动售货机布机项目</w:t>
            </w:r>
          </w:p>
        </w:tc>
        <w:tc>
          <w:tcPr>
            <w:tcW w:w="1418" w:type="dxa"/>
            <w:noWrap/>
            <w:vAlign w:val="center"/>
          </w:tcPr>
          <w:p w14:paraId="1C6F030D">
            <w:pPr>
              <w:jc w:val="center"/>
              <w:rPr>
                <w:rFonts w:hint="eastAsia" w:ascii="宋体" w:hAnsi="宋体" w:eastAsia="宋体" w:cs="宋体"/>
                <w:sz w:val="24"/>
                <w:szCs w:val="24"/>
                <w:lang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w:t>
            </w:r>
            <w:r>
              <w:rPr>
                <w:rFonts w:hint="eastAsia" w:ascii="宋体" w:hAnsi="宋体" w:cs="宋体"/>
                <w:color w:val="000000"/>
                <w:sz w:val="24"/>
                <w:szCs w:val="24"/>
                <w:lang w:eastAsia="zh-CN"/>
              </w:rPr>
              <w:t>年</w:t>
            </w:r>
          </w:p>
        </w:tc>
        <w:tc>
          <w:tcPr>
            <w:tcW w:w="3299" w:type="dxa"/>
            <w:noWrap/>
            <w:vAlign w:val="center"/>
          </w:tcPr>
          <w:p w14:paraId="6E1F8764">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具体内容详见下文</w:t>
            </w:r>
          </w:p>
        </w:tc>
      </w:tr>
    </w:tbl>
    <w:p w14:paraId="331E7EE2">
      <w:pPr>
        <w:pStyle w:val="4"/>
        <w:adjustRightInd w:val="0"/>
        <w:snapToGrid w:val="0"/>
        <w:spacing w:before="0" w:after="0" w:line="400" w:lineRule="exact"/>
        <w:rPr>
          <w:rFonts w:hint="default" w:ascii="宋体" w:hAnsi="宋体" w:eastAsia="宋体" w:cs="宋体"/>
          <w:color w:val="auto"/>
          <w:sz w:val="24"/>
          <w:lang w:val="en-US" w:eastAsia="zh-CN"/>
        </w:rPr>
      </w:pPr>
      <w:bookmarkStart w:id="66" w:name="_Toc11885"/>
      <w:r>
        <w:rPr>
          <w:rFonts w:hint="eastAsia" w:ascii="宋体" w:hAnsi="宋体" w:eastAsia="宋体" w:cs="宋体"/>
          <w:color w:val="auto"/>
          <w:sz w:val="24"/>
          <w:lang w:val="en-US" w:eastAsia="zh-CN"/>
        </w:rPr>
        <w:t>二</w:t>
      </w:r>
      <w:r>
        <w:rPr>
          <w:rFonts w:hint="eastAsia" w:ascii="宋体" w:hAnsi="宋体" w:eastAsia="宋体" w:cs="宋体"/>
          <w:color w:val="auto"/>
          <w:sz w:val="24"/>
          <w:lang w:eastAsia="zh-CN"/>
        </w:rPr>
        <w:t>、</w:t>
      </w:r>
      <w:bookmarkEnd w:id="65"/>
      <w:r>
        <w:rPr>
          <w:rFonts w:hint="eastAsia" w:ascii="宋体" w:hAnsi="宋体" w:eastAsia="宋体" w:cs="宋体"/>
          <w:color w:val="auto"/>
          <w:sz w:val="24"/>
          <w:lang w:val="en-US" w:eastAsia="zh-CN"/>
        </w:rPr>
        <w:t>项目服务内容及要求</w:t>
      </w:r>
      <w:bookmarkEnd w:id="66"/>
    </w:p>
    <w:p w14:paraId="23645A3C">
      <w:pPr>
        <w:spacing w:line="400" w:lineRule="exact"/>
        <w:ind w:firstLine="482" w:firstLineChars="200"/>
        <w:rPr>
          <w:rFonts w:hint="eastAsia" w:ascii="宋体" w:hAnsi="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（一）</w:t>
      </w:r>
      <w:r>
        <w:rPr>
          <w:rFonts w:hint="eastAsia" w:ascii="宋体" w:hAnsi="宋体" w:cs="宋体"/>
          <w:b/>
          <w:bCs/>
          <w:color w:val="auto"/>
          <w:sz w:val="24"/>
          <w:szCs w:val="24"/>
          <w:highlight w:val="none"/>
          <w:lang w:val="en-US" w:eastAsia="zh-CN"/>
        </w:rPr>
        <w:t>布机位置及数量</w:t>
      </w:r>
    </w:p>
    <w:p w14:paraId="76D11791">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1.布机位置：门诊大厅、球场、住院部B区1楼。</w:t>
      </w:r>
    </w:p>
    <w:p w14:paraId="12194AC9">
      <w:pPr>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2.数量：6台。</w:t>
      </w:r>
    </w:p>
    <w:p w14:paraId="0BBCE4B5">
      <w:pPr>
        <w:spacing w:line="400" w:lineRule="exact"/>
        <w:ind w:firstLine="482" w:firstLineChars="200"/>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二</w:t>
      </w:r>
      <w:r>
        <w:rPr>
          <w:rFonts w:hint="default" w:ascii="宋体" w:hAnsi="宋体" w:eastAsia="宋体" w:cs="宋体"/>
          <w:b/>
          <w:bCs/>
          <w:color w:val="auto"/>
          <w:sz w:val="24"/>
          <w:szCs w:val="24"/>
          <w:highlight w:val="none"/>
          <w:lang w:val="en-US" w:eastAsia="zh-CN"/>
        </w:rPr>
        <w:t>）商品质量</w:t>
      </w:r>
    </w:p>
    <w:p w14:paraId="7B82977F">
      <w:pPr>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供应商所供应的商品必须是经过质量监督管理部门检验并取得合格证明的产品。供应商应保证及时提供合格安全的产品，不得出售假冒伪劣、有毒有害产品。</w:t>
      </w:r>
    </w:p>
    <w:p w14:paraId="5B0DB783">
      <w:pPr>
        <w:spacing w:line="400" w:lineRule="exact"/>
        <w:ind w:firstLine="482" w:firstLineChars="200"/>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三</w:t>
      </w:r>
      <w:r>
        <w:rPr>
          <w:rFonts w:hint="default"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其他要求</w:t>
      </w:r>
    </w:p>
    <w:p w14:paraId="628A17E6">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项目成交后，成交供应商提供货物前须向采购人提供供货清单明细表，由采购人对其确认后才能进行供货，供货清单明细表内容包括但不限于货物的种类、品牌、数量等内容</w:t>
      </w:r>
      <w:r>
        <w:rPr>
          <w:rFonts w:hint="eastAsia" w:ascii="宋体" w:hAnsi="宋体" w:cs="宋体"/>
          <w:color w:val="auto"/>
          <w:sz w:val="24"/>
          <w:szCs w:val="24"/>
          <w:highlight w:val="none"/>
          <w:lang w:val="en-US" w:eastAsia="zh-CN"/>
        </w:rPr>
        <w:t>。</w:t>
      </w:r>
    </w:p>
    <w:p w14:paraId="6468D59D">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2.供应商负责对自动售货的补货，补币及日常之维修保养。</w:t>
      </w:r>
    </w:p>
    <w:p w14:paraId="416A5F7E">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3.服务期内，供应商销售的商品若出现质量问题或“三包”责任，由供应商承担全部责任。</w:t>
      </w:r>
    </w:p>
    <w:p w14:paraId="71B687EA">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4.采购人支持供应商在服务期内的经营与管理，并负责提供售货机正常运转的电源，每月电费由供应商自行承担（供应商根据每月电费单据据实支付给采购人，每季度支付一次）。</w:t>
      </w:r>
    </w:p>
    <w:p w14:paraId="0F0E486E">
      <w:pPr>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5.供应商须提供可以查询销售额的系统。</w:t>
      </w:r>
    </w:p>
    <w:p w14:paraId="3EDCCACB">
      <w:pPr>
        <w:pStyle w:val="4"/>
        <w:spacing w:before="0" w:after="0" w:line="360" w:lineRule="auto"/>
        <w:jc w:val="center"/>
        <w:rPr>
          <w:rFonts w:hint="eastAsia" w:ascii="宋体" w:hAnsi="宋体" w:eastAsia="宋体" w:cs="宋体"/>
          <w:b w:val="0"/>
          <w:color w:val="auto"/>
          <w:sz w:val="36"/>
          <w:szCs w:val="30"/>
        </w:rPr>
      </w:pPr>
      <w:r>
        <w:rPr>
          <w:rFonts w:hint="eastAsia" w:ascii="宋体" w:hAnsi="宋体" w:eastAsia="宋体" w:cs="宋体"/>
          <w:b w:val="0"/>
          <w:color w:val="auto"/>
          <w:sz w:val="36"/>
          <w:szCs w:val="30"/>
        </w:rPr>
        <w:br w:type="page"/>
      </w:r>
      <w:bookmarkStart w:id="67" w:name="_Toc30221"/>
      <w:r>
        <w:rPr>
          <w:rFonts w:hint="eastAsia" w:ascii="宋体" w:hAnsi="宋体" w:eastAsia="宋体" w:cs="宋体"/>
          <w:color w:val="auto"/>
          <w:sz w:val="36"/>
          <w:szCs w:val="30"/>
        </w:rPr>
        <w:t xml:space="preserve">第三篇  </w:t>
      </w:r>
      <w:bookmarkEnd w:id="58"/>
      <w:bookmarkEnd w:id="62"/>
      <w:bookmarkEnd w:id="63"/>
      <w:bookmarkEnd w:id="64"/>
      <w:r>
        <w:rPr>
          <w:rFonts w:hint="eastAsia" w:ascii="宋体" w:hAnsi="宋体" w:eastAsia="宋体" w:cs="宋体"/>
          <w:color w:val="auto"/>
          <w:sz w:val="36"/>
          <w:szCs w:val="30"/>
        </w:rPr>
        <w:t>谈判项目商务需求</w:t>
      </w:r>
      <w:bookmarkEnd w:id="67"/>
    </w:p>
    <w:p w14:paraId="1F756907">
      <w:pPr>
        <w:pStyle w:val="4"/>
        <w:adjustRightInd w:val="0"/>
        <w:snapToGrid w:val="0"/>
        <w:spacing w:before="0" w:after="0" w:line="400" w:lineRule="exact"/>
        <w:rPr>
          <w:rFonts w:hint="eastAsia" w:ascii="宋体" w:hAnsi="宋体" w:eastAsia="宋体" w:cs="宋体"/>
          <w:color w:val="auto"/>
          <w:sz w:val="24"/>
          <w:lang w:eastAsia="zh-CN"/>
        </w:rPr>
      </w:pPr>
      <w:bookmarkStart w:id="68" w:name="_Toc22358"/>
      <w:bookmarkStart w:id="69" w:name="_Toc23263"/>
      <w:bookmarkStart w:id="70" w:name="_Toc26795"/>
      <w:bookmarkStart w:id="71" w:name="_Toc342913389"/>
      <w:r>
        <w:rPr>
          <w:rFonts w:hint="eastAsia" w:ascii="宋体" w:hAnsi="宋体" w:eastAsia="宋体" w:cs="宋体"/>
          <w:color w:val="auto"/>
          <w:sz w:val="24"/>
          <w:lang w:eastAsia="zh-CN"/>
        </w:rPr>
        <w:t>一、服务时间、地点及验收方式</w:t>
      </w:r>
      <w:bookmarkEnd w:id="68"/>
      <w:bookmarkEnd w:id="69"/>
      <w:bookmarkEnd w:id="70"/>
    </w:p>
    <w:p w14:paraId="6E21658A">
      <w:pPr>
        <w:pStyle w:val="34"/>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rPr>
      </w:pPr>
      <w:bookmarkStart w:id="72" w:name="_Toc506192852"/>
      <w:bookmarkStart w:id="73" w:name="_Toc24209"/>
      <w:bookmarkStart w:id="74" w:name="_Toc30218"/>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时间</w:t>
      </w:r>
    </w:p>
    <w:p w14:paraId="15122B7E">
      <w:pPr>
        <w:pStyle w:val="34"/>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lang w:val="en-US" w:eastAsia="zh-CN"/>
        </w:rPr>
        <w:t>3年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3年到期</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lang w:eastAsia="zh-CN"/>
        </w:rPr>
        <w:t>采购人与供应商</w:t>
      </w:r>
      <w:r>
        <w:rPr>
          <w:rFonts w:hint="eastAsia" w:ascii="宋体" w:hAnsi="宋体" w:eastAsia="宋体" w:cs="宋体"/>
          <w:color w:val="auto"/>
          <w:sz w:val="24"/>
          <w:szCs w:val="24"/>
          <w:highlight w:val="none"/>
        </w:rPr>
        <w:t>协商是否续签</w:t>
      </w:r>
      <w:r>
        <w:rPr>
          <w:rFonts w:hint="eastAsia" w:ascii="宋体" w:hAnsi="宋体" w:cs="宋体"/>
          <w:color w:val="auto"/>
          <w:sz w:val="24"/>
          <w:szCs w:val="24"/>
          <w:highlight w:val="none"/>
          <w:lang w:eastAsia="zh-CN"/>
        </w:rPr>
        <w:t>合同。</w:t>
      </w:r>
    </w:p>
    <w:p w14:paraId="282B9B37">
      <w:pPr>
        <w:pStyle w:val="34"/>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w:t>
      </w:r>
      <w:r>
        <w:rPr>
          <w:rFonts w:hint="eastAsia" w:ascii="宋体" w:hAnsi="宋体" w:cs="宋体"/>
          <w:color w:val="000000" w:themeColor="text1"/>
          <w:sz w:val="24"/>
          <w:szCs w:val="24"/>
          <w:highlight w:val="none"/>
          <w:lang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地点</w:t>
      </w:r>
    </w:p>
    <w:p w14:paraId="4798A344">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地点：重庆市第十一人民医院（重庆市优抚医院）</w:t>
      </w:r>
      <w:r>
        <w:rPr>
          <w:rFonts w:hint="eastAsia" w:ascii="宋体" w:hAnsi="宋体" w:cs="宋体"/>
          <w:color w:val="000000" w:themeColor="text1"/>
          <w:sz w:val="24"/>
          <w:szCs w:val="24"/>
          <w:highlight w:val="none"/>
          <w:lang w:eastAsia="zh-CN"/>
          <w14:textFill>
            <w14:solidFill>
              <w14:schemeClr w14:val="tx1"/>
            </w14:solidFill>
          </w14:textFill>
        </w:rPr>
        <w:t>内</w:t>
      </w:r>
      <w:r>
        <w:rPr>
          <w:rFonts w:hint="eastAsia" w:ascii="宋体" w:hAnsi="宋体" w:eastAsia="宋体" w:cs="宋体"/>
          <w:color w:val="000000" w:themeColor="text1"/>
          <w:sz w:val="24"/>
          <w:szCs w:val="24"/>
          <w:highlight w:val="none"/>
          <w14:textFill>
            <w14:solidFill>
              <w14:schemeClr w14:val="tx1"/>
            </w14:solidFill>
          </w14:textFill>
        </w:rPr>
        <w:t>采购人指定地点。</w:t>
      </w:r>
    </w:p>
    <w:p w14:paraId="26650381">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（三）验收方式</w:t>
      </w:r>
    </w:p>
    <w:p w14:paraId="53318A26">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75" w:name="_Toc8644"/>
      <w:r>
        <w:rPr>
          <w:rFonts w:hint="eastAsia" w:ascii="宋体" w:hAnsi="宋体" w:cs="宋体"/>
          <w:color w:val="000000" w:themeColor="text1"/>
          <w:kern w:val="0"/>
          <w:sz w:val="24"/>
          <w:szCs w:val="24"/>
          <w:highlight w:val="none"/>
          <w:lang w:val="en-US" w:eastAsia="zh-CN"/>
          <w14:textFill>
            <w14:solidFill>
              <w14:schemeClr w14:val="tx1"/>
            </w14:solidFill>
          </w14:textFill>
        </w:rPr>
        <w:t>采购人负责验收，成交供应商予以协助</w:t>
      </w:r>
      <w:r>
        <w:rPr>
          <w:rFonts w:hint="eastAsia" w:ascii="宋体" w:hAnsi="宋体" w:eastAsia="宋体" w:cs="宋体"/>
          <w:color w:val="000000" w:themeColor="text1"/>
          <w:kern w:val="0"/>
          <w:sz w:val="24"/>
          <w:szCs w:val="24"/>
          <w:highlight w:val="none"/>
          <w14:textFill>
            <w14:solidFill>
              <w14:schemeClr w14:val="tx1"/>
            </w14:solidFill>
          </w14:textFill>
        </w:rPr>
        <w:t>。</w:t>
      </w:r>
    </w:p>
    <w:bookmarkEnd w:id="72"/>
    <w:bookmarkEnd w:id="73"/>
    <w:bookmarkEnd w:id="74"/>
    <w:bookmarkEnd w:id="75"/>
    <w:p w14:paraId="408A05E6">
      <w:pPr>
        <w:pStyle w:val="4"/>
        <w:adjustRightInd w:val="0"/>
        <w:snapToGrid w:val="0"/>
        <w:spacing w:before="0" w:after="0" w:line="400" w:lineRule="exact"/>
        <w:rPr>
          <w:rFonts w:hint="eastAsia" w:ascii="宋体" w:hAnsi="宋体" w:eastAsia="宋体" w:cs="宋体"/>
          <w:color w:val="auto"/>
          <w:sz w:val="24"/>
          <w:lang w:eastAsia="zh-CN"/>
        </w:rPr>
      </w:pPr>
      <w:bookmarkStart w:id="76" w:name="_Toc15704"/>
      <w:bookmarkStart w:id="77" w:name="_Toc32189"/>
      <w:bookmarkStart w:id="78" w:name="_Toc5821"/>
      <w:bookmarkStart w:id="79" w:name="_Toc14132"/>
      <w:bookmarkStart w:id="80" w:name="_Toc31206"/>
      <w:r>
        <w:rPr>
          <w:rFonts w:hint="eastAsia" w:ascii="宋体" w:hAnsi="宋体" w:eastAsia="宋体" w:cs="宋体"/>
          <w:color w:val="auto"/>
          <w:sz w:val="24"/>
          <w:lang w:eastAsia="zh-CN"/>
        </w:rPr>
        <w:t>二、报价要求</w:t>
      </w:r>
      <w:bookmarkEnd w:id="76"/>
      <w:bookmarkEnd w:id="77"/>
      <w:bookmarkEnd w:id="78"/>
    </w:p>
    <w:p w14:paraId="22DFC3E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（一）</w:t>
      </w:r>
      <w:r>
        <w:rPr>
          <w:rFonts w:hint="eastAsia" w:ascii="宋体" w:hAnsi="宋体" w:cs="宋体"/>
          <w:color w:val="auto"/>
          <w:kern w:val="0"/>
          <w:sz w:val="24"/>
          <w:szCs w:val="24"/>
          <w:lang w:val="en-US" w:eastAsia="zh-CN"/>
        </w:rPr>
        <w:t>供应商报价时须自行考虑后进行综合报价</w:t>
      </w:r>
      <w:r>
        <w:rPr>
          <w:rFonts w:hint="eastAsia" w:ascii="宋体" w:hAnsi="宋体" w:eastAsia="宋体" w:cs="宋体"/>
          <w:color w:val="auto"/>
          <w:kern w:val="0"/>
          <w:sz w:val="24"/>
          <w:szCs w:val="24"/>
          <w:lang w:val="en-US" w:eastAsia="zh-CN"/>
        </w:rPr>
        <w:t>。</w:t>
      </w:r>
    </w:p>
    <w:p w14:paraId="1EEAE68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（二）折扣率报价必须</w:t>
      </w:r>
      <w:r>
        <w:rPr>
          <w:rFonts w:hint="default"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12%，否则为无效响应</w:t>
      </w:r>
      <w:r>
        <w:rPr>
          <w:rFonts w:hint="eastAsia" w:ascii="宋体" w:hAnsi="宋体" w:eastAsia="宋体" w:cs="宋体"/>
          <w:color w:val="auto"/>
          <w:sz w:val="24"/>
          <w:szCs w:val="24"/>
        </w:rPr>
        <w:t>。</w:t>
      </w:r>
    </w:p>
    <w:bookmarkEnd w:id="79"/>
    <w:bookmarkEnd w:id="80"/>
    <w:p w14:paraId="553673E9">
      <w:pPr>
        <w:pStyle w:val="4"/>
        <w:adjustRightInd w:val="0"/>
        <w:snapToGrid w:val="0"/>
        <w:spacing w:before="0" w:after="0" w:line="400" w:lineRule="exact"/>
        <w:rPr>
          <w:rFonts w:hint="eastAsia" w:ascii="宋体" w:hAnsi="宋体" w:eastAsia="宋体" w:cs="宋体"/>
          <w:color w:val="auto"/>
          <w:sz w:val="24"/>
          <w:lang w:eastAsia="zh-CN"/>
        </w:rPr>
      </w:pPr>
      <w:bookmarkStart w:id="81" w:name="_Toc10658"/>
      <w:bookmarkStart w:id="82" w:name="_Toc2865"/>
      <w:bookmarkStart w:id="83" w:name="_Toc4301"/>
      <w:bookmarkStart w:id="84" w:name="_Toc9852"/>
      <w:r>
        <w:rPr>
          <w:rFonts w:hint="eastAsia" w:ascii="宋体" w:hAnsi="宋体" w:eastAsia="宋体" w:cs="宋体"/>
          <w:color w:val="auto"/>
          <w:sz w:val="24"/>
          <w:lang w:eastAsia="zh-CN"/>
        </w:rPr>
        <w:t>三、付款方式</w:t>
      </w:r>
      <w:bookmarkEnd w:id="81"/>
      <w:bookmarkEnd w:id="82"/>
      <w:bookmarkEnd w:id="83"/>
      <w:bookmarkEnd w:id="84"/>
    </w:p>
    <w:p w14:paraId="57883CCC">
      <w:pPr>
        <w:pageBreakBefore w:val="0"/>
        <w:widowControl w:val="0"/>
        <w:kinsoku/>
        <w:wordWrap/>
        <w:overflowPunct/>
        <w:topLinePunct w:val="0"/>
        <w:autoSpaceDE/>
        <w:autoSpaceDN/>
        <w:bidi w:val="0"/>
        <w:adjustRightInd/>
        <w:snapToGrid w:val="0"/>
        <w:spacing w:line="440" w:lineRule="exact"/>
        <w:ind w:firstLine="54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按季度进行支付，供应商于15日前向采购人缴纳上一季度的销售额返点费用。</w:t>
      </w:r>
    </w:p>
    <w:p w14:paraId="63841507">
      <w:pPr>
        <w:pStyle w:val="4"/>
        <w:adjustRightInd w:val="0"/>
        <w:snapToGrid w:val="0"/>
        <w:spacing w:before="0" w:after="0" w:line="400" w:lineRule="exact"/>
        <w:rPr>
          <w:rFonts w:hint="eastAsia" w:ascii="宋体" w:hAnsi="宋体" w:eastAsia="宋体" w:cs="宋体"/>
          <w:color w:val="auto"/>
          <w:sz w:val="24"/>
          <w:lang w:eastAsia="zh-CN"/>
        </w:rPr>
      </w:pPr>
      <w:bookmarkStart w:id="85" w:name="_Toc2678"/>
      <w:bookmarkStart w:id="86" w:name="_Toc12866"/>
      <w:bookmarkStart w:id="87" w:name="_Toc535"/>
      <w:bookmarkStart w:id="88" w:name="_Toc19844"/>
      <w:r>
        <w:rPr>
          <w:rFonts w:hint="eastAsia" w:ascii="宋体" w:hAnsi="宋体" w:eastAsia="宋体" w:cs="宋体"/>
          <w:color w:val="auto"/>
          <w:sz w:val="24"/>
          <w:lang w:eastAsia="zh-CN"/>
        </w:rPr>
        <w:t>四、知识产权</w:t>
      </w:r>
      <w:bookmarkEnd w:id="85"/>
      <w:bookmarkEnd w:id="86"/>
      <w:bookmarkEnd w:id="87"/>
      <w:bookmarkEnd w:id="88"/>
    </w:p>
    <w:p w14:paraId="4AD06801">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4"/>
          <w:szCs w:val="24"/>
        </w:rPr>
      </w:pPr>
      <w:r>
        <w:rPr>
          <w:rFonts w:hint="eastAsia" w:ascii="宋体" w:hAnsi="宋体" w:eastAsia="宋体" w:cs="宋体"/>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50420152">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宋体" w:hAnsi="宋体" w:eastAsia="宋体" w:cs="宋体"/>
          <w:sz w:val="24"/>
          <w:szCs w:val="24"/>
        </w:rPr>
      </w:pPr>
      <w:r>
        <w:rPr>
          <w:rFonts w:hint="eastAsia" w:ascii="宋体" w:hAnsi="宋体" w:eastAsia="宋体" w:cs="宋体"/>
          <w:sz w:val="24"/>
          <w:szCs w:val="24"/>
        </w:rPr>
        <w:t>（注：若涉及软件开发等服务类项目知识产权的，知识产权归采购人所有）。</w:t>
      </w:r>
    </w:p>
    <w:p w14:paraId="4F647B12">
      <w:pPr>
        <w:pStyle w:val="4"/>
        <w:adjustRightInd w:val="0"/>
        <w:snapToGrid w:val="0"/>
        <w:spacing w:before="0" w:after="0" w:line="400" w:lineRule="exact"/>
        <w:rPr>
          <w:rFonts w:hint="eastAsia" w:ascii="宋体" w:hAnsi="宋体" w:eastAsia="宋体" w:cs="宋体"/>
          <w:color w:val="auto"/>
          <w:sz w:val="24"/>
        </w:rPr>
      </w:pPr>
      <w:bookmarkStart w:id="89" w:name="_Toc22083"/>
      <w:bookmarkStart w:id="90" w:name="_Toc16322"/>
      <w:bookmarkStart w:id="91" w:name="_Toc20845"/>
      <w:bookmarkStart w:id="92" w:name="_Toc9912"/>
      <w:r>
        <w:rPr>
          <w:rFonts w:hint="eastAsia" w:ascii="宋体" w:hAnsi="宋体" w:eastAsia="宋体" w:cs="宋体"/>
          <w:color w:val="auto"/>
          <w:sz w:val="24"/>
          <w:lang w:eastAsia="zh-CN"/>
        </w:rPr>
        <w:t>五、</w:t>
      </w:r>
      <w:r>
        <w:rPr>
          <w:rFonts w:hint="eastAsia" w:ascii="宋体" w:hAnsi="宋体" w:eastAsia="宋体" w:cs="宋体"/>
          <w:color w:val="auto"/>
          <w:sz w:val="24"/>
        </w:rPr>
        <w:t>其他</w:t>
      </w:r>
      <w:bookmarkEnd w:id="89"/>
      <w:bookmarkEnd w:id="90"/>
      <w:bookmarkEnd w:id="91"/>
      <w:bookmarkEnd w:id="92"/>
    </w:p>
    <w:p w14:paraId="604E4008">
      <w:pPr>
        <w:snapToGrid w:val="0"/>
        <w:spacing w:line="400" w:lineRule="exact"/>
        <w:ind w:firstLine="480" w:firstLineChars="200"/>
        <w:rPr>
          <w:rFonts w:hint="eastAsia" w:ascii="宋体" w:hAnsi="宋体" w:cs="宋体"/>
          <w:color w:val="auto"/>
          <w:kern w:val="0"/>
          <w:sz w:val="24"/>
          <w:szCs w:val="24"/>
        </w:rPr>
      </w:pPr>
      <w:r>
        <w:rPr>
          <w:rFonts w:hint="eastAsia" w:ascii="宋体" w:hAnsi="宋体" w:eastAsia="宋体" w:cs="宋体"/>
          <w:sz w:val="24"/>
          <w:szCs w:val="24"/>
        </w:rPr>
        <w:t>其他未尽事宜由供需双方在采购合同中详细约定</w:t>
      </w:r>
      <w:r>
        <w:rPr>
          <w:rFonts w:hint="eastAsia" w:ascii="宋体" w:hAnsi="宋体" w:cs="宋体"/>
          <w:color w:val="auto"/>
          <w:kern w:val="0"/>
          <w:sz w:val="24"/>
          <w:szCs w:val="24"/>
        </w:rPr>
        <w:t>。</w:t>
      </w:r>
    </w:p>
    <w:p w14:paraId="733B0D20">
      <w:pPr>
        <w:pStyle w:val="4"/>
        <w:spacing w:before="0" w:after="0" w:line="360" w:lineRule="auto"/>
        <w:jc w:val="center"/>
        <w:rPr>
          <w:rFonts w:hint="eastAsia" w:ascii="宋体" w:hAnsi="宋体" w:eastAsia="宋体" w:cs="宋体"/>
          <w:b w:val="0"/>
          <w:color w:val="auto"/>
          <w:sz w:val="36"/>
          <w:szCs w:val="30"/>
        </w:rPr>
      </w:pPr>
      <w:r>
        <w:rPr>
          <w:rFonts w:hint="eastAsia" w:ascii="宋体" w:hAnsi="宋体" w:eastAsia="宋体" w:cs="宋体"/>
          <w:b w:val="0"/>
          <w:color w:val="auto"/>
          <w:sz w:val="36"/>
          <w:szCs w:val="30"/>
        </w:rPr>
        <w:br w:type="page"/>
      </w:r>
      <w:bookmarkStart w:id="93" w:name="_Toc65660349"/>
      <w:bookmarkStart w:id="94" w:name="_Toc16123"/>
      <w:bookmarkStart w:id="95" w:name="_Toc24195"/>
      <w:bookmarkStart w:id="96" w:name="_Toc19945"/>
      <w:r>
        <w:rPr>
          <w:rFonts w:hint="eastAsia" w:ascii="宋体" w:hAnsi="宋体" w:eastAsia="宋体" w:cs="宋体"/>
          <w:b w:val="0"/>
          <w:color w:val="auto"/>
          <w:sz w:val="36"/>
          <w:szCs w:val="30"/>
        </w:rPr>
        <w:t>第四篇  采购程序、评定成交的标准、无效谈判及采购终止</w:t>
      </w:r>
      <w:bookmarkEnd w:id="93"/>
      <w:bookmarkEnd w:id="94"/>
      <w:bookmarkEnd w:id="95"/>
      <w:bookmarkEnd w:id="96"/>
    </w:p>
    <w:p w14:paraId="14EF9BFF">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97" w:name="_Toc9361"/>
      <w:bookmarkStart w:id="98" w:name="_Toc9950"/>
      <w:bookmarkStart w:id="99" w:name="_Toc5167"/>
      <w:bookmarkStart w:id="100" w:name="_Toc64732012"/>
      <w:bookmarkStart w:id="101" w:name="_Toc65660350"/>
      <w:r>
        <w:rPr>
          <w:rFonts w:hint="eastAsia" w:ascii="宋体" w:hAnsi="宋体" w:eastAsia="宋体" w:cs="宋体"/>
          <w:color w:val="auto"/>
          <w:sz w:val="24"/>
        </w:rPr>
        <w:t>一、采购程序</w:t>
      </w:r>
      <w:bookmarkEnd w:id="97"/>
      <w:bookmarkEnd w:id="98"/>
      <w:bookmarkEnd w:id="99"/>
      <w:bookmarkEnd w:id="100"/>
      <w:bookmarkEnd w:id="101"/>
    </w:p>
    <w:p w14:paraId="69E58AAE">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（一）谈判按竞争性谈判文件规定的时间和地点进行。供应商须有法定代表人（或其授权代表）或自然人参加并签到。</w:t>
      </w:r>
    </w:p>
    <w:p w14:paraId="63BDFE45">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（二）竞争性谈判以抽签的形式确定谈判顺序，由本项目谈判小组分别与各供应商进行谈判。在谈判前，对各供应商的资格条件、实质性响应等进行审查。 </w:t>
      </w:r>
    </w:p>
    <w:p w14:paraId="374ACD8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1.资格性审查。依据法律法规和竞争性谈判文件的规定，对响应文件中的资格证明材料、保证金等进行审查。资格性审查内容如下：</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086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D5E2169">
            <w:pPr>
              <w:spacing w:line="40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2D452689">
            <w:pPr>
              <w:spacing w:line="40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2A6ADD3B">
            <w:pPr>
              <w:spacing w:line="40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检查内容</w:t>
            </w:r>
          </w:p>
        </w:tc>
      </w:tr>
      <w:tr w14:paraId="0F2A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center"/>
          </w:tcPr>
          <w:p w14:paraId="58E57729">
            <w:pPr>
              <w:spacing w:line="400" w:lineRule="exact"/>
              <w:rPr>
                <w:rFonts w:hint="eastAsia" w:ascii="宋体" w:hAnsi="宋体" w:cs="宋体"/>
                <w:color w:val="auto"/>
                <w:sz w:val="24"/>
                <w:szCs w:val="24"/>
              </w:rPr>
            </w:pPr>
            <w:r>
              <w:rPr>
                <w:rFonts w:hint="eastAsia" w:ascii="宋体" w:hAnsi="宋体" w:cs="宋体"/>
                <w:color w:val="auto"/>
                <w:sz w:val="24"/>
                <w:szCs w:val="24"/>
              </w:rPr>
              <w:t>（一）</w:t>
            </w:r>
          </w:p>
        </w:tc>
        <w:tc>
          <w:tcPr>
            <w:tcW w:w="709" w:type="dxa"/>
            <w:vMerge w:val="restart"/>
            <w:noWrap w:val="0"/>
            <w:vAlign w:val="center"/>
          </w:tcPr>
          <w:p w14:paraId="37056DA9">
            <w:pPr>
              <w:spacing w:line="400" w:lineRule="exact"/>
              <w:rPr>
                <w:rFonts w:hint="eastAsia" w:ascii="宋体" w:hAnsi="宋体" w:cs="宋体"/>
                <w:color w:val="auto"/>
                <w:sz w:val="24"/>
                <w:szCs w:val="24"/>
                <w:lang w:val="zh-CN"/>
              </w:rPr>
            </w:pPr>
            <w:r>
              <w:rPr>
                <w:rFonts w:hint="eastAsia" w:ascii="宋体" w:hAnsi="宋体" w:cs="宋体"/>
                <w:color w:val="auto"/>
                <w:sz w:val="24"/>
                <w:szCs w:val="24"/>
                <w:lang w:val="zh-CN"/>
              </w:rPr>
              <w:t>《中华人民共和国政府采购法》第二十二条规定</w:t>
            </w:r>
          </w:p>
        </w:tc>
        <w:tc>
          <w:tcPr>
            <w:tcW w:w="2835" w:type="dxa"/>
            <w:noWrap w:val="0"/>
            <w:vAlign w:val="center"/>
          </w:tcPr>
          <w:p w14:paraId="0D6D339B">
            <w:pPr>
              <w:spacing w:line="400" w:lineRule="exact"/>
              <w:rPr>
                <w:rFonts w:hint="eastAsia" w:ascii="宋体" w:hAnsi="宋体" w:cs="宋体"/>
                <w:color w:val="auto"/>
                <w:sz w:val="24"/>
                <w:szCs w:val="24"/>
              </w:rPr>
            </w:pPr>
            <w:r>
              <w:rPr>
                <w:rFonts w:hint="eastAsia" w:ascii="宋体" w:hAnsi="宋体" w:cs="宋体"/>
                <w:color w:val="auto"/>
                <w:sz w:val="24"/>
                <w:szCs w:val="24"/>
              </w:rPr>
              <w:t>1.具有独立承担民事责任的能力</w:t>
            </w:r>
          </w:p>
        </w:tc>
        <w:tc>
          <w:tcPr>
            <w:tcW w:w="5267" w:type="dxa"/>
            <w:noWrap w:val="0"/>
            <w:vAlign w:val="center"/>
          </w:tcPr>
          <w:p w14:paraId="60FEE37F">
            <w:pPr>
              <w:spacing w:line="400" w:lineRule="exact"/>
              <w:rPr>
                <w:rFonts w:hint="eastAsia" w:ascii="宋体" w:hAnsi="宋体" w:cs="宋体"/>
                <w:color w:val="auto"/>
                <w:sz w:val="24"/>
                <w:szCs w:val="24"/>
              </w:rPr>
            </w:pPr>
            <w:r>
              <w:rPr>
                <w:rFonts w:hint="eastAsia" w:ascii="宋体" w:hAnsi="宋体" w:cs="宋体"/>
                <w:color w:val="auto"/>
                <w:sz w:val="24"/>
                <w:szCs w:val="24"/>
              </w:rPr>
              <w:t xml:space="preserve">1.供应商法人营业执照（副本）或事业单位法人证书（副本）或个体工商户营业执照或有效的自然人身份证明或社会团体法人登记证书（提供复印件）。 </w:t>
            </w:r>
          </w:p>
          <w:p w14:paraId="25FC7068">
            <w:pPr>
              <w:spacing w:line="400" w:lineRule="exact"/>
              <w:rPr>
                <w:rFonts w:hint="eastAsia" w:ascii="宋体" w:hAnsi="宋体" w:cs="宋体"/>
                <w:color w:val="auto"/>
                <w:sz w:val="24"/>
                <w:szCs w:val="24"/>
              </w:rPr>
            </w:pPr>
            <w:r>
              <w:rPr>
                <w:rFonts w:hint="eastAsia" w:ascii="宋体" w:hAnsi="宋体" w:cs="宋体"/>
                <w:color w:val="auto"/>
                <w:sz w:val="24"/>
                <w:szCs w:val="24"/>
              </w:rPr>
              <w:t>2.供应商法定代表人身份证明和法定代表人授权代表委托书。</w:t>
            </w:r>
          </w:p>
        </w:tc>
      </w:tr>
      <w:tr w14:paraId="28E0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1311CC2C">
            <w:pPr>
              <w:spacing w:line="400" w:lineRule="exact"/>
              <w:rPr>
                <w:rFonts w:hint="eastAsia" w:ascii="宋体" w:hAnsi="宋体" w:cs="宋体"/>
                <w:color w:val="auto"/>
                <w:sz w:val="24"/>
                <w:szCs w:val="24"/>
              </w:rPr>
            </w:pPr>
          </w:p>
        </w:tc>
        <w:tc>
          <w:tcPr>
            <w:tcW w:w="709" w:type="dxa"/>
            <w:vMerge w:val="continue"/>
            <w:noWrap w:val="0"/>
            <w:vAlign w:val="center"/>
          </w:tcPr>
          <w:p w14:paraId="4B5D328C">
            <w:pPr>
              <w:spacing w:line="400" w:lineRule="exact"/>
              <w:rPr>
                <w:rFonts w:hint="eastAsia" w:ascii="宋体" w:hAnsi="宋体" w:cs="宋体"/>
                <w:color w:val="auto"/>
                <w:sz w:val="24"/>
                <w:szCs w:val="24"/>
                <w:lang w:val="zh-CN"/>
              </w:rPr>
            </w:pPr>
          </w:p>
        </w:tc>
        <w:tc>
          <w:tcPr>
            <w:tcW w:w="2835" w:type="dxa"/>
            <w:noWrap w:val="0"/>
            <w:vAlign w:val="center"/>
          </w:tcPr>
          <w:p w14:paraId="1508E0E2">
            <w:pPr>
              <w:spacing w:line="400" w:lineRule="exact"/>
              <w:rPr>
                <w:rFonts w:hint="eastAsia" w:ascii="宋体" w:hAnsi="宋体" w:cs="宋体"/>
                <w:color w:val="auto"/>
                <w:sz w:val="24"/>
                <w:szCs w:val="24"/>
              </w:rPr>
            </w:pPr>
            <w:r>
              <w:rPr>
                <w:rFonts w:hint="eastAsia" w:ascii="宋体" w:hAnsi="宋体" w:cs="宋体"/>
                <w:color w:val="auto"/>
                <w:sz w:val="24"/>
                <w:szCs w:val="24"/>
                <w:lang w:val="zh-CN"/>
              </w:rPr>
              <w:t>2.</w:t>
            </w:r>
            <w:r>
              <w:rPr>
                <w:rFonts w:hint="eastAsia" w:ascii="宋体" w:hAnsi="宋体" w:cs="宋体"/>
                <w:color w:val="auto"/>
                <w:sz w:val="24"/>
                <w:szCs w:val="24"/>
              </w:rPr>
              <w:t>具有良好的商业信誉和健全的财务会计制度</w:t>
            </w:r>
          </w:p>
        </w:tc>
        <w:tc>
          <w:tcPr>
            <w:tcW w:w="5267" w:type="dxa"/>
            <w:vMerge w:val="restart"/>
            <w:noWrap w:val="0"/>
            <w:vAlign w:val="center"/>
          </w:tcPr>
          <w:p w14:paraId="569C708E">
            <w:pPr>
              <w:spacing w:line="400" w:lineRule="exact"/>
              <w:rPr>
                <w:rFonts w:hint="eastAsia" w:ascii="宋体" w:hAnsi="宋体" w:cs="宋体"/>
                <w:b/>
                <w:color w:val="auto"/>
                <w:sz w:val="24"/>
                <w:szCs w:val="24"/>
              </w:rPr>
            </w:pPr>
            <w:r>
              <w:rPr>
                <w:rFonts w:hint="eastAsia" w:ascii="宋体" w:hAnsi="宋体" w:cs="宋体"/>
                <w:color w:val="auto"/>
                <w:sz w:val="24"/>
                <w:szCs w:val="24"/>
              </w:rPr>
              <w:t>供应商提供“基本资格条件承诺函”（格式详见第七篇）。</w:t>
            </w:r>
          </w:p>
        </w:tc>
      </w:tr>
      <w:tr w14:paraId="65F7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0A4A88BE">
            <w:pPr>
              <w:spacing w:line="400" w:lineRule="exact"/>
              <w:rPr>
                <w:rFonts w:hint="eastAsia" w:ascii="宋体" w:hAnsi="宋体" w:cs="宋体"/>
                <w:color w:val="auto"/>
                <w:sz w:val="24"/>
                <w:szCs w:val="24"/>
              </w:rPr>
            </w:pPr>
          </w:p>
        </w:tc>
        <w:tc>
          <w:tcPr>
            <w:tcW w:w="709" w:type="dxa"/>
            <w:vMerge w:val="continue"/>
            <w:noWrap w:val="0"/>
            <w:vAlign w:val="center"/>
          </w:tcPr>
          <w:p w14:paraId="1C204AC7">
            <w:pPr>
              <w:spacing w:line="400" w:lineRule="exact"/>
              <w:rPr>
                <w:rFonts w:hint="eastAsia" w:ascii="宋体" w:hAnsi="宋体" w:cs="宋体"/>
                <w:color w:val="auto"/>
                <w:sz w:val="24"/>
                <w:szCs w:val="24"/>
                <w:lang w:val="zh-CN"/>
              </w:rPr>
            </w:pPr>
          </w:p>
        </w:tc>
        <w:tc>
          <w:tcPr>
            <w:tcW w:w="2835" w:type="dxa"/>
            <w:noWrap w:val="0"/>
            <w:vAlign w:val="center"/>
          </w:tcPr>
          <w:p w14:paraId="5626D95B">
            <w:pPr>
              <w:spacing w:line="400" w:lineRule="exact"/>
              <w:rPr>
                <w:rFonts w:hint="eastAsia" w:ascii="宋体" w:hAnsi="宋体" w:cs="宋体"/>
                <w:color w:val="auto"/>
                <w:sz w:val="24"/>
                <w:szCs w:val="24"/>
                <w:lang w:val="zh-CN"/>
              </w:rPr>
            </w:pPr>
            <w:r>
              <w:rPr>
                <w:rFonts w:hint="eastAsia" w:ascii="宋体" w:hAnsi="宋体" w:cs="宋体"/>
                <w:color w:val="auto"/>
                <w:sz w:val="24"/>
                <w:szCs w:val="24"/>
                <w:lang w:val="zh-CN"/>
              </w:rPr>
              <w:t>3.具有履行合同所必需的设备和专业技术能力</w:t>
            </w:r>
          </w:p>
        </w:tc>
        <w:tc>
          <w:tcPr>
            <w:tcW w:w="5267" w:type="dxa"/>
            <w:vMerge w:val="continue"/>
            <w:noWrap w:val="0"/>
            <w:vAlign w:val="center"/>
          </w:tcPr>
          <w:p w14:paraId="64C00642">
            <w:pPr>
              <w:spacing w:line="400" w:lineRule="exact"/>
              <w:rPr>
                <w:rFonts w:hint="eastAsia" w:ascii="宋体" w:hAnsi="宋体" w:cs="宋体"/>
                <w:color w:val="auto"/>
                <w:sz w:val="24"/>
                <w:szCs w:val="24"/>
              </w:rPr>
            </w:pPr>
          </w:p>
        </w:tc>
      </w:tr>
      <w:tr w14:paraId="44E3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61491309">
            <w:pPr>
              <w:spacing w:line="400" w:lineRule="exact"/>
              <w:rPr>
                <w:rFonts w:hint="eastAsia" w:ascii="宋体" w:hAnsi="宋体" w:cs="宋体"/>
                <w:color w:val="auto"/>
                <w:sz w:val="24"/>
                <w:szCs w:val="24"/>
              </w:rPr>
            </w:pPr>
          </w:p>
        </w:tc>
        <w:tc>
          <w:tcPr>
            <w:tcW w:w="709" w:type="dxa"/>
            <w:vMerge w:val="continue"/>
            <w:noWrap w:val="0"/>
            <w:vAlign w:val="center"/>
          </w:tcPr>
          <w:p w14:paraId="33D85A4B">
            <w:pPr>
              <w:spacing w:line="400" w:lineRule="exact"/>
              <w:rPr>
                <w:rFonts w:hint="eastAsia" w:ascii="宋体" w:hAnsi="宋体" w:cs="宋体"/>
                <w:color w:val="auto"/>
                <w:sz w:val="24"/>
                <w:szCs w:val="24"/>
                <w:lang w:val="zh-CN"/>
              </w:rPr>
            </w:pPr>
          </w:p>
        </w:tc>
        <w:tc>
          <w:tcPr>
            <w:tcW w:w="2835" w:type="dxa"/>
            <w:noWrap w:val="0"/>
            <w:vAlign w:val="center"/>
          </w:tcPr>
          <w:p w14:paraId="733D3882">
            <w:pPr>
              <w:spacing w:line="400" w:lineRule="exact"/>
              <w:rPr>
                <w:rFonts w:hint="eastAsia" w:ascii="宋体" w:hAnsi="宋体" w:cs="宋体"/>
                <w:color w:val="auto"/>
                <w:sz w:val="24"/>
                <w:szCs w:val="24"/>
                <w:lang w:val="zh-CN"/>
              </w:rPr>
            </w:pPr>
            <w:r>
              <w:rPr>
                <w:rFonts w:hint="eastAsia" w:ascii="宋体" w:hAnsi="宋体" w:cs="宋体"/>
                <w:color w:val="auto"/>
                <w:sz w:val="24"/>
                <w:szCs w:val="24"/>
                <w:lang w:val="zh-CN"/>
              </w:rPr>
              <w:t>4.有依法缴纳税收和社会保障金的良好记录</w:t>
            </w:r>
          </w:p>
        </w:tc>
        <w:tc>
          <w:tcPr>
            <w:tcW w:w="5267" w:type="dxa"/>
            <w:vMerge w:val="continue"/>
            <w:noWrap w:val="0"/>
            <w:vAlign w:val="center"/>
          </w:tcPr>
          <w:p w14:paraId="2D175867">
            <w:pPr>
              <w:spacing w:line="400" w:lineRule="exact"/>
              <w:rPr>
                <w:rFonts w:hint="eastAsia" w:ascii="宋体" w:hAnsi="宋体" w:cs="宋体"/>
                <w:color w:val="auto"/>
                <w:sz w:val="24"/>
                <w:szCs w:val="24"/>
              </w:rPr>
            </w:pPr>
          </w:p>
        </w:tc>
      </w:tr>
      <w:tr w14:paraId="3BD5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14:paraId="7F10B2AF">
            <w:pPr>
              <w:spacing w:line="400" w:lineRule="exact"/>
              <w:rPr>
                <w:rFonts w:hint="eastAsia" w:ascii="宋体" w:hAnsi="宋体" w:cs="宋体"/>
                <w:color w:val="auto"/>
                <w:sz w:val="24"/>
                <w:szCs w:val="24"/>
              </w:rPr>
            </w:pPr>
          </w:p>
        </w:tc>
        <w:tc>
          <w:tcPr>
            <w:tcW w:w="709" w:type="dxa"/>
            <w:vMerge w:val="continue"/>
            <w:noWrap w:val="0"/>
            <w:vAlign w:val="center"/>
          </w:tcPr>
          <w:p w14:paraId="787DD8D9">
            <w:pPr>
              <w:spacing w:line="400" w:lineRule="exact"/>
              <w:rPr>
                <w:rFonts w:hint="eastAsia" w:ascii="宋体" w:hAnsi="宋体" w:cs="宋体"/>
                <w:color w:val="auto"/>
                <w:sz w:val="24"/>
                <w:szCs w:val="24"/>
                <w:lang w:val="zh-CN"/>
              </w:rPr>
            </w:pPr>
          </w:p>
        </w:tc>
        <w:tc>
          <w:tcPr>
            <w:tcW w:w="2835" w:type="dxa"/>
            <w:noWrap w:val="0"/>
            <w:vAlign w:val="center"/>
          </w:tcPr>
          <w:p w14:paraId="6096825F">
            <w:pPr>
              <w:spacing w:line="400" w:lineRule="exact"/>
              <w:rPr>
                <w:rFonts w:ascii="宋体" w:hAnsi="宋体" w:cs="宋体"/>
                <w:color w:val="auto"/>
                <w:sz w:val="24"/>
                <w:szCs w:val="24"/>
              </w:rPr>
            </w:pPr>
            <w:r>
              <w:rPr>
                <w:rFonts w:hint="eastAsia" w:ascii="宋体" w:hAnsi="宋体" w:cs="宋体"/>
                <w:color w:val="auto"/>
                <w:sz w:val="24"/>
                <w:szCs w:val="24"/>
              </w:rPr>
              <w:t>5.参加政府采购活动前三年内，在经营活动中没有重大违法记录（注①）</w:t>
            </w:r>
          </w:p>
        </w:tc>
        <w:tc>
          <w:tcPr>
            <w:tcW w:w="5267" w:type="dxa"/>
            <w:vMerge w:val="continue"/>
            <w:noWrap w:val="0"/>
            <w:vAlign w:val="center"/>
          </w:tcPr>
          <w:p w14:paraId="7FABFDDF">
            <w:pPr>
              <w:spacing w:line="400" w:lineRule="exact"/>
              <w:rPr>
                <w:rFonts w:hint="eastAsia" w:ascii="宋体" w:hAnsi="宋体" w:cs="宋体"/>
                <w:b/>
                <w:color w:val="auto"/>
                <w:sz w:val="24"/>
                <w:szCs w:val="24"/>
              </w:rPr>
            </w:pPr>
          </w:p>
        </w:tc>
      </w:tr>
      <w:tr w14:paraId="20D7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noWrap w:val="0"/>
            <w:vAlign w:val="center"/>
          </w:tcPr>
          <w:p w14:paraId="049E6ACA">
            <w:pPr>
              <w:spacing w:line="400" w:lineRule="exact"/>
              <w:rPr>
                <w:rFonts w:hint="eastAsia" w:ascii="宋体" w:hAnsi="宋体" w:cs="宋体"/>
                <w:color w:val="auto"/>
                <w:sz w:val="24"/>
                <w:szCs w:val="24"/>
              </w:rPr>
            </w:pPr>
          </w:p>
        </w:tc>
        <w:tc>
          <w:tcPr>
            <w:tcW w:w="709" w:type="dxa"/>
            <w:vMerge w:val="continue"/>
            <w:noWrap w:val="0"/>
            <w:vAlign w:val="center"/>
          </w:tcPr>
          <w:p w14:paraId="3DFE5C7C">
            <w:pPr>
              <w:spacing w:line="400" w:lineRule="exact"/>
              <w:rPr>
                <w:rFonts w:hint="eastAsia" w:ascii="宋体" w:hAnsi="宋体" w:cs="宋体"/>
                <w:color w:val="auto"/>
                <w:sz w:val="24"/>
                <w:szCs w:val="24"/>
              </w:rPr>
            </w:pPr>
          </w:p>
        </w:tc>
        <w:tc>
          <w:tcPr>
            <w:tcW w:w="2835" w:type="dxa"/>
            <w:noWrap w:val="0"/>
            <w:vAlign w:val="center"/>
          </w:tcPr>
          <w:p w14:paraId="719F783B">
            <w:pPr>
              <w:spacing w:line="400" w:lineRule="exact"/>
              <w:rPr>
                <w:rFonts w:hint="eastAsia" w:ascii="宋体" w:hAnsi="宋体" w:cs="宋体"/>
                <w:color w:val="auto"/>
                <w:sz w:val="24"/>
                <w:szCs w:val="24"/>
              </w:rPr>
            </w:pPr>
            <w:r>
              <w:rPr>
                <w:rFonts w:hint="eastAsia" w:ascii="宋体" w:hAnsi="宋体" w:cs="宋体"/>
                <w:color w:val="auto"/>
                <w:sz w:val="24"/>
                <w:szCs w:val="24"/>
              </w:rPr>
              <w:t>6.法律、行政法规规定的其他条件</w:t>
            </w:r>
          </w:p>
        </w:tc>
        <w:tc>
          <w:tcPr>
            <w:tcW w:w="5267" w:type="dxa"/>
            <w:noWrap w:val="0"/>
            <w:vAlign w:val="center"/>
          </w:tcPr>
          <w:p w14:paraId="2D24732D">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r>
      <w:tr w14:paraId="50A3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noWrap w:val="0"/>
            <w:vAlign w:val="center"/>
          </w:tcPr>
          <w:p w14:paraId="6C6922DC">
            <w:pPr>
              <w:spacing w:line="400" w:lineRule="exact"/>
              <w:rPr>
                <w:rFonts w:hint="eastAsia" w:ascii="宋体" w:hAnsi="宋体" w:cs="宋体"/>
                <w:color w:val="auto"/>
                <w:sz w:val="24"/>
                <w:szCs w:val="24"/>
              </w:rPr>
            </w:pPr>
          </w:p>
        </w:tc>
        <w:tc>
          <w:tcPr>
            <w:tcW w:w="709" w:type="dxa"/>
            <w:vMerge w:val="continue"/>
            <w:noWrap w:val="0"/>
            <w:vAlign w:val="center"/>
          </w:tcPr>
          <w:p w14:paraId="69127118">
            <w:pPr>
              <w:spacing w:line="400" w:lineRule="exact"/>
              <w:rPr>
                <w:rFonts w:hint="eastAsia" w:ascii="宋体" w:hAnsi="宋体" w:cs="宋体"/>
                <w:color w:val="auto"/>
                <w:sz w:val="24"/>
                <w:szCs w:val="24"/>
              </w:rPr>
            </w:pPr>
          </w:p>
        </w:tc>
        <w:tc>
          <w:tcPr>
            <w:tcW w:w="2835" w:type="dxa"/>
            <w:noWrap w:val="0"/>
            <w:vAlign w:val="center"/>
          </w:tcPr>
          <w:p w14:paraId="4032C159">
            <w:pPr>
              <w:spacing w:line="400" w:lineRule="exact"/>
              <w:rPr>
                <w:rFonts w:hint="eastAsia" w:ascii="宋体" w:hAnsi="宋体" w:cs="宋体"/>
                <w:color w:val="auto"/>
                <w:sz w:val="24"/>
                <w:szCs w:val="24"/>
              </w:rPr>
            </w:pPr>
            <w:r>
              <w:rPr>
                <w:rFonts w:hint="eastAsia" w:ascii="宋体" w:hAnsi="宋体" w:cs="宋体"/>
                <w:color w:val="auto"/>
                <w:sz w:val="24"/>
                <w:szCs w:val="24"/>
              </w:rPr>
              <w:t>7.本项目的特定资格要求</w:t>
            </w:r>
          </w:p>
        </w:tc>
        <w:tc>
          <w:tcPr>
            <w:tcW w:w="5267" w:type="dxa"/>
            <w:noWrap w:val="0"/>
            <w:vAlign w:val="center"/>
          </w:tcPr>
          <w:p w14:paraId="0DC5DB67">
            <w:pPr>
              <w:spacing w:line="400" w:lineRule="exact"/>
              <w:rPr>
                <w:rFonts w:hint="eastAsia" w:ascii="宋体" w:hAnsi="宋体" w:cs="宋体"/>
                <w:color w:val="auto"/>
                <w:sz w:val="24"/>
                <w:szCs w:val="24"/>
              </w:rPr>
            </w:pPr>
            <w:r>
              <w:rPr>
                <w:rFonts w:hint="eastAsia" w:ascii="宋体" w:hAnsi="宋体" w:cs="宋体"/>
                <w:color w:val="auto"/>
                <w:sz w:val="24"/>
                <w:szCs w:val="24"/>
              </w:rPr>
              <w:t>按第一篇“三、供应商资格要求（二）本项目的特定资格要求”的要求提交（如果有）。</w:t>
            </w:r>
          </w:p>
        </w:tc>
      </w:tr>
      <w:tr w14:paraId="3943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6DD3D00D">
            <w:pPr>
              <w:spacing w:line="400" w:lineRule="exact"/>
              <w:jc w:val="left"/>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二</w:t>
            </w:r>
            <w:r>
              <w:rPr>
                <w:rFonts w:hint="eastAsia" w:ascii="宋体" w:hAnsi="宋体" w:cs="宋体"/>
                <w:color w:val="auto"/>
                <w:sz w:val="24"/>
                <w:szCs w:val="24"/>
              </w:rPr>
              <w:t>）</w:t>
            </w:r>
          </w:p>
        </w:tc>
        <w:tc>
          <w:tcPr>
            <w:tcW w:w="3544" w:type="dxa"/>
            <w:gridSpan w:val="2"/>
            <w:noWrap w:val="0"/>
            <w:vAlign w:val="center"/>
          </w:tcPr>
          <w:p w14:paraId="0ABDB01B">
            <w:pPr>
              <w:spacing w:line="400" w:lineRule="exact"/>
              <w:jc w:val="left"/>
              <w:rPr>
                <w:rFonts w:hint="eastAsia" w:ascii="宋体" w:hAnsi="宋体" w:cs="宋体"/>
                <w:color w:val="auto"/>
                <w:sz w:val="24"/>
                <w:szCs w:val="24"/>
              </w:rPr>
            </w:pPr>
            <w:r>
              <w:rPr>
                <w:rFonts w:hint="eastAsia" w:ascii="宋体" w:hAnsi="宋体" w:cs="宋体"/>
                <w:color w:val="auto"/>
                <w:sz w:val="24"/>
                <w:szCs w:val="24"/>
              </w:rPr>
              <w:t>谈判保证金</w:t>
            </w:r>
          </w:p>
        </w:tc>
        <w:tc>
          <w:tcPr>
            <w:tcW w:w="5267" w:type="dxa"/>
            <w:noWrap w:val="0"/>
            <w:vAlign w:val="top"/>
          </w:tcPr>
          <w:p w14:paraId="7C9E948D">
            <w:pPr>
              <w:spacing w:line="400" w:lineRule="exact"/>
              <w:jc w:val="left"/>
              <w:rPr>
                <w:rFonts w:hint="eastAsia" w:ascii="宋体" w:hAnsi="宋体" w:cs="宋体"/>
                <w:color w:val="auto"/>
                <w:sz w:val="24"/>
                <w:szCs w:val="24"/>
              </w:rPr>
            </w:pPr>
            <w:r>
              <w:rPr>
                <w:rFonts w:hint="eastAsia" w:ascii="宋体" w:hAnsi="宋体" w:cs="宋体"/>
                <w:color w:val="auto"/>
                <w:sz w:val="24"/>
                <w:szCs w:val="24"/>
              </w:rPr>
              <w:t>按照竞争性谈判文件要求足额交纳所参与包的谈判保证金。</w:t>
            </w:r>
          </w:p>
        </w:tc>
      </w:tr>
    </w:tbl>
    <w:p w14:paraId="3234270C">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C6B4EA5">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499"/>
        <w:gridCol w:w="6259"/>
      </w:tblGrid>
      <w:tr w14:paraId="34A4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0" w:type="dxa"/>
            <w:noWrap w:val="0"/>
            <w:vAlign w:val="center"/>
          </w:tcPr>
          <w:p w14:paraId="14E6D454">
            <w:pPr>
              <w:spacing w:line="40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序号</w:t>
            </w:r>
          </w:p>
        </w:tc>
        <w:tc>
          <w:tcPr>
            <w:tcW w:w="2499" w:type="dxa"/>
            <w:noWrap w:val="0"/>
            <w:vAlign w:val="center"/>
          </w:tcPr>
          <w:p w14:paraId="6A5EA0BB">
            <w:pPr>
              <w:spacing w:line="40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审查因素</w:t>
            </w:r>
          </w:p>
        </w:tc>
        <w:tc>
          <w:tcPr>
            <w:tcW w:w="6259" w:type="dxa"/>
            <w:noWrap w:val="0"/>
            <w:vAlign w:val="center"/>
          </w:tcPr>
          <w:p w14:paraId="7768C51B">
            <w:pPr>
              <w:spacing w:line="400" w:lineRule="exact"/>
              <w:jc w:val="center"/>
              <w:rPr>
                <w:rFonts w:hint="eastAsia" w:ascii="宋体" w:hAnsi="宋体" w:cs="宋体"/>
                <w:b/>
                <w:color w:val="auto"/>
                <w:kern w:val="0"/>
                <w:sz w:val="24"/>
                <w:szCs w:val="24"/>
              </w:rPr>
            </w:pPr>
            <w:r>
              <w:rPr>
                <w:rFonts w:hint="eastAsia" w:ascii="宋体" w:hAnsi="宋体" w:cs="宋体"/>
                <w:b/>
                <w:color w:val="auto"/>
                <w:kern w:val="0"/>
                <w:sz w:val="24"/>
                <w:szCs w:val="24"/>
              </w:rPr>
              <w:t>审查标准</w:t>
            </w:r>
          </w:p>
        </w:tc>
      </w:tr>
      <w:tr w14:paraId="6D29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0" w:type="dxa"/>
            <w:vMerge w:val="restart"/>
            <w:noWrap w:val="0"/>
            <w:vAlign w:val="center"/>
          </w:tcPr>
          <w:p w14:paraId="70FBB4D7">
            <w:pPr>
              <w:spacing w:line="40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2499" w:type="dxa"/>
            <w:noWrap w:val="0"/>
            <w:vAlign w:val="center"/>
          </w:tcPr>
          <w:p w14:paraId="3663B6B1">
            <w:pPr>
              <w:spacing w:line="400" w:lineRule="exact"/>
              <w:rPr>
                <w:rFonts w:hint="eastAsia" w:ascii="宋体" w:hAnsi="宋体" w:cs="宋体"/>
                <w:color w:val="auto"/>
                <w:kern w:val="0"/>
                <w:sz w:val="24"/>
                <w:szCs w:val="24"/>
              </w:rPr>
            </w:pPr>
            <w:r>
              <w:rPr>
                <w:rFonts w:hint="eastAsia" w:ascii="宋体" w:hAnsi="宋体" w:cs="宋体"/>
                <w:color w:val="auto"/>
                <w:sz w:val="24"/>
                <w:szCs w:val="24"/>
              </w:rPr>
              <w:t>响应文件签署或盖章</w:t>
            </w:r>
          </w:p>
        </w:tc>
        <w:tc>
          <w:tcPr>
            <w:tcW w:w="6259" w:type="dxa"/>
            <w:noWrap w:val="0"/>
            <w:vAlign w:val="center"/>
          </w:tcPr>
          <w:p w14:paraId="483734C6">
            <w:pPr>
              <w:spacing w:line="400" w:lineRule="exact"/>
              <w:rPr>
                <w:rFonts w:hint="eastAsia" w:ascii="宋体" w:hAnsi="宋体" w:cs="宋体"/>
                <w:color w:val="auto"/>
                <w:kern w:val="0"/>
                <w:sz w:val="24"/>
                <w:szCs w:val="24"/>
              </w:rPr>
            </w:pPr>
            <w:r>
              <w:rPr>
                <w:rFonts w:hint="eastAsia" w:ascii="宋体" w:hAnsi="宋体" w:cs="宋体"/>
                <w:color w:val="auto"/>
                <w:sz w:val="24"/>
                <w:szCs w:val="24"/>
              </w:rPr>
              <w:t>按“第七篇响应文件格式要求”要求签署或盖章</w:t>
            </w:r>
          </w:p>
        </w:tc>
      </w:tr>
      <w:tr w14:paraId="63B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0" w:type="dxa"/>
            <w:vMerge w:val="continue"/>
            <w:noWrap w:val="0"/>
            <w:vAlign w:val="center"/>
          </w:tcPr>
          <w:p w14:paraId="115A52AB">
            <w:pPr>
              <w:spacing w:line="400" w:lineRule="exact"/>
              <w:jc w:val="center"/>
              <w:rPr>
                <w:rFonts w:hint="eastAsia" w:ascii="宋体" w:hAnsi="宋体" w:cs="宋体"/>
                <w:color w:val="auto"/>
                <w:kern w:val="0"/>
                <w:sz w:val="24"/>
                <w:szCs w:val="24"/>
              </w:rPr>
            </w:pPr>
          </w:p>
        </w:tc>
        <w:tc>
          <w:tcPr>
            <w:tcW w:w="2499" w:type="dxa"/>
            <w:noWrap w:val="0"/>
            <w:vAlign w:val="center"/>
          </w:tcPr>
          <w:p w14:paraId="25FAFA43">
            <w:pPr>
              <w:spacing w:line="400" w:lineRule="exact"/>
              <w:rPr>
                <w:rFonts w:hint="eastAsia" w:ascii="宋体" w:hAnsi="宋体" w:cs="宋体"/>
                <w:color w:val="auto"/>
                <w:sz w:val="24"/>
                <w:szCs w:val="24"/>
              </w:rPr>
            </w:pPr>
            <w:r>
              <w:rPr>
                <w:rFonts w:hint="eastAsia" w:ascii="宋体" w:hAnsi="宋体" w:cs="宋体"/>
                <w:color w:val="auto"/>
                <w:sz w:val="24"/>
                <w:szCs w:val="24"/>
              </w:rPr>
              <w:t>法定代表人身份证明及授权委托书</w:t>
            </w:r>
          </w:p>
        </w:tc>
        <w:tc>
          <w:tcPr>
            <w:tcW w:w="6259" w:type="dxa"/>
            <w:noWrap w:val="0"/>
            <w:vAlign w:val="center"/>
          </w:tcPr>
          <w:p w14:paraId="4A1EB491">
            <w:pPr>
              <w:spacing w:line="400" w:lineRule="exact"/>
              <w:rPr>
                <w:rFonts w:hint="eastAsia" w:ascii="宋体" w:hAnsi="宋体" w:cs="宋体"/>
                <w:color w:val="auto"/>
                <w:sz w:val="24"/>
                <w:szCs w:val="24"/>
              </w:rPr>
            </w:pPr>
            <w:r>
              <w:rPr>
                <w:rFonts w:hint="eastAsia" w:ascii="宋体" w:hAnsi="宋体" w:cs="宋体"/>
                <w:color w:val="auto"/>
                <w:sz w:val="24"/>
                <w:szCs w:val="24"/>
              </w:rPr>
              <w:t>法定代表人身份证明及授权委托书有效，符合竞争性谈判文件规定的格式，签署或盖章齐全。</w:t>
            </w:r>
          </w:p>
        </w:tc>
      </w:tr>
      <w:tr w14:paraId="24BB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0" w:type="dxa"/>
            <w:vMerge w:val="continue"/>
            <w:noWrap w:val="0"/>
            <w:vAlign w:val="center"/>
          </w:tcPr>
          <w:p w14:paraId="65903891">
            <w:pPr>
              <w:spacing w:line="400" w:lineRule="exact"/>
              <w:jc w:val="center"/>
              <w:rPr>
                <w:rFonts w:hint="eastAsia" w:ascii="宋体" w:hAnsi="宋体" w:cs="宋体"/>
                <w:color w:val="auto"/>
                <w:kern w:val="0"/>
                <w:sz w:val="24"/>
                <w:szCs w:val="24"/>
              </w:rPr>
            </w:pPr>
          </w:p>
        </w:tc>
        <w:tc>
          <w:tcPr>
            <w:tcW w:w="2499" w:type="dxa"/>
            <w:noWrap w:val="0"/>
            <w:vAlign w:val="center"/>
          </w:tcPr>
          <w:p w14:paraId="546C64F8">
            <w:pPr>
              <w:spacing w:line="400" w:lineRule="exact"/>
              <w:rPr>
                <w:rFonts w:hint="eastAsia" w:ascii="宋体" w:hAnsi="宋体" w:cs="宋体"/>
                <w:color w:val="auto"/>
                <w:sz w:val="24"/>
                <w:szCs w:val="24"/>
                <w:lang w:val="zh-CN"/>
              </w:rPr>
            </w:pPr>
            <w:r>
              <w:rPr>
                <w:rFonts w:hint="eastAsia" w:ascii="宋体" w:hAnsi="宋体" w:cs="宋体"/>
                <w:color w:val="auto"/>
                <w:sz w:val="24"/>
                <w:szCs w:val="24"/>
              </w:rPr>
              <w:t>响应</w:t>
            </w:r>
            <w:r>
              <w:rPr>
                <w:rFonts w:hint="eastAsia" w:ascii="宋体" w:hAnsi="宋体" w:cs="宋体"/>
                <w:color w:val="auto"/>
                <w:sz w:val="24"/>
                <w:szCs w:val="24"/>
                <w:lang w:val="zh-CN"/>
              </w:rPr>
              <w:t>方案</w:t>
            </w:r>
          </w:p>
        </w:tc>
        <w:tc>
          <w:tcPr>
            <w:tcW w:w="6259" w:type="dxa"/>
            <w:noWrap w:val="0"/>
            <w:vAlign w:val="center"/>
          </w:tcPr>
          <w:p w14:paraId="04DCA1A1">
            <w:pPr>
              <w:spacing w:line="400" w:lineRule="exact"/>
              <w:rPr>
                <w:rFonts w:hint="eastAsia" w:ascii="宋体" w:hAnsi="宋体" w:cs="宋体"/>
                <w:color w:val="auto"/>
                <w:kern w:val="0"/>
                <w:sz w:val="24"/>
                <w:szCs w:val="24"/>
              </w:rPr>
            </w:pPr>
            <w:r>
              <w:rPr>
                <w:rFonts w:hint="eastAsia" w:ascii="宋体" w:hAnsi="宋体" w:cs="宋体"/>
                <w:color w:val="auto"/>
                <w:sz w:val="24"/>
                <w:szCs w:val="24"/>
                <w:lang w:val="zh-CN"/>
              </w:rPr>
              <w:t>只能有一个</w:t>
            </w:r>
            <w:r>
              <w:rPr>
                <w:rFonts w:hint="eastAsia" w:ascii="宋体" w:hAnsi="宋体" w:cs="宋体"/>
                <w:color w:val="auto"/>
                <w:sz w:val="24"/>
                <w:szCs w:val="24"/>
              </w:rPr>
              <w:t>响应</w:t>
            </w:r>
            <w:r>
              <w:rPr>
                <w:rFonts w:hint="eastAsia" w:ascii="宋体" w:hAnsi="宋体" w:cs="宋体"/>
                <w:color w:val="auto"/>
                <w:sz w:val="24"/>
                <w:szCs w:val="24"/>
                <w:lang w:val="zh-CN"/>
              </w:rPr>
              <w:t>方案。</w:t>
            </w:r>
          </w:p>
        </w:tc>
      </w:tr>
      <w:tr w14:paraId="326C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70" w:type="dxa"/>
            <w:vMerge w:val="continue"/>
            <w:noWrap w:val="0"/>
            <w:vAlign w:val="center"/>
          </w:tcPr>
          <w:p w14:paraId="4E59BB1D">
            <w:pPr>
              <w:spacing w:line="400" w:lineRule="exact"/>
              <w:jc w:val="center"/>
              <w:rPr>
                <w:rFonts w:hint="eastAsia" w:ascii="宋体" w:hAnsi="宋体" w:cs="宋体"/>
                <w:color w:val="auto"/>
                <w:kern w:val="0"/>
                <w:sz w:val="24"/>
                <w:szCs w:val="24"/>
              </w:rPr>
            </w:pPr>
          </w:p>
        </w:tc>
        <w:tc>
          <w:tcPr>
            <w:tcW w:w="2499" w:type="dxa"/>
            <w:noWrap w:val="0"/>
            <w:vAlign w:val="center"/>
          </w:tcPr>
          <w:p w14:paraId="33D8BF09">
            <w:pPr>
              <w:spacing w:line="400" w:lineRule="exact"/>
              <w:rPr>
                <w:rFonts w:hint="eastAsia" w:ascii="宋体" w:hAnsi="宋体" w:cs="宋体"/>
                <w:color w:val="auto"/>
                <w:sz w:val="24"/>
                <w:szCs w:val="24"/>
                <w:lang w:val="zh-CN"/>
              </w:rPr>
            </w:pPr>
            <w:r>
              <w:rPr>
                <w:rFonts w:hint="eastAsia" w:ascii="宋体" w:hAnsi="宋体" w:cs="宋体"/>
                <w:color w:val="auto"/>
                <w:sz w:val="24"/>
                <w:szCs w:val="24"/>
              </w:rPr>
              <w:t>报价唯一</w:t>
            </w:r>
          </w:p>
        </w:tc>
        <w:tc>
          <w:tcPr>
            <w:tcW w:w="6259" w:type="dxa"/>
            <w:noWrap w:val="0"/>
            <w:vAlign w:val="center"/>
          </w:tcPr>
          <w:p w14:paraId="347304B5">
            <w:pPr>
              <w:spacing w:line="400" w:lineRule="exact"/>
              <w:rPr>
                <w:rFonts w:hint="eastAsia" w:ascii="宋体" w:hAnsi="宋体" w:cs="宋体"/>
                <w:color w:val="auto"/>
                <w:kern w:val="0"/>
                <w:sz w:val="24"/>
                <w:szCs w:val="24"/>
              </w:rPr>
            </w:pPr>
            <w:r>
              <w:rPr>
                <w:rFonts w:hint="eastAsia" w:ascii="宋体" w:hAnsi="宋体" w:cs="宋体"/>
                <w:color w:val="auto"/>
                <w:sz w:val="24"/>
                <w:szCs w:val="24"/>
              </w:rPr>
              <w:t>只能有一个有效报价，不得提交选择性报价。</w:t>
            </w:r>
          </w:p>
        </w:tc>
      </w:tr>
      <w:tr w14:paraId="5AB6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70" w:type="dxa"/>
            <w:noWrap w:val="0"/>
            <w:vAlign w:val="center"/>
          </w:tcPr>
          <w:p w14:paraId="6ABB103A">
            <w:pPr>
              <w:spacing w:line="40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2499" w:type="dxa"/>
            <w:noWrap w:val="0"/>
            <w:vAlign w:val="center"/>
          </w:tcPr>
          <w:p w14:paraId="5E09DEAB">
            <w:pPr>
              <w:spacing w:line="400" w:lineRule="exact"/>
              <w:rPr>
                <w:rFonts w:hint="eastAsia" w:ascii="宋体" w:hAnsi="宋体" w:cs="宋体"/>
                <w:color w:val="auto"/>
                <w:kern w:val="0"/>
                <w:sz w:val="24"/>
                <w:szCs w:val="24"/>
              </w:rPr>
            </w:pPr>
            <w:r>
              <w:rPr>
                <w:rFonts w:hint="eastAsia" w:ascii="宋体" w:hAnsi="宋体" w:cs="宋体"/>
                <w:color w:val="auto"/>
                <w:sz w:val="24"/>
                <w:szCs w:val="24"/>
              </w:rPr>
              <w:t>响应</w:t>
            </w:r>
            <w:r>
              <w:rPr>
                <w:rFonts w:hint="eastAsia" w:ascii="宋体" w:hAnsi="宋体" w:cs="宋体"/>
                <w:color w:val="auto"/>
                <w:sz w:val="24"/>
                <w:szCs w:val="24"/>
                <w:lang w:val="zh-CN"/>
              </w:rPr>
              <w:t>文件份数</w:t>
            </w:r>
          </w:p>
        </w:tc>
        <w:tc>
          <w:tcPr>
            <w:tcW w:w="6259" w:type="dxa"/>
            <w:noWrap w:val="0"/>
            <w:vAlign w:val="center"/>
          </w:tcPr>
          <w:p w14:paraId="102C6B12">
            <w:pPr>
              <w:spacing w:line="400" w:lineRule="exact"/>
              <w:rPr>
                <w:rFonts w:hint="eastAsia" w:ascii="宋体" w:hAnsi="宋体" w:cs="宋体"/>
                <w:color w:val="auto"/>
                <w:kern w:val="0"/>
                <w:sz w:val="24"/>
                <w:szCs w:val="24"/>
              </w:rPr>
            </w:pPr>
            <w:r>
              <w:rPr>
                <w:rFonts w:hint="eastAsia" w:ascii="宋体" w:hAnsi="宋体" w:cs="宋体"/>
                <w:color w:val="auto"/>
                <w:sz w:val="24"/>
                <w:szCs w:val="24"/>
              </w:rPr>
              <w:t>响应</w:t>
            </w:r>
            <w:r>
              <w:rPr>
                <w:rFonts w:hint="eastAsia" w:ascii="宋体" w:hAnsi="宋体" w:cs="宋体"/>
                <w:color w:val="auto"/>
                <w:sz w:val="24"/>
                <w:szCs w:val="24"/>
                <w:lang w:val="zh-CN"/>
              </w:rPr>
              <w:t>文件正、副本数量（含电子文档）符合</w:t>
            </w:r>
            <w:r>
              <w:rPr>
                <w:rFonts w:hint="eastAsia" w:ascii="宋体" w:hAnsi="宋体" w:cs="宋体"/>
                <w:color w:val="auto"/>
                <w:sz w:val="24"/>
                <w:szCs w:val="24"/>
              </w:rPr>
              <w:t>竞争性谈判</w:t>
            </w:r>
            <w:r>
              <w:rPr>
                <w:rFonts w:hint="eastAsia" w:ascii="宋体" w:hAnsi="宋体" w:cs="宋体"/>
                <w:color w:val="auto"/>
                <w:sz w:val="24"/>
                <w:szCs w:val="24"/>
                <w:lang w:val="zh-CN"/>
              </w:rPr>
              <w:t>文件要求。</w:t>
            </w:r>
          </w:p>
        </w:tc>
      </w:tr>
      <w:tr w14:paraId="7A8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0" w:type="dxa"/>
            <w:vMerge w:val="restart"/>
            <w:noWrap w:val="0"/>
            <w:vAlign w:val="center"/>
          </w:tcPr>
          <w:p w14:paraId="4184B104">
            <w:pPr>
              <w:spacing w:line="40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2499" w:type="dxa"/>
            <w:noWrap w:val="0"/>
            <w:vAlign w:val="center"/>
          </w:tcPr>
          <w:p w14:paraId="67820DDF">
            <w:pPr>
              <w:spacing w:line="400" w:lineRule="exact"/>
              <w:rPr>
                <w:rFonts w:hint="eastAsia" w:ascii="宋体" w:hAnsi="宋体" w:cs="宋体"/>
                <w:color w:val="auto"/>
                <w:kern w:val="0"/>
                <w:sz w:val="24"/>
                <w:szCs w:val="24"/>
              </w:rPr>
            </w:pPr>
            <w:r>
              <w:rPr>
                <w:rFonts w:hint="eastAsia" w:ascii="宋体" w:hAnsi="宋体" w:cs="宋体"/>
                <w:color w:val="auto"/>
                <w:kern w:val="0"/>
                <w:sz w:val="24"/>
                <w:szCs w:val="24"/>
              </w:rPr>
              <w:t>响应文件内容</w:t>
            </w:r>
          </w:p>
        </w:tc>
        <w:tc>
          <w:tcPr>
            <w:tcW w:w="6259" w:type="dxa"/>
            <w:noWrap w:val="0"/>
            <w:vAlign w:val="center"/>
          </w:tcPr>
          <w:p w14:paraId="7B948CD8">
            <w:pPr>
              <w:pStyle w:val="33"/>
              <w:spacing w:line="400" w:lineRule="exact"/>
              <w:rPr>
                <w:rFonts w:hint="eastAsia" w:ascii="宋体" w:hAnsi="宋体" w:cs="宋体"/>
                <w:color w:val="auto"/>
                <w:kern w:val="0"/>
                <w:sz w:val="24"/>
                <w:szCs w:val="24"/>
              </w:rPr>
            </w:pPr>
            <w:r>
              <w:rPr>
                <w:rFonts w:hint="eastAsia" w:ascii="宋体" w:hAnsi="宋体" w:cs="宋体"/>
                <w:color w:val="auto"/>
                <w:kern w:val="0"/>
                <w:sz w:val="24"/>
                <w:szCs w:val="24"/>
              </w:rPr>
              <w:t>对竞争性谈判文件第二篇、第三篇规定的谈判内容进行实质性响应。</w:t>
            </w:r>
          </w:p>
        </w:tc>
      </w:tr>
      <w:tr w14:paraId="5C11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0" w:type="dxa"/>
            <w:vMerge w:val="continue"/>
            <w:noWrap w:val="0"/>
            <w:vAlign w:val="center"/>
          </w:tcPr>
          <w:p w14:paraId="411BC159">
            <w:pPr>
              <w:spacing w:line="400" w:lineRule="exact"/>
              <w:jc w:val="center"/>
              <w:rPr>
                <w:rFonts w:hint="eastAsia" w:ascii="宋体" w:hAnsi="宋体" w:cs="宋体"/>
                <w:color w:val="auto"/>
                <w:kern w:val="0"/>
                <w:sz w:val="24"/>
                <w:szCs w:val="24"/>
              </w:rPr>
            </w:pPr>
          </w:p>
        </w:tc>
        <w:tc>
          <w:tcPr>
            <w:tcW w:w="2499" w:type="dxa"/>
            <w:noWrap w:val="0"/>
            <w:vAlign w:val="center"/>
          </w:tcPr>
          <w:p w14:paraId="60D7914D">
            <w:pPr>
              <w:spacing w:line="400" w:lineRule="exact"/>
              <w:rPr>
                <w:rFonts w:hint="eastAsia" w:ascii="宋体" w:hAnsi="宋体" w:cs="宋体"/>
                <w:color w:val="auto"/>
                <w:kern w:val="0"/>
                <w:sz w:val="24"/>
                <w:szCs w:val="24"/>
              </w:rPr>
            </w:pPr>
            <w:r>
              <w:rPr>
                <w:rFonts w:hint="eastAsia" w:ascii="宋体" w:hAnsi="宋体" w:cs="宋体"/>
                <w:color w:val="auto"/>
                <w:kern w:val="0"/>
                <w:sz w:val="24"/>
                <w:szCs w:val="24"/>
              </w:rPr>
              <w:t>谈判有效期</w:t>
            </w:r>
          </w:p>
        </w:tc>
        <w:tc>
          <w:tcPr>
            <w:tcW w:w="6259" w:type="dxa"/>
            <w:noWrap w:val="0"/>
            <w:vAlign w:val="center"/>
          </w:tcPr>
          <w:p w14:paraId="4D71DC66">
            <w:pPr>
              <w:spacing w:line="400" w:lineRule="exact"/>
              <w:rPr>
                <w:rFonts w:hint="eastAsia" w:ascii="宋体" w:hAnsi="宋体" w:cs="宋体"/>
                <w:color w:val="auto"/>
                <w:kern w:val="0"/>
                <w:sz w:val="24"/>
                <w:szCs w:val="24"/>
              </w:rPr>
            </w:pPr>
            <w:r>
              <w:rPr>
                <w:rFonts w:hint="eastAsia" w:ascii="宋体" w:hAnsi="宋体" w:cs="宋体"/>
                <w:color w:val="auto"/>
                <w:kern w:val="0"/>
                <w:sz w:val="24"/>
                <w:szCs w:val="24"/>
              </w:rPr>
              <w:t>响应文件及有关承诺文件有效期为提交响应文件截止时间起90天。</w:t>
            </w:r>
          </w:p>
        </w:tc>
      </w:tr>
    </w:tbl>
    <w:p w14:paraId="101405F4">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721B85">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210E4C2">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（四）在谈判过程中谈判的任何一方不得向他人透露与谈判有关的技术资料、价格或其他信息。</w:t>
      </w:r>
    </w:p>
    <w:p w14:paraId="62EED69C">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在谈判过程中，谈判小组可以根据竞争性谈判文件和谈判情况实质性变动采购需求中的技术（质量）、商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3B1B10AA">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（六）供应商在谈判时作出的所有书面承诺须由法定代表人（或其授权代表）或自然人（供应商为自然人）签署。</w:t>
      </w:r>
    </w:p>
    <w:p w14:paraId="74A68534">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为准。</w:t>
      </w:r>
    </w:p>
    <w:p w14:paraId="38486245">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（八）评审的依据为竞争性谈判文件和响应文件（含有效的补充文件）。谈判小组判断响应文件对竞争性谈判文件的响应，仅基于响应文件本身而不靠外部证据。</w:t>
      </w:r>
    </w:p>
    <w:p w14:paraId="651E2CA7">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02" w:name="_Toc30639"/>
      <w:bookmarkStart w:id="103" w:name="_Toc65660351"/>
      <w:bookmarkStart w:id="104" w:name="_Toc64732013"/>
      <w:bookmarkStart w:id="105" w:name="_Toc11713"/>
      <w:bookmarkStart w:id="106" w:name="_Toc15250"/>
      <w:r>
        <w:rPr>
          <w:rFonts w:hint="eastAsia" w:ascii="宋体" w:hAnsi="宋体" w:eastAsia="宋体" w:cs="宋体"/>
          <w:color w:val="auto"/>
          <w:sz w:val="24"/>
        </w:rPr>
        <w:t>二、评定成交的标准</w:t>
      </w:r>
      <w:bookmarkEnd w:id="102"/>
      <w:bookmarkEnd w:id="103"/>
      <w:bookmarkEnd w:id="104"/>
      <w:bookmarkEnd w:id="105"/>
      <w:bookmarkEnd w:id="106"/>
    </w:p>
    <w:p w14:paraId="346517AA">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（一）谈判小组将依照本竞争性谈判文件相关规定对技术（质量）和商务均能满足竞争性谈判实质性响应要求的供应商所提交的最后报价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按照由</w:t>
      </w:r>
      <w:r>
        <w:rPr>
          <w:rFonts w:hint="eastAsia" w:ascii="宋体" w:hAnsi="宋体" w:cs="宋体"/>
          <w:color w:val="auto"/>
          <w:sz w:val="24"/>
          <w:szCs w:val="24"/>
          <w:lang w:eastAsia="zh-CN"/>
        </w:rPr>
        <w:t>高</w:t>
      </w:r>
      <w:r>
        <w:rPr>
          <w:rFonts w:hint="eastAsia" w:ascii="宋体" w:hAnsi="宋体" w:cs="宋体"/>
          <w:color w:val="auto"/>
          <w:sz w:val="24"/>
          <w:szCs w:val="24"/>
        </w:rPr>
        <w:t>到</w:t>
      </w:r>
      <w:r>
        <w:rPr>
          <w:rFonts w:hint="eastAsia" w:ascii="宋体" w:hAnsi="宋体" w:cs="宋体"/>
          <w:color w:val="auto"/>
          <w:sz w:val="24"/>
          <w:szCs w:val="24"/>
          <w:lang w:eastAsia="zh-CN"/>
        </w:rPr>
        <w:t>低</w:t>
      </w:r>
      <w:r>
        <w:rPr>
          <w:rFonts w:hint="eastAsia" w:ascii="宋体" w:hAnsi="宋体" w:cs="宋体"/>
          <w:color w:val="auto"/>
          <w:sz w:val="24"/>
          <w:szCs w:val="24"/>
        </w:rPr>
        <w:t>的顺序提出3名以上成交候选人，并编写评审报告。</w:t>
      </w:r>
    </w:p>
    <w:p w14:paraId="74CE9037">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（二）若供应商的最后报价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相同，按技术（质量）条款的优劣顺序排列；若供应商的最后报价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及</w:t>
      </w:r>
      <w:r>
        <w:rPr>
          <w:rFonts w:hint="eastAsia" w:ascii="宋体" w:hAnsi="宋体" w:cs="宋体"/>
          <w:color w:val="auto"/>
          <w:sz w:val="24"/>
          <w:szCs w:val="24"/>
        </w:rPr>
        <w:t>技术（质量）条款</w:t>
      </w:r>
      <w:r>
        <w:rPr>
          <w:rFonts w:hint="eastAsia" w:ascii="宋体" w:hAnsi="宋体" w:cs="宋体"/>
          <w:color w:val="auto"/>
          <w:sz w:val="24"/>
          <w:szCs w:val="24"/>
          <w:lang w:eastAsia="zh-CN"/>
        </w:rPr>
        <w:t>均</w:t>
      </w:r>
      <w:r>
        <w:rPr>
          <w:rFonts w:hint="eastAsia" w:ascii="宋体" w:hAnsi="宋体" w:cs="宋体"/>
          <w:color w:val="auto"/>
          <w:sz w:val="24"/>
          <w:szCs w:val="24"/>
        </w:rPr>
        <w:t>相同，按商务条款的优劣顺序排列；以上都相同的，</w:t>
      </w:r>
      <w:r>
        <w:rPr>
          <w:rFonts w:hint="eastAsia" w:ascii="宋体" w:hAnsi="宋体" w:cs="宋体"/>
          <w:color w:val="auto"/>
          <w:sz w:val="24"/>
          <w:szCs w:val="24"/>
          <w:lang w:eastAsia="zh-CN"/>
        </w:rPr>
        <w:t>采购人委托谈判小组通过随机抽取的方式确定顺序排列</w:t>
      </w:r>
      <w:r>
        <w:rPr>
          <w:rFonts w:hint="eastAsia" w:ascii="宋体" w:hAnsi="宋体" w:cs="宋体"/>
          <w:color w:val="auto"/>
          <w:sz w:val="24"/>
          <w:szCs w:val="24"/>
        </w:rPr>
        <w:t>。</w:t>
      </w:r>
    </w:p>
    <w:p w14:paraId="693C8406">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（三）成交价格=成交供应商的最后报价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w:t>
      </w:r>
    </w:p>
    <w:p w14:paraId="2D796014">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07" w:name="_Toc65660352"/>
      <w:bookmarkStart w:id="108" w:name="_Toc15657"/>
      <w:bookmarkStart w:id="109" w:name="_Toc12644"/>
      <w:bookmarkStart w:id="110" w:name="_Toc29113"/>
      <w:r>
        <w:rPr>
          <w:rFonts w:hint="eastAsia" w:ascii="宋体" w:hAnsi="宋体" w:eastAsia="宋体" w:cs="宋体"/>
          <w:color w:val="auto"/>
          <w:sz w:val="24"/>
        </w:rPr>
        <w:t>三、无效谈判</w:t>
      </w:r>
      <w:bookmarkEnd w:id="107"/>
      <w:bookmarkEnd w:id="108"/>
      <w:bookmarkEnd w:id="109"/>
      <w:bookmarkEnd w:id="110"/>
    </w:p>
    <w:p w14:paraId="6EEBB58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供应商发生以下条款情况之一者，视为无效谈判：</w:t>
      </w:r>
    </w:p>
    <w:p w14:paraId="1A4094CC">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（一）供应商不符合规定的资格条件的；</w:t>
      </w:r>
    </w:p>
    <w:p w14:paraId="18493617">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（二）供应商未通过实质性响应审查的；</w:t>
      </w:r>
    </w:p>
    <w:p w14:paraId="2E7783DC">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（三）供应商的法定代表人（或其授权代表）或自然人未参加谈判的；</w:t>
      </w:r>
    </w:p>
    <w:p w14:paraId="2BE1D9D4">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（四）供应商未在谈判保证金到账截止时间前足额交纳所参与包谈判保证金的；</w:t>
      </w:r>
    </w:p>
    <w:p w14:paraId="011B1D74">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（五）供应商所提交的响应文件未按“第七篇响应文件格式要求”要求签署或盖章的；</w:t>
      </w:r>
    </w:p>
    <w:p w14:paraId="234B2F17">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（六）供应商的最后报价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lang w:eastAsia="zh-CN"/>
        </w:rPr>
        <w:t>低于</w:t>
      </w:r>
      <w:r>
        <w:rPr>
          <w:rFonts w:hint="eastAsia" w:ascii="宋体" w:hAnsi="宋体" w:cs="宋体"/>
          <w:color w:val="auto"/>
          <w:sz w:val="24"/>
          <w:szCs w:val="24"/>
        </w:rPr>
        <w:t>最低销售额返点（%）的；</w:t>
      </w:r>
    </w:p>
    <w:p w14:paraId="61FC0338">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（七）供应商不接受谈判小组修正后的价格的；</w:t>
      </w:r>
    </w:p>
    <w:p w14:paraId="0B5A81C6">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（八）单位负责人为同一人或者存在直接控股、管理关系的不同供应商，参加同一合同项（包）谈判的；</w:t>
      </w:r>
    </w:p>
    <w:p w14:paraId="21075A1B">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（九）为采购项目提供整体设计、规范编制或者项目管理、监理、检测等服务的供应商再参加该采购项目的其他采购活动的；</w:t>
      </w:r>
    </w:p>
    <w:p w14:paraId="0697F072">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（十）同一合同项（包）下的货物，制造商参与谈判，再委托代理商参与谈判的；</w:t>
      </w:r>
    </w:p>
    <w:p w14:paraId="6B18AEE5">
      <w:pPr>
        <w:pStyle w:val="34"/>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（十一）供应商响应文件内容有与国家现行法律法规相违背的内容，或附有采购人无法接受条件的；</w:t>
      </w:r>
    </w:p>
    <w:p w14:paraId="0978672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（十二）谈判小组认为供应商的报价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明显</w:t>
      </w:r>
      <w:r>
        <w:rPr>
          <w:rFonts w:hint="eastAsia" w:ascii="宋体" w:hAnsi="宋体" w:cs="宋体"/>
          <w:color w:val="auto"/>
          <w:sz w:val="24"/>
          <w:szCs w:val="24"/>
          <w:lang w:eastAsia="zh-CN"/>
        </w:rPr>
        <w:t>高</w:t>
      </w:r>
      <w:r>
        <w:rPr>
          <w:rFonts w:hint="eastAsia" w:ascii="宋体" w:hAnsi="宋体" w:cs="宋体"/>
          <w:color w:val="auto"/>
          <w:sz w:val="24"/>
          <w:szCs w:val="24"/>
        </w:rPr>
        <w:t>于其他通过符合性审查供应商的报价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，有可能影响产品质量或者不能诚信履约的，应当要求其在谈判现场合理的时间内提供书面说明，必要时提交相关证明材料；供应商不能证明其报价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合理性的，谈判小组应当将其作为无效谈判处理；</w:t>
      </w:r>
    </w:p>
    <w:p w14:paraId="6D5E609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（十三）法律、法规和竞争性谈判文件规定的其他无效情形。</w:t>
      </w:r>
    </w:p>
    <w:p w14:paraId="0CE72104">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11" w:name="_Toc28422"/>
      <w:bookmarkStart w:id="112" w:name="_Toc65660353"/>
      <w:bookmarkStart w:id="113" w:name="_Toc29298"/>
      <w:bookmarkStart w:id="114" w:name="_Toc24064"/>
      <w:r>
        <w:rPr>
          <w:rFonts w:hint="eastAsia" w:ascii="宋体" w:hAnsi="宋体" w:eastAsia="宋体" w:cs="宋体"/>
          <w:color w:val="auto"/>
          <w:sz w:val="24"/>
        </w:rPr>
        <w:t>四、采购终止</w:t>
      </w:r>
      <w:bookmarkEnd w:id="111"/>
      <w:bookmarkEnd w:id="112"/>
      <w:bookmarkEnd w:id="113"/>
      <w:bookmarkEnd w:id="114"/>
    </w:p>
    <w:p w14:paraId="3B6B6258">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出现下列情形之一的，采购人或者采购代理机构应当终止竞争性谈判采购活动，发布项目终止公告并说明原因，重新开展采购活动：</w:t>
      </w:r>
    </w:p>
    <w:p w14:paraId="6D8781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（一）因情况变化，不再符合规定的竞争性谈判采购方式适用情形的；</w:t>
      </w:r>
    </w:p>
    <w:p w14:paraId="4E250F4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（二）出现影响采购公正的违法、违规行为的；</w:t>
      </w:r>
    </w:p>
    <w:p w14:paraId="3222CC5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（三）在采购过程中符合竞争要求的供应商或者报价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%）高</w:t>
      </w:r>
      <w:r>
        <w:rPr>
          <w:rFonts w:hint="eastAsia" w:ascii="宋体" w:hAnsi="宋体" w:cs="宋体"/>
          <w:color w:val="auto"/>
          <w:sz w:val="24"/>
          <w:szCs w:val="24"/>
          <w:lang w:eastAsia="zh-CN"/>
        </w:rPr>
        <w:t>于</w:t>
      </w:r>
      <w:r>
        <w:rPr>
          <w:rFonts w:hint="eastAsia" w:ascii="宋体" w:hAnsi="宋体" w:cs="宋体"/>
          <w:color w:val="auto"/>
          <w:sz w:val="24"/>
          <w:szCs w:val="24"/>
        </w:rPr>
        <w:t>最低销售额返点（%）的供应商不足3家的，但《政府采购非招标采购方式管理办法》第二十七条第二款规定的情形除外。</w:t>
      </w:r>
    </w:p>
    <w:p w14:paraId="3C5F3F30">
      <w:pPr>
        <w:pStyle w:val="4"/>
        <w:spacing w:before="0" w:after="0" w:line="360" w:lineRule="auto"/>
        <w:jc w:val="center"/>
        <w:rPr>
          <w:rFonts w:hint="eastAsia" w:ascii="宋体" w:hAnsi="宋体" w:eastAsia="宋体" w:cs="宋体"/>
          <w:b w:val="0"/>
          <w:color w:val="auto"/>
          <w:sz w:val="36"/>
          <w:szCs w:val="30"/>
        </w:rPr>
      </w:pPr>
      <w:r>
        <w:rPr>
          <w:rFonts w:hint="eastAsia" w:ascii="宋体" w:hAnsi="宋体" w:eastAsia="宋体" w:cs="宋体"/>
          <w:color w:val="auto"/>
          <w:sz w:val="24"/>
          <w:szCs w:val="24"/>
        </w:rPr>
        <w:br w:type="page"/>
      </w:r>
      <w:bookmarkStart w:id="115" w:name="_Toc10768"/>
      <w:bookmarkStart w:id="116" w:name="_Toc65660354"/>
      <w:bookmarkStart w:id="117" w:name="_Toc20055"/>
      <w:bookmarkStart w:id="118" w:name="_Toc7319"/>
      <w:r>
        <w:rPr>
          <w:rFonts w:hint="eastAsia" w:ascii="宋体" w:hAnsi="宋体" w:eastAsia="宋体" w:cs="宋体"/>
          <w:b w:val="0"/>
          <w:color w:val="auto"/>
          <w:sz w:val="36"/>
          <w:szCs w:val="30"/>
        </w:rPr>
        <w:t>第五篇  供应商须知</w:t>
      </w:r>
      <w:bookmarkEnd w:id="115"/>
      <w:bookmarkEnd w:id="116"/>
      <w:bookmarkEnd w:id="117"/>
      <w:bookmarkEnd w:id="118"/>
    </w:p>
    <w:p w14:paraId="7C914910">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19" w:name="_Toc16524"/>
      <w:bookmarkStart w:id="120" w:name="_Toc65660355"/>
      <w:bookmarkStart w:id="121" w:name="_Toc5290"/>
      <w:bookmarkStart w:id="122" w:name="_Toc1963"/>
      <w:r>
        <w:rPr>
          <w:rFonts w:hint="eastAsia" w:ascii="宋体" w:hAnsi="宋体" w:eastAsia="宋体" w:cs="宋体"/>
          <w:color w:val="auto"/>
          <w:sz w:val="24"/>
        </w:rPr>
        <w:t>一、谈判费用</w:t>
      </w:r>
      <w:bookmarkEnd w:id="119"/>
      <w:bookmarkEnd w:id="120"/>
      <w:bookmarkEnd w:id="121"/>
      <w:bookmarkEnd w:id="122"/>
    </w:p>
    <w:p w14:paraId="497DB5FF">
      <w:pPr>
        <w:pStyle w:val="179"/>
        <w:spacing w:line="400" w:lineRule="exact"/>
        <w:ind w:firstLine="480" w:firstLineChars="200"/>
        <w:rPr>
          <w:rFonts w:hint="eastAsia" w:hAnsi="宋体" w:cs="宋体"/>
          <w:color w:val="auto"/>
          <w:sz w:val="24"/>
          <w:szCs w:val="24"/>
        </w:rPr>
      </w:pPr>
      <w:r>
        <w:rPr>
          <w:rFonts w:hint="eastAsia" w:hAnsi="宋体" w:cs="宋体"/>
          <w:color w:val="auto"/>
          <w:sz w:val="24"/>
          <w:szCs w:val="24"/>
        </w:rPr>
        <w:t>参与谈判的供应商应承担其编制响应文件与递交响应文件所涉及的一切费用，不论谈判结果如何，采购人和采购代理机构在任何情况下无义务也无责任承担这些费用。</w:t>
      </w:r>
    </w:p>
    <w:p w14:paraId="34105F6A">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23" w:name="_Toc65660356"/>
      <w:bookmarkStart w:id="124" w:name="_Toc31739"/>
      <w:bookmarkStart w:id="125" w:name="_Toc5915"/>
      <w:bookmarkStart w:id="126" w:name="_Toc29523"/>
      <w:r>
        <w:rPr>
          <w:rFonts w:hint="eastAsia" w:ascii="宋体" w:hAnsi="宋体" w:eastAsia="宋体" w:cs="宋体"/>
          <w:color w:val="auto"/>
          <w:sz w:val="24"/>
        </w:rPr>
        <w:t>二、竞争性谈判文件</w:t>
      </w:r>
      <w:bookmarkEnd w:id="123"/>
      <w:bookmarkEnd w:id="124"/>
      <w:bookmarkEnd w:id="125"/>
      <w:bookmarkEnd w:id="126"/>
      <w:r>
        <w:rPr>
          <w:rFonts w:hint="eastAsia" w:ascii="宋体" w:hAnsi="宋体" w:eastAsia="宋体" w:cs="宋体"/>
          <w:color w:val="auto"/>
          <w:sz w:val="24"/>
        </w:rPr>
        <w:tab/>
      </w:r>
    </w:p>
    <w:p w14:paraId="0EA759B6">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竞争性谈判文件由竞争性谈判邀请书、谈判项目技术（质量）需求、谈判项目商务需求、采购程序、评定成交的标准、无效谈判及采购终止、供应商须知、合同草案条款及格式合同、响应文件格式要求七部分组成。</w:t>
      </w:r>
    </w:p>
    <w:p w14:paraId="2A70E871">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（二）采购人（或采购代理机构）所作的一切有效的书面通知、修改及补充，都是竞争性谈判文件不可分割的部分。</w:t>
      </w:r>
    </w:p>
    <w:p w14:paraId="4410EEB4">
      <w:pPr>
        <w:snapToGrid w:val="0"/>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（三）本竞争性谈判文件中，谈判小组根据与供应商谈判情况可能实质性变动的内容为竞争性谈判文件第二、三、六篇全部内容。</w:t>
      </w:r>
    </w:p>
    <w:p w14:paraId="0F537B08">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27" w:name="_Toc3061"/>
      <w:bookmarkStart w:id="128" w:name="_Toc65660357"/>
      <w:bookmarkStart w:id="129" w:name="_Toc9532"/>
      <w:bookmarkStart w:id="130" w:name="_Toc1377"/>
      <w:r>
        <w:rPr>
          <w:rFonts w:hint="eastAsia" w:ascii="宋体" w:hAnsi="宋体" w:eastAsia="宋体" w:cs="宋体"/>
          <w:color w:val="auto"/>
          <w:sz w:val="24"/>
        </w:rPr>
        <w:t>三、谈判要求</w:t>
      </w:r>
      <w:bookmarkEnd w:id="127"/>
      <w:bookmarkEnd w:id="128"/>
      <w:bookmarkEnd w:id="129"/>
      <w:bookmarkEnd w:id="130"/>
    </w:p>
    <w:p w14:paraId="39638C46">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（一）响应文件</w:t>
      </w:r>
    </w:p>
    <w:p w14:paraId="3873D7C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供应商应当按照竞争性谈判文件的要求编制响应文件，并对竞争性谈判文件提出的要求和条件作出实质性响应，响应文件原则上采用软面订本。</w:t>
      </w:r>
    </w:p>
    <w:p w14:paraId="0597C73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1.响应文件组成</w:t>
      </w:r>
    </w:p>
    <w:p w14:paraId="5032EA0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55B39DC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2.联合体</w:t>
      </w:r>
    </w:p>
    <w:p w14:paraId="25DA2935">
      <w:pPr>
        <w:spacing w:line="4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本项目不接受联合体参与谈判。</w:t>
      </w:r>
    </w:p>
    <w:p w14:paraId="4C956BF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3.谈判有效期：响应文件及有关承诺文件有效期为提交响应文件截止时间起90天。</w:t>
      </w:r>
    </w:p>
    <w:p w14:paraId="64AD53D8">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（二）谈判保证金：</w:t>
      </w:r>
    </w:p>
    <w:p w14:paraId="56C339A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1.供应商提交谈判保证金金额和方式详见“</w:t>
      </w:r>
      <w:r>
        <w:rPr>
          <w:rFonts w:hint="eastAsia" w:ascii="宋体" w:hAnsi="宋体" w:cs="宋体"/>
          <w:b/>
          <w:color w:val="auto"/>
          <w:sz w:val="24"/>
          <w:szCs w:val="24"/>
          <w:u w:val="single"/>
        </w:rPr>
        <w:t>第一篇  五、谈判保证金”</w:t>
      </w:r>
      <w:r>
        <w:rPr>
          <w:rFonts w:hint="eastAsia" w:ascii="宋体" w:hAnsi="宋体" w:cs="宋体"/>
          <w:color w:val="auto"/>
          <w:sz w:val="24"/>
          <w:szCs w:val="24"/>
        </w:rPr>
        <w:t>；</w:t>
      </w:r>
    </w:p>
    <w:p w14:paraId="7F8273A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2.发生以下情况之一者，谈判保证金不予退还：</w:t>
      </w:r>
    </w:p>
    <w:p w14:paraId="183B0A1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2.1供应商在提交响应文件截止时间后撤回响应文件的；</w:t>
      </w:r>
    </w:p>
    <w:p w14:paraId="4FABDAB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2.2供应商在响应文件中提供虚假材料的；</w:t>
      </w:r>
    </w:p>
    <w:p w14:paraId="3A4E5A0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2.3除因不可抗力或竞争性谈判文件认可的情形以外，成交供应商不与采购人签订合同的；</w:t>
      </w:r>
    </w:p>
    <w:p w14:paraId="425C964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2.4供应商与采购人、其他供应商或者采购代理机构恶意串通的；</w:t>
      </w:r>
    </w:p>
    <w:p w14:paraId="6002D7E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2.5成交供应商不按规定的时间或拒绝按成交状态签订合同（即不按照采购文件确定的合同文本以及采购标的、规格型号、采购金额、采购数量、技术（质量）和服务要求等事项签订采购合同的）。</w:t>
      </w:r>
    </w:p>
    <w:p w14:paraId="1AE5604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3.谈判</w:t>
      </w:r>
      <w:r>
        <w:rPr>
          <w:rFonts w:hint="eastAsia" w:ascii="宋体" w:hAnsi="宋体" w:cs="宋体"/>
          <w:color w:val="auto"/>
          <w:sz w:val="24"/>
        </w:rPr>
        <w:t>保证金的有效期限在谈判有效期过后三十天继续有效。</w:t>
      </w:r>
    </w:p>
    <w:p w14:paraId="7DE0D693">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（三）修正错误</w:t>
      </w:r>
    </w:p>
    <w:p w14:paraId="71EAC2B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若供应商所递交的响应文件或最后报价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中的价格出现大写金额和小写金额不一致的错误，以大写金额修正为准。</w:t>
      </w:r>
    </w:p>
    <w:p w14:paraId="12949DA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谈判小组按上述修正错误的原则及方法修正供应商的报价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，供应商同意并签署确认后，修正后的报价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对供应商具有约束作用。如果供应商不接受修正后的价格，将视为无效谈判。</w:t>
      </w:r>
    </w:p>
    <w:p w14:paraId="4ABF2D72">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（四）提交响应文件的份数和签署</w:t>
      </w:r>
    </w:p>
    <w:p w14:paraId="7DD3ABB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5EC5958D">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2.</w:t>
      </w:r>
      <w:r>
        <w:rPr>
          <w:rFonts w:hint="eastAsia" w:ascii="宋体" w:hAnsi="宋体" w:cs="宋体"/>
          <w:color w:val="auto"/>
          <w:sz w:val="24"/>
        </w:rPr>
        <w:t>在响应文件正本中，竞争性谈判文件第七篇响应文件格式中规定签署、盖章的地方必须按其规定签署、盖章。</w:t>
      </w:r>
    </w:p>
    <w:p w14:paraId="2E8DC328">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3.若供应商对响应文件的错处作必要修改，则应在修改处加盖供应商公章或由法定代表人（或其授权代表）或自然人</w:t>
      </w:r>
      <w:r>
        <w:rPr>
          <w:rFonts w:hint="eastAsia" w:ascii="宋体" w:hAnsi="宋体" w:cs="宋体"/>
          <w:color w:val="auto"/>
          <w:sz w:val="24"/>
          <w:szCs w:val="24"/>
        </w:rPr>
        <w:t>（供应商为自然人）签署</w:t>
      </w:r>
      <w:r>
        <w:rPr>
          <w:rFonts w:hint="eastAsia" w:ascii="宋体" w:hAnsi="宋体" w:cs="宋体"/>
          <w:color w:val="auto"/>
          <w:sz w:val="24"/>
        </w:rPr>
        <w:t>确认。</w:t>
      </w:r>
    </w:p>
    <w:p w14:paraId="205B565A">
      <w:pPr>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4.电报、电话、传真形式的响应文件概不接受。</w:t>
      </w:r>
    </w:p>
    <w:p w14:paraId="0D77620B">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（五）响应文件的递交</w:t>
      </w:r>
    </w:p>
    <w:p w14:paraId="12227C2F">
      <w:pPr>
        <w:pStyle w:val="31"/>
        <w:spacing w:line="400" w:lineRule="exact"/>
        <w:ind w:firstLine="480" w:firstLineChars="200"/>
        <w:rPr>
          <w:rFonts w:hint="eastAsia" w:hAnsi="宋体" w:cs="宋体"/>
          <w:color w:val="auto"/>
          <w:sz w:val="24"/>
        </w:rPr>
      </w:pPr>
      <w:r>
        <w:rPr>
          <w:rFonts w:hint="eastAsia" w:hAnsi="宋体" w:cs="宋体"/>
          <w:color w:val="auto"/>
          <w:sz w:val="24"/>
          <w:szCs w:val="24"/>
        </w:rPr>
        <w:t>响应文件的正本、副本以及电子文档均应密封送达谈判地点，应在封套上注明谈判项目名称、供应商名称。若正本、副本以及电子文档分别进行密封的，还应在封套上注明“正本”、“副本”、“电子文档”字样。</w:t>
      </w:r>
    </w:p>
    <w:p w14:paraId="6B0DB985">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（六）响应文件语言：简体中文</w:t>
      </w:r>
    </w:p>
    <w:p w14:paraId="57839668">
      <w:pPr>
        <w:snapToGrid w:val="0"/>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（七）供应商参与人员</w:t>
      </w:r>
    </w:p>
    <w:p w14:paraId="538250F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各供应商应当派1-2名代表参与谈判，至少1人应为法定代表人（或其授权代表）或自然人（供应商为自然人）。</w:t>
      </w:r>
    </w:p>
    <w:p w14:paraId="7405EFA3">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31" w:name="_Toc14702"/>
      <w:bookmarkStart w:id="132" w:name="_Toc6242"/>
      <w:bookmarkStart w:id="133" w:name="_Toc65660358"/>
      <w:bookmarkStart w:id="134" w:name="_Toc32020"/>
      <w:r>
        <w:rPr>
          <w:rFonts w:hint="eastAsia" w:ascii="宋体" w:hAnsi="宋体" w:eastAsia="宋体" w:cs="宋体"/>
          <w:color w:val="auto"/>
          <w:sz w:val="24"/>
        </w:rPr>
        <w:t>四、成交供应商的确定和变更</w:t>
      </w:r>
      <w:bookmarkEnd w:id="131"/>
      <w:bookmarkEnd w:id="132"/>
      <w:bookmarkEnd w:id="133"/>
      <w:bookmarkEnd w:id="134"/>
    </w:p>
    <w:p w14:paraId="4CDAF087">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最</w:t>
      </w:r>
      <w:r>
        <w:rPr>
          <w:rFonts w:hint="eastAsia" w:ascii="宋体" w:hAnsi="宋体" w:cs="宋体"/>
          <w:color w:val="auto"/>
          <w:sz w:val="24"/>
          <w:szCs w:val="24"/>
          <w:lang w:eastAsia="zh-CN"/>
        </w:rPr>
        <w:t>高</w:t>
      </w:r>
      <w:r>
        <w:rPr>
          <w:rFonts w:hint="eastAsia" w:ascii="宋体" w:hAnsi="宋体" w:cs="宋体"/>
          <w:color w:val="auto"/>
          <w:sz w:val="24"/>
          <w:szCs w:val="24"/>
        </w:rPr>
        <w:t>的原则确定成交供应商，也可以书面授权谈判小组直接确定成交供应商。采购人逾期未确定成交供应商且不提出异议的，视为确定评审报告提出的最后报价</w:t>
      </w:r>
      <w:r>
        <w:rPr>
          <w:rFonts w:hint="eastAsia" w:ascii="宋体" w:hAnsi="宋体" w:cs="宋体"/>
          <w:color w:val="auto"/>
          <w:sz w:val="24"/>
          <w:szCs w:val="24"/>
          <w:lang w:eastAsia="zh-CN"/>
        </w:rPr>
        <w:t>比例（</w:t>
      </w:r>
      <w:r>
        <w:rPr>
          <w:rFonts w:hint="eastAsia" w:ascii="宋体" w:hAnsi="宋体" w:cs="宋体"/>
          <w:color w:val="auto"/>
          <w:sz w:val="24"/>
          <w:szCs w:val="24"/>
          <w:lang w:val="en-US" w:eastAsia="zh-CN"/>
        </w:rPr>
        <w:t>%）</w:t>
      </w:r>
      <w:r>
        <w:rPr>
          <w:rFonts w:hint="eastAsia" w:ascii="宋体" w:hAnsi="宋体" w:cs="宋体"/>
          <w:color w:val="auto"/>
          <w:sz w:val="24"/>
          <w:szCs w:val="24"/>
        </w:rPr>
        <w:t>最</w:t>
      </w:r>
      <w:r>
        <w:rPr>
          <w:rFonts w:hint="eastAsia" w:ascii="宋体" w:hAnsi="宋体" w:cs="宋体"/>
          <w:color w:val="auto"/>
          <w:sz w:val="24"/>
          <w:szCs w:val="24"/>
          <w:lang w:eastAsia="zh-CN"/>
        </w:rPr>
        <w:t>高</w:t>
      </w:r>
      <w:r>
        <w:rPr>
          <w:rFonts w:hint="eastAsia" w:ascii="宋体" w:hAnsi="宋体" w:cs="宋体"/>
          <w:color w:val="auto"/>
          <w:sz w:val="24"/>
          <w:szCs w:val="24"/>
        </w:rPr>
        <w:t>的供应商为成交供应商。</w:t>
      </w:r>
    </w:p>
    <w:p w14:paraId="7D31E29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（二）成交供应商的变更</w:t>
      </w:r>
    </w:p>
    <w:p w14:paraId="4BBBB47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6EFF3C58">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35" w:name="_Toc1092"/>
      <w:bookmarkStart w:id="136" w:name="_Toc29821"/>
      <w:bookmarkStart w:id="137" w:name="_Toc65660359"/>
      <w:bookmarkStart w:id="138" w:name="_Toc17813"/>
      <w:r>
        <w:rPr>
          <w:rFonts w:hint="eastAsia" w:ascii="宋体" w:hAnsi="宋体" w:eastAsia="宋体" w:cs="宋体"/>
          <w:color w:val="auto"/>
          <w:sz w:val="24"/>
        </w:rPr>
        <w:t>五、成交通知</w:t>
      </w:r>
      <w:bookmarkEnd w:id="135"/>
      <w:bookmarkEnd w:id="136"/>
      <w:bookmarkEnd w:id="137"/>
      <w:bookmarkEnd w:id="138"/>
    </w:p>
    <w:p w14:paraId="4E2954CA">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（一）成交供应商确定后，采购代理机构将在“行采家”（https://www.gec123.com/）上发布成交结果公告。</w:t>
      </w:r>
    </w:p>
    <w:p w14:paraId="68282AF4">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1729DE49">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（三）《成交通知书》将作为签订合同的依据。</w:t>
      </w:r>
    </w:p>
    <w:p w14:paraId="68C37956">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39" w:name="_Toc30909"/>
      <w:bookmarkStart w:id="140" w:name="_Toc1010"/>
      <w:bookmarkStart w:id="141" w:name="_Toc65660360"/>
      <w:bookmarkStart w:id="142" w:name="_Toc29107"/>
      <w:r>
        <w:rPr>
          <w:rFonts w:hint="eastAsia" w:ascii="宋体" w:hAnsi="宋体" w:eastAsia="宋体" w:cs="宋体"/>
          <w:color w:val="auto"/>
          <w:sz w:val="24"/>
        </w:rPr>
        <w:t>六、关于质疑和投诉</w:t>
      </w:r>
      <w:bookmarkEnd w:id="139"/>
      <w:bookmarkEnd w:id="140"/>
      <w:bookmarkEnd w:id="141"/>
      <w:bookmarkEnd w:id="142"/>
    </w:p>
    <w:p w14:paraId="37274216">
      <w:pPr>
        <w:spacing w:line="400" w:lineRule="exact"/>
        <w:ind w:firstLine="360" w:firstLineChars="150"/>
        <w:outlineLvl w:val="2"/>
        <w:rPr>
          <w:rFonts w:hint="eastAsia" w:ascii="宋体" w:hAnsi="宋体" w:cs="宋体"/>
          <w:color w:val="auto"/>
          <w:sz w:val="24"/>
          <w:szCs w:val="24"/>
        </w:rPr>
      </w:pPr>
      <w:r>
        <w:rPr>
          <w:rFonts w:hint="eastAsia" w:ascii="宋体" w:hAnsi="宋体" w:cs="宋体"/>
          <w:color w:val="auto"/>
          <w:sz w:val="24"/>
          <w:szCs w:val="24"/>
        </w:rPr>
        <w:t xml:space="preserve"> （一）质疑</w:t>
      </w:r>
    </w:p>
    <w:p w14:paraId="13F2F892">
      <w:pPr>
        <w:spacing w:line="400" w:lineRule="exact"/>
        <w:ind w:right="12" w:firstLine="480"/>
        <w:rPr>
          <w:rFonts w:hint="eastAsia" w:ascii="宋体" w:hAnsi="宋体" w:cs="宋体"/>
          <w:color w:val="auto"/>
          <w:sz w:val="24"/>
        </w:rPr>
      </w:pPr>
      <w:r>
        <w:rPr>
          <w:rFonts w:hint="eastAsia" w:ascii="宋体" w:hAnsi="宋体" w:cs="宋体"/>
          <w:color w:val="auto"/>
          <w:sz w:val="24"/>
        </w:rPr>
        <w:t>供应商认为采购文件、采购过程和成交结果使自己的权益收到伤害的，可向采购人或采购代理机构以书面形式提出质疑。</w:t>
      </w:r>
    </w:p>
    <w:p w14:paraId="0BE4CB72">
      <w:pPr>
        <w:spacing w:line="400" w:lineRule="exact"/>
        <w:ind w:right="12" w:firstLine="480"/>
        <w:rPr>
          <w:rFonts w:hint="eastAsia" w:ascii="宋体" w:hAnsi="宋体" w:cs="宋体"/>
          <w:color w:val="auto"/>
          <w:sz w:val="24"/>
        </w:rPr>
      </w:pPr>
      <w:r>
        <w:rPr>
          <w:rFonts w:hint="eastAsia" w:ascii="宋体" w:hAnsi="宋体" w:cs="宋体"/>
          <w:color w:val="auto"/>
          <w:sz w:val="24"/>
        </w:rPr>
        <w:t xml:space="preserve">提出质疑的应当是参与所质疑项目采购活动的供应商。 </w:t>
      </w:r>
    </w:p>
    <w:p w14:paraId="2B9E77A5">
      <w:pPr>
        <w:spacing w:line="400" w:lineRule="exact"/>
        <w:ind w:right="12" w:firstLine="480"/>
        <w:rPr>
          <w:rFonts w:hint="eastAsia" w:ascii="宋体" w:hAnsi="宋体" w:cs="宋体"/>
          <w:color w:val="auto"/>
          <w:sz w:val="24"/>
        </w:rPr>
      </w:pPr>
      <w:r>
        <w:rPr>
          <w:rFonts w:hint="eastAsia" w:ascii="宋体" w:hAnsi="宋体" w:cs="宋体"/>
          <w:color w:val="auto"/>
          <w:sz w:val="24"/>
        </w:rPr>
        <w:t>1.质疑时限、内容</w:t>
      </w:r>
    </w:p>
    <w:p w14:paraId="059F2993">
      <w:pPr>
        <w:spacing w:line="400" w:lineRule="exact"/>
        <w:ind w:right="12" w:firstLine="480"/>
        <w:rPr>
          <w:rFonts w:hint="eastAsia" w:ascii="宋体" w:hAnsi="宋体" w:cs="宋体"/>
          <w:color w:val="auto"/>
          <w:sz w:val="24"/>
        </w:rPr>
      </w:pPr>
      <w:r>
        <w:rPr>
          <w:rFonts w:hint="eastAsia" w:ascii="宋体" w:hAnsi="宋体" w:cs="宋体"/>
          <w:color w:val="auto"/>
          <w:sz w:val="24"/>
        </w:rPr>
        <w:t>1.1供应商认为采购文件、采购过程、成交结果使自己的权益受到损害的，可以在知道或者应知其权益受到损害之日起</w:t>
      </w:r>
      <w:r>
        <w:rPr>
          <w:rFonts w:hint="eastAsia" w:ascii="宋体" w:hAnsi="宋体" w:cs="宋体"/>
          <w:color w:val="auto"/>
          <w:sz w:val="24"/>
          <w:lang w:val="en-US" w:eastAsia="zh-CN"/>
        </w:rPr>
        <w:t>2</w:t>
      </w:r>
      <w:r>
        <w:rPr>
          <w:rFonts w:hint="eastAsia" w:ascii="宋体" w:hAnsi="宋体" w:cs="宋体"/>
          <w:color w:val="auto"/>
          <w:sz w:val="24"/>
        </w:rPr>
        <w:t>个工作日内，以书面形式向采购人、采购代理机构提出质疑。</w:t>
      </w:r>
    </w:p>
    <w:p w14:paraId="68A3EBF8">
      <w:pPr>
        <w:spacing w:line="400" w:lineRule="exact"/>
        <w:ind w:right="12" w:firstLine="480"/>
        <w:rPr>
          <w:rFonts w:hint="eastAsia" w:ascii="宋体" w:hAnsi="宋体" w:cs="宋体"/>
          <w:color w:val="auto"/>
          <w:sz w:val="24"/>
        </w:rPr>
      </w:pPr>
      <w:r>
        <w:rPr>
          <w:rFonts w:hint="eastAsia" w:ascii="宋体" w:hAnsi="宋体" w:cs="宋体"/>
          <w:color w:val="auto"/>
          <w:sz w:val="24"/>
        </w:rPr>
        <w:t>1.2供应商提出质疑应当提交质疑函和必要的证明材料，质疑函应当包括下列内容：</w:t>
      </w:r>
    </w:p>
    <w:p w14:paraId="72ED9E1F">
      <w:pPr>
        <w:spacing w:line="400" w:lineRule="exact"/>
        <w:ind w:right="12" w:firstLine="480"/>
        <w:rPr>
          <w:rFonts w:hint="eastAsia" w:ascii="宋体" w:hAnsi="宋体" w:cs="宋体"/>
          <w:color w:val="auto"/>
          <w:sz w:val="24"/>
        </w:rPr>
      </w:pPr>
      <w:r>
        <w:rPr>
          <w:rFonts w:hint="eastAsia" w:ascii="宋体" w:hAnsi="宋体" w:cs="宋体"/>
          <w:color w:val="auto"/>
          <w:sz w:val="24"/>
        </w:rPr>
        <w:t>1.2.1供应商的姓名或者名称、地址、邮编、联系人及联系电话；</w:t>
      </w:r>
    </w:p>
    <w:p w14:paraId="6AE56E92">
      <w:pPr>
        <w:spacing w:line="400" w:lineRule="exact"/>
        <w:ind w:right="12" w:firstLine="480"/>
        <w:rPr>
          <w:rFonts w:hint="eastAsia" w:ascii="宋体" w:hAnsi="宋体" w:cs="宋体"/>
          <w:color w:val="auto"/>
          <w:sz w:val="24"/>
        </w:rPr>
      </w:pPr>
      <w:r>
        <w:rPr>
          <w:rFonts w:hint="eastAsia" w:ascii="宋体" w:hAnsi="宋体" w:cs="宋体"/>
          <w:color w:val="auto"/>
          <w:sz w:val="24"/>
        </w:rPr>
        <w:t>1.2.2</w:t>
      </w:r>
      <w:r>
        <w:rPr>
          <w:rFonts w:hint="eastAsia" w:ascii="宋体" w:hAnsi="宋体" w:cs="宋体"/>
          <w:color w:val="auto"/>
          <w:sz w:val="24"/>
          <w:szCs w:val="24"/>
        </w:rPr>
        <w:t>质疑项目的项目名称、项目号以及采购执行编号</w:t>
      </w:r>
      <w:r>
        <w:rPr>
          <w:rFonts w:hint="eastAsia" w:ascii="宋体" w:hAnsi="宋体" w:cs="宋体"/>
          <w:color w:val="auto"/>
          <w:sz w:val="24"/>
        </w:rPr>
        <w:t>；</w:t>
      </w:r>
    </w:p>
    <w:p w14:paraId="385B40AF">
      <w:pPr>
        <w:spacing w:line="400" w:lineRule="exact"/>
        <w:ind w:right="12" w:firstLine="480"/>
        <w:rPr>
          <w:rFonts w:hint="eastAsia" w:ascii="宋体" w:hAnsi="宋体" w:cs="宋体"/>
          <w:color w:val="auto"/>
          <w:sz w:val="24"/>
        </w:rPr>
      </w:pPr>
      <w:r>
        <w:rPr>
          <w:rFonts w:hint="eastAsia" w:ascii="宋体" w:hAnsi="宋体" w:cs="宋体"/>
          <w:color w:val="auto"/>
          <w:sz w:val="24"/>
        </w:rPr>
        <w:t>1.2.3具体、明确的质疑事项和与质疑事项相关的请求；</w:t>
      </w:r>
    </w:p>
    <w:p w14:paraId="60C364D2">
      <w:pPr>
        <w:spacing w:line="400" w:lineRule="exact"/>
        <w:ind w:right="12" w:firstLine="480"/>
        <w:rPr>
          <w:rFonts w:hint="eastAsia" w:ascii="宋体" w:hAnsi="宋体" w:cs="宋体"/>
          <w:color w:val="auto"/>
          <w:sz w:val="24"/>
        </w:rPr>
      </w:pPr>
      <w:r>
        <w:rPr>
          <w:rFonts w:hint="eastAsia" w:ascii="宋体" w:hAnsi="宋体" w:cs="宋体"/>
          <w:color w:val="auto"/>
          <w:sz w:val="24"/>
        </w:rPr>
        <w:t>1.2.4事实依据；</w:t>
      </w:r>
    </w:p>
    <w:p w14:paraId="4D2F2DCD">
      <w:pPr>
        <w:spacing w:line="400" w:lineRule="exact"/>
        <w:ind w:right="12" w:firstLine="480"/>
        <w:rPr>
          <w:rFonts w:hint="eastAsia" w:ascii="宋体" w:hAnsi="宋体" w:cs="宋体"/>
          <w:color w:val="auto"/>
          <w:sz w:val="24"/>
        </w:rPr>
      </w:pPr>
      <w:r>
        <w:rPr>
          <w:rFonts w:hint="eastAsia" w:ascii="宋体" w:hAnsi="宋体" w:cs="宋体"/>
          <w:color w:val="auto"/>
          <w:sz w:val="24"/>
        </w:rPr>
        <w:t>1.2.5必要的法律依据；</w:t>
      </w:r>
    </w:p>
    <w:p w14:paraId="7CF8A574">
      <w:pPr>
        <w:spacing w:line="400" w:lineRule="exact"/>
        <w:ind w:right="12" w:firstLine="480"/>
        <w:rPr>
          <w:rFonts w:hint="eastAsia" w:ascii="宋体" w:hAnsi="宋体" w:cs="宋体"/>
          <w:color w:val="auto"/>
          <w:sz w:val="24"/>
        </w:rPr>
      </w:pPr>
      <w:r>
        <w:rPr>
          <w:rFonts w:hint="eastAsia" w:ascii="宋体" w:hAnsi="宋体" w:cs="宋体"/>
          <w:color w:val="auto"/>
          <w:sz w:val="24"/>
        </w:rPr>
        <w:t>1.2.6提出质疑的日期；</w:t>
      </w:r>
    </w:p>
    <w:p w14:paraId="4065FAB6">
      <w:pPr>
        <w:spacing w:line="400" w:lineRule="exact"/>
        <w:ind w:right="12" w:firstLine="480"/>
        <w:rPr>
          <w:rFonts w:hint="eastAsia" w:ascii="宋体" w:hAnsi="宋体" w:cs="宋体"/>
          <w:color w:val="auto"/>
          <w:sz w:val="24"/>
        </w:rPr>
      </w:pPr>
      <w:r>
        <w:rPr>
          <w:rFonts w:hint="eastAsia" w:ascii="宋体" w:hAnsi="宋体" w:cs="宋体"/>
          <w:color w:val="auto"/>
          <w:sz w:val="24"/>
        </w:rPr>
        <w:t>1.2.7营业执照（或事业单位法人证书，或个体工商户营业执照或有效的自然人身份证明）复印件；</w:t>
      </w:r>
    </w:p>
    <w:p w14:paraId="13448EF4">
      <w:pPr>
        <w:spacing w:line="400" w:lineRule="exact"/>
        <w:ind w:right="12" w:firstLine="480"/>
        <w:rPr>
          <w:rFonts w:hint="eastAsia" w:ascii="宋体" w:hAnsi="宋体" w:cs="宋体"/>
          <w:color w:val="auto"/>
          <w:sz w:val="24"/>
        </w:rPr>
      </w:pPr>
      <w:r>
        <w:rPr>
          <w:rFonts w:hint="eastAsia" w:ascii="宋体" w:hAnsi="宋体" w:cs="宋体"/>
          <w:color w:val="auto"/>
          <w:sz w:val="24"/>
        </w:rPr>
        <w:t>1.2.8法定代表人授权委托书原件、法定代表人身份证复印件和其授权代表的身份证复印件（供应商为自然人的提供自然人身份证复印件）；</w:t>
      </w:r>
    </w:p>
    <w:p w14:paraId="7162EDDE">
      <w:pPr>
        <w:spacing w:line="400" w:lineRule="exact"/>
        <w:ind w:right="12" w:firstLine="480"/>
        <w:rPr>
          <w:rFonts w:hint="eastAsia" w:ascii="宋体" w:hAnsi="宋体" w:cs="宋体"/>
          <w:color w:val="auto"/>
          <w:sz w:val="24"/>
        </w:rPr>
      </w:pPr>
      <w:r>
        <w:rPr>
          <w:rFonts w:hint="eastAsia" w:ascii="宋体" w:hAnsi="宋体" w:cs="宋体"/>
          <w:color w:val="auto"/>
          <w:sz w:val="24"/>
        </w:rPr>
        <w:t>1.3供应商为自然人的，质疑函应当由本人签字；供应商为法人或者其他组织的，质疑函应当由法定代表人、主要负责人，或者其授权代表签字或者盖章，并加盖公章。</w:t>
      </w:r>
    </w:p>
    <w:p w14:paraId="4F835E35">
      <w:pPr>
        <w:spacing w:line="400" w:lineRule="exact"/>
        <w:ind w:right="12" w:firstLine="480"/>
        <w:rPr>
          <w:rFonts w:hint="eastAsia" w:ascii="宋体" w:hAnsi="宋体" w:cs="宋体"/>
          <w:color w:val="auto"/>
          <w:sz w:val="24"/>
        </w:rPr>
      </w:pPr>
      <w:r>
        <w:rPr>
          <w:rFonts w:hint="eastAsia" w:ascii="宋体" w:hAnsi="宋体" w:cs="宋体"/>
          <w:color w:val="auto"/>
          <w:sz w:val="24"/>
        </w:rPr>
        <w:t>2.质疑答复</w:t>
      </w:r>
    </w:p>
    <w:p w14:paraId="1268AF80">
      <w:pPr>
        <w:spacing w:line="400" w:lineRule="exact"/>
        <w:ind w:right="12" w:firstLine="480"/>
        <w:rPr>
          <w:rFonts w:hint="eastAsia"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76A0ACFD">
      <w:pPr>
        <w:spacing w:line="400" w:lineRule="exact"/>
        <w:ind w:right="12" w:firstLine="480"/>
        <w:rPr>
          <w:rFonts w:hint="eastAsia" w:ascii="宋体" w:hAnsi="宋体" w:cs="宋体"/>
          <w:color w:val="auto"/>
          <w:sz w:val="24"/>
        </w:rPr>
      </w:pPr>
      <w:r>
        <w:rPr>
          <w:rFonts w:hint="eastAsia" w:ascii="宋体" w:hAnsi="宋体" w:cs="宋体"/>
          <w:color w:val="auto"/>
          <w:sz w:val="24"/>
        </w:rPr>
        <w:t>3.其他</w:t>
      </w:r>
    </w:p>
    <w:p w14:paraId="1B23852B">
      <w:pPr>
        <w:spacing w:line="400" w:lineRule="exact"/>
        <w:ind w:right="12" w:firstLine="480"/>
        <w:rPr>
          <w:rFonts w:hint="eastAsia" w:ascii="宋体" w:hAnsi="宋体" w:cs="宋体"/>
          <w:color w:val="auto"/>
          <w:sz w:val="24"/>
        </w:rPr>
      </w:pPr>
      <w:r>
        <w:rPr>
          <w:rFonts w:hint="eastAsia" w:ascii="宋体" w:hAnsi="宋体" w:cs="宋体"/>
          <w:color w:val="auto"/>
          <w:sz w:val="24"/>
        </w:rPr>
        <w:t>3.1供应商应按照《政府采购质疑和投诉办法》（财政部令第94号）及相关法律法规要求，在法定质疑期内一次性提出针对同一采购程序环节的质疑。</w:t>
      </w:r>
    </w:p>
    <w:p w14:paraId="33FE052E">
      <w:pPr>
        <w:spacing w:line="400" w:lineRule="exact"/>
        <w:ind w:right="12" w:firstLine="480"/>
        <w:rPr>
          <w:rFonts w:hint="eastAsia" w:ascii="宋体" w:hAnsi="宋体" w:cs="宋体"/>
          <w:color w:val="auto"/>
          <w:sz w:val="24"/>
        </w:rPr>
      </w:pPr>
      <w:r>
        <w:rPr>
          <w:rFonts w:hint="eastAsia" w:ascii="宋体" w:hAnsi="宋体" w:cs="宋体"/>
          <w:color w:val="auto"/>
          <w:sz w:val="24"/>
        </w:rPr>
        <w:t>3.2质疑函范本可在财政部门户网站和中国政府采购网下载。</w:t>
      </w:r>
    </w:p>
    <w:p w14:paraId="47F5663F">
      <w:pPr>
        <w:spacing w:line="400" w:lineRule="exact"/>
        <w:ind w:right="12" w:firstLine="480"/>
        <w:outlineLvl w:val="2"/>
        <w:rPr>
          <w:rFonts w:hint="eastAsia" w:ascii="宋体" w:hAnsi="宋体" w:cs="宋体"/>
          <w:color w:val="auto"/>
          <w:sz w:val="24"/>
        </w:rPr>
      </w:pPr>
      <w:r>
        <w:rPr>
          <w:rFonts w:hint="eastAsia" w:ascii="宋体" w:hAnsi="宋体" w:cs="宋体"/>
          <w:color w:val="auto"/>
          <w:sz w:val="24"/>
        </w:rPr>
        <w:t>（二）投诉</w:t>
      </w:r>
    </w:p>
    <w:p w14:paraId="6293A433">
      <w:pPr>
        <w:spacing w:line="400" w:lineRule="exact"/>
        <w:ind w:right="12" w:firstLine="480"/>
        <w:rPr>
          <w:rFonts w:hint="eastAsia" w:ascii="宋体" w:hAnsi="宋体" w:cs="宋体"/>
          <w:color w:val="auto"/>
          <w:sz w:val="24"/>
        </w:rPr>
      </w:pPr>
      <w:r>
        <w:rPr>
          <w:rFonts w:hint="eastAsia" w:ascii="宋体" w:hAnsi="宋体" w:cs="宋体"/>
          <w:color w:val="auto"/>
          <w:sz w:val="24"/>
        </w:rPr>
        <w:t>1.供应商对采购人、采购代理机构的答复不满意，或者采购人、采购代理机构未在规定时间内作出答复的，可以在答复期满后15个工作日内按照相关法律法规向采购人监督部门提起投诉。</w:t>
      </w:r>
    </w:p>
    <w:p w14:paraId="0709ECC8">
      <w:pPr>
        <w:spacing w:line="400" w:lineRule="exact"/>
        <w:ind w:right="12" w:firstLine="480"/>
        <w:rPr>
          <w:rFonts w:hint="eastAsia" w:ascii="宋体" w:hAnsi="宋体" w:cs="宋体"/>
          <w:color w:val="auto"/>
          <w:sz w:val="24"/>
        </w:rPr>
      </w:pPr>
      <w:r>
        <w:rPr>
          <w:rFonts w:hint="eastAsia" w:ascii="宋体" w:hAns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48920F95">
      <w:pPr>
        <w:spacing w:line="400" w:lineRule="exact"/>
        <w:ind w:right="12" w:firstLine="480"/>
        <w:rPr>
          <w:rFonts w:hint="eastAsia" w:ascii="宋体" w:hAnsi="宋体" w:cs="宋体"/>
          <w:color w:val="auto"/>
          <w:sz w:val="24"/>
        </w:rPr>
      </w:pPr>
      <w:r>
        <w:rPr>
          <w:rFonts w:hint="eastAsia" w:ascii="宋体" w:hAnsi="宋体" w:cs="宋体"/>
          <w:color w:val="auto"/>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447CB47">
      <w:pPr>
        <w:spacing w:line="400" w:lineRule="exact"/>
        <w:ind w:firstLine="480" w:firstLineChars="200"/>
        <w:rPr>
          <w:rFonts w:hint="eastAsia" w:ascii="宋体" w:hAnsi="宋体" w:cs="宋体"/>
          <w:color w:val="auto"/>
          <w:sz w:val="24"/>
        </w:rPr>
      </w:pPr>
      <w:r>
        <w:rPr>
          <w:rFonts w:hint="eastAsia" w:ascii="宋体" w:hAnsi="宋体" w:cs="宋体"/>
          <w:color w:val="auto"/>
          <w:sz w:val="24"/>
        </w:rPr>
        <w:t>4.在确定受理投诉后，采购人监督部门自受理投诉之日起30个工作日内（需要检验、检测、鉴定、专家评审以及需要投诉人补正材料的，所需时间不计算在投诉处理期限内）对投诉事项做出处理决定。</w:t>
      </w:r>
    </w:p>
    <w:p w14:paraId="0CFDE4C1">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43" w:name="_Toc3127"/>
      <w:bookmarkStart w:id="144" w:name="_Toc65660361"/>
      <w:bookmarkStart w:id="145" w:name="_Toc16648"/>
      <w:bookmarkStart w:id="146" w:name="_Toc24360"/>
      <w:r>
        <w:rPr>
          <w:rFonts w:hint="eastAsia" w:ascii="宋体" w:hAnsi="宋体" w:eastAsia="宋体" w:cs="宋体"/>
          <w:color w:val="auto"/>
          <w:sz w:val="24"/>
        </w:rPr>
        <w:t>七、签订合同</w:t>
      </w:r>
      <w:bookmarkEnd w:id="143"/>
      <w:bookmarkEnd w:id="144"/>
      <w:bookmarkEnd w:id="145"/>
      <w:bookmarkEnd w:id="146"/>
    </w:p>
    <w:p w14:paraId="63E1E994">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rPr>
        <w:t>采购人原则上应在成交通知书发出之日起二十日内和成交供应商签订采购合同，无正当理由不得拒绝或拖延合同签订</w:t>
      </w:r>
      <w:r>
        <w:rPr>
          <w:rFonts w:hint="eastAsia" w:ascii="宋体" w:hAnsi="宋体" w:cs="宋体"/>
          <w:color w:val="auto"/>
          <w:sz w:val="24"/>
          <w:szCs w:val="24"/>
        </w:rPr>
        <w:t>。所签订的合同不得对竞争性谈判文件和供应商的响应文件作实质性修改。其他未尽事宜由采购人和成交供应商在采购合同中详细约定。</w:t>
      </w:r>
    </w:p>
    <w:p w14:paraId="2D970FF5">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（二）竞争性谈判文件、供应商的响应文件及澄清文件等，均为签订采购合同的依据。</w:t>
      </w:r>
    </w:p>
    <w:p w14:paraId="0600B077">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14DC5D3C">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（四）合同原则上应按照《采购合同》签订，相关单位要求适用合同通用格式版本的，应按其要求另行签订其他合同。</w:t>
      </w:r>
    </w:p>
    <w:p w14:paraId="75584ED9">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（五）采购人要求成交供应商提供履约保证金的，应当在竞争性谈判文件中予以约定。成交供应商履约完毕后，采购人根据采购文件规定无息退还其履约保证金。</w:t>
      </w:r>
    </w:p>
    <w:p w14:paraId="29C14738">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47" w:name="_Toc31056"/>
      <w:r>
        <w:rPr>
          <w:rFonts w:hint="eastAsia" w:ascii="宋体" w:hAnsi="宋体" w:eastAsia="宋体" w:cs="宋体"/>
          <w:color w:val="auto"/>
          <w:sz w:val="24"/>
        </w:rPr>
        <w:t>八、项目验收</w:t>
      </w:r>
      <w:bookmarkEnd w:id="147"/>
    </w:p>
    <w:p w14:paraId="5BD32150">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rPr>
        <w:t>合同执行完毕，采购人或采购代理机构原则上应在7个工作日内组织履约情况验收，不得无故拖延或附加额外条件。</w:t>
      </w:r>
    </w:p>
    <w:p w14:paraId="642A4C25">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48" w:name="_Toc65660362"/>
      <w:bookmarkStart w:id="149" w:name="_Toc32594"/>
      <w:bookmarkStart w:id="150" w:name="_Toc29513"/>
      <w:bookmarkStart w:id="151" w:name="_Toc7024"/>
      <w:r>
        <w:rPr>
          <w:rFonts w:hint="eastAsia" w:ascii="宋体" w:hAnsi="宋体" w:eastAsia="宋体" w:cs="宋体"/>
          <w:color w:val="auto"/>
          <w:sz w:val="24"/>
        </w:rPr>
        <w:t>九、采购代理服务费</w:t>
      </w:r>
      <w:bookmarkEnd w:id="148"/>
      <w:bookmarkEnd w:id="149"/>
      <w:bookmarkEnd w:id="150"/>
      <w:bookmarkEnd w:id="151"/>
    </w:p>
    <w:p w14:paraId="3FE6114F">
      <w:pPr>
        <w:spacing w:line="400" w:lineRule="exact"/>
        <w:ind w:firstLine="360" w:firstLineChars="150"/>
        <w:rPr>
          <w:rFonts w:hint="eastAsia" w:ascii="宋体" w:hAnsi="宋体" w:cs="宋体"/>
          <w:color w:val="auto"/>
          <w:sz w:val="24"/>
        </w:rPr>
      </w:pPr>
      <w:r>
        <w:rPr>
          <w:rFonts w:hint="eastAsia" w:ascii="宋体" w:hAnsi="宋体" w:cs="宋体"/>
          <w:color w:val="auto"/>
          <w:sz w:val="24"/>
        </w:rPr>
        <w:t>（一）</w:t>
      </w:r>
      <w:bookmarkStart w:id="152" w:name="_Toc9730"/>
      <w:bookmarkStart w:id="153" w:name="_Toc65660363"/>
      <w:bookmarkStart w:id="154" w:name="_Toc4867"/>
      <w:r>
        <w:rPr>
          <w:rFonts w:hint="eastAsia" w:ascii="宋体" w:hAnsi="宋体" w:cs="宋体"/>
          <w:color w:val="auto"/>
          <w:sz w:val="24"/>
        </w:rPr>
        <w:t>供应商成交后向采购代理机构缴纳采购代理服务费，采购代理服务费的收取标准按照定额</w:t>
      </w:r>
      <w:r>
        <w:rPr>
          <w:rFonts w:hint="eastAsia" w:ascii="宋体" w:hAnsi="宋体" w:cs="宋体"/>
          <w:color w:val="auto"/>
          <w:sz w:val="24"/>
          <w:lang w:val="en-US" w:eastAsia="zh-CN"/>
        </w:rPr>
        <w:t>叁</w:t>
      </w:r>
      <w:r>
        <w:rPr>
          <w:rFonts w:hint="eastAsia" w:ascii="宋体" w:hAnsi="宋体" w:cs="宋体"/>
          <w:color w:val="auto"/>
          <w:sz w:val="24"/>
        </w:rPr>
        <w:t>仟元整收取。</w:t>
      </w:r>
    </w:p>
    <w:p w14:paraId="60922813">
      <w:pPr>
        <w:spacing w:line="400" w:lineRule="exact"/>
        <w:ind w:firstLine="360" w:firstLineChars="150"/>
        <w:rPr>
          <w:rFonts w:hint="eastAsia" w:ascii="宋体" w:hAnsi="宋体" w:cs="宋体"/>
          <w:color w:val="auto"/>
          <w:sz w:val="24"/>
          <w:szCs w:val="24"/>
        </w:rPr>
      </w:pPr>
      <w:r>
        <w:rPr>
          <w:rFonts w:hint="eastAsia" w:ascii="宋体" w:hAnsi="宋体" w:cs="宋体"/>
          <w:color w:val="auto"/>
          <w:sz w:val="24"/>
          <w:szCs w:val="24"/>
        </w:rPr>
        <w:t>（二）采购代理服务费缴纳账号：</w:t>
      </w:r>
    </w:p>
    <w:p w14:paraId="19E0FCD1">
      <w:pPr>
        <w:spacing w:line="400" w:lineRule="exact"/>
        <w:ind w:firstLine="360" w:firstLineChars="150"/>
        <w:rPr>
          <w:rFonts w:hint="eastAsia" w:ascii="宋体" w:hAnsi="宋体" w:eastAsia="宋体" w:cs="宋体"/>
          <w:color w:val="auto"/>
          <w:sz w:val="24"/>
          <w:szCs w:val="24"/>
          <w:lang w:eastAsia="zh-CN"/>
        </w:rPr>
      </w:pPr>
      <w:r>
        <w:rPr>
          <w:rFonts w:hint="eastAsia" w:ascii="宋体" w:hAnsi="宋体" w:cs="宋体"/>
          <w:color w:val="auto"/>
          <w:sz w:val="24"/>
          <w:szCs w:val="24"/>
        </w:rPr>
        <w:t>户  名：</w:t>
      </w:r>
      <w:r>
        <w:rPr>
          <w:rFonts w:hint="eastAsia" w:ascii="宋体" w:hAnsi="宋体" w:cs="宋体"/>
          <w:color w:val="auto"/>
          <w:sz w:val="24"/>
          <w:szCs w:val="24"/>
          <w:lang w:eastAsia="zh-CN"/>
        </w:rPr>
        <w:t>重庆智南项目管理有限公司</w:t>
      </w:r>
    </w:p>
    <w:p w14:paraId="42D1BB39">
      <w:pPr>
        <w:spacing w:line="400" w:lineRule="exact"/>
        <w:ind w:firstLine="360" w:firstLineChars="150"/>
        <w:rPr>
          <w:rFonts w:hint="eastAsia" w:ascii="宋体" w:hAnsi="宋体" w:eastAsia="宋体" w:cs="宋体"/>
          <w:color w:val="auto"/>
          <w:sz w:val="24"/>
          <w:szCs w:val="24"/>
          <w:lang w:eastAsia="zh-CN"/>
        </w:rPr>
      </w:pPr>
      <w:r>
        <w:rPr>
          <w:rFonts w:hint="eastAsia" w:ascii="宋体" w:hAnsi="宋体" w:cs="宋体"/>
          <w:color w:val="auto"/>
          <w:sz w:val="24"/>
          <w:szCs w:val="24"/>
        </w:rPr>
        <w:t>开户行：</w:t>
      </w:r>
      <w:r>
        <w:rPr>
          <w:rFonts w:hint="eastAsia" w:ascii="宋体" w:hAnsi="宋体" w:cs="宋体"/>
          <w:color w:val="auto"/>
          <w:sz w:val="24"/>
          <w:szCs w:val="24"/>
          <w:lang w:eastAsia="zh-CN"/>
        </w:rPr>
        <w:t>中国建设银行股份有限公司重庆两江分行</w:t>
      </w:r>
    </w:p>
    <w:p w14:paraId="78A21A55">
      <w:pPr>
        <w:spacing w:line="400" w:lineRule="exact"/>
        <w:ind w:firstLine="360" w:firstLineChars="150"/>
        <w:rPr>
          <w:rFonts w:hint="eastAsia" w:ascii="宋体" w:hAnsi="宋体" w:eastAsia="宋体" w:cs="宋体"/>
          <w:color w:val="auto"/>
          <w:sz w:val="24"/>
          <w:szCs w:val="24"/>
          <w:lang w:eastAsia="zh-CN"/>
        </w:rPr>
      </w:pPr>
      <w:r>
        <w:rPr>
          <w:rFonts w:hint="eastAsia" w:ascii="宋体" w:hAnsi="宋体" w:cs="宋体"/>
          <w:color w:val="auto"/>
          <w:sz w:val="24"/>
          <w:szCs w:val="24"/>
        </w:rPr>
        <w:t>账  号：</w:t>
      </w:r>
      <w:r>
        <w:rPr>
          <w:rFonts w:hint="eastAsia" w:ascii="宋体" w:hAnsi="宋体" w:cs="宋体"/>
          <w:color w:val="auto"/>
          <w:sz w:val="24"/>
          <w:szCs w:val="24"/>
          <w:lang w:eastAsia="zh-CN"/>
        </w:rPr>
        <w:t>50050104360000003306</w:t>
      </w:r>
    </w:p>
    <w:bookmarkEnd w:id="152"/>
    <w:bookmarkEnd w:id="153"/>
    <w:bookmarkEnd w:id="154"/>
    <w:p w14:paraId="5DD13810">
      <w:pPr>
        <w:spacing w:line="360" w:lineRule="auto"/>
        <w:ind w:firstLine="480" w:firstLineChars="200"/>
        <w:rPr>
          <w:rFonts w:hint="eastAsia" w:ascii="宋体" w:hAnsi="宋体" w:cs="宋体"/>
          <w:color w:val="auto"/>
          <w:sz w:val="24"/>
          <w:szCs w:val="24"/>
        </w:rPr>
        <w:sectPr>
          <w:footerReference r:id="rId9" w:type="default"/>
          <w:pgSz w:w="11907" w:h="16840"/>
          <w:pgMar w:top="1134" w:right="1191" w:bottom="1134" w:left="1304" w:header="680" w:footer="992" w:gutter="0"/>
          <w:pgNumType w:fmt="numberInDash"/>
          <w:cols w:space="720" w:num="1"/>
          <w:docGrid w:linePitch="312" w:charSpace="0"/>
        </w:sectPr>
      </w:pPr>
    </w:p>
    <w:bookmarkEnd w:id="71"/>
    <w:p w14:paraId="132C3D71">
      <w:pPr>
        <w:pStyle w:val="4"/>
        <w:spacing w:before="0" w:after="0" w:line="360" w:lineRule="auto"/>
        <w:jc w:val="center"/>
        <w:rPr>
          <w:rFonts w:hint="eastAsia" w:ascii="微软雅黑" w:hAnsi="微软雅黑" w:eastAsia="微软雅黑" w:cs="微软雅黑"/>
          <w:b/>
          <w:bCs/>
          <w:color w:val="auto"/>
          <w:sz w:val="72"/>
          <w:szCs w:val="72"/>
        </w:rPr>
      </w:pPr>
      <w:bookmarkStart w:id="155" w:name="_Toc65660365"/>
      <w:bookmarkStart w:id="156" w:name="_Toc11641055"/>
      <w:bookmarkStart w:id="157" w:name="_Toc12789059"/>
      <w:bookmarkStart w:id="158" w:name="_Toc14861"/>
      <w:bookmarkStart w:id="159" w:name="_Toc28162"/>
      <w:bookmarkStart w:id="160" w:name="_Toc23226"/>
      <w:r>
        <w:rPr>
          <w:rFonts w:hint="eastAsia" w:ascii="宋体" w:hAnsi="宋体" w:eastAsia="宋体" w:cs="宋体"/>
          <w:bCs/>
          <w:color w:val="auto"/>
          <w:sz w:val="36"/>
          <w:szCs w:val="30"/>
        </w:rPr>
        <w:t xml:space="preserve">第六篇  </w:t>
      </w:r>
      <w:bookmarkEnd w:id="155"/>
      <w:bookmarkEnd w:id="156"/>
      <w:bookmarkEnd w:id="157"/>
      <w:bookmarkEnd w:id="158"/>
      <w:bookmarkEnd w:id="159"/>
      <w:bookmarkStart w:id="161" w:name="_Toc6968"/>
      <w:bookmarkStart w:id="162" w:name="_Toc12789072"/>
      <w:bookmarkStart w:id="163" w:name="_Toc9538"/>
      <w:bookmarkStart w:id="164" w:name="_Toc65660378"/>
      <w:r>
        <w:rPr>
          <w:rFonts w:hint="eastAsia" w:ascii="宋体" w:hAnsi="宋体" w:eastAsia="宋体" w:cs="宋体"/>
          <w:bCs/>
          <w:color w:val="auto"/>
          <w:sz w:val="36"/>
          <w:szCs w:val="30"/>
        </w:rPr>
        <w:t>合同草案条款及格式合同</w:t>
      </w:r>
      <w:bookmarkEnd w:id="160"/>
      <w:bookmarkStart w:id="165" w:name="_Toc504472973"/>
      <w:bookmarkStart w:id="166" w:name="_Toc296503025"/>
      <w:bookmarkStart w:id="167" w:name="_Toc296890982"/>
      <w:r>
        <w:rPr>
          <w:rFonts w:hint="eastAsia" w:ascii="微软雅黑" w:hAnsi="微软雅黑" w:eastAsia="微软雅黑" w:cs="微软雅黑"/>
          <w:b/>
          <w:bCs/>
          <w:color w:val="auto"/>
          <w:sz w:val="52"/>
          <w:szCs w:val="52"/>
        </w:rPr>
        <w:t xml:space="preserve">                           </w:t>
      </w:r>
    </w:p>
    <w:bookmarkEnd w:id="165"/>
    <w:bookmarkEnd w:id="166"/>
    <w:bookmarkEnd w:id="167"/>
    <w:p w14:paraId="1F58A271">
      <w:pPr>
        <w:spacing w:line="500" w:lineRule="exact"/>
        <w:jc w:val="center"/>
        <w:rPr>
          <w:rFonts w:hint="eastAsia" w:ascii="宋体" w:hAnsi="宋体" w:eastAsia="宋体" w:cs="宋体"/>
          <w:b/>
          <w:szCs w:val="13"/>
        </w:rPr>
      </w:pPr>
      <w:r>
        <w:rPr>
          <w:rFonts w:hint="eastAsia" w:ascii="宋体" w:hAnsi="宋体" w:eastAsia="宋体" w:cs="宋体"/>
          <w:b/>
          <w:szCs w:val="13"/>
        </w:rPr>
        <w:t>采购合同</w:t>
      </w:r>
    </w:p>
    <w:p w14:paraId="239F9B7A">
      <w:pPr>
        <w:spacing w:line="500" w:lineRule="exact"/>
        <w:jc w:val="center"/>
        <w:rPr>
          <w:rFonts w:hint="eastAsia" w:ascii="宋体" w:hAnsi="宋体" w:eastAsia="宋体" w:cs="宋体"/>
        </w:rPr>
      </w:pPr>
      <w:r>
        <w:rPr>
          <w:rFonts w:hint="eastAsia" w:ascii="宋体" w:hAnsi="宋体" w:eastAsia="宋体" w:cs="宋体"/>
        </w:rPr>
        <w:t>（采购项目编号：     ）</w:t>
      </w:r>
    </w:p>
    <w:p w14:paraId="70595FFB">
      <w:pPr>
        <w:spacing w:line="500" w:lineRule="exact"/>
        <w:rPr>
          <w:rFonts w:hint="eastAsia" w:ascii="宋体" w:hAnsi="宋体" w:eastAsia="宋体" w:cs="宋体"/>
          <w:sz w:val="24"/>
        </w:rPr>
      </w:pPr>
    </w:p>
    <w:p w14:paraId="151575B4">
      <w:pPr>
        <w:spacing w:line="500" w:lineRule="exact"/>
        <w:rPr>
          <w:rFonts w:hint="eastAsia" w:ascii="宋体" w:hAnsi="宋体" w:eastAsia="宋体" w:cs="宋体"/>
          <w:sz w:val="24"/>
        </w:rPr>
      </w:pPr>
      <w:r>
        <w:rPr>
          <w:rFonts w:hint="eastAsia" w:ascii="宋体" w:hAnsi="宋体" w:eastAsia="宋体" w:cs="宋体"/>
          <w:sz w:val="24"/>
        </w:rPr>
        <w:t>甲方（需方）：___________________________      计价单位：____________</w:t>
      </w:r>
    </w:p>
    <w:p w14:paraId="18B295A5">
      <w:pPr>
        <w:spacing w:line="500" w:lineRule="exact"/>
        <w:rPr>
          <w:rFonts w:hint="eastAsia" w:ascii="宋体" w:hAnsi="宋体" w:eastAsia="宋体" w:cs="宋体"/>
          <w:sz w:val="24"/>
        </w:rPr>
      </w:pPr>
      <w:r>
        <w:rPr>
          <w:rFonts w:hint="eastAsia" w:ascii="宋体" w:hAnsi="宋体" w:eastAsia="宋体" w:cs="宋体"/>
          <w:sz w:val="24"/>
        </w:rPr>
        <w:t>乙方（供方）：___________________________      计量单位：_____________</w:t>
      </w:r>
    </w:p>
    <w:p w14:paraId="22A27A77">
      <w:pPr>
        <w:spacing w:line="500" w:lineRule="exact"/>
        <w:rPr>
          <w:rFonts w:hint="eastAsia" w:ascii="宋体" w:hAnsi="宋体" w:eastAsia="宋体" w:cs="宋体"/>
          <w:sz w:val="24"/>
        </w:rPr>
      </w:pPr>
    </w:p>
    <w:p w14:paraId="69B12088">
      <w:pPr>
        <w:spacing w:line="500" w:lineRule="exact"/>
        <w:rPr>
          <w:rFonts w:hint="eastAsia" w:ascii="宋体" w:hAnsi="宋体" w:eastAsia="宋体" w:cs="宋体"/>
          <w:sz w:val="24"/>
        </w:rPr>
      </w:pPr>
      <w:r>
        <w:rPr>
          <w:rFonts w:hint="eastAsia" w:ascii="宋体" w:hAnsi="宋体" w:eastAsia="宋体" w:cs="宋体"/>
          <w:sz w:val="24"/>
        </w:rPr>
        <w:t>经双方协商一致，达成以下采购合同：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0C7D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14:paraId="5AC1DD6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内容名称</w:t>
            </w:r>
          </w:p>
        </w:tc>
        <w:tc>
          <w:tcPr>
            <w:tcW w:w="2529" w:type="dxa"/>
            <w:noWrap w:val="0"/>
            <w:vAlign w:val="center"/>
          </w:tcPr>
          <w:p w14:paraId="624D884C">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数量</w:t>
            </w:r>
          </w:p>
        </w:tc>
        <w:tc>
          <w:tcPr>
            <w:tcW w:w="1298" w:type="dxa"/>
            <w:gridSpan w:val="2"/>
            <w:noWrap w:val="0"/>
            <w:vAlign w:val="center"/>
          </w:tcPr>
          <w:p w14:paraId="513C8F1E">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单价</w:t>
            </w:r>
          </w:p>
        </w:tc>
        <w:tc>
          <w:tcPr>
            <w:tcW w:w="1134" w:type="dxa"/>
            <w:noWrap w:val="0"/>
            <w:vAlign w:val="center"/>
          </w:tcPr>
          <w:p w14:paraId="112961DF">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总价</w:t>
            </w:r>
          </w:p>
        </w:tc>
        <w:tc>
          <w:tcPr>
            <w:tcW w:w="1559" w:type="dxa"/>
            <w:noWrap w:val="0"/>
            <w:vAlign w:val="center"/>
          </w:tcPr>
          <w:p w14:paraId="2BADC835">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服务时间</w:t>
            </w:r>
          </w:p>
        </w:tc>
        <w:tc>
          <w:tcPr>
            <w:tcW w:w="1567" w:type="dxa"/>
            <w:noWrap w:val="0"/>
            <w:vAlign w:val="center"/>
          </w:tcPr>
          <w:p w14:paraId="313D4A2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服务地点</w:t>
            </w:r>
          </w:p>
        </w:tc>
      </w:tr>
      <w:tr w14:paraId="0542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E5B0B59">
            <w:pPr>
              <w:spacing w:line="500" w:lineRule="exact"/>
              <w:rPr>
                <w:rFonts w:hint="eastAsia" w:ascii="宋体" w:hAnsi="宋体" w:eastAsia="宋体" w:cs="宋体"/>
                <w:sz w:val="24"/>
                <w:szCs w:val="24"/>
              </w:rPr>
            </w:pPr>
          </w:p>
        </w:tc>
        <w:tc>
          <w:tcPr>
            <w:tcW w:w="2529" w:type="dxa"/>
            <w:noWrap w:val="0"/>
            <w:vAlign w:val="center"/>
          </w:tcPr>
          <w:p w14:paraId="72883816">
            <w:pPr>
              <w:spacing w:line="500" w:lineRule="exact"/>
              <w:rPr>
                <w:rFonts w:hint="eastAsia" w:ascii="宋体" w:hAnsi="宋体" w:eastAsia="宋体" w:cs="宋体"/>
                <w:sz w:val="24"/>
                <w:szCs w:val="24"/>
              </w:rPr>
            </w:pPr>
          </w:p>
        </w:tc>
        <w:tc>
          <w:tcPr>
            <w:tcW w:w="1298" w:type="dxa"/>
            <w:gridSpan w:val="2"/>
            <w:noWrap w:val="0"/>
            <w:vAlign w:val="center"/>
          </w:tcPr>
          <w:p w14:paraId="7228B1DC">
            <w:pPr>
              <w:spacing w:line="500" w:lineRule="exact"/>
              <w:rPr>
                <w:rFonts w:hint="eastAsia" w:ascii="宋体" w:hAnsi="宋体" w:eastAsia="宋体" w:cs="宋体"/>
                <w:sz w:val="24"/>
                <w:szCs w:val="24"/>
              </w:rPr>
            </w:pPr>
          </w:p>
        </w:tc>
        <w:tc>
          <w:tcPr>
            <w:tcW w:w="1134" w:type="dxa"/>
            <w:noWrap w:val="0"/>
            <w:vAlign w:val="center"/>
          </w:tcPr>
          <w:p w14:paraId="725FD7A9">
            <w:pPr>
              <w:spacing w:line="500" w:lineRule="exact"/>
              <w:rPr>
                <w:rFonts w:hint="eastAsia" w:ascii="宋体" w:hAnsi="宋体" w:eastAsia="宋体" w:cs="宋体"/>
                <w:sz w:val="24"/>
                <w:szCs w:val="24"/>
              </w:rPr>
            </w:pPr>
          </w:p>
        </w:tc>
        <w:tc>
          <w:tcPr>
            <w:tcW w:w="1559" w:type="dxa"/>
            <w:noWrap w:val="0"/>
            <w:vAlign w:val="center"/>
          </w:tcPr>
          <w:p w14:paraId="572F5FD5">
            <w:pPr>
              <w:spacing w:line="500" w:lineRule="exact"/>
              <w:rPr>
                <w:rFonts w:hint="eastAsia" w:ascii="宋体" w:hAnsi="宋体" w:eastAsia="宋体" w:cs="宋体"/>
                <w:sz w:val="24"/>
                <w:szCs w:val="24"/>
              </w:rPr>
            </w:pPr>
          </w:p>
        </w:tc>
        <w:tc>
          <w:tcPr>
            <w:tcW w:w="1567" w:type="dxa"/>
            <w:noWrap w:val="0"/>
            <w:vAlign w:val="center"/>
          </w:tcPr>
          <w:p w14:paraId="557E90CA">
            <w:pPr>
              <w:spacing w:line="500" w:lineRule="exact"/>
              <w:rPr>
                <w:rFonts w:hint="eastAsia" w:ascii="宋体" w:hAnsi="宋体" w:eastAsia="宋体" w:cs="宋体"/>
                <w:sz w:val="24"/>
                <w:szCs w:val="24"/>
              </w:rPr>
            </w:pPr>
          </w:p>
        </w:tc>
      </w:tr>
      <w:tr w14:paraId="2D00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31D8906D">
            <w:pPr>
              <w:spacing w:line="500" w:lineRule="exact"/>
              <w:rPr>
                <w:rFonts w:hint="eastAsia" w:ascii="宋体" w:hAnsi="宋体" w:eastAsia="宋体" w:cs="宋体"/>
                <w:sz w:val="24"/>
                <w:szCs w:val="24"/>
              </w:rPr>
            </w:pPr>
          </w:p>
        </w:tc>
        <w:tc>
          <w:tcPr>
            <w:tcW w:w="2529" w:type="dxa"/>
            <w:noWrap w:val="0"/>
            <w:vAlign w:val="center"/>
          </w:tcPr>
          <w:p w14:paraId="2E4AE8DC">
            <w:pPr>
              <w:spacing w:line="500" w:lineRule="exact"/>
              <w:rPr>
                <w:rFonts w:hint="eastAsia" w:ascii="宋体" w:hAnsi="宋体" w:eastAsia="宋体" w:cs="宋体"/>
                <w:sz w:val="24"/>
                <w:szCs w:val="24"/>
              </w:rPr>
            </w:pPr>
          </w:p>
        </w:tc>
        <w:tc>
          <w:tcPr>
            <w:tcW w:w="1298" w:type="dxa"/>
            <w:gridSpan w:val="2"/>
            <w:noWrap w:val="0"/>
            <w:vAlign w:val="center"/>
          </w:tcPr>
          <w:p w14:paraId="0B97B125">
            <w:pPr>
              <w:spacing w:line="500" w:lineRule="exact"/>
              <w:rPr>
                <w:rFonts w:hint="eastAsia" w:ascii="宋体" w:hAnsi="宋体" w:eastAsia="宋体" w:cs="宋体"/>
                <w:sz w:val="24"/>
                <w:szCs w:val="24"/>
              </w:rPr>
            </w:pPr>
          </w:p>
        </w:tc>
        <w:tc>
          <w:tcPr>
            <w:tcW w:w="1134" w:type="dxa"/>
            <w:noWrap w:val="0"/>
            <w:vAlign w:val="center"/>
          </w:tcPr>
          <w:p w14:paraId="0D4F8017">
            <w:pPr>
              <w:spacing w:line="500" w:lineRule="exact"/>
              <w:rPr>
                <w:rFonts w:hint="eastAsia" w:ascii="宋体" w:hAnsi="宋体" w:eastAsia="宋体" w:cs="宋体"/>
                <w:sz w:val="24"/>
                <w:szCs w:val="24"/>
              </w:rPr>
            </w:pPr>
          </w:p>
        </w:tc>
        <w:tc>
          <w:tcPr>
            <w:tcW w:w="1559" w:type="dxa"/>
            <w:noWrap w:val="0"/>
            <w:vAlign w:val="center"/>
          </w:tcPr>
          <w:p w14:paraId="2A2E4AB7">
            <w:pPr>
              <w:spacing w:line="500" w:lineRule="exact"/>
              <w:rPr>
                <w:rFonts w:hint="eastAsia" w:ascii="宋体" w:hAnsi="宋体" w:eastAsia="宋体" w:cs="宋体"/>
                <w:sz w:val="24"/>
                <w:szCs w:val="24"/>
              </w:rPr>
            </w:pPr>
          </w:p>
        </w:tc>
        <w:tc>
          <w:tcPr>
            <w:tcW w:w="1567" w:type="dxa"/>
            <w:noWrap w:val="0"/>
            <w:vAlign w:val="center"/>
          </w:tcPr>
          <w:p w14:paraId="78BA4353">
            <w:pPr>
              <w:spacing w:line="500" w:lineRule="exact"/>
              <w:rPr>
                <w:rFonts w:hint="eastAsia" w:ascii="宋体" w:hAnsi="宋体" w:eastAsia="宋体" w:cs="宋体"/>
                <w:sz w:val="24"/>
                <w:szCs w:val="24"/>
              </w:rPr>
            </w:pPr>
          </w:p>
        </w:tc>
      </w:tr>
      <w:tr w14:paraId="63AD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8ABF05D">
            <w:pPr>
              <w:spacing w:line="500" w:lineRule="exact"/>
              <w:rPr>
                <w:rFonts w:hint="eastAsia" w:ascii="宋体" w:hAnsi="宋体" w:eastAsia="宋体" w:cs="宋体"/>
                <w:sz w:val="24"/>
                <w:szCs w:val="24"/>
              </w:rPr>
            </w:pPr>
          </w:p>
        </w:tc>
        <w:tc>
          <w:tcPr>
            <w:tcW w:w="2529" w:type="dxa"/>
            <w:noWrap w:val="0"/>
            <w:vAlign w:val="center"/>
          </w:tcPr>
          <w:p w14:paraId="71FE8503">
            <w:pPr>
              <w:spacing w:line="500" w:lineRule="exact"/>
              <w:rPr>
                <w:rFonts w:hint="eastAsia" w:ascii="宋体" w:hAnsi="宋体" w:eastAsia="宋体" w:cs="宋体"/>
                <w:sz w:val="24"/>
                <w:szCs w:val="24"/>
              </w:rPr>
            </w:pPr>
          </w:p>
        </w:tc>
        <w:tc>
          <w:tcPr>
            <w:tcW w:w="1298" w:type="dxa"/>
            <w:gridSpan w:val="2"/>
            <w:noWrap w:val="0"/>
            <w:vAlign w:val="center"/>
          </w:tcPr>
          <w:p w14:paraId="2FA9318F">
            <w:pPr>
              <w:spacing w:line="500" w:lineRule="exact"/>
              <w:rPr>
                <w:rFonts w:hint="eastAsia" w:ascii="宋体" w:hAnsi="宋体" w:eastAsia="宋体" w:cs="宋体"/>
                <w:sz w:val="24"/>
                <w:szCs w:val="24"/>
              </w:rPr>
            </w:pPr>
          </w:p>
        </w:tc>
        <w:tc>
          <w:tcPr>
            <w:tcW w:w="1134" w:type="dxa"/>
            <w:noWrap w:val="0"/>
            <w:vAlign w:val="center"/>
          </w:tcPr>
          <w:p w14:paraId="01D944F5">
            <w:pPr>
              <w:spacing w:line="500" w:lineRule="exact"/>
              <w:rPr>
                <w:rFonts w:hint="eastAsia" w:ascii="宋体" w:hAnsi="宋体" w:eastAsia="宋体" w:cs="宋体"/>
                <w:sz w:val="24"/>
                <w:szCs w:val="24"/>
              </w:rPr>
            </w:pPr>
          </w:p>
        </w:tc>
        <w:tc>
          <w:tcPr>
            <w:tcW w:w="1559" w:type="dxa"/>
            <w:noWrap w:val="0"/>
            <w:vAlign w:val="center"/>
          </w:tcPr>
          <w:p w14:paraId="43B21EC1">
            <w:pPr>
              <w:spacing w:line="500" w:lineRule="exact"/>
              <w:rPr>
                <w:rFonts w:hint="eastAsia" w:ascii="宋体" w:hAnsi="宋体" w:eastAsia="宋体" w:cs="宋体"/>
                <w:sz w:val="24"/>
                <w:szCs w:val="24"/>
              </w:rPr>
            </w:pPr>
          </w:p>
        </w:tc>
        <w:tc>
          <w:tcPr>
            <w:tcW w:w="1567" w:type="dxa"/>
            <w:noWrap w:val="0"/>
            <w:vAlign w:val="center"/>
          </w:tcPr>
          <w:p w14:paraId="416EAD54">
            <w:pPr>
              <w:spacing w:line="500" w:lineRule="exact"/>
              <w:rPr>
                <w:rFonts w:hint="eastAsia" w:ascii="宋体" w:hAnsi="宋体" w:eastAsia="宋体" w:cs="宋体"/>
                <w:sz w:val="24"/>
                <w:szCs w:val="24"/>
              </w:rPr>
            </w:pPr>
          </w:p>
        </w:tc>
      </w:tr>
      <w:tr w14:paraId="7EA5D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1A4FED5F">
            <w:pPr>
              <w:spacing w:line="500" w:lineRule="exact"/>
              <w:rPr>
                <w:rFonts w:hint="eastAsia" w:ascii="宋体" w:hAnsi="宋体" w:eastAsia="宋体" w:cs="宋体"/>
                <w:sz w:val="24"/>
                <w:szCs w:val="24"/>
              </w:rPr>
            </w:pPr>
          </w:p>
        </w:tc>
        <w:tc>
          <w:tcPr>
            <w:tcW w:w="2529" w:type="dxa"/>
            <w:noWrap w:val="0"/>
            <w:vAlign w:val="center"/>
          </w:tcPr>
          <w:p w14:paraId="09DDE94D">
            <w:pPr>
              <w:spacing w:line="500" w:lineRule="exact"/>
              <w:rPr>
                <w:rFonts w:hint="eastAsia" w:ascii="宋体" w:hAnsi="宋体" w:eastAsia="宋体" w:cs="宋体"/>
                <w:sz w:val="24"/>
                <w:szCs w:val="24"/>
              </w:rPr>
            </w:pPr>
          </w:p>
        </w:tc>
        <w:tc>
          <w:tcPr>
            <w:tcW w:w="1298" w:type="dxa"/>
            <w:gridSpan w:val="2"/>
            <w:noWrap w:val="0"/>
            <w:vAlign w:val="center"/>
          </w:tcPr>
          <w:p w14:paraId="6D2F8BE2">
            <w:pPr>
              <w:spacing w:line="500" w:lineRule="exact"/>
              <w:rPr>
                <w:rFonts w:hint="eastAsia" w:ascii="宋体" w:hAnsi="宋体" w:eastAsia="宋体" w:cs="宋体"/>
                <w:sz w:val="24"/>
                <w:szCs w:val="24"/>
              </w:rPr>
            </w:pPr>
          </w:p>
        </w:tc>
        <w:tc>
          <w:tcPr>
            <w:tcW w:w="1134" w:type="dxa"/>
            <w:noWrap w:val="0"/>
            <w:vAlign w:val="center"/>
          </w:tcPr>
          <w:p w14:paraId="39E52C01">
            <w:pPr>
              <w:spacing w:line="500" w:lineRule="exact"/>
              <w:rPr>
                <w:rFonts w:hint="eastAsia" w:ascii="宋体" w:hAnsi="宋体" w:eastAsia="宋体" w:cs="宋体"/>
                <w:sz w:val="24"/>
                <w:szCs w:val="24"/>
              </w:rPr>
            </w:pPr>
          </w:p>
        </w:tc>
        <w:tc>
          <w:tcPr>
            <w:tcW w:w="1559" w:type="dxa"/>
            <w:noWrap w:val="0"/>
            <w:vAlign w:val="center"/>
          </w:tcPr>
          <w:p w14:paraId="2FE92FBC">
            <w:pPr>
              <w:spacing w:line="500" w:lineRule="exact"/>
              <w:rPr>
                <w:rFonts w:hint="eastAsia" w:ascii="宋体" w:hAnsi="宋体" w:eastAsia="宋体" w:cs="宋体"/>
                <w:sz w:val="24"/>
                <w:szCs w:val="24"/>
              </w:rPr>
            </w:pPr>
          </w:p>
        </w:tc>
        <w:tc>
          <w:tcPr>
            <w:tcW w:w="1567" w:type="dxa"/>
            <w:noWrap w:val="0"/>
            <w:vAlign w:val="center"/>
          </w:tcPr>
          <w:p w14:paraId="072E921D">
            <w:pPr>
              <w:spacing w:line="500" w:lineRule="exact"/>
              <w:rPr>
                <w:rFonts w:hint="eastAsia" w:ascii="宋体" w:hAnsi="宋体" w:eastAsia="宋体" w:cs="宋体"/>
                <w:sz w:val="24"/>
                <w:szCs w:val="24"/>
              </w:rPr>
            </w:pPr>
          </w:p>
        </w:tc>
      </w:tr>
      <w:tr w14:paraId="4BEA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C001125">
            <w:pPr>
              <w:spacing w:line="500" w:lineRule="exact"/>
              <w:rPr>
                <w:rFonts w:hint="eastAsia" w:ascii="宋体" w:hAnsi="宋体" w:eastAsia="宋体" w:cs="宋体"/>
                <w:sz w:val="24"/>
                <w:szCs w:val="24"/>
              </w:rPr>
            </w:pPr>
          </w:p>
        </w:tc>
        <w:tc>
          <w:tcPr>
            <w:tcW w:w="2529" w:type="dxa"/>
            <w:noWrap w:val="0"/>
            <w:vAlign w:val="center"/>
          </w:tcPr>
          <w:p w14:paraId="580FCCB7">
            <w:pPr>
              <w:spacing w:line="500" w:lineRule="exact"/>
              <w:rPr>
                <w:rFonts w:hint="eastAsia" w:ascii="宋体" w:hAnsi="宋体" w:eastAsia="宋体" w:cs="宋体"/>
                <w:sz w:val="24"/>
                <w:szCs w:val="24"/>
              </w:rPr>
            </w:pPr>
          </w:p>
        </w:tc>
        <w:tc>
          <w:tcPr>
            <w:tcW w:w="1298" w:type="dxa"/>
            <w:gridSpan w:val="2"/>
            <w:noWrap w:val="0"/>
            <w:vAlign w:val="center"/>
          </w:tcPr>
          <w:p w14:paraId="0E88A656">
            <w:pPr>
              <w:spacing w:line="500" w:lineRule="exact"/>
              <w:rPr>
                <w:rFonts w:hint="eastAsia" w:ascii="宋体" w:hAnsi="宋体" w:eastAsia="宋体" w:cs="宋体"/>
                <w:sz w:val="24"/>
                <w:szCs w:val="24"/>
              </w:rPr>
            </w:pPr>
          </w:p>
        </w:tc>
        <w:tc>
          <w:tcPr>
            <w:tcW w:w="1134" w:type="dxa"/>
            <w:noWrap w:val="0"/>
            <w:vAlign w:val="center"/>
          </w:tcPr>
          <w:p w14:paraId="2FEA7A1E">
            <w:pPr>
              <w:spacing w:line="500" w:lineRule="exact"/>
              <w:rPr>
                <w:rFonts w:hint="eastAsia" w:ascii="宋体" w:hAnsi="宋体" w:eastAsia="宋体" w:cs="宋体"/>
                <w:sz w:val="24"/>
                <w:szCs w:val="24"/>
              </w:rPr>
            </w:pPr>
          </w:p>
        </w:tc>
        <w:tc>
          <w:tcPr>
            <w:tcW w:w="1559" w:type="dxa"/>
            <w:noWrap w:val="0"/>
            <w:vAlign w:val="center"/>
          </w:tcPr>
          <w:p w14:paraId="2071DA7F">
            <w:pPr>
              <w:spacing w:line="500" w:lineRule="exact"/>
              <w:rPr>
                <w:rFonts w:hint="eastAsia" w:ascii="宋体" w:hAnsi="宋体" w:eastAsia="宋体" w:cs="宋体"/>
                <w:sz w:val="24"/>
                <w:szCs w:val="24"/>
              </w:rPr>
            </w:pPr>
          </w:p>
        </w:tc>
        <w:tc>
          <w:tcPr>
            <w:tcW w:w="1567" w:type="dxa"/>
            <w:noWrap w:val="0"/>
            <w:vAlign w:val="center"/>
          </w:tcPr>
          <w:p w14:paraId="3463664E">
            <w:pPr>
              <w:spacing w:line="500" w:lineRule="exact"/>
              <w:rPr>
                <w:rFonts w:hint="eastAsia" w:ascii="宋体" w:hAnsi="宋体" w:eastAsia="宋体" w:cs="宋体"/>
                <w:sz w:val="24"/>
                <w:szCs w:val="24"/>
              </w:rPr>
            </w:pPr>
          </w:p>
        </w:tc>
      </w:tr>
      <w:tr w14:paraId="4B45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1BED0B07">
            <w:pPr>
              <w:spacing w:line="500" w:lineRule="exact"/>
              <w:rPr>
                <w:rFonts w:hint="eastAsia" w:ascii="宋体" w:hAnsi="宋体" w:eastAsia="宋体" w:cs="宋体"/>
                <w:sz w:val="24"/>
                <w:szCs w:val="24"/>
              </w:rPr>
            </w:pPr>
          </w:p>
        </w:tc>
        <w:tc>
          <w:tcPr>
            <w:tcW w:w="2529" w:type="dxa"/>
            <w:noWrap w:val="0"/>
            <w:vAlign w:val="center"/>
          </w:tcPr>
          <w:p w14:paraId="7B01C448">
            <w:pPr>
              <w:spacing w:line="500" w:lineRule="exact"/>
              <w:rPr>
                <w:rFonts w:hint="eastAsia" w:ascii="宋体" w:hAnsi="宋体" w:eastAsia="宋体" w:cs="宋体"/>
                <w:sz w:val="24"/>
                <w:szCs w:val="24"/>
              </w:rPr>
            </w:pPr>
          </w:p>
        </w:tc>
        <w:tc>
          <w:tcPr>
            <w:tcW w:w="1298" w:type="dxa"/>
            <w:gridSpan w:val="2"/>
            <w:noWrap w:val="0"/>
            <w:vAlign w:val="center"/>
          </w:tcPr>
          <w:p w14:paraId="4273CB42">
            <w:pPr>
              <w:spacing w:line="500" w:lineRule="exact"/>
              <w:rPr>
                <w:rFonts w:hint="eastAsia" w:ascii="宋体" w:hAnsi="宋体" w:eastAsia="宋体" w:cs="宋体"/>
                <w:sz w:val="24"/>
                <w:szCs w:val="24"/>
              </w:rPr>
            </w:pPr>
          </w:p>
        </w:tc>
        <w:tc>
          <w:tcPr>
            <w:tcW w:w="1134" w:type="dxa"/>
            <w:noWrap w:val="0"/>
            <w:vAlign w:val="center"/>
          </w:tcPr>
          <w:p w14:paraId="71D6A210">
            <w:pPr>
              <w:spacing w:line="500" w:lineRule="exact"/>
              <w:rPr>
                <w:rFonts w:hint="eastAsia" w:ascii="宋体" w:hAnsi="宋体" w:eastAsia="宋体" w:cs="宋体"/>
                <w:sz w:val="24"/>
                <w:szCs w:val="24"/>
              </w:rPr>
            </w:pPr>
          </w:p>
        </w:tc>
        <w:tc>
          <w:tcPr>
            <w:tcW w:w="1559" w:type="dxa"/>
            <w:noWrap w:val="0"/>
            <w:vAlign w:val="center"/>
          </w:tcPr>
          <w:p w14:paraId="1C6A66D5">
            <w:pPr>
              <w:spacing w:line="500" w:lineRule="exact"/>
              <w:rPr>
                <w:rFonts w:hint="eastAsia" w:ascii="宋体" w:hAnsi="宋体" w:eastAsia="宋体" w:cs="宋体"/>
                <w:sz w:val="24"/>
                <w:szCs w:val="24"/>
              </w:rPr>
            </w:pPr>
          </w:p>
        </w:tc>
        <w:tc>
          <w:tcPr>
            <w:tcW w:w="1567" w:type="dxa"/>
            <w:noWrap w:val="0"/>
            <w:vAlign w:val="center"/>
          </w:tcPr>
          <w:p w14:paraId="2CCAB52C">
            <w:pPr>
              <w:spacing w:line="500" w:lineRule="exact"/>
              <w:rPr>
                <w:rFonts w:hint="eastAsia" w:ascii="宋体" w:hAnsi="宋体" w:eastAsia="宋体" w:cs="宋体"/>
                <w:sz w:val="24"/>
                <w:szCs w:val="24"/>
              </w:rPr>
            </w:pPr>
          </w:p>
        </w:tc>
      </w:tr>
      <w:tr w14:paraId="4F384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327ED808">
            <w:pPr>
              <w:spacing w:line="500" w:lineRule="exact"/>
              <w:rPr>
                <w:rFonts w:hint="eastAsia" w:ascii="宋体" w:hAnsi="宋体" w:eastAsia="宋体" w:cs="宋体"/>
                <w:sz w:val="24"/>
                <w:szCs w:val="24"/>
              </w:rPr>
            </w:pPr>
          </w:p>
        </w:tc>
        <w:tc>
          <w:tcPr>
            <w:tcW w:w="2529" w:type="dxa"/>
            <w:noWrap w:val="0"/>
            <w:vAlign w:val="center"/>
          </w:tcPr>
          <w:p w14:paraId="3C01A827">
            <w:pPr>
              <w:spacing w:line="500" w:lineRule="exact"/>
              <w:rPr>
                <w:rFonts w:hint="eastAsia" w:ascii="宋体" w:hAnsi="宋体" w:eastAsia="宋体" w:cs="宋体"/>
                <w:sz w:val="24"/>
                <w:szCs w:val="24"/>
              </w:rPr>
            </w:pPr>
          </w:p>
        </w:tc>
        <w:tc>
          <w:tcPr>
            <w:tcW w:w="1298" w:type="dxa"/>
            <w:gridSpan w:val="2"/>
            <w:noWrap w:val="0"/>
            <w:vAlign w:val="center"/>
          </w:tcPr>
          <w:p w14:paraId="2854B1CA">
            <w:pPr>
              <w:spacing w:line="500" w:lineRule="exact"/>
              <w:rPr>
                <w:rFonts w:hint="eastAsia" w:ascii="宋体" w:hAnsi="宋体" w:eastAsia="宋体" w:cs="宋体"/>
                <w:sz w:val="24"/>
                <w:szCs w:val="24"/>
              </w:rPr>
            </w:pPr>
          </w:p>
        </w:tc>
        <w:tc>
          <w:tcPr>
            <w:tcW w:w="1134" w:type="dxa"/>
            <w:noWrap w:val="0"/>
            <w:vAlign w:val="center"/>
          </w:tcPr>
          <w:p w14:paraId="5C648F85">
            <w:pPr>
              <w:spacing w:line="500" w:lineRule="exact"/>
              <w:rPr>
                <w:rFonts w:hint="eastAsia" w:ascii="宋体" w:hAnsi="宋体" w:eastAsia="宋体" w:cs="宋体"/>
                <w:sz w:val="24"/>
                <w:szCs w:val="24"/>
              </w:rPr>
            </w:pPr>
          </w:p>
        </w:tc>
        <w:tc>
          <w:tcPr>
            <w:tcW w:w="1559" w:type="dxa"/>
            <w:noWrap w:val="0"/>
            <w:vAlign w:val="center"/>
          </w:tcPr>
          <w:p w14:paraId="4A289941">
            <w:pPr>
              <w:spacing w:line="500" w:lineRule="exact"/>
              <w:rPr>
                <w:rFonts w:hint="eastAsia" w:ascii="宋体" w:hAnsi="宋体" w:eastAsia="宋体" w:cs="宋体"/>
                <w:sz w:val="24"/>
                <w:szCs w:val="24"/>
              </w:rPr>
            </w:pPr>
          </w:p>
        </w:tc>
        <w:tc>
          <w:tcPr>
            <w:tcW w:w="1567" w:type="dxa"/>
            <w:noWrap w:val="0"/>
            <w:vAlign w:val="center"/>
          </w:tcPr>
          <w:p w14:paraId="69FA7263">
            <w:pPr>
              <w:spacing w:line="500" w:lineRule="exact"/>
              <w:rPr>
                <w:rFonts w:hint="eastAsia" w:ascii="宋体" w:hAnsi="宋体" w:eastAsia="宋体" w:cs="宋体"/>
                <w:sz w:val="24"/>
                <w:szCs w:val="24"/>
              </w:rPr>
            </w:pPr>
          </w:p>
        </w:tc>
      </w:tr>
      <w:tr w14:paraId="0395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3244E9E">
            <w:pPr>
              <w:spacing w:line="500" w:lineRule="exact"/>
              <w:rPr>
                <w:rFonts w:hint="eastAsia" w:ascii="宋体" w:hAnsi="宋体" w:eastAsia="宋体" w:cs="宋体"/>
                <w:sz w:val="24"/>
                <w:szCs w:val="24"/>
              </w:rPr>
            </w:pPr>
          </w:p>
        </w:tc>
        <w:tc>
          <w:tcPr>
            <w:tcW w:w="2529" w:type="dxa"/>
            <w:noWrap w:val="0"/>
            <w:vAlign w:val="center"/>
          </w:tcPr>
          <w:p w14:paraId="39709E5E">
            <w:pPr>
              <w:spacing w:line="500" w:lineRule="exact"/>
              <w:rPr>
                <w:rFonts w:hint="eastAsia" w:ascii="宋体" w:hAnsi="宋体" w:eastAsia="宋体" w:cs="宋体"/>
                <w:sz w:val="24"/>
                <w:szCs w:val="24"/>
              </w:rPr>
            </w:pPr>
          </w:p>
        </w:tc>
        <w:tc>
          <w:tcPr>
            <w:tcW w:w="1298" w:type="dxa"/>
            <w:gridSpan w:val="2"/>
            <w:noWrap w:val="0"/>
            <w:vAlign w:val="center"/>
          </w:tcPr>
          <w:p w14:paraId="3D32EDA8">
            <w:pPr>
              <w:spacing w:line="500" w:lineRule="exact"/>
              <w:rPr>
                <w:rFonts w:hint="eastAsia" w:ascii="宋体" w:hAnsi="宋体" w:eastAsia="宋体" w:cs="宋体"/>
                <w:sz w:val="24"/>
                <w:szCs w:val="24"/>
              </w:rPr>
            </w:pPr>
          </w:p>
        </w:tc>
        <w:tc>
          <w:tcPr>
            <w:tcW w:w="1134" w:type="dxa"/>
            <w:noWrap w:val="0"/>
            <w:vAlign w:val="center"/>
          </w:tcPr>
          <w:p w14:paraId="1EF29EB5">
            <w:pPr>
              <w:spacing w:line="500" w:lineRule="exact"/>
              <w:rPr>
                <w:rFonts w:hint="eastAsia" w:ascii="宋体" w:hAnsi="宋体" w:eastAsia="宋体" w:cs="宋体"/>
                <w:sz w:val="24"/>
                <w:szCs w:val="24"/>
              </w:rPr>
            </w:pPr>
          </w:p>
        </w:tc>
        <w:tc>
          <w:tcPr>
            <w:tcW w:w="1559" w:type="dxa"/>
            <w:noWrap w:val="0"/>
            <w:vAlign w:val="center"/>
          </w:tcPr>
          <w:p w14:paraId="2875AE74">
            <w:pPr>
              <w:spacing w:line="500" w:lineRule="exact"/>
              <w:rPr>
                <w:rFonts w:hint="eastAsia" w:ascii="宋体" w:hAnsi="宋体" w:eastAsia="宋体" w:cs="宋体"/>
                <w:sz w:val="24"/>
                <w:szCs w:val="24"/>
              </w:rPr>
            </w:pPr>
          </w:p>
        </w:tc>
        <w:tc>
          <w:tcPr>
            <w:tcW w:w="1567" w:type="dxa"/>
            <w:noWrap w:val="0"/>
            <w:vAlign w:val="center"/>
          </w:tcPr>
          <w:p w14:paraId="661B97B3">
            <w:pPr>
              <w:spacing w:line="500" w:lineRule="exact"/>
              <w:rPr>
                <w:rFonts w:hint="eastAsia" w:ascii="宋体" w:hAnsi="宋体" w:eastAsia="宋体" w:cs="宋体"/>
                <w:sz w:val="24"/>
                <w:szCs w:val="24"/>
              </w:rPr>
            </w:pPr>
          </w:p>
        </w:tc>
      </w:tr>
      <w:tr w14:paraId="3646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1DA243E9">
            <w:pPr>
              <w:spacing w:line="500" w:lineRule="exact"/>
              <w:rPr>
                <w:rFonts w:hint="eastAsia" w:ascii="宋体" w:hAnsi="宋体" w:eastAsia="宋体" w:cs="宋体"/>
                <w:sz w:val="24"/>
                <w:szCs w:val="24"/>
              </w:rPr>
            </w:pPr>
            <w:r>
              <w:rPr>
                <w:rFonts w:hint="eastAsia" w:ascii="宋体" w:hAnsi="宋体" w:eastAsia="宋体" w:cs="宋体"/>
                <w:sz w:val="24"/>
                <w:szCs w:val="24"/>
              </w:rPr>
              <w:t>合计人民币（小写）：</w:t>
            </w:r>
          </w:p>
        </w:tc>
      </w:tr>
      <w:tr w14:paraId="399B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2492EB27">
            <w:pPr>
              <w:spacing w:line="500" w:lineRule="exact"/>
              <w:rPr>
                <w:rFonts w:hint="eastAsia" w:ascii="宋体" w:hAnsi="宋体" w:eastAsia="宋体" w:cs="宋体"/>
                <w:sz w:val="24"/>
                <w:szCs w:val="24"/>
              </w:rPr>
            </w:pPr>
            <w:r>
              <w:rPr>
                <w:rFonts w:hint="eastAsia" w:ascii="宋体" w:hAnsi="宋体" w:eastAsia="宋体" w:cs="宋体"/>
                <w:sz w:val="24"/>
                <w:szCs w:val="24"/>
              </w:rPr>
              <w:t>合计人民币（大写）：</w:t>
            </w:r>
          </w:p>
        </w:tc>
      </w:tr>
      <w:tr w14:paraId="4285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3FE50675">
            <w:pPr>
              <w:spacing w:line="500" w:lineRule="exact"/>
              <w:rPr>
                <w:rFonts w:hint="eastAsia" w:ascii="宋体" w:hAnsi="宋体" w:eastAsia="宋体" w:cs="宋体"/>
                <w:sz w:val="24"/>
                <w:szCs w:val="24"/>
              </w:rPr>
            </w:pPr>
            <w:r>
              <w:rPr>
                <w:rFonts w:hint="eastAsia" w:ascii="宋体" w:hAnsi="宋体" w:eastAsia="宋体" w:cs="宋体"/>
                <w:sz w:val="24"/>
                <w:szCs w:val="24"/>
              </w:rPr>
              <w:t>一、质量要求和技术标准。供方须根据需方要求及本招标文件规定的国家相关标准进行服务，服务承诺如下：</w:t>
            </w:r>
          </w:p>
          <w:p w14:paraId="5A71820E">
            <w:pPr>
              <w:spacing w:line="500" w:lineRule="exact"/>
              <w:rPr>
                <w:rFonts w:hint="eastAsia" w:ascii="宋体" w:hAnsi="宋体" w:eastAsia="宋体" w:cs="宋体"/>
                <w:sz w:val="24"/>
                <w:szCs w:val="24"/>
              </w:rPr>
            </w:pPr>
            <w:r>
              <w:rPr>
                <w:rFonts w:hint="eastAsia" w:ascii="宋体" w:hAnsi="宋体" w:eastAsia="宋体" w:cs="宋体"/>
                <w:sz w:val="24"/>
                <w:szCs w:val="24"/>
              </w:rPr>
              <w:t>（一）质量要求</w:t>
            </w:r>
          </w:p>
          <w:p w14:paraId="50E7BA27">
            <w:pPr>
              <w:spacing w:line="500" w:lineRule="exact"/>
              <w:rPr>
                <w:rFonts w:hint="eastAsia" w:ascii="宋体" w:hAnsi="宋体" w:eastAsia="宋体" w:cs="宋体"/>
                <w:sz w:val="24"/>
                <w:szCs w:val="24"/>
              </w:rPr>
            </w:pPr>
            <w:r>
              <w:rPr>
                <w:rFonts w:hint="eastAsia" w:ascii="宋体" w:hAnsi="宋体" w:eastAsia="宋体" w:cs="宋体"/>
                <w:sz w:val="24"/>
                <w:szCs w:val="24"/>
              </w:rPr>
              <w:t>（二）服务要求</w:t>
            </w:r>
          </w:p>
        </w:tc>
      </w:tr>
      <w:tr w14:paraId="662B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14:paraId="5D37DA22">
            <w:pPr>
              <w:spacing w:line="500" w:lineRule="exact"/>
              <w:rPr>
                <w:rFonts w:hint="eastAsia" w:ascii="宋体" w:hAnsi="宋体" w:eastAsia="宋体" w:cs="宋体"/>
                <w:sz w:val="24"/>
                <w:szCs w:val="24"/>
              </w:rPr>
            </w:pPr>
            <w:r>
              <w:rPr>
                <w:rFonts w:hint="eastAsia" w:ascii="宋体" w:hAnsi="宋体" w:eastAsia="宋体" w:cs="宋体"/>
                <w:sz w:val="24"/>
                <w:szCs w:val="24"/>
              </w:rPr>
              <w:t>二、执行标准：</w:t>
            </w:r>
          </w:p>
          <w:p w14:paraId="76C78D7B">
            <w:pPr>
              <w:spacing w:line="500" w:lineRule="exact"/>
              <w:rPr>
                <w:rFonts w:hint="eastAsia" w:ascii="宋体" w:hAnsi="宋体" w:eastAsia="宋体" w:cs="宋体"/>
                <w:sz w:val="24"/>
                <w:szCs w:val="24"/>
              </w:rPr>
            </w:pPr>
          </w:p>
        </w:tc>
      </w:tr>
      <w:tr w14:paraId="7DF8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75E45E43">
            <w:pPr>
              <w:spacing w:line="500" w:lineRule="exact"/>
              <w:rPr>
                <w:rFonts w:hint="eastAsia" w:ascii="宋体" w:hAnsi="宋体" w:eastAsia="宋体" w:cs="宋体"/>
                <w:sz w:val="24"/>
                <w:szCs w:val="24"/>
              </w:rPr>
            </w:pPr>
            <w:r>
              <w:rPr>
                <w:rFonts w:hint="eastAsia" w:ascii="宋体" w:hAnsi="宋体" w:eastAsia="宋体" w:cs="宋体"/>
                <w:sz w:val="24"/>
                <w:szCs w:val="24"/>
              </w:rPr>
              <w:t>三、验收标准、方法：</w:t>
            </w:r>
          </w:p>
          <w:p w14:paraId="22CEAD23">
            <w:pPr>
              <w:spacing w:line="500" w:lineRule="exact"/>
              <w:rPr>
                <w:rFonts w:hint="eastAsia" w:ascii="宋体" w:hAnsi="宋体" w:eastAsia="宋体" w:cs="宋体"/>
                <w:sz w:val="24"/>
                <w:szCs w:val="24"/>
              </w:rPr>
            </w:pPr>
            <w:r>
              <w:rPr>
                <w:rFonts w:hint="eastAsia" w:ascii="宋体" w:hAnsi="宋体" w:eastAsia="宋体" w:cs="宋体"/>
                <w:sz w:val="24"/>
                <w:szCs w:val="24"/>
              </w:rPr>
              <w:t>如有异议，请于      日内提出。</w:t>
            </w:r>
          </w:p>
        </w:tc>
      </w:tr>
      <w:tr w14:paraId="7A08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03D13B2D">
            <w:pPr>
              <w:spacing w:line="500" w:lineRule="exact"/>
              <w:rPr>
                <w:rFonts w:hint="eastAsia" w:ascii="宋体" w:hAnsi="宋体" w:eastAsia="宋体" w:cs="宋体"/>
                <w:sz w:val="24"/>
                <w:szCs w:val="24"/>
              </w:rPr>
            </w:pPr>
            <w:r>
              <w:rPr>
                <w:rFonts w:hint="eastAsia" w:ascii="宋体" w:hAnsi="宋体" w:eastAsia="宋体" w:cs="宋体"/>
                <w:sz w:val="24"/>
                <w:szCs w:val="24"/>
              </w:rPr>
              <w:t>四、付款方式：</w:t>
            </w:r>
          </w:p>
          <w:p w14:paraId="1F06D54A">
            <w:pPr>
              <w:spacing w:line="500" w:lineRule="exact"/>
              <w:rPr>
                <w:rFonts w:hint="eastAsia" w:ascii="宋体" w:hAnsi="宋体" w:eastAsia="宋体" w:cs="宋体"/>
                <w:sz w:val="24"/>
                <w:szCs w:val="24"/>
              </w:rPr>
            </w:pPr>
          </w:p>
        </w:tc>
      </w:tr>
      <w:tr w14:paraId="30B4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104D50A2">
            <w:pPr>
              <w:spacing w:line="500" w:lineRule="exact"/>
              <w:rPr>
                <w:rFonts w:hint="eastAsia" w:ascii="宋体" w:hAnsi="宋体" w:eastAsia="宋体" w:cs="宋体"/>
                <w:sz w:val="24"/>
                <w:szCs w:val="24"/>
              </w:rPr>
            </w:pPr>
            <w:r>
              <w:rPr>
                <w:rFonts w:hint="eastAsia" w:ascii="宋体" w:hAnsi="宋体" w:cs="宋体"/>
                <w:sz w:val="24"/>
                <w:szCs w:val="24"/>
                <w:lang w:val="en-US" w:eastAsia="zh-CN"/>
              </w:rPr>
              <w:t>五</w:t>
            </w:r>
            <w:r>
              <w:rPr>
                <w:rFonts w:hint="eastAsia" w:ascii="宋体" w:hAnsi="宋体" w:eastAsia="宋体" w:cs="宋体"/>
                <w:sz w:val="24"/>
                <w:szCs w:val="24"/>
              </w:rPr>
              <w:t>、其他约定事项：</w:t>
            </w:r>
          </w:p>
          <w:p w14:paraId="73855F47">
            <w:pPr>
              <w:spacing w:line="500" w:lineRule="exact"/>
              <w:rPr>
                <w:rFonts w:hint="eastAsia" w:ascii="宋体" w:hAnsi="宋体" w:eastAsia="宋体" w:cs="宋体"/>
                <w:sz w:val="24"/>
                <w:szCs w:val="24"/>
              </w:rPr>
            </w:pPr>
            <w:r>
              <w:rPr>
                <w:rFonts w:hint="eastAsia" w:ascii="宋体" w:hAnsi="宋体" w:eastAsia="宋体" w:cs="宋体"/>
                <w:sz w:val="24"/>
                <w:szCs w:val="24"/>
              </w:rPr>
              <w:t>1.招标文件及其补遗文件、响应文件和承诺是本合同不可分割的部分。</w:t>
            </w:r>
          </w:p>
          <w:p w14:paraId="1E3FB027">
            <w:pPr>
              <w:spacing w:line="500" w:lineRule="exact"/>
              <w:rPr>
                <w:rFonts w:hint="eastAsia" w:ascii="宋体" w:hAnsi="宋体" w:eastAsia="宋体" w:cs="宋体"/>
                <w:sz w:val="24"/>
                <w:szCs w:val="24"/>
              </w:rPr>
            </w:pPr>
            <w:r>
              <w:rPr>
                <w:rFonts w:hint="eastAsia" w:ascii="宋体" w:hAnsi="宋体" w:eastAsia="宋体" w:cs="宋体"/>
                <w:sz w:val="24"/>
                <w:szCs w:val="24"/>
              </w:rPr>
              <w:t>2.本合同如发生争议由双方协商解决，协商不成向需方所在人民法院提请诉讼。</w:t>
            </w:r>
          </w:p>
          <w:p w14:paraId="7809DB15">
            <w:pPr>
              <w:spacing w:line="500" w:lineRule="exact"/>
              <w:rPr>
                <w:rFonts w:hint="eastAsia" w:ascii="宋体" w:hAnsi="宋体" w:eastAsia="宋体" w:cs="宋体"/>
                <w:sz w:val="24"/>
                <w:szCs w:val="24"/>
              </w:rPr>
            </w:pPr>
            <w:r>
              <w:rPr>
                <w:rFonts w:hint="eastAsia" w:ascii="宋体" w:hAnsi="宋体" w:eastAsia="宋体" w:cs="宋体"/>
                <w:sz w:val="24"/>
                <w:szCs w:val="24"/>
              </w:rPr>
              <w:t>3.本合同一式__份， 需方__份，供方__份，具备同等法律效力。</w:t>
            </w:r>
          </w:p>
          <w:p w14:paraId="18A4C4F8">
            <w:pPr>
              <w:spacing w:line="500" w:lineRule="exact"/>
              <w:rPr>
                <w:rFonts w:hint="eastAsia" w:ascii="宋体" w:hAnsi="宋体" w:eastAsia="宋体" w:cs="宋体"/>
                <w:sz w:val="24"/>
                <w:szCs w:val="24"/>
              </w:rPr>
            </w:pPr>
            <w:r>
              <w:rPr>
                <w:rFonts w:hint="eastAsia" w:ascii="宋体" w:hAnsi="宋体" w:eastAsia="宋体" w:cs="宋体"/>
                <w:sz w:val="24"/>
                <w:szCs w:val="24"/>
              </w:rPr>
              <w:t>4.其他：</w:t>
            </w:r>
          </w:p>
        </w:tc>
      </w:tr>
      <w:tr w14:paraId="7F02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017B6119">
            <w:pPr>
              <w:spacing w:line="500" w:lineRule="exact"/>
              <w:rPr>
                <w:rFonts w:hint="eastAsia" w:ascii="宋体" w:hAnsi="宋体" w:eastAsia="宋体" w:cs="宋体"/>
                <w:sz w:val="24"/>
                <w:szCs w:val="24"/>
              </w:rPr>
            </w:pPr>
            <w:r>
              <w:rPr>
                <w:rFonts w:hint="eastAsia" w:ascii="宋体" w:hAnsi="宋体" w:eastAsia="宋体" w:cs="宋体"/>
                <w:sz w:val="24"/>
                <w:szCs w:val="24"/>
              </w:rPr>
              <w:t>需方：</w:t>
            </w:r>
          </w:p>
          <w:p w14:paraId="597B655D">
            <w:pPr>
              <w:spacing w:line="500" w:lineRule="exact"/>
              <w:rPr>
                <w:rFonts w:hint="eastAsia" w:ascii="宋体" w:hAnsi="宋体" w:eastAsia="宋体" w:cs="宋体"/>
                <w:sz w:val="24"/>
                <w:szCs w:val="24"/>
              </w:rPr>
            </w:pPr>
            <w:r>
              <w:rPr>
                <w:rFonts w:hint="eastAsia" w:ascii="宋体" w:hAnsi="宋体" w:eastAsia="宋体" w:cs="宋体"/>
                <w:sz w:val="24"/>
                <w:szCs w:val="24"/>
              </w:rPr>
              <w:t>地址：</w:t>
            </w:r>
          </w:p>
          <w:p w14:paraId="48D20893">
            <w:pPr>
              <w:spacing w:line="500" w:lineRule="exact"/>
              <w:rPr>
                <w:rFonts w:hint="eastAsia" w:ascii="宋体" w:hAnsi="宋体" w:eastAsia="宋体" w:cs="宋体"/>
                <w:sz w:val="24"/>
                <w:szCs w:val="24"/>
              </w:rPr>
            </w:pPr>
            <w:r>
              <w:rPr>
                <w:rFonts w:hint="eastAsia" w:ascii="宋体" w:hAnsi="宋体" w:eastAsia="宋体" w:cs="宋体"/>
                <w:sz w:val="24"/>
                <w:szCs w:val="24"/>
              </w:rPr>
              <w:t>联系电话：</w:t>
            </w:r>
          </w:p>
          <w:p w14:paraId="529859AD">
            <w:pPr>
              <w:spacing w:line="500" w:lineRule="exact"/>
              <w:rPr>
                <w:rFonts w:hint="eastAsia" w:ascii="宋体" w:hAnsi="宋体" w:eastAsia="宋体" w:cs="宋体"/>
                <w:sz w:val="24"/>
                <w:szCs w:val="24"/>
              </w:rPr>
            </w:pPr>
            <w:r>
              <w:rPr>
                <w:rFonts w:hint="eastAsia" w:ascii="宋体" w:hAnsi="宋体" w:eastAsia="宋体" w:cs="宋体"/>
                <w:sz w:val="24"/>
                <w:szCs w:val="24"/>
              </w:rPr>
              <w:t>授权代表：</w:t>
            </w:r>
          </w:p>
        </w:tc>
        <w:tc>
          <w:tcPr>
            <w:tcW w:w="5125" w:type="dxa"/>
            <w:gridSpan w:val="5"/>
            <w:noWrap w:val="0"/>
            <w:vAlign w:val="top"/>
          </w:tcPr>
          <w:p w14:paraId="51BBB487">
            <w:pPr>
              <w:spacing w:line="500" w:lineRule="exact"/>
              <w:rPr>
                <w:rFonts w:hint="eastAsia" w:ascii="宋体" w:hAnsi="宋体" w:eastAsia="宋体" w:cs="宋体"/>
                <w:sz w:val="24"/>
                <w:szCs w:val="24"/>
              </w:rPr>
            </w:pPr>
            <w:r>
              <w:rPr>
                <w:rFonts w:hint="eastAsia" w:ascii="宋体" w:hAnsi="宋体" w:eastAsia="宋体" w:cs="宋体"/>
                <w:sz w:val="24"/>
                <w:szCs w:val="24"/>
              </w:rPr>
              <w:t>供方：</w:t>
            </w:r>
          </w:p>
          <w:p w14:paraId="0C5C4223">
            <w:pPr>
              <w:spacing w:line="500" w:lineRule="exact"/>
              <w:rPr>
                <w:rFonts w:hint="eastAsia" w:ascii="宋体" w:hAnsi="宋体" w:eastAsia="宋体" w:cs="宋体"/>
                <w:sz w:val="24"/>
                <w:szCs w:val="24"/>
              </w:rPr>
            </w:pPr>
            <w:r>
              <w:rPr>
                <w:rFonts w:hint="eastAsia" w:ascii="宋体" w:hAnsi="宋体" w:eastAsia="宋体" w:cs="宋体"/>
                <w:sz w:val="24"/>
                <w:szCs w:val="24"/>
              </w:rPr>
              <w:t>地址：</w:t>
            </w:r>
          </w:p>
          <w:p w14:paraId="09320799">
            <w:pPr>
              <w:spacing w:line="500" w:lineRule="exact"/>
              <w:rPr>
                <w:rFonts w:hint="eastAsia" w:ascii="宋体" w:hAnsi="宋体" w:eastAsia="宋体" w:cs="宋体"/>
                <w:sz w:val="24"/>
                <w:szCs w:val="24"/>
              </w:rPr>
            </w:pPr>
            <w:r>
              <w:rPr>
                <w:rFonts w:hint="eastAsia" w:ascii="宋体" w:hAnsi="宋体" w:eastAsia="宋体" w:cs="宋体"/>
                <w:sz w:val="24"/>
                <w:szCs w:val="24"/>
              </w:rPr>
              <w:t>电话：</w:t>
            </w:r>
          </w:p>
          <w:p w14:paraId="0B328078">
            <w:pPr>
              <w:spacing w:line="500" w:lineRule="exact"/>
              <w:rPr>
                <w:rFonts w:hint="eastAsia" w:ascii="宋体" w:hAnsi="宋体" w:eastAsia="宋体" w:cs="宋体"/>
                <w:sz w:val="24"/>
                <w:szCs w:val="24"/>
              </w:rPr>
            </w:pPr>
            <w:r>
              <w:rPr>
                <w:rFonts w:hint="eastAsia" w:ascii="宋体" w:hAnsi="宋体" w:eastAsia="宋体" w:cs="宋体"/>
                <w:sz w:val="24"/>
                <w:szCs w:val="24"/>
              </w:rPr>
              <w:t>传真：</w:t>
            </w:r>
          </w:p>
          <w:p w14:paraId="7C8F48A9">
            <w:pPr>
              <w:spacing w:line="500" w:lineRule="exact"/>
              <w:rPr>
                <w:rFonts w:hint="eastAsia" w:ascii="宋体" w:hAnsi="宋体" w:eastAsia="宋体" w:cs="宋体"/>
                <w:sz w:val="24"/>
                <w:szCs w:val="24"/>
              </w:rPr>
            </w:pPr>
            <w:r>
              <w:rPr>
                <w:rFonts w:hint="eastAsia" w:ascii="宋体" w:hAnsi="宋体" w:eastAsia="宋体" w:cs="宋体"/>
                <w:sz w:val="24"/>
                <w:szCs w:val="24"/>
              </w:rPr>
              <w:t>开户银行：</w:t>
            </w:r>
          </w:p>
          <w:p w14:paraId="66C40CEF">
            <w:pPr>
              <w:spacing w:line="500" w:lineRule="exact"/>
              <w:rPr>
                <w:rFonts w:hint="eastAsia" w:ascii="宋体" w:hAnsi="宋体" w:eastAsia="宋体" w:cs="宋体"/>
                <w:sz w:val="24"/>
                <w:szCs w:val="24"/>
              </w:rPr>
            </w:pPr>
            <w:r>
              <w:rPr>
                <w:rFonts w:hint="eastAsia" w:ascii="宋体" w:hAnsi="宋体" w:eastAsia="宋体" w:cs="宋体"/>
                <w:sz w:val="24"/>
                <w:szCs w:val="24"/>
              </w:rPr>
              <w:t>账号：</w:t>
            </w:r>
          </w:p>
          <w:p w14:paraId="20317157">
            <w:pPr>
              <w:spacing w:line="500" w:lineRule="exact"/>
              <w:rPr>
                <w:rFonts w:hint="eastAsia" w:ascii="宋体" w:hAnsi="宋体" w:eastAsia="宋体" w:cs="宋体"/>
                <w:sz w:val="24"/>
                <w:szCs w:val="24"/>
              </w:rPr>
            </w:pPr>
            <w:r>
              <w:rPr>
                <w:rFonts w:hint="eastAsia" w:ascii="宋体" w:hAnsi="宋体" w:eastAsia="宋体" w:cs="宋体"/>
                <w:sz w:val="24"/>
                <w:szCs w:val="24"/>
              </w:rPr>
              <w:t>授权代表：</w:t>
            </w:r>
          </w:p>
          <w:p w14:paraId="23958D75">
            <w:pPr>
              <w:spacing w:line="500" w:lineRule="exact"/>
              <w:rPr>
                <w:rFonts w:hint="eastAsia" w:ascii="宋体" w:hAnsi="宋体" w:eastAsia="宋体" w:cs="宋体"/>
                <w:sz w:val="24"/>
                <w:szCs w:val="24"/>
              </w:rPr>
            </w:pPr>
            <w:r>
              <w:rPr>
                <w:rFonts w:hint="eastAsia" w:ascii="宋体" w:hAnsi="宋体" w:eastAsia="宋体" w:cs="宋体"/>
                <w:sz w:val="24"/>
                <w:szCs w:val="24"/>
              </w:rPr>
              <w:t>（本栏请用计算机打印以便于准确付款）</w:t>
            </w:r>
          </w:p>
        </w:tc>
      </w:tr>
      <w:tr w14:paraId="3BF0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707F9718">
            <w:pPr>
              <w:spacing w:line="500" w:lineRule="exact"/>
              <w:rPr>
                <w:rFonts w:hint="eastAsia" w:ascii="宋体" w:hAnsi="宋体" w:eastAsia="宋体" w:cs="宋体"/>
                <w:sz w:val="24"/>
                <w:szCs w:val="24"/>
              </w:rPr>
            </w:pPr>
            <w:r>
              <w:rPr>
                <w:rFonts w:hint="eastAsia" w:ascii="宋体" w:hAnsi="宋体" w:eastAsia="宋体" w:cs="宋体"/>
                <w:sz w:val="24"/>
                <w:szCs w:val="24"/>
              </w:rPr>
              <w:t>备注：</w:t>
            </w:r>
          </w:p>
          <w:p w14:paraId="0EC71122">
            <w:pPr>
              <w:spacing w:line="500" w:lineRule="exact"/>
              <w:rPr>
                <w:rFonts w:hint="eastAsia" w:ascii="宋体" w:hAnsi="宋体" w:eastAsia="宋体" w:cs="宋体"/>
                <w:sz w:val="24"/>
                <w:szCs w:val="24"/>
              </w:rPr>
            </w:pPr>
          </w:p>
          <w:p w14:paraId="621F4FE4">
            <w:pPr>
              <w:spacing w:line="500" w:lineRule="exact"/>
              <w:rPr>
                <w:rFonts w:hint="eastAsia" w:ascii="宋体" w:hAnsi="宋体" w:eastAsia="宋体" w:cs="宋体"/>
                <w:sz w:val="24"/>
                <w:szCs w:val="24"/>
              </w:rPr>
            </w:pPr>
          </w:p>
        </w:tc>
      </w:tr>
    </w:tbl>
    <w:p w14:paraId="05DC73ED">
      <w:pPr>
        <w:spacing w:line="500" w:lineRule="exact"/>
        <w:rPr>
          <w:rFonts w:hint="eastAsia" w:ascii="宋体" w:hAnsi="宋体" w:eastAsia="宋体" w:cs="宋体"/>
          <w:lang w:eastAsia="zh-CN"/>
        </w:rPr>
        <w:sectPr>
          <w:headerReference r:id="rId10" w:type="default"/>
          <w:footerReference r:id="rId11" w:type="default"/>
          <w:pgSz w:w="11907" w:h="16840"/>
          <w:pgMar w:top="1134" w:right="1191" w:bottom="1134" w:left="1304" w:header="680" w:footer="992" w:gutter="0"/>
          <w:pgNumType w:fmt="numberInDash"/>
          <w:cols w:space="720" w:num="1"/>
          <w:docGrid w:linePitch="312" w:charSpace="0"/>
        </w:sectPr>
      </w:pPr>
      <w:r>
        <w:rPr>
          <w:rFonts w:hint="eastAsia" w:ascii="宋体" w:hAnsi="宋体" w:eastAsia="宋体" w:cs="宋体"/>
          <w:sz w:val="24"/>
          <w:szCs w:val="22"/>
        </w:rPr>
        <w:t>签约时间：           年   月   日      签约地点</w:t>
      </w:r>
      <w:r>
        <w:rPr>
          <w:rFonts w:hint="eastAsia" w:ascii="宋体" w:hAnsi="宋体" w:eastAsia="宋体" w:cs="宋体"/>
          <w:sz w:val="24"/>
          <w:szCs w:val="22"/>
          <w:lang w:eastAsia="zh-CN"/>
        </w:rPr>
        <w:t>：</w:t>
      </w:r>
    </w:p>
    <w:p w14:paraId="2D2C4073">
      <w:pPr>
        <w:pStyle w:val="4"/>
        <w:spacing w:before="0" w:after="0" w:line="360" w:lineRule="auto"/>
        <w:jc w:val="center"/>
        <w:rPr>
          <w:rFonts w:hint="eastAsia" w:ascii="宋体" w:hAnsi="宋体" w:eastAsia="宋体" w:cs="宋体"/>
          <w:b w:val="0"/>
          <w:color w:val="auto"/>
          <w:sz w:val="36"/>
          <w:szCs w:val="30"/>
        </w:rPr>
      </w:pPr>
      <w:bookmarkStart w:id="168" w:name="_Toc1420"/>
      <w:r>
        <w:rPr>
          <w:rFonts w:hint="eastAsia" w:ascii="宋体" w:hAnsi="宋体" w:eastAsia="宋体" w:cs="宋体"/>
          <w:color w:val="auto"/>
          <w:sz w:val="36"/>
          <w:szCs w:val="30"/>
        </w:rPr>
        <w:t>第七篇  响应文件格式要求</w:t>
      </w:r>
      <w:bookmarkEnd w:id="161"/>
      <w:bookmarkEnd w:id="162"/>
      <w:bookmarkEnd w:id="163"/>
      <w:bookmarkEnd w:id="164"/>
      <w:bookmarkEnd w:id="168"/>
    </w:p>
    <w:p w14:paraId="253541C5">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一、经济部分</w:t>
      </w:r>
    </w:p>
    <w:p w14:paraId="4E0AF7FC">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竞争性报价函</w:t>
      </w:r>
    </w:p>
    <w:p w14:paraId="13B3D6EC">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二、技术（质量）部分</w:t>
      </w:r>
    </w:p>
    <w:p w14:paraId="4A5898A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（一）技术（质量）响应偏离表</w:t>
      </w:r>
    </w:p>
    <w:p w14:paraId="16BBBA0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（二）其他资料（格式自定）</w:t>
      </w:r>
    </w:p>
    <w:p w14:paraId="5C4A0708">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三、商务部分</w:t>
      </w:r>
    </w:p>
    <w:p w14:paraId="1A245BCD">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（一）商务响应偏离表</w:t>
      </w:r>
    </w:p>
    <w:p w14:paraId="740C6500">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（二）其它优惠服务承诺（格式自定）</w:t>
      </w:r>
    </w:p>
    <w:p w14:paraId="4CE48176">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四、资格条件及其他</w:t>
      </w:r>
    </w:p>
    <w:p w14:paraId="3633A29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w:t>
      </w:r>
    </w:p>
    <w:p w14:paraId="260C2DD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2930FCB4">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0DF2875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6B5266B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6FE3788">
      <w:pPr>
        <w:spacing w:line="40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五、其他资料</w:t>
      </w:r>
    </w:p>
    <w:p w14:paraId="699E6619">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其他与项目有关的资料（自附）</w:t>
      </w:r>
    </w:p>
    <w:p w14:paraId="700105C1">
      <w:pPr>
        <w:pStyle w:val="22"/>
        <w:rPr>
          <w:rFonts w:hint="eastAsia"/>
          <w:color w:val="auto"/>
        </w:rPr>
        <w:sectPr>
          <w:footerReference r:id="rId12" w:type="default"/>
          <w:pgSz w:w="11907" w:h="16840"/>
          <w:pgMar w:top="1134" w:right="1191" w:bottom="1134" w:left="1304" w:header="680" w:footer="992" w:gutter="0"/>
          <w:pgNumType w:fmt="numberInDash"/>
          <w:cols w:space="720" w:num="1"/>
          <w:docGrid w:linePitch="380" w:charSpace="-5735"/>
        </w:sectPr>
      </w:pPr>
    </w:p>
    <w:p w14:paraId="018F0FB5">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69" w:name="_Toc65660379"/>
      <w:bookmarkStart w:id="170" w:name="_Toc14244"/>
      <w:bookmarkStart w:id="171" w:name="_Toc342913419"/>
      <w:bookmarkStart w:id="172" w:name="_Toc313008356"/>
      <w:bookmarkStart w:id="173" w:name="_Toc32247"/>
      <w:bookmarkStart w:id="174" w:name="_Toc313888360"/>
      <w:bookmarkStart w:id="175" w:name="_Toc26343"/>
      <w:bookmarkStart w:id="176" w:name="_Toc283382454"/>
      <w:bookmarkStart w:id="177" w:name="_Toc12789073"/>
      <w:r>
        <w:rPr>
          <w:rFonts w:hint="eastAsia" w:ascii="宋体" w:hAnsi="宋体" w:eastAsia="宋体" w:cs="宋体"/>
          <w:color w:val="auto"/>
          <w:sz w:val="24"/>
        </w:rPr>
        <w:t>一、经济部分</w:t>
      </w:r>
      <w:bookmarkEnd w:id="169"/>
      <w:bookmarkEnd w:id="170"/>
      <w:bookmarkEnd w:id="171"/>
      <w:bookmarkEnd w:id="172"/>
      <w:bookmarkEnd w:id="173"/>
      <w:bookmarkEnd w:id="174"/>
      <w:bookmarkEnd w:id="175"/>
    </w:p>
    <w:bookmarkEnd w:id="176"/>
    <w:bookmarkEnd w:id="177"/>
    <w:p w14:paraId="1E854720">
      <w:pPr>
        <w:tabs>
          <w:tab w:val="left" w:pos="6300"/>
        </w:tabs>
        <w:snapToGrid w:val="0"/>
        <w:spacing w:line="312" w:lineRule="auto"/>
        <w:ind w:firstLine="562" w:firstLineChars="200"/>
        <w:jc w:val="center"/>
        <w:rPr>
          <w:rFonts w:hint="eastAsia" w:ascii="宋体" w:hAnsi="宋体" w:cs="宋体"/>
          <w:b/>
          <w:color w:val="auto"/>
          <w:szCs w:val="28"/>
        </w:rPr>
      </w:pPr>
      <w:r>
        <w:rPr>
          <w:rFonts w:hint="eastAsia" w:ascii="宋体" w:hAnsi="宋体" w:cs="宋体"/>
          <w:b/>
          <w:color w:val="auto"/>
          <w:szCs w:val="28"/>
        </w:rPr>
        <w:t>竞争性报价函</w:t>
      </w:r>
    </w:p>
    <w:p w14:paraId="1641D6E3">
      <w:pPr>
        <w:tabs>
          <w:tab w:val="left" w:pos="6300"/>
        </w:tabs>
        <w:snapToGrid w:val="0"/>
        <w:spacing w:line="312" w:lineRule="auto"/>
        <w:rPr>
          <w:rFonts w:hint="eastAsia"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38FF7164">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我方收到____________________________（谈判项目名称）的竞争性谈判文件，经详细研究，决定参加该谈判项目的竞争谈判。</w:t>
      </w:r>
    </w:p>
    <w:p w14:paraId="060D0BDA">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1.愿意按照竞争性谈判文件中的一切要求，提供本项目的交货及技术服务，项目初始</w:t>
      </w:r>
      <w:r>
        <w:rPr>
          <w:rFonts w:hint="eastAsia" w:ascii="宋体" w:hAnsi="宋体" w:cs="宋体"/>
          <w:color w:val="auto"/>
          <w:sz w:val="24"/>
          <w:szCs w:val="24"/>
          <w:lang w:eastAsia="zh-CN"/>
        </w:rPr>
        <w:t>销售额返点（%）</w:t>
      </w:r>
      <w:r>
        <w:rPr>
          <w:rFonts w:hint="eastAsia" w:ascii="宋体" w:hAnsi="宋体" w:cs="宋体"/>
          <w:color w:val="auto"/>
          <w:sz w:val="24"/>
          <w:szCs w:val="24"/>
        </w:rPr>
        <w:t>：</w:t>
      </w:r>
      <w:r>
        <w:rPr>
          <w:rFonts w:hint="eastAsia" w:ascii="宋体" w:hAnsi="宋体" w:cs="宋体"/>
          <w:color w:val="auto"/>
          <w:sz w:val="24"/>
          <w:szCs w:val="24"/>
          <w:u w:val="single"/>
        </w:rPr>
        <w:t xml:space="preserve">      </w:t>
      </w:r>
      <w:r>
        <w:rPr>
          <w:rFonts w:hint="eastAsia" w:ascii="宋体" w:hAnsi="宋体" w:cs="宋体"/>
          <w:color w:val="auto"/>
          <w:sz w:val="24"/>
          <w:szCs w:val="24"/>
          <w:u w:val="none"/>
          <w:lang w:val="en-US" w:eastAsia="zh-CN"/>
        </w:rPr>
        <w:t>%</w:t>
      </w:r>
      <w:r>
        <w:rPr>
          <w:rFonts w:hint="eastAsia" w:ascii="宋体" w:hAnsi="宋体" w:cs="宋体"/>
          <w:color w:val="auto"/>
          <w:sz w:val="24"/>
          <w:szCs w:val="24"/>
        </w:rPr>
        <w:t>。以我公司最后</w:t>
      </w:r>
      <w:r>
        <w:rPr>
          <w:rFonts w:hint="eastAsia" w:ascii="宋体" w:hAnsi="宋体" w:cs="宋体"/>
          <w:b/>
          <w:bCs/>
          <w:color w:val="auto"/>
          <w:kern w:val="0"/>
          <w:sz w:val="24"/>
          <w:szCs w:val="24"/>
          <w:lang w:eastAsia="zh-CN"/>
        </w:rPr>
        <w:t>销售额返点</w:t>
      </w:r>
      <w:r>
        <w:rPr>
          <w:rFonts w:hint="eastAsia" w:ascii="宋体" w:hAnsi="宋体" w:eastAsia="宋体" w:cs="宋体"/>
          <w:b/>
          <w:bCs/>
          <w:color w:val="auto"/>
          <w:kern w:val="0"/>
          <w:sz w:val="24"/>
          <w:szCs w:val="24"/>
        </w:rPr>
        <w:t>（</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rPr>
        <w:t>）</w:t>
      </w:r>
      <w:r>
        <w:rPr>
          <w:rFonts w:hint="eastAsia" w:ascii="宋体" w:hAnsi="宋体" w:cs="宋体"/>
          <w:color w:val="auto"/>
          <w:sz w:val="24"/>
          <w:szCs w:val="24"/>
        </w:rPr>
        <w:t>为准。</w:t>
      </w:r>
    </w:p>
    <w:p w14:paraId="14480759">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1C6F6849">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3.我方承诺：本次谈判的有效期为提交响应文件截止时间起90天。</w:t>
      </w:r>
    </w:p>
    <w:p w14:paraId="6F2E64AF">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4.我方完全理解和接受贵方竞争性谈判文件的一切规定和要求及谈判评审办法。</w:t>
      </w:r>
    </w:p>
    <w:p w14:paraId="72741798">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5.在整个竞争性谈判过程中，我方若有违规行为，接受按照《中华人民共和国政府采购法》和《竞争性谈判文件》之规定给予惩罚。</w:t>
      </w:r>
    </w:p>
    <w:p w14:paraId="681B1D97">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6.我方若成为成交供应商，将按照最终谈判结果签订合同，并且严格履行合同义务。本承诺函将成为合同不可分割的一部分，与合同具有同等的法律效力。</w:t>
      </w:r>
    </w:p>
    <w:p w14:paraId="3EE2EE59">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7.我方同意按竞争性谈判文件规定，交纳竞争性谈判文件要求的谈判保证金。如果我方成为成交供应商，保证在接到成交通知书后，向采购代理机构缴纳竞争性谈判文件规定的采购代理服务费。</w:t>
      </w:r>
    </w:p>
    <w:p w14:paraId="2D547C9F">
      <w:pPr>
        <w:tabs>
          <w:tab w:val="left" w:pos="6300"/>
        </w:tabs>
        <w:snapToGrid w:val="0"/>
        <w:spacing w:line="312" w:lineRule="auto"/>
        <w:ind w:firstLine="480" w:firstLineChars="200"/>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09ECBD79">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供应商（公章）或自然人签署：</w:t>
      </w:r>
    </w:p>
    <w:p w14:paraId="4E8E83EA">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 xml:space="preserve">地址：  </w:t>
      </w:r>
    </w:p>
    <w:p w14:paraId="38531E7C">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电话：                           传真：</w:t>
      </w:r>
    </w:p>
    <w:p w14:paraId="5F52EB56">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网址：                           邮编：</w:t>
      </w:r>
    </w:p>
    <w:p w14:paraId="24957996">
      <w:pPr>
        <w:tabs>
          <w:tab w:val="left" w:pos="6300"/>
        </w:tabs>
        <w:snapToGrid w:val="0"/>
        <w:spacing w:line="312" w:lineRule="auto"/>
        <w:ind w:firstLine="570"/>
        <w:rPr>
          <w:rFonts w:hint="eastAsia" w:ascii="宋体" w:hAnsi="宋体" w:cs="宋体"/>
          <w:color w:val="auto"/>
          <w:sz w:val="24"/>
          <w:szCs w:val="24"/>
        </w:rPr>
      </w:pPr>
      <w:r>
        <w:rPr>
          <w:rFonts w:hint="eastAsia" w:ascii="宋体" w:hAnsi="宋体" w:cs="宋体"/>
          <w:color w:val="auto"/>
          <w:sz w:val="24"/>
          <w:szCs w:val="24"/>
        </w:rPr>
        <w:t>联系人：</w:t>
      </w:r>
    </w:p>
    <w:p w14:paraId="77AAB866">
      <w:pPr>
        <w:pStyle w:val="27"/>
        <w:ind w:left="1960" w:right="1960"/>
        <w:rPr>
          <w:rFonts w:hint="eastAsia"/>
          <w:color w:val="auto"/>
        </w:rPr>
      </w:pPr>
    </w:p>
    <w:p w14:paraId="569CE343">
      <w:pPr>
        <w:snapToGrid w:val="0"/>
        <w:spacing w:line="312" w:lineRule="auto"/>
        <w:ind w:firstLine="480" w:firstLineChars="200"/>
        <w:jc w:val="center"/>
        <w:rPr>
          <w:rFonts w:hint="eastAsia"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45A2D1F0">
      <w:pPr>
        <w:pStyle w:val="4"/>
        <w:adjustRightInd w:val="0"/>
        <w:snapToGrid w:val="0"/>
        <w:spacing w:before="0" w:after="0" w:line="400" w:lineRule="exact"/>
        <w:ind w:firstLine="482" w:firstLineChars="200"/>
        <w:rPr>
          <w:rFonts w:hint="eastAsia" w:ascii="宋体" w:hAnsi="宋体" w:eastAsia="宋体" w:cs="宋体"/>
          <w:color w:val="auto"/>
          <w:sz w:val="24"/>
        </w:rPr>
      </w:pPr>
      <w:bookmarkStart w:id="178" w:name="_Toc22655"/>
      <w:bookmarkStart w:id="179" w:name="_Toc313008357"/>
      <w:bookmarkStart w:id="180" w:name="_Toc342913420"/>
      <w:bookmarkStart w:id="181" w:name="_Toc14073"/>
      <w:bookmarkStart w:id="182" w:name="_Toc65660380"/>
      <w:bookmarkStart w:id="183" w:name="_Toc313888361"/>
      <w:bookmarkStart w:id="184" w:name="_Toc20806"/>
      <w:r>
        <w:rPr>
          <w:rFonts w:hint="eastAsia" w:ascii="宋体" w:hAnsi="宋体" w:eastAsia="宋体" w:cs="宋体"/>
          <w:color w:val="auto"/>
          <w:sz w:val="24"/>
        </w:rPr>
        <w:t>二、技术（质量）部分</w:t>
      </w:r>
      <w:bookmarkEnd w:id="178"/>
      <w:bookmarkEnd w:id="179"/>
      <w:bookmarkEnd w:id="180"/>
      <w:bookmarkEnd w:id="181"/>
      <w:bookmarkEnd w:id="182"/>
      <w:bookmarkEnd w:id="183"/>
      <w:bookmarkEnd w:id="184"/>
    </w:p>
    <w:p w14:paraId="2ACCB8E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（一）技术（质量）响应偏离表</w:t>
      </w:r>
    </w:p>
    <w:p w14:paraId="27DFD2A2">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项目号：                               </w:t>
      </w:r>
    </w:p>
    <w:p w14:paraId="70A8E6E3">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谈判项目名称：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A92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083E087D">
            <w:pPr>
              <w:tabs>
                <w:tab w:val="left" w:pos="6300"/>
              </w:tabs>
              <w:snapToGrid w:val="0"/>
              <w:spacing w:line="400" w:lineRule="exact"/>
              <w:jc w:val="center"/>
              <w:outlineLvl w:val="0"/>
              <w:rPr>
                <w:rFonts w:hint="eastAsia" w:ascii="宋体" w:hAnsi="宋体" w:cs="宋体"/>
                <w:b/>
                <w:color w:val="auto"/>
                <w:sz w:val="24"/>
                <w:szCs w:val="24"/>
              </w:rPr>
            </w:pPr>
            <w:r>
              <w:rPr>
                <w:rFonts w:hint="eastAsia" w:ascii="宋体" w:hAnsi="宋体" w:cs="宋体"/>
                <w:b/>
                <w:color w:val="auto"/>
                <w:sz w:val="24"/>
                <w:szCs w:val="24"/>
              </w:rPr>
              <w:t>序号</w:t>
            </w:r>
          </w:p>
        </w:tc>
        <w:tc>
          <w:tcPr>
            <w:tcW w:w="2844" w:type="dxa"/>
            <w:noWrap w:val="0"/>
            <w:vAlign w:val="center"/>
          </w:tcPr>
          <w:p w14:paraId="496A80D9">
            <w:pPr>
              <w:tabs>
                <w:tab w:val="left" w:pos="6300"/>
              </w:tabs>
              <w:snapToGrid w:val="0"/>
              <w:spacing w:line="400" w:lineRule="exact"/>
              <w:jc w:val="center"/>
              <w:outlineLvl w:val="0"/>
              <w:rPr>
                <w:rFonts w:hint="eastAsia" w:ascii="宋体" w:hAnsi="宋体" w:cs="宋体"/>
                <w:b/>
                <w:color w:val="auto"/>
                <w:sz w:val="24"/>
                <w:szCs w:val="24"/>
              </w:rPr>
            </w:pPr>
            <w:r>
              <w:rPr>
                <w:rFonts w:hint="eastAsia" w:ascii="宋体" w:hAnsi="宋体" w:cs="宋体"/>
                <w:b/>
                <w:color w:val="auto"/>
                <w:sz w:val="24"/>
                <w:szCs w:val="24"/>
              </w:rPr>
              <w:t>采购需求</w:t>
            </w:r>
          </w:p>
        </w:tc>
        <w:tc>
          <w:tcPr>
            <w:tcW w:w="2952" w:type="dxa"/>
            <w:noWrap w:val="0"/>
            <w:vAlign w:val="center"/>
          </w:tcPr>
          <w:p w14:paraId="5263B4F9">
            <w:pPr>
              <w:tabs>
                <w:tab w:val="left" w:pos="6300"/>
              </w:tabs>
              <w:snapToGrid w:val="0"/>
              <w:spacing w:line="400" w:lineRule="exact"/>
              <w:jc w:val="center"/>
              <w:outlineLvl w:val="0"/>
              <w:rPr>
                <w:rFonts w:hint="eastAsia" w:ascii="宋体" w:hAnsi="宋体" w:cs="宋体"/>
                <w:b/>
                <w:color w:val="auto"/>
                <w:sz w:val="24"/>
                <w:szCs w:val="24"/>
              </w:rPr>
            </w:pPr>
            <w:r>
              <w:rPr>
                <w:rFonts w:hint="eastAsia" w:ascii="宋体" w:hAnsi="宋体" w:cs="宋体"/>
                <w:b/>
                <w:color w:val="auto"/>
                <w:sz w:val="24"/>
                <w:szCs w:val="24"/>
              </w:rPr>
              <w:t>响应情况</w:t>
            </w:r>
          </w:p>
        </w:tc>
        <w:tc>
          <w:tcPr>
            <w:tcW w:w="2212" w:type="dxa"/>
            <w:noWrap w:val="0"/>
            <w:vAlign w:val="center"/>
          </w:tcPr>
          <w:p w14:paraId="3B9D7807">
            <w:pPr>
              <w:tabs>
                <w:tab w:val="left" w:pos="6300"/>
              </w:tabs>
              <w:snapToGrid w:val="0"/>
              <w:spacing w:line="400" w:lineRule="exact"/>
              <w:jc w:val="center"/>
              <w:outlineLvl w:val="0"/>
              <w:rPr>
                <w:rFonts w:hint="eastAsia" w:ascii="宋体" w:hAnsi="宋体" w:cs="宋体"/>
                <w:b/>
                <w:color w:val="auto"/>
                <w:sz w:val="24"/>
                <w:szCs w:val="24"/>
              </w:rPr>
            </w:pPr>
            <w:r>
              <w:rPr>
                <w:rFonts w:hint="eastAsia" w:ascii="宋体" w:hAnsi="宋体" w:cs="宋体"/>
                <w:b/>
                <w:color w:val="auto"/>
                <w:sz w:val="24"/>
                <w:szCs w:val="24"/>
              </w:rPr>
              <w:t>差异说明</w:t>
            </w:r>
          </w:p>
        </w:tc>
      </w:tr>
      <w:tr w14:paraId="4600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C68A1B2">
            <w:pPr>
              <w:tabs>
                <w:tab w:val="left" w:pos="6300"/>
              </w:tabs>
              <w:snapToGrid w:val="0"/>
              <w:spacing w:line="400" w:lineRule="exact"/>
              <w:jc w:val="center"/>
              <w:outlineLvl w:val="0"/>
              <w:rPr>
                <w:rFonts w:hint="eastAsia" w:ascii="宋体" w:hAnsi="宋体" w:cs="宋体"/>
                <w:color w:val="auto"/>
                <w:sz w:val="24"/>
                <w:szCs w:val="24"/>
              </w:rPr>
            </w:pPr>
          </w:p>
        </w:tc>
        <w:tc>
          <w:tcPr>
            <w:tcW w:w="2844" w:type="dxa"/>
            <w:noWrap w:val="0"/>
            <w:vAlign w:val="center"/>
          </w:tcPr>
          <w:p w14:paraId="3808C8D7">
            <w:pPr>
              <w:tabs>
                <w:tab w:val="left" w:pos="6300"/>
              </w:tabs>
              <w:snapToGrid w:val="0"/>
              <w:spacing w:line="400" w:lineRule="exact"/>
              <w:outlineLvl w:val="0"/>
              <w:rPr>
                <w:rFonts w:hint="eastAsia" w:ascii="宋体" w:hAnsi="宋体" w:cs="宋体"/>
                <w:color w:val="auto"/>
                <w:sz w:val="24"/>
                <w:szCs w:val="24"/>
              </w:rPr>
            </w:pPr>
          </w:p>
        </w:tc>
        <w:tc>
          <w:tcPr>
            <w:tcW w:w="2952" w:type="dxa"/>
            <w:noWrap w:val="0"/>
            <w:vAlign w:val="center"/>
          </w:tcPr>
          <w:p w14:paraId="2EDF9B79">
            <w:pPr>
              <w:tabs>
                <w:tab w:val="left" w:pos="6300"/>
              </w:tabs>
              <w:snapToGrid w:val="0"/>
              <w:spacing w:line="400" w:lineRule="exact"/>
              <w:outlineLvl w:val="0"/>
              <w:rPr>
                <w:rFonts w:hint="eastAsia" w:ascii="宋体" w:hAnsi="宋体" w:cs="宋体"/>
                <w:color w:val="auto"/>
                <w:sz w:val="24"/>
                <w:szCs w:val="24"/>
              </w:rPr>
            </w:pPr>
            <w:r>
              <w:rPr>
                <w:rFonts w:hint="eastAsia" w:ascii="宋体" w:hAnsi="宋体" w:cs="宋体"/>
                <w:color w:val="auto"/>
                <w:sz w:val="24"/>
                <w:szCs w:val="24"/>
              </w:rPr>
              <w:t>提醒：请注明技术参数或具体内容以及响应文件中技术参数或具体内容的位置（页码）</w:t>
            </w:r>
          </w:p>
        </w:tc>
        <w:tc>
          <w:tcPr>
            <w:tcW w:w="2212" w:type="dxa"/>
            <w:noWrap w:val="0"/>
            <w:vAlign w:val="center"/>
          </w:tcPr>
          <w:p w14:paraId="39739D3F">
            <w:pPr>
              <w:tabs>
                <w:tab w:val="left" w:pos="6300"/>
              </w:tabs>
              <w:snapToGrid w:val="0"/>
              <w:spacing w:line="400" w:lineRule="exact"/>
              <w:jc w:val="center"/>
              <w:outlineLvl w:val="0"/>
              <w:rPr>
                <w:rFonts w:hint="eastAsia" w:ascii="宋体" w:hAnsi="宋体" w:cs="宋体"/>
                <w:color w:val="auto"/>
                <w:sz w:val="24"/>
                <w:szCs w:val="24"/>
              </w:rPr>
            </w:pPr>
          </w:p>
        </w:tc>
      </w:tr>
      <w:tr w14:paraId="634F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1560729">
            <w:pPr>
              <w:tabs>
                <w:tab w:val="left" w:pos="6300"/>
              </w:tabs>
              <w:snapToGrid w:val="0"/>
              <w:spacing w:line="400" w:lineRule="exact"/>
              <w:jc w:val="center"/>
              <w:outlineLvl w:val="0"/>
              <w:rPr>
                <w:rFonts w:hint="eastAsia" w:ascii="宋体" w:hAnsi="宋体" w:cs="宋体"/>
                <w:color w:val="auto"/>
                <w:sz w:val="24"/>
                <w:szCs w:val="24"/>
              </w:rPr>
            </w:pPr>
          </w:p>
        </w:tc>
        <w:tc>
          <w:tcPr>
            <w:tcW w:w="2844" w:type="dxa"/>
            <w:noWrap w:val="0"/>
            <w:vAlign w:val="center"/>
          </w:tcPr>
          <w:p w14:paraId="5EEEF055">
            <w:pPr>
              <w:tabs>
                <w:tab w:val="left" w:pos="6300"/>
              </w:tabs>
              <w:snapToGrid w:val="0"/>
              <w:spacing w:line="400" w:lineRule="exact"/>
              <w:outlineLvl w:val="0"/>
              <w:rPr>
                <w:rFonts w:hint="eastAsia" w:ascii="宋体" w:hAnsi="宋体" w:cs="宋体"/>
                <w:color w:val="auto"/>
                <w:sz w:val="24"/>
                <w:szCs w:val="24"/>
              </w:rPr>
            </w:pPr>
          </w:p>
        </w:tc>
        <w:tc>
          <w:tcPr>
            <w:tcW w:w="2952" w:type="dxa"/>
            <w:noWrap w:val="0"/>
            <w:vAlign w:val="center"/>
          </w:tcPr>
          <w:p w14:paraId="48BCC69A">
            <w:pPr>
              <w:tabs>
                <w:tab w:val="left" w:pos="6300"/>
              </w:tabs>
              <w:snapToGrid w:val="0"/>
              <w:spacing w:line="400" w:lineRule="exact"/>
              <w:outlineLvl w:val="0"/>
              <w:rPr>
                <w:rFonts w:hint="eastAsia" w:ascii="宋体" w:hAnsi="宋体" w:cs="宋体"/>
                <w:color w:val="auto"/>
                <w:sz w:val="24"/>
                <w:szCs w:val="24"/>
              </w:rPr>
            </w:pPr>
          </w:p>
        </w:tc>
        <w:tc>
          <w:tcPr>
            <w:tcW w:w="2212" w:type="dxa"/>
            <w:noWrap w:val="0"/>
            <w:vAlign w:val="center"/>
          </w:tcPr>
          <w:p w14:paraId="49E78C31">
            <w:pPr>
              <w:tabs>
                <w:tab w:val="left" w:pos="6300"/>
              </w:tabs>
              <w:snapToGrid w:val="0"/>
              <w:spacing w:line="400" w:lineRule="exact"/>
              <w:jc w:val="center"/>
              <w:outlineLvl w:val="0"/>
              <w:rPr>
                <w:rFonts w:hint="eastAsia" w:ascii="宋体" w:hAnsi="宋体" w:cs="宋体"/>
                <w:color w:val="auto"/>
                <w:sz w:val="24"/>
                <w:szCs w:val="24"/>
              </w:rPr>
            </w:pPr>
          </w:p>
        </w:tc>
      </w:tr>
      <w:tr w14:paraId="37D6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0BFBE05">
            <w:pPr>
              <w:tabs>
                <w:tab w:val="left" w:pos="6300"/>
              </w:tabs>
              <w:snapToGrid w:val="0"/>
              <w:spacing w:line="400" w:lineRule="exact"/>
              <w:jc w:val="center"/>
              <w:outlineLvl w:val="0"/>
              <w:rPr>
                <w:rFonts w:hint="eastAsia" w:ascii="宋体" w:hAnsi="宋体" w:cs="宋体"/>
                <w:color w:val="auto"/>
                <w:sz w:val="24"/>
                <w:szCs w:val="24"/>
              </w:rPr>
            </w:pPr>
          </w:p>
        </w:tc>
        <w:tc>
          <w:tcPr>
            <w:tcW w:w="2844" w:type="dxa"/>
            <w:noWrap w:val="0"/>
            <w:vAlign w:val="center"/>
          </w:tcPr>
          <w:p w14:paraId="1AECD6FC">
            <w:pPr>
              <w:tabs>
                <w:tab w:val="left" w:pos="6300"/>
              </w:tabs>
              <w:snapToGrid w:val="0"/>
              <w:spacing w:line="400" w:lineRule="exact"/>
              <w:outlineLvl w:val="0"/>
              <w:rPr>
                <w:rFonts w:hint="eastAsia" w:ascii="宋体" w:hAnsi="宋体" w:cs="宋体"/>
                <w:color w:val="auto"/>
                <w:sz w:val="24"/>
                <w:szCs w:val="24"/>
              </w:rPr>
            </w:pPr>
          </w:p>
        </w:tc>
        <w:tc>
          <w:tcPr>
            <w:tcW w:w="2952" w:type="dxa"/>
            <w:noWrap w:val="0"/>
            <w:vAlign w:val="center"/>
          </w:tcPr>
          <w:p w14:paraId="4BD66612">
            <w:pPr>
              <w:tabs>
                <w:tab w:val="left" w:pos="6300"/>
              </w:tabs>
              <w:snapToGrid w:val="0"/>
              <w:spacing w:line="400" w:lineRule="exact"/>
              <w:outlineLvl w:val="0"/>
              <w:rPr>
                <w:rFonts w:hint="eastAsia" w:ascii="宋体" w:hAnsi="宋体" w:cs="宋体"/>
                <w:color w:val="auto"/>
                <w:sz w:val="24"/>
                <w:szCs w:val="24"/>
              </w:rPr>
            </w:pPr>
          </w:p>
        </w:tc>
        <w:tc>
          <w:tcPr>
            <w:tcW w:w="2212" w:type="dxa"/>
            <w:noWrap w:val="0"/>
            <w:vAlign w:val="center"/>
          </w:tcPr>
          <w:p w14:paraId="01733A90">
            <w:pPr>
              <w:tabs>
                <w:tab w:val="left" w:pos="6300"/>
              </w:tabs>
              <w:snapToGrid w:val="0"/>
              <w:spacing w:line="400" w:lineRule="exact"/>
              <w:jc w:val="center"/>
              <w:outlineLvl w:val="0"/>
              <w:rPr>
                <w:rFonts w:hint="eastAsia" w:ascii="宋体" w:hAnsi="宋体" w:cs="宋体"/>
                <w:color w:val="auto"/>
                <w:sz w:val="24"/>
                <w:szCs w:val="24"/>
              </w:rPr>
            </w:pPr>
          </w:p>
        </w:tc>
      </w:tr>
      <w:tr w14:paraId="3D7B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F1DD4D2">
            <w:pPr>
              <w:tabs>
                <w:tab w:val="left" w:pos="6300"/>
              </w:tabs>
              <w:snapToGrid w:val="0"/>
              <w:spacing w:line="400" w:lineRule="exact"/>
              <w:jc w:val="center"/>
              <w:outlineLvl w:val="0"/>
              <w:rPr>
                <w:rFonts w:hint="eastAsia" w:ascii="宋体" w:hAnsi="宋体" w:cs="宋体"/>
                <w:color w:val="auto"/>
                <w:sz w:val="24"/>
                <w:szCs w:val="24"/>
              </w:rPr>
            </w:pPr>
          </w:p>
        </w:tc>
        <w:tc>
          <w:tcPr>
            <w:tcW w:w="2844" w:type="dxa"/>
            <w:noWrap w:val="0"/>
            <w:vAlign w:val="center"/>
          </w:tcPr>
          <w:p w14:paraId="32F854BD">
            <w:pPr>
              <w:tabs>
                <w:tab w:val="left" w:pos="6300"/>
              </w:tabs>
              <w:snapToGrid w:val="0"/>
              <w:spacing w:line="400" w:lineRule="exact"/>
              <w:outlineLvl w:val="0"/>
              <w:rPr>
                <w:rFonts w:hint="eastAsia" w:ascii="宋体" w:hAnsi="宋体" w:cs="宋体"/>
                <w:color w:val="auto"/>
                <w:sz w:val="24"/>
                <w:szCs w:val="24"/>
              </w:rPr>
            </w:pPr>
          </w:p>
        </w:tc>
        <w:tc>
          <w:tcPr>
            <w:tcW w:w="2952" w:type="dxa"/>
            <w:noWrap w:val="0"/>
            <w:vAlign w:val="center"/>
          </w:tcPr>
          <w:p w14:paraId="4653B9C6">
            <w:pPr>
              <w:tabs>
                <w:tab w:val="left" w:pos="6300"/>
              </w:tabs>
              <w:snapToGrid w:val="0"/>
              <w:spacing w:line="400" w:lineRule="exact"/>
              <w:outlineLvl w:val="0"/>
              <w:rPr>
                <w:rFonts w:hint="eastAsia" w:ascii="宋体" w:hAnsi="宋体" w:cs="宋体"/>
                <w:color w:val="auto"/>
                <w:sz w:val="24"/>
                <w:szCs w:val="24"/>
              </w:rPr>
            </w:pPr>
          </w:p>
        </w:tc>
        <w:tc>
          <w:tcPr>
            <w:tcW w:w="2212" w:type="dxa"/>
            <w:noWrap w:val="0"/>
            <w:vAlign w:val="center"/>
          </w:tcPr>
          <w:p w14:paraId="016B6E7F">
            <w:pPr>
              <w:tabs>
                <w:tab w:val="left" w:pos="6300"/>
              </w:tabs>
              <w:snapToGrid w:val="0"/>
              <w:spacing w:line="400" w:lineRule="exact"/>
              <w:jc w:val="center"/>
              <w:outlineLvl w:val="0"/>
              <w:rPr>
                <w:rFonts w:hint="eastAsia" w:ascii="宋体" w:hAnsi="宋体" w:cs="宋体"/>
                <w:color w:val="auto"/>
                <w:sz w:val="24"/>
                <w:szCs w:val="24"/>
              </w:rPr>
            </w:pPr>
          </w:p>
        </w:tc>
      </w:tr>
      <w:tr w14:paraId="3116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4751411">
            <w:pPr>
              <w:tabs>
                <w:tab w:val="left" w:pos="6300"/>
              </w:tabs>
              <w:snapToGrid w:val="0"/>
              <w:spacing w:line="400" w:lineRule="exact"/>
              <w:jc w:val="center"/>
              <w:outlineLvl w:val="0"/>
              <w:rPr>
                <w:rFonts w:hint="eastAsia" w:ascii="宋体" w:hAnsi="宋体" w:cs="宋体"/>
                <w:color w:val="auto"/>
                <w:sz w:val="24"/>
                <w:szCs w:val="24"/>
              </w:rPr>
            </w:pPr>
          </w:p>
        </w:tc>
        <w:tc>
          <w:tcPr>
            <w:tcW w:w="2844" w:type="dxa"/>
            <w:noWrap w:val="0"/>
            <w:vAlign w:val="center"/>
          </w:tcPr>
          <w:p w14:paraId="247339C2">
            <w:pPr>
              <w:tabs>
                <w:tab w:val="left" w:pos="6300"/>
              </w:tabs>
              <w:snapToGrid w:val="0"/>
              <w:spacing w:line="400" w:lineRule="exact"/>
              <w:jc w:val="center"/>
              <w:outlineLvl w:val="0"/>
              <w:rPr>
                <w:rFonts w:hint="eastAsia" w:ascii="宋体" w:hAnsi="宋体" w:cs="宋体"/>
                <w:color w:val="auto"/>
                <w:sz w:val="24"/>
                <w:szCs w:val="24"/>
              </w:rPr>
            </w:pPr>
          </w:p>
        </w:tc>
        <w:tc>
          <w:tcPr>
            <w:tcW w:w="2952" w:type="dxa"/>
            <w:noWrap w:val="0"/>
            <w:vAlign w:val="center"/>
          </w:tcPr>
          <w:p w14:paraId="17C3DD25">
            <w:pPr>
              <w:tabs>
                <w:tab w:val="left" w:pos="6300"/>
              </w:tabs>
              <w:snapToGrid w:val="0"/>
              <w:spacing w:line="400" w:lineRule="exact"/>
              <w:jc w:val="center"/>
              <w:outlineLvl w:val="0"/>
              <w:rPr>
                <w:rFonts w:hint="eastAsia" w:ascii="宋体" w:hAnsi="宋体" w:cs="宋体"/>
                <w:color w:val="auto"/>
                <w:sz w:val="24"/>
                <w:szCs w:val="24"/>
              </w:rPr>
            </w:pPr>
          </w:p>
        </w:tc>
        <w:tc>
          <w:tcPr>
            <w:tcW w:w="2212" w:type="dxa"/>
            <w:noWrap w:val="0"/>
            <w:vAlign w:val="center"/>
          </w:tcPr>
          <w:p w14:paraId="717A28F2">
            <w:pPr>
              <w:tabs>
                <w:tab w:val="left" w:pos="6300"/>
              </w:tabs>
              <w:snapToGrid w:val="0"/>
              <w:spacing w:line="400" w:lineRule="exact"/>
              <w:jc w:val="center"/>
              <w:outlineLvl w:val="0"/>
              <w:rPr>
                <w:rFonts w:hint="eastAsia" w:ascii="宋体" w:hAnsi="宋体" w:cs="宋体"/>
                <w:color w:val="auto"/>
                <w:sz w:val="24"/>
                <w:szCs w:val="24"/>
              </w:rPr>
            </w:pPr>
          </w:p>
        </w:tc>
      </w:tr>
      <w:tr w14:paraId="7195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404E1AD">
            <w:pPr>
              <w:tabs>
                <w:tab w:val="left" w:pos="6300"/>
              </w:tabs>
              <w:snapToGrid w:val="0"/>
              <w:spacing w:line="400" w:lineRule="exact"/>
              <w:jc w:val="center"/>
              <w:outlineLvl w:val="0"/>
              <w:rPr>
                <w:rFonts w:hint="eastAsia" w:ascii="宋体" w:hAnsi="宋体" w:cs="宋体"/>
                <w:color w:val="auto"/>
                <w:sz w:val="24"/>
                <w:szCs w:val="24"/>
              </w:rPr>
            </w:pPr>
          </w:p>
        </w:tc>
        <w:tc>
          <w:tcPr>
            <w:tcW w:w="2844" w:type="dxa"/>
            <w:noWrap w:val="0"/>
            <w:vAlign w:val="center"/>
          </w:tcPr>
          <w:p w14:paraId="4A8C72BD">
            <w:pPr>
              <w:tabs>
                <w:tab w:val="left" w:pos="6300"/>
              </w:tabs>
              <w:snapToGrid w:val="0"/>
              <w:spacing w:line="400" w:lineRule="exact"/>
              <w:jc w:val="center"/>
              <w:outlineLvl w:val="0"/>
              <w:rPr>
                <w:rFonts w:hint="eastAsia" w:ascii="宋体" w:hAnsi="宋体" w:cs="宋体"/>
                <w:color w:val="auto"/>
                <w:sz w:val="24"/>
                <w:szCs w:val="24"/>
              </w:rPr>
            </w:pPr>
          </w:p>
        </w:tc>
        <w:tc>
          <w:tcPr>
            <w:tcW w:w="2952" w:type="dxa"/>
            <w:noWrap w:val="0"/>
            <w:vAlign w:val="center"/>
          </w:tcPr>
          <w:p w14:paraId="21E9934D">
            <w:pPr>
              <w:tabs>
                <w:tab w:val="left" w:pos="6300"/>
              </w:tabs>
              <w:snapToGrid w:val="0"/>
              <w:spacing w:line="400" w:lineRule="exact"/>
              <w:jc w:val="center"/>
              <w:outlineLvl w:val="0"/>
              <w:rPr>
                <w:rFonts w:hint="eastAsia" w:ascii="宋体" w:hAnsi="宋体" w:cs="宋体"/>
                <w:color w:val="auto"/>
                <w:sz w:val="24"/>
                <w:szCs w:val="24"/>
              </w:rPr>
            </w:pPr>
          </w:p>
        </w:tc>
        <w:tc>
          <w:tcPr>
            <w:tcW w:w="2212" w:type="dxa"/>
            <w:noWrap w:val="0"/>
            <w:vAlign w:val="center"/>
          </w:tcPr>
          <w:p w14:paraId="5BC4B6F4">
            <w:pPr>
              <w:tabs>
                <w:tab w:val="left" w:pos="6300"/>
              </w:tabs>
              <w:snapToGrid w:val="0"/>
              <w:spacing w:line="400" w:lineRule="exact"/>
              <w:jc w:val="center"/>
              <w:outlineLvl w:val="0"/>
              <w:rPr>
                <w:rFonts w:hint="eastAsia" w:ascii="宋体" w:hAnsi="宋体" w:cs="宋体"/>
                <w:color w:val="auto"/>
                <w:sz w:val="24"/>
                <w:szCs w:val="24"/>
              </w:rPr>
            </w:pPr>
          </w:p>
        </w:tc>
      </w:tr>
      <w:tr w14:paraId="3417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B5E948B">
            <w:pPr>
              <w:tabs>
                <w:tab w:val="left" w:pos="6300"/>
              </w:tabs>
              <w:snapToGrid w:val="0"/>
              <w:spacing w:line="400" w:lineRule="exact"/>
              <w:jc w:val="center"/>
              <w:outlineLvl w:val="0"/>
              <w:rPr>
                <w:rFonts w:hint="eastAsia" w:ascii="宋体" w:hAnsi="宋体" w:cs="宋体"/>
                <w:color w:val="auto"/>
                <w:sz w:val="24"/>
                <w:szCs w:val="24"/>
              </w:rPr>
            </w:pPr>
          </w:p>
        </w:tc>
        <w:tc>
          <w:tcPr>
            <w:tcW w:w="2844" w:type="dxa"/>
            <w:noWrap w:val="0"/>
            <w:vAlign w:val="center"/>
          </w:tcPr>
          <w:p w14:paraId="59735CC3">
            <w:pPr>
              <w:tabs>
                <w:tab w:val="left" w:pos="6300"/>
              </w:tabs>
              <w:snapToGrid w:val="0"/>
              <w:spacing w:line="400" w:lineRule="exact"/>
              <w:jc w:val="center"/>
              <w:outlineLvl w:val="0"/>
              <w:rPr>
                <w:rFonts w:hint="eastAsia" w:ascii="宋体" w:hAnsi="宋体" w:cs="宋体"/>
                <w:color w:val="auto"/>
                <w:sz w:val="24"/>
                <w:szCs w:val="24"/>
              </w:rPr>
            </w:pPr>
          </w:p>
        </w:tc>
        <w:tc>
          <w:tcPr>
            <w:tcW w:w="2952" w:type="dxa"/>
            <w:noWrap w:val="0"/>
            <w:vAlign w:val="center"/>
          </w:tcPr>
          <w:p w14:paraId="3F134E58">
            <w:pPr>
              <w:tabs>
                <w:tab w:val="left" w:pos="6300"/>
              </w:tabs>
              <w:snapToGrid w:val="0"/>
              <w:spacing w:line="400" w:lineRule="exact"/>
              <w:jc w:val="center"/>
              <w:outlineLvl w:val="0"/>
              <w:rPr>
                <w:rFonts w:hint="eastAsia" w:ascii="宋体" w:hAnsi="宋体" w:cs="宋体"/>
                <w:color w:val="auto"/>
                <w:sz w:val="24"/>
                <w:szCs w:val="24"/>
              </w:rPr>
            </w:pPr>
          </w:p>
        </w:tc>
        <w:tc>
          <w:tcPr>
            <w:tcW w:w="2212" w:type="dxa"/>
            <w:noWrap w:val="0"/>
            <w:vAlign w:val="center"/>
          </w:tcPr>
          <w:p w14:paraId="1EB2BE35">
            <w:pPr>
              <w:tabs>
                <w:tab w:val="left" w:pos="6300"/>
              </w:tabs>
              <w:snapToGrid w:val="0"/>
              <w:spacing w:line="400" w:lineRule="exact"/>
              <w:jc w:val="center"/>
              <w:outlineLvl w:val="0"/>
              <w:rPr>
                <w:rFonts w:hint="eastAsia" w:ascii="宋体" w:hAnsi="宋体" w:cs="宋体"/>
                <w:color w:val="auto"/>
                <w:sz w:val="24"/>
                <w:szCs w:val="24"/>
              </w:rPr>
            </w:pPr>
          </w:p>
        </w:tc>
      </w:tr>
      <w:tr w14:paraId="7F36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0D5BBE7">
            <w:pPr>
              <w:tabs>
                <w:tab w:val="left" w:pos="6300"/>
              </w:tabs>
              <w:snapToGrid w:val="0"/>
              <w:spacing w:line="400" w:lineRule="exact"/>
              <w:jc w:val="center"/>
              <w:outlineLvl w:val="0"/>
              <w:rPr>
                <w:rFonts w:hint="eastAsia" w:ascii="宋体" w:hAnsi="宋体" w:cs="宋体"/>
                <w:color w:val="auto"/>
                <w:sz w:val="24"/>
                <w:szCs w:val="24"/>
              </w:rPr>
            </w:pPr>
          </w:p>
        </w:tc>
        <w:tc>
          <w:tcPr>
            <w:tcW w:w="2844" w:type="dxa"/>
            <w:noWrap w:val="0"/>
            <w:vAlign w:val="center"/>
          </w:tcPr>
          <w:p w14:paraId="0E1E7486">
            <w:pPr>
              <w:tabs>
                <w:tab w:val="left" w:pos="6300"/>
              </w:tabs>
              <w:snapToGrid w:val="0"/>
              <w:spacing w:line="400" w:lineRule="exact"/>
              <w:jc w:val="center"/>
              <w:outlineLvl w:val="0"/>
              <w:rPr>
                <w:rFonts w:hint="eastAsia" w:ascii="宋体" w:hAnsi="宋体" w:cs="宋体"/>
                <w:color w:val="auto"/>
                <w:sz w:val="24"/>
                <w:szCs w:val="24"/>
              </w:rPr>
            </w:pPr>
          </w:p>
        </w:tc>
        <w:tc>
          <w:tcPr>
            <w:tcW w:w="2952" w:type="dxa"/>
            <w:noWrap w:val="0"/>
            <w:vAlign w:val="center"/>
          </w:tcPr>
          <w:p w14:paraId="503DE6EC">
            <w:pPr>
              <w:tabs>
                <w:tab w:val="left" w:pos="6300"/>
              </w:tabs>
              <w:snapToGrid w:val="0"/>
              <w:spacing w:line="400" w:lineRule="exact"/>
              <w:jc w:val="center"/>
              <w:outlineLvl w:val="0"/>
              <w:rPr>
                <w:rFonts w:hint="eastAsia" w:ascii="宋体" w:hAnsi="宋体" w:cs="宋体"/>
                <w:color w:val="auto"/>
                <w:sz w:val="24"/>
                <w:szCs w:val="24"/>
              </w:rPr>
            </w:pPr>
          </w:p>
        </w:tc>
        <w:tc>
          <w:tcPr>
            <w:tcW w:w="2212" w:type="dxa"/>
            <w:noWrap w:val="0"/>
            <w:vAlign w:val="center"/>
          </w:tcPr>
          <w:p w14:paraId="7ADF5046">
            <w:pPr>
              <w:tabs>
                <w:tab w:val="left" w:pos="6300"/>
              </w:tabs>
              <w:snapToGrid w:val="0"/>
              <w:spacing w:line="400" w:lineRule="exact"/>
              <w:jc w:val="center"/>
              <w:outlineLvl w:val="0"/>
              <w:rPr>
                <w:rFonts w:hint="eastAsia" w:ascii="宋体" w:hAnsi="宋体" w:cs="宋体"/>
                <w:color w:val="auto"/>
                <w:sz w:val="24"/>
                <w:szCs w:val="24"/>
              </w:rPr>
            </w:pPr>
          </w:p>
        </w:tc>
      </w:tr>
      <w:tr w14:paraId="6F6B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FAA1415">
            <w:pPr>
              <w:tabs>
                <w:tab w:val="left" w:pos="6300"/>
              </w:tabs>
              <w:snapToGrid w:val="0"/>
              <w:spacing w:line="400" w:lineRule="exact"/>
              <w:jc w:val="center"/>
              <w:outlineLvl w:val="0"/>
              <w:rPr>
                <w:rFonts w:hint="eastAsia" w:ascii="宋体" w:hAnsi="宋体" w:cs="宋体"/>
                <w:color w:val="auto"/>
                <w:sz w:val="24"/>
                <w:szCs w:val="24"/>
              </w:rPr>
            </w:pPr>
          </w:p>
        </w:tc>
        <w:tc>
          <w:tcPr>
            <w:tcW w:w="2844" w:type="dxa"/>
            <w:noWrap w:val="0"/>
            <w:vAlign w:val="center"/>
          </w:tcPr>
          <w:p w14:paraId="0214183A">
            <w:pPr>
              <w:tabs>
                <w:tab w:val="left" w:pos="6300"/>
              </w:tabs>
              <w:snapToGrid w:val="0"/>
              <w:spacing w:line="400" w:lineRule="exact"/>
              <w:jc w:val="center"/>
              <w:outlineLvl w:val="0"/>
              <w:rPr>
                <w:rFonts w:hint="eastAsia" w:ascii="宋体" w:hAnsi="宋体" w:cs="宋体"/>
                <w:color w:val="auto"/>
                <w:sz w:val="24"/>
                <w:szCs w:val="24"/>
              </w:rPr>
            </w:pPr>
          </w:p>
        </w:tc>
        <w:tc>
          <w:tcPr>
            <w:tcW w:w="2952" w:type="dxa"/>
            <w:noWrap w:val="0"/>
            <w:vAlign w:val="center"/>
          </w:tcPr>
          <w:p w14:paraId="58947B34">
            <w:pPr>
              <w:tabs>
                <w:tab w:val="left" w:pos="6300"/>
              </w:tabs>
              <w:snapToGrid w:val="0"/>
              <w:spacing w:line="400" w:lineRule="exact"/>
              <w:jc w:val="center"/>
              <w:outlineLvl w:val="0"/>
              <w:rPr>
                <w:rFonts w:hint="eastAsia" w:ascii="宋体" w:hAnsi="宋体" w:cs="宋体"/>
                <w:color w:val="auto"/>
                <w:sz w:val="24"/>
                <w:szCs w:val="24"/>
              </w:rPr>
            </w:pPr>
          </w:p>
        </w:tc>
        <w:tc>
          <w:tcPr>
            <w:tcW w:w="2212" w:type="dxa"/>
            <w:noWrap w:val="0"/>
            <w:vAlign w:val="center"/>
          </w:tcPr>
          <w:p w14:paraId="3CAF3091">
            <w:pPr>
              <w:tabs>
                <w:tab w:val="left" w:pos="6300"/>
              </w:tabs>
              <w:snapToGrid w:val="0"/>
              <w:spacing w:line="400" w:lineRule="exact"/>
              <w:jc w:val="center"/>
              <w:outlineLvl w:val="0"/>
              <w:rPr>
                <w:rFonts w:hint="eastAsia" w:ascii="宋体" w:hAnsi="宋体" w:cs="宋体"/>
                <w:color w:val="auto"/>
                <w:sz w:val="24"/>
                <w:szCs w:val="24"/>
              </w:rPr>
            </w:pPr>
          </w:p>
        </w:tc>
      </w:tr>
      <w:tr w14:paraId="72AF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9FF1E17">
            <w:pPr>
              <w:tabs>
                <w:tab w:val="left" w:pos="6300"/>
              </w:tabs>
              <w:snapToGrid w:val="0"/>
              <w:spacing w:line="400" w:lineRule="exact"/>
              <w:jc w:val="center"/>
              <w:outlineLvl w:val="0"/>
              <w:rPr>
                <w:rFonts w:hint="eastAsia" w:ascii="宋体" w:hAnsi="宋体" w:cs="宋体"/>
                <w:color w:val="auto"/>
                <w:sz w:val="24"/>
                <w:szCs w:val="24"/>
              </w:rPr>
            </w:pPr>
          </w:p>
        </w:tc>
        <w:tc>
          <w:tcPr>
            <w:tcW w:w="2844" w:type="dxa"/>
            <w:noWrap w:val="0"/>
            <w:vAlign w:val="center"/>
          </w:tcPr>
          <w:p w14:paraId="3EA34CFD">
            <w:pPr>
              <w:tabs>
                <w:tab w:val="left" w:pos="6300"/>
              </w:tabs>
              <w:snapToGrid w:val="0"/>
              <w:spacing w:line="400" w:lineRule="exact"/>
              <w:jc w:val="center"/>
              <w:outlineLvl w:val="0"/>
              <w:rPr>
                <w:rFonts w:hint="eastAsia" w:ascii="宋体" w:hAnsi="宋体" w:cs="宋体"/>
                <w:color w:val="auto"/>
                <w:sz w:val="24"/>
                <w:szCs w:val="24"/>
              </w:rPr>
            </w:pPr>
          </w:p>
        </w:tc>
        <w:tc>
          <w:tcPr>
            <w:tcW w:w="2952" w:type="dxa"/>
            <w:noWrap w:val="0"/>
            <w:vAlign w:val="center"/>
          </w:tcPr>
          <w:p w14:paraId="30F565A1">
            <w:pPr>
              <w:tabs>
                <w:tab w:val="left" w:pos="6300"/>
              </w:tabs>
              <w:snapToGrid w:val="0"/>
              <w:spacing w:line="400" w:lineRule="exact"/>
              <w:jc w:val="center"/>
              <w:outlineLvl w:val="0"/>
              <w:rPr>
                <w:rFonts w:hint="eastAsia" w:ascii="宋体" w:hAnsi="宋体" w:cs="宋体"/>
                <w:color w:val="auto"/>
                <w:sz w:val="24"/>
                <w:szCs w:val="24"/>
              </w:rPr>
            </w:pPr>
          </w:p>
        </w:tc>
        <w:tc>
          <w:tcPr>
            <w:tcW w:w="2212" w:type="dxa"/>
            <w:noWrap w:val="0"/>
            <w:vAlign w:val="center"/>
          </w:tcPr>
          <w:p w14:paraId="2CA12A27">
            <w:pPr>
              <w:tabs>
                <w:tab w:val="left" w:pos="6300"/>
              </w:tabs>
              <w:snapToGrid w:val="0"/>
              <w:spacing w:line="400" w:lineRule="exact"/>
              <w:jc w:val="center"/>
              <w:outlineLvl w:val="0"/>
              <w:rPr>
                <w:rFonts w:hint="eastAsia" w:ascii="宋体" w:hAnsi="宋体" w:cs="宋体"/>
                <w:color w:val="auto"/>
                <w:sz w:val="24"/>
                <w:szCs w:val="24"/>
              </w:rPr>
            </w:pPr>
          </w:p>
        </w:tc>
      </w:tr>
    </w:tbl>
    <w:p w14:paraId="02A25A1F">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693C9C2A">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6E05EF00">
      <w:pPr>
        <w:spacing w:line="500" w:lineRule="exact"/>
        <w:ind w:firstLine="720" w:firstLineChars="300"/>
        <w:rPr>
          <w:rFonts w:hint="eastAsia" w:ascii="宋体" w:hAnsi="宋体" w:cs="宋体"/>
          <w:color w:val="auto"/>
          <w:sz w:val="24"/>
          <w:szCs w:val="28"/>
        </w:rPr>
      </w:pPr>
      <w:r>
        <w:rPr>
          <w:rFonts w:hint="eastAsia" w:ascii="宋体" w:hAnsi="宋体" w:cs="宋体"/>
          <w:color w:val="auto"/>
          <w:sz w:val="24"/>
          <w:szCs w:val="28"/>
        </w:rPr>
        <w:t>（供应商公章）                               （</w:t>
      </w:r>
      <w:r>
        <w:rPr>
          <w:rFonts w:hint="eastAsia" w:ascii="宋体" w:hAnsi="宋体" w:cs="宋体"/>
          <w:color w:val="auto"/>
          <w:sz w:val="24"/>
          <w:szCs w:val="24"/>
        </w:rPr>
        <w:t>签署</w:t>
      </w:r>
      <w:r>
        <w:rPr>
          <w:rFonts w:hint="eastAsia" w:ascii="宋体" w:hAnsi="宋体" w:cs="宋体"/>
          <w:color w:val="auto"/>
          <w:sz w:val="24"/>
          <w:szCs w:val="28"/>
        </w:rPr>
        <w:t>或盖章）</w:t>
      </w:r>
    </w:p>
    <w:p w14:paraId="0EC469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00173FA9">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2B92F799">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本表即为对本项目“第二篇  谈判项目技术（质量）需求”中所列条款进行比较和响应；</w:t>
      </w:r>
    </w:p>
    <w:p w14:paraId="10C550E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2.本表可扩展。</w:t>
      </w:r>
    </w:p>
    <w:p w14:paraId="62BA29C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szCs w:val="24"/>
        </w:rPr>
        <w:t>（二）其他资料（格式自定）</w:t>
      </w:r>
    </w:p>
    <w:p w14:paraId="63405E08">
      <w:pPr>
        <w:tabs>
          <w:tab w:val="left" w:pos="6300"/>
        </w:tabs>
        <w:snapToGrid w:val="0"/>
        <w:spacing w:line="500" w:lineRule="exact"/>
        <w:ind w:firstLine="480" w:firstLineChars="200"/>
        <w:rPr>
          <w:rFonts w:hint="eastAsia" w:ascii="宋体" w:hAnsi="宋体" w:cs="宋体"/>
          <w:color w:val="auto"/>
          <w:sz w:val="24"/>
          <w:szCs w:val="24"/>
        </w:rPr>
      </w:pPr>
    </w:p>
    <w:p w14:paraId="1B50F67B">
      <w:pPr>
        <w:pStyle w:val="4"/>
        <w:adjustRightInd w:val="0"/>
        <w:snapToGrid w:val="0"/>
        <w:spacing w:before="0" w:after="0" w:line="400" w:lineRule="exact"/>
        <w:ind w:firstLine="640" w:firstLineChars="200"/>
        <w:rPr>
          <w:rFonts w:hint="eastAsia" w:ascii="宋体" w:hAnsi="宋体" w:eastAsia="宋体" w:cs="宋体"/>
          <w:color w:val="auto"/>
          <w:sz w:val="24"/>
        </w:rPr>
      </w:pPr>
      <w:r>
        <w:rPr>
          <w:rFonts w:hint="eastAsia" w:ascii="宋体" w:hAnsi="宋体" w:eastAsia="宋体" w:cs="宋体"/>
          <w:b w:val="0"/>
          <w:color w:val="auto"/>
        </w:rPr>
        <w:br w:type="page"/>
      </w:r>
      <w:bookmarkStart w:id="185" w:name="_Toc65660381"/>
      <w:bookmarkStart w:id="186" w:name="_Toc32158"/>
      <w:bookmarkStart w:id="187" w:name="_Toc32339"/>
      <w:bookmarkStart w:id="188" w:name="_Toc27672"/>
      <w:bookmarkStart w:id="189" w:name="_Toc313008358"/>
      <w:bookmarkStart w:id="190" w:name="_Toc342913421"/>
      <w:bookmarkStart w:id="191" w:name="_Toc313888362"/>
      <w:r>
        <w:rPr>
          <w:rFonts w:hint="eastAsia" w:ascii="宋体" w:hAnsi="宋体" w:eastAsia="宋体" w:cs="宋体"/>
          <w:color w:val="auto"/>
          <w:sz w:val="24"/>
        </w:rPr>
        <w:t>三、商务部分</w:t>
      </w:r>
      <w:bookmarkEnd w:id="185"/>
      <w:bookmarkEnd w:id="186"/>
      <w:bookmarkEnd w:id="187"/>
      <w:bookmarkEnd w:id="188"/>
    </w:p>
    <w:p w14:paraId="22404637">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（一）商务响应偏离表</w:t>
      </w:r>
    </w:p>
    <w:p w14:paraId="73318FE1">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项目号：                               </w:t>
      </w:r>
    </w:p>
    <w:p w14:paraId="7B04B0A6">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谈判项目名称：</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3079"/>
        <w:gridCol w:w="1718"/>
      </w:tblGrid>
      <w:tr w14:paraId="57BE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512" w:type="dxa"/>
            <w:noWrap w:val="0"/>
            <w:vAlign w:val="center"/>
          </w:tcPr>
          <w:p w14:paraId="740D4378">
            <w:pPr>
              <w:tabs>
                <w:tab w:val="left" w:pos="6300"/>
              </w:tabs>
              <w:snapToGrid w:val="0"/>
              <w:spacing w:line="400" w:lineRule="exact"/>
              <w:jc w:val="center"/>
              <w:outlineLvl w:val="0"/>
              <w:rPr>
                <w:rFonts w:hint="eastAsia" w:ascii="宋体" w:hAnsi="宋体" w:cs="宋体"/>
                <w:b/>
                <w:color w:val="auto"/>
                <w:sz w:val="24"/>
                <w:szCs w:val="24"/>
              </w:rPr>
            </w:pPr>
            <w:r>
              <w:rPr>
                <w:rFonts w:hint="eastAsia" w:ascii="宋体" w:hAnsi="宋体" w:cs="宋体"/>
                <w:b/>
                <w:color w:val="auto"/>
                <w:sz w:val="24"/>
                <w:szCs w:val="24"/>
              </w:rPr>
              <w:t>序号</w:t>
            </w:r>
          </w:p>
        </w:tc>
        <w:tc>
          <w:tcPr>
            <w:tcW w:w="3184" w:type="dxa"/>
            <w:noWrap w:val="0"/>
            <w:vAlign w:val="center"/>
          </w:tcPr>
          <w:p w14:paraId="0E9307C5">
            <w:pPr>
              <w:tabs>
                <w:tab w:val="left" w:pos="6300"/>
              </w:tabs>
              <w:snapToGrid w:val="0"/>
              <w:spacing w:line="400" w:lineRule="exact"/>
              <w:jc w:val="center"/>
              <w:outlineLvl w:val="0"/>
              <w:rPr>
                <w:rFonts w:hint="eastAsia" w:ascii="宋体" w:hAnsi="宋体" w:cs="宋体"/>
                <w:b/>
                <w:color w:val="auto"/>
                <w:sz w:val="24"/>
                <w:szCs w:val="24"/>
              </w:rPr>
            </w:pPr>
            <w:r>
              <w:rPr>
                <w:rFonts w:hint="eastAsia" w:ascii="宋体" w:hAnsi="宋体" w:cs="宋体"/>
                <w:b/>
                <w:color w:val="auto"/>
                <w:sz w:val="24"/>
                <w:szCs w:val="24"/>
              </w:rPr>
              <w:t>采购需求</w:t>
            </w:r>
          </w:p>
        </w:tc>
        <w:tc>
          <w:tcPr>
            <w:tcW w:w="3079" w:type="dxa"/>
            <w:noWrap w:val="0"/>
            <w:vAlign w:val="center"/>
          </w:tcPr>
          <w:p w14:paraId="29F5737C">
            <w:pPr>
              <w:tabs>
                <w:tab w:val="left" w:pos="6300"/>
              </w:tabs>
              <w:snapToGrid w:val="0"/>
              <w:spacing w:line="400" w:lineRule="exact"/>
              <w:jc w:val="center"/>
              <w:outlineLvl w:val="0"/>
              <w:rPr>
                <w:rFonts w:hint="eastAsia" w:ascii="宋体" w:hAnsi="宋体" w:cs="宋体"/>
                <w:b/>
                <w:color w:val="auto"/>
                <w:sz w:val="24"/>
                <w:szCs w:val="24"/>
              </w:rPr>
            </w:pPr>
            <w:r>
              <w:rPr>
                <w:rFonts w:hint="eastAsia" w:ascii="宋体" w:hAnsi="宋体" w:cs="宋体"/>
                <w:b/>
                <w:color w:val="auto"/>
                <w:sz w:val="24"/>
                <w:szCs w:val="24"/>
              </w:rPr>
              <w:t>响应情况</w:t>
            </w:r>
          </w:p>
        </w:tc>
        <w:tc>
          <w:tcPr>
            <w:tcW w:w="1718" w:type="dxa"/>
            <w:noWrap w:val="0"/>
            <w:vAlign w:val="center"/>
          </w:tcPr>
          <w:p w14:paraId="412C80FC">
            <w:pPr>
              <w:tabs>
                <w:tab w:val="left" w:pos="6300"/>
              </w:tabs>
              <w:snapToGrid w:val="0"/>
              <w:spacing w:line="400" w:lineRule="exact"/>
              <w:jc w:val="center"/>
              <w:outlineLvl w:val="0"/>
              <w:rPr>
                <w:rFonts w:hint="eastAsia" w:ascii="宋体" w:hAnsi="宋体" w:cs="宋体"/>
                <w:b/>
                <w:color w:val="auto"/>
                <w:sz w:val="24"/>
                <w:szCs w:val="24"/>
              </w:rPr>
            </w:pPr>
            <w:r>
              <w:rPr>
                <w:rFonts w:hint="eastAsia" w:ascii="宋体" w:hAnsi="宋体" w:cs="宋体"/>
                <w:b/>
                <w:color w:val="auto"/>
                <w:sz w:val="24"/>
                <w:szCs w:val="24"/>
              </w:rPr>
              <w:t>差异说明</w:t>
            </w:r>
          </w:p>
        </w:tc>
      </w:tr>
      <w:tr w14:paraId="130F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2DBEEEA">
            <w:pPr>
              <w:tabs>
                <w:tab w:val="left" w:pos="6300"/>
              </w:tabs>
              <w:snapToGrid w:val="0"/>
              <w:spacing w:line="400" w:lineRule="exact"/>
              <w:jc w:val="center"/>
              <w:outlineLvl w:val="0"/>
              <w:rPr>
                <w:rFonts w:hint="eastAsia" w:ascii="宋体" w:hAnsi="宋体" w:cs="宋体"/>
                <w:color w:val="auto"/>
                <w:sz w:val="24"/>
                <w:szCs w:val="24"/>
              </w:rPr>
            </w:pPr>
          </w:p>
        </w:tc>
        <w:tc>
          <w:tcPr>
            <w:tcW w:w="3184" w:type="dxa"/>
            <w:noWrap w:val="0"/>
            <w:vAlign w:val="center"/>
          </w:tcPr>
          <w:p w14:paraId="7104382C">
            <w:pPr>
              <w:tabs>
                <w:tab w:val="left" w:pos="6300"/>
              </w:tabs>
              <w:snapToGrid w:val="0"/>
              <w:spacing w:line="400" w:lineRule="exact"/>
              <w:jc w:val="center"/>
              <w:outlineLvl w:val="0"/>
              <w:rPr>
                <w:rFonts w:hint="eastAsia" w:ascii="宋体" w:hAnsi="宋体" w:cs="宋体"/>
                <w:color w:val="auto"/>
                <w:sz w:val="24"/>
                <w:szCs w:val="24"/>
              </w:rPr>
            </w:pPr>
          </w:p>
        </w:tc>
        <w:tc>
          <w:tcPr>
            <w:tcW w:w="3079" w:type="dxa"/>
            <w:noWrap w:val="0"/>
            <w:vAlign w:val="center"/>
          </w:tcPr>
          <w:p w14:paraId="19046D39">
            <w:pPr>
              <w:tabs>
                <w:tab w:val="left" w:pos="6300"/>
              </w:tabs>
              <w:snapToGrid w:val="0"/>
              <w:spacing w:line="400" w:lineRule="exact"/>
              <w:outlineLvl w:val="0"/>
              <w:rPr>
                <w:rFonts w:hint="eastAsia" w:ascii="宋体" w:hAnsi="宋体" w:cs="宋体"/>
                <w:color w:val="auto"/>
                <w:sz w:val="24"/>
                <w:szCs w:val="24"/>
              </w:rPr>
            </w:pPr>
            <w:r>
              <w:rPr>
                <w:rFonts w:hint="eastAsia" w:ascii="宋体" w:hAnsi="宋体" w:cs="宋体"/>
                <w:color w:val="auto"/>
                <w:sz w:val="24"/>
                <w:szCs w:val="24"/>
              </w:rPr>
              <w:t>提醒：请注明具体内容以及响应文件中具体内容的位置（页码）</w:t>
            </w:r>
          </w:p>
        </w:tc>
        <w:tc>
          <w:tcPr>
            <w:tcW w:w="1718" w:type="dxa"/>
            <w:noWrap w:val="0"/>
            <w:vAlign w:val="center"/>
          </w:tcPr>
          <w:p w14:paraId="3BD35EB1">
            <w:pPr>
              <w:tabs>
                <w:tab w:val="left" w:pos="6300"/>
              </w:tabs>
              <w:snapToGrid w:val="0"/>
              <w:spacing w:line="400" w:lineRule="exact"/>
              <w:jc w:val="center"/>
              <w:outlineLvl w:val="0"/>
              <w:rPr>
                <w:rFonts w:hint="eastAsia" w:ascii="宋体" w:hAnsi="宋体" w:cs="宋体"/>
                <w:color w:val="auto"/>
                <w:sz w:val="24"/>
                <w:szCs w:val="24"/>
              </w:rPr>
            </w:pPr>
          </w:p>
        </w:tc>
      </w:tr>
      <w:tr w14:paraId="2324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87D4FB9">
            <w:pPr>
              <w:tabs>
                <w:tab w:val="left" w:pos="6300"/>
              </w:tabs>
              <w:snapToGrid w:val="0"/>
              <w:spacing w:line="400" w:lineRule="exact"/>
              <w:jc w:val="center"/>
              <w:outlineLvl w:val="0"/>
              <w:rPr>
                <w:rFonts w:hint="eastAsia" w:ascii="宋体" w:hAnsi="宋体" w:cs="宋体"/>
                <w:color w:val="auto"/>
                <w:sz w:val="24"/>
                <w:szCs w:val="24"/>
              </w:rPr>
            </w:pPr>
          </w:p>
        </w:tc>
        <w:tc>
          <w:tcPr>
            <w:tcW w:w="3184" w:type="dxa"/>
            <w:noWrap w:val="0"/>
            <w:vAlign w:val="center"/>
          </w:tcPr>
          <w:p w14:paraId="18FAC7D9">
            <w:pPr>
              <w:tabs>
                <w:tab w:val="left" w:pos="6300"/>
              </w:tabs>
              <w:snapToGrid w:val="0"/>
              <w:spacing w:line="400" w:lineRule="exact"/>
              <w:jc w:val="center"/>
              <w:outlineLvl w:val="0"/>
              <w:rPr>
                <w:rFonts w:hint="eastAsia" w:ascii="宋体" w:hAnsi="宋体" w:cs="宋体"/>
                <w:color w:val="auto"/>
                <w:sz w:val="24"/>
                <w:szCs w:val="24"/>
              </w:rPr>
            </w:pPr>
          </w:p>
        </w:tc>
        <w:tc>
          <w:tcPr>
            <w:tcW w:w="3079" w:type="dxa"/>
            <w:noWrap w:val="0"/>
            <w:vAlign w:val="center"/>
          </w:tcPr>
          <w:p w14:paraId="7F14E68B">
            <w:pPr>
              <w:tabs>
                <w:tab w:val="left" w:pos="6300"/>
              </w:tabs>
              <w:snapToGrid w:val="0"/>
              <w:spacing w:line="400" w:lineRule="exact"/>
              <w:jc w:val="center"/>
              <w:outlineLvl w:val="0"/>
              <w:rPr>
                <w:rFonts w:hint="eastAsia" w:ascii="宋体" w:hAnsi="宋体" w:cs="宋体"/>
                <w:color w:val="auto"/>
                <w:sz w:val="24"/>
                <w:szCs w:val="24"/>
              </w:rPr>
            </w:pPr>
          </w:p>
        </w:tc>
        <w:tc>
          <w:tcPr>
            <w:tcW w:w="1718" w:type="dxa"/>
            <w:noWrap w:val="0"/>
            <w:vAlign w:val="center"/>
          </w:tcPr>
          <w:p w14:paraId="68501F53">
            <w:pPr>
              <w:tabs>
                <w:tab w:val="left" w:pos="6300"/>
              </w:tabs>
              <w:snapToGrid w:val="0"/>
              <w:spacing w:line="400" w:lineRule="exact"/>
              <w:jc w:val="center"/>
              <w:outlineLvl w:val="0"/>
              <w:rPr>
                <w:rFonts w:hint="eastAsia" w:ascii="宋体" w:hAnsi="宋体" w:cs="宋体"/>
                <w:color w:val="auto"/>
                <w:sz w:val="24"/>
                <w:szCs w:val="24"/>
              </w:rPr>
            </w:pPr>
          </w:p>
        </w:tc>
      </w:tr>
      <w:tr w14:paraId="68BA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BB40578">
            <w:pPr>
              <w:tabs>
                <w:tab w:val="left" w:pos="6300"/>
              </w:tabs>
              <w:snapToGrid w:val="0"/>
              <w:spacing w:line="400" w:lineRule="exact"/>
              <w:jc w:val="center"/>
              <w:outlineLvl w:val="0"/>
              <w:rPr>
                <w:rFonts w:hint="eastAsia" w:ascii="宋体" w:hAnsi="宋体" w:cs="宋体"/>
                <w:color w:val="auto"/>
                <w:sz w:val="24"/>
                <w:szCs w:val="24"/>
              </w:rPr>
            </w:pPr>
          </w:p>
        </w:tc>
        <w:tc>
          <w:tcPr>
            <w:tcW w:w="3184" w:type="dxa"/>
            <w:noWrap w:val="0"/>
            <w:vAlign w:val="center"/>
          </w:tcPr>
          <w:p w14:paraId="6508303B">
            <w:pPr>
              <w:tabs>
                <w:tab w:val="left" w:pos="6300"/>
              </w:tabs>
              <w:snapToGrid w:val="0"/>
              <w:spacing w:line="400" w:lineRule="exact"/>
              <w:jc w:val="center"/>
              <w:outlineLvl w:val="0"/>
              <w:rPr>
                <w:rFonts w:hint="eastAsia" w:ascii="宋体" w:hAnsi="宋体" w:cs="宋体"/>
                <w:color w:val="auto"/>
                <w:sz w:val="24"/>
                <w:szCs w:val="24"/>
              </w:rPr>
            </w:pPr>
          </w:p>
        </w:tc>
        <w:tc>
          <w:tcPr>
            <w:tcW w:w="3079" w:type="dxa"/>
            <w:noWrap w:val="0"/>
            <w:vAlign w:val="center"/>
          </w:tcPr>
          <w:p w14:paraId="4CB777B8">
            <w:pPr>
              <w:tabs>
                <w:tab w:val="left" w:pos="6300"/>
              </w:tabs>
              <w:snapToGrid w:val="0"/>
              <w:spacing w:line="400" w:lineRule="exact"/>
              <w:jc w:val="center"/>
              <w:outlineLvl w:val="0"/>
              <w:rPr>
                <w:rFonts w:hint="eastAsia" w:ascii="宋体" w:hAnsi="宋体" w:cs="宋体"/>
                <w:color w:val="auto"/>
                <w:sz w:val="24"/>
                <w:szCs w:val="24"/>
              </w:rPr>
            </w:pPr>
          </w:p>
        </w:tc>
        <w:tc>
          <w:tcPr>
            <w:tcW w:w="1718" w:type="dxa"/>
            <w:noWrap w:val="0"/>
            <w:vAlign w:val="center"/>
          </w:tcPr>
          <w:p w14:paraId="195B5DAA">
            <w:pPr>
              <w:tabs>
                <w:tab w:val="left" w:pos="6300"/>
              </w:tabs>
              <w:snapToGrid w:val="0"/>
              <w:spacing w:line="400" w:lineRule="exact"/>
              <w:jc w:val="center"/>
              <w:outlineLvl w:val="0"/>
              <w:rPr>
                <w:rFonts w:hint="eastAsia" w:ascii="宋体" w:hAnsi="宋体" w:cs="宋体"/>
                <w:color w:val="auto"/>
                <w:sz w:val="24"/>
                <w:szCs w:val="24"/>
              </w:rPr>
            </w:pPr>
          </w:p>
        </w:tc>
      </w:tr>
      <w:tr w14:paraId="172D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07857B9D">
            <w:pPr>
              <w:tabs>
                <w:tab w:val="left" w:pos="6300"/>
              </w:tabs>
              <w:snapToGrid w:val="0"/>
              <w:spacing w:line="400" w:lineRule="exact"/>
              <w:jc w:val="center"/>
              <w:outlineLvl w:val="0"/>
              <w:rPr>
                <w:rFonts w:hint="eastAsia" w:ascii="宋体" w:hAnsi="宋体" w:cs="宋体"/>
                <w:color w:val="auto"/>
                <w:sz w:val="24"/>
                <w:szCs w:val="24"/>
              </w:rPr>
            </w:pPr>
          </w:p>
        </w:tc>
        <w:tc>
          <w:tcPr>
            <w:tcW w:w="3184" w:type="dxa"/>
            <w:noWrap w:val="0"/>
            <w:vAlign w:val="center"/>
          </w:tcPr>
          <w:p w14:paraId="1A2494F7">
            <w:pPr>
              <w:tabs>
                <w:tab w:val="left" w:pos="6300"/>
              </w:tabs>
              <w:snapToGrid w:val="0"/>
              <w:spacing w:line="400" w:lineRule="exact"/>
              <w:jc w:val="center"/>
              <w:outlineLvl w:val="0"/>
              <w:rPr>
                <w:rFonts w:hint="eastAsia" w:ascii="宋体" w:hAnsi="宋体" w:cs="宋体"/>
                <w:color w:val="auto"/>
                <w:sz w:val="24"/>
                <w:szCs w:val="24"/>
              </w:rPr>
            </w:pPr>
          </w:p>
        </w:tc>
        <w:tc>
          <w:tcPr>
            <w:tcW w:w="3079" w:type="dxa"/>
            <w:noWrap w:val="0"/>
            <w:vAlign w:val="center"/>
          </w:tcPr>
          <w:p w14:paraId="24C51871">
            <w:pPr>
              <w:tabs>
                <w:tab w:val="left" w:pos="6300"/>
              </w:tabs>
              <w:snapToGrid w:val="0"/>
              <w:spacing w:line="400" w:lineRule="exact"/>
              <w:jc w:val="center"/>
              <w:outlineLvl w:val="0"/>
              <w:rPr>
                <w:rFonts w:hint="eastAsia" w:ascii="宋体" w:hAnsi="宋体" w:cs="宋体"/>
                <w:color w:val="auto"/>
                <w:sz w:val="24"/>
                <w:szCs w:val="24"/>
              </w:rPr>
            </w:pPr>
          </w:p>
        </w:tc>
        <w:tc>
          <w:tcPr>
            <w:tcW w:w="1718" w:type="dxa"/>
            <w:noWrap w:val="0"/>
            <w:vAlign w:val="center"/>
          </w:tcPr>
          <w:p w14:paraId="251750E7">
            <w:pPr>
              <w:tabs>
                <w:tab w:val="left" w:pos="6300"/>
              </w:tabs>
              <w:snapToGrid w:val="0"/>
              <w:spacing w:line="400" w:lineRule="exact"/>
              <w:jc w:val="center"/>
              <w:outlineLvl w:val="0"/>
              <w:rPr>
                <w:rFonts w:hint="eastAsia" w:ascii="宋体" w:hAnsi="宋体" w:cs="宋体"/>
                <w:color w:val="auto"/>
                <w:sz w:val="24"/>
                <w:szCs w:val="24"/>
              </w:rPr>
            </w:pPr>
          </w:p>
        </w:tc>
      </w:tr>
      <w:tr w14:paraId="4CB7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2E6342D">
            <w:pPr>
              <w:tabs>
                <w:tab w:val="left" w:pos="6300"/>
              </w:tabs>
              <w:snapToGrid w:val="0"/>
              <w:spacing w:line="400" w:lineRule="exact"/>
              <w:jc w:val="center"/>
              <w:outlineLvl w:val="0"/>
              <w:rPr>
                <w:rFonts w:hint="eastAsia" w:ascii="宋体" w:hAnsi="宋体" w:cs="宋体"/>
                <w:color w:val="auto"/>
                <w:sz w:val="24"/>
                <w:szCs w:val="24"/>
              </w:rPr>
            </w:pPr>
          </w:p>
        </w:tc>
        <w:tc>
          <w:tcPr>
            <w:tcW w:w="3184" w:type="dxa"/>
            <w:noWrap w:val="0"/>
            <w:vAlign w:val="center"/>
          </w:tcPr>
          <w:p w14:paraId="78F041CB">
            <w:pPr>
              <w:tabs>
                <w:tab w:val="left" w:pos="6300"/>
              </w:tabs>
              <w:snapToGrid w:val="0"/>
              <w:spacing w:line="400" w:lineRule="exact"/>
              <w:jc w:val="center"/>
              <w:outlineLvl w:val="0"/>
              <w:rPr>
                <w:rFonts w:hint="eastAsia" w:ascii="宋体" w:hAnsi="宋体" w:cs="宋体"/>
                <w:color w:val="auto"/>
                <w:sz w:val="24"/>
                <w:szCs w:val="24"/>
              </w:rPr>
            </w:pPr>
          </w:p>
        </w:tc>
        <w:tc>
          <w:tcPr>
            <w:tcW w:w="3079" w:type="dxa"/>
            <w:noWrap w:val="0"/>
            <w:vAlign w:val="center"/>
          </w:tcPr>
          <w:p w14:paraId="5DC8006C">
            <w:pPr>
              <w:tabs>
                <w:tab w:val="left" w:pos="6300"/>
              </w:tabs>
              <w:snapToGrid w:val="0"/>
              <w:spacing w:line="400" w:lineRule="exact"/>
              <w:jc w:val="center"/>
              <w:outlineLvl w:val="0"/>
              <w:rPr>
                <w:rFonts w:hint="eastAsia" w:ascii="宋体" w:hAnsi="宋体" w:cs="宋体"/>
                <w:color w:val="auto"/>
                <w:sz w:val="24"/>
                <w:szCs w:val="24"/>
              </w:rPr>
            </w:pPr>
          </w:p>
        </w:tc>
        <w:tc>
          <w:tcPr>
            <w:tcW w:w="1718" w:type="dxa"/>
            <w:noWrap w:val="0"/>
            <w:vAlign w:val="center"/>
          </w:tcPr>
          <w:p w14:paraId="5E43ACB9">
            <w:pPr>
              <w:tabs>
                <w:tab w:val="left" w:pos="6300"/>
              </w:tabs>
              <w:snapToGrid w:val="0"/>
              <w:spacing w:line="400" w:lineRule="exact"/>
              <w:jc w:val="center"/>
              <w:outlineLvl w:val="0"/>
              <w:rPr>
                <w:rFonts w:hint="eastAsia" w:ascii="宋体" w:hAnsi="宋体" w:cs="宋体"/>
                <w:color w:val="auto"/>
                <w:sz w:val="24"/>
                <w:szCs w:val="24"/>
              </w:rPr>
            </w:pPr>
          </w:p>
        </w:tc>
      </w:tr>
      <w:tr w14:paraId="7350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77F4C08">
            <w:pPr>
              <w:tabs>
                <w:tab w:val="left" w:pos="6300"/>
              </w:tabs>
              <w:snapToGrid w:val="0"/>
              <w:spacing w:line="400" w:lineRule="exact"/>
              <w:jc w:val="center"/>
              <w:outlineLvl w:val="0"/>
              <w:rPr>
                <w:rFonts w:hint="eastAsia" w:ascii="宋体" w:hAnsi="宋体" w:cs="宋体"/>
                <w:color w:val="auto"/>
                <w:sz w:val="24"/>
                <w:szCs w:val="24"/>
              </w:rPr>
            </w:pPr>
          </w:p>
        </w:tc>
        <w:tc>
          <w:tcPr>
            <w:tcW w:w="3184" w:type="dxa"/>
            <w:noWrap w:val="0"/>
            <w:vAlign w:val="center"/>
          </w:tcPr>
          <w:p w14:paraId="25786353">
            <w:pPr>
              <w:tabs>
                <w:tab w:val="left" w:pos="6300"/>
              </w:tabs>
              <w:snapToGrid w:val="0"/>
              <w:spacing w:line="400" w:lineRule="exact"/>
              <w:jc w:val="center"/>
              <w:outlineLvl w:val="0"/>
              <w:rPr>
                <w:rFonts w:hint="eastAsia" w:ascii="宋体" w:hAnsi="宋体" w:cs="宋体"/>
                <w:color w:val="auto"/>
                <w:sz w:val="24"/>
                <w:szCs w:val="24"/>
              </w:rPr>
            </w:pPr>
          </w:p>
        </w:tc>
        <w:tc>
          <w:tcPr>
            <w:tcW w:w="3079" w:type="dxa"/>
            <w:noWrap w:val="0"/>
            <w:vAlign w:val="center"/>
          </w:tcPr>
          <w:p w14:paraId="47A6B383">
            <w:pPr>
              <w:tabs>
                <w:tab w:val="left" w:pos="6300"/>
              </w:tabs>
              <w:snapToGrid w:val="0"/>
              <w:spacing w:line="400" w:lineRule="exact"/>
              <w:jc w:val="center"/>
              <w:outlineLvl w:val="0"/>
              <w:rPr>
                <w:rFonts w:hint="eastAsia" w:ascii="宋体" w:hAnsi="宋体" w:cs="宋体"/>
                <w:color w:val="auto"/>
                <w:sz w:val="24"/>
                <w:szCs w:val="24"/>
              </w:rPr>
            </w:pPr>
          </w:p>
        </w:tc>
        <w:tc>
          <w:tcPr>
            <w:tcW w:w="1718" w:type="dxa"/>
            <w:noWrap w:val="0"/>
            <w:vAlign w:val="center"/>
          </w:tcPr>
          <w:p w14:paraId="089DCCE6">
            <w:pPr>
              <w:tabs>
                <w:tab w:val="left" w:pos="6300"/>
              </w:tabs>
              <w:snapToGrid w:val="0"/>
              <w:spacing w:line="400" w:lineRule="exact"/>
              <w:jc w:val="center"/>
              <w:outlineLvl w:val="0"/>
              <w:rPr>
                <w:rFonts w:hint="eastAsia" w:ascii="宋体" w:hAnsi="宋体" w:cs="宋体"/>
                <w:color w:val="auto"/>
                <w:sz w:val="24"/>
                <w:szCs w:val="24"/>
              </w:rPr>
            </w:pPr>
          </w:p>
        </w:tc>
      </w:tr>
    </w:tbl>
    <w:p w14:paraId="5C60853E">
      <w:pPr>
        <w:spacing w:line="500" w:lineRule="exact"/>
        <w:ind w:firstLine="600" w:firstLineChars="250"/>
        <w:rPr>
          <w:rFonts w:hint="eastAsia"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01EF915B">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w:t>
      </w:r>
    </w:p>
    <w:p w14:paraId="78F17B80">
      <w:pPr>
        <w:spacing w:line="500" w:lineRule="exact"/>
        <w:ind w:firstLine="360" w:firstLineChars="150"/>
        <w:rPr>
          <w:rFonts w:hint="eastAsia" w:ascii="宋体" w:hAnsi="宋体" w:cs="宋体"/>
          <w:color w:val="auto"/>
          <w:sz w:val="24"/>
          <w:szCs w:val="28"/>
        </w:rPr>
      </w:pPr>
      <w:r>
        <w:rPr>
          <w:rFonts w:hint="eastAsia" w:ascii="宋体" w:hAnsi="宋体" w:cs="宋体"/>
          <w:color w:val="auto"/>
          <w:sz w:val="24"/>
          <w:szCs w:val="28"/>
        </w:rPr>
        <w:t>（供应商公章）                                     （签署或盖章）</w:t>
      </w:r>
    </w:p>
    <w:p w14:paraId="226C9587">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szCs w:val="28"/>
        </w:rPr>
        <w:t xml:space="preserve">                                                  年     月     日</w:t>
      </w:r>
    </w:p>
    <w:p w14:paraId="0D34EFF2">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rPr>
        <w:t>注：</w:t>
      </w:r>
    </w:p>
    <w:p w14:paraId="317BFEFB">
      <w:pPr>
        <w:tabs>
          <w:tab w:val="left" w:pos="6300"/>
        </w:tabs>
        <w:snapToGrid w:val="0"/>
        <w:spacing w:line="400" w:lineRule="exact"/>
        <w:ind w:firstLine="480" w:firstLineChars="200"/>
        <w:rPr>
          <w:rFonts w:hint="eastAsia"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谈判项目商务需求”中所列条款进行比较和响应；</w:t>
      </w:r>
    </w:p>
    <w:p w14:paraId="76B7D928">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rPr>
        <w:t>2.本表可扩展</w:t>
      </w:r>
      <w:r>
        <w:rPr>
          <w:rFonts w:hint="eastAsia" w:ascii="宋体" w:hAnsi="宋体" w:cs="宋体"/>
          <w:color w:val="auto"/>
          <w:sz w:val="24"/>
          <w:szCs w:val="24"/>
        </w:rPr>
        <w:t>。</w:t>
      </w:r>
    </w:p>
    <w:p w14:paraId="5723ED3F">
      <w:pPr>
        <w:tabs>
          <w:tab w:val="left" w:pos="6300"/>
        </w:tabs>
        <w:snapToGrid w:val="0"/>
        <w:spacing w:line="480" w:lineRule="exact"/>
        <w:ind w:firstLine="480" w:firstLineChars="200"/>
        <w:rPr>
          <w:rFonts w:hint="eastAsia" w:ascii="宋体" w:hAnsi="宋体" w:cs="宋体"/>
          <w:color w:val="auto"/>
          <w:sz w:val="24"/>
          <w:szCs w:val="24"/>
        </w:rPr>
      </w:pPr>
    </w:p>
    <w:p w14:paraId="1153CA75">
      <w:pPr>
        <w:tabs>
          <w:tab w:val="left" w:pos="6300"/>
        </w:tabs>
        <w:snapToGrid w:val="0"/>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（二）其它优惠服务承诺（格式自定）</w:t>
      </w:r>
    </w:p>
    <w:p w14:paraId="0300E1AA">
      <w:pPr>
        <w:tabs>
          <w:tab w:val="left" w:pos="6300"/>
        </w:tabs>
        <w:snapToGrid w:val="0"/>
        <w:spacing w:line="480" w:lineRule="exact"/>
        <w:ind w:firstLine="480" w:firstLineChars="200"/>
        <w:rPr>
          <w:rFonts w:hint="eastAsia" w:ascii="宋体" w:hAnsi="宋体" w:cs="宋体"/>
          <w:color w:val="auto"/>
          <w:sz w:val="24"/>
          <w:szCs w:val="24"/>
        </w:rPr>
      </w:pPr>
    </w:p>
    <w:p w14:paraId="082CDF5F">
      <w:pPr>
        <w:pStyle w:val="4"/>
        <w:adjustRightInd w:val="0"/>
        <w:snapToGrid w:val="0"/>
        <w:spacing w:before="0" w:after="0" w:line="400" w:lineRule="exact"/>
        <w:ind w:firstLine="482" w:firstLineChars="200"/>
        <w:rPr>
          <w:rFonts w:hint="eastAsia" w:ascii="宋体" w:hAnsi="宋体" w:eastAsia="宋体" w:cs="宋体"/>
          <w:color w:val="auto"/>
          <w:sz w:val="24"/>
        </w:rPr>
      </w:pPr>
      <w:r>
        <w:rPr>
          <w:rFonts w:hint="eastAsia" w:ascii="宋体" w:hAnsi="宋体" w:eastAsia="宋体" w:cs="宋体"/>
          <w:color w:val="auto"/>
          <w:sz w:val="24"/>
          <w:szCs w:val="24"/>
        </w:rPr>
        <w:br w:type="page"/>
      </w:r>
      <w:bookmarkStart w:id="192" w:name="_Toc65660382"/>
      <w:bookmarkStart w:id="193" w:name="_Toc2082"/>
      <w:bookmarkStart w:id="194" w:name="_Toc20162"/>
      <w:bookmarkStart w:id="195" w:name="_Toc15889"/>
      <w:r>
        <w:rPr>
          <w:rFonts w:hint="eastAsia" w:ascii="宋体" w:hAnsi="宋体" w:eastAsia="宋体" w:cs="宋体"/>
          <w:color w:val="auto"/>
          <w:sz w:val="24"/>
        </w:rPr>
        <w:t>四、</w:t>
      </w:r>
      <w:bookmarkEnd w:id="189"/>
      <w:bookmarkEnd w:id="190"/>
      <w:bookmarkEnd w:id="191"/>
      <w:r>
        <w:rPr>
          <w:rFonts w:hint="eastAsia" w:ascii="宋体" w:hAnsi="宋体" w:eastAsia="宋体" w:cs="宋体"/>
          <w:color w:val="auto"/>
          <w:sz w:val="24"/>
        </w:rPr>
        <w:t>资格条件及其他</w:t>
      </w:r>
      <w:bookmarkEnd w:id="192"/>
      <w:bookmarkEnd w:id="193"/>
      <w:bookmarkEnd w:id="194"/>
      <w:bookmarkEnd w:id="195"/>
      <w:bookmarkStart w:id="196" w:name="_Toc313008359"/>
      <w:bookmarkStart w:id="197" w:name="_Toc342913422"/>
      <w:bookmarkStart w:id="198" w:name="_Toc313888363"/>
    </w:p>
    <w:p w14:paraId="3E9EC01A">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019EBC1F">
      <w:pPr>
        <w:tabs>
          <w:tab w:val="left" w:pos="6300"/>
        </w:tabs>
        <w:snapToGrid w:val="0"/>
        <w:spacing w:line="500" w:lineRule="exact"/>
        <w:ind w:firstLine="570"/>
        <w:rPr>
          <w:rFonts w:hint="eastAsia" w:ascii="宋体" w:hAnsi="宋体" w:cs="宋体"/>
          <w:color w:val="auto"/>
          <w:sz w:val="24"/>
          <w:szCs w:val="24"/>
        </w:rPr>
      </w:pPr>
    </w:p>
    <w:p w14:paraId="263F7113">
      <w:pPr>
        <w:tabs>
          <w:tab w:val="left" w:pos="6300"/>
        </w:tabs>
        <w:snapToGrid w:val="0"/>
        <w:spacing w:line="500" w:lineRule="exact"/>
        <w:ind w:firstLine="570"/>
        <w:rPr>
          <w:rFonts w:hint="eastAsia" w:ascii="宋体" w:hAnsi="宋体" w:cs="宋体"/>
          <w:color w:val="auto"/>
        </w:rPr>
      </w:pPr>
    </w:p>
    <w:p w14:paraId="0B8D0FAB">
      <w:pPr>
        <w:tabs>
          <w:tab w:val="left" w:pos="6300"/>
        </w:tabs>
        <w:snapToGrid w:val="0"/>
        <w:spacing w:line="500" w:lineRule="exact"/>
        <w:ind w:firstLine="570"/>
        <w:rPr>
          <w:rFonts w:hint="eastAsia" w:ascii="宋体" w:hAnsi="宋体" w:cs="宋体"/>
          <w:color w:val="auto"/>
        </w:rPr>
      </w:pPr>
    </w:p>
    <w:p w14:paraId="54DA5FBA">
      <w:pPr>
        <w:tabs>
          <w:tab w:val="left" w:pos="6300"/>
        </w:tabs>
        <w:snapToGrid w:val="0"/>
        <w:spacing w:line="500" w:lineRule="exact"/>
        <w:ind w:firstLine="570"/>
        <w:rPr>
          <w:rFonts w:hint="eastAsia" w:ascii="宋体" w:hAnsi="宋体" w:cs="宋体"/>
          <w:color w:val="auto"/>
        </w:rPr>
      </w:pPr>
    </w:p>
    <w:p w14:paraId="47669008">
      <w:pPr>
        <w:tabs>
          <w:tab w:val="left" w:pos="6300"/>
        </w:tabs>
        <w:snapToGrid w:val="0"/>
        <w:spacing w:line="500" w:lineRule="exact"/>
        <w:ind w:firstLine="570"/>
        <w:rPr>
          <w:rFonts w:hint="eastAsia" w:ascii="宋体" w:hAnsi="宋体" w:cs="宋体"/>
          <w:color w:val="auto"/>
        </w:rPr>
      </w:pPr>
    </w:p>
    <w:p w14:paraId="4F3909F2">
      <w:pPr>
        <w:widowControl/>
        <w:spacing w:line="400" w:lineRule="exact"/>
        <w:ind w:firstLine="560" w:firstLineChars="200"/>
        <w:jc w:val="left"/>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14:paraId="781672A6">
      <w:pPr>
        <w:tabs>
          <w:tab w:val="left" w:pos="6300"/>
        </w:tabs>
        <w:snapToGrid w:val="0"/>
        <w:spacing w:line="500" w:lineRule="exact"/>
        <w:ind w:firstLine="570"/>
        <w:rPr>
          <w:rFonts w:hint="eastAsia" w:ascii="宋体" w:hAnsi="宋体" w:cs="宋体"/>
          <w:color w:val="auto"/>
          <w:sz w:val="24"/>
        </w:rPr>
      </w:pPr>
    </w:p>
    <w:p w14:paraId="741F30E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谈判项目名称：</w:t>
      </w:r>
      <w:r>
        <w:rPr>
          <w:rFonts w:hint="eastAsia" w:ascii="宋体" w:hAnsi="宋体" w:cs="宋体"/>
          <w:color w:val="auto"/>
          <w:sz w:val="24"/>
          <w:u w:val="single"/>
        </w:rPr>
        <w:t xml:space="preserve">                                                </w:t>
      </w:r>
    </w:p>
    <w:p w14:paraId="24388290">
      <w:pPr>
        <w:tabs>
          <w:tab w:val="left" w:pos="6300"/>
        </w:tabs>
        <w:snapToGrid w:val="0"/>
        <w:spacing w:line="500" w:lineRule="exact"/>
        <w:ind w:firstLine="570"/>
        <w:rPr>
          <w:rFonts w:hint="eastAsia" w:ascii="宋体" w:hAnsi="宋体" w:cs="宋体"/>
          <w:color w:val="auto"/>
          <w:sz w:val="24"/>
        </w:rPr>
      </w:pPr>
    </w:p>
    <w:p w14:paraId="72AF8F07">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1B2D57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4E4D6638">
      <w:pPr>
        <w:tabs>
          <w:tab w:val="left" w:pos="6300"/>
        </w:tabs>
        <w:snapToGrid w:val="0"/>
        <w:spacing w:line="500" w:lineRule="exact"/>
        <w:ind w:firstLine="570"/>
        <w:rPr>
          <w:rFonts w:hint="eastAsia" w:ascii="宋体" w:hAnsi="宋体" w:cs="宋体"/>
          <w:color w:val="auto"/>
          <w:sz w:val="24"/>
        </w:rPr>
      </w:pPr>
    </w:p>
    <w:p w14:paraId="77F5634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5F927F9E">
      <w:pPr>
        <w:tabs>
          <w:tab w:val="left" w:pos="6300"/>
        </w:tabs>
        <w:snapToGrid w:val="0"/>
        <w:spacing w:line="500" w:lineRule="exact"/>
        <w:ind w:firstLine="570"/>
        <w:rPr>
          <w:rFonts w:hint="eastAsia" w:ascii="宋体" w:hAnsi="宋体" w:cs="宋体"/>
          <w:color w:val="auto"/>
          <w:sz w:val="24"/>
        </w:rPr>
      </w:pPr>
    </w:p>
    <w:p w14:paraId="40D6BD41">
      <w:pPr>
        <w:tabs>
          <w:tab w:val="left" w:pos="6300"/>
        </w:tabs>
        <w:snapToGrid w:val="0"/>
        <w:spacing w:line="500" w:lineRule="exact"/>
        <w:ind w:firstLine="570"/>
        <w:rPr>
          <w:rFonts w:hint="eastAsia" w:ascii="宋体" w:hAnsi="宋体" w:cs="宋体"/>
          <w:color w:val="auto"/>
          <w:sz w:val="24"/>
        </w:rPr>
      </w:pPr>
    </w:p>
    <w:p w14:paraId="7E6F768C">
      <w:pPr>
        <w:tabs>
          <w:tab w:val="left" w:pos="6300"/>
        </w:tabs>
        <w:snapToGrid w:val="0"/>
        <w:spacing w:line="500" w:lineRule="exact"/>
        <w:ind w:firstLine="570"/>
        <w:rPr>
          <w:rFonts w:hint="eastAsia" w:ascii="宋体" w:hAnsi="宋体" w:cs="宋体"/>
          <w:color w:val="auto"/>
          <w:sz w:val="24"/>
        </w:rPr>
      </w:pPr>
    </w:p>
    <w:p w14:paraId="4600E6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（供应商公章）</w:t>
      </w:r>
    </w:p>
    <w:p w14:paraId="7DB84807">
      <w:pPr>
        <w:tabs>
          <w:tab w:val="left" w:pos="6300"/>
        </w:tabs>
        <w:snapToGrid w:val="0"/>
        <w:spacing w:line="500" w:lineRule="exact"/>
        <w:ind w:firstLine="570"/>
        <w:rPr>
          <w:rFonts w:hint="eastAsia" w:ascii="宋体" w:hAnsi="宋体" w:cs="宋体"/>
          <w:color w:val="auto"/>
          <w:sz w:val="24"/>
        </w:rPr>
      </w:pPr>
    </w:p>
    <w:p w14:paraId="3069332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09F13106">
      <w:pPr>
        <w:tabs>
          <w:tab w:val="left" w:pos="6300"/>
        </w:tabs>
        <w:snapToGrid w:val="0"/>
        <w:spacing w:line="500" w:lineRule="exact"/>
        <w:ind w:firstLine="570"/>
        <w:rPr>
          <w:rFonts w:hint="eastAsia" w:ascii="宋体" w:hAnsi="宋体" w:cs="宋体"/>
          <w:color w:val="auto"/>
          <w:sz w:val="24"/>
        </w:rPr>
      </w:pPr>
    </w:p>
    <w:p w14:paraId="4EC4D6BB">
      <w:pPr>
        <w:tabs>
          <w:tab w:val="left" w:pos="6300"/>
        </w:tabs>
        <w:snapToGrid w:val="0"/>
        <w:spacing w:line="500" w:lineRule="exact"/>
        <w:ind w:firstLine="570"/>
        <w:rPr>
          <w:rFonts w:hint="eastAsia" w:ascii="宋体" w:hAnsi="宋体" w:cs="宋体"/>
          <w:color w:val="auto"/>
          <w:sz w:val="24"/>
        </w:rPr>
      </w:pPr>
    </w:p>
    <w:p w14:paraId="6AB7D4E3">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法定代表人电话：XXXXXXX      电子邮箱：XXXXXX@XXXXX（若授权他人办理并签署响应文件的可不填写）</w:t>
      </w:r>
    </w:p>
    <w:p w14:paraId="4F111D6B">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51C5973C">
      <w:pPr>
        <w:tabs>
          <w:tab w:val="left" w:pos="6300"/>
        </w:tabs>
        <w:snapToGrid w:val="0"/>
        <w:spacing w:line="500" w:lineRule="exact"/>
        <w:ind w:firstLine="570"/>
        <w:rPr>
          <w:rFonts w:hint="eastAsia" w:ascii="宋体" w:hAnsi="宋体" w:cs="宋体"/>
          <w:color w:val="auto"/>
          <w:sz w:val="24"/>
        </w:rPr>
      </w:pPr>
    </w:p>
    <w:p w14:paraId="31655FE0">
      <w:pPr>
        <w:tabs>
          <w:tab w:val="left" w:pos="6300"/>
        </w:tabs>
        <w:snapToGrid w:val="0"/>
        <w:spacing w:line="500" w:lineRule="exact"/>
        <w:ind w:firstLine="570"/>
        <w:rPr>
          <w:rFonts w:hint="eastAsia" w:ascii="宋体" w:hAnsi="宋体" w:cs="宋体"/>
          <w:color w:val="auto"/>
          <w:sz w:val="24"/>
        </w:rPr>
      </w:pPr>
    </w:p>
    <w:p w14:paraId="63016B78">
      <w:pPr>
        <w:tabs>
          <w:tab w:val="left" w:pos="6300"/>
        </w:tabs>
        <w:snapToGrid w:val="0"/>
        <w:spacing w:line="500" w:lineRule="exact"/>
        <w:ind w:firstLine="570"/>
        <w:rPr>
          <w:rFonts w:hint="eastAsia" w:ascii="宋体" w:hAnsi="宋体" w:cs="宋体"/>
          <w:color w:val="auto"/>
          <w:sz w:val="24"/>
        </w:rPr>
      </w:pPr>
    </w:p>
    <w:p w14:paraId="647D9F9C">
      <w:pPr>
        <w:tabs>
          <w:tab w:val="left" w:pos="6300"/>
        </w:tabs>
        <w:snapToGrid w:val="0"/>
        <w:spacing w:line="500" w:lineRule="exact"/>
        <w:ind w:firstLine="570"/>
        <w:rPr>
          <w:rFonts w:hint="eastAsia" w:ascii="宋体" w:hAnsi="宋体" w:cs="宋体"/>
          <w:color w:val="auto"/>
          <w:sz w:val="24"/>
        </w:rPr>
      </w:pPr>
    </w:p>
    <w:p w14:paraId="3DB0C8A1">
      <w:pPr>
        <w:tabs>
          <w:tab w:val="left" w:pos="6300"/>
        </w:tabs>
        <w:snapToGrid w:val="0"/>
        <w:spacing w:line="500" w:lineRule="exact"/>
        <w:ind w:firstLine="570"/>
        <w:rPr>
          <w:rFonts w:hint="eastAsia" w:ascii="宋体" w:hAnsi="宋体" w:cs="宋体"/>
          <w:color w:val="auto"/>
          <w:sz w:val="24"/>
        </w:rPr>
      </w:pPr>
    </w:p>
    <w:p w14:paraId="4E83E8FF">
      <w:pPr>
        <w:tabs>
          <w:tab w:val="left" w:pos="6300"/>
        </w:tabs>
        <w:snapToGrid w:val="0"/>
        <w:spacing w:line="500" w:lineRule="exact"/>
        <w:ind w:firstLine="570"/>
        <w:rPr>
          <w:rFonts w:hint="eastAsia" w:ascii="宋体" w:hAnsi="宋体" w:cs="宋体"/>
          <w:color w:val="auto"/>
          <w:sz w:val="24"/>
        </w:rPr>
      </w:pPr>
    </w:p>
    <w:p w14:paraId="1003250D">
      <w:pPr>
        <w:widowControl/>
        <w:spacing w:line="400" w:lineRule="exact"/>
        <w:ind w:firstLine="560" w:firstLineChars="200"/>
        <w:jc w:val="left"/>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2A3A63D3">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327D9688">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谈判项目名称</w:t>
      </w:r>
      <w:r>
        <w:rPr>
          <w:rFonts w:hint="eastAsia" w:ascii="宋体" w:hAnsi="宋体" w:cs="宋体"/>
          <w:color w:val="auto"/>
          <w:sz w:val="24"/>
        </w:rPr>
        <w:t>：</w:t>
      </w:r>
      <w:r>
        <w:rPr>
          <w:rFonts w:hint="eastAsia" w:ascii="宋体" w:hAnsi="宋体" w:cs="宋体"/>
          <w:color w:val="auto"/>
          <w:sz w:val="24"/>
          <w:u w:val="single"/>
        </w:rPr>
        <w:t xml:space="preserve">                                                </w:t>
      </w:r>
    </w:p>
    <w:p w14:paraId="3DBD3619">
      <w:pPr>
        <w:tabs>
          <w:tab w:val="left" w:pos="6300"/>
        </w:tabs>
        <w:snapToGrid w:val="0"/>
        <w:spacing w:line="500" w:lineRule="exact"/>
        <w:ind w:firstLine="570"/>
        <w:rPr>
          <w:rFonts w:hint="eastAsia" w:ascii="宋体" w:hAnsi="宋体" w:cs="宋体"/>
          <w:color w:val="auto"/>
          <w:sz w:val="24"/>
        </w:rPr>
      </w:pPr>
    </w:p>
    <w:p w14:paraId="045E8F7D">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6A2BEB4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（被授权人姓名及身份证代码）代表我单位全权办理上述项目的谈判、签约等具体工作，并签署全部有关文件、协议及合同。</w:t>
      </w:r>
    </w:p>
    <w:p w14:paraId="285B1A2B">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38F31A45">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586958C7">
      <w:pPr>
        <w:tabs>
          <w:tab w:val="left" w:pos="6300"/>
        </w:tabs>
        <w:snapToGrid w:val="0"/>
        <w:spacing w:line="500" w:lineRule="exact"/>
        <w:ind w:firstLine="570"/>
        <w:rPr>
          <w:rFonts w:hint="eastAsia" w:ascii="宋体" w:hAnsi="宋体" w:cs="宋体"/>
          <w:color w:val="auto"/>
          <w:sz w:val="24"/>
        </w:rPr>
      </w:pPr>
    </w:p>
    <w:p w14:paraId="27D17299">
      <w:pPr>
        <w:tabs>
          <w:tab w:val="left" w:pos="6300"/>
        </w:tabs>
        <w:snapToGrid w:val="0"/>
        <w:spacing w:line="500" w:lineRule="exact"/>
        <w:ind w:firstLine="570"/>
        <w:rPr>
          <w:rFonts w:hint="eastAsia" w:ascii="宋体" w:hAnsi="宋体" w:cs="宋体"/>
          <w:color w:val="auto"/>
          <w:sz w:val="24"/>
        </w:rPr>
      </w:pPr>
    </w:p>
    <w:p w14:paraId="41049BAB">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供应商法定代表人：</w:t>
      </w:r>
    </w:p>
    <w:p w14:paraId="7953E185">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223FF780">
      <w:pPr>
        <w:tabs>
          <w:tab w:val="left" w:pos="6300"/>
        </w:tabs>
        <w:snapToGrid w:val="0"/>
        <w:spacing w:line="500" w:lineRule="exact"/>
        <w:ind w:firstLine="570"/>
        <w:rPr>
          <w:rFonts w:hint="eastAsia" w:ascii="宋体" w:hAnsi="宋体" w:cs="宋体"/>
          <w:color w:val="auto"/>
          <w:sz w:val="24"/>
          <w:szCs w:val="28"/>
        </w:rPr>
      </w:pPr>
    </w:p>
    <w:p w14:paraId="7A74D495">
      <w:pPr>
        <w:tabs>
          <w:tab w:val="left" w:pos="6300"/>
        </w:tabs>
        <w:snapToGrid w:val="0"/>
        <w:spacing w:line="500" w:lineRule="exact"/>
        <w:ind w:firstLine="570"/>
        <w:rPr>
          <w:rFonts w:hint="eastAsia" w:ascii="宋体" w:hAnsi="宋体" w:cs="宋体"/>
          <w:color w:val="auto"/>
          <w:sz w:val="24"/>
        </w:rPr>
      </w:pPr>
    </w:p>
    <w:p w14:paraId="65D4F6D4">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14007A3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3F37F36A">
      <w:pPr>
        <w:tabs>
          <w:tab w:val="left" w:pos="6300"/>
        </w:tabs>
        <w:snapToGrid w:val="0"/>
        <w:spacing w:line="500" w:lineRule="exact"/>
        <w:ind w:firstLine="570"/>
        <w:rPr>
          <w:rFonts w:hint="eastAsia" w:ascii="宋体" w:hAnsi="宋体" w:cs="宋体"/>
          <w:color w:val="auto"/>
          <w:sz w:val="24"/>
        </w:rPr>
      </w:pPr>
    </w:p>
    <w:p w14:paraId="2FA868A4">
      <w:pPr>
        <w:tabs>
          <w:tab w:val="left" w:pos="6300"/>
        </w:tabs>
        <w:snapToGrid w:val="0"/>
        <w:spacing w:line="500" w:lineRule="exact"/>
        <w:ind w:firstLine="570"/>
        <w:rPr>
          <w:rFonts w:hint="eastAsia" w:ascii="宋体" w:hAnsi="宋体" w:cs="宋体"/>
          <w:color w:val="auto"/>
          <w:sz w:val="24"/>
        </w:rPr>
      </w:pPr>
    </w:p>
    <w:p w14:paraId="10D873F5">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（供应商公章）</w:t>
      </w:r>
    </w:p>
    <w:p w14:paraId="1270C74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7E164A8D">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被授权人电话：XXXXXXX     电子邮箱：XXXXXX@XXXXX（若法定代表人办理并签署响应文件的可不填写）</w:t>
      </w:r>
    </w:p>
    <w:p w14:paraId="71748B58">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w:t>
      </w:r>
    </w:p>
    <w:p w14:paraId="0EC5F86E">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1.若为法定代表人办理并签署响应文件的，不提供此文件。</w:t>
      </w:r>
    </w:p>
    <w:p w14:paraId="45D55711">
      <w:pPr>
        <w:tabs>
          <w:tab w:val="left" w:pos="6300"/>
        </w:tabs>
        <w:snapToGrid w:val="0"/>
        <w:spacing w:line="400" w:lineRule="exact"/>
        <w:ind w:firstLine="573"/>
        <w:rPr>
          <w:rFonts w:hint="eastAsia" w:ascii="宋体" w:hAnsi="宋体" w:cs="宋体"/>
          <w:color w:val="auto"/>
          <w:sz w:val="24"/>
        </w:rPr>
      </w:pPr>
      <w:r>
        <w:rPr>
          <w:rFonts w:hint="eastAsia" w:ascii="宋体" w:hAnsi="宋体" w:cs="宋体"/>
          <w:color w:val="auto"/>
          <w:sz w:val="24"/>
        </w:rPr>
        <w:t>2.若为联合体参与的，法定代表人授权委托书由联合体主办方</w:t>
      </w:r>
      <w:r>
        <w:rPr>
          <w:rFonts w:hint="eastAsia" w:ascii="宋体" w:hAnsi="宋体" w:cs="宋体"/>
          <w:color w:val="auto"/>
          <w:kern w:val="0"/>
          <w:sz w:val="24"/>
          <w:szCs w:val="24"/>
        </w:rPr>
        <w:t>（主体）</w:t>
      </w:r>
      <w:r>
        <w:rPr>
          <w:rFonts w:hint="eastAsia" w:ascii="宋体" w:hAnsi="宋体" w:cs="宋体"/>
          <w:color w:val="auto"/>
          <w:sz w:val="24"/>
        </w:rPr>
        <w:t>出具。</w:t>
      </w:r>
    </w:p>
    <w:p w14:paraId="7DE04A3E">
      <w:pPr>
        <w:widowControl/>
        <w:spacing w:line="400" w:lineRule="exact"/>
        <w:ind w:firstLine="560" w:firstLineChars="200"/>
        <w:jc w:val="left"/>
        <w:rPr>
          <w:rFonts w:hint="eastAsia"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（四）基本资格条件承诺函（格式）</w:t>
      </w:r>
    </w:p>
    <w:p w14:paraId="71C11CA1">
      <w:pPr>
        <w:tabs>
          <w:tab w:val="left" w:pos="6300"/>
        </w:tabs>
        <w:snapToGrid w:val="0"/>
        <w:spacing w:line="500" w:lineRule="exact"/>
        <w:ind w:firstLine="643" w:firstLineChars="200"/>
        <w:jc w:val="center"/>
        <w:rPr>
          <w:rFonts w:hint="eastAsia" w:ascii="宋体" w:hAnsi="宋体" w:cs="宋体"/>
          <w:b/>
          <w:bCs/>
          <w:color w:val="auto"/>
          <w:sz w:val="32"/>
          <w:szCs w:val="32"/>
        </w:rPr>
      </w:pPr>
      <w:r>
        <w:rPr>
          <w:rFonts w:hint="eastAsia" w:ascii="宋体" w:hAnsi="宋体" w:cs="宋体"/>
          <w:b/>
          <w:bCs/>
          <w:color w:val="auto"/>
          <w:sz w:val="32"/>
          <w:szCs w:val="32"/>
        </w:rPr>
        <w:t>基本资格条件承诺函</w:t>
      </w:r>
    </w:p>
    <w:p w14:paraId="1D666DD4">
      <w:pPr>
        <w:tabs>
          <w:tab w:val="left" w:pos="6300"/>
        </w:tabs>
        <w:snapToGrid w:val="0"/>
        <w:spacing w:line="530" w:lineRule="exact"/>
        <w:rPr>
          <w:rFonts w:hint="eastAsia" w:ascii="宋体" w:hAnsi="宋体" w:cs="宋体"/>
          <w:color w:val="auto"/>
          <w:sz w:val="24"/>
        </w:rPr>
      </w:pPr>
    </w:p>
    <w:p w14:paraId="40E5C69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512FA0D3">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15D70C1C">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5C705457">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58125CC9">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3.我方在采购项目评审（评标）环节结束后，随时接受采购人、采购代理机构的检查验证，配合提供相关证明材料，证明符合《中华人民共和国政府采购法》规定的供应商基本资格条件。</w:t>
      </w:r>
    </w:p>
    <w:p w14:paraId="13BCF49D">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我方对以上承诺负全部法律责任。</w:t>
      </w:r>
    </w:p>
    <w:p w14:paraId="269B0F9A">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特此承诺。</w:t>
      </w:r>
    </w:p>
    <w:p w14:paraId="2B514485">
      <w:pPr>
        <w:tabs>
          <w:tab w:val="left" w:pos="6300"/>
        </w:tabs>
        <w:snapToGrid w:val="0"/>
        <w:spacing w:line="500" w:lineRule="exact"/>
        <w:ind w:firstLine="480" w:firstLineChars="200"/>
        <w:rPr>
          <w:rFonts w:hint="eastAsia" w:ascii="宋体" w:hAnsi="宋体" w:cs="宋体"/>
          <w:color w:val="auto"/>
          <w:sz w:val="24"/>
        </w:rPr>
      </w:pPr>
    </w:p>
    <w:p w14:paraId="213C122E">
      <w:pPr>
        <w:tabs>
          <w:tab w:val="left" w:pos="6300"/>
        </w:tabs>
        <w:snapToGrid w:val="0"/>
        <w:spacing w:line="500" w:lineRule="exact"/>
        <w:ind w:firstLine="480" w:firstLineChars="200"/>
        <w:jc w:val="right"/>
        <w:rPr>
          <w:rFonts w:hint="eastAsia" w:ascii="宋体" w:hAnsi="宋体" w:cs="宋体"/>
          <w:color w:val="auto"/>
          <w:sz w:val="24"/>
        </w:rPr>
      </w:pPr>
      <w:r>
        <w:rPr>
          <w:rFonts w:hint="eastAsia" w:ascii="宋体" w:hAnsi="宋体" w:cs="宋体"/>
          <w:color w:val="auto"/>
          <w:sz w:val="24"/>
        </w:rPr>
        <w:t>（供应商公章）</w:t>
      </w:r>
    </w:p>
    <w:p w14:paraId="5DB34E07">
      <w:pPr>
        <w:widowControl/>
        <w:spacing w:line="400" w:lineRule="exact"/>
        <w:ind w:firstLine="7920" w:firstLineChars="3300"/>
        <w:jc w:val="left"/>
        <w:rPr>
          <w:rFonts w:hint="eastAsia" w:ascii="宋体" w:hAnsi="宋体" w:cs="宋体"/>
          <w:color w:val="auto"/>
          <w:sz w:val="24"/>
          <w:szCs w:val="24"/>
        </w:rPr>
      </w:pPr>
      <w:r>
        <w:rPr>
          <w:rFonts w:hint="eastAsia" w:ascii="宋体" w:hAnsi="宋体" w:cs="宋体"/>
          <w:color w:val="auto"/>
          <w:sz w:val="24"/>
        </w:rPr>
        <w:t>年   月   日</w:t>
      </w:r>
    </w:p>
    <w:p w14:paraId="50B2FE97">
      <w:pPr>
        <w:widowControl/>
        <w:spacing w:line="400" w:lineRule="exact"/>
        <w:ind w:firstLine="560" w:firstLineChars="200"/>
        <w:jc w:val="left"/>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005EB128">
      <w:pPr>
        <w:widowControl/>
        <w:spacing w:line="400" w:lineRule="exact"/>
        <w:ind w:firstLine="480" w:firstLineChars="200"/>
        <w:jc w:val="left"/>
        <w:rPr>
          <w:rFonts w:hint="eastAsia" w:ascii="宋体" w:hAnsi="宋体" w:cs="宋体"/>
          <w:color w:val="auto"/>
          <w:sz w:val="24"/>
          <w:szCs w:val="24"/>
        </w:rPr>
      </w:pPr>
    </w:p>
    <w:p w14:paraId="60B6169F">
      <w:pPr>
        <w:pStyle w:val="4"/>
        <w:adjustRightInd w:val="0"/>
        <w:snapToGrid w:val="0"/>
        <w:spacing w:before="0" w:after="0" w:line="400" w:lineRule="exact"/>
        <w:ind w:firstLine="482" w:firstLineChars="200"/>
        <w:rPr>
          <w:rFonts w:hint="eastAsia" w:ascii="宋体" w:hAnsi="宋体" w:eastAsia="宋体" w:cs="宋体"/>
          <w:color w:val="auto"/>
          <w:sz w:val="24"/>
        </w:rPr>
      </w:pPr>
      <w:r>
        <w:rPr>
          <w:rFonts w:hint="eastAsia" w:ascii="宋体" w:hAnsi="宋体" w:eastAsia="宋体" w:cs="宋体"/>
          <w:color w:val="auto"/>
          <w:sz w:val="24"/>
          <w:szCs w:val="24"/>
        </w:rPr>
        <w:br w:type="page"/>
      </w:r>
      <w:bookmarkStart w:id="199" w:name="_Toc17010"/>
      <w:bookmarkStart w:id="200" w:name="_Toc2080"/>
      <w:bookmarkStart w:id="201" w:name="_Toc65660383"/>
      <w:bookmarkStart w:id="202" w:name="_Toc32458"/>
      <w:r>
        <w:rPr>
          <w:rFonts w:hint="eastAsia" w:ascii="宋体" w:hAnsi="宋体" w:eastAsia="宋体" w:cs="宋体"/>
          <w:color w:val="auto"/>
          <w:sz w:val="24"/>
        </w:rPr>
        <w:t>五、</w:t>
      </w:r>
      <w:bookmarkEnd w:id="196"/>
      <w:bookmarkEnd w:id="197"/>
      <w:bookmarkEnd w:id="198"/>
      <w:r>
        <w:rPr>
          <w:rFonts w:hint="eastAsia" w:ascii="宋体" w:hAnsi="宋体" w:eastAsia="宋体" w:cs="宋体"/>
          <w:color w:val="auto"/>
          <w:sz w:val="24"/>
        </w:rPr>
        <w:t>其他资料</w:t>
      </w:r>
      <w:bookmarkEnd w:id="199"/>
      <w:bookmarkEnd w:id="200"/>
      <w:bookmarkEnd w:id="201"/>
      <w:bookmarkEnd w:id="202"/>
    </w:p>
    <w:p w14:paraId="59430D7D">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其他与项目有关的资料（自附）</w:t>
      </w:r>
    </w:p>
    <w:p w14:paraId="68D0E5D5">
      <w:pPr>
        <w:pStyle w:val="22"/>
        <w:rPr>
          <w:rFonts w:hint="eastAsia" w:ascii="宋体" w:hAnsi="宋体" w:eastAsia="宋体" w:cs="宋体"/>
          <w:color w:val="auto"/>
          <w:sz w:val="24"/>
          <w:szCs w:val="24"/>
        </w:rPr>
      </w:pPr>
    </w:p>
    <w:p w14:paraId="02EC1962">
      <w:pPr>
        <w:pStyle w:val="23"/>
        <w:rPr>
          <w:rFonts w:hint="eastAsia" w:ascii="宋体" w:hAnsi="宋体" w:cs="宋体"/>
          <w:color w:val="auto"/>
          <w:sz w:val="24"/>
          <w:szCs w:val="24"/>
        </w:rPr>
      </w:pPr>
    </w:p>
    <w:p w14:paraId="60264287">
      <w:pPr>
        <w:pStyle w:val="23"/>
        <w:rPr>
          <w:rFonts w:hint="eastAsia" w:ascii="宋体" w:hAnsi="宋体" w:cs="宋体"/>
          <w:color w:val="auto"/>
          <w:sz w:val="24"/>
          <w:szCs w:val="24"/>
        </w:rPr>
      </w:pPr>
    </w:p>
    <w:p w14:paraId="3C6CCE11">
      <w:pPr>
        <w:pStyle w:val="23"/>
        <w:rPr>
          <w:rFonts w:hint="eastAsia" w:ascii="宋体" w:hAnsi="宋体" w:cs="宋体"/>
          <w:color w:val="auto"/>
          <w:sz w:val="24"/>
          <w:szCs w:val="24"/>
        </w:rPr>
      </w:pPr>
    </w:p>
    <w:p w14:paraId="48DA9B41">
      <w:pPr>
        <w:pStyle w:val="23"/>
        <w:rPr>
          <w:rFonts w:hint="eastAsia" w:ascii="宋体" w:hAnsi="宋体" w:cs="宋体"/>
          <w:color w:val="auto"/>
          <w:sz w:val="24"/>
          <w:szCs w:val="24"/>
        </w:rPr>
      </w:pPr>
    </w:p>
    <w:p w14:paraId="10F198EF">
      <w:pPr>
        <w:pStyle w:val="23"/>
        <w:rPr>
          <w:rFonts w:hint="eastAsia" w:ascii="宋体" w:hAnsi="宋体" w:cs="宋体"/>
          <w:color w:val="auto"/>
          <w:sz w:val="24"/>
          <w:szCs w:val="24"/>
        </w:rPr>
      </w:pPr>
    </w:p>
    <w:p w14:paraId="233DA1E3">
      <w:pPr>
        <w:pStyle w:val="23"/>
        <w:rPr>
          <w:rFonts w:hint="eastAsia" w:ascii="宋体" w:hAnsi="宋体" w:cs="宋体"/>
          <w:color w:val="auto"/>
          <w:sz w:val="24"/>
          <w:szCs w:val="24"/>
        </w:rPr>
      </w:pPr>
    </w:p>
    <w:p w14:paraId="29C4954A">
      <w:pPr>
        <w:pStyle w:val="23"/>
        <w:rPr>
          <w:rFonts w:hint="eastAsia" w:ascii="宋体" w:hAnsi="宋体" w:cs="宋体"/>
          <w:color w:val="auto"/>
          <w:sz w:val="24"/>
          <w:szCs w:val="24"/>
        </w:rPr>
      </w:pPr>
    </w:p>
    <w:p w14:paraId="535A3F4D">
      <w:pPr>
        <w:pStyle w:val="23"/>
        <w:rPr>
          <w:rFonts w:hint="eastAsia" w:ascii="宋体" w:hAnsi="宋体" w:cs="宋体"/>
          <w:color w:val="auto"/>
          <w:sz w:val="24"/>
          <w:szCs w:val="24"/>
        </w:rPr>
      </w:pPr>
    </w:p>
    <w:p w14:paraId="7457C562">
      <w:pPr>
        <w:pStyle w:val="23"/>
        <w:rPr>
          <w:rFonts w:hint="eastAsia" w:ascii="宋体" w:hAnsi="宋体" w:cs="宋体"/>
          <w:color w:val="auto"/>
          <w:sz w:val="24"/>
          <w:szCs w:val="24"/>
        </w:rPr>
      </w:pPr>
    </w:p>
    <w:p w14:paraId="73A2E9F0">
      <w:pPr>
        <w:pStyle w:val="23"/>
        <w:rPr>
          <w:rFonts w:hint="eastAsia" w:ascii="宋体" w:hAnsi="宋体" w:cs="宋体"/>
          <w:color w:val="auto"/>
          <w:sz w:val="24"/>
          <w:szCs w:val="24"/>
        </w:rPr>
      </w:pPr>
    </w:p>
    <w:p w14:paraId="2B7FA12A">
      <w:pPr>
        <w:spacing w:line="360" w:lineRule="auto"/>
        <w:jc w:val="both"/>
        <w:rPr>
          <w:rFonts w:hint="eastAsia" w:ascii="宋体" w:hAnsi="宋体" w:cs="宋体"/>
          <w:color w:val="auto"/>
          <w:sz w:val="24"/>
          <w:szCs w:val="24"/>
        </w:rPr>
      </w:pPr>
    </w:p>
    <w:p w14:paraId="1F58A2A5">
      <w:pPr>
        <w:spacing w:line="360" w:lineRule="auto"/>
        <w:rPr>
          <w:rFonts w:hint="eastAsia" w:ascii="宋体" w:hAnsi="宋体" w:cs="宋体"/>
          <w:color w:val="auto"/>
          <w:sz w:val="24"/>
          <w:szCs w:val="24"/>
        </w:rPr>
      </w:pPr>
    </w:p>
    <w:p w14:paraId="43E67424">
      <w:pPr>
        <w:tabs>
          <w:tab w:val="left" w:pos="6300"/>
        </w:tabs>
        <w:snapToGrid w:val="0"/>
        <w:spacing w:line="400" w:lineRule="exact"/>
        <w:jc w:val="center"/>
        <w:outlineLvl w:val="0"/>
        <w:rPr>
          <w:rFonts w:hint="eastAsia" w:ascii="宋体" w:hAnsi="宋体" w:cs="宋体"/>
          <w:color w:val="auto"/>
          <w:sz w:val="24"/>
          <w:szCs w:val="24"/>
        </w:rPr>
      </w:pPr>
      <w:r>
        <w:rPr>
          <w:rFonts w:hint="eastAsia" w:ascii="宋体" w:hAnsi="宋体" w:cs="宋体"/>
          <w:color w:val="auto"/>
          <w:sz w:val="24"/>
          <w:szCs w:val="24"/>
        </w:rPr>
        <w:t>（结束）</w:t>
      </w:r>
    </w:p>
    <w:sectPr>
      <w:pgSz w:w="11907" w:h="16840"/>
      <w:pgMar w:top="1134" w:right="1191" w:bottom="1134" w:left="1304" w:header="680"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1" w:fontKey="{26C60796-8956-4CD9-8363-29BA245C0CC4}"/>
  </w:font>
  <w:font w:name="_x000B__x000C_">
    <w:altName w:val="Times New Roman"/>
    <w:panose1 w:val="00000000000000000000"/>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2010609000101010101"/>
    <w:charset w:val="00"/>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20B0609010101010101"/>
    <w:charset w:val="00"/>
    <w:family w:val="modern"/>
    <w:pitch w:val="default"/>
    <w:sig w:usb0="00000000" w:usb1="00000000" w:usb2="00000010" w:usb3="00000000" w:csb0="00040000"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embedRegular r:id="rId2" w:fontKey="{DC889DC7-2601-4A08-9464-27C46080D7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AEF49">
    <w:pPr>
      <w:pStyle w:val="36"/>
      <w:framePr w:wrap="around" w:vAnchor="text" w:hAnchor="margin" w:xAlign="center" w:y="1"/>
      <w:jc w:val="center"/>
      <w:rPr>
        <w:rStyle w:val="64"/>
        <w:rFonts w:hint="eastAsia"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- 5 -</w:t>
    </w:r>
    <w:r>
      <w:rPr>
        <w:rFonts w:ascii="宋体"/>
        <w:sz w:val="21"/>
        <w:szCs w:val="21"/>
      </w:rPr>
      <w:fldChar w:fldCharType="end"/>
    </w:r>
  </w:p>
  <w:p w14:paraId="753890B7">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06295">
    <w:pPr>
      <w:pStyle w:val="36"/>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2A45A9D7">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1F8FE">
    <w:pPr>
      <w:pStyle w:val="36"/>
      <w:framePr w:wrap="around" w:vAnchor="text" w:hAnchor="margin" w:xAlign="center" w:y="1"/>
      <w:rPr>
        <w:rStyle w:val="64"/>
      </w:rPr>
    </w:pPr>
  </w:p>
  <w:p w14:paraId="5D9C8786">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D88BA">
    <w:pPr>
      <w:pStyle w:val="36"/>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534F9">
    <w:pPr>
      <w:pStyle w:val="36"/>
      <w:ind w:right="360"/>
      <w:jc w:val="center"/>
    </w:pPr>
    <w:r>
      <w:fldChar w:fldCharType="begin"/>
    </w:r>
    <w:r>
      <w:rPr>
        <w:rStyle w:val="64"/>
      </w:rPr>
      <w:instrText xml:space="preserve"> PAGE </w:instrText>
    </w:r>
    <w:r>
      <w:fldChar w:fldCharType="separate"/>
    </w:r>
    <w:r>
      <w:rPr>
        <w:rStyle w:val="64"/>
      </w:rPr>
      <w:t>- 11 -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106BF">
    <w:pPr>
      <w:pStyle w:val="36"/>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- 45 -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D0302">
    <w:pPr>
      <w:pStyle w:val="38"/>
      <w:jc w:val="both"/>
      <w:rPr>
        <w:rFonts w:hint="eastAsia"/>
      </w:rPr>
    </w:pPr>
    <w:r>
      <w:rPr>
        <w:rFonts w:hint="eastAsia" w:ascii="Times New Roman" w:hAnsi="Times New Roman" w:eastAsia="宋体" w:cs="Times New Roman"/>
        <w:sz w:val="21"/>
        <w:szCs w:val="21"/>
        <w:lang w:eastAsia="zh-CN"/>
      </w:rPr>
      <w:t>重庆智南项目管理有限公司</w:t>
    </w:r>
    <w:r>
      <w:rPr>
        <w:sz w:val="21"/>
        <w:szCs w:val="21"/>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sz w:val="21"/>
        <w:szCs w:val="21"/>
      </w:rPr>
      <w:t xml:space="preserve"> </w:t>
    </w:r>
    <w:r>
      <w:rPr>
        <w:rFonts w:hint="eastAsia"/>
        <w:sz w:val="21"/>
        <w:szCs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B9097">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64F8E">
    <w:pPr>
      <w:pStyle w:val="38"/>
      <w:jc w:val="both"/>
    </w:pPr>
    <w:r>
      <w:rPr>
        <w:rFonts w:hint="eastAsia" w:ascii="Times New Roman" w:hAnsi="Times New Roman" w:eastAsia="宋体" w:cs="Times New Roman"/>
        <w:sz w:val="21"/>
        <w:szCs w:val="21"/>
        <w:lang w:eastAsia="zh-CN"/>
      </w:rPr>
      <w:t>重庆智南项目管理有限公司</w:t>
    </w:r>
    <w:r>
      <w:rPr>
        <w:rFonts w:hint="eastAsia" w:ascii="Times New Roman" w:hAnsi="Times New Roman" w:eastAsia="宋体" w:cs="Times New Roman"/>
        <w:sz w:val="21"/>
        <w:szCs w:val="21"/>
      </w:rPr>
      <w:t xml:space="preserve"> </w:t>
    </w:r>
    <w:r>
      <w:rPr>
        <w:sz w:val="21"/>
        <w:szCs w:val="21"/>
      </w:rPr>
      <w:t xml:space="preserve">                   </w:t>
    </w:r>
    <w:r>
      <w:rPr>
        <w:rFonts w:hint="eastAsia"/>
        <w:sz w:val="21"/>
        <w:szCs w:val="21"/>
        <w:lang w:val="en-US" w:eastAsia="zh-CN"/>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竞争性谈判文件</w:t>
    </w:r>
  </w:p>
  <w:p w14:paraId="49253473">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8F42">
    <w:pPr>
      <w:pStyle w:val="38"/>
      <w:jc w:val="left"/>
    </w:pPr>
    <w:r>
      <w:rPr>
        <w:rFonts w:hint="eastAsia" w:ascii="Times New Roman" w:hAnsi="Times New Roman" w:eastAsia="宋体" w:cs="Times New Roman"/>
        <w:sz w:val="21"/>
        <w:szCs w:val="21"/>
        <w:lang w:eastAsia="zh-CN"/>
      </w:rPr>
      <w:t>重庆智南项目管理有限公司</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9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24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221"/>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8"/>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2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8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24"/>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22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7"/>
  </w:num>
  <w:num w:numId="7">
    <w:abstractNumId w:val="4"/>
  </w:num>
  <w:num w:numId="8">
    <w:abstractNumId w:val="2"/>
  </w:num>
  <w:num w:numId="9">
    <w:abstractNumId w:val="11"/>
  </w:num>
  <w:num w:numId="10">
    <w:abstractNumId w:val="10"/>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MzdjODBkN2QwNDgyZGRmY2FmNTgxMThjMDFjNmUifQ=="/>
    <w:docVar w:name="KSO_WPS_MARK_KEY" w:val="35182126-3d61-49b4-87d1-ed0b68b91e09"/>
  </w:docVars>
  <w:rsids>
    <w:rsidRoot w:val="00172A27"/>
    <w:rsid w:val="00002EAF"/>
    <w:rsid w:val="000040DE"/>
    <w:rsid w:val="00005A02"/>
    <w:rsid w:val="00011E36"/>
    <w:rsid w:val="00015A2E"/>
    <w:rsid w:val="00016B79"/>
    <w:rsid w:val="00026AFF"/>
    <w:rsid w:val="00027AF7"/>
    <w:rsid w:val="00033C8A"/>
    <w:rsid w:val="000358F8"/>
    <w:rsid w:val="000362F7"/>
    <w:rsid w:val="0003632F"/>
    <w:rsid w:val="00036537"/>
    <w:rsid w:val="00043144"/>
    <w:rsid w:val="00043C9B"/>
    <w:rsid w:val="000446C0"/>
    <w:rsid w:val="000513D1"/>
    <w:rsid w:val="0005298B"/>
    <w:rsid w:val="00052A3A"/>
    <w:rsid w:val="00053A69"/>
    <w:rsid w:val="00053CC2"/>
    <w:rsid w:val="00054308"/>
    <w:rsid w:val="0005456D"/>
    <w:rsid w:val="000549FF"/>
    <w:rsid w:val="000576E1"/>
    <w:rsid w:val="00063981"/>
    <w:rsid w:val="00064FA3"/>
    <w:rsid w:val="00082D81"/>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15C6"/>
    <w:rsid w:val="000D23F5"/>
    <w:rsid w:val="000D40BA"/>
    <w:rsid w:val="000E3259"/>
    <w:rsid w:val="000F3752"/>
    <w:rsid w:val="000F48FD"/>
    <w:rsid w:val="000F511B"/>
    <w:rsid w:val="000F57C3"/>
    <w:rsid w:val="000F5ACE"/>
    <w:rsid w:val="000F7DBF"/>
    <w:rsid w:val="00100639"/>
    <w:rsid w:val="00103DA9"/>
    <w:rsid w:val="00103DDC"/>
    <w:rsid w:val="0010418E"/>
    <w:rsid w:val="00105660"/>
    <w:rsid w:val="001077D3"/>
    <w:rsid w:val="001122C5"/>
    <w:rsid w:val="00113E89"/>
    <w:rsid w:val="00116856"/>
    <w:rsid w:val="00120259"/>
    <w:rsid w:val="00120851"/>
    <w:rsid w:val="00124CD0"/>
    <w:rsid w:val="00124CF0"/>
    <w:rsid w:val="001266BF"/>
    <w:rsid w:val="00131054"/>
    <w:rsid w:val="00133D16"/>
    <w:rsid w:val="0013496A"/>
    <w:rsid w:val="00135B50"/>
    <w:rsid w:val="00135E0D"/>
    <w:rsid w:val="001363B2"/>
    <w:rsid w:val="001365E8"/>
    <w:rsid w:val="001376CB"/>
    <w:rsid w:val="001401FF"/>
    <w:rsid w:val="00140C83"/>
    <w:rsid w:val="00140E25"/>
    <w:rsid w:val="00147FB4"/>
    <w:rsid w:val="0015011C"/>
    <w:rsid w:val="00150429"/>
    <w:rsid w:val="0015108F"/>
    <w:rsid w:val="00153353"/>
    <w:rsid w:val="0015351E"/>
    <w:rsid w:val="001559C6"/>
    <w:rsid w:val="0016035A"/>
    <w:rsid w:val="0016303B"/>
    <w:rsid w:val="00165700"/>
    <w:rsid w:val="0017421F"/>
    <w:rsid w:val="001748ED"/>
    <w:rsid w:val="00177DD5"/>
    <w:rsid w:val="00180ACB"/>
    <w:rsid w:val="00181A7F"/>
    <w:rsid w:val="0018347E"/>
    <w:rsid w:val="0018465A"/>
    <w:rsid w:val="00184E27"/>
    <w:rsid w:val="00186623"/>
    <w:rsid w:val="0018699A"/>
    <w:rsid w:val="001915CE"/>
    <w:rsid w:val="001A0016"/>
    <w:rsid w:val="001A4270"/>
    <w:rsid w:val="001A6A3F"/>
    <w:rsid w:val="001A6DCC"/>
    <w:rsid w:val="001A7806"/>
    <w:rsid w:val="001B2365"/>
    <w:rsid w:val="001B2B5A"/>
    <w:rsid w:val="001B3DBD"/>
    <w:rsid w:val="001B4377"/>
    <w:rsid w:val="001B6655"/>
    <w:rsid w:val="001D2321"/>
    <w:rsid w:val="001D2DCD"/>
    <w:rsid w:val="001D435E"/>
    <w:rsid w:val="001D5055"/>
    <w:rsid w:val="001E0376"/>
    <w:rsid w:val="001E5CAC"/>
    <w:rsid w:val="001E5EB4"/>
    <w:rsid w:val="001E725F"/>
    <w:rsid w:val="001E75B9"/>
    <w:rsid w:val="001E75F4"/>
    <w:rsid w:val="001F1AF7"/>
    <w:rsid w:val="001F1CA8"/>
    <w:rsid w:val="001F48D9"/>
    <w:rsid w:val="001F4964"/>
    <w:rsid w:val="001F511B"/>
    <w:rsid w:val="001F7063"/>
    <w:rsid w:val="00200186"/>
    <w:rsid w:val="00202B04"/>
    <w:rsid w:val="00204936"/>
    <w:rsid w:val="002100EE"/>
    <w:rsid w:val="002105E1"/>
    <w:rsid w:val="00211874"/>
    <w:rsid w:val="00211A92"/>
    <w:rsid w:val="0022065B"/>
    <w:rsid w:val="00222097"/>
    <w:rsid w:val="0022517B"/>
    <w:rsid w:val="00225B78"/>
    <w:rsid w:val="00227BA9"/>
    <w:rsid w:val="00231797"/>
    <w:rsid w:val="00235F8F"/>
    <w:rsid w:val="00237759"/>
    <w:rsid w:val="0024359D"/>
    <w:rsid w:val="00244E68"/>
    <w:rsid w:val="00244EB1"/>
    <w:rsid w:val="002539DF"/>
    <w:rsid w:val="00263F49"/>
    <w:rsid w:val="002643C1"/>
    <w:rsid w:val="00267DDF"/>
    <w:rsid w:val="00270ED7"/>
    <w:rsid w:val="00271A27"/>
    <w:rsid w:val="00271D47"/>
    <w:rsid w:val="002721EA"/>
    <w:rsid w:val="00275FED"/>
    <w:rsid w:val="00280E8A"/>
    <w:rsid w:val="00282FBA"/>
    <w:rsid w:val="00283A40"/>
    <w:rsid w:val="00283B57"/>
    <w:rsid w:val="0028506C"/>
    <w:rsid w:val="00285164"/>
    <w:rsid w:val="00285D78"/>
    <w:rsid w:val="00293D74"/>
    <w:rsid w:val="00294EB6"/>
    <w:rsid w:val="00295381"/>
    <w:rsid w:val="002A4956"/>
    <w:rsid w:val="002A5652"/>
    <w:rsid w:val="002A6710"/>
    <w:rsid w:val="002A7598"/>
    <w:rsid w:val="002A7622"/>
    <w:rsid w:val="002B1F56"/>
    <w:rsid w:val="002B3C24"/>
    <w:rsid w:val="002B47A4"/>
    <w:rsid w:val="002B7904"/>
    <w:rsid w:val="002C0821"/>
    <w:rsid w:val="002C2507"/>
    <w:rsid w:val="002C2E6E"/>
    <w:rsid w:val="002C69BF"/>
    <w:rsid w:val="002C6DF1"/>
    <w:rsid w:val="002E4C46"/>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48FA"/>
    <w:rsid w:val="00355A74"/>
    <w:rsid w:val="00361427"/>
    <w:rsid w:val="00361441"/>
    <w:rsid w:val="00362402"/>
    <w:rsid w:val="00363A39"/>
    <w:rsid w:val="0036458B"/>
    <w:rsid w:val="00371328"/>
    <w:rsid w:val="00371D2F"/>
    <w:rsid w:val="00372D5B"/>
    <w:rsid w:val="00373343"/>
    <w:rsid w:val="0037335E"/>
    <w:rsid w:val="00375E03"/>
    <w:rsid w:val="003762F7"/>
    <w:rsid w:val="0038344F"/>
    <w:rsid w:val="00384161"/>
    <w:rsid w:val="00387610"/>
    <w:rsid w:val="00396FFE"/>
    <w:rsid w:val="003973D3"/>
    <w:rsid w:val="003A0892"/>
    <w:rsid w:val="003A449E"/>
    <w:rsid w:val="003A501C"/>
    <w:rsid w:val="003A57F1"/>
    <w:rsid w:val="003A71F3"/>
    <w:rsid w:val="003B19F5"/>
    <w:rsid w:val="003B2501"/>
    <w:rsid w:val="003B7B71"/>
    <w:rsid w:val="003C0A38"/>
    <w:rsid w:val="003D0E0A"/>
    <w:rsid w:val="003D1569"/>
    <w:rsid w:val="003E1F8A"/>
    <w:rsid w:val="003E4727"/>
    <w:rsid w:val="003E5324"/>
    <w:rsid w:val="003E5E67"/>
    <w:rsid w:val="00402B32"/>
    <w:rsid w:val="004044EE"/>
    <w:rsid w:val="004052D1"/>
    <w:rsid w:val="00410C93"/>
    <w:rsid w:val="00411B4A"/>
    <w:rsid w:val="00412680"/>
    <w:rsid w:val="004167CD"/>
    <w:rsid w:val="00425367"/>
    <w:rsid w:val="00425EDA"/>
    <w:rsid w:val="0043290D"/>
    <w:rsid w:val="00433ADB"/>
    <w:rsid w:val="004353BF"/>
    <w:rsid w:val="004400CA"/>
    <w:rsid w:val="00446735"/>
    <w:rsid w:val="004474F3"/>
    <w:rsid w:val="004515DA"/>
    <w:rsid w:val="00453A00"/>
    <w:rsid w:val="004543A5"/>
    <w:rsid w:val="00462878"/>
    <w:rsid w:val="0046417B"/>
    <w:rsid w:val="004657EA"/>
    <w:rsid w:val="00467BC0"/>
    <w:rsid w:val="00481A49"/>
    <w:rsid w:val="00484E88"/>
    <w:rsid w:val="004953EC"/>
    <w:rsid w:val="004A015E"/>
    <w:rsid w:val="004A020F"/>
    <w:rsid w:val="004A0DE1"/>
    <w:rsid w:val="004A21A7"/>
    <w:rsid w:val="004A2410"/>
    <w:rsid w:val="004A27AC"/>
    <w:rsid w:val="004A2B68"/>
    <w:rsid w:val="004A4951"/>
    <w:rsid w:val="004A6DDD"/>
    <w:rsid w:val="004A7523"/>
    <w:rsid w:val="004B181C"/>
    <w:rsid w:val="004C1DD0"/>
    <w:rsid w:val="004C2ED2"/>
    <w:rsid w:val="004C60EA"/>
    <w:rsid w:val="004C64E4"/>
    <w:rsid w:val="004D1D5E"/>
    <w:rsid w:val="004E0650"/>
    <w:rsid w:val="004E3234"/>
    <w:rsid w:val="004E3AEE"/>
    <w:rsid w:val="004E4EFB"/>
    <w:rsid w:val="004E55DB"/>
    <w:rsid w:val="004F0533"/>
    <w:rsid w:val="004F2A9F"/>
    <w:rsid w:val="004F6879"/>
    <w:rsid w:val="005000E9"/>
    <w:rsid w:val="00500D8B"/>
    <w:rsid w:val="00502B2F"/>
    <w:rsid w:val="00505F40"/>
    <w:rsid w:val="00512D00"/>
    <w:rsid w:val="00514179"/>
    <w:rsid w:val="00516CDF"/>
    <w:rsid w:val="005170E4"/>
    <w:rsid w:val="005171C9"/>
    <w:rsid w:val="005214D2"/>
    <w:rsid w:val="00522621"/>
    <w:rsid w:val="00524D8A"/>
    <w:rsid w:val="005266F6"/>
    <w:rsid w:val="005320C1"/>
    <w:rsid w:val="00536484"/>
    <w:rsid w:val="00545431"/>
    <w:rsid w:val="005460D5"/>
    <w:rsid w:val="0055517C"/>
    <w:rsid w:val="00556AA7"/>
    <w:rsid w:val="005573AE"/>
    <w:rsid w:val="0056050C"/>
    <w:rsid w:val="0056217D"/>
    <w:rsid w:val="00562860"/>
    <w:rsid w:val="005631C8"/>
    <w:rsid w:val="00565746"/>
    <w:rsid w:val="00566A85"/>
    <w:rsid w:val="00570831"/>
    <w:rsid w:val="00570FCB"/>
    <w:rsid w:val="00571368"/>
    <w:rsid w:val="00573AE3"/>
    <w:rsid w:val="00574240"/>
    <w:rsid w:val="005768CC"/>
    <w:rsid w:val="00581B74"/>
    <w:rsid w:val="00583204"/>
    <w:rsid w:val="005902D9"/>
    <w:rsid w:val="00590B75"/>
    <w:rsid w:val="0059244D"/>
    <w:rsid w:val="005925EE"/>
    <w:rsid w:val="00592A7E"/>
    <w:rsid w:val="005943A4"/>
    <w:rsid w:val="00594567"/>
    <w:rsid w:val="00596AB7"/>
    <w:rsid w:val="00597F87"/>
    <w:rsid w:val="005A0FB6"/>
    <w:rsid w:val="005A1459"/>
    <w:rsid w:val="005A1EA7"/>
    <w:rsid w:val="005A7D38"/>
    <w:rsid w:val="005B0724"/>
    <w:rsid w:val="005B1E46"/>
    <w:rsid w:val="005B295A"/>
    <w:rsid w:val="005B7775"/>
    <w:rsid w:val="005C0014"/>
    <w:rsid w:val="005C2924"/>
    <w:rsid w:val="005C42AC"/>
    <w:rsid w:val="005C4F84"/>
    <w:rsid w:val="005C5383"/>
    <w:rsid w:val="005D12E2"/>
    <w:rsid w:val="005D3382"/>
    <w:rsid w:val="005D703E"/>
    <w:rsid w:val="005E370D"/>
    <w:rsid w:val="005E620C"/>
    <w:rsid w:val="005E7E9D"/>
    <w:rsid w:val="005F05C9"/>
    <w:rsid w:val="005F123E"/>
    <w:rsid w:val="005F1B6C"/>
    <w:rsid w:val="005F4509"/>
    <w:rsid w:val="005F53A2"/>
    <w:rsid w:val="005F7F2B"/>
    <w:rsid w:val="0060543A"/>
    <w:rsid w:val="00610C5F"/>
    <w:rsid w:val="00613410"/>
    <w:rsid w:val="00615434"/>
    <w:rsid w:val="0061717E"/>
    <w:rsid w:val="00617986"/>
    <w:rsid w:val="00625262"/>
    <w:rsid w:val="00627DD2"/>
    <w:rsid w:val="0063570B"/>
    <w:rsid w:val="00635B4B"/>
    <w:rsid w:val="00640026"/>
    <w:rsid w:val="006414B7"/>
    <w:rsid w:val="00654A48"/>
    <w:rsid w:val="006552FD"/>
    <w:rsid w:val="0065651B"/>
    <w:rsid w:val="00664607"/>
    <w:rsid w:val="0066468B"/>
    <w:rsid w:val="00670089"/>
    <w:rsid w:val="00670560"/>
    <w:rsid w:val="006809DA"/>
    <w:rsid w:val="00680AE4"/>
    <w:rsid w:val="00684E51"/>
    <w:rsid w:val="0069086A"/>
    <w:rsid w:val="00695990"/>
    <w:rsid w:val="0069635B"/>
    <w:rsid w:val="006A100B"/>
    <w:rsid w:val="006A143A"/>
    <w:rsid w:val="006A278D"/>
    <w:rsid w:val="006A3285"/>
    <w:rsid w:val="006A4743"/>
    <w:rsid w:val="006A55C3"/>
    <w:rsid w:val="006B0048"/>
    <w:rsid w:val="006B17C8"/>
    <w:rsid w:val="006B243E"/>
    <w:rsid w:val="006B5E7E"/>
    <w:rsid w:val="006B72DE"/>
    <w:rsid w:val="006C4BA5"/>
    <w:rsid w:val="006C5FC1"/>
    <w:rsid w:val="006D44E1"/>
    <w:rsid w:val="006D552C"/>
    <w:rsid w:val="006E21FA"/>
    <w:rsid w:val="006E6952"/>
    <w:rsid w:val="006F03F0"/>
    <w:rsid w:val="006F0DEB"/>
    <w:rsid w:val="006F0FB7"/>
    <w:rsid w:val="006F15D4"/>
    <w:rsid w:val="006F354D"/>
    <w:rsid w:val="006F511B"/>
    <w:rsid w:val="006F6BD7"/>
    <w:rsid w:val="006F70D3"/>
    <w:rsid w:val="006F7C11"/>
    <w:rsid w:val="00701184"/>
    <w:rsid w:val="00704E5D"/>
    <w:rsid w:val="00705739"/>
    <w:rsid w:val="007113A1"/>
    <w:rsid w:val="0071489C"/>
    <w:rsid w:val="007159B2"/>
    <w:rsid w:val="00717148"/>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043E"/>
    <w:rsid w:val="00761449"/>
    <w:rsid w:val="0076486C"/>
    <w:rsid w:val="007656E8"/>
    <w:rsid w:val="00765984"/>
    <w:rsid w:val="00767F36"/>
    <w:rsid w:val="00770494"/>
    <w:rsid w:val="00771617"/>
    <w:rsid w:val="00771A7C"/>
    <w:rsid w:val="007766B3"/>
    <w:rsid w:val="007766E9"/>
    <w:rsid w:val="00776B48"/>
    <w:rsid w:val="00777433"/>
    <w:rsid w:val="007820DC"/>
    <w:rsid w:val="00783861"/>
    <w:rsid w:val="00785E3E"/>
    <w:rsid w:val="00785F86"/>
    <w:rsid w:val="00794CCF"/>
    <w:rsid w:val="00794FE8"/>
    <w:rsid w:val="007955DD"/>
    <w:rsid w:val="007959AC"/>
    <w:rsid w:val="007A20E0"/>
    <w:rsid w:val="007A2D82"/>
    <w:rsid w:val="007A64B7"/>
    <w:rsid w:val="007A67B8"/>
    <w:rsid w:val="007B2204"/>
    <w:rsid w:val="007B4B60"/>
    <w:rsid w:val="007C075F"/>
    <w:rsid w:val="007C2245"/>
    <w:rsid w:val="007C2331"/>
    <w:rsid w:val="007C2636"/>
    <w:rsid w:val="007C4A0F"/>
    <w:rsid w:val="007C7203"/>
    <w:rsid w:val="007C75E9"/>
    <w:rsid w:val="007D3CA6"/>
    <w:rsid w:val="007E0D9F"/>
    <w:rsid w:val="007E298C"/>
    <w:rsid w:val="007E30A9"/>
    <w:rsid w:val="007E3989"/>
    <w:rsid w:val="007E64BA"/>
    <w:rsid w:val="007F2295"/>
    <w:rsid w:val="007F3CCE"/>
    <w:rsid w:val="007F5589"/>
    <w:rsid w:val="007F5C55"/>
    <w:rsid w:val="007F6A65"/>
    <w:rsid w:val="00801462"/>
    <w:rsid w:val="008026BD"/>
    <w:rsid w:val="00802CE7"/>
    <w:rsid w:val="00803B59"/>
    <w:rsid w:val="008041D4"/>
    <w:rsid w:val="00804AE5"/>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ACE"/>
    <w:rsid w:val="00854BF8"/>
    <w:rsid w:val="0085550A"/>
    <w:rsid w:val="0086105E"/>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BF7"/>
    <w:rsid w:val="008D4DD3"/>
    <w:rsid w:val="008D5EB0"/>
    <w:rsid w:val="008D6EBF"/>
    <w:rsid w:val="008E0E94"/>
    <w:rsid w:val="008E39CA"/>
    <w:rsid w:val="008E50B8"/>
    <w:rsid w:val="008E66B8"/>
    <w:rsid w:val="008F00E5"/>
    <w:rsid w:val="008F1988"/>
    <w:rsid w:val="008F25DB"/>
    <w:rsid w:val="008F2AD5"/>
    <w:rsid w:val="008F2D73"/>
    <w:rsid w:val="008F3F62"/>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1327"/>
    <w:rsid w:val="00943FB2"/>
    <w:rsid w:val="009519E2"/>
    <w:rsid w:val="00954464"/>
    <w:rsid w:val="00960FDC"/>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40F0"/>
    <w:rsid w:val="009C4958"/>
    <w:rsid w:val="009C7326"/>
    <w:rsid w:val="009D01D6"/>
    <w:rsid w:val="009D2934"/>
    <w:rsid w:val="009D6931"/>
    <w:rsid w:val="009E1F06"/>
    <w:rsid w:val="009E2AF3"/>
    <w:rsid w:val="009E737D"/>
    <w:rsid w:val="009E749B"/>
    <w:rsid w:val="009F3B26"/>
    <w:rsid w:val="009F3FE9"/>
    <w:rsid w:val="009F4390"/>
    <w:rsid w:val="009F5335"/>
    <w:rsid w:val="009F5682"/>
    <w:rsid w:val="00A03977"/>
    <w:rsid w:val="00A04BC7"/>
    <w:rsid w:val="00A050D4"/>
    <w:rsid w:val="00A056BA"/>
    <w:rsid w:val="00A065B8"/>
    <w:rsid w:val="00A16C2A"/>
    <w:rsid w:val="00A24D83"/>
    <w:rsid w:val="00A26FF7"/>
    <w:rsid w:val="00A30B50"/>
    <w:rsid w:val="00A3107D"/>
    <w:rsid w:val="00A330D4"/>
    <w:rsid w:val="00A35338"/>
    <w:rsid w:val="00A417D7"/>
    <w:rsid w:val="00A445DC"/>
    <w:rsid w:val="00A44BEA"/>
    <w:rsid w:val="00A527E2"/>
    <w:rsid w:val="00A553F3"/>
    <w:rsid w:val="00A55816"/>
    <w:rsid w:val="00A575D9"/>
    <w:rsid w:val="00A57A7E"/>
    <w:rsid w:val="00A60C8A"/>
    <w:rsid w:val="00A66DEB"/>
    <w:rsid w:val="00A67DFB"/>
    <w:rsid w:val="00A67FC1"/>
    <w:rsid w:val="00A711C6"/>
    <w:rsid w:val="00A7358D"/>
    <w:rsid w:val="00A75ABC"/>
    <w:rsid w:val="00A7737E"/>
    <w:rsid w:val="00A77D33"/>
    <w:rsid w:val="00A837D7"/>
    <w:rsid w:val="00A84863"/>
    <w:rsid w:val="00A86554"/>
    <w:rsid w:val="00A872A6"/>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B7FE0"/>
    <w:rsid w:val="00AC2047"/>
    <w:rsid w:val="00AC2780"/>
    <w:rsid w:val="00AC28C5"/>
    <w:rsid w:val="00AC485C"/>
    <w:rsid w:val="00AC48B3"/>
    <w:rsid w:val="00AC6BCD"/>
    <w:rsid w:val="00AC7AC9"/>
    <w:rsid w:val="00AD00FC"/>
    <w:rsid w:val="00AD23EF"/>
    <w:rsid w:val="00AD2504"/>
    <w:rsid w:val="00AD361A"/>
    <w:rsid w:val="00AD6A95"/>
    <w:rsid w:val="00AE0E00"/>
    <w:rsid w:val="00AE1920"/>
    <w:rsid w:val="00AE6A83"/>
    <w:rsid w:val="00AF01B3"/>
    <w:rsid w:val="00AF0F13"/>
    <w:rsid w:val="00AF65E5"/>
    <w:rsid w:val="00AF6D89"/>
    <w:rsid w:val="00AF7992"/>
    <w:rsid w:val="00B00AB3"/>
    <w:rsid w:val="00B00B4D"/>
    <w:rsid w:val="00B031C9"/>
    <w:rsid w:val="00B0498C"/>
    <w:rsid w:val="00B04AB7"/>
    <w:rsid w:val="00B0583F"/>
    <w:rsid w:val="00B073C8"/>
    <w:rsid w:val="00B07FE7"/>
    <w:rsid w:val="00B12810"/>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7114"/>
    <w:rsid w:val="00B702D7"/>
    <w:rsid w:val="00B71C3A"/>
    <w:rsid w:val="00B75449"/>
    <w:rsid w:val="00B75F36"/>
    <w:rsid w:val="00B823F6"/>
    <w:rsid w:val="00B83831"/>
    <w:rsid w:val="00B93463"/>
    <w:rsid w:val="00B94CCB"/>
    <w:rsid w:val="00B9681F"/>
    <w:rsid w:val="00BA26B3"/>
    <w:rsid w:val="00BA3FFF"/>
    <w:rsid w:val="00BA4003"/>
    <w:rsid w:val="00BA527C"/>
    <w:rsid w:val="00BA67CA"/>
    <w:rsid w:val="00BA6F7B"/>
    <w:rsid w:val="00BB02CB"/>
    <w:rsid w:val="00BB5D6B"/>
    <w:rsid w:val="00BB7494"/>
    <w:rsid w:val="00BB778C"/>
    <w:rsid w:val="00BC0431"/>
    <w:rsid w:val="00BC19B9"/>
    <w:rsid w:val="00BC1C91"/>
    <w:rsid w:val="00BC3767"/>
    <w:rsid w:val="00BD0FBA"/>
    <w:rsid w:val="00BD7B7F"/>
    <w:rsid w:val="00BE07A9"/>
    <w:rsid w:val="00BE0A4E"/>
    <w:rsid w:val="00BE33D1"/>
    <w:rsid w:val="00BF4FCD"/>
    <w:rsid w:val="00BF5230"/>
    <w:rsid w:val="00BF7EE4"/>
    <w:rsid w:val="00C01161"/>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EB"/>
    <w:rsid w:val="00CB7A07"/>
    <w:rsid w:val="00CC457C"/>
    <w:rsid w:val="00CC59BB"/>
    <w:rsid w:val="00CD5775"/>
    <w:rsid w:val="00CD635D"/>
    <w:rsid w:val="00CD7CED"/>
    <w:rsid w:val="00CE04C7"/>
    <w:rsid w:val="00CF09B7"/>
    <w:rsid w:val="00CF156B"/>
    <w:rsid w:val="00CF1E02"/>
    <w:rsid w:val="00CF2D68"/>
    <w:rsid w:val="00CF2F47"/>
    <w:rsid w:val="00CF329B"/>
    <w:rsid w:val="00CF597A"/>
    <w:rsid w:val="00D0319A"/>
    <w:rsid w:val="00D032D5"/>
    <w:rsid w:val="00D05BAA"/>
    <w:rsid w:val="00D07FB9"/>
    <w:rsid w:val="00D10112"/>
    <w:rsid w:val="00D121B8"/>
    <w:rsid w:val="00D13B7A"/>
    <w:rsid w:val="00D22C4B"/>
    <w:rsid w:val="00D230C7"/>
    <w:rsid w:val="00D235DF"/>
    <w:rsid w:val="00D23D53"/>
    <w:rsid w:val="00D23E7D"/>
    <w:rsid w:val="00D2405F"/>
    <w:rsid w:val="00D24905"/>
    <w:rsid w:val="00D25FE3"/>
    <w:rsid w:val="00D30C7F"/>
    <w:rsid w:val="00D35D2A"/>
    <w:rsid w:val="00D41BA9"/>
    <w:rsid w:val="00D44F07"/>
    <w:rsid w:val="00D456F3"/>
    <w:rsid w:val="00D46250"/>
    <w:rsid w:val="00D52376"/>
    <w:rsid w:val="00D54CA1"/>
    <w:rsid w:val="00D57B9E"/>
    <w:rsid w:val="00D60F92"/>
    <w:rsid w:val="00D612C2"/>
    <w:rsid w:val="00D6180D"/>
    <w:rsid w:val="00D64080"/>
    <w:rsid w:val="00D66A2D"/>
    <w:rsid w:val="00D745E0"/>
    <w:rsid w:val="00D74CF9"/>
    <w:rsid w:val="00D76AA3"/>
    <w:rsid w:val="00D80604"/>
    <w:rsid w:val="00D858F8"/>
    <w:rsid w:val="00D86212"/>
    <w:rsid w:val="00D91FE4"/>
    <w:rsid w:val="00D9460E"/>
    <w:rsid w:val="00D952B8"/>
    <w:rsid w:val="00D95411"/>
    <w:rsid w:val="00DA086B"/>
    <w:rsid w:val="00DA0B92"/>
    <w:rsid w:val="00DA5225"/>
    <w:rsid w:val="00DA565F"/>
    <w:rsid w:val="00DA5E46"/>
    <w:rsid w:val="00DA7E05"/>
    <w:rsid w:val="00DB1007"/>
    <w:rsid w:val="00DB4794"/>
    <w:rsid w:val="00DB4BDE"/>
    <w:rsid w:val="00DB5457"/>
    <w:rsid w:val="00DB5C3E"/>
    <w:rsid w:val="00DB628E"/>
    <w:rsid w:val="00DD1761"/>
    <w:rsid w:val="00DD66DC"/>
    <w:rsid w:val="00DE1E3E"/>
    <w:rsid w:val="00DE4929"/>
    <w:rsid w:val="00DE4DC4"/>
    <w:rsid w:val="00DE5BEB"/>
    <w:rsid w:val="00DE7ABF"/>
    <w:rsid w:val="00DF2028"/>
    <w:rsid w:val="00DF3046"/>
    <w:rsid w:val="00DF348B"/>
    <w:rsid w:val="00DF39A9"/>
    <w:rsid w:val="00DF782C"/>
    <w:rsid w:val="00E023D0"/>
    <w:rsid w:val="00E02BE3"/>
    <w:rsid w:val="00E030A0"/>
    <w:rsid w:val="00E04FF7"/>
    <w:rsid w:val="00E124E3"/>
    <w:rsid w:val="00E1356C"/>
    <w:rsid w:val="00E1419D"/>
    <w:rsid w:val="00E14812"/>
    <w:rsid w:val="00E14F74"/>
    <w:rsid w:val="00E15DDE"/>
    <w:rsid w:val="00E2339E"/>
    <w:rsid w:val="00E2709C"/>
    <w:rsid w:val="00E308E8"/>
    <w:rsid w:val="00E3245B"/>
    <w:rsid w:val="00E34DF5"/>
    <w:rsid w:val="00E3707B"/>
    <w:rsid w:val="00E4024B"/>
    <w:rsid w:val="00E40CF1"/>
    <w:rsid w:val="00E4710C"/>
    <w:rsid w:val="00E50685"/>
    <w:rsid w:val="00E570D9"/>
    <w:rsid w:val="00E57F6B"/>
    <w:rsid w:val="00E64B94"/>
    <w:rsid w:val="00E654A2"/>
    <w:rsid w:val="00E71934"/>
    <w:rsid w:val="00E71998"/>
    <w:rsid w:val="00E7342C"/>
    <w:rsid w:val="00E81737"/>
    <w:rsid w:val="00E8198D"/>
    <w:rsid w:val="00E82EE1"/>
    <w:rsid w:val="00E873EA"/>
    <w:rsid w:val="00E91EC1"/>
    <w:rsid w:val="00E930EA"/>
    <w:rsid w:val="00E947AE"/>
    <w:rsid w:val="00E95ABA"/>
    <w:rsid w:val="00EA010E"/>
    <w:rsid w:val="00EA4561"/>
    <w:rsid w:val="00EB0588"/>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EF4D02"/>
    <w:rsid w:val="00F009EC"/>
    <w:rsid w:val="00F06551"/>
    <w:rsid w:val="00F06D97"/>
    <w:rsid w:val="00F10932"/>
    <w:rsid w:val="00F11A47"/>
    <w:rsid w:val="00F134B1"/>
    <w:rsid w:val="00F13738"/>
    <w:rsid w:val="00F169C3"/>
    <w:rsid w:val="00F16EFC"/>
    <w:rsid w:val="00F1718E"/>
    <w:rsid w:val="00F20FF1"/>
    <w:rsid w:val="00F21910"/>
    <w:rsid w:val="00F25205"/>
    <w:rsid w:val="00F2777C"/>
    <w:rsid w:val="00F31987"/>
    <w:rsid w:val="00F35457"/>
    <w:rsid w:val="00F3595B"/>
    <w:rsid w:val="00F36398"/>
    <w:rsid w:val="00F4097C"/>
    <w:rsid w:val="00F426A6"/>
    <w:rsid w:val="00F429FD"/>
    <w:rsid w:val="00F431B9"/>
    <w:rsid w:val="00F449C4"/>
    <w:rsid w:val="00F538D9"/>
    <w:rsid w:val="00F5531F"/>
    <w:rsid w:val="00F56399"/>
    <w:rsid w:val="00F63953"/>
    <w:rsid w:val="00F6510D"/>
    <w:rsid w:val="00F65545"/>
    <w:rsid w:val="00F6689A"/>
    <w:rsid w:val="00F7213B"/>
    <w:rsid w:val="00F725B2"/>
    <w:rsid w:val="00F7298D"/>
    <w:rsid w:val="00F72FF4"/>
    <w:rsid w:val="00F7750A"/>
    <w:rsid w:val="00F80006"/>
    <w:rsid w:val="00F80084"/>
    <w:rsid w:val="00F81663"/>
    <w:rsid w:val="00F85A30"/>
    <w:rsid w:val="00F92045"/>
    <w:rsid w:val="00F95676"/>
    <w:rsid w:val="00F96A73"/>
    <w:rsid w:val="00FA0979"/>
    <w:rsid w:val="00FA5828"/>
    <w:rsid w:val="00FB3FC5"/>
    <w:rsid w:val="00FB4BA6"/>
    <w:rsid w:val="00FC3EBE"/>
    <w:rsid w:val="00FC66C2"/>
    <w:rsid w:val="00FC6F58"/>
    <w:rsid w:val="00FC6FA8"/>
    <w:rsid w:val="00FD2470"/>
    <w:rsid w:val="00FD26B5"/>
    <w:rsid w:val="00FD5823"/>
    <w:rsid w:val="00FE1B42"/>
    <w:rsid w:val="00FE1C27"/>
    <w:rsid w:val="00FE215B"/>
    <w:rsid w:val="00FE5C31"/>
    <w:rsid w:val="00FE68B1"/>
    <w:rsid w:val="00FF25BA"/>
    <w:rsid w:val="00FF3BC9"/>
    <w:rsid w:val="00FF748B"/>
    <w:rsid w:val="00FF7623"/>
    <w:rsid w:val="016F283F"/>
    <w:rsid w:val="019A042B"/>
    <w:rsid w:val="01AD3795"/>
    <w:rsid w:val="02331ABF"/>
    <w:rsid w:val="02490407"/>
    <w:rsid w:val="024E06A7"/>
    <w:rsid w:val="028835E8"/>
    <w:rsid w:val="028F4F82"/>
    <w:rsid w:val="03194B7A"/>
    <w:rsid w:val="031D6EFB"/>
    <w:rsid w:val="0322064F"/>
    <w:rsid w:val="032A2F5E"/>
    <w:rsid w:val="033B6E7D"/>
    <w:rsid w:val="036462F1"/>
    <w:rsid w:val="03787A88"/>
    <w:rsid w:val="037F1AAB"/>
    <w:rsid w:val="03887BE8"/>
    <w:rsid w:val="043E7001"/>
    <w:rsid w:val="04460208"/>
    <w:rsid w:val="0480254A"/>
    <w:rsid w:val="04B17BB5"/>
    <w:rsid w:val="04B30C95"/>
    <w:rsid w:val="04D46D43"/>
    <w:rsid w:val="050C3420"/>
    <w:rsid w:val="050E08A0"/>
    <w:rsid w:val="05154E53"/>
    <w:rsid w:val="05502988"/>
    <w:rsid w:val="05721B39"/>
    <w:rsid w:val="05A84572"/>
    <w:rsid w:val="05AC2F80"/>
    <w:rsid w:val="05EC0902"/>
    <w:rsid w:val="06233BF8"/>
    <w:rsid w:val="06283AE9"/>
    <w:rsid w:val="064B5B18"/>
    <w:rsid w:val="067177FF"/>
    <w:rsid w:val="067F3525"/>
    <w:rsid w:val="06946481"/>
    <w:rsid w:val="06A93A70"/>
    <w:rsid w:val="06AC3A88"/>
    <w:rsid w:val="06AD62E4"/>
    <w:rsid w:val="06C929F2"/>
    <w:rsid w:val="06D7510F"/>
    <w:rsid w:val="06F666D3"/>
    <w:rsid w:val="073562D9"/>
    <w:rsid w:val="076C7633"/>
    <w:rsid w:val="07816CAD"/>
    <w:rsid w:val="079C3CA9"/>
    <w:rsid w:val="079E542D"/>
    <w:rsid w:val="07E0505B"/>
    <w:rsid w:val="088A4403"/>
    <w:rsid w:val="088C4E5F"/>
    <w:rsid w:val="08C52A1E"/>
    <w:rsid w:val="08C830B1"/>
    <w:rsid w:val="08C91901"/>
    <w:rsid w:val="08D538D0"/>
    <w:rsid w:val="09306D58"/>
    <w:rsid w:val="095A2027"/>
    <w:rsid w:val="09AB2883"/>
    <w:rsid w:val="09C910AE"/>
    <w:rsid w:val="09CA2D09"/>
    <w:rsid w:val="09E244F6"/>
    <w:rsid w:val="0A0106F5"/>
    <w:rsid w:val="0A3C34DB"/>
    <w:rsid w:val="0A3E54A6"/>
    <w:rsid w:val="0A440EAF"/>
    <w:rsid w:val="0A4A209B"/>
    <w:rsid w:val="0A9F4195"/>
    <w:rsid w:val="0AAE6186"/>
    <w:rsid w:val="0AC91212"/>
    <w:rsid w:val="0AEF054D"/>
    <w:rsid w:val="0B1432F3"/>
    <w:rsid w:val="0B294459"/>
    <w:rsid w:val="0B350656"/>
    <w:rsid w:val="0B416FFB"/>
    <w:rsid w:val="0B6D6042"/>
    <w:rsid w:val="0B865355"/>
    <w:rsid w:val="0B892750"/>
    <w:rsid w:val="0B8B244A"/>
    <w:rsid w:val="0B9F78B3"/>
    <w:rsid w:val="0BA457DB"/>
    <w:rsid w:val="0BA8707A"/>
    <w:rsid w:val="0BF73B5D"/>
    <w:rsid w:val="0C0B770F"/>
    <w:rsid w:val="0C5B44DB"/>
    <w:rsid w:val="0C676F35"/>
    <w:rsid w:val="0C8748EC"/>
    <w:rsid w:val="0C970C24"/>
    <w:rsid w:val="0C9824A6"/>
    <w:rsid w:val="0CDE6ACB"/>
    <w:rsid w:val="0CF44791"/>
    <w:rsid w:val="0D191B5A"/>
    <w:rsid w:val="0D1A672D"/>
    <w:rsid w:val="0D1C477E"/>
    <w:rsid w:val="0D2712FE"/>
    <w:rsid w:val="0D7A4A46"/>
    <w:rsid w:val="0DEB2570"/>
    <w:rsid w:val="0E044BB9"/>
    <w:rsid w:val="0E8201FA"/>
    <w:rsid w:val="0EA7186A"/>
    <w:rsid w:val="0EFB7E25"/>
    <w:rsid w:val="0F1355EC"/>
    <w:rsid w:val="0F625F4A"/>
    <w:rsid w:val="0F67724C"/>
    <w:rsid w:val="0F9E4157"/>
    <w:rsid w:val="0FB73D2F"/>
    <w:rsid w:val="0FE20680"/>
    <w:rsid w:val="101F3682"/>
    <w:rsid w:val="10234F21"/>
    <w:rsid w:val="103E7FAD"/>
    <w:rsid w:val="107752B0"/>
    <w:rsid w:val="107F4121"/>
    <w:rsid w:val="1090632E"/>
    <w:rsid w:val="10944070"/>
    <w:rsid w:val="10B6045C"/>
    <w:rsid w:val="10DA4745"/>
    <w:rsid w:val="10E40579"/>
    <w:rsid w:val="113B0990"/>
    <w:rsid w:val="11711BB8"/>
    <w:rsid w:val="11A92009"/>
    <w:rsid w:val="11D54941"/>
    <w:rsid w:val="121F0693"/>
    <w:rsid w:val="122B630F"/>
    <w:rsid w:val="123E742D"/>
    <w:rsid w:val="12822A2C"/>
    <w:rsid w:val="1296128E"/>
    <w:rsid w:val="129F3785"/>
    <w:rsid w:val="12D62551"/>
    <w:rsid w:val="12F40DF6"/>
    <w:rsid w:val="134C626A"/>
    <w:rsid w:val="13826402"/>
    <w:rsid w:val="139E1D25"/>
    <w:rsid w:val="13D66B82"/>
    <w:rsid w:val="13E42C19"/>
    <w:rsid w:val="13E76BAD"/>
    <w:rsid w:val="13F752ED"/>
    <w:rsid w:val="141F4B1F"/>
    <w:rsid w:val="1437543F"/>
    <w:rsid w:val="143C4803"/>
    <w:rsid w:val="143E1FB4"/>
    <w:rsid w:val="14A736D6"/>
    <w:rsid w:val="14BE5885"/>
    <w:rsid w:val="14E1232E"/>
    <w:rsid w:val="156009C5"/>
    <w:rsid w:val="159947DB"/>
    <w:rsid w:val="159B11C7"/>
    <w:rsid w:val="15BF6303"/>
    <w:rsid w:val="15CD410B"/>
    <w:rsid w:val="15F64C6E"/>
    <w:rsid w:val="15FC6940"/>
    <w:rsid w:val="15FD536E"/>
    <w:rsid w:val="160752E5"/>
    <w:rsid w:val="16361B1E"/>
    <w:rsid w:val="16691AFB"/>
    <w:rsid w:val="166F74D6"/>
    <w:rsid w:val="168A32A1"/>
    <w:rsid w:val="16A13043"/>
    <w:rsid w:val="16A42B33"/>
    <w:rsid w:val="17035AAC"/>
    <w:rsid w:val="17666400"/>
    <w:rsid w:val="178C3CF3"/>
    <w:rsid w:val="17D91E7D"/>
    <w:rsid w:val="17DC19A2"/>
    <w:rsid w:val="1881499B"/>
    <w:rsid w:val="18BF3BB5"/>
    <w:rsid w:val="18CB25F9"/>
    <w:rsid w:val="19143FA0"/>
    <w:rsid w:val="19287A4C"/>
    <w:rsid w:val="19445F08"/>
    <w:rsid w:val="194D4FB1"/>
    <w:rsid w:val="198E014E"/>
    <w:rsid w:val="199B767C"/>
    <w:rsid w:val="1A18385A"/>
    <w:rsid w:val="1A5C2474"/>
    <w:rsid w:val="1A91517D"/>
    <w:rsid w:val="1ABD3F8C"/>
    <w:rsid w:val="1ACD08AB"/>
    <w:rsid w:val="1B022E20"/>
    <w:rsid w:val="1B181563"/>
    <w:rsid w:val="1B2013BD"/>
    <w:rsid w:val="1B244243"/>
    <w:rsid w:val="1B2D30F7"/>
    <w:rsid w:val="1B7D180C"/>
    <w:rsid w:val="1BA4182E"/>
    <w:rsid w:val="1BA57132"/>
    <w:rsid w:val="1BCA4DEA"/>
    <w:rsid w:val="1BF65BDF"/>
    <w:rsid w:val="1C2F1AA5"/>
    <w:rsid w:val="1C33473D"/>
    <w:rsid w:val="1C746C70"/>
    <w:rsid w:val="1CC64AE7"/>
    <w:rsid w:val="1CCC654A"/>
    <w:rsid w:val="1CF00E2B"/>
    <w:rsid w:val="1CFC0FD3"/>
    <w:rsid w:val="1D087864"/>
    <w:rsid w:val="1D496F9B"/>
    <w:rsid w:val="1D6E43AF"/>
    <w:rsid w:val="1D796AC8"/>
    <w:rsid w:val="1DA653E3"/>
    <w:rsid w:val="1DBB0D1F"/>
    <w:rsid w:val="1DDE1066"/>
    <w:rsid w:val="1DF1193F"/>
    <w:rsid w:val="1DFE0D7B"/>
    <w:rsid w:val="1E036392"/>
    <w:rsid w:val="1E050840"/>
    <w:rsid w:val="1E3B1FCF"/>
    <w:rsid w:val="1E544E3F"/>
    <w:rsid w:val="1E583A1E"/>
    <w:rsid w:val="1E74728F"/>
    <w:rsid w:val="1EBA4A39"/>
    <w:rsid w:val="1ED22025"/>
    <w:rsid w:val="1FA6791C"/>
    <w:rsid w:val="1FFE544D"/>
    <w:rsid w:val="20085EE1"/>
    <w:rsid w:val="201E79A2"/>
    <w:rsid w:val="206F5F60"/>
    <w:rsid w:val="208D537C"/>
    <w:rsid w:val="20A774A8"/>
    <w:rsid w:val="20F052F3"/>
    <w:rsid w:val="20F73191"/>
    <w:rsid w:val="20F9267A"/>
    <w:rsid w:val="20FD530B"/>
    <w:rsid w:val="210839FA"/>
    <w:rsid w:val="212B4280"/>
    <w:rsid w:val="214D1CCF"/>
    <w:rsid w:val="219C5009"/>
    <w:rsid w:val="21D229E4"/>
    <w:rsid w:val="21E738ED"/>
    <w:rsid w:val="22252D7A"/>
    <w:rsid w:val="22301A79"/>
    <w:rsid w:val="22486A69"/>
    <w:rsid w:val="22682C67"/>
    <w:rsid w:val="22967FAA"/>
    <w:rsid w:val="22B416F1"/>
    <w:rsid w:val="22B83BEE"/>
    <w:rsid w:val="235C0A1E"/>
    <w:rsid w:val="237072A3"/>
    <w:rsid w:val="239D2DE4"/>
    <w:rsid w:val="23A128D5"/>
    <w:rsid w:val="23B1490B"/>
    <w:rsid w:val="23D522C2"/>
    <w:rsid w:val="24331F78"/>
    <w:rsid w:val="243B4AD7"/>
    <w:rsid w:val="245B32B8"/>
    <w:rsid w:val="24AA6261"/>
    <w:rsid w:val="24C5066E"/>
    <w:rsid w:val="24D6035C"/>
    <w:rsid w:val="254C2BBF"/>
    <w:rsid w:val="255621C0"/>
    <w:rsid w:val="25DB7ED8"/>
    <w:rsid w:val="25F15DB5"/>
    <w:rsid w:val="264E03C6"/>
    <w:rsid w:val="266A7FA7"/>
    <w:rsid w:val="26A31344"/>
    <w:rsid w:val="26B41E2F"/>
    <w:rsid w:val="26BB1EFF"/>
    <w:rsid w:val="26BB3CAD"/>
    <w:rsid w:val="26D1527F"/>
    <w:rsid w:val="26D66D39"/>
    <w:rsid w:val="26D80A63"/>
    <w:rsid w:val="26E33204"/>
    <w:rsid w:val="26EF1945"/>
    <w:rsid w:val="26F61189"/>
    <w:rsid w:val="272D447F"/>
    <w:rsid w:val="27307722"/>
    <w:rsid w:val="27400656"/>
    <w:rsid w:val="278422F1"/>
    <w:rsid w:val="27DF5779"/>
    <w:rsid w:val="28377363"/>
    <w:rsid w:val="288D1679"/>
    <w:rsid w:val="28D7448D"/>
    <w:rsid w:val="28F214DC"/>
    <w:rsid w:val="291F6D0A"/>
    <w:rsid w:val="296E19FE"/>
    <w:rsid w:val="298528DF"/>
    <w:rsid w:val="29B9024C"/>
    <w:rsid w:val="29C32AAE"/>
    <w:rsid w:val="2A2B2EF8"/>
    <w:rsid w:val="2A3F4BF5"/>
    <w:rsid w:val="2A4067D5"/>
    <w:rsid w:val="2A7D127A"/>
    <w:rsid w:val="2A9A1E2C"/>
    <w:rsid w:val="2AD233B8"/>
    <w:rsid w:val="2B011EAB"/>
    <w:rsid w:val="2B041A0A"/>
    <w:rsid w:val="2B286BC5"/>
    <w:rsid w:val="2B6D496A"/>
    <w:rsid w:val="2BA3136F"/>
    <w:rsid w:val="2BA56CDA"/>
    <w:rsid w:val="2BC1720F"/>
    <w:rsid w:val="2BEC66B7"/>
    <w:rsid w:val="2C1D0F66"/>
    <w:rsid w:val="2C2D2523"/>
    <w:rsid w:val="2C66290D"/>
    <w:rsid w:val="2C76305F"/>
    <w:rsid w:val="2C850980"/>
    <w:rsid w:val="2C88126B"/>
    <w:rsid w:val="2CA115E3"/>
    <w:rsid w:val="2CAD5E46"/>
    <w:rsid w:val="2CB1385F"/>
    <w:rsid w:val="2CE24C7F"/>
    <w:rsid w:val="2D4B38B1"/>
    <w:rsid w:val="2DC555F7"/>
    <w:rsid w:val="2DCD42C6"/>
    <w:rsid w:val="2E222864"/>
    <w:rsid w:val="2E6D50A7"/>
    <w:rsid w:val="2EAD4823"/>
    <w:rsid w:val="2EC97183"/>
    <w:rsid w:val="2EF6575C"/>
    <w:rsid w:val="2F210D6D"/>
    <w:rsid w:val="2F234AE5"/>
    <w:rsid w:val="2F3716F1"/>
    <w:rsid w:val="2F4F767E"/>
    <w:rsid w:val="2F560A17"/>
    <w:rsid w:val="2F57706B"/>
    <w:rsid w:val="2F9E38DD"/>
    <w:rsid w:val="2FB83480"/>
    <w:rsid w:val="2FBB2F70"/>
    <w:rsid w:val="30120B20"/>
    <w:rsid w:val="3018450B"/>
    <w:rsid w:val="308851B3"/>
    <w:rsid w:val="30905157"/>
    <w:rsid w:val="309A4933"/>
    <w:rsid w:val="30A14C26"/>
    <w:rsid w:val="30AF4D78"/>
    <w:rsid w:val="30C220DC"/>
    <w:rsid w:val="30CC0F48"/>
    <w:rsid w:val="30D34CF8"/>
    <w:rsid w:val="30D802C0"/>
    <w:rsid w:val="30FD1934"/>
    <w:rsid w:val="310E761B"/>
    <w:rsid w:val="3161109D"/>
    <w:rsid w:val="31943E4D"/>
    <w:rsid w:val="31D202DE"/>
    <w:rsid w:val="32056724"/>
    <w:rsid w:val="32AA33CB"/>
    <w:rsid w:val="32AE46C6"/>
    <w:rsid w:val="32D12F19"/>
    <w:rsid w:val="32D22AAA"/>
    <w:rsid w:val="332D7CE1"/>
    <w:rsid w:val="335D2B7A"/>
    <w:rsid w:val="337673FA"/>
    <w:rsid w:val="337C3214"/>
    <w:rsid w:val="338E62A6"/>
    <w:rsid w:val="33A70351"/>
    <w:rsid w:val="34432658"/>
    <w:rsid w:val="34C44675"/>
    <w:rsid w:val="35E413D5"/>
    <w:rsid w:val="36010FB1"/>
    <w:rsid w:val="36084DBA"/>
    <w:rsid w:val="36135F99"/>
    <w:rsid w:val="361E4B80"/>
    <w:rsid w:val="364F5F49"/>
    <w:rsid w:val="36554228"/>
    <w:rsid w:val="369342FF"/>
    <w:rsid w:val="3699743B"/>
    <w:rsid w:val="369D52D1"/>
    <w:rsid w:val="36BD312A"/>
    <w:rsid w:val="36D729D5"/>
    <w:rsid w:val="36EA2EF3"/>
    <w:rsid w:val="37301FA3"/>
    <w:rsid w:val="373D6A7E"/>
    <w:rsid w:val="379A790F"/>
    <w:rsid w:val="37A4253C"/>
    <w:rsid w:val="37BF2ED1"/>
    <w:rsid w:val="384F06F9"/>
    <w:rsid w:val="38A6747E"/>
    <w:rsid w:val="38DB3D3B"/>
    <w:rsid w:val="38F426A1"/>
    <w:rsid w:val="38F60B75"/>
    <w:rsid w:val="391405E3"/>
    <w:rsid w:val="393D0552"/>
    <w:rsid w:val="393F251C"/>
    <w:rsid w:val="39734C62"/>
    <w:rsid w:val="39932868"/>
    <w:rsid w:val="39B07590"/>
    <w:rsid w:val="39BB61CB"/>
    <w:rsid w:val="39E11825"/>
    <w:rsid w:val="39FA28E7"/>
    <w:rsid w:val="3A173531"/>
    <w:rsid w:val="3A3000B7"/>
    <w:rsid w:val="3A3E6C77"/>
    <w:rsid w:val="3A567B95"/>
    <w:rsid w:val="3A60099C"/>
    <w:rsid w:val="3A777A93"/>
    <w:rsid w:val="3A905E3E"/>
    <w:rsid w:val="3A9E578D"/>
    <w:rsid w:val="3B0D2CD2"/>
    <w:rsid w:val="3B3A743F"/>
    <w:rsid w:val="3B5129DA"/>
    <w:rsid w:val="3B5D137F"/>
    <w:rsid w:val="3B64626A"/>
    <w:rsid w:val="3B73723D"/>
    <w:rsid w:val="3B76724E"/>
    <w:rsid w:val="3B8D04E0"/>
    <w:rsid w:val="3BA720A2"/>
    <w:rsid w:val="3BAC7DC8"/>
    <w:rsid w:val="3C036354"/>
    <w:rsid w:val="3C0F0ACC"/>
    <w:rsid w:val="3C224BC6"/>
    <w:rsid w:val="3CAD59EE"/>
    <w:rsid w:val="3CBF1F6F"/>
    <w:rsid w:val="3CF66E12"/>
    <w:rsid w:val="3D396C7C"/>
    <w:rsid w:val="3D703638"/>
    <w:rsid w:val="3D830794"/>
    <w:rsid w:val="3D8A3F82"/>
    <w:rsid w:val="3D9372DA"/>
    <w:rsid w:val="3DD93E43"/>
    <w:rsid w:val="3DF67C85"/>
    <w:rsid w:val="3E247387"/>
    <w:rsid w:val="3E28621E"/>
    <w:rsid w:val="3E562E91"/>
    <w:rsid w:val="3E7A5DA4"/>
    <w:rsid w:val="3E7F4A4B"/>
    <w:rsid w:val="3E8D1015"/>
    <w:rsid w:val="3E964C97"/>
    <w:rsid w:val="3EA51073"/>
    <w:rsid w:val="3EF26282"/>
    <w:rsid w:val="3F4B6B8E"/>
    <w:rsid w:val="3F886568"/>
    <w:rsid w:val="3FA07A8C"/>
    <w:rsid w:val="3FE200A5"/>
    <w:rsid w:val="3FF23327"/>
    <w:rsid w:val="4004001B"/>
    <w:rsid w:val="40123F0E"/>
    <w:rsid w:val="40396A57"/>
    <w:rsid w:val="40581CC9"/>
    <w:rsid w:val="40A117A0"/>
    <w:rsid w:val="40FF07E3"/>
    <w:rsid w:val="41125378"/>
    <w:rsid w:val="41215F3A"/>
    <w:rsid w:val="414537B3"/>
    <w:rsid w:val="414C48A8"/>
    <w:rsid w:val="41841B1C"/>
    <w:rsid w:val="418E2292"/>
    <w:rsid w:val="41A373AB"/>
    <w:rsid w:val="41AD104D"/>
    <w:rsid w:val="41B917FB"/>
    <w:rsid w:val="41BD4926"/>
    <w:rsid w:val="41C553C7"/>
    <w:rsid w:val="41D35EF7"/>
    <w:rsid w:val="41DD6D76"/>
    <w:rsid w:val="41E81277"/>
    <w:rsid w:val="42181855"/>
    <w:rsid w:val="423C1C2A"/>
    <w:rsid w:val="426254CD"/>
    <w:rsid w:val="42815953"/>
    <w:rsid w:val="42F425C9"/>
    <w:rsid w:val="42F779C3"/>
    <w:rsid w:val="430622FC"/>
    <w:rsid w:val="4311195E"/>
    <w:rsid w:val="432B3B11"/>
    <w:rsid w:val="43510412"/>
    <w:rsid w:val="435117C9"/>
    <w:rsid w:val="43B25F05"/>
    <w:rsid w:val="43B27D8E"/>
    <w:rsid w:val="43CC2BFE"/>
    <w:rsid w:val="43D7786D"/>
    <w:rsid w:val="44013071"/>
    <w:rsid w:val="44020D16"/>
    <w:rsid w:val="440A24EA"/>
    <w:rsid w:val="4416656F"/>
    <w:rsid w:val="44380293"/>
    <w:rsid w:val="443C4228"/>
    <w:rsid w:val="443F7B57"/>
    <w:rsid w:val="4448459F"/>
    <w:rsid w:val="44637395"/>
    <w:rsid w:val="446F5972"/>
    <w:rsid w:val="44C20F8F"/>
    <w:rsid w:val="44C4421D"/>
    <w:rsid w:val="45047319"/>
    <w:rsid w:val="452F5B3A"/>
    <w:rsid w:val="45505AB1"/>
    <w:rsid w:val="45537E57"/>
    <w:rsid w:val="45B93656"/>
    <w:rsid w:val="45BB5620"/>
    <w:rsid w:val="45D93CF8"/>
    <w:rsid w:val="461F6313"/>
    <w:rsid w:val="46230172"/>
    <w:rsid w:val="464473C4"/>
    <w:rsid w:val="46AB7443"/>
    <w:rsid w:val="46BF4C9C"/>
    <w:rsid w:val="46D11B60"/>
    <w:rsid w:val="470859F9"/>
    <w:rsid w:val="470923BB"/>
    <w:rsid w:val="475E6263"/>
    <w:rsid w:val="47631ACB"/>
    <w:rsid w:val="47C66525"/>
    <w:rsid w:val="47E137D2"/>
    <w:rsid w:val="47ED7AAB"/>
    <w:rsid w:val="48123468"/>
    <w:rsid w:val="481553CE"/>
    <w:rsid w:val="482419BB"/>
    <w:rsid w:val="489857A5"/>
    <w:rsid w:val="48B00D40"/>
    <w:rsid w:val="48EE3617"/>
    <w:rsid w:val="49157C69"/>
    <w:rsid w:val="493C4048"/>
    <w:rsid w:val="498F4DFA"/>
    <w:rsid w:val="49D04FAD"/>
    <w:rsid w:val="49D24CE6"/>
    <w:rsid w:val="49DE7B2F"/>
    <w:rsid w:val="4A0C2326"/>
    <w:rsid w:val="4A174DEF"/>
    <w:rsid w:val="4A4A56C4"/>
    <w:rsid w:val="4A86355D"/>
    <w:rsid w:val="4A9F2351"/>
    <w:rsid w:val="4AAD1AB5"/>
    <w:rsid w:val="4AE66C9B"/>
    <w:rsid w:val="4AEF1F9D"/>
    <w:rsid w:val="4B0A5351"/>
    <w:rsid w:val="4B2020BD"/>
    <w:rsid w:val="4B4E2A92"/>
    <w:rsid w:val="4B644064"/>
    <w:rsid w:val="4BC82845"/>
    <w:rsid w:val="4BD65057"/>
    <w:rsid w:val="4BDC3125"/>
    <w:rsid w:val="4BED3435"/>
    <w:rsid w:val="4BF2341E"/>
    <w:rsid w:val="4C0F2222"/>
    <w:rsid w:val="4C123665"/>
    <w:rsid w:val="4C1B2975"/>
    <w:rsid w:val="4C264895"/>
    <w:rsid w:val="4C4D0063"/>
    <w:rsid w:val="4C657DA0"/>
    <w:rsid w:val="4C6D37FB"/>
    <w:rsid w:val="4C862026"/>
    <w:rsid w:val="4CAD5597"/>
    <w:rsid w:val="4CCE3E8B"/>
    <w:rsid w:val="4D083C13"/>
    <w:rsid w:val="4D090A1F"/>
    <w:rsid w:val="4D534390"/>
    <w:rsid w:val="4D583754"/>
    <w:rsid w:val="4D862070"/>
    <w:rsid w:val="4DD7542F"/>
    <w:rsid w:val="4E342AAE"/>
    <w:rsid w:val="4E3F2D9E"/>
    <w:rsid w:val="4E535F68"/>
    <w:rsid w:val="4E6879C7"/>
    <w:rsid w:val="4E6C5709"/>
    <w:rsid w:val="4EA831B9"/>
    <w:rsid w:val="4EC05A55"/>
    <w:rsid w:val="4EC76987"/>
    <w:rsid w:val="4ECA6411"/>
    <w:rsid w:val="4ED908C5"/>
    <w:rsid w:val="4EDB718D"/>
    <w:rsid w:val="4F021BCA"/>
    <w:rsid w:val="4F710D14"/>
    <w:rsid w:val="4F844CD5"/>
    <w:rsid w:val="4F9A62A6"/>
    <w:rsid w:val="4FE12165"/>
    <w:rsid w:val="50153A8C"/>
    <w:rsid w:val="50291294"/>
    <w:rsid w:val="502A2C0E"/>
    <w:rsid w:val="503F29AA"/>
    <w:rsid w:val="50506965"/>
    <w:rsid w:val="5080248F"/>
    <w:rsid w:val="50893C22"/>
    <w:rsid w:val="50E5681C"/>
    <w:rsid w:val="50FE4613"/>
    <w:rsid w:val="5119769F"/>
    <w:rsid w:val="512E4EF8"/>
    <w:rsid w:val="519A436F"/>
    <w:rsid w:val="51BB25F2"/>
    <w:rsid w:val="51F83758"/>
    <w:rsid w:val="5244129E"/>
    <w:rsid w:val="52552ABF"/>
    <w:rsid w:val="525E5A1D"/>
    <w:rsid w:val="526A4687"/>
    <w:rsid w:val="528079D5"/>
    <w:rsid w:val="529350BB"/>
    <w:rsid w:val="5296022B"/>
    <w:rsid w:val="529A4A0E"/>
    <w:rsid w:val="52B7716F"/>
    <w:rsid w:val="52E617B5"/>
    <w:rsid w:val="53004672"/>
    <w:rsid w:val="53004DAA"/>
    <w:rsid w:val="531E68CD"/>
    <w:rsid w:val="53504603"/>
    <w:rsid w:val="5394300C"/>
    <w:rsid w:val="53BC6A3E"/>
    <w:rsid w:val="53D406ED"/>
    <w:rsid w:val="540B7773"/>
    <w:rsid w:val="545C6AF1"/>
    <w:rsid w:val="54676FEE"/>
    <w:rsid w:val="549332C4"/>
    <w:rsid w:val="54DF05E3"/>
    <w:rsid w:val="55286102"/>
    <w:rsid w:val="555C2478"/>
    <w:rsid w:val="55822BB4"/>
    <w:rsid w:val="560C6F74"/>
    <w:rsid w:val="56591CC8"/>
    <w:rsid w:val="565C42B5"/>
    <w:rsid w:val="569C2904"/>
    <w:rsid w:val="56D4209E"/>
    <w:rsid w:val="57080318"/>
    <w:rsid w:val="57184667"/>
    <w:rsid w:val="57776ECD"/>
    <w:rsid w:val="577D0987"/>
    <w:rsid w:val="57961A49"/>
    <w:rsid w:val="57DA4A7B"/>
    <w:rsid w:val="58020E8D"/>
    <w:rsid w:val="58DE5456"/>
    <w:rsid w:val="58E56ADA"/>
    <w:rsid w:val="592D1F39"/>
    <w:rsid w:val="592F5059"/>
    <w:rsid w:val="5932754F"/>
    <w:rsid w:val="5976568E"/>
    <w:rsid w:val="59CA59DA"/>
    <w:rsid w:val="59D9651C"/>
    <w:rsid w:val="5A4B1CF7"/>
    <w:rsid w:val="5AC60A34"/>
    <w:rsid w:val="5B184523"/>
    <w:rsid w:val="5B2A7B83"/>
    <w:rsid w:val="5B4E469E"/>
    <w:rsid w:val="5B7C2D04"/>
    <w:rsid w:val="5BC052E6"/>
    <w:rsid w:val="5BC26CA6"/>
    <w:rsid w:val="5BD23956"/>
    <w:rsid w:val="5BD75000"/>
    <w:rsid w:val="5C0674D2"/>
    <w:rsid w:val="5C311D40"/>
    <w:rsid w:val="5CAC7619"/>
    <w:rsid w:val="5CB45551"/>
    <w:rsid w:val="5CCD510D"/>
    <w:rsid w:val="5CE15514"/>
    <w:rsid w:val="5D186A5C"/>
    <w:rsid w:val="5D1B313B"/>
    <w:rsid w:val="5D734EE1"/>
    <w:rsid w:val="5D887F5E"/>
    <w:rsid w:val="5D8F6D1E"/>
    <w:rsid w:val="5D976B2B"/>
    <w:rsid w:val="5DCF35BF"/>
    <w:rsid w:val="5DD92D9E"/>
    <w:rsid w:val="5E176B91"/>
    <w:rsid w:val="5E3E0745"/>
    <w:rsid w:val="5E4775F9"/>
    <w:rsid w:val="5E7C11F1"/>
    <w:rsid w:val="5E910B3F"/>
    <w:rsid w:val="5EA54320"/>
    <w:rsid w:val="5EAC56AE"/>
    <w:rsid w:val="5F08322C"/>
    <w:rsid w:val="5F17346F"/>
    <w:rsid w:val="5F1E649A"/>
    <w:rsid w:val="5F1F0ABE"/>
    <w:rsid w:val="5F296CFF"/>
    <w:rsid w:val="5F2A1CAF"/>
    <w:rsid w:val="5F335DCF"/>
    <w:rsid w:val="5F5C70D4"/>
    <w:rsid w:val="5F7A1C50"/>
    <w:rsid w:val="5FA67B30"/>
    <w:rsid w:val="5FCA669A"/>
    <w:rsid w:val="5FF81B6A"/>
    <w:rsid w:val="600532C8"/>
    <w:rsid w:val="603911C4"/>
    <w:rsid w:val="606049A2"/>
    <w:rsid w:val="60651FB9"/>
    <w:rsid w:val="606D7904"/>
    <w:rsid w:val="607909ED"/>
    <w:rsid w:val="607B5C80"/>
    <w:rsid w:val="6083233D"/>
    <w:rsid w:val="60A56859"/>
    <w:rsid w:val="61494EA1"/>
    <w:rsid w:val="618E3CAF"/>
    <w:rsid w:val="61977F9C"/>
    <w:rsid w:val="61C251E9"/>
    <w:rsid w:val="61E17D65"/>
    <w:rsid w:val="61E51AB2"/>
    <w:rsid w:val="61E82EA1"/>
    <w:rsid w:val="62467BC8"/>
    <w:rsid w:val="62D8446B"/>
    <w:rsid w:val="63275C4B"/>
    <w:rsid w:val="63380E90"/>
    <w:rsid w:val="63471E49"/>
    <w:rsid w:val="637F3391"/>
    <w:rsid w:val="63C27722"/>
    <w:rsid w:val="63DF9173"/>
    <w:rsid w:val="6401153F"/>
    <w:rsid w:val="646F5F74"/>
    <w:rsid w:val="647B5A94"/>
    <w:rsid w:val="64A05CB5"/>
    <w:rsid w:val="64A728CD"/>
    <w:rsid w:val="64F2028C"/>
    <w:rsid w:val="652358D2"/>
    <w:rsid w:val="653B2028"/>
    <w:rsid w:val="653F67F5"/>
    <w:rsid w:val="65401246"/>
    <w:rsid w:val="65436640"/>
    <w:rsid w:val="654F4FE5"/>
    <w:rsid w:val="655124E9"/>
    <w:rsid w:val="65566374"/>
    <w:rsid w:val="65605834"/>
    <w:rsid w:val="659D6088"/>
    <w:rsid w:val="65BB7B8B"/>
    <w:rsid w:val="65C5024C"/>
    <w:rsid w:val="65D774B5"/>
    <w:rsid w:val="65DC0F6F"/>
    <w:rsid w:val="660758C0"/>
    <w:rsid w:val="660E4895"/>
    <w:rsid w:val="661029C7"/>
    <w:rsid w:val="664B39FF"/>
    <w:rsid w:val="666A0BEA"/>
    <w:rsid w:val="66C7577B"/>
    <w:rsid w:val="66D87988"/>
    <w:rsid w:val="67074CD5"/>
    <w:rsid w:val="671464E6"/>
    <w:rsid w:val="67291BB1"/>
    <w:rsid w:val="673B55DA"/>
    <w:rsid w:val="67784448"/>
    <w:rsid w:val="678A0557"/>
    <w:rsid w:val="67EB36EB"/>
    <w:rsid w:val="68064081"/>
    <w:rsid w:val="684F6624"/>
    <w:rsid w:val="689E69AF"/>
    <w:rsid w:val="69133DAE"/>
    <w:rsid w:val="696F20FA"/>
    <w:rsid w:val="69E12F3E"/>
    <w:rsid w:val="69EE2558"/>
    <w:rsid w:val="6A0945A0"/>
    <w:rsid w:val="6A5C61DA"/>
    <w:rsid w:val="6A7F011B"/>
    <w:rsid w:val="6A837C0B"/>
    <w:rsid w:val="6A867AAB"/>
    <w:rsid w:val="6AB04778"/>
    <w:rsid w:val="6AB548C9"/>
    <w:rsid w:val="6B431148"/>
    <w:rsid w:val="6B5C220A"/>
    <w:rsid w:val="6BB73B6C"/>
    <w:rsid w:val="6BC009EB"/>
    <w:rsid w:val="6BDD77EF"/>
    <w:rsid w:val="6BEC5C84"/>
    <w:rsid w:val="6C0B610A"/>
    <w:rsid w:val="6C3A254B"/>
    <w:rsid w:val="6C5F6456"/>
    <w:rsid w:val="6C8A5A76"/>
    <w:rsid w:val="6C972F22"/>
    <w:rsid w:val="6C9875BE"/>
    <w:rsid w:val="6CA4694D"/>
    <w:rsid w:val="6CAA3B56"/>
    <w:rsid w:val="6CB96A2B"/>
    <w:rsid w:val="6D194857"/>
    <w:rsid w:val="6D470259"/>
    <w:rsid w:val="6D5F2B34"/>
    <w:rsid w:val="6D7101EF"/>
    <w:rsid w:val="6DB037F2"/>
    <w:rsid w:val="6DD706CC"/>
    <w:rsid w:val="6DE11317"/>
    <w:rsid w:val="6E3336F6"/>
    <w:rsid w:val="6E34121C"/>
    <w:rsid w:val="6E6E7215"/>
    <w:rsid w:val="6E8421A4"/>
    <w:rsid w:val="6EBA5633"/>
    <w:rsid w:val="6F5953DE"/>
    <w:rsid w:val="6F5E29F5"/>
    <w:rsid w:val="6F900EF1"/>
    <w:rsid w:val="6FC50CC6"/>
    <w:rsid w:val="701270D8"/>
    <w:rsid w:val="705E5D7E"/>
    <w:rsid w:val="70980188"/>
    <w:rsid w:val="70A12E32"/>
    <w:rsid w:val="70CB5E68"/>
    <w:rsid w:val="70D81F09"/>
    <w:rsid w:val="7125606D"/>
    <w:rsid w:val="71787BA6"/>
    <w:rsid w:val="717EB139"/>
    <w:rsid w:val="72026C0C"/>
    <w:rsid w:val="72037883"/>
    <w:rsid w:val="721C3F61"/>
    <w:rsid w:val="72525AB1"/>
    <w:rsid w:val="726C5429"/>
    <w:rsid w:val="7280201C"/>
    <w:rsid w:val="72A80581"/>
    <w:rsid w:val="72CA5671"/>
    <w:rsid w:val="72F21DD2"/>
    <w:rsid w:val="72FD0CB5"/>
    <w:rsid w:val="733C4DFB"/>
    <w:rsid w:val="737936FE"/>
    <w:rsid w:val="737F734B"/>
    <w:rsid w:val="74E87735"/>
    <w:rsid w:val="74FB1D5E"/>
    <w:rsid w:val="75123F8E"/>
    <w:rsid w:val="754E2AC9"/>
    <w:rsid w:val="757403BC"/>
    <w:rsid w:val="759803C5"/>
    <w:rsid w:val="75A95C2F"/>
    <w:rsid w:val="75D9082A"/>
    <w:rsid w:val="762B5C2A"/>
    <w:rsid w:val="765376DD"/>
    <w:rsid w:val="7677439C"/>
    <w:rsid w:val="7691545E"/>
    <w:rsid w:val="76A128B3"/>
    <w:rsid w:val="76A31B73"/>
    <w:rsid w:val="76AC04E9"/>
    <w:rsid w:val="76BF4DFF"/>
    <w:rsid w:val="76DC48E9"/>
    <w:rsid w:val="76DD4B47"/>
    <w:rsid w:val="76E15F4F"/>
    <w:rsid w:val="76E46CA9"/>
    <w:rsid w:val="771B741D"/>
    <w:rsid w:val="77277B70"/>
    <w:rsid w:val="773E4E25"/>
    <w:rsid w:val="778C7A58"/>
    <w:rsid w:val="77A256B8"/>
    <w:rsid w:val="77F453D2"/>
    <w:rsid w:val="785C2996"/>
    <w:rsid w:val="786646C8"/>
    <w:rsid w:val="78926ECA"/>
    <w:rsid w:val="789E5CA1"/>
    <w:rsid w:val="78DA16A1"/>
    <w:rsid w:val="792627D5"/>
    <w:rsid w:val="79297BCF"/>
    <w:rsid w:val="793B3DA7"/>
    <w:rsid w:val="79DF4732"/>
    <w:rsid w:val="79EB7599"/>
    <w:rsid w:val="7A0917AF"/>
    <w:rsid w:val="7A2130CB"/>
    <w:rsid w:val="7A9B2272"/>
    <w:rsid w:val="7ACF3AD1"/>
    <w:rsid w:val="7AF95CC7"/>
    <w:rsid w:val="7B2E5971"/>
    <w:rsid w:val="7BA67BFD"/>
    <w:rsid w:val="7BB12870"/>
    <w:rsid w:val="7BD2372A"/>
    <w:rsid w:val="7C173577"/>
    <w:rsid w:val="7C653614"/>
    <w:rsid w:val="7C9B7337"/>
    <w:rsid w:val="7CBE7CBB"/>
    <w:rsid w:val="7CF657B2"/>
    <w:rsid w:val="7D31799A"/>
    <w:rsid w:val="7D8E6B9B"/>
    <w:rsid w:val="7DAA5057"/>
    <w:rsid w:val="7DEF8E7F"/>
    <w:rsid w:val="7E6F2BC7"/>
    <w:rsid w:val="7E747B3F"/>
    <w:rsid w:val="7EA146AC"/>
    <w:rsid w:val="7F313DF1"/>
    <w:rsid w:val="7F67BABB"/>
    <w:rsid w:val="7FE01204"/>
    <w:rsid w:val="7FE24F7C"/>
    <w:rsid w:val="7FE30FEB"/>
    <w:rsid w:val="7FF3EA13"/>
    <w:rsid w:val="7FFB02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70"/>
    <w:qFormat/>
    <w:uiPriority w:val="0"/>
    <w:pPr>
      <w:keepNext/>
      <w:snapToGrid w:val="0"/>
      <w:spacing w:line="360" w:lineRule="atLeast"/>
      <w:outlineLvl w:val="0"/>
    </w:pPr>
    <w:rPr>
      <w:rFonts w:ascii="宋体"/>
      <w:kern w:val="0"/>
      <w:sz w:val="20"/>
    </w:rPr>
  </w:style>
  <w:style w:type="paragraph" w:styleId="4">
    <w:name w:val="heading 2"/>
    <w:basedOn w:val="1"/>
    <w:next w:val="1"/>
    <w:link w:val="7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link w:val="72"/>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2">
    <w:name w:val="Default Paragraph Font"/>
    <w:qFormat/>
    <w:uiPriority w:val="0"/>
  </w:style>
  <w:style w:type="table" w:default="1" w:styleId="60">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3"/>
    <w:qFormat/>
    <w:uiPriority w:val="99"/>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4"/>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Block Text"/>
    <w:basedOn w:val="1"/>
    <w:qFormat/>
    <w:uiPriority w:val="99"/>
    <w:pPr>
      <w:ind w:left="1440" w:leftChars="700" w:right="700" w:rightChars="700"/>
    </w:p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link w:val="75"/>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6"/>
    <w:qFormat/>
    <w:uiPriority w:val="0"/>
  </w:style>
  <w:style w:type="paragraph" w:styleId="34">
    <w:name w:val="Body Text Indent 2"/>
    <w:basedOn w:val="1"/>
    <w:link w:val="77"/>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78"/>
    <w:qFormat/>
    <w:uiPriority w:val="99"/>
    <w:pPr>
      <w:tabs>
        <w:tab w:val="center" w:pos="4153"/>
        <w:tab w:val="right" w:pos="8306"/>
      </w:tabs>
      <w:snapToGrid w:val="0"/>
      <w:jc w:val="left"/>
    </w:pPr>
    <w:rPr>
      <w:sz w:val="18"/>
    </w:rPr>
  </w:style>
  <w:style w:type="paragraph" w:styleId="37">
    <w:name w:val="envelope return"/>
    <w:basedOn w:val="1"/>
    <w:qFormat/>
    <w:uiPriority w:val="0"/>
    <w:pPr>
      <w:snapToGrid w:val="0"/>
    </w:pPr>
    <w:rPr>
      <w:rFonts w:ascii="Arial" w:hAnsi="Arial" w:eastAsia="微软雅黑"/>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1">
    <w:name w:val="toc 4"/>
    <w:basedOn w:val="1"/>
    <w:next w:val="1"/>
    <w:qFormat/>
    <w:uiPriority w:val="0"/>
    <w:pPr>
      <w:ind w:left="1260" w:leftChars="600"/>
    </w:pPr>
  </w:style>
  <w:style w:type="paragraph" w:styleId="42">
    <w:name w:val="List"/>
    <w:basedOn w:val="1"/>
    <w:qFormat/>
    <w:uiPriority w:val="0"/>
    <w:pPr>
      <w:ind w:left="200" w:hanging="200" w:hangingChars="200"/>
      <w:contextualSpacing/>
    </w:pPr>
  </w:style>
  <w:style w:type="paragraph" w:styleId="43">
    <w:name w:val="footnote text"/>
    <w:basedOn w:val="1"/>
    <w:link w:val="79"/>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afterLines="0" w:afterAutospacing="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4">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7">
    <w:name w:val="annotation subject"/>
    <w:basedOn w:val="19"/>
    <w:next w:val="19"/>
    <w:link w:val="80"/>
    <w:qFormat/>
    <w:uiPriority w:val="0"/>
    <w:pPr>
      <w:adjustRightInd/>
      <w:spacing w:line="240" w:lineRule="auto"/>
      <w:textAlignment w:val="auto"/>
    </w:pPr>
  </w:style>
  <w:style w:type="paragraph" w:styleId="58">
    <w:name w:val="Body Text First Indent"/>
    <w:basedOn w:val="1"/>
    <w:qFormat/>
    <w:uiPriority w:val="0"/>
    <w:pPr>
      <w:spacing w:line="360" w:lineRule="auto"/>
      <w:ind w:firstLine="420"/>
    </w:pPr>
    <w:rPr>
      <w:rFonts w:ascii="宋体" w:hAnsi="宋体"/>
      <w:sz w:val="24"/>
    </w:rPr>
  </w:style>
  <w:style w:type="paragraph" w:styleId="59">
    <w:name w:val="Body Text First Indent 2"/>
    <w:basedOn w:val="23"/>
    <w:link w:val="81"/>
    <w:qFormat/>
    <w:uiPriority w:val="0"/>
    <w:pPr>
      <w:spacing w:after="120" w:afterLines="0" w:line="240" w:lineRule="auto"/>
      <w:ind w:left="420" w:leftChars="200" w:firstLine="420" w:firstLineChars="200"/>
    </w:p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character" w:customStyle="1" w:styleId="70">
    <w:name w:val="标题 1 字符"/>
    <w:link w:val="3"/>
    <w:qFormat/>
    <w:uiPriority w:val="0"/>
    <w:rPr>
      <w:rFonts w:ascii="宋体"/>
    </w:rPr>
  </w:style>
  <w:style w:type="character" w:customStyle="1" w:styleId="71">
    <w:name w:val="标题 2 字符"/>
    <w:link w:val="4"/>
    <w:qFormat/>
    <w:uiPriority w:val="0"/>
    <w:rPr>
      <w:rFonts w:ascii="Arial" w:hAnsi="Arial" w:eastAsia="黑体"/>
      <w:b/>
      <w:kern w:val="2"/>
      <w:sz w:val="32"/>
    </w:rPr>
  </w:style>
  <w:style w:type="character" w:customStyle="1" w:styleId="72">
    <w:name w:val="标题 3 字符"/>
    <w:link w:val="2"/>
    <w:qFormat/>
    <w:uiPriority w:val="0"/>
    <w:rPr>
      <w:rFonts w:eastAsia="宋体"/>
      <w:b/>
      <w:kern w:val="2"/>
      <w:sz w:val="32"/>
      <w:lang w:val="en-US" w:eastAsia="zh-CN"/>
    </w:rPr>
  </w:style>
  <w:style w:type="character" w:customStyle="1" w:styleId="73">
    <w:name w:val="批注文字 字符"/>
    <w:link w:val="19"/>
    <w:qFormat/>
    <w:uiPriority w:val="99"/>
    <w:rPr>
      <w:sz w:val="24"/>
    </w:rPr>
  </w:style>
  <w:style w:type="character" w:customStyle="1" w:styleId="74">
    <w:name w:val="正文文本缩进 字符"/>
    <w:link w:val="23"/>
    <w:qFormat/>
    <w:uiPriority w:val="0"/>
    <w:rPr>
      <w:kern w:val="2"/>
      <w:sz w:val="44"/>
    </w:rPr>
  </w:style>
  <w:style w:type="character" w:customStyle="1" w:styleId="75">
    <w:name w:val="纯文本 字符"/>
    <w:link w:val="31"/>
    <w:qFormat/>
    <w:uiPriority w:val="0"/>
    <w:rPr>
      <w:rFonts w:ascii="宋体" w:hAnsi="Courier New"/>
      <w:kern w:val="2"/>
      <w:sz w:val="21"/>
    </w:rPr>
  </w:style>
  <w:style w:type="character" w:customStyle="1" w:styleId="76">
    <w:name w:val="日期 字符"/>
    <w:link w:val="33"/>
    <w:qFormat/>
    <w:uiPriority w:val="0"/>
    <w:rPr>
      <w:kern w:val="2"/>
      <w:sz w:val="28"/>
    </w:rPr>
  </w:style>
  <w:style w:type="character" w:customStyle="1" w:styleId="77">
    <w:name w:val="正文文本缩进 2 字符"/>
    <w:link w:val="34"/>
    <w:qFormat/>
    <w:uiPriority w:val="0"/>
    <w:rPr>
      <w:kern w:val="2"/>
      <w:sz w:val="28"/>
    </w:rPr>
  </w:style>
  <w:style w:type="character" w:customStyle="1" w:styleId="78">
    <w:name w:val="页脚 字符"/>
    <w:link w:val="36"/>
    <w:qFormat/>
    <w:uiPriority w:val="99"/>
    <w:rPr>
      <w:kern w:val="2"/>
      <w:sz w:val="18"/>
    </w:rPr>
  </w:style>
  <w:style w:type="character" w:customStyle="1" w:styleId="79">
    <w:name w:val="脚注文本 字符"/>
    <w:link w:val="43"/>
    <w:qFormat/>
    <w:uiPriority w:val="0"/>
    <w:rPr>
      <w:kern w:val="2"/>
      <w:sz w:val="18"/>
    </w:rPr>
  </w:style>
  <w:style w:type="character" w:customStyle="1" w:styleId="80">
    <w:name w:val="批注主题 字符"/>
    <w:link w:val="57"/>
    <w:qFormat/>
    <w:uiPriority w:val="0"/>
  </w:style>
  <w:style w:type="character" w:customStyle="1" w:styleId="81">
    <w:name w:val="正文文本首行缩进 2 字符"/>
    <w:link w:val="59"/>
    <w:qFormat/>
    <w:uiPriority w:val="0"/>
  </w:style>
  <w:style w:type="character" w:customStyle="1" w:styleId="82">
    <w:name w:val="正文 + 三号 Char"/>
    <w:qFormat/>
    <w:uiPriority w:val="0"/>
    <w:rPr>
      <w:rFonts w:eastAsia="宋体"/>
      <w:kern w:val="2"/>
      <w:sz w:val="21"/>
      <w:lang w:val="en-US" w:eastAsia="zh-CN"/>
    </w:rPr>
  </w:style>
  <w:style w:type="character" w:customStyle="1" w:styleId="83">
    <w:name w:val=" Char Char3"/>
    <w:qFormat/>
    <w:uiPriority w:val="0"/>
    <w:rPr>
      <w:rFonts w:eastAsia="宋体"/>
      <w:kern w:val="2"/>
      <w:sz w:val="18"/>
      <w:lang w:val="en-US" w:eastAsia="zh-CN"/>
    </w:rPr>
  </w:style>
  <w:style w:type="character" w:customStyle="1" w:styleId="84">
    <w:name w:val="crowed11"/>
    <w:qFormat/>
    <w:uiPriority w:val="0"/>
    <w:rPr>
      <w:rFonts w:hint="default" w:ascii="_x000B__x000C_" w:hAnsi="_x000B__x000C_"/>
      <w:sz w:val="24"/>
    </w:rPr>
  </w:style>
  <w:style w:type="character" w:customStyle="1" w:styleId="85">
    <w:name w:val="Table Heading Char Char"/>
    <w:qFormat/>
    <w:uiPriority w:val="0"/>
    <w:rPr>
      <w:rFonts w:ascii="Arial" w:hAnsi="Arial" w:eastAsia="黑体"/>
      <w:kern w:val="2"/>
      <w:sz w:val="18"/>
      <w:lang w:val="en-US" w:eastAsia="zh-CN"/>
    </w:rPr>
  </w:style>
  <w:style w:type="character" w:customStyle="1" w:styleId="86">
    <w:name w:val="标书正文:  0.74 厘米 Char1"/>
    <w:qFormat/>
    <w:uiPriority w:val="0"/>
    <w:rPr>
      <w:rFonts w:eastAsia="宋体"/>
      <w:kern w:val="2"/>
      <w:sz w:val="24"/>
      <w:lang w:val="en-US" w:eastAsia="zh-CN"/>
    </w:rPr>
  </w:style>
  <w:style w:type="character" w:customStyle="1" w:styleId="87">
    <w:name w:val="文字 Char"/>
    <w:link w:val="88"/>
    <w:qFormat/>
    <w:uiPriority w:val="0"/>
    <w:rPr>
      <w:rFonts w:ascii="宋体"/>
      <w:kern w:val="2"/>
      <w:sz w:val="28"/>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trnone1"/>
    <w:qFormat/>
    <w:uiPriority w:val="0"/>
  </w:style>
  <w:style w:type="character" w:customStyle="1" w:styleId="90">
    <w:name w:val="H2 Char"/>
    <w:qFormat/>
    <w:uiPriority w:val="0"/>
    <w:rPr>
      <w:rFonts w:ascii="Arial" w:hAnsi="Arial" w:eastAsia="宋体"/>
      <w:kern w:val="2"/>
      <w:sz w:val="28"/>
      <w:lang w:val="en-US" w:eastAsia="zh-CN"/>
    </w:rPr>
  </w:style>
  <w:style w:type="character" w:customStyle="1" w:styleId="91">
    <w:name w:val="font112"/>
    <w:qFormat/>
    <w:uiPriority w:val="0"/>
    <w:rPr>
      <w:rFonts w:hint="default" w:ascii="Times New Roman" w:hAnsi="Times New Roman" w:cs="Times New Roman"/>
      <w:color w:val="000000"/>
      <w:sz w:val="20"/>
      <w:szCs w:val="20"/>
      <w:u w:val="none"/>
    </w:rPr>
  </w:style>
  <w:style w:type="character" w:customStyle="1" w:styleId="92">
    <w:name w:val="font31"/>
    <w:qFormat/>
    <w:uiPriority w:val="0"/>
    <w:rPr>
      <w:rFonts w:hint="eastAsia" w:ascii="宋体" w:hAnsi="宋体" w:eastAsia="宋体" w:cs="宋体"/>
      <w:color w:val="000000"/>
      <w:sz w:val="22"/>
      <w:szCs w:val="22"/>
      <w:u w:val="none"/>
    </w:rPr>
  </w:style>
  <w:style w:type="character" w:customStyle="1" w:styleId="93">
    <w:name w:val="未命名11"/>
    <w:qFormat/>
    <w:uiPriority w:val="0"/>
    <w:rPr>
      <w:color w:val="77FFFF"/>
      <w:sz w:val="24"/>
    </w:rPr>
  </w:style>
  <w:style w:type="character" w:customStyle="1" w:styleId="94">
    <w:name w:val="font11"/>
    <w:qFormat/>
    <w:uiPriority w:val="0"/>
    <w:rPr>
      <w:rFonts w:hint="eastAsia" w:ascii="宋体" w:hAnsi="宋体" w:eastAsia="宋体" w:cs="宋体"/>
      <w:color w:val="000000"/>
      <w:sz w:val="20"/>
      <w:szCs w:val="20"/>
      <w:u w:val="none"/>
    </w:rPr>
  </w:style>
  <w:style w:type="character" w:customStyle="1" w:styleId="95">
    <w:name w:val=" Char Char7"/>
    <w:qFormat/>
    <w:uiPriority w:val="0"/>
    <w:rPr>
      <w:rFonts w:ascii="宋体" w:hAnsi="宋体" w:eastAsia="宋体"/>
      <w:kern w:val="2"/>
      <w:sz w:val="28"/>
    </w:rPr>
  </w:style>
  <w:style w:type="character" w:customStyle="1" w:styleId="96">
    <w:name w:val="Table Text Char"/>
    <w:link w:val="97"/>
    <w:qFormat/>
    <w:uiPriority w:val="0"/>
    <w:rPr>
      <w:rFonts w:ascii="Arial" w:hAnsi="Arial"/>
      <w:kern w:val="2"/>
      <w:sz w:val="18"/>
      <w:lang w:val="en-US" w:eastAsia="zh-CN" w:bidi="ar-SA"/>
    </w:rPr>
  </w:style>
  <w:style w:type="paragraph" w:customStyle="1" w:styleId="97">
    <w:name w:val="Table Text"/>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font1"/>
    <w:qFormat/>
    <w:uiPriority w:val="0"/>
    <w:rPr>
      <w:color w:val="000000"/>
      <w:sz w:val="18"/>
    </w:rPr>
  </w:style>
  <w:style w:type="character" w:customStyle="1" w:styleId="99">
    <w:name w:val="title_emph1"/>
    <w:qFormat/>
    <w:uiPriority w:val="0"/>
    <w:rPr>
      <w:rFonts w:hint="default" w:ascii="Arial" w:hAnsi="Arial"/>
      <w:b/>
      <w:sz w:val="20"/>
    </w:rPr>
  </w:style>
  <w:style w:type="character" w:customStyle="1" w:styleId="100">
    <w:name w:val=" Char Char4"/>
    <w:qFormat/>
    <w:uiPriority w:val="0"/>
    <w:rPr>
      <w:rFonts w:eastAsia="宋体"/>
      <w:b/>
      <w:kern w:val="2"/>
      <w:sz w:val="21"/>
      <w:lang w:val="en-US" w:eastAsia="zh-CN"/>
    </w:rPr>
  </w:style>
  <w:style w:type="character" w:customStyle="1" w:styleId="101">
    <w:name w:val="font41"/>
    <w:basedOn w:val="62"/>
    <w:qFormat/>
    <w:uiPriority w:val="0"/>
    <w:rPr>
      <w:rFonts w:hint="eastAsia" w:ascii="宋体" w:hAnsi="宋体" w:eastAsia="宋体" w:cs="宋体"/>
      <w:color w:val="000000"/>
      <w:sz w:val="20"/>
      <w:szCs w:val="20"/>
      <w:u w:val="none"/>
    </w:rPr>
  </w:style>
  <w:style w:type="character" w:customStyle="1" w:styleId="102">
    <w:name w:val="v151"/>
    <w:qFormat/>
    <w:uiPriority w:val="0"/>
    <w:rPr>
      <w:sz w:val="18"/>
    </w:rPr>
  </w:style>
  <w:style w:type="character" w:customStyle="1" w:styleId="103">
    <w:name w:val=" Char Char5"/>
    <w:qFormat/>
    <w:uiPriority w:val="0"/>
    <w:rPr>
      <w:rFonts w:ascii="Arial" w:hAnsi="Arial" w:eastAsia="宋体"/>
      <w:b/>
      <w:smallCaps/>
      <w:kern w:val="28"/>
      <w:sz w:val="36"/>
      <w:lang w:val="en-US" w:eastAsia="en-US"/>
    </w:rPr>
  </w:style>
  <w:style w:type="character" w:customStyle="1" w:styleId="104">
    <w:name w:val="top-det1"/>
    <w:qFormat/>
    <w:uiPriority w:val="0"/>
    <w:rPr>
      <w:b/>
      <w:color w:val="000000"/>
    </w:rPr>
  </w:style>
  <w:style w:type="character" w:customStyle="1" w:styleId="105">
    <w:name w:val=" Char Char6"/>
    <w:qFormat/>
    <w:uiPriority w:val="0"/>
    <w:rPr>
      <w:rFonts w:ascii="仿宋_GB2312" w:eastAsia="仿宋_GB2312"/>
      <w:kern w:val="2"/>
      <w:sz w:val="32"/>
    </w:rPr>
  </w:style>
  <w:style w:type="character" w:customStyle="1" w:styleId="106">
    <w:name w:val="15"/>
    <w:qFormat/>
    <w:uiPriority w:val="0"/>
    <w:rPr>
      <w:rFonts w:hint="eastAsia" w:ascii="等线" w:hAnsi="等线" w:eastAsia="等线"/>
      <w:color w:val="000000"/>
      <w:sz w:val="22"/>
      <w:szCs w:val="22"/>
    </w:rPr>
  </w:style>
  <w:style w:type="character" w:customStyle="1" w:styleId="107">
    <w:name w:val=" Char Char11"/>
    <w:qFormat/>
    <w:uiPriority w:val="0"/>
    <w:rPr>
      <w:rFonts w:ascii="宋体"/>
      <w:kern w:val="2"/>
      <w:sz w:val="28"/>
    </w:rPr>
  </w:style>
  <w:style w:type="character" w:customStyle="1" w:styleId="108">
    <w:name w:val="小 Char"/>
    <w:qFormat/>
    <w:uiPriority w:val="0"/>
    <w:rPr>
      <w:rFonts w:ascii="宋体" w:hAnsi="Courier New" w:eastAsia="宋体"/>
      <w:kern w:val="2"/>
      <w:sz w:val="21"/>
      <w:lang w:val="en-US" w:eastAsia="zh-CN" w:bidi="ar-SA"/>
    </w:rPr>
  </w:style>
  <w:style w:type="character" w:customStyle="1" w:styleId="109">
    <w:name w:val=" Char Char"/>
    <w:qFormat/>
    <w:uiPriority w:val="0"/>
    <w:rPr>
      <w:rFonts w:ascii="宋体" w:hAnsi="宋体" w:eastAsia="宋体"/>
      <w:kern w:val="2"/>
      <w:sz w:val="24"/>
      <w:lang w:val="en-US" w:eastAsia="zh-CN" w:bidi="ar-SA"/>
    </w:rPr>
  </w:style>
  <w:style w:type="character" w:customStyle="1" w:styleId="110">
    <w:name w:val="font121"/>
    <w:qFormat/>
    <w:uiPriority w:val="0"/>
    <w:rPr>
      <w:rFonts w:hint="eastAsia" w:ascii="宋体" w:hAnsi="宋体" w:eastAsia="宋体" w:cs="宋体"/>
      <w:color w:val="000000"/>
      <w:sz w:val="20"/>
      <w:szCs w:val="20"/>
      <w:u w:val="none"/>
    </w:rPr>
  </w:style>
  <w:style w:type="character" w:customStyle="1" w:styleId="111">
    <w:name w:val="font81"/>
    <w:qFormat/>
    <w:uiPriority w:val="0"/>
    <w:rPr>
      <w:rFonts w:hint="default" w:ascii="Times New Roman" w:hAnsi="Times New Roman" w:cs="Times New Roman"/>
      <w:color w:val="000000"/>
      <w:sz w:val="20"/>
      <w:szCs w:val="20"/>
      <w:u w:val="none"/>
    </w:rPr>
  </w:style>
  <w:style w:type="character" w:customStyle="1" w:styleId="112">
    <w:name w:val="content-white1"/>
    <w:qFormat/>
    <w:uiPriority w:val="0"/>
    <w:rPr>
      <w:rFonts w:ascii="_x000B__x000C_" w:hAnsi="_x000B__x000C_"/>
      <w:color w:val="auto"/>
      <w:sz w:val="18"/>
      <w:u w:val="none"/>
    </w:rPr>
  </w:style>
  <w:style w:type="character" w:customStyle="1" w:styleId="113">
    <w:name w:val="Table Text Char Char Char Char"/>
    <w:link w:val="114"/>
    <w:qFormat/>
    <w:uiPriority w:val="0"/>
    <w:rPr>
      <w:rFonts w:ascii="Arial" w:hAnsi="Arial"/>
      <w:kern w:val="2"/>
      <w:sz w:val="18"/>
      <w:lang w:val="en-US" w:eastAsia="zh-CN" w:bidi="ar-SA"/>
    </w:rPr>
  </w:style>
  <w:style w:type="paragraph" w:customStyle="1" w:styleId="114">
    <w:name w:val="Table Text Char Char Char"/>
    <w:link w:val="113"/>
    <w:qFormat/>
    <w:uiPriority w:val="0"/>
    <w:pPr>
      <w:snapToGrid w:val="0"/>
      <w:spacing w:before="80" w:after="80"/>
    </w:pPr>
    <w:rPr>
      <w:rFonts w:ascii="Arial" w:hAnsi="Arial" w:eastAsia="宋体" w:cs="Times New Roman"/>
      <w:kern w:val="2"/>
      <w:sz w:val="18"/>
      <w:lang w:val="en-US" w:eastAsia="zh-CN" w:bidi="ar-SA"/>
    </w:rPr>
  </w:style>
  <w:style w:type="character" w:customStyle="1" w:styleId="115">
    <w:name w:val="Table Text Char1 Char"/>
    <w:qFormat/>
    <w:uiPriority w:val="0"/>
    <w:rPr>
      <w:rFonts w:ascii="Arial" w:hAnsi="Arial"/>
      <w:kern w:val="2"/>
      <w:sz w:val="18"/>
      <w:lang w:val="en-US" w:eastAsia="zh-CN" w:bidi="ar-SA"/>
    </w:rPr>
  </w:style>
  <w:style w:type="character" w:customStyle="1" w:styleId="116">
    <w:name w:val="样式 宋体"/>
    <w:qFormat/>
    <w:uiPriority w:val="0"/>
    <w:rPr>
      <w:rFonts w:ascii="宋体" w:hAnsi="宋体" w:eastAsia="宋体"/>
      <w:sz w:val="28"/>
    </w:rPr>
  </w:style>
  <w:style w:type="character" w:customStyle="1" w:styleId="117">
    <w:name w:val=" Char Char2"/>
    <w:qFormat/>
    <w:uiPriority w:val="0"/>
    <w:rPr>
      <w:rFonts w:eastAsia="宋体"/>
      <w:kern w:val="2"/>
      <w:sz w:val="18"/>
      <w:lang w:val="en-US" w:eastAsia="zh-CN"/>
    </w:rPr>
  </w:style>
  <w:style w:type="character" w:customStyle="1" w:styleId="118">
    <w:name w:val="10"/>
    <w:qFormat/>
    <w:uiPriority w:val="0"/>
    <w:rPr>
      <w:rFonts w:hint="default" w:ascii="Times New Roman" w:hAnsi="Times New Roman" w:cs="Times New Roman"/>
    </w:rPr>
  </w:style>
  <w:style w:type="character" w:customStyle="1" w:styleId="119">
    <w:name w:val="16"/>
    <w:qFormat/>
    <w:uiPriority w:val="0"/>
    <w:rPr>
      <w:rFonts w:hint="default" w:ascii="Times New Roman" w:hAnsi="Times New Roman" w:cs="Times New Roman"/>
    </w:rPr>
  </w:style>
  <w:style w:type="paragraph" w:customStyle="1" w:styleId="12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21">
    <w:name w:val="表格内文字"/>
    <w:basedOn w:val="31"/>
    <w:qFormat/>
    <w:uiPriority w:val="0"/>
    <w:pPr>
      <w:adjustRightInd w:val="0"/>
    </w:pPr>
    <w:rPr>
      <w:color w:val="000000"/>
      <w:lang w:val="en-GB"/>
    </w:rPr>
  </w:style>
  <w:style w:type="paragraph" w:customStyle="1" w:styleId="122">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23">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24">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25">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26">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2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28">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29">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30">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31">
    <w:name w:val="样式 宋体 五号 行距: 单倍行距"/>
    <w:basedOn w:val="1"/>
    <w:qFormat/>
    <w:uiPriority w:val="0"/>
    <w:pPr>
      <w:adjustRightInd w:val="0"/>
      <w:jc w:val="left"/>
    </w:pPr>
    <w:rPr>
      <w:rFonts w:ascii="宋体" w:hAnsi="宋体"/>
      <w:kern w:val="0"/>
      <w:sz w:val="21"/>
    </w:rPr>
  </w:style>
  <w:style w:type="paragraph" w:customStyle="1" w:styleId="132">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33">
    <w:name w:val="样式 行距: 1.5 倍行距1"/>
    <w:basedOn w:val="1"/>
    <w:qFormat/>
    <w:uiPriority w:val="0"/>
    <w:pPr>
      <w:snapToGrid w:val="0"/>
    </w:pPr>
    <w:rPr>
      <w:sz w:val="21"/>
    </w:rPr>
  </w:style>
  <w:style w:type="paragraph" w:customStyle="1" w:styleId="134">
    <w:name w:val="表头"/>
    <w:basedOn w:val="135"/>
    <w:qFormat/>
    <w:uiPriority w:val="0"/>
    <w:pPr>
      <w:jc w:val="center"/>
    </w:pPr>
    <w:rPr>
      <w:b/>
      <w:bCs/>
    </w:rPr>
  </w:style>
  <w:style w:type="paragraph" w:customStyle="1" w:styleId="135">
    <w:name w:val="表格正文"/>
    <w:basedOn w:val="1"/>
    <w:qFormat/>
    <w:uiPriority w:val="0"/>
    <w:rPr>
      <w:rFonts w:ascii="Calibri" w:hAnsi="Calibri" w:eastAsia="仿宋" w:cs="宋体"/>
      <w:sz w:val="24"/>
    </w:rPr>
  </w:style>
  <w:style w:type="paragraph" w:customStyle="1" w:styleId="13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样式 首行缩进:  0.74 厘米"/>
    <w:basedOn w:val="1"/>
    <w:qFormat/>
    <w:uiPriority w:val="0"/>
    <w:pPr>
      <w:spacing w:line="360" w:lineRule="auto"/>
      <w:ind w:firstLine="420"/>
    </w:pPr>
    <w:rPr>
      <w:sz w:val="24"/>
    </w:rPr>
  </w:style>
  <w:style w:type="paragraph" w:customStyle="1" w:styleId="139">
    <w:name w:val="标书正文:  0.74 厘米"/>
    <w:basedOn w:val="1"/>
    <w:qFormat/>
    <w:uiPriority w:val="0"/>
    <w:pPr>
      <w:snapToGrid w:val="0"/>
      <w:spacing w:line="360" w:lineRule="auto"/>
      <w:ind w:firstLine="420"/>
    </w:pPr>
    <w:rPr>
      <w:sz w:val="24"/>
    </w:rPr>
  </w:style>
  <w:style w:type="paragraph" w:customStyle="1" w:styleId="140">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41">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4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5">
    <w:name w:val="Char Char Char Char1"/>
    <w:basedOn w:val="1"/>
    <w:next w:val="1"/>
    <w:qFormat/>
    <w:uiPriority w:val="0"/>
    <w:pPr>
      <w:tabs>
        <w:tab w:val="left" w:pos="0"/>
      </w:tabs>
      <w:spacing w:after="160" w:line="240" w:lineRule="exact"/>
      <w:textAlignment w:val="baseline"/>
    </w:pPr>
    <w:rPr>
      <w:rFonts w:ascii="Arial" w:hAnsi="Arial" w:eastAsia="Times New Roman" w:cs="Verdana"/>
      <w:b/>
      <w:szCs w:val="20"/>
      <w:lang w:eastAsia="en-US"/>
    </w:rPr>
  </w:style>
  <w:style w:type="paragraph" w:customStyle="1" w:styleId="146">
    <w:name w:val="正文 + 三号"/>
    <w:basedOn w:val="1"/>
    <w:qFormat/>
    <w:uiPriority w:val="0"/>
    <w:rPr>
      <w:sz w:val="21"/>
    </w:rPr>
  </w:style>
  <w:style w:type="paragraph" w:customStyle="1" w:styleId="147">
    <w:name w:val="编号正文"/>
    <w:basedOn w:val="148"/>
    <w:qFormat/>
    <w:uiPriority w:val="0"/>
    <w:pPr>
      <w:snapToGrid/>
      <w:spacing w:line="360" w:lineRule="auto"/>
      <w:ind w:left="1407" w:hanging="1047"/>
      <w:jc w:val="left"/>
    </w:pPr>
    <w:rPr>
      <w:rFonts w:eastAsia="仿宋_GB2312"/>
    </w:rPr>
  </w:style>
  <w:style w:type="paragraph" w:customStyle="1" w:styleId="14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9">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50">
    <w:name w:val="电建正文"/>
    <w:basedOn w:val="151"/>
    <w:qFormat/>
    <w:uiPriority w:val="0"/>
    <w:pPr>
      <w:tabs>
        <w:tab w:val="left" w:pos="720"/>
      </w:tabs>
      <w:spacing w:line="360" w:lineRule="auto"/>
      <w:ind w:firstLine="200" w:firstLineChars="200"/>
    </w:pPr>
    <w:rPr>
      <w:rFonts w:ascii="Tahoma" w:hAnsi="Tahoma"/>
      <w:sz w:val="24"/>
      <w:szCs w:val="22"/>
    </w:rPr>
  </w:style>
  <w:style w:type="paragraph" w:customStyle="1" w:styleId="151">
    <w:name w:val="List First"/>
    <w:basedOn w:val="42"/>
    <w:next w:val="42"/>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15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53">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54">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55">
    <w:name w:val="关键词"/>
    <w:basedOn w:val="1"/>
    <w:next w:val="1"/>
    <w:qFormat/>
    <w:uiPriority w:val="0"/>
    <w:pPr>
      <w:spacing w:line="360" w:lineRule="auto"/>
    </w:pPr>
    <w:rPr>
      <w:rFonts w:eastAsia="黑体"/>
      <w:sz w:val="20"/>
    </w:rPr>
  </w:style>
  <w:style w:type="paragraph" w:customStyle="1" w:styleId="156">
    <w:name w:val="Title - Date"/>
    <w:basedOn w:val="56"/>
    <w:next w:val="1"/>
    <w:qFormat/>
    <w:uiPriority w:val="0"/>
    <w:pPr>
      <w:spacing w:before="240" w:beforeLines="0" w:beforeAutospacing="0" w:after="720" w:afterLines="0" w:afterAutospacing="0"/>
    </w:pPr>
    <w:rPr>
      <w:sz w:val="28"/>
    </w:rPr>
  </w:style>
  <w:style w:type="paragraph" w:customStyle="1" w:styleId="15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59">
    <w:name w:val="标题2"/>
    <w:basedOn w:val="4"/>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60">
    <w:name w:val="摘要"/>
    <w:basedOn w:val="1"/>
    <w:next w:val="4"/>
    <w:qFormat/>
    <w:uiPriority w:val="0"/>
    <w:pPr>
      <w:spacing w:line="360" w:lineRule="auto"/>
    </w:pPr>
    <w:rPr>
      <w:rFonts w:eastAsia="黑体"/>
      <w:sz w:val="20"/>
    </w:rPr>
  </w:style>
  <w:style w:type="paragraph" w:customStyle="1" w:styleId="161">
    <w:name w:val=" Char1"/>
    <w:basedOn w:val="1"/>
    <w:qFormat/>
    <w:uiPriority w:val="0"/>
    <w:rPr>
      <w:sz w:val="21"/>
    </w:rPr>
  </w:style>
  <w:style w:type="paragraph" w:customStyle="1" w:styleId="162">
    <w:name w:val="Char"/>
    <w:basedOn w:val="1"/>
    <w:qFormat/>
    <w:uiPriority w:val="0"/>
    <w:pPr>
      <w:spacing w:line="240" w:lineRule="atLeast"/>
      <w:ind w:left="420" w:firstLine="420"/>
    </w:pPr>
    <w:rPr>
      <w:kern w:val="0"/>
      <w:sz w:val="21"/>
    </w:rPr>
  </w:style>
  <w:style w:type="paragraph" w:customStyle="1" w:styleId="16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4">
    <w:name w:val="Title - Revision"/>
    <w:basedOn w:val="56"/>
    <w:qFormat/>
    <w:uiPriority w:val="0"/>
    <w:pPr>
      <w:spacing w:before="720" w:beforeLines="0" w:beforeAutospacing="0"/>
    </w:pPr>
  </w:style>
  <w:style w:type="paragraph" w:customStyle="1" w:styleId="165">
    <w:name w:val=" Char Char1 Char"/>
    <w:basedOn w:val="1"/>
    <w:qFormat/>
    <w:uiPriority w:val="0"/>
    <w:rPr>
      <w:rFonts w:ascii="Tahoma" w:hAnsi="Tahoma"/>
      <w:sz w:val="24"/>
      <w:szCs w:val="24"/>
    </w:rPr>
  </w:style>
  <w:style w:type="paragraph" w:customStyle="1" w:styleId="166">
    <w:name w:val="Style Heading 3h3Heading 3 - oldLevel 3 HeadH3level_3PIM 3se..."/>
    <w:basedOn w:val="2"/>
    <w:qFormat/>
    <w:uiPriority w:val="0"/>
    <w:pPr>
      <w:numPr>
        <w:ilvl w:val="2"/>
        <w:numId w:val="2"/>
      </w:numPr>
      <w:tabs>
        <w:tab w:val="left" w:pos="709"/>
        <w:tab w:val="left" w:pos="1620"/>
      </w:tabs>
      <w:spacing w:line="413" w:lineRule="auto"/>
    </w:pPr>
  </w:style>
  <w:style w:type="paragraph" w:customStyle="1" w:styleId="167">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68">
    <w:name w:val="样式3"/>
    <w:basedOn w:val="3"/>
    <w:next w:val="3"/>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69">
    <w:name w:val="00"/>
    <w:basedOn w:val="1"/>
    <w:qFormat/>
    <w:uiPriority w:val="0"/>
    <w:pPr>
      <w:autoSpaceDE w:val="0"/>
      <w:autoSpaceDN w:val="0"/>
      <w:adjustRightInd w:val="0"/>
      <w:jc w:val="left"/>
    </w:pPr>
    <w:rPr>
      <w:rFonts w:ascii="黑体" w:eastAsia="黑体"/>
      <w:b/>
      <w:kern w:val="0"/>
      <w:sz w:val="20"/>
    </w:rPr>
  </w:style>
  <w:style w:type="paragraph" w:customStyle="1" w:styleId="170">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71">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2">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3">
    <w:name w:val="二级条标题"/>
    <w:basedOn w:val="174"/>
    <w:next w:val="144"/>
    <w:qFormat/>
    <w:uiPriority w:val="0"/>
    <w:pPr>
      <w:ind w:left="840"/>
      <w:outlineLvl w:val="3"/>
    </w:pPr>
  </w:style>
  <w:style w:type="paragraph" w:customStyle="1" w:styleId="174">
    <w:name w:val="一级条标题"/>
    <w:basedOn w:val="172"/>
    <w:next w:val="144"/>
    <w:qFormat/>
    <w:uiPriority w:val="0"/>
    <w:pPr>
      <w:numPr>
        <w:ilvl w:val="1"/>
        <w:numId w:val="0"/>
      </w:numPr>
      <w:spacing w:before="0" w:beforeLines="0" w:beforeAutospacing="0" w:after="0" w:afterLines="0" w:afterAutospacing="0"/>
      <w:ind w:left="525"/>
      <w:outlineLvl w:val="2"/>
    </w:pPr>
    <w:rPr>
      <w:sz w:val="21"/>
    </w:rPr>
  </w:style>
  <w:style w:type="paragraph" w:customStyle="1" w:styleId="175">
    <w:name w:val=" Char Char Char Char Char Char Char Char Char Char Char Char Char Char Char Char"/>
    <w:basedOn w:val="1"/>
    <w:qFormat/>
    <w:uiPriority w:val="0"/>
    <w:pPr>
      <w:tabs>
        <w:tab w:val="left" w:pos="360"/>
      </w:tabs>
    </w:pPr>
    <w:rPr>
      <w:sz w:val="24"/>
    </w:rPr>
  </w:style>
  <w:style w:type="paragraph" w:customStyle="1" w:styleId="176">
    <w:name w:val="正文（首行不缩进）"/>
    <w:basedOn w:val="1"/>
    <w:qFormat/>
    <w:uiPriority w:val="0"/>
    <w:pPr>
      <w:autoSpaceDE w:val="0"/>
      <w:autoSpaceDN w:val="0"/>
      <w:adjustRightInd w:val="0"/>
      <w:spacing w:line="360" w:lineRule="auto"/>
      <w:jc w:val="left"/>
    </w:pPr>
    <w:rPr>
      <w:kern w:val="0"/>
      <w:sz w:val="21"/>
    </w:rPr>
  </w:style>
  <w:style w:type="paragraph" w:customStyle="1" w:styleId="177">
    <w:name w:val=" Char"/>
    <w:basedOn w:val="1"/>
    <w:qFormat/>
    <w:uiPriority w:val="0"/>
    <w:pPr>
      <w:spacing w:line="240" w:lineRule="atLeast"/>
      <w:ind w:left="420" w:firstLine="420"/>
    </w:pPr>
    <w:rPr>
      <w:kern w:val="0"/>
      <w:sz w:val="21"/>
    </w:rPr>
  </w:style>
  <w:style w:type="paragraph" w:customStyle="1" w:styleId="178">
    <w:name w:val="Body Text Indent 2"/>
    <w:basedOn w:val="1"/>
    <w:qFormat/>
    <w:uiPriority w:val="0"/>
    <w:pPr>
      <w:adjustRightInd w:val="0"/>
      <w:spacing w:before="120" w:beforeLines="0" w:beforeAutospacing="0"/>
      <w:ind w:firstLine="420"/>
      <w:textAlignment w:val="baseline"/>
    </w:pPr>
    <w:rPr>
      <w:sz w:val="24"/>
    </w:rPr>
  </w:style>
  <w:style w:type="paragraph" w:customStyle="1" w:styleId="179">
    <w:name w:val="1"/>
    <w:basedOn w:val="1"/>
    <w:next w:val="31"/>
    <w:qFormat/>
    <w:uiPriority w:val="0"/>
    <w:rPr>
      <w:rFonts w:ascii="宋体" w:hAnsi="Courier New"/>
      <w:sz w:val="21"/>
    </w:rPr>
  </w:style>
  <w:style w:type="paragraph" w:customStyle="1" w:styleId="18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81">
    <w:name w:val="样式 标题 1章标题Heading 0Section HeadPIM 1H1h11st levell11H1..."/>
    <w:basedOn w:val="3"/>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2">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8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4">
    <w:name w:val="_Style 183"/>
    <w:qFormat/>
    <w:uiPriority w:val="0"/>
    <w:rPr>
      <w:rFonts w:ascii="Times New Roman" w:hAnsi="Times New Roman" w:eastAsia="宋体" w:cs="Times New Roman"/>
      <w:kern w:val="2"/>
      <w:sz w:val="21"/>
      <w:lang w:val="en-US" w:eastAsia="zh-CN" w:bidi="ar-SA"/>
    </w:rPr>
  </w:style>
  <w:style w:type="paragraph" w:customStyle="1" w:styleId="18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8">
    <w:name w:val="样式 标题 1 + 居中 段前: 6 磅 段后: 6 磅 行距: 1.5 倍行距"/>
    <w:basedOn w:val="3"/>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18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0">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91">
    <w:name w:val="表文字"/>
    <w:qFormat/>
    <w:uiPriority w:val="0"/>
    <w:rPr>
      <w:rFonts w:ascii="宋体" w:hAnsi="Times New Roman" w:eastAsia="宋体" w:cs="Times New Roman"/>
      <w:kern w:val="2"/>
      <w:lang w:val="en-US" w:eastAsia="zh-CN" w:bidi="ar-SA"/>
    </w:rPr>
  </w:style>
  <w:style w:type="paragraph" w:customStyle="1" w:styleId="19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95">
    <w:name w:val=" Char1 Char Char Char"/>
    <w:basedOn w:val="1"/>
    <w:qFormat/>
    <w:uiPriority w:val="0"/>
    <w:rPr>
      <w:rFonts w:ascii="Tahoma" w:hAnsi="Tahoma"/>
      <w:sz w:val="24"/>
    </w:rPr>
  </w:style>
  <w:style w:type="paragraph" w:customStyle="1" w:styleId="196">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97">
    <w:name w:val="标题3——2"/>
    <w:basedOn w:val="2"/>
    <w:next w:val="58"/>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98">
    <w:name w:val="可研正文"/>
    <w:basedOn w:val="22"/>
    <w:qFormat/>
    <w:uiPriority w:val="0"/>
    <w:pPr>
      <w:adjustRightInd w:val="0"/>
      <w:snapToGrid w:val="0"/>
      <w:spacing w:line="440" w:lineRule="exact"/>
      <w:ind w:firstLine="567"/>
    </w:pPr>
    <w:rPr>
      <w:sz w:val="28"/>
    </w:rPr>
  </w:style>
  <w:style w:type="paragraph" w:customStyle="1" w:styleId="199">
    <w:name w:val="正文1"/>
    <w:basedOn w:val="1"/>
    <w:qFormat/>
    <w:uiPriority w:val="0"/>
    <w:pPr>
      <w:spacing w:line="300" w:lineRule="auto"/>
      <w:ind w:firstLine="200" w:firstLineChars="200"/>
    </w:pPr>
    <w:rPr>
      <w:sz w:val="24"/>
    </w:rPr>
  </w:style>
  <w:style w:type="paragraph" w:customStyle="1" w:styleId="20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1">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02">
    <w:name w:val="Note"/>
    <w:basedOn w:val="1"/>
    <w:qFormat/>
    <w:uiPriority w:val="0"/>
    <w:pPr>
      <w:pBdr>
        <w:top w:val="single" w:color="auto" w:sz="12" w:space="3"/>
        <w:bottom w:val="single" w:color="auto" w:sz="12" w:space="3"/>
      </w:pBdr>
      <w:spacing w:line="360" w:lineRule="auto"/>
    </w:pPr>
    <w:rPr>
      <w:sz w:val="24"/>
    </w:rPr>
  </w:style>
  <w:style w:type="paragraph" w:customStyle="1" w:styleId="203">
    <w:name w:val="表头文本"/>
    <w:qFormat/>
    <w:uiPriority w:val="0"/>
    <w:pPr>
      <w:jc w:val="center"/>
    </w:pPr>
    <w:rPr>
      <w:rFonts w:ascii="Arial" w:hAnsi="Arial" w:eastAsia="宋体" w:cs="Times New Roman"/>
      <w:b/>
      <w:sz w:val="21"/>
      <w:lang w:val="en-US" w:eastAsia="zh-CN" w:bidi="ar-SA"/>
    </w:rPr>
  </w:style>
  <w:style w:type="paragraph" w:customStyle="1" w:styleId="204">
    <w:name w:val="首行缩进"/>
    <w:basedOn w:val="1"/>
    <w:qFormat/>
    <w:uiPriority w:val="0"/>
    <w:pPr>
      <w:numPr>
        <w:ilvl w:val="0"/>
        <w:numId w:val="7"/>
      </w:numPr>
      <w:spacing w:line="360" w:lineRule="auto"/>
    </w:pPr>
    <w:rPr>
      <w:rFonts w:eastAsia="仿宋_GB2312"/>
    </w:rPr>
  </w:style>
  <w:style w:type="paragraph" w:customStyle="1" w:styleId="205">
    <w:name w:val="标题无"/>
    <w:basedOn w:val="1"/>
    <w:qFormat/>
    <w:uiPriority w:val="0"/>
    <w:pPr>
      <w:spacing w:line="360" w:lineRule="auto"/>
    </w:pPr>
    <w:rPr>
      <w:sz w:val="24"/>
    </w:rPr>
  </w:style>
  <w:style w:type="paragraph" w:customStyle="1" w:styleId="20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7">
    <w:name w:val="表格文本"/>
    <w:qFormat/>
    <w:uiPriority w:val="0"/>
    <w:pPr>
      <w:tabs>
        <w:tab w:val="decimal" w:pos="0"/>
      </w:tabs>
    </w:pPr>
    <w:rPr>
      <w:rFonts w:ascii="Arial" w:hAnsi="Arial" w:eastAsia="宋体" w:cs="Times New Roman"/>
      <w:sz w:val="21"/>
      <w:lang w:val="en-US" w:eastAsia="zh-CN" w:bidi="ar-SA"/>
    </w:rPr>
  </w:style>
  <w:style w:type="paragraph" w:customStyle="1" w:styleId="208">
    <w:name w:val="af"/>
    <w:basedOn w:val="1"/>
    <w:qFormat/>
    <w:uiPriority w:val="0"/>
    <w:pPr>
      <w:widowControl/>
      <w:spacing w:line="300" w:lineRule="atLeast"/>
      <w:jc w:val="left"/>
    </w:pPr>
    <w:rPr>
      <w:rFonts w:ascii="宋体" w:hAnsi="宋体"/>
      <w:kern w:val="0"/>
      <w:sz w:val="18"/>
    </w:rPr>
  </w:style>
  <w:style w:type="paragraph" w:customStyle="1" w:styleId="20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1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1">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212">
    <w:name w:val="二级列表"/>
    <w:basedOn w:val="130"/>
    <w:next w:val="130"/>
    <w:qFormat/>
    <w:uiPriority w:val="0"/>
    <w:pPr>
      <w:tabs>
        <w:tab w:val="left" w:pos="2120"/>
      </w:tabs>
      <w:ind w:firstLine="0" w:firstLineChars="0"/>
    </w:pPr>
    <w:rPr>
      <w:b/>
    </w:rPr>
  </w:style>
  <w:style w:type="paragraph" w:customStyle="1" w:styleId="21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14">
    <w:name w:val="样式4"/>
    <w:basedOn w:val="5"/>
    <w:qFormat/>
    <w:uiPriority w:val="0"/>
    <w:pPr>
      <w:adjustRightInd w:val="0"/>
      <w:snapToGrid w:val="0"/>
    </w:pPr>
  </w:style>
  <w:style w:type="paragraph" w:customStyle="1" w:styleId="215">
    <w:name w:val="1.正文"/>
    <w:basedOn w:val="1"/>
    <w:qFormat/>
    <w:uiPriority w:val="0"/>
    <w:pPr>
      <w:spacing w:line="360" w:lineRule="auto"/>
      <w:ind w:left="540" w:leftChars="225" w:firstLine="540" w:firstLineChars="225"/>
    </w:pPr>
    <w:rPr>
      <w:sz w:val="24"/>
    </w:rPr>
  </w:style>
  <w:style w:type="paragraph" w:customStyle="1" w:styleId="216">
    <w:name w:val="表头样式"/>
    <w:basedOn w:val="1"/>
    <w:qFormat/>
    <w:uiPriority w:val="0"/>
    <w:pPr>
      <w:autoSpaceDE w:val="0"/>
      <w:autoSpaceDN w:val="0"/>
      <w:adjustRightInd w:val="0"/>
      <w:spacing w:line="360" w:lineRule="auto"/>
      <w:jc w:val="left"/>
    </w:pPr>
    <w:rPr>
      <w:b/>
      <w:kern w:val="0"/>
      <w:sz w:val="21"/>
    </w:rPr>
  </w:style>
  <w:style w:type="paragraph" w:customStyle="1" w:styleId="21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1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1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20">
    <w:name w:val="Char Char Char Char Char Char Char"/>
    <w:basedOn w:val="17"/>
    <w:qFormat/>
    <w:uiPriority w:val="0"/>
    <w:rPr>
      <w:rFonts w:ascii="宋体" w:hAnsi="Tahoma"/>
    </w:rPr>
  </w:style>
  <w:style w:type="paragraph" w:customStyle="1" w:styleId="221">
    <w:name w:val="表号"/>
    <w:basedOn w:val="1"/>
    <w:qFormat/>
    <w:uiPriority w:val="0"/>
    <w:pPr>
      <w:numPr>
        <w:ilvl w:val="0"/>
        <w:numId w:val="8"/>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22">
    <w:name w:val="简单回函地址"/>
    <w:basedOn w:val="1"/>
    <w:qFormat/>
    <w:uiPriority w:val="0"/>
    <w:pPr>
      <w:adjustRightInd w:val="0"/>
      <w:snapToGrid w:val="0"/>
      <w:spacing w:line="360" w:lineRule="auto"/>
    </w:pPr>
    <w:rPr>
      <w:sz w:val="24"/>
    </w:rPr>
  </w:style>
  <w:style w:type="paragraph" w:customStyle="1" w:styleId="223">
    <w:name w:val="样式2"/>
    <w:basedOn w:val="5"/>
    <w:qFormat/>
    <w:uiPriority w:val="0"/>
    <w:pPr>
      <w:numPr>
        <w:ilvl w:val="0"/>
        <w:numId w:val="9"/>
      </w:numPr>
      <w:spacing w:before="560" w:beforeLines="0" w:line="400" w:lineRule="exact"/>
      <w:jc w:val="center"/>
      <w:outlineLvl w:val="0"/>
    </w:pPr>
    <w:rPr>
      <w:b w:val="0"/>
      <w:sz w:val="44"/>
    </w:rPr>
  </w:style>
  <w:style w:type="paragraph" w:customStyle="1" w:styleId="224">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25">
    <w:name w:val="内容标题"/>
    <w:basedOn w:val="17"/>
    <w:qFormat/>
    <w:uiPriority w:val="0"/>
    <w:rPr>
      <w:rFonts w:ascii="Tahoma" w:hAnsi="Tahoma"/>
      <w:sz w:val="24"/>
    </w:rPr>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默认段落字体 Para Char Char Char Char Char Char Char Char Char1 Char Char Char Char"/>
    <w:basedOn w:val="1"/>
    <w:qFormat/>
    <w:uiPriority w:val="0"/>
    <w:rPr>
      <w:rFonts w:ascii="Tahoma" w:hAnsi="Tahoma"/>
      <w:sz w:val="24"/>
    </w:rPr>
  </w:style>
  <w:style w:type="paragraph" w:customStyle="1" w:styleId="22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29">
    <w:name w:val="正文表格"/>
    <w:basedOn w:val="1"/>
    <w:qFormat/>
    <w:uiPriority w:val="0"/>
    <w:pPr>
      <w:adjustRightInd w:val="0"/>
      <w:spacing w:before="40" w:beforeLines="0" w:beforeAutospacing="0" w:after="40" w:afterLines="0" w:afterAutospacing="0"/>
    </w:pPr>
    <w:rPr>
      <w:sz w:val="24"/>
    </w:rPr>
  </w:style>
  <w:style w:type="paragraph" w:customStyle="1" w:styleId="23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3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32">
    <w:name w:val=" Char Char Char"/>
    <w:basedOn w:val="1"/>
    <w:qFormat/>
    <w:uiPriority w:val="0"/>
    <w:rPr>
      <w:rFonts w:ascii="Tahoma" w:hAnsi="Tahoma"/>
      <w:sz w:val="24"/>
    </w:rPr>
  </w:style>
  <w:style w:type="paragraph" w:styleId="233">
    <w:name w:val="List Paragraph"/>
    <w:basedOn w:val="1"/>
    <w:qFormat/>
    <w:uiPriority w:val="99"/>
    <w:pPr>
      <w:ind w:firstLine="420" w:firstLineChars="200"/>
    </w:pPr>
  </w:style>
  <w:style w:type="paragraph" w:customStyle="1" w:styleId="2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5">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36">
    <w:name w:val=" Char Char Char Char Char Char Char"/>
    <w:basedOn w:val="1"/>
    <w:qFormat/>
    <w:uiPriority w:val="0"/>
    <w:rPr>
      <w:rFonts w:ascii="Tahoma" w:hAnsi="Tahoma"/>
      <w:sz w:val="24"/>
    </w:rPr>
  </w:style>
  <w:style w:type="paragraph" w:customStyle="1" w:styleId="237">
    <w:name w:val=" Char Char14 Char Char"/>
    <w:basedOn w:val="1"/>
    <w:qFormat/>
    <w:uiPriority w:val="0"/>
    <w:rPr>
      <w:sz w:val="21"/>
      <w:szCs w:val="24"/>
    </w:rPr>
  </w:style>
  <w:style w:type="paragraph" w:customStyle="1" w:styleId="238">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39">
    <w:name w:val="文章正文"/>
    <w:basedOn w:val="1"/>
    <w:qFormat/>
    <w:uiPriority w:val="0"/>
    <w:pPr>
      <w:ind w:firstLine="560" w:firstLineChars="200"/>
    </w:pPr>
    <w:rPr>
      <w:rFonts w:ascii="仿宋_GB2312" w:hAnsi="宋体" w:eastAsia="仿宋_GB2312"/>
      <w:color w:val="000000"/>
    </w:rPr>
  </w:style>
  <w:style w:type="paragraph" w:customStyle="1" w:styleId="24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4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242">
    <w:name w:val=" Char Char 字元 字元 字元 Char Char Char Char"/>
    <w:basedOn w:val="1"/>
    <w:qFormat/>
    <w:uiPriority w:val="0"/>
    <w:pPr>
      <w:adjustRightInd w:val="0"/>
      <w:spacing w:line="360" w:lineRule="auto"/>
    </w:pPr>
    <w:rPr>
      <w:kern w:val="0"/>
      <w:sz w:val="24"/>
    </w:rPr>
  </w:style>
  <w:style w:type="paragraph" w:customStyle="1" w:styleId="243">
    <w:name w:val="无间隔1"/>
    <w:qFormat/>
    <w:uiPriority w:val="1"/>
    <w:pPr>
      <w:jc w:val="both"/>
    </w:pPr>
    <w:rPr>
      <w:rFonts w:ascii="Times New Roman" w:hAnsi="Times New Roman" w:eastAsia="Times New Roman" w:cs="Times New Roman"/>
      <w:lang w:val="en-US" w:eastAsia="zh-CN" w:bidi="ar-SA"/>
    </w:rPr>
  </w:style>
  <w:style w:type="paragraph" w:customStyle="1" w:styleId="244">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45">
    <w:name w:val="文本1"/>
    <w:basedOn w:val="1"/>
    <w:qFormat/>
    <w:uiPriority w:val="0"/>
    <w:pPr>
      <w:adjustRightInd w:val="0"/>
      <w:spacing w:line="312" w:lineRule="atLeast"/>
      <w:jc w:val="center"/>
      <w:textAlignment w:val="baseline"/>
    </w:pPr>
    <w:rPr>
      <w:kern w:val="0"/>
      <w:sz w:val="18"/>
    </w:rPr>
  </w:style>
  <w:style w:type="paragraph" w:customStyle="1" w:styleId="246">
    <w:name w:val="Char1 Char Char Char"/>
    <w:basedOn w:val="1"/>
    <w:qFormat/>
    <w:uiPriority w:val="0"/>
    <w:rPr>
      <w:rFonts w:ascii="Tahoma" w:hAnsi="Tahoma"/>
      <w:sz w:val="30"/>
    </w:rPr>
  </w:style>
  <w:style w:type="paragraph" w:customStyle="1" w:styleId="247">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48">
    <w:name w:val=" Char2 Char Char Char Char Char Char"/>
    <w:basedOn w:val="1"/>
    <w:qFormat/>
    <w:uiPriority w:val="0"/>
    <w:rPr>
      <w:rFonts w:ascii="仿宋_GB2312"/>
      <w:b/>
      <w:sz w:val="30"/>
    </w:rPr>
  </w:style>
  <w:style w:type="paragraph" w:customStyle="1" w:styleId="249">
    <w:name w:val="首行缩进 1"/>
    <w:basedOn w:val="1"/>
    <w:qFormat/>
    <w:uiPriority w:val="0"/>
    <w:pPr>
      <w:spacing w:after="120" w:afterLines="0" w:afterAutospacing="0" w:line="360" w:lineRule="auto"/>
      <w:ind w:firstLine="200" w:firstLineChars="200"/>
    </w:pPr>
    <w:rPr>
      <w:sz w:val="24"/>
    </w:rPr>
  </w:style>
  <w:style w:type="paragraph" w:customStyle="1" w:styleId="250">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51">
    <w:name w:val="默认段落字体 Para Char Char Char Char Char Char Char"/>
    <w:basedOn w:val="1"/>
    <w:qFormat/>
    <w:uiPriority w:val="0"/>
    <w:rPr>
      <w:rFonts w:ascii="Tahoma" w:hAnsi="Tahoma"/>
      <w:sz w:val="24"/>
    </w:rPr>
  </w:style>
  <w:style w:type="paragraph" w:customStyle="1" w:styleId="252">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5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54">
    <w:name w:val="正文-奇安信"/>
    <w:basedOn w:val="1"/>
    <w:qFormat/>
    <w:uiPriority w:val="0"/>
    <w:pPr>
      <w:spacing w:line="360" w:lineRule="auto"/>
      <w:ind w:firstLine="420"/>
    </w:pPr>
    <w:rPr>
      <w:szCs w:val="20"/>
    </w:rPr>
  </w:style>
  <w:style w:type="paragraph" w:customStyle="1" w:styleId="255">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56">
    <w:name w:val="图片文字"/>
    <w:basedOn w:val="1"/>
    <w:qFormat/>
    <w:uiPriority w:val="0"/>
    <w:pPr>
      <w:spacing w:line="240" w:lineRule="atLeast"/>
      <w:jc w:val="center"/>
    </w:pPr>
    <w:rPr>
      <w:sz w:val="21"/>
    </w:rPr>
  </w:style>
  <w:style w:type="paragraph" w:customStyle="1" w:styleId="257">
    <w:name w:val="样式 正文缩进正文（首行缩进两字）表正文正文非缩进特点标题4段1 + 首行缩进:  2 字符"/>
    <w:basedOn w:val="15"/>
    <w:qFormat/>
    <w:uiPriority w:val="0"/>
    <w:pPr>
      <w:ind w:firstLine="480" w:firstLineChars="200"/>
    </w:pPr>
  </w:style>
  <w:style w:type="paragraph" w:customStyle="1" w:styleId="25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59">
    <w:name w:val="IN Feature"/>
    <w:next w:val="21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60">
    <w:name w:val="Table Contents"/>
    <w:basedOn w:val="22"/>
    <w:qFormat/>
    <w:uiPriority w:val="0"/>
    <w:pPr>
      <w:suppressAutoHyphens/>
      <w:jc w:val="left"/>
    </w:pPr>
    <w:rPr>
      <w:rFonts w:ascii="Times New Roman" w:eastAsia="Times New Roman"/>
      <w:kern w:val="0"/>
      <w:sz w:val="24"/>
    </w:rPr>
  </w:style>
  <w:style w:type="paragraph" w:customStyle="1" w:styleId="261">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262">
    <w:name w:val="列表段落1"/>
    <w:basedOn w:val="1"/>
    <w:qFormat/>
    <w:uiPriority w:val="0"/>
    <w:pPr>
      <w:ind w:firstLine="420" w:firstLineChars="200"/>
    </w:pPr>
    <w:rPr>
      <w:rFonts w:ascii="等线" w:hAnsi="等线" w:eastAsia="等线" w:cs="Times New Roman"/>
      <w:szCs w:val="21"/>
    </w:rPr>
  </w:style>
  <w:style w:type="paragraph" w:customStyle="1" w:styleId="263">
    <w:name w:val="默认"/>
    <w:qFormat/>
    <w:uiPriority w:val="0"/>
    <w:rPr>
      <w:rFonts w:ascii="Helvetica Neue" w:hAnsi="Arial Unicode MS" w:eastAsia="Helvetica Neue" w:cs="Times New Roman"/>
      <w:color w:val="000000"/>
      <w:sz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30</Pages>
  <Words>11878</Words>
  <Characters>12464</Characters>
  <Lines>172</Lines>
  <Paragraphs>48</Paragraphs>
  <TotalTime>0</TotalTime>
  <ScaleCrop>false</ScaleCrop>
  <LinksUpToDate>false</LinksUpToDate>
  <CharactersWithSpaces>13665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2022-06-14T00:38:00Z</dcterms:created>
  <dc:creator>罗成</dc:creator>
  <cp:lastModifiedBy>淘淘₆ ₆ ₆  ⁶ ⁶ ⁶</cp:lastModifiedBy>
  <cp:lastPrinted>2024-11-19T01:48:00Z</cp:lastPrinted>
  <dcterms:modified xsi:type="dcterms:W3CDTF">2025-10-27T04:35:16Z</dcterms:modified>
  <dc:title>竞争性谈判文件</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FD1D068983544A13BDC358361F23A3EE_13</vt:lpwstr>
  </property>
  <property fmtid="{D5CDD505-2E9C-101B-9397-08002B2CF9AE}" pid="4" name="KSOTemplateDocerSaveRecord">
    <vt:lpwstr>eyJoZGlkIjoiZDdiYjdhYmUyNjNhZjhhZWUwNGEwN2ZhNDNlYzkxN2UiLCJ1c2VySWQiOiI0NTM4ODY1NTAifQ==</vt:lpwstr>
  </property>
</Properties>
</file>